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A1DE8E" w14:textId="6B96977D" w:rsidR="00B845AE" w:rsidRPr="00FE0E2B" w:rsidRDefault="00863462" w:rsidP="00807445">
      <w:bookmarkStart w:id="0" w:name="_GoBack"/>
      <w:bookmarkEnd w:id="0"/>
      <w:r>
        <w:t xml:space="preserve"> </w:t>
      </w:r>
      <w:r w:rsidR="00C179EF">
        <w:t xml:space="preserve"> </w:t>
      </w:r>
    </w:p>
    <w:p w14:paraId="57E3AD0D" w14:textId="77777777" w:rsidR="00462BA7" w:rsidRPr="00FE0E2B" w:rsidRDefault="00462BA7"/>
    <w:p w14:paraId="54729FCB" w14:textId="77777777" w:rsidR="0091583F" w:rsidRPr="004010D1" w:rsidRDefault="0091583F" w:rsidP="0091583F">
      <w:pPr>
        <w:spacing w:line="360" w:lineRule="auto"/>
        <w:jc w:val="center"/>
        <w:rPr>
          <w:b/>
          <w:smallCaps/>
          <w:sz w:val="28"/>
          <w:szCs w:val="28"/>
        </w:rPr>
      </w:pPr>
      <w:bookmarkStart w:id="1" w:name="_Toc326736629"/>
      <w:r w:rsidRPr="004010D1">
        <w:rPr>
          <w:b/>
          <w:smallCaps/>
          <w:sz w:val="28"/>
          <w:szCs w:val="28"/>
        </w:rPr>
        <w:t>Supporting Statement for Information Collection Request for</w:t>
      </w:r>
    </w:p>
    <w:p w14:paraId="4C6900F1" w14:textId="3F9486E7" w:rsidR="0091583F" w:rsidRDefault="00BF58D5" w:rsidP="0091583F">
      <w:pPr>
        <w:spacing w:line="360" w:lineRule="auto"/>
        <w:jc w:val="center"/>
        <w:rPr>
          <w:b/>
          <w:smallCaps/>
        </w:rPr>
      </w:pPr>
      <w:r>
        <w:rPr>
          <w:b/>
          <w:smallCaps/>
          <w:sz w:val="28"/>
          <w:szCs w:val="28"/>
        </w:rPr>
        <w:t xml:space="preserve">Willingness to Pay Survey to </w:t>
      </w:r>
      <w:r w:rsidR="00CB749F">
        <w:rPr>
          <w:b/>
          <w:smallCaps/>
          <w:sz w:val="28"/>
          <w:szCs w:val="28"/>
        </w:rPr>
        <w:t>Evaluat</w:t>
      </w:r>
      <w:r>
        <w:rPr>
          <w:b/>
          <w:smallCaps/>
          <w:sz w:val="28"/>
          <w:szCs w:val="28"/>
        </w:rPr>
        <w:t>e</w:t>
      </w:r>
      <w:r w:rsidR="00CB749F">
        <w:rPr>
          <w:b/>
          <w:smallCaps/>
          <w:sz w:val="28"/>
          <w:szCs w:val="28"/>
        </w:rPr>
        <w:t xml:space="preserve"> </w:t>
      </w:r>
      <w:r w:rsidR="005426FC">
        <w:rPr>
          <w:b/>
          <w:smallCaps/>
          <w:sz w:val="28"/>
          <w:szCs w:val="28"/>
        </w:rPr>
        <w:t xml:space="preserve">Recreational </w:t>
      </w:r>
      <w:r w:rsidR="00CB749F">
        <w:rPr>
          <w:b/>
          <w:smallCaps/>
          <w:sz w:val="28"/>
          <w:szCs w:val="28"/>
        </w:rPr>
        <w:t>Benefits of Nutrient Reductions in Coastal New England Waters</w:t>
      </w:r>
    </w:p>
    <w:p w14:paraId="7356015A" w14:textId="77777777" w:rsidR="0091583F" w:rsidRDefault="0091583F" w:rsidP="0091583F">
      <w:pPr>
        <w:spacing w:line="360" w:lineRule="auto"/>
        <w:jc w:val="center"/>
        <w:rPr>
          <w:b/>
          <w:smallCaps/>
        </w:rPr>
      </w:pPr>
    </w:p>
    <w:p w14:paraId="35152216" w14:textId="77777777" w:rsidR="007F4F5E" w:rsidRDefault="00B3270B" w:rsidP="0091583F">
      <w:pPr>
        <w:spacing w:line="360" w:lineRule="auto"/>
        <w:jc w:val="center"/>
        <w:rPr>
          <w:b/>
          <w:smallCaps/>
        </w:rPr>
      </w:pPr>
      <w:r>
        <w:rPr>
          <w:b/>
          <w:smallCaps/>
        </w:rPr>
        <w:t xml:space="preserve">January </w:t>
      </w:r>
      <w:r w:rsidR="00A11241">
        <w:rPr>
          <w:b/>
          <w:smallCaps/>
        </w:rPr>
        <w:t>26</w:t>
      </w:r>
      <w:r w:rsidR="00807445">
        <w:rPr>
          <w:b/>
          <w:smallCaps/>
        </w:rPr>
        <w:t>, 201</w:t>
      </w:r>
      <w:r>
        <w:rPr>
          <w:b/>
          <w:smallCaps/>
        </w:rPr>
        <w:t>7</w:t>
      </w:r>
    </w:p>
    <w:p w14:paraId="457ED7CD" w14:textId="58B69C32" w:rsidR="0091583F" w:rsidRDefault="007F4F5E" w:rsidP="0091583F">
      <w:pPr>
        <w:spacing w:line="360" w:lineRule="auto"/>
        <w:jc w:val="center"/>
        <w:rPr>
          <w:b/>
          <w:smallCaps/>
        </w:rPr>
      </w:pPr>
      <w:r>
        <w:rPr>
          <w:b/>
          <w:smallCaps/>
        </w:rPr>
        <w:t xml:space="preserve">Revision in response to OMB Comments: March </w:t>
      </w:r>
      <w:r w:rsidR="00261B41">
        <w:rPr>
          <w:b/>
          <w:smallCaps/>
        </w:rPr>
        <w:t>28</w:t>
      </w:r>
      <w:r>
        <w:rPr>
          <w:b/>
          <w:smallCaps/>
        </w:rPr>
        <w:t>, 2018</w:t>
      </w:r>
    </w:p>
    <w:p w14:paraId="2E29A1ED" w14:textId="77777777" w:rsidR="0091583F" w:rsidRDefault="0091583F" w:rsidP="0091583F">
      <w:pPr>
        <w:spacing w:line="360" w:lineRule="auto"/>
        <w:jc w:val="center"/>
        <w:rPr>
          <w:b/>
          <w:smallCaps/>
        </w:rPr>
      </w:pPr>
    </w:p>
    <w:p w14:paraId="0E35BB65" w14:textId="77777777" w:rsidR="0091583F" w:rsidRDefault="0091583F" w:rsidP="0091583F">
      <w:pPr>
        <w:spacing w:line="360" w:lineRule="auto"/>
        <w:jc w:val="center"/>
        <w:rPr>
          <w:b/>
          <w:smallCaps/>
        </w:rPr>
      </w:pPr>
    </w:p>
    <w:p w14:paraId="3E62D14E" w14:textId="77777777" w:rsidR="0091583F" w:rsidRDefault="0091583F" w:rsidP="0091583F">
      <w:pPr>
        <w:spacing w:line="360" w:lineRule="auto"/>
        <w:jc w:val="center"/>
        <w:rPr>
          <w:b/>
          <w:smallCaps/>
        </w:rPr>
      </w:pPr>
    </w:p>
    <w:p w14:paraId="70047F57" w14:textId="5D72963F" w:rsidR="00507067" w:rsidRDefault="00507067">
      <w:pPr>
        <w:spacing w:line="276" w:lineRule="auto"/>
        <w:rPr>
          <w:b/>
          <w:smallCaps/>
        </w:rPr>
      </w:pPr>
      <w:r>
        <w:rPr>
          <w:b/>
          <w:smallCaps/>
        </w:rPr>
        <w:br w:type="page"/>
      </w:r>
    </w:p>
    <w:p w14:paraId="753B340B" w14:textId="77777777" w:rsidR="0091583F" w:rsidRDefault="0091583F" w:rsidP="0091583F">
      <w:pPr>
        <w:spacing w:line="360" w:lineRule="auto"/>
        <w:jc w:val="center"/>
        <w:rPr>
          <w:b/>
          <w:bCs/>
        </w:rPr>
        <w:sectPr w:rsidR="0091583F">
          <w:footerReference w:type="default" r:id="rId9"/>
          <w:pgSz w:w="12240" w:h="15840"/>
          <w:pgMar w:top="1440" w:right="1440" w:bottom="720" w:left="1440" w:header="720" w:footer="720" w:gutter="0"/>
          <w:pgNumType w:start="1"/>
          <w:cols w:space="720"/>
          <w:docGrid w:linePitch="360"/>
        </w:sectPr>
      </w:pPr>
    </w:p>
    <w:p w14:paraId="7B4891FD" w14:textId="77777777" w:rsidR="0091583F" w:rsidRPr="00DF48C0" w:rsidRDefault="0091583F" w:rsidP="0091583F">
      <w:pPr>
        <w:spacing w:line="360" w:lineRule="auto"/>
        <w:jc w:val="center"/>
        <w:rPr>
          <w:rFonts w:cs="Times New Roman"/>
          <w:b/>
          <w:bCs/>
        </w:rPr>
      </w:pPr>
      <w:r w:rsidRPr="00BC6C49">
        <w:rPr>
          <w:rFonts w:cs="Times New Roman"/>
          <w:b/>
          <w:bCs/>
        </w:rPr>
        <w:lastRenderedPageBreak/>
        <w:t>TABLE OF CONTENTS</w:t>
      </w:r>
    </w:p>
    <w:p w14:paraId="2A158AD3" w14:textId="77777777" w:rsidR="0091583F" w:rsidRPr="00DF48C0" w:rsidRDefault="0091583F" w:rsidP="0091583F">
      <w:pPr>
        <w:pStyle w:val="Heading1"/>
        <w:rPr>
          <w:sz w:val="22"/>
          <w:szCs w:val="22"/>
        </w:rPr>
      </w:pPr>
    </w:p>
    <w:p w14:paraId="02FBA496" w14:textId="25B80324" w:rsidR="008C6652" w:rsidRDefault="001D409C">
      <w:pPr>
        <w:pStyle w:val="TOC2"/>
        <w:rPr>
          <w:rFonts w:asciiTheme="minorHAnsi" w:eastAsiaTheme="minorEastAsia" w:hAnsiTheme="minorHAnsi" w:cstheme="minorBidi"/>
          <w:noProof/>
          <w:sz w:val="22"/>
          <w:szCs w:val="22"/>
        </w:rPr>
      </w:pPr>
      <w:r w:rsidRPr="00DF48C0">
        <w:rPr>
          <w:i/>
          <w:sz w:val="22"/>
          <w:szCs w:val="22"/>
        </w:rPr>
        <w:fldChar w:fldCharType="begin"/>
      </w:r>
      <w:r w:rsidR="0091583F" w:rsidRPr="00DF48C0">
        <w:rPr>
          <w:i/>
          <w:sz w:val="22"/>
          <w:szCs w:val="22"/>
        </w:rPr>
        <w:instrText xml:space="preserve"> TOC \o "1-3" \h \z \u </w:instrText>
      </w:r>
      <w:r w:rsidRPr="00DF48C0">
        <w:rPr>
          <w:i/>
          <w:sz w:val="22"/>
          <w:szCs w:val="22"/>
        </w:rPr>
        <w:fldChar w:fldCharType="separate"/>
      </w:r>
      <w:hyperlink w:anchor="_Toc473195073" w:history="1">
        <w:r w:rsidR="008C6652" w:rsidRPr="0038660A">
          <w:rPr>
            <w:rStyle w:val="Hyperlink"/>
            <w:noProof/>
          </w:rPr>
          <w:t>List of Attachments</w:t>
        </w:r>
        <w:r w:rsidR="008C6652">
          <w:rPr>
            <w:noProof/>
            <w:webHidden/>
          </w:rPr>
          <w:tab/>
        </w:r>
        <w:r w:rsidR="008C6652">
          <w:rPr>
            <w:noProof/>
            <w:webHidden/>
          </w:rPr>
          <w:fldChar w:fldCharType="begin"/>
        </w:r>
        <w:r w:rsidR="008C6652">
          <w:rPr>
            <w:noProof/>
            <w:webHidden/>
          </w:rPr>
          <w:instrText xml:space="preserve"> PAGEREF _Toc473195073 \h </w:instrText>
        </w:r>
        <w:r w:rsidR="008C6652">
          <w:rPr>
            <w:noProof/>
            <w:webHidden/>
          </w:rPr>
        </w:r>
        <w:r w:rsidR="008C6652">
          <w:rPr>
            <w:noProof/>
            <w:webHidden/>
          </w:rPr>
          <w:fldChar w:fldCharType="separate"/>
        </w:r>
        <w:r w:rsidR="00957FD1">
          <w:rPr>
            <w:noProof/>
            <w:webHidden/>
          </w:rPr>
          <w:t>3</w:t>
        </w:r>
        <w:r w:rsidR="008C6652">
          <w:rPr>
            <w:noProof/>
            <w:webHidden/>
          </w:rPr>
          <w:fldChar w:fldCharType="end"/>
        </w:r>
      </w:hyperlink>
    </w:p>
    <w:p w14:paraId="0AE5BA54" w14:textId="1F5D4789" w:rsidR="008C6652" w:rsidRDefault="00EF0CD0">
      <w:pPr>
        <w:pStyle w:val="TOC1"/>
        <w:rPr>
          <w:rFonts w:asciiTheme="minorHAnsi" w:eastAsiaTheme="minorEastAsia" w:hAnsiTheme="minorHAnsi" w:cstheme="minorBidi"/>
          <w:noProof/>
          <w:sz w:val="22"/>
          <w:szCs w:val="22"/>
        </w:rPr>
      </w:pPr>
      <w:hyperlink w:anchor="_Toc473195074" w:history="1">
        <w:r w:rsidR="008C6652" w:rsidRPr="0038660A">
          <w:rPr>
            <w:rStyle w:val="Hyperlink"/>
            <w:noProof/>
          </w:rPr>
          <w:t>PART A OF THE SUPPORTING STATEMENT</w:t>
        </w:r>
        <w:r w:rsidR="008C6652">
          <w:rPr>
            <w:noProof/>
            <w:webHidden/>
          </w:rPr>
          <w:tab/>
        </w:r>
        <w:r w:rsidR="008C6652">
          <w:rPr>
            <w:noProof/>
            <w:webHidden/>
          </w:rPr>
          <w:fldChar w:fldCharType="begin"/>
        </w:r>
        <w:r w:rsidR="008C6652">
          <w:rPr>
            <w:noProof/>
            <w:webHidden/>
          </w:rPr>
          <w:instrText xml:space="preserve"> PAGEREF _Toc473195074 \h </w:instrText>
        </w:r>
        <w:r w:rsidR="008C6652">
          <w:rPr>
            <w:noProof/>
            <w:webHidden/>
          </w:rPr>
        </w:r>
        <w:r w:rsidR="008C6652">
          <w:rPr>
            <w:noProof/>
            <w:webHidden/>
          </w:rPr>
          <w:fldChar w:fldCharType="separate"/>
        </w:r>
        <w:r w:rsidR="00957FD1">
          <w:rPr>
            <w:noProof/>
            <w:webHidden/>
          </w:rPr>
          <w:t>4</w:t>
        </w:r>
        <w:r w:rsidR="008C6652">
          <w:rPr>
            <w:noProof/>
            <w:webHidden/>
          </w:rPr>
          <w:fldChar w:fldCharType="end"/>
        </w:r>
      </w:hyperlink>
    </w:p>
    <w:p w14:paraId="2A29E5F6" w14:textId="588E02DF" w:rsidR="008C6652" w:rsidRDefault="00EF0CD0">
      <w:pPr>
        <w:pStyle w:val="TOC2"/>
        <w:rPr>
          <w:rFonts w:asciiTheme="minorHAnsi" w:eastAsiaTheme="minorEastAsia" w:hAnsiTheme="minorHAnsi" w:cstheme="minorBidi"/>
          <w:noProof/>
          <w:sz w:val="22"/>
          <w:szCs w:val="22"/>
        </w:rPr>
      </w:pPr>
      <w:hyperlink w:anchor="_Toc473195075" w:history="1">
        <w:r w:rsidR="008C6652" w:rsidRPr="0038660A">
          <w:rPr>
            <w:rStyle w:val="Hyperlink"/>
            <w:noProof/>
          </w:rPr>
          <w:t>1.</w:t>
        </w:r>
        <w:r w:rsidR="008C6652">
          <w:rPr>
            <w:rFonts w:asciiTheme="minorHAnsi" w:eastAsiaTheme="minorEastAsia" w:hAnsiTheme="minorHAnsi" w:cstheme="minorBidi"/>
            <w:noProof/>
            <w:sz w:val="22"/>
            <w:szCs w:val="22"/>
          </w:rPr>
          <w:tab/>
        </w:r>
        <w:r w:rsidR="008C6652" w:rsidRPr="0038660A">
          <w:rPr>
            <w:rStyle w:val="Hyperlink"/>
            <w:noProof/>
          </w:rPr>
          <w:t>Identification of the Information Collection</w:t>
        </w:r>
        <w:r w:rsidR="008C6652">
          <w:rPr>
            <w:noProof/>
            <w:webHidden/>
          </w:rPr>
          <w:tab/>
        </w:r>
        <w:r w:rsidR="008C6652">
          <w:rPr>
            <w:noProof/>
            <w:webHidden/>
          </w:rPr>
          <w:fldChar w:fldCharType="begin"/>
        </w:r>
        <w:r w:rsidR="008C6652">
          <w:rPr>
            <w:noProof/>
            <w:webHidden/>
          </w:rPr>
          <w:instrText xml:space="preserve"> PAGEREF _Toc473195075 \h </w:instrText>
        </w:r>
        <w:r w:rsidR="008C6652">
          <w:rPr>
            <w:noProof/>
            <w:webHidden/>
          </w:rPr>
        </w:r>
        <w:r w:rsidR="008C6652">
          <w:rPr>
            <w:noProof/>
            <w:webHidden/>
          </w:rPr>
          <w:fldChar w:fldCharType="separate"/>
        </w:r>
        <w:r w:rsidR="00957FD1">
          <w:rPr>
            <w:noProof/>
            <w:webHidden/>
          </w:rPr>
          <w:t>4</w:t>
        </w:r>
        <w:r w:rsidR="008C6652">
          <w:rPr>
            <w:noProof/>
            <w:webHidden/>
          </w:rPr>
          <w:fldChar w:fldCharType="end"/>
        </w:r>
      </w:hyperlink>
    </w:p>
    <w:p w14:paraId="2467D6BE" w14:textId="5B111660" w:rsidR="008C6652" w:rsidRDefault="00EF0CD0">
      <w:pPr>
        <w:pStyle w:val="TOC3"/>
        <w:rPr>
          <w:rFonts w:asciiTheme="minorHAnsi" w:eastAsiaTheme="minorEastAsia" w:hAnsiTheme="minorHAnsi" w:cstheme="minorBidi"/>
          <w:noProof/>
          <w:sz w:val="22"/>
          <w:szCs w:val="22"/>
        </w:rPr>
      </w:pPr>
      <w:hyperlink w:anchor="_Toc473195076" w:history="1">
        <w:r w:rsidR="008C6652" w:rsidRPr="0038660A">
          <w:rPr>
            <w:rStyle w:val="Hyperlink"/>
            <w:noProof/>
          </w:rPr>
          <w:t>1(a)</w:t>
        </w:r>
        <w:r w:rsidR="008C6652">
          <w:rPr>
            <w:rFonts w:asciiTheme="minorHAnsi" w:eastAsiaTheme="minorEastAsia" w:hAnsiTheme="minorHAnsi" w:cstheme="minorBidi"/>
            <w:noProof/>
            <w:sz w:val="22"/>
            <w:szCs w:val="22"/>
          </w:rPr>
          <w:tab/>
        </w:r>
        <w:r w:rsidR="008C6652" w:rsidRPr="0038660A">
          <w:rPr>
            <w:rStyle w:val="Hyperlink"/>
            <w:noProof/>
          </w:rPr>
          <w:t>Title of the Information Collection</w:t>
        </w:r>
        <w:r w:rsidR="008C6652">
          <w:rPr>
            <w:noProof/>
            <w:webHidden/>
          </w:rPr>
          <w:tab/>
        </w:r>
        <w:r w:rsidR="008C6652">
          <w:rPr>
            <w:noProof/>
            <w:webHidden/>
          </w:rPr>
          <w:fldChar w:fldCharType="begin"/>
        </w:r>
        <w:r w:rsidR="008C6652">
          <w:rPr>
            <w:noProof/>
            <w:webHidden/>
          </w:rPr>
          <w:instrText xml:space="preserve"> PAGEREF _Toc473195076 \h </w:instrText>
        </w:r>
        <w:r w:rsidR="008C6652">
          <w:rPr>
            <w:noProof/>
            <w:webHidden/>
          </w:rPr>
        </w:r>
        <w:r w:rsidR="008C6652">
          <w:rPr>
            <w:noProof/>
            <w:webHidden/>
          </w:rPr>
          <w:fldChar w:fldCharType="separate"/>
        </w:r>
        <w:r w:rsidR="00957FD1">
          <w:rPr>
            <w:noProof/>
            <w:webHidden/>
          </w:rPr>
          <w:t>4</w:t>
        </w:r>
        <w:r w:rsidR="008C6652">
          <w:rPr>
            <w:noProof/>
            <w:webHidden/>
          </w:rPr>
          <w:fldChar w:fldCharType="end"/>
        </w:r>
      </w:hyperlink>
    </w:p>
    <w:p w14:paraId="3EA5ED16" w14:textId="39945A42" w:rsidR="008C6652" w:rsidRDefault="00EF0CD0">
      <w:pPr>
        <w:pStyle w:val="TOC3"/>
        <w:rPr>
          <w:rFonts w:asciiTheme="minorHAnsi" w:eastAsiaTheme="minorEastAsia" w:hAnsiTheme="minorHAnsi" w:cstheme="minorBidi"/>
          <w:noProof/>
          <w:sz w:val="22"/>
          <w:szCs w:val="22"/>
        </w:rPr>
      </w:pPr>
      <w:hyperlink w:anchor="_Toc473195077" w:history="1">
        <w:r w:rsidR="008C6652" w:rsidRPr="0038660A">
          <w:rPr>
            <w:rStyle w:val="Hyperlink"/>
            <w:noProof/>
          </w:rPr>
          <w:t>1(b)</w:t>
        </w:r>
        <w:r w:rsidR="008C6652">
          <w:rPr>
            <w:rFonts w:asciiTheme="minorHAnsi" w:eastAsiaTheme="minorEastAsia" w:hAnsiTheme="minorHAnsi" w:cstheme="minorBidi"/>
            <w:noProof/>
            <w:sz w:val="22"/>
            <w:szCs w:val="22"/>
          </w:rPr>
          <w:tab/>
        </w:r>
        <w:r w:rsidR="008C6652" w:rsidRPr="0038660A">
          <w:rPr>
            <w:rStyle w:val="Hyperlink"/>
            <w:noProof/>
          </w:rPr>
          <w:t>Short Characterization (Abstract)</w:t>
        </w:r>
        <w:r w:rsidR="008C6652">
          <w:rPr>
            <w:noProof/>
            <w:webHidden/>
          </w:rPr>
          <w:tab/>
        </w:r>
        <w:r w:rsidR="008C6652">
          <w:rPr>
            <w:noProof/>
            <w:webHidden/>
          </w:rPr>
          <w:fldChar w:fldCharType="begin"/>
        </w:r>
        <w:r w:rsidR="008C6652">
          <w:rPr>
            <w:noProof/>
            <w:webHidden/>
          </w:rPr>
          <w:instrText xml:space="preserve"> PAGEREF _Toc473195077 \h </w:instrText>
        </w:r>
        <w:r w:rsidR="008C6652">
          <w:rPr>
            <w:noProof/>
            <w:webHidden/>
          </w:rPr>
        </w:r>
        <w:r w:rsidR="008C6652">
          <w:rPr>
            <w:noProof/>
            <w:webHidden/>
          </w:rPr>
          <w:fldChar w:fldCharType="separate"/>
        </w:r>
        <w:r w:rsidR="00957FD1">
          <w:rPr>
            <w:noProof/>
            <w:webHidden/>
          </w:rPr>
          <w:t>4</w:t>
        </w:r>
        <w:r w:rsidR="008C6652">
          <w:rPr>
            <w:noProof/>
            <w:webHidden/>
          </w:rPr>
          <w:fldChar w:fldCharType="end"/>
        </w:r>
      </w:hyperlink>
    </w:p>
    <w:p w14:paraId="7E852DB5" w14:textId="0B5779B6" w:rsidR="008C6652" w:rsidRDefault="00EF0CD0">
      <w:pPr>
        <w:pStyle w:val="TOC2"/>
        <w:rPr>
          <w:rFonts w:asciiTheme="minorHAnsi" w:eastAsiaTheme="minorEastAsia" w:hAnsiTheme="minorHAnsi" w:cstheme="minorBidi"/>
          <w:noProof/>
          <w:sz w:val="22"/>
          <w:szCs w:val="22"/>
        </w:rPr>
      </w:pPr>
      <w:hyperlink w:anchor="_Toc473195078" w:history="1">
        <w:r w:rsidR="008C6652" w:rsidRPr="0038660A">
          <w:rPr>
            <w:rStyle w:val="Hyperlink"/>
            <w:noProof/>
          </w:rPr>
          <w:t>2.</w:t>
        </w:r>
        <w:r w:rsidR="008C6652">
          <w:rPr>
            <w:rFonts w:asciiTheme="minorHAnsi" w:eastAsiaTheme="minorEastAsia" w:hAnsiTheme="minorHAnsi" w:cstheme="minorBidi"/>
            <w:noProof/>
            <w:sz w:val="22"/>
            <w:szCs w:val="22"/>
          </w:rPr>
          <w:tab/>
        </w:r>
        <w:r w:rsidR="008C6652" w:rsidRPr="0038660A">
          <w:rPr>
            <w:rStyle w:val="Hyperlink"/>
            <w:noProof/>
          </w:rPr>
          <w:t>Need for and Use of the Collection</w:t>
        </w:r>
        <w:r w:rsidR="008C6652">
          <w:rPr>
            <w:noProof/>
            <w:webHidden/>
          </w:rPr>
          <w:tab/>
        </w:r>
        <w:r w:rsidR="008C6652">
          <w:rPr>
            <w:noProof/>
            <w:webHidden/>
          </w:rPr>
          <w:fldChar w:fldCharType="begin"/>
        </w:r>
        <w:r w:rsidR="008C6652">
          <w:rPr>
            <w:noProof/>
            <w:webHidden/>
          </w:rPr>
          <w:instrText xml:space="preserve"> PAGEREF _Toc473195078 \h </w:instrText>
        </w:r>
        <w:r w:rsidR="008C6652">
          <w:rPr>
            <w:noProof/>
            <w:webHidden/>
          </w:rPr>
        </w:r>
        <w:r w:rsidR="008C6652">
          <w:rPr>
            <w:noProof/>
            <w:webHidden/>
          </w:rPr>
          <w:fldChar w:fldCharType="separate"/>
        </w:r>
        <w:r w:rsidR="00957FD1">
          <w:rPr>
            <w:noProof/>
            <w:webHidden/>
          </w:rPr>
          <w:t>6</w:t>
        </w:r>
        <w:r w:rsidR="008C6652">
          <w:rPr>
            <w:noProof/>
            <w:webHidden/>
          </w:rPr>
          <w:fldChar w:fldCharType="end"/>
        </w:r>
      </w:hyperlink>
    </w:p>
    <w:p w14:paraId="563770A3" w14:textId="35E4E587" w:rsidR="008C6652" w:rsidRDefault="00EF0CD0">
      <w:pPr>
        <w:pStyle w:val="TOC3"/>
        <w:rPr>
          <w:rFonts w:asciiTheme="minorHAnsi" w:eastAsiaTheme="minorEastAsia" w:hAnsiTheme="minorHAnsi" w:cstheme="minorBidi"/>
          <w:noProof/>
          <w:sz w:val="22"/>
          <w:szCs w:val="22"/>
        </w:rPr>
      </w:pPr>
      <w:hyperlink w:anchor="_Toc473195079" w:history="1">
        <w:r w:rsidR="008C6652" w:rsidRPr="0038660A">
          <w:rPr>
            <w:rStyle w:val="Hyperlink"/>
            <w:noProof/>
          </w:rPr>
          <w:t>2(a)</w:t>
        </w:r>
        <w:r w:rsidR="008C6652">
          <w:rPr>
            <w:rFonts w:asciiTheme="minorHAnsi" w:eastAsiaTheme="minorEastAsia" w:hAnsiTheme="minorHAnsi" w:cstheme="minorBidi"/>
            <w:noProof/>
            <w:sz w:val="22"/>
            <w:szCs w:val="22"/>
          </w:rPr>
          <w:tab/>
        </w:r>
        <w:r w:rsidR="008C6652" w:rsidRPr="0038660A">
          <w:rPr>
            <w:rStyle w:val="Hyperlink"/>
            <w:noProof/>
          </w:rPr>
          <w:t>Need/Authority for the Collection</w:t>
        </w:r>
        <w:r w:rsidR="008C6652">
          <w:rPr>
            <w:noProof/>
            <w:webHidden/>
          </w:rPr>
          <w:tab/>
        </w:r>
        <w:r w:rsidR="008C6652">
          <w:rPr>
            <w:noProof/>
            <w:webHidden/>
          </w:rPr>
          <w:fldChar w:fldCharType="begin"/>
        </w:r>
        <w:r w:rsidR="008C6652">
          <w:rPr>
            <w:noProof/>
            <w:webHidden/>
          </w:rPr>
          <w:instrText xml:space="preserve"> PAGEREF _Toc473195079 \h </w:instrText>
        </w:r>
        <w:r w:rsidR="008C6652">
          <w:rPr>
            <w:noProof/>
            <w:webHidden/>
          </w:rPr>
        </w:r>
        <w:r w:rsidR="008C6652">
          <w:rPr>
            <w:noProof/>
            <w:webHidden/>
          </w:rPr>
          <w:fldChar w:fldCharType="separate"/>
        </w:r>
        <w:r w:rsidR="00957FD1">
          <w:rPr>
            <w:noProof/>
            <w:webHidden/>
          </w:rPr>
          <w:t>6</w:t>
        </w:r>
        <w:r w:rsidR="008C6652">
          <w:rPr>
            <w:noProof/>
            <w:webHidden/>
          </w:rPr>
          <w:fldChar w:fldCharType="end"/>
        </w:r>
      </w:hyperlink>
    </w:p>
    <w:p w14:paraId="27E90F08" w14:textId="7FA2ABB3" w:rsidR="008C6652" w:rsidRDefault="00EF0CD0">
      <w:pPr>
        <w:pStyle w:val="TOC3"/>
        <w:rPr>
          <w:rFonts w:asciiTheme="minorHAnsi" w:eastAsiaTheme="minorEastAsia" w:hAnsiTheme="minorHAnsi" w:cstheme="minorBidi"/>
          <w:noProof/>
          <w:sz w:val="22"/>
          <w:szCs w:val="22"/>
        </w:rPr>
      </w:pPr>
      <w:hyperlink w:anchor="_Toc473195080" w:history="1">
        <w:r w:rsidR="00BC6C49" w:rsidRPr="0038660A">
          <w:rPr>
            <w:rStyle w:val="Hyperlink"/>
            <w:noProof/>
          </w:rPr>
          <w:t>2(b)</w:t>
        </w:r>
        <w:r w:rsidR="00BC6C49">
          <w:rPr>
            <w:rFonts w:asciiTheme="minorHAnsi" w:eastAsiaTheme="minorEastAsia" w:hAnsiTheme="minorHAnsi" w:cstheme="minorBidi"/>
            <w:noProof/>
            <w:sz w:val="22"/>
            <w:szCs w:val="22"/>
          </w:rPr>
          <w:tab/>
        </w:r>
        <w:r w:rsidR="00BC6C49" w:rsidRPr="0038660A">
          <w:rPr>
            <w:rStyle w:val="Hyperlink"/>
            <w:noProof/>
          </w:rPr>
          <w:t>Practical Utility/Users of the Data</w:t>
        </w:r>
        <w:r w:rsidR="00BC6C49">
          <w:rPr>
            <w:noProof/>
            <w:webHidden/>
          </w:rPr>
          <w:tab/>
          <w:t>7</w:t>
        </w:r>
      </w:hyperlink>
    </w:p>
    <w:p w14:paraId="32F27C60" w14:textId="29463E8A" w:rsidR="008C6652" w:rsidRDefault="00EF0CD0">
      <w:pPr>
        <w:pStyle w:val="TOC2"/>
        <w:rPr>
          <w:rFonts w:asciiTheme="minorHAnsi" w:eastAsiaTheme="minorEastAsia" w:hAnsiTheme="minorHAnsi" w:cstheme="minorBidi"/>
          <w:noProof/>
          <w:sz w:val="22"/>
          <w:szCs w:val="22"/>
        </w:rPr>
      </w:pPr>
      <w:hyperlink w:anchor="_Toc473195081" w:history="1">
        <w:r w:rsidR="008C6652" w:rsidRPr="0038660A">
          <w:rPr>
            <w:rStyle w:val="Hyperlink"/>
            <w:noProof/>
          </w:rPr>
          <w:t>3.</w:t>
        </w:r>
        <w:r w:rsidR="008C6652">
          <w:rPr>
            <w:rFonts w:asciiTheme="minorHAnsi" w:eastAsiaTheme="minorEastAsia" w:hAnsiTheme="minorHAnsi" w:cstheme="minorBidi"/>
            <w:noProof/>
            <w:sz w:val="22"/>
            <w:szCs w:val="22"/>
          </w:rPr>
          <w:tab/>
        </w:r>
        <w:r w:rsidR="008C6652" w:rsidRPr="0038660A">
          <w:rPr>
            <w:rStyle w:val="Hyperlink"/>
            <w:noProof/>
          </w:rPr>
          <w:t>Non-duplication, Consultations, and Other Collection Criteria</w:t>
        </w:r>
        <w:r w:rsidR="008C6652">
          <w:rPr>
            <w:noProof/>
            <w:webHidden/>
          </w:rPr>
          <w:tab/>
        </w:r>
        <w:r w:rsidR="008C6652">
          <w:rPr>
            <w:noProof/>
            <w:webHidden/>
          </w:rPr>
          <w:fldChar w:fldCharType="begin"/>
        </w:r>
        <w:r w:rsidR="008C6652">
          <w:rPr>
            <w:noProof/>
            <w:webHidden/>
          </w:rPr>
          <w:instrText xml:space="preserve"> PAGEREF _Toc473195081 \h </w:instrText>
        </w:r>
        <w:r w:rsidR="008C6652">
          <w:rPr>
            <w:noProof/>
            <w:webHidden/>
          </w:rPr>
        </w:r>
        <w:r w:rsidR="008C6652">
          <w:rPr>
            <w:noProof/>
            <w:webHidden/>
          </w:rPr>
          <w:fldChar w:fldCharType="separate"/>
        </w:r>
        <w:r w:rsidR="00957FD1">
          <w:rPr>
            <w:noProof/>
            <w:webHidden/>
          </w:rPr>
          <w:t>8</w:t>
        </w:r>
        <w:r w:rsidR="008C6652">
          <w:rPr>
            <w:noProof/>
            <w:webHidden/>
          </w:rPr>
          <w:fldChar w:fldCharType="end"/>
        </w:r>
      </w:hyperlink>
    </w:p>
    <w:p w14:paraId="1B9A39E1" w14:textId="06DA0D73" w:rsidR="008C6652" w:rsidRDefault="00EF0CD0">
      <w:pPr>
        <w:pStyle w:val="TOC3"/>
        <w:rPr>
          <w:rFonts w:asciiTheme="minorHAnsi" w:eastAsiaTheme="minorEastAsia" w:hAnsiTheme="minorHAnsi" w:cstheme="minorBidi"/>
          <w:noProof/>
          <w:sz w:val="22"/>
          <w:szCs w:val="22"/>
        </w:rPr>
      </w:pPr>
      <w:hyperlink w:anchor="_Toc473195082" w:history="1">
        <w:r w:rsidR="008C6652" w:rsidRPr="0038660A">
          <w:rPr>
            <w:rStyle w:val="Hyperlink"/>
            <w:noProof/>
          </w:rPr>
          <w:t>3(a)</w:t>
        </w:r>
        <w:r w:rsidR="008C6652">
          <w:rPr>
            <w:rFonts w:asciiTheme="minorHAnsi" w:eastAsiaTheme="minorEastAsia" w:hAnsiTheme="minorHAnsi" w:cstheme="minorBidi"/>
            <w:noProof/>
            <w:sz w:val="22"/>
            <w:szCs w:val="22"/>
          </w:rPr>
          <w:tab/>
        </w:r>
        <w:r w:rsidR="008C6652" w:rsidRPr="0038660A">
          <w:rPr>
            <w:rStyle w:val="Hyperlink"/>
            <w:noProof/>
          </w:rPr>
          <w:t>Non-duplication</w:t>
        </w:r>
        <w:r w:rsidR="008C6652">
          <w:rPr>
            <w:noProof/>
            <w:webHidden/>
          </w:rPr>
          <w:tab/>
        </w:r>
        <w:r w:rsidR="008C6652">
          <w:rPr>
            <w:noProof/>
            <w:webHidden/>
          </w:rPr>
          <w:fldChar w:fldCharType="begin"/>
        </w:r>
        <w:r w:rsidR="008C6652">
          <w:rPr>
            <w:noProof/>
            <w:webHidden/>
          </w:rPr>
          <w:instrText xml:space="preserve"> PAGEREF _Toc473195082 \h </w:instrText>
        </w:r>
        <w:r w:rsidR="008C6652">
          <w:rPr>
            <w:noProof/>
            <w:webHidden/>
          </w:rPr>
        </w:r>
        <w:r w:rsidR="008C6652">
          <w:rPr>
            <w:noProof/>
            <w:webHidden/>
          </w:rPr>
          <w:fldChar w:fldCharType="separate"/>
        </w:r>
        <w:r w:rsidR="00957FD1">
          <w:rPr>
            <w:noProof/>
            <w:webHidden/>
          </w:rPr>
          <w:t>8</w:t>
        </w:r>
        <w:r w:rsidR="008C6652">
          <w:rPr>
            <w:noProof/>
            <w:webHidden/>
          </w:rPr>
          <w:fldChar w:fldCharType="end"/>
        </w:r>
      </w:hyperlink>
    </w:p>
    <w:p w14:paraId="06AB3FC3" w14:textId="7642BC08" w:rsidR="008C6652" w:rsidRDefault="00EF0CD0">
      <w:pPr>
        <w:pStyle w:val="TOC3"/>
        <w:rPr>
          <w:rFonts w:asciiTheme="minorHAnsi" w:eastAsiaTheme="minorEastAsia" w:hAnsiTheme="minorHAnsi" w:cstheme="minorBidi"/>
          <w:noProof/>
          <w:sz w:val="22"/>
          <w:szCs w:val="22"/>
        </w:rPr>
      </w:pPr>
      <w:hyperlink w:anchor="_Toc473195083" w:history="1">
        <w:r w:rsidR="008C6652" w:rsidRPr="0038660A">
          <w:rPr>
            <w:rStyle w:val="Hyperlink"/>
            <w:noProof/>
          </w:rPr>
          <w:t>3(b)</w:t>
        </w:r>
        <w:r w:rsidR="008C6652">
          <w:rPr>
            <w:rFonts w:asciiTheme="minorHAnsi" w:eastAsiaTheme="minorEastAsia" w:hAnsiTheme="minorHAnsi" w:cstheme="minorBidi"/>
            <w:noProof/>
            <w:sz w:val="22"/>
            <w:szCs w:val="22"/>
          </w:rPr>
          <w:tab/>
        </w:r>
        <w:r w:rsidR="008C6652" w:rsidRPr="0038660A">
          <w:rPr>
            <w:rStyle w:val="Hyperlink"/>
            <w:noProof/>
          </w:rPr>
          <w:t>Public Notice Required Prior to ICR Submission to OMB</w:t>
        </w:r>
        <w:r w:rsidR="008C6652">
          <w:rPr>
            <w:noProof/>
            <w:webHidden/>
          </w:rPr>
          <w:tab/>
        </w:r>
        <w:r w:rsidR="008C6652">
          <w:rPr>
            <w:noProof/>
            <w:webHidden/>
          </w:rPr>
          <w:fldChar w:fldCharType="begin"/>
        </w:r>
        <w:r w:rsidR="008C6652">
          <w:rPr>
            <w:noProof/>
            <w:webHidden/>
          </w:rPr>
          <w:instrText xml:space="preserve"> PAGEREF _Toc473195083 \h </w:instrText>
        </w:r>
        <w:r w:rsidR="008C6652">
          <w:rPr>
            <w:noProof/>
            <w:webHidden/>
          </w:rPr>
        </w:r>
        <w:r w:rsidR="008C6652">
          <w:rPr>
            <w:noProof/>
            <w:webHidden/>
          </w:rPr>
          <w:fldChar w:fldCharType="separate"/>
        </w:r>
        <w:r w:rsidR="00957FD1">
          <w:rPr>
            <w:noProof/>
            <w:webHidden/>
          </w:rPr>
          <w:t>11</w:t>
        </w:r>
        <w:r w:rsidR="008C6652">
          <w:rPr>
            <w:noProof/>
            <w:webHidden/>
          </w:rPr>
          <w:fldChar w:fldCharType="end"/>
        </w:r>
      </w:hyperlink>
    </w:p>
    <w:p w14:paraId="72B9D934" w14:textId="79347524" w:rsidR="008C6652" w:rsidRDefault="00EF0CD0">
      <w:pPr>
        <w:pStyle w:val="TOC3"/>
        <w:rPr>
          <w:rFonts w:asciiTheme="minorHAnsi" w:eastAsiaTheme="minorEastAsia" w:hAnsiTheme="minorHAnsi" w:cstheme="minorBidi"/>
          <w:noProof/>
          <w:sz w:val="22"/>
          <w:szCs w:val="22"/>
        </w:rPr>
      </w:pPr>
      <w:hyperlink w:anchor="_Toc473195084" w:history="1">
        <w:r w:rsidR="008C6652" w:rsidRPr="0038660A">
          <w:rPr>
            <w:rStyle w:val="Hyperlink"/>
            <w:noProof/>
          </w:rPr>
          <w:t>3(c)</w:t>
        </w:r>
        <w:r w:rsidR="008C6652">
          <w:rPr>
            <w:rFonts w:asciiTheme="minorHAnsi" w:eastAsiaTheme="minorEastAsia" w:hAnsiTheme="minorHAnsi" w:cstheme="minorBidi"/>
            <w:noProof/>
            <w:sz w:val="22"/>
            <w:szCs w:val="22"/>
          </w:rPr>
          <w:tab/>
        </w:r>
        <w:r w:rsidR="008C6652" w:rsidRPr="0038660A">
          <w:rPr>
            <w:rStyle w:val="Hyperlink"/>
            <w:noProof/>
          </w:rPr>
          <w:t>Consultations</w:t>
        </w:r>
        <w:r w:rsidR="008C6652">
          <w:rPr>
            <w:noProof/>
            <w:webHidden/>
          </w:rPr>
          <w:tab/>
        </w:r>
        <w:r w:rsidR="008C6652">
          <w:rPr>
            <w:noProof/>
            <w:webHidden/>
          </w:rPr>
          <w:fldChar w:fldCharType="begin"/>
        </w:r>
        <w:r w:rsidR="008C6652">
          <w:rPr>
            <w:noProof/>
            <w:webHidden/>
          </w:rPr>
          <w:instrText xml:space="preserve"> PAGEREF _Toc473195084 \h </w:instrText>
        </w:r>
        <w:r w:rsidR="008C6652">
          <w:rPr>
            <w:noProof/>
            <w:webHidden/>
          </w:rPr>
        </w:r>
        <w:r w:rsidR="008C6652">
          <w:rPr>
            <w:noProof/>
            <w:webHidden/>
          </w:rPr>
          <w:fldChar w:fldCharType="separate"/>
        </w:r>
        <w:r w:rsidR="00957FD1">
          <w:rPr>
            <w:noProof/>
            <w:webHidden/>
          </w:rPr>
          <w:t>11</w:t>
        </w:r>
        <w:r w:rsidR="008C6652">
          <w:rPr>
            <w:noProof/>
            <w:webHidden/>
          </w:rPr>
          <w:fldChar w:fldCharType="end"/>
        </w:r>
      </w:hyperlink>
    </w:p>
    <w:p w14:paraId="5ECE9706" w14:textId="6C7ED831" w:rsidR="008C6652" w:rsidRDefault="00EF0CD0">
      <w:pPr>
        <w:pStyle w:val="TOC3"/>
        <w:rPr>
          <w:rFonts w:asciiTheme="minorHAnsi" w:eastAsiaTheme="minorEastAsia" w:hAnsiTheme="minorHAnsi" w:cstheme="minorBidi"/>
          <w:noProof/>
          <w:sz w:val="22"/>
          <w:szCs w:val="22"/>
        </w:rPr>
      </w:pPr>
      <w:hyperlink w:anchor="_Toc473195085" w:history="1">
        <w:r w:rsidR="008C6652" w:rsidRPr="0038660A">
          <w:rPr>
            <w:rStyle w:val="Hyperlink"/>
            <w:noProof/>
          </w:rPr>
          <w:t>3(d)</w:t>
        </w:r>
        <w:r w:rsidR="008C6652">
          <w:rPr>
            <w:rFonts w:asciiTheme="minorHAnsi" w:eastAsiaTheme="minorEastAsia" w:hAnsiTheme="minorHAnsi" w:cstheme="minorBidi"/>
            <w:noProof/>
            <w:sz w:val="22"/>
            <w:szCs w:val="22"/>
          </w:rPr>
          <w:tab/>
        </w:r>
        <w:r w:rsidR="008C6652" w:rsidRPr="0038660A">
          <w:rPr>
            <w:rStyle w:val="Hyperlink"/>
            <w:noProof/>
          </w:rPr>
          <w:t>Effects of Less Frequent Collection</w:t>
        </w:r>
        <w:r w:rsidR="008C6652">
          <w:rPr>
            <w:noProof/>
            <w:webHidden/>
          </w:rPr>
          <w:tab/>
        </w:r>
        <w:r w:rsidR="008C6652">
          <w:rPr>
            <w:noProof/>
            <w:webHidden/>
          </w:rPr>
          <w:fldChar w:fldCharType="begin"/>
        </w:r>
        <w:r w:rsidR="008C6652">
          <w:rPr>
            <w:noProof/>
            <w:webHidden/>
          </w:rPr>
          <w:instrText xml:space="preserve"> PAGEREF _Toc473195085 \h </w:instrText>
        </w:r>
        <w:r w:rsidR="008C6652">
          <w:rPr>
            <w:noProof/>
            <w:webHidden/>
          </w:rPr>
        </w:r>
        <w:r w:rsidR="008C6652">
          <w:rPr>
            <w:noProof/>
            <w:webHidden/>
          </w:rPr>
          <w:fldChar w:fldCharType="separate"/>
        </w:r>
        <w:r w:rsidR="00957FD1">
          <w:rPr>
            <w:noProof/>
            <w:webHidden/>
          </w:rPr>
          <w:t>13</w:t>
        </w:r>
        <w:r w:rsidR="008C6652">
          <w:rPr>
            <w:noProof/>
            <w:webHidden/>
          </w:rPr>
          <w:fldChar w:fldCharType="end"/>
        </w:r>
      </w:hyperlink>
    </w:p>
    <w:p w14:paraId="3684BA31" w14:textId="5938C237" w:rsidR="008C6652" w:rsidRDefault="00EF0CD0">
      <w:pPr>
        <w:pStyle w:val="TOC3"/>
        <w:rPr>
          <w:rFonts w:asciiTheme="minorHAnsi" w:eastAsiaTheme="minorEastAsia" w:hAnsiTheme="minorHAnsi" w:cstheme="minorBidi"/>
          <w:noProof/>
          <w:sz w:val="22"/>
          <w:szCs w:val="22"/>
        </w:rPr>
      </w:pPr>
      <w:hyperlink w:anchor="_Toc473195086" w:history="1">
        <w:r w:rsidR="008C6652" w:rsidRPr="0038660A">
          <w:rPr>
            <w:rStyle w:val="Hyperlink"/>
            <w:noProof/>
          </w:rPr>
          <w:t>3(e)</w:t>
        </w:r>
        <w:r w:rsidR="008C6652">
          <w:rPr>
            <w:rFonts w:asciiTheme="minorHAnsi" w:eastAsiaTheme="minorEastAsia" w:hAnsiTheme="minorHAnsi" w:cstheme="minorBidi"/>
            <w:noProof/>
            <w:sz w:val="22"/>
            <w:szCs w:val="22"/>
          </w:rPr>
          <w:tab/>
        </w:r>
        <w:r w:rsidR="008C6652" w:rsidRPr="0038660A">
          <w:rPr>
            <w:rStyle w:val="Hyperlink"/>
            <w:noProof/>
          </w:rPr>
          <w:t>General Guidelines</w:t>
        </w:r>
        <w:r w:rsidR="008C6652">
          <w:rPr>
            <w:noProof/>
            <w:webHidden/>
          </w:rPr>
          <w:tab/>
        </w:r>
        <w:r w:rsidR="008C6652">
          <w:rPr>
            <w:noProof/>
            <w:webHidden/>
          </w:rPr>
          <w:fldChar w:fldCharType="begin"/>
        </w:r>
        <w:r w:rsidR="008C6652">
          <w:rPr>
            <w:noProof/>
            <w:webHidden/>
          </w:rPr>
          <w:instrText xml:space="preserve"> PAGEREF _Toc473195086 \h </w:instrText>
        </w:r>
        <w:r w:rsidR="008C6652">
          <w:rPr>
            <w:noProof/>
            <w:webHidden/>
          </w:rPr>
        </w:r>
        <w:r w:rsidR="008C6652">
          <w:rPr>
            <w:noProof/>
            <w:webHidden/>
          </w:rPr>
          <w:fldChar w:fldCharType="separate"/>
        </w:r>
        <w:r w:rsidR="00957FD1">
          <w:rPr>
            <w:noProof/>
            <w:webHidden/>
          </w:rPr>
          <w:t>13</w:t>
        </w:r>
        <w:r w:rsidR="008C6652">
          <w:rPr>
            <w:noProof/>
            <w:webHidden/>
          </w:rPr>
          <w:fldChar w:fldCharType="end"/>
        </w:r>
      </w:hyperlink>
    </w:p>
    <w:p w14:paraId="1CE7AAB1" w14:textId="717F9FE7" w:rsidR="008C6652" w:rsidRDefault="00EF0CD0">
      <w:pPr>
        <w:pStyle w:val="TOC3"/>
        <w:rPr>
          <w:rFonts w:asciiTheme="minorHAnsi" w:eastAsiaTheme="minorEastAsia" w:hAnsiTheme="minorHAnsi" w:cstheme="minorBidi"/>
          <w:noProof/>
          <w:sz w:val="22"/>
          <w:szCs w:val="22"/>
        </w:rPr>
      </w:pPr>
      <w:hyperlink w:anchor="_Toc473195087" w:history="1">
        <w:r w:rsidR="00BC6C49" w:rsidRPr="0038660A">
          <w:rPr>
            <w:rStyle w:val="Hyperlink"/>
            <w:noProof/>
          </w:rPr>
          <w:t>3(f)</w:t>
        </w:r>
        <w:r w:rsidR="00BC6C49">
          <w:rPr>
            <w:rFonts w:asciiTheme="minorHAnsi" w:eastAsiaTheme="minorEastAsia" w:hAnsiTheme="minorHAnsi" w:cstheme="minorBidi"/>
            <w:noProof/>
            <w:sz w:val="22"/>
            <w:szCs w:val="22"/>
          </w:rPr>
          <w:tab/>
        </w:r>
        <w:r w:rsidR="00BC6C49" w:rsidRPr="0038660A">
          <w:rPr>
            <w:rStyle w:val="Hyperlink"/>
            <w:noProof/>
          </w:rPr>
          <w:t>Confidentiality</w:t>
        </w:r>
        <w:r w:rsidR="00BC6C49">
          <w:rPr>
            <w:noProof/>
            <w:webHidden/>
          </w:rPr>
          <w:tab/>
        </w:r>
        <w:r w:rsidR="00BC6C49">
          <w:rPr>
            <w:noProof/>
            <w:webHidden/>
          </w:rPr>
          <w:fldChar w:fldCharType="begin"/>
        </w:r>
        <w:r w:rsidR="00BC6C49">
          <w:rPr>
            <w:noProof/>
            <w:webHidden/>
          </w:rPr>
          <w:instrText xml:space="preserve"> PAGEREF _Toc473195087 \h </w:instrText>
        </w:r>
        <w:r w:rsidR="00BC6C49">
          <w:rPr>
            <w:noProof/>
            <w:webHidden/>
          </w:rPr>
        </w:r>
        <w:r w:rsidR="00BC6C49">
          <w:rPr>
            <w:noProof/>
            <w:webHidden/>
          </w:rPr>
          <w:fldChar w:fldCharType="separate"/>
        </w:r>
        <w:r w:rsidR="00957FD1">
          <w:rPr>
            <w:noProof/>
            <w:webHidden/>
          </w:rPr>
          <w:t>14</w:t>
        </w:r>
        <w:r w:rsidR="00BC6C49">
          <w:rPr>
            <w:noProof/>
            <w:webHidden/>
          </w:rPr>
          <w:fldChar w:fldCharType="end"/>
        </w:r>
      </w:hyperlink>
    </w:p>
    <w:p w14:paraId="7E8C0750" w14:textId="48265EA6" w:rsidR="008C6652" w:rsidRDefault="00EF0CD0">
      <w:pPr>
        <w:pStyle w:val="TOC3"/>
        <w:rPr>
          <w:rFonts w:asciiTheme="minorHAnsi" w:eastAsiaTheme="minorEastAsia" w:hAnsiTheme="minorHAnsi" w:cstheme="minorBidi"/>
          <w:noProof/>
          <w:sz w:val="22"/>
          <w:szCs w:val="22"/>
        </w:rPr>
      </w:pPr>
      <w:hyperlink w:anchor="_Toc473195088" w:history="1">
        <w:r w:rsidR="008C6652" w:rsidRPr="0038660A">
          <w:rPr>
            <w:rStyle w:val="Hyperlink"/>
            <w:noProof/>
          </w:rPr>
          <w:t>3(g)</w:t>
        </w:r>
        <w:r w:rsidR="008C6652">
          <w:rPr>
            <w:rFonts w:asciiTheme="minorHAnsi" w:eastAsiaTheme="minorEastAsia" w:hAnsiTheme="minorHAnsi" w:cstheme="minorBidi"/>
            <w:noProof/>
            <w:sz w:val="22"/>
            <w:szCs w:val="22"/>
          </w:rPr>
          <w:tab/>
        </w:r>
        <w:r w:rsidR="008C6652" w:rsidRPr="0038660A">
          <w:rPr>
            <w:rStyle w:val="Hyperlink"/>
            <w:noProof/>
          </w:rPr>
          <w:t>Sensitive Questions</w:t>
        </w:r>
        <w:r w:rsidR="008C6652">
          <w:rPr>
            <w:noProof/>
            <w:webHidden/>
          </w:rPr>
          <w:tab/>
        </w:r>
        <w:r w:rsidR="008C6652">
          <w:rPr>
            <w:noProof/>
            <w:webHidden/>
          </w:rPr>
          <w:fldChar w:fldCharType="begin"/>
        </w:r>
        <w:r w:rsidR="008C6652">
          <w:rPr>
            <w:noProof/>
            <w:webHidden/>
          </w:rPr>
          <w:instrText xml:space="preserve"> PAGEREF _Toc473195088 \h </w:instrText>
        </w:r>
        <w:r w:rsidR="008C6652">
          <w:rPr>
            <w:noProof/>
            <w:webHidden/>
          </w:rPr>
        </w:r>
        <w:r w:rsidR="008C6652">
          <w:rPr>
            <w:noProof/>
            <w:webHidden/>
          </w:rPr>
          <w:fldChar w:fldCharType="separate"/>
        </w:r>
        <w:r w:rsidR="00957FD1">
          <w:rPr>
            <w:noProof/>
            <w:webHidden/>
          </w:rPr>
          <w:t>14</w:t>
        </w:r>
        <w:r w:rsidR="008C6652">
          <w:rPr>
            <w:noProof/>
            <w:webHidden/>
          </w:rPr>
          <w:fldChar w:fldCharType="end"/>
        </w:r>
      </w:hyperlink>
    </w:p>
    <w:p w14:paraId="5D017F0C" w14:textId="0309D85B" w:rsidR="008C6652" w:rsidRDefault="00EF0CD0">
      <w:pPr>
        <w:pStyle w:val="TOC2"/>
        <w:rPr>
          <w:rFonts w:asciiTheme="minorHAnsi" w:eastAsiaTheme="minorEastAsia" w:hAnsiTheme="minorHAnsi" w:cstheme="minorBidi"/>
          <w:noProof/>
          <w:sz w:val="22"/>
          <w:szCs w:val="22"/>
        </w:rPr>
      </w:pPr>
      <w:hyperlink w:anchor="_Toc473195089" w:history="1">
        <w:r w:rsidR="008C6652" w:rsidRPr="0038660A">
          <w:rPr>
            <w:rStyle w:val="Hyperlink"/>
            <w:noProof/>
          </w:rPr>
          <w:t>4.</w:t>
        </w:r>
        <w:r w:rsidR="008C6652">
          <w:rPr>
            <w:rFonts w:asciiTheme="minorHAnsi" w:eastAsiaTheme="minorEastAsia" w:hAnsiTheme="minorHAnsi" w:cstheme="minorBidi"/>
            <w:noProof/>
            <w:sz w:val="22"/>
            <w:szCs w:val="22"/>
          </w:rPr>
          <w:tab/>
        </w:r>
        <w:r w:rsidR="008C6652" w:rsidRPr="0038660A">
          <w:rPr>
            <w:rStyle w:val="Hyperlink"/>
            <w:noProof/>
          </w:rPr>
          <w:t>The Respondents and the Information Requested</w:t>
        </w:r>
        <w:r w:rsidR="008C6652">
          <w:rPr>
            <w:noProof/>
            <w:webHidden/>
          </w:rPr>
          <w:tab/>
        </w:r>
        <w:r w:rsidR="008C6652">
          <w:rPr>
            <w:noProof/>
            <w:webHidden/>
          </w:rPr>
          <w:fldChar w:fldCharType="begin"/>
        </w:r>
        <w:r w:rsidR="008C6652">
          <w:rPr>
            <w:noProof/>
            <w:webHidden/>
          </w:rPr>
          <w:instrText xml:space="preserve"> PAGEREF _Toc473195089 \h </w:instrText>
        </w:r>
        <w:r w:rsidR="008C6652">
          <w:rPr>
            <w:noProof/>
            <w:webHidden/>
          </w:rPr>
        </w:r>
        <w:r w:rsidR="008C6652">
          <w:rPr>
            <w:noProof/>
            <w:webHidden/>
          </w:rPr>
          <w:fldChar w:fldCharType="separate"/>
        </w:r>
        <w:r w:rsidR="00957FD1">
          <w:rPr>
            <w:noProof/>
            <w:webHidden/>
          </w:rPr>
          <w:t>14</w:t>
        </w:r>
        <w:r w:rsidR="008C6652">
          <w:rPr>
            <w:noProof/>
            <w:webHidden/>
          </w:rPr>
          <w:fldChar w:fldCharType="end"/>
        </w:r>
      </w:hyperlink>
    </w:p>
    <w:p w14:paraId="1D73DA49" w14:textId="2BBDCA91" w:rsidR="008C6652" w:rsidRDefault="00EF0CD0">
      <w:pPr>
        <w:pStyle w:val="TOC3"/>
        <w:rPr>
          <w:rFonts w:asciiTheme="minorHAnsi" w:eastAsiaTheme="minorEastAsia" w:hAnsiTheme="minorHAnsi" w:cstheme="minorBidi"/>
          <w:noProof/>
          <w:sz w:val="22"/>
          <w:szCs w:val="22"/>
        </w:rPr>
      </w:pPr>
      <w:hyperlink w:anchor="_Toc473195090" w:history="1">
        <w:r w:rsidR="008C6652" w:rsidRPr="0038660A">
          <w:rPr>
            <w:rStyle w:val="Hyperlink"/>
            <w:noProof/>
          </w:rPr>
          <w:t>4(a)</w:t>
        </w:r>
        <w:r w:rsidR="008C6652">
          <w:rPr>
            <w:rFonts w:asciiTheme="minorHAnsi" w:eastAsiaTheme="minorEastAsia" w:hAnsiTheme="minorHAnsi" w:cstheme="minorBidi"/>
            <w:noProof/>
            <w:sz w:val="22"/>
            <w:szCs w:val="22"/>
          </w:rPr>
          <w:tab/>
        </w:r>
        <w:r w:rsidR="008C6652" w:rsidRPr="0038660A">
          <w:rPr>
            <w:rStyle w:val="Hyperlink"/>
            <w:noProof/>
          </w:rPr>
          <w:t>Respondents</w:t>
        </w:r>
        <w:r w:rsidR="008C6652">
          <w:rPr>
            <w:noProof/>
            <w:webHidden/>
          </w:rPr>
          <w:tab/>
        </w:r>
        <w:r w:rsidR="008C6652">
          <w:rPr>
            <w:noProof/>
            <w:webHidden/>
          </w:rPr>
          <w:fldChar w:fldCharType="begin"/>
        </w:r>
        <w:r w:rsidR="008C6652">
          <w:rPr>
            <w:noProof/>
            <w:webHidden/>
          </w:rPr>
          <w:instrText xml:space="preserve"> PAGEREF _Toc473195090 \h </w:instrText>
        </w:r>
        <w:r w:rsidR="008C6652">
          <w:rPr>
            <w:noProof/>
            <w:webHidden/>
          </w:rPr>
        </w:r>
        <w:r w:rsidR="008C6652">
          <w:rPr>
            <w:noProof/>
            <w:webHidden/>
          </w:rPr>
          <w:fldChar w:fldCharType="separate"/>
        </w:r>
        <w:r w:rsidR="00957FD1">
          <w:rPr>
            <w:noProof/>
            <w:webHidden/>
          </w:rPr>
          <w:t>14</w:t>
        </w:r>
        <w:r w:rsidR="008C6652">
          <w:rPr>
            <w:noProof/>
            <w:webHidden/>
          </w:rPr>
          <w:fldChar w:fldCharType="end"/>
        </w:r>
      </w:hyperlink>
    </w:p>
    <w:p w14:paraId="0089DDB8" w14:textId="2B10D64D" w:rsidR="008C6652" w:rsidRDefault="00EF0CD0">
      <w:pPr>
        <w:pStyle w:val="TOC3"/>
        <w:rPr>
          <w:rFonts w:asciiTheme="minorHAnsi" w:eastAsiaTheme="minorEastAsia" w:hAnsiTheme="minorHAnsi" w:cstheme="minorBidi"/>
          <w:noProof/>
          <w:sz w:val="22"/>
          <w:szCs w:val="22"/>
        </w:rPr>
      </w:pPr>
      <w:hyperlink w:anchor="_Toc473195091" w:history="1">
        <w:r w:rsidR="00BC6C49" w:rsidRPr="0038660A">
          <w:rPr>
            <w:rStyle w:val="Hyperlink"/>
            <w:noProof/>
          </w:rPr>
          <w:t>4(b)</w:t>
        </w:r>
        <w:r w:rsidR="00BC6C49">
          <w:rPr>
            <w:rFonts w:asciiTheme="minorHAnsi" w:eastAsiaTheme="minorEastAsia" w:hAnsiTheme="minorHAnsi" w:cstheme="minorBidi"/>
            <w:noProof/>
            <w:sz w:val="22"/>
            <w:szCs w:val="22"/>
          </w:rPr>
          <w:tab/>
        </w:r>
        <w:r w:rsidR="00BC6C49" w:rsidRPr="0038660A">
          <w:rPr>
            <w:rStyle w:val="Hyperlink"/>
            <w:noProof/>
          </w:rPr>
          <w:t>Information Requested</w:t>
        </w:r>
        <w:r w:rsidR="00BC6C49">
          <w:rPr>
            <w:noProof/>
            <w:webHidden/>
          </w:rPr>
          <w:tab/>
        </w:r>
        <w:r w:rsidR="00BC6C49">
          <w:rPr>
            <w:noProof/>
            <w:webHidden/>
          </w:rPr>
          <w:fldChar w:fldCharType="begin"/>
        </w:r>
        <w:r w:rsidR="00BC6C49">
          <w:rPr>
            <w:noProof/>
            <w:webHidden/>
          </w:rPr>
          <w:instrText xml:space="preserve"> PAGEREF _Toc473195091 \h </w:instrText>
        </w:r>
        <w:r w:rsidR="00BC6C49">
          <w:rPr>
            <w:noProof/>
            <w:webHidden/>
          </w:rPr>
        </w:r>
        <w:r w:rsidR="00BC6C49">
          <w:rPr>
            <w:noProof/>
            <w:webHidden/>
          </w:rPr>
          <w:fldChar w:fldCharType="separate"/>
        </w:r>
        <w:r w:rsidR="00957FD1">
          <w:rPr>
            <w:noProof/>
            <w:webHidden/>
          </w:rPr>
          <w:t>18</w:t>
        </w:r>
        <w:r w:rsidR="00BC6C49">
          <w:rPr>
            <w:noProof/>
            <w:webHidden/>
          </w:rPr>
          <w:fldChar w:fldCharType="end"/>
        </w:r>
      </w:hyperlink>
    </w:p>
    <w:p w14:paraId="440B7BFD" w14:textId="3FFA063D" w:rsidR="008C6652" w:rsidRDefault="00EF0CD0">
      <w:pPr>
        <w:pStyle w:val="TOC2"/>
        <w:rPr>
          <w:rFonts w:asciiTheme="minorHAnsi" w:eastAsiaTheme="minorEastAsia" w:hAnsiTheme="minorHAnsi" w:cstheme="minorBidi"/>
          <w:noProof/>
          <w:sz w:val="22"/>
          <w:szCs w:val="22"/>
        </w:rPr>
      </w:pPr>
      <w:hyperlink w:anchor="_Toc473195092" w:history="1">
        <w:r w:rsidR="00BC6C49" w:rsidRPr="0038660A">
          <w:rPr>
            <w:rStyle w:val="Hyperlink"/>
            <w:noProof/>
          </w:rPr>
          <w:t>5.</w:t>
        </w:r>
        <w:r w:rsidR="00BC6C49">
          <w:rPr>
            <w:rFonts w:asciiTheme="minorHAnsi" w:eastAsiaTheme="minorEastAsia" w:hAnsiTheme="minorHAnsi" w:cstheme="minorBidi"/>
            <w:noProof/>
            <w:sz w:val="22"/>
            <w:szCs w:val="22"/>
          </w:rPr>
          <w:tab/>
        </w:r>
        <w:r w:rsidR="00BC6C49" w:rsidRPr="0038660A">
          <w:rPr>
            <w:rStyle w:val="Hyperlink"/>
            <w:noProof/>
          </w:rPr>
          <w:t>The Information Collected - Agency Activities, Collection Methodology, and Information Management</w:t>
        </w:r>
        <w:r w:rsidR="00BC6C49">
          <w:rPr>
            <w:noProof/>
            <w:webHidden/>
          </w:rPr>
          <w:tab/>
        </w:r>
        <w:r w:rsidR="00BC6C49">
          <w:rPr>
            <w:noProof/>
            <w:webHidden/>
          </w:rPr>
          <w:fldChar w:fldCharType="begin"/>
        </w:r>
        <w:r w:rsidR="00BC6C49">
          <w:rPr>
            <w:noProof/>
            <w:webHidden/>
          </w:rPr>
          <w:instrText xml:space="preserve"> PAGEREF _Toc473195092 \h </w:instrText>
        </w:r>
        <w:r w:rsidR="00BC6C49">
          <w:rPr>
            <w:noProof/>
            <w:webHidden/>
          </w:rPr>
        </w:r>
        <w:r w:rsidR="00BC6C49">
          <w:rPr>
            <w:noProof/>
            <w:webHidden/>
          </w:rPr>
          <w:fldChar w:fldCharType="separate"/>
        </w:r>
        <w:r w:rsidR="00957FD1">
          <w:rPr>
            <w:noProof/>
            <w:webHidden/>
          </w:rPr>
          <w:t>19</w:t>
        </w:r>
        <w:r w:rsidR="00BC6C49">
          <w:rPr>
            <w:noProof/>
            <w:webHidden/>
          </w:rPr>
          <w:fldChar w:fldCharType="end"/>
        </w:r>
      </w:hyperlink>
    </w:p>
    <w:p w14:paraId="07A06FD5" w14:textId="75CE29D3" w:rsidR="008C6652" w:rsidRDefault="00EF0CD0">
      <w:pPr>
        <w:pStyle w:val="TOC3"/>
        <w:rPr>
          <w:rFonts w:asciiTheme="minorHAnsi" w:eastAsiaTheme="minorEastAsia" w:hAnsiTheme="minorHAnsi" w:cstheme="minorBidi"/>
          <w:noProof/>
          <w:sz w:val="22"/>
          <w:szCs w:val="22"/>
        </w:rPr>
      </w:pPr>
      <w:hyperlink w:anchor="_Toc473195093" w:history="1">
        <w:r w:rsidR="00BC6C49" w:rsidRPr="0038660A">
          <w:rPr>
            <w:rStyle w:val="Hyperlink"/>
            <w:noProof/>
          </w:rPr>
          <w:t>5(a)</w:t>
        </w:r>
        <w:r w:rsidR="00BC6C49">
          <w:rPr>
            <w:rFonts w:asciiTheme="minorHAnsi" w:eastAsiaTheme="minorEastAsia" w:hAnsiTheme="minorHAnsi" w:cstheme="minorBidi"/>
            <w:noProof/>
            <w:sz w:val="22"/>
            <w:szCs w:val="22"/>
          </w:rPr>
          <w:tab/>
        </w:r>
        <w:r w:rsidR="00BC6C49" w:rsidRPr="0038660A">
          <w:rPr>
            <w:rStyle w:val="Hyperlink"/>
            <w:noProof/>
          </w:rPr>
          <w:t>Agency Activities</w:t>
        </w:r>
        <w:r w:rsidR="00BC6C49">
          <w:rPr>
            <w:noProof/>
            <w:webHidden/>
          </w:rPr>
          <w:tab/>
        </w:r>
        <w:r w:rsidR="00BC6C49">
          <w:rPr>
            <w:noProof/>
            <w:webHidden/>
          </w:rPr>
          <w:fldChar w:fldCharType="begin"/>
        </w:r>
        <w:r w:rsidR="00BC6C49">
          <w:rPr>
            <w:noProof/>
            <w:webHidden/>
          </w:rPr>
          <w:instrText xml:space="preserve"> PAGEREF _Toc473195093 \h </w:instrText>
        </w:r>
        <w:r w:rsidR="00BC6C49">
          <w:rPr>
            <w:noProof/>
            <w:webHidden/>
          </w:rPr>
        </w:r>
        <w:r w:rsidR="00BC6C49">
          <w:rPr>
            <w:noProof/>
            <w:webHidden/>
          </w:rPr>
          <w:fldChar w:fldCharType="separate"/>
        </w:r>
        <w:r w:rsidR="00957FD1">
          <w:rPr>
            <w:noProof/>
            <w:webHidden/>
          </w:rPr>
          <w:t>19</w:t>
        </w:r>
        <w:r w:rsidR="00BC6C49">
          <w:rPr>
            <w:noProof/>
            <w:webHidden/>
          </w:rPr>
          <w:fldChar w:fldCharType="end"/>
        </w:r>
      </w:hyperlink>
    </w:p>
    <w:p w14:paraId="30EEF1EE" w14:textId="61371A1E" w:rsidR="008C6652" w:rsidRDefault="00EF0CD0">
      <w:pPr>
        <w:pStyle w:val="TOC3"/>
        <w:rPr>
          <w:rFonts w:asciiTheme="minorHAnsi" w:eastAsiaTheme="minorEastAsia" w:hAnsiTheme="minorHAnsi" w:cstheme="minorBidi"/>
          <w:noProof/>
          <w:sz w:val="22"/>
          <w:szCs w:val="22"/>
        </w:rPr>
      </w:pPr>
      <w:hyperlink w:anchor="_Toc473195094" w:history="1">
        <w:r w:rsidR="00BC6C49" w:rsidRPr="0038660A">
          <w:rPr>
            <w:rStyle w:val="Hyperlink"/>
            <w:noProof/>
          </w:rPr>
          <w:t>5(b)</w:t>
        </w:r>
        <w:r w:rsidR="00BC6C49">
          <w:rPr>
            <w:rFonts w:asciiTheme="minorHAnsi" w:eastAsiaTheme="minorEastAsia" w:hAnsiTheme="minorHAnsi" w:cstheme="minorBidi"/>
            <w:noProof/>
            <w:sz w:val="22"/>
            <w:szCs w:val="22"/>
          </w:rPr>
          <w:tab/>
        </w:r>
        <w:r w:rsidR="00BC6C49" w:rsidRPr="0038660A">
          <w:rPr>
            <w:rStyle w:val="Hyperlink"/>
            <w:noProof/>
          </w:rPr>
          <w:t>Collection Methodology and Information Management</w:t>
        </w:r>
        <w:r w:rsidR="00BC6C49">
          <w:rPr>
            <w:noProof/>
            <w:webHidden/>
          </w:rPr>
          <w:tab/>
        </w:r>
        <w:r w:rsidR="00BC6C49">
          <w:rPr>
            <w:noProof/>
            <w:webHidden/>
          </w:rPr>
          <w:fldChar w:fldCharType="begin"/>
        </w:r>
        <w:r w:rsidR="00BC6C49">
          <w:rPr>
            <w:noProof/>
            <w:webHidden/>
          </w:rPr>
          <w:instrText xml:space="preserve"> PAGEREF _Toc473195094 \h </w:instrText>
        </w:r>
        <w:r w:rsidR="00BC6C49">
          <w:rPr>
            <w:noProof/>
            <w:webHidden/>
          </w:rPr>
        </w:r>
        <w:r w:rsidR="00BC6C49">
          <w:rPr>
            <w:noProof/>
            <w:webHidden/>
          </w:rPr>
          <w:fldChar w:fldCharType="separate"/>
        </w:r>
        <w:r w:rsidR="00957FD1">
          <w:rPr>
            <w:noProof/>
            <w:webHidden/>
          </w:rPr>
          <w:t>20</w:t>
        </w:r>
        <w:r w:rsidR="00BC6C49">
          <w:rPr>
            <w:noProof/>
            <w:webHidden/>
          </w:rPr>
          <w:fldChar w:fldCharType="end"/>
        </w:r>
      </w:hyperlink>
    </w:p>
    <w:p w14:paraId="59C4101A" w14:textId="01C2975F" w:rsidR="008C6652" w:rsidRDefault="00EF0CD0">
      <w:pPr>
        <w:pStyle w:val="TOC3"/>
        <w:rPr>
          <w:rFonts w:asciiTheme="minorHAnsi" w:eastAsiaTheme="minorEastAsia" w:hAnsiTheme="minorHAnsi" w:cstheme="minorBidi"/>
          <w:noProof/>
          <w:sz w:val="22"/>
          <w:szCs w:val="22"/>
        </w:rPr>
      </w:pPr>
      <w:hyperlink w:anchor="_Toc473195095" w:history="1">
        <w:r w:rsidR="00BC6C49" w:rsidRPr="0038660A">
          <w:rPr>
            <w:rStyle w:val="Hyperlink"/>
            <w:noProof/>
          </w:rPr>
          <w:t>5(c)</w:t>
        </w:r>
        <w:r w:rsidR="00BC6C49">
          <w:rPr>
            <w:rFonts w:asciiTheme="minorHAnsi" w:eastAsiaTheme="minorEastAsia" w:hAnsiTheme="minorHAnsi" w:cstheme="minorBidi"/>
            <w:noProof/>
            <w:sz w:val="22"/>
            <w:szCs w:val="22"/>
          </w:rPr>
          <w:tab/>
        </w:r>
        <w:r w:rsidR="00BC6C49" w:rsidRPr="0038660A">
          <w:rPr>
            <w:rStyle w:val="Hyperlink"/>
            <w:noProof/>
          </w:rPr>
          <w:t>Small Entity Flexibility</w:t>
        </w:r>
        <w:r w:rsidR="00BC6C49">
          <w:rPr>
            <w:noProof/>
            <w:webHidden/>
          </w:rPr>
          <w:tab/>
          <w:t>20</w:t>
        </w:r>
      </w:hyperlink>
    </w:p>
    <w:p w14:paraId="51AA8AB7" w14:textId="64BC447F" w:rsidR="008C6652" w:rsidRDefault="00EF0CD0">
      <w:pPr>
        <w:pStyle w:val="TOC3"/>
        <w:rPr>
          <w:rFonts w:asciiTheme="minorHAnsi" w:eastAsiaTheme="minorEastAsia" w:hAnsiTheme="minorHAnsi" w:cstheme="minorBidi"/>
          <w:noProof/>
          <w:sz w:val="22"/>
          <w:szCs w:val="22"/>
        </w:rPr>
      </w:pPr>
      <w:hyperlink w:anchor="_Toc473195096" w:history="1">
        <w:r w:rsidR="00BC6C49" w:rsidRPr="0038660A">
          <w:rPr>
            <w:rStyle w:val="Hyperlink"/>
            <w:noProof/>
          </w:rPr>
          <w:t>5(d)</w:t>
        </w:r>
        <w:r w:rsidR="00BC6C49">
          <w:rPr>
            <w:rFonts w:asciiTheme="minorHAnsi" w:eastAsiaTheme="minorEastAsia" w:hAnsiTheme="minorHAnsi" w:cstheme="minorBidi"/>
            <w:noProof/>
            <w:sz w:val="22"/>
            <w:szCs w:val="22"/>
          </w:rPr>
          <w:tab/>
        </w:r>
        <w:r w:rsidR="00BC6C49" w:rsidRPr="0038660A">
          <w:rPr>
            <w:rStyle w:val="Hyperlink"/>
            <w:noProof/>
          </w:rPr>
          <w:t>Collection Schedule</w:t>
        </w:r>
        <w:r w:rsidR="00BC6C49">
          <w:rPr>
            <w:noProof/>
            <w:webHidden/>
          </w:rPr>
          <w:tab/>
        </w:r>
        <w:r w:rsidR="00BC6C49">
          <w:rPr>
            <w:noProof/>
            <w:webHidden/>
          </w:rPr>
          <w:fldChar w:fldCharType="begin"/>
        </w:r>
        <w:r w:rsidR="00BC6C49">
          <w:rPr>
            <w:noProof/>
            <w:webHidden/>
          </w:rPr>
          <w:instrText xml:space="preserve"> PAGEREF _Toc473195096 \h </w:instrText>
        </w:r>
        <w:r w:rsidR="00BC6C49">
          <w:rPr>
            <w:noProof/>
            <w:webHidden/>
          </w:rPr>
        </w:r>
        <w:r w:rsidR="00BC6C49">
          <w:rPr>
            <w:noProof/>
            <w:webHidden/>
          </w:rPr>
          <w:fldChar w:fldCharType="separate"/>
        </w:r>
        <w:r w:rsidR="00957FD1">
          <w:rPr>
            <w:noProof/>
            <w:webHidden/>
          </w:rPr>
          <w:t>21</w:t>
        </w:r>
        <w:r w:rsidR="00BC6C49">
          <w:rPr>
            <w:noProof/>
            <w:webHidden/>
          </w:rPr>
          <w:fldChar w:fldCharType="end"/>
        </w:r>
      </w:hyperlink>
    </w:p>
    <w:p w14:paraId="16985D15" w14:textId="19F1E198" w:rsidR="008C6652" w:rsidRDefault="00EF0CD0">
      <w:pPr>
        <w:pStyle w:val="TOC2"/>
        <w:rPr>
          <w:rFonts w:asciiTheme="minorHAnsi" w:eastAsiaTheme="minorEastAsia" w:hAnsiTheme="minorHAnsi" w:cstheme="minorBidi"/>
          <w:noProof/>
          <w:sz w:val="22"/>
          <w:szCs w:val="22"/>
        </w:rPr>
      </w:pPr>
      <w:hyperlink w:anchor="_Toc473195097" w:history="1">
        <w:r w:rsidR="00BC6C49" w:rsidRPr="0038660A">
          <w:rPr>
            <w:rStyle w:val="Hyperlink"/>
            <w:noProof/>
          </w:rPr>
          <w:t>6.</w:t>
        </w:r>
        <w:r w:rsidR="00BC6C49">
          <w:rPr>
            <w:rFonts w:asciiTheme="minorHAnsi" w:eastAsiaTheme="minorEastAsia" w:hAnsiTheme="minorHAnsi" w:cstheme="minorBidi"/>
            <w:noProof/>
            <w:sz w:val="22"/>
            <w:szCs w:val="22"/>
          </w:rPr>
          <w:tab/>
        </w:r>
        <w:r w:rsidR="00BC6C49" w:rsidRPr="0038660A">
          <w:rPr>
            <w:rStyle w:val="Hyperlink"/>
            <w:noProof/>
          </w:rPr>
          <w:t>Estimating Respondent Burden and Cost of Collection</w:t>
        </w:r>
        <w:r w:rsidR="00BC6C49">
          <w:rPr>
            <w:noProof/>
            <w:webHidden/>
          </w:rPr>
          <w:tab/>
        </w:r>
        <w:r w:rsidR="00BC6C49">
          <w:rPr>
            <w:noProof/>
            <w:webHidden/>
          </w:rPr>
          <w:fldChar w:fldCharType="begin"/>
        </w:r>
        <w:r w:rsidR="00BC6C49">
          <w:rPr>
            <w:noProof/>
            <w:webHidden/>
          </w:rPr>
          <w:instrText xml:space="preserve"> PAGEREF _Toc473195097 \h </w:instrText>
        </w:r>
        <w:r w:rsidR="00BC6C49">
          <w:rPr>
            <w:noProof/>
            <w:webHidden/>
          </w:rPr>
        </w:r>
        <w:r w:rsidR="00BC6C49">
          <w:rPr>
            <w:noProof/>
            <w:webHidden/>
          </w:rPr>
          <w:fldChar w:fldCharType="separate"/>
        </w:r>
        <w:r w:rsidR="00957FD1">
          <w:rPr>
            <w:noProof/>
            <w:webHidden/>
          </w:rPr>
          <w:t>22</w:t>
        </w:r>
        <w:r w:rsidR="00BC6C49">
          <w:rPr>
            <w:noProof/>
            <w:webHidden/>
          </w:rPr>
          <w:fldChar w:fldCharType="end"/>
        </w:r>
      </w:hyperlink>
    </w:p>
    <w:p w14:paraId="6E37B6DB" w14:textId="6F684A59" w:rsidR="008C6652" w:rsidRDefault="00EF0CD0">
      <w:pPr>
        <w:pStyle w:val="TOC3"/>
        <w:rPr>
          <w:rFonts w:asciiTheme="minorHAnsi" w:eastAsiaTheme="minorEastAsia" w:hAnsiTheme="minorHAnsi" w:cstheme="minorBidi"/>
          <w:noProof/>
          <w:sz w:val="22"/>
          <w:szCs w:val="22"/>
        </w:rPr>
      </w:pPr>
      <w:hyperlink w:anchor="_Toc473195098" w:history="1">
        <w:r w:rsidR="00BC6C49" w:rsidRPr="0038660A">
          <w:rPr>
            <w:rStyle w:val="Hyperlink"/>
            <w:noProof/>
          </w:rPr>
          <w:t>6(a)</w:t>
        </w:r>
        <w:r w:rsidR="00BC6C49">
          <w:rPr>
            <w:rFonts w:asciiTheme="minorHAnsi" w:eastAsiaTheme="minorEastAsia" w:hAnsiTheme="minorHAnsi" w:cstheme="minorBidi"/>
            <w:noProof/>
            <w:sz w:val="22"/>
            <w:szCs w:val="22"/>
          </w:rPr>
          <w:tab/>
        </w:r>
        <w:r w:rsidR="00BC6C49" w:rsidRPr="0038660A">
          <w:rPr>
            <w:rStyle w:val="Hyperlink"/>
            <w:noProof/>
          </w:rPr>
          <w:t>Estimating Respondent Burden</w:t>
        </w:r>
        <w:r w:rsidR="00BC6C49">
          <w:rPr>
            <w:noProof/>
            <w:webHidden/>
          </w:rPr>
          <w:tab/>
        </w:r>
        <w:r w:rsidR="00BC6C49">
          <w:rPr>
            <w:noProof/>
            <w:webHidden/>
          </w:rPr>
          <w:fldChar w:fldCharType="begin"/>
        </w:r>
        <w:r w:rsidR="00BC6C49">
          <w:rPr>
            <w:noProof/>
            <w:webHidden/>
          </w:rPr>
          <w:instrText xml:space="preserve"> PAGEREF _Toc473195098 \h </w:instrText>
        </w:r>
        <w:r w:rsidR="00BC6C49">
          <w:rPr>
            <w:noProof/>
            <w:webHidden/>
          </w:rPr>
        </w:r>
        <w:r w:rsidR="00BC6C49">
          <w:rPr>
            <w:noProof/>
            <w:webHidden/>
          </w:rPr>
          <w:fldChar w:fldCharType="separate"/>
        </w:r>
        <w:r w:rsidR="00957FD1">
          <w:rPr>
            <w:noProof/>
            <w:webHidden/>
          </w:rPr>
          <w:t>22</w:t>
        </w:r>
        <w:r w:rsidR="00BC6C49">
          <w:rPr>
            <w:noProof/>
            <w:webHidden/>
          </w:rPr>
          <w:fldChar w:fldCharType="end"/>
        </w:r>
      </w:hyperlink>
    </w:p>
    <w:p w14:paraId="6A6EF3A8" w14:textId="0EF93923" w:rsidR="008C6652" w:rsidRDefault="00EF0CD0">
      <w:pPr>
        <w:pStyle w:val="TOC3"/>
        <w:rPr>
          <w:rFonts w:asciiTheme="minorHAnsi" w:eastAsiaTheme="minorEastAsia" w:hAnsiTheme="minorHAnsi" w:cstheme="minorBidi"/>
          <w:noProof/>
          <w:sz w:val="22"/>
          <w:szCs w:val="22"/>
        </w:rPr>
      </w:pPr>
      <w:hyperlink w:anchor="_Toc473195099" w:history="1">
        <w:r w:rsidR="00BC6C49" w:rsidRPr="0038660A">
          <w:rPr>
            <w:rStyle w:val="Hyperlink"/>
            <w:noProof/>
          </w:rPr>
          <w:t>6(b)</w:t>
        </w:r>
        <w:r w:rsidR="00BC6C49">
          <w:rPr>
            <w:rFonts w:asciiTheme="minorHAnsi" w:eastAsiaTheme="minorEastAsia" w:hAnsiTheme="minorHAnsi" w:cstheme="minorBidi"/>
            <w:noProof/>
            <w:sz w:val="22"/>
            <w:szCs w:val="22"/>
          </w:rPr>
          <w:tab/>
        </w:r>
        <w:r w:rsidR="00BC6C49" w:rsidRPr="0038660A">
          <w:rPr>
            <w:rStyle w:val="Hyperlink"/>
            <w:noProof/>
          </w:rPr>
          <w:t>Estimating Respondent Costs</w:t>
        </w:r>
        <w:r w:rsidR="00BC6C49">
          <w:rPr>
            <w:noProof/>
            <w:webHidden/>
          </w:rPr>
          <w:tab/>
        </w:r>
        <w:r w:rsidR="00BC6C49">
          <w:rPr>
            <w:noProof/>
            <w:webHidden/>
          </w:rPr>
          <w:fldChar w:fldCharType="begin"/>
        </w:r>
        <w:r w:rsidR="00BC6C49">
          <w:rPr>
            <w:noProof/>
            <w:webHidden/>
          </w:rPr>
          <w:instrText xml:space="preserve"> PAGEREF _Toc473195099 \h </w:instrText>
        </w:r>
        <w:r w:rsidR="00BC6C49">
          <w:rPr>
            <w:noProof/>
            <w:webHidden/>
          </w:rPr>
        </w:r>
        <w:r w:rsidR="00BC6C49">
          <w:rPr>
            <w:noProof/>
            <w:webHidden/>
          </w:rPr>
          <w:fldChar w:fldCharType="separate"/>
        </w:r>
        <w:r w:rsidR="00957FD1">
          <w:rPr>
            <w:noProof/>
            <w:webHidden/>
          </w:rPr>
          <w:t>23</w:t>
        </w:r>
        <w:r w:rsidR="00BC6C49">
          <w:rPr>
            <w:noProof/>
            <w:webHidden/>
          </w:rPr>
          <w:fldChar w:fldCharType="end"/>
        </w:r>
      </w:hyperlink>
    </w:p>
    <w:p w14:paraId="3D8656DD" w14:textId="0A11B07C" w:rsidR="008C6652" w:rsidRDefault="00EF0CD0">
      <w:pPr>
        <w:pStyle w:val="TOC3"/>
        <w:rPr>
          <w:rFonts w:asciiTheme="minorHAnsi" w:eastAsiaTheme="minorEastAsia" w:hAnsiTheme="minorHAnsi" w:cstheme="minorBidi"/>
          <w:noProof/>
          <w:sz w:val="22"/>
          <w:szCs w:val="22"/>
        </w:rPr>
      </w:pPr>
      <w:hyperlink w:anchor="_Toc473195100" w:history="1">
        <w:r w:rsidR="00BC6C49" w:rsidRPr="0038660A">
          <w:rPr>
            <w:rStyle w:val="Hyperlink"/>
            <w:noProof/>
          </w:rPr>
          <w:t>6(c)</w:t>
        </w:r>
        <w:r w:rsidR="00BC6C49">
          <w:rPr>
            <w:rFonts w:asciiTheme="minorHAnsi" w:eastAsiaTheme="minorEastAsia" w:hAnsiTheme="minorHAnsi" w:cstheme="minorBidi"/>
            <w:noProof/>
            <w:sz w:val="22"/>
            <w:szCs w:val="22"/>
          </w:rPr>
          <w:tab/>
        </w:r>
        <w:r w:rsidR="00BC6C49" w:rsidRPr="0038660A">
          <w:rPr>
            <w:rStyle w:val="Hyperlink"/>
            <w:noProof/>
          </w:rPr>
          <w:t>Estimating Agency Burden and Costs</w:t>
        </w:r>
        <w:r w:rsidR="00BC6C49">
          <w:rPr>
            <w:noProof/>
            <w:webHidden/>
          </w:rPr>
          <w:tab/>
        </w:r>
        <w:r w:rsidR="00BC6C49">
          <w:rPr>
            <w:noProof/>
            <w:webHidden/>
          </w:rPr>
          <w:fldChar w:fldCharType="begin"/>
        </w:r>
        <w:r w:rsidR="00BC6C49">
          <w:rPr>
            <w:noProof/>
            <w:webHidden/>
          </w:rPr>
          <w:instrText xml:space="preserve"> PAGEREF _Toc473195100 \h </w:instrText>
        </w:r>
        <w:r w:rsidR="00BC6C49">
          <w:rPr>
            <w:noProof/>
            <w:webHidden/>
          </w:rPr>
        </w:r>
        <w:r w:rsidR="00BC6C49">
          <w:rPr>
            <w:noProof/>
            <w:webHidden/>
          </w:rPr>
          <w:fldChar w:fldCharType="separate"/>
        </w:r>
        <w:r w:rsidR="00957FD1">
          <w:rPr>
            <w:noProof/>
            <w:webHidden/>
          </w:rPr>
          <w:t>23</w:t>
        </w:r>
        <w:r w:rsidR="00BC6C49">
          <w:rPr>
            <w:noProof/>
            <w:webHidden/>
          </w:rPr>
          <w:fldChar w:fldCharType="end"/>
        </w:r>
      </w:hyperlink>
    </w:p>
    <w:p w14:paraId="65BF262A" w14:textId="5357B517" w:rsidR="008C6652" w:rsidRDefault="00EF0CD0">
      <w:pPr>
        <w:pStyle w:val="TOC3"/>
        <w:rPr>
          <w:rFonts w:asciiTheme="minorHAnsi" w:eastAsiaTheme="minorEastAsia" w:hAnsiTheme="minorHAnsi" w:cstheme="minorBidi"/>
          <w:noProof/>
          <w:sz w:val="22"/>
          <w:szCs w:val="22"/>
        </w:rPr>
      </w:pPr>
      <w:hyperlink w:anchor="_Toc473195101" w:history="1">
        <w:r w:rsidR="00BC6C49" w:rsidRPr="0038660A">
          <w:rPr>
            <w:rStyle w:val="Hyperlink"/>
            <w:noProof/>
          </w:rPr>
          <w:t>6(d)</w:t>
        </w:r>
        <w:r w:rsidR="00BC6C49">
          <w:rPr>
            <w:rFonts w:asciiTheme="minorHAnsi" w:eastAsiaTheme="minorEastAsia" w:hAnsiTheme="minorHAnsi" w:cstheme="minorBidi"/>
            <w:noProof/>
            <w:sz w:val="22"/>
            <w:szCs w:val="22"/>
          </w:rPr>
          <w:tab/>
        </w:r>
        <w:r w:rsidR="00BC6C49" w:rsidRPr="0038660A">
          <w:rPr>
            <w:rStyle w:val="Hyperlink"/>
            <w:noProof/>
          </w:rPr>
          <w:t>Respondent Universe and Total Burden Costs</w:t>
        </w:r>
        <w:r w:rsidR="00BC6C49">
          <w:rPr>
            <w:noProof/>
            <w:webHidden/>
          </w:rPr>
          <w:tab/>
        </w:r>
        <w:r w:rsidR="00BC6C49">
          <w:rPr>
            <w:noProof/>
            <w:webHidden/>
          </w:rPr>
          <w:fldChar w:fldCharType="begin"/>
        </w:r>
        <w:r w:rsidR="00BC6C49">
          <w:rPr>
            <w:noProof/>
            <w:webHidden/>
          </w:rPr>
          <w:instrText xml:space="preserve"> PAGEREF _Toc473195101 \h </w:instrText>
        </w:r>
        <w:r w:rsidR="00BC6C49">
          <w:rPr>
            <w:noProof/>
            <w:webHidden/>
          </w:rPr>
        </w:r>
        <w:r w:rsidR="00BC6C49">
          <w:rPr>
            <w:noProof/>
            <w:webHidden/>
          </w:rPr>
          <w:fldChar w:fldCharType="separate"/>
        </w:r>
        <w:r w:rsidR="00957FD1">
          <w:rPr>
            <w:noProof/>
            <w:webHidden/>
          </w:rPr>
          <w:t>23</w:t>
        </w:r>
        <w:r w:rsidR="00BC6C49">
          <w:rPr>
            <w:noProof/>
            <w:webHidden/>
          </w:rPr>
          <w:fldChar w:fldCharType="end"/>
        </w:r>
      </w:hyperlink>
    </w:p>
    <w:p w14:paraId="7127F6D7" w14:textId="63AC446F" w:rsidR="008C6652" w:rsidRDefault="00EF0CD0">
      <w:pPr>
        <w:pStyle w:val="TOC3"/>
        <w:rPr>
          <w:rFonts w:asciiTheme="minorHAnsi" w:eastAsiaTheme="minorEastAsia" w:hAnsiTheme="minorHAnsi" w:cstheme="minorBidi"/>
          <w:noProof/>
          <w:sz w:val="22"/>
          <w:szCs w:val="22"/>
        </w:rPr>
      </w:pPr>
      <w:hyperlink w:anchor="_Toc473195102" w:history="1">
        <w:r w:rsidR="00BC6C49" w:rsidRPr="0038660A">
          <w:rPr>
            <w:rStyle w:val="Hyperlink"/>
            <w:noProof/>
          </w:rPr>
          <w:t>6(e)</w:t>
        </w:r>
        <w:r w:rsidR="00BC6C49">
          <w:rPr>
            <w:rFonts w:asciiTheme="minorHAnsi" w:eastAsiaTheme="minorEastAsia" w:hAnsiTheme="minorHAnsi" w:cstheme="minorBidi"/>
            <w:noProof/>
            <w:sz w:val="22"/>
            <w:szCs w:val="22"/>
          </w:rPr>
          <w:tab/>
        </w:r>
        <w:r w:rsidR="00BC6C49" w:rsidRPr="0038660A">
          <w:rPr>
            <w:rStyle w:val="Hyperlink"/>
            <w:noProof/>
          </w:rPr>
          <w:t>Bottom Line Burden Hours and Costs</w:t>
        </w:r>
        <w:r w:rsidR="00BC6C49">
          <w:rPr>
            <w:noProof/>
            <w:webHidden/>
          </w:rPr>
          <w:tab/>
        </w:r>
        <w:r w:rsidR="00BC6C49">
          <w:rPr>
            <w:noProof/>
            <w:webHidden/>
          </w:rPr>
          <w:fldChar w:fldCharType="begin"/>
        </w:r>
        <w:r w:rsidR="00BC6C49">
          <w:rPr>
            <w:noProof/>
            <w:webHidden/>
          </w:rPr>
          <w:instrText xml:space="preserve"> PAGEREF _Toc473195102 \h </w:instrText>
        </w:r>
        <w:r w:rsidR="00BC6C49">
          <w:rPr>
            <w:noProof/>
            <w:webHidden/>
          </w:rPr>
        </w:r>
        <w:r w:rsidR="00BC6C49">
          <w:rPr>
            <w:noProof/>
            <w:webHidden/>
          </w:rPr>
          <w:fldChar w:fldCharType="separate"/>
        </w:r>
        <w:r w:rsidR="00957FD1">
          <w:rPr>
            <w:noProof/>
            <w:webHidden/>
          </w:rPr>
          <w:t>24</w:t>
        </w:r>
        <w:r w:rsidR="00BC6C49">
          <w:rPr>
            <w:noProof/>
            <w:webHidden/>
          </w:rPr>
          <w:fldChar w:fldCharType="end"/>
        </w:r>
      </w:hyperlink>
    </w:p>
    <w:p w14:paraId="2535914A" w14:textId="3CFA68B1" w:rsidR="008C6652" w:rsidRDefault="00EF0CD0">
      <w:pPr>
        <w:pStyle w:val="TOC3"/>
        <w:rPr>
          <w:rFonts w:asciiTheme="minorHAnsi" w:eastAsiaTheme="minorEastAsia" w:hAnsiTheme="minorHAnsi" w:cstheme="minorBidi"/>
          <w:noProof/>
          <w:sz w:val="22"/>
          <w:szCs w:val="22"/>
        </w:rPr>
      </w:pPr>
      <w:hyperlink w:anchor="_Toc473195103" w:history="1">
        <w:r w:rsidR="00BC6C49" w:rsidRPr="0038660A">
          <w:rPr>
            <w:rStyle w:val="Hyperlink"/>
            <w:noProof/>
          </w:rPr>
          <w:t>6(f)</w:t>
        </w:r>
        <w:r w:rsidR="00BC6C49">
          <w:rPr>
            <w:rFonts w:asciiTheme="minorHAnsi" w:eastAsiaTheme="minorEastAsia" w:hAnsiTheme="minorHAnsi" w:cstheme="minorBidi"/>
            <w:noProof/>
            <w:sz w:val="22"/>
            <w:szCs w:val="22"/>
          </w:rPr>
          <w:tab/>
        </w:r>
        <w:r w:rsidR="00BC6C49" w:rsidRPr="0038660A">
          <w:rPr>
            <w:rStyle w:val="Hyperlink"/>
            <w:noProof/>
          </w:rPr>
          <w:t>Reasons for Change in Burden</w:t>
        </w:r>
        <w:r w:rsidR="00BC6C49">
          <w:rPr>
            <w:noProof/>
            <w:webHidden/>
          </w:rPr>
          <w:tab/>
        </w:r>
        <w:r w:rsidR="00BC6C49">
          <w:rPr>
            <w:noProof/>
            <w:webHidden/>
          </w:rPr>
          <w:fldChar w:fldCharType="begin"/>
        </w:r>
        <w:r w:rsidR="00BC6C49">
          <w:rPr>
            <w:noProof/>
            <w:webHidden/>
          </w:rPr>
          <w:instrText xml:space="preserve"> PAGEREF _Toc473195103 \h </w:instrText>
        </w:r>
        <w:r w:rsidR="00BC6C49">
          <w:rPr>
            <w:noProof/>
            <w:webHidden/>
          </w:rPr>
        </w:r>
        <w:r w:rsidR="00BC6C49">
          <w:rPr>
            <w:noProof/>
            <w:webHidden/>
          </w:rPr>
          <w:fldChar w:fldCharType="separate"/>
        </w:r>
        <w:r w:rsidR="00957FD1">
          <w:rPr>
            <w:noProof/>
            <w:webHidden/>
          </w:rPr>
          <w:t>24</w:t>
        </w:r>
        <w:r w:rsidR="00BC6C49">
          <w:rPr>
            <w:noProof/>
            <w:webHidden/>
          </w:rPr>
          <w:fldChar w:fldCharType="end"/>
        </w:r>
      </w:hyperlink>
    </w:p>
    <w:p w14:paraId="13138F0A" w14:textId="284B9B85" w:rsidR="008C6652" w:rsidRDefault="00EF0CD0">
      <w:pPr>
        <w:pStyle w:val="TOC3"/>
        <w:rPr>
          <w:rFonts w:asciiTheme="minorHAnsi" w:eastAsiaTheme="minorEastAsia" w:hAnsiTheme="minorHAnsi" w:cstheme="minorBidi"/>
          <w:noProof/>
          <w:sz w:val="22"/>
          <w:szCs w:val="22"/>
        </w:rPr>
      </w:pPr>
      <w:hyperlink w:anchor="_Toc473195104" w:history="1">
        <w:r w:rsidR="00BC6C49" w:rsidRPr="0038660A">
          <w:rPr>
            <w:rStyle w:val="Hyperlink"/>
            <w:noProof/>
          </w:rPr>
          <w:t>6(g)</w:t>
        </w:r>
        <w:r w:rsidR="00BC6C49">
          <w:rPr>
            <w:rFonts w:asciiTheme="minorHAnsi" w:eastAsiaTheme="minorEastAsia" w:hAnsiTheme="minorHAnsi" w:cstheme="minorBidi"/>
            <w:noProof/>
            <w:sz w:val="22"/>
            <w:szCs w:val="22"/>
          </w:rPr>
          <w:tab/>
        </w:r>
        <w:r w:rsidR="00BC6C49" w:rsidRPr="0038660A">
          <w:rPr>
            <w:rStyle w:val="Hyperlink"/>
            <w:noProof/>
          </w:rPr>
          <w:t>Burden Statement</w:t>
        </w:r>
        <w:r w:rsidR="00BC6C49">
          <w:rPr>
            <w:noProof/>
            <w:webHidden/>
          </w:rPr>
          <w:tab/>
        </w:r>
        <w:r w:rsidR="00BC6C49">
          <w:rPr>
            <w:noProof/>
            <w:webHidden/>
          </w:rPr>
          <w:fldChar w:fldCharType="begin"/>
        </w:r>
        <w:r w:rsidR="00BC6C49">
          <w:rPr>
            <w:noProof/>
            <w:webHidden/>
          </w:rPr>
          <w:instrText xml:space="preserve"> PAGEREF _Toc473195104 \h </w:instrText>
        </w:r>
        <w:r w:rsidR="00BC6C49">
          <w:rPr>
            <w:noProof/>
            <w:webHidden/>
          </w:rPr>
        </w:r>
        <w:r w:rsidR="00BC6C49">
          <w:rPr>
            <w:noProof/>
            <w:webHidden/>
          </w:rPr>
          <w:fldChar w:fldCharType="separate"/>
        </w:r>
        <w:r w:rsidR="00957FD1">
          <w:rPr>
            <w:noProof/>
            <w:webHidden/>
          </w:rPr>
          <w:t>24</w:t>
        </w:r>
        <w:r w:rsidR="00BC6C49">
          <w:rPr>
            <w:noProof/>
            <w:webHidden/>
          </w:rPr>
          <w:fldChar w:fldCharType="end"/>
        </w:r>
      </w:hyperlink>
    </w:p>
    <w:p w14:paraId="70632D39" w14:textId="62CA49C9" w:rsidR="008C6652" w:rsidRDefault="00EF0CD0">
      <w:pPr>
        <w:pStyle w:val="TOC1"/>
        <w:rPr>
          <w:rFonts w:asciiTheme="minorHAnsi" w:eastAsiaTheme="minorEastAsia" w:hAnsiTheme="minorHAnsi" w:cstheme="minorBidi"/>
          <w:noProof/>
          <w:sz w:val="22"/>
          <w:szCs w:val="22"/>
        </w:rPr>
      </w:pPr>
      <w:hyperlink w:anchor="_Toc473195105" w:history="1">
        <w:r w:rsidR="00BC6C49" w:rsidRPr="0038660A">
          <w:rPr>
            <w:rStyle w:val="Hyperlink"/>
            <w:noProof/>
          </w:rPr>
          <w:t>PART B OF THE SUPPORTING STATEMENT</w:t>
        </w:r>
        <w:r w:rsidR="00BC6C49">
          <w:rPr>
            <w:noProof/>
            <w:webHidden/>
          </w:rPr>
          <w:tab/>
        </w:r>
        <w:r w:rsidR="00BC6C49">
          <w:rPr>
            <w:noProof/>
            <w:webHidden/>
          </w:rPr>
          <w:fldChar w:fldCharType="begin"/>
        </w:r>
        <w:r w:rsidR="00BC6C49">
          <w:rPr>
            <w:noProof/>
            <w:webHidden/>
          </w:rPr>
          <w:instrText xml:space="preserve"> PAGEREF _Toc473195105 \h </w:instrText>
        </w:r>
        <w:r w:rsidR="00BC6C49">
          <w:rPr>
            <w:noProof/>
            <w:webHidden/>
          </w:rPr>
        </w:r>
        <w:r w:rsidR="00BC6C49">
          <w:rPr>
            <w:noProof/>
            <w:webHidden/>
          </w:rPr>
          <w:fldChar w:fldCharType="separate"/>
        </w:r>
        <w:r w:rsidR="00957FD1">
          <w:rPr>
            <w:noProof/>
            <w:webHidden/>
          </w:rPr>
          <w:t>26</w:t>
        </w:r>
        <w:r w:rsidR="00BC6C49">
          <w:rPr>
            <w:noProof/>
            <w:webHidden/>
          </w:rPr>
          <w:fldChar w:fldCharType="end"/>
        </w:r>
      </w:hyperlink>
    </w:p>
    <w:p w14:paraId="27CAE58F" w14:textId="057DA0B4" w:rsidR="008C6652" w:rsidRDefault="00EF0CD0">
      <w:pPr>
        <w:pStyle w:val="TOC2"/>
        <w:rPr>
          <w:rFonts w:asciiTheme="minorHAnsi" w:eastAsiaTheme="minorEastAsia" w:hAnsiTheme="minorHAnsi" w:cstheme="minorBidi"/>
          <w:noProof/>
          <w:sz w:val="22"/>
          <w:szCs w:val="22"/>
        </w:rPr>
      </w:pPr>
      <w:hyperlink w:anchor="_Toc473195106" w:history="1">
        <w:r w:rsidR="00BC6C49" w:rsidRPr="0038660A">
          <w:rPr>
            <w:rStyle w:val="Hyperlink"/>
            <w:noProof/>
          </w:rPr>
          <w:t>1.</w:t>
        </w:r>
        <w:r w:rsidR="00BC6C49">
          <w:rPr>
            <w:rFonts w:asciiTheme="minorHAnsi" w:eastAsiaTheme="minorEastAsia" w:hAnsiTheme="minorHAnsi" w:cstheme="minorBidi"/>
            <w:noProof/>
            <w:sz w:val="22"/>
            <w:szCs w:val="22"/>
          </w:rPr>
          <w:tab/>
        </w:r>
        <w:r w:rsidR="00BC6C49" w:rsidRPr="0038660A">
          <w:rPr>
            <w:rStyle w:val="Hyperlink"/>
            <w:noProof/>
          </w:rPr>
          <w:t>Survey Objectives, Key Variables, and Other Preliminaries</w:t>
        </w:r>
        <w:r w:rsidR="00BC6C49">
          <w:rPr>
            <w:noProof/>
            <w:webHidden/>
          </w:rPr>
          <w:tab/>
        </w:r>
        <w:r w:rsidR="00BC6C49">
          <w:rPr>
            <w:noProof/>
            <w:webHidden/>
          </w:rPr>
          <w:fldChar w:fldCharType="begin"/>
        </w:r>
        <w:r w:rsidR="00BC6C49">
          <w:rPr>
            <w:noProof/>
            <w:webHidden/>
          </w:rPr>
          <w:instrText xml:space="preserve"> PAGEREF _Toc473195106 \h </w:instrText>
        </w:r>
        <w:r w:rsidR="00BC6C49">
          <w:rPr>
            <w:noProof/>
            <w:webHidden/>
          </w:rPr>
        </w:r>
        <w:r w:rsidR="00BC6C49">
          <w:rPr>
            <w:noProof/>
            <w:webHidden/>
          </w:rPr>
          <w:fldChar w:fldCharType="separate"/>
        </w:r>
        <w:r w:rsidR="00957FD1">
          <w:rPr>
            <w:noProof/>
            <w:webHidden/>
          </w:rPr>
          <w:t>26</w:t>
        </w:r>
        <w:r w:rsidR="00BC6C49">
          <w:rPr>
            <w:noProof/>
            <w:webHidden/>
          </w:rPr>
          <w:fldChar w:fldCharType="end"/>
        </w:r>
      </w:hyperlink>
    </w:p>
    <w:p w14:paraId="2DD5708C" w14:textId="3F8AD675" w:rsidR="008C6652" w:rsidRDefault="00EF0CD0">
      <w:pPr>
        <w:pStyle w:val="TOC3"/>
        <w:rPr>
          <w:rFonts w:asciiTheme="minorHAnsi" w:eastAsiaTheme="minorEastAsia" w:hAnsiTheme="minorHAnsi" w:cstheme="minorBidi"/>
          <w:noProof/>
          <w:sz w:val="22"/>
          <w:szCs w:val="22"/>
        </w:rPr>
      </w:pPr>
      <w:hyperlink w:anchor="_Toc473195107" w:history="1">
        <w:r w:rsidR="00BC6C49" w:rsidRPr="0038660A">
          <w:rPr>
            <w:rStyle w:val="Hyperlink"/>
            <w:noProof/>
          </w:rPr>
          <w:t>1(a)</w:t>
        </w:r>
        <w:r w:rsidR="00BC6C49">
          <w:rPr>
            <w:rFonts w:asciiTheme="minorHAnsi" w:eastAsiaTheme="minorEastAsia" w:hAnsiTheme="minorHAnsi" w:cstheme="minorBidi"/>
            <w:noProof/>
            <w:sz w:val="22"/>
            <w:szCs w:val="22"/>
          </w:rPr>
          <w:tab/>
        </w:r>
        <w:r w:rsidR="00BC6C49" w:rsidRPr="0038660A">
          <w:rPr>
            <w:rStyle w:val="Hyperlink"/>
            <w:noProof/>
          </w:rPr>
          <w:t>Survey Objectives</w:t>
        </w:r>
        <w:r w:rsidR="00BC6C49">
          <w:rPr>
            <w:noProof/>
            <w:webHidden/>
          </w:rPr>
          <w:tab/>
        </w:r>
        <w:r w:rsidR="00BC6C49">
          <w:rPr>
            <w:noProof/>
            <w:webHidden/>
          </w:rPr>
          <w:fldChar w:fldCharType="begin"/>
        </w:r>
        <w:r w:rsidR="00BC6C49">
          <w:rPr>
            <w:noProof/>
            <w:webHidden/>
          </w:rPr>
          <w:instrText xml:space="preserve"> PAGEREF _Toc473195107 \h </w:instrText>
        </w:r>
        <w:r w:rsidR="00BC6C49">
          <w:rPr>
            <w:noProof/>
            <w:webHidden/>
          </w:rPr>
        </w:r>
        <w:r w:rsidR="00BC6C49">
          <w:rPr>
            <w:noProof/>
            <w:webHidden/>
          </w:rPr>
          <w:fldChar w:fldCharType="separate"/>
        </w:r>
        <w:r w:rsidR="00957FD1">
          <w:rPr>
            <w:noProof/>
            <w:webHidden/>
          </w:rPr>
          <w:t>26</w:t>
        </w:r>
        <w:r w:rsidR="00BC6C49">
          <w:rPr>
            <w:noProof/>
            <w:webHidden/>
          </w:rPr>
          <w:fldChar w:fldCharType="end"/>
        </w:r>
      </w:hyperlink>
    </w:p>
    <w:p w14:paraId="704B7D47" w14:textId="4C5221C4" w:rsidR="008C6652" w:rsidRDefault="00EF0CD0">
      <w:pPr>
        <w:pStyle w:val="TOC3"/>
        <w:rPr>
          <w:rFonts w:asciiTheme="minorHAnsi" w:eastAsiaTheme="minorEastAsia" w:hAnsiTheme="minorHAnsi" w:cstheme="minorBidi"/>
          <w:noProof/>
          <w:sz w:val="22"/>
          <w:szCs w:val="22"/>
        </w:rPr>
      </w:pPr>
      <w:hyperlink w:anchor="_Toc473195108" w:history="1">
        <w:r w:rsidR="00BC6C49" w:rsidRPr="0038660A">
          <w:rPr>
            <w:rStyle w:val="Hyperlink"/>
            <w:noProof/>
          </w:rPr>
          <w:t>1(b)</w:t>
        </w:r>
        <w:r w:rsidR="00BC6C49">
          <w:rPr>
            <w:rFonts w:asciiTheme="minorHAnsi" w:eastAsiaTheme="minorEastAsia" w:hAnsiTheme="minorHAnsi" w:cstheme="minorBidi"/>
            <w:noProof/>
            <w:sz w:val="22"/>
            <w:szCs w:val="22"/>
          </w:rPr>
          <w:tab/>
        </w:r>
        <w:r w:rsidR="00BC6C49" w:rsidRPr="0038660A">
          <w:rPr>
            <w:rStyle w:val="Hyperlink"/>
            <w:noProof/>
          </w:rPr>
          <w:t>Key Variables</w:t>
        </w:r>
        <w:r w:rsidR="00BC6C49">
          <w:rPr>
            <w:noProof/>
            <w:webHidden/>
          </w:rPr>
          <w:tab/>
        </w:r>
        <w:r w:rsidR="00BC6C49">
          <w:rPr>
            <w:noProof/>
            <w:webHidden/>
          </w:rPr>
          <w:fldChar w:fldCharType="begin"/>
        </w:r>
        <w:r w:rsidR="00BC6C49">
          <w:rPr>
            <w:noProof/>
            <w:webHidden/>
          </w:rPr>
          <w:instrText xml:space="preserve"> PAGEREF _Toc473195108 \h </w:instrText>
        </w:r>
        <w:r w:rsidR="00BC6C49">
          <w:rPr>
            <w:noProof/>
            <w:webHidden/>
          </w:rPr>
        </w:r>
        <w:r w:rsidR="00BC6C49">
          <w:rPr>
            <w:noProof/>
            <w:webHidden/>
          </w:rPr>
          <w:fldChar w:fldCharType="separate"/>
        </w:r>
        <w:r w:rsidR="00957FD1">
          <w:rPr>
            <w:noProof/>
            <w:webHidden/>
          </w:rPr>
          <w:t>26</w:t>
        </w:r>
        <w:r w:rsidR="00BC6C49">
          <w:rPr>
            <w:noProof/>
            <w:webHidden/>
          </w:rPr>
          <w:fldChar w:fldCharType="end"/>
        </w:r>
      </w:hyperlink>
    </w:p>
    <w:p w14:paraId="1B120581" w14:textId="05E63F30" w:rsidR="008C6652" w:rsidRDefault="00EF0CD0">
      <w:pPr>
        <w:pStyle w:val="TOC3"/>
        <w:rPr>
          <w:rFonts w:asciiTheme="minorHAnsi" w:eastAsiaTheme="minorEastAsia" w:hAnsiTheme="minorHAnsi" w:cstheme="minorBidi"/>
          <w:noProof/>
          <w:sz w:val="22"/>
          <w:szCs w:val="22"/>
        </w:rPr>
      </w:pPr>
      <w:hyperlink w:anchor="_Toc473195109" w:history="1">
        <w:r w:rsidR="00BC6C49" w:rsidRPr="0038660A">
          <w:rPr>
            <w:rStyle w:val="Hyperlink"/>
            <w:noProof/>
          </w:rPr>
          <w:t>1(c)</w:t>
        </w:r>
        <w:r w:rsidR="00BC6C49">
          <w:rPr>
            <w:rFonts w:asciiTheme="minorHAnsi" w:eastAsiaTheme="minorEastAsia" w:hAnsiTheme="minorHAnsi" w:cstheme="minorBidi"/>
            <w:noProof/>
            <w:sz w:val="22"/>
            <w:szCs w:val="22"/>
          </w:rPr>
          <w:tab/>
        </w:r>
        <w:r w:rsidR="00BC6C49" w:rsidRPr="0038660A">
          <w:rPr>
            <w:rStyle w:val="Hyperlink"/>
            <w:noProof/>
          </w:rPr>
          <w:t>Statistical Approach</w:t>
        </w:r>
        <w:r w:rsidR="00BC6C49">
          <w:rPr>
            <w:noProof/>
            <w:webHidden/>
          </w:rPr>
          <w:tab/>
        </w:r>
        <w:r w:rsidR="00BC6C49">
          <w:rPr>
            <w:noProof/>
            <w:webHidden/>
          </w:rPr>
          <w:fldChar w:fldCharType="begin"/>
        </w:r>
        <w:r w:rsidR="00BC6C49">
          <w:rPr>
            <w:noProof/>
            <w:webHidden/>
          </w:rPr>
          <w:instrText xml:space="preserve"> PAGEREF _Toc473195109 \h </w:instrText>
        </w:r>
        <w:r w:rsidR="00BC6C49">
          <w:rPr>
            <w:noProof/>
            <w:webHidden/>
          </w:rPr>
        </w:r>
        <w:r w:rsidR="00BC6C49">
          <w:rPr>
            <w:noProof/>
            <w:webHidden/>
          </w:rPr>
          <w:fldChar w:fldCharType="separate"/>
        </w:r>
        <w:r w:rsidR="00957FD1">
          <w:rPr>
            <w:noProof/>
            <w:webHidden/>
          </w:rPr>
          <w:t>27</w:t>
        </w:r>
        <w:r w:rsidR="00BC6C49">
          <w:rPr>
            <w:noProof/>
            <w:webHidden/>
          </w:rPr>
          <w:fldChar w:fldCharType="end"/>
        </w:r>
      </w:hyperlink>
    </w:p>
    <w:p w14:paraId="1D69F152" w14:textId="6D12C5E3" w:rsidR="008C6652" w:rsidRDefault="00EF0CD0">
      <w:pPr>
        <w:pStyle w:val="TOC3"/>
        <w:rPr>
          <w:rFonts w:asciiTheme="minorHAnsi" w:eastAsiaTheme="minorEastAsia" w:hAnsiTheme="minorHAnsi" w:cstheme="minorBidi"/>
          <w:noProof/>
          <w:sz w:val="22"/>
          <w:szCs w:val="22"/>
        </w:rPr>
      </w:pPr>
      <w:hyperlink w:anchor="_Toc473195110" w:history="1">
        <w:r w:rsidR="00BC6C49" w:rsidRPr="0038660A">
          <w:rPr>
            <w:rStyle w:val="Hyperlink"/>
            <w:noProof/>
          </w:rPr>
          <w:t>1(d)</w:t>
        </w:r>
        <w:r w:rsidR="00BC6C49">
          <w:rPr>
            <w:rFonts w:asciiTheme="minorHAnsi" w:eastAsiaTheme="minorEastAsia" w:hAnsiTheme="minorHAnsi" w:cstheme="minorBidi"/>
            <w:noProof/>
            <w:sz w:val="22"/>
            <w:szCs w:val="22"/>
          </w:rPr>
          <w:tab/>
        </w:r>
        <w:r w:rsidR="00BC6C49" w:rsidRPr="0038660A">
          <w:rPr>
            <w:rStyle w:val="Hyperlink"/>
            <w:noProof/>
          </w:rPr>
          <w:t>Feasibility</w:t>
        </w:r>
        <w:r w:rsidR="00BC6C49">
          <w:rPr>
            <w:noProof/>
            <w:webHidden/>
          </w:rPr>
          <w:tab/>
        </w:r>
        <w:r w:rsidR="00BC6C49">
          <w:rPr>
            <w:noProof/>
            <w:webHidden/>
          </w:rPr>
          <w:fldChar w:fldCharType="begin"/>
        </w:r>
        <w:r w:rsidR="00BC6C49">
          <w:rPr>
            <w:noProof/>
            <w:webHidden/>
          </w:rPr>
          <w:instrText xml:space="preserve"> PAGEREF _Toc473195110 \h </w:instrText>
        </w:r>
        <w:r w:rsidR="00BC6C49">
          <w:rPr>
            <w:noProof/>
            <w:webHidden/>
          </w:rPr>
        </w:r>
        <w:r w:rsidR="00BC6C49">
          <w:rPr>
            <w:noProof/>
            <w:webHidden/>
          </w:rPr>
          <w:fldChar w:fldCharType="separate"/>
        </w:r>
        <w:r w:rsidR="00957FD1">
          <w:rPr>
            <w:noProof/>
            <w:webHidden/>
          </w:rPr>
          <w:t>28</w:t>
        </w:r>
        <w:r w:rsidR="00BC6C49">
          <w:rPr>
            <w:noProof/>
            <w:webHidden/>
          </w:rPr>
          <w:fldChar w:fldCharType="end"/>
        </w:r>
      </w:hyperlink>
    </w:p>
    <w:p w14:paraId="045B86E6" w14:textId="043E912D" w:rsidR="008C6652" w:rsidRDefault="00EF0CD0">
      <w:pPr>
        <w:pStyle w:val="TOC2"/>
        <w:rPr>
          <w:rFonts w:asciiTheme="minorHAnsi" w:eastAsiaTheme="minorEastAsia" w:hAnsiTheme="minorHAnsi" w:cstheme="minorBidi"/>
          <w:noProof/>
          <w:sz w:val="22"/>
          <w:szCs w:val="22"/>
        </w:rPr>
      </w:pPr>
      <w:hyperlink w:anchor="_Toc473195111" w:history="1">
        <w:r w:rsidR="00BC6C49" w:rsidRPr="0038660A">
          <w:rPr>
            <w:rStyle w:val="Hyperlink"/>
            <w:noProof/>
          </w:rPr>
          <w:t>2.</w:t>
        </w:r>
        <w:r w:rsidR="00BC6C49">
          <w:rPr>
            <w:rFonts w:asciiTheme="minorHAnsi" w:eastAsiaTheme="minorEastAsia" w:hAnsiTheme="minorHAnsi" w:cstheme="minorBidi"/>
            <w:noProof/>
            <w:sz w:val="22"/>
            <w:szCs w:val="22"/>
          </w:rPr>
          <w:tab/>
        </w:r>
        <w:r w:rsidR="00BC6C49" w:rsidRPr="0038660A">
          <w:rPr>
            <w:rStyle w:val="Hyperlink"/>
            <w:noProof/>
          </w:rPr>
          <w:t>Survey Design</w:t>
        </w:r>
        <w:r w:rsidR="00BC6C49">
          <w:rPr>
            <w:noProof/>
            <w:webHidden/>
          </w:rPr>
          <w:tab/>
        </w:r>
        <w:r w:rsidR="00BC6C49">
          <w:rPr>
            <w:noProof/>
            <w:webHidden/>
          </w:rPr>
          <w:fldChar w:fldCharType="begin"/>
        </w:r>
        <w:r w:rsidR="00BC6C49">
          <w:rPr>
            <w:noProof/>
            <w:webHidden/>
          </w:rPr>
          <w:instrText xml:space="preserve"> PAGEREF _Toc473195111 \h </w:instrText>
        </w:r>
        <w:r w:rsidR="00BC6C49">
          <w:rPr>
            <w:noProof/>
            <w:webHidden/>
          </w:rPr>
        </w:r>
        <w:r w:rsidR="00BC6C49">
          <w:rPr>
            <w:noProof/>
            <w:webHidden/>
          </w:rPr>
          <w:fldChar w:fldCharType="separate"/>
        </w:r>
        <w:r w:rsidR="00957FD1">
          <w:rPr>
            <w:noProof/>
            <w:webHidden/>
          </w:rPr>
          <w:t>28</w:t>
        </w:r>
        <w:r w:rsidR="00BC6C49">
          <w:rPr>
            <w:noProof/>
            <w:webHidden/>
          </w:rPr>
          <w:fldChar w:fldCharType="end"/>
        </w:r>
      </w:hyperlink>
    </w:p>
    <w:p w14:paraId="4652CA32" w14:textId="6F541AA0" w:rsidR="008C6652" w:rsidRDefault="00EF0CD0">
      <w:pPr>
        <w:pStyle w:val="TOC3"/>
        <w:rPr>
          <w:rFonts w:asciiTheme="minorHAnsi" w:eastAsiaTheme="minorEastAsia" w:hAnsiTheme="minorHAnsi" w:cstheme="minorBidi"/>
          <w:noProof/>
          <w:sz w:val="22"/>
          <w:szCs w:val="22"/>
        </w:rPr>
      </w:pPr>
      <w:hyperlink w:anchor="_Toc473195112" w:history="1">
        <w:r w:rsidR="00BC6C49" w:rsidRPr="0038660A">
          <w:rPr>
            <w:rStyle w:val="Hyperlink"/>
            <w:noProof/>
          </w:rPr>
          <w:t>2(a)</w:t>
        </w:r>
        <w:r w:rsidR="00BC6C49">
          <w:rPr>
            <w:rFonts w:asciiTheme="minorHAnsi" w:eastAsiaTheme="minorEastAsia" w:hAnsiTheme="minorHAnsi" w:cstheme="minorBidi"/>
            <w:noProof/>
            <w:sz w:val="22"/>
            <w:szCs w:val="22"/>
          </w:rPr>
          <w:tab/>
        </w:r>
        <w:r w:rsidR="00BC6C49" w:rsidRPr="0038660A">
          <w:rPr>
            <w:rStyle w:val="Hyperlink"/>
            <w:noProof/>
          </w:rPr>
          <w:t>Target Population and Coverage</w:t>
        </w:r>
        <w:r w:rsidR="00BC6C49">
          <w:rPr>
            <w:noProof/>
            <w:webHidden/>
          </w:rPr>
          <w:tab/>
        </w:r>
        <w:r w:rsidR="00BC6C49">
          <w:rPr>
            <w:noProof/>
            <w:webHidden/>
          </w:rPr>
          <w:fldChar w:fldCharType="begin"/>
        </w:r>
        <w:r w:rsidR="00BC6C49">
          <w:rPr>
            <w:noProof/>
            <w:webHidden/>
          </w:rPr>
          <w:instrText xml:space="preserve"> PAGEREF _Toc473195112 \h </w:instrText>
        </w:r>
        <w:r w:rsidR="00BC6C49">
          <w:rPr>
            <w:noProof/>
            <w:webHidden/>
          </w:rPr>
        </w:r>
        <w:r w:rsidR="00BC6C49">
          <w:rPr>
            <w:noProof/>
            <w:webHidden/>
          </w:rPr>
          <w:fldChar w:fldCharType="separate"/>
        </w:r>
        <w:r w:rsidR="00957FD1">
          <w:rPr>
            <w:noProof/>
            <w:webHidden/>
          </w:rPr>
          <w:t>28</w:t>
        </w:r>
        <w:r w:rsidR="00BC6C49">
          <w:rPr>
            <w:noProof/>
            <w:webHidden/>
          </w:rPr>
          <w:fldChar w:fldCharType="end"/>
        </w:r>
      </w:hyperlink>
    </w:p>
    <w:p w14:paraId="7123B32F" w14:textId="088E5D92" w:rsidR="008C6652" w:rsidRDefault="00EF0CD0">
      <w:pPr>
        <w:pStyle w:val="TOC3"/>
        <w:rPr>
          <w:rFonts w:asciiTheme="minorHAnsi" w:eastAsiaTheme="minorEastAsia" w:hAnsiTheme="minorHAnsi" w:cstheme="minorBidi"/>
          <w:noProof/>
          <w:sz w:val="22"/>
          <w:szCs w:val="22"/>
        </w:rPr>
      </w:pPr>
      <w:hyperlink w:anchor="_Toc473195113" w:history="1">
        <w:r w:rsidR="00BC6C49" w:rsidRPr="0038660A">
          <w:rPr>
            <w:rStyle w:val="Hyperlink"/>
            <w:noProof/>
          </w:rPr>
          <w:t>2(b)</w:t>
        </w:r>
        <w:r w:rsidR="00BC6C49">
          <w:rPr>
            <w:rFonts w:asciiTheme="minorHAnsi" w:eastAsiaTheme="minorEastAsia" w:hAnsiTheme="minorHAnsi" w:cstheme="minorBidi"/>
            <w:noProof/>
            <w:sz w:val="22"/>
            <w:szCs w:val="22"/>
          </w:rPr>
          <w:tab/>
        </w:r>
        <w:r w:rsidR="00BC6C49" w:rsidRPr="0038660A">
          <w:rPr>
            <w:rStyle w:val="Hyperlink"/>
            <w:noProof/>
          </w:rPr>
          <w:t>Sampling Design</w:t>
        </w:r>
        <w:r w:rsidR="00BC6C49">
          <w:rPr>
            <w:noProof/>
            <w:webHidden/>
          </w:rPr>
          <w:tab/>
        </w:r>
        <w:r w:rsidR="00BC6C49">
          <w:rPr>
            <w:noProof/>
            <w:webHidden/>
          </w:rPr>
          <w:fldChar w:fldCharType="begin"/>
        </w:r>
        <w:r w:rsidR="00BC6C49">
          <w:rPr>
            <w:noProof/>
            <w:webHidden/>
          </w:rPr>
          <w:instrText xml:space="preserve"> PAGEREF _Toc473195113 \h </w:instrText>
        </w:r>
        <w:r w:rsidR="00BC6C49">
          <w:rPr>
            <w:noProof/>
            <w:webHidden/>
          </w:rPr>
        </w:r>
        <w:r w:rsidR="00BC6C49">
          <w:rPr>
            <w:noProof/>
            <w:webHidden/>
          </w:rPr>
          <w:fldChar w:fldCharType="separate"/>
        </w:r>
        <w:r w:rsidR="00957FD1">
          <w:rPr>
            <w:noProof/>
            <w:webHidden/>
          </w:rPr>
          <w:t>29</w:t>
        </w:r>
        <w:r w:rsidR="00BC6C49">
          <w:rPr>
            <w:noProof/>
            <w:webHidden/>
          </w:rPr>
          <w:fldChar w:fldCharType="end"/>
        </w:r>
      </w:hyperlink>
    </w:p>
    <w:p w14:paraId="019DF5CF" w14:textId="58A85DD0" w:rsidR="008C6652" w:rsidRDefault="00EF0CD0">
      <w:pPr>
        <w:pStyle w:val="TOC3"/>
        <w:rPr>
          <w:rFonts w:asciiTheme="minorHAnsi" w:eastAsiaTheme="minorEastAsia" w:hAnsiTheme="minorHAnsi" w:cstheme="minorBidi"/>
          <w:noProof/>
          <w:sz w:val="22"/>
          <w:szCs w:val="22"/>
        </w:rPr>
      </w:pPr>
      <w:hyperlink w:anchor="_Toc473195114" w:history="1">
        <w:r w:rsidR="00BC6C49" w:rsidRPr="0038660A">
          <w:rPr>
            <w:rStyle w:val="Hyperlink"/>
            <w:noProof/>
          </w:rPr>
          <w:t>2(c)</w:t>
        </w:r>
        <w:r w:rsidR="00BC6C49">
          <w:rPr>
            <w:rFonts w:asciiTheme="minorHAnsi" w:eastAsiaTheme="minorEastAsia" w:hAnsiTheme="minorHAnsi" w:cstheme="minorBidi"/>
            <w:noProof/>
            <w:sz w:val="22"/>
            <w:szCs w:val="22"/>
          </w:rPr>
          <w:tab/>
        </w:r>
        <w:r w:rsidR="00BC6C49" w:rsidRPr="0038660A">
          <w:rPr>
            <w:rStyle w:val="Hyperlink"/>
            <w:noProof/>
          </w:rPr>
          <w:t>Precision Requirements</w:t>
        </w:r>
        <w:r w:rsidR="00BC6C49">
          <w:rPr>
            <w:noProof/>
            <w:webHidden/>
          </w:rPr>
          <w:tab/>
        </w:r>
        <w:r w:rsidR="00BC6C49">
          <w:rPr>
            <w:noProof/>
            <w:webHidden/>
          </w:rPr>
          <w:fldChar w:fldCharType="begin"/>
        </w:r>
        <w:r w:rsidR="00BC6C49">
          <w:rPr>
            <w:noProof/>
            <w:webHidden/>
          </w:rPr>
          <w:instrText xml:space="preserve"> PAGEREF _Toc473195114 \h </w:instrText>
        </w:r>
        <w:r w:rsidR="00BC6C49">
          <w:rPr>
            <w:noProof/>
            <w:webHidden/>
          </w:rPr>
        </w:r>
        <w:r w:rsidR="00BC6C49">
          <w:rPr>
            <w:noProof/>
            <w:webHidden/>
          </w:rPr>
          <w:fldChar w:fldCharType="separate"/>
        </w:r>
        <w:r w:rsidR="00957FD1">
          <w:rPr>
            <w:noProof/>
            <w:webHidden/>
          </w:rPr>
          <w:t>33</w:t>
        </w:r>
        <w:r w:rsidR="00BC6C49">
          <w:rPr>
            <w:noProof/>
            <w:webHidden/>
          </w:rPr>
          <w:fldChar w:fldCharType="end"/>
        </w:r>
      </w:hyperlink>
    </w:p>
    <w:p w14:paraId="23EBB0B0" w14:textId="4E23E21B" w:rsidR="008C6652" w:rsidRDefault="00EF0CD0">
      <w:pPr>
        <w:pStyle w:val="TOC3"/>
        <w:rPr>
          <w:rFonts w:asciiTheme="minorHAnsi" w:eastAsiaTheme="minorEastAsia" w:hAnsiTheme="minorHAnsi" w:cstheme="minorBidi"/>
          <w:noProof/>
          <w:sz w:val="22"/>
          <w:szCs w:val="22"/>
        </w:rPr>
      </w:pPr>
      <w:hyperlink w:anchor="_Toc473195115" w:history="1">
        <w:r w:rsidR="00BC6C49" w:rsidRPr="0038660A">
          <w:rPr>
            <w:rStyle w:val="Hyperlink"/>
            <w:noProof/>
          </w:rPr>
          <w:t>2(d)</w:t>
        </w:r>
        <w:r w:rsidR="00BC6C49">
          <w:rPr>
            <w:rFonts w:asciiTheme="minorHAnsi" w:eastAsiaTheme="minorEastAsia" w:hAnsiTheme="minorHAnsi" w:cstheme="minorBidi"/>
            <w:noProof/>
            <w:sz w:val="22"/>
            <w:szCs w:val="22"/>
          </w:rPr>
          <w:tab/>
        </w:r>
        <w:r w:rsidR="00BC6C49" w:rsidRPr="0038660A">
          <w:rPr>
            <w:rStyle w:val="Hyperlink"/>
            <w:noProof/>
          </w:rPr>
          <w:t>Questionnaire and Mail Materials Design</w:t>
        </w:r>
        <w:r w:rsidR="00BC6C49">
          <w:rPr>
            <w:noProof/>
            <w:webHidden/>
          </w:rPr>
          <w:tab/>
        </w:r>
        <w:r w:rsidR="00BC6C49">
          <w:rPr>
            <w:noProof/>
            <w:webHidden/>
          </w:rPr>
          <w:fldChar w:fldCharType="begin"/>
        </w:r>
        <w:r w:rsidR="00BC6C49">
          <w:rPr>
            <w:noProof/>
            <w:webHidden/>
          </w:rPr>
          <w:instrText xml:space="preserve"> PAGEREF _Toc473195115 \h </w:instrText>
        </w:r>
        <w:r w:rsidR="00BC6C49">
          <w:rPr>
            <w:noProof/>
            <w:webHidden/>
          </w:rPr>
        </w:r>
        <w:r w:rsidR="00BC6C49">
          <w:rPr>
            <w:noProof/>
            <w:webHidden/>
          </w:rPr>
          <w:fldChar w:fldCharType="separate"/>
        </w:r>
        <w:r w:rsidR="00957FD1">
          <w:rPr>
            <w:noProof/>
            <w:webHidden/>
          </w:rPr>
          <w:t>38</w:t>
        </w:r>
        <w:r w:rsidR="00BC6C49">
          <w:rPr>
            <w:noProof/>
            <w:webHidden/>
          </w:rPr>
          <w:fldChar w:fldCharType="end"/>
        </w:r>
      </w:hyperlink>
    </w:p>
    <w:p w14:paraId="23E6030B" w14:textId="51A61514" w:rsidR="008C6652" w:rsidRDefault="00EF0CD0">
      <w:pPr>
        <w:pStyle w:val="TOC2"/>
        <w:rPr>
          <w:rFonts w:asciiTheme="minorHAnsi" w:eastAsiaTheme="minorEastAsia" w:hAnsiTheme="minorHAnsi" w:cstheme="minorBidi"/>
          <w:noProof/>
          <w:sz w:val="22"/>
          <w:szCs w:val="22"/>
        </w:rPr>
      </w:pPr>
      <w:hyperlink w:anchor="_Toc473195116" w:history="1">
        <w:r w:rsidR="00BC6C49" w:rsidRPr="0038660A">
          <w:rPr>
            <w:rStyle w:val="Hyperlink"/>
            <w:noProof/>
          </w:rPr>
          <w:t>3.</w:t>
        </w:r>
        <w:r w:rsidR="00BC6C49">
          <w:rPr>
            <w:rFonts w:asciiTheme="minorHAnsi" w:eastAsiaTheme="minorEastAsia" w:hAnsiTheme="minorHAnsi" w:cstheme="minorBidi"/>
            <w:noProof/>
            <w:sz w:val="22"/>
            <w:szCs w:val="22"/>
          </w:rPr>
          <w:tab/>
        </w:r>
        <w:r w:rsidR="00BC6C49" w:rsidRPr="0038660A">
          <w:rPr>
            <w:rStyle w:val="Hyperlink"/>
            <w:noProof/>
          </w:rPr>
          <w:t>Pretests</w:t>
        </w:r>
        <w:r w:rsidR="00BC6C49">
          <w:rPr>
            <w:noProof/>
            <w:webHidden/>
          </w:rPr>
          <w:tab/>
        </w:r>
        <w:r w:rsidR="00BC6C49">
          <w:rPr>
            <w:noProof/>
            <w:webHidden/>
          </w:rPr>
          <w:fldChar w:fldCharType="begin"/>
        </w:r>
        <w:r w:rsidR="00BC6C49">
          <w:rPr>
            <w:noProof/>
            <w:webHidden/>
          </w:rPr>
          <w:instrText xml:space="preserve"> PAGEREF _Toc473195116 \h </w:instrText>
        </w:r>
        <w:r w:rsidR="00BC6C49">
          <w:rPr>
            <w:noProof/>
            <w:webHidden/>
          </w:rPr>
        </w:r>
        <w:r w:rsidR="00BC6C49">
          <w:rPr>
            <w:noProof/>
            <w:webHidden/>
          </w:rPr>
          <w:fldChar w:fldCharType="separate"/>
        </w:r>
        <w:r w:rsidR="00957FD1">
          <w:rPr>
            <w:noProof/>
            <w:webHidden/>
          </w:rPr>
          <w:t>44</w:t>
        </w:r>
        <w:r w:rsidR="00BC6C49">
          <w:rPr>
            <w:noProof/>
            <w:webHidden/>
          </w:rPr>
          <w:fldChar w:fldCharType="end"/>
        </w:r>
      </w:hyperlink>
    </w:p>
    <w:p w14:paraId="4A0F7754" w14:textId="6B836FFD" w:rsidR="008C6652" w:rsidRDefault="00EF0CD0">
      <w:pPr>
        <w:pStyle w:val="TOC2"/>
        <w:rPr>
          <w:rFonts w:asciiTheme="minorHAnsi" w:eastAsiaTheme="minorEastAsia" w:hAnsiTheme="minorHAnsi" w:cstheme="minorBidi"/>
          <w:noProof/>
          <w:sz w:val="22"/>
          <w:szCs w:val="22"/>
        </w:rPr>
      </w:pPr>
      <w:hyperlink w:anchor="_Toc473195117" w:history="1">
        <w:r w:rsidR="00BC6C49" w:rsidRPr="0038660A">
          <w:rPr>
            <w:rStyle w:val="Hyperlink"/>
            <w:noProof/>
          </w:rPr>
          <w:t>4.</w:t>
        </w:r>
        <w:r w:rsidR="00BC6C49">
          <w:rPr>
            <w:rFonts w:asciiTheme="minorHAnsi" w:eastAsiaTheme="minorEastAsia" w:hAnsiTheme="minorHAnsi" w:cstheme="minorBidi"/>
            <w:noProof/>
            <w:sz w:val="22"/>
            <w:szCs w:val="22"/>
          </w:rPr>
          <w:tab/>
        </w:r>
        <w:r w:rsidR="00BC6C49" w:rsidRPr="0038660A">
          <w:rPr>
            <w:rStyle w:val="Hyperlink"/>
            <w:noProof/>
          </w:rPr>
          <w:t>Collection Methods and Follow-up</w:t>
        </w:r>
        <w:r w:rsidR="00BC6C49">
          <w:rPr>
            <w:noProof/>
            <w:webHidden/>
          </w:rPr>
          <w:tab/>
        </w:r>
        <w:r w:rsidR="00BC6C49">
          <w:rPr>
            <w:noProof/>
            <w:webHidden/>
          </w:rPr>
          <w:fldChar w:fldCharType="begin"/>
        </w:r>
        <w:r w:rsidR="00BC6C49">
          <w:rPr>
            <w:noProof/>
            <w:webHidden/>
          </w:rPr>
          <w:instrText xml:space="preserve"> PAGEREF _Toc473195117 \h </w:instrText>
        </w:r>
        <w:r w:rsidR="00BC6C49">
          <w:rPr>
            <w:noProof/>
            <w:webHidden/>
          </w:rPr>
        </w:r>
        <w:r w:rsidR="00BC6C49">
          <w:rPr>
            <w:noProof/>
            <w:webHidden/>
          </w:rPr>
          <w:fldChar w:fldCharType="separate"/>
        </w:r>
        <w:r w:rsidR="00957FD1">
          <w:rPr>
            <w:noProof/>
            <w:webHidden/>
          </w:rPr>
          <w:t>45</w:t>
        </w:r>
        <w:r w:rsidR="00BC6C49">
          <w:rPr>
            <w:noProof/>
            <w:webHidden/>
          </w:rPr>
          <w:fldChar w:fldCharType="end"/>
        </w:r>
      </w:hyperlink>
    </w:p>
    <w:p w14:paraId="4E61A7CC" w14:textId="2C6C20F1" w:rsidR="008C6652" w:rsidRDefault="00EF0CD0">
      <w:pPr>
        <w:pStyle w:val="TOC3"/>
        <w:rPr>
          <w:rFonts w:asciiTheme="minorHAnsi" w:eastAsiaTheme="minorEastAsia" w:hAnsiTheme="minorHAnsi" w:cstheme="minorBidi"/>
          <w:noProof/>
          <w:sz w:val="22"/>
          <w:szCs w:val="22"/>
        </w:rPr>
      </w:pPr>
      <w:hyperlink w:anchor="_Toc473195118" w:history="1">
        <w:r w:rsidR="00BC6C49" w:rsidRPr="0038660A">
          <w:rPr>
            <w:rStyle w:val="Hyperlink"/>
            <w:noProof/>
          </w:rPr>
          <w:t>4(a)</w:t>
        </w:r>
        <w:r w:rsidR="00BC6C49">
          <w:rPr>
            <w:rFonts w:asciiTheme="minorHAnsi" w:eastAsiaTheme="minorEastAsia" w:hAnsiTheme="minorHAnsi" w:cstheme="minorBidi"/>
            <w:noProof/>
            <w:sz w:val="22"/>
            <w:szCs w:val="22"/>
          </w:rPr>
          <w:tab/>
        </w:r>
        <w:r w:rsidR="00BC6C49" w:rsidRPr="0038660A">
          <w:rPr>
            <w:rStyle w:val="Hyperlink"/>
            <w:noProof/>
          </w:rPr>
          <w:t>Collection Methods</w:t>
        </w:r>
        <w:r w:rsidR="00BC6C49">
          <w:rPr>
            <w:noProof/>
            <w:webHidden/>
          </w:rPr>
          <w:tab/>
        </w:r>
        <w:r w:rsidR="00BC6C49">
          <w:rPr>
            <w:noProof/>
            <w:webHidden/>
          </w:rPr>
          <w:fldChar w:fldCharType="begin"/>
        </w:r>
        <w:r w:rsidR="00BC6C49">
          <w:rPr>
            <w:noProof/>
            <w:webHidden/>
          </w:rPr>
          <w:instrText xml:space="preserve"> PAGEREF _Toc473195118 \h </w:instrText>
        </w:r>
        <w:r w:rsidR="00BC6C49">
          <w:rPr>
            <w:noProof/>
            <w:webHidden/>
          </w:rPr>
        </w:r>
        <w:r w:rsidR="00BC6C49">
          <w:rPr>
            <w:noProof/>
            <w:webHidden/>
          </w:rPr>
          <w:fldChar w:fldCharType="separate"/>
        </w:r>
        <w:r w:rsidR="00957FD1">
          <w:rPr>
            <w:noProof/>
            <w:webHidden/>
          </w:rPr>
          <w:t>45</w:t>
        </w:r>
        <w:r w:rsidR="00BC6C49">
          <w:rPr>
            <w:noProof/>
            <w:webHidden/>
          </w:rPr>
          <w:fldChar w:fldCharType="end"/>
        </w:r>
      </w:hyperlink>
    </w:p>
    <w:p w14:paraId="136F09D7" w14:textId="4B3883E8" w:rsidR="008C6652" w:rsidRDefault="00EF0CD0">
      <w:pPr>
        <w:pStyle w:val="TOC3"/>
        <w:rPr>
          <w:rFonts w:asciiTheme="minorHAnsi" w:eastAsiaTheme="minorEastAsia" w:hAnsiTheme="minorHAnsi" w:cstheme="minorBidi"/>
          <w:noProof/>
          <w:sz w:val="22"/>
          <w:szCs w:val="22"/>
        </w:rPr>
      </w:pPr>
      <w:hyperlink w:anchor="_Toc473195119" w:history="1">
        <w:r w:rsidR="008C6652" w:rsidRPr="0038660A">
          <w:rPr>
            <w:rStyle w:val="Hyperlink"/>
            <w:noProof/>
          </w:rPr>
          <w:t>4(b)</w:t>
        </w:r>
        <w:r w:rsidR="008C6652">
          <w:rPr>
            <w:rFonts w:asciiTheme="minorHAnsi" w:eastAsiaTheme="minorEastAsia" w:hAnsiTheme="minorHAnsi" w:cstheme="minorBidi"/>
            <w:noProof/>
            <w:sz w:val="22"/>
            <w:szCs w:val="22"/>
          </w:rPr>
          <w:tab/>
        </w:r>
        <w:r w:rsidR="008C6652" w:rsidRPr="0038660A">
          <w:rPr>
            <w:rStyle w:val="Hyperlink"/>
            <w:noProof/>
          </w:rPr>
          <w:t>Survey Response and Follow-up</w:t>
        </w:r>
        <w:r w:rsidR="008C6652">
          <w:rPr>
            <w:noProof/>
            <w:webHidden/>
          </w:rPr>
          <w:tab/>
        </w:r>
        <w:r w:rsidR="008C6652">
          <w:rPr>
            <w:noProof/>
            <w:webHidden/>
          </w:rPr>
          <w:fldChar w:fldCharType="begin"/>
        </w:r>
        <w:r w:rsidR="008C6652">
          <w:rPr>
            <w:noProof/>
            <w:webHidden/>
          </w:rPr>
          <w:instrText xml:space="preserve"> PAGEREF _Toc473195119 \h </w:instrText>
        </w:r>
        <w:r w:rsidR="008C6652">
          <w:rPr>
            <w:noProof/>
            <w:webHidden/>
          </w:rPr>
        </w:r>
        <w:r w:rsidR="008C6652">
          <w:rPr>
            <w:noProof/>
            <w:webHidden/>
          </w:rPr>
          <w:fldChar w:fldCharType="separate"/>
        </w:r>
        <w:r w:rsidR="00957FD1">
          <w:rPr>
            <w:noProof/>
            <w:webHidden/>
          </w:rPr>
          <w:t>45</w:t>
        </w:r>
        <w:r w:rsidR="008C6652">
          <w:rPr>
            <w:noProof/>
            <w:webHidden/>
          </w:rPr>
          <w:fldChar w:fldCharType="end"/>
        </w:r>
      </w:hyperlink>
    </w:p>
    <w:p w14:paraId="25D93095" w14:textId="52294AA0" w:rsidR="008C6652" w:rsidRDefault="00EF0CD0">
      <w:pPr>
        <w:pStyle w:val="TOC2"/>
        <w:rPr>
          <w:rFonts w:asciiTheme="minorHAnsi" w:eastAsiaTheme="minorEastAsia" w:hAnsiTheme="minorHAnsi" w:cstheme="minorBidi"/>
          <w:noProof/>
          <w:sz w:val="22"/>
          <w:szCs w:val="22"/>
        </w:rPr>
      </w:pPr>
      <w:hyperlink w:anchor="_Toc473195120" w:history="1">
        <w:r w:rsidR="00BC6C49" w:rsidRPr="0038660A">
          <w:rPr>
            <w:rStyle w:val="Hyperlink"/>
            <w:noProof/>
          </w:rPr>
          <w:t>5.</w:t>
        </w:r>
        <w:r w:rsidR="00BC6C49">
          <w:rPr>
            <w:rFonts w:asciiTheme="minorHAnsi" w:eastAsiaTheme="minorEastAsia" w:hAnsiTheme="minorHAnsi" w:cstheme="minorBidi"/>
            <w:noProof/>
            <w:sz w:val="22"/>
            <w:szCs w:val="22"/>
          </w:rPr>
          <w:tab/>
        </w:r>
        <w:r w:rsidR="00BC6C49" w:rsidRPr="0038660A">
          <w:rPr>
            <w:rStyle w:val="Hyperlink"/>
            <w:noProof/>
          </w:rPr>
          <w:t>Analyzing and Reporting Survey Results</w:t>
        </w:r>
        <w:r w:rsidR="00BC6C49">
          <w:rPr>
            <w:noProof/>
            <w:webHidden/>
          </w:rPr>
          <w:tab/>
        </w:r>
        <w:r w:rsidR="00BC6C49">
          <w:rPr>
            <w:noProof/>
            <w:webHidden/>
          </w:rPr>
          <w:fldChar w:fldCharType="begin"/>
        </w:r>
        <w:r w:rsidR="00BC6C49">
          <w:rPr>
            <w:noProof/>
            <w:webHidden/>
          </w:rPr>
          <w:instrText xml:space="preserve"> PAGEREF _Toc473195120 \h </w:instrText>
        </w:r>
        <w:r w:rsidR="00BC6C49">
          <w:rPr>
            <w:noProof/>
            <w:webHidden/>
          </w:rPr>
        </w:r>
        <w:r w:rsidR="00BC6C49">
          <w:rPr>
            <w:noProof/>
            <w:webHidden/>
          </w:rPr>
          <w:fldChar w:fldCharType="separate"/>
        </w:r>
        <w:r w:rsidR="00957FD1">
          <w:rPr>
            <w:noProof/>
            <w:webHidden/>
          </w:rPr>
          <w:t>46</w:t>
        </w:r>
        <w:r w:rsidR="00BC6C49">
          <w:rPr>
            <w:noProof/>
            <w:webHidden/>
          </w:rPr>
          <w:fldChar w:fldCharType="end"/>
        </w:r>
      </w:hyperlink>
    </w:p>
    <w:p w14:paraId="182995CE" w14:textId="1520B2D2" w:rsidR="008C6652" w:rsidRDefault="00EF0CD0">
      <w:pPr>
        <w:pStyle w:val="TOC3"/>
        <w:rPr>
          <w:rFonts w:asciiTheme="minorHAnsi" w:eastAsiaTheme="minorEastAsia" w:hAnsiTheme="minorHAnsi" w:cstheme="minorBidi"/>
          <w:noProof/>
          <w:sz w:val="22"/>
          <w:szCs w:val="22"/>
        </w:rPr>
      </w:pPr>
      <w:hyperlink w:anchor="_Toc473195121" w:history="1">
        <w:r w:rsidR="00BC6C49" w:rsidRPr="0038660A">
          <w:rPr>
            <w:rStyle w:val="Hyperlink"/>
            <w:noProof/>
          </w:rPr>
          <w:t>5(a)</w:t>
        </w:r>
        <w:r w:rsidR="00BC6C49">
          <w:rPr>
            <w:rFonts w:asciiTheme="minorHAnsi" w:eastAsiaTheme="minorEastAsia" w:hAnsiTheme="minorHAnsi" w:cstheme="minorBidi"/>
            <w:noProof/>
            <w:sz w:val="22"/>
            <w:szCs w:val="22"/>
          </w:rPr>
          <w:tab/>
        </w:r>
        <w:r w:rsidR="00BC6C49" w:rsidRPr="0038660A">
          <w:rPr>
            <w:rStyle w:val="Hyperlink"/>
            <w:noProof/>
          </w:rPr>
          <w:t>Data Preparation</w:t>
        </w:r>
        <w:r w:rsidR="00BC6C49">
          <w:rPr>
            <w:noProof/>
            <w:webHidden/>
          </w:rPr>
          <w:tab/>
        </w:r>
        <w:r w:rsidR="00BC6C49">
          <w:rPr>
            <w:noProof/>
            <w:webHidden/>
          </w:rPr>
          <w:fldChar w:fldCharType="begin"/>
        </w:r>
        <w:r w:rsidR="00BC6C49">
          <w:rPr>
            <w:noProof/>
            <w:webHidden/>
          </w:rPr>
          <w:instrText xml:space="preserve"> PAGEREF _Toc473195121 \h </w:instrText>
        </w:r>
        <w:r w:rsidR="00BC6C49">
          <w:rPr>
            <w:noProof/>
            <w:webHidden/>
          </w:rPr>
        </w:r>
        <w:r w:rsidR="00BC6C49">
          <w:rPr>
            <w:noProof/>
            <w:webHidden/>
          </w:rPr>
          <w:fldChar w:fldCharType="separate"/>
        </w:r>
        <w:r w:rsidR="00957FD1">
          <w:rPr>
            <w:noProof/>
            <w:webHidden/>
          </w:rPr>
          <w:t>46</w:t>
        </w:r>
        <w:r w:rsidR="00BC6C49">
          <w:rPr>
            <w:noProof/>
            <w:webHidden/>
          </w:rPr>
          <w:fldChar w:fldCharType="end"/>
        </w:r>
      </w:hyperlink>
    </w:p>
    <w:p w14:paraId="0E64B2DE" w14:textId="2278DBD6" w:rsidR="008C6652" w:rsidRDefault="00EF0CD0">
      <w:pPr>
        <w:pStyle w:val="TOC3"/>
        <w:rPr>
          <w:rFonts w:asciiTheme="minorHAnsi" w:eastAsiaTheme="minorEastAsia" w:hAnsiTheme="minorHAnsi" w:cstheme="minorBidi"/>
          <w:noProof/>
          <w:sz w:val="22"/>
          <w:szCs w:val="22"/>
        </w:rPr>
      </w:pPr>
      <w:hyperlink w:anchor="_Toc473195122" w:history="1">
        <w:r w:rsidR="00BC6C49" w:rsidRPr="0038660A">
          <w:rPr>
            <w:rStyle w:val="Hyperlink"/>
            <w:noProof/>
          </w:rPr>
          <w:t>5(b)</w:t>
        </w:r>
        <w:r w:rsidR="00BC6C49">
          <w:rPr>
            <w:rFonts w:asciiTheme="minorHAnsi" w:eastAsiaTheme="minorEastAsia" w:hAnsiTheme="minorHAnsi" w:cstheme="minorBidi"/>
            <w:noProof/>
            <w:sz w:val="22"/>
            <w:szCs w:val="22"/>
          </w:rPr>
          <w:tab/>
        </w:r>
        <w:r w:rsidR="00BC6C49" w:rsidRPr="0038660A">
          <w:rPr>
            <w:rStyle w:val="Hyperlink"/>
            <w:noProof/>
          </w:rPr>
          <w:t>Analysis</w:t>
        </w:r>
        <w:r w:rsidR="00BC6C49">
          <w:rPr>
            <w:noProof/>
            <w:webHidden/>
          </w:rPr>
          <w:tab/>
        </w:r>
        <w:r w:rsidR="00BC6C49">
          <w:rPr>
            <w:noProof/>
            <w:webHidden/>
          </w:rPr>
          <w:fldChar w:fldCharType="begin"/>
        </w:r>
        <w:r w:rsidR="00BC6C49">
          <w:rPr>
            <w:noProof/>
            <w:webHidden/>
          </w:rPr>
          <w:instrText xml:space="preserve"> PAGEREF _Toc473195122 \h </w:instrText>
        </w:r>
        <w:r w:rsidR="00BC6C49">
          <w:rPr>
            <w:noProof/>
            <w:webHidden/>
          </w:rPr>
        </w:r>
        <w:r w:rsidR="00BC6C49">
          <w:rPr>
            <w:noProof/>
            <w:webHidden/>
          </w:rPr>
          <w:fldChar w:fldCharType="separate"/>
        </w:r>
        <w:r w:rsidR="00957FD1">
          <w:rPr>
            <w:noProof/>
            <w:webHidden/>
          </w:rPr>
          <w:t>46</w:t>
        </w:r>
        <w:r w:rsidR="00BC6C49">
          <w:rPr>
            <w:noProof/>
            <w:webHidden/>
          </w:rPr>
          <w:fldChar w:fldCharType="end"/>
        </w:r>
      </w:hyperlink>
    </w:p>
    <w:p w14:paraId="482E9683" w14:textId="11966767" w:rsidR="008C6652" w:rsidRDefault="00EF0CD0">
      <w:pPr>
        <w:pStyle w:val="TOC3"/>
        <w:rPr>
          <w:rFonts w:asciiTheme="minorHAnsi" w:eastAsiaTheme="minorEastAsia" w:hAnsiTheme="minorHAnsi" w:cstheme="minorBidi"/>
          <w:noProof/>
          <w:sz w:val="22"/>
          <w:szCs w:val="22"/>
        </w:rPr>
      </w:pPr>
      <w:hyperlink w:anchor="_Toc473195123" w:history="1">
        <w:r w:rsidR="00BC6C49" w:rsidRPr="0038660A">
          <w:rPr>
            <w:rStyle w:val="Hyperlink"/>
            <w:noProof/>
          </w:rPr>
          <w:t>5(c)</w:t>
        </w:r>
        <w:r w:rsidR="00BC6C49">
          <w:rPr>
            <w:rFonts w:asciiTheme="minorHAnsi" w:eastAsiaTheme="minorEastAsia" w:hAnsiTheme="minorHAnsi" w:cstheme="minorBidi"/>
            <w:noProof/>
            <w:sz w:val="22"/>
            <w:szCs w:val="22"/>
          </w:rPr>
          <w:tab/>
        </w:r>
        <w:r w:rsidR="00BC6C49" w:rsidRPr="0038660A">
          <w:rPr>
            <w:rStyle w:val="Hyperlink"/>
            <w:noProof/>
          </w:rPr>
          <w:t>Reporting Results</w:t>
        </w:r>
        <w:r w:rsidR="00BC6C49">
          <w:rPr>
            <w:noProof/>
            <w:webHidden/>
          </w:rPr>
          <w:tab/>
        </w:r>
        <w:r w:rsidR="00BC6C49">
          <w:rPr>
            <w:noProof/>
            <w:webHidden/>
          </w:rPr>
          <w:fldChar w:fldCharType="begin"/>
        </w:r>
        <w:r w:rsidR="00BC6C49">
          <w:rPr>
            <w:noProof/>
            <w:webHidden/>
          </w:rPr>
          <w:instrText xml:space="preserve"> PAGEREF _Toc473195123 \h </w:instrText>
        </w:r>
        <w:r w:rsidR="00BC6C49">
          <w:rPr>
            <w:noProof/>
            <w:webHidden/>
          </w:rPr>
        </w:r>
        <w:r w:rsidR="00BC6C49">
          <w:rPr>
            <w:noProof/>
            <w:webHidden/>
          </w:rPr>
          <w:fldChar w:fldCharType="separate"/>
        </w:r>
        <w:r w:rsidR="00957FD1">
          <w:rPr>
            <w:noProof/>
            <w:webHidden/>
          </w:rPr>
          <w:t>50</w:t>
        </w:r>
        <w:r w:rsidR="00BC6C49">
          <w:rPr>
            <w:noProof/>
            <w:webHidden/>
          </w:rPr>
          <w:fldChar w:fldCharType="end"/>
        </w:r>
      </w:hyperlink>
    </w:p>
    <w:p w14:paraId="3E50EB58" w14:textId="531653EA" w:rsidR="008C6652" w:rsidRDefault="00EF0CD0">
      <w:pPr>
        <w:pStyle w:val="TOC1"/>
        <w:rPr>
          <w:rFonts w:asciiTheme="minorHAnsi" w:eastAsiaTheme="minorEastAsia" w:hAnsiTheme="minorHAnsi" w:cstheme="minorBidi"/>
          <w:noProof/>
          <w:sz w:val="22"/>
          <w:szCs w:val="22"/>
        </w:rPr>
      </w:pPr>
      <w:hyperlink w:anchor="_Toc473195124" w:history="1">
        <w:r w:rsidR="00BC6C49" w:rsidRPr="0038660A">
          <w:rPr>
            <w:rStyle w:val="Hyperlink"/>
            <w:noProof/>
          </w:rPr>
          <w:t>REFERENCES</w:t>
        </w:r>
        <w:r w:rsidR="00BC6C49">
          <w:rPr>
            <w:noProof/>
            <w:webHidden/>
          </w:rPr>
          <w:tab/>
          <w:t>50</w:t>
        </w:r>
      </w:hyperlink>
    </w:p>
    <w:p w14:paraId="39271CF8" w14:textId="01CFF5DF" w:rsidR="0091583F" w:rsidRPr="00DF48C0" w:rsidRDefault="001D409C" w:rsidP="0091583F">
      <w:pPr>
        <w:rPr>
          <w:rFonts w:cs="Times New Roman"/>
          <w:i/>
        </w:rPr>
        <w:sectPr w:rsidR="0091583F" w:rsidRPr="00DF48C0">
          <w:type w:val="continuous"/>
          <w:pgSz w:w="12240" w:h="15840"/>
          <w:pgMar w:top="1440" w:right="1440" w:bottom="720" w:left="1440" w:header="720" w:footer="720" w:gutter="0"/>
          <w:pgNumType w:start="1"/>
          <w:cols w:space="720"/>
          <w:docGrid w:linePitch="360"/>
        </w:sectPr>
      </w:pPr>
      <w:r w:rsidRPr="00DF48C0">
        <w:rPr>
          <w:rFonts w:cs="Times New Roman"/>
          <w:i/>
        </w:rPr>
        <w:fldChar w:fldCharType="end"/>
      </w:r>
    </w:p>
    <w:p w14:paraId="2C8F2572" w14:textId="77777777" w:rsidR="0091583F" w:rsidRPr="00DF48C0" w:rsidRDefault="0091583F" w:rsidP="00DF1064">
      <w:pPr>
        <w:pStyle w:val="Heading1"/>
        <w:jc w:val="left"/>
        <w:rPr>
          <w:sz w:val="22"/>
          <w:szCs w:val="22"/>
        </w:rPr>
      </w:pPr>
    </w:p>
    <w:p w14:paraId="0A9C479B" w14:textId="77777777" w:rsidR="0091583F" w:rsidRPr="0064353E" w:rsidRDefault="0091583F" w:rsidP="0091583F">
      <w:pPr>
        <w:pStyle w:val="Heading2"/>
        <w:rPr>
          <w:sz w:val="22"/>
          <w:szCs w:val="22"/>
        </w:rPr>
      </w:pPr>
      <w:r w:rsidRPr="00DF48C0">
        <w:rPr>
          <w:sz w:val="22"/>
          <w:szCs w:val="22"/>
        </w:rPr>
        <w:tab/>
      </w:r>
      <w:bookmarkStart w:id="2" w:name="_Toc473195073"/>
      <w:r w:rsidRPr="0064353E">
        <w:rPr>
          <w:sz w:val="22"/>
          <w:szCs w:val="22"/>
        </w:rPr>
        <w:t>List of Attachments</w:t>
      </w:r>
      <w:bookmarkEnd w:id="2"/>
    </w:p>
    <w:p w14:paraId="010E5DBB" w14:textId="7F0AB318" w:rsidR="00340882" w:rsidRDefault="0091583F" w:rsidP="0091583F">
      <w:pPr>
        <w:spacing w:line="360" w:lineRule="auto"/>
        <w:ind w:left="720"/>
        <w:rPr>
          <w:rFonts w:cs="Times New Roman"/>
        </w:rPr>
      </w:pPr>
      <w:r w:rsidRPr="0064353E">
        <w:rPr>
          <w:rFonts w:cs="Times New Roman"/>
        </w:rPr>
        <w:t>Attachment 1 – D</w:t>
      </w:r>
      <w:r w:rsidR="00340882" w:rsidRPr="0064353E">
        <w:rPr>
          <w:rFonts w:cs="Times New Roman"/>
        </w:rPr>
        <w:t>raft survey instrument</w:t>
      </w:r>
      <w:r w:rsidR="00484A58">
        <w:rPr>
          <w:rFonts w:cs="Times New Roman"/>
        </w:rPr>
        <w:t>: general recreation</w:t>
      </w:r>
    </w:p>
    <w:p w14:paraId="1F5EBCCC" w14:textId="69A33F01" w:rsidR="005E12CF" w:rsidRPr="0064353E" w:rsidRDefault="00484A58" w:rsidP="00E238B6">
      <w:pPr>
        <w:spacing w:line="360" w:lineRule="auto"/>
        <w:ind w:left="720"/>
        <w:rPr>
          <w:rFonts w:cs="Times New Roman"/>
        </w:rPr>
      </w:pPr>
      <w:r>
        <w:rPr>
          <w:rFonts w:cs="Times New Roman"/>
        </w:rPr>
        <w:t xml:space="preserve">Attachment </w:t>
      </w:r>
      <w:r w:rsidR="00436C74">
        <w:rPr>
          <w:rFonts w:cs="Times New Roman"/>
        </w:rPr>
        <w:t>2</w:t>
      </w:r>
      <w:r w:rsidR="0091583F" w:rsidRPr="0064353E">
        <w:rPr>
          <w:rFonts w:cs="Times New Roman"/>
        </w:rPr>
        <w:t xml:space="preserve"> – </w:t>
      </w:r>
      <w:r w:rsidR="00340882" w:rsidRPr="0064353E">
        <w:rPr>
          <w:rFonts w:cs="Times New Roman"/>
        </w:rPr>
        <w:t>Draft invitation letter</w:t>
      </w:r>
    </w:p>
    <w:p w14:paraId="5EAD6945" w14:textId="322964A7" w:rsidR="002076DB" w:rsidRPr="00DF48C0" w:rsidRDefault="00484A58" w:rsidP="00E238B6">
      <w:pPr>
        <w:spacing w:line="360" w:lineRule="auto"/>
        <w:ind w:left="720"/>
        <w:rPr>
          <w:rFonts w:cs="Times New Roman"/>
        </w:rPr>
      </w:pPr>
      <w:r>
        <w:rPr>
          <w:rFonts w:cs="Times New Roman"/>
        </w:rPr>
        <w:t xml:space="preserve">Attachment </w:t>
      </w:r>
      <w:r w:rsidR="00436C74">
        <w:rPr>
          <w:rFonts w:cs="Times New Roman"/>
        </w:rPr>
        <w:t>3</w:t>
      </w:r>
      <w:r w:rsidR="00E4666F">
        <w:rPr>
          <w:rFonts w:cs="Times New Roman"/>
        </w:rPr>
        <w:t xml:space="preserve"> – R</w:t>
      </w:r>
      <w:r w:rsidR="002076DB" w:rsidRPr="0064353E">
        <w:rPr>
          <w:rFonts w:cs="Times New Roman"/>
        </w:rPr>
        <w:t>esponse</w:t>
      </w:r>
      <w:r w:rsidR="00436C74">
        <w:rPr>
          <w:rFonts w:cs="Times New Roman"/>
        </w:rPr>
        <w:t>s</w:t>
      </w:r>
      <w:r w:rsidR="002076DB" w:rsidRPr="0064353E">
        <w:rPr>
          <w:rFonts w:cs="Times New Roman"/>
        </w:rPr>
        <w:t xml:space="preserve"> to public comments on Federal Register Notices </w:t>
      </w:r>
    </w:p>
    <w:p w14:paraId="107DAA04" w14:textId="77777777" w:rsidR="0091583F" w:rsidRPr="00DF48C0" w:rsidRDefault="0091583F">
      <w:pPr>
        <w:spacing w:line="276" w:lineRule="auto"/>
        <w:rPr>
          <w:rFonts w:eastAsia="Times New Roman" w:cs="Times New Roman"/>
          <w:b/>
          <w:bCs/>
        </w:rPr>
      </w:pPr>
      <w:r w:rsidRPr="00DF48C0">
        <w:rPr>
          <w:rFonts w:cs="Times New Roman"/>
        </w:rPr>
        <w:br w:type="page"/>
      </w:r>
    </w:p>
    <w:p w14:paraId="3FF00F01" w14:textId="77777777" w:rsidR="00462BA7" w:rsidRPr="00DF48C0" w:rsidRDefault="00462BA7" w:rsidP="00462BA7">
      <w:pPr>
        <w:pStyle w:val="Heading1"/>
        <w:rPr>
          <w:sz w:val="22"/>
          <w:szCs w:val="22"/>
        </w:rPr>
      </w:pPr>
      <w:bookmarkStart w:id="3" w:name="_Toc473195074"/>
      <w:r w:rsidRPr="00DF48C0">
        <w:rPr>
          <w:sz w:val="22"/>
          <w:szCs w:val="22"/>
        </w:rPr>
        <w:t>PART A OF THE SUPPORTING STATEMENT</w:t>
      </w:r>
      <w:bookmarkEnd w:id="1"/>
      <w:bookmarkEnd w:id="3"/>
    </w:p>
    <w:p w14:paraId="777C7200" w14:textId="77777777" w:rsidR="00462BA7" w:rsidRPr="00DF48C0" w:rsidRDefault="00462BA7" w:rsidP="00462BA7">
      <w:pPr>
        <w:spacing w:line="360" w:lineRule="auto"/>
        <w:rPr>
          <w:rFonts w:cs="Times New Roman"/>
        </w:rPr>
      </w:pPr>
    </w:p>
    <w:p w14:paraId="7C2E65A1" w14:textId="77777777" w:rsidR="00462BA7" w:rsidRPr="00DF48C0" w:rsidRDefault="00462BA7" w:rsidP="00462BA7">
      <w:pPr>
        <w:pStyle w:val="Heading2"/>
        <w:rPr>
          <w:sz w:val="22"/>
          <w:szCs w:val="22"/>
        </w:rPr>
      </w:pPr>
      <w:bookmarkStart w:id="4" w:name="_Toc326736630"/>
      <w:bookmarkStart w:id="5" w:name="_Toc473195075"/>
      <w:r w:rsidRPr="00DF48C0">
        <w:rPr>
          <w:sz w:val="22"/>
          <w:szCs w:val="22"/>
        </w:rPr>
        <w:t>1.</w:t>
      </w:r>
      <w:r w:rsidRPr="00DF48C0">
        <w:rPr>
          <w:sz w:val="22"/>
          <w:szCs w:val="22"/>
        </w:rPr>
        <w:tab/>
        <w:t>Identification of the Information Collection</w:t>
      </w:r>
      <w:bookmarkEnd w:id="4"/>
      <w:bookmarkEnd w:id="5"/>
    </w:p>
    <w:p w14:paraId="1AFDC69B" w14:textId="77777777" w:rsidR="00462BA7" w:rsidRPr="00DF48C0" w:rsidRDefault="00462BA7" w:rsidP="00462BA7">
      <w:pPr>
        <w:pStyle w:val="Heading3"/>
        <w:rPr>
          <w:sz w:val="22"/>
          <w:szCs w:val="22"/>
        </w:rPr>
      </w:pPr>
      <w:bookmarkStart w:id="6" w:name="_Toc326736631"/>
      <w:bookmarkStart w:id="7" w:name="_Toc473195076"/>
      <w:r w:rsidRPr="00DF48C0">
        <w:rPr>
          <w:sz w:val="22"/>
          <w:szCs w:val="22"/>
        </w:rPr>
        <w:t>1(a)</w:t>
      </w:r>
      <w:r w:rsidRPr="00DF48C0">
        <w:rPr>
          <w:sz w:val="22"/>
          <w:szCs w:val="22"/>
        </w:rPr>
        <w:tab/>
        <w:t>Title of the Information Collection</w:t>
      </w:r>
      <w:bookmarkEnd w:id="6"/>
      <w:bookmarkEnd w:id="7"/>
      <w:r w:rsidRPr="00DF48C0">
        <w:rPr>
          <w:sz w:val="22"/>
          <w:szCs w:val="22"/>
        </w:rPr>
        <w:t xml:space="preserve"> </w:t>
      </w:r>
    </w:p>
    <w:p w14:paraId="14B8D831" w14:textId="77777777" w:rsidR="00462BA7" w:rsidRPr="00DF48C0" w:rsidRDefault="00462BA7" w:rsidP="00462BA7">
      <w:pPr>
        <w:spacing w:line="360" w:lineRule="auto"/>
        <w:rPr>
          <w:rFonts w:cs="Times New Roman"/>
        </w:rPr>
      </w:pPr>
    </w:p>
    <w:p w14:paraId="124A85E7" w14:textId="73FE54B7" w:rsidR="00462BA7" w:rsidRPr="00DF48C0" w:rsidRDefault="00BF58D5" w:rsidP="00462BA7">
      <w:pPr>
        <w:spacing w:line="360" w:lineRule="auto"/>
        <w:rPr>
          <w:rFonts w:cs="Times New Roman"/>
        </w:rPr>
      </w:pPr>
      <w:r>
        <w:rPr>
          <w:rFonts w:cs="Times New Roman"/>
        </w:rPr>
        <w:t xml:space="preserve">Willingness to Pay Survey to </w:t>
      </w:r>
      <w:r w:rsidR="00CB749F" w:rsidRPr="00DF48C0">
        <w:rPr>
          <w:rFonts w:cs="Times New Roman"/>
        </w:rPr>
        <w:t>Evaluat</w:t>
      </w:r>
      <w:r>
        <w:rPr>
          <w:rFonts w:cs="Times New Roman"/>
        </w:rPr>
        <w:t>e</w:t>
      </w:r>
      <w:r w:rsidR="00CB749F" w:rsidRPr="00DF48C0">
        <w:rPr>
          <w:rFonts w:cs="Times New Roman"/>
        </w:rPr>
        <w:t xml:space="preserve"> </w:t>
      </w:r>
      <w:r w:rsidR="005426FC">
        <w:rPr>
          <w:rFonts w:cs="Times New Roman"/>
        </w:rPr>
        <w:t xml:space="preserve">Recreational </w:t>
      </w:r>
      <w:r w:rsidR="00CB749F" w:rsidRPr="00DF48C0">
        <w:rPr>
          <w:rFonts w:cs="Times New Roman"/>
        </w:rPr>
        <w:t>Benefits of Nutrient Reductions in Coastal New England Waters</w:t>
      </w:r>
    </w:p>
    <w:p w14:paraId="4FFFA7F0" w14:textId="77777777" w:rsidR="00462BA7" w:rsidRPr="00DF48C0" w:rsidRDefault="00462BA7" w:rsidP="00462BA7">
      <w:pPr>
        <w:spacing w:line="360" w:lineRule="auto"/>
        <w:rPr>
          <w:rFonts w:cs="Times New Roman"/>
        </w:rPr>
      </w:pPr>
    </w:p>
    <w:p w14:paraId="1DDA84CC" w14:textId="77777777" w:rsidR="00462BA7" w:rsidRPr="00DF48C0" w:rsidRDefault="00462BA7" w:rsidP="00462BA7">
      <w:pPr>
        <w:pStyle w:val="Heading3"/>
        <w:rPr>
          <w:sz w:val="22"/>
          <w:szCs w:val="22"/>
        </w:rPr>
      </w:pPr>
      <w:bookmarkStart w:id="8" w:name="_Toc326736632"/>
      <w:bookmarkStart w:id="9" w:name="_Toc473195077"/>
      <w:r w:rsidRPr="00DF48C0">
        <w:rPr>
          <w:sz w:val="22"/>
          <w:szCs w:val="22"/>
        </w:rPr>
        <w:t>1(b)</w:t>
      </w:r>
      <w:r w:rsidRPr="00DF48C0">
        <w:rPr>
          <w:sz w:val="22"/>
          <w:szCs w:val="22"/>
        </w:rPr>
        <w:tab/>
        <w:t>Short Characterization (Abstract)</w:t>
      </w:r>
      <w:bookmarkEnd w:id="8"/>
      <w:bookmarkEnd w:id="9"/>
    </w:p>
    <w:p w14:paraId="63253B15" w14:textId="77777777" w:rsidR="00462BA7" w:rsidRPr="00DF48C0" w:rsidRDefault="00462BA7" w:rsidP="00462BA7">
      <w:pPr>
        <w:rPr>
          <w:rFonts w:cs="Times New Roman"/>
        </w:rPr>
      </w:pPr>
    </w:p>
    <w:p w14:paraId="383D1D83" w14:textId="77777777" w:rsidR="00340882" w:rsidRDefault="00CB749F" w:rsidP="008716BE">
      <w:pPr>
        <w:spacing w:line="360" w:lineRule="auto"/>
        <w:ind w:firstLine="720"/>
        <w:rPr>
          <w:rFonts w:cs="Times New Roman"/>
          <w:bCs/>
        </w:rPr>
      </w:pPr>
      <w:r w:rsidRPr="00DF48C0">
        <w:rPr>
          <w:rFonts w:cs="Times New Roman"/>
          <w:bCs/>
        </w:rPr>
        <w:t>New England’s coastal social-ecological systems are subject to chronic environmental problems, including water quality degradation</w:t>
      </w:r>
      <w:r w:rsidR="00086CEF">
        <w:rPr>
          <w:rFonts w:cs="Times New Roman"/>
          <w:bCs/>
        </w:rPr>
        <w:t xml:space="preserve"> </w:t>
      </w:r>
      <w:r w:rsidR="00340882">
        <w:rPr>
          <w:rFonts w:cs="Times New Roman"/>
          <w:bCs/>
        </w:rPr>
        <w:t xml:space="preserve">that results in </w:t>
      </w:r>
      <w:r w:rsidR="00086CEF">
        <w:rPr>
          <w:rFonts w:cs="Times New Roman"/>
          <w:bCs/>
        </w:rPr>
        <w:t>important social and ecological impacts</w:t>
      </w:r>
      <w:r w:rsidRPr="00DF48C0">
        <w:rPr>
          <w:rFonts w:cs="Times New Roman"/>
          <w:bCs/>
        </w:rPr>
        <w:t>. Researchers at</w:t>
      </w:r>
      <w:r w:rsidR="00E22C0C" w:rsidRPr="00DF48C0">
        <w:rPr>
          <w:rFonts w:cs="Times New Roman"/>
          <w:bCs/>
        </w:rPr>
        <w:t xml:space="preserve"> the U.S. Environmental Protection Agency’s (EPA)</w:t>
      </w:r>
      <w:r w:rsidRPr="00DF48C0">
        <w:rPr>
          <w:rFonts w:cs="Times New Roman"/>
          <w:bCs/>
        </w:rPr>
        <w:t xml:space="preserve"> Office of Research and Development (ORD)</w:t>
      </w:r>
      <w:r w:rsidR="00B845AE">
        <w:rPr>
          <w:rFonts w:cs="Times New Roman"/>
          <w:bCs/>
        </w:rPr>
        <w:t>,</w:t>
      </w:r>
      <w:r w:rsidRPr="00DF48C0">
        <w:rPr>
          <w:rFonts w:cs="Times New Roman"/>
          <w:bCs/>
        </w:rPr>
        <w:t xml:space="preserve"> Atlantic Ecology Division (AED) are piloting an effort to </w:t>
      </w:r>
      <w:r w:rsidR="00B845AE">
        <w:rPr>
          <w:rFonts w:cs="Times New Roman"/>
          <w:bCs/>
        </w:rPr>
        <w:t>better</w:t>
      </w:r>
      <w:r w:rsidRPr="00DF48C0">
        <w:rPr>
          <w:rFonts w:cs="Times New Roman"/>
          <w:bCs/>
        </w:rPr>
        <w:t xml:space="preserve"> understand how reduced water quality due to nutrient enrichment affect</w:t>
      </w:r>
      <w:r w:rsidR="00B845AE">
        <w:rPr>
          <w:rFonts w:cs="Times New Roman"/>
          <w:bCs/>
        </w:rPr>
        <w:t>s</w:t>
      </w:r>
      <w:r w:rsidRPr="00DF48C0">
        <w:rPr>
          <w:rFonts w:cs="Times New Roman"/>
          <w:bCs/>
        </w:rPr>
        <w:t xml:space="preserve"> the economic prosperity, social capacity, and ecological integrity of coastal New England communities. This research is part of </w:t>
      </w:r>
      <w:r w:rsidR="00B845AE">
        <w:rPr>
          <w:rFonts w:cs="Times New Roman"/>
          <w:bCs/>
        </w:rPr>
        <w:t>two major research efforts within the EPA</w:t>
      </w:r>
      <w:r w:rsidR="006E0FCE">
        <w:rPr>
          <w:rFonts w:cs="Times New Roman"/>
          <w:bCs/>
        </w:rPr>
        <w:t>: (1)</w:t>
      </w:r>
      <w:r w:rsidR="00164210">
        <w:rPr>
          <w:rFonts w:cs="Times New Roman"/>
          <w:bCs/>
        </w:rPr>
        <w:t xml:space="preserve"> </w:t>
      </w:r>
      <w:r w:rsidR="00B845AE">
        <w:rPr>
          <w:rFonts w:cs="Times New Roman"/>
          <w:bCs/>
        </w:rPr>
        <w:t>T</w:t>
      </w:r>
      <w:r w:rsidRPr="00DF48C0">
        <w:rPr>
          <w:rFonts w:cs="Times New Roman"/>
          <w:bCs/>
        </w:rPr>
        <w:t>ask 4.61 of ORD’s Sustainable and Healthy Communities Research Program (Integrated Solutions for Sustainable Communities: Social-Ecological Systems for Resilience and Adaptive Management in Communities - A Cape Cod Case Study)</w:t>
      </w:r>
      <w:r w:rsidR="00E53BE3">
        <w:rPr>
          <w:rFonts w:cs="Times New Roman"/>
          <w:bCs/>
        </w:rPr>
        <w:t>,</w:t>
      </w:r>
      <w:r w:rsidR="00164210">
        <w:rPr>
          <w:rFonts w:cs="Times New Roman"/>
          <w:bCs/>
        </w:rPr>
        <w:t xml:space="preserve"> and </w:t>
      </w:r>
      <w:r w:rsidR="006E0FCE">
        <w:rPr>
          <w:rFonts w:cs="Times New Roman"/>
          <w:bCs/>
        </w:rPr>
        <w:t>(2) T</w:t>
      </w:r>
      <w:r w:rsidR="006E0FCE" w:rsidRPr="00DF48C0">
        <w:rPr>
          <w:rFonts w:cs="Times New Roman"/>
          <w:bCs/>
        </w:rPr>
        <w:t>ask 3.04A of the Safe and Sustainable Waters Research Program (National Water Quality Benefits: Economic Case Studies of Water Quality Benefits)</w:t>
      </w:r>
      <w:r w:rsidR="006E0FCE">
        <w:rPr>
          <w:rFonts w:cs="Times New Roman"/>
          <w:bCs/>
        </w:rPr>
        <w:t xml:space="preserve">, which is part of </w:t>
      </w:r>
      <w:r w:rsidR="00164210">
        <w:rPr>
          <w:rFonts w:cs="Times New Roman"/>
          <w:bCs/>
        </w:rPr>
        <w:t>a</w:t>
      </w:r>
      <w:r w:rsidRPr="00DF48C0">
        <w:rPr>
          <w:rFonts w:cs="Times New Roman"/>
          <w:bCs/>
        </w:rPr>
        <w:t xml:space="preserve"> three-office effort </w:t>
      </w:r>
      <w:r w:rsidR="006E0FCE">
        <w:rPr>
          <w:rFonts w:cs="Times New Roman"/>
          <w:bCs/>
        </w:rPr>
        <w:t xml:space="preserve">within EPA </w:t>
      </w:r>
      <w:r w:rsidRPr="00DF48C0">
        <w:rPr>
          <w:rFonts w:cs="Times New Roman"/>
          <w:bCs/>
        </w:rPr>
        <w:t xml:space="preserve">(Office of Research and Development, Office of Policy, and Office of Water) to quantify and monetize the benefits of water quality improvements across the </w:t>
      </w:r>
      <w:r w:rsidR="00BA5123">
        <w:rPr>
          <w:rFonts w:cs="Times New Roman"/>
          <w:bCs/>
        </w:rPr>
        <w:t>n</w:t>
      </w:r>
      <w:r w:rsidR="00BA5123" w:rsidRPr="00DF48C0">
        <w:rPr>
          <w:rFonts w:cs="Times New Roman"/>
          <w:bCs/>
        </w:rPr>
        <w:t>ation</w:t>
      </w:r>
      <w:r w:rsidRPr="00DF48C0">
        <w:rPr>
          <w:rFonts w:cs="Times New Roman"/>
          <w:bCs/>
        </w:rPr>
        <w:t xml:space="preserve">. </w:t>
      </w:r>
    </w:p>
    <w:p w14:paraId="26587E94" w14:textId="52DEBCA2" w:rsidR="00CB749F" w:rsidRPr="00DF48C0" w:rsidRDefault="00340882" w:rsidP="008716BE">
      <w:pPr>
        <w:spacing w:line="360" w:lineRule="auto"/>
        <w:ind w:firstLine="720"/>
        <w:rPr>
          <w:rFonts w:cs="Times New Roman"/>
          <w:bCs/>
        </w:rPr>
      </w:pPr>
      <w:r>
        <w:rPr>
          <w:rFonts w:cs="Times New Roman"/>
          <w:bCs/>
        </w:rPr>
        <w:t xml:space="preserve">As part of </w:t>
      </w:r>
      <w:r w:rsidR="00E22C0C" w:rsidRPr="00DF48C0">
        <w:rPr>
          <w:rFonts w:cs="Times New Roman"/>
          <w:bCs/>
        </w:rPr>
        <w:t>th</w:t>
      </w:r>
      <w:r w:rsidR="00164210">
        <w:rPr>
          <w:rFonts w:cs="Times New Roman"/>
          <w:bCs/>
        </w:rPr>
        <w:t>e</w:t>
      </w:r>
      <w:r>
        <w:rPr>
          <w:rFonts w:cs="Times New Roman"/>
          <w:bCs/>
        </w:rPr>
        <w:t xml:space="preserve">se two research efforts, we propose to conduct a survey that will allow us to estimate </w:t>
      </w:r>
      <w:r w:rsidR="00CB749F" w:rsidRPr="00DF48C0">
        <w:rPr>
          <w:rFonts w:cs="Times New Roman"/>
          <w:bCs/>
        </w:rPr>
        <w:t xml:space="preserve">changes in recreation demand and values due to changes in nutrients in </w:t>
      </w:r>
      <w:r w:rsidR="00723473" w:rsidRPr="00DF48C0">
        <w:rPr>
          <w:rFonts w:cs="Times New Roman"/>
          <w:bCs/>
        </w:rPr>
        <w:t>northeastern</w:t>
      </w:r>
      <w:r w:rsidR="00DD7C4C">
        <w:rPr>
          <w:rFonts w:cs="Times New Roman"/>
          <w:bCs/>
        </w:rPr>
        <w:t xml:space="preserve"> U.S.</w:t>
      </w:r>
      <w:r w:rsidR="00723473" w:rsidRPr="00DF48C0">
        <w:rPr>
          <w:rFonts w:cs="Times New Roman"/>
          <w:bCs/>
        </w:rPr>
        <w:t xml:space="preserve"> </w:t>
      </w:r>
      <w:r w:rsidR="00CB749F" w:rsidRPr="00DF48C0">
        <w:rPr>
          <w:rFonts w:cs="Times New Roman"/>
          <w:bCs/>
        </w:rPr>
        <w:t>coastal waters</w:t>
      </w:r>
      <w:r w:rsidR="00BA5123">
        <w:rPr>
          <w:rFonts w:cs="Times New Roman"/>
          <w:bCs/>
        </w:rPr>
        <w:t xml:space="preserve">. </w:t>
      </w:r>
      <w:r w:rsidR="00CB749F" w:rsidRPr="00DF48C0">
        <w:rPr>
          <w:rFonts w:cs="Times New Roman"/>
          <w:bCs/>
        </w:rPr>
        <w:t xml:space="preserve">Our initial </w:t>
      </w:r>
      <w:r w:rsidR="006E0FCE">
        <w:rPr>
          <w:rFonts w:cs="Times New Roman"/>
          <w:bCs/>
        </w:rPr>
        <w:t>geographic</w:t>
      </w:r>
      <w:r w:rsidR="00B845AE">
        <w:rPr>
          <w:rFonts w:cs="Times New Roman"/>
          <w:bCs/>
        </w:rPr>
        <w:t xml:space="preserve"> </w:t>
      </w:r>
      <w:r w:rsidR="00CB749F" w:rsidRPr="00DF48C0">
        <w:rPr>
          <w:rFonts w:cs="Times New Roman"/>
          <w:bCs/>
        </w:rPr>
        <w:t xml:space="preserve">focus for </w:t>
      </w:r>
      <w:r w:rsidR="00BA5123">
        <w:rPr>
          <w:rFonts w:cs="Times New Roman"/>
          <w:bCs/>
        </w:rPr>
        <w:t>these</w:t>
      </w:r>
      <w:r w:rsidR="00BA5123" w:rsidRPr="00DF48C0">
        <w:rPr>
          <w:rFonts w:cs="Times New Roman"/>
          <w:bCs/>
        </w:rPr>
        <w:t xml:space="preserve"> </w:t>
      </w:r>
      <w:r w:rsidR="00CB749F" w:rsidRPr="00DF48C0">
        <w:rPr>
          <w:rFonts w:cs="Times New Roman"/>
          <w:bCs/>
        </w:rPr>
        <w:t xml:space="preserve">efforts will be Cape Cod, Massachusetts (“the Cape”; Barnstable County), </w:t>
      </w:r>
      <w:r w:rsidR="00E7075B" w:rsidRPr="00DF48C0">
        <w:rPr>
          <w:rFonts w:cs="Times New Roman"/>
          <w:bCs/>
        </w:rPr>
        <w:t xml:space="preserve">and </w:t>
      </w:r>
      <w:r w:rsidR="00E22C0C" w:rsidRPr="00DF48C0">
        <w:rPr>
          <w:rFonts w:cs="Times New Roman"/>
          <w:bCs/>
        </w:rPr>
        <w:t xml:space="preserve">New England residents within 100 miles of the Cape. </w:t>
      </w:r>
      <w:r w:rsidR="008716BE" w:rsidRPr="00DF48C0">
        <w:rPr>
          <w:rFonts w:cs="Times New Roman"/>
          <w:bCs/>
        </w:rPr>
        <w:t>We focus on Cape Cod and its surrounding coastal areas both in order to limit the scope of the work to remain feasible within our research budget, and to coordinate th</w:t>
      </w:r>
      <w:r w:rsidR="00164210">
        <w:rPr>
          <w:rFonts w:cs="Times New Roman"/>
          <w:bCs/>
        </w:rPr>
        <w:t>is socio-economic analysis</w:t>
      </w:r>
      <w:r w:rsidR="008716BE" w:rsidRPr="00DF48C0">
        <w:rPr>
          <w:rFonts w:cs="Times New Roman"/>
          <w:bCs/>
        </w:rPr>
        <w:t xml:space="preserve"> with extensive ecological research being conducted</w:t>
      </w:r>
      <w:r w:rsidR="00F41CBF" w:rsidRPr="00DF48C0">
        <w:rPr>
          <w:rFonts w:cs="Times New Roman"/>
          <w:bCs/>
        </w:rPr>
        <w:t xml:space="preserve"> on </w:t>
      </w:r>
      <w:r w:rsidR="00BA5123">
        <w:rPr>
          <w:rFonts w:cs="Times New Roman"/>
          <w:bCs/>
        </w:rPr>
        <w:t>the Cape</w:t>
      </w:r>
      <w:r w:rsidR="008716BE" w:rsidRPr="00DF48C0">
        <w:rPr>
          <w:rFonts w:cs="Times New Roman"/>
          <w:bCs/>
        </w:rPr>
        <w:t xml:space="preserve"> by ORD researchers, researchers at EPA’s Region 1 office, and other </w:t>
      </w:r>
      <w:r w:rsidR="00F41CBF" w:rsidRPr="00DF48C0">
        <w:rPr>
          <w:rFonts w:cs="Times New Roman"/>
          <w:bCs/>
        </w:rPr>
        <w:t xml:space="preserve">external </w:t>
      </w:r>
      <w:r w:rsidR="008716BE" w:rsidRPr="00DF48C0">
        <w:rPr>
          <w:rFonts w:cs="Times New Roman"/>
          <w:bCs/>
        </w:rPr>
        <w:t>research groups.</w:t>
      </w:r>
      <w:r w:rsidR="00BA5123">
        <w:rPr>
          <w:rFonts w:cs="Times New Roman"/>
          <w:bCs/>
        </w:rPr>
        <w:t xml:space="preserve"> Cape Cod is also in the mid</w:t>
      </w:r>
      <w:r w:rsidR="006E0FCE">
        <w:rPr>
          <w:rFonts w:cs="Times New Roman"/>
          <w:bCs/>
        </w:rPr>
        <w:t>st</w:t>
      </w:r>
      <w:r w:rsidR="00BA5123">
        <w:rPr>
          <w:rFonts w:cs="Times New Roman"/>
          <w:bCs/>
        </w:rPr>
        <w:t xml:space="preserve"> of an extensive regional planning effort related to its coastal waters, and this research can provide helpful socio-economic information </w:t>
      </w:r>
      <w:r w:rsidR="006E0FCE">
        <w:rPr>
          <w:rFonts w:cs="Times New Roman"/>
          <w:bCs/>
        </w:rPr>
        <w:t xml:space="preserve">to decision makers </w:t>
      </w:r>
      <w:r w:rsidR="00BA5123">
        <w:rPr>
          <w:rFonts w:cs="Times New Roman"/>
          <w:bCs/>
        </w:rPr>
        <w:t xml:space="preserve">about the use of those waters. </w:t>
      </w:r>
      <w:r w:rsidR="002C56BE" w:rsidRPr="00DF48C0">
        <w:rPr>
          <w:rFonts w:cs="Times New Roman"/>
          <w:bCs/>
        </w:rPr>
        <w:t>Because the 100-mile radius from Cape Cod</w:t>
      </w:r>
      <w:r w:rsidR="007F4F5E">
        <w:rPr>
          <w:rFonts w:cs="Times New Roman"/>
          <w:bCs/>
        </w:rPr>
        <w:t>,</w:t>
      </w:r>
      <w:r w:rsidR="002C56BE" w:rsidRPr="00DF48C0">
        <w:rPr>
          <w:rFonts w:cs="Times New Roman"/>
          <w:bCs/>
        </w:rPr>
        <w:t xml:space="preserve"> </w:t>
      </w:r>
      <w:r w:rsidR="007D3A61">
        <w:rPr>
          <w:rFonts w:cs="Times New Roman"/>
          <w:bCs/>
        </w:rPr>
        <w:t>to which the researchers would generalize results</w:t>
      </w:r>
      <w:r w:rsidR="007F4F5E">
        <w:rPr>
          <w:rFonts w:cs="Times New Roman"/>
          <w:bCs/>
        </w:rPr>
        <w:t>,</w:t>
      </w:r>
      <w:r w:rsidR="007D3A61">
        <w:rPr>
          <w:rFonts w:cs="Times New Roman"/>
          <w:bCs/>
        </w:rPr>
        <w:t xml:space="preserve"> </w:t>
      </w:r>
      <w:r w:rsidR="002C56BE" w:rsidRPr="00DF48C0">
        <w:rPr>
          <w:rFonts w:cs="Times New Roman"/>
          <w:bCs/>
        </w:rPr>
        <w:t xml:space="preserve">includes a large area of southern New England and the largest population centers in New England, the results will </w:t>
      </w:r>
      <w:r w:rsidR="007D3A61">
        <w:rPr>
          <w:rFonts w:cs="Times New Roman"/>
          <w:bCs/>
        </w:rPr>
        <w:t xml:space="preserve">be </w:t>
      </w:r>
      <w:r w:rsidR="00250F8A">
        <w:rPr>
          <w:rFonts w:cs="Times New Roman"/>
          <w:bCs/>
        </w:rPr>
        <w:t xml:space="preserve">relevant to understanding coastal recreation and water quality perceptions of a large portion of the residents of </w:t>
      </w:r>
      <w:r w:rsidR="002C56BE" w:rsidRPr="00DF48C0">
        <w:rPr>
          <w:rFonts w:cs="Times New Roman"/>
          <w:bCs/>
        </w:rPr>
        <w:t>southern New England.</w:t>
      </w:r>
    </w:p>
    <w:p w14:paraId="2BFCC776" w14:textId="61B8C510" w:rsidR="00CB749F" w:rsidRPr="00DF48C0" w:rsidRDefault="00B845AE" w:rsidP="008716BE">
      <w:pPr>
        <w:spacing w:line="360" w:lineRule="auto"/>
        <w:ind w:firstLine="720"/>
        <w:rPr>
          <w:rFonts w:cs="Times New Roman"/>
          <w:bCs/>
        </w:rPr>
      </w:pPr>
      <w:r>
        <w:rPr>
          <w:rFonts w:cs="Times New Roman"/>
          <w:bCs/>
        </w:rPr>
        <w:t>O</w:t>
      </w:r>
      <w:r w:rsidR="00CB749F" w:rsidRPr="00DF48C0">
        <w:rPr>
          <w:rFonts w:cs="Times New Roman"/>
          <w:bCs/>
        </w:rPr>
        <w:t xml:space="preserve">ne of the key </w:t>
      </w:r>
      <w:r>
        <w:rPr>
          <w:rFonts w:cs="Times New Roman"/>
          <w:bCs/>
        </w:rPr>
        <w:t xml:space="preserve">water quality concerns on Cape Cod, and throughout New England, </w:t>
      </w:r>
      <w:r w:rsidR="00CB749F" w:rsidRPr="00DF48C0">
        <w:rPr>
          <w:rFonts w:cs="Times New Roman"/>
          <w:bCs/>
        </w:rPr>
        <w:t xml:space="preserve">is nonpoint sources of nitrogen, which lead to ecological impairments </w:t>
      </w:r>
      <w:r w:rsidR="00143F10">
        <w:rPr>
          <w:rFonts w:cs="Times New Roman"/>
          <w:bCs/>
        </w:rPr>
        <w:t>in</w:t>
      </w:r>
      <w:r w:rsidR="00143F10" w:rsidRPr="00DF48C0">
        <w:rPr>
          <w:rFonts w:cs="Times New Roman"/>
          <w:bCs/>
        </w:rPr>
        <w:t xml:space="preserve"> </w:t>
      </w:r>
      <w:r w:rsidR="00CB749F" w:rsidRPr="00DF48C0">
        <w:rPr>
          <w:rFonts w:cs="Times New Roman"/>
          <w:bCs/>
        </w:rPr>
        <w:t xml:space="preserve">estuaries with resultant socio-economic impacts. The towns on the Cape are currently in the process of creating plans to address their total maximum daily load (TMDL) thresholds for nitrogen-impaired coastal embayments. There are over 40 coastal embayments and subembayments on the Cape. </w:t>
      </w:r>
      <w:r w:rsidR="000C2234">
        <w:rPr>
          <w:rFonts w:cs="Times New Roman"/>
          <w:bCs/>
        </w:rPr>
        <w:t>To date, t</w:t>
      </w:r>
      <w:r w:rsidR="00CB749F" w:rsidRPr="00DF48C0">
        <w:rPr>
          <w:rFonts w:cs="Times New Roman"/>
          <w:bCs/>
        </w:rPr>
        <w:t xml:space="preserve">he EPA has approved 12 TMDLs for embayments on Cape Cod with </w:t>
      </w:r>
      <w:r w:rsidR="00FC6DC4">
        <w:rPr>
          <w:rFonts w:cs="Times New Roman"/>
          <w:bCs/>
        </w:rPr>
        <w:t>others</w:t>
      </w:r>
      <w:r w:rsidR="000C2234">
        <w:rPr>
          <w:rFonts w:cs="Times New Roman"/>
          <w:bCs/>
        </w:rPr>
        <w:t xml:space="preserve"> </w:t>
      </w:r>
      <w:r w:rsidR="00CB749F" w:rsidRPr="00DF48C0">
        <w:rPr>
          <w:rFonts w:cs="Times New Roman"/>
          <w:bCs/>
        </w:rPr>
        <w:t>pending review (</w:t>
      </w:r>
      <w:r w:rsidR="00CB749F" w:rsidRPr="00782E74">
        <w:rPr>
          <w:rFonts w:cs="Times New Roman"/>
          <w:bCs/>
        </w:rPr>
        <w:t>Cape Cod Commission, 2015</w:t>
      </w:r>
      <w:r w:rsidR="00CB749F" w:rsidRPr="00DF48C0">
        <w:rPr>
          <w:rFonts w:cs="Times New Roman"/>
          <w:bCs/>
        </w:rPr>
        <w:t>). The Massachusetts Estuaries Project estimates that wastewater accounts for 65</w:t>
      </w:r>
      <w:r w:rsidR="00EA2D87" w:rsidRPr="00DF48C0">
        <w:rPr>
          <w:rFonts w:cs="Times New Roman"/>
          <w:bCs/>
        </w:rPr>
        <w:t xml:space="preserve">% </w:t>
      </w:r>
      <w:r w:rsidR="00CB749F" w:rsidRPr="00DF48C0">
        <w:rPr>
          <w:rFonts w:cs="Times New Roman"/>
          <w:bCs/>
        </w:rPr>
        <w:t>of the nitrogen sources on the Cape (Cape Cod Commission, 2015). Because Cape Cod’s wastewater is primarily handled by onsite septic systems (85% of total Cape wastewater flows), the main sources are spread across the Cape and are affected by individual household-level decisions as well as community-level decisions. Coordinated through the Cape Cod Commission and based on the Cape’s Clean Water Act Section 208 Plan, communities across the Cape have been tasked with developing a watershed-based approach for addressing water quality to improve valued socio-economic and ecological conditions. The decisions needed to meet water quality standards are highly complex and involve significant cross-disciplinary challenges in identifying, implementing, and monitoring social and ecological management needs.</w:t>
      </w:r>
      <w:r w:rsidR="008716BE" w:rsidRPr="00DF48C0">
        <w:rPr>
          <w:rFonts w:cs="Times New Roman"/>
          <w:bCs/>
        </w:rPr>
        <w:t xml:space="preserve"> </w:t>
      </w:r>
      <w:r w:rsidR="00CB749F" w:rsidRPr="00DF48C0">
        <w:rPr>
          <w:rFonts w:cs="Times New Roman"/>
          <w:bCs/>
        </w:rPr>
        <w:t xml:space="preserve">We will focus on understanding recreational uses as valued </w:t>
      </w:r>
      <w:r w:rsidR="00DD7C4C">
        <w:rPr>
          <w:rFonts w:cs="Times New Roman"/>
          <w:bCs/>
        </w:rPr>
        <w:t>ecosystem services</w:t>
      </w:r>
      <w:r w:rsidR="00CB749F" w:rsidRPr="00DF48C0">
        <w:rPr>
          <w:rFonts w:cs="Times New Roman"/>
          <w:bCs/>
        </w:rPr>
        <w:t xml:space="preserve"> on the Cape (</w:t>
      </w:r>
      <w:r w:rsidR="008716BE" w:rsidRPr="00DF48C0">
        <w:rPr>
          <w:rFonts w:cs="Times New Roman"/>
          <w:bCs/>
        </w:rPr>
        <w:t xml:space="preserve">including </w:t>
      </w:r>
      <w:r w:rsidR="00CB749F" w:rsidRPr="00DF48C0">
        <w:rPr>
          <w:rFonts w:cs="Times New Roman"/>
          <w:bCs/>
        </w:rPr>
        <w:t>beachgoing, swimming, fishing</w:t>
      </w:r>
      <w:r w:rsidR="00BA5123">
        <w:rPr>
          <w:rFonts w:cs="Times New Roman"/>
          <w:bCs/>
        </w:rPr>
        <w:t>,</w:t>
      </w:r>
      <w:r w:rsidR="00CB749F" w:rsidRPr="00DF48C0">
        <w:rPr>
          <w:rFonts w:cs="Times New Roman"/>
          <w:bCs/>
        </w:rPr>
        <w:t xml:space="preserve"> shellfishing, </w:t>
      </w:r>
      <w:r w:rsidR="00164210">
        <w:rPr>
          <w:rFonts w:cs="Times New Roman"/>
          <w:bCs/>
        </w:rPr>
        <w:t xml:space="preserve">and </w:t>
      </w:r>
      <w:r w:rsidR="00CB749F" w:rsidRPr="00DF48C0">
        <w:rPr>
          <w:rFonts w:cs="Times New Roman"/>
          <w:bCs/>
        </w:rPr>
        <w:t xml:space="preserve">boating). </w:t>
      </w:r>
    </w:p>
    <w:p w14:paraId="1B7CCF96" w14:textId="1CA10FAE" w:rsidR="00813397" w:rsidRPr="00DF48C0" w:rsidRDefault="00813397" w:rsidP="000A1AC8">
      <w:pPr>
        <w:spacing w:line="360" w:lineRule="auto"/>
        <w:ind w:firstLine="720"/>
        <w:rPr>
          <w:rFonts w:cs="Times New Roman"/>
          <w:bCs/>
        </w:rPr>
      </w:pPr>
      <w:r w:rsidRPr="00DF48C0">
        <w:rPr>
          <w:rFonts w:cs="Times New Roman"/>
          <w:bCs/>
        </w:rPr>
        <w:t>As part of these efforts, EPA’s ORD/AED is seeking approval to conduct a revealed preference survey to collect data on people’s saltwater recreational activities; how recreational values are related to water quality; how perceptions of water quality relate to objective measures; the connections between perceptions of water quality, recreational choices and values, and sense of place; and demographic information. If approved, the survey w</w:t>
      </w:r>
      <w:r w:rsidR="000C2234">
        <w:rPr>
          <w:rFonts w:cs="Times New Roman"/>
          <w:bCs/>
        </w:rPr>
        <w:t>ill</w:t>
      </w:r>
      <w:r w:rsidRPr="00DF48C0">
        <w:rPr>
          <w:rFonts w:cs="Times New Roman"/>
          <w:bCs/>
        </w:rPr>
        <w:t xml:space="preserve"> be administered using a </w:t>
      </w:r>
      <w:r w:rsidR="00707349">
        <w:rPr>
          <w:rFonts w:cs="Times New Roman"/>
          <w:bCs/>
        </w:rPr>
        <w:t>mixed-mode</w:t>
      </w:r>
      <w:r w:rsidRPr="00DF48C0">
        <w:rPr>
          <w:rFonts w:cs="Times New Roman"/>
          <w:bCs/>
        </w:rPr>
        <w:t xml:space="preserve"> approach</w:t>
      </w:r>
      <w:r w:rsidR="00BA5123">
        <w:rPr>
          <w:rFonts w:cs="Times New Roman"/>
          <w:bCs/>
        </w:rPr>
        <w:t xml:space="preserve"> that includes</w:t>
      </w:r>
      <w:r w:rsidRPr="00DF48C0">
        <w:rPr>
          <w:rFonts w:cs="Times New Roman"/>
          <w:bCs/>
        </w:rPr>
        <w:t xml:space="preserve"> a mailed invitation to a web survey with an optional paper survey for people who are unable or unwilling to answer the web survey. The survey will be sent to </w:t>
      </w:r>
      <w:r w:rsidR="00346833">
        <w:rPr>
          <w:rFonts w:cs="Times New Roman"/>
          <w:bCs/>
        </w:rPr>
        <w:t>8,400</w:t>
      </w:r>
      <w:r w:rsidRPr="00DF48C0">
        <w:rPr>
          <w:rFonts w:cs="Times New Roman"/>
          <w:bCs/>
        </w:rPr>
        <w:t xml:space="preserve"> </w:t>
      </w:r>
      <w:r w:rsidR="00115088">
        <w:rPr>
          <w:rFonts w:cs="Times New Roman"/>
          <w:bCs/>
        </w:rPr>
        <w:t>households (</w:t>
      </w:r>
      <w:r w:rsidR="00346833">
        <w:rPr>
          <w:rFonts w:cs="Times New Roman"/>
          <w:bCs/>
        </w:rPr>
        <w:t>in addition to</w:t>
      </w:r>
      <w:r w:rsidR="00115088">
        <w:rPr>
          <w:rFonts w:cs="Times New Roman"/>
          <w:bCs/>
        </w:rPr>
        <w:t xml:space="preserve"> a pretest of 370 households)</w:t>
      </w:r>
      <w:r w:rsidRPr="00DF48C0">
        <w:rPr>
          <w:rFonts w:cs="Times New Roman"/>
          <w:bCs/>
        </w:rPr>
        <w:t xml:space="preserve"> in c</w:t>
      </w:r>
      <w:r w:rsidRPr="00164210">
        <w:rPr>
          <w:rFonts w:cs="Times New Roman"/>
          <w:bCs/>
        </w:rPr>
        <w:t xml:space="preserve">ounties where </w:t>
      </w:r>
      <w:r w:rsidR="00602FA0" w:rsidRPr="00164210">
        <w:rPr>
          <w:rFonts w:cs="Times New Roman"/>
          <w:bCs/>
        </w:rPr>
        <w:t>more than 25%</w:t>
      </w:r>
      <w:r w:rsidRPr="00164210">
        <w:rPr>
          <w:rFonts w:cs="Times New Roman"/>
          <w:bCs/>
        </w:rPr>
        <w:t xml:space="preserve"> of the county</w:t>
      </w:r>
      <w:r w:rsidR="00164210">
        <w:rPr>
          <w:rFonts w:cs="Times New Roman"/>
          <w:bCs/>
        </w:rPr>
        <w:t xml:space="preserve">’s </w:t>
      </w:r>
      <w:r w:rsidR="006E0FCE">
        <w:rPr>
          <w:rFonts w:cs="Times New Roman"/>
          <w:bCs/>
        </w:rPr>
        <w:t>geographic</w:t>
      </w:r>
      <w:r w:rsidR="00164210">
        <w:rPr>
          <w:rFonts w:cs="Times New Roman"/>
          <w:bCs/>
        </w:rPr>
        <w:t xml:space="preserve"> boundaries</w:t>
      </w:r>
      <w:r w:rsidRPr="00164210">
        <w:rPr>
          <w:rFonts w:cs="Times New Roman"/>
          <w:bCs/>
        </w:rPr>
        <w:t xml:space="preserve"> fall within 100 miles of </w:t>
      </w:r>
      <w:r w:rsidR="00164210">
        <w:rPr>
          <w:rFonts w:cs="Times New Roman"/>
          <w:bCs/>
        </w:rPr>
        <w:t>the Cape</w:t>
      </w:r>
      <w:r w:rsidR="00602FA0" w:rsidRPr="00164210">
        <w:rPr>
          <w:rFonts w:cs="Times New Roman"/>
          <w:bCs/>
        </w:rPr>
        <w:t xml:space="preserve"> as measured from</w:t>
      </w:r>
      <w:r w:rsidR="00287BFF" w:rsidRPr="00164210">
        <w:rPr>
          <w:rFonts w:cs="Times New Roman"/>
          <w:bCs/>
        </w:rPr>
        <w:t xml:space="preserve"> a beach in Bourne, Massachusetts, which is the first town on Cape Cod heading east</w:t>
      </w:r>
      <w:r w:rsidRPr="00164210">
        <w:rPr>
          <w:rFonts w:cs="Times New Roman"/>
          <w:bCs/>
        </w:rPr>
        <w:t>. This area includes coastal counties of New Hampshire, the eastern half of Massachusetts, all of Rhode Island, and the eastern part of Connecticut.</w:t>
      </w:r>
      <w:r w:rsidR="00602FA0" w:rsidRPr="00164210">
        <w:rPr>
          <w:rFonts w:cs="Times New Roman"/>
          <w:bCs/>
        </w:rPr>
        <w:t xml:space="preserve"> </w:t>
      </w:r>
      <w:r w:rsidR="00602FA0" w:rsidRPr="000C2234">
        <w:rPr>
          <w:rFonts w:cs="Times New Roman"/>
          <w:bCs/>
        </w:rPr>
        <w:t xml:space="preserve">Table </w:t>
      </w:r>
      <w:r w:rsidR="000C2234" w:rsidRPr="000C2234">
        <w:rPr>
          <w:rFonts w:cs="Times New Roman"/>
          <w:bCs/>
        </w:rPr>
        <w:t>A1</w:t>
      </w:r>
      <w:r w:rsidR="00602FA0" w:rsidRPr="00164210">
        <w:rPr>
          <w:rFonts w:cs="Times New Roman"/>
          <w:bCs/>
        </w:rPr>
        <w:t xml:space="preserve"> lists the included counties, and </w:t>
      </w:r>
      <w:r w:rsidR="00602FA0" w:rsidRPr="000C2234">
        <w:rPr>
          <w:rFonts w:cs="Times New Roman"/>
          <w:bCs/>
        </w:rPr>
        <w:t xml:space="preserve">Figure </w:t>
      </w:r>
      <w:r w:rsidR="000C2234" w:rsidRPr="000C2234">
        <w:rPr>
          <w:rFonts w:cs="Times New Roman"/>
          <w:bCs/>
        </w:rPr>
        <w:t>A1</w:t>
      </w:r>
      <w:r w:rsidR="00602FA0" w:rsidRPr="00164210">
        <w:rPr>
          <w:rFonts w:cs="Times New Roman"/>
          <w:bCs/>
        </w:rPr>
        <w:t xml:space="preserve"> shows the sample area on a map.</w:t>
      </w:r>
      <w:r w:rsidRPr="00164210">
        <w:rPr>
          <w:rFonts w:cs="Times New Roman"/>
          <w:bCs/>
        </w:rPr>
        <w:t xml:space="preserve"> </w:t>
      </w:r>
      <w:r w:rsidR="00EA57D5" w:rsidRPr="00164210">
        <w:rPr>
          <w:rFonts w:cs="Times New Roman"/>
          <w:bCs/>
        </w:rPr>
        <w:t xml:space="preserve">In addition, we will oversample residents of Cape Cod. We will send </w:t>
      </w:r>
      <w:r w:rsidR="00287BFF" w:rsidRPr="00164210">
        <w:rPr>
          <w:rFonts w:cs="Times New Roman"/>
          <w:bCs/>
        </w:rPr>
        <w:t xml:space="preserve">750 </w:t>
      </w:r>
      <w:r w:rsidR="00EA57D5" w:rsidRPr="00164210">
        <w:rPr>
          <w:rFonts w:cs="Times New Roman"/>
          <w:bCs/>
        </w:rPr>
        <w:t>surveys to th</w:t>
      </w:r>
      <w:r w:rsidR="00436C74">
        <w:rPr>
          <w:rFonts w:cs="Times New Roman"/>
          <w:bCs/>
        </w:rPr>
        <w:t>is</w:t>
      </w:r>
      <w:r w:rsidR="00EA57D5" w:rsidRPr="00164210">
        <w:rPr>
          <w:rFonts w:cs="Times New Roman"/>
          <w:bCs/>
        </w:rPr>
        <w:t xml:space="preserve"> group.</w:t>
      </w:r>
      <w:r w:rsidR="00DB00C6">
        <w:rPr>
          <w:rFonts w:cs="Times New Roman"/>
          <w:bCs/>
        </w:rPr>
        <w:t xml:space="preserve"> Thus, the total sample for the main survey will </w:t>
      </w:r>
      <w:r w:rsidR="00DB00C6" w:rsidRPr="00C70974">
        <w:rPr>
          <w:rFonts w:cs="Times New Roman"/>
          <w:bCs/>
        </w:rPr>
        <w:t>be 9,</w:t>
      </w:r>
      <w:r w:rsidR="00436C74" w:rsidRPr="00C70974">
        <w:rPr>
          <w:rFonts w:cs="Times New Roman"/>
          <w:bCs/>
        </w:rPr>
        <w:t>150</w:t>
      </w:r>
      <w:r w:rsidR="00DB00C6" w:rsidRPr="007935A4">
        <w:rPr>
          <w:rFonts w:cs="Times New Roman"/>
          <w:bCs/>
        </w:rPr>
        <w:t>.</w:t>
      </w:r>
    </w:p>
    <w:p w14:paraId="1E347F8B" w14:textId="39838BEB" w:rsidR="00462BA7" w:rsidRPr="00DF48C0" w:rsidRDefault="000A1AC8" w:rsidP="000A1AC8">
      <w:pPr>
        <w:spacing w:line="360" w:lineRule="auto"/>
        <w:ind w:firstLine="720"/>
        <w:rPr>
          <w:rFonts w:cs="Times New Roman"/>
          <w:bCs/>
        </w:rPr>
      </w:pPr>
      <w:r w:rsidRPr="00DF48C0">
        <w:rPr>
          <w:rFonts w:cs="Times New Roman"/>
          <w:bCs/>
        </w:rPr>
        <w:t xml:space="preserve">ORD will use the survey responses to </w:t>
      </w:r>
      <w:r w:rsidR="00462BA7" w:rsidRPr="00DF48C0">
        <w:rPr>
          <w:rFonts w:cs="Times New Roman"/>
          <w:bCs/>
        </w:rPr>
        <w:t>estimate willingness to pay for changes related to reductions in n</w:t>
      </w:r>
      <w:r w:rsidRPr="00DF48C0">
        <w:rPr>
          <w:rFonts w:cs="Times New Roman"/>
          <w:bCs/>
        </w:rPr>
        <w:t>utrient and pathogen</w:t>
      </w:r>
      <w:r w:rsidR="00462BA7" w:rsidRPr="00DF48C0">
        <w:rPr>
          <w:rFonts w:cs="Times New Roman"/>
          <w:bCs/>
        </w:rPr>
        <w:t xml:space="preserve"> loadings to </w:t>
      </w:r>
      <w:r w:rsidRPr="00DF48C0">
        <w:rPr>
          <w:rFonts w:cs="Times New Roman"/>
          <w:bCs/>
        </w:rPr>
        <w:t>coastal New England waters</w:t>
      </w:r>
      <w:r w:rsidR="00462BA7" w:rsidRPr="00DF48C0">
        <w:rPr>
          <w:rFonts w:cs="Times New Roman"/>
          <w:bCs/>
        </w:rPr>
        <w:t xml:space="preserve">. The analysis relies on state of the art theoretical and statistical tools for non-market welfare analysis. A non-response bias </w:t>
      </w:r>
      <w:r w:rsidR="007D3F4D">
        <w:rPr>
          <w:rFonts w:cs="Times New Roman"/>
          <w:bCs/>
        </w:rPr>
        <w:t xml:space="preserve">analysis </w:t>
      </w:r>
      <w:r w:rsidR="00462BA7" w:rsidRPr="00DF48C0">
        <w:rPr>
          <w:rFonts w:cs="Times New Roman"/>
          <w:bCs/>
        </w:rPr>
        <w:t xml:space="preserve">will also be </w:t>
      </w:r>
      <w:r w:rsidR="007D3F4D">
        <w:rPr>
          <w:rFonts w:cs="Times New Roman"/>
          <w:bCs/>
        </w:rPr>
        <w:t xml:space="preserve">conducted </w:t>
      </w:r>
      <w:r w:rsidR="00462BA7" w:rsidRPr="00DF48C0">
        <w:rPr>
          <w:rFonts w:cs="Times New Roman"/>
          <w:bCs/>
        </w:rPr>
        <w:t>to inform the interpretation and validation of survey responses.</w:t>
      </w:r>
    </w:p>
    <w:p w14:paraId="5F0DA700" w14:textId="0C8D5D45" w:rsidR="00462BA7" w:rsidRPr="00DF48C0" w:rsidRDefault="00462BA7" w:rsidP="00462BA7">
      <w:pPr>
        <w:spacing w:line="360" w:lineRule="auto"/>
        <w:ind w:firstLine="720"/>
        <w:rPr>
          <w:rFonts w:cs="Times New Roman"/>
          <w:bCs/>
        </w:rPr>
      </w:pPr>
      <w:r w:rsidRPr="00DF48C0">
        <w:rPr>
          <w:rFonts w:cs="Times New Roman"/>
          <w:bCs/>
        </w:rPr>
        <w:t xml:space="preserve">The total national burden estimate for all components of the survey is </w:t>
      </w:r>
      <w:r w:rsidR="009A37B0">
        <w:rPr>
          <w:rFonts w:cs="Times New Roman"/>
          <w:bCs/>
        </w:rPr>
        <w:t>563</w:t>
      </w:r>
      <w:r w:rsidR="00287BFF" w:rsidRPr="00DF48C0">
        <w:rPr>
          <w:rFonts w:cs="Times New Roman"/>
          <w:bCs/>
        </w:rPr>
        <w:t xml:space="preserve"> </w:t>
      </w:r>
      <w:r w:rsidRPr="00DF48C0">
        <w:rPr>
          <w:rFonts w:cs="Times New Roman"/>
          <w:bCs/>
        </w:rPr>
        <w:t>hours.</w:t>
      </w:r>
      <w:r w:rsidR="004B5D91" w:rsidRPr="00DF48C0">
        <w:rPr>
          <w:rFonts w:cs="Times New Roman"/>
          <w:bCs/>
        </w:rPr>
        <w:t xml:space="preserve"> </w:t>
      </w:r>
      <w:r w:rsidRPr="00DF48C0">
        <w:rPr>
          <w:rFonts w:cs="Times New Roman"/>
          <w:bCs/>
        </w:rPr>
        <w:t xml:space="preserve">The burden estimate is based on </w:t>
      </w:r>
      <w:r w:rsidR="00B71911">
        <w:rPr>
          <w:rFonts w:cs="Times New Roman"/>
          <w:bCs/>
        </w:rPr>
        <w:t>9</w:t>
      </w:r>
      <w:r w:rsidR="00287BFF">
        <w:rPr>
          <w:rFonts w:cs="Times New Roman"/>
          <w:bCs/>
        </w:rPr>
        <w:t>0</w:t>
      </w:r>
      <w:r w:rsidR="00287BFF" w:rsidRPr="00DF48C0">
        <w:rPr>
          <w:rFonts w:cs="Times New Roman"/>
          <w:bCs/>
        </w:rPr>
        <w:t xml:space="preserve"> </w:t>
      </w:r>
      <w:r w:rsidR="000A1AC8" w:rsidRPr="00DF48C0">
        <w:rPr>
          <w:rFonts w:cs="Times New Roman"/>
          <w:bCs/>
        </w:rPr>
        <w:t>responses to</w:t>
      </w:r>
      <w:r w:rsidR="00287BFF">
        <w:rPr>
          <w:rFonts w:cs="Times New Roman"/>
          <w:bCs/>
        </w:rPr>
        <w:t xml:space="preserve"> 370</w:t>
      </w:r>
      <w:r w:rsidRPr="00DF48C0">
        <w:rPr>
          <w:rFonts w:cs="Times New Roman"/>
          <w:bCs/>
        </w:rPr>
        <w:t xml:space="preserve"> pretest surveys,</w:t>
      </w:r>
      <w:r w:rsidR="00287BFF">
        <w:rPr>
          <w:rFonts w:cs="Times New Roman"/>
          <w:bCs/>
        </w:rPr>
        <w:t xml:space="preserve"> and 2,</w:t>
      </w:r>
      <w:r w:rsidR="009A37B0">
        <w:rPr>
          <w:rFonts w:cs="Times New Roman"/>
          <w:bCs/>
        </w:rPr>
        <w:t>163</w:t>
      </w:r>
      <w:r w:rsidR="000A1AC8" w:rsidRPr="00DF48C0">
        <w:rPr>
          <w:rFonts w:cs="Times New Roman"/>
          <w:bCs/>
        </w:rPr>
        <w:t xml:space="preserve"> </w:t>
      </w:r>
      <w:r w:rsidRPr="00DF48C0">
        <w:rPr>
          <w:rFonts w:cs="Times New Roman"/>
          <w:bCs/>
        </w:rPr>
        <w:t>responses to</w:t>
      </w:r>
      <w:r w:rsidR="00BC66C6">
        <w:rPr>
          <w:rFonts w:cs="Times New Roman"/>
          <w:bCs/>
        </w:rPr>
        <w:t xml:space="preserve"> </w:t>
      </w:r>
      <w:r w:rsidR="00287BFF">
        <w:rPr>
          <w:rFonts w:cs="Times New Roman"/>
          <w:bCs/>
        </w:rPr>
        <w:t>9,</w:t>
      </w:r>
      <w:r w:rsidR="009A37B0">
        <w:rPr>
          <w:rFonts w:cs="Times New Roman"/>
          <w:bCs/>
        </w:rPr>
        <w:t>15</w:t>
      </w:r>
      <w:r w:rsidR="00287BFF">
        <w:rPr>
          <w:rFonts w:cs="Times New Roman"/>
          <w:bCs/>
        </w:rPr>
        <w:t>0</w:t>
      </w:r>
      <w:r w:rsidR="000A1AC8" w:rsidRPr="00DF48C0">
        <w:rPr>
          <w:rFonts w:cs="Times New Roman"/>
          <w:bCs/>
        </w:rPr>
        <w:t xml:space="preserve"> </w:t>
      </w:r>
      <w:r w:rsidRPr="00DF48C0">
        <w:rPr>
          <w:rFonts w:cs="Times New Roman"/>
          <w:bCs/>
        </w:rPr>
        <w:t>main surveys</w:t>
      </w:r>
      <w:r w:rsidR="00287BFF">
        <w:rPr>
          <w:rFonts w:cs="Times New Roman"/>
          <w:bCs/>
        </w:rPr>
        <w:t>.</w:t>
      </w:r>
      <w:r w:rsidR="004B5D91" w:rsidRPr="00DF48C0">
        <w:rPr>
          <w:rFonts w:cs="Times New Roman"/>
          <w:bCs/>
        </w:rPr>
        <w:t xml:space="preserve"> </w:t>
      </w:r>
      <w:r w:rsidRPr="00BC66C6">
        <w:rPr>
          <w:rFonts w:cs="Times New Roman"/>
          <w:bCs/>
        </w:rPr>
        <w:t xml:space="preserve">Assuming </w:t>
      </w:r>
      <w:r w:rsidR="00287BFF" w:rsidRPr="00BC66C6">
        <w:rPr>
          <w:rFonts w:cs="Times New Roman"/>
          <w:bCs/>
        </w:rPr>
        <w:t>1</w:t>
      </w:r>
      <w:r w:rsidR="000A1AC8" w:rsidRPr="00BC66C6">
        <w:rPr>
          <w:rFonts w:cs="Times New Roman"/>
          <w:bCs/>
        </w:rPr>
        <w:t>5</w:t>
      </w:r>
      <w:r w:rsidRPr="00BC66C6">
        <w:rPr>
          <w:rFonts w:cs="Times New Roman"/>
          <w:bCs/>
        </w:rPr>
        <w:t xml:space="preserve"> minutes</w:t>
      </w:r>
      <w:r w:rsidRPr="00DF48C0">
        <w:rPr>
          <w:rFonts w:cs="Times New Roman"/>
          <w:bCs/>
        </w:rPr>
        <w:t xml:space="preserve"> are needed to complete the survey</w:t>
      </w:r>
      <w:r w:rsidR="00287BFF">
        <w:rPr>
          <w:rFonts w:cs="Times New Roman"/>
          <w:bCs/>
        </w:rPr>
        <w:t>,</w:t>
      </w:r>
      <w:r w:rsidRPr="00DF48C0">
        <w:rPr>
          <w:rFonts w:cs="Times New Roman"/>
          <w:bCs/>
        </w:rPr>
        <w:t xml:space="preserve"> the total respondent cost </w:t>
      </w:r>
      <w:r w:rsidRPr="00BC66C6">
        <w:rPr>
          <w:rFonts w:cs="Times New Roman"/>
          <w:bCs/>
        </w:rPr>
        <w:t xml:space="preserve">comes to </w:t>
      </w:r>
      <w:r w:rsidR="00B71911">
        <w:rPr>
          <w:rFonts w:cs="Times New Roman"/>
          <w:bCs/>
        </w:rPr>
        <w:t>$</w:t>
      </w:r>
      <w:r w:rsidR="009A37B0">
        <w:rPr>
          <w:rFonts w:cs="Times New Roman"/>
          <w:bCs/>
        </w:rPr>
        <w:t>19,618</w:t>
      </w:r>
      <w:r w:rsidRPr="00BC66C6">
        <w:rPr>
          <w:rFonts w:cs="Times New Roman"/>
          <w:bCs/>
        </w:rPr>
        <w:t xml:space="preserve"> for the pre-test and mai</w:t>
      </w:r>
      <w:r w:rsidR="007D3F4D">
        <w:rPr>
          <w:rFonts w:cs="Times New Roman"/>
          <w:bCs/>
        </w:rPr>
        <w:t>n</w:t>
      </w:r>
      <w:r w:rsidRPr="00BC66C6">
        <w:rPr>
          <w:rFonts w:cs="Times New Roman"/>
          <w:bCs/>
        </w:rPr>
        <w:t xml:space="preserve"> survey combined</w:t>
      </w:r>
      <w:r w:rsidR="007D3F4D">
        <w:rPr>
          <w:rFonts w:cs="Times New Roman"/>
          <w:bCs/>
        </w:rPr>
        <w:t>,</w:t>
      </w:r>
      <w:r w:rsidRPr="00BC66C6">
        <w:rPr>
          <w:rFonts w:cs="Times New Roman"/>
          <w:bCs/>
        </w:rPr>
        <w:t xml:space="preserve"> using an average wage rate </w:t>
      </w:r>
      <w:r w:rsidR="007D73BD" w:rsidRPr="00BC66C6">
        <w:rPr>
          <w:rFonts w:cs="Times New Roman"/>
          <w:bCs/>
        </w:rPr>
        <w:t xml:space="preserve">for New England </w:t>
      </w:r>
      <w:r w:rsidRPr="00BC66C6">
        <w:rPr>
          <w:rFonts w:cs="Times New Roman"/>
          <w:bCs/>
        </w:rPr>
        <w:t>of $</w:t>
      </w:r>
      <w:r w:rsidR="00287BFF" w:rsidRPr="00BC66C6">
        <w:rPr>
          <w:rFonts w:cs="Times New Roman"/>
          <w:bCs/>
        </w:rPr>
        <w:t>34</w:t>
      </w:r>
      <w:r w:rsidR="00543AFB" w:rsidRPr="00BC66C6">
        <w:rPr>
          <w:rFonts w:cs="Times New Roman"/>
          <w:bCs/>
        </w:rPr>
        <w:t>.</w:t>
      </w:r>
      <w:r w:rsidR="00287BFF" w:rsidRPr="00BC66C6">
        <w:rPr>
          <w:rFonts w:cs="Times New Roman"/>
          <w:bCs/>
        </w:rPr>
        <w:t xml:space="preserve">83 </w:t>
      </w:r>
      <w:r w:rsidRPr="00BC66C6">
        <w:rPr>
          <w:rFonts w:cs="Times New Roman"/>
          <w:bCs/>
        </w:rPr>
        <w:t>(</w:t>
      </w:r>
      <w:r w:rsidRPr="00892E31">
        <w:rPr>
          <w:rFonts w:cs="Times New Roman"/>
          <w:bCs/>
        </w:rPr>
        <w:t xml:space="preserve">United States Department of Labor, </w:t>
      </w:r>
      <w:r w:rsidR="00287BFF" w:rsidRPr="00892E31">
        <w:rPr>
          <w:rFonts w:cs="Times New Roman"/>
          <w:bCs/>
        </w:rPr>
        <w:t>2016</w:t>
      </w:r>
      <w:r w:rsidRPr="00BC66C6">
        <w:rPr>
          <w:rFonts w:cs="Times New Roman"/>
          <w:bCs/>
        </w:rPr>
        <w:t>).</w:t>
      </w:r>
    </w:p>
    <w:p w14:paraId="29CC8AFC" w14:textId="77777777" w:rsidR="00462BA7" w:rsidRPr="00DF48C0" w:rsidRDefault="00462BA7" w:rsidP="00462BA7">
      <w:pPr>
        <w:spacing w:line="360" w:lineRule="auto"/>
        <w:ind w:firstLine="720"/>
        <w:rPr>
          <w:rFonts w:cs="Times New Roman"/>
        </w:rPr>
      </w:pPr>
    </w:p>
    <w:p w14:paraId="26FCB32D" w14:textId="086CDFF1" w:rsidR="00462BA7" w:rsidRPr="00DF48C0" w:rsidRDefault="00462BA7" w:rsidP="00462BA7">
      <w:pPr>
        <w:pStyle w:val="Heading2"/>
        <w:rPr>
          <w:sz w:val="22"/>
          <w:szCs w:val="22"/>
        </w:rPr>
      </w:pPr>
      <w:bookmarkStart w:id="10" w:name="_Toc326736633"/>
      <w:bookmarkStart w:id="11" w:name="_Toc473195078"/>
      <w:r w:rsidRPr="00DF48C0">
        <w:rPr>
          <w:sz w:val="22"/>
          <w:szCs w:val="22"/>
        </w:rPr>
        <w:t>2.</w:t>
      </w:r>
      <w:r w:rsidRPr="00DF48C0">
        <w:rPr>
          <w:sz w:val="22"/>
          <w:szCs w:val="22"/>
        </w:rPr>
        <w:tab/>
        <w:t xml:space="preserve">Need </w:t>
      </w:r>
      <w:r w:rsidR="00FC6DC4">
        <w:rPr>
          <w:sz w:val="22"/>
          <w:szCs w:val="22"/>
        </w:rPr>
        <w:t>f</w:t>
      </w:r>
      <w:r w:rsidR="00FC6DC4" w:rsidRPr="00DF48C0">
        <w:rPr>
          <w:sz w:val="22"/>
          <w:szCs w:val="22"/>
        </w:rPr>
        <w:t xml:space="preserve">or </w:t>
      </w:r>
      <w:r w:rsidRPr="00DF48C0">
        <w:rPr>
          <w:sz w:val="22"/>
          <w:szCs w:val="22"/>
        </w:rPr>
        <w:t>and Use of the Collection</w:t>
      </w:r>
      <w:bookmarkEnd w:id="10"/>
      <w:bookmarkEnd w:id="11"/>
    </w:p>
    <w:p w14:paraId="47727FB7" w14:textId="77777777" w:rsidR="00462BA7" w:rsidRPr="00DF48C0" w:rsidRDefault="00462BA7" w:rsidP="00462BA7">
      <w:pPr>
        <w:pStyle w:val="Heading3"/>
        <w:rPr>
          <w:sz w:val="22"/>
          <w:szCs w:val="22"/>
        </w:rPr>
      </w:pPr>
      <w:bookmarkStart w:id="12" w:name="_Toc326736634"/>
      <w:bookmarkStart w:id="13" w:name="_Toc473195079"/>
      <w:r w:rsidRPr="00DF48C0">
        <w:rPr>
          <w:sz w:val="22"/>
          <w:szCs w:val="22"/>
        </w:rPr>
        <w:t>2(a)</w:t>
      </w:r>
      <w:r w:rsidRPr="00DF48C0">
        <w:rPr>
          <w:sz w:val="22"/>
          <w:szCs w:val="22"/>
        </w:rPr>
        <w:tab/>
        <w:t>Need/Authority for the Collection</w:t>
      </w:r>
      <w:bookmarkEnd w:id="12"/>
      <w:bookmarkEnd w:id="13"/>
    </w:p>
    <w:p w14:paraId="57A43F7B" w14:textId="77777777" w:rsidR="0068337E" w:rsidRPr="00DF48C0" w:rsidRDefault="0068337E" w:rsidP="00DA1B15">
      <w:pPr>
        <w:spacing w:line="360" w:lineRule="auto"/>
        <w:ind w:firstLine="720"/>
        <w:rPr>
          <w:rFonts w:cs="Times New Roman"/>
        </w:rPr>
      </w:pPr>
    </w:p>
    <w:p w14:paraId="53244260" w14:textId="4F35BCB7" w:rsidR="00BF643B" w:rsidRPr="00DF48C0" w:rsidRDefault="007927A1" w:rsidP="002F3236">
      <w:pPr>
        <w:spacing w:line="360" w:lineRule="auto"/>
        <w:ind w:firstLine="720"/>
        <w:rPr>
          <w:rFonts w:cs="Times New Roman"/>
        </w:rPr>
      </w:pPr>
      <w:r w:rsidRPr="00DF48C0">
        <w:rPr>
          <w:rFonts w:cs="Times New Roman"/>
        </w:rPr>
        <w:t>Within EPA, t</w:t>
      </w:r>
      <w:r w:rsidR="0068337E" w:rsidRPr="00DF48C0">
        <w:rPr>
          <w:rFonts w:cs="Times New Roman"/>
        </w:rPr>
        <w:t xml:space="preserve">his work will provide data to two of EPA’s </w:t>
      </w:r>
      <w:r w:rsidR="00BF643B" w:rsidRPr="00DF48C0">
        <w:rPr>
          <w:rFonts w:cs="Times New Roman"/>
        </w:rPr>
        <w:t xml:space="preserve">ORD </w:t>
      </w:r>
      <w:r w:rsidR="0068337E" w:rsidRPr="00DF48C0">
        <w:rPr>
          <w:rFonts w:cs="Times New Roman"/>
        </w:rPr>
        <w:t>research programs:</w:t>
      </w:r>
      <w:r w:rsidR="00BF643B" w:rsidRPr="00DF48C0">
        <w:rPr>
          <w:rFonts w:cs="Times New Roman"/>
        </w:rPr>
        <w:t xml:space="preserve"> the</w:t>
      </w:r>
      <w:r w:rsidR="0068337E" w:rsidRPr="00DF48C0">
        <w:rPr>
          <w:rFonts w:cs="Times New Roman"/>
        </w:rPr>
        <w:t xml:space="preserve"> Safe and Sustainable Water Resources Research </w:t>
      </w:r>
      <w:r w:rsidR="00822E3E" w:rsidRPr="00DF48C0">
        <w:rPr>
          <w:rFonts w:cs="Times New Roman"/>
        </w:rPr>
        <w:t xml:space="preserve">(SSWR) </w:t>
      </w:r>
      <w:r w:rsidR="0068337E" w:rsidRPr="00DF48C0">
        <w:rPr>
          <w:rFonts w:cs="Times New Roman"/>
        </w:rPr>
        <w:t>Program and the Sustainable and Healthy Communities</w:t>
      </w:r>
      <w:r w:rsidR="00822E3E" w:rsidRPr="00DF48C0">
        <w:rPr>
          <w:rFonts w:cs="Times New Roman"/>
        </w:rPr>
        <w:t xml:space="preserve"> (SHC)</w:t>
      </w:r>
      <w:r w:rsidR="0068337E" w:rsidRPr="00DF48C0">
        <w:rPr>
          <w:rFonts w:cs="Times New Roman"/>
        </w:rPr>
        <w:t xml:space="preserve"> Research Program.</w:t>
      </w:r>
      <w:r w:rsidR="00822E3E" w:rsidRPr="00DF48C0">
        <w:rPr>
          <w:rFonts w:cs="Times New Roman"/>
        </w:rPr>
        <w:t xml:space="preserve"> One of the four objectives identified in the SSWR research plan is to quantify benefits of water quality</w:t>
      </w:r>
      <w:r w:rsidR="00DD7C4C">
        <w:rPr>
          <w:rFonts w:cs="Times New Roman"/>
        </w:rPr>
        <w:t>,</w:t>
      </w:r>
      <w:r w:rsidR="00822E3E" w:rsidRPr="00DF48C0">
        <w:rPr>
          <w:rFonts w:cs="Times New Roman"/>
        </w:rPr>
        <w:t xml:space="preserve"> because </w:t>
      </w:r>
      <w:r w:rsidR="00DD7C4C">
        <w:rPr>
          <w:rFonts w:cs="Times New Roman"/>
        </w:rPr>
        <w:t xml:space="preserve">the values of </w:t>
      </w:r>
      <w:r w:rsidR="00822E3E" w:rsidRPr="00DF48C0">
        <w:rPr>
          <w:rFonts w:cs="Times New Roman"/>
        </w:rPr>
        <w:t xml:space="preserve">many ecosystem services of water systems </w:t>
      </w:r>
      <w:r w:rsidR="00DD7C4C">
        <w:rPr>
          <w:rFonts w:cs="Times New Roman"/>
        </w:rPr>
        <w:t xml:space="preserve">have not been estimated, or existing estimates </w:t>
      </w:r>
      <w:r w:rsidR="00822E3E" w:rsidRPr="00DF48C0">
        <w:rPr>
          <w:rFonts w:cs="Times New Roman"/>
        </w:rPr>
        <w:t>are</w:t>
      </w:r>
      <w:r w:rsidR="00DD7C4C">
        <w:rPr>
          <w:rFonts w:cs="Times New Roman"/>
        </w:rPr>
        <w:t xml:space="preserve"> not up to date or comprehensive with regard to geographic and policy scope</w:t>
      </w:r>
      <w:r w:rsidR="00822E3E" w:rsidRPr="00DF48C0">
        <w:rPr>
          <w:rFonts w:cs="Times New Roman"/>
        </w:rPr>
        <w:t xml:space="preserve">. Therefore, </w:t>
      </w:r>
      <w:r w:rsidR="00143F10">
        <w:rPr>
          <w:rFonts w:cs="Times New Roman"/>
        </w:rPr>
        <w:t>more effectively valuing the</w:t>
      </w:r>
      <w:r w:rsidR="00822E3E" w:rsidRPr="00DF48C0">
        <w:rPr>
          <w:rFonts w:cs="Times New Roman"/>
        </w:rPr>
        <w:t xml:space="preserve"> benefits of water quality improvements will aid in the protection or restoration of water quality (</w:t>
      </w:r>
      <w:r w:rsidR="00822E3E" w:rsidRPr="005E6A46">
        <w:rPr>
          <w:rFonts w:cs="Times New Roman"/>
        </w:rPr>
        <w:t>U.S. EPA</w:t>
      </w:r>
      <w:r w:rsidR="002C6CEC" w:rsidRPr="00DD7C4C">
        <w:rPr>
          <w:rFonts w:cs="Times New Roman"/>
        </w:rPr>
        <w:t>,</w:t>
      </w:r>
      <w:r w:rsidR="00822E3E" w:rsidRPr="005E6A46">
        <w:rPr>
          <w:rFonts w:cs="Times New Roman"/>
        </w:rPr>
        <w:t xml:space="preserve"> 2015</w:t>
      </w:r>
      <w:r w:rsidR="00B86CBC" w:rsidRPr="005E6A46">
        <w:rPr>
          <w:rFonts w:cs="Times New Roman"/>
        </w:rPr>
        <w:t>a</w:t>
      </w:r>
      <w:r w:rsidR="00822E3E" w:rsidRPr="005E6A46">
        <w:rPr>
          <w:rFonts w:cs="Times New Roman"/>
        </w:rPr>
        <w:t>)</w:t>
      </w:r>
      <w:r w:rsidR="00822E3E" w:rsidRPr="00DF48C0">
        <w:rPr>
          <w:rFonts w:cs="Times New Roman"/>
        </w:rPr>
        <w:t>. This research also falls within the fourth objective of the SHC research plan: to develop the causal relationships between human well-being and environmental conditions</w:t>
      </w:r>
      <w:r w:rsidR="00B86CBC" w:rsidRPr="00DF48C0">
        <w:rPr>
          <w:rFonts w:cs="Times New Roman"/>
        </w:rPr>
        <w:t xml:space="preserve"> (U.S. EPA</w:t>
      </w:r>
      <w:r w:rsidR="00A723E6">
        <w:rPr>
          <w:rFonts w:cs="Times New Roman"/>
        </w:rPr>
        <w:t>,</w:t>
      </w:r>
      <w:r w:rsidR="00B86CBC" w:rsidRPr="00DF48C0">
        <w:rPr>
          <w:rFonts w:cs="Times New Roman"/>
        </w:rPr>
        <w:t xml:space="preserve"> 2015b)</w:t>
      </w:r>
      <w:r w:rsidR="00822E3E" w:rsidRPr="00DF48C0">
        <w:rPr>
          <w:rFonts w:cs="Times New Roman"/>
        </w:rPr>
        <w:t xml:space="preserve">. </w:t>
      </w:r>
      <w:r w:rsidR="0068337E" w:rsidRPr="00DF48C0">
        <w:rPr>
          <w:rFonts w:cs="Times New Roman"/>
        </w:rPr>
        <w:t xml:space="preserve">Recreation benefits are a cultural ecosystem service obtained from the protection of natural resources, including coastal systems </w:t>
      </w:r>
      <w:r w:rsidR="00B86CBC" w:rsidRPr="00DF48C0">
        <w:rPr>
          <w:rFonts w:cs="Times New Roman"/>
        </w:rPr>
        <w:t xml:space="preserve">that contribute to human well-being </w:t>
      </w:r>
      <w:r w:rsidR="0068337E" w:rsidRPr="00DF48C0">
        <w:rPr>
          <w:rFonts w:cs="Times New Roman"/>
        </w:rPr>
        <w:t>(Millennium Ecosystem Assessment, 2005).</w:t>
      </w:r>
      <w:r w:rsidR="00822E3E" w:rsidRPr="00DF48C0">
        <w:rPr>
          <w:rFonts w:cs="Times New Roman"/>
        </w:rPr>
        <w:t xml:space="preserve"> T</w:t>
      </w:r>
      <w:r w:rsidR="00DA1B15" w:rsidRPr="00DF48C0">
        <w:rPr>
          <w:rFonts w:cs="Times New Roman"/>
        </w:rPr>
        <w:t xml:space="preserve">his research </w:t>
      </w:r>
      <w:r w:rsidR="00822E3E" w:rsidRPr="00DF48C0">
        <w:rPr>
          <w:rFonts w:cs="Times New Roman"/>
        </w:rPr>
        <w:t>will</w:t>
      </w:r>
      <w:r w:rsidR="00DA1B15" w:rsidRPr="00DF48C0">
        <w:rPr>
          <w:rFonts w:cs="Times New Roman"/>
        </w:rPr>
        <w:t xml:space="preserve"> improve EPA’s ability to characterize recreational benefits of improved water quality in coastal communities. </w:t>
      </w:r>
    </w:p>
    <w:p w14:paraId="31133DE9" w14:textId="263AAFB8" w:rsidR="00DA1B15" w:rsidRPr="00DF48C0" w:rsidRDefault="00DA1B15" w:rsidP="002F3236">
      <w:pPr>
        <w:spacing w:line="360" w:lineRule="auto"/>
        <w:ind w:firstLine="720"/>
        <w:rPr>
          <w:rFonts w:cs="Times New Roman"/>
        </w:rPr>
      </w:pPr>
      <w:r w:rsidRPr="00DF48C0">
        <w:rPr>
          <w:rFonts w:cs="Times New Roman"/>
        </w:rPr>
        <w:t>Currently, very little is known about recreational uses and values for and attitudes towards waterbodies in New England’s coastal communities that, like Cape Cod</w:t>
      </w:r>
      <w:r w:rsidR="00BB6270" w:rsidRPr="00DF48C0">
        <w:rPr>
          <w:rFonts w:cs="Times New Roman"/>
        </w:rPr>
        <w:t>,</w:t>
      </w:r>
      <w:r w:rsidRPr="00DF48C0">
        <w:rPr>
          <w:rFonts w:cs="Times New Roman"/>
        </w:rPr>
        <w:t xml:space="preserve"> are facing problems of nutrient </w:t>
      </w:r>
      <w:r w:rsidR="00143F10">
        <w:rPr>
          <w:rFonts w:cs="Times New Roman"/>
        </w:rPr>
        <w:t>over</w:t>
      </w:r>
      <w:r w:rsidRPr="00DF48C0">
        <w:rPr>
          <w:rFonts w:cs="Times New Roman"/>
        </w:rPr>
        <w:t xml:space="preserve">enrichment primarily driven by non-agricultural nonpoint sources. This limits the EPA’s ability to assess the full economic and social impacts of nutrient </w:t>
      </w:r>
      <w:r w:rsidR="00143F10">
        <w:rPr>
          <w:rFonts w:cs="Times New Roman"/>
        </w:rPr>
        <w:t>over</w:t>
      </w:r>
      <w:r w:rsidRPr="00DF48C0">
        <w:rPr>
          <w:rFonts w:cs="Times New Roman"/>
        </w:rPr>
        <w:t>enrichment. There is also little known about how people’s perceptions of water quality relate to actual water quality measures. The proposed survey will focus on recreational uses of coastal waters</w:t>
      </w:r>
      <w:r w:rsidR="00BB6270" w:rsidRPr="00DF48C0">
        <w:rPr>
          <w:rFonts w:cs="Times New Roman"/>
        </w:rPr>
        <w:t xml:space="preserve">. In particular, it will focus on calculating </w:t>
      </w:r>
      <w:r w:rsidRPr="00DF48C0">
        <w:rPr>
          <w:rFonts w:cs="Times New Roman"/>
        </w:rPr>
        <w:t xml:space="preserve">economic values for, and attitudes and perceptions </w:t>
      </w:r>
      <w:r w:rsidR="00107FC0">
        <w:rPr>
          <w:rFonts w:cs="Times New Roman"/>
        </w:rPr>
        <w:t>towards</w:t>
      </w:r>
      <w:r w:rsidR="00BC66C6">
        <w:rPr>
          <w:rFonts w:cs="Times New Roman"/>
        </w:rPr>
        <w:t>,</w:t>
      </w:r>
      <w:r w:rsidR="00BB6270" w:rsidRPr="00DF48C0">
        <w:rPr>
          <w:rFonts w:cs="Times New Roman"/>
        </w:rPr>
        <w:t xml:space="preserve"> </w:t>
      </w:r>
      <w:r w:rsidRPr="00DF48C0">
        <w:rPr>
          <w:rFonts w:cs="Times New Roman"/>
        </w:rPr>
        <w:t>water quality and water-contact recreation. Specifically, the survey instrument will elicit revealed preferences that can be used to estimate non-market economic values associated with recreational uses of coastal and estuarine waterbodies and the related attitudes towards those waterbodies that could affect their elasticity of demand and future uses. Data obtained by the survey are intended to be analyzed in a random-utility model for valuing water-contact recreation, as well as ancillary modeling of water quality perceptions</w:t>
      </w:r>
      <w:r w:rsidR="00107FC0">
        <w:rPr>
          <w:rFonts w:cs="Times New Roman"/>
        </w:rPr>
        <w:t xml:space="preserve"> and hypotheses related to people’s sense of place</w:t>
      </w:r>
      <w:r w:rsidRPr="00DF48C0">
        <w:rPr>
          <w:rFonts w:cs="Times New Roman"/>
        </w:rPr>
        <w:t xml:space="preserve">. </w:t>
      </w:r>
    </w:p>
    <w:p w14:paraId="64797DFC" w14:textId="08706391" w:rsidR="007935A4" w:rsidRDefault="00250F8A" w:rsidP="007935A4">
      <w:pPr>
        <w:spacing w:line="360" w:lineRule="auto"/>
        <w:ind w:firstLine="720"/>
        <w:rPr>
          <w:rFonts w:cs="Times New Roman"/>
        </w:rPr>
      </w:pPr>
      <w:r>
        <w:rPr>
          <w:rFonts w:cs="Times New Roman"/>
        </w:rPr>
        <w:t xml:space="preserve">The primary purpose of this study is to conduct research on </w:t>
      </w:r>
      <w:r w:rsidR="00156642">
        <w:rPr>
          <w:rFonts w:cs="Times New Roman"/>
        </w:rPr>
        <w:t xml:space="preserve">several topics: </w:t>
      </w:r>
      <w:r>
        <w:rPr>
          <w:rFonts w:cs="Times New Roman"/>
        </w:rPr>
        <w:t>participation in coastal recreation,</w:t>
      </w:r>
      <w:r w:rsidR="00156642">
        <w:rPr>
          <w:rFonts w:cs="Times New Roman"/>
        </w:rPr>
        <w:t xml:space="preserve"> including recreation that includes water contact;</w:t>
      </w:r>
      <w:r>
        <w:rPr>
          <w:rFonts w:cs="Times New Roman"/>
        </w:rPr>
        <w:t xml:space="preserve"> </w:t>
      </w:r>
      <w:r w:rsidR="00156642">
        <w:rPr>
          <w:rFonts w:cs="Times New Roman"/>
        </w:rPr>
        <w:t xml:space="preserve">people’s </w:t>
      </w:r>
      <w:r w:rsidR="00FB27BD">
        <w:rPr>
          <w:rFonts w:cs="Times New Roman"/>
        </w:rPr>
        <w:t xml:space="preserve">perceptions of water quality </w:t>
      </w:r>
      <w:r w:rsidR="00156642">
        <w:rPr>
          <w:rFonts w:cs="Times New Roman"/>
        </w:rPr>
        <w:t xml:space="preserve">and the factors that most strongly influence those perceptions; </w:t>
      </w:r>
      <w:r w:rsidR="00FB27BD">
        <w:rPr>
          <w:rFonts w:cs="Times New Roman"/>
        </w:rPr>
        <w:t xml:space="preserve">the relationship </w:t>
      </w:r>
      <w:r w:rsidR="00156642">
        <w:rPr>
          <w:rFonts w:cs="Times New Roman"/>
        </w:rPr>
        <w:t xml:space="preserve">of water quality perceptions </w:t>
      </w:r>
      <w:r w:rsidR="00FB27BD">
        <w:rPr>
          <w:rFonts w:cs="Times New Roman"/>
        </w:rPr>
        <w:t>to objective measures</w:t>
      </w:r>
      <w:r w:rsidR="00156642">
        <w:rPr>
          <w:rFonts w:cs="Times New Roman"/>
        </w:rPr>
        <w:t>;</w:t>
      </w:r>
      <w:r w:rsidR="00FB27BD">
        <w:rPr>
          <w:rFonts w:cs="Times New Roman"/>
        </w:rPr>
        <w:t xml:space="preserve"> and the use of sense of place metrics in </w:t>
      </w:r>
      <w:r w:rsidR="00FB27BD" w:rsidRPr="00286E6F">
        <w:rPr>
          <w:rFonts w:cs="Times New Roman"/>
        </w:rPr>
        <w:t xml:space="preserve">economic valuation models. </w:t>
      </w:r>
      <w:r w:rsidR="00B869D5" w:rsidRPr="007935A4">
        <w:rPr>
          <w:rFonts w:cs="Times New Roman"/>
        </w:rPr>
        <w:t>The survey is being proposed by the EPA Office of Research and Development, and is not associated with any regulatory ruling of EPA. Thus</w:t>
      </w:r>
      <w:r w:rsidR="00C23BD1" w:rsidRPr="007935A4">
        <w:rPr>
          <w:rFonts w:cs="Times New Roman"/>
        </w:rPr>
        <w:t>,</w:t>
      </w:r>
      <w:r w:rsidR="00B869D5" w:rsidRPr="007935A4">
        <w:rPr>
          <w:rFonts w:cs="Times New Roman"/>
        </w:rPr>
        <w:t xml:space="preserve"> decisions were made in the study design from a perspective of making research contributions. </w:t>
      </w:r>
      <w:r w:rsidR="00286E6F" w:rsidRPr="007935A4">
        <w:rPr>
          <w:rFonts w:cs="Times New Roman"/>
        </w:rPr>
        <w:t xml:space="preserve">We do not intend that results from this study will be used </w:t>
      </w:r>
      <w:r w:rsidR="007935A4">
        <w:rPr>
          <w:rFonts w:cs="Times New Roman"/>
        </w:rPr>
        <w:t xml:space="preserve">for </w:t>
      </w:r>
      <w:r w:rsidR="00286E6F" w:rsidRPr="007935A4">
        <w:rPr>
          <w:rFonts w:cs="Times New Roman"/>
        </w:rPr>
        <w:t xml:space="preserve">any specific policy or rule, but we understand that it </w:t>
      </w:r>
      <w:r w:rsidR="007935A4">
        <w:rPr>
          <w:rFonts w:cs="Times New Roman"/>
        </w:rPr>
        <w:t xml:space="preserve">may </w:t>
      </w:r>
      <w:r w:rsidR="00286E6F" w:rsidRPr="007935A4">
        <w:rPr>
          <w:rFonts w:cs="Times New Roman"/>
        </w:rPr>
        <w:t>provide valuable in</w:t>
      </w:r>
      <w:r w:rsidR="007935A4">
        <w:rPr>
          <w:rFonts w:cs="Times New Roman"/>
        </w:rPr>
        <w:t>put</w:t>
      </w:r>
      <w:r w:rsidR="00286E6F" w:rsidRPr="007935A4">
        <w:rPr>
          <w:rFonts w:cs="Times New Roman"/>
        </w:rPr>
        <w:t xml:space="preserve"> to future decisions. </w:t>
      </w:r>
      <w:r w:rsidR="00156642" w:rsidRPr="00286E6F">
        <w:rPr>
          <w:rFonts w:cs="Times New Roman"/>
        </w:rPr>
        <w:t>While the primary purpose</w:t>
      </w:r>
      <w:r w:rsidR="00156642">
        <w:rPr>
          <w:rFonts w:cs="Times New Roman"/>
        </w:rPr>
        <w:t xml:space="preserve"> of the study is to examine these research questions and contribute to understanding of the connections between people and coastal water quality, we anticipate that t</w:t>
      </w:r>
      <w:r w:rsidR="00462BA7" w:rsidRPr="00DF48C0">
        <w:rPr>
          <w:rFonts w:cs="Times New Roman"/>
        </w:rPr>
        <w:t xml:space="preserve">he findings from this study will be </w:t>
      </w:r>
      <w:r w:rsidR="00156642">
        <w:rPr>
          <w:rFonts w:cs="Times New Roman"/>
        </w:rPr>
        <w:t xml:space="preserve">of interest to </w:t>
      </w:r>
      <w:r w:rsidR="00DA1B15" w:rsidRPr="00DF48C0">
        <w:rPr>
          <w:rFonts w:cs="Times New Roman"/>
        </w:rPr>
        <w:t xml:space="preserve">regional and </w:t>
      </w:r>
      <w:r w:rsidR="00BB6270" w:rsidRPr="00DF48C0">
        <w:rPr>
          <w:rFonts w:cs="Times New Roman"/>
        </w:rPr>
        <w:t xml:space="preserve">state </w:t>
      </w:r>
      <w:r w:rsidR="00DA1B15" w:rsidRPr="00DF48C0">
        <w:rPr>
          <w:rFonts w:cs="Times New Roman"/>
        </w:rPr>
        <w:t>partners and communities that are implementing water quality policies and actions for coastal waters regarding the potential recreational benefits of such policies and actions</w:t>
      </w:r>
      <w:r w:rsidR="00156642">
        <w:rPr>
          <w:rFonts w:cs="Times New Roman"/>
        </w:rPr>
        <w:t xml:space="preserve"> (for example, implementation of required TMDLs, green infrastructure solutions, or other actions)</w:t>
      </w:r>
      <w:r w:rsidR="00462BA7" w:rsidRPr="00DF48C0">
        <w:rPr>
          <w:rFonts w:cs="Times New Roman"/>
        </w:rPr>
        <w:t>.</w:t>
      </w:r>
      <w:r w:rsidR="00156642">
        <w:rPr>
          <w:rFonts w:cs="Times New Roman"/>
        </w:rPr>
        <w:t xml:space="preserve"> </w:t>
      </w:r>
    </w:p>
    <w:p w14:paraId="4A3ACFBD" w14:textId="560E1358" w:rsidR="00462BA7" w:rsidRPr="00DF48C0" w:rsidRDefault="00462BA7" w:rsidP="007935A4">
      <w:pPr>
        <w:spacing w:line="360" w:lineRule="auto"/>
        <w:ind w:firstLine="720"/>
        <w:rPr>
          <w:rFonts w:cs="Times New Roman"/>
        </w:rPr>
      </w:pPr>
      <w:r w:rsidRPr="00DF48C0">
        <w:rPr>
          <w:rFonts w:cs="Times New Roman"/>
        </w:rPr>
        <w:t xml:space="preserve">Specifically, </w:t>
      </w:r>
      <w:r w:rsidR="001C522D" w:rsidRPr="00DF48C0">
        <w:rPr>
          <w:rFonts w:cs="Times New Roman"/>
        </w:rPr>
        <w:t xml:space="preserve">the survey will be used to estimate </w:t>
      </w:r>
      <w:r w:rsidR="00DA1B15" w:rsidRPr="00DF48C0">
        <w:rPr>
          <w:rFonts w:cs="Times New Roman"/>
        </w:rPr>
        <w:t>recreational users</w:t>
      </w:r>
      <w:r w:rsidR="008E2D96" w:rsidRPr="00DF48C0">
        <w:rPr>
          <w:rFonts w:cs="Times New Roman"/>
        </w:rPr>
        <w:t>’ values</w:t>
      </w:r>
      <w:r w:rsidR="00DA1B15" w:rsidRPr="00DF48C0">
        <w:rPr>
          <w:rFonts w:cs="Times New Roman"/>
        </w:rPr>
        <w:t xml:space="preserve"> </w:t>
      </w:r>
      <w:r w:rsidR="001C522D" w:rsidRPr="00DF48C0">
        <w:rPr>
          <w:rFonts w:cs="Times New Roman"/>
        </w:rPr>
        <w:t xml:space="preserve">for changes in </w:t>
      </w:r>
      <w:r w:rsidR="008E2D96" w:rsidRPr="00DF48C0">
        <w:rPr>
          <w:rFonts w:cs="Times New Roman"/>
        </w:rPr>
        <w:t xml:space="preserve">water quality in </w:t>
      </w:r>
      <w:r w:rsidR="00DA1B15" w:rsidRPr="00DF48C0">
        <w:rPr>
          <w:rFonts w:cs="Times New Roman"/>
        </w:rPr>
        <w:t>coastal New England waters</w:t>
      </w:r>
      <w:r w:rsidR="001C522D" w:rsidRPr="00DF48C0">
        <w:rPr>
          <w:rFonts w:cs="Times New Roman"/>
        </w:rPr>
        <w:t xml:space="preserve">. </w:t>
      </w:r>
      <w:r w:rsidR="008E2D96" w:rsidRPr="00DF48C0">
        <w:rPr>
          <w:rFonts w:cs="Times New Roman"/>
        </w:rPr>
        <w:t xml:space="preserve">Water quality </w:t>
      </w:r>
      <w:r w:rsidR="00BB6270" w:rsidRPr="00DF48C0">
        <w:rPr>
          <w:rFonts w:cs="Times New Roman"/>
        </w:rPr>
        <w:t xml:space="preserve">models </w:t>
      </w:r>
      <w:r w:rsidR="001C522D" w:rsidRPr="00DF48C0">
        <w:rPr>
          <w:rFonts w:cs="Times New Roman"/>
        </w:rPr>
        <w:t xml:space="preserve">will be used to predict how </w:t>
      </w:r>
      <w:r w:rsidR="008E2D96" w:rsidRPr="00DF48C0">
        <w:rPr>
          <w:rFonts w:cs="Times New Roman"/>
        </w:rPr>
        <w:t xml:space="preserve">water quality is likely to </w:t>
      </w:r>
      <w:r w:rsidR="001C522D" w:rsidRPr="00DF48C0">
        <w:rPr>
          <w:rFonts w:cs="Times New Roman"/>
        </w:rPr>
        <w:t xml:space="preserve">change under </w:t>
      </w:r>
      <w:r w:rsidR="00DA1B15" w:rsidRPr="00DF48C0">
        <w:rPr>
          <w:rFonts w:cs="Times New Roman"/>
        </w:rPr>
        <w:t xml:space="preserve">various policy scenarios </w:t>
      </w:r>
      <w:r w:rsidR="001C522D" w:rsidRPr="00DF48C0">
        <w:rPr>
          <w:rFonts w:cs="Times New Roman"/>
        </w:rPr>
        <w:t>and baseline conditions.</w:t>
      </w:r>
      <w:r w:rsidR="004B5D91" w:rsidRPr="00DF48C0">
        <w:rPr>
          <w:rFonts w:cs="Times New Roman"/>
        </w:rPr>
        <w:t xml:space="preserve"> </w:t>
      </w:r>
      <w:r w:rsidR="001C522D" w:rsidRPr="00DF48C0">
        <w:rPr>
          <w:rFonts w:cs="Times New Roman"/>
        </w:rPr>
        <w:t xml:space="preserve">Model predictions and valuation survey data will be combined to estimate </w:t>
      </w:r>
      <w:r w:rsidR="00DA1B15" w:rsidRPr="00DF48C0">
        <w:rPr>
          <w:rFonts w:cs="Times New Roman"/>
        </w:rPr>
        <w:t xml:space="preserve">recreational </w:t>
      </w:r>
      <w:r w:rsidR="001C522D" w:rsidRPr="00DF48C0">
        <w:rPr>
          <w:rFonts w:cs="Times New Roman"/>
        </w:rPr>
        <w:t>economic benefit</w:t>
      </w:r>
      <w:r w:rsidR="00DA1B15" w:rsidRPr="00DF48C0">
        <w:rPr>
          <w:rFonts w:cs="Times New Roman"/>
        </w:rPr>
        <w:t xml:space="preserve">s under different </w:t>
      </w:r>
      <w:r w:rsidR="00156642">
        <w:rPr>
          <w:rFonts w:cs="Times New Roman"/>
        </w:rPr>
        <w:t xml:space="preserve">hypothetical policy </w:t>
      </w:r>
      <w:r w:rsidR="00DA1B15" w:rsidRPr="00DF48C0">
        <w:rPr>
          <w:rFonts w:cs="Times New Roman"/>
        </w:rPr>
        <w:t>scenarios</w:t>
      </w:r>
      <w:r w:rsidR="001C522D" w:rsidRPr="00DF48C0">
        <w:rPr>
          <w:rFonts w:cs="Times New Roman"/>
        </w:rPr>
        <w:t xml:space="preserve">. </w:t>
      </w:r>
      <w:r w:rsidR="00156642">
        <w:rPr>
          <w:rFonts w:cs="Times New Roman"/>
        </w:rPr>
        <w:t xml:space="preserve">In sum, the primary objective of the collection is to conduct research on important topics regarding coastal recreation and water quality. </w:t>
      </w:r>
      <w:r w:rsidR="00C23BD1">
        <w:rPr>
          <w:rFonts w:cs="Times New Roman"/>
        </w:rPr>
        <w:t>W</w:t>
      </w:r>
      <w:r w:rsidR="00156642">
        <w:rPr>
          <w:rFonts w:cs="Times New Roman"/>
        </w:rPr>
        <w:t>e are not conducting this research to inform decisions about a specific policy or policies, but to provide information that will further the understanding of our research questions</w:t>
      </w:r>
      <w:r w:rsidR="00C23BD1">
        <w:rPr>
          <w:rFonts w:cs="Times New Roman"/>
        </w:rPr>
        <w:t xml:space="preserve"> and </w:t>
      </w:r>
      <w:r w:rsidR="007935A4">
        <w:rPr>
          <w:rFonts w:cs="Times New Roman"/>
        </w:rPr>
        <w:t xml:space="preserve">potentially </w:t>
      </w:r>
      <w:r w:rsidR="00C23BD1">
        <w:rPr>
          <w:rFonts w:cs="Times New Roman"/>
        </w:rPr>
        <w:t>provide value to future decisions.</w:t>
      </w:r>
    </w:p>
    <w:p w14:paraId="4D405310" w14:textId="77777777" w:rsidR="008F25C7" w:rsidRPr="00DF48C0" w:rsidRDefault="008F25C7" w:rsidP="00462BA7">
      <w:pPr>
        <w:spacing w:line="360" w:lineRule="auto"/>
        <w:ind w:firstLine="720"/>
        <w:rPr>
          <w:rFonts w:cs="Times New Roman"/>
        </w:rPr>
      </w:pPr>
      <w:r w:rsidRPr="00DF48C0">
        <w:rPr>
          <w:rFonts w:cs="Times New Roman"/>
        </w:rPr>
        <w:t xml:space="preserve">We will integrate the economic model with information about the differences in </w:t>
      </w:r>
      <w:r w:rsidR="007927A1" w:rsidRPr="00DF48C0">
        <w:rPr>
          <w:rFonts w:cs="Times New Roman"/>
        </w:rPr>
        <w:t xml:space="preserve">perceptions of water quality and </w:t>
      </w:r>
      <w:r w:rsidRPr="00DF48C0">
        <w:rPr>
          <w:rFonts w:cs="Times New Roman"/>
        </w:rPr>
        <w:t xml:space="preserve">sense of place of the </w:t>
      </w:r>
      <w:r w:rsidR="007927A1" w:rsidRPr="00DF48C0">
        <w:rPr>
          <w:rFonts w:cs="Times New Roman"/>
        </w:rPr>
        <w:t>respondents</w:t>
      </w:r>
      <w:r w:rsidRPr="00DF48C0">
        <w:rPr>
          <w:rFonts w:cs="Times New Roman"/>
        </w:rPr>
        <w:t xml:space="preserve"> in order to better understand how </w:t>
      </w:r>
      <w:r w:rsidR="007927A1" w:rsidRPr="00DF48C0">
        <w:rPr>
          <w:rFonts w:cs="Times New Roman"/>
        </w:rPr>
        <w:t>people</w:t>
      </w:r>
      <w:r w:rsidRPr="00DF48C0">
        <w:rPr>
          <w:rFonts w:cs="Times New Roman"/>
        </w:rPr>
        <w:t xml:space="preserve"> respond to and benefit from nutrient reductions</w:t>
      </w:r>
      <w:r w:rsidR="00D342C9">
        <w:rPr>
          <w:rFonts w:cs="Times New Roman"/>
        </w:rPr>
        <w:t xml:space="preserve">. </w:t>
      </w:r>
      <w:r w:rsidRPr="00DF48C0">
        <w:rPr>
          <w:rFonts w:cs="Times New Roman"/>
        </w:rPr>
        <w:t>Sense of place is the imbuement of meaning into a physical setting. This is often characterized for a particular setting in terms of a) physical characteristics, b) patterns of interactions and behaviors, c) non-evaluative descriptive meaning, and d) evaluative meaning of attachment, dependence, satisfaction, and identity (Stedman et al., 2006). By combining valuation methods from environmental economics with social science approaches, sense of place specifically, we seek to characterize the social-ecological system in a richer fashion, as well as test the sense of place elicitation methods in explaining differences in economic values associated with changes in water quality.</w:t>
      </w:r>
    </w:p>
    <w:p w14:paraId="37BF58A4" w14:textId="77777777" w:rsidR="00462BA7" w:rsidRPr="00DF48C0" w:rsidRDefault="00462BA7" w:rsidP="00462BA7">
      <w:pPr>
        <w:spacing w:line="360" w:lineRule="auto"/>
        <w:ind w:firstLine="720"/>
        <w:rPr>
          <w:rFonts w:cs="Times New Roman"/>
        </w:rPr>
      </w:pPr>
    </w:p>
    <w:p w14:paraId="42B85E86" w14:textId="77777777" w:rsidR="00462BA7" w:rsidRPr="00DF48C0" w:rsidRDefault="00462BA7" w:rsidP="00462BA7">
      <w:pPr>
        <w:pStyle w:val="Heading3"/>
        <w:rPr>
          <w:sz w:val="22"/>
          <w:szCs w:val="22"/>
        </w:rPr>
      </w:pPr>
      <w:bookmarkStart w:id="14" w:name="_Toc326736635"/>
      <w:bookmarkStart w:id="15" w:name="_Toc473195080"/>
      <w:r w:rsidRPr="00DF48C0">
        <w:rPr>
          <w:sz w:val="22"/>
          <w:szCs w:val="22"/>
        </w:rPr>
        <w:t>2(b)</w:t>
      </w:r>
      <w:r w:rsidRPr="00DF48C0">
        <w:rPr>
          <w:sz w:val="22"/>
          <w:szCs w:val="22"/>
        </w:rPr>
        <w:tab/>
        <w:t>Practical Utility/Users of the Data</w:t>
      </w:r>
      <w:bookmarkEnd w:id="14"/>
      <w:bookmarkEnd w:id="15"/>
    </w:p>
    <w:p w14:paraId="360F1771" w14:textId="77777777" w:rsidR="00462BA7" w:rsidRPr="00DF48C0" w:rsidRDefault="00462BA7" w:rsidP="00462BA7">
      <w:pPr>
        <w:spacing w:line="360" w:lineRule="auto"/>
        <w:rPr>
          <w:rFonts w:cs="Times New Roman"/>
        </w:rPr>
      </w:pPr>
      <w:r w:rsidRPr="00DF48C0">
        <w:rPr>
          <w:rFonts w:cs="Times New Roman"/>
        </w:rPr>
        <w:t xml:space="preserve"> </w:t>
      </w:r>
    </w:p>
    <w:p w14:paraId="5785E6BE" w14:textId="40F81C6B" w:rsidR="00E17185" w:rsidRDefault="007927A1" w:rsidP="00462BA7">
      <w:pPr>
        <w:spacing w:line="360" w:lineRule="auto"/>
        <w:ind w:firstLine="720"/>
        <w:rPr>
          <w:rFonts w:cs="Times New Roman"/>
        </w:rPr>
      </w:pPr>
      <w:r w:rsidRPr="00DF48C0">
        <w:rPr>
          <w:rFonts w:cs="Times New Roman"/>
        </w:rPr>
        <w:t xml:space="preserve">The primary reason for the proposed survey is exploratory research. A continuing problem for communities dealing with natural resource management problems </w:t>
      </w:r>
      <w:r w:rsidR="00382283">
        <w:rPr>
          <w:rFonts w:cs="Times New Roman"/>
        </w:rPr>
        <w:t>is</w:t>
      </w:r>
      <w:r w:rsidRPr="00DF48C0">
        <w:rPr>
          <w:rFonts w:cs="Times New Roman"/>
        </w:rPr>
        <w:t xml:space="preserve"> the issue of how to integrate natural resource valuation into a feasible </w:t>
      </w:r>
      <w:r w:rsidR="00575184" w:rsidRPr="00DF48C0">
        <w:rPr>
          <w:rFonts w:cs="Times New Roman"/>
        </w:rPr>
        <w:t>decision-making</w:t>
      </w:r>
      <w:r w:rsidRPr="00DF48C0">
        <w:rPr>
          <w:rFonts w:cs="Times New Roman"/>
        </w:rPr>
        <w:t xml:space="preserve"> process. One of the primary reasons for conducting economic valuation studies </w:t>
      </w:r>
      <w:r w:rsidR="00382283">
        <w:rPr>
          <w:rFonts w:cs="Times New Roman"/>
        </w:rPr>
        <w:t>is</w:t>
      </w:r>
      <w:r w:rsidRPr="00DF48C0">
        <w:rPr>
          <w:rFonts w:cs="Times New Roman"/>
        </w:rPr>
        <w:t xml:space="preserve"> to improve the way communities frame choices regarding the allocation of scarce resources and to clarify the trade-offs between alternative outcomes. This problem is particularly relevant </w:t>
      </w:r>
      <w:r w:rsidR="00382283">
        <w:rPr>
          <w:rFonts w:cs="Times New Roman"/>
        </w:rPr>
        <w:t>for</w:t>
      </w:r>
      <w:r w:rsidR="00382283" w:rsidRPr="00DF48C0">
        <w:rPr>
          <w:rFonts w:cs="Times New Roman"/>
        </w:rPr>
        <w:t xml:space="preserve"> </w:t>
      </w:r>
      <w:r w:rsidRPr="00DF48C0">
        <w:rPr>
          <w:rFonts w:cs="Times New Roman"/>
        </w:rPr>
        <w:t xml:space="preserve">coastal recreation in New England, especially on Cape Cod. Despite the deep cultural importance of coastal recreation to New England residents, there is a remarkable lack of valid empirical economic </w:t>
      </w:r>
      <w:r w:rsidR="00B575D0">
        <w:rPr>
          <w:rFonts w:cs="Times New Roman"/>
        </w:rPr>
        <w:t xml:space="preserve">and social </w:t>
      </w:r>
      <w:r w:rsidRPr="00DF48C0">
        <w:rPr>
          <w:rFonts w:cs="Times New Roman"/>
        </w:rPr>
        <w:t xml:space="preserve">studies quantifying this importance to the general public who live in the region. </w:t>
      </w:r>
    </w:p>
    <w:p w14:paraId="7C031EF1" w14:textId="36E38C0C" w:rsidR="00462BA7" w:rsidRPr="00DF48C0" w:rsidRDefault="007927A1" w:rsidP="00462BA7">
      <w:pPr>
        <w:spacing w:line="360" w:lineRule="auto"/>
        <w:ind w:firstLine="720"/>
        <w:rPr>
          <w:rFonts w:cs="Times New Roman"/>
        </w:rPr>
      </w:pPr>
      <w:r w:rsidRPr="00DF48C0">
        <w:rPr>
          <w:rFonts w:cs="Times New Roman"/>
        </w:rPr>
        <w:t xml:space="preserve">There are many challenges to managing water quality in New England waters, and decision-makers are often faced with trade-offs </w:t>
      </w:r>
      <w:r w:rsidR="00143F10">
        <w:rPr>
          <w:rFonts w:cs="Times New Roman"/>
        </w:rPr>
        <w:t>when allocating</w:t>
      </w:r>
      <w:r w:rsidRPr="00DF48C0">
        <w:rPr>
          <w:rFonts w:cs="Times New Roman"/>
        </w:rPr>
        <w:t xml:space="preserve"> resources to accommodate these uses. The goal of this project is to obtain </w:t>
      </w:r>
      <w:r w:rsidR="00D63123" w:rsidRPr="00DF48C0">
        <w:rPr>
          <w:rFonts w:cs="Times New Roman"/>
        </w:rPr>
        <w:t xml:space="preserve">estimated economic values for, and attitudes and perceptions </w:t>
      </w:r>
      <w:r w:rsidR="00E17185">
        <w:rPr>
          <w:rFonts w:cs="Times New Roman"/>
        </w:rPr>
        <w:t>towards</w:t>
      </w:r>
      <w:r w:rsidR="00143F10">
        <w:rPr>
          <w:rFonts w:cs="Times New Roman"/>
        </w:rPr>
        <w:t>,</w:t>
      </w:r>
      <w:r w:rsidR="00D63123" w:rsidRPr="00DF48C0">
        <w:rPr>
          <w:rFonts w:cs="Times New Roman"/>
        </w:rPr>
        <w:t xml:space="preserve"> water quality and water-contact recreation.</w:t>
      </w:r>
      <w:r w:rsidRPr="00DF48C0">
        <w:rPr>
          <w:rFonts w:cs="Times New Roman"/>
        </w:rPr>
        <w:t xml:space="preserve"> </w:t>
      </w:r>
      <w:r w:rsidR="00D63123" w:rsidRPr="00DF48C0">
        <w:rPr>
          <w:rFonts w:cs="Times New Roman"/>
        </w:rPr>
        <w:t>These e</w:t>
      </w:r>
      <w:r w:rsidRPr="00DF48C0">
        <w:rPr>
          <w:rFonts w:cs="Times New Roman"/>
        </w:rPr>
        <w:t>stimates of the public value</w:t>
      </w:r>
      <w:r w:rsidR="00D63123" w:rsidRPr="00DF48C0">
        <w:rPr>
          <w:rFonts w:cs="Times New Roman"/>
        </w:rPr>
        <w:t xml:space="preserve"> and attitudes</w:t>
      </w:r>
      <w:r w:rsidRPr="00DF48C0">
        <w:rPr>
          <w:rFonts w:cs="Times New Roman"/>
        </w:rPr>
        <w:t xml:space="preserve"> will be useful in numerous policy contexts and will support numerous government agencies and community organizations t</w:t>
      </w:r>
      <w:r w:rsidR="00143F10">
        <w:rPr>
          <w:rFonts w:cs="Times New Roman"/>
        </w:rPr>
        <w:t>hat seek to integrate</w:t>
      </w:r>
      <w:r w:rsidRPr="00DF48C0">
        <w:rPr>
          <w:rFonts w:cs="Times New Roman"/>
        </w:rPr>
        <w:t xml:space="preserve"> the value of </w:t>
      </w:r>
      <w:r w:rsidR="00D63123" w:rsidRPr="00DF48C0">
        <w:rPr>
          <w:rFonts w:cs="Times New Roman"/>
        </w:rPr>
        <w:t>recreation</w:t>
      </w:r>
      <w:r w:rsidRPr="00DF48C0">
        <w:rPr>
          <w:rFonts w:cs="Times New Roman"/>
        </w:rPr>
        <w:t xml:space="preserve"> into their strategic</w:t>
      </w:r>
      <w:r w:rsidR="00D63123" w:rsidRPr="00DF48C0">
        <w:rPr>
          <w:rFonts w:cs="Times New Roman"/>
        </w:rPr>
        <w:t xml:space="preserve"> water quality</w:t>
      </w:r>
      <w:r w:rsidRPr="00DF48C0">
        <w:rPr>
          <w:rFonts w:cs="Times New Roman"/>
        </w:rPr>
        <w:t xml:space="preserve"> policy and financial decisions. </w:t>
      </w:r>
      <w:r w:rsidR="000F4ADA" w:rsidRPr="00DF48C0">
        <w:rPr>
          <w:rFonts w:cs="Times New Roman"/>
        </w:rPr>
        <w:t xml:space="preserve">Analysis of the </w:t>
      </w:r>
      <w:r w:rsidR="008F25C7" w:rsidRPr="00DF48C0">
        <w:rPr>
          <w:rFonts w:cs="Times New Roman"/>
        </w:rPr>
        <w:t xml:space="preserve">revealed </w:t>
      </w:r>
      <w:r w:rsidR="000F4ADA" w:rsidRPr="00DF48C0">
        <w:rPr>
          <w:rFonts w:cs="Times New Roman"/>
        </w:rPr>
        <w:t xml:space="preserve">preference survey results, detailed in </w:t>
      </w:r>
      <w:r w:rsidR="00382283">
        <w:rPr>
          <w:rFonts w:cs="Times New Roman"/>
        </w:rPr>
        <w:t>P</w:t>
      </w:r>
      <w:r w:rsidR="000F4ADA" w:rsidRPr="00DF48C0">
        <w:rPr>
          <w:rFonts w:cs="Times New Roman"/>
        </w:rPr>
        <w:t xml:space="preserve">art B of this Supporting Statement, </w:t>
      </w:r>
      <w:r w:rsidR="00462BA7" w:rsidRPr="00DF48C0">
        <w:rPr>
          <w:rFonts w:cs="Times New Roman"/>
        </w:rPr>
        <w:t>will follow standard practices outlined in the literature (</w:t>
      </w:r>
      <w:r w:rsidR="00683EB7" w:rsidRPr="00DF48C0">
        <w:rPr>
          <w:rFonts w:cs="Times New Roman"/>
        </w:rPr>
        <w:t>Parsons</w:t>
      </w:r>
      <w:r w:rsidR="00143F10">
        <w:rPr>
          <w:rFonts w:cs="Times New Roman"/>
        </w:rPr>
        <w:t>,</w:t>
      </w:r>
      <w:r w:rsidR="00AC7830" w:rsidRPr="00DF48C0">
        <w:rPr>
          <w:rFonts w:cs="Times New Roman"/>
        </w:rPr>
        <w:t xml:space="preserve"> 2014</w:t>
      </w:r>
      <w:r w:rsidR="00143F10">
        <w:rPr>
          <w:rFonts w:cs="Times New Roman"/>
        </w:rPr>
        <w:t>;</w:t>
      </w:r>
      <w:r w:rsidR="00143F10" w:rsidRPr="00DF48C0">
        <w:rPr>
          <w:rFonts w:cs="Times New Roman"/>
        </w:rPr>
        <w:t xml:space="preserve"> </w:t>
      </w:r>
      <w:r w:rsidR="00AC7830" w:rsidRPr="00DF48C0">
        <w:rPr>
          <w:rFonts w:cs="Times New Roman"/>
        </w:rPr>
        <w:t>Phaneuf</w:t>
      </w:r>
      <w:r w:rsidR="00BF758B">
        <w:rPr>
          <w:rFonts w:cs="Times New Roman"/>
        </w:rPr>
        <w:t xml:space="preserve"> &amp; Smith</w:t>
      </w:r>
      <w:r w:rsidR="00143F10">
        <w:rPr>
          <w:rFonts w:cs="Times New Roman"/>
        </w:rPr>
        <w:t>,</w:t>
      </w:r>
      <w:r w:rsidR="00AC7830" w:rsidRPr="00DF48C0">
        <w:rPr>
          <w:rFonts w:cs="Times New Roman"/>
        </w:rPr>
        <w:t xml:space="preserve"> 2005</w:t>
      </w:r>
      <w:r w:rsidR="000F4ADA" w:rsidRPr="00DF48C0">
        <w:rPr>
          <w:rFonts w:cs="Times New Roman"/>
        </w:rPr>
        <w:t>).</w:t>
      </w:r>
      <w:r w:rsidR="004B5D91" w:rsidRPr="00DF48C0">
        <w:rPr>
          <w:rFonts w:cs="Times New Roman"/>
        </w:rPr>
        <w:t xml:space="preserve"> </w:t>
      </w:r>
    </w:p>
    <w:p w14:paraId="1EC6FC0A" w14:textId="283EC8B3" w:rsidR="00462BA7" w:rsidRPr="00DF48C0" w:rsidRDefault="00462BA7" w:rsidP="00462BA7">
      <w:pPr>
        <w:spacing w:line="360" w:lineRule="auto"/>
        <w:rPr>
          <w:rFonts w:cs="Times New Roman"/>
        </w:rPr>
      </w:pPr>
      <w:r w:rsidRPr="00DF48C0">
        <w:rPr>
          <w:rFonts w:cs="Times New Roman"/>
        </w:rPr>
        <w:tab/>
        <w:t>The results of the study will be made available to</w:t>
      </w:r>
      <w:r w:rsidR="008F25C7" w:rsidRPr="00DF48C0">
        <w:rPr>
          <w:rFonts w:cs="Times New Roman"/>
        </w:rPr>
        <w:t xml:space="preserve"> EPA regional offices and</w:t>
      </w:r>
      <w:r w:rsidRPr="00DF48C0">
        <w:rPr>
          <w:rFonts w:cs="Times New Roman"/>
        </w:rPr>
        <w:t xml:space="preserve"> state and local governments which they may use to better understand the preferences of households in their jurisdictions and the benefits they can expect as a result of </w:t>
      </w:r>
      <w:r w:rsidR="008F25C7" w:rsidRPr="00DF48C0">
        <w:rPr>
          <w:rFonts w:cs="Times New Roman"/>
        </w:rPr>
        <w:t>actions to improve coastal water quality</w:t>
      </w:r>
      <w:r w:rsidRPr="00DF48C0">
        <w:rPr>
          <w:rFonts w:cs="Times New Roman"/>
        </w:rPr>
        <w:t>.</w:t>
      </w:r>
      <w:r w:rsidR="004B5D91" w:rsidRPr="00DF48C0">
        <w:rPr>
          <w:rFonts w:cs="Times New Roman"/>
        </w:rPr>
        <w:t xml:space="preserve"> </w:t>
      </w:r>
      <w:r w:rsidR="00E17185">
        <w:rPr>
          <w:rFonts w:cs="Times New Roman"/>
        </w:rPr>
        <w:t>Additionally</w:t>
      </w:r>
      <w:r w:rsidRPr="00DF48C0">
        <w:rPr>
          <w:rFonts w:cs="Times New Roman"/>
        </w:rPr>
        <w:t xml:space="preserve">, stakeholders and the general public will be able to use this information to better understand the social benefits of improving water quality in </w:t>
      </w:r>
      <w:r w:rsidR="008F25C7" w:rsidRPr="00DF48C0">
        <w:rPr>
          <w:rFonts w:cs="Times New Roman"/>
        </w:rPr>
        <w:t>coastal waters</w:t>
      </w:r>
      <w:r w:rsidRPr="00DF48C0">
        <w:rPr>
          <w:rFonts w:cs="Times New Roman"/>
        </w:rPr>
        <w:t>.</w:t>
      </w:r>
      <w:r w:rsidR="004B5D91" w:rsidRPr="00DF48C0">
        <w:rPr>
          <w:rFonts w:cs="Times New Roman"/>
        </w:rPr>
        <w:t xml:space="preserve"> </w:t>
      </w:r>
    </w:p>
    <w:p w14:paraId="52BFC21B" w14:textId="77777777" w:rsidR="00462BA7" w:rsidRPr="00DF48C0" w:rsidRDefault="00462BA7" w:rsidP="00462BA7">
      <w:pPr>
        <w:rPr>
          <w:rFonts w:cs="Times New Roman"/>
        </w:rPr>
      </w:pPr>
    </w:p>
    <w:p w14:paraId="218661AC" w14:textId="77777777" w:rsidR="00462BA7" w:rsidRPr="00DF48C0" w:rsidRDefault="00462BA7" w:rsidP="00462BA7">
      <w:pPr>
        <w:pStyle w:val="Heading2"/>
        <w:rPr>
          <w:sz w:val="22"/>
          <w:szCs w:val="22"/>
        </w:rPr>
      </w:pPr>
      <w:bookmarkStart w:id="16" w:name="_Toc326736636"/>
      <w:bookmarkStart w:id="17" w:name="_Toc473195081"/>
      <w:r w:rsidRPr="00DF48C0">
        <w:rPr>
          <w:sz w:val="22"/>
          <w:szCs w:val="22"/>
        </w:rPr>
        <w:t>3.</w:t>
      </w:r>
      <w:r w:rsidRPr="00DF48C0">
        <w:rPr>
          <w:sz w:val="22"/>
          <w:szCs w:val="22"/>
        </w:rPr>
        <w:tab/>
        <w:t>Non-duplication, Consultations, and Other Collection Criteria</w:t>
      </w:r>
      <w:bookmarkEnd w:id="16"/>
      <w:bookmarkEnd w:id="17"/>
    </w:p>
    <w:p w14:paraId="3B5DD17C" w14:textId="77777777" w:rsidR="00462BA7" w:rsidRDefault="00462BA7" w:rsidP="00462BA7">
      <w:pPr>
        <w:pStyle w:val="Heading3"/>
        <w:rPr>
          <w:sz w:val="22"/>
          <w:szCs w:val="22"/>
        </w:rPr>
      </w:pPr>
      <w:bookmarkStart w:id="18" w:name="_Toc326736637"/>
      <w:bookmarkStart w:id="19" w:name="_Toc473195082"/>
      <w:r w:rsidRPr="00DF48C0">
        <w:rPr>
          <w:sz w:val="22"/>
          <w:szCs w:val="22"/>
        </w:rPr>
        <w:t>3(a)</w:t>
      </w:r>
      <w:r w:rsidRPr="00DF48C0">
        <w:rPr>
          <w:sz w:val="22"/>
          <w:szCs w:val="22"/>
        </w:rPr>
        <w:tab/>
        <w:t>Non-duplication</w:t>
      </w:r>
      <w:bookmarkEnd w:id="18"/>
      <w:bookmarkEnd w:id="19"/>
    </w:p>
    <w:p w14:paraId="5B959A7C" w14:textId="77777777" w:rsidR="00A723E6" w:rsidRPr="00A723E6" w:rsidRDefault="00A723E6" w:rsidP="00A723E6"/>
    <w:p w14:paraId="193A5F43" w14:textId="7FE71E8B" w:rsidR="00F02262" w:rsidRPr="00DF48C0" w:rsidRDefault="00F02262" w:rsidP="00F02262">
      <w:pPr>
        <w:spacing w:line="360" w:lineRule="auto"/>
        <w:ind w:firstLine="720"/>
        <w:rPr>
          <w:rFonts w:cs="Times New Roman"/>
        </w:rPr>
      </w:pPr>
      <w:r w:rsidRPr="00DF48C0">
        <w:rPr>
          <w:rFonts w:cs="Times New Roman"/>
        </w:rPr>
        <w:t>To the best of our knowledge, this study is unique and does not duplicate other efforts. This is the first revealed preference recreational use study related to water quality for Cape Cod/southern New England</w:t>
      </w:r>
      <w:r w:rsidR="004010D6" w:rsidRPr="00DF48C0">
        <w:rPr>
          <w:rFonts w:cs="Times New Roman"/>
        </w:rPr>
        <w:t xml:space="preserve"> in over 20 years</w:t>
      </w:r>
      <w:r w:rsidRPr="00DF48C0">
        <w:rPr>
          <w:rFonts w:cs="Times New Roman"/>
        </w:rPr>
        <w:t>, and the research will be important to address similar issues in other coastal communities (e.g., Long Island, NY</w:t>
      </w:r>
      <w:r w:rsidR="00E17185">
        <w:rPr>
          <w:rFonts w:cs="Times New Roman"/>
        </w:rPr>
        <w:t>, which is facing similar issues and decisions</w:t>
      </w:r>
      <w:r w:rsidRPr="00DF48C0">
        <w:rPr>
          <w:rFonts w:cs="Times New Roman"/>
        </w:rPr>
        <w:t xml:space="preserve">). This research intends to design a survey for developing a random-utility model for recreation site choice in New England waterbodies that integrates the differences in sense of place </w:t>
      </w:r>
      <w:r w:rsidR="00143F10">
        <w:rPr>
          <w:rFonts w:cs="Times New Roman"/>
        </w:rPr>
        <w:t xml:space="preserve">and water quality </w:t>
      </w:r>
      <w:r w:rsidRPr="00DF48C0">
        <w:rPr>
          <w:rFonts w:cs="Times New Roman"/>
        </w:rPr>
        <w:t xml:space="preserve">for </w:t>
      </w:r>
      <w:r w:rsidR="00143F10">
        <w:rPr>
          <w:rFonts w:cs="Times New Roman"/>
        </w:rPr>
        <w:t>coastal recreation users</w:t>
      </w:r>
      <w:r w:rsidRPr="00DF48C0">
        <w:rPr>
          <w:rFonts w:cs="Times New Roman"/>
        </w:rPr>
        <w:t xml:space="preserve">. </w:t>
      </w:r>
    </w:p>
    <w:p w14:paraId="6F13FFD4" w14:textId="77777777" w:rsidR="00E17185" w:rsidRDefault="0029708D">
      <w:pPr>
        <w:spacing w:line="360" w:lineRule="auto"/>
        <w:ind w:firstLine="720"/>
        <w:rPr>
          <w:rFonts w:cs="Times New Roman"/>
        </w:rPr>
      </w:pPr>
      <w:r w:rsidRPr="007D3F4D">
        <w:rPr>
          <w:rFonts w:cs="Times New Roman"/>
        </w:rPr>
        <w:t>There are many studies in the environmental economics literature that quantify benefits</w:t>
      </w:r>
      <w:r w:rsidR="007D3F4D" w:rsidRPr="007D3F4D">
        <w:rPr>
          <w:rFonts w:cs="Times New Roman"/>
        </w:rPr>
        <w:t>,</w:t>
      </w:r>
      <w:r w:rsidRPr="007F7731">
        <w:rPr>
          <w:rFonts w:cs="Times New Roman"/>
        </w:rPr>
        <w:t xml:space="preserve"> or willingness</w:t>
      </w:r>
      <w:r w:rsidRPr="00865519">
        <w:rPr>
          <w:rFonts w:cs="Times New Roman"/>
        </w:rPr>
        <w:t xml:space="preserve"> to pay (WTP)</w:t>
      </w:r>
      <w:r w:rsidR="007D3F4D" w:rsidRPr="007D3F4D">
        <w:rPr>
          <w:rFonts w:cs="Times New Roman"/>
        </w:rPr>
        <w:t>,</w:t>
      </w:r>
      <w:r w:rsidRPr="007D3F4D">
        <w:rPr>
          <w:rFonts w:cs="Times New Roman"/>
        </w:rPr>
        <w:t xml:space="preserve"> associated with water recreation, but few that address WTP as a function of nutrient impacts in coastal waters and fewer still that are recent and relevant for New England.</w:t>
      </w:r>
      <w:r w:rsidR="008D55C7" w:rsidRPr="007D3F4D">
        <w:rPr>
          <w:rFonts w:cs="Times New Roman"/>
        </w:rPr>
        <w:t xml:space="preserve"> In addition to EPA’s own survey of the literature, </w:t>
      </w:r>
      <w:r w:rsidR="007D3F4D" w:rsidRPr="007D3F4D">
        <w:rPr>
          <w:rFonts w:cs="Times New Roman"/>
        </w:rPr>
        <w:t xml:space="preserve">EPA </w:t>
      </w:r>
      <w:r w:rsidR="008D55C7" w:rsidRPr="007D3F4D">
        <w:rPr>
          <w:rFonts w:cs="Times New Roman"/>
        </w:rPr>
        <w:t xml:space="preserve">contracted a literature review </w:t>
      </w:r>
      <w:r w:rsidR="00266083" w:rsidRPr="007D3F4D">
        <w:rPr>
          <w:rFonts w:cs="Times New Roman"/>
        </w:rPr>
        <w:t>including valuation studies of</w:t>
      </w:r>
      <w:r w:rsidR="008D55C7" w:rsidRPr="007D3F4D">
        <w:rPr>
          <w:rFonts w:cs="Times New Roman"/>
        </w:rPr>
        <w:t xml:space="preserve"> recreation and water quality (</w:t>
      </w:r>
      <w:r w:rsidR="00266083" w:rsidRPr="007D3F4D">
        <w:rPr>
          <w:rFonts w:cs="Times New Roman"/>
        </w:rPr>
        <w:t>WA 2-35, Contract EP-C-13-039</w:t>
      </w:r>
      <w:r w:rsidR="008D55C7" w:rsidRPr="007D3F4D">
        <w:rPr>
          <w:rFonts w:cs="Times New Roman"/>
        </w:rPr>
        <w:t>).</w:t>
      </w:r>
      <w:r w:rsidRPr="00DF48C0">
        <w:rPr>
          <w:rFonts w:cs="Times New Roman"/>
        </w:rPr>
        <w:t xml:space="preserve"> </w:t>
      </w:r>
      <w:r w:rsidR="00D9008B" w:rsidRPr="00DF48C0">
        <w:rPr>
          <w:rFonts w:cs="Times New Roman"/>
        </w:rPr>
        <w:t>Of thos</w:t>
      </w:r>
      <w:r w:rsidR="00C238C6" w:rsidRPr="00DF48C0">
        <w:rPr>
          <w:rFonts w:cs="Times New Roman"/>
        </w:rPr>
        <w:t>e revealed preference studies of</w:t>
      </w:r>
      <w:r w:rsidR="00D9008B" w:rsidRPr="00DF48C0">
        <w:rPr>
          <w:rFonts w:cs="Times New Roman"/>
        </w:rPr>
        <w:t xml:space="preserve"> recreation that include water quality, many are freshwater based (Murray</w:t>
      </w:r>
      <w:r w:rsidR="00BF758B">
        <w:rPr>
          <w:rFonts w:cs="Times New Roman"/>
        </w:rPr>
        <w:t xml:space="preserve"> et al.,</w:t>
      </w:r>
      <w:r w:rsidR="00D9008B" w:rsidRPr="00DF48C0">
        <w:rPr>
          <w:rFonts w:cs="Times New Roman"/>
        </w:rPr>
        <w:t xml:space="preserve"> 2001</w:t>
      </w:r>
      <w:r w:rsidR="00BF758B">
        <w:rPr>
          <w:rFonts w:cs="Times New Roman"/>
        </w:rPr>
        <w:t>;</w:t>
      </w:r>
      <w:r w:rsidR="00D9008B" w:rsidRPr="00DF48C0">
        <w:rPr>
          <w:rFonts w:cs="Times New Roman"/>
        </w:rPr>
        <w:t xml:space="preserve"> Yeh </w:t>
      </w:r>
      <w:r w:rsidR="00BF758B">
        <w:rPr>
          <w:rFonts w:cs="Times New Roman"/>
        </w:rPr>
        <w:t xml:space="preserve">et al., </w:t>
      </w:r>
      <w:r w:rsidR="00D9008B" w:rsidRPr="00DF48C0">
        <w:rPr>
          <w:rFonts w:cs="Times New Roman"/>
        </w:rPr>
        <w:t>2006</w:t>
      </w:r>
      <w:r w:rsidR="00BF758B" w:rsidRPr="004D2115">
        <w:rPr>
          <w:rFonts w:cs="Times New Roman"/>
        </w:rPr>
        <w:t>;</w:t>
      </w:r>
      <w:r w:rsidR="00D9008B" w:rsidRPr="004D2115">
        <w:rPr>
          <w:rFonts w:cs="Times New Roman"/>
        </w:rPr>
        <w:t xml:space="preserve"> Egan</w:t>
      </w:r>
      <w:r w:rsidR="002C6CEC" w:rsidRPr="004D2115">
        <w:rPr>
          <w:rFonts w:cs="Times New Roman"/>
        </w:rPr>
        <w:t>,</w:t>
      </w:r>
      <w:r w:rsidR="00D9008B" w:rsidRPr="004D2115">
        <w:rPr>
          <w:rFonts w:cs="Times New Roman"/>
        </w:rPr>
        <w:t xml:space="preserve"> 200</w:t>
      </w:r>
      <w:r w:rsidR="004D2115" w:rsidRPr="004D2115">
        <w:rPr>
          <w:rFonts w:cs="Times New Roman"/>
        </w:rPr>
        <w:t>9</w:t>
      </w:r>
      <w:r w:rsidR="00D9008B" w:rsidRPr="004D2115">
        <w:rPr>
          <w:rFonts w:cs="Times New Roman"/>
        </w:rPr>
        <w:t xml:space="preserve"> Feather</w:t>
      </w:r>
      <w:r w:rsidR="002C6CEC">
        <w:rPr>
          <w:rFonts w:cs="Times New Roman"/>
        </w:rPr>
        <w:t>,</w:t>
      </w:r>
      <w:r w:rsidR="00D9008B" w:rsidRPr="00DF48C0">
        <w:rPr>
          <w:rFonts w:cs="Times New Roman"/>
        </w:rPr>
        <w:t xml:space="preserve"> 1994</w:t>
      </w:r>
      <w:r w:rsidR="00BF758B">
        <w:rPr>
          <w:rFonts w:cs="Times New Roman"/>
        </w:rPr>
        <w:t>;</w:t>
      </w:r>
      <w:r w:rsidR="00D9008B" w:rsidRPr="00DF48C0">
        <w:rPr>
          <w:rFonts w:cs="Times New Roman"/>
        </w:rPr>
        <w:t xml:space="preserve"> Melstrom </w:t>
      </w:r>
      <w:r w:rsidR="00481E24">
        <w:rPr>
          <w:rFonts w:cs="Times New Roman"/>
        </w:rPr>
        <w:t xml:space="preserve">&amp; Jayasekera, </w:t>
      </w:r>
      <w:r w:rsidR="00D9008B" w:rsidRPr="00DF48C0">
        <w:rPr>
          <w:rFonts w:cs="Times New Roman"/>
        </w:rPr>
        <w:t>2016).</w:t>
      </w:r>
      <w:r w:rsidR="00473942" w:rsidRPr="00DF48C0">
        <w:rPr>
          <w:rFonts w:cs="Times New Roman"/>
        </w:rPr>
        <w:t xml:space="preserve"> Melstrom </w:t>
      </w:r>
      <w:r w:rsidR="00481E24">
        <w:rPr>
          <w:rFonts w:cs="Times New Roman"/>
        </w:rPr>
        <w:t xml:space="preserve">&amp; </w:t>
      </w:r>
      <w:r w:rsidR="00481E24" w:rsidRPr="0008415B">
        <w:rPr>
          <w:rFonts w:cs="Times New Roman"/>
        </w:rPr>
        <w:t>Jayasekera</w:t>
      </w:r>
      <w:r w:rsidR="00481E24" w:rsidRPr="00DF48C0">
        <w:rPr>
          <w:rFonts w:cs="Times New Roman"/>
        </w:rPr>
        <w:t xml:space="preserve"> </w:t>
      </w:r>
      <w:r w:rsidR="00C71DD5" w:rsidRPr="00DF48C0">
        <w:rPr>
          <w:rFonts w:cs="Times New Roman"/>
        </w:rPr>
        <w:t>(</w:t>
      </w:r>
      <w:r w:rsidR="00473942" w:rsidRPr="00DF48C0">
        <w:rPr>
          <w:rFonts w:cs="Times New Roman"/>
        </w:rPr>
        <w:t>2016</w:t>
      </w:r>
      <w:r w:rsidR="00C71DD5" w:rsidRPr="00DF48C0">
        <w:rPr>
          <w:rFonts w:cs="Times New Roman"/>
        </w:rPr>
        <w:t>)</w:t>
      </w:r>
      <w:r w:rsidR="00473942" w:rsidRPr="00DF48C0">
        <w:rPr>
          <w:rFonts w:cs="Times New Roman"/>
        </w:rPr>
        <w:t xml:space="preserve">, and Feather </w:t>
      </w:r>
      <w:r w:rsidR="00C71DD5" w:rsidRPr="00DF48C0">
        <w:rPr>
          <w:rFonts w:cs="Times New Roman"/>
        </w:rPr>
        <w:t>(</w:t>
      </w:r>
      <w:r w:rsidR="00473942" w:rsidRPr="00DF48C0">
        <w:rPr>
          <w:rFonts w:cs="Times New Roman"/>
        </w:rPr>
        <w:t>1994</w:t>
      </w:r>
      <w:r w:rsidR="00C71DD5" w:rsidRPr="00DF48C0">
        <w:rPr>
          <w:rFonts w:cs="Times New Roman"/>
        </w:rPr>
        <w:t>)</w:t>
      </w:r>
      <w:r w:rsidR="00473942" w:rsidRPr="00DF48C0">
        <w:rPr>
          <w:rFonts w:cs="Times New Roman"/>
        </w:rPr>
        <w:t xml:space="preserve"> deal only with fishing, while the others address </w:t>
      </w:r>
      <w:r w:rsidR="00970DBA" w:rsidRPr="00DF48C0">
        <w:rPr>
          <w:rFonts w:cs="Times New Roman"/>
        </w:rPr>
        <w:t>more general freshwater beach or lake visits.</w:t>
      </w:r>
      <w:r w:rsidR="00D9008B" w:rsidRPr="00DF48C0">
        <w:rPr>
          <w:rFonts w:cs="Times New Roman"/>
        </w:rPr>
        <w:t xml:space="preserve"> </w:t>
      </w:r>
    </w:p>
    <w:p w14:paraId="1A3AE630" w14:textId="3AEF143A" w:rsidR="00A31E8E" w:rsidRPr="00DF48C0" w:rsidRDefault="00D9008B">
      <w:pPr>
        <w:spacing w:line="360" w:lineRule="auto"/>
        <w:ind w:firstLine="720"/>
        <w:rPr>
          <w:rFonts w:cs="Times New Roman"/>
        </w:rPr>
      </w:pPr>
      <w:r w:rsidRPr="00DF48C0">
        <w:rPr>
          <w:rFonts w:cs="Times New Roman"/>
        </w:rPr>
        <w:t>There is a set of paper</w:t>
      </w:r>
      <w:r w:rsidR="008270EC" w:rsidRPr="00DF48C0">
        <w:rPr>
          <w:rFonts w:cs="Times New Roman"/>
        </w:rPr>
        <w:t>s</w:t>
      </w:r>
      <w:r w:rsidRPr="00DF48C0">
        <w:rPr>
          <w:rFonts w:cs="Times New Roman"/>
        </w:rPr>
        <w:t xml:space="preserve"> that address bacteria and beach closures in </w:t>
      </w:r>
      <w:r w:rsidR="00473942" w:rsidRPr="00DF48C0">
        <w:rPr>
          <w:rFonts w:cs="Times New Roman"/>
        </w:rPr>
        <w:t>s</w:t>
      </w:r>
      <w:r w:rsidR="00F02262" w:rsidRPr="00DF48C0">
        <w:rPr>
          <w:rFonts w:cs="Times New Roman"/>
        </w:rPr>
        <w:t>alt</w:t>
      </w:r>
      <w:r w:rsidR="00473942" w:rsidRPr="00DF48C0">
        <w:rPr>
          <w:rFonts w:cs="Times New Roman"/>
        </w:rPr>
        <w:t>water</w:t>
      </w:r>
      <w:r w:rsidRPr="00DF48C0">
        <w:rPr>
          <w:rFonts w:cs="Times New Roman"/>
        </w:rPr>
        <w:t xml:space="preserve"> (Bockstael </w:t>
      </w:r>
      <w:r w:rsidR="00481E24">
        <w:rPr>
          <w:rFonts w:cs="Times New Roman"/>
        </w:rPr>
        <w:t xml:space="preserve">et al., </w:t>
      </w:r>
      <w:r w:rsidRPr="00DF48C0">
        <w:rPr>
          <w:rFonts w:cs="Times New Roman"/>
        </w:rPr>
        <w:t>1987</w:t>
      </w:r>
      <w:r w:rsidR="00481E24" w:rsidRPr="004D2115">
        <w:rPr>
          <w:rFonts w:cs="Times New Roman"/>
        </w:rPr>
        <w:t>;</w:t>
      </w:r>
      <w:r w:rsidRPr="004D2115">
        <w:rPr>
          <w:rFonts w:cs="Times New Roman"/>
        </w:rPr>
        <w:t xml:space="preserve"> Parsons</w:t>
      </w:r>
      <w:r w:rsidR="004D2115">
        <w:rPr>
          <w:rFonts w:cs="Times New Roman"/>
        </w:rPr>
        <w:t xml:space="preserve"> et al.</w:t>
      </w:r>
      <w:r w:rsidR="002C6CEC" w:rsidRPr="00352F26">
        <w:rPr>
          <w:rFonts w:cs="Times New Roman"/>
        </w:rPr>
        <w:t>,</w:t>
      </w:r>
      <w:r w:rsidRPr="004D2115">
        <w:rPr>
          <w:rFonts w:cs="Times New Roman"/>
        </w:rPr>
        <w:t xml:space="preserve"> 2009</w:t>
      </w:r>
      <w:r w:rsidR="002C6CEC" w:rsidRPr="00305EB4">
        <w:rPr>
          <w:rFonts w:cs="Times New Roman"/>
        </w:rPr>
        <w:t>;</w:t>
      </w:r>
      <w:r w:rsidRPr="00305EB4">
        <w:rPr>
          <w:rFonts w:cs="Times New Roman"/>
        </w:rPr>
        <w:t xml:space="preserve"> Hilger</w:t>
      </w:r>
      <w:r w:rsidR="004D2115" w:rsidRPr="00352F26">
        <w:rPr>
          <w:rFonts w:cs="Times New Roman"/>
        </w:rPr>
        <w:t xml:space="preserve"> &amp; Hanemann</w:t>
      </w:r>
      <w:r w:rsidR="002C6CEC" w:rsidRPr="00305EB4">
        <w:rPr>
          <w:rFonts w:cs="Times New Roman"/>
        </w:rPr>
        <w:t>,</w:t>
      </w:r>
      <w:r w:rsidRPr="00305EB4">
        <w:rPr>
          <w:rFonts w:cs="Times New Roman"/>
        </w:rPr>
        <w:t xml:space="preserve"> </w:t>
      </w:r>
      <w:r w:rsidR="00566383" w:rsidRPr="00305EB4">
        <w:rPr>
          <w:rFonts w:cs="Times New Roman"/>
        </w:rPr>
        <w:t>200</w:t>
      </w:r>
      <w:r w:rsidR="00566383">
        <w:rPr>
          <w:rFonts w:cs="Times New Roman"/>
        </w:rPr>
        <w:t>8</w:t>
      </w:r>
      <w:r w:rsidRPr="00305EB4">
        <w:rPr>
          <w:rFonts w:cs="Times New Roman"/>
        </w:rPr>
        <w:t>).</w:t>
      </w:r>
      <w:r w:rsidRPr="00DF48C0">
        <w:rPr>
          <w:rFonts w:cs="Times New Roman"/>
        </w:rPr>
        <w:t xml:space="preserve"> Bockstael</w:t>
      </w:r>
      <w:r w:rsidR="00481E24">
        <w:rPr>
          <w:rFonts w:cs="Times New Roman"/>
        </w:rPr>
        <w:t xml:space="preserve"> et al.</w:t>
      </w:r>
      <w:r w:rsidRPr="00DF48C0">
        <w:rPr>
          <w:rFonts w:cs="Times New Roman"/>
        </w:rPr>
        <w:t xml:space="preserve"> (1987) was </w:t>
      </w:r>
      <w:r w:rsidR="00382283">
        <w:rPr>
          <w:rFonts w:cs="Times New Roman"/>
        </w:rPr>
        <w:t xml:space="preserve">conducted in </w:t>
      </w:r>
      <w:r w:rsidRPr="00DF48C0">
        <w:rPr>
          <w:rFonts w:cs="Times New Roman"/>
        </w:rPr>
        <w:t>coastal Massachusetts</w:t>
      </w:r>
      <w:r w:rsidR="00473942" w:rsidRPr="00DF48C0">
        <w:rPr>
          <w:rFonts w:cs="Times New Roman"/>
        </w:rPr>
        <w:t xml:space="preserve"> and </w:t>
      </w:r>
      <w:r w:rsidR="00F02262" w:rsidRPr="00DF48C0">
        <w:rPr>
          <w:rFonts w:cs="Times New Roman"/>
        </w:rPr>
        <w:t xml:space="preserve">is a </w:t>
      </w:r>
      <w:r w:rsidR="00473942" w:rsidRPr="00DF48C0">
        <w:rPr>
          <w:rFonts w:cs="Times New Roman"/>
        </w:rPr>
        <w:t>seminal work in recreation demand modeling</w:t>
      </w:r>
      <w:r w:rsidRPr="00DF48C0">
        <w:rPr>
          <w:rFonts w:cs="Times New Roman"/>
        </w:rPr>
        <w:t>, but is dated at this point and</w:t>
      </w:r>
      <w:r w:rsidR="00473942" w:rsidRPr="00DF48C0">
        <w:rPr>
          <w:rFonts w:cs="Times New Roman"/>
        </w:rPr>
        <w:t>,</w:t>
      </w:r>
      <w:r w:rsidRPr="00DF48C0">
        <w:rPr>
          <w:rFonts w:cs="Times New Roman"/>
        </w:rPr>
        <w:t xml:space="preserve"> like the others</w:t>
      </w:r>
      <w:r w:rsidR="00473942" w:rsidRPr="00DF48C0">
        <w:rPr>
          <w:rFonts w:cs="Times New Roman"/>
        </w:rPr>
        <w:t>,</w:t>
      </w:r>
      <w:r w:rsidRPr="00DF48C0">
        <w:rPr>
          <w:rFonts w:cs="Times New Roman"/>
        </w:rPr>
        <w:t xml:space="preserve"> </w:t>
      </w:r>
      <w:r w:rsidR="00473942" w:rsidRPr="00DF48C0">
        <w:rPr>
          <w:rFonts w:cs="Times New Roman"/>
        </w:rPr>
        <w:t xml:space="preserve">does </w:t>
      </w:r>
      <w:r w:rsidRPr="00DF48C0">
        <w:rPr>
          <w:rFonts w:cs="Times New Roman"/>
        </w:rPr>
        <w:t>not address nutrient</w:t>
      </w:r>
      <w:r w:rsidR="008270EC" w:rsidRPr="00DF48C0">
        <w:rPr>
          <w:rFonts w:cs="Times New Roman"/>
        </w:rPr>
        <w:t>-</w:t>
      </w:r>
      <w:r w:rsidR="00473942" w:rsidRPr="00DF48C0">
        <w:rPr>
          <w:rFonts w:cs="Times New Roman"/>
        </w:rPr>
        <w:t>related water quality</w:t>
      </w:r>
      <w:r w:rsidRPr="00DF48C0">
        <w:rPr>
          <w:rFonts w:cs="Times New Roman"/>
        </w:rPr>
        <w:t xml:space="preserve"> issues. </w:t>
      </w:r>
      <w:r w:rsidR="00C71DD5" w:rsidRPr="00DF48C0">
        <w:rPr>
          <w:rFonts w:cs="Times New Roman"/>
        </w:rPr>
        <w:t>Ka</w:t>
      </w:r>
      <w:r w:rsidR="008270EC" w:rsidRPr="00DF48C0">
        <w:rPr>
          <w:rFonts w:cs="Times New Roman"/>
        </w:rPr>
        <w:t>o</w:t>
      </w:r>
      <w:r w:rsidR="00C71DD5" w:rsidRPr="00DF48C0">
        <w:rPr>
          <w:rFonts w:cs="Times New Roman"/>
        </w:rPr>
        <w:t>ru</w:t>
      </w:r>
      <w:r w:rsidR="00481E24">
        <w:rPr>
          <w:rFonts w:cs="Times New Roman"/>
        </w:rPr>
        <w:t xml:space="preserve"> et al.</w:t>
      </w:r>
      <w:r w:rsidR="00C71DD5" w:rsidRPr="00DF48C0">
        <w:rPr>
          <w:rFonts w:cs="Times New Roman"/>
        </w:rPr>
        <w:t xml:space="preserve"> (1995) addresses nutrients in coastal waters, again </w:t>
      </w:r>
      <w:r w:rsidR="00A31E8E" w:rsidRPr="00DF48C0">
        <w:rPr>
          <w:rFonts w:cs="Times New Roman"/>
        </w:rPr>
        <w:t>estimating</w:t>
      </w:r>
      <w:r w:rsidR="00C71DD5" w:rsidRPr="00DF48C0">
        <w:rPr>
          <w:rFonts w:cs="Times New Roman"/>
        </w:rPr>
        <w:t xml:space="preserve"> changes in WTP for fishing only. This study uses nutrient loading from </w:t>
      </w:r>
      <w:r w:rsidR="00A31E8E" w:rsidRPr="00DF48C0">
        <w:rPr>
          <w:rFonts w:cs="Times New Roman"/>
        </w:rPr>
        <w:t>point sources in the National Coastal Pollutant Discharge Inventory within ten miles from a fishing site as the proxy for water quality. While it grapples with similar issues to our study, it is over 20 years old</w:t>
      </w:r>
      <w:r w:rsidR="00B575D0">
        <w:rPr>
          <w:rFonts w:cs="Times New Roman"/>
        </w:rPr>
        <w:t>,</w:t>
      </w:r>
      <w:r w:rsidR="00A31E8E" w:rsidRPr="00DF48C0">
        <w:rPr>
          <w:rFonts w:cs="Times New Roman"/>
        </w:rPr>
        <w:t xml:space="preserve"> for a different geographic region and </w:t>
      </w:r>
      <w:r w:rsidR="00F02262" w:rsidRPr="00DF48C0">
        <w:rPr>
          <w:rFonts w:cs="Times New Roman"/>
        </w:rPr>
        <w:t xml:space="preserve">for </w:t>
      </w:r>
      <w:r w:rsidR="00B575D0">
        <w:rPr>
          <w:rFonts w:cs="Times New Roman"/>
        </w:rPr>
        <w:t xml:space="preserve">only </w:t>
      </w:r>
      <w:r w:rsidR="00F02262" w:rsidRPr="00DF48C0">
        <w:rPr>
          <w:rFonts w:cs="Times New Roman"/>
        </w:rPr>
        <w:t xml:space="preserve">one </w:t>
      </w:r>
      <w:r w:rsidR="00A31E8E" w:rsidRPr="00DF48C0">
        <w:rPr>
          <w:rFonts w:cs="Times New Roman"/>
        </w:rPr>
        <w:t xml:space="preserve">specialized coastal activity. </w:t>
      </w:r>
    </w:p>
    <w:p w14:paraId="609D784E" w14:textId="537D4D4D" w:rsidR="00F02262" w:rsidRPr="00DF48C0" w:rsidRDefault="00A31E8E">
      <w:pPr>
        <w:spacing w:line="360" w:lineRule="auto"/>
        <w:ind w:firstLine="720"/>
        <w:rPr>
          <w:rFonts w:cs="Times New Roman"/>
        </w:rPr>
      </w:pPr>
      <w:r w:rsidRPr="00DF48C0">
        <w:rPr>
          <w:rFonts w:cs="Times New Roman"/>
        </w:rPr>
        <w:t xml:space="preserve">The two works that are closest to ours in the </w:t>
      </w:r>
      <w:r w:rsidR="00F02262" w:rsidRPr="00DF48C0">
        <w:rPr>
          <w:rFonts w:cs="Times New Roman"/>
        </w:rPr>
        <w:t xml:space="preserve">economic valuation </w:t>
      </w:r>
      <w:r w:rsidRPr="00DF48C0">
        <w:rPr>
          <w:rFonts w:cs="Times New Roman"/>
        </w:rPr>
        <w:t>literature are Opaluch et al. (1999) and Phaneuf (2002). The latter estimates changes in WTP</w:t>
      </w:r>
      <w:r w:rsidR="00603D4C" w:rsidRPr="00DF48C0">
        <w:rPr>
          <w:rFonts w:cs="Times New Roman"/>
        </w:rPr>
        <w:t xml:space="preserve"> for water quality improvements</w:t>
      </w:r>
      <w:r w:rsidRPr="00DF48C0">
        <w:rPr>
          <w:rFonts w:cs="Times New Roman"/>
        </w:rPr>
        <w:t xml:space="preserve"> </w:t>
      </w:r>
      <w:r w:rsidR="00E02A22" w:rsidRPr="00DF48C0">
        <w:rPr>
          <w:rFonts w:cs="Times New Roman"/>
        </w:rPr>
        <w:t>in</w:t>
      </w:r>
      <w:r w:rsidRPr="00DF48C0">
        <w:rPr>
          <w:rFonts w:cs="Times New Roman"/>
        </w:rPr>
        <w:t xml:space="preserve"> watersheds</w:t>
      </w:r>
      <w:r w:rsidR="00E02A22" w:rsidRPr="00DF48C0">
        <w:rPr>
          <w:rFonts w:cs="Times New Roman"/>
        </w:rPr>
        <w:t xml:space="preserve"> as a function of watershed-</w:t>
      </w:r>
      <w:r w:rsidRPr="00DF48C0">
        <w:rPr>
          <w:rFonts w:cs="Times New Roman"/>
        </w:rPr>
        <w:t>scale water quality metrics</w:t>
      </w:r>
      <w:r w:rsidR="00120EBF" w:rsidRPr="00DF48C0">
        <w:rPr>
          <w:rFonts w:cs="Times New Roman"/>
        </w:rPr>
        <w:t xml:space="preserve"> including EPA</w:t>
      </w:r>
      <w:r w:rsidR="00E02A22" w:rsidRPr="00DF48C0">
        <w:rPr>
          <w:rFonts w:cs="Times New Roman"/>
        </w:rPr>
        <w:t>’</w:t>
      </w:r>
      <w:r w:rsidR="00A723E6">
        <w:rPr>
          <w:rFonts w:cs="Times New Roman"/>
        </w:rPr>
        <w:t>s Index of Watershed Indicators</w:t>
      </w:r>
      <w:r w:rsidR="009B783E" w:rsidRPr="00DF48C0">
        <w:rPr>
          <w:rFonts w:cs="Times New Roman"/>
        </w:rPr>
        <w:t xml:space="preserve"> </w:t>
      </w:r>
      <w:r w:rsidR="00120EBF" w:rsidRPr="00DF48C0">
        <w:rPr>
          <w:rFonts w:cs="Times New Roman"/>
        </w:rPr>
        <w:t xml:space="preserve">as well as direct measures of pH, phosphorus, </w:t>
      </w:r>
      <w:r w:rsidR="006B6669">
        <w:rPr>
          <w:rFonts w:cs="Times New Roman"/>
        </w:rPr>
        <w:t>dissolved oxygen</w:t>
      </w:r>
      <w:r w:rsidR="006B6669" w:rsidRPr="00DF48C0">
        <w:rPr>
          <w:rFonts w:cs="Times New Roman"/>
        </w:rPr>
        <w:t xml:space="preserve"> </w:t>
      </w:r>
      <w:r w:rsidR="00120EBF" w:rsidRPr="00DF48C0">
        <w:rPr>
          <w:rFonts w:cs="Times New Roman"/>
        </w:rPr>
        <w:t>and ammonia</w:t>
      </w:r>
      <w:r w:rsidRPr="00DF48C0">
        <w:rPr>
          <w:rFonts w:cs="Times New Roman"/>
        </w:rPr>
        <w:t xml:space="preserve">. </w:t>
      </w:r>
      <w:r w:rsidR="00603D4C" w:rsidRPr="00DF48C0">
        <w:rPr>
          <w:rFonts w:cs="Times New Roman"/>
        </w:rPr>
        <w:t xml:space="preserve">The study includes both inland and coastal watersheds and a range of activities, although the results are reported only in terms of </w:t>
      </w:r>
      <w:r w:rsidR="00120EBF" w:rsidRPr="00DF48C0">
        <w:rPr>
          <w:rFonts w:cs="Times New Roman"/>
        </w:rPr>
        <w:t xml:space="preserve">WTP for </w:t>
      </w:r>
      <w:r w:rsidR="00603D4C" w:rsidRPr="00DF48C0">
        <w:rPr>
          <w:rFonts w:cs="Times New Roman"/>
        </w:rPr>
        <w:t>a trip of any</w:t>
      </w:r>
      <w:r w:rsidR="004D25EF" w:rsidRPr="00DF48C0">
        <w:rPr>
          <w:rFonts w:cs="Times New Roman"/>
        </w:rPr>
        <w:t xml:space="preserve"> activity</w:t>
      </w:r>
      <w:r w:rsidR="00603D4C" w:rsidRPr="00DF48C0">
        <w:rPr>
          <w:rFonts w:cs="Times New Roman"/>
        </w:rPr>
        <w:t xml:space="preserve"> type to a given watersh</w:t>
      </w:r>
      <w:r w:rsidR="00120EBF" w:rsidRPr="00DF48C0">
        <w:rPr>
          <w:rFonts w:cs="Times New Roman"/>
        </w:rPr>
        <w:t>ed</w:t>
      </w:r>
      <w:r w:rsidR="00F02262" w:rsidRPr="00DF48C0">
        <w:rPr>
          <w:rFonts w:cs="Times New Roman"/>
        </w:rPr>
        <w:t xml:space="preserve"> in North Carolina</w:t>
      </w:r>
      <w:r w:rsidR="00120EBF" w:rsidRPr="00DF48C0">
        <w:rPr>
          <w:rFonts w:cs="Times New Roman"/>
        </w:rPr>
        <w:t xml:space="preserve"> under improvement and access scenarios. </w:t>
      </w:r>
      <w:r w:rsidR="00CE0275" w:rsidRPr="00DF48C0">
        <w:rPr>
          <w:rFonts w:cs="Times New Roman"/>
        </w:rPr>
        <w:t xml:space="preserve">Opaluch et al. (1999) estimated per trip values for swimming, boating, fishing, and wildlife viewing on the East End of Long Island. They also estimated changes in WTP for swimming trips with changes </w:t>
      </w:r>
      <w:r w:rsidR="002B3A5E" w:rsidRPr="00DF48C0">
        <w:rPr>
          <w:rFonts w:cs="Times New Roman"/>
        </w:rPr>
        <w:t>in n</w:t>
      </w:r>
      <w:r w:rsidR="00CE0275" w:rsidRPr="00DF48C0">
        <w:rPr>
          <w:rFonts w:cs="Times New Roman"/>
        </w:rPr>
        <w:t xml:space="preserve">itrogen, </w:t>
      </w:r>
      <w:r w:rsidR="002B3A5E" w:rsidRPr="00DF48C0">
        <w:rPr>
          <w:rFonts w:cs="Times New Roman"/>
        </w:rPr>
        <w:t xml:space="preserve">bacteria, brown tides, and secchi depth. The estimates are based not on a </w:t>
      </w:r>
      <w:r w:rsidR="006B6669">
        <w:rPr>
          <w:rFonts w:cs="Times New Roman"/>
        </w:rPr>
        <w:t>random utility model (</w:t>
      </w:r>
      <w:r w:rsidR="002B3A5E" w:rsidRPr="00DF48C0">
        <w:rPr>
          <w:rFonts w:cs="Times New Roman"/>
        </w:rPr>
        <w:t>RUM</w:t>
      </w:r>
      <w:r w:rsidR="006B6669">
        <w:rPr>
          <w:rFonts w:cs="Times New Roman"/>
        </w:rPr>
        <w:t>)</w:t>
      </w:r>
      <w:r w:rsidR="002B3A5E" w:rsidRPr="00DF48C0">
        <w:rPr>
          <w:rFonts w:cs="Times New Roman"/>
        </w:rPr>
        <w:t xml:space="preserve"> approach, but on a </w:t>
      </w:r>
      <w:r w:rsidR="00C12604" w:rsidRPr="00DF48C0">
        <w:rPr>
          <w:rFonts w:cs="Times New Roman"/>
        </w:rPr>
        <w:t>multiple site count-</w:t>
      </w:r>
      <w:r w:rsidR="002B3A5E" w:rsidRPr="00DF48C0">
        <w:rPr>
          <w:rFonts w:cs="Times New Roman"/>
        </w:rPr>
        <w:t>data model</w:t>
      </w:r>
      <w:r w:rsidR="00C12604" w:rsidRPr="00DF48C0">
        <w:rPr>
          <w:rFonts w:cs="Times New Roman"/>
        </w:rPr>
        <w:t xml:space="preserve">, which relied on assumptions that make welfare measures inconsistent with economic demand theory (Phaneuf and </w:t>
      </w:r>
      <w:r w:rsidR="00782E74">
        <w:rPr>
          <w:rFonts w:cs="Times New Roman"/>
        </w:rPr>
        <w:t>Smith</w:t>
      </w:r>
      <w:r w:rsidR="00F02262" w:rsidRPr="00DF48C0">
        <w:rPr>
          <w:rFonts w:cs="Times New Roman"/>
        </w:rPr>
        <w:t>,</w:t>
      </w:r>
      <w:r w:rsidR="00C12604" w:rsidRPr="00DF48C0">
        <w:rPr>
          <w:rFonts w:cs="Times New Roman"/>
        </w:rPr>
        <w:t xml:space="preserve"> 2005).</w:t>
      </w:r>
      <w:r w:rsidR="00F02262" w:rsidRPr="00DF48C0">
        <w:rPr>
          <w:rFonts w:cs="Times New Roman"/>
        </w:rPr>
        <w:t xml:space="preserve"> </w:t>
      </w:r>
      <w:r w:rsidR="009B783E" w:rsidRPr="00DF48C0">
        <w:rPr>
          <w:rFonts w:cs="Times New Roman"/>
        </w:rPr>
        <w:t>Although they are dated</w:t>
      </w:r>
      <w:r w:rsidR="00F02262" w:rsidRPr="00DF48C0">
        <w:rPr>
          <w:rFonts w:cs="Times New Roman"/>
        </w:rPr>
        <w:t>, these estimates are still</w:t>
      </w:r>
      <w:r w:rsidR="00760E16" w:rsidRPr="00DF48C0">
        <w:rPr>
          <w:rFonts w:cs="Times New Roman"/>
        </w:rPr>
        <w:t>,</w:t>
      </w:r>
      <w:r w:rsidR="00F02262" w:rsidRPr="00DF48C0">
        <w:rPr>
          <w:rFonts w:cs="Times New Roman"/>
        </w:rPr>
        <w:t xml:space="preserve"> to this day</w:t>
      </w:r>
      <w:r w:rsidR="00760E16" w:rsidRPr="00DF48C0">
        <w:rPr>
          <w:rFonts w:cs="Times New Roman"/>
        </w:rPr>
        <w:t>,</w:t>
      </w:r>
      <w:r w:rsidR="00F02262" w:rsidRPr="00DF48C0">
        <w:rPr>
          <w:rFonts w:cs="Times New Roman"/>
        </w:rPr>
        <w:t xml:space="preserve"> the most relevant values for coastal recreation trip days as a function of nutrient related water quality changes for the region.</w:t>
      </w:r>
      <w:r w:rsidR="00C12604" w:rsidRPr="00DF48C0">
        <w:rPr>
          <w:rFonts w:cs="Times New Roman"/>
        </w:rPr>
        <w:t xml:space="preserve"> Our planned study will update these estimates</w:t>
      </w:r>
      <w:r w:rsidR="00F02262" w:rsidRPr="00DF48C0">
        <w:rPr>
          <w:rFonts w:cs="Times New Roman"/>
        </w:rPr>
        <w:t xml:space="preserve"> in time, methods and geographic extent.</w:t>
      </w:r>
      <w:r w:rsidR="00C12604" w:rsidRPr="00DF48C0">
        <w:rPr>
          <w:rFonts w:cs="Times New Roman"/>
        </w:rPr>
        <w:t xml:space="preserve"> </w:t>
      </w:r>
    </w:p>
    <w:p w14:paraId="575BD8C5" w14:textId="43C6F5B8" w:rsidR="00E24147" w:rsidRPr="00DF48C0" w:rsidRDefault="00E24147">
      <w:pPr>
        <w:spacing w:line="360" w:lineRule="auto"/>
        <w:ind w:firstLine="720"/>
        <w:rPr>
          <w:rFonts w:cs="Times New Roman"/>
        </w:rPr>
      </w:pPr>
      <w:r w:rsidRPr="00DF48C0">
        <w:rPr>
          <w:rFonts w:cs="Times New Roman"/>
        </w:rPr>
        <w:t>Costs and benefits of water quality improvements/impairments will accrue to different populations. While statistical methods exist to handle these issues in theory</w:t>
      </w:r>
      <w:r w:rsidR="00E81D14" w:rsidRPr="00DF48C0">
        <w:rPr>
          <w:rFonts w:cs="Times New Roman"/>
        </w:rPr>
        <w:t>—</w:t>
      </w:r>
      <w:r w:rsidRPr="00DF48C0">
        <w:rPr>
          <w:rFonts w:cs="Times New Roman"/>
        </w:rPr>
        <w:t>mixed logit and latent variable techniques, for example</w:t>
      </w:r>
      <w:r w:rsidR="00E81D14" w:rsidRPr="00DF48C0">
        <w:rPr>
          <w:rFonts w:cs="Times New Roman"/>
        </w:rPr>
        <w:t>—</w:t>
      </w:r>
      <w:r w:rsidRPr="00DF48C0">
        <w:rPr>
          <w:rFonts w:cs="Times New Roman"/>
        </w:rPr>
        <w:t xml:space="preserve">using sense of place methods to test the differences in demand for the varying populations of a community in a policy-relevant application would allow us to quantify the disparate impacts of water quality on non-market benefits in a formal way. This location-specific study will be compared to benefit transfer, functional benefit transfer and other </w:t>
      </w:r>
      <w:r w:rsidR="00575184" w:rsidRPr="00DF48C0">
        <w:rPr>
          <w:rFonts w:cs="Times New Roman"/>
        </w:rPr>
        <w:t>higher-level</w:t>
      </w:r>
      <w:r w:rsidRPr="00DF48C0">
        <w:rPr>
          <w:rFonts w:cs="Times New Roman"/>
        </w:rPr>
        <w:t xml:space="preserve"> approximation methods in water quality benefit estimation in order to address the appropriateness and transferability of these methods. </w:t>
      </w:r>
    </w:p>
    <w:p w14:paraId="7997D84D" w14:textId="003D1595" w:rsidR="00A7273A" w:rsidRPr="00DF48C0" w:rsidRDefault="00A7273A" w:rsidP="00E24147">
      <w:pPr>
        <w:spacing w:line="360" w:lineRule="auto"/>
        <w:ind w:firstLine="720"/>
        <w:rPr>
          <w:rFonts w:cs="Times New Roman"/>
        </w:rPr>
      </w:pPr>
      <w:r w:rsidRPr="00DF48C0">
        <w:rPr>
          <w:rFonts w:cs="Times New Roman"/>
        </w:rPr>
        <w:t xml:space="preserve">Sense of place is an important metric for understanding the implications of recreation and attitudes towards natural resources. Sense of place is the measurement of the meaning that individuals set on a particular </w:t>
      </w:r>
      <w:r w:rsidR="006E0FCE">
        <w:rPr>
          <w:rFonts w:cs="Times New Roman"/>
        </w:rPr>
        <w:t>geographic</w:t>
      </w:r>
      <w:r w:rsidRPr="00DF48C0">
        <w:rPr>
          <w:rFonts w:cs="Times New Roman"/>
        </w:rPr>
        <w:t xml:space="preserve"> area. That meaning is sometimes defined by natural resources, culture, or both (Stedman et al.</w:t>
      </w:r>
      <w:r w:rsidR="00481E24">
        <w:rPr>
          <w:rFonts w:cs="Times New Roman"/>
        </w:rPr>
        <w:t>,</w:t>
      </w:r>
      <w:r w:rsidRPr="00DF48C0">
        <w:rPr>
          <w:rFonts w:cs="Times New Roman"/>
        </w:rPr>
        <w:t xml:space="preserve"> 2006; Stedman et al.</w:t>
      </w:r>
      <w:r w:rsidR="00481E24">
        <w:rPr>
          <w:rFonts w:cs="Times New Roman"/>
        </w:rPr>
        <w:t>,</w:t>
      </w:r>
      <w:r w:rsidRPr="00DF48C0">
        <w:rPr>
          <w:rFonts w:cs="Times New Roman"/>
        </w:rPr>
        <w:t xml:space="preserve"> 2004).</w:t>
      </w:r>
      <w:r w:rsidR="0013754F" w:rsidRPr="00DF48C0">
        <w:rPr>
          <w:rFonts w:cs="Times New Roman"/>
        </w:rPr>
        <w:t xml:space="preserve"> Sense of place can be a useful indicator for determining the sustainable use of different types of ecosystem services.</w:t>
      </w:r>
      <w:r w:rsidR="0070031D" w:rsidRPr="00DF48C0">
        <w:rPr>
          <w:rFonts w:cs="Times New Roman"/>
        </w:rPr>
        <w:t xml:space="preserve"> It serves as a measurement of different landscape features that may be culturally important to people (de Groot et al.</w:t>
      </w:r>
      <w:r w:rsidR="00481E24">
        <w:rPr>
          <w:rFonts w:cs="Times New Roman"/>
        </w:rPr>
        <w:t>,</w:t>
      </w:r>
      <w:r w:rsidR="0070031D" w:rsidRPr="00DF48C0">
        <w:rPr>
          <w:rFonts w:cs="Times New Roman"/>
        </w:rPr>
        <w:t xml:space="preserve"> 2010)</w:t>
      </w:r>
      <w:r w:rsidR="00F41A5C" w:rsidRPr="00DF48C0">
        <w:rPr>
          <w:rFonts w:cs="Times New Roman"/>
        </w:rPr>
        <w:t xml:space="preserve">. It is listed specifically in the Millennium Ecosystem Assessment </w:t>
      </w:r>
      <w:r w:rsidR="00FE68DD" w:rsidRPr="00DF48C0">
        <w:rPr>
          <w:rFonts w:cs="Times New Roman"/>
        </w:rPr>
        <w:t xml:space="preserve">(2005) </w:t>
      </w:r>
      <w:r w:rsidR="00F41A5C" w:rsidRPr="00DF48C0">
        <w:rPr>
          <w:rFonts w:cs="Times New Roman"/>
        </w:rPr>
        <w:t>of the United Nations as one of the nonmaterial benefits people obtain from ecosystem services</w:t>
      </w:r>
      <w:r w:rsidR="0070031D" w:rsidRPr="00DF48C0">
        <w:rPr>
          <w:rFonts w:cs="Times New Roman"/>
        </w:rPr>
        <w:t>.</w:t>
      </w:r>
    </w:p>
    <w:p w14:paraId="515200E7" w14:textId="178F1FB9" w:rsidR="00573482" w:rsidRPr="00DF48C0" w:rsidRDefault="00E24147" w:rsidP="00E24147">
      <w:pPr>
        <w:spacing w:line="360" w:lineRule="auto"/>
        <w:ind w:firstLine="720"/>
        <w:rPr>
          <w:rFonts w:cs="Times New Roman"/>
        </w:rPr>
      </w:pPr>
      <w:r w:rsidRPr="00DF48C0">
        <w:rPr>
          <w:rFonts w:cs="Times New Roman"/>
        </w:rPr>
        <w:t>There have been studies in other locations investigating the sense of place or place attachment of different communities related to natural resources, including work done for permanent and seasonal residents in Utah (</w:t>
      </w:r>
      <w:r w:rsidRPr="00352F26">
        <w:rPr>
          <w:rFonts w:cs="Times New Roman"/>
        </w:rPr>
        <w:t>Matarrita-Cascante et al., 2010</w:t>
      </w:r>
      <w:r w:rsidRPr="00DF48C0">
        <w:rPr>
          <w:rFonts w:cs="Times New Roman"/>
        </w:rPr>
        <w:t xml:space="preserve">), second home owners </w:t>
      </w:r>
      <w:r w:rsidR="007A4657">
        <w:rPr>
          <w:rFonts w:cs="Times New Roman"/>
        </w:rPr>
        <w:t>o</w:t>
      </w:r>
      <w:r w:rsidRPr="00DF48C0">
        <w:rPr>
          <w:rFonts w:cs="Times New Roman"/>
        </w:rPr>
        <w:t>n northern Wisconsin</w:t>
      </w:r>
      <w:r w:rsidR="007A4657">
        <w:rPr>
          <w:rFonts w:cs="Times New Roman"/>
        </w:rPr>
        <w:t xml:space="preserve"> lakes</w:t>
      </w:r>
      <w:r w:rsidRPr="00DF48C0">
        <w:rPr>
          <w:rFonts w:cs="Times New Roman"/>
        </w:rPr>
        <w:t xml:space="preserve"> (Jorgenson </w:t>
      </w:r>
      <w:r w:rsidR="001606E6">
        <w:rPr>
          <w:rFonts w:cs="Times New Roman"/>
        </w:rPr>
        <w:t>&amp;</w:t>
      </w:r>
      <w:r w:rsidRPr="00DF48C0">
        <w:rPr>
          <w:rFonts w:cs="Times New Roman"/>
        </w:rPr>
        <w:t xml:space="preserve"> Stedman, 2001</w:t>
      </w:r>
      <w:r w:rsidR="007A4657">
        <w:rPr>
          <w:rFonts w:cs="Times New Roman"/>
        </w:rPr>
        <w:t>; 2006</w:t>
      </w:r>
      <w:r w:rsidRPr="00DF48C0">
        <w:rPr>
          <w:rFonts w:cs="Times New Roman"/>
        </w:rPr>
        <w:t xml:space="preserve">), </w:t>
      </w:r>
      <w:r w:rsidR="00DC6DC3">
        <w:rPr>
          <w:rFonts w:cs="Times New Roman"/>
        </w:rPr>
        <w:t xml:space="preserve">and </w:t>
      </w:r>
      <w:r w:rsidR="008B1BEE">
        <w:rPr>
          <w:rFonts w:cs="Times New Roman"/>
        </w:rPr>
        <w:t>Arctic residents in Norway (Kaltenborn, 1998)</w:t>
      </w:r>
      <w:r w:rsidR="00DC6DC3">
        <w:rPr>
          <w:rFonts w:cs="Times New Roman"/>
        </w:rPr>
        <w:t>.</w:t>
      </w:r>
      <w:r w:rsidRPr="00DF48C0">
        <w:rPr>
          <w:rFonts w:cs="Times New Roman"/>
        </w:rPr>
        <w:t xml:space="preserve"> </w:t>
      </w:r>
      <w:r w:rsidR="00DC6DC3">
        <w:rPr>
          <w:rFonts w:cs="Times New Roman"/>
        </w:rPr>
        <w:t xml:space="preserve">There is also an existing body of literature that connects sense of place or place attachment to recreational opportunities, including </w:t>
      </w:r>
      <w:r w:rsidR="00DC6DC3" w:rsidRPr="00DF48C0">
        <w:rPr>
          <w:rFonts w:cs="Times New Roman"/>
        </w:rPr>
        <w:t>users in wilderness areas (</w:t>
      </w:r>
      <w:r w:rsidR="00DC6DC3" w:rsidRPr="00320FEA">
        <w:rPr>
          <w:rFonts w:cs="Times New Roman"/>
        </w:rPr>
        <w:t>Williams et al., 1992</w:t>
      </w:r>
      <w:r w:rsidR="00DC6DC3" w:rsidRPr="00DF48C0">
        <w:rPr>
          <w:rFonts w:cs="Times New Roman"/>
        </w:rPr>
        <w:t>) and the Appalachian Trail (</w:t>
      </w:r>
      <w:r w:rsidR="00DC6DC3" w:rsidRPr="00083677">
        <w:rPr>
          <w:rFonts w:cs="Times New Roman"/>
        </w:rPr>
        <w:t>Kyle</w:t>
      </w:r>
      <w:r w:rsidR="00DC6DC3" w:rsidRPr="00DF48C0">
        <w:rPr>
          <w:rFonts w:cs="Times New Roman"/>
        </w:rPr>
        <w:t xml:space="preserve"> et al., </w:t>
      </w:r>
      <w:r w:rsidR="00083677">
        <w:rPr>
          <w:rFonts w:cs="Times New Roman"/>
        </w:rPr>
        <w:t xml:space="preserve">2003; </w:t>
      </w:r>
      <w:r w:rsidR="00DC6DC3" w:rsidRPr="00320FEA">
        <w:rPr>
          <w:rFonts w:cs="Times New Roman"/>
        </w:rPr>
        <w:t>200)</w:t>
      </w:r>
      <w:r w:rsidR="00DC6DC3">
        <w:rPr>
          <w:rFonts w:cs="Times New Roman"/>
        </w:rPr>
        <w:t xml:space="preserve"> as well as Smith et al. (2016)’s use of place attachment in exploration of shifting demand for winter recreation in Minnesota. </w:t>
      </w:r>
      <w:r w:rsidRPr="00DF48C0">
        <w:rPr>
          <w:rFonts w:cs="Times New Roman"/>
        </w:rPr>
        <w:t>This body of work provides important insights for survey design and the use of sense of place for improving the understanding of attitudes towards natural resources</w:t>
      </w:r>
      <w:r w:rsidR="00DC6DC3">
        <w:rPr>
          <w:rFonts w:cs="Times New Roman"/>
        </w:rPr>
        <w:t xml:space="preserve"> and recreation</w:t>
      </w:r>
      <w:r w:rsidRPr="00DF48C0">
        <w:rPr>
          <w:rFonts w:cs="Times New Roman"/>
        </w:rPr>
        <w:t xml:space="preserve">, but </w:t>
      </w:r>
      <w:r w:rsidR="008B1BEE">
        <w:rPr>
          <w:rFonts w:cs="Times New Roman"/>
        </w:rPr>
        <w:t>only Kaltenborn (1998)</w:t>
      </w:r>
      <w:r w:rsidRPr="00DF48C0">
        <w:rPr>
          <w:rFonts w:cs="Times New Roman"/>
        </w:rPr>
        <w:t xml:space="preserve"> focus</w:t>
      </w:r>
      <w:r w:rsidR="002F3236" w:rsidRPr="00DF48C0">
        <w:rPr>
          <w:rFonts w:cs="Times New Roman"/>
        </w:rPr>
        <w:t>es</w:t>
      </w:r>
      <w:r w:rsidRPr="00DF48C0">
        <w:rPr>
          <w:rFonts w:cs="Times New Roman"/>
        </w:rPr>
        <w:t xml:space="preserve"> on coastal communities, which are of a different socio-economic and ecological typology. </w:t>
      </w:r>
      <w:r w:rsidR="008B1BEE">
        <w:rPr>
          <w:rFonts w:cs="Times New Roman"/>
        </w:rPr>
        <w:t xml:space="preserve">Kaltenborn’s (1998) work is </w:t>
      </w:r>
      <w:r w:rsidR="007A4657">
        <w:rPr>
          <w:rFonts w:cs="Times New Roman"/>
        </w:rPr>
        <w:t xml:space="preserve">specifically </w:t>
      </w:r>
      <w:r w:rsidR="008B1BEE">
        <w:rPr>
          <w:rFonts w:cs="Times New Roman"/>
        </w:rPr>
        <w:t xml:space="preserve">focused on the residents of an archipelago in the high Arctic, which is very geographically and culturally different from our work. </w:t>
      </w:r>
      <w:r w:rsidRPr="00DF48C0">
        <w:rPr>
          <w:rFonts w:cs="Times New Roman"/>
        </w:rPr>
        <w:t>In particular, there has also been no effort to connect sense of place with recreational use</w:t>
      </w:r>
      <w:r w:rsidR="00DE5701" w:rsidRPr="00DF48C0">
        <w:rPr>
          <w:rFonts w:cs="Times New Roman"/>
        </w:rPr>
        <w:t xml:space="preserve"> or water quality</w:t>
      </w:r>
      <w:r w:rsidR="008B1BEE">
        <w:rPr>
          <w:rFonts w:cs="Times New Roman"/>
        </w:rPr>
        <w:t xml:space="preserve"> in </w:t>
      </w:r>
      <w:r w:rsidR="00DC6DC3">
        <w:rPr>
          <w:rFonts w:cs="Times New Roman"/>
        </w:rPr>
        <w:t xml:space="preserve">coastal </w:t>
      </w:r>
      <w:r w:rsidR="008B1BEE">
        <w:rPr>
          <w:rFonts w:cs="Times New Roman"/>
        </w:rPr>
        <w:t>New England</w:t>
      </w:r>
      <w:r w:rsidRPr="00DF48C0">
        <w:rPr>
          <w:rFonts w:cs="Times New Roman"/>
        </w:rPr>
        <w:t xml:space="preserve">. The only related Cape Cod-specific work is that of Cuba and </w:t>
      </w:r>
      <w:r w:rsidRPr="000E2BEB">
        <w:rPr>
          <w:rFonts w:cs="Times New Roman"/>
        </w:rPr>
        <w:t>Hummon (1993a</w:t>
      </w:r>
      <w:r w:rsidR="00A723E6">
        <w:rPr>
          <w:rFonts w:cs="Times New Roman"/>
        </w:rPr>
        <w:t>;</w:t>
      </w:r>
      <w:r w:rsidRPr="000E2BEB">
        <w:rPr>
          <w:rFonts w:cs="Times New Roman"/>
        </w:rPr>
        <w:t xml:space="preserve"> 1993b)</w:t>
      </w:r>
      <w:r w:rsidRPr="00DF48C0">
        <w:rPr>
          <w:rFonts w:cs="Times New Roman"/>
        </w:rPr>
        <w:t xml:space="preserve"> who focused their research on understanding how Cape Cod residents who had recently moved constructed a sense of home based on their dwelling, community, and region. While this work provides important context for some of the user groups, it does not connect with the Cape’s waterbodies, </w:t>
      </w:r>
      <w:r w:rsidR="006B316C">
        <w:rPr>
          <w:rFonts w:cs="Times New Roman"/>
        </w:rPr>
        <w:t xml:space="preserve">recreation, </w:t>
      </w:r>
      <w:r w:rsidRPr="00DF48C0">
        <w:rPr>
          <w:rFonts w:cs="Times New Roman"/>
        </w:rPr>
        <w:t xml:space="preserve">water quality, or other valued commodities. </w:t>
      </w:r>
    </w:p>
    <w:p w14:paraId="51F96C5E" w14:textId="0CD7DF99" w:rsidR="000B33D6" w:rsidRPr="00DF48C0" w:rsidRDefault="00573482" w:rsidP="00E81D14">
      <w:pPr>
        <w:spacing w:line="360" w:lineRule="auto"/>
        <w:rPr>
          <w:rFonts w:cs="Times New Roman"/>
        </w:rPr>
      </w:pPr>
      <w:r w:rsidRPr="00DF48C0">
        <w:rPr>
          <w:rFonts w:cs="Times New Roman"/>
        </w:rPr>
        <w:tab/>
      </w:r>
      <w:r w:rsidR="00CA071B" w:rsidRPr="00DF48C0">
        <w:rPr>
          <w:rFonts w:cs="Times New Roman"/>
        </w:rPr>
        <w:t xml:space="preserve">There are two other works that are relevant to New England coastal recreation, but do not address water quality or non-market benefits. </w:t>
      </w:r>
      <w:r w:rsidRPr="00DF48C0">
        <w:rPr>
          <w:rFonts w:cs="Times New Roman"/>
        </w:rPr>
        <w:t xml:space="preserve">NOAA’s National Marine Fisheries Service </w:t>
      </w:r>
      <w:r w:rsidR="00E81D14" w:rsidRPr="00DF48C0">
        <w:rPr>
          <w:rFonts w:cs="Times New Roman"/>
        </w:rPr>
        <w:t xml:space="preserve">(NMFS) </w:t>
      </w:r>
      <w:r w:rsidRPr="00DF48C0">
        <w:rPr>
          <w:rFonts w:cs="Times New Roman"/>
        </w:rPr>
        <w:t xml:space="preserve">is </w:t>
      </w:r>
      <w:r w:rsidR="00E81D14" w:rsidRPr="00DF48C0">
        <w:rPr>
          <w:rFonts w:cs="Times New Roman"/>
        </w:rPr>
        <w:t xml:space="preserve">currently </w:t>
      </w:r>
      <w:r w:rsidRPr="00DF48C0">
        <w:rPr>
          <w:rFonts w:cs="Times New Roman"/>
        </w:rPr>
        <w:t xml:space="preserve">processing the results from a national coastal recreation survey </w:t>
      </w:r>
      <w:r w:rsidR="005A0050">
        <w:rPr>
          <w:rFonts w:cs="Times New Roman"/>
        </w:rPr>
        <w:t>that</w:t>
      </w:r>
      <w:r w:rsidR="005A0050" w:rsidRPr="00DF48C0">
        <w:rPr>
          <w:rFonts w:cs="Times New Roman"/>
        </w:rPr>
        <w:t xml:space="preserve"> </w:t>
      </w:r>
      <w:r w:rsidRPr="00DF48C0">
        <w:rPr>
          <w:rFonts w:cs="Times New Roman"/>
        </w:rPr>
        <w:t>is concerned with market impacts of recreation spending in coastal counties</w:t>
      </w:r>
      <w:r w:rsidR="00CA071B" w:rsidRPr="00DF48C0">
        <w:rPr>
          <w:rFonts w:cs="Times New Roman"/>
        </w:rPr>
        <w:t xml:space="preserve"> (</w:t>
      </w:r>
      <w:r w:rsidR="00E81D14" w:rsidRPr="00CF053C">
        <w:rPr>
          <w:rFonts w:cs="Times New Roman"/>
        </w:rPr>
        <w:t xml:space="preserve">Steinback </w:t>
      </w:r>
      <w:r w:rsidR="001606E6">
        <w:rPr>
          <w:rFonts w:cs="Times New Roman"/>
        </w:rPr>
        <w:t>&amp;</w:t>
      </w:r>
      <w:r w:rsidR="00E81D14" w:rsidRPr="00CF053C">
        <w:rPr>
          <w:rFonts w:cs="Times New Roman"/>
        </w:rPr>
        <w:t xml:space="preserve"> Kosaka</w:t>
      </w:r>
      <w:r w:rsidR="001606E6">
        <w:rPr>
          <w:rFonts w:cs="Times New Roman"/>
        </w:rPr>
        <w:t>,</w:t>
      </w:r>
      <w:r w:rsidR="00017037">
        <w:rPr>
          <w:rFonts w:cs="Times New Roman"/>
        </w:rPr>
        <w:t xml:space="preserve"> 2016</w:t>
      </w:r>
      <w:r w:rsidR="009F06BA">
        <w:rPr>
          <w:rFonts w:cs="Times New Roman"/>
        </w:rPr>
        <w:t>,</w:t>
      </w:r>
      <w:r w:rsidR="00E81D14" w:rsidRPr="00CF053C">
        <w:rPr>
          <w:rFonts w:cs="Times New Roman"/>
        </w:rPr>
        <w:t xml:space="preserve"> </w:t>
      </w:r>
      <w:r w:rsidR="006B316C" w:rsidRPr="009F06BA">
        <w:rPr>
          <w:rFonts w:cs="Times New Roman"/>
        </w:rPr>
        <w:t>OMB Control Number: 0648-0652</w:t>
      </w:r>
      <w:r w:rsidR="006B316C">
        <w:rPr>
          <w:rFonts w:cs="Times New Roman"/>
        </w:rPr>
        <w:t xml:space="preserve">). </w:t>
      </w:r>
      <w:r w:rsidRPr="00DF48C0">
        <w:rPr>
          <w:rFonts w:cs="Times New Roman"/>
        </w:rPr>
        <w:t>In designing our survey, we contacted the economists, Scott Steinback and Rosemary Kosaka</w:t>
      </w:r>
      <w:r w:rsidR="00017037">
        <w:rPr>
          <w:rFonts w:cs="Times New Roman"/>
        </w:rPr>
        <w:t xml:space="preserve"> (personal communication, 2016)</w:t>
      </w:r>
      <w:r w:rsidRPr="00DF48C0">
        <w:rPr>
          <w:rFonts w:cs="Times New Roman"/>
        </w:rPr>
        <w:t>, who are overseeing the effort</w:t>
      </w:r>
      <w:r w:rsidR="005A0050">
        <w:rPr>
          <w:rFonts w:cs="Times New Roman"/>
        </w:rPr>
        <w:t>,</w:t>
      </w:r>
      <w:r w:rsidRPr="00DF48C0">
        <w:rPr>
          <w:rFonts w:cs="Times New Roman"/>
        </w:rPr>
        <w:t xml:space="preserve"> and reviewed the data collected. </w:t>
      </w:r>
      <w:r w:rsidR="00CF053C">
        <w:rPr>
          <w:rFonts w:cs="Times New Roman"/>
        </w:rPr>
        <w:t>T</w:t>
      </w:r>
      <w:r w:rsidR="00E81D14" w:rsidRPr="00DF48C0">
        <w:rPr>
          <w:rFonts w:cs="Times New Roman"/>
        </w:rPr>
        <w:t xml:space="preserve">he NMFS </w:t>
      </w:r>
      <w:r w:rsidRPr="00DF48C0">
        <w:rPr>
          <w:rFonts w:cs="Times New Roman"/>
        </w:rPr>
        <w:t>su</w:t>
      </w:r>
      <w:r w:rsidR="00CF053C">
        <w:rPr>
          <w:rFonts w:cs="Times New Roman"/>
        </w:rPr>
        <w:t>r</w:t>
      </w:r>
      <w:r w:rsidRPr="00DF48C0">
        <w:rPr>
          <w:rFonts w:cs="Times New Roman"/>
        </w:rPr>
        <w:t>vey compl</w:t>
      </w:r>
      <w:r w:rsidR="00E81D14" w:rsidRPr="00DF48C0">
        <w:rPr>
          <w:rFonts w:cs="Times New Roman"/>
        </w:rPr>
        <w:t>e</w:t>
      </w:r>
      <w:r w:rsidRPr="00DF48C0">
        <w:rPr>
          <w:rFonts w:cs="Times New Roman"/>
        </w:rPr>
        <w:t>ments ours by collecting detailed participation rates and effort estimates</w:t>
      </w:r>
      <w:r w:rsidR="00CF053C">
        <w:rPr>
          <w:rFonts w:cs="Times New Roman"/>
        </w:rPr>
        <w:t xml:space="preserve"> about</w:t>
      </w:r>
      <w:r w:rsidR="00E81D14" w:rsidRPr="00DF48C0">
        <w:rPr>
          <w:rFonts w:cs="Times New Roman"/>
        </w:rPr>
        <w:t xml:space="preserve"> which </w:t>
      </w:r>
      <w:r w:rsidRPr="00DF48C0">
        <w:rPr>
          <w:rFonts w:cs="Times New Roman"/>
        </w:rPr>
        <w:t>water</w:t>
      </w:r>
      <w:r w:rsidR="00E81D14" w:rsidRPr="00DF48C0">
        <w:rPr>
          <w:rFonts w:cs="Times New Roman"/>
        </w:rPr>
        <w:t>-</w:t>
      </w:r>
      <w:r w:rsidRPr="00DF48C0">
        <w:rPr>
          <w:rFonts w:cs="Times New Roman"/>
        </w:rPr>
        <w:t>based activities</w:t>
      </w:r>
      <w:r w:rsidR="00E81D14" w:rsidRPr="00DF48C0">
        <w:rPr>
          <w:rFonts w:cs="Times New Roman"/>
        </w:rPr>
        <w:t xml:space="preserve"> people engage in and how often</w:t>
      </w:r>
      <w:r w:rsidRPr="00DF48C0">
        <w:rPr>
          <w:rFonts w:cs="Times New Roman"/>
        </w:rPr>
        <w:t>.</w:t>
      </w:r>
      <w:r w:rsidR="00E81D14" w:rsidRPr="00DF48C0">
        <w:rPr>
          <w:rFonts w:cs="Times New Roman"/>
        </w:rPr>
        <w:t xml:space="preserve"> </w:t>
      </w:r>
      <w:r w:rsidR="0023380A" w:rsidRPr="00DF48C0">
        <w:rPr>
          <w:rFonts w:cs="Times New Roman"/>
        </w:rPr>
        <w:t xml:space="preserve">It also collects recreational expenditure data to estimate the market economic impacts of coastal recreation. </w:t>
      </w:r>
      <w:r w:rsidR="00E81D14" w:rsidRPr="00DF48C0">
        <w:rPr>
          <w:rFonts w:cs="Times New Roman"/>
        </w:rPr>
        <w:t xml:space="preserve">Because we will </w:t>
      </w:r>
      <w:r w:rsidR="00CF053C">
        <w:rPr>
          <w:rFonts w:cs="Times New Roman"/>
        </w:rPr>
        <w:t>have access to these</w:t>
      </w:r>
      <w:r w:rsidR="00E81D14" w:rsidRPr="00DF48C0">
        <w:rPr>
          <w:rFonts w:cs="Times New Roman"/>
        </w:rPr>
        <w:t xml:space="preserve"> data, it </w:t>
      </w:r>
      <w:r w:rsidR="00A340CF" w:rsidRPr="00DF48C0">
        <w:rPr>
          <w:rFonts w:cs="Times New Roman"/>
        </w:rPr>
        <w:t xml:space="preserve">will </w:t>
      </w:r>
      <w:r w:rsidR="00E81D14" w:rsidRPr="00DF48C0">
        <w:rPr>
          <w:rFonts w:cs="Times New Roman"/>
        </w:rPr>
        <w:t>allow us to avoid re-collecting detailed effort estimates</w:t>
      </w:r>
      <w:r w:rsidR="00A340CF" w:rsidRPr="00DF48C0">
        <w:rPr>
          <w:rFonts w:cs="Times New Roman"/>
        </w:rPr>
        <w:t>,</w:t>
      </w:r>
      <w:r w:rsidR="00E81D14" w:rsidRPr="00DF48C0">
        <w:rPr>
          <w:rFonts w:cs="Times New Roman"/>
        </w:rPr>
        <w:t xml:space="preserve"> saving space and time on our survey instrument. </w:t>
      </w:r>
      <w:r w:rsidRPr="00DF48C0">
        <w:rPr>
          <w:rFonts w:cs="Times New Roman"/>
        </w:rPr>
        <w:t xml:space="preserve">This </w:t>
      </w:r>
      <w:r w:rsidR="00A340CF" w:rsidRPr="00DF48C0">
        <w:rPr>
          <w:rFonts w:cs="Times New Roman"/>
        </w:rPr>
        <w:t xml:space="preserve">complementary survey </w:t>
      </w:r>
      <w:r w:rsidRPr="00DF48C0">
        <w:rPr>
          <w:rFonts w:cs="Times New Roman"/>
        </w:rPr>
        <w:t>will allow our survey to focus on</w:t>
      </w:r>
      <w:r w:rsidR="00CA071B" w:rsidRPr="00DF48C0">
        <w:rPr>
          <w:rFonts w:cs="Times New Roman"/>
        </w:rPr>
        <w:t xml:space="preserve"> collecting data for</w:t>
      </w:r>
      <w:r w:rsidRPr="00DF48C0">
        <w:rPr>
          <w:rFonts w:cs="Times New Roman"/>
        </w:rPr>
        <w:t xml:space="preserve"> a single choice occasion RUM of recreation demand </w:t>
      </w:r>
      <w:r w:rsidR="00CA071B" w:rsidRPr="00DF48C0">
        <w:rPr>
          <w:rFonts w:cs="Times New Roman"/>
        </w:rPr>
        <w:t>including</w:t>
      </w:r>
      <w:r w:rsidRPr="00DF48C0">
        <w:rPr>
          <w:rFonts w:cs="Times New Roman"/>
        </w:rPr>
        <w:t xml:space="preserve"> water quality</w:t>
      </w:r>
      <w:r w:rsidR="00CA071B" w:rsidRPr="00DF48C0">
        <w:rPr>
          <w:rFonts w:cs="Times New Roman"/>
        </w:rPr>
        <w:t xml:space="preserve"> as a determinant</w:t>
      </w:r>
      <w:r w:rsidRPr="00DF48C0">
        <w:rPr>
          <w:rFonts w:cs="Times New Roman"/>
        </w:rPr>
        <w:t xml:space="preserve">. Our survey </w:t>
      </w:r>
      <w:r w:rsidR="00A340CF" w:rsidRPr="00DF48C0">
        <w:rPr>
          <w:rFonts w:cs="Times New Roman"/>
        </w:rPr>
        <w:t xml:space="preserve">results </w:t>
      </w:r>
      <w:r w:rsidRPr="00DF48C0">
        <w:rPr>
          <w:rFonts w:cs="Times New Roman"/>
        </w:rPr>
        <w:t xml:space="preserve">will complement the market impacts that will be calculated in the NOAA survey with non-market values for water recreation trips. </w:t>
      </w:r>
    </w:p>
    <w:p w14:paraId="68BF32CE" w14:textId="5E5EAA27" w:rsidR="004C0C4D" w:rsidRPr="00DF48C0" w:rsidRDefault="00CA071B">
      <w:pPr>
        <w:spacing w:line="360" w:lineRule="auto"/>
        <w:ind w:firstLine="720"/>
        <w:rPr>
          <w:rFonts w:cs="Times New Roman"/>
        </w:rPr>
      </w:pPr>
      <w:r w:rsidRPr="00DF48C0">
        <w:rPr>
          <w:rFonts w:cs="Times New Roman"/>
        </w:rPr>
        <w:t xml:space="preserve">The other </w:t>
      </w:r>
      <w:r w:rsidR="00C33131" w:rsidRPr="00DF48C0">
        <w:rPr>
          <w:rFonts w:cs="Times New Roman"/>
        </w:rPr>
        <w:t xml:space="preserve">related </w:t>
      </w:r>
      <w:r w:rsidRPr="00DF48C0">
        <w:rPr>
          <w:rFonts w:cs="Times New Roman"/>
        </w:rPr>
        <w:t>work is</w:t>
      </w:r>
      <w:r w:rsidR="000B33D6" w:rsidRPr="00DF48C0">
        <w:rPr>
          <w:rFonts w:cs="Times New Roman"/>
        </w:rPr>
        <w:t xml:space="preserve"> based on</w:t>
      </w:r>
      <w:r w:rsidRPr="00DF48C0">
        <w:rPr>
          <w:rFonts w:cs="Times New Roman"/>
        </w:rPr>
        <w:t xml:space="preserve"> an opt-in sample of coastal recreation conducted by </w:t>
      </w:r>
      <w:r w:rsidR="000B33D6" w:rsidRPr="00DF48C0">
        <w:rPr>
          <w:rFonts w:cs="Times New Roman"/>
        </w:rPr>
        <w:t>Point 97, Sea</w:t>
      </w:r>
      <w:r w:rsidR="00CF053C">
        <w:rPr>
          <w:rFonts w:cs="Times New Roman"/>
        </w:rPr>
        <w:t>P</w:t>
      </w:r>
      <w:r w:rsidR="000B33D6" w:rsidRPr="00DF48C0">
        <w:rPr>
          <w:rFonts w:cs="Times New Roman"/>
        </w:rPr>
        <w:t xml:space="preserve">lan, and the </w:t>
      </w:r>
      <w:r w:rsidRPr="00DF48C0">
        <w:rPr>
          <w:rFonts w:cs="Times New Roman"/>
        </w:rPr>
        <w:t>Surfrider Foundation (</w:t>
      </w:r>
      <w:r w:rsidR="000B33D6" w:rsidRPr="00DF48C0">
        <w:rPr>
          <w:rFonts w:cs="Times New Roman"/>
        </w:rPr>
        <w:t>Bloeser et al.</w:t>
      </w:r>
      <w:r w:rsidR="00DC6DC3">
        <w:rPr>
          <w:rFonts w:cs="Times New Roman"/>
        </w:rPr>
        <w:t>,</w:t>
      </w:r>
      <w:r w:rsidR="000B33D6" w:rsidRPr="00DF48C0">
        <w:rPr>
          <w:rFonts w:cs="Times New Roman"/>
        </w:rPr>
        <w:t xml:space="preserve"> 2015</w:t>
      </w:r>
      <w:r w:rsidRPr="00DF48C0">
        <w:rPr>
          <w:rFonts w:cs="Times New Roman"/>
        </w:rPr>
        <w:t xml:space="preserve">). </w:t>
      </w:r>
      <w:r w:rsidR="00C33131" w:rsidRPr="00DF48C0">
        <w:rPr>
          <w:rFonts w:cs="Times New Roman"/>
        </w:rPr>
        <w:t xml:space="preserve">This study </w:t>
      </w:r>
      <w:r w:rsidRPr="00DF48C0">
        <w:rPr>
          <w:rFonts w:cs="Times New Roman"/>
        </w:rPr>
        <w:t xml:space="preserve">collected locations by activity along the coast of New England from a </w:t>
      </w:r>
      <w:r w:rsidR="000B33D6" w:rsidRPr="00DF48C0">
        <w:rPr>
          <w:rFonts w:cs="Times New Roman"/>
        </w:rPr>
        <w:t>web-</w:t>
      </w:r>
      <w:r w:rsidRPr="00DF48C0">
        <w:rPr>
          <w:rFonts w:cs="Times New Roman"/>
        </w:rPr>
        <w:t xml:space="preserve">mapping survey instrument. </w:t>
      </w:r>
      <w:r w:rsidR="000B33D6" w:rsidRPr="00DF48C0">
        <w:rPr>
          <w:rFonts w:cs="Times New Roman"/>
        </w:rPr>
        <w:t>The data may help inform geographic areas to use as site choices for our RUM, but does not contain the information to estimate non-market benefits of coastal recreation that would be representative of the general population.</w:t>
      </w:r>
    </w:p>
    <w:p w14:paraId="0A0CEED1" w14:textId="77777777" w:rsidR="00C238C6" w:rsidRPr="00DF48C0" w:rsidRDefault="00462BA7">
      <w:pPr>
        <w:pStyle w:val="Default"/>
        <w:spacing w:line="360" w:lineRule="auto"/>
        <w:ind w:firstLine="720"/>
        <w:rPr>
          <w:sz w:val="22"/>
          <w:szCs w:val="22"/>
        </w:rPr>
      </w:pPr>
      <w:r w:rsidRPr="00DF48C0">
        <w:rPr>
          <w:sz w:val="22"/>
          <w:szCs w:val="22"/>
        </w:rPr>
        <w:t xml:space="preserve">To conclude, while </w:t>
      </w:r>
      <w:r w:rsidR="00C238C6" w:rsidRPr="00DF48C0">
        <w:rPr>
          <w:sz w:val="22"/>
          <w:szCs w:val="22"/>
        </w:rPr>
        <w:t xml:space="preserve">recreation and water quality has </w:t>
      </w:r>
      <w:r w:rsidRPr="00DF48C0">
        <w:rPr>
          <w:sz w:val="22"/>
          <w:szCs w:val="22"/>
        </w:rPr>
        <w:t xml:space="preserve">been studied, </w:t>
      </w:r>
      <w:r w:rsidR="004C0C4D" w:rsidRPr="00DF48C0">
        <w:rPr>
          <w:sz w:val="22"/>
          <w:szCs w:val="22"/>
        </w:rPr>
        <w:t>our study adds important information to the literature</w:t>
      </w:r>
      <w:r w:rsidRPr="00DF48C0">
        <w:rPr>
          <w:sz w:val="22"/>
          <w:szCs w:val="22"/>
        </w:rPr>
        <w:t xml:space="preserve"> </w:t>
      </w:r>
      <w:r w:rsidR="004C0C4D" w:rsidRPr="00DF48C0">
        <w:rPr>
          <w:sz w:val="22"/>
          <w:szCs w:val="22"/>
        </w:rPr>
        <w:t xml:space="preserve">for </w:t>
      </w:r>
      <w:r w:rsidRPr="00DF48C0">
        <w:rPr>
          <w:sz w:val="22"/>
          <w:szCs w:val="22"/>
        </w:rPr>
        <w:t>the following</w:t>
      </w:r>
      <w:r w:rsidR="004B5D91" w:rsidRPr="00DF48C0">
        <w:rPr>
          <w:sz w:val="22"/>
          <w:szCs w:val="22"/>
        </w:rPr>
        <w:t xml:space="preserve"> </w:t>
      </w:r>
      <w:r w:rsidRPr="00DF48C0">
        <w:rPr>
          <w:sz w:val="22"/>
          <w:szCs w:val="22"/>
        </w:rPr>
        <w:t xml:space="preserve">reasons: </w:t>
      </w:r>
    </w:p>
    <w:p w14:paraId="2D328392" w14:textId="77777777" w:rsidR="00C238C6" w:rsidRPr="00DF48C0" w:rsidRDefault="00C33131" w:rsidP="00C33131">
      <w:pPr>
        <w:pStyle w:val="Default"/>
        <w:numPr>
          <w:ilvl w:val="0"/>
          <w:numId w:val="11"/>
        </w:numPr>
        <w:spacing w:line="360" w:lineRule="auto"/>
        <w:rPr>
          <w:sz w:val="22"/>
          <w:szCs w:val="22"/>
        </w:rPr>
      </w:pPr>
      <w:r w:rsidRPr="00DF48C0">
        <w:rPr>
          <w:sz w:val="22"/>
          <w:szCs w:val="22"/>
        </w:rPr>
        <w:t>It is r</w:t>
      </w:r>
      <w:r w:rsidR="00C238C6" w:rsidRPr="00DF48C0">
        <w:rPr>
          <w:sz w:val="22"/>
          <w:szCs w:val="22"/>
        </w:rPr>
        <w:t>elevan</w:t>
      </w:r>
      <w:r w:rsidRPr="00DF48C0">
        <w:rPr>
          <w:sz w:val="22"/>
          <w:szCs w:val="22"/>
        </w:rPr>
        <w:t>t</w:t>
      </w:r>
      <w:r w:rsidR="00C238C6" w:rsidRPr="00DF48C0">
        <w:rPr>
          <w:sz w:val="22"/>
          <w:szCs w:val="22"/>
        </w:rPr>
        <w:t xml:space="preserve"> to nutrient pollution in coastal waters</w:t>
      </w:r>
      <w:r w:rsidR="002557B3" w:rsidRPr="00DF48C0">
        <w:rPr>
          <w:sz w:val="22"/>
          <w:szCs w:val="22"/>
        </w:rPr>
        <w:t>.</w:t>
      </w:r>
    </w:p>
    <w:p w14:paraId="05EE41FF" w14:textId="77777777" w:rsidR="00C238C6" w:rsidRPr="00DF48C0" w:rsidRDefault="002557B3" w:rsidP="00C33131">
      <w:pPr>
        <w:pStyle w:val="Default"/>
        <w:numPr>
          <w:ilvl w:val="0"/>
          <w:numId w:val="11"/>
        </w:numPr>
        <w:spacing w:line="360" w:lineRule="auto"/>
        <w:rPr>
          <w:sz w:val="22"/>
          <w:szCs w:val="22"/>
        </w:rPr>
      </w:pPr>
      <w:r w:rsidRPr="00DF48C0">
        <w:rPr>
          <w:sz w:val="22"/>
          <w:szCs w:val="22"/>
        </w:rPr>
        <w:t>I</w:t>
      </w:r>
      <w:r w:rsidR="00C33131" w:rsidRPr="00DF48C0">
        <w:rPr>
          <w:sz w:val="22"/>
          <w:szCs w:val="22"/>
        </w:rPr>
        <w:t>t e</w:t>
      </w:r>
      <w:r w:rsidR="00C238C6" w:rsidRPr="00DF48C0">
        <w:rPr>
          <w:sz w:val="22"/>
          <w:szCs w:val="22"/>
        </w:rPr>
        <w:t xml:space="preserve">stimates values for multiple </w:t>
      </w:r>
      <w:r w:rsidR="00CF053C">
        <w:rPr>
          <w:sz w:val="22"/>
          <w:szCs w:val="22"/>
        </w:rPr>
        <w:t xml:space="preserve">recreational </w:t>
      </w:r>
      <w:r w:rsidR="00C238C6" w:rsidRPr="00DF48C0">
        <w:rPr>
          <w:sz w:val="22"/>
          <w:szCs w:val="22"/>
        </w:rPr>
        <w:t>activities beyond fishing</w:t>
      </w:r>
      <w:r w:rsidRPr="00DF48C0">
        <w:rPr>
          <w:sz w:val="22"/>
          <w:szCs w:val="22"/>
        </w:rPr>
        <w:t>.</w:t>
      </w:r>
    </w:p>
    <w:p w14:paraId="206691D4" w14:textId="77777777" w:rsidR="00C238C6" w:rsidRPr="00DF48C0" w:rsidRDefault="002557B3" w:rsidP="00C33131">
      <w:pPr>
        <w:pStyle w:val="Default"/>
        <w:numPr>
          <w:ilvl w:val="0"/>
          <w:numId w:val="11"/>
        </w:numPr>
        <w:spacing w:line="360" w:lineRule="auto"/>
        <w:rPr>
          <w:sz w:val="22"/>
          <w:szCs w:val="22"/>
        </w:rPr>
      </w:pPr>
      <w:r w:rsidRPr="00DF48C0">
        <w:rPr>
          <w:sz w:val="22"/>
          <w:szCs w:val="22"/>
        </w:rPr>
        <w:t>I</w:t>
      </w:r>
      <w:r w:rsidR="00C33131" w:rsidRPr="00DF48C0">
        <w:rPr>
          <w:sz w:val="22"/>
          <w:szCs w:val="22"/>
        </w:rPr>
        <w:t xml:space="preserve">t collects </w:t>
      </w:r>
      <w:r w:rsidR="00C238C6" w:rsidRPr="00DF48C0">
        <w:rPr>
          <w:sz w:val="22"/>
          <w:szCs w:val="22"/>
        </w:rPr>
        <w:t>New England region</w:t>
      </w:r>
      <w:r w:rsidR="0062631A" w:rsidRPr="00DF48C0">
        <w:rPr>
          <w:sz w:val="22"/>
          <w:szCs w:val="22"/>
        </w:rPr>
        <w:t>al</w:t>
      </w:r>
      <w:r w:rsidR="00C238C6" w:rsidRPr="00DF48C0">
        <w:rPr>
          <w:sz w:val="22"/>
          <w:szCs w:val="22"/>
        </w:rPr>
        <w:t xml:space="preserve"> </w:t>
      </w:r>
      <w:r w:rsidR="0062631A" w:rsidRPr="00DF48C0">
        <w:rPr>
          <w:sz w:val="22"/>
          <w:szCs w:val="22"/>
        </w:rPr>
        <w:t>estimates</w:t>
      </w:r>
      <w:r w:rsidRPr="00DF48C0">
        <w:rPr>
          <w:sz w:val="22"/>
          <w:szCs w:val="22"/>
        </w:rPr>
        <w:t>.</w:t>
      </w:r>
    </w:p>
    <w:p w14:paraId="19F542B7" w14:textId="77777777" w:rsidR="00C238C6" w:rsidRPr="00DF48C0" w:rsidRDefault="002557B3" w:rsidP="00C33131">
      <w:pPr>
        <w:pStyle w:val="Default"/>
        <w:numPr>
          <w:ilvl w:val="0"/>
          <w:numId w:val="11"/>
        </w:numPr>
        <w:spacing w:line="360" w:lineRule="auto"/>
        <w:rPr>
          <w:sz w:val="22"/>
          <w:szCs w:val="22"/>
        </w:rPr>
      </w:pPr>
      <w:r w:rsidRPr="00DF48C0">
        <w:rPr>
          <w:sz w:val="22"/>
          <w:szCs w:val="22"/>
        </w:rPr>
        <w:t>I</w:t>
      </w:r>
      <w:r w:rsidR="00C33131" w:rsidRPr="00DF48C0">
        <w:rPr>
          <w:sz w:val="22"/>
          <w:szCs w:val="22"/>
        </w:rPr>
        <w:t>t p</w:t>
      </w:r>
      <w:r w:rsidR="00C238C6" w:rsidRPr="00DF48C0">
        <w:rPr>
          <w:sz w:val="22"/>
          <w:szCs w:val="22"/>
        </w:rPr>
        <w:t>rovides up</w:t>
      </w:r>
      <w:r w:rsidR="00C33131" w:rsidRPr="00DF48C0">
        <w:rPr>
          <w:sz w:val="22"/>
          <w:szCs w:val="22"/>
        </w:rPr>
        <w:t>-</w:t>
      </w:r>
      <w:r w:rsidR="00C238C6" w:rsidRPr="00DF48C0">
        <w:rPr>
          <w:sz w:val="22"/>
          <w:szCs w:val="22"/>
        </w:rPr>
        <w:t>to</w:t>
      </w:r>
      <w:r w:rsidR="00C33131" w:rsidRPr="00DF48C0">
        <w:rPr>
          <w:sz w:val="22"/>
          <w:szCs w:val="22"/>
        </w:rPr>
        <w:t>-</w:t>
      </w:r>
      <w:r w:rsidR="00C238C6" w:rsidRPr="00DF48C0">
        <w:rPr>
          <w:sz w:val="22"/>
          <w:szCs w:val="22"/>
        </w:rPr>
        <w:t>date WTP estimates</w:t>
      </w:r>
      <w:r w:rsidR="00266083" w:rsidRPr="00DF48C0">
        <w:rPr>
          <w:sz w:val="22"/>
          <w:szCs w:val="22"/>
        </w:rPr>
        <w:t xml:space="preserve"> for coastal activities</w:t>
      </w:r>
      <w:r w:rsidRPr="00DF48C0">
        <w:rPr>
          <w:sz w:val="22"/>
          <w:szCs w:val="22"/>
        </w:rPr>
        <w:t>.</w:t>
      </w:r>
      <w:r w:rsidR="00C33131" w:rsidRPr="00DF48C0">
        <w:rPr>
          <w:sz w:val="22"/>
          <w:szCs w:val="22"/>
        </w:rPr>
        <w:t xml:space="preserve"> </w:t>
      </w:r>
    </w:p>
    <w:p w14:paraId="710D3201" w14:textId="77777777" w:rsidR="00462BA7" w:rsidRPr="00DF48C0" w:rsidRDefault="002557B3" w:rsidP="00C33131">
      <w:pPr>
        <w:pStyle w:val="Default"/>
        <w:numPr>
          <w:ilvl w:val="0"/>
          <w:numId w:val="11"/>
        </w:numPr>
        <w:spacing w:line="360" w:lineRule="auto"/>
        <w:rPr>
          <w:sz w:val="22"/>
          <w:szCs w:val="22"/>
        </w:rPr>
      </w:pPr>
      <w:r w:rsidRPr="00DF48C0">
        <w:rPr>
          <w:sz w:val="22"/>
          <w:szCs w:val="22"/>
        </w:rPr>
        <w:t>I</w:t>
      </w:r>
      <w:r w:rsidR="00C33131" w:rsidRPr="00DF48C0">
        <w:rPr>
          <w:sz w:val="22"/>
          <w:szCs w:val="22"/>
        </w:rPr>
        <w:t xml:space="preserve">t incorporates </w:t>
      </w:r>
      <w:r w:rsidR="00C238C6" w:rsidRPr="00DF48C0">
        <w:rPr>
          <w:sz w:val="22"/>
          <w:szCs w:val="22"/>
        </w:rPr>
        <w:t>sense of place concepts to explain varying preferences</w:t>
      </w:r>
      <w:r w:rsidR="00C33131" w:rsidRPr="00DF48C0">
        <w:rPr>
          <w:sz w:val="22"/>
          <w:szCs w:val="22"/>
        </w:rPr>
        <w:t>.</w:t>
      </w:r>
    </w:p>
    <w:p w14:paraId="2244542A" w14:textId="77777777" w:rsidR="00462BA7" w:rsidRPr="00DF48C0" w:rsidRDefault="00462BA7" w:rsidP="00462BA7">
      <w:pPr>
        <w:pStyle w:val="Level9"/>
        <w:widowControl/>
        <w:spacing w:line="360" w:lineRule="auto"/>
        <w:rPr>
          <w:bCs/>
          <w:sz w:val="22"/>
          <w:szCs w:val="22"/>
        </w:rPr>
      </w:pPr>
    </w:p>
    <w:p w14:paraId="325D9637" w14:textId="77777777" w:rsidR="00462BA7" w:rsidRPr="00DF48C0" w:rsidRDefault="00462BA7" w:rsidP="00462BA7">
      <w:pPr>
        <w:pStyle w:val="Heading3"/>
        <w:rPr>
          <w:sz w:val="22"/>
          <w:szCs w:val="22"/>
        </w:rPr>
      </w:pPr>
      <w:bookmarkStart w:id="20" w:name="_Toc326736638"/>
      <w:bookmarkStart w:id="21" w:name="_Toc473195083"/>
      <w:r w:rsidRPr="00DF48C0">
        <w:rPr>
          <w:sz w:val="22"/>
          <w:szCs w:val="22"/>
        </w:rPr>
        <w:t>3(b)</w:t>
      </w:r>
      <w:r w:rsidRPr="00DF48C0">
        <w:rPr>
          <w:sz w:val="22"/>
          <w:szCs w:val="22"/>
        </w:rPr>
        <w:tab/>
        <w:t>Public Notice Required Prior to ICR Submission to OMB</w:t>
      </w:r>
      <w:bookmarkEnd w:id="20"/>
      <w:bookmarkEnd w:id="21"/>
    </w:p>
    <w:p w14:paraId="4B589658" w14:textId="77777777" w:rsidR="00462BA7" w:rsidRPr="00DF48C0" w:rsidRDefault="00462BA7" w:rsidP="00462BA7">
      <w:pPr>
        <w:spacing w:line="360" w:lineRule="auto"/>
        <w:rPr>
          <w:rFonts w:cs="Times New Roman"/>
        </w:rPr>
      </w:pPr>
    </w:p>
    <w:p w14:paraId="208C8A0F" w14:textId="46FCCC4D" w:rsidR="00D57E8A" w:rsidRPr="00DF48C0" w:rsidRDefault="00D67C2C" w:rsidP="00462BA7">
      <w:pPr>
        <w:spacing w:line="360" w:lineRule="auto"/>
        <w:rPr>
          <w:rFonts w:cs="Times New Roman"/>
        </w:rPr>
      </w:pPr>
      <w:r>
        <w:t xml:space="preserve">The first of the two Federal Register Notices opened on </w:t>
      </w:r>
      <w:r w:rsidR="00B3270B">
        <w:t>November 9</w:t>
      </w:r>
      <w:r w:rsidR="00B3270B" w:rsidRPr="00B3270B">
        <w:t xml:space="preserve">, </w:t>
      </w:r>
      <w:r w:rsidRPr="00B3270B">
        <w:t xml:space="preserve">2016 and closed on January 9, 2017. </w:t>
      </w:r>
      <w:r w:rsidR="009875FF">
        <w:t xml:space="preserve">The second Federal Register Notice opened on November 13, 2017 and closed on December 13, 2017. </w:t>
      </w:r>
      <w:r w:rsidR="007802A9" w:rsidRPr="00B3270B">
        <w:rPr>
          <w:rFonts w:cs="Times New Roman"/>
        </w:rPr>
        <w:t xml:space="preserve">See responses to public comments in Attachment </w:t>
      </w:r>
      <w:r w:rsidR="009875FF">
        <w:rPr>
          <w:rFonts w:cs="Times New Roman"/>
        </w:rPr>
        <w:t>3.</w:t>
      </w:r>
    </w:p>
    <w:p w14:paraId="4A991DFE" w14:textId="77777777" w:rsidR="006455D5" w:rsidRPr="00DF48C0" w:rsidRDefault="006455D5" w:rsidP="00FF6A1F">
      <w:pPr>
        <w:autoSpaceDE w:val="0"/>
        <w:autoSpaceDN w:val="0"/>
        <w:rPr>
          <w:rFonts w:cs="Times New Roman"/>
        </w:rPr>
      </w:pPr>
      <w:bookmarkStart w:id="22" w:name="_Toc326736639"/>
    </w:p>
    <w:p w14:paraId="499400BA" w14:textId="1B274126" w:rsidR="00C00417" w:rsidRPr="00DF48C0" w:rsidRDefault="00C00417" w:rsidP="00C00417">
      <w:pPr>
        <w:rPr>
          <w:rFonts w:cs="Times New Roman"/>
          <w:b/>
        </w:rPr>
      </w:pPr>
    </w:p>
    <w:p w14:paraId="4DECB4EA" w14:textId="77777777" w:rsidR="00462BA7" w:rsidRPr="00DF48C0" w:rsidRDefault="00462BA7" w:rsidP="00462BA7">
      <w:pPr>
        <w:pStyle w:val="Heading3"/>
        <w:rPr>
          <w:sz w:val="22"/>
          <w:szCs w:val="22"/>
        </w:rPr>
      </w:pPr>
      <w:bookmarkStart w:id="23" w:name="_Toc473195084"/>
      <w:r w:rsidRPr="00DF48C0">
        <w:rPr>
          <w:sz w:val="22"/>
          <w:szCs w:val="22"/>
        </w:rPr>
        <w:t>3(c)</w:t>
      </w:r>
      <w:r w:rsidRPr="00DF48C0">
        <w:rPr>
          <w:sz w:val="22"/>
          <w:szCs w:val="22"/>
        </w:rPr>
        <w:tab/>
        <w:t>Consultations</w:t>
      </w:r>
      <w:bookmarkEnd w:id="22"/>
      <w:bookmarkEnd w:id="23"/>
    </w:p>
    <w:p w14:paraId="0CE54A94" w14:textId="77777777" w:rsidR="00462BA7" w:rsidRPr="00DF48C0" w:rsidRDefault="00462BA7" w:rsidP="00462BA7">
      <w:pPr>
        <w:rPr>
          <w:rFonts w:cs="Times New Roman"/>
        </w:rPr>
      </w:pPr>
    </w:p>
    <w:p w14:paraId="536AD3E0" w14:textId="3335C992" w:rsidR="00437975" w:rsidRPr="00DF48C0" w:rsidRDefault="00437975" w:rsidP="0097614E">
      <w:pPr>
        <w:spacing w:after="120" w:line="360" w:lineRule="auto"/>
        <w:ind w:firstLine="720"/>
        <w:rPr>
          <w:rFonts w:cs="Times New Roman"/>
        </w:rPr>
      </w:pPr>
      <w:r w:rsidRPr="00DF48C0">
        <w:rPr>
          <w:rFonts w:cs="Times New Roman"/>
        </w:rPr>
        <w:t>Preliminary consultations have been conducted with several stakeholder organizations related to this effort. Information collected with the survey may be of interest to other federal, state, and local agencies that regulate water quality, promote tourism, and engage with coastal communities. Further, the collection may be of interest to non-profit organizations and other researchers focused on the economy, communities, and environment of Cape Cod and the greater New England area. AED has made concerted efforts to keep interested parties informed of the progress of this project and to solicit feedback</w:t>
      </w:r>
      <w:r w:rsidR="004547F5">
        <w:rPr>
          <w:rFonts w:cs="Times New Roman"/>
        </w:rPr>
        <w:t>,</w:t>
      </w:r>
      <w:r w:rsidRPr="00DF48C0">
        <w:rPr>
          <w:rFonts w:cs="Times New Roman"/>
        </w:rPr>
        <w:t xml:space="preserve"> and will continue to do so going forward.</w:t>
      </w:r>
    </w:p>
    <w:p w14:paraId="444F167C" w14:textId="44E6A289" w:rsidR="00EA2D87" w:rsidRPr="00DF48C0" w:rsidRDefault="00EA2D87">
      <w:pPr>
        <w:spacing w:after="120" w:line="360" w:lineRule="auto"/>
        <w:ind w:firstLine="720"/>
        <w:rPr>
          <w:rFonts w:cs="Times New Roman"/>
          <w:bCs/>
        </w:rPr>
      </w:pPr>
      <w:r w:rsidRPr="00DF48C0">
        <w:rPr>
          <w:rFonts w:cs="Times New Roman"/>
        </w:rPr>
        <w:t xml:space="preserve">AED has contracted </w:t>
      </w:r>
      <w:r w:rsidR="00F37F1E" w:rsidRPr="00DF48C0">
        <w:rPr>
          <w:rFonts w:cs="Times New Roman"/>
        </w:rPr>
        <w:t xml:space="preserve">Professor </w:t>
      </w:r>
      <w:r w:rsidRPr="00DF48C0">
        <w:rPr>
          <w:rFonts w:cs="Times New Roman"/>
        </w:rPr>
        <w:t>George Parsons, a topic expert</w:t>
      </w:r>
      <w:r w:rsidR="006B316C">
        <w:rPr>
          <w:rFonts w:cs="Times New Roman"/>
        </w:rPr>
        <w:t xml:space="preserve"> </w:t>
      </w:r>
      <w:r w:rsidR="00635A5F">
        <w:rPr>
          <w:rFonts w:cs="Times New Roman"/>
        </w:rPr>
        <w:t>from the University of Delaware</w:t>
      </w:r>
      <w:r w:rsidRPr="00DF48C0">
        <w:rPr>
          <w:rFonts w:cs="Times New Roman"/>
        </w:rPr>
        <w:t xml:space="preserve">, to review the survey instrument and research design. We also are working closely with the recreation group of </w:t>
      </w:r>
      <w:r w:rsidR="004547F5">
        <w:rPr>
          <w:rFonts w:cs="Times New Roman"/>
        </w:rPr>
        <w:t xml:space="preserve">EPA’s three-office </w:t>
      </w:r>
      <w:r w:rsidR="004547F5">
        <w:rPr>
          <w:rFonts w:cs="Times New Roman"/>
          <w:bCs/>
        </w:rPr>
        <w:t>n</w:t>
      </w:r>
      <w:r w:rsidRPr="00DF48C0">
        <w:rPr>
          <w:rFonts w:cs="Times New Roman"/>
          <w:bCs/>
        </w:rPr>
        <w:t xml:space="preserve">ational </w:t>
      </w:r>
      <w:r w:rsidR="004547F5">
        <w:rPr>
          <w:rFonts w:cs="Times New Roman"/>
          <w:bCs/>
        </w:rPr>
        <w:t>w</w:t>
      </w:r>
      <w:r w:rsidRPr="00635A5F">
        <w:rPr>
          <w:rFonts w:cs="Times New Roman"/>
          <w:bCs/>
        </w:rPr>
        <w:t xml:space="preserve">ater </w:t>
      </w:r>
      <w:r w:rsidR="004547F5">
        <w:rPr>
          <w:rFonts w:cs="Times New Roman"/>
          <w:bCs/>
        </w:rPr>
        <w:t>q</w:t>
      </w:r>
      <w:r w:rsidRPr="00635A5F">
        <w:rPr>
          <w:rFonts w:cs="Times New Roman"/>
          <w:bCs/>
        </w:rPr>
        <w:t xml:space="preserve">uality </w:t>
      </w:r>
      <w:r w:rsidR="004547F5">
        <w:rPr>
          <w:rFonts w:cs="Times New Roman"/>
          <w:bCs/>
        </w:rPr>
        <w:t>b</w:t>
      </w:r>
      <w:r w:rsidRPr="00635A5F">
        <w:rPr>
          <w:rFonts w:cs="Times New Roman"/>
          <w:bCs/>
        </w:rPr>
        <w:t>enefits</w:t>
      </w:r>
      <w:r w:rsidR="004547F5">
        <w:rPr>
          <w:rFonts w:cs="Times New Roman"/>
          <w:bCs/>
        </w:rPr>
        <w:t xml:space="preserve"> effort, </w:t>
      </w:r>
      <w:r w:rsidRPr="00635A5F">
        <w:rPr>
          <w:rFonts w:cs="Times New Roman"/>
          <w:bCs/>
        </w:rPr>
        <w:t>which includes</w:t>
      </w:r>
      <w:r w:rsidR="00BA76F0" w:rsidRPr="00635A5F">
        <w:rPr>
          <w:rFonts w:cs="Times New Roman"/>
          <w:bCs/>
        </w:rPr>
        <w:t xml:space="preserve"> ORD</w:t>
      </w:r>
      <w:r w:rsidR="004547F5">
        <w:rPr>
          <w:rFonts w:cs="Times New Roman"/>
          <w:bCs/>
        </w:rPr>
        <w:t>,</w:t>
      </w:r>
      <w:r w:rsidR="00BA76F0" w:rsidRPr="00635A5F">
        <w:rPr>
          <w:rFonts w:cs="Times New Roman"/>
          <w:bCs/>
        </w:rPr>
        <w:t xml:space="preserve"> </w:t>
      </w:r>
      <w:r w:rsidR="001625C6">
        <w:rPr>
          <w:rFonts w:cs="Times New Roman"/>
          <w:bCs/>
        </w:rPr>
        <w:t xml:space="preserve">EPA’s </w:t>
      </w:r>
      <w:r w:rsidRPr="00635A5F">
        <w:rPr>
          <w:rFonts w:cs="Times New Roman"/>
          <w:bCs/>
        </w:rPr>
        <w:t>N</w:t>
      </w:r>
      <w:r w:rsidR="00635A5F" w:rsidRPr="00635A5F">
        <w:rPr>
          <w:rFonts w:cs="Times New Roman"/>
          <w:bCs/>
        </w:rPr>
        <w:t xml:space="preserve">ational </w:t>
      </w:r>
      <w:r w:rsidRPr="00635A5F">
        <w:rPr>
          <w:rFonts w:cs="Times New Roman"/>
          <w:bCs/>
        </w:rPr>
        <w:t>C</w:t>
      </w:r>
      <w:r w:rsidR="00635A5F" w:rsidRPr="00635A5F">
        <w:rPr>
          <w:rFonts w:cs="Times New Roman"/>
          <w:bCs/>
        </w:rPr>
        <w:t xml:space="preserve">enter for </w:t>
      </w:r>
      <w:r w:rsidRPr="00635A5F">
        <w:rPr>
          <w:rFonts w:cs="Times New Roman"/>
          <w:bCs/>
        </w:rPr>
        <w:t>E</w:t>
      </w:r>
      <w:r w:rsidR="00635A5F" w:rsidRPr="00635A5F">
        <w:rPr>
          <w:rFonts w:cs="Times New Roman"/>
          <w:bCs/>
        </w:rPr>
        <w:t xml:space="preserve">nvironmental </w:t>
      </w:r>
      <w:r w:rsidRPr="00635A5F">
        <w:rPr>
          <w:rFonts w:cs="Times New Roman"/>
          <w:bCs/>
        </w:rPr>
        <w:t>E</w:t>
      </w:r>
      <w:r w:rsidR="00635A5F" w:rsidRPr="00635A5F">
        <w:rPr>
          <w:rFonts w:cs="Times New Roman"/>
          <w:bCs/>
        </w:rPr>
        <w:t>conomics</w:t>
      </w:r>
      <w:r w:rsidR="004547F5">
        <w:rPr>
          <w:rFonts w:cs="Times New Roman"/>
          <w:bCs/>
        </w:rPr>
        <w:t>, and EPA Office of Water</w:t>
      </w:r>
      <w:r w:rsidRPr="00635A5F">
        <w:rPr>
          <w:rFonts w:cs="Times New Roman"/>
          <w:bCs/>
        </w:rPr>
        <w:t xml:space="preserve"> economist</w:t>
      </w:r>
      <w:r w:rsidR="00BA76F0" w:rsidRPr="00635A5F">
        <w:rPr>
          <w:rFonts w:cs="Times New Roman"/>
          <w:bCs/>
        </w:rPr>
        <w:t>s</w:t>
      </w:r>
      <w:r w:rsidRPr="00635A5F">
        <w:rPr>
          <w:rFonts w:cs="Times New Roman"/>
          <w:bCs/>
        </w:rPr>
        <w:t xml:space="preserve">. We have also reached out </w:t>
      </w:r>
      <w:r w:rsidR="004547F5">
        <w:rPr>
          <w:rFonts w:cs="Times New Roman"/>
          <w:bCs/>
        </w:rPr>
        <w:t xml:space="preserve">to </w:t>
      </w:r>
      <w:r w:rsidRPr="00635A5F">
        <w:rPr>
          <w:rFonts w:cs="Times New Roman"/>
          <w:bCs/>
        </w:rPr>
        <w:t>and consulted with local environmental economics professors, Kathleen Bell, University of Maine, Ste</w:t>
      </w:r>
      <w:r w:rsidR="004547F5">
        <w:rPr>
          <w:rFonts w:cs="Times New Roman"/>
          <w:bCs/>
        </w:rPr>
        <w:t>ph</w:t>
      </w:r>
      <w:r w:rsidRPr="00635A5F">
        <w:rPr>
          <w:rFonts w:cs="Times New Roman"/>
          <w:bCs/>
        </w:rPr>
        <w:t>en Swallow, University of Connecticut, and Emi Uchida, University of Rhode</w:t>
      </w:r>
      <w:r w:rsidRPr="00DF48C0">
        <w:rPr>
          <w:rFonts w:cs="Times New Roman"/>
          <w:bCs/>
        </w:rPr>
        <w:t xml:space="preserve"> Island. </w:t>
      </w:r>
    </w:p>
    <w:p w14:paraId="291E7248" w14:textId="6FE84DED" w:rsidR="00BB5DB4" w:rsidRPr="00DF48C0" w:rsidRDefault="00BB5DB4" w:rsidP="0097614E">
      <w:pPr>
        <w:spacing w:after="120" w:line="360" w:lineRule="auto"/>
        <w:ind w:firstLine="720"/>
        <w:rPr>
          <w:rFonts w:cs="Times New Roman"/>
        </w:rPr>
      </w:pPr>
      <w:r w:rsidRPr="00DF48C0">
        <w:rPr>
          <w:rFonts w:cs="Times New Roman"/>
        </w:rPr>
        <w:t xml:space="preserve">In addition to consultations with local experts, two early presentations have been given on this work to solicit feedback from experts in the environmental economics and social science fields. The presentations were given at the International Symposium for Society and Resource Management (ISSRM) and the Northeast Agricultural and Resource Economics Association </w:t>
      </w:r>
      <w:r w:rsidR="00824877" w:rsidRPr="00DF48C0">
        <w:rPr>
          <w:rFonts w:cs="Times New Roman"/>
        </w:rPr>
        <w:t xml:space="preserve">(NAREA) </w:t>
      </w:r>
      <w:r w:rsidRPr="00DF48C0">
        <w:rPr>
          <w:rFonts w:cs="Times New Roman"/>
        </w:rPr>
        <w:t>Annual Meeting</w:t>
      </w:r>
      <w:r w:rsidR="00F37F1E" w:rsidRPr="00DF48C0">
        <w:rPr>
          <w:rFonts w:cs="Times New Roman"/>
        </w:rPr>
        <w:t>s</w:t>
      </w:r>
      <w:r w:rsidRPr="00DF48C0">
        <w:rPr>
          <w:rFonts w:cs="Times New Roman"/>
        </w:rPr>
        <w:t xml:space="preserve">. ISSRM is the annual symposium of the International Association for Society and Natural Resources (IASNR). As described on its </w:t>
      </w:r>
      <w:r w:rsidRPr="000E2BEB">
        <w:rPr>
          <w:rFonts w:cs="Times New Roman"/>
        </w:rPr>
        <w:t>website (IASNR</w:t>
      </w:r>
      <w:r w:rsidR="00D940DF" w:rsidRPr="000E2BEB">
        <w:rPr>
          <w:rFonts w:cs="Times New Roman"/>
        </w:rPr>
        <w:t>,</w:t>
      </w:r>
      <w:r w:rsidRPr="000E2BEB">
        <w:rPr>
          <w:rFonts w:cs="Times New Roman"/>
        </w:rPr>
        <w:t xml:space="preserve"> </w:t>
      </w:r>
      <w:r w:rsidR="000E2BEB" w:rsidRPr="000E2BEB">
        <w:rPr>
          <w:rFonts w:cs="Times New Roman"/>
        </w:rPr>
        <w:t>2016</w:t>
      </w:r>
      <w:r w:rsidRPr="000E2BEB">
        <w:rPr>
          <w:rFonts w:cs="Times New Roman"/>
        </w:rPr>
        <w:t>), IASNR</w:t>
      </w:r>
      <w:r w:rsidRPr="00DF48C0">
        <w:rPr>
          <w:rFonts w:cs="Times New Roman"/>
        </w:rPr>
        <w:t xml:space="preserve"> is a professional association that brings together diverse social science</w:t>
      </w:r>
      <w:r w:rsidR="00F37F1E" w:rsidRPr="00DF48C0">
        <w:rPr>
          <w:rFonts w:cs="Times New Roman"/>
        </w:rPr>
        <w:t>s</w:t>
      </w:r>
      <w:r w:rsidRPr="00DF48C0">
        <w:rPr>
          <w:rFonts w:cs="Times New Roman"/>
        </w:rPr>
        <w:t xml:space="preserve"> to focus on research of the environment.</w:t>
      </w:r>
      <w:r w:rsidR="00824877" w:rsidRPr="00DF48C0">
        <w:rPr>
          <w:rFonts w:cs="Times New Roman"/>
        </w:rPr>
        <w:t xml:space="preserve"> NAREA is an affiliate organization of the Agricultural and Applied Economics Association that</w:t>
      </w:r>
      <w:r w:rsidR="0097614E" w:rsidRPr="00DF48C0">
        <w:rPr>
          <w:rFonts w:cs="Times New Roman"/>
        </w:rPr>
        <w:t xml:space="preserve"> promotes education and research on economic and social problems related to natural resource use and the environment (NAREA</w:t>
      </w:r>
      <w:r w:rsidR="00D940DF">
        <w:rPr>
          <w:rFonts w:cs="Times New Roman"/>
        </w:rPr>
        <w:t>,</w:t>
      </w:r>
      <w:r w:rsidR="0097614E" w:rsidRPr="00DF48C0">
        <w:rPr>
          <w:rFonts w:cs="Times New Roman"/>
        </w:rPr>
        <w:t xml:space="preserve"> 2016).</w:t>
      </w:r>
    </w:p>
    <w:p w14:paraId="101308D4" w14:textId="5440F343" w:rsidR="00462BA7" w:rsidRPr="00DF48C0" w:rsidRDefault="00814F15" w:rsidP="00462BA7">
      <w:pPr>
        <w:spacing w:line="360" w:lineRule="auto"/>
        <w:rPr>
          <w:rFonts w:cs="Times New Roman"/>
        </w:rPr>
      </w:pPr>
      <w:r w:rsidRPr="00DF48C0">
        <w:rPr>
          <w:rFonts w:cs="Times New Roman"/>
        </w:rPr>
        <w:tab/>
      </w:r>
      <w:r w:rsidR="00462BA7" w:rsidRPr="00DF48C0">
        <w:rPr>
          <w:rFonts w:cs="Times New Roman"/>
        </w:rPr>
        <w:t xml:space="preserve">As part of the planning and design process for this collection, EPA conducted a series of </w:t>
      </w:r>
      <w:r w:rsidR="00635A5F">
        <w:rPr>
          <w:rFonts w:cs="Times New Roman"/>
        </w:rPr>
        <w:t>seven</w:t>
      </w:r>
      <w:r w:rsidR="00635A5F" w:rsidRPr="00DF48C0">
        <w:rPr>
          <w:rFonts w:cs="Times New Roman"/>
        </w:rPr>
        <w:t xml:space="preserve"> </w:t>
      </w:r>
      <w:r w:rsidR="00462BA7" w:rsidRPr="00DF48C0">
        <w:rPr>
          <w:rFonts w:cs="Times New Roman"/>
        </w:rPr>
        <w:t>focus groups</w:t>
      </w:r>
      <w:r w:rsidR="00CC25DA" w:rsidRPr="00DF48C0">
        <w:rPr>
          <w:rFonts w:cs="Times New Roman"/>
        </w:rPr>
        <w:t xml:space="preserve"> located within the study area – </w:t>
      </w:r>
      <w:r w:rsidR="00635A5F">
        <w:rPr>
          <w:rFonts w:cs="Times New Roman"/>
        </w:rPr>
        <w:t>four</w:t>
      </w:r>
      <w:r w:rsidR="00635A5F" w:rsidRPr="00DF48C0">
        <w:rPr>
          <w:rFonts w:cs="Times New Roman"/>
        </w:rPr>
        <w:t xml:space="preserve"> </w:t>
      </w:r>
      <w:r w:rsidR="00CC25DA" w:rsidRPr="00DF48C0">
        <w:rPr>
          <w:rFonts w:cs="Times New Roman"/>
        </w:rPr>
        <w:t xml:space="preserve">in Rhode Island, </w:t>
      </w:r>
      <w:r w:rsidR="00635A5F">
        <w:rPr>
          <w:rFonts w:cs="Times New Roman"/>
        </w:rPr>
        <w:t>two</w:t>
      </w:r>
      <w:r w:rsidR="00635A5F" w:rsidRPr="00DF48C0">
        <w:rPr>
          <w:rFonts w:cs="Times New Roman"/>
        </w:rPr>
        <w:t xml:space="preserve"> </w:t>
      </w:r>
      <w:r w:rsidR="00CC25DA" w:rsidRPr="00DF48C0">
        <w:rPr>
          <w:rFonts w:cs="Times New Roman"/>
        </w:rPr>
        <w:t>in M</w:t>
      </w:r>
      <w:r w:rsidR="00287BFF">
        <w:rPr>
          <w:rFonts w:cs="Times New Roman"/>
        </w:rPr>
        <w:t>assachusetts</w:t>
      </w:r>
      <w:r w:rsidR="00CC25DA" w:rsidRPr="00DF48C0">
        <w:rPr>
          <w:rFonts w:cs="Times New Roman"/>
        </w:rPr>
        <w:t xml:space="preserve">, and </w:t>
      </w:r>
      <w:r w:rsidR="00635A5F">
        <w:rPr>
          <w:rFonts w:cs="Times New Roman"/>
        </w:rPr>
        <w:t>one</w:t>
      </w:r>
      <w:r w:rsidR="00CC25DA" w:rsidRPr="00DF48C0">
        <w:rPr>
          <w:rFonts w:cs="Times New Roman"/>
        </w:rPr>
        <w:t xml:space="preserve"> in C</w:t>
      </w:r>
      <w:r w:rsidR="00287BFF">
        <w:rPr>
          <w:rFonts w:cs="Times New Roman"/>
        </w:rPr>
        <w:t>onnecticut</w:t>
      </w:r>
      <w:r w:rsidR="00462BA7" w:rsidRPr="00DF48C0">
        <w:rPr>
          <w:rFonts w:cs="Times New Roman"/>
        </w:rPr>
        <w:t>.</w:t>
      </w:r>
      <w:r w:rsidR="004B5D91" w:rsidRPr="00DF48C0">
        <w:rPr>
          <w:rFonts w:cs="Times New Roman"/>
        </w:rPr>
        <w:t xml:space="preserve"> </w:t>
      </w:r>
      <w:r w:rsidR="00462BA7" w:rsidRPr="00DF48C0">
        <w:rPr>
          <w:rFonts w:cs="Times New Roman"/>
        </w:rPr>
        <w:t xml:space="preserve">While early focus group sessions were used to </w:t>
      </w:r>
      <w:r w:rsidR="00E91A0D" w:rsidRPr="00DF48C0">
        <w:rPr>
          <w:rFonts w:cs="Times New Roman"/>
        </w:rPr>
        <w:t xml:space="preserve">learn about people’s coastal recreational activities, attributes of locations they care about, </w:t>
      </w:r>
      <w:r w:rsidR="00462BA7" w:rsidRPr="00DF48C0">
        <w:rPr>
          <w:rFonts w:cs="Times New Roman"/>
        </w:rPr>
        <w:t>and the kinds of information respondents would need to answer the questions, later sessions were employed to test the draft survey materials.</w:t>
      </w:r>
      <w:r w:rsidR="004B5D91" w:rsidRPr="00DF48C0">
        <w:rPr>
          <w:rFonts w:cs="Times New Roman"/>
        </w:rPr>
        <w:t xml:space="preserve"> </w:t>
      </w:r>
      <w:r w:rsidR="00462BA7" w:rsidRPr="00DF48C0">
        <w:rPr>
          <w:rFonts w:cs="Times New Roman"/>
        </w:rPr>
        <w:t>These consultations with potential respondents were critical in identifying sections of the questionnaire that were redundant and lacked clarity and in producing a survey instrument meaningful to respondents.</w:t>
      </w:r>
      <w:r w:rsidR="004B5D91" w:rsidRPr="00DF48C0">
        <w:rPr>
          <w:rFonts w:cs="Times New Roman"/>
        </w:rPr>
        <w:t xml:space="preserve"> </w:t>
      </w:r>
      <w:r w:rsidR="00462BA7" w:rsidRPr="00DF48C0">
        <w:rPr>
          <w:rFonts w:cs="Times New Roman"/>
        </w:rPr>
        <w:t>The later focus group sessions were also helpful in estimating the expected amount of time respondents would need to complete the survey instrument.</w:t>
      </w:r>
      <w:r w:rsidR="004B5D91" w:rsidRPr="00DF48C0">
        <w:rPr>
          <w:rFonts w:cs="Times New Roman"/>
        </w:rPr>
        <w:t xml:space="preserve"> </w:t>
      </w:r>
      <w:r w:rsidR="00462BA7" w:rsidRPr="00DF48C0">
        <w:rPr>
          <w:rFonts w:cs="Times New Roman"/>
        </w:rPr>
        <w:t xml:space="preserve">The focus group sessions were conducted under </w:t>
      </w:r>
      <w:r w:rsidR="00F86634" w:rsidRPr="00DF48C0">
        <w:rPr>
          <w:rFonts w:cs="Times New Roman"/>
        </w:rPr>
        <w:t>EPA ICR # 2205.17, OMB # 2090-0028</w:t>
      </w:r>
      <w:r w:rsidR="00462BA7" w:rsidRPr="00DF48C0">
        <w:rPr>
          <w:rFonts w:cs="Times New Roman"/>
        </w:rPr>
        <w:t>.</w:t>
      </w:r>
      <w:r w:rsidR="004B5D91" w:rsidRPr="00DF48C0">
        <w:rPr>
          <w:rFonts w:cs="Times New Roman"/>
        </w:rPr>
        <w:t xml:space="preserve"> </w:t>
      </w:r>
    </w:p>
    <w:p w14:paraId="396642A2" w14:textId="182ED860" w:rsidR="00462BA7" w:rsidRPr="00DF48C0" w:rsidRDefault="00814F15" w:rsidP="00F37F1E">
      <w:pPr>
        <w:spacing w:line="360" w:lineRule="auto"/>
        <w:rPr>
          <w:rFonts w:cs="Times New Roman"/>
          <w:color w:val="000000"/>
        </w:rPr>
      </w:pPr>
      <w:r w:rsidRPr="00DF48C0">
        <w:rPr>
          <w:rFonts w:cs="Times New Roman"/>
        </w:rPr>
        <w:tab/>
      </w:r>
      <w:r w:rsidR="00DB4D57" w:rsidRPr="00DF48C0">
        <w:rPr>
          <w:rFonts w:cs="Times New Roman"/>
        </w:rPr>
        <w:t xml:space="preserve">As noted in the non-duplication section, EPA reached out </w:t>
      </w:r>
      <w:r w:rsidR="00DB4D57" w:rsidRPr="00635A5F">
        <w:rPr>
          <w:rFonts w:cs="Times New Roman"/>
        </w:rPr>
        <w:t>to NOAA</w:t>
      </w:r>
      <w:r w:rsidR="00635A5F">
        <w:rPr>
          <w:rFonts w:cs="Times New Roman"/>
        </w:rPr>
        <w:t>/</w:t>
      </w:r>
      <w:r w:rsidR="00DB4D57" w:rsidRPr="00635A5F">
        <w:rPr>
          <w:rFonts w:cs="Times New Roman"/>
        </w:rPr>
        <w:t xml:space="preserve">NMFS. In designing our survey, we contacted the economists, Scott Steinback and Rosemary Kosaka, who are overseeing </w:t>
      </w:r>
      <w:r w:rsidR="007F105A" w:rsidRPr="00635A5F">
        <w:rPr>
          <w:rFonts w:cs="Times New Roman"/>
        </w:rPr>
        <w:t xml:space="preserve">NMFS’ coastal recreation data collection </w:t>
      </w:r>
      <w:r w:rsidR="00DB4D57" w:rsidRPr="00635A5F">
        <w:rPr>
          <w:rFonts w:cs="Times New Roman"/>
        </w:rPr>
        <w:t xml:space="preserve">effort and reviewed the data collected. We determined </w:t>
      </w:r>
      <w:r w:rsidR="00D26B64">
        <w:rPr>
          <w:rFonts w:cs="Times New Roman"/>
        </w:rPr>
        <w:t xml:space="preserve">that the NMFS </w:t>
      </w:r>
      <w:r w:rsidR="00DB4D57" w:rsidRPr="00635A5F">
        <w:rPr>
          <w:rFonts w:cs="Times New Roman"/>
        </w:rPr>
        <w:t>su</w:t>
      </w:r>
      <w:r w:rsidR="00086CEF">
        <w:rPr>
          <w:rFonts w:cs="Times New Roman"/>
        </w:rPr>
        <w:t>r</w:t>
      </w:r>
      <w:r w:rsidR="00DB4D57" w:rsidRPr="00635A5F">
        <w:rPr>
          <w:rFonts w:cs="Times New Roman"/>
        </w:rPr>
        <w:t xml:space="preserve">vey </w:t>
      </w:r>
      <w:r w:rsidR="007F105A" w:rsidRPr="00635A5F">
        <w:rPr>
          <w:rFonts w:cs="Times New Roman"/>
        </w:rPr>
        <w:t>complements</w:t>
      </w:r>
      <w:r w:rsidR="007F105A" w:rsidRPr="00DF48C0">
        <w:rPr>
          <w:rFonts w:cs="Times New Roman"/>
        </w:rPr>
        <w:t xml:space="preserve"> </w:t>
      </w:r>
      <w:r w:rsidR="00DB4D57" w:rsidRPr="00DF48C0">
        <w:rPr>
          <w:rFonts w:cs="Times New Roman"/>
        </w:rPr>
        <w:t>ours by collecting detailed participation rates and effort estimates.</w:t>
      </w:r>
    </w:p>
    <w:p w14:paraId="23171B98" w14:textId="77777777" w:rsidR="00462BA7" w:rsidRPr="00DF48C0" w:rsidRDefault="00462BA7">
      <w:pPr>
        <w:spacing w:line="360" w:lineRule="auto"/>
        <w:rPr>
          <w:rFonts w:cs="Times New Roman"/>
        </w:rPr>
      </w:pPr>
    </w:p>
    <w:p w14:paraId="1F981E1C" w14:textId="77777777" w:rsidR="009464AA" w:rsidRPr="00DF48C0" w:rsidRDefault="009464AA" w:rsidP="009464AA">
      <w:pPr>
        <w:autoSpaceDE w:val="0"/>
        <w:autoSpaceDN w:val="0"/>
        <w:adjustRightInd w:val="0"/>
        <w:spacing w:line="360" w:lineRule="auto"/>
        <w:rPr>
          <w:rFonts w:cs="Times New Roman"/>
        </w:rPr>
      </w:pPr>
      <w:r w:rsidRPr="00E80780">
        <w:rPr>
          <w:rFonts w:cs="Times New Roman"/>
          <w:b/>
        </w:rPr>
        <w:t xml:space="preserve">Survey Design Team: </w:t>
      </w:r>
      <w:r w:rsidRPr="00E80780">
        <w:rPr>
          <w:rFonts w:cs="Times New Roman"/>
        </w:rPr>
        <w:t xml:space="preserve">Dr. </w:t>
      </w:r>
      <w:r w:rsidRPr="00BA5123">
        <w:rPr>
          <w:rFonts w:cs="Times New Roman"/>
        </w:rPr>
        <w:t xml:space="preserve">Marisa Mazzotta at the U.S. Environmental Protection Agency, Office of Research and Development, serves as the project manager for this study. Dr. Mazzotta is assisted by Dr. Nathaniel Merrill, Dr. Kate Mulvaney, </w:t>
      </w:r>
      <w:r>
        <w:rPr>
          <w:rFonts w:cs="Times New Roman"/>
        </w:rPr>
        <w:t xml:space="preserve">and </w:t>
      </w:r>
      <w:r w:rsidRPr="00BA5123">
        <w:rPr>
          <w:rFonts w:cs="Times New Roman"/>
        </w:rPr>
        <w:t>Ms. Sarina Lyon, all with the U.S. EPA’s Office of Research and Development</w:t>
      </w:r>
      <w:r w:rsidRPr="00143F10">
        <w:rPr>
          <w:rFonts w:cs="Times New Roman"/>
        </w:rPr>
        <w:t xml:space="preserve">. Dr. George Parsons, Professor at the </w:t>
      </w:r>
      <w:r w:rsidRPr="00DF48C0">
        <w:rPr>
          <w:rFonts w:cs="Times New Roman"/>
        </w:rPr>
        <w:t xml:space="preserve">School of Marine Science and </w:t>
      </w:r>
      <w:r w:rsidRPr="00635A5F">
        <w:rPr>
          <w:rFonts w:cs="Times New Roman"/>
        </w:rPr>
        <w:t>Policy, University of Delaware</w:t>
      </w:r>
      <w:r w:rsidRPr="00DF48C0">
        <w:rPr>
          <w:rFonts w:cs="Times New Roman"/>
        </w:rPr>
        <w:t xml:space="preserve">, </w:t>
      </w:r>
      <w:r w:rsidRPr="00BA5123">
        <w:rPr>
          <w:rFonts w:cs="Times New Roman"/>
        </w:rPr>
        <w:t xml:space="preserve">provided review of the </w:t>
      </w:r>
      <w:r>
        <w:rPr>
          <w:rFonts w:cs="Times New Roman"/>
        </w:rPr>
        <w:t xml:space="preserve">draft </w:t>
      </w:r>
      <w:r w:rsidRPr="00BA5123">
        <w:rPr>
          <w:rFonts w:cs="Times New Roman"/>
        </w:rPr>
        <w:t xml:space="preserve">survey. </w:t>
      </w:r>
      <w:r>
        <w:rPr>
          <w:rFonts w:cs="Times New Roman"/>
        </w:rPr>
        <w:t>Mr. Matthew Anderson</w:t>
      </w:r>
      <w:r w:rsidRPr="00BA5123">
        <w:rPr>
          <w:rFonts w:cs="Times New Roman"/>
        </w:rPr>
        <w:t xml:space="preserve">, Senior </w:t>
      </w:r>
      <w:r>
        <w:rPr>
          <w:rFonts w:cs="Times New Roman"/>
        </w:rPr>
        <w:t>Analyst</w:t>
      </w:r>
      <w:r w:rsidRPr="00BA5123">
        <w:rPr>
          <w:rFonts w:cs="Times New Roman"/>
        </w:rPr>
        <w:t xml:space="preserve"> at Abt Associates, </w:t>
      </w:r>
      <w:r w:rsidRPr="00E80780">
        <w:rPr>
          <w:rFonts w:cs="Times New Roman"/>
        </w:rPr>
        <w:t>provide</w:t>
      </w:r>
      <w:r w:rsidRPr="00DF48C0">
        <w:rPr>
          <w:rFonts w:cs="Times New Roman"/>
        </w:rPr>
        <w:t>s</w:t>
      </w:r>
      <w:r w:rsidRPr="00E80780">
        <w:rPr>
          <w:rFonts w:cs="Times New Roman"/>
        </w:rPr>
        <w:t xml:space="preserve"> contractor support.</w:t>
      </w:r>
      <w:r>
        <w:rPr>
          <w:rFonts w:cs="Times New Roman"/>
        </w:rPr>
        <w:t xml:space="preserve"> </w:t>
      </w:r>
    </w:p>
    <w:p w14:paraId="29C7CC8C" w14:textId="77777777" w:rsidR="009464AA" w:rsidRPr="00BA5123" w:rsidRDefault="009464AA" w:rsidP="009464AA">
      <w:pPr>
        <w:autoSpaceDE w:val="0"/>
        <w:autoSpaceDN w:val="0"/>
        <w:adjustRightInd w:val="0"/>
        <w:spacing w:line="360" w:lineRule="auto"/>
        <w:rPr>
          <w:rFonts w:cs="Times New Roman"/>
        </w:rPr>
      </w:pPr>
      <w:r w:rsidRPr="00DF48C0">
        <w:rPr>
          <w:rFonts w:cs="Times New Roman"/>
        </w:rPr>
        <w:tab/>
      </w:r>
      <w:r w:rsidRPr="00E80780">
        <w:rPr>
          <w:rFonts w:cs="Times New Roman"/>
        </w:rPr>
        <w:t xml:space="preserve">Dr. </w:t>
      </w:r>
      <w:r w:rsidRPr="00BA5123">
        <w:rPr>
          <w:rFonts w:cs="Times New Roman"/>
        </w:rPr>
        <w:t>George Parsons</w:t>
      </w:r>
      <w:r w:rsidRPr="00635A5F">
        <w:rPr>
          <w:rFonts w:cs="Times New Roman"/>
        </w:rPr>
        <w:t xml:space="preserve">, a professor </w:t>
      </w:r>
      <w:r w:rsidRPr="00E80780">
        <w:rPr>
          <w:rFonts w:cs="Times New Roman"/>
        </w:rPr>
        <w:t xml:space="preserve">at the </w:t>
      </w:r>
      <w:r w:rsidRPr="00DF48C0">
        <w:rPr>
          <w:rFonts w:cs="Times New Roman"/>
        </w:rPr>
        <w:t xml:space="preserve">School of Marine Science and Policy, University of Delaware, specializes in travel cost, hedonic price, contingent valuation, and choice experiments. His work includes two summary works on travel cost methods and a number of studies on recreation RUM methods and applications. He has worked extensively valuing coastal resources using revealed preference methods. </w:t>
      </w:r>
    </w:p>
    <w:p w14:paraId="70FEEF6C" w14:textId="7ABA3A28" w:rsidR="009464AA" w:rsidRPr="006B316C" w:rsidRDefault="009464AA" w:rsidP="009464AA">
      <w:pPr>
        <w:spacing w:line="360" w:lineRule="auto"/>
        <w:ind w:firstLine="720"/>
        <w:rPr>
          <w:rFonts w:cs="Times New Roman"/>
          <w:b/>
        </w:rPr>
      </w:pPr>
      <w:r>
        <w:rPr>
          <w:rFonts w:cs="Times New Roman"/>
        </w:rPr>
        <w:t xml:space="preserve">Mr. Matthew Anderson, a senior analyst at Abt Associates, specializes in data collection and survey implementation. </w:t>
      </w:r>
      <w:r w:rsidRPr="004B506C">
        <w:rPr>
          <w:rFonts w:cs="Times New Roman"/>
          <w:szCs w:val="24"/>
        </w:rPr>
        <w:t>Mr. Anderson is trained in quantitative and behavioral research in the social sciences with strong background in survey research design and analysis.</w:t>
      </w:r>
      <w:r>
        <w:rPr>
          <w:rFonts w:cs="Times New Roman"/>
          <w:szCs w:val="24"/>
        </w:rPr>
        <w:t xml:space="preserve"> </w:t>
      </w:r>
      <w:r w:rsidRPr="004B506C">
        <w:rPr>
          <w:rFonts w:cs="Times New Roman"/>
          <w:szCs w:val="24"/>
        </w:rPr>
        <w:t xml:space="preserve">Mr. Anderson is currently </w:t>
      </w:r>
      <w:r>
        <w:rPr>
          <w:rFonts w:cs="Times New Roman"/>
          <w:szCs w:val="24"/>
        </w:rPr>
        <w:t>directing</w:t>
      </w:r>
      <w:r w:rsidRPr="004B506C">
        <w:rPr>
          <w:rFonts w:cs="Times New Roman"/>
          <w:szCs w:val="24"/>
        </w:rPr>
        <w:t xml:space="preserve"> a mixed-mode survey for the EPA dealing with the removal and repair of lead paint in commercial buildings. He has worked with the EPA to finalize survey instruments, create a project timeline and implementation schedule, refining sampling parameters, and coordinating the field effort. He was previously the deputy survey director for a large-scale mixed-mode national mental health survey for SAMHSA, which collected data from over 22,000 mental health facilities. He has extensive experience managing operations staff, project budgets, instrument design/programming, and creatin</w:t>
      </w:r>
      <w:r w:rsidR="00863B89">
        <w:rPr>
          <w:rFonts w:cs="Times New Roman"/>
          <w:szCs w:val="24"/>
        </w:rPr>
        <w:t>g data cleaning specifications.</w:t>
      </w:r>
    </w:p>
    <w:p w14:paraId="0DB27563" w14:textId="77777777" w:rsidR="00462BA7" w:rsidRPr="00DF48C0" w:rsidRDefault="00462BA7">
      <w:pPr>
        <w:pStyle w:val="Resume"/>
        <w:shd w:val="clear" w:color="auto" w:fill="FFFFFF"/>
        <w:tabs>
          <w:tab w:val="clear" w:pos="2160"/>
          <w:tab w:val="left" w:pos="720"/>
        </w:tabs>
        <w:spacing w:line="360" w:lineRule="auto"/>
        <w:jc w:val="left"/>
        <w:rPr>
          <w:sz w:val="22"/>
          <w:szCs w:val="22"/>
        </w:rPr>
      </w:pPr>
      <w:r w:rsidRPr="00DF48C0">
        <w:rPr>
          <w:sz w:val="22"/>
          <w:szCs w:val="22"/>
        </w:rPr>
        <w:tab/>
      </w:r>
    </w:p>
    <w:p w14:paraId="124E1801" w14:textId="77777777" w:rsidR="00462BA7" w:rsidRPr="00DF48C0" w:rsidRDefault="00462BA7" w:rsidP="00462BA7">
      <w:pPr>
        <w:pStyle w:val="Heading3"/>
        <w:rPr>
          <w:sz w:val="22"/>
          <w:szCs w:val="22"/>
        </w:rPr>
      </w:pPr>
      <w:bookmarkStart w:id="24" w:name="_Toc326736640"/>
      <w:bookmarkStart w:id="25" w:name="_Toc473195085"/>
      <w:r w:rsidRPr="00DF48C0">
        <w:rPr>
          <w:sz w:val="22"/>
          <w:szCs w:val="22"/>
        </w:rPr>
        <w:t>3(d)</w:t>
      </w:r>
      <w:r w:rsidRPr="00DF48C0">
        <w:rPr>
          <w:sz w:val="22"/>
          <w:szCs w:val="22"/>
        </w:rPr>
        <w:tab/>
        <w:t>Effects of Less Frequent Collection</w:t>
      </w:r>
      <w:bookmarkEnd w:id="24"/>
      <w:bookmarkEnd w:id="25"/>
    </w:p>
    <w:p w14:paraId="58FBAB50" w14:textId="77777777" w:rsidR="00462BA7" w:rsidRPr="00DF48C0" w:rsidRDefault="00462BA7" w:rsidP="00462BA7">
      <w:pPr>
        <w:spacing w:line="360" w:lineRule="auto"/>
        <w:rPr>
          <w:rFonts w:cs="Times New Roman"/>
        </w:rPr>
      </w:pPr>
    </w:p>
    <w:p w14:paraId="49E80ACE" w14:textId="77777777" w:rsidR="00462BA7" w:rsidRPr="00DF48C0" w:rsidRDefault="00462BA7" w:rsidP="00462BA7">
      <w:pPr>
        <w:spacing w:line="360" w:lineRule="auto"/>
        <w:ind w:firstLine="720"/>
        <w:rPr>
          <w:rFonts w:cs="Times New Roman"/>
        </w:rPr>
      </w:pPr>
      <w:r w:rsidRPr="00DF48C0">
        <w:rPr>
          <w:rFonts w:cs="Times New Roman"/>
        </w:rPr>
        <w:t>The survey is a one-time activity.</w:t>
      </w:r>
      <w:r w:rsidR="004B5D91" w:rsidRPr="00DF48C0">
        <w:rPr>
          <w:rFonts w:cs="Times New Roman"/>
        </w:rPr>
        <w:t xml:space="preserve"> </w:t>
      </w:r>
      <w:r w:rsidRPr="00DF48C0">
        <w:rPr>
          <w:rFonts w:cs="Times New Roman"/>
        </w:rPr>
        <w:t>Therefore, this section does not apply.</w:t>
      </w:r>
    </w:p>
    <w:p w14:paraId="65F36C82" w14:textId="77777777" w:rsidR="00462BA7" w:rsidRPr="00DF48C0" w:rsidRDefault="00462BA7" w:rsidP="00462BA7">
      <w:pPr>
        <w:spacing w:line="360" w:lineRule="auto"/>
        <w:rPr>
          <w:rFonts w:cs="Times New Roman"/>
        </w:rPr>
      </w:pPr>
    </w:p>
    <w:p w14:paraId="469691BD" w14:textId="77777777" w:rsidR="00462BA7" w:rsidRPr="00DF48C0" w:rsidRDefault="00462BA7" w:rsidP="00462BA7">
      <w:pPr>
        <w:pStyle w:val="Heading3"/>
        <w:rPr>
          <w:sz w:val="22"/>
          <w:szCs w:val="22"/>
        </w:rPr>
      </w:pPr>
      <w:bookmarkStart w:id="26" w:name="_Toc326736641"/>
      <w:bookmarkStart w:id="27" w:name="_Toc473195086"/>
      <w:r w:rsidRPr="00DF48C0">
        <w:rPr>
          <w:sz w:val="22"/>
          <w:szCs w:val="22"/>
        </w:rPr>
        <w:t>3(e)</w:t>
      </w:r>
      <w:r w:rsidRPr="00DF48C0">
        <w:rPr>
          <w:sz w:val="22"/>
          <w:szCs w:val="22"/>
        </w:rPr>
        <w:tab/>
        <w:t>General Guidelines</w:t>
      </w:r>
      <w:bookmarkEnd w:id="26"/>
      <w:bookmarkEnd w:id="27"/>
    </w:p>
    <w:p w14:paraId="1961E9B0" w14:textId="77777777" w:rsidR="00462BA7" w:rsidRPr="00DF48C0" w:rsidRDefault="00462BA7" w:rsidP="00462BA7">
      <w:pPr>
        <w:spacing w:line="360" w:lineRule="auto"/>
        <w:rPr>
          <w:rFonts w:cs="Times New Roman"/>
        </w:rPr>
      </w:pPr>
    </w:p>
    <w:p w14:paraId="5C4EB93C" w14:textId="77777777" w:rsidR="00462BA7" w:rsidRPr="00DF48C0" w:rsidRDefault="00462BA7" w:rsidP="00462BA7">
      <w:pPr>
        <w:spacing w:line="360" w:lineRule="auto"/>
        <w:ind w:firstLine="720"/>
        <w:rPr>
          <w:rFonts w:cs="Times New Roman"/>
        </w:rPr>
      </w:pPr>
      <w:r w:rsidRPr="00DF48C0">
        <w:rPr>
          <w:rFonts w:cs="Times New Roman"/>
        </w:rPr>
        <w:t>The survey will not violate any of the general guidelines described in 5 CFR 1320.5 or in EPA’s ICR Handbook.</w:t>
      </w:r>
    </w:p>
    <w:p w14:paraId="53252AC2" w14:textId="77777777" w:rsidR="00462BA7" w:rsidRPr="00DF48C0" w:rsidRDefault="00462BA7" w:rsidP="00462BA7">
      <w:pPr>
        <w:spacing w:line="360" w:lineRule="auto"/>
        <w:rPr>
          <w:rFonts w:cs="Times New Roman"/>
        </w:rPr>
      </w:pPr>
    </w:p>
    <w:p w14:paraId="53E626E6" w14:textId="77777777" w:rsidR="00462BA7" w:rsidRPr="00DF48C0" w:rsidRDefault="00462BA7" w:rsidP="00462BA7">
      <w:pPr>
        <w:pStyle w:val="Heading3"/>
        <w:rPr>
          <w:sz w:val="22"/>
          <w:szCs w:val="22"/>
        </w:rPr>
      </w:pPr>
      <w:bookmarkStart w:id="28" w:name="_Toc326736642"/>
      <w:bookmarkStart w:id="29" w:name="_Toc473195087"/>
      <w:r w:rsidRPr="00DF48C0">
        <w:rPr>
          <w:sz w:val="22"/>
          <w:szCs w:val="22"/>
        </w:rPr>
        <w:t>3(f)</w:t>
      </w:r>
      <w:r w:rsidRPr="00DF48C0">
        <w:rPr>
          <w:sz w:val="22"/>
          <w:szCs w:val="22"/>
        </w:rPr>
        <w:tab/>
        <w:t>Confidentiality</w:t>
      </w:r>
      <w:bookmarkEnd w:id="28"/>
      <w:bookmarkEnd w:id="29"/>
    </w:p>
    <w:p w14:paraId="3F6F17E7" w14:textId="77777777" w:rsidR="00462BA7" w:rsidRPr="00DF48C0" w:rsidRDefault="00462BA7" w:rsidP="00462BA7">
      <w:pPr>
        <w:keepNext/>
        <w:spacing w:line="360" w:lineRule="auto"/>
        <w:rPr>
          <w:rFonts w:cs="Times New Roman"/>
        </w:rPr>
      </w:pPr>
    </w:p>
    <w:p w14:paraId="23F4C44C" w14:textId="37518AD9" w:rsidR="00462BA7" w:rsidRPr="00DF48C0" w:rsidRDefault="00462BA7" w:rsidP="00462BA7">
      <w:pPr>
        <w:pStyle w:val="BodyTextI2"/>
        <w:keepNext/>
        <w:rPr>
          <w:sz w:val="22"/>
          <w:szCs w:val="22"/>
        </w:rPr>
      </w:pPr>
      <w:r w:rsidRPr="00DF48C0">
        <w:rPr>
          <w:sz w:val="22"/>
          <w:szCs w:val="22"/>
        </w:rPr>
        <w:t>All responses to the survey will be kept confidential to the extent provided by law.</w:t>
      </w:r>
      <w:r w:rsidR="004B5D91" w:rsidRPr="00DF48C0">
        <w:rPr>
          <w:sz w:val="22"/>
          <w:szCs w:val="22"/>
        </w:rPr>
        <w:t xml:space="preserve"> </w:t>
      </w:r>
      <w:r w:rsidRPr="00DF48C0">
        <w:rPr>
          <w:sz w:val="22"/>
          <w:szCs w:val="22"/>
        </w:rPr>
        <w:t>To ensure that the final survey sample includes a representative and diverse population of individuals, the survey questionnaire will elicit basic demographic information, such as age,</w:t>
      </w:r>
      <w:r w:rsidR="00A43166">
        <w:rPr>
          <w:sz w:val="22"/>
          <w:szCs w:val="22"/>
        </w:rPr>
        <w:t xml:space="preserve"> race and ethnicity,</w:t>
      </w:r>
      <w:r w:rsidRPr="00DF48C0">
        <w:rPr>
          <w:sz w:val="22"/>
          <w:szCs w:val="22"/>
        </w:rPr>
        <w:t xml:space="preserve"> number of children under 18, type of employment, and income. However, the survey </w:t>
      </w:r>
      <w:r w:rsidRPr="00D669AB">
        <w:rPr>
          <w:sz w:val="22"/>
          <w:szCs w:val="22"/>
        </w:rPr>
        <w:t xml:space="preserve">questionnaire </w:t>
      </w:r>
      <w:r w:rsidRPr="00A86401">
        <w:rPr>
          <w:sz w:val="22"/>
          <w:szCs w:val="22"/>
        </w:rPr>
        <w:t>will not ask respondents for personal identifying information</w:t>
      </w:r>
      <w:r w:rsidRPr="00D669AB">
        <w:rPr>
          <w:sz w:val="22"/>
          <w:szCs w:val="22"/>
        </w:rPr>
        <w:t>, such as names or phone numbers.</w:t>
      </w:r>
      <w:r w:rsidR="004B5D91" w:rsidRPr="00D669AB">
        <w:rPr>
          <w:sz w:val="22"/>
          <w:szCs w:val="22"/>
        </w:rPr>
        <w:t xml:space="preserve"> </w:t>
      </w:r>
      <w:r w:rsidRPr="00D669AB">
        <w:rPr>
          <w:sz w:val="22"/>
          <w:szCs w:val="22"/>
        </w:rPr>
        <w:t>Instead</w:t>
      </w:r>
      <w:r w:rsidRPr="00DF48C0">
        <w:rPr>
          <w:sz w:val="22"/>
          <w:szCs w:val="22"/>
        </w:rPr>
        <w:t>, each survey response will receive a unique identification number.</w:t>
      </w:r>
      <w:r w:rsidR="004B5D91" w:rsidRPr="00DF48C0">
        <w:rPr>
          <w:sz w:val="22"/>
          <w:szCs w:val="22"/>
        </w:rPr>
        <w:t xml:space="preserve"> </w:t>
      </w:r>
      <w:r w:rsidRPr="00DF48C0">
        <w:rPr>
          <w:sz w:val="22"/>
          <w:szCs w:val="22"/>
        </w:rPr>
        <w:t>Prior to taking the survey, respondents will be informed that their responses will be kept confidential to the extent provided by law.</w:t>
      </w:r>
      <w:r w:rsidR="004B5D91" w:rsidRPr="00DF48C0">
        <w:rPr>
          <w:sz w:val="22"/>
          <w:szCs w:val="22"/>
        </w:rPr>
        <w:t xml:space="preserve"> </w:t>
      </w:r>
      <w:r w:rsidRPr="00DF48C0">
        <w:rPr>
          <w:sz w:val="22"/>
          <w:szCs w:val="22"/>
        </w:rPr>
        <w:t>The name and address of the respondent will not appear in the resulting database, preserving the</w:t>
      </w:r>
      <w:r w:rsidR="00A723E6">
        <w:rPr>
          <w:sz w:val="22"/>
          <w:szCs w:val="22"/>
        </w:rPr>
        <w:t xml:space="preserve"> </w:t>
      </w:r>
      <w:r w:rsidR="00A3166C">
        <w:rPr>
          <w:sz w:val="22"/>
          <w:szCs w:val="22"/>
        </w:rPr>
        <w:t>confidentialit</w:t>
      </w:r>
      <w:r w:rsidR="00A723E6">
        <w:rPr>
          <w:sz w:val="22"/>
          <w:szCs w:val="22"/>
        </w:rPr>
        <w:t>y of the</w:t>
      </w:r>
      <w:r w:rsidRPr="00DF48C0">
        <w:rPr>
          <w:sz w:val="22"/>
          <w:szCs w:val="22"/>
        </w:rPr>
        <w:t xml:space="preserve"> respondents’ identit</w:t>
      </w:r>
      <w:r w:rsidR="00814F15" w:rsidRPr="00DF48C0">
        <w:rPr>
          <w:sz w:val="22"/>
          <w:szCs w:val="22"/>
        </w:rPr>
        <w:t>ies</w:t>
      </w:r>
      <w:r w:rsidRPr="00DF48C0">
        <w:rPr>
          <w:sz w:val="22"/>
          <w:szCs w:val="22"/>
        </w:rPr>
        <w:t>. The survey data will be made public only after it has been thoroughly vetted to ensure that all other potentially identifying information has been removed.</w:t>
      </w:r>
      <w:r w:rsidR="004478E3" w:rsidRPr="00DF48C0">
        <w:rPr>
          <w:sz w:val="22"/>
          <w:szCs w:val="22"/>
        </w:rPr>
        <w:t xml:space="preserve"> After data entry is complete, the surveys themselves will be destroyed.</w:t>
      </w:r>
    </w:p>
    <w:p w14:paraId="001B671D" w14:textId="77777777" w:rsidR="00495EFA" w:rsidRPr="00DF48C0" w:rsidRDefault="00495EFA" w:rsidP="007A061A">
      <w:pPr>
        <w:spacing w:line="360" w:lineRule="auto"/>
        <w:ind w:firstLine="720"/>
        <w:rPr>
          <w:rFonts w:cs="Times New Roman"/>
        </w:rPr>
      </w:pPr>
      <w:r w:rsidRPr="00DF48C0">
        <w:rPr>
          <w:rFonts w:cs="Times New Roman"/>
        </w:rPr>
        <w:t>The U.S. EPA office location (AED) and U.S. EPA electronic file system used by the principal investigator are highly secure. A keycard possessed only by U.S. EPA employees and contractors is necessary to enter the building. The principal investigators are in a separate keyed office space within the secure building. The computer system where the personal names and addresses associated with respondent numeric codes will be stored during the process of data entry is a secure server requiring principal investigator personal login username and password. At the conclusion of data entry, this file linking personal names and addresses to respondent codes will destroyed (along with hard copy survey responses themselves) and only respondent codes will remain.</w:t>
      </w:r>
    </w:p>
    <w:p w14:paraId="364F6C4C" w14:textId="77777777" w:rsidR="00495EFA" w:rsidRPr="00DF48C0" w:rsidRDefault="00495EFA" w:rsidP="007A061A">
      <w:pPr>
        <w:spacing w:line="360" w:lineRule="auto"/>
        <w:ind w:firstLine="720"/>
        <w:rPr>
          <w:rFonts w:cs="Times New Roman"/>
        </w:rPr>
      </w:pPr>
    </w:p>
    <w:p w14:paraId="1FFA7242" w14:textId="77777777" w:rsidR="00462BA7" w:rsidRPr="00DF48C0" w:rsidRDefault="00462BA7" w:rsidP="00462BA7">
      <w:pPr>
        <w:pStyle w:val="Heading3"/>
        <w:rPr>
          <w:sz w:val="22"/>
          <w:szCs w:val="22"/>
        </w:rPr>
      </w:pPr>
      <w:bookmarkStart w:id="30" w:name="_Toc326736643"/>
      <w:bookmarkStart w:id="31" w:name="_Toc473195088"/>
      <w:r w:rsidRPr="00DF48C0">
        <w:rPr>
          <w:sz w:val="22"/>
          <w:szCs w:val="22"/>
        </w:rPr>
        <w:t>3(g)</w:t>
      </w:r>
      <w:r w:rsidRPr="00DF48C0">
        <w:rPr>
          <w:sz w:val="22"/>
          <w:szCs w:val="22"/>
        </w:rPr>
        <w:tab/>
        <w:t>Sensitive Questions</w:t>
      </w:r>
      <w:bookmarkEnd w:id="30"/>
      <w:bookmarkEnd w:id="31"/>
    </w:p>
    <w:p w14:paraId="65FE1D40" w14:textId="77777777" w:rsidR="00462BA7" w:rsidRPr="00DF48C0" w:rsidRDefault="00462BA7" w:rsidP="00462BA7">
      <w:pPr>
        <w:spacing w:line="360" w:lineRule="auto"/>
        <w:rPr>
          <w:rFonts w:cs="Times New Roman"/>
        </w:rPr>
      </w:pPr>
    </w:p>
    <w:p w14:paraId="60B500D5" w14:textId="77777777" w:rsidR="00462BA7" w:rsidRPr="00DF48C0" w:rsidRDefault="00462BA7" w:rsidP="00462BA7">
      <w:pPr>
        <w:spacing w:line="360" w:lineRule="auto"/>
        <w:ind w:firstLine="720"/>
        <w:rPr>
          <w:rFonts w:cs="Times New Roman"/>
        </w:rPr>
      </w:pPr>
      <w:r w:rsidRPr="00DF48C0">
        <w:rPr>
          <w:rFonts w:cs="Times New Roman"/>
        </w:rPr>
        <w:t>The survey questionnaire will not include any sensitive questions pertaining to private or personal information, such as sexual behavior or religious beliefs.</w:t>
      </w:r>
    </w:p>
    <w:p w14:paraId="1AEDCA64" w14:textId="77777777" w:rsidR="00761539" w:rsidRPr="00DF48C0" w:rsidRDefault="00761539" w:rsidP="00462BA7">
      <w:pPr>
        <w:spacing w:line="360" w:lineRule="auto"/>
        <w:ind w:firstLine="720"/>
        <w:rPr>
          <w:rFonts w:cs="Times New Roman"/>
        </w:rPr>
      </w:pPr>
    </w:p>
    <w:p w14:paraId="2F7A1E18" w14:textId="77777777" w:rsidR="00FE0E2B" w:rsidRPr="00DF48C0" w:rsidRDefault="00FE0E2B" w:rsidP="00FE0E2B">
      <w:pPr>
        <w:pStyle w:val="Heading2"/>
        <w:rPr>
          <w:sz w:val="22"/>
          <w:szCs w:val="22"/>
        </w:rPr>
      </w:pPr>
      <w:bookmarkStart w:id="32" w:name="_Toc326736644"/>
      <w:bookmarkStart w:id="33" w:name="_Toc473195089"/>
      <w:r w:rsidRPr="00DF48C0">
        <w:rPr>
          <w:sz w:val="22"/>
          <w:szCs w:val="22"/>
        </w:rPr>
        <w:t>4.</w:t>
      </w:r>
      <w:r w:rsidRPr="00DF48C0">
        <w:rPr>
          <w:sz w:val="22"/>
          <w:szCs w:val="22"/>
        </w:rPr>
        <w:tab/>
        <w:t>The Respondents and the Information Requested</w:t>
      </w:r>
      <w:bookmarkEnd w:id="32"/>
      <w:bookmarkEnd w:id="33"/>
    </w:p>
    <w:p w14:paraId="7AE1484C" w14:textId="77777777" w:rsidR="00FE0E2B" w:rsidRDefault="00FE0E2B" w:rsidP="00FE0E2B">
      <w:pPr>
        <w:pStyle w:val="Heading3"/>
        <w:rPr>
          <w:sz w:val="22"/>
          <w:szCs w:val="22"/>
        </w:rPr>
      </w:pPr>
      <w:bookmarkStart w:id="34" w:name="_Toc326736645"/>
      <w:bookmarkStart w:id="35" w:name="_Toc473195090"/>
      <w:r w:rsidRPr="00DF48C0">
        <w:rPr>
          <w:sz w:val="22"/>
          <w:szCs w:val="22"/>
        </w:rPr>
        <w:t>4(a)</w:t>
      </w:r>
      <w:r w:rsidRPr="00DF48C0">
        <w:rPr>
          <w:sz w:val="22"/>
          <w:szCs w:val="22"/>
        </w:rPr>
        <w:tab/>
      </w:r>
      <w:r w:rsidRPr="001625C6">
        <w:rPr>
          <w:sz w:val="22"/>
          <w:szCs w:val="22"/>
        </w:rPr>
        <w:t>Respondents</w:t>
      </w:r>
      <w:bookmarkEnd w:id="34"/>
      <w:bookmarkEnd w:id="35"/>
      <w:r w:rsidRPr="00DF48C0">
        <w:rPr>
          <w:sz w:val="22"/>
          <w:szCs w:val="22"/>
        </w:rPr>
        <w:t xml:space="preserve"> </w:t>
      </w:r>
    </w:p>
    <w:p w14:paraId="6C8BAE4A" w14:textId="77777777" w:rsidR="00483B3A" w:rsidRPr="00483B3A" w:rsidRDefault="00483B3A" w:rsidP="00483B3A"/>
    <w:p w14:paraId="2F9F73B0" w14:textId="0C9BE72B" w:rsidR="00FE0E2B" w:rsidRPr="00DF48C0" w:rsidRDefault="00FE0E2B" w:rsidP="00FE0E2B">
      <w:pPr>
        <w:pStyle w:val="BodyTextI2"/>
        <w:rPr>
          <w:sz w:val="22"/>
          <w:szCs w:val="22"/>
        </w:rPr>
      </w:pPr>
      <w:r w:rsidRPr="00DF48C0">
        <w:rPr>
          <w:sz w:val="22"/>
          <w:szCs w:val="22"/>
        </w:rPr>
        <w:t>Eligible respondents for th</w:t>
      </w:r>
      <w:r w:rsidR="00A43166">
        <w:rPr>
          <w:sz w:val="22"/>
          <w:szCs w:val="22"/>
        </w:rPr>
        <w:t>e</w:t>
      </w:r>
      <w:r w:rsidRPr="00DF48C0">
        <w:rPr>
          <w:sz w:val="22"/>
          <w:szCs w:val="22"/>
        </w:rPr>
        <w:t xml:space="preserve"> survey are individuals 18 years of age or older who reside in</w:t>
      </w:r>
      <w:r w:rsidR="00761539" w:rsidRPr="00DF48C0">
        <w:rPr>
          <w:sz w:val="22"/>
          <w:szCs w:val="22"/>
        </w:rPr>
        <w:t xml:space="preserve"> counties where </w:t>
      </w:r>
      <w:r w:rsidR="00A46A5A" w:rsidRPr="00DF48C0">
        <w:rPr>
          <w:sz w:val="22"/>
          <w:szCs w:val="22"/>
        </w:rPr>
        <w:t>at least 25</w:t>
      </w:r>
      <w:r w:rsidR="00DC6DC3">
        <w:rPr>
          <w:sz w:val="22"/>
          <w:szCs w:val="22"/>
        </w:rPr>
        <w:t xml:space="preserve"> percent</w:t>
      </w:r>
      <w:r w:rsidR="00761539" w:rsidRPr="00DF48C0">
        <w:rPr>
          <w:sz w:val="22"/>
          <w:szCs w:val="22"/>
        </w:rPr>
        <w:t xml:space="preserve"> of </w:t>
      </w:r>
      <w:r w:rsidR="00DC6DC3">
        <w:rPr>
          <w:sz w:val="22"/>
          <w:szCs w:val="22"/>
        </w:rPr>
        <w:t xml:space="preserve">the </w:t>
      </w:r>
      <w:r w:rsidR="00761539" w:rsidRPr="00DF48C0">
        <w:rPr>
          <w:sz w:val="22"/>
          <w:szCs w:val="22"/>
        </w:rPr>
        <w:t>county</w:t>
      </w:r>
      <w:r w:rsidR="002D5635">
        <w:rPr>
          <w:sz w:val="22"/>
          <w:szCs w:val="22"/>
        </w:rPr>
        <w:t xml:space="preserve">’s </w:t>
      </w:r>
      <w:r w:rsidR="006E0FCE">
        <w:rPr>
          <w:sz w:val="22"/>
          <w:szCs w:val="22"/>
        </w:rPr>
        <w:t>geographic</w:t>
      </w:r>
      <w:r w:rsidR="00761539" w:rsidRPr="00DF48C0">
        <w:rPr>
          <w:sz w:val="22"/>
          <w:szCs w:val="22"/>
        </w:rPr>
        <w:t xml:space="preserve"> area falls within a 100-mile radius of Cape Cod</w:t>
      </w:r>
      <w:r w:rsidRPr="00DF48C0">
        <w:rPr>
          <w:sz w:val="22"/>
          <w:szCs w:val="22"/>
        </w:rPr>
        <w:t>.</w:t>
      </w:r>
      <w:r w:rsidR="00A46A5A" w:rsidRPr="00DF48C0">
        <w:rPr>
          <w:sz w:val="22"/>
          <w:szCs w:val="22"/>
        </w:rPr>
        <w:t xml:space="preserve"> Table A1 lists the states and counties included, and Figure A1 maps this area.</w:t>
      </w:r>
      <w:r w:rsidR="003F60B2">
        <w:rPr>
          <w:sz w:val="22"/>
          <w:szCs w:val="22"/>
        </w:rPr>
        <w:t xml:space="preserve"> </w:t>
      </w:r>
      <w:r w:rsidR="003F60B2" w:rsidRPr="0003700C">
        <w:rPr>
          <w:sz w:val="22"/>
          <w:szCs w:val="22"/>
        </w:rPr>
        <w:t xml:space="preserve">The sample will be stratified by geography, with Barnstable County, MA sampled at a rate 3.06 </w:t>
      </w:r>
      <w:r w:rsidR="0090799D">
        <w:rPr>
          <w:sz w:val="22"/>
          <w:szCs w:val="22"/>
        </w:rPr>
        <w:t xml:space="preserve">times </w:t>
      </w:r>
      <w:r w:rsidR="003F60B2" w:rsidRPr="0003700C">
        <w:rPr>
          <w:sz w:val="22"/>
          <w:szCs w:val="22"/>
        </w:rPr>
        <w:t xml:space="preserve">higher than the rest of the population in the study area. </w:t>
      </w:r>
      <w:r w:rsidR="00436C74">
        <w:rPr>
          <w:sz w:val="22"/>
          <w:szCs w:val="22"/>
        </w:rPr>
        <w:t>T</w:t>
      </w:r>
      <w:r w:rsidR="003F60B2" w:rsidRPr="0003700C">
        <w:rPr>
          <w:sz w:val="22"/>
          <w:szCs w:val="22"/>
        </w:rPr>
        <w:t xml:space="preserve">he </w:t>
      </w:r>
      <w:r w:rsidR="00436C74">
        <w:rPr>
          <w:sz w:val="22"/>
          <w:szCs w:val="22"/>
        </w:rPr>
        <w:t xml:space="preserve">sample will be drawn from </w:t>
      </w:r>
      <w:r w:rsidR="003F60B2" w:rsidRPr="0003700C">
        <w:rPr>
          <w:sz w:val="22"/>
          <w:szCs w:val="22"/>
        </w:rPr>
        <w:t>general population address</w:t>
      </w:r>
      <w:r w:rsidR="00436C74">
        <w:rPr>
          <w:sz w:val="22"/>
          <w:szCs w:val="22"/>
        </w:rPr>
        <w:t>es</w:t>
      </w:r>
      <w:r w:rsidR="003F60B2" w:rsidRPr="0003700C">
        <w:rPr>
          <w:sz w:val="22"/>
          <w:szCs w:val="22"/>
        </w:rPr>
        <w:t xml:space="preserve"> of the </w:t>
      </w:r>
      <w:r w:rsidR="0090799D" w:rsidRPr="009A6238">
        <w:rPr>
          <w:sz w:val="22"/>
          <w:szCs w:val="22"/>
        </w:rPr>
        <w:t>U.S. Postal Service Delivery Sequence File (DSF)</w:t>
      </w:r>
      <w:r w:rsidR="00436C74">
        <w:rPr>
          <w:sz w:val="22"/>
          <w:szCs w:val="22"/>
        </w:rPr>
        <w:t>.</w:t>
      </w:r>
      <w:r w:rsidR="00281710">
        <w:rPr>
          <w:sz w:val="22"/>
          <w:szCs w:val="22"/>
        </w:rPr>
        <w:t xml:space="preserve"> </w:t>
      </w:r>
    </w:p>
    <w:p w14:paraId="1325E5F5" w14:textId="6D17AF01" w:rsidR="00FE0E2B" w:rsidRPr="00DF48C0" w:rsidRDefault="00FE0E2B" w:rsidP="008400AD">
      <w:pPr>
        <w:pStyle w:val="Level9"/>
        <w:widowControl/>
        <w:spacing w:line="360" w:lineRule="auto"/>
        <w:ind w:firstLine="720"/>
        <w:rPr>
          <w:b w:val="0"/>
          <w:bCs/>
          <w:sz w:val="22"/>
          <w:szCs w:val="22"/>
        </w:rPr>
      </w:pPr>
      <w:r w:rsidRPr="00DF48C0">
        <w:rPr>
          <w:b w:val="0"/>
          <w:sz w:val="22"/>
          <w:szCs w:val="22"/>
        </w:rPr>
        <w:t>Households will be selected randomly from the</w:t>
      </w:r>
      <w:r w:rsidR="00E1353F">
        <w:rPr>
          <w:b w:val="0"/>
          <w:sz w:val="22"/>
          <w:szCs w:val="22"/>
        </w:rPr>
        <w:t xml:space="preserve"> DSF</w:t>
      </w:r>
      <w:r w:rsidRPr="00DF48C0">
        <w:rPr>
          <w:b w:val="0"/>
          <w:sz w:val="22"/>
          <w:szCs w:val="22"/>
        </w:rPr>
        <w:t>, which covers over 97</w:t>
      </w:r>
      <w:r w:rsidR="00DC6DC3">
        <w:rPr>
          <w:b w:val="0"/>
          <w:sz w:val="22"/>
          <w:szCs w:val="22"/>
        </w:rPr>
        <w:t xml:space="preserve"> percent</w:t>
      </w:r>
      <w:r w:rsidRPr="00DF48C0">
        <w:rPr>
          <w:b w:val="0"/>
          <w:sz w:val="22"/>
          <w:szCs w:val="22"/>
        </w:rPr>
        <w:t xml:space="preserve"> of residences in the U</w:t>
      </w:r>
      <w:r w:rsidR="00DC6DC3">
        <w:rPr>
          <w:b w:val="0"/>
          <w:sz w:val="22"/>
          <w:szCs w:val="22"/>
        </w:rPr>
        <w:t>nited States</w:t>
      </w:r>
      <w:r w:rsidRPr="00DF48C0">
        <w:rPr>
          <w:b w:val="0"/>
          <w:sz w:val="22"/>
          <w:szCs w:val="22"/>
        </w:rPr>
        <w:t>. The DSF include</w:t>
      </w:r>
      <w:r w:rsidR="00E1353F">
        <w:rPr>
          <w:b w:val="0"/>
          <w:sz w:val="22"/>
          <w:szCs w:val="22"/>
        </w:rPr>
        <w:t>s</w:t>
      </w:r>
      <w:r w:rsidRPr="00DF48C0">
        <w:rPr>
          <w:b w:val="0"/>
          <w:sz w:val="22"/>
          <w:szCs w:val="22"/>
        </w:rPr>
        <w:t xml:space="preserve"> city</w:t>
      </w:r>
      <w:r w:rsidRPr="00DF48C0">
        <w:rPr>
          <w:rFonts w:ascii="Cambria Math" w:hAnsi="Cambria Math" w:cs="Cambria Math"/>
          <w:b w:val="0"/>
          <w:sz w:val="22"/>
          <w:szCs w:val="22"/>
        </w:rPr>
        <w:t>‐</w:t>
      </w:r>
      <w:r w:rsidRPr="00DF48C0">
        <w:rPr>
          <w:b w:val="0"/>
          <w:sz w:val="22"/>
          <w:szCs w:val="22"/>
        </w:rPr>
        <w:t xml:space="preserve">style addresses and </w:t>
      </w:r>
      <w:r w:rsidR="00E1353F">
        <w:rPr>
          <w:b w:val="0"/>
          <w:sz w:val="22"/>
          <w:szCs w:val="22"/>
        </w:rPr>
        <w:t xml:space="preserve">post office </w:t>
      </w:r>
      <w:r w:rsidRPr="00DF48C0">
        <w:rPr>
          <w:b w:val="0"/>
          <w:sz w:val="22"/>
          <w:szCs w:val="22"/>
        </w:rPr>
        <w:t>boxes, and covers single</w:t>
      </w:r>
      <w:r w:rsidRPr="00DF48C0">
        <w:rPr>
          <w:rFonts w:ascii="Cambria Math" w:hAnsi="Cambria Math" w:cs="Cambria Math"/>
          <w:b w:val="0"/>
          <w:sz w:val="22"/>
          <w:szCs w:val="22"/>
        </w:rPr>
        <w:t>‐</w:t>
      </w:r>
      <w:r w:rsidRPr="00DF48C0">
        <w:rPr>
          <w:b w:val="0"/>
          <w:sz w:val="22"/>
          <w:szCs w:val="22"/>
        </w:rPr>
        <w:t>unit, multi</w:t>
      </w:r>
      <w:r w:rsidRPr="00DF48C0">
        <w:rPr>
          <w:rFonts w:ascii="Cambria Math" w:hAnsi="Cambria Math" w:cs="Cambria Math"/>
          <w:b w:val="0"/>
          <w:sz w:val="22"/>
          <w:szCs w:val="22"/>
        </w:rPr>
        <w:t>‐</w:t>
      </w:r>
      <w:r w:rsidRPr="00DF48C0">
        <w:rPr>
          <w:b w:val="0"/>
          <w:sz w:val="22"/>
          <w:szCs w:val="22"/>
        </w:rPr>
        <w:t>unit, and other types of housing structures.</w:t>
      </w:r>
      <w:r w:rsidR="004B5D91" w:rsidRPr="00DF48C0">
        <w:rPr>
          <w:sz w:val="22"/>
          <w:szCs w:val="22"/>
        </w:rPr>
        <w:t xml:space="preserve"> </w:t>
      </w:r>
      <w:r w:rsidRPr="00DF48C0">
        <w:rPr>
          <w:b w:val="0"/>
          <w:sz w:val="22"/>
          <w:szCs w:val="22"/>
        </w:rPr>
        <w:t xml:space="preserve">As described in Part B of this Supporting Statement, we assume </w:t>
      </w:r>
      <w:r w:rsidRPr="002F3232">
        <w:rPr>
          <w:b w:val="0"/>
          <w:sz w:val="22"/>
          <w:szCs w:val="22"/>
        </w:rPr>
        <w:t>that 9</w:t>
      </w:r>
      <w:r w:rsidR="003F60B2" w:rsidRPr="002F3232">
        <w:rPr>
          <w:b w:val="0"/>
          <w:sz w:val="22"/>
          <w:szCs w:val="22"/>
        </w:rPr>
        <w:t>0</w:t>
      </w:r>
      <w:r w:rsidRPr="002F3232">
        <w:rPr>
          <w:b w:val="0"/>
          <w:sz w:val="22"/>
          <w:szCs w:val="22"/>
        </w:rPr>
        <w:t xml:space="preserve">% of the addresses will be </w:t>
      </w:r>
      <w:r w:rsidR="00E1353F">
        <w:rPr>
          <w:b w:val="0"/>
          <w:sz w:val="22"/>
          <w:szCs w:val="22"/>
        </w:rPr>
        <w:t xml:space="preserve">valid </w:t>
      </w:r>
      <w:r w:rsidRPr="002F3232">
        <w:rPr>
          <w:b w:val="0"/>
          <w:sz w:val="22"/>
          <w:szCs w:val="22"/>
        </w:rPr>
        <w:t>and will receive the survey.</w:t>
      </w:r>
      <w:r w:rsidR="004B5D91" w:rsidRPr="002F3232">
        <w:rPr>
          <w:b w:val="0"/>
          <w:sz w:val="22"/>
          <w:szCs w:val="22"/>
        </w:rPr>
        <w:t xml:space="preserve"> </w:t>
      </w:r>
      <w:r w:rsidRPr="002F3232">
        <w:rPr>
          <w:b w:val="0"/>
          <w:bCs/>
          <w:sz w:val="22"/>
          <w:szCs w:val="22"/>
        </w:rPr>
        <w:t xml:space="preserve">EPA will </w:t>
      </w:r>
      <w:r w:rsidR="00D65000" w:rsidRPr="002F3232">
        <w:rPr>
          <w:b w:val="0"/>
          <w:bCs/>
          <w:sz w:val="22"/>
          <w:szCs w:val="22"/>
        </w:rPr>
        <w:t>request participation from</w:t>
      </w:r>
      <w:r w:rsidRPr="002F3232">
        <w:rPr>
          <w:b w:val="0"/>
          <w:bCs/>
          <w:sz w:val="22"/>
          <w:szCs w:val="22"/>
        </w:rPr>
        <w:t xml:space="preserve"> a random stratified sample of</w:t>
      </w:r>
      <w:r w:rsidR="003F60B2" w:rsidRPr="002F3232">
        <w:rPr>
          <w:b w:val="0"/>
          <w:bCs/>
          <w:sz w:val="22"/>
          <w:szCs w:val="22"/>
        </w:rPr>
        <w:t xml:space="preserve"> </w:t>
      </w:r>
      <w:r w:rsidR="00AC30F9">
        <w:rPr>
          <w:b w:val="0"/>
          <w:bCs/>
          <w:sz w:val="22"/>
          <w:szCs w:val="22"/>
        </w:rPr>
        <w:t>9,520</w:t>
      </w:r>
      <w:r w:rsidRPr="002F3232">
        <w:rPr>
          <w:b w:val="0"/>
          <w:bCs/>
          <w:sz w:val="22"/>
          <w:szCs w:val="22"/>
        </w:rPr>
        <w:t xml:space="preserve"> households in two phases.</w:t>
      </w:r>
      <w:r w:rsidR="004B5D91" w:rsidRPr="002F3232">
        <w:rPr>
          <w:b w:val="0"/>
          <w:bCs/>
          <w:sz w:val="22"/>
          <w:szCs w:val="22"/>
        </w:rPr>
        <w:t xml:space="preserve"> </w:t>
      </w:r>
      <w:r w:rsidRPr="002F3232">
        <w:rPr>
          <w:b w:val="0"/>
          <w:bCs/>
          <w:sz w:val="22"/>
          <w:szCs w:val="22"/>
        </w:rPr>
        <w:t>The first phase, a pretest, will be sent to</w:t>
      </w:r>
      <w:r w:rsidR="003F60B2">
        <w:rPr>
          <w:b w:val="0"/>
          <w:bCs/>
          <w:sz w:val="22"/>
          <w:szCs w:val="22"/>
        </w:rPr>
        <w:t xml:space="preserve"> 370</w:t>
      </w:r>
      <w:r w:rsidRPr="00DF48C0">
        <w:rPr>
          <w:b w:val="0"/>
          <w:bCs/>
          <w:sz w:val="22"/>
          <w:szCs w:val="22"/>
        </w:rPr>
        <w:t xml:space="preserve"> addresses</w:t>
      </w:r>
      <w:r w:rsidR="003F60B2">
        <w:rPr>
          <w:b w:val="0"/>
          <w:bCs/>
          <w:sz w:val="22"/>
          <w:szCs w:val="22"/>
        </w:rPr>
        <w:t>.</w:t>
      </w:r>
      <w:r w:rsidR="004B5D91" w:rsidRPr="00DF48C0">
        <w:rPr>
          <w:b w:val="0"/>
          <w:bCs/>
          <w:sz w:val="22"/>
          <w:szCs w:val="22"/>
        </w:rPr>
        <w:t xml:space="preserve"> </w:t>
      </w:r>
      <w:r w:rsidR="00A10AED">
        <w:rPr>
          <w:b w:val="0"/>
          <w:bCs/>
          <w:sz w:val="22"/>
          <w:szCs w:val="22"/>
        </w:rPr>
        <w:t>In the pretest, we will test the process of administering the survey, and will evaluate whether respondents are able to answer all questions as intended. To evaluate the pretest, we will calculate summary statistics for important variables, including</w:t>
      </w:r>
      <w:r w:rsidR="00863B89">
        <w:rPr>
          <w:b w:val="0"/>
          <w:bCs/>
          <w:sz w:val="22"/>
          <w:szCs w:val="22"/>
        </w:rPr>
        <w:t xml:space="preserve"> water recreation</w:t>
      </w:r>
      <w:r w:rsidR="00A10AED">
        <w:rPr>
          <w:b w:val="0"/>
          <w:bCs/>
          <w:sz w:val="22"/>
          <w:szCs w:val="22"/>
        </w:rPr>
        <w:t xml:space="preserve"> participation, activities, distance travelled, and demographics</w:t>
      </w:r>
      <w:r w:rsidR="00863B89">
        <w:rPr>
          <w:b w:val="0"/>
          <w:bCs/>
          <w:sz w:val="22"/>
          <w:szCs w:val="22"/>
        </w:rPr>
        <w:t xml:space="preserve"> (see Part B Section 2(c)(iii) for specific questions)</w:t>
      </w:r>
      <w:r w:rsidR="00A10AED">
        <w:rPr>
          <w:b w:val="0"/>
          <w:bCs/>
          <w:sz w:val="22"/>
          <w:szCs w:val="22"/>
        </w:rPr>
        <w:t xml:space="preserve">. We will also examine item nonresponse for each survey question, and will examine response rates for online and paper surveys and whether there are any major differences between the two modes. We will estimate a basic travel cost model using the pretest results. </w:t>
      </w:r>
      <w:r w:rsidRPr="00DF48C0">
        <w:rPr>
          <w:b w:val="0"/>
          <w:bCs/>
          <w:sz w:val="22"/>
          <w:szCs w:val="22"/>
        </w:rPr>
        <w:t xml:space="preserve">The second phase, encompassing full survey administration, will be administered to an additional </w:t>
      </w:r>
      <w:r w:rsidR="003F60B2">
        <w:rPr>
          <w:b w:val="0"/>
          <w:bCs/>
          <w:sz w:val="22"/>
          <w:szCs w:val="22"/>
        </w:rPr>
        <w:t>9,</w:t>
      </w:r>
      <w:r w:rsidR="00436C74">
        <w:rPr>
          <w:b w:val="0"/>
          <w:bCs/>
          <w:sz w:val="22"/>
          <w:szCs w:val="22"/>
        </w:rPr>
        <w:t>150</w:t>
      </w:r>
      <w:r w:rsidR="003F60B2" w:rsidRPr="00DF48C0">
        <w:rPr>
          <w:b w:val="0"/>
          <w:bCs/>
          <w:sz w:val="22"/>
          <w:szCs w:val="22"/>
        </w:rPr>
        <w:t xml:space="preserve"> </w:t>
      </w:r>
      <w:r w:rsidRPr="00DF48C0">
        <w:rPr>
          <w:b w:val="0"/>
          <w:bCs/>
          <w:sz w:val="22"/>
          <w:szCs w:val="22"/>
        </w:rPr>
        <w:t>addresses.</w:t>
      </w:r>
      <w:r w:rsidR="004B5D91" w:rsidRPr="00DF48C0">
        <w:rPr>
          <w:b w:val="0"/>
          <w:bCs/>
          <w:sz w:val="22"/>
          <w:szCs w:val="22"/>
        </w:rPr>
        <w:t xml:space="preserve"> </w:t>
      </w:r>
      <w:r w:rsidRPr="00DF48C0">
        <w:rPr>
          <w:b w:val="0"/>
          <w:bCs/>
          <w:sz w:val="22"/>
          <w:szCs w:val="22"/>
        </w:rPr>
        <w:t>In each phase, we anticipate a response rate of</w:t>
      </w:r>
      <w:r w:rsidR="003F60B2">
        <w:rPr>
          <w:b w:val="0"/>
          <w:bCs/>
          <w:sz w:val="22"/>
          <w:szCs w:val="22"/>
        </w:rPr>
        <w:t xml:space="preserve"> 27</w:t>
      </w:r>
      <w:r w:rsidRPr="00DF48C0">
        <w:rPr>
          <w:b w:val="0"/>
          <w:bCs/>
          <w:sz w:val="22"/>
          <w:szCs w:val="22"/>
        </w:rPr>
        <w:t xml:space="preserve"> percent, resulting in </w:t>
      </w:r>
      <w:r w:rsidR="001A3FE4">
        <w:rPr>
          <w:b w:val="0"/>
          <w:bCs/>
          <w:sz w:val="22"/>
          <w:szCs w:val="22"/>
        </w:rPr>
        <w:t>9</w:t>
      </w:r>
      <w:r w:rsidR="003F60B2" w:rsidRPr="002F3232">
        <w:rPr>
          <w:b w:val="0"/>
          <w:bCs/>
          <w:sz w:val="22"/>
          <w:szCs w:val="22"/>
        </w:rPr>
        <w:t xml:space="preserve">0 </w:t>
      </w:r>
      <w:r w:rsidRPr="002F3232">
        <w:rPr>
          <w:b w:val="0"/>
          <w:bCs/>
          <w:sz w:val="22"/>
          <w:szCs w:val="22"/>
        </w:rPr>
        <w:t xml:space="preserve">and </w:t>
      </w:r>
      <w:r w:rsidR="003F60B2" w:rsidRPr="00A86401">
        <w:rPr>
          <w:b w:val="0"/>
          <w:bCs/>
          <w:sz w:val="22"/>
          <w:szCs w:val="22"/>
        </w:rPr>
        <w:t>2,</w:t>
      </w:r>
      <w:r w:rsidR="00A86401">
        <w:rPr>
          <w:b w:val="0"/>
          <w:bCs/>
          <w:sz w:val="22"/>
          <w:szCs w:val="22"/>
        </w:rPr>
        <w:t>163</w:t>
      </w:r>
      <w:r w:rsidR="00A86401" w:rsidRPr="002F3232">
        <w:rPr>
          <w:b w:val="0"/>
          <w:bCs/>
          <w:sz w:val="22"/>
          <w:szCs w:val="22"/>
        </w:rPr>
        <w:t xml:space="preserve"> </w:t>
      </w:r>
      <w:r w:rsidRPr="002F3232">
        <w:rPr>
          <w:b w:val="0"/>
          <w:bCs/>
          <w:sz w:val="22"/>
          <w:szCs w:val="22"/>
        </w:rPr>
        <w:t xml:space="preserve">completed surveys, </w:t>
      </w:r>
      <w:r w:rsidR="006D38DB">
        <w:rPr>
          <w:b w:val="0"/>
          <w:bCs/>
          <w:sz w:val="22"/>
          <w:szCs w:val="22"/>
        </w:rPr>
        <w:t>after correcting for expected undeliverable rates for each county</w:t>
      </w:r>
      <w:r w:rsidRPr="002F3232">
        <w:rPr>
          <w:b w:val="0"/>
          <w:bCs/>
          <w:sz w:val="22"/>
          <w:szCs w:val="22"/>
        </w:rPr>
        <w:t>.</w:t>
      </w:r>
      <w:r w:rsidR="004B5D91" w:rsidRPr="00DF48C0">
        <w:rPr>
          <w:b w:val="0"/>
          <w:bCs/>
          <w:sz w:val="22"/>
          <w:szCs w:val="22"/>
        </w:rPr>
        <w:t xml:space="preserve"> </w:t>
      </w:r>
    </w:p>
    <w:p w14:paraId="2FF39244" w14:textId="2A01A747" w:rsidR="00FE0E2B" w:rsidRPr="00DF48C0" w:rsidRDefault="00FE0E2B" w:rsidP="00FE0E2B">
      <w:pPr>
        <w:spacing w:line="360" w:lineRule="auto"/>
        <w:ind w:firstLine="720"/>
        <w:rPr>
          <w:rFonts w:cs="Times New Roman"/>
        </w:rPr>
      </w:pPr>
      <w:r w:rsidRPr="00DF48C0">
        <w:rPr>
          <w:rFonts w:cs="Times New Roman"/>
        </w:rPr>
        <w:t>Table A1 shows the</w:t>
      </w:r>
      <w:r w:rsidR="00D65000" w:rsidRPr="00DF48C0">
        <w:rPr>
          <w:rFonts w:cs="Times New Roman"/>
        </w:rPr>
        <w:t xml:space="preserve"> included counties and</w:t>
      </w:r>
      <w:r w:rsidRPr="00DF48C0">
        <w:rPr>
          <w:rFonts w:cs="Times New Roman"/>
        </w:rPr>
        <w:t xml:space="preserve"> </w:t>
      </w:r>
      <w:r w:rsidR="009A6238">
        <w:rPr>
          <w:rFonts w:cs="Times New Roman"/>
        </w:rPr>
        <w:t xml:space="preserve">anticipated completed survey sample sizes </w:t>
      </w:r>
      <w:r w:rsidRPr="00DF48C0">
        <w:rPr>
          <w:rFonts w:cs="Times New Roman"/>
        </w:rPr>
        <w:t>for the geographic regions included in this study.</w:t>
      </w:r>
      <w:r w:rsidR="004B5D91" w:rsidRPr="00DF48C0">
        <w:rPr>
          <w:rFonts w:cs="Times New Roman"/>
        </w:rPr>
        <w:t xml:space="preserve"> </w:t>
      </w:r>
      <w:r w:rsidRPr="00DF48C0">
        <w:rPr>
          <w:rFonts w:cs="Times New Roman"/>
        </w:rPr>
        <w:t>More detail on planned sampling methods and the statistical design of the survey can be found in Part B of this supporting statement.</w:t>
      </w:r>
    </w:p>
    <w:p w14:paraId="2E3EFF44" w14:textId="77777777" w:rsidR="00FE0E2B" w:rsidRPr="00DF48C0" w:rsidRDefault="00FE0E2B" w:rsidP="00FE0E2B">
      <w:pPr>
        <w:spacing w:line="360" w:lineRule="auto"/>
        <w:rPr>
          <w:rFonts w:cs="Times New Roman"/>
          <w:highlight w:val="cyan"/>
        </w:rPr>
      </w:pPr>
    </w:p>
    <w:p w14:paraId="41D38EE6" w14:textId="77777777" w:rsidR="00FE0E2B" w:rsidRDefault="00FE0E2B" w:rsidP="00FE0E2B">
      <w:pPr>
        <w:spacing w:line="360" w:lineRule="auto"/>
        <w:rPr>
          <w:rFonts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58" w:type="dxa"/>
          <w:right w:w="115" w:type="dxa"/>
        </w:tblCellMar>
        <w:tblLook w:val="0000" w:firstRow="0" w:lastRow="0" w:firstColumn="0" w:lastColumn="0" w:noHBand="0" w:noVBand="0"/>
      </w:tblPr>
      <w:tblGrid>
        <w:gridCol w:w="2069"/>
        <w:gridCol w:w="2800"/>
        <w:gridCol w:w="931"/>
        <w:gridCol w:w="1269"/>
        <w:gridCol w:w="1012"/>
        <w:gridCol w:w="1269"/>
      </w:tblGrid>
      <w:tr w:rsidR="003F60B2" w:rsidRPr="00FE0E2B" w14:paraId="4F5D40BB" w14:textId="77777777" w:rsidTr="001625C6">
        <w:trPr>
          <w:cantSplit/>
          <w:jc w:val="center"/>
        </w:trPr>
        <w:tc>
          <w:tcPr>
            <w:tcW w:w="9350" w:type="dxa"/>
            <w:gridSpan w:val="6"/>
          </w:tcPr>
          <w:p w14:paraId="6C1DD40F" w14:textId="1C7B1FCB" w:rsidR="003F60B2" w:rsidRPr="00E400AC" w:rsidRDefault="003F60B2" w:rsidP="00573069">
            <w:pPr>
              <w:keepNext/>
              <w:keepLines/>
              <w:rPr>
                <w:b/>
                <w:highlight w:val="green"/>
              </w:rPr>
            </w:pPr>
            <w:r w:rsidRPr="00031CD0">
              <w:rPr>
                <w:b/>
              </w:rPr>
              <w:t xml:space="preserve">Table A1: </w:t>
            </w:r>
            <w:r w:rsidR="00573069">
              <w:rPr>
                <w:b/>
              </w:rPr>
              <w:t>Anticipated Sample Sizes by State and County</w:t>
            </w:r>
            <w:r w:rsidRPr="00031CD0">
              <w:rPr>
                <w:b/>
              </w:rPr>
              <w:t xml:space="preserve"> </w:t>
            </w:r>
          </w:p>
        </w:tc>
      </w:tr>
      <w:tr w:rsidR="003F60B2" w:rsidRPr="00FE0E2B" w14:paraId="2F52E922" w14:textId="77777777" w:rsidTr="001625C6">
        <w:trPr>
          <w:cantSplit/>
          <w:jc w:val="center"/>
        </w:trPr>
        <w:tc>
          <w:tcPr>
            <w:tcW w:w="2069" w:type="dxa"/>
            <w:vMerge w:val="restart"/>
            <w:vAlign w:val="bottom"/>
          </w:tcPr>
          <w:p w14:paraId="47891462" w14:textId="77777777" w:rsidR="003F60B2" w:rsidRPr="00FE0E2B" w:rsidRDefault="003F60B2" w:rsidP="003F60B2">
            <w:pPr>
              <w:keepNext/>
              <w:keepLines/>
              <w:jc w:val="center"/>
              <w:rPr>
                <w:b/>
              </w:rPr>
            </w:pPr>
            <w:r>
              <w:rPr>
                <w:b/>
              </w:rPr>
              <w:t>State</w:t>
            </w:r>
          </w:p>
        </w:tc>
        <w:tc>
          <w:tcPr>
            <w:tcW w:w="2800" w:type="dxa"/>
            <w:vMerge w:val="restart"/>
            <w:vAlign w:val="bottom"/>
          </w:tcPr>
          <w:p w14:paraId="70DFD442" w14:textId="77777777" w:rsidR="003F60B2" w:rsidRPr="00FE0E2B" w:rsidRDefault="003F60B2" w:rsidP="003F60B2">
            <w:pPr>
              <w:keepNext/>
              <w:keepLines/>
              <w:jc w:val="center"/>
              <w:rPr>
                <w:b/>
                <w:bCs/>
              </w:rPr>
            </w:pPr>
            <w:r>
              <w:rPr>
                <w:b/>
                <w:bCs/>
              </w:rPr>
              <w:t>Counties</w:t>
            </w:r>
            <w:r w:rsidRPr="00FE0E2B">
              <w:rPr>
                <w:b/>
                <w:bCs/>
              </w:rPr>
              <w:t xml:space="preserve"> Included</w:t>
            </w:r>
          </w:p>
        </w:tc>
        <w:tc>
          <w:tcPr>
            <w:tcW w:w="2200" w:type="dxa"/>
            <w:gridSpan w:val="2"/>
          </w:tcPr>
          <w:p w14:paraId="55DECDF4" w14:textId="77777777" w:rsidR="003F60B2" w:rsidRPr="00FE0E2B" w:rsidRDefault="003F60B2" w:rsidP="003F60B2">
            <w:pPr>
              <w:keepNext/>
              <w:keepLines/>
              <w:jc w:val="center"/>
              <w:rPr>
                <w:b/>
                <w:bCs/>
              </w:rPr>
            </w:pPr>
            <w:r w:rsidRPr="00FE0E2B">
              <w:rPr>
                <w:b/>
                <w:bCs/>
              </w:rPr>
              <w:t>Phase 1: Pretest</w:t>
            </w:r>
          </w:p>
        </w:tc>
        <w:tc>
          <w:tcPr>
            <w:tcW w:w="2281" w:type="dxa"/>
            <w:gridSpan w:val="2"/>
            <w:vAlign w:val="bottom"/>
          </w:tcPr>
          <w:p w14:paraId="5F8FEBB8" w14:textId="77777777" w:rsidR="003F60B2" w:rsidRPr="00FE0E2B" w:rsidRDefault="003F60B2" w:rsidP="003F60B2">
            <w:pPr>
              <w:keepNext/>
              <w:keepLines/>
              <w:jc w:val="center"/>
              <w:rPr>
                <w:b/>
                <w:bCs/>
              </w:rPr>
            </w:pPr>
            <w:r w:rsidRPr="00FE0E2B">
              <w:rPr>
                <w:b/>
                <w:bCs/>
              </w:rPr>
              <w:t>Phase 2: Full Survey</w:t>
            </w:r>
          </w:p>
        </w:tc>
      </w:tr>
      <w:tr w:rsidR="003F60B2" w:rsidRPr="00FE0E2B" w14:paraId="6B40520D" w14:textId="77777777" w:rsidTr="001625C6">
        <w:trPr>
          <w:cantSplit/>
          <w:jc w:val="center"/>
        </w:trPr>
        <w:tc>
          <w:tcPr>
            <w:tcW w:w="2069" w:type="dxa"/>
            <w:vMerge/>
            <w:vAlign w:val="bottom"/>
          </w:tcPr>
          <w:p w14:paraId="1AC6776C" w14:textId="77777777" w:rsidR="003F60B2" w:rsidRPr="00FE0E2B" w:rsidRDefault="003F60B2" w:rsidP="003F60B2">
            <w:pPr>
              <w:pStyle w:val="Heading4"/>
              <w:keepLines/>
              <w:rPr>
                <w:sz w:val="22"/>
                <w:szCs w:val="22"/>
              </w:rPr>
            </w:pPr>
          </w:p>
        </w:tc>
        <w:tc>
          <w:tcPr>
            <w:tcW w:w="2800" w:type="dxa"/>
            <w:vMerge/>
            <w:vAlign w:val="bottom"/>
          </w:tcPr>
          <w:p w14:paraId="4AE03B4E" w14:textId="77777777" w:rsidR="003F60B2" w:rsidRPr="00FE0E2B" w:rsidRDefault="003F60B2" w:rsidP="003F60B2">
            <w:pPr>
              <w:keepNext/>
              <w:keepLines/>
              <w:jc w:val="center"/>
              <w:rPr>
                <w:b/>
                <w:bCs/>
              </w:rPr>
            </w:pPr>
          </w:p>
        </w:tc>
        <w:tc>
          <w:tcPr>
            <w:tcW w:w="931" w:type="dxa"/>
          </w:tcPr>
          <w:p w14:paraId="17500DB5" w14:textId="77777777" w:rsidR="003F60B2" w:rsidRPr="00FE0E2B" w:rsidRDefault="003F60B2" w:rsidP="003F60B2">
            <w:pPr>
              <w:keepNext/>
              <w:keepLines/>
              <w:jc w:val="center"/>
              <w:rPr>
                <w:b/>
                <w:bCs/>
              </w:rPr>
            </w:pPr>
            <w:r w:rsidRPr="00C00417">
              <w:rPr>
                <w:b/>
                <w:bCs/>
              </w:rPr>
              <w:t>Sample</w:t>
            </w:r>
          </w:p>
          <w:p w14:paraId="752AA195" w14:textId="77777777" w:rsidR="003F60B2" w:rsidRPr="00FE0E2B" w:rsidRDefault="003F60B2" w:rsidP="003F60B2">
            <w:pPr>
              <w:keepNext/>
              <w:keepLines/>
              <w:jc w:val="center"/>
              <w:rPr>
                <w:b/>
                <w:bCs/>
              </w:rPr>
            </w:pPr>
            <w:r w:rsidRPr="00C00417">
              <w:rPr>
                <w:b/>
                <w:bCs/>
              </w:rPr>
              <w:t>Size</w:t>
            </w:r>
            <w:r>
              <w:rPr>
                <w:b/>
                <w:bCs/>
                <w:vertAlign w:val="superscript"/>
              </w:rPr>
              <w:t>1</w:t>
            </w:r>
          </w:p>
        </w:tc>
        <w:tc>
          <w:tcPr>
            <w:tcW w:w="1269" w:type="dxa"/>
          </w:tcPr>
          <w:p w14:paraId="7F85C03E" w14:textId="77777777" w:rsidR="003F60B2" w:rsidRPr="00FE0E2B" w:rsidRDefault="003F60B2" w:rsidP="003F60B2">
            <w:pPr>
              <w:keepNext/>
              <w:keepLines/>
              <w:jc w:val="center"/>
              <w:rPr>
                <w:b/>
                <w:bCs/>
              </w:rPr>
            </w:pPr>
            <w:r w:rsidRPr="00C00417">
              <w:rPr>
                <w:b/>
                <w:bCs/>
              </w:rPr>
              <w:t>Percentage of Sample</w:t>
            </w:r>
          </w:p>
        </w:tc>
        <w:tc>
          <w:tcPr>
            <w:tcW w:w="1012" w:type="dxa"/>
            <w:vAlign w:val="bottom"/>
          </w:tcPr>
          <w:p w14:paraId="492D191D" w14:textId="77777777" w:rsidR="003F60B2" w:rsidRPr="00FE0E2B" w:rsidRDefault="003F60B2" w:rsidP="003F60B2">
            <w:pPr>
              <w:keepNext/>
              <w:keepLines/>
              <w:jc w:val="center"/>
              <w:rPr>
                <w:b/>
                <w:bCs/>
              </w:rPr>
            </w:pPr>
            <w:r w:rsidRPr="00C00417">
              <w:rPr>
                <w:b/>
                <w:bCs/>
              </w:rPr>
              <w:t>Sample</w:t>
            </w:r>
          </w:p>
          <w:p w14:paraId="62293A7C" w14:textId="77777777" w:rsidR="003F60B2" w:rsidRPr="00FE0E2B" w:rsidRDefault="003F60B2" w:rsidP="003F60B2">
            <w:pPr>
              <w:keepNext/>
              <w:keepLines/>
              <w:jc w:val="center"/>
              <w:rPr>
                <w:b/>
                <w:bCs/>
              </w:rPr>
            </w:pPr>
            <w:r w:rsidRPr="00C00417">
              <w:rPr>
                <w:b/>
                <w:bCs/>
              </w:rPr>
              <w:t>Size</w:t>
            </w:r>
            <w:r>
              <w:rPr>
                <w:b/>
                <w:bCs/>
                <w:vertAlign w:val="superscript"/>
              </w:rPr>
              <w:t>1</w:t>
            </w:r>
          </w:p>
        </w:tc>
        <w:tc>
          <w:tcPr>
            <w:tcW w:w="1269" w:type="dxa"/>
            <w:vAlign w:val="bottom"/>
          </w:tcPr>
          <w:p w14:paraId="62B595CA" w14:textId="77777777" w:rsidR="003F60B2" w:rsidRPr="00FE0E2B" w:rsidRDefault="003F60B2" w:rsidP="003F60B2">
            <w:pPr>
              <w:keepNext/>
              <w:keepLines/>
              <w:jc w:val="center"/>
              <w:rPr>
                <w:b/>
                <w:bCs/>
              </w:rPr>
            </w:pPr>
            <w:r w:rsidRPr="00C00417">
              <w:rPr>
                <w:b/>
                <w:bCs/>
              </w:rPr>
              <w:t>Percentage of Sample</w:t>
            </w:r>
          </w:p>
        </w:tc>
      </w:tr>
      <w:tr w:rsidR="001625C6" w:rsidRPr="00FE0E2B" w14:paraId="0019CCC9" w14:textId="77777777" w:rsidTr="001625C6">
        <w:trPr>
          <w:cantSplit/>
          <w:jc w:val="center"/>
        </w:trPr>
        <w:tc>
          <w:tcPr>
            <w:tcW w:w="2069" w:type="dxa"/>
          </w:tcPr>
          <w:p w14:paraId="1D98BD9A" w14:textId="77777777" w:rsidR="001625C6" w:rsidRPr="00FE0E2B" w:rsidRDefault="001625C6" w:rsidP="001625C6">
            <w:pPr>
              <w:pStyle w:val="CommentText"/>
              <w:keepNext/>
              <w:keepLines/>
              <w:rPr>
                <w:sz w:val="22"/>
                <w:szCs w:val="22"/>
              </w:rPr>
            </w:pPr>
            <w:r>
              <w:rPr>
                <w:sz w:val="22"/>
                <w:szCs w:val="22"/>
              </w:rPr>
              <w:t xml:space="preserve">New Hampshire </w:t>
            </w:r>
          </w:p>
        </w:tc>
        <w:tc>
          <w:tcPr>
            <w:tcW w:w="2800" w:type="dxa"/>
          </w:tcPr>
          <w:p w14:paraId="07AE809C" w14:textId="45F03EF9" w:rsidR="001625C6" w:rsidRPr="00FE0E2B" w:rsidRDefault="001625C6" w:rsidP="001625C6">
            <w:pPr>
              <w:pStyle w:val="CommentText"/>
              <w:keepNext/>
              <w:keepLines/>
              <w:rPr>
                <w:sz w:val="22"/>
                <w:szCs w:val="22"/>
                <w:lang w:val="it-IT"/>
              </w:rPr>
            </w:pPr>
            <w:r>
              <w:rPr>
                <w:sz w:val="22"/>
                <w:szCs w:val="22"/>
                <w:lang w:val="it-IT"/>
              </w:rPr>
              <w:t>Hillsborough, Rockingham</w:t>
            </w:r>
          </w:p>
        </w:tc>
        <w:tc>
          <w:tcPr>
            <w:tcW w:w="931" w:type="dxa"/>
          </w:tcPr>
          <w:p w14:paraId="4C8894F9" w14:textId="6BAE1420" w:rsidR="001625C6" w:rsidRPr="00FE0E2B" w:rsidRDefault="006D38DB" w:rsidP="001625C6">
            <w:pPr>
              <w:keepNext/>
              <w:keepLines/>
              <w:spacing w:line="360" w:lineRule="auto"/>
              <w:jc w:val="right"/>
            </w:pPr>
            <w:r>
              <w:t>7</w:t>
            </w:r>
          </w:p>
        </w:tc>
        <w:tc>
          <w:tcPr>
            <w:tcW w:w="1269" w:type="dxa"/>
          </w:tcPr>
          <w:p w14:paraId="2EC7E60E" w14:textId="10471214" w:rsidR="001625C6" w:rsidRPr="00FE0E2B" w:rsidRDefault="006D38DB" w:rsidP="001625C6">
            <w:pPr>
              <w:keepNext/>
              <w:keepLines/>
              <w:spacing w:line="360" w:lineRule="auto"/>
              <w:jc w:val="right"/>
            </w:pPr>
            <w:r>
              <w:t>8</w:t>
            </w:r>
            <w:r w:rsidR="001625C6">
              <w:t>%</w:t>
            </w:r>
          </w:p>
        </w:tc>
        <w:tc>
          <w:tcPr>
            <w:tcW w:w="1012" w:type="dxa"/>
          </w:tcPr>
          <w:p w14:paraId="45D17982" w14:textId="77777777" w:rsidR="001625C6" w:rsidRPr="00FE0E2B" w:rsidRDefault="001625C6" w:rsidP="001625C6">
            <w:pPr>
              <w:keepNext/>
              <w:keepLines/>
              <w:spacing w:line="360" w:lineRule="auto"/>
              <w:jc w:val="right"/>
            </w:pPr>
            <w:r>
              <w:t>166</w:t>
            </w:r>
          </w:p>
        </w:tc>
        <w:tc>
          <w:tcPr>
            <w:tcW w:w="1269" w:type="dxa"/>
          </w:tcPr>
          <w:p w14:paraId="102F4293" w14:textId="36DD12FD" w:rsidR="001625C6" w:rsidRPr="00FE0E2B" w:rsidRDefault="008400AD" w:rsidP="001625C6">
            <w:pPr>
              <w:keepNext/>
              <w:keepLines/>
              <w:spacing w:line="360" w:lineRule="auto"/>
              <w:jc w:val="right"/>
            </w:pPr>
            <w:r>
              <w:t>8</w:t>
            </w:r>
            <w:r w:rsidR="001625C6">
              <w:t>%</w:t>
            </w:r>
          </w:p>
        </w:tc>
      </w:tr>
      <w:tr w:rsidR="001625C6" w:rsidRPr="00FE0E2B" w14:paraId="1083991A" w14:textId="77777777" w:rsidTr="001625C6">
        <w:trPr>
          <w:cantSplit/>
          <w:jc w:val="center"/>
        </w:trPr>
        <w:tc>
          <w:tcPr>
            <w:tcW w:w="2069" w:type="dxa"/>
          </w:tcPr>
          <w:p w14:paraId="78D1E427" w14:textId="77777777" w:rsidR="001625C6" w:rsidRPr="00FE0E2B" w:rsidRDefault="001625C6" w:rsidP="001625C6">
            <w:pPr>
              <w:keepNext/>
              <w:keepLines/>
            </w:pPr>
            <w:r>
              <w:t xml:space="preserve">Massachusetts </w:t>
            </w:r>
          </w:p>
        </w:tc>
        <w:tc>
          <w:tcPr>
            <w:tcW w:w="2800" w:type="dxa"/>
          </w:tcPr>
          <w:p w14:paraId="272AA1A9" w14:textId="2CAC9ED7" w:rsidR="001625C6" w:rsidRPr="00FE0E2B" w:rsidRDefault="001625C6" w:rsidP="001625C6">
            <w:pPr>
              <w:keepNext/>
              <w:keepLines/>
              <w:rPr>
                <w:lang w:val="it-IT"/>
              </w:rPr>
            </w:pPr>
            <w:r>
              <w:rPr>
                <w:lang w:val="it-IT"/>
              </w:rPr>
              <w:t>Barnstable</w:t>
            </w:r>
            <w:r>
              <w:rPr>
                <w:vertAlign w:val="superscript"/>
                <w:lang w:val="it-IT"/>
              </w:rPr>
              <w:t>2</w:t>
            </w:r>
            <w:r>
              <w:rPr>
                <w:lang w:val="it-IT"/>
              </w:rPr>
              <w:t xml:space="preserve">, Bristol, Dukes, Essex, Hampden, Middlesex, Nantucket, Norfolk, Plymouth, Suffolk, Worcester </w:t>
            </w:r>
          </w:p>
        </w:tc>
        <w:tc>
          <w:tcPr>
            <w:tcW w:w="931" w:type="dxa"/>
          </w:tcPr>
          <w:p w14:paraId="29888A77" w14:textId="73BEC6EA" w:rsidR="001625C6" w:rsidRPr="00FE0E2B" w:rsidRDefault="006D38DB" w:rsidP="001625C6">
            <w:pPr>
              <w:keepNext/>
              <w:keepLines/>
              <w:spacing w:line="360" w:lineRule="auto"/>
              <w:jc w:val="right"/>
            </w:pPr>
            <w:r>
              <w:t>64</w:t>
            </w:r>
          </w:p>
        </w:tc>
        <w:tc>
          <w:tcPr>
            <w:tcW w:w="1269" w:type="dxa"/>
          </w:tcPr>
          <w:p w14:paraId="7634C84D" w14:textId="105C1420" w:rsidR="001625C6" w:rsidRPr="00FE0E2B" w:rsidRDefault="006D38DB" w:rsidP="001625C6">
            <w:pPr>
              <w:keepNext/>
              <w:keepLines/>
              <w:spacing w:line="360" w:lineRule="auto"/>
              <w:jc w:val="right"/>
            </w:pPr>
            <w:r>
              <w:t>71</w:t>
            </w:r>
            <w:r w:rsidR="001625C6">
              <w:t>%</w:t>
            </w:r>
          </w:p>
        </w:tc>
        <w:tc>
          <w:tcPr>
            <w:tcW w:w="1012" w:type="dxa"/>
          </w:tcPr>
          <w:p w14:paraId="61F52057" w14:textId="77777777" w:rsidR="001625C6" w:rsidRPr="00FE0E2B" w:rsidRDefault="001625C6" w:rsidP="001625C6">
            <w:pPr>
              <w:keepNext/>
              <w:keepLines/>
              <w:spacing w:line="360" w:lineRule="auto"/>
              <w:jc w:val="right"/>
            </w:pPr>
            <w:r>
              <w:t>1,581</w:t>
            </w:r>
          </w:p>
        </w:tc>
        <w:tc>
          <w:tcPr>
            <w:tcW w:w="1269" w:type="dxa"/>
          </w:tcPr>
          <w:p w14:paraId="13E698E1" w14:textId="24601E35" w:rsidR="001625C6" w:rsidRPr="00FE0E2B" w:rsidRDefault="008400AD" w:rsidP="001625C6">
            <w:pPr>
              <w:keepNext/>
              <w:keepLines/>
              <w:spacing w:line="360" w:lineRule="auto"/>
              <w:jc w:val="right"/>
            </w:pPr>
            <w:r>
              <w:t>73</w:t>
            </w:r>
            <w:r w:rsidR="001625C6">
              <w:t>%</w:t>
            </w:r>
          </w:p>
        </w:tc>
      </w:tr>
      <w:tr w:rsidR="001625C6" w:rsidRPr="00FE0E2B" w14:paraId="45BB6862" w14:textId="77777777" w:rsidTr="001625C6">
        <w:trPr>
          <w:cantSplit/>
          <w:jc w:val="center"/>
        </w:trPr>
        <w:tc>
          <w:tcPr>
            <w:tcW w:w="2069" w:type="dxa"/>
          </w:tcPr>
          <w:p w14:paraId="70ACA361" w14:textId="77777777" w:rsidR="001625C6" w:rsidRPr="00FE0E2B" w:rsidRDefault="001625C6" w:rsidP="001625C6">
            <w:pPr>
              <w:keepNext/>
              <w:keepLines/>
            </w:pPr>
            <w:r>
              <w:t xml:space="preserve">Rhode Island </w:t>
            </w:r>
          </w:p>
        </w:tc>
        <w:tc>
          <w:tcPr>
            <w:tcW w:w="2800" w:type="dxa"/>
          </w:tcPr>
          <w:p w14:paraId="2A04BA39" w14:textId="75566369" w:rsidR="001625C6" w:rsidRPr="00FE0E2B" w:rsidRDefault="001625C6" w:rsidP="001625C6">
            <w:pPr>
              <w:keepNext/>
              <w:keepLines/>
            </w:pPr>
            <w:r>
              <w:t>Bristol, Kent, Newport, Providence, Washington</w:t>
            </w:r>
          </w:p>
        </w:tc>
        <w:tc>
          <w:tcPr>
            <w:tcW w:w="931" w:type="dxa"/>
          </w:tcPr>
          <w:p w14:paraId="1268EB76" w14:textId="4BE1E540" w:rsidR="001625C6" w:rsidRPr="00FE0E2B" w:rsidRDefault="001625C6" w:rsidP="006D38DB">
            <w:pPr>
              <w:keepNext/>
              <w:keepLines/>
              <w:spacing w:line="360" w:lineRule="auto"/>
              <w:jc w:val="right"/>
            </w:pPr>
            <w:r>
              <w:t>1</w:t>
            </w:r>
            <w:r w:rsidR="006D38DB">
              <w:t>1</w:t>
            </w:r>
          </w:p>
        </w:tc>
        <w:tc>
          <w:tcPr>
            <w:tcW w:w="1269" w:type="dxa"/>
          </w:tcPr>
          <w:p w14:paraId="5E1DBDAC" w14:textId="3424A3BD" w:rsidR="001625C6" w:rsidRPr="00FE0E2B" w:rsidRDefault="001625C6" w:rsidP="006D38DB">
            <w:pPr>
              <w:keepNext/>
              <w:keepLines/>
              <w:spacing w:line="360" w:lineRule="auto"/>
              <w:jc w:val="right"/>
            </w:pPr>
            <w:r>
              <w:t>1</w:t>
            </w:r>
            <w:r w:rsidR="006D38DB">
              <w:t>2</w:t>
            </w:r>
            <w:r>
              <w:t>%</w:t>
            </w:r>
          </w:p>
        </w:tc>
        <w:tc>
          <w:tcPr>
            <w:tcW w:w="1012" w:type="dxa"/>
          </w:tcPr>
          <w:p w14:paraId="360244FA" w14:textId="77777777" w:rsidR="001625C6" w:rsidRPr="00FE0E2B" w:rsidRDefault="001625C6" w:rsidP="001625C6">
            <w:pPr>
              <w:keepNext/>
              <w:keepLines/>
              <w:spacing w:line="360" w:lineRule="auto"/>
              <w:jc w:val="right"/>
            </w:pPr>
            <w:r>
              <w:t>250</w:t>
            </w:r>
          </w:p>
        </w:tc>
        <w:tc>
          <w:tcPr>
            <w:tcW w:w="1269" w:type="dxa"/>
          </w:tcPr>
          <w:p w14:paraId="101D0E54" w14:textId="39F39341" w:rsidR="001625C6" w:rsidRPr="00FE0E2B" w:rsidRDefault="001625C6" w:rsidP="008400AD">
            <w:pPr>
              <w:keepNext/>
              <w:keepLines/>
              <w:spacing w:line="360" w:lineRule="auto"/>
              <w:jc w:val="right"/>
            </w:pPr>
            <w:r>
              <w:t>1</w:t>
            </w:r>
            <w:r w:rsidR="008400AD">
              <w:t>2</w:t>
            </w:r>
            <w:r>
              <w:t>%</w:t>
            </w:r>
          </w:p>
        </w:tc>
      </w:tr>
      <w:tr w:rsidR="001625C6" w:rsidRPr="00FE0E2B" w14:paraId="68CA16B4" w14:textId="77777777" w:rsidTr="001625C6">
        <w:trPr>
          <w:cantSplit/>
          <w:jc w:val="center"/>
        </w:trPr>
        <w:tc>
          <w:tcPr>
            <w:tcW w:w="2069" w:type="dxa"/>
          </w:tcPr>
          <w:p w14:paraId="41A05676" w14:textId="77777777" w:rsidR="001625C6" w:rsidRDefault="001625C6" w:rsidP="001625C6">
            <w:pPr>
              <w:keepNext/>
              <w:keepLines/>
            </w:pPr>
            <w:r>
              <w:t>Connecticut</w:t>
            </w:r>
          </w:p>
        </w:tc>
        <w:tc>
          <w:tcPr>
            <w:tcW w:w="2800" w:type="dxa"/>
          </w:tcPr>
          <w:p w14:paraId="3F21C50F" w14:textId="77777777" w:rsidR="001625C6" w:rsidRPr="00FE0E2B" w:rsidRDefault="001625C6" w:rsidP="001625C6">
            <w:pPr>
              <w:keepNext/>
              <w:keepLines/>
            </w:pPr>
            <w:r>
              <w:t>New London, Tolland, Windham</w:t>
            </w:r>
          </w:p>
        </w:tc>
        <w:tc>
          <w:tcPr>
            <w:tcW w:w="931" w:type="dxa"/>
          </w:tcPr>
          <w:p w14:paraId="0D91A246" w14:textId="77777777" w:rsidR="001625C6" w:rsidRPr="00FE0E2B" w:rsidDel="00D65000" w:rsidRDefault="001625C6" w:rsidP="001625C6">
            <w:pPr>
              <w:keepNext/>
              <w:keepLines/>
              <w:spacing w:line="360" w:lineRule="auto"/>
              <w:jc w:val="right"/>
            </w:pPr>
            <w:r>
              <w:t>8</w:t>
            </w:r>
          </w:p>
        </w:tc>
        <w:tc>
          <w:tcPr>
            <w:tcW w:w="1269" w:type="dxa"/>
          </w:tcPr>
          <w:p w14:paraId="270B1865" w14:textId="7CAA5B2E" w:rsidR="001625C6" w:rsidRPr="00FE0E2B" w:rsidDel="00D65000" w:rsidRDefault="006D38DB" w:rsidP="001625C6">
            <w:pPr>
              <w:keepNext/>
              <w:keepLines/>
              <w:spacing w:line="360" w:lineRule="auto"/>
              <w:jc w:val="right"/>
            </w:pPr>
            <w:r>
              <w:t>9</w:t>
            </w:r>
            <w:r w:rsidR="001625C6">
              <w:t>%</w:t>
            </w:r>
          </w:p>
        </w:tc>
        <w:tc>
          <w:tcPr>
            <w:tcW w:w="1012" w:type="dxa"/>
          </w:tcPr>
          <w:p w14:paraId="6FB3A0AC" w14:textId="77777777" w:rsidR="001625C6" w:rsidRPr="00FE0E2B" w:rsidDel="00D65000" w:rsidRDefault="001625C6" w:rsidP="001625C6">
            <w:pPr>
              <w:keepNext/>
              <w:keepLines/>
              <w:spacing w:line="360" w:lineRule="auto"/>
              <w:jc w:val="right"/>
            </w:pPr>
            <w:r>
              <w:t>166</w:t>
            </w:r>
          </w:p>
        </w:tc>
        <w:tc>
          <w:tcPr>
            <w:tcW w:w="1269" w:type="dxa"/>
          </w:tcPr>
          <w:p w14:paraId="5927D959" w14:textId="171255DD" w:rsidR="001625C6" w:rsidRPr="00FE0E2B" w:rsidDel="00D65000" w:rsidRDefault="008400AD" w:rsidP="001625C6">
            <w:pPr>
              <w:keepNext/>
              <w:keepLines/>
              <w:spacing w:line="360" w:lineRule="auto"/>
              <w:jc w:val="right"/>
            </w:pPr>
            <w:r>
              <w:t>8</w:t>
            </w:r>
            <w:r w:rsidR="001625C6">
              <w:t>%</w:t>
            </w:r>
          </w:p>
        </w:tc>
      </w:tr>
      <w:tr w:rsidR="001625C6" w:rsidRPr="00FE0E2B" w14:paraId="086F3E06" w14:textId="77777777" w:rsidTr="001625C6">
        <w:trPr>
          <w:cantSplit/>
          <w:jc w:val="center"/>
        </w:trPr>
        <w:tc>
          <w:tcPr>
            <w:tcW w:w="2069" w:type="dxa"/>
          </w:tcPr>
          <w:p w14:paraId="2BD5DC65" w14:textId="7D770DD6" w:rsidR="001625C6" w:rsidRPr="00FE0E2B" w:rsidRDefault="001625C6" w:rsidP="001625C6">
            <w:pPr>
              <w:keepNext/>
              <w:keepLines/>
            </w:pPr>
            <w:r w:rsidRPr="00FE0E2B">
              <w:t xml:space="preserve">Total </w:t>
            </w:r>
          </w:p>
        </w:tc>
        <w:tc>
          <w:tcPr>
            <w:tcW w:w="2800" w:type="dxa"/>
          </w:tcPr>
          <w:p w14:paraId="4674E2D6" w14:textId="77777777" w:rsidR="001625C6" w:rsidRPr="00FE0E2B" w:rsidRDefault="001625C6" w:rsidP="001625C6">
            <w:pPr>
              <w:pStyle w:val="CommentText"/>
              <w:keepNext/>
              <w:keepLines/>
              <w:rPr>
                <w:sz w:val="22"/>
                <w:szCs w:val="22"/>
              </w:rPr>
            </w:pPr>
          </w:p>
        </w:tc>
        <w:tc>
          <w:tcPr>
            <w:tcW w:w="931" w:type="dxa"/>
          </w:tcPr>
          <w:p w14:paraId="0D2F04E9" w14:textId="3003B419" w:rsidR="001625C6" w:rsidRPr="00FE0E2B" w:rsidRDefault="00B71911" w:rsidP="001625C6">
            <w:pPr>
              <w:keepNext/>
              <w:keepLines/>
              <w:spacing w:line="360" w:lineRule="auto"/>
              <w:jc w:val="right"/>
            </w:pPr>
            <w:r>
              <w:t>90</w:t>
            </w:r>
          </w:p>
        </w:tc>
        <w:tc>
          <w:tcPr>
            <w:tcW w:w="1269" w:type="dxa"/>
          </w:tcPr>
          <w:p w14:paraId="5FDC17F7" w14:textId="77777777" w:rsidR="001625C6" w:rsidRPr="00FE0E2B" w:rsidRDefault="001625C6" w:rsidP="001625C6">
            <w:pPr>
              <w:keepNext/>
              <w:keepLines/>
              <w:spacing w:line="360" w:lineRule="auto"/>
              <w:jc w:val="right"/>
            </w:pPr>
            <w:r w:rsidRPr="00FE0E2B">
              <w:t>100%</w:t>
            </w:r>
          </w:p>
        </w:tc>
        <w:tc>
          <w:tcPr>
            <w:tcW w:w="1012" w:type="dxa"/>
          </w:tcPr>
          <w:p w14:paraId="199036D9" w14:textId="4BEDE271" w:rsidR="001625C6" w:rsidRPr="00FE0E2B" w:rsidRDefault="00B71911" w:rsidP="008400AD">
            <w:pPr>
              <w:keepNext/>
              <w:keepLines/>
              <w:spacing w:line="360" w:lineRule="auto"/>
              <w:jc w:val="right"/>
            </w:pPr>
            <w:r>
              <w:t>2,</w:t>
            </w:r>
            <w:r w:rsidR="008400AD">
              <w:t>163</w:t>
            </w:r>
          </w:p>
        </w:tc>
        <w:tc>
          <w:tcPr>
            <w:tcW w:w="1269" w:type="dxa"/>
          </w:tcPr>
          <w:p w14:paraId="4C94EDAF" w14:textId="77777777" w:rsidR="001625C6" w:rsidRPr="00FE0E2B" w:rsidRDefault="001625C6" w:rsidP="001625C6">
            <w:pPr>
              <w:keepNext/>
              <w:keepLines/>
              <w:spacing w:line="360" w:lineRule="auto"/>
              <w:jc w:val="right"/>
            </w:pPr>
            <w:r w:rsidRPr="00FE0E2B">
              <w:t>100%</w:t>
            </w:r>
          </w:p>
        </w:tc>
      </w:tr>
      <w:tr w:rsidR="001625C6" w:rsidRPr="00FE0E2B" w14:paraId="78A1E267" w14:textId="77777777" w:rsidTr="001625C6">
        <w:trPr>
          <w:cantSplit/>
          <w:jc w:val="center"/>
        </w:trPr>
        <w:tc>
          <w:tcPr>
            <w:tcW w:w="9350" w:type="dxa"/>
            <w:gridSpan w:val="6"/>
          </w:tcPr>
          <w:p w14:paraId="2B1C1B1C" w14:textId="6F0A4295" w:rsidR="001625C6" w:rsidRDefault="001625C6" w:rsidP="001625C6">
            <w:pPr>
              <w:keepNext/>
              <w:keepLines/>
              <w:rPr>
                <w:sz w:val="20"/>
                <w:szCs w:val="20"/>
              </w:rPr>
            </w:pPr>
            <w:r w:rsidRPr="005E0127">
              <w:rPr>
                <w:sz w:val="20"/>
                <w:szCs w:val="20"/>
                <w:vertAlign w:val="superscript"/>
              </w:rPr>
              <w:t>1</w:t>
            </w:r>
            <w:r w:rsidRPr="005E0127">
              <w:rPr>
                <w:sz w:val="20"/>
                <w:szCs w:val="20"/>
              </w:rPr>
              <w:t xml:space="preserve"> Sample sizes presented in this table </w:t>
            </w:r>
            <w:r>
              <w:rPr>
                <w:sz w:val="20"/>
                <w:szCs w:val="20"/>
              </w:rPr>
              <w:t>reflect</w:t>
            </w:r>
            <w:r w:rsidRPr="005E0127">
              <w:rPr>
                <w:sz w:val="20"/>
                <w:szCs w:val="20"/>
              </w:rPr>
              <w:t xml:space="preserve"> total expected completed surveys</w:t>
            </w:r>
            <w:r w:rsidR="006D38DB">
              <w:rPr>
                <w:sz w:val="20"/>
                <w:szCs w:val="20"/>
              </w:rPr>
              <w:t>, accounting for expected undeliverable rates by county</w:t>
            </w:r>
            <w:r w:rsidRPr="005E0127">
              <w:rPr>
                <w:sz w:val="20"/>
                <w:szCs w:val="20"/>
              </w:rPr>
              <w:t>.</w:t>
            </w:r>
          </w:p>
          <w:p w14:paraId="2EAB31CA" w14:textId="759528DC" w:rsidR="001625C6" w:rsidRPr="005E0127" w:rsidRDefault="001625C6" w:rsidP="001625C6">
            <w:pPr>
              <w:keepNext/>
              <w:keepLines/>
              <w:rPr>
                <w:sz w:val="20"/>
                <w:szCs w:val="20"/>
                <w:highlight w:val="cyan"/>
              </w:rPr>
            </w:pPr>
            <w:r w:rsidRPr="009A6238">
              <w:rPr>
                <w:sz w:val="20"/>
                <w:szCs w:val="20"/>
                <w:vertAlign w:val="superscript"/>
              </w:rPr>
              <w:t>2</w:t>
            </w:r>
            <w:r>
              <w:rPr>
                <w:sz w:val="20"/>
                <w:szCs w:val="20"/>
              </w:rPr>
              <w:t xml:space="preserve"> Includes oversampling of Barnstable County.</w:t>
            </w:r>
          </w:p>
        </w:tc>
      </w:tr>
    </w:tbl>
    <w:p w14:paraId="75778951" w14:textId="77777777" w:rsidR="003F60B2" w:rsidRPr="00DF48C0" w:rsidRDefault="003F60B2" w:rsidP="00FE0E2B">
      <w:pPr>
        <w:spacing w:line="360" w:lineRule="auto"/>
        <w:rPr>
          <w:rFonts w:cs="Times New Roman"/>
        </w:rPr>
      </w:pPr>
    </w:p>
    <w:p w14:paraId="05DBEB08" w14:textId="77777777" w:rsidR="003F60B2" w:rsidRPr="00FE0E2B" w:rsidRDefault="00B845AE" w:rsidP="003F60B2">
      <w:pPr>
        <w:rPr>
          <w:rFonts w:cs="Calibri"/>
        </w:rPr>
      </w:pPr>
      <w:r>
        <w:rPr>
          <w:rFonts w:cs="Calibri"/>
          <w:noProof/>
        </w:rPr>
        <w:drawing>
          <wp:inline distT="0" distB="0" distL="0" distR="0" wp14:anchorId="4620D313" wp14:editId="744E5970">
            <wp:extent cx="5943600" cy="76917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eCod_Counties_100mi.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r w:rsidR="003F60B2" w:rsidRPr="00FE0E2B">
        <w:rPr>
          <w:rFonts w:cs="Calibri"/>
        </w:rPr>
        <w:t xml:space="preserve"> </w:t>
      </w:r>
    </w:p>
    <w:p w14:paraId="60D43618" w14:textId="77777777" w:rsidR="003F60B2" w:rsidRPr="00663164" w:rsidRDefault="003F60B2" w:rsidP="003F60B2">
      <w:pPr>
        <w:spacing w:line="360" w:lineRule="auto"/>
        <w:rPr>
          <w:b/>
        </w:rPr>
      </w:pPr>
      <w:r w:rsidRPr="00663164">
        <w:rPr>
          <w:b/>
        </w:rPr>
        <w:t>Figure A1. Counties included in sampling area.</w:t>
      </w:r>
    </w:p>
    <w:p w14:paraId="377D3D27" w14:textId="084E0418" w:rsidR="00D925BE" w:rsidRPr="00DF48C0" w:rsidRDefault="004B5D91" w:rsidP="009227F9">
      <w:pPr>
        <w:spacing w:line="360" w:lineRule="auto"/>
        <w:ind w:firstLine="720"/>
      </w:pPr>
      <w:r w:rsidRPr="00DF48C0">
        <w:rPr>
          <w:rFonts w:cs="Times New Roman"/>
        </w:rPr>
        <w:t xml:space="preserve"> </w:t>
      </w:r>
    </w:p>
    <w:p w14:paraId="5A9FC26E" w14:textId="77777777" w:rsidR="00FE0E2B" w:rsidRPr="00DF48C0" w:rsidRDefault="00FE0E2B" w:rsidP="00FE0E2B">
      <w:pPr>
        <w:pStyle w:val="Heading3"/>
        <w:rPr>
          <w:sz w:val="22"/>
          <w:szCs w:val="22"/>
        </w:rPr>
      </w:pPr>
      <w:bookmarkStart w:id="36" w:name="_Toc326736647"/>
      <w:bookmarkStart w:id="37" w:name="_Toc473195091"/>
      <w:r w:rsidRPr="00DF48C0">
        <w:rPr>
          <w:sz w:val="22"/>
          <w:szCs w:val="22"/>
        </w:rPr>
        <w:t>4(b)</w:t>
      </w:r>
      <w:r w:rsidRPr="00DF48C0">
        <w:rPr>
          <w:sz w:val="22"/>
          <w:szCs w:val="22"/>
        </w:rPr>
        <w:tab/>
        <w:t>Information Requested</w:t>
      </w:r>
      <w:bookmarkEnd w:id="36"/>
      <w:bookmarkEnd w:id="37"/>
    </w:p>
    <w:p w14:paraId="3DF2D7D1" w14:textId="77777777" w:rsidR="00FE0E2B" w:rsidRDefault="00FE0E2B" w:rsidP="00FE0E2B">
      <w:pPr>
        <w:pStyle w:val="Heading4"/>
        <w:rPr>
          <w:sz w:val="22"/>
          <w:szCs w:val="22"/>
        </w:rPr>
      </w:pPr>
      <w:bookmarkStart w:id="38" w:name="_Toc326736648"/>
      <w:r w:rsidRPr="00DF48C0">
        <w:rPr>
          <w:sz w:val="22"/>
          <w:szCs w:val="22"/>
        </w:rPr>
        <w:t>(i)</w:t>
      </w:r>
      <w:r w:rsidRPr="00DF48C0">
        <w:rPr>
          <w:sz w:val="22"/>
          <w:szCs w:val="22"/>
        </w:rPr>
        <w:tab/>
        <w:t>Data items, including recordkeeping requirements</w:t>
      </w:r>
      <w:bookmarkEnd w:id="38"/>
    </w:p>
    <w:p w14:paraId="45AA4525" w14:textId="77777777" w:rsidR="00483B3A" w:rsidRPr="00483B3A" w:rsidRDefault="00483B3A" w:rsidP="00483B3A"/>
    <w:p w14:paraId="284E4F4F" w14:textId="3DB25D47" w:rsidR="00FE0E2B" w:rsidRPr="00DF48C0" w:rsidRDefault="00FE0E2B" w:rsidP="00FE0E2B">
      <w:pPr>
        <w:pStyle w:val="BodyTextI2"/>
        <w:keepNext/>
        <w:rPr>
          <w:sz w:val="22"/>
          <w:szCs w:val="22"/>
        </w:rPr>
      </w:pPr>
      <w:r w:rsidRPr="00DF48C0">
        <w:rPr>
          <w:sz w:val="22"/>
          <w:szCs w:val="22"/>
        </w:rPr>
        <w:t xml:space="preserve">EPA developed the survey based on the findings of a series of </w:t>
      </w:r>
      <w:r w:rsidR="00D666ED" w:rsidRPr="00DF48C0">
        <w:rPr>
          <w:sz w:val="22"/>
          <w:szCs w:val="22"/>
        </w:rPr>
        <w:t>seven</w:t>
      </w:r>
      <w:r w:rsidRPr="00DF48C0">
        <w:rPr>
          <w:sz w:val="22"/>
          <w:szCs w:val="22"/>
        </w:rPr>
        <w:t xml:space="preserve"> focus groups conducted as part of survey instrument development (</w:t>
      </w:r>
      <w:r w:rsidR="00D666ED" w:rsidRPr="00DF48C0">
        <w:rPr>
          <w:sz w:val="22"/>
          <w:szCs w:val="22"/>
        </w:rPr>
        <w:t>EPA ICR # 2205.17, OMB # 2090-0028</w:t>
      </w:r>
      <w:r w:rsidRPr="00DF48C0">
        <w:rPr>
          <w:sz w:val="22"/>
          <w:szCs w:val="22"/>
        </w:rPr>
        <w:t>).</w:t>
      </w:r>
      <w:r w:rsidR="004B5D91" w:rsidRPr="00DF48C0">
        <w:rPr>
          <w:sz w:val="22"/>
          <w:szCs w:val="22"/>
        </w:rPr>
        <w:t xml:space="preserve"> </w:t>
      </w:r>
      <w:r w:rsidRPr="00DF48C0">
        <w:rPr>
          <w:sz w:val="22"/>
          <w:szCs w:val="22"/>
        </w:rPr>
        <w:t>Focus groups provided valuable feedback which allowed EPA to iteratively edit and refine the questionnaire, and eliminate or improve imprecise, confusing,</w:t>
      </w:r>
      <w:r w:rsidRPr="00DF48C0">
        <w:rPr>
          <w:color w:val="FF0000"/>
          <w:sz w:val="22"/>
          <w:szCs w:val="22"/>
        </w:rPr>
        <w:t xml:space="preserve"> </w:t>
      </w:r>
      <w:r w:rsidRPr="00DF48C0">
        <w:rPr>
          <w:sz w:val="22"/>
          <w:szCs w:val="22"/>
        </w:rPr>
        <w:t>and redundant questions.</w:t>
      </w:r>
      <w:r w:rsidR="004B5D91" w:rsidRPr="00DF48C0">
        <w:rPr>
          <w:sz w:val="22"/>
          <w:szCs w:val="22"/>
        </w:rPr>
        <w:t xml:space="preserve"> </w:t>
      </w:r>
      <w:r w:rsidRPr="00DF48C0">
        <w:rPr>
          <w:sz w:val="22"/>
          <w:szCs w:val="22"/>
        </w:rPr>
        <w:t>In addition, later focus groups provided useful information on the approximate amount of time needed to complete the survey instrument.</w:t>
      </w:r>
      <w:r w:rsidR="004B5D91" w:rsidRPr="00DF48C0">
        <w:rPr>
          <w:sz w:val="22"/>
          <w:szCs w:val="22"/>
        </w:rPr>
        <w:t xml:space="preserve"> </w:t>
      </w:r>
      <w:r w:rsidRPr="00DF48C0">
        <w:rPr>
          <w:sz w:val="22"/>
          <w:szCs w:val="22"/>
        </w:rPr>
        <w:t>This information informed our burden estimates.</w:t>
      </w:r>
      <w:r w:rsidR="004B5D91" w:rsidRPr="00DF48C0">
        <w:rPr>
          <w:sz w:val="22"/>
          <w:szCs w:val="22"/>
        </w:rPr>
        <w:t xml:space="preserve"> </w:t>
      </w:r>
      <w:r w:rsidRPr="00DF48C0">
        <w:rPr>
          <w:sz w:val="22"/>
          <w:szCs w:val="22"/>
        </w:rPr>
        <w:t xml:space="preserve">Focus groups were conducted following standard approaches in the literature </w:t>
      </w:r>
      <w:r w:rsidR="00C768DC">
        <w:rPr>
          <w:sz w:val="22"/>
          <w:szCs w:val="22"/>
        </w:rPr>
        <w:t>(</w:t>
      </w:r>
      <w:r w:rsidRPr="00DF48C0">
        <w:rPr>
          <w:sz w:val="22"/>
          <w:szCs w:val="22"/>
        </w:rPr>
        <w:t>Desvousges et al.</w:t>
      </w:r>
      <w:r w:rsidR="001A279A">
        <w:rPr>
          <w:sz w:val="22"/>
          <w:szCs w:val="22"/>
        </w:rPr>
        <w:t>,</w:t>
      </w:r>
      <w:r w:rsidRPr="00DF48C0">
        <w:rPr>
          <w:sz w:val="22"/>
          <w:szCs w:val="22"/>
        </w:rPr>
        <w:t xml:space="preserve"> 1984</w:t>
      </w:r>
      <w:r w:rsidR="001A279A">
        <w:rPr>
          <w:sz w:val="22"/>
          <w:szCs w:val="22"/>
        </w:rPr>
        <w:t>;</w:t>
      </w:r>
      <w:r w:rsidRPr="00DF48C0">
        <w:rPr>
          <w:sz w:val="22"/>
          <w:szCs w:val="22"/>
        </w:rPr>
        <w:t xml:space="preserve"> Desvousges </w:t>
      </w:r>
      <w:r w:rsidR="001A279A">
        <w:rPr>
          <w:sz w:val="22"/>
          <w:szCs w:val="22"/>
        </w:rPr>
        <w:t>&amp;</w:t>
      </w:r>
      <w:r w:rsidR="001A279A" w:rsidRPr="00DF48C0">
        <w:rPr>
          <w:sz w:val="22"/>
          <w:szCs w:val="22"/>
        </w:rPr>
        <w:t xml:space="preserve"> </w:t>
      </w:r>
      <w:r w:rsidRPr="00DF48C0">
        <w:rPr>
          <w:sz w:val="22"/>
          <w:szCs w:val="22"/>
        </w:rPr>
        <w:t>Smith</w:t>
      </w:r>
      <w:r w:rsidR="001A279A">
        <w:rPr>
          <w:sz w:val="22"/>
          <w:szCs w:val="22"/>
        </w:rPr>
        <w:t>,</w:t>
      </w:r>
      <w:r w:rsidRPr="00DF48C0">
        <w:rPr>
          <w:sz w:val="22"/>
          <w:szCs w:val="22"/>
        </w:rPr>
        <w:t xml:space="preserve"> 1988</w:t>
      </w:r>
      <w:r w:rsidR="001A279A">
        <w:rPr>
          <w:sz w:val="22"/>
          <w:szCs w:val="22"/>
        </w:rPr>
        <w:t>;</w:t>
      </w:r>
      <w:r w:rsidRPr="00DF48C0">
        <w:rPr>
          <w:sz w:val="22"/>
          <w:szCs w:val="22"/>
        </w:rPr>
        <w:t xml:space="preserve"> Johnston et al.</w:t>
      </w:r>
      <w:r w:rsidR="001A279A">
        <w:rPr>
          <w:sz w:val="22"/>
          <w:szCs w:val="22"/>
        </w:rPr>
        <w:t>,</w:t>
      </w:r>
      <w:r w:rsidRPr="00DF48C0">
        <w:rPr>
          <w:sz w:val="22"/>
          <w:szCs w:val="22"/>
        </w:rPr>
        <w:t xml:space="preserve"> 1995).</w:t>
      </w:r>
      <w:r w:rsidR="004B5D91" w:rsidRPr="00DF48C0">
        <w:rPr>
          <w:b/>
          <w:sz w:val="22"/>
          <w:szCs w:val="22"/>
        </w:rPr>
        <w:t xml:space="preserve"> </w:t>
      </w:r>
    </w:p>
    <w:p w14:paraId="011FF84E" w14:textId="13702E4A" w:rsidR="00E400AC" w:rsidRPr="00DF48C0" w:rsidRDefault="00FE0E2B" w:rsidP="00E400AC">
      <w:pPr>
        <w:pStyle w:val="BodyTextI2"/>
        <w:keepNext/>
        <w:rPr>
          <w:sz w:val="22"/>
          <w:szCs w:val="22"/>
        </w:rPr>
      </w:pPr>
      <w:r w:rsidRPr="00DF48C0">
        <w:rPr>
          <w:sz w:val="22"/>
          <w:szCs w:val="22"/>
        </w:rPr>
        <w:t xml:space="preserve">EPA has determined that all questions in the survey are necessary to achieve the goal of this information collection, i.e., to collect data that can be used to support an analysis of </w:t>
      </w:r>
      <w:r w:rsidR="004D25EF" w:rsidRPr="00DF48C0">
        <w:rPr>
          <w:sz w:val="22"/>
          <w:szCs w:val="22"/>
        </w:rPr>
        <w:t xml:space="preserve">recreation and water quality. </w:t>
      </w:r>
      <w:r w:rsidR="00E400AC" w:rsidRPr="00DF48C0">
        <w:rPr>
          <w:sz w:val="22"/>
          <w:szCs w:val="22"/>
        </w:rPr>
        <w:t>The draft survey</w:t>
      </w:r>
      <w:r w:rsidR="00484A58">
        <w:rPr>
          <w:sz w:val="22"/>
          <w:szCs w:val="22"/>
        </w:rPr>
        <w:t xml:space="preserve"> </w:t>
      </w:r>
      <w:r w:rsidR="009875FF">
        <w:rPr>
          <w:sz w:val="22"/>
          <w:szCs w:val="22"/>
        </w:rPr>
        <w:t xml:space="preserve">is </w:t>
      </w:r>
      <w:r w:rsidR="00E400AC" w:rsidRPr="00DF48C0">
        <w:rPr>
          <w:sz w:val="22"/>
          <w:szCs w:val="22"/>
        </w:rPr>
        <w:t xml:space="preserve">included as </w:t>
      </w:r>
      <w:r w:rsidR="00E400AC" w:rsidRPr="00EA4AB7">
        <w:rPr>
          <w:sz w:val="22"/>
          <w:szCs w:val="22"/>
        </w:rPr>
        <w:t xml:space="preserve">Attachment </w:t>
      </w:r>
      <w:r w:rsidR="00EA4AB7" w:rsidRPr="00EA4AB7">
        <w:rPr>
          <w:sz w:val="22"/>
          <w:szCs w:val="22"/>
        </w:rPr>
        <w:t>1</w:t>
      </w:r>
      <w:r w:rsidR="00443906" w:rsidRPr="00DF48C0">
        <w:rPr>
          <w:sz w:val="22"/>
          <w:szCs w:val="22"/>
        </w:rPr>
        <w:t>, and described in more detail in Part B of this document</w:t>
      </w:r>
      <w:r w:rsidR="00E400AC" w:rsidRPr="00DF48C0">
        <w:rPr>
          <w:sz w:val="22"/>
          <w:szCs w:val="22"/>
        </w:rPr>
        <w:t xml:space="preserve">. The survey has 5 sections: (1) </w:t>
      </w:r>
      <w:r w:rsidR="00983BEB">
        <w:rPr>
          <w:sz w:val="22"/>
          <w:szCs w:val="22"/>
        </w:rPr>
        <w:t xml:space="preserve">Your </w:t>
      </w:r>
      <w:r w:rsidR="00E400AC" w:rsidRPr="00DF48C0">
        <w:rPr>
          <w:sz w:val="22"/>
          <w:szCs w:val="22"/>
        </w:rPr>
        <w:t xml:space="preserve">Saltwater Recreation in New England, which gathers participation and effort data for saltwater recreation; (2) </w:t>
      </w:r>
      <w:r w:rsidR="00EA4AB7">
        <w:rPr>
          <w:sz w:val="22"/>
          <w:szCs w:val="22"/>
        </w:rPr>
        <w:t xml:space="preserve">Your </w:t>
      </w:r>
      <w:r w:rsidR="00E400AC" w:rsidRPr="00DF48C0">
        <w:rPr>
          <w:sz w:val="22"/>
          <w:szCs w:val="22"/>
        </w:rPr>
        <w:t>Most Recent Saltwater Recreation</w:t>
      </w:r>
      <w:r w:rsidR="00EA4AB7">
        <w:rPr>
          <w:sz w:val="22"/>
          <w:szCs w:val="22"/>
        </w:rPr>
        <w:t xml:space="preserve"> in New England</w:t>
      </w:r>
      <w:r w:rsidR="00E400AC" w:rsidRPr="00DF48C0">
        <w:rPr>
          <w:sz w:val="22"/>
          <w:szCs w:val="22"/>
        </w:rPr>
        <w:t xml:space="preserve">, which gathers information on the last saltwater recreation trip; (3) Other Places for Saltwater Recreation, which elicits water quality perceptions for other locations where the respondent goes for saltwater recreation, asks about the furthest that the respondent </w:t>
      </w:r>
      <w:r w:rsidR="008400AD">
        <w:rPr>
          <w:sz w:val="22"/>
          <w:szCs w:val="22"/>
        </w:rPr>
        <w:t xml:space="preserve">would </w:t>
      </w:r>
      <w:r w:rsidR="00E400AC" w:rsidRPr="00DF48C0">
        <w:rPr>
          <w:sz w:val="22"/>
          <w:szCs w:val="22"/>
        </w:rPr>
        <w:t xml:space="preserve">travel on a single day for salt water recreation, </w:t>
      </w:r>
      <w:r w:rsidR="008400AD">
        <w:rPr>
          <w:sz w:val="22"/>
          <w:szCs w:val="22"/>
        </w:rPr>
        <w:t xml:space="preserve">and </w:t>
      </w:r>
      <w:r w:rsidR="00443906" w:rsidRPr="00DF48C0">
        <w:rPr>
          <w:sz w:val="22"/>
          <w:szCs w:val="22"/>
        </w:rPr>
        <w:t xml:space="preserve">asks </w:t>
      </w:r>
      <w:r w:rsidR="00E400AC" w:rsidRPr="00DF48C0">
        <w:rPr>
          <w:sz w:val="22"/>
          <w:szCs w:val="22"/>
        </w:rPr>
        <w:t xml:space="preserve">about </w:t>
      </w:r>
      <w:r w:rsidR="00443906" w:rsidRPr="00DF48C0">
        <w:rPr>
          <w:sz w:val="22"/>
          <w:szCs w:val="22"/>
        </w:rPr>
        <w:t xml:space="preserve">respondents’ </w:t>
      </w:r>
      <w:r w:rsidR="00E400AC" w:rsidRPr="00DF48C0">
        <w:rPr>
          <w:sz w:val="22"/>
          <w:szCs w:val="22"/>
        </w:rPr>
        <w:t>responses to bacteria and beach closures; (4) Your Opinions on Coastal Water Quality in New England, which asks for the respondent’s opinions about a set of impacts of water quality issues in New England; and (5) About Your Household, which asks for demographic information, residence zip code and the zip code where the respondent works, and whether the respondent owns a second home and its zip</w:t>
      </w:r>
      <w:r w:rsidR="00483B3A">
        <w:rPr>
          <w:sz w:val="22"/>
          <w:szCs w:val="22"/>
        </w:rPr>
        <w:t xml:space="preserve"> </w:t>
      </w:r>
      <w:r w:rsidR="00E400AC" w:rsidRPr="00DF48C0">
        <w:rPr>
          <w:sz w:val="22"/>
          <w:szCs w:val="22"/>
        </w:rPr>
        <w:t>code.</w:t>
      </w:r>
    </w:p>
    <w:p w14:paraId="4285748B" w14:textId="77777777" w:rsidR="00FE0E2B" w:rsidRPr="00DF48C0" w:rsidRDefault="00FE0E2B" w:rsidP="00FE0E2B">
      <w:pPr>
        <w:spacing w:line="360" w:lineRule="auto"/>
        <w:rPr>
          <w:rFonts w:cs="Times New Roman"/>
        </w:rPr>
      </w:pPr>
    </w:p>
    <w:p w14:paraId="14D4D8C8" w14:textId="77777777" w:rsidR="00FE0E2B" w:rsidRDefault="00FE0E2B" w:rsidP="00FE0E2B">
      <w:pPr>
        <w:pStyle w:val="Heading4"/>
        <w:rPr>
          <w:sz w:val="22"/>
          <w:szCs w:val="22"/>
        </w:rPr>
      </w:pPr>
      <w:bookmarkStart w:id="39" w:name="_Toc326736649"/>
      <w:r w:rsidRPr="00DF48C0">
        <w:rPr>
          <w:sz w:val="22"/>
          <w:szCs w:val="22"/>
        </w:rPr>
        <w:t>(ii)</w:t>
      </w:r>
      <w:r w:rsidRPr="00DF48C0">
        <w:rPr>
          <w:sz w:val="22"/>
          <w:szCs w:val="22"/>
        </w:rPr>
        <w:tab/>
        <w:t>Respondent activities</w:t>
      </w:r>
      <w:bookmarkEnd w:id="39"/>
    </w:p>
    <w:p w14:paraId="170210B0" w14:textId="77777777" w:rsidR="00483B3A" w:rsidRPr="00483B3A" w:rsidRDefault="00483B3A" w:rsidP="00483B3A"/>
    <w:p w14:paraId="448D3F42" w14:textId="59A1845E" w:rsidR="00FE0E2B" w:rsidRPr="00DF48C0" w:rsidRDefault="00FE0E2B" w:rsidP="00FE0E2B">
      <w:pPr>
        <w:pStyle w:val="BodyTextI2"/>
        <w:rPr>
          <w:sz w:val="22"/>
          <w:szCs w:val="22"/>
        </w:rPr>
      </w:pPr>
      <w:r w:rsidRPr="00DF48C0">
        <w:rPr>
          <w:sz w:val="22"/>
          <w:szCs w:val="22"/>
        </w:rPr>
        <w:t>EPA expects individuals to engage in the following activities during their participation in the survey:</w:t>
      </w:r>
      <w:r w:rsidR="004B5D91" w:rsidRPr="00DF48C0">
        <w:rPr>
          <w:sz w:val="22"/>
          <w:szCs w:val="22"/>
        </w:rPr>
        <w:t xml:space="preserve"> </w:t>
      </w:r>
    </w:p>
    <w:p w14:paraId="79C08F34" w14:textId="77777777" w:rsidR="000D1DB1" w:rsidRPr="00DF48C0" w:rsidRDefault="000D1DB1" w:rsidP="00FE0E2B">
      <w:pPr>
        <w:numPr>
          <w:ilvl w:val="0"/>
          <w:numId w:val="1"/>
        </w:numPr>
        <w:spacing w:line="360" w:lineRule="auto"/>
        <w:rPr>
          <w:rFonts w:cs="Times New Roman"/>
        </w:rPr>
      </w:pPr>
      <w:r w:rsidRPr="00DF48C0">
        <w:rPr>
          <w:rFonts w:cs="Times New Roman"/>
        </w:rPr>
        <w:t xml:space="preserve">Go online to answer a web survey, or answer a paper survey that will be mailed to those who do not respond to the web survey within </w:t>
      </w:r>
      <w:r w:rsidR="00287BFF">
        <w:rPr>
          <w:rFonts w:cs="Times New Roman"/>
        </w:rPr>
        <w:t>14</w:t>
      </w:r>
      <w:r w:rsidRPr="00DF48C0">
        <w:rPr>
          <w:rFonts w:cs="Times New Roman"/>
        </w:rPr>
        <w:t xml:space="preserve"> days of mailing the </w:t>
      </w:r>
      <w:r w:rsidR="00D93BA8">
        <w:rPr>
          <w:rFonts w:cs="Times New Roman"/>
        </w:rPr>
        <w:t xml:space="preserve">second </w:t>
      </w:r>
      <w:r w:rsidR="00DB20C0" w:rsidRPr="00DF48C0">
        <w:rPr>
          <w:rFonts w:cs="Times New Roman"/>
        </w:rPr>
        <w:t xml:space="preserve">web survey </w:t>
      </w:r>
      <w:r w:rsidRPr="00DF48C0">
        <w:rPr>
          <w:rFonts w:cs="Times New Roman"/>
        </w:rPr>
        <w:t>invitation.</w:t>
      </w:r>
    </w:p>
    <w:p w14:paraId="6B42C1FD" w14:textId="77777777" w:rsidR="00FE0E2B" w:rsidRPr="00DF48C0" w:rsidRDefault="00FE0E2B" w:rsidP="00FE0E2B">
      <w:pPr>
        <w:numPr>
          <w:ilvl w:val="0"/>
          <w:numId w:val="1"/>
        </w:numPr>
        <w:spacing w:line="360" w:lineRule="auto"/>
        <w:rPr>
          <w:rFonts w:cs="Times New Roman"/>
        </w:rPr>
      </w:pPr>
      <w:r w:rsidRPr="00DF48C0">
        <w:rPr>
          <w:rFonts w:cs="Times New Roman"/>
        </w:rPr>
        <w:t>Review the</w:t>
      </w:r>
      <w:r w:rsidR="00DB20C0" w:rsidRPr="00DF48C0">
        <w:rPr>
          <w:rFonts w:cs="Times New Roman"/>
        </w:rPr>
        <w:t xml:space="preserve"> brief</w:t>
      </w:r>
      <w:r w:rsidRPr="00DF48C0">
        <w:rPr>
          <w:rFonts w:cs="Times New Roman"/>
        </w:rPr>
        <w:t xml:space="preserve"> background information provided in the beginning of the survey document.</w:t>
      </w:r>
      <w:r w:rsidR="004B5D91" w:rsidRPr="00DF48C0">
        <w:rPr>
          <w:rFonts w:cs="Times New Roman"/>
        </w:rPr>
        <w:t xml:space="preserve"> </w:t>
      </w:r>
    </w:p>
    <w:p w14:paraId="7B18E9BD" w14:textId="77777777" w:rsidR="00FE0E2B" w:rsidRPr="00DF48C0" w:rsidRDefault="00FE0E2B" w:rsidP="00FE0E2B">
      <w:pPr>
        <w:numPr>
          <w:ilvl w:val="0"/>
          <w:numId w:val="1"/>
        </w:numPr>
        <w:spacing w:line="360" w:lineRule="auto"/>
        <w:rPr>
          <w:rFonts w:cs="Times New Roman"/>
        </w:rPr>
      </w:pPr>
      <w:r w:rsidRPr="00DF48C0">
        <w:rPr>
          <w:rFonts w:cs="Times New Roman"/>
        </w:rPr>
        <w:t>Complete the survey questionnaire</w:t>
      </w:r>
      <w:r w:rsidR="000D1DB1" w:rsidRPr="00DF48C0">
        <w:rPr>
          <w:rFonts w:cs="Times New Roman"/>
        </w:rPr>
        <w:t>, either online or paper version</w:t>
      </w:r>
      <w:r w:rsidRPr="00DF48C0">
        <w:rPr>
          <w:rFonts w:cs="Times New Roman"/>
        </w:rPr>
        <w:t xml:space="preserve"> and</w:t>
      </w:r>
      <w:r w:rsidR="00443906" w:rsidRPr="00DF48C0">
        <w:rPr>
          <w:rFonts w:cs="Times New Roman"/>
        </w:rPr>
        <w:t>, if paper version is answered,</w:t>
      </w:r>
      <w:r w:rsidRPr="00DF48C0">
        <w:rPr>
          <w:rFonts w:cs="Times New Roman"/>
        </w:rPr>
        <w:t xml:space="preserve"> return </w:t>
      </w:r>
      <w:r w:rsidR="000D1DB1" w:rsidRPr="00DF48C0">
        <w:rPr>
          <w:rFonts w:cs="Times New Roman"/>
        </w:rPr>
        <w:t xml:space="preserve">paper version </w:t>
      </w:r>
      <w:r w:rsidRPr="00DF48C0">
        <w:rPr>
          <w:rFonts w:cs="Times New Roman"/>
        </w:rPr>
        <w:t>by mail.</w:t>
      </w:r>
    </w:p>
    <w:p w14:paraId="05CBE7FB" w14:textId="77777777" w:rsidR="00FE0E2B" w:rsidRPr="00DF48C0" w:rsidRDefault="00FE0E2B" w:rsidP="00287BFF">
      <w:pPr>
        <w:pStyle w:val="BodyText"/>
        <w:spacing w:after="0" w:line="360" w:lineRule="auto"/>
        <w:rPr>
          <w:sz w:val="22"/>
          <w:szCs w:val="22"/>
        </w:rPr>
      </w:pPr>
      <w:r w:rsidRPr="00DF48C0">
        <w:rPr>
          <w:sz w:val="22"/>
          <w:szCs w:val="22"/>
        </w:rPr>
        <w:t>A typical subject participating in the</w:t>
      </w:r>
      <w:r w:rsidR="000D1DB1" w:rsidRPr="00DF48C0">
        <w:rPr>
          <w:sz w:val="22"/>
          <w:szCs w:val="22"/>
        </w:rPr>
        <w:t xml:space="preserve"> survey is expected to take </w:t>
      </w:r>
      <w:r w:rsidR="00287BFF">
        <w:rPr>
          <w:sz w:val="22"/>
          <w:szCs w:val="22"/>
        </w:rPr>
        <w:t>15</w:t>
      </w:r>
      <w:r w:rsidR="00287BFF" w:rsidRPr="00DF48C0">
        <w:rPr>
          <w:sz w:val="22"/>
          <w:szCs w:val="22"/>
        </w:rPr>
        <w:t xml:space="preserve"> </w:t>
      </w:r>
      <w:r w:rsidR="000D1DB1" w:rsidRPr="00DF48C0">
        <w:rPr>
          <w:sz w:val="22"/>
          <w:szCs w:val="22"/>
        </w:rPr>
        <w:t xml:space="preserve">minutes to complete the </w:t>
      </w:r>
      <w:r w:rsidRPr="00DF48C0">
        <w:rPr>
          <w:sz w:val="22"/>
          <w:szCs w:val="22"/>
        </w:rPr>
        <w:t>survey.</w:t>
      </w:r>
      <w:r w:rsidR="004B5D91" w:rsidRPr="00DF48C0">
        <w:rPr>
          <w:sz w:val="22"/>
          <w:szCs w:val="22"/>
        </w:rPr>
        <w:t xml:space="preserve"> </w:t>
      </w:r>
      <w:r w:rsidRPr="00DF48C0">
        <w:rPr>
          <w:sz w:val="22"/>
          <w:szCs w:val="22"/>
        </w:rPr>
        <w:t xml:space="preserve">These estimates are derived from focus </w:t>
      </w:r>
      <w:r w:rsidR="000D1DB1" w:rsidRPr="00DF48C0">
        <w:rPr>
          <w:sz w:val="22"/>
          <w:szCs w:val="22"/>
        </w:rPr>
        <w:t xml:space="preserve">groups </w:t>
      </w:r>
      <w:r w:rsidRPr="00DF48C0">
        <w:rPr>
          <w:sz w:val="22"/>
          <w:szCs w:val="22"/>
        </w:rPr>
        <w:t>in which respondents were asked to complete a survey of similar length and detail to the current survey.</w:t>
      </w:r>
    </w:p>
    <w:p w14:paraId="7A8F4672" w14:textId="77777777" w:rsidR="00FE0E2B" w:rsidRPr="00DF48C0" w:rsidRDefault="00FE0E2B" w:rsidP="00FE0E2B">
      <w:pPr>
        <w:spacing w:after="200" w:line="276" w:lineRule="auto"/>
        <w:rPr>
          <w:rFonts w:cs="Times New Roman"/>
          <w:b/>
          <w:bCs/>
        </w:rPr>
      </w:pPr>
      <w:bookmarkStart w:id="40" w:name="_Toc326736650"/>
    </w:p>
    <w:p w14:paraId="658E8171" w14:textId="77777777" w:rsidR="00FE0E2B" w:rsidRPr="00D93BA8" w:rsidRDefault="00FE0E2B" w:rsidP="00FE0E2B">
      <w:pPr>
        <w:pStyle w:val="Heading2"/>
        <w:rPr>
          <w:sz w:val="22"/>
          <w:szCs w:val="22"/>
        </w:rPr>
      </w:pPr>
      <w:bookmarkStart w:id="41" w:name="_Toc473195092"/>
      <w:r w:rsidRPr="00DF48C0">
        <w:rPr>
          <w:sz w:val="22"/>
          <w:szCs w:val="22"/>
        </w:rPr>
        <w:t>5.</w:t>
      </w:r>
      <w:r w:rsidRPr="00DF48C0">
        <w:rPr>
          <w:sz w:val="22"/>
          <w:szCs w:val="22"/>
        </w:rPr>
        <w:tab/>
        <w:t xml:space="preserve">The Information Collected - Agency Activities, Collection Methodology, and Information </w:t>
      </w:r>
      <w:r w:rsidRPr="00D93BA8">
        <w:rPr>
          <w:sz w:val="22"/>
          <w:szCs w:val="22"/>
        </w:rPr>
        <w:t>Management</w:t>
      </w:r>
      <w:bookmarkEnd w:id="40"/>
      <w:bookmarkEnd w:id="41"/>
    </w:p>
    <w:p w14:paraId="2708B9F9" w14:textId="77777777" w:rsidR="00FE0E2B" w:rsidRDefault="00FE0E2B" w:rsidP="00FE0E2B">
      <w:pPr>
        <w:pStyle w:val="Heading3"/>
        <w:rPr>
          <w:sz w:val="22"/>
          <w:szCs w:val="22"/>
        </w:rPr>
      </w:pPr>
      <w:bookmarkStart w:id="42" w:name="_Toc326736651"/>
      <w:bookmarkStart w:id="43" w:name="_Toc473195093"/>
      <w:r w:rsidRPr="00D93BA8">
        <w:rPr>
          <w:sz w:val="22"/>
          <w:szCs w:val="22"/>
        </w:rPr>
        <w:t>5(a)</w:t>
      </w:r>
      <w:r w:rsidRPr="00D93BA8">
        <w:rPr>
          <w:sz w:val="22"/>
          <w:szCs w:val="22"/>
        </w:rPr>
        <w:tab/>
        <w:t>Agency Activities</w:t>
      </w:r>
      <w:bookmarkEnd w:id="42"/>
      <w:bookmarkEnd w:id="43"/>
    </w:p>
    <w:p w14:paraId="4546F0FA" w14:textId="77777777" w:rsidR="00483B3A" w:rsidRPr="00483B3A" w:rsidRDefault="00483B3A" w:rsidP="00483B3A"/>
    <w:p w14:paraId="14D34AD8" w14:textId="77777777" w:rsidR="00FE0E2B" w:rsidRPr="00DF48C0" w:rsidRDefault="00FE0E2B" w:rsidP="00FE0E2B">
      <w:pPr>
        <w:pStyle w:val="BodyTextI2"/>
        <w:rPr>
          <w:sz w:val="22"/>
          <w:szCs w:val="22"/>
        </w:rPr>
      </w:pPr>
      <w:r w:rsidRPr="00DF48C0">
        <w:rPr>
          <w:sz w:val="22"/>
          <w:szCs w:val="22"/>
        </w:rPr>
        <w:t xml:space="preserve">The survey is being developed, conducted, and analyzed by EPA’s </w:t>
      </w:r>
      <w:r w:rsidR="008759C3" w:rsidRPr="00DF48C0">
        <w:rPr>
          <w:sz w:val="22"/>
          <w:szCs w:val="22"/>
        </w:rPr>
        <w:t xml:space="preserve">Office of Research and Development </w:t>
      </w:r>
      <w:r w:rsidRPr="00DF48C0">
        <w:rPr>
          <w:sz w:val="22"/>
          <w:szCs w:val="22"/>
        </w:rPr>
        <w:t xml:space="preserve">with contract support provided by Abt Associates Inc. (EPA contract No. </w:t>
      </w:r>
      <w:r w:rsidRPr="00DF48C0">
        <w:rPr>
          <w:spacing w:val="2"/>
          <w:sz w:val="22"/>
          <w:szCs w:val="22"/>
        </w:rPr>
        <w:t>EP-</w:t>
      </w:r>
      <w:r w:rsidR="008759C3" w:rsidRPr="00DF48C0">
        <w:rPr>
          <w:spacing w:val="2"/>
          <w:sz w:val="22"/>
          <w:szCs w:val="22"/>
        </w:rPr>
        <w:t>C-13</w:t>
      </w:r>
      <w:r w:rsidRPr="00DF48C0">
        <w:rPr>
          <w:spacing w:val="2"/>
          <w:sz w:val="22"/>
          <w:szCs w:val="22"/>
        </w:rPr>
        <w:t>-03</w:t>
      </w:r>
      <w:r w:rsidR="008759C3" w:rsidRPr="00DF48C0">
        <w:rPr>
          <w:spacing w:val="2"/>
          <w:sz w:val="22"/>
          <w:szCs w:val="22"/>
        </w:rPr>
        <w:t>9</w:t>
      </w:r>
      <w:r w:rsidRPr="00DF48C0">
        <w:rPr>
          <w:spacing w:val="2"/>
          <w:sz w:val="22"/>
          <w:szCs w:val="22"/>
        </w:rPr>
        <w:t xml:space="preserve">). </w:t>
      </w:r>
    </w:p>
    <w:p w14:paraId="08EAFB97" w14:textId="77777777" w:rsidR="00FE0E2B" w:rsidRPr="00DF48C0" w:rsidRDefault="00FE0E2B" w:rsidP="00FE0E2B">
      <w:pPr>
        <w:pStyle w:val="BodyTextI2"/>
        <w:rPr>
          <w:sz w:val="22"/>
          <w:szCs w:val="22"/>
        </w:rPr>
      </w:pPr>
      <w:r w:rsidRPr="00DF48C0">
        <w:rPr>
          <w:sz w:val="22"/>
          <w:szCs w:val="22"/>
        </w:rPr>
        <w:t xml:space="preserve">Agency activities associated with the survey consist of the following: </w:t>
      </w:r>
    </w:p>
    <w:p w14:paraId="39C28F65" w14:textId="77777777" w:rsidR="00FE0E2B" w:rsidRPr="00DF48C0" w:rsidRDefault="00FE0E2B" w:rsidP="00FE0E2B">
      <w:pPr>
        <w:numPr>
          <w:ilvl w:val="0"/>
          <w:numId w:val="2"/>
        </w:numPr>
        <w:spacing w:line="360" w:lineRule="auto"/>
        <w:rPr>
          <w:rFonts w:cs="Times New Roman"/>
        </w:rPr>
      </w:pPr>
      <w:r w:rsidRPr="00DF48C0">
        <w:rPr>
          <w:rFonts w:cs="Times New Roman"/>
        </w:rPr>
        <w:t>Developing the survey questionnaire and related materials as well as sampling design.</w:t>
      </w:r>
    </w:p>
    <w:p w14:paraId="7803F0BA" w14:textId="77777777" w:rsidR="00FE0E2B" w:rsidRPr="00DF48C0" w:rsidRDefault="00FE0E2B" w:rsidP="00FE0E2B">
      <w:pPr>
        <w:numPr>
          <w:ilvl w:val="0"/>
          <w:numId w:val="2"/>
        </w:numPr>
        <w:spacing w:line="360" w:lineRule="auto"/>
        <w:rPr>
          <w:rFonts w:cs="Times New Roman"/>
        </w:rPr>
      </w:pPr>
      <w:r w:rsidRPr="00DF48C0">
        <w:rPr>
          <w:rFonts w:cs="Times New Roman"/>
        </w:rPr>
        <w:t xml:space="preserve">Randomly selecting survey participants from the U.S. Postal Service DSF database. </w:t>
      </w:r>
    </w:p>
    <w:p w14:paraId="4A370402" w14:textId="77777777" w:rsidR="008759C3" w:rsidRPr="00DF48C0" w:rsidRDefault="008759C3" w:rsidP="00FE0E2B">
      <w:pPr>
        <w:numPr>
          <w:ilvl w:val="0"/>
          <w:numId w:val="2"/>
        </w:numPr>
        <w:spacing w:line="360" w:lineRule="auto"/>
        <w:rPr>
          <w:rFonts w:cs="Times New Roman"/>
        </w:rPr>
      </w:pPr>
      <w:r w:rsidRPr="00DF48C0">
        <w:rPr>
          <w:rFonts w:cs="Times New Roman"/>
        </w:rPr>
        <w:t>Programming of web survey.</w:t>
      </w:r>
    </w:p>
    <w:p w14:paraId="3BA1A50E" w14:textId="77777777" w:rsidR="00D93BA8" w:rsidRPr="00DF48C0" w:rsidDel="00D93BA8" w:rsidRDefault="00FE0E2B" w:rsidP="00D93BA8">
      <w:pPr>
        <w:numPr>
          <w:ilvl w:val="0"/>
          <w:numId w:val="2"/>
        </w:numPr>
        <w:spacing w:line="360" w:lineRule="auto"/>
        <w:rPr>
          <w:rFonts w:cs="Times New Roman"/>
        </w:rPr>
      </w:pPr>
      <w:r w:rsidRPr="00DF48C0">
        <w:rPr>
          <w:rFonts w:cs="Times New Roman"/>
        </w:rPr>
        <w:t xml:space="preserve">Printing of </w:t>
      </w:r>
      <w:r w:rsidR="008759C3" w:rsidRPr="00DF48C0">
        <w:rPr>
          <w:rFonts w:cs="Times New Roman"/>
        </w:rPr>
        <w:t xml:space="preserve">paper </w:t>
      </w:r>
      <w:r w:rsidRPr="00DF48C0">
        <w:rPr>
          <w:rFonts w:cs="Times New Roman"/>
        </w:rPr>
        <w:t>survey.</w:t>
      </w:r>
    </w:p>
    <w:p w14:paraId="4345EC3E" w14:textId="3AA924DE" w:rsidR="00FE0E2B" w:rsidRPr="00DF48C0" w:rsidRDefault="00FE0E2B" w:rsidP="00D93BA8">
      <w:pPr>
        <w:numPr>
          <w:ilvl w:val="0"/>
          <w:numId w:val="2"/>
        </w:numPr>
        <w:spacing w:line="360" w:lineRule="auto"/>
        <w:rPr>
          <w:rFonts w:cs="Times New Roman"/>
        </w:rPr>
      </w:pPr>
      <w:r w:rsidRPr="00DF48C0">
        <w:rPr>
          <w:rFonts w:cs="Times New Roman"/>
        </w:rPr>
        <w:t xml:space="preserve">Mailing of </w:t>
      </w:r>
      <w:r w:rsidR="007C37D4" w:rsidRPr="00DF48C0">
        <w:rPr>
          <w:rFonts w:cs="Times New Roman"/>
        </w:rPr>
        <w:t xml:space="preserve">initial </w:t>
      </w:r>
      <w:r w:rsidR="008759C3" w:rsidRPr="00DF48C0">
        <w:rPr>
          <w:rFonts w:cs="Times New Roman"/>
        </w:rPr>
        <w:t>web survey invitation</w:t>
      </w:r>
      <w:r w:rsidRPr="00DF48C0">
        <w:rPr>
          <w:rFonts w:cs="Times New Roman"/>
        </w:rPr>
        <w:t>.</w:t>
      </w:r>
    </w:p>
    <w:p w14:paraId="6C84DE69" w14:textId="77777777" w:rsidR="00FE0E2B" w:rsidRPr="00DF48C0" w:rsidRDefault="00FE0E2B" w:rsidP="00FE0E2B">
      <w:pPr>
        <w:numPr>
          <w:ilvl w:val="0"/>
          <w:numId w:val="2"/>
        </w:numPr>
        <w:spacing w:line="360" w:lineRule="auto"/>
        <w:rPr>
          <w:rFonts w:cs="Times New Roman"/>
        </w:rPr>
      </w:pPr>
      <w:r w:rsidRPr="00DF48C0">
        <w:rPr>
          <w:rFonts w:cs="Times New Roman"/>
        </w:rPr>
        <w:t xml:space="preserve">Mailing of </w:t>
      </w:r>
      <w:r w:rsidR="007C37D4" w:rsidRPr="00DF48C0">
        <w:rPr>
          <w:rFonts w:cs="Times New Roman"/>
        </w:rPr>
        <w:t>second web survey invitation</w:t>
      </w:r>
      <w:r w:rsidRPr="00DF48C0">
        <w:rPr>
          <w:rFonts w:cs="Times New Roman"/>
        </w:rPr>
        <w:t>.</w:t>
      </w:r>
    </w:p>
    <w:p w14:paraId="405564D2" w14:textId="77777777" w:rsidR="00FE0E2B" w:rsidRPr="00DF48C0" w:rsidRDefault="008759C3" w:rsidP="00FE0E2B">
      <w:pPr>
        <w:numPr>
          <w:ilvl w:val="0"/>
          <w:numId w:val="2"/>
        </w:numPr>
        <w:spacing w:line="360" w:lineRule="auto"/>
        <w:rPr>
          <w:rFonts w:cs="Times New Roman"/>
        </w:rPr>
      </w:pPr>
      <w:r w:rsidRPr="00DF48C0">
        <w:rPr>
          <w:rFonts w:cs="Times New Roman"/>
        </w:rPr>
        <w:t>S</w:t>
      </w:r>
      <w:r w:rsidR="00FE0E2B" w:rsidRPr="00DF48C0">
        <w:rPr>
          <w:rFonts w:cs="Times New Roman"/>
        </w:rPr>
        <w:t xml:space="preserve">ending the </w:t>
      </w:r>
      <w:r w:rsidRPr="00DF48C0">
        <w:rPr>
          <w:rFonts w:cs="Times New Roman"/>
        </w:rPr>
        <w:t xml:space="preserve">paper </w:t>
      </w:r>
      <w:r w:rsidR="00FE0E2B" w:rsidRPr="00DF48C0">
        <w:rPr>
          <w:rFonts w:cs="Times New Roman"/>
        </w:rPr>
        <w:t xml:space="preserve">survey to households </w:t>
      </w:r>
      <w:r w:rsidR="007C37D4" w:rsidRPr="00DF48C0">
        <w:rPr>
          <w:rFonts w:cs="Times New Roman"/>
        </w:rPr>
        <w:t xml:space="preserve">who did </w:t>
      </w:r>
      <w:r w:rsidR="00FE0E2B" w:rsidRPr="00DF48C0">
        <w:rPr>
          <w:rFonts w:cs="Times New Roman"/>
        </w:rPr>
        <w:t>not respond to the</w:t>
      </w:r>
      <w:r w:rsidRPr="00DF48C0">
        <w:rPr>
          <w:rFonts w:cs="Times New Roman"/>
        </w:rPr>
        <w:t xml:space="preserve"> web survey</w:t>
      </w:r>
      <w:r w:rsidR="00FE0E2B" w:rsidRPr="00DF48C0">
        <w:rPr>
          <w:rFonts w:cs="Times New Roman"/>
        </w:rPr>
        <w:t>.</w:t>
      </w:r>
    </w:p>
    <w:p w14:paraId="27099DBD" w14:textId="77777777" w:rsidR="00FE0E2B" w:rsidRPr="00DF48C0" w:rsidRDefault="00FE0E2B" w:rsidP="00FE0E2B">
      <w:pPr>
        <w:numPr>
          <w:ilvl w:val="0"/>
          <w:numId w:val="2"/>
        </w:numPr>
        <w:spacing w:line="360" w:lineRule="auto"/>
        <w:rPr>
          <w:rFonts w:cs="Times New Roman"/>
        </w:rPr>
      </w:pPr>
      <w:r w:rsidRPr="00DF48C0">
        <w:rPr>
          <w:rFonts w:cs="Times New Roman"/>
        </w:rPr>
        <w:t>Data entry and cleaning.</w:t>
      </w:r>
    </w:p>
    <w:p w14:paraId="36F52025" w14:textId="77777777" w:rsidR="00FE0E2B" w:rsidRPr="00DF48C0" w:rsidRDefault="00FE0E2B" w:rsidP="00FE0E2B">
      <w:pPr>
        <w:numPr>
          <w:ilvl w:val="0"/>
          <w:numId w:val="2"/>
        </w:numPr>
        <w:spacing w:line="360" w:lineRule="auto"/>
        <w:rPr>
          <w:rFonts w:cs="Times New Roman"/>
        </w:rPr>
      </w:pPr>
      <w:r w:rsidRPr="00DF48C0">
        <w:rPr>
          <w:rFonts w:cs="Times New Roman"/>
        </w:rPr>
        <w:t>Analyzing survey results.</w:t>
      </w:r>
      <w:r w:rsidR="004B5D91" w:rsidRPr="00DF48C0">
        <w:rPr>
          <w:rFonts w:cs="Times New Roman"/>
        </w:rPr>
        <w:t xml:space="preserve"> </w:t>
      </w:r>
    </w:p>
    <w:p w14:paraId="74DF0607" w14:textId="2F5C0F18" w:rsidR="00FE0E2B" w:rsidRPr="00DF48C0" w:rsidRDefault="008D01E3" w:rsidP="00FE0E2B">
      <w:pPr>
        <w:numPr>
          <w:ilvl w:val="0"/>
          <w:numId w:val="2"/>
        </w:numPr>
        <w:spacing w:line="360" w:lineRule="auto"/>
        <w:rPr>
          <w:rFonts w:cs="Times New Roman"/>
        </w:rPr>
      </w:pPr>
      <w:r>
        <w:rPr>
          <w:rFonts w:cs="Times New Roman"/>
        </w:rPr>
        <w:t>Conducting</w:t>
      </w:r>
      <w:r w:rsidRPr="00DF48C0">
        <w:rPr>
          <w:rFonts w:cs="Times New Roman"/>
        </w:rPr>
        <w:t xml:space="preserve"> </w:t>
      </w:r>
      <w:r w:rsidR="00FE0E2B" w:rsidRPr="00DF48C0">
        <w:rPr>
          <w:rFonts w:cs="Times New Roman"/>
        </w:rPr>
        <w:t xml:space="preserve">the non-response bias </w:t>
      </w:r>
      <w:r>
        <w:rPr>
          <w:rFonts w:cs="Times New Roman"/>
        </w:rPr>
        <w:t xml:space="preserve">analysis </w:t>
      </w:r>
      <w:r w:rsidR="006953A2">
        <w:rPr>
          <w:rFonts w:cs="Times New Roman"/>
        </w:rPr>
        <w:t>based on available data</w:t>
      </w:r>
      <w:r w:rsidR="00FE0E2B" w:rsidRPr="00DF48C0">
        <w:rPr>
          <w:rFonts w:cs="Times New Roman"/>
        </w:rPr>
        <w:t>.</w:t>
      </w:r>
      <w:r w:rsidR="00AD420E">
        <w:rPr>
          <w:rFonts w:cs="Times New Roman"/>
        </w:rPr>
        <w:t xml:space="preserve"> This will compare results of questions in Section 1 to existing national studies of participation in c</w:t>
      </w:r>
      <w:r w:rsidR="001C74DF">
        <w:rPr>
          <w:rFonts w:cs="Times New Roman"/>
        </w:rPr>
        <w:t>oastal recreation</w:t>
      </w:r>
      <w:r w:rsidR="009227F9">
        <w:rPr>
          <w:rFonts w:cs="Times New Roman"/>
        </w:rPr>
        <w:t>, present</w:t>
      </w:r>
      <w:r w:rsidR="00B008C7">
        <w:rPr>
          <w:rFonts w:cs="Times New Roman"/>
        </w:rPr>
        <w:t xml:space="preserve"> the geographic distribution of the respondents</w:t>
      </w:r>
      <w:r w:rsidR="009227F9">
        <w:rPr>
          <w:rFonts w:cs="Times New Roman"/>
        </w:rPr>
        <w:t>,</w:t>
      </w:r>
      <w:r w:rsidR="001C74DF">
        <w:rPr>
          <w:rFonts w:cs="Times New Roman"/>
        </w:rPr>
        <w:t xml:space="preserve"> and compare</w:t>
      </w:r>
      <w:r w:rsidR="00AD420E">
        <w:rPr>
          <w:rFonts w:cs="Times New Roman"/>
        </w:rPr>
        <w:t xml:space="preserve"> demographics to census data.</w:t>
      </w:r>
      <w:r w:rsidR="001C74DF">
        <w:rPr>
          <w:rFonts w:cs="Times New Roman"/>
        </w:rPr>
        <w:t xml:space="preserve"> See </w:t>
      </w:r>
      <w:r w:rsidR="00D05C3A">
        <w:rPr>
          <w:rFonts w:cs="Times New Roman"/>
        </w:rPr>
        <w:t xml:space="preserve">Part B, </w:t>
      </w:r>
      <w:r w:rsidR="001C74DF">
        <w:rPr>
          <w:rFonts w:cs="Times New Roman"/>
        </w:rPr>
        <w:t xml:space="preserve">Section </w:t>
      </w:r>
      <w:r w:rsidR="00D05C3A">
        <w:rPr>
          <w:rFonts w:cs="Times New Roman"/>
        </w:rPr>
        <w:t>2(c)(iii) for additional details.</w:t>
      </w:r>
    </w:p>
    <w:p w14:paraId="2AF72B89" w14:textId="66857153" w:rsidR="00FE0E2B" w:rsidRPr="00DF48C0" w:rsidRDefault="00FE0E2B" w:rsidP="00FE0E2B">
      <w:pPr>
        <w:numPr>
          <w:ilvl w:val="0"/>
          <w:numId w:val="2"/>
        </w:numPr>
        <w:spacing w:line="360" w:lineRule="auto"/>
        <w:rPr>
          <w:rFonts w:cs="Times New Roman"/>
        </w:rPr>
      </w:pPr>
      <w:r w:rsidRPr="00DF48C0">
        <w:rPr>
          <w:rFonts w:cs="Times New Roman"/>
        </w:rPr>
        <w:t xml:space="preserve">If necessary, EPA will use results of the non-response bias </w:t>
      </w:r>
      <w:r w:rsidR="008D01E3">
        <w:rPr>
          <w:rFonts w:cs="Times New Roman"/>
        </w:rPr>
        <w:t xml:space="preserve">analysis </w:t>
      </w:r>
      <w:r w:rsidRPr="00DF48C0">
        <w:rPr>
          <w:rFonts w:cs="Times New Roman"/>
        </w:rPr>
        <w:t>to adjust weights of respondents to account for non-response and minimize the bias.</w:t>
      </w:r>
    </w:p>
    <w:p w14:paraId="674DFD4F" w14:textId="77777777" w:rsidR="00FE0E2B" w:rsidRPr="00DF48C0" w:rsidRDefault="00FE0E2B" w:rsidP="00FE0E2B">
      <w:pPr>
        <w:pStyle w:val="BodyTextI2"/>
        <w:ind w:firstLine="0"/>
        <w:rPr>
          <w:sz w:val="22"/>
          <w:szCs w:val="22"/>
        </w:rPr>
      </w:pPr>
      <w:r w:rsidRPr="00DF48C0">
        <w:rPr>
          <w:sz w:val="22"/>
          <w:szCs w:val="22"/>
        </w:rPr>
        <w:t xml:space="preserve">EPA will primarily use the survey results to estimate the social value of changes in ecosystem quality, </w:t>
      </w:r>
      <w:r w:rsidR="008759C3" w:rsidRPr="00DF48C0">
        <w:rPr>
          <w:sz w:val="22"/>
          <w:szCs w:val="22"/>
        </w:rPr>
        <w:t>for recreational uses of coastal waters</w:t>
      </w:r>
      <w:r w:rsidRPr="00DF48C0">
        <w:rPr>
          <w:sz w:val="22"/>
          <w:szCs w:val="22"/>
        </w:rPr>
        <w:t>.</w:t>
      </w:r>
      <w:r w:rsidR="007C37D4" w:rsidRPr="00DF48C0">
        <w:rPr>
          <w:sz w:val="22"/>
          <w:szCs w:val="22"/>
        </w:rPr>
        <w:t xml:space="preserve"> EPA will also model water quality perceptions relative to objective measures, and explore the use of sense of place measures in conjunction with economic measures and relative to water quality perceptio</w:t>
      </w:r>
      <w:r w:rsidR="00635A5F">
        <w:rPr>
          <w:sz w:val="22"/>
          <w:szCs w:val="22"/>
        </w:rPr>
        <w:t>ns</w:t>
      </w:r>
      <w:r w:rsidR="007C37D4" w:rsidRPr="00DF48C0">
        <w:rPr>
          <w:sz w:val="22"/>
          <w:szCs w:val="22"/>
        </w:rPr>
        <w:t>.</w:t>
      </w:r>
      <w:r w:rsidR="004B5D91" w:rsidRPr="00DF48C0">
        <w:rPr>
          <w:sz w:val="22"/>
          <w:szCs w:val="22"/>
        </w:rPr>
        <w:t xml:space="preserve"> </w:t>
      </w:r>
    </w:p>
    <w:p w14:paraId="35FBB809" w14:textId="0F099309" w:rsidR="00FE0E2B" w:rsidRDefault="00FE0E2B" w:rsidP="00FE0E2B">
      <w:pPr>
        <w:spacing w:line="360" w:lineRule="auto"/>
        <w:rPr>
          <w:rFonts w:cs="Times New Roman"/>
        </w:rPr>
      </w:pPr>
    </w:p>
    <w:p w14:paraId="7D5A8A12" w14:textId="6CE36531" w:rsidR="00BC6C49" w:rsidRDefault="00BC6C49" w:rsidP="00FE0E2B">
      <w:pPr>
        <w:spacing w:line="360" w:lineRule="auto"/>
        <w:rPr>
          <w:rFonts w:cs="Times New Roman"/>
        </w:rPr>
      </w:pPr>
    </w:p>
    <w:p w14:paraId="6AADF84B" w14:textId="77777777" w:rsidR="00BC6C49" w:rsidRPr="00DF48C0" w:rsidRDefault="00BC6C49" w:rsidP="00FE0E2B">
      <w:pPr>
        <w:spacing w:line="360" w:lineRule="auto"/>
        <w:rPr>
          <w:rFonts w:cs="Times New Roman"/>
        </w:rPr>
      </w:pPr>
    </w:p>
    <w:p w14:paraId="14D0002C" w14:textId="77777777" w:rsidR="00FE0E2B" w:rsidRDefault="00FE0E2B" w:rsidP="00FE0E2B">
      <w:pPr>
        <w:pStyle w:val="Heading3"/>
        <w:rPr>
          <w:sz w:val="22"/>
          <w:szCs w:val="22"/>
        </w:rPr>
      </w:pPr>
      <w:bookmarkStart w:id="44" w:name="_Toc326736652"/>
      <w:bookmarkStart w:id="45" w:name="_Toc473195094"/>
      <w:r w:rsidRPr="00D93BA8">
        <w:rPr>
          <w:sz w:val="22"/>
          <w:szCs w:val="22"/>
        </w:rPr>
        <w:t>5(b)</w:t>
      </w:r>
      <w:r w:rsidRPr="00D93BA8">
        <w:rPr>
          <w:sz w:val="22"/>
          <w:szCs w:val="22"/>
        </w:rPr>
        <w:tab/>
        <w:t>Collection Methodology and Information Management</w:t>
      </w:r>
      <w:bookmarkEnd w:id="44"/>
      <w:bookmarkEnd w:id="45"/>
    </w:p>
    <w:p w14:paraId="4D9773C5" w14:textId="77777777" w:rsidR="00483B3A" w:rsidRPr="00483B3A" w:rsidRDefault="00483B3A" w:rsidP="00483B3A"/>
    <w:p w14:paraId="0AA355BB" w14:textId="25C28D13" w:rsidR="006953A2" w:rsidRPr="00FE0E2B" w:rsidRDefault="00FE0E2B" w:rsidP="006953A2">
      <w:pPr>
        <w:spacing w:line="360" w:lineRule="auto"/>
        <w:ind w:firstLine="720"/>
      </w:pPr>
      <w:r w:rsidRPr="00DF48C0">
        <w:rPr>
          <w:rFonts w:cs="Times New Roman"/>
        </w:rPr>
        <w:t xml:space="preserve">EPA plans to implement the proposed survey </w:t>
      </w:r>
      <w:r w:rsidR="008759C3" w:rsidRPr="00DF48C0">
        <w:rPr>
          <w:rFonts w:cs="Times New Roman"/>
        </w:rPr>
        <w:t xml:space="preserve">using a </w:t>
      </w:r>
      <w:r w:rsidR="00707349">
        <w:rPr>
          <w:rFonts w:cs="Times New Roman"/>
        </w:rPr>
        <w:t>mixed-mode</w:t>
      </w:r>
      <w:r w:rsidR="008759C3" w:rsidRPr="00DF48C0">
        <w:rPr>
          <w:rFonts w:cs="Times New Roman"/>
        </w:rPr>
        <w:t xml:space="preserve"> approach, which will invite respondents to answer the questionnaire on the internet. </w:t>
      </w:r>
      <w:r w:rsidR="006953A2" w:rsidRPr="00593437">
        <w:t xml:space="preserve">Offering the survey on the internet will allow respondents to select locations from interactive maps and enable them to identify their destination sites </w:t>
      </w:r>
      <w:r w:rsidR="00D93BA8" w:rsidRPr="00593437">
        <w:t xml:space="preserve">more </w:t>
      </w:r>
      <w:r w:rsidR="006953A2" w:rsidRPr="00593437">
        <w:t>accurately.</w:t>
      </w:r>
      <w:r w:rsidR="006953A2">
        <w:t xml:space="preserve"> An internet survey will also use checks and prompts to minimize missing and/or incorrectly entered information.</w:t>
      </w:r>
      <w:r w:rsidR="00281710">
        <w:t xml:space="preserve"> </w:t>
      </w:r>
      <w:r w:rsidR="008759C3" w:rsidRPr="00DF48C0">
        <w:rPr>
          <w:rFonts w:cs="Times New Roman"/>
        </w:rPr>
        <w:t xml:space="preserve">Those who do not reply to the internet survey will be mailed a paper survey to complete. </w:t>
      </w:r>
      <w:r w:rsidR="006953A2" w:rsidRPr="00D93BA8">
        <w:t>After finalizing the survey instrument</w:t>
      </w:r>
      <w:r w:rsidR="00D93BA8">
        <w:t>,</w:t>
      </w:r>
      <w:r w:rsidR="006953A2" w:rsidRPr="00D93BA8">
        <w:t xml:space="preserve"> EPA will program the instrument using Confirmit web software. EPA</w:t>
      </w:r>
      <w:r w:rsidR="006953A2" w:rsidRPr="00FE0E2B">
        <w:t xml:space="preserve"> will </w:t>
      </w:r>
      <w:r w:rsidR="006953A2">
        <w:t xml:space="preserve">then </w:t>
      </w:r>
      <w:r w:rsidR="006953A2" w:rsidRPr="00FE0E2B">
        <w:t xml:space="preserve">use the U.S. Postal Service DSF database to identify households </w:t>
      </w:r>
      <w:r w:rsidR="005076BB">
        <w:t>that</w:t>
      </w:r>
      <w:r w:rsidR="005076BB" w:rsidRPr="00FE0E2B">
        <w:t xml:space="preserve"> </w:t>
      </w:r>
      <w:r w:rsidR="006953A2" w:rsidRPr="00FE0E2B">
        <w:t xml:space="preserve">will receive the </w:t>
      </w:r>
      <w:r w:rsidR="006953A2">
        <w:t>survey invitation</w:t>
      </w:r>
      <w:r w:rsidR="006953A2" w:rsidRPr="00FE0E2B">
        <w:t>.</w:t>
      </w:r>
      <w:r w:rsidR="006953A2">
        <w:t xml:space="preserve"> </w:t>
      </w:r>
      <w:r w:rsidR="006953A2" w:rsidRPr="00FE0E2B">
        <w:t xml:space="preserve">The survey </w:t>
      </w:r>
      <w:r w:rsidR="006953A2">
        <w:t>invitation</w:t>
      </w:r>
      <w:r w:rsidR="0058244B">
        <w:t xml:space="preserve"> letter</w:t>
      </w:r>
      <w:r w:rsidR="00753061">
        <w:t xml:space="preserve"> (Attachment </w:t>
      </w:r>
      <w:r w:rsidR="009875FF">
        <w:t>2</w:t>
      </w:r>
      <w:r w:rsidR="00753061">
        <w:t>), which contains an explanation of the survey’s purpose and a URL to access the web survey,</w:t>
      </w:r>
      <w:r w:rsidR="006953A2">
        <w:t xml:space="preserve"> </w:t>
      </w:r>
      <w:r w:rsidR="006953A2" w:rsidRPr="00FE0E2B">
        <w:t xml:space="preserve">will be mailed </w:t>
      </w:r>
      <w:r w:rsidR="006953A2">
        <w:t>to the selected households</w:t>
      </w:r>
      <w:r w:rsidR="00753061">
        <w:t>.</w:t>
      </w:r>
      <w:r w:rsidR="006953A2">
        <w:t xml:space="preserve"> </w:t>
      </w:r>
      <w:r w:rsidR="001C4A37">
        <w:t>The reminder letter will be similar to the initial invitation letter, with modifications to the introductory text.</w:t>
      </w:r>
    </w:p>
    <w:p w14:paraId="5D79958B" w14:textId="2425F101" w:rsidR="000A271E" w:rsidRPr="00DF48C0" w:rsidRDefault="000A271E" w:rsidP="000A271E">
      <w:pPr>
        <w:spacing w:line="360" w:lineRule="auto"/>
        <w:ind w:firstLine="720"/>
        <w:rPr>
          <w:rFonts w:cs="Times New Roman"/>
        </w:rPr>
      </w:pPr>
      <w:r w:rsidRPr="00DF48C0">
        <w:rPr>
          <w:rFonts w:cs="Times New Roman"/>
        </w:rPr>
        <w:t xml:space="preserve">Our main reason for selecting the </w:t>
      </w:r>
      <w:r w:rsidR="00707349">
        <w:rPr>
          <w:rFonts w:cs="Times New Roman"/>
        </w:rPr>
        <w:t>mixed-mode</w:t>
      </w:r>
      <w:r w:rsidRPr="00DF48C0">
        <w:rPr>
          <w:rFonts w:cs="Times New Roman"/>
        </w:rPr>
        <w:t xml:space="preserve"> approach is to avoid the potential inaccuracies associated with data entry from paper surveys where people will write in the location of their last day of recreation. Our review of the literature on relevant </w:t>
      </w:r>
      <w:r w:rsidR="00707349">
        <w:rPr>
          <w:rFonts w:cs="Times New Roman"/>
        </w:rPr>
        <w:t>mixed-mode</w:t>
      </w:r>
      <w:r w:rsidRPr="00DF48C0">
        <w:rPr>
          <w:rFonts w:cs="Times New Roman"/>
        </w:rPr>
        <w:t xml:space="preserve"> surveys indicates that overall response rates compared to a straight mail survey are slightly </w:t>
      </w:r>
      <w:r w:rsidRPr="00E05C2C">
        <w:rPr>
          <w:rFonts w:cs="Times New Roman"/>
        </w:rPr>
        <w:t>lower (Berzelak et al.</w:t>
      </w:r>
      <w:r w:rsidR="001A279A" w:rsidRPr="00E05C2C">
        <w:rPr>
          <w:rFonts w:cs="Times New Roman"/>
        </w:rPr>
        <w:t>,</w:t>
      </w:r>
      <w:r w:rsidRPr="00E05C2C">
        <w:rPr>
          <w:rFonts w:cs="Times New Roman"/>
        </w:rPr>
        <w:t xml:space="preserve"> 2015</w:t>
      </w:r>
      <w:r w:rsidR="001A279A" w:rsidRPr="00E05C2C">
        <w:rPr>
          <w:rFonts w:cs="Times New Roman"/>
        </w:rPr>
        <w:t>;</w:t>
      </w:r>
      <w:r w:rsidRPr="00E05C2C">
        <w:rPr>
          <w:rFonts w:cs="Times New Roman"/>
        </w:rPr>
        <w:t xml:space="preserve"> Edwards et al.</w:t>
      </w:r>
      <w:r w:rsidR="001A279A" w:rsidRPr="00E05C2C">
        <w:rPr>
          <w:rFonts w:cs="Times New Roman"/>
        </w:rPr>
        <w:t>,</w:t>
      </w:r>
      <w:r w:rsidRPr="00E05C2C">
        <w:rPr>
          <w:rFonts w:cs="Times New Roman"/>
        </w:rPr>
        <w:t xml:space="preserve"> 2014</w:t>
      </w:r>
      <w:r w:rsidR="001A279A" w:rsidRPr="00E05C2C">
        <w:rPr>
          <w:rFonts w:cs="Times New Roman"/>
        </w:rPr>
        <w:t>;</w:t>
      </w:r>
      <w:r w:rsidRPr="00E05C2C">
        <w:rPr>
          <w:rFonts w:cs="Times New Roman"/>
        </w:rPr>
        <w:t xml:space="preserve"> Brennan</w:t>
      </w:r>
      <w:r w:rsidR="001A279A" w:rsidRPr="00E05C2C">
        <w:rPr>
          <w:rFonts w:cs="Times New Roman"/>
        </w:rPr>
        <w:t>,</w:t>
      </w:r>
      <w:r w:rsidRPr="00E05C2C">
        <w:rPr>
          <w:rFonts w:cs="Times New Roman"/>
        </w:rPr>
        <w:t xml:space="preserve"> 2011</w:t>
      </w:r>
      <w:r w:rsidR="001A279A" w:rsidRPr="00E05C2C">
        <w:rPr>
          <w:rFonts w:cs="Times New Roman"/>
        </w:rPr>
        <w:t>;</w:t>
      </w:r>
      <w:r w:rsidRPr="00E05C2C">
        <w:rPr>
          <w:rFonts w:cs="Times New Roman"/>
        </w:rPr>
        <w:t xml:space="preserve"> Messer </w:t>
      </w:r>
      <w:r w:rsidR="001A279A" w:rsidRPr="00E05C2C">
        <w:rPr>
          <w:rFonts w:cs="Times New Roman"/>
        </w:rPr>
        <w:t xml:space="preserve">&amp; </w:t>
      </w:r>
      <w:r w:rsidRPr="00E05C2C">
        <w:rPr>
          <w:rFonts w:cs="Times New Roman"/>
        </w:rPr>
        <w:t>Dillman</w:t>
      </w:r>
      <w:r w:rsidR="001A279A" w:rsidRPr="00E05C2C">
        <w:rPr>
          <w:rFonts w:cs="Times New Roman"/>
        </w:rPr>
        <w:t>,</w:t>
      </w:r>
      <w:r w:rsidRPr="00E05C2C">
        <w:rPr>
          <w:rFonts w:cs="Times New Roman"/>
        </w:rPr>
        <w:t xml:space="preserve"> 2011</w:t>
      </w:r>
      <w:r w:rsidR="001A279A" w:rsidRPr="00E05C2C">
        <w:rPr>
          <w:rFonts w:cs="Times New Roman"/>
        </w:rPr>
        <w:t>;</w:t>
      </w:r>
      <w:r w:rsidRPr="00E05C2C">
        <w:rPr>
          <w:rFonts w:cs="Times New Roman"/>
        </w:rPr>
        <w:t xml:space="preserve"> Schmuhl et al.</w:t>
      </w:r>
      <w:r w:rsidR="001A279A" w:rsidRPr="00E05C2C">
        <w:rPr>
          <w:rFonts w:cs="Times New Roman"/>
        </w:rPr>
        <w:t>,</w:t>
      </w:r>
      <w:r w:rsidRPr="00E05C2C">
        <w:rPr>
          <w:rFonts w:cs="Times New Roman"/>
        </w:rPr>
        <w:t xml:space="preserve"> 2010</w:t>
      </w:r>
      <w:r w:rsidR="001A279A" w:rsidRPr="00E05C2C">
        <w:rPr>
          <w:rFonts w:cs="Times New Roman"/>
        </w:rPr>
        <w:t>;</w:t>
      </w:r>
      <w:r w:rsidRPr="00E05C2C">
        <w:rPr>
          <w:rFonts w:cs="Times New Roman"/>
        </w:rPr>
        <w:t xml:space="preserve"> Hohwu et al</w:t>
      </w:r>
      <w:r w:rsidR="001A279A" w:rsidRPr="00E05C2C">
        <w:rPr>
          <w:rFonts w:cs="Times New Roman"/>
        </w:rPr>
        <w:t>.,</w:t>
      </w:r>
      <w:r w:rsidRPr="00E05C2C">
        <w:rPr>
          <w:rFonts w:cs="Times New Roman"/>
        </w:rPr>
        <w:t xml:space="preserve"> 2013). </w:t>
      </w:r>
      <w:r w:rsidR="006953A2" w:rsidRPr="00E05C2C">
        <w:rPr>
          <w:rFonts w:cs="Times New Roman"/>
        </w:rPr>
        <w:t>W</w:t>
      </w:r>
      <w:r w:rsidRPr="00E05C2C">
        <w:rPr>
          <w:rFonts w:cs="Times New Roman"/>
        </w:rPr>
        <w:t>e expect the</w:t>
      </w:r>
      <w:r w:rsidRPr="00DF48C0">
        <w:rPr>
          <w:rFonts w:cs="Times New Roman"/>
        </w:rPr>
        <w:t xml:space="preserve"> improvements in data accuracy</w:t>
      </w:r>
      <w:r w:rsidR="00FD27EF">
        <w:rPr>
          <w:rFonts w:cs="Times New Roman"/>
        </w:rPr>
        <w:t>,</w:t>
      </w:r>
      <w:r w:rsidRPr="00DF48C0">
        <w:rPr>
          <w:rFonts w:cs="Times New Roman"/>
        </w:rPr>
        <w:t xml:space="preserve"> leading to more usable responses and reductions in costs of data handling</w:t>
      </w:r>
      <w:r w:rsidR="00FD27EF">
        <w:rPr>
          <w:rFonts w:cs="Times New Roman"/>
        </w:rPr>
        <w:t>,</w:t>
      </w:r>
      <w:r w:rsidRPr="00DF48C0">
        <w:rPr>
          <w:rFonts w:cs="Times New Roman"/>
        </w:rPr>
        <w:t xml:space="preserve"> will </w:t>
      </w:r>
      <w:r w:rsidR="006953A2">
        <w:rPr>
          <w:rFonts w:cs="Times New Roman"/>
        </w:rPr>
        <w:t>compensate for</w:t>
      </w:r>
      <w:r w:rsidRPr="00DF48C0">
        <w:rPr>
          <w:rFonts w:cs="Times New Roman"/>
        </w:rPr>
        <w:t xml:space="preserve"> a small decrease in response rate. </w:t>
      </w:r>
      <w:r w:rsidR="006953A2">
        <w:rPr>
          <w:rFonts w:cs="Times New Roman"/>
        </w:rPr>
        <w:t>A</w:t>
      </w:r>
      <w:r w:rsidRPr="00DF48C0">
        <w:rPr>
          <w:rFonts w:cs="Times New Roman"/>
        </w:rPr>
        <w:t xml:space="preserve"> similar number of responses from paper surveys using a mail-only approach </w:t>
      </w:r>
      <w:r w:rsidR="006953A2">
        <w:rPr>
          <w:rFonts w:cs="Times New Roman"/>
        </w:rPr>
        <w:t xml:space="preserve">may be unusable </w:t>
      </w:r>
      <w:r w:rsidRPr="00DF48C0">
        <w:rPr>
          <w:rFonts w:cs="Times New Roman"/>
        </w:rPr>
        <w:t>due to the inability to identify the recreation location</w:t>
      </w:r>
      <w:r w:rsidR="00635A5F">
        <w:rPr>
          <w:rFonts w:cs="Times New Roman"/>
        </w:rPr>
        <w:t xml:space="preserve"> precisely</w:t>
      </w:r>
      <w:r w:rsidRPr="00DF48C0">
        <w:rPr>
          <w:rFonts w:cs="Times New Roman"/>
        </w:rPr>
        <w:t xml:space="preserve"> enough to connect to water quality. As part of our research, we intend to report on these results by comparing the time and cost of preparing the data and the loss of usable responses from the paper surveys to the time, cost, and usable responses from the web surveys. Our literature review of relevant </w:t>
      </w:r>
      <w:r w:rsidR="00707349">
        <w:rPr>
          <w:rFonts w:cs="Times New Roman"/>
        </w:rPr>
        <w:t>mixed-mode</w:t>
      </w:r>
      <w:r w:rsidRPr="00DF48C0">
        <w:rPr>
          <w:rFonts w:cs="Times New Roman"/>
        </w:rPr>
        <w:t xml:space="preserve"> studies using a mail invitation to a web survey, followed up with a paper survey, indicate that from 61% to 76% of total responses to these surveys are completed on the web (Berzelak et al.</w:t>
      </w:r>
      <w:r w:rsidR="00483B3A">
        <w:rPr>
          <w:rFonts w:cs="Times New Roman"/>
        </w:rPr>
        <w:t>,</w:t>
      </w:r>
      <w:r w:rsidRPr="00DF48C0">
        <w:rPr>
          <w:rFonts w:cs="Times New Roman"/>
        </w:rPr>
        <w:t xml:space="preserve"> 2015</w:t>
      </w:r>
      <w:r w:rsidR="00483B3A">
        <w:rPr>
          <w:rFonts w:cs="Times New Roman"/>
        </w:rPr>
        <w:t>;</w:t>
      </w:r>
      <w:r w:rsidRPr="00DF48C0">
        <w:rPr>
          <w:rFonts w:cs="Times New Roman"/>
        </w:rPr>
        <w:t xml:space="preserve"> Edwards et al.</w:t>
      </w:r>
      <w:r w:rsidR="00483B3A">
        <w:rPr>
          <w:rFonts w:cs="Times New Roman"/>
        </w:rPr>
        <w:t>,</w:t>
      </w:r>
      <w:r w:rsidRPr="00DF48C0">
        <w:rPr>
          <w:rFonts w:cs="Times New Roman"/>
        </w:rPr>
        <w:t xml:space="preserve"> 2014</w:t>
      </w:r>
      <w:r w:rsidR="00483B3A">
        <w:rPr>
          <w:rFonts w:cs="Times New Roman"/>
        </w:rPr>
        <w:t>;</w:t>
      </w:r>
      <w:r w:rsidRPr="00DF48C0">
        <w:rPr>
          <w:rFonts w:cs="Times New Roman"/>
        </w:rPr>
        <w:t xml:space="preserve"> Brennan</w:t>
      </w:r>
      <w:r w:rsidR="00483B3A">
        <w:rPr>
          <w:rFonts w:cs="Times New Roman"/>
        </w:rPr>
        <w:t>,</w:t>
      </w:r>
      <w:r w:rsidRPr="00DF48C0">
        <w:rPr>
          <w:rFonts w:cs="Times New Roman"/>
        </w:rPr>
        <w:t xml:space="preserve"> 2011</w:t>
      </w:r>
      <w:r w:rsidR="00483B3A">
        <w:rPr>
          <w:rFonts w:cs="Times New Roman"/>
        </w:rPr>
        <w:t>;</w:t>
      </w:r>
      <w:r w:rsidRPr="00DF48C0">
        <w:rPr>
          <w:rFonts w:cs="Times New Roman"/>
        </w:rPr>
        <w:t xml:space="preserve"> Messer and Dillman</w:t>
      </w:r>
      <w:r w:rsidR="00483B3A">
        <w:rPr>
          <w:rFonts w:cs="Times New Roman"/>
        </w:rPr>
        <w:t>,</w:t>
      </w:r>
      <w:r w:rsidRPr="00DF48C0">
        <w:rPr>
          <w:rFonts w:cs="Times New Roman"/>
        </w:rPr>
        <w:t xml:space="preserve"> 2011). Messer and Dillman (2011) also found that respondent demographics for the </w:t>
      </w:r>
      <w:r w:rsidR="00707349">
        <w:rPr>
          <w:rFonts w:cs="Times New Roman"/>
        </w:rPr>
        <w:t>mixed-mode</w:t>
      </w:r>
      <w:r w:rsidRPr="00DF48C0">
        <w:rPr>
          <w:rFonts w:cs="Times New Roman"/>
        </w:rPr>
        <w:t xml:space="preserve"> sample were similar to those of mail only. </w:t>
      </w:r>
    </w:p>
    <w:p w14:paraId="1C6AD0B0" w14:textId="77777777" w:rsidR="000A271E" w:rsidRPr="00DF48C0" w:rsidRDefault="000A271E" w:rsidP="000A271E">
      <w:pPr>
        <w:spacing w:line="360" w:lineRule="auto"/>
        <w:ind w:firstLine="720"/>
        <w:rPr>
          <w:rFonts w:cs="Times New Roman"/>
        </w:rPr>
      </w:pPr>
      <w:r w:rsidRPr="00DF48C0">
        <w:rPr>
          <w:rFonts w:cs="Times New Roman"/>
        </w:rPr>
        <w:t xml:space="preserve">We anticipate that there could be differences between the paper responses and internet responses, and intend to test for this in our statistical modeling. We hypothesize, based on existing literature, that people who respond by paper may have different demographics </w:t>
      </w:r>
      <w:r w:rsidR="006953A2">
        <w:rPr>
          <w:rFonts w:cs="Times New Roman"/>
        </w:rPr>
        <w:t xml:space="preserve">(e.g., older population) </w:t>
      </w:r>
      <w:r w:rsidRPr="00DF48C0">
        <w:rPr>
          <w:rFonts w:cs="Times New Roman"/>
        </w:rPr>
        <w:t>and</w:t>
      </w:r>
      <w:r w:rsidR="006953A2">
        <w:rPr>
          <w:rFonts w:cs="Times New Roman"/>
        </w:rPr>
        <w:t>, as a result,</w:t>
      </w:r>
      <w:r w:rsidRPr="00DF48C0">
        <w:rPr>
          <w:rFonts w:cs="Times New Roman"/>
        </w:rPr>
        <w:t xml:space="preserve"> possibly different preferences. However, we do not expect the willingness to pay estimates to be biased for these people. What we do expect is </w:t>
      </w:r>
      <w:r w:rsidR="00A30E01">
        <w:rPr>
          <w:rFonts w:cs="Times New Roman"/>
        </w:rPr>
        <w:t>a possible</w:t>
      </w:r>
      <w:r w:rsidRPr="00DF48C0">
        <w:rPr>
          <w:rFonts w:cs="Times New Roman"/>
        </w:rPr>
        <w:t xml:space="preserve"> lower accuracy in identifying the location of their last recreation trip. So, it is possible that we may have slightly less accurate estimates of travel costs for these people if, for example, we can only identify the town where they recreated rather than a specific beach. We may also lose some observations if we cannot identify the location accurately enough to connect to water quality measures. </w:t>
      </w:r>
    </w:p>
    <w:p w14:paraId="5077A5EF" w14:textId="1F6C453F" w:rsidR="00267FFE" w:rsidRDefault="00FE0E2B" w:rsidP="00FE0E2B">
      <w:pPr>
        <w:spacing w:line="360" w:lineRule="auto"/>
        <w:ind w:firstLine="720"/>
        <w:rPr>
          <w:rFonts w:cs="Times New Roman"/>
        </w:rPr>
      </w:pPr>
      <w:r w:rsidRPr="00DF48C0">
        <w:rPr>
          <w:rFonts w:cs="Times New Roman"/>
        </w:rPr>
        <w:t xml:space="preserve">EPA will take multiple steps to promote response. </w:t>
      </w:r>
      <w:r w:rsidR="001C3CC0">
        <w:rPr>
          <w:rFonts w:cs="Times New Roman"/>
        </w:rPr>
        <w:t xml:space="preserve">Respondents will be sent </w:t>
      </w:r>
      <w:r w:rsidR="005908DB" w:rsidRPr="00DF48C0">
        <w:rPr>
          <w:rFonts w:cs="Times New Roman"/>
        </w:rPr>
        <w:t xml:space="preserve">a </w:t>
      </w:r>
      <w:r w:rsidRPr="00DF48C0">
        <w:rPr>
          <w:rFonts w:cs="Times New Roman"/>
        </w:rPr>
        <w:t>reminder</w:t>
      </w:r>
      <w:r w:rsidR="00BE6D69">
        <w:rPr>
          <w:rFonts w:cs="Times New Roman"/>
        </w:rPr>
        <w:t xml:space="preserve"> letter</w:t>
      </w:r>
      <w:r w:rsidRPr="00DF48C0">
        <w:rPr>
          <w:rFonts w:cs="Times New Roman"/>
        </w:rPr>
        <w:t xml:space="preserve"> </w:t>
      </w:r>
      <w:r w:rsidRPr="00547404">
        <w:rPr>
          <w:rFonts w:cs="Times New Roman"/>
        </w:rPr>
        <w:t>approximately one week</w:t>
      </w:r>
      <w:r w:rsidRPr="00DF48C0">
        <w:rPr>
          <w:rFonts w:cs="Times New Roman"/>
        </w:rPr>
        <w:t xml:space="preserve"> after the initial </w:t>
      </w:r>
      <w:r w:rsidR="000A271E" w:rsidRPr="00DF48C0">
        <w:rPr>
          <w:rFonts w:cs="Times New Roman"/>
        </w:rPr>
        <w:t xml:space="preserve">letter </w:t>
      </w:r>
      <w:r w:rsidRPr="00DF48C0">
        <w:rPr>
          <w:rFonts w:cs="Times New Roman"/>
        </w:rPr>
        <w:t xml:space="preserve">mailing. Approximately three weeks after the </w:t>
      </w:r>
      <w:r w:rsidR="00B03014" w:rsidRPr="00DF48C0">
        <w:rPr>
          <w:rFonts w:cs="Times New Roman"/>
        </w:rPr>
        <w:t>request to complete the web survey</w:t>
      </w:r>
      <w:r w:rsidRPr="00DF48C0">
        <w:rPr>
          <w:rFonts w:cs="Times New Roman"/>
        </w:rPr>
        <w:t xml:space="preserve">, all households that have not responded will receive a copy of the </w:t>
      </w:r>
      <w:r w:rsidR="00B03014" w:rsidRPr="00DF48C0">
        <w:rPr>
          <w:rFonts w:cs="Times New Roman"/>
        </w:rPr>
        <w:t xml:space="preserve">paper </w:t>
      </w:r>
      <w:r w:rsidRPr="00DF48C0">
        <w:rPr>
          <w:rFonts w:cs="Times New Roman"/>
        </w:rPr>
        <w:t>questionnaire with a cover letter.</w:t>
      </w:r>
      <w:r w:rsidR="004B5D91" w:rsidRPr="00DF48C0">
        <w:rPr>
          <w:rFonts w:cs="Times New Roman"/>
        </w:rPr>
        <w:t xml:space="preserve"> </w:t>
      </w:r>
      <w:r w:rsidR="006953A2">
        <w:rPr>
          <w:rFonts w:cs="Times New Roman"/>
        </w:rPr>
        <w:t>The cover</w:t>
      </w:r>
      <w:r w:rsidRPr="00DF48C0">
        <w:rPr>
          <w:rFonts w:cs="Times New Roman"/>
        </w:rPr>
        <w:t xml:space="preserve"> letter will remind households to complete the survey.</w:t>
      </w:r>
      <w:r w:rsidR="004B5D91" w:rsidRPr="00DF48C0">
        <w:rPr>
          <w:rFonts w:cs="Times New Roman"/>
        </w:rPr>
        <w:t xml:space="preserve"> </w:t>
      </w:r>
      <w:r w:rsidRPr="00DF48C0">
        <w:rPr>
          <w:rFonts w:cs="Times New Roman"/>
        </w:rPr>
        <w:t xml:space="preserve">Based on this approach to </w:t>
      </w:r>
      <w:r w:rsidR="00707349">
        <w:rPr>
          <w:rFonts w:cs="Times New Roman"/>
        </w:rPr>
        <w:t>mixed-mode</w:t>
      </w:r>
      <w:r w:rsidR="00B03014" w:rsidRPr="00DF48C0">
        <w:rPr>
          <w:rFonts w:cs="Times New Roman"/>
        </w:rPr>
        <w:t xml:space="preserve"> </w:t>
      </w:r>
      <w:r w:rsidRPr="00DF48C0">
        <w:rPr>
          <w:rFonts w:cs="Times New Roman"/>
        </w:rPr>
        <w:t xml:space="preserve">data collection, it is anticipated that </w:t>
      </w:r>
      <w:r w:rsidRPr="00A041B1">
        <w:rPr>
          <w:rFonts w:cs="Times New Roman"/>
        </w:rPr>
        <w:t>approximately</w:t>
      </w:r>
      <w:r w:rsidR="006953A2" w:rsidRPr="00A041B1">
        <w:rPr>
          <w:rFonts w:cs="Times New Roman"/>
        </w:rPr>
        <w:t xml:space="preserve"> 27</w:t>
      </w:r>
      <w:r w:rsidRPr="00A041B1">
        <w:rPr>
          <w:rFonts w:cs="Times New Roman"/>
        </w:rPr>
        <w:t xml:space="preserve"> percent of</w:t>
      </w:r>
      <w:r w:rsidRPr="00DF48C0">
        <w:rPr>
          <w:rFonts w:cs="Times New Roman"/>
        </w:rPr>
        <w:t xml:space="preserve"> the selected households</w:t>
      </w:r>
      <w:r w:rsidR="00FD7A26">
        <w:rPr>
          <w:rFonts w:cs="Times New Roman"/>
        </w:rPr>
        <w:t xml:space="preserve"> who received the survey invitation</w:t>
      </w:r>
      <w:r w:rsidRPr="00DF48C0">
        <w:rPr>
          <w:rFonts w:cs="Times New Roman"/>
        </w:rPr>
        <w:t xml:space="preserve"> will </w:t>
      </w:r>
      <w:r w:rsidR="00B03014" w:rsidRPr="00DF48C0">
        <w:rPr>
          <w:rFonts w:cs="Times New Roman"/>
        </w:rPr>
        <w:t xml:space="preserve">either complete the web survey or </w:t>
      </w:r>
      <w:r w:rsidRPr="00DF48C0">
        <w:rPr>
          <w:rFonts w:cs="Times New Roman"/>
        </w:rPr>
        <w:t xml:space="preserve">return </w:t>
      </w:r>
      <w:r w:rsidR="00FD7A26">
        <w:rPr>
          <w:rFonts w:cs="Times New Roman"/>
        </w:rPr>
        <w:t xml:space="preserve">a </w:t>
      </w:r>
      <w:r w:rsidRPr="00DF48C0">
        <w:rPr>
          <w:rFonts w:cs="Times New Roman"/>
        </w:rPr>
        <w:t xml:space="preserve">completed </w:t>
      </w:r>
      <w:r w:rsidR="00FD7A26">
        <w:rPr>
          <w:rFonts w:cs="Times New Roman"/>
        </w:rPr>
        <w:t xml:space="preserve">paper </w:t>
      </w:r>
      <w:r w:rsidRPr="00DF48C0">
        <w:rPr>
          <w:rFonts w:cs="Times New Roman"/>
        </w:rPr>
        <w:t>survey (</w:t>
      </w:r>
      <w:r w:rsidR="00607A62" w:rsidRPr="00547404">
        <w:rPr>
          <w:rFonts w:cs="Times New Roman"/>
        </w:rPr>
        <w:t>Brennan, 2011; Edwards, 2014; Messer and Dillman, 2011</w:t>
      </w:r>
      <w:r w:rsidRPr="00DF48C0">
        <w:rPr>
          <w:rFonts w:cs="Times New Roman"/>
        </w:rPr>
        <w:t>).</w:t>
      </w:r>
      <w:r w:rsidR="004B5D91" w:rsidRPr="00DF48C0">
        <w:rPr>
          <w:rFonts w:cs="Times New Roman"/>
        </w:rPr>
        <w:t xml:space="preserve"> </w:t>
      </w:r>
    </w:p>
    <w:p w14:paraId="20E1476E" w14:textId="0A17FE09" w:rsidR="00FE0E2B" w:rsidRPr="00DF48C0" w:rsidRDefault="00FE0E2B" w:rsidP="00FE0E2B">
      <w:pPr>
        <w:spacing w:line="360" w:lineRule="auto"/>
        <w:ind w:firstLine="720"/>
        <w:rPr>
          <w:rFonts w:cs="Times New Roman"/>
        </w:rPr>
      </w:pPr>
      <w:r w:rsidRPr="00DF48C0">
        <w:rPr>
          <w:rFonts w:cs="Times New Roman"/>
        </w:rPr>
        <w:t xml:space="preserve">Since the desired number of completed surveys </w:t>
      </w:r>
      <w:r w:rsidR="00267FFE">
        <w:rPr>
          <w:rFonts w:cs="Times New Roman"/>
        </w:rPr>
        <w:t xml:space="preserve">for the general population </w:t>
      </w:r>
      <w:r w:rsidRPr="00DF48C0">
        <w:rPr>
          <w:rFonts w:cs="Times New Roman"/>
        </w:rPr>
        <w:t xml:space="preserve">is </w:t>
      </w:r>
      <w:r w:rsidR="00267FFE">
        <w:rPr>
          <w:rFonts w:cs="Times New Roman"/>
        </w:rPr>
        <w:t>2,16</w:t>
      </w:r>
      <w:r w:rsidR="00473CC0">
        <w:rPr>
          <w:rFonts w:cs="Times New Roman"/>
        </w:rPr>
        <w:t>3</w:t>
      </w:r>
      <w:r w:rsidRPr="00DF48C0">
        <w:rPr>
          <w:rFonts w:cs="Times New Roman"/>
        </w:rPr>
        <w:t>, it will be necessary to mail survey</w:t>
      </w:r>
      <w:r w:rsidR="00253DCD">
        <w:rPr>
          <w:rFonts w:cs="Times New Roman"/>
        </w:rPr>
        <w:t xml:space="preserve"> invitations</w:t>
      </w:r>
      <w:r w:rsidRPr="00DF48C0">
        <w:rPr>
          <w:rFonts w:cs="Times New Roman"/>
        </w:rPr>
        <w:t xml:space="preserve"> to </w:t>
      </w:r>
      <w:r w:rsidR="006953A2">
        <w:rPr>
          <w:rFonts w:cs="Times New Roman"/>
        </w:rPr>
        <w:t>9,</w:t>
      </w:r>
      <w:r w:rsidR="00267FFE">
        <w:rPr>
          <w:rFonts w:cs="Times New Roman"/>
        </w:rPr>
        <w:t>15</w:t>
      </w:r>
      <w:r w:rsidR="006953A2">
        <w:rPr>
          <w:rFonts w:cs="Times New Roman"/>
        </w:rPr>
        <w:t>0</w:t>
      </w:r>
      <w:r w:rsidR="006953A2" w:rsidRPr="00DF48C0">
        <w:rPr>
          <w:rFonts w:cs="Times New Roman"/>
        </w:rPr>
        <w:t xml:space="preserve"> </w:t>
      </w:r>
      <w:r w:rsidRPr="00DF48C0">
        <w:rPr>
          <w:rFonts w:cs="Times New Roman"/>
        </w:rPr>
        <w:t xml:space="preserve">households, assuming that </w:t>
      </w:r>
      <w:r w:rsidR="0071656A">
        <w:rPr>
          <w:rFonts w:cs="Times New Roman"/>
        </w:rPr>
        <w:t xml:space="preserve">a portion of the </w:t>
      </w:r>
      <w:r w:rsidRPr="00DF48C0">
        <w:rPr>
          <w:rFonts w:cs="Times New Roman"/>
        </w:rPr>
        <w:t xml:space="preserve">addresses will </w:t>
      </w:r>
      <w:r w:rsidR="0071656A">
        <w:rPr>
          <w:rFonts w:cs="Times New Roman"/>
        </w:rPr>
        <w:t xml:space="preserve">not </w:t>
      </w:r>
      <w:r w:rsidRPr="00DF48C0">
        <w:rPr>
          <w:rFonts w:cs="Times New Roman"/>
        </w:rPr>
        <w:t>be valid</w:t>
      </w:r>
      <w:r w:rsidR="00267FFE">
        <w:rPr>
          <w:rFonts w:cs="Times New Roman"/>
        </w:rPr>
        <w:t xml:space="preserve"> (with county-level variations)</w:t>
      </w:r>
      <w:r w:rsidRPr="00DF48C0">
        <w:rPr>
          <w:rFonts w:cs="Times New Roman"/>
        </w:rPr>
        <w:t>.</w:t>
      </w:r>
      <w:r w:rsidR="00267FFE">
        <w:rPr>
          <w:rFonts w:cs="Times New Roman"/>
        </w:rPr>
        <w:t xml:space="preserve"> </w:t>
      </w:r>
    </w:p>
    <w:p w14:paraId="7D7E1BED" w14:textId="77777777" w:rsidR="00FE0E2B" w:rsidRPr="00DF48C0" w:rsidRDefault="00FE0E2B" w:rsidP="00FE0E2B">
      <w:pPr>
        <w:spacing w:line="360" w:lineRule="auto"/>
        <w:ind w:firstLine="720"/>
        <w:rPr>
          <w:rFonts w:cs="Times New Roman"/>
        </w:rPr>
      </w:pPr>
      <w:r w:rsidRPr="00DF48C0">
        <w:rPr>
          <w:rFonts w:cs="Times New Roman"/>
        </w:rPr>
        <w:t>Data quality will be monitored by checking submitted surveys f</w:t>
      </w:r>
      <w:r w:rsidR="00B03014" w:rsidRPr="00DF48C0">
        <w:rPr>
          <w:rFonts w:cs="Times New Roman"/>
        </w:rPr>
        <w:t>or completeness and consistency</w:t>
      </w:r>
      <w:r w:rsidRPr="00DF48C0">
        <w:rPr>
          <w:rFonts w:cs="Times New Roman"/>
        </w:rPr>
        <w:t>.</w:t>
      </w:r>
      <w:r w:rsidR="004B5D91" w:rsidRPr="00DF48C0">
        <w:rPr>
          <w:rFonts w:cs="Times New Roman"/>
        </w:rPr>
        <w:t xml:space="preserve"> </w:t>
      </w:r>
      <w:r w:rsidRPr="00DF48C0">
        <w:rPr>
          <w:rFonts w:cs="Times New Roman"/>
        </w:rPr>
        <w:t>Responses to the survey will be stored in an electronic database.</w:t>
      </w:r>
      <w:r w:rsidR="004B5D91" w:rsidRPr="00DF48C0">
        <w:rPr>
          <w:rFonts w:cs="Times New Roman"/>
        </w:rPr>
        <w:t xml:space="preserve"> </w:t>
      </w:r>
      <w:r w:rsidRPr="00DF48C0">
        <w:rPr>
          <w:rFonts w:cs="Times New Roman"/>
        </w:rPr>
        <w:t xml:space="preserve">This database will be used to generate a data set for a </w:t>
      </w:r>
      <w:r w:rsidR="00B03014" w:rsidRPr="00DF48C0">
        <w:rPr>
          <w:rFonts w:cs="Times New Roman"/>
        </w:rPr>
        <w:t xml:space="preserve">RUM </w:t>
      </w:r>
      <w:r w:rsidRPr="00DF48C0">
        <w:rPr>
          <w:rFonts w:cs="Times New Roman"/>
        </w:rPr>
        <w:t xml:space="preserve">model of </w:t>
      </w:r>
      <w:r w:rsidR="00B03014" w:rsidRPr="00DF48C0">
        <w:rPr>
          <w:rFonts w:cs="Times New Roman"/>
        </w:rPr>
        <w:t xml:space="preserve">recreational </w:t>
      </w:r>
      <w:r w:rsidRPr="00DF48C0">
        <w:rPr>
          <w:rFonts w:cs="Times New Roman"/>
        </w:rPr>
        <w:t>values for ecosystem improvements</w:t>
      </w:r>
      <w:r w:rsidR="00B03014" w:rsidRPr="00DF48C0">
        <w:rPr>
          <w:rFonts w:cs="Times New Roman"/>
        </w:rPr>
        <w:t xml:space="preserve">, and regression models to </w:t>
      </w:r>
      <w:r w:rsidR="000A271E" w:rsidRPr="00DF48C0">
        <w:rPr>
          <w:rFonts w:cs="Times New Roman"/>
        </w:rPr>
        <w:t>compare water quality perceptions to objective measures and to explore how water quality perceptions and sense of place are related.</w:t>
      </w:r>
      <w:r w:rsidR="00A041B1">
        <w:rPr>
          <w:rFonts w:cs="Times New Roman"/>
        </w:rPr>
        <w:t xml:space="preserve"> </w:t>
      </w:r>
      <w:r w:rsidRPr="00DF48C0">
        <w:rPr>
          <w:rFonts w:cs="Times New Roman"/>
        </w:rPr>
        <w:t>To protect the confidentiality of survey respondents, the survey data will be released only after it has been thoroughly vetted to ensure that all potentially identifying information has been removed.</w:t>
      </w:r>
      <w:r w:rsidR="004B5D91" w:rsidRPr="00DF48C0">
        <w:rPr>
          <w:rFonts w:cs="Times New Roman"/>
        </w:rPr>
        <w:t xml:space="preserve"> </w:t>
      </w:r>
    </w:p>
    <w:p w14:paraId="6A02528C" w14:textId="77777777" w:rsidR="00FE0E2B" w:rsidRPr="00DF48C0" w:rsidRDefault="00FE0E2B" w:rsidP="00FE0E2B">
      <w:pPr>
        <w:spacing w:line="360" w:lineRule="auto"/>
        <w:rPr>
          <w:rFonts w:cs="Times New Roman"/>
        </w:rPr>
      </w:pPr>
    </w:p>
    <w:p w14:paraId="7625C402" w14:textId="77777777" w:rsidR="00FE0E2B" w:rsidRPr="00DF48C0" w:rsidRDefault="00FE0E2B" w:rsidP="00FE0E2B">
      <w:pPr>
        <w:pStyle w:val="Heading3"/>
        <w:rPr>
          <w:sz w:val="22"/>
          <w:szCs w:val="22"/>
        </w:rPr>
      </w:pPr>
      <w:bookmarkStart w:id="46" w:name="_Toc326736653"/>
      <w:bookmarkStart w:id="47" w:name="_Toc473195095"/>
      <w:r w:rsidRPr="00DF48C0">
        <w:rPr>
          <w:sz w:val="22"/>
          <w:szCs w:val="22"/>
        </w:rPr>
        <w:t>5(c)</w:t>
      </w:r>
      <w:r w:rsidRPr="00DF48C0">
        <w:rPr>
          <w:sz w:val="22"/>
          <w:szCs w:val="22"/>
        </w:rPr>
        <w:tab/>
        <w:t>Small Entity Flexibility</w:t>
      </w:r>
      <w:bookmarkEnd w:id="46"/>
      <w:bookmarkEnd w:id="47"/>
    </w:p>
    <w:p w14:paraId="21DD8A4C" w14:textId="77777777" w:rsidR="00FE0E2B" w:rsidRPr="00DF48C0" w:rsidRDefault="00FE0E2B" w:rsidP="00FE0E2B">
      <w:pPr>
        <w:spacing w:line="360" w:lineRule="auto"/>
        <w:rPr>
          <w:rFonts w:cs="Times New Roman"/>
        </w:rPr>
      </w:pPr>
    </w:p>
    <w:p w14:paraId="4B0F4BF7" w14:textId="77777777" w:rsidR="00FE0E2B" w:rsidRPr="00DF48C0" w:rsidRDefault="00FE0E2B" w:rsidP="00FE0E2B">
      <w:pPr>
        <w:spacing w:line="360" w:lineRule="auto"/>
        <w:ind w:firstLine="720"/>
        <w:rPr>
          <w:rFonts w:cs="Times New Roman"/>
        </w:rPr>
      </w:pPr>
      <w:r w:rsidRPr="00DF48C0">
        <w:rPr>
          <w:rFonts w:cs="Times New Roman"/>
        </w:rPr>
        <w:t>This survey will be administered to individuals, not businesses.</w:t>
      </w:r>
      <w:r w:rsidR="004B5D91" w:rsidRPr="00DF48C0">
        <w:rPr>
          <w:rFonts w:cs="Times New Roman"/>
        </w:rPr>
        <w:t xml:space="preserve"> </w:t>
      </w:r>
      <w:r w:rsidRPr="00DF48C0">
        <w:rPr>
          <w:rFonts w:cs="Times New Roman"/>
        </w:rPr>
        <w:t>Thus, no small entities will be affected by this information collection.</w:t>
      </w:r>
    </w:p>
    <w:p w14:paraId="24E23213" w14:textId="77777777" w:rsidR="00FE0E2B" w:rsidRPr="00DF48C0" w:rsidRDefault="00FE0E2B" w:rsidP="00FE0E2B">
      <w:pPr>
        <w:spacing w:line="360" w:lineRule="auto"/>
        <w:rPr>
          <w:rFonts w:cs="Times New Roman"/>
        </w:rPr>
      </w:pPr>
    </w:p>
    <w:p w14:paraId="14A7D999" w14:textId="77777777" w:rsidR="00FE0E2B" w:rsidRPr="00DF48C0" w:rsidRDefault="00FE0E2B" w:rsidP="00FE0E2B">
      <w:pPr>
        <w:pStyle w:val="Heading3"/>
        <w:rPr>
          <w:sz w:val="22"/>
          <w:szCs w:val="22"/>
        </w:rPr>
      </w:pPr>
      <w:bookmarkStart w:id="48" w:name="_Toc326736654"/>
      <w:bookmarkStart w:id="49" w:name="_Toc473195096"/>
      <w:r w:rsidRPr="00DF48C0">
        <w:rPr>
          <w:sz w:val="22"/>
          <w:szCs w:val="22"/>
        </w:rPr>
        <w:t>5(d)</w:t>
      </w:r>
      <w:r w:rsidRPr="00DF48C0">
        <w:rPr>
          <w:sz w:val="22"/>
          <w:szCs w:val="22"/>
        </w:rPr>
        <w:tab/>
        <w:t>Collection Schedule</w:t>
      </w:r>
      <w:bookmarkEnd w:id="48"/>
      <w:bookmarkEnd w:id="49"/>
    </w:p>
    <w:p w14:paraId="06537C21" w14:textId="77777777" w:rsidR="00FE0E2B" w:rsidRPr="00DF48C0" w:rsidRDefault="00FE0E2B" w:rsidP="00FE0E2B">
      <w:pPr>
        <w:pStyle w:val="BodyTextI2"/>
        <w:rPr>
          <w:sz w:val="22"/>
          <w:szCs w:val="22"/>
        </w:rPr>
      </w:pPr>
      <w:r w:rsidRPr="00FF447A">
        <w:rPr>
          <w:sz w:val="22"/>
          <w:szCs w:val="22"/>
        </w:rPr>
        <w:t>The schedule for implementation of the survey is shown in Table A2.</w:t>
      </w:r>
      <w:r w:rsidR="004B5D91" w:rsidRPr="00DF48C0">
        <w:rPr>
          <w:sz w:val="22"/>
          <w:szCs w:val="22"/>
        </w:rPr>
        <w:t xml:space="preserve"> </w:t>
      </w:r>
    </w:p>
    <w:p w14:paraId="7D2F0709" w14:textId="77777777" w:rsidR="00FE0E2B" w:rsidRPr="00DF48C0" w:rsidRDefault="00FE0E2B" w:rsidP="00FE0E2B">
      <w:pPr>
        <w:spacing w:line="360" w:lineRule="auto"/>
        <w:rPr>
          <w:rFonts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58" w:type="dxa"/>
          <w:right w:w="115" w:type="dxa"/>
        </w:tblCellMar>
        <w:tblLook w:val="0000" w:firstRow="0" w:lastRow="0" w:firstColumn="0" w:lastColumn="0" w:noHBand="0" w:noVBand="0"/>
      </w:tblPr>
      <w:tblGrid>
        <w:gridCol w:w="6229"/>
        <w:gridCol w:w="2778"/>
      </w:tblGrid>
      <w:tr w:rsidR="006953A2" w:rsidRPr="00FE0E2B" w14:paraId="4DB0D01D" w14:textId="77777777" w:rsidTr="00FF447A">
        <w:trPr>
          <w:trHeight w:val="316"/>
          <w:jc w:val="center"/>
        </w:trPr>
        <w:tc>
          <w:tcPr>
            <w:tcW w:w="9007" w:type="dxa"/>
            <w:gridSpan w:val="2"/>
            <w:shd w:val="clear" w:color="auto" w:fill="auto"/>
            <w:vAlign w:val="center"/>
          </w:tcPr>
          <w:p w14:paraId="102DF230" w14:textId="77777777" w:rsidR="006953A2" w:rsidRPr="00600CC9" w:rsidRDefault="006953A2" w:rsidP="00330EF8">
            <w:pPr>
              <w:rPr>
                <w:b/>
                <w:highlight w:val="green"/>
              </w:rPr>
            </w:pPr>
            <w:r w:rsidRPr="00FF447A">
              <w:rPr>
                <w:b/>
              </w:rPr>
              <w:t>Table A2: Schedule for Survey Implementation</w:t>
            </w:r>
          </w:p>
        </w:tc>
      </w:tr>
      <w:tr w:rsidR="006953A2" w:rsidRPr="00FE0E2B" w14:paraId="33EB196A" w14:textId="77777777">
        <w:trPr>
          <w:trHeight w:val="325"/>
          <w:jc w:val="center"/>
        </w:trPr>
        <w:tc>
          <w:tcPr>
            <w:tcW w:w="6229" w:type="dxa"/>
            <w:vAlign w:val="bottom"/>
          </w:tcPr>
          <w:p w14:paraId="132CB69D" w14:textId="77777777" w:rsidR="006953A2" w:rsidRPr="00FE0E2B" w:rsidRDefault="006953A2" w:rsidP="00330EF8">
            <w:pPr>
              <w:keepNext/>
              <w:jc w:val="center"/>
              <w:rPr>
                <w:b/>
                <w:bCs/>
              </w:rPr>
            </w:pPr>
            <w:r w:rsidRPr="00FE0E2B">
              <w:rPr>
                <w:b/>
                <w:bCs/>
              </w:rPr>
              <w:t xml:space="preserve">Pretest Activities </w:t>
            </w:r>
          </w:p>
        </w:tc>
        <w:tc>
          <w:tcPr>
            <w:tcW w:w="2778" w:type="dxa"/>
            <w:shd w:val="clear" w:color="auto" w:fill="auto"/>
            <w:vAlign w:val="bottom"/>
          </w:tcPr>
          <w:p w14:paraId="356662DA" w14:textId="77777777" w:rsidR="006953A2" w:rsidRPr="00FE0E2B" w:rsidRDefault="006953A2" w:rsidP="00330EF8">
            <w:pPr>
              <w:keepNext/>
              <w:jc w:val="center"/>
              <w:rPr>
                <w:b/>
                <w:bCs/>
              </w:rPr>
            </w:pPr>
            <w:r w:rsidRPr="00FE0E2B">
              <w:rPr>
                <w:b/>
                <w:bCs/>
              </w:rPr>
              <w:t>Duration of Each Activity</w:t>
            </w:r>
          </w:p>
        </w:tc>
      </w:tr>
      <w:tr w:rsidR="006953A2" w:rsidRPr="00FE0E2B" w14:paraId="13135F92" w14:textId="77777777">
        <w:trPr>
          <w:trHeight w:val="226"/>
          <w:jc w:val="center"/>
        </w:trPr>
        <w:tc>
          <w:tcPr>
            <w:tcW w:w="6229" w:type="dxa"/>
          </w:tcPr>
          <w:p w14:paraId="5D3AD7A4" w14:textId="2A567E57" w:rsidR="006953A2" w:rsidRPr="00FE0E2B" w:rsidRDefault="006953A2" w:rsidP="00FF447A">
            <w:pPr>
              <w:keepNext/>
              <w:tabs>
                <w:tab w:val="left" w:pos="896"/>
              </w:tabs>
            </w:pPr>
            <w:r w:rsidRPr="00FE0E2B">
              <w:t>Printing of</w:t>
            </w:r>
            <w:r>
              <w:t xml:space="preserve"> invitation and remind</w:t>
            </w:r>
            <w:r w:rsidR="00FF447A">
              <w:t>er</w:t>
            </w:r>
            <w:r>
              <w:t xml:space="preserve"> letters and</w:t>
            </w:r>
            <w:r w:rsidRPr="00FE0E2B">
              <w:t xml:space="preserve"> questionnaires </w:t>
            </w:r>
          </w:p>
        </w:tc>
        <w:tc>
          <w:tcPr>
            <w:tcW w:w="2778" w:type="dxa"/>
            <w:vAlign w:val="center"/>
          </w:tcPr>
          <w:p w14:paraId="356F8A24" w14:textId="77777777" w:rsidR="006953A2" w:rsidRPr="00FE0E2B" w:rsidRDefault="006953A2" w:rsidP="00330EF8">
            <w:pPr>
              <w:keepNext/>
              <w:jc w:val="right"/>
            </w:pPr>
            <w:r w:rsidRPr="00FE0E2B">
              <w:t xml:space="preserve">Weeks 1 to 3 </w:t>
            </w:r>
          </w:p>
        </w:tc>
      </w:tr>
      <w:tr w:rsidR="006953A2" w:rsidRPr="00FE0E2B" w14:paraId="0399148B" w14:textId="77777777">
        <w:trPr>
          <w:trHeight w:val="262"/>
          <w:jc w:val="center"/>
        </w:trPr>
        <w:tc>
          <w:tcPr>
            <w:tcW w:w="6229" w:type="dxa"/>
            <w:tcBorders>
              <w:bottom w:val="single" w:sz="4" w:space="0" w:color="auto"/>
            </w:tcBorders>
          </w:tcPr>
          <w:p w14:paraId="69462B5E" w14:textId="77777777" w:rsidR="006953A2" w:rsidRPr="00FE0E2B" w:rsidRDefault="006953A2" w:rsidP="00330EF8">
            <w:pPr>
              <w:keepNext/>
            </w:pPr>
            <w:r w:rsidRPr="00FE0E2B">
              <w:t xml:space="preserve">Mailing of </w:t>
            </w:r>
            <w:r>
              <w:t>Invitation</w:t>
            </w:r>
            <w:r w:rsidRPr="00FE0E2B">
              <w:t xml:space="preserve"> Letters</w:t>
            </w:r>
          </w:p>
        </w:tc>
        <w:tc>
          <w:tcPr>
            <w:tcW w:w="2778" w:type="dxa"/>
            <w:tcBorders>
              <w:bottom w:val="single" w:sz="4" w:space="0" w:color="auto"/>
            </w:tcBorders>
            <w:vAlign w:val="center"/>
          </w:tcPr>
          <w:p w14:paraId="43FAB25B" w14:textId="77777777" w:rsidR="006953A2" w:rsidRPr="00FE0E2B" w:rsidRDefault="006953A2" w:rsidP="00330EF8">
            <w:pPr>
              <w:keepNext/>
              <w:jc w:val="right"/>
            </w:pPr>
            <w:r w:rsidRPr="00FE0E2B">
              <w:t>Week 4</w:t>
            </w:r>
          </w:p>
        </w:tc>
      </w:tr>
      <w:tr w:rsidR="006953A2" w:rsidRPr="00FE0E2B" w14:paraId="3E17EC6A" w14:textId="77777777">
        <w:trPr>
          <w:trHeight w:val="226"/>
          <w:jc w:val="center"/>
        </w:trPr>
        <w:tc>
          <w:tcPr>
            <w:tcW w:w="6229" w:type="dxa"/>
          </w:tcPr>
          <w:p w14:paraId="22B5D6EA" w14:textId="77777777" w:rsidR="006953A2" w:rsidRPr="00FE0E2B" w:rsidRDefault="006953A2" w:rsidP="00330EF8">
            <w:pPr>
              <w:keepNext/>
            </w:pPr>
            <w:r>
              <w:t>Mailing of Reminder Letters</w:t>
            </w:r>
          </w:p>
        </w:tc>
        <w:tc>
          <w:tcPr>
            <w:tcW w:w="2778" w:type="dxa"/>
            <w:vAlign w:val="center"/>
          </w:tcPr>
          <w:p w14:paraId="35028E40" w14:textId="77777777" w:rsidR="006953A2" w:rsidRPr="00FE0E2B" w:rsidRDefault="006953A2" w:rsidP="00330EF8">
            <w:pPr>
              <w:keepNext/>
              <w:jc w:val="right"/>
            </w:pPr>
            <w:r w:rsidRPr="00FE0E2B">
              <w:t>Week 5</w:t>
            </w:r>
          </w:p>
        </w:tc>
      </w:tr>
      <w:tr w:rsidR="006953A2" w:rsidRPr="00FE0E2B" w14:paraId="2804CEDE" w14:textId="77777777">
        <w:trPr>
          <w:trHeight w:val="226"/>
          <w:jc w:val="center"/>
        </w:trPr>
        <w:tc>
          <w:tcPr>
            <w:tcW w:w="6229" w:type="dxa"/>
          </w:tcPr>
          <w:p w14:paraId="36D57D11" w14:textId="77777777" w:rsidR="006953A2" w:rsidRPr="00FE0E2B" w:rsidDel="005C12F8" w:rsidRDefault="006953A2" w:rsidP="00330EF8">
            <w:pPr>
              <w:keepNext/>
            </w:pPr>
            <w:r>
              <w:t>Survey Packet mailing (two weeks after reminder letters)</w:t>
            </w:r>
          </w:p>
        </w:tc>
        <w:tc>
          <w:tcPr>
            <w:tcW w:w="2778" w:type="dxa"/>
            <w:vAlign w:val="center"/>
          </w:tcPr>
          <w:p w14:paraId="372BD7DB" w14:textId="77777777" w:rsidR="006953A2" w:rsidRPr="00FE0E2B" w:rsidDel="005C12F8" w:rsidRDefault="006953A2" w:rsidP="00330EF8">
            <w:pPr>
              <w:keepNext/>
              <w:jc w:val="right"/>
            </w:pPr>
            <w:r w:rsidRPr="00FE0E2B">
              <w:t xml:space="preserve">Week </w:t>
            </w:r>
            <w:r>
              <w:t>7</w:t>
            </w:r>
          </w:p>
        </w:tc>
      </w:tr>
      <w:tr w:rsidR="006953A2" w:rsidRPr="00FE0E2B" w14:paraId="1C063282" w14:textId="77777777">
        <w:trPr>
          <w:trHeight w:val="226"/>
          <w:jc w:val="center"/>
        </w:trPr>
        <w:tc>
          <w:tcPr>
            <w:tcW w:w="6229" w:type="dxa"/>
          </w:tcPr>
          <w:p w14:paraId="5B80DA1D" w14:textId="77777777" w:rsidR="006953A2" w:rsidRPr="00FE0E2B" w:rsidRDefault="006953A2" w:rsidP="00330EF8">
            <w:pPr>
              <w:keepNext/>
            </w:pPr>
            <w:r w:rsidRPr="00C00417">
              <w:t>Data entry</w:t>
            </w:r>
          </w:p>
        </w:tc>
        <w:tc>
          <w:tcPr>
            <w:tcW w:w="2778" w:type="dxa"/>
            <w:vAlign w:val="center"/>
          </w:tcPr>
          <w:p w14:paraId="793C5E9A" w14:textId="77777777" w:rsidR="006953A2" w:rsidRPr="00FE0E2B" w:rsidRDefault="006953A2" w:rsidP="00330EF8">
            <w:pPr>
              <w:keepNext/>
              <w:jc w:val="right"/>
            </w:pPr>
            <w:r w:rsidRPr="00C00417">
              <w:t xml:space="preserve">Weeks </w:t>
            </w:r>
            <w:r>
              <w:t>6</w:t>
            </w:r>
            <w:r w:rsidRPr="00C00417">
              <w:t xml:space="preserve"> to </w:t>
            </w:r>
            <w:r>
              <w:t>8</w:t>
            </w:r>
          </w:p>
        </w:tc>
      </w:tr>
      <w:tr w:rsidR="006953A2" w:rsidRPr="00FE0E2B" w14:paraId="12EA838E" w14:textId="77777777">
        <w:trPr>
          <w:trHeight w:val="226"/>
          <w:jc w:val="center"/>
        </w:trPr>
        <w:tc>
          <w:tcPr>
            <w:tcW w:w="6229" w:type="dxa"/>
          </w:tcPr>
          <w:p w14:paraId="34CC62BE" w14:textId="77777777" w:rsidR="006953A2" w:rsidRPr="00FE0E2B" w:rsidRDefault="006953A2" w:rsidP="00330EF8">
            <w:pPr>
              <w:keepNext/>
            </w:pPr>
            <w:r w:rsidRPr="00C00417">
              <w:t>Cleaning of data file</w:t>
            </w:r>
          </w:p>
        </w:tc>
        <w:tc>
          <w:tcPr>
            <w:tcW w:w="2778" w:type="dxa"/>
            <w:vAlign w:val="center"/>
          </w:tcPr>
          <w:p w14:paraId="1FF4F1BC" w14:textId="77777777" w:rsidR="006953A2" w:rsidRPr="00FE0E2B" w:rsidRDefault="006953A2" w:rsidP="00330EF8">
            <w:pPr>
              <w:keepNext/>
              <w:jc w:val="right"/>
            </w:pPr>
            <w:r w:rsidRPr="00C00417">
              <w:t xml:space="preserve">Week </w:t>
            </w:r>
            <w:r>
              <w:t>9</w:t>
            </w:r>
          </w:p>
        </w:tc>
      </w:tr>
      <w:tr w:rsidR="006953A2" w:rsidRPr="00FE0E2B" w14:paraId="338D491C" w14:textId="77777777">
        <w:trPr>
          <w:trHeight w:val="226"/>
          <w:jc w:val="center"/>
        </w:trPr>
        <w:tc>
          <w:tcPr>
            <w:tcW w:w="6229" w:type="dxa"/>
          </w:tcPr>
          <w:p w14:paraId="49C59249" w14:textId="77777777" w:rsidR="006953A2" w:rsidRPr="00FE0E2B" w:rsidDel="005C12F8" w:rsidRDefault="006953A2" w:rsidP="00330EF8">
            <w:pPr>
              <w:keepNext/>
            </w:pPr>
            <w:r w:rsidRPr="00C00417">
              <w:t>Delivery of data</w:t>
            </w:r>
          </w:p>
        </w:tc>
        <w:tc>
          <w:tcPr>
            <w:tcW w:w="2778" w:type="dxa"/>
            <w:vAlign w:val="center"/>
          </w:tcPr>
          <w:p w14:paraId="3B89E119" w14:textId="77777777" w:rsidR="006953A2" w:rsidRPr="00FE0E2B" w:rsidDel="005C12F8" w:rsidRDefault="006953A2" w:rsidP="00330EF8">
            <w:pPr>
              <w:keepNext/>
              <w:jc w:val="right"/>
            </w:pPr>
            <w:r w:rsidRPr="00C00417">
              <w:t>Week 1</w:t>
            </w:r>
            <w:r>
              <w:t>0</w:t>
            </w:r>
          </w:p>
        </w:tc>
      </w:tr>
      <w:tr w:rsidR="006953A2" w:rsidRPr="00FE0E2B" w14:paraId="709AB689" w14:textId="77777777">
        <w:trPr>
          <w:trHeight w:val="226"/>
          <w:jc w:val="center"/>
        </w:trPr>
        <w:tc>
          <w:tcPr>
            <w:tcW w:w="6229" w:type="dxa"/>
            <w:tcBorders>
              <w:top w:val="single" w:sz="4" w:space="0" w:color="auto"/>
              <w:left w:val="single" w:sz="4" w:space="0" w:color="auto"/>
              <w:bottom w:val="single" w:sz="4" w:space="0" w:color="auto"/>
              <w:right w:val="single" w:sz="4" w:space="0" w:color="auto"/>
            </w:tcBorders>
          </w:tcPr>
          <w:p w14:paraId="4E3A8685" w14:textId="77777777" w:rsidR="006953A2" w:rsidRPr="00FE0E2B" w:rsidRDefault="006953A2" w:rsidP="00330EF8">
            <w:pPr>
              <w:keepNext/>
              <w:jc w:val="center"/>
              <w:rPr>
                <w:b/>
                <w:bCs/>
                <w:i/>
                <w:iCs/>
              </w:rPr>
            </w:pPr>
            <w:r w:rsidRPr="00C00417">
              <w:rPr>
                <w:b/>
              </w:rPr>
              <w:t>Full Survey Implementation</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14:paraId="364783DE" w14:textId="77777777" w:rsidR="006953A2" w:rsidRPr="00FE0E2B" w:rsidRDefault="006953A2" w:rsidP="00330EF8">
            <w:pPr>
              <w:keepNext/>
              <w:jc w:val="right"/>
            </w:pPr>
          </w:p>
        </w:tc>
      </w:tr>
      <w:tr w:rsidR="006953A2" w:rsidRPr="00FE0E2B" w14:paraId="072FD1F6" w14:textId="77777777">
        <w:trPr>
          <w:trHeight w:val="226"/>
          <w:jc w:val="center"/>
        </w:trPr>
        <w:tc>
          <w:tcPr>
            <w:tcW w:w="6229" w:type="dxa"/>
            <w:tcBorders>
              <w:top w:val="single" w:sz="4" w:space="0" w:color="auto"/>
              <w:left w:val="single" w:sz="4" w:space="0" w:color="auto"/>
              <w:bottom w:val="single" w:sz="4" w:space="0" w:color="auto"/>
              <w:right w:val="single" w:sz="4" w:space="0" w:color="auto"/>
            </w:tcBorders>
          </w:tcPr>
          <w:p w14:paraId="7A598C45" w14:textId="05BF83A7" w:rsidR="006953A2" w:rsidRPr="00FE0E2B" w:rsidRDefault="006953A2" w:rsidP="00CE1468">
            <w:pPr>
              <w:keepNext/>
            </w:pPr>
            <w:r w:rsidRPr="00C00417">
              <w:t xml:space="preserve">Printing of </w:t>
            </w:r>
            <w:r>
              <w:t xml:space="preserve">invitation and reminder letters and </w:t>
            </w:r>
            <w:r w:rsidRPr="00C00417">
              <w:t xml:space="preserve">questionnaires </w:t>
            </w:r>
          </w:p>
        </w:tc>
        <w:tc>
          <w:tcPr>
            <w:tcW w:w="2778" w:type="dxa"/>
            <w:tcBorders>
              <w:top w:val="single" w:sz="4" w:space="0" w:color="auto"/>
              <w:left w:val="single" w:sz="4" w:space="0" w:color="auto"/>
              <w:bottom w:val="single" w:sz="4" w:space="0" w:color="auto"/>
              <w:right w:val="single" w:sz="4" w:space="0" w:color="auto"/>
            </w:tcBorders>
            <w:vAlign w:val="center"/>
          </w:tcPr>
          <w:p w14:paraId="58671F7D" w14:textId="77777777" w:rsidR="006953A2" w:rsidRPr="00FE0E2B" w:rsidRDefault="006953A2" w:rsidP="00330EF8">
            <w:pPr>
              <w:keepNext/>
              <w:jc w:val="right"/>
            </w:pPr>
            <w:r w:rsidRPr="00C00417">
              <w:t xml:space="preserve">Weeks </w:t>
            </w:r>
            <w:r>
              <w:t>13</w:t>
            </w:r>
            <w:r w:rsidRPr="00C00417">
              <w:t xml:space="preserve"> to </w:t>
            </w:r>
            <w:r>
              <w:t>15</w:t>
            </w:r>
            <w:r w:rsidRPr="00C00417">
              <w:t xml:space="preserve"> </w:t>
            </w:r>
          </w:p>
        </w:tc>
      </w:tr>
      <w:tr w:rsidR="006953A2" w:rsidRPr="00FE0E2B" w14:paraId="02C423D2" w14:textId="77777777">
        <w:trPr>
          <w:trHeight w:val="226"/>
          <w:jc w:val="center"/>
        </w:trPr>
        <w:tc>
          <w:tcPr>
            <w:tcW w:w="6229" w:type="dxa"/>
            <w:tcBorders>
              <w:top w:val="single" w:sz="4" w:space="0" w:color="auto"/>
              <w:left w:val="single" w:sz="4" w:space="0" w:color="auto"/>
              <w:bottom w:val="single" w:sz="4" w:space="0" w:color="auto"/>
              <w:right w:val="single" w:sz="4" w:space="0" w:color="auto"/>
            </w:tcBorders>
          </w:tcPr>
          <w:p w14:paraId="50966BC9" w14:textId="77777777" w:rsidR="006953A2" w:rsidRPr="00FE0E2B" w:rsidRDefault="006953A2" w:rsidP="00330EF8">
            <w:pPr>
              <w:keepNext/>
            </w:pPr>
            <w:r>
              <w:t>Mailing of Invitation</w:t>
            </w:r>
            <w:r w:rsidRPr="00C00417">
              <w:t xml:space="preserve"> Letters</w:t>
            </w:r>
          </w:p>
        </w:tc>
        <w:tc>
          <w:tcPr>
            <w:tcW w:w="2778" w:type="dxa"/>
            <w:tcBorders>
              <w:top w:val="single" w:sz="4" w:space="0" w:color="auto"/>
              <w:left w:val="single" w:sz="4" w:space="0" w:color="auto"/>
              <w:bottom w:val="single" w:sz="4" w:space="0" w:color="auto"/>
              <w:right w:val="single" w:sz="4" w:space="0" w:color="auto"/>
            </w:tcBorders>
            <w:vAlign w:val="center"/>
          </w:tcPr>
          <w:p w14:paraId="35B1D84F" w14:textId="77777777" w:rsidR="006953A2" w:rsidRPr="00FE0E2B" w:rsidRDefault="006953A2" w:rsidP="00330EF8">
            <w:pPr>
              <w:keepNext/>
              <w:jc w:val="right"/>
            </w:pPr>
            <w:r w:rsidRPr="00C00417">
              <w:t xml:space="preserve">Week </w:t>
            </w:r>
            <w:r>
              <w:t>16</w:t>
            </w:r>
          </w:p>
        </w:tc>
      </w:tr>
      <w:tr w:rsidR="006953A2" w:rsidRPr="00FE0E2B" w14:paraId="35A43086" w14:textId="77777777">
        <w:trPr>
          <w:trHeight w:val="226"/>
          <w:jc w:val="center"/>
        </w:trPr>
        <w:tc>
          <w:tcPr>
            <w:tcW w:w="6229" w:type="dxa"/>
            <w:tcBorders>
              <w:top w:val="single" w:sz="4" w:space="0" w:color="auto"/>
              <w:left w:val="single" w:sz="4" w:space="0" w:color="auto"/>
              <w:bottom w:val="single" w:sz="4" w:space="0" w:color="auto"/>
              <w:right w:val="single" w:sz="4" w:space="0" w:color="auto"/>
            </w:tcBorders>
          </w:tcPr>
          <w:p w14:paraId="399EEFF4" w14:textId="77777777" w:rsidR="006953A2" w:rsidRPr="00FE0E2B" w:rsidRDefault="006953A2" w:rsidP="00330EF8">
            <w:pPr>
              <w:keepNext/>
            </w:pPr>
            <w:r>
              <w:t>Mailing of Reminder Letters</w:t>
            </w:r>
          </w:p>
        </w:tc>
        <w:tc>
          <w:tcPr>
            <w:tcW w:w="2778" w:type="dxa"/>
            <w:tcBorders>
              <w:top w:val="single" w:sz="4" w:space="0" w:color="auto"/>
              <w:left w:val="single" w:sz="4" w:space="0" w:color="auto"/>
              <w:bottom w:val="single" w:sz="4" w:space="0" w:color="auto"/>
              <w:right w:val="single" w:sz="4" w:space="0" w:color="auto"/>
            </w:tcBorders>
            <w:vAlign w:val="center"/>
          </w:tcPr>
          <w:p w14:paraId="2168341E" w14:textId="77777777" w:rsidR="006953A2" w:rsidRPr="00FE0E2B" w:rsidRDefault="006953A2" w:rsidP="00330EF8">
            <w:pPr>
              <w:keepNext/>
              <w:jc w:val="right"/>
            </w:pPr>
            <w:r w:rsidRPr="00C00417">
              <w:t xml:space="preserve">Week </w:t>
            </w:r>
            <w:r>
              <w:t>17</w:t>
            </w:r>
          </w:p>
        </w:tc>
      </w:tr>
      <w:tr w:rsidR="006953A2" w:rsidRPr="00FE0E2B" w:rsidDel="005C12F8" w14:paraId="04060265" w14:textId="77777777">
        <w:trPr>
          <w:trHeight w:val="226"/>
          <w:jc w:val="center"/>
        </w:trPr>
        <w:tc>
          <w:tcPr>
            <w:tcW w:w="6229" w:type="dxa"/>
            <w:tcBorders>
              <w:top w:val="single" w:sz="4" w:space="0" w:color="auto"/>
              <w:left w:val="single" w:sz="4" w:space="0" w:color="auto"/>
              <w:bottom w:val="single" w:sz="4" w:space="0" w:color="auto"/>
              <w:right w:val="single" w:sz="4" w:space="0" w:color="auto"/>
            </w:tcBorders>
          </w:tcPr>
          <w:p w14:paraId="76E66569" w14:textId="57BB9361" w:rsidR="006953A2" w:rsidRPr="00FE0E2B" w:rsidDel="005C12F8" w:rsidRDefault="006953A2" w:rsidP="00330EF8">
            <w:pPr>
              <w:keepNext/>
            </w:pPr>
            <w:r>
              <w:t>Survey packet mailing</w:t>
            </w:r>
            <w:r w:rsidR="00281710">
              <w:t xml:space="preserve"> </w:t>
            </w:r>
            <w:r>
              <w:t>(one week after reminder letter</w:t>
            </w:r>
            <w:r w:rsidRPr="00C00417">
              <w:t xml:space="preserve"> mailing)</w:t>
            </w:r>
          </w:p>
        </w:tc>
        <w:tc>
          <w:tcPr>
            <w:tcW w:w="2778" w:type="dxa"/>
            <w:tcBorders>
              <w:top w:val="single" w:sz="4" w:space="0" w:color="auto"/>
              <w:left w:val="single" w:sz="4" w:space="0" w:color="auto"/>
              <w:bottom w:val="single" w:sz="4" w:space="0" w:color="auto"/>
              <w:right w:val="single" w:sz="4" w:space="0" w:color="auto"/>
            </w:tcBorders>
            <w:vAlign w:val="center"/>
          </w:tcPr>
          <w:p w14:paraId="7FCD5A16" w14:textId="77777777" w:rsidR="006953A2" w:rsidRPr="00FE0E2B" w:rsidDel="005C12F8" w:rsidRDefault="006953A2" w:rsidP="00330EF8">
            <w:pPr>
              <w:keepNext/>
              <w:jc w:val="right"/>
            </w:pPr>
            <w:r w:rsidRPr="00C00417">
              <w:t xml:space="preserve">Week </w:t>
            </w:r>
            <w:r>
              <w:t>18</w:t>
            </w:r>
          </w:p>
        </w:tc>
      </w:tr>
      <w:tr w:rsidR="006953A2" w:rsidRPr="00FE0E2B" w14:paraId="1B1037FA" w14:textId="77777777">
        <w:trPr>
          <w:trHeight w:val="226"/>
          <w:jc w:val="center"/>
        </w:trPr>
        <w:tc>
          <w:tcPr>
            <w:tcW w:w="6229" w:type="dxa"/>
            <w:tcBorders>
              <w:top w:val="single" w:sz="4" w:space="0" w:color="auto"/>
              <w:left w:val="single" w:sz="4" w:space="0" w:color="auto"/>
              <w:bottom w:val="single" w:sz="4" w:space="0" w:color="auto"/>
              <w:right w:val="single" w:sz="4" w:space="0" w:color="auto"/>
            </w:tcBorders>
          </w:tcPr>
          <w:p w14:paraId="75968EAA" w14:textId="77777777" w:rsidR="006953A2" w:rsidRPr="00FE0E2B" w:rsidRDefault="006953A2" w:rsidP="00330EF8">
            <w:pPr>
              <w:keepNext/>
            </w:pPr>
            <w:r w:rsidRPr="00C00417">
              <w:t>Data entry</w:t>
            </w:r>
          </w:p>
        </w:tc>
        <w:tc>
          <w:tcPr>
            <w:tcW w:w="2778" w:type="dxa"/>
            <w:tcBorders>
              <w:top w:val="single" w:sz="4" w:space="0" w:color="auto"/>
              <w:left w:val="single" w:sz="4" w:space="0" w:color="auto"/>
              <w:bottom w:val="single" w:sz="4" w:space="0" w:color="auto"/>
              <w:right w:val="single" w:sz="4" w:space="0" w:color="auto"/>
            </w:tcBorders>
            <w:vAlign w:val="center"/>
          </w:tcPr>
          <w:p w14:paraId="2BEC15E2" w14:textId="77777777" w:rsidR="006953A2" w:rsidRPr="00FE0E2B" w:rsidRDefault="006953A2" w:rsidP="00330EF8">
            <w:pPr>
              <w:keepNext/>
              <w:jc w:val="right"/>
            </w:pPr>
            <w:r w:rsidRPr="00C00417">
              <w:t xml:space="preserve">Weeks </w:t>
            </w:r>
            <w:r>
              <w:t>18-22</w:t>
            </w:r>
          </w:p>
        </w:tc>
      </w:tr>
      <w:tr w:rsidR="006953A2" w:rsidRPr="00FE0E2B" w14:paraId="12746718" w14:textId="77777777">
        <w:trPr>
          <w:trHeight w:val="226"/>
          <w:jc w:val="center"/>
        </w:trPr>
        <w:tc>
          <w:tcPr>
            <w:tcW w:w="6229" w:type="dxa"/>
            <w:tcBorders>
              <w:top w:val="single" w:sz="4" w:space="0" w:color="auto"/>
              <w:left w:val="single" w:sz="4" w:space="0" w:color="auto"/>
              <w:bottom w:val="single" w:sz="4" w:space="0" w:color="auto"/>
              <w:right w:val="single" w:sz="4" w:space="0" w:color="auto"/>
            </w:tcBorders>
          </w:tcPr>
          <w:p w14:paraId="58402020" w14:textId="77777777" w:rsidR="006953A2" w:rsidRPr="00FE0E2B" w:rsidRDefault="006953A2" w:rsidP="00330EF8">
            <w:pPr>
              <w:keepNext/>
            </w:pPr>
            <w:r w:rsidRPr="00C00417">
              <w:t>Cleaning of data file</w:t>
            </w:r>
          </w:p>
        </w:tc>
        <w:tc>
          <w:tcPr>
            <w:tcW w:w="2778" w:type="dxa"/>
            <w:tcBorders>
              <w:top w:val="single" w:sz="4" w:space="0" w:color="auto"/>
              <w:left w:val="single" w:sz="4" w:space="0" w:color="auto"/>
              <w:bottom w:val="single" w:sz="4" w:space="0" w:color="auto"/>
              <w:right w:val="single" w:sz="4" w:space="0" w:color="auto"/>
            </w:tcBorders>
            <w:vAlign w:val="center"/>
          </w:tcPr>
          <w:p w14:paraId="2F1D4F35" w14:textId="77777777" w:rsidR="006953A2" w:rsidRPr="00FE0E2B" w:rsidRDefault="006953A2" w:rsidP="00330EF8">
            <w:pPr>
              <w:keepNext/>
              <w:jc w:val="right"/>
            </w:pPr>
            <w:r w:rsidRPr="00C00417">
              <w:t xml:space="preserve">Week </w:t>
            </w:r>
            <w:r>
              <w:t>23</w:t>
            </w:r>
          </w:p>
        </w:tc>
      </w:tr>
      <w:tr w:rsidR="006953A2" w:rsidRPr="00FE0E2B" w:rsidDel="005C12F8" w14:paraId="4E3A43D2" w14:textId="77777777">
        <w:trPr>
          <w:trHeight w:val="226"/>
          <w:jc w:val="center"/>
        </w:trPr>
        <w:tc>
          <w:tcPr>
            <w:tcW w:w="6229" w:type="dxa"/>
            <w:tcBorders>
              <w:top w:val="single" w:sz="4" w:space="0" w:color="auto"/>
              <w:left w:val="single" w:sz="4" w:space="0" w:color="auto"/>
              <w:bottom w:val="single" w:sz="4" w:space="0" w:color="auto"/>
              <w:right w:val="single" w:sz="4" w:space="0" w:color="auto"/>
            </w:tcBorders>
          </w:tcPr>
          <w:p w14:paraId="16A3B819" w14:textId="77777777" w:rsidR="006953A2" w:rsidRPr="00FE0E2B" w:rsidDel="005C12F8" w:rsidRDefault="006953A2" w:rsidP="00330EF8">
            <w:pPr>
              <w:keepNext/>
            </w:pPr>
            <w:r w:rsidRPr="00C00417">
              <w:t>Delivery of data</w:t>
            </w:r>
          </w:p>
        </w:tc>
        <w:tc>
          <w:tcPr>
            <w:tcW w:w="2778" w:type="dxa"/>
            <w:tcBorders>
              <w:top w:val="single" w:sz="4" w:space="0" w:color="auto"/>
              <w:left w:val="single" w:sz="4" w:space="0" w:color="auto"/>
              <w:bottom w:val="single" w:sz="4" w:space="0" w:color="auto"/>
              <w:right w:val="single" w:sz="4" w:space="0" w:color="auto"/>
            </w:tcBorders>
            <w:vAlign w:val="center"/>
          </w:tcPr>
          <w:p w14:paraId="21DA4949" w14:textId="77777777" w:rsidR="006953A2" w:rsidRPr="00FE0E2B" w:rsidDel="005C12F8" w:rsidRDefault="006953A2" w:rsidP="00330EF8">
            <w:pPr>
              <w:keepNext/>
              <w:jc w:val="right"/>
            </w:pPr>
            <w:r w:rsidRPr="00C00417">
              <w:t xml:space="preserve">Week </w:t>
            </w:r>
            <w:r>
              <w:t>24</w:t>
            </w:r>
          </w:p>
        </w:tc>
      </w:tr>
    </w:tbl>
    <w:p w14:paraId="2C48A203" w14:textId="77777777" w:rsidR="00FE0E2B" w:rsidRPr="00DF48C0" w:rsidRDefault="00FE0E2B" w:rsidP="00FE0E2B">
      <w:pPr>
        <w:spacing w:line="360" w:lineRule="auto"/>
        <w:rPr>
          <w:rFonts w:cs="Times New Roman"/>
        </w:rPr>
      </w:pPr>
    </w:p>
    <w:p w14:paraId="797C14F1" w14:textId="77777777" w:rsidR="00FE0E2B" w:rsidRPr="00DF48C0" w:rsidRDefault="00FE0E2B" w:rsidP="00FE0E2B">
      <w:pPr>
        <w:pStyle w:val="Header"/>
        <w:tabs>
          <w:tab w:val="clear" w:pos="4320"/>
          <w:tab w:val="clear" w:pos="8640"/>
        </w:tabs>
        <w:spacing w:line="360" w:lineRule="auto"/>
        <w:rPr>
          <w:sz w:val="22"/>
          <w:szCs w:val="22"/>
        </w:rPr>
      </w:pPr>
    </w:p>
    <w:p w14:paraId="283C692C" w14:textId="77777777" w:rsidR="00FE0E2B" w:rsidRPr="00DF48C0" w:rsidRDefault="00FE0E2B" w:rsidP="00FE0E2B">
      <w:pPr>
        <w:spacing w:line="360" w:lineRule="auto"/>
        <w:rPr>
          <w:rFonts w:cs="Times New Roman"/>
        </w:rPr>
      </w:pPr>
    </w:p>
    <w:p w14:paraId="309B8E22" w14:textId="77777777" w:rsidR="00FE0E2B" w:rsidRPr="002859A3" w:rsidRDefault="00C00417" w:rsidP="00FE0E2B">
      <w:pPr>
        <w:pStyle w:val="Heading2"/>
        <w:rPr>
          <w:sz w:val="22"/>
          <w:szCs w:val="22"/>
        </w:rPr>
      </w:pPr>
      <w:bookmarkStart w:id="50" w:name="_Toc326736656"/>
      <w:bookmarkStart w:id="51" w:name="_Toc473195097"/>
      <w:r w:rsidRPr="00DF48C0">
        <w:rPr>
          <w:sz w:val="22"/>
          <w:szCs w:val="22"/>
        </w:rPr>
        <w:t>6.</w:t>
      </w:r>
      <w:r w:rsidRPr="00DF48C0">
        <w:rPr>
          <w:sz w:val="22"/>
          <w:szCs w:val="22"/>
        </w:rPr>
        <w:tab/>
        <w:t xml:space="preserve">Estimating Respondent Burden and </w:t>
      </w:r>
      <w:r w:rsidRPr="002859A3">
        <w:rPr>
          <w:sz w:val="22"/>
          <w:szCs w:val="22"/>
        </w:rPr>
        <w:t>Cost of Collection</w:t>
      </w:r>
      <w:bookmarkEnd w:id="50"/>
      <w:bookmarkEnd w:id="51"/>
    </w:p>
    <w:p w14:paraId="5AA87D53" w14:textId="77777777" w:rsidR="00FE0E2B" w:rsidRPr="00DF48C0" w:rsidRDefault="00C00417" w:rsidP="00FE0E2B">
      <w:pPr>
        <w:pStyle w:val="Heading3"/>
        <w:rPr>
          <w:sz w:val="22"/>
          <w:szCs w:val="22"/>
        </w:rPr>
      </w:pPr>
      <w:bookmarkStart w:id="52" w:name="_Toc326736657"/>
      <w:bookmarkStart w:id="53" w:name="_Toc473195098"/>
      <w:r w:rsidRPr="002859A3">
        <w:rPr>
          <w:sz w:val="22"/>
          <w:szCs w:val="22"/>
        </w:rPr>
        <w:t>6(a)</w:t>
      </w:r>
      <w:r w:rsidRPr="002859A3">
        <w:rPr>
          <w:sz w:val="22"/>
          <w:szCs w:val="22"/>
        </w:rPr>
        <w:tab/>
        <w:t>Estimating Respondent Burden</w:t>
      </w:r>
      <w:bookmarkEnd w:id="52"/>
      <w:bookmarkEnd w:id="53"/>
    </w:p>
    <w:p w14:paraId="0CDCC43A" w14:textId="77777777" w:rsidR="00FE0E2B" w:rsidRPr="00DF48C0" w:rsidRDefault="00FE0E2B" w:rsidP="00FE0E2B">
      <w:pPr>
        <w:rPr>
          <w:rFonts w:cs="Times New Roman"/>
        </w:rPr>
      </w:pPr>
    </w:p>
    <w:p w14:paraId="0C60AE34" w14:textId="77777777" w:rsidR="00FE0E2B" w:rsidRPr="00DF48C0" w:rsidRDefault="00FE0E2B" w:rsidP="00FE0E2B">
      <w:pPr>
        <w:spacing w:line="360" w:lineRule="auto"/>
        <w:ind w:firstLine="720"/>
        <w:rPr>
          <w:rFonts w:cs="Times New Roman"/>
        </w:rPr>
      </w:pPr>
      <w:r w:rsidRPr="00DF48C0">
        <w:rPr>
          <w:rFonts w:cs="Times New Roman"/>
        </w:rPr>
        <w:t xml:space="preserve">Subjects who participate in the survey and follow-up interviews during the pre-test and main surveys will expend time on several activities. EPA will use similar materials in both the pre-test and main stages; it is reasonable to assume the average burden per respondent activity will therefore be the same for subjects participating during either pre-test or main survey stages. </w:t>
      </w:r>
    </w:p>
    <w:p w14:paraId="7407BF27" w14:textId="5C310676" w:rsidR="00FE0E2B" w:rsidRPr="00DF48C0" w:rsidRDefault="00FE0E2B" w:rsidP="002859A3">
      <w:pPr>
        <w:spacing w:line="360" w:lineRule="auto"/>
        <w:ind w:firstLine="720"/>
        <w:rPr>
          <w:rFonts w:cs="Times New Roman"/>
        </w:rPr>
      </w:pPr>
      <w:r w:rsidRPr="00DF48C0">
        <w:rPr>
          <w:rFonts w:cs="Times New Roman"/>
        </w:rPr>
        <w:t>Based on focus group</w:t>
      </w:r>
      <w:r w:rsidR="00C00417" w:rsidRPr="00DF48C0">
        <w:rPr>
          <w:rFonts w:cs="Times New Roman"/>
        </w:rPr>
        <w:t xml:space="preserve">s, EPA estimates that on average each respondent mailed the survey will </w:t>
      </w:r>
      <w:r w:rsidR="00C00417" w:rsidRPr="00C8394C">
        <w:rPr>
          <w:rFonts w:cs="Times New Roman"/>
        </w:rPr>
        <w:t xml:space="preserve">spend </w:t>
      </w:r>
      <w:r w:rsidR="006953A2" w:rsidRPr="00C8394C">
        <w:rPr>
          <w:rFonts w:cs="Times New Roman"/>
        </w:rPr>
        <w:t>15</w:t>
      </w:r>
      <w:r w:rsidR="00C00417" w:rsidRPr="00C8394C">
        <w:rPr>
          <w:rFonts w:cs="Times New Roman"/>
        </w:rPr>
        <w:t xml:space="preserve"> minutes (0.</w:t>
      </w:r>
      <w:r w:rsidR="006953A2" w:rsidRPr="00C8394C">
        <w:rPr>
          <w:rFonts w:cs="Times New Roman"/>
        </w:rPr>
        <w:t xml:space="preserve">25 </w:t>
      </w:r>
      <w:r w:rsidR="00C00417" w:rsidRPr="00C8394C">
        <w:rPr>
          <w:rFonts w:cs="Times New Roman"/>
        </w:rPr>
        <w:t>hours) reviewing</w:t>
      </w:r>
      <w:r w:rsidR="00C00417" w:rsidRPr="00DF48C0">
        <w:rPr>
          <w:rFonts w:cs="Times New Roman"/>
        </w:rPr>
        <w:t xml:space="preserve"> the introductory materials and completing the survey questionnaire. EPA will administer the pre-test survey to </w:t>
      </w:r>
      <w:r w:rsidR="006953A2">
        <w:rPr>
          <w:rFonts w:cs="Times New Roman"/>
        </w:rPr>
        <w:t>370</w:t>
      </w:r>
      <w:r w:rsidR="006953A2" w:rsidRPr="00DF48C0">
        <w:rPr>
          <w:rFonts w:cs="Times New Roman"/>
        </w:rPr>
        <w:t xml:space="preserve"> </w:t>
      </w:r>
      <w:r w:rsidR="00C00417" w:rsidRPr="00DF48C0">
        <w:rPr>
          <w:rFonts w:cs="Times New Roman"/>
        </w:rPr>
        <w:t xml:space="preserve">households; assuming </w:t>
      </w:r>
      <w:r w:rsidR="00C00417" w:rsidRPr="00C8394C">
        <w:rPr>
          <w:rFonts w:cs="Times New Roman"/>
        </w:rPr>
        <w:t xml:space="preserve">that </w:t>
      </w:r>
      <w:r w:rsidR="00B71911">
        <w:rPr>
          <w:rFonts w:cs="Times New Roman"/>
        </w:rPr>
        <w:t>90</w:t>
      </w:r>
      <w:r w:rsidR="00C00417" w:rsidRPr="00C8394C">
        <w:rPr>
          <w:rFonts w:cs="Times New Roman"/>
        </w:rPr>
        <w:t xml:space="preserve"> respondents</w:t>
      </w:r>
      <w:r w:rsidR="00C00417" w:rsidRPr="00DF48C0">
        <w:rPr>
          <w:rFonts w:cs="Times New Roman"/>
        </w:rPr>
        <w:t xml:space="preserve"> </w:t>
      </w:r>
      <w:r w:rsidRPr="00DF48C0">
        <w:rPr>
          <w:rFonts w:cs="Times New Roman"/>
        </w:rPr>
        <w:t xml:space="preserve">will complete and return the survey, the national burden estimate for respondents to the pre-test survey is </w:t>
      </w:r>
      <w:r w:rsidR="00850669">
        <w:rPr>
          <w:rFonts w:cs="Times New Roman"/>
        </w:rPr>
        <w:t>23</w:t>
      </w:r>
      <w:r w:rsidR="006953A2" w:rsidRPr="00DF48C0">
        <w:rPr>
          <w:rFonts w:cs="Times New Roman"/>
        </w:rPr>
        <w:t xml:space="preserve"> </w:t>
      </w:r>
      <w:r w:rsidRPr="00DF48C0">
        <w:rPr>
          <w:rFonts w:cs="Times New Roman"/>
        </w:rPr>
        <w:t xml:space="preserve">hours. During the main survey stage, EPA will administer the survey to </w:t>
      </w:r>
      <w:r w:rsidR="006953A2">
        <w:rPr>
          <w:rFonts w:cs="Times New Roman"/>
        </w:rPr>
        <w:t>9,</w:t>
      </w:r>
      <w:r w:rsidR="00120870">
        <w:rPr>
          <w:rFonts w:cs="Times New Roman"/>
        </w:rPr>
        <w:t>15</w:t>
      </w:r>
      <w:r w:rsidR="006953A2">
        <w:rPr>
          <w:rFonts w:cs="Times New Roman"/>
        </w:rPr>
        <w:t>0</w:t>
      </w:r>
      <w:r w:rsidR="006953A2" w:rsidRPr="00DF48C0">
        <w:rPr>
          <w:rFonts w:cs="Times New Roman"/>
        </w:rPr>
        <w:t xml:space="preserve"> </w:t>
      </w:r>
      <w:r w:rsidRPr="00DF48C0">
        <w:rPr>
          <w:rFonts w:cs="Times New Roman"/>
        </w:rPr>
        <w:t xml:space="preserve">households; </w:t>
      </w:r>
      <w:r w:rsidR="0071656A">
        <w:rPr>
          <w:rFonts w:cs="Times New Roman"/>
        </w:rPr>
        <w:t>assuming that 2,</w:t>
      </w:r>
      <w:r w:rsidR="00C70146">
        <w:rPr>
          <w:rFonts w:cs="Times New Roman"/>
        </w:rPr>
        <w:t>163</w:t>
      </w:r>
      <w:r w:rsidR="0071656A">
        <w:rPr>
          <w:rFonts w:cs="Times New Roman"/>
        </w:rPr>
        <w:t xml:space="preserve"> </w:t>
      </w:r>
      <w:r w:rsidR="0071656A" w:rsidRPr="00DF48C0">
        <w:rPr>
          <w:rFonts w:cs="Times New Roman"/>
        </w:rPr>
        <w:t>respondents will complete and return the survey</w:t>
      </w:r>
      <w:r w:rsidR="0071656A">
        <w:rPr>
          <w:rFonts w:cs="Times New Roman"/>
        </w:rPr>
        <w:t xml:space="preserve">, </w:t>
      </w:r>
      <w:r w:rsidRPr="00DF48C0">
        <w:rPr>
          <w:rFonts w:cs="Times New Roman"/>
        </w:rPr>
        <w:t xml:space="preserve">the national burden estimate for these survey </w:t>
      </w:r>
      <w:r w:rsidR="00C00417" w:rsidRPr="00DF48C0">
        <w:rPr>
          <w:rFonts w:cs="Times New Roman"/>
        </w:rPr>
        <w:t xml:space="preserve">respondents is </w:t>
      </w:r>
      <w:r w:rsidR="0071656A">
        <w:rPr>
          <w:rFonts w:cs="Times New Roman"/>
        </w:rPr>
        <w:t>5</w:t>
      </w:r>
      <w:r w:rsidR="00C70146">
        <w:rPr>
          <w:rFonts w:cs="Times New Roman"/>
        </w:rPr>
        <w:t>4</w:t>
      </w:r>
      <w:r w:rsidR="0071656A">
        <w:rPr>
          <w:rFonts w:cs="Times New Roman"/>
        </w:rPr>
        <w:t>1</w:t>
      </w:r>
      <w:r w:rsidR="00C70625">
        <w:rPr>
          <w:rFonts w:cs="Times New Roman"/>
        </w:rPr>
        <w:t xml:space="preserve"> </w:t>
      </w:r>
      <w:r w:rsidR="00C00417" w:rsidRPr="00DF48C0">
        <w:rPr>
          <w:rFonts w:cs="Times New Roman"/>
        </w:rPr>
        <w:t xml:space="preserve">hours. </w:t>
      </w:r>
      <w:r w:rsidRPr="00DF48C0">
        <w:rPr>
          <w:rFonts w:cs="Times New Roman"/>
        </w:rPr>
        <w:t>These burden estimates reflect a one-time expenditure in a single year.</w:t>
      </w:r>
    </w:p>
    <w:p w14:paraId="683D3932" w14:textId="77777777" w:rsidR="00FE0E2B" w:rsidRPr="00DF48C0" w:rsidRDefault="00FE0E2B" w:rsidP="00FE0E2B">
      <w:pPr>
        <w:spacing w:line="360" w:lineRule="auto"/>
        <w:rPr>
          <w:rFonts w:cs="Times New Roman"/>
        </w:rPr>
      </w:pPr>
    </w:p>
    <w:p w14:paraId="0FC82116" w14:textId="77777777" w:rsidR="00FE0E2B" w:rsidRPr="00DF48C0" w:rsidRDefault="00C00417" w:rsidP="00FE0E2B">
      <w:pPr>
        <w:pStyle w:val="Heading3"/>
        <w:rPr>
          <w:sz w:val="22"/>
          <w:szCs w:val="22"/>
        </w:rPr>
      </w:pPr>
      <w:bookmarkStart w:id="54" w:name="_Toc326736658"/>
      <w:bookmarkStart w:id="55" w:name="_Toc473195099"/>
      <w:r w:rsidRPr="00865519">
        <w:rPr>
          <w:sz w:val="22"/>
          <w:szCs w:val="22"/>
        </w:rPr>
        <w:t>6(b)</w:t>
      </w:r>
      <w:r w:rsidRPr="00865519">
        <w:rPr>
          <w:sz w:val="22"/>
          <w:szCs w:val="22"/>
        </w:rPr>
        <w:tab/>
      </w:r>
      <w:r w:rsidRPr="00FF60E8">
        <w:rPr>
          <w:sz w:val="22"/>
          <w:szCs w:val="22"/>
        </w:rPr>
        <w:t>Estimating Respondent Costs</w:t>
      </w:r>
      <w:bookmarkEnd w:id="54"/>
      <w:bookmarkEnd w:id="55"/>
    </w:p>
    <w:p w14:paraId="0BAA0E61" w14:textId="7D4AC6ED" w:rsidR="00FE0E2B" w:rsidRDefault="00C00417" w:rsidP="008C0236">
      <w:pPr>
        <w:pStyle w:val="Heading4"/>
        <w:numPr>
          <w:ilvl w:val="0"/>
          <w:numId w:val="16"/>
        </w:numPr>
        <w:rPr>
          <w:sz w:val="22"/>
          <w:szCs w:val="22"/>
        </w:rPr>
      </w:pPr>
      <w:r w:rsidRPr="00DF48C0">
        <w:rPr>
          <w:sz w:val="22"/>
          <w:szCs w:val="22"/>
        </w:rPr>
        <w:t>Estimating Labor Costs</w:t>
      </w:r>
    </w:p>
    <w:p w14:paraId="057F3CC3" w14:textId="77777777" w:rsidR="008C0236" w:rsidRPr="008C0236" w:rsidRDefault="008C0236" w:rsidP="008C0236"/>
    <w:p w14:paraId="15F65A5C" w14:textId="1A2D1457" w:rsidR="00FE0E2B" w:rsidRPr="00DF48C0" w:rsidRDefault="00C00417" w:rsidP="000E3F55">
      <w:pPr>
        <w:pStyle w:val="BodyTextI2"/>
        <w:keepNext/>
        <w:ind w:firstLine="360"/>
        <w:rPr>
          <w:sz w:val="22"/>
          <w:szCs w:val="22"/>
        </w:rPr>
      </w:pPr>
      <w:r w:rsidRPr="00DF48C0">
        <w:rPr>
          <w:sz w:val="22"/>
          <w:szCs w:val="22"/>
        </w:rPr>
        <w:tab/>
        <w:t xml:space="preserve">According to the Bureau of Labor Statistics, the average hourly wage for private sector workers in the </w:t>
      </w:r>
      <w:r w:rsidR="006953A2" w:rsidRPr="00881D7A">
        <w:rPr>
          <w:sz w:val="22"/>
          <w:szCs w:val="22"/>
        </w:rPr>
        <w:t xml:space="preserve">northeast region of the </w:t>
      </w:r>
      <w:r w:rsidRPr="00DF48C0">
        <w:rPr>
          <w:sz w:val="22"/>
          <w:szCs w:val="22"/>
        </w:rPr>
        <w:t xml:space="preserve">United States is </w:t>
      </w:r>
      <w:r w:rsidRPr="00FA6358">
        <w:rPr>
          <w:sz w:val="22"/>
          <w:szCs w:val="22"/>
        </w:rPr>
        <w:t>$</w:t>
      </w:r>
      <w:r w:rsidR="006953A2" w:rsidRPr="00FA6358">
        <w:rPr>
          <w:rFonts w:eastAsiaTheme="minorHAnsi"/>
          <w:sz w:val="22"/>
          <w:szCs w:val="22"/>
        </w:rPr>
        <w:t>34</w:t>
      </w:r>
      <w:r w:rsidRPr="00FA6358">
        <w:rPr>
          <w:rFonts w:eastAsiaTheme="minorHAnsi"/>
          <w:sz w:val="22"/>
          <w:szCs w:val="22"/>
        </w:rPr>
        <w:t>.</w:t>
      </w:r>
      <w:r w:rsidR="006953A2" w:rsidRPr="00FA6358">
        <w:rPr>
          <w:rFonts w:eastAsiaTheme="minorHAnsi"/>
          <w:sz w:val="22"/>
          <w:szCs w:val="22"/>
        </w:rPr>
        <w:t xml:space="preserve">83 </w:t>
      </w:r>
      <w:r w:rsidRPr="00FA6358">
        <w:rPr>
          <w:sz w:val="22"/>
          <w:szCs w:val="22"/>
        </w:rPr>
        <w:t>(201</w:t>
      </w:r>
      <w:r w:rsidR="002859A3" w:rsidRPr="00FA6358">
        <w:rPr>
          <w:sz w:val="22"/>
          <w:szCs w:val="22"/>
        </w:rPr>
        <w:t>6</w:t>
      </w:r>
      <w:r w:rsidRPr="00FA6358">
        <w:rPr>
          <w:sz w:val="22"/>
          <w:szCs w:val="22"/>
        </w:rPr>
        <w:t>$) (</w:t>
      </w:r>
      <w:r w:rsidRPr="00607A62">
        <w:rPr>
          <w:sz w:val="22"/>
          <w:szCs w:val="22"/>
        </w:rPr>
        <w:t>U.S. Department of Labor, 201</w:t>
      </w:r>
      <w:r w:rsidR="00607A62">
        <w:rPr>
          <w:sz w:val="22"/>
          <w:szCs w:val="22"/>
        </w:rPr>
        <w:t>6</w:t>
      </w:r>
      <w:r w:rsidRPr="00FA6358">
        <w:rPr>
          <w:sz w:val="22"/>
          <w:szCs w:val="22"/>
        </w:rPr>
        <w:t>). Assuming an average per-respondent burden of 0.</w:t>
      </w:r>
      <w:r w:rsidR="006953A2" w:rsidRPr="00FA6358">
        <w:rPr>
          <w:sz w:val="22"/>
          <w:szCs w:val="22"/>
        </w:rPr>
        <w:t xml:space="preserve">25 </w:t>
      </w:r>
      <w:r w:rsidRPr="00FA6358">
        <w:rPr>
          <w:sz w:val="22"/>
          <w:szCs w:val="22"/>
        </w:rPr>
        <w:t>hours (</w:t>
      </w:r>
      <w:r w:rsidR="006953A2" w:rsidRPr="00FA6358">
        <w:rPr>
          <w:sz w:val="22"/>
          <w:szCs w:val="22"/>
        </w:rPr>
        <w:t xml:space="preserve">15 </w:t>
      </w:r>
      <w:r w:rsidRPr="00FA6358">
        <w:rPr>
          <w:sz w:val="22"/>
          <w:szCs w:val="22"/>
        </w:rPr>
        <w:t>minutes) for individuals mailed the survey and an average hourly wage of $</w:t>
      </w:r>
      <w:r w:rsidR="006953A2" w:rsidRPr="00FA6358">
        <w:rPr>
          <w:rFonts w:eastAsiaTheme="minorHAnsi"/>
          <w:sz w:val="22"/>
          <w:szCs w:val="22"/>
        </w:rPr>
        <w:t>34</w:t>
      </w:r>
      <w:r w:rsidRPr="00FA6358">
        <w:rPr>
          <w:rFonts w:eastAsiaTheme="minorHAnsi"/>
          <w:sz w:val="22"/>
          <w:szCs w:val="22"/>
        </w:rPr>
        <w:t>.</w:t>
      </w:r>
      <w:r w:rsidR="006953A2" w:rsidRPr="00FA6358">
        <w:rPr>
          <w:rFonts w:eastAsiaTheme="minorHAnsi"/>
          <w:sz w:val="22"/>
          <w:szCs w:val="22"/>
        </w:rPr>
        <w:t>83</w:t>
      </w:r>
      <w:r w:rsidRPr="00FA6358">
        <w:rPr>
          <w:sz w:val="22"/>
          <w:szCs w:val="22"/>
        </w:rPr>
        <w:t>, the average cost per respondent is $</w:t>
      </w:r>
      <w:r w:rsidR="00C70146">
        <w:rPr>
          <w:sz w:val="22"/>
          <w:szCs w:val="22"/>
        </w:rPr>
        <w:t>8.71</w:t>
      </w:r>
      <w:r w:rsidRPr="00FA6358">
        <w:rPr>
          <w:sz w:val="22"/>
          <w:szCs w:val="22"/>
        </w:rPr>
        <w:t xml:space="preserve">. Of the </w:t>
      </w:r>
      <w:r w:rsidR="00C70146">
        <w:rPr>
          <w:sz w:val="22"/>
          <w:szCs w:val="22"/>
        </w:rPr>
        <w:t>9,520</w:t>
      </w:r>
      <w:r w:rsidR="005C7087" w:rsidRPr="00FA6358">
        <w:rPr>
          <w:sz w:val="22"/>
          <w:szCs w:val="22"/>
        </w:rPr>
        <w:t xml:space="preserve"> </w:t>
      </w:r>
      <w:r w:rsidRPr="00FA6358">
        <w:rPr>
          <w:sz w:val="22"/>
          <w:szCs w:val="22"/>
        </w:rPr>
        <w:t xml:space="preserve">individuals </w:t>
      </w:r>
      <w:r w:rsidR="00C70625">
        <w:rPr>
          <w:sz w:val="22"/>
          <w:szCs w:val="22"/>
        </w:rPr>
        <w:t xml:space="preserve">invited to participate in </w:t>
      </w:r>
      <w:r w:rsidRPr="00FA6358">
        <w:rPr>
          <w:sz w:val="22"/>
          <w:szCs w:val="22"/>
        </w:rPr>
        <w:t xml:space="preserve">the survey during either pre-test or main implementation, </w:t>
      </w:r>
      <w:r w:rsidR="005C7087" w:rsidRPr="00FA6358">
        <w:rPr>
          <w:sz w:val="22"/>
          <w:szCs w:val="22"/>
        </w:rPr>
        <w:t>2,</w:t>
      </w:r>
      <w:r w:rsidR="00C70146">
        <w:rPr>
          <w:sz w:val="22"/>
          <w:szCs w:val="22"/>
        </w:rPr>
        <w:t>253</w:t>
      </w:r>
      <w:r w:rsidR="005C7087" w:rsidRPr="00FA6358">
        <w:rPr>
          <w:sz w:val="22"/>
          <w:szCs w:val="22"/>
        </w:rPr>
        <w:t xml:space="preserve"> </w:t>
      </w:r>
      <w:r w:rsidRPr="00FA6358">
        <w:rPr>
          <w:sz w:val="22"/>
          <w:szCs w:val="22"/>
        </w:rPr>
        <w:t xml:space="preserve">are expected to </w:t>
      </w:r>
      <w:r w:rsidR="00C70625">
        <w:rPr>
          <w:sz w:val="22"/>
          <w:szCs w:val="22"/>
        </w:rPr>
        <w:t>complete a</w:t>
      </w:r>
      <w:r w:rsidRPr="00FA6358">
        <w:rPr>
          <w:sz w:val="22"/>
          <w:szCs w:val="22"/>
        </w:rPr>
        <w:t xml:space="preserve"> survey. The total cost for all individuals </w:t>
      </w:r>
      <w:r w:rsidR="00C70625">
        <w:rPr>
          <w:sz w:val="22"/>
          <w:szCs w:val="22"/>
        </w:rPr>
        <w:t xml:space="preserve">who complete </w:t>
      </w:r>
      <w:r w:rsidRPr="00FA6358">
        <w:rPr>
          <w:sz w:val="22"/>
          <w:szCs w:val="22"/>
        </w:rPr>
        <w:t>surveys would be $</w:t>
      </w:r>
      <w:r w:rsidR="00C70146">
        <w:rPr>
          <w:sz w:val="22"/>
          <w:szCs w:val="22"/>
        </w:rPr>
        <w:t>19,6</w:t>
      </w:r>
      <w:r w:rsidR="00963349">
        <w:rPr>
          <w:sz w:val="22"/>
          <w:szCs w:val="22"/>
        </w:rPr>
        <w:t>18</w:t>
      </w:r>
      <w:r w:rsidRPr="00FA6358">
        <w:rPr>
          <w:sz w:val="22"/>
          <w:szCs w:val="22"/>
        </w:rPr>
        <w:t>.</w:t>
      </w:r>
    </w:p>
    <w:p w14:paraId="26F53AF7" w14:textId="77777777" w:rsidR="00FE0E2B" w:rsidRPr="00DF48C0" w:rsidRDefault="00FE0E2B" w:rsidP="00FE0E2B">
      <w:pPr>
        <w:spacing w:line="360" w:lineRule="auto"/>
        <w:ind w:firstLine="720"/>
        <w:rPr>
          <w:rFonts w:cs="Times New Roman"/>
        </w:rPr>
      </w:pPr>
      <w:r w:rsidRPr="00DF48C0">
        <w:rPr>
          <w:rFonts w:cs="Times New Roman"/>
        </w:rPr>
        <w:t>EPA does not anticipate any capital or operation and maintenance costs for respondents.</w:t>
      </w:r>
    </w:p>
    <w:p w14:paraId="28E3CA68" w14:textId="77777777" w:rsidR="00FE0E2B" w:rsidRPr="00DF48C0" w:rsidRDefault="00FE0E2B" w:rsidP="00FE0E2B">
      <w:pPr>
        <w:spacing w:line="360" w:lineRule="auto"/>
        <w:ind w:firstLine="720"/>
        <w:rPr>
          <w:rFonts w:cs="Times New Roman"/>
        </w:rPr>
      </w:pPr>
    </w:p>
    <w:p w14:paraId="45D8C5DB" w14:textId="77777777" w:rsidR="00FE0E2B" w:rsidRPr="00DF48C0" w:rsidRDefault="00C00417" w:rsidP="00FE0E2B">
      <w:pPr>
        <w:pStyle w:val="Heading3"/>
        <w:rPr>
          <w:sz w:val="22"/>
          <w:szCs w:val="22"/>
        </w:rPr>
      </w:pPr>
      <w:bookmarkStart w:id="56" w:name="_Toc326736659"/>
      <w:bookmarkStart w:id="57" w:name="_Toc473195100"/>
      <w:r w:rsidRPr="00DF48C0">
        <w:rPr>
          <w:sz w:val="22"/>
          <w:szCs w:val="22"/>
        </w:rPr>
        <w:t>6(c)</w:t>
      </w:r>
      <w:r w:rsidRPr="00DF48C0">
        <w:rPr>
          <w:sz w:val="22"/>
          <w:szCs w:val="22"/>
        </w:rPr>
        <w:tab/>
        <w:t>Estimating Agency Burden and Costs</w:t>
      </w:r>
      <w:bookmarkEnd w:id="56"/>
      <w:bookmarkEnd w:id="57"/>
    </w:p>
    <w:p w14:paraId="282B46BD" w14:textId="77777777" w:rsidR="00FE0E2B" w:rsidRPr="00DF48C0" w:rsidRDefault="00FE0E2B" w:rsidP="00FE0E2B">
      <w:pPr>
        <w:spacing w:line="360" w:lineRule="auto"/>
        <w:rPr>
          <w:rFonts w:cs="Times New Roman"/>
        </w:rPr>
      </w:pPr>
    </w:p>
    <w:p w14:paraId="14CCFCBC" w14:textId="27025979" w:rsidR="00942AFE" w:rsidRDefault="00FE0E2B" w:rsidP="00FE0E2B">
      <w:pPr>
        <w:spacing w:line="360" w:lineRule="auto"/>
        <w:ind w:firstLine="720"/>
        <w:rPr>
          <w:rFonts w:cs="Times New Roman"/>
        </w:rPr>
      </w:pPr>
      <w:r w:rsidRPr="00DF48C0">
        <w:rPr>
          <w:rFonts w:cs="Times New Roman"/>
        </w:rPr>
        <w:t>Agency costs arise from staff costs, contractor costs, and printing costs.</w:t>
      </w:r>
      <w:r w:rsidR="004B5D91" w:rsidRPr="00DF48C0">
        <w:rPr>
          <w:rFonts w:cs="Times New Roman"/>
        </w:rPr>
        <w:t xml:space="preserve"> </w:t>
      </w:r>
      <w:r w:rsidRPr="00DF48C0">
        <w:rPr>
          <w:rFonts w:cs="Times New Roman"/>
        </w:rPr>
        <w:t xml:space="preserve">EPA staff </w:t>
      </w:r>
      <w:r w:rsidR="00942AFE">
        <w:rPr>
          <w:rFonts w:cs="Times New Roman"/>
        </w:rPr>
        <w:t>are expected to expend approximately 3</w:t>
      </w:r>
      <w:r w:rsidR="004175F8">
        <w:rPr>
          <w:rFonts w:cs="Times New Roman"/>
        </w:rPr>
        <w:t>,</w:t>
      </w:r>
      <w:r w:rsidR="00942AFE">
        <w:rPr>
          <w:rFonts w:cs="Times New Roman"/>
        </w:rPr>
        <w:t>5</w:t>
      </w:r>
      <w:r w:rsidR="004175F8">
        <w:rPr>
          <w:rFonts w:cs="Times New Roman"/>
        </w:rPr>
        <w:t>2</w:t>
      </w:r>
      <w:r w:rsidR="00942AFE">
        <w:rPr>
          <w:rFonts w:cs="Times New Roman"/>
        </w:rPr>
        <w:t>0 hours for survey development and implementation, analyzing data, and writing reports. Total labor costs for EPA staff time are estimated as $140,985.</w:t>
      </w:r>
    </w:p>
    <w:p w14:paraId="42ED8F99" w14:textId="68A519DF" w:rsidR="005C7087" w:rsidRPr="00FE0E2B" w:rsidRDefault="005C7087" w:rsidP="005C7087">
      <w:pPr>
        <w:spacing w:line="360" w:lineRule="auto"/>
        <w:ind w:firstLine="720"/>
      </w:pPr>
      <w:r w:rsidRPr="00C00417">
        <w:t xml:space="preserve">Abt Associates will be providing contractor support for this project with funding </w:t>
      </w:r>
      <w:r w:rsidRPr="00FA6358">
        <w:t>of $</w:t>
      </w:r>
      <w:r w:rsidRPr="00CE1468">
        <w:t>203,507</w:t>
      </w:r>
      <w:r w:rsidRPr="00C00417">
        <w:t xml:space="preserve"> from EPA contract </w:t>
      </w:r>
      <w:r w:rsidRPr="00C00417">
        <w:rPr>
          <w:spacing w:val="2"/>
        </w:rPr>
        <w:t>EP-</w:t>
      </w:r>
      <w:r>
        <w:rPr>
          <w:spacing w:val="2"/>
        </w:rPr>
        <w:t>C</w:t>
      </w:r>
      <w:r w:rsidRPr="00C00417">
        <w:rPr>
          <w:spacing w:val="2"/>
        </w:rPr>
        <w:t>-1</w:t>
      </w:r>
      <w:r>
        <w:rPr>
          <w:spacing w:val="2"/>
        </w:rPr>
        <w:t>3</w:t>
      </w:r>
      <w:r w:rsidRPr="00C00417">
        <w:rPr>
          <w:spacing w:val="2"/>
        </w:rPr>
        <w:t>-03</w:t>
      </w:r>
      <w:r>
        <w:rPr>
          <w:spacing w:val="2"/>
        </w:rPr>
        <w:t>9</w:t>
      </w:r>
      <w:r w:rsidRPr="00C00417">
        <w:rPr>
          <w:spacing w:val="2"/>
        </w:rPr>
        <w:t>, which provides funds for the purpose of</w:t>
      </w:r>
      <w:r>
        <w:rPr>
          <w:spacing w:val="2"/>
        </w:rPr>
        <w:t xml:space="preserve"> coastal recreation survey development and support</w:t>
      </w:r>
      <w:r w:rsidRPr="00C00417">
        <w:rPr>
          <w:spacing w:val="2"/>
        </w:rPr>
        <w:t xml:space="preserve">. </w:t>
      </w:r>
      <w:r w:rsidRPr="00C00417">
        <w:t xml:space="preserve">Abt Associates Inc. staff and its consultants are expected to spend </w:t>
      </w:r>
      <w:r>
        <w:rPr>
          <w:color w:val="000000"/>
        </w:rPr>
        <w:t>1,228</w:t>
      </w:r>
      <w:r w:rsidRPr="00C00417">
        <w:rPr>
          <w:color w:val="000000"/>
        </w:rPr>
        <w:t xml:space="preserve"> </w:t>
      </w:r>
      <w:r w:rsidRPr="00C00417">
        <w:t xml:space="preserve">hours pre-testing the survey questionnaire and sampling methodology, conducting the </w:t>
      </w:r>
      <w:r w:rsidR="00707349">
        <w:t>mixed-mode</w:t>
      </w:r>
      <w:r w:rsidR="00C55E04" w:rsidRPr="00C00417">
        <w:t xml:space="preserve"> </w:t>
      </w:r>
      <w:r w:rsidRPr="00C00417">
        <w:t>survey, and tabulating and analyzing the survey results. The cost of this contractor time is $</w:t>
      </w:r>
      <w:r>
        <w:rPr>
          <w:color w:val="000000"/>
        </w:rPr>
        <w:t>203,507</w:t>
      </w:r>
      <w:r w:rsidRPr="00E601D9">
        <w:rPr>
          <w:rStyle w:val="CommentReference"/>
          <w:sz w:val="22"/>
          <w:szCs w:val="22"/>
        </w:rPr>
        <w:t>.</w:t>
      </w:r>
    </w:p>
    <w:p w14:paraId="2EAAA5BE" w14:textId="122E5429" w:rsidR="005C7087" w:rsidRPr="00FE0E2B" w:rsidRDefault="005C7087" w:rsidP="005C7087">
      <w:pPr>
        <w:spacing w:line="360" w:lineRule="auto"/>
        <w:ind w:firstLine="720"/>
      </w:pPr>
      <w:r w:rsidRPr="00FE0E2B">
        <w:t xml:space="preserve">Agency and contractor burden </w:t>
      </w:r>
      <w:r w:rsidRPr="00FA6358">
        <w:t xml:space="preserve">is </w:t>
      </w:r>
      <w:r w:rsidR="004175F8">
        <w:t>4,748</w:t>
      </w:r>
      <w:r w:rsidRPr="00FA6358">
        <w:t xml:space="preserve"> hours</w:t>
      </w:r>
      <w:r w:rsidRPr="00FE0E2B">
        <w:t>, with a total cost of $</w:t>
      </w:r>
      <w:r w:rsidR="004175F8" w:rsidRPr="004175F8">
        <w:t>344</w:t>
      </w:r>
      <w:r w:rsidR="004175F8">
        <w:t>,492</w:t>
      </w:r>
      <w:r w:rsidRPr="00FE0E2B">
        <w:rPr>
          <w:b/>
        </w:rPr>
        <w:t xml:space="preserve"> </w:t>
      </w:r>
      <w:r w:rsidRPr="00FE0E2B">
        <w:t>excluding the costs of survey printing.</w:t>
      </w:r>
      <w:r w:rsidR="00281710">
        <w:t xml:space="preserve"> </w:t>
      </w:r>
    </w:p>
    <w:p w14:paraId="63A53699" w14:textId="70672D7A" w:rsidR="005C7087" w:rsidRPr="00FE0E2B" w:rsidRDefault="005C7087" w:rsidP="005C7087">
      <w:pPr>
        <w:spacing w:line="360" w:lineRule="auto"/>
        <w:ind w:firstLine="720"/>
      </w:pPr>
      <w:r w:rsidRPr="00C00417">
        <w:t xml:space="preserve">Printing of the survey is expected </w:t>
      </w:r>
      <w:r w:rsidRPr="00FA6358">
        <w:t xml:space="preserve">to </w:t>
      </w:r>
      <w:r w:rsidRPr="00151687">
        <w:t>cost $</w:t>
      </w:r>
      <w:r w:rsidR="00511954" w:rsidRPr="00151687">
        <w:t>21,681</w:t>
      </w:r>
      <w:r w:rsidRPr="00151687">
        <w:t xml:space="preserve">. Thus, the total Agency and contractor burden would be </w:t>
      </w:r>
      <w:r w:rsidR="002A2DCF" w:rsidRPr="00151687">
        <w:t>4,748</w:t>
      </w:r>
      <w:r w:rsidRPr="00151687">
        <w:t xml:space="preserve"> hours and would cost $</w:t>
      </w:r>
      <w:r w:rsidR="00511954" w:rsidRPr="00151687">
        <w:t>366</w:t>
      </w:r>
      <w:r w:rsidR="002A2DCF">
        <w:t>,</w:t>
      </w:r>
      <w:r w:rsidR="00511954">
        <w:t>173</w:t>
      </w:r>
      <w:r w:rsidRPr="00C00417">
        <w:rPr>
          <w:b/>
        </w:rPr>
        <w:t>.</w:t>
      </w:r>
    </w:p>
    <w:p w14:paraId="542C7DD9" w14:textId="77777777" w:rsidR="00FE0E2B" w:rsidRPr="00DF48C0" w:rsidRDefault="00FE0E2B" w:rsidP="00FE0E2B">
      <w:pPr>
        <w:spacing w:line="360" w:lineRule="auto"/>
        <w:rPr>
          <w:rFonts w:cs="Times New Roman"/>
        </w:rPr>
      </w:pPr>
    </w:p>
    <w:p w14:paraId="49E4C7BF" w14:textId="77777777" w:rsidR="00FE0E2B" w:rsidRPr="00DF48C0" w:rsidRDefault="00C00417" w:rsidP="00FE0E2B">
      <w:pPr>
        <w:pStyle w:val="Heading3"/>
        <w:rPr>
          <w:sz w:val="22"/>
          <w:szCs w:val="22"/>
        </w:rPr>
      </w:pPr>
      <w:bookmarkStart w:id="58" w:name="_Toc326736660"/>
      <w:bookmarkStart w:id="59" w:name="_Toc473195101"/>
      <w:r w:rsidRPr="00865519">
        <w:rPr>
          <w:sz w:val="22"/>
          <w:szCs w:val="22"/>
        </w:rPr>
        <w:t>6(d)</w:t>
      </w:r>
      <w:r w:rsidRPr="00865519">
        <w:rPr>
          <w:sz w:val="22"/>
          <w:szCs w:val="22"/>
        </w:rPr>
        <w:tab/>
      </w:r>
      <w:r w:rsidRPr="00593437">
        <w:rPr>
          <w:sz w:val="22"/>
          <w:szCs w:val="22"/>
        </w:rPr>
        <w:t>Respondent Universe and Total Burden Costs</w:t>
      </w:r>
      <w:bookmarkEnd w:id="58"/>
      <w:bookmarkEnd w:id="59"/>
    </w:p>
    <w:p w14:paraId="68CFC306" w14:textId="77777777" w:rsidR="00FE0E2B" w:rsidRPr="00DF48C0" w:rsidRDefault="00FE0E2B" w:rsidP="00FE0E2B">
      <w:pPr>
        <w:keepNext/>
        <w:spacing w:line="360" w:lineRule="auto"/>
        <w:rPr>
          <w:rFonts w:cs="Times New Roman"/>
        </w:rPr>
      </w:pPr>
    </w:p>
    <w:p w14:paraId="0579B8D1" w14:textId="2DFEB417" w:rsidR="00FE0E2B" w:rsidRPr="00FA6358" w:rsidRDefault="00FE0E2B" w:rsidP="00FE0E2B">
      <w:pPr>
        <w:spacing w:line="360" w:lineRule="auto"/>
        <w:rPr>
          <w:rFonts w:cs="Times New Roman"/>
        </w:rPr>
      </w:pPr>
      <w:r w:rsidRPr="00DF48C0">
        <w:rPr>
          <w:rFonts w:cs="Times New Roman"/>
        </w:rPr>
        <w:tab/>
      </w:r>
      <w:r w:rsidRPr="00FA6358">
        <w:rPr>
          <w:rFonts w:cs="Times New Roman"/>
        </w:rPr>
        <w:t>EPA expects the total cost for survey respondents to be $</w:t>
      </w:r>
      <w:r w:rsidR="00963349">
        <w:rPr>
          <w:rFonts w:cs="Times New Roman"/>
        </w:rPr>
        <w:t>19,618</w:t>
      </w:r>
      <w:r w:rsidRPr="00FA6358">
        <w:rPr>
          <w:rFonts w:cs="Times New Roman"/>
        </w:rPr>
        <w:t xml:space="preserve"> (</w:t>
      </w:r>
      <w:r w:rsidR="005C7087" w:rsidRPr="00FA6358">
        <w:rPr>
          <w:rFonts w:cs="Times New Roman"/>
        </w:rPr>
        <w:t>2016</w:t>
      </w:r>
      <w:r w:rsidRPr="00FA6358">
        <w:rPr>
          <w:rFonts w:cs="Times New Roman"/>
        </w:rPr>
        <w:t>$), based on a total burden estimate of</w:t>
      </w:r>
      <w:r w:rsidR="004B5D91" w:rsidRPr="00FA6358">
        <w:rPr>
          <w:rFonts w:cs="Times New Roman"/>
        </w:rPr>
        <w:t xml:space="preserve"> </w:t>
      </w:r>
      <w:r w:rsidR="00963349">
        <w:rPr>
          <w:rFonts w:cs="Times New Roman"/>
        </w:rPr>
        <w:t xml:space="preserve">563 </w:t>
      </w:r>
      <w:r w:rsidR="00C55E04">
        <w:rPr>
          <w:rFonts w:cs="Times New Roman"/>
        </w:rPr>
        <w:t>hours</w:t>
      </w:r>
      <w:r w:rsidRPr="00FA6358">
        <w:rPr>
          <w:rFonts w:cs="Times New Roman"/>
        </w:rPr>
        <w:t xml:space="preserve"> </w:t>
      </w:r>
      <w:r w:rsidR="00C00417" w:rsidRPr="00FA6358">
        <w:rPr>
          <w:rFonts w:cs="Times New Roman"/>
        </w:rPr>
        <w:t>(across both pre-test and main stages) at an hourly wage of $</w:t>
      </w:r>
      <w:r w:rsidR="005C7087" w:rsidRPr="00FA6358">
        <w:rPr>
          <w:rFonts w:cs="Times New Roman"/>
        </w:rPr>
        <w:t>34</w:t>
      </w:r>
      <w:r w:rsidR="00C00417" w:rsidRPr="00FA6358">
        <w:rPr>
          <w:rFonts w:cs="Times New Roman"/>
        </w:rPr>
        <w:t>.</w:t>
      </w:r>
      <w:r w:rsidR="005C7087" w:rsidRPr="00FA6358">
        <w:rPr>
          <w:rFonts w:cs="Times New Roman"/>
        </w:rPr>
        <w:t>8</w:t>
      </w:r>
      <w:r w:rsidR="00C00417" w:rsidRPr="00FA6358">
        <w:rPr>
          <w:rFonts w:cs="Times New Roman"/>
        </w:rPr>
        <w:t>3.</w:t>
      </w:r>
    </w:p>
    <w:p w14:paraId="29B3D22A" w14:textId="77777777" w:rsidR="00FE0E2B" w:rsidRPr="00FA6358" w:rsidRDefault="00FE0E2B" w:rsidP="00FE0E2B">
      <w:pPr>
        <w:spacing w:line="360" w:lineRule="auto"/>
        <w:rPr>
          <w:rFonts w:cs="Times New Roman"/>
        </w:rPr>
      </w:pPr>
    </w:p>
    <w:p w14:paraId="72925D7C" w14:textId="77777777" w:rsidR="00FE0E2B" w:rsidRPr="00DF48C0" w:rsidRDefault="00C00417" w:rsidP="00FE0E2B">
      <w:pPr>
        <w:pStyle w:val="Heading3"/>
        <w:rPr>
          <w:sz w:val="22"/>
          <w:szCs w:val="22"/>
        </w:rPr>
      </w:pPr>
      <w:bookmarkStart w:id="60" w:name="_Toc326736661"/>
      <w:bookmarkStart w:id="61" w:name="_Toc473195102"/>
      <w:r w:rsidRPr="00FA6358">
        <w:rPr>
          <w:sz w:val="22"/>
          <w:szCs w:val="22"/>
        </w:rPr>
        <w:t>6(e)</w:t>
      </w:r>
      <w:r w:rsidRPr="00FA6358">
        <w:rPr>
          <w:sz w:val="22"/>
          <w:szCs w:val="22"/>
        </w:rPr>
        <w:tab/>
        <w:t>Bottom Line Burden Hours and Costs</w:t>
      </w:r>
      <w:bookmarkEnd w:id="60"/>
      <w:bookmarkEnd w:id="61"/>
    </w:p>
    <w:p w14:paraId="74196225" w14:textId="77777777" w:rsidR="00FE0E2B" w:rsidRPr="00DF48C0" w:rsidRDefault="00FE0E2B" w:rsidP="00FE0E2B">
      <w:pPr>
        <w:keepNext/>
        <w:spacing w:line="360" w:lineRule="auto"/>
        <w:rPr>
          <w:rFonts w:cs="Times New Roman"/>
        </w:rPr>
      </w:pPr>
    </w:p>
    <w:p w14:paraId="0CD70846" w14:textId="631458BF" w:rsidR="00FE0E2B" w:rsidRDefault="00C00417" w:rsidP="00FE0E2B">
      <w:pPr>
        <w:pStyle w:val="BodyTextI2"/>
        <w:keepNext/>
        <w:rPr>
          <w:sz w:val="22"/>
          <w:szCs w:val="22"/>
        </w:rPr>
      </w:pPr>
      <w:r w:rsidRPr="00DF48C0">
        <w:rPr>
          <w:sz w:val="22"/>
          <w:szCs w:val="22"/>
        </w:rPr>
        <w:t>The following tables present EPA’s estimate of the total burden and costs of this information collection for the respondents and for the Agency.</w:t>
      </w:r>
      <w:r w:rsidR="004B5D91" w:rsidRPr="00DF48C0">
        <w:rPr>
          <w:sz w:val="22"/>
          <w:szCs w:val="22"/>
        </w:rPr>
        <w:t xml:space="preserve"> </w:t>
      </w:r>
      <w:r w:rsidRPr="00DF48C0">
        <w:rPr>
          <w:sz w:val="22"/>
          <w:szCs w:val="22"/>
        </w:rPr>
        <w:t>The bottom line burden for these two together is $</w:t>
      </w:r>
      <w:r w:rsidR="000E3F55">
        <w:rPr>
          <w:sz w:val="22"/>
          <w:szCs w:val="22"/>
        </w:rPr>
        <w:t>385,791</w:t>
      </w:r>
      <w:r w:rsidRPr="00DF48C0">
        <w:rPr>
          <w:sz w:val="22"/>
          <w:szCs w:val="22"/>
        </w:rPr>
        <w:t>.</w:t>
      </w:r>
    </w:p>
    <w:p w14:paraId="497939D0" w14:textId="77777777" w:rsidR="00850669" w:rsidRPr="00DF48C0" w:rsidRDefault="00850669" w:rsidP="00FE0E2B">
      <w:pPr>
        <w:pStyle w:val="BodyTextI2"/>
        <w:keepNext/>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58" w:type="dxa"/>
          <w:right w:w="115" w:type="dxa"/>
        </w:tblCellMar>
        <w:tblLook w:val="0000" w:firstRow="0" w:lastRow="0" w:firstColumn="0" w:lastColumn="0" w:noHBand="0" w:noVBand="0"/>
      </w:tblPr>
      <w:tblGrid>
        <w:gridCol w:w="3563"/>
        <w:gridCol w:w="2737"/>
        <w:gridCol w:w="2563"/>
      </w:tblGrid>
      <w:tr w:rsidR="005C7087" w:rsidRPr="00FE0E2B" w14:paraId="34D7A728" w14:textId="77777777">
        <w:trPr>
          <w:trHeight w:val="289"/>
          <w:jc w:val="center"/>
        </w:trPr>
        <w:tc>
          <w:tcPr>
            <w:tcW w:w="8863" w:type="dxa"/>
            <w:gridSpan w:val="3"/>
            <w:shd w:val="clear" w:color="auto" w:fill="auto"/>
          </w:tcPr>
          <w:p w14:paraId="30652F63" w14:textId="77777777" w:rsidR="005C7087" w:rsidRPr="00FE0E2B" w:rsidRDefault="005C7087" w:rsidP="00330EF8">
            <w:pPr>
              <w:rPr>
                <w:b/>
                <w:highlight w:val="yellow"/>
              </w:rPr>
            </w:pPr>
            <w:r w:rsidRPr="00FE0E2B">
              <w:rPr>
                <w:b/>
              </w:rPr>
              <w:t>Table A</w:t>
            </w:r>
            <w:r>
              <w:rPr>
                <w:b/>
              </w:rPr>
              <w:t>4</w:t>
            </w:r>
            <w:r w:rsidRPr="00FE0E2B">
              <w:rPr>
                <w:b/>
              </w:rPr>
              <w:t>: Total Estimated Bottom Line Burden and Cost Summary for Respondents</w:t>
            </w:r>
          </w:p>
        </w:tc>
      </w:tr>
      <w:tr w:rsidR="005C7087" w:rsidRPr="00FE0E2B" w14:paraId="16C4CBB9" w14:textId="77777777">
        <w:trPr>
          <w:jc w:val="center"/>
        </w:trPr>
        <w:tc>
          <w:tcPr>
            <w:tcW w:w="3563" w:type="dxa"/>
            <w:vAlign w:val="center"/>
          </w:tcPr>
          <w:p w14:paraId="50347A3A" w14:textId="77777777" w:rsidR="005C7087" w:rsidRPr="00FE0E2B" w:rsidRDefault="005C7087" w:rsidP="00330EF8">
            <w:pPr>
              <w:keepNext/>
              <w:jc w:val="center"/>
              <w:rPr>
                <w:b/>
                <w:bCs/>
                <w:highlight w:val="yellow"/>
              </w:rPr>
            </w:pPr>
            <w:r w:rsidRPr="00C00417">
              <w:rPr>
                <w:b/>
                <w:bCs/>
              </w:rPr>
              <w:t>Affected Individuals</w:t>
            </w:r>
          </w:p>
        </w:tc>
        <w:tc>
          <w:tcPr>
            <w:tcW w:w="2737" w:type="dxa"/>
            <w:vAlign w:val="center"/>
          </w:tcPr>
          <w:p w14:paraId="0841F4F7" w14:textId="77777777" w:rsidR="005C7087" w:rsidRPr="00FE0E2B" w:rsidRDefault="005C7087" w:rsidP="00330EF8">
            <w:pPr>
              <w:keepNext/>
              <w:jc w:val="center"/>
              <w:rPr>
                <w:b/>
                <w:bCs/>
                <w:highlight w:val="yellow"/>
              </w:rPr>
            </w:pPr>
            <w:r w:rsidRPr="00C00417">
              <w:rPr>
                <w:b/>
                <w:bCs/>
              </w:rPr>
              <w:t>Burden (hours)</w:t>
            </w:r>
          </w:p>
        </w:tc>
        <w:tc>
          <w:tcPr>
            <w:tcW w:w="2563" w:type="dxa"/>
            <w:vAlign w:val="center"/>
          </w:tcPr>
          <w:p w14:paraId="655F5ECD" w14:textId="4EB5A74B" w:rsidR="005C7087" w:rsidRPr="00FE0E2B" w:rsidRDefault="005C7087" w:rsidP="00850669">
            <w:pPr>
              <w:keepNext/>
              <w:jc w:val="center"/>
              <w:rPr>
                <w:b/>
                <w:bCs/>
                <w:highlight w:val="yellow"/>
              </w:rPr>
            </w:pPr>
            <w:r w:rsidRPr="00C00417">
              <w:rPr>
                <w:b/>
                <w:bCs/>
              </w:rPr>
              <w:t>Cost (201</w:t>
            </w:r>
            <w:r w:rsidR="00850669">
              <w:rPr>
                <w:b/>
                <w:bCs/>
              </w:rPr>
              <w:t>6</w:t>
            </w:r>
            <w:r w:rsidRPr="00C00417">
              <w:rPr>
                <w:b/>
                <w:bCs/>
              </w:rPr>
              <w:t>$)</w:t>
            </w:r>
          </w:p>
        </w:tc>
      </w:tr>
      <w:tr w:rsidR="005C7087" w:rsidRPr="00FE0E2B" w14:paraId="43D0DC95" w14:textId="77777777">
        <w:trPr>
          <w:jc w:val="center"/>
        </w:trPr>
        <w:tc>
          <w:tcPr>
            <w:tcW w:w="3563" w:type="dxa"/>
            <w:vAlign w:val="center"/>
          </w:tcPr>
          <w:p w14:paraId="16C8253E" w14:textId="77777777" w:rsidR="005C7087" w:rsidRPr="00FE0E2B" w:rsidRDefault="005C7087" w:rsidP="00330EF8">
            <w:pPr>
              <w:keepNext/>
            </w:pPr>
            <w:r w:rsidRPr="00C00417">
              <w:rPr>
                <w:color w:val="000000"/>
              </w:rPr>
              <w:t>Pre-test Survey Respondents</w:t>
            </w:r>
          </w:p>
        </w:tc>
        <w:tc>
          <w:tcPr>
            <w:tcW w:w="2737" w:type="dxa"/>
            <w:vAlign w:val="center"/>
          </w:tcPr>
          <w:p w14:paraId="1749755F" w14:textId="4AABB89A" w:rsidR="005C7087" w:rsidRPr="00FE0E2B" w:rsidRDefault="004C1609" w:rsidP="004C1609">
            <w:pPr>
              <w:keepNext/>
              <w:jc w:val="center"/>
              <w:rPr>
                <w:color w:val="000000"/>
              </w:rPr>
            </w:pPr>
            <w:r>
              <w:rPr>
                <w:color w:val="000000"/>
              </w:rPr>
              <w:t>23</w:t>
            </w:r>
          </w:p>
        </w:tc>
        <w:tc>
          <w:tcPr>
            <w:tcW w:w="2563" w:type="dxa"/>
            <w:vAlign w:val="center"/>
          </w:tcPr>
          <w:p w14:paraId="782879AD" w14:textId="5166F8F8" w:rsidR="005C7087" w:rsidRPr="00C00417" w:rsidRDefault="005C7087" w:rsidP="000E3F55">
            <w:pPr>
              <w:keepNext/>
              <w:jc w:val="center"/>
              <w:rPr>
                <w:color w:val="000000"/>
              </w:rPr>
            </w:pPr>
            <w:r w:rsidRPr="00FE0E2B">
              <w:rPr>
                <w:color w:val="000000"/>
              </w:rPr>
              <w:t>$</w:t>
            </w:r>
            <w:r w:rsidR="00963349">
              <w:rPr>
                <w:color w:val="000000"/>
              </w:rPr>
              <w:t>784</w:t>
            </w:r>
          </w:p>
        </w:tc>
      </w:tr>
      <w:tr w:rsidR="005C7087" w:rsidRPr="00FE0E2B" w14:paraId="2BAB4CC8" w14:textId="77777777">
        <w:trPr>
          <w:jc w:val="center"/>
        </w:trPr>
        <w:tc>
          <w:tcPr>
            <w:tcW w:w="3563" w:type="dxa"/>
            <w:vAlign w:val="center"/>
          </w:tcPr>
          <w:p w14:paraId="3EAB07FC" w14:textId="77777777" w:rsidR="005C7087" w:rsidRPr="00FE0E2B" w:rsidRDefault="005C7087" w:rsidP="00330EF8">
            <w:pPr>
              <w:keepNext/>
              <w:rPr>
                <w:highlight w:val="yellow"/>
              </w:rPr>
            </w:pPr>
            <w:r w:rsidRPr="00C00417">
              <w:t>Main Survey Respondents</w:t>
            </w:r>
          </w:p>
        </w:tc>
        <w:tc>
          <w:tcPr>
            <w:tcW w:w="2737" w:type="dxa"/>
            <w:vAlign w:val="center"/>
          </w:tcPr>
          <w:p w14:paraId="425E2FCE" w14:textId="68287DDF" w:rsidR="005C7087" w:rsidRPr="00FE0E2B" w:rsidRDefault="00963349" w:rsidP="000E3F55">
            <w:pPr>
              <w:keepNext/>
              <w:jc w:val="center"/>
            </w:pPr>
            <w:r>
              <w:t>541</w:t>
            </w:r>
          </w:p>
        </w:tc>
        <w:tc>
          <w:tcPr>
            <w:tcW w:w="2563" w:type="dxa"/>
            <w:vAlign w:val="center"/>
          </w:tcPr>
          <w:p w14:paraId="325CC2D6" w14:textId="72CC4D3A" w:rsidR="005C7087" w:rsidRPr="00FE0E2B" w:rsidRDefault="005C7087" w:rsidP="000E3F55">
            <w:pPr>
              <w:pStyle w:val="CommentText"/>
              <w:keepNext/>
              <w:jc w:val="center"/>
              <w:rPr>
                <w:sz w:val="22"/>
                <w:szCs w:val="22"/>
              </w:rPr>
            </w:pPr>
            <w:r w:rsidRPr="00C00417">
              <w:rPr>
                <w:color w:val="000000"/>
                <w:sz w:val="22"/>
                <w:szCs w:val="22"/>
              </w:rPr>
              <w:t>$</w:t>
            </w:r>
            <w:r w:rsidR="00963349">
              <w:rPr>
                <w:color w:val="000000"/>
                <w:sz w:val="22"/>
                <w:szCs w:val="22"/>
              </w:rPr>
              <w:t>18,834</w:t>
            </w:r>
          </w:p>
        </w:tc>
      </w:tr>
      <w:tr w:rsidR="005C7087" w:rsidRPr="00FE0E2B" w14:paraId="204AB935" w14:textId="77777777">
        <w:trPr>
          <w:jc w:val="center"/>
        </w:trPr>
        <w:tc>
          <w:tcPr>
            <w:tcW w:w="3563" w:type="dxa"/>
            <w:vAlign w:val="center"/>
          </w:tcPr>
          <w:p w14:paraId="65AD619B" w14:textId="77777777" w:rsidR="005C7087" w:rsidRPr="00FE0E2B" w:rsidRDefault="005C7087" w:rsidP="00330EF8">
            <w:pPr>
              <w:keepNext/>
              <w:rPr>
                <w:highlight w:val="yellow"/>
              </w:rPr>
            </w:pPr>
            <w:r w:rsidRPr="00C00417">
              <w:t>Total for All Survey Respondents</w:t>
            </w:r>
          </w:p>
        </w:tc>
        <w:tc>
          <w:tcPr>
            <w:tcW w:w="2737" w:type="dxa"/>
            <w:vAlign w:val="center"/>
          </w:tcPr>
          <w:p w14:paraId="4786660D" w14:textId="552C5007" w:rsidR="005C7087" w:rsidRPr="00FE0E2B" w:rsidRDefault="00963349" w:rsidP="00850669">
            <w:pPr>
              <w:keepNext/>
              <w:jc w:val="center"/>
            </w:pPr>
            <w:r>
              <w:rPr>
                <w:color w:val="000000"/>
              </w:rPr>
              <w:t>563</w:t>
            </w:r>
          </w:p>
        </w:tc>
        <w:tc>
          <w:tcPr>
            <w:tcW w:w="2563" w:type="dxa"/>
            <w:vAlign w:val="center"/>
          </w:tcPr>
          <w:p w14:paraId="0A05EC66" w14:textId="10C8919C" w:rsidR="005C7087" w:rsidRPr="00C00417" w:rsidRDefault="005C7087" w:rsidP="000E3F55">
            <w:pPr>
              <w:keepNext/>
              <w:jc w:val="center"/>
            </w:pPr>
            <w:r w:rsidRPr="00C00417">
              <w:rPr>
                <w:color w:val="000000"/>
              </w:rPr>
              <w:t>$</w:t>
            </w:r>
            <w:r w:rsidR="00963349">
              <w:rPr>
                <w:color w:val="000000"/>
              </w:rPr>
              <w:t>19,618</w:t>
            </w:r>
          </w:p>
        </w:tc>
      </w:tr>
      <w:tr w:rsidR="00134AA0" w:rsidRPr="00FE0E2B" w14:paraId="4C23FEB0" w14:textId="77777777">
        <w:trPr>
          <w:jc w:val="center"/>
        </w:trPr>
        <w:tc>
          <w:tcPr>
            <w:tcW w:w="3563" w:type="dxa"/>
            <w:vAlign w:val="center"/>
          </w:tcPr>
          <w:p w14:paraId="4447E8D0" w14:textId="77777777" w:rsidR="00134AA0" w:rsidRDefault="00134AA0" w:rsidP="00134AA0">
            <w:pPr>
              <w:keepNext/>
            </w:pPr>
            <w:r>
              <w:t>Annual Respondent Cost*</w:t>
            </w:r>
          </w:p>
          <w:p w14:paraId="57B4B357" w14:textId="45FF13E8" w:rsidR="00134AA0" w:rsidRPr="00C00417" w:rsidRDefault="00134AA0" w:rsidP="00330EF8">
            <w:pPr>
              <w:keepNext/>
            </w:pPr>
            <w:r>
              <w:rPr>
                <w:sz w:val="16"/>
                <w:szCs w:val="16"/>
              </w:rPr>
              <w:t>One-time collection / 3 years</w:t>
            </w:r>
          </w:p>
        </w:tc>
        <w:tc>
          <w:tcPr>
            <w:tcW w:w="2737" w:type="dxa"/>
            <w:vAlign w:val="center"/>
          </w:tcPr>
          <w:p w14:paraId="4A50FC0D" w14:textId="37C615B5" w:rsidR="00134AA0" w:rsidRDefault="00963349" w:rsidP="00850669">
            <w:pPr>
              <w:keepNext/>
              <w:jc w:val="center"/>
              <w:rPr>
                <w:color w:val="000000"/>
              </w:rPr>
            </w:pPr>
            <w:r>
              <w:rPr>
                <w:color w:val="000000"/>
              </w:rPr>
              <w:t>188</w:t>
            </w:r>
          </w:p>
        </w:tc>
        <w:tc>
          <w:tcPr>
            <w:tcW w:w="2563" w:type="dxa"/>
            <w:vAlign w:val="center"/>
          </w:tcPr>
          <w:p w14:paraId="1FE26AB2" w14:textId="7730B730" w:rsidR="00134AA0" w:rsidRPr="00C00417" w:rsidRDefault="00134AA0" w:rsidP="000E3F55">
            <w:pPr>
              <w:keepNext/>
              <w:jc w:val="center"/>
              <w:rPr>
                <w:color w:val="000000"/>
              </w:rPr>
            </w:pPr>
            <w:r>
              <w:rPr>
                <w:color w:val="000000"/>
              </w:rPr>
              <w:t>$</w:t>
            </w:r>
            <w:r w:rsidR="00963349">
              <w:rPr>
                <w:color w:val="000000"/>
              </w:rPr>
              <w:t>6,539</w:t>
            </w:r>
          </w:p>
        </w:tc>
      </w:tr>
    </w:tbl>
    <w:p w14:paraId="6DAFE9E9" w14:textId="77777777" w:rsidR="005C7087" w:rsidRDefault="005C7087" w:rsidP="00FE0E2B">
      <w:pPr>
        <w:spacing w:line="360" w:lineRule="auto"/>
        <w:rPr>
          <w:rFonts w:cs="Times New Roman"/>
        </w:rPr>
      </w:pPr>
    </w:p>
    <w:p w14:paraId="10AD90AD" w14:textId="77777777" w:rsidR="005C7087" w:rsidRDefault="005C7087" w:rsidP="00FE0E2B">
      <w:pPr>
        <w:spacing w:line="360" w:lineRule="auto"/>
        <w:rPr>
          <w:rFonts w:cs="Times New Roman"/>
        </w:rPr>
      </w:pPr>
    </w:p>
    <w:p w14:paraId="6D93E83B" w14:textId="77777777" w:rsidR="005C7087" w:rsidRDefault="005C7087" w:rsidP="00FE0E2B">
      <w:pPr>
        <w:spacing w:line="360" w:lineRule="auto"/>
        <w:rPr>
          <w:rFonts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58" w:type="dxa"/>
          <w:right w:w="115" w:type="dxa"/>
        </w:tblCellMar>
        <w:tblLook w:val="0000" w:firstRow="0" w:lastRow="0" w:firstColumn="0" w:lastColumn="0" w:noHBand="0" w:noVBand="0"/>
      </w:tblPr>
      <w:tblGrid>
        <w:gridCol w:w="3463"/>
        <w:gridCol w:w="2700"/>
        <w:gridCol w:w="2383"/>
      </w:tblGrid>
      <w:tr w:rsidR="005C7087" w:rsidRPr="00FE0E2B" w14:paraId="7EA1D8FF" w14:textId="77777777">
        <w:trPr>
          <w:trHeight w:val="289"/>
          <w:jc w:val="center"/>
        </w:trPr>
        <w:tc>
          <w:tcPr>
            <w:tcW w:w="8546" w:type="dxa"/>
            <w:gridSpan w:val="3"/>
            <w:shd w:val="clear" w:color="auto" w:fill="auto"/>
          </w:tcPr>
          <w:p w14:paraId="5E40FFCA" w14:textId="77777777" w:rsidR="005C7087" w:rsidRPr="00FE0E2B" w:rsidRDefault="005C7087" w:rsidP="00330EF8">
            <w:pPr>
              <w:keepNext/>
              <w:keepLines/>
              <w:rPr>
                <w:b/>
                <w:highlight w:val="yellow"/>
              </w:rPr>
            </w:pPr>
            <w:r w:rsidRPr="00C00417">
              <w:rPr>
                <w:b/>
              </w:rPr>
              <w:t>Table A</w:t>
            </w:r>
            <w:r>
              <w:rPr>
                <w:b/>
              </w:rPr>
              <w:t>5</w:t>
            </w:r>
            <w:r w:rsidRPr="00C00417">
              <w:rPr>
                <w:b/>
              </w:rPr>
              <w:t>: Total Estimated Burden and Cost Summary for Agency</w:t>
            </w:r>
          </w:p>
        </w:tc>
      </w:tr>
      <w:tr w:rsidR="005C7087" w:rsidRPr="00FE0E2B" w14:paraId="0EB56231" w14:textId="77777777">
        <w:trPr>
          <w:jc w:val="center"/>
        </w:trPr>
        <w:tc>
          <w:tcPr>
            <w:tcW w:w="3463" w:type="dxa"/>
            <w:vAlign w:val="center"/>
          </w:tcPr>
          <w:p w14:paraId="220EAF11" w14:textId="77777777" w:rsidR="005C7087" w:rsidRPr="00FE0E2B" w:rsidRDefault="005C7087" w:rsidP="00330EF8">
            <w:pPr>
              <w:keepNext/>
              <w:keepLines/>
              <w:jc w:val="center"/>
              <w:rPr>
                <w:b/>
                <w:bCs/>
                <w:highlight w:val="yellow"/>
              </w:rPr>
            </w:pPr>
            <w:r w:rsidRPr="00C00417">
              <w:rPr>
                <w:b/>
                <w:bCs/>
              </w:rPr>
              <w:t>Affected Individuals</w:t>
            </w:r>
          </w:p>
        </w:tc>
        <w:tc>
          <w:tcPr>
            <w:tcW w:w="2700" w:type="dxa"/>
            <w:vAlign w:val="center"/>
          </w:tcPr>
          <w:p w14:paraId="285EDF8A" w14:textId="77777777" w:rsidR="005C7087" w:rsidRPr="00FE0E2B" w:rsidRDefault="005C7087" w:rsidP="00330EF8">
            <w:pPr>
              <w:keepNext/>
              <w:keepLines/>
              <w:jc w:val="center"/>
              <w:rPr>
                <w:b/>
                <w:bCs/>
                <w:highlight w:val="yellow"/>
              </w:rPr>
            </w:pPr>
            <w:r w:rsidRPr="00C00417">
              <w:rPr>
                <w:b/>
                <w:bCs/>
              </w:rPr>
              <w:t>Burden (hours)</w:t>
            </w:r>
          </w:p>
        </w:tc>
        <w:tc>
          <w:tcPr>
            <w:tcW w:w="2383" w:type="dxa"/>
            <w:vAlign w:val="center"/>
          </w:tcPr>
          <w:p w14:paraId="5AB28C18" w14:textId="120EAFF0" w:rsidR="005C7087" w:rsidRPr="00FE0E2B" w:rsidRDefault="005C7087" w:rsidP="002A2DCF">
            <w:pPr>
              <w:keepNext/>
              <w:keepLines/>
              <w:jc w:val="center"/>
              <w:rPr>
                <w:b/>
                <w:bCs/>
                <w:highlight w:val="yellow"/>
              </w:rPr>
            </w:pPr>
            <w:r w:rsidRPr="00C00417">
              <w:rPr>
                <w:b/>
                <w:bCs/>
              </w:rPr>
              <w:t>Cost (201</w:t>
            </w:r>
            <w:r w:rsidR="002A2DCF">
              <w:rPr>
                <w:b/>
                <w:bCs/>
              </w:rPr>
              <w:t>6</w:t>
            </w:r>
            <w:r w:rsidRPr="00C00417">
              <w:rPr>
                <w:b/>
                <w:bCs/>
              </w:rPr>
              <w:t>$)</w:t>
            </w:r>
          </w:p>
        </w:tc>
      </w:tr>
      <w:tr w:rsidR="005C7087" w:rsidRPr="00FE0E2B" w14:paraId="5EF1651F" w14:textId="77777777">
        <w:trPr>
          <w:jc w:val="center"/>
        </w:trPr>
        <w:tc>
          <w:tcPr>
            <w:tcW w:w="3463" w:type="dxa"/>
            <w:vAlign w:val="center"/>
          </w:tcPr>
          <w:p w14:paraId="5F84B3BC" w14:textId="77777777" w:rsidR="005C7087" w:rsidRPr="00FE0E2B" w:rsidRDefault="005C7087" w:rsidP="00330EF8">
            <w:pPr>
              <w:keepNext/>
              <w:keepLines/>
              <w:rPr>
                <w:highlight w:val="yellow"/>
              </w:rPr>
            </w:pPr>
            <w:r w:rsidRPr="00C00417">
              <w:t>EPA Staff</w:t>
            </w:r>
          </w:p>
        </w:tc>
        <w:tc>
          <w:tcPr>
            <w:tcW w:w="2700" w:type="dxa"/>
            <w:vAlign w:val="center"/>
          </w:tcPr>
          <w:p w14:paraId="00F02D82" w14:textId="4C50E6DE" w:rsidR="005C7087" w:rsidRPr="002A2DCF" w:rsidRDefault="002A2DCF" w:rsidP="00330EF8">
            <w:pPr>
              <w:keepNext/>
              <w:keepLines/>
              <w:jc w:val="center"/>
            </w:pPr>
            <w:r w:rsidRPr="002A2DCF">
              <w:rPr>
                <w:color w:val="000000"/>
              </w:rPr>
              <w:t>3,520</w:t>
            </w:r>
          </w:p>
        </w:tc>
        <w:tc>
          <w:tcPr>
            <w:tcW w:w="2383" w:type="dxa"/>
            <w:vAlign w:val="center"/>
          </w:tcPr>
          <w:p w14:paraId="190E9185" w14:textId="56B5A884" w:rsidR="005C7087" w:rsidRPr="002A2DCF" w:rsidRDefault="005C7087" w:rsidP="002A2DCF">
            <w:pPr>
              <w:keepNext/>
              <w:keepLines/>
              <w:jc w:val="center"/>
            </w:pPr>
            <w:r w:rsidRPr="002A2DCF">
              <w:rPr>
                <w:color w:val="000000"/>
              </w:rPr>
              <w:t>$</w:t>
            </w:r>
            <w:r w:rsidR="002A2DCF" w:rsidRPr="002A2DCF">
              <w:rPr>
                <w:color w:val="000000"/>
              </w:rPr>
              <w:t>140,985</w:t>
            </w:r>
          </w:p>
        </w:tc>
      </w:tr>
      <w:tr w:rsidR="005C7087" w:rsidRPr="00FE0E2B" w14:paraId="3B48A54F" w14:textId="77777777">
        <w:trPr>
          <w:jc w:val="center"/>
        </w:trPr>
        <w:tc>
          <w:tcPr>
            <w:tcW w:w="3463" w:type="dxa"/>
            <w:vAlign w:val="center"/>
          </w:tcPr>
          <w:p w14:paraId="6DC13861" w14:textId="77777777" w:rsidR="005C7087" w:rsidRPr="00FE0E2B" w:rsidRDefault="005C7087" w:rsidP="00330EF8">
            <w:pPr>
              <w:keepNext/>
              <w:keepLines/>
              <w:rPr>
                <w:highlight w:val="yellow"/>
              </w:rPr>
            </w:pPr>
            <w:r w:rsidRPr="00C00417">
              <w:t xml:space="preserve">Survey Printing </w:t>
            </w:r>
          </w:p>
        </w:tc>
        <w:tc>
          <w:tcPr>
            <w:tcW w:w="2700" w:type="dxa"/>
            <w:vAlign w:val="center"/>
          </w:tcPr>
          <w:p w14:paraId="289CC8CA" w14:textId="29DFD532" w:rsidR="005C7087" w:rsidRPr="002A2DCF" w:rsidRDefault="005C7087" w:rsidP="00330EF8">
            <w:pPr>
              <w:keepNext/>
              <w:keepLines/>
              <w:jc w:val="center"/>
            </w:pPr>
          </w:p>
        </w:tc>
        <w:tc>
          <w:tcPr>
            <w:tcW w:w="2383" w:type="dxa"/>
            <w:vAlign w:val="center"/>
          </w:tcPr>
          <w:p w14:paraId="21CFC86C" w14:textId="4F0F23D4" w:rsidR="005C7087" w:rsidRPr="002A2DCF" w:rsidRDefault="005C7087" w:rsidP="00850669">
            <w:pPr>
              <w:keepNext/>
              <w:keepLines/>
              <w:jc w:val="center"/>
            </w:pPr>
            <w:r w:rsidRPr="002A2DCF">
              <w:rPr>
                <w:color w:val="000000"/>
              </w:rPr>
              <w:t>$</w:t>
            </w:r>
            <w:r w:rsidR="00850669">
              <w:rPr>
                <w:color w:val="000000"/>
              </w:rPr>
              <w:t>21,681</w:t>
            </w:r>
          </w:p>
        </w:tc>
      </w:tr>
      <w:tr w:rsidR="005C7087" w:rsidRPr="00FE0E2B" w14:paraId="29276F47" w14:textId="77777777">
        <w:trPr>
          <w:trHeight w:val="379"/>
          <w:jc w:val="center"/>
        </w:trPr>
        <w:tc>
          <w:tcPr>
            <w:tcW w:w="3463" w:type="dxa"/>
            <w:vAlign w:val="center"/>
          </w:tcPr>
          <w:p w14:paraId="6CFAABE0" w14:textId="12DE5063" w:rsidR="005C7087" w:rsidRPr="00FE0E2B" w:rsidRDefault="005C7087" w:rsidP="00253DCD">
            <w:pPr>
              <w:keepNext/>
              <w:keepLines/>
              <w:rPr>
                <w:highlight w:val="yellow"/>
              </w:rPr>
            </w:pPr>
            <w:r w:rsidRPr="00C00417">
              <w:t>EPA's Contractors for the Survey</w:t>
            </w:r>
          </w:p>
        </w:tc>
        <w:tc>
          <w:tcPr>
            <w:tcW w:w="2700" w:type="dxa"/>
            <w:vAlign w:val="center"/>
          </w:tcPr>
          <w:p w14:paraId="67A0AAF5" w14:textId="77777777" w:rsidR="005C7087" w:rsidRPr="00FE0E2B" w:rsidRDefault="005C7087" w:rsidP="00330EF8">
            <w:pPr>
              <w:keepNext/>
              <w:keepLines/>
              <w:jc w:val="center"/>
            </w:pPr>
            <w:r>
              <w:rPr>
                <w:color w:val="000000"/>
              </w:rPr>
              <w:t>1,228</w:t>
            </w:r>
          </w:p>
        </w:tc>
        <w:tc>
          <w:tcPr>
            <w:tcW w:w="2383" w:type="dxa"/>
            <w:vAlign w:val="center"/>
          </w:tcPr>
          <w:p w14:paraId="19CB5924" w14:textId="77777777" w:rsidR="005C7087" w:rsidRPr="00FE0E2B" w:rsidRDefault="005C7087" w:rsidP="00330EF8">
            <w:pPr>
              <w:keepNext/>
              <w:keepLines/>
              <w:jc w:val="center"/>
            </w:pPr>
            <w:r w:rsidRPr="00C00417">
              <w:rPr>
                <w:color w:val="000000"/>
              </w:rPr>
              <w:t>$</w:t>
            </w:r>
            <w:r>
              <w:rPr>
                <w:color w:val="000000"/>
              </w:rPr>
              <w:t>203,507</w:t>
            </w:r>
          </w:p>
        </w:tc>
      </w:tr>
      <w:tr w:rsidR="005C7087" w:rsidRPr="00FE0E2B" w14:paraId="77CC3B1C" w14:textId="77777777">
        <w:trPr>
          <w:jc w:val="center"/>
        </w:trPr>
        <w:tc>
          <w:tcPr>
            <w:tcW w:w="3463" w:type="dxa"/>
            <w:vAlign w:val="center"/>
          </w:tcPr>
          <w:p w14:paraId="68E4CF48" w14:textId="77777777" w:rsidR="005C7087" w:rsidRPr="00FE0E2B" w:rsidRDefault="005C7087" w:rsidP="00330EF8">
            <w:pPr>
              <w:keepNext/>
              <w:keepLines/>
              <w:rPr>
                <w:highlight w:val="yellow"/>
              </w:rPr>
            </w:pPr>
            <w:r w:rsidRPr="00C00417">
              <w:t>Total Agency Burden and Cost</w:t>
            </w:r>
          </w:p>
        </w:tc>
        <w:tc>
          <w:tcPr>
            <w:tcW w:w="2700" w:type="dxa"/>
            <w:vAlign w:val="center"/>
          </w:tcPr>
          <w:p w14:paraId="2CF0EADA" w14:textId="75BEADAB" w:rsidR="005C7087" w:rsidRPr="00FE0E2B" w:rsidRDefault="002A2DCF" w:rsidP="00330EF8">
            <w:pPr>
              <w:keepNext/>
              <w:keepLines/>
              <w:jc w:val="center"/>
            </w:pPr>
            <w:r>
              <w:rPr>
                <w:color w:val="000000"/>
              </w:rPr>
              <w:t>4,748</w:t>
            </w:r>
          </w:p>
        </w:tc>
        <w:tc>
          <w:tcPr>
            <w:tcW w:w="2383" w:type="dxa"/>
            <w:vAlign w:val="center"/>
          </w:tcPr>
          <w:p w14:paraId="316E840A" w14:textId="4966198E" w:rsidR="005C7087" w:rsidRPr="00FE0E2B" w:rsidRDefault="005C7087" w:rsidP="00330EF8">
            <w:pPr>
              <w:keepNext/>
              <w:keepLines/>
              <w:jc w:val="center"/>
            </w:pPr>
            <w:r w:rsidRPr="00C00417">
              <w:rPr>
                <w:color w:val="000000"/>
              </w:rPr>
              <w:t>$</w:t>
            </w:r>
            <w:r w:rsidR="00850669">
              <w:rPr>
                <w:color w:val="000000"/>
              </w:rPr>
              <w:t>366,173</w:t>
            </w:r>
          </w:p>
        </w:tc>
      </w:tr>
      <w:tr w:rsidR="00134AA0" w:rsidRPr="00FE0E2B" w14:paraId="4078A8BF" w14:textId="77777777">
        <w:trPr>
          <w:jc w:val="center"/>
        </w:trPr>
        <w:tc>
          <w:tcPr>
            <w:tcW w:w="3463" w:type="dxa"/>
            <w:vAlign w:val="center"/>
          </w:tcPr>
          <w:p w14:paraId="4C843C49" w14:textId="77777777" w:rsidR="00134AA0" w:rsidRDefault="00134AA0" w:rsidP="00134AA0">
            <w:pPr>
              <w:keepNext/>
              <w:keepLines/>
            </w:pPr>
            <w:r>
              <w:t>Annual Agency Cost*</w:t>
            </w:r>
          </w:p>
          <w:p w14:paraId="38601918" w14:textId="0809A400" w:rsidR="00134AA0" w:rsidRPr="00C00417" w:rsidRDefault="00134AA0" w:rsidP="00134AA0">
            <w:pPr>
              <w:keepNext/>
              <w:keepLines/>
            </w:pPr>
            <w:r>
              <w:rPr>
                <w:sz w:val="16"/>
                <w:szCs w:val="16"/>
              </w:rPr>
              <w:t>One-time collection / 3 years</w:t>
            </w:r>
          </w:p>
        </w:tc>
        <w:tc>
          <w:tcPr>
            <w:tcW w:w="2700" w:type="dxa"/>
            <w:vAlign w:val="center"/>
          </w:tcPr>
          <w:p w14:paraId="59AF8934" w14:textId="77777777" w:rsidR="00134AA0" w:rsidRDefault="00134AA0" w:rsidP="00330EF8">
            <w:pPr>
              <w:keepNext/>
              <w:keepLines/>
              <w:jc w:val="center"/>
              <w:rPr>
                <w:color w:val="000000"/>
              </w:rPr>
            </w:pPr>
          </w:p>
        </w:tc>
        <w:tc>
          <w:tcPr>
            <w:tcW w:w="2383" w:type="dxa"/>
            <w:vAlign w:val="center"/>
          </w:tcPr>
          <w:p w14:paraId="3E2F87C7" w14:textId="462933BF" w:rsidR="00134AA0" w:rsidRPr="00C00417" w:rsidRDefault="00134AA0" w:rsidP="00330EF8">
            <w:pPr>
              <w:keepNext/>
              <w:keepLines/>
              <w:jc w:val="center"/>
              <w:rPr>
                <w:color w:val="000000"/>
              </w:rPr>
            </w:pPr>
            <w:r>
              <w:rPr>
                <w:color w:val="000000"/>
              </w:rPr>
              <w:t>$122,058</w:t>
            </w:r>
          </w:p>
        </w:tc>
      </w:tr>
    </w:tbl>
    <w:p w14:paraId="7104AC50" w14:textId="77777777" w:rsidR="005C7087" w:rsidRPr="00DF48C0" w:rsidRDefault="005C7087" w:rsidP="00FE0E2B">
      <w:pPr>
        <w:spacing w:line="360" w:lineRule="auto"/>
        <w:rPr>
          <w:rFonts w:cs="Times New Roman"/>
        </w:rPr>
      </w:pPr>
    </w:p>
    <w:p w14:paraId="5B535EBD" w14:textId="77777777" w:rsidR="00FE0E2B" w:rsidRPr="00DF48C0" w:rsidRDefault="00FE0E2B" w:rsidP="00FE0E2B">
      <w:pPr>
        <w:spacing w:line="360" w:lineRule="auto"/>
        <w:rPr>
          <w:rFonts w:cs="Times New Roman"/>
        </w:rPr>
      </w:pPr>
    </w:p>
    <w:p w14:paraId="2866653C" w14:textId="77777777" w:rsidR="00FE0E2B" w:rsidRPr="00DF48C0" w:rsidRDefault="00C00417" w:rsidP="00FE0E2B">
      <w:pPr>
        <w:pStyle w:val="Heading3"/>
        <w:rPr>
          <w:sz w:val="22"/>
          <w:szCs w:val="22"/>
        </w:rPr>
      </w:pPr>
      <w:bookmarkStart w:id="62" w:name="_Toc326736663"/>
      <w:bookmarkStart w:id="63" w:name="_Toc473195103"/>
      <w:r w:rsidRPr="00DF48C0">
        <w:rPr>
          <w:sz w:val="22"/>
          <w:szCs w:val="22"/>
        </w:rPr>
        <w:t>6(f)</w:t>
      </w:r>
      <w:r w:rsidRPr="00DF48C0">
        <w:rPr>
          <w:sz w:val="22"/>
          <w:szCs w:val="22"/>
        </w:rPr>
        <w:tab/>
        <w:t>Reasons for Change in Burden</w:t>
      </w:r>
      <w:bookmarkEnd w:id="62"/>
      <w:bookmarkEnd w:id="63"/>
    </w:p>
    <w:p w14:paraId="7B4669D6" w14:textId="77777777" w:rsidR="00FE0E2B" w:rsidRPr="00DF48C0" w:rsidRDefault="00FE0E2B" w:rsidP="00FE0E2B">
      <w:pPr>
        <w:keepNext/>
        <w:spacing w:line="360" w:lineRule="auto"/>
        <w:rPr>
          <w:rFonts w:cs="Times New Roman"/>
        </w:rPr>
      </w:pPr>
    </w:p>
    <w:p w14:paraId="57573C0A" w14:textId="77777777" w:rsidR="00FE0E2B" w:rsidRPr="00FA6358" w:rsidRDefault="00C00417" w:rsidP="00FE0E2B">
      <w:pPr>
        <w:pStyle w:val="BodyTextI2"/>
        <w:keepNext/>
        <w:rPr>
          <w:sz w:val="22"/>
          <w:szCs w:val="22"/>
        </w:rPr>
      </w:pPr>
      <w:r w:rsidRPr="00DF48C0">
        <w:rPr>
          <w:sz w:val="22"/>
          <w:szCs w:val="22"/>
        </w:rPr>
        <w:t xml:space="preserve">This is a new collection. The survey is a </w:t>
      </w:r>
      <w:r w:rsidRPr="00FA6358">
        <w:rPr>
          <w:sz w:val="22"/>
          <w:szCs w:val="22"/>
        </w:rPr>
        <w:t>one-time data collection activity.</w:t>
      </w:r>
    </w:p>
    <w:p w14:paraId="48A72ADE" w14:textId="77777777" w:rsidR="00FE0E2B" w:rsidRPr="00FA6358" w:rsidRDefault="00FE0E2B" w:rsidP="00FE0E2B">
      <w:pPr>
        <w:spacing w:line="360" w:lineRule="auto"/>
        <w:rPr>
          <w:rFonts w:cs="Times New Roman"/>
        </w:rPr>
      </w:pPr>
    </w:p>
    <w:p w14:paraId="50245B51" w14:textId="77777777" w:rsidR="00FE0E2B" w:rsidRPr="00DF48C0" w:rsidRDefault="00C00417" w:rsidP="00FE0E2B">
      <w:pPr>
        <w:pStyle w:val="Heading3"/>
        <w:rPr>
          <w:sz w:val="22"/>
          <w:szCs w:val="22"/>
        </w:rPr>
      </w:pPr>
      <w:bookmarkStart w:id="64" w:name="_Toc326736664"/>
      <w:bookmarkStart w:id="65" w:name="_Toc473195104"/>
      <w:r w:rsidRPr="00CE1468">
        <w:rPr>
          <w:sz w:val="22"/>
          <w:szCs w:val="22"/>
        </w:rPr>
        <w:t>6(g)</w:t>
      </w:r>
      <w:r w:rsidRPr="00CE1468">
        <w:rPr>
          <w:sz w:val="22"/>
          <w:szCs w:val="22"/>
        </w:rPr>
        <w:tab/>
        <w:t>Burden Statement</w:t>
      </w:r>
      <w:bookmarkEnd w:id="64"/>
      <w:bookmarkEnd w:id="65"/>
    </w:p>
    <w:p w14:paraId="1DD01602" w14:textId="77777777" w:rsidR="00FE0E2B" w:rsidRPr="00DF48C0" w:rsidRDefault="00FE0E2B" w:rsidP="00FE0E2B">
      <w:pPr>
        <w:spacing w:line="360" w:lineRule="auto"/>
        <w:rPr>
          <w:rFonts w:cs="Times New Roman"/>
        </w:rPr>
      </w:pPr>
    </w:p>
    <w:p w14:paraId="52E90D90" w14:textId="3386F097" w:rsidR="00FE0E2B" w:rsidRPr="00DF48C0" w:rsidRDefault="00C00417" w:rsidP="00FE0E2B">
      <w:pPr>
        <w:pStyle w:val="BodyTextI2"/>
        <w:rPr>
          <w:sz w:val="22"/>
          <w:szCs w:val="22"/>
        </w:rPr>
      </w:pPr>
      <w:r w:rsidRPr="00DF48C0">
        <w:rPr>
          <w:sz w:val="22"/>
          <w:szCs w:val="22"/>
        </w:rPr>
        <w:t xml:space="preserve">EPA estimates that </w:t>
      </w:r>
      <w:r w:rsidRPr="00FA6358">
        <w:rPr>
          <w:sz w:val="22"/>
          <w:szCs w:val="22"/>
        </w:rPr>
        <w:t xml:space="preserve">the public reporting and record keeping burden associated with the survey will average </w:t>
      </w:r>
      <w:r w:rsidR="00587628">
        <w:rPr>
          <w:sz w:val="22"/>
          <w:szCs w:val="22"/>
        </w:rPr>
        <w:t>5 minutes</w:t>
      </w:r>
      <w:r w:rsidRPr="00FA6358">
        <w:rPr>
          <w:sz w:val="22"/>
          <w:szCs w:val="22"/>
        </w:rPr>
        <w:t xml:space="preserve"> per respondent (i.e., a total of </w:t>
      </w:r>
      <w:r w:rsidR="0013612C">
        <w:rPr>
          <w:sz w:val="22"/>
          <w:szCs w:val="22"/>
        </w:rPr>
        <w:t>563</w:t>
      </w:r>
      <w:r w:rsidRPr="00FA6358">
        <w:rPr>
          <w:sz w:val="22"/>
          <w:szCs w:val="22"/>
        </w:rPr>
        <w:t xml:space="preserve"> hours of burden divided among </w:t>
      </w:r>
      <w:r w:rsidR="00B71911">
        <w:rPr>
          <w:sz w:val="22"/>
          <w:szCs w:val="22"/>
        </w:rPr>
        <w:t>90</w:t>
      </w:r>
      <w:r w:rsidRPr="00FA6358">
        <w:rPr>
          <w:sz w:val="22"/>
          <w:szCs w:val="22"/>
        </w:rPr>
        <w:t xml:space="preserve"> pre-test respondents</w:t>
      </w:r>
      <w:r w:rsidR="0013612C">
        <w:rPr>
          <w:sz w:val="22"/>
          <w:szCs w:val="22"/>
        </w:rPr>
        <w:t>,</w:t>
      </w:r>
      <w:r w:rsidRPr="00FA6358">
        <w:rPr>
          <w:sz w:val="22"/>
          <w:szCs w:val="22"/>
        </w:rPr>
        <w:t xml:space="preserve"> </w:t>
      </w:r>
      <w:r w:rsidR="0013612C">
        <w:rPr>
          <w:sz w:val="22"/>
          <w:szCs w:val="22"/>
        </w:rPr>
        <w:t xml:space="preserve">23 hours, </w:t>
      </w:r>
      <w:r w:rsidRPr="00FA6358">
        <w:rPr>
          <w:sz w:val="22"/>
          <w:szCs w:val="22"/>
        </w:rPr>
        <w:t xml:space="preserve">and </w:t>
      </w:r>
      <w:r w:rsidR="005C7087" w:rsidRPr="00FA6358">
        <w:rPr>
          <w:sz w:val="22"/>
          <w:szCs w:val="22"/>
        </w:rPr>
        <w:t>2,</w:t>
      </w:r>
      <w:r w:rsidR="0013612C">
        <w:rPr>
          <w:sz w:val="22"/>
          <w:szCs w:val="22"/>
        </w:rPr>
        <w:t>163</w:t>
      </w:r>
      <w:r w:rsidRPr="00FA6358">
        <w:rPr>
          <w:sz w:val="22"/>
          <w:szCs w:val="22"/>
        </w:rPr>
        <w:t xml:space="preserve"> main survey respondents</w:t>
      </w:r>
      <w:r w:rsidR="0013612C">
        <w:rPr>
          <w:sz w:val="22"/>
          <w:szCs w:val="22"/>
        </w:rPr>
        <w:t>, 541 hours</w:t>
      </w:r>
      <w:r w:rsidR="005C7087" w:rsidRPr="00FA6358">
        <w:rPr>
          <w:sz w:val="22"/>
          <w:szCs w:val="22"/>
        </w:rPr>
        <w:t xml:space="preserve">). </w:t>
      </w:r>
      <w:r w:rsidRPr="00FA6358">
        <w:rPr>
          <w:sz w:val="22"/>
          <w:szCs w:val="22"/>
        </w:rPr>
        <w:t>Burden</w:t>
      </w:r>
      <w:r w:rsidRPr="00DF48C0">
        <w:rPr>
          <w:sz w:val="22"/>
          <w:szCs w:val="22"/>
        </w:rPr>
        <w:t xml:space="preserve">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EPA's regulations are listed in 40 CFR part 9 and 48 CFR chapter 15. </w:t>
      </w:r>
    </w:p>
    <w:p w14:paraId="51BA280D" w14:textId="463DF2FB" w:rsidR="00FE0E2B" w:rsidRPr="00DF48C0" w:rsidRDefault="00FE0E2B" w:rsidP="00FE0E2B">
      <w:pPr>
        <w:spacing w:line="360" w:lineRule="auto"/>
        <w:ind w:firstLine="720"/>
        <w:rPr>
          <w:rFonts w:cs="Times New Roman"/>
        </w:rPr>
      </w:pPr>
      <w:r w:rsidRPr="00DF48C0">
        <w:rPr>
          <w:rFonts w:cs="Times New Roman"/>
        </w:rPr>
        <w:t xml:space="preserve">To comment on the Agency's need for this information, the accuracy of the provided burden estimates, and any suggested methods for minimizing respondent burden, including the use of automated collection </w:t>
      </w:r>
      <w:r w:rsidRPr="00BA3ADB">
        <w:rPr>
          <w:rFonts w:cs="Times New Roman"/>
        </w:rPr>
        <w:t xml:space="preserve">techniques, EPA has established a public docket for this ICR under </w:t>
      </w:r>
      <w:r w:rsidRPr="00547404">
        <w:rPr>
          <w:rFonts w:cs="Times New Roman"/>
        </w:rPr>
        <w:t xml:space="preserve">Docket ID No. </w:t>
      </w:r>
      <w:r w:rsidR="00BA3ADB" w:rsidRPr="00547404">
        <w:rPr>
          <w:rFonts w:cs="Times New Roman"/>
        </w:rPr>
        <w:t>EPA-HQ- EPA-HQ-ORD-2016-0632</w:t>
      </w:r>
      <w:r w:rsidRPr="00547404">
        <w:rPr>
          <w:rFonts w:cs="Times New Roman"/>
        </w:rPr>
        <w:t>, which is ava</w:t>
      </w:r>
      <w:r w:rsidRPr="00DF48C0">
        <w:rPr>
          <w:rFonts w:cs="Times New Roman"/>
        </w:rPr>
        <w:t xml:space="preserve">ilable for online viewing at www.regulations.gov, or in person viewing at the Office of </w:t>
      </w:r>
      <w:r w:rsidR="00BF58D5">
        <w:rPr>
          <w:rFonts w:cs="Times New Roman"/>
        </w:rPr>
        <w:t xml:space="preserve">Research and Development (ORD) </w:t>
      </w:r>
      <w:r w:rsidRPr="00DF48C0">
        <w:rPr>
          <w:rFonts w:cs="Times New Roman"/>
        </w:rPr>
        <w:t xml:space="preserve">Docket in the EPA Docket Center (EPA/DC), EPA West, Room 3334, 1301 Constitution Ave., NW, Washington, DC. The EPA/DC Public Reading Room is open from 8:30 a.m. to 4:30 p.m., Monday through Friday, excluding legal holidays. The telephone number for the Reading Room is 202-566-1744, and the telephone number for the Office of </w:t>
      </w:r>
      <w:r w:rsidR="00C00417" w:rsidRPr="00DF48C0">
        <w:rPr>
          <w:rFonts w:cs="Times New Roman"/>
        </w:rPr>
        <w:t xml:space="preserve">the Administrator Docket is 202-566-1752. </w:t>
      </w:r>
    </w:p>
    <w:p w14:paraId="6D9F5349" w14:textId="6CF4D6D8" w:rsidR="00FE0E2B" w:rsidRPr="00DF48C0" w:rsidRDefault="00C00417" w:rsidP="00FE0E2B">
      <w:pPr>
        <w:spacing w:line="360" w:lineRule="auto"/>
        <w:ind w:firstLine="720"/>
        <w:rPr>
          <w:rFonts w:cs="Times New Roman"/>
        </w:rPr>
      </w:pPr>
      <w:r w:rsidRPr="00DF48C0">
        <w:rPr>
          <w:rFonts w:cs="Times New Roman"/>
        </w:rPr>
        <w:t>Use www.regulations.gov to obtain a copy of the draft collection of information, submit or view public comments, access the index listing of the contents of the docket, and to access those documents in the public docket that are available electronically. Once in the system, select “search,” then key in the docket ID number</w:t>
      </w:r>
      <w:r w:rsidRPr="00547404">
        <w:rPr>
          <w:rFonts w:cs="Times New Roman"/>
        </w:rPr>
        <w:t xml:space="preserve">, </w:t>
      </w:r>
      <w:r w:rsidR="00BA3ADB" w:rsidRPr="00547404">
        <w:rPr>
          <w:rFonts w:cs="Times New Roman"/>
        </w:rPr>
        <w:t>EPA-HQ- EPA-HQ-ORD-2016-0632</w:t>
      </w:r>
      <w:r w:rsidR="00B96E20" w:rsidRPr="00DF48C0">
        <w:rPr>
          <w:rFonts w:cs="Times New Roman"/>
        </w:rPr>
        <w:t>.</w:t>
      </w:r>
    </w:p>
    <w:p w14:paraId="144B0C30" w14:textId="77777777" w:rsidR="00650C2A" w:rsidRPr="00DF48C0" w:rsidRDefault="00650C2A">
      <w:pPr>
        <w:spacing w:line="276" w:lineRule="auto"/>
        <w:rPr>
          <w:rFonts w:cs="Times New Roman"/>
        </w:rPr>
      </w:pPr>
      <w:r w:rsidRPr="00DF48C0">
        <w:rPr>
          <w:rFonts w:cs="Times New Roman"/>
        </w:rPr>
        <w:br w:type="page"/>
      </w:r>
    </w:p>
    <w:p w14:paraId="1E1F39DF" w14:textId="77777777" w:rsidR="00650C2A" w:rsidRPr="00DF48C0" w:rsidRDefault="00650C2A" w:rsidP="00650C2A">
      <w:pPr>
        <w:pStyle w:val="Heading1"/>
        <w:rPr>
          <w:sz w:val="22"/>
          <w:szCs w:val="22"/>
        </w:rPr>
      </w:pPr>
      <w:bookmarkStart w:id="66" w:name="_Toc327184540"/>
      <w:bookmarkStart w:id="67" w:name="_Toc327362383"/>
      <w:bookmarkStart w:id="68" w:name="_Toc473195105"/>
      <w:r w:rsidRPr="00DF48C0">
        <w:rPr>
          <w:sz w:val="22"/>
          <w:szCs w:val="22"/>
        </w:rPr>
        <w:t>PART B OF THE SUPPORTING STATEMENT</w:t>
      </w:r>
      <w:bookmarkEnd w:id="66"/>
      <w:bookmarkEnd w:id="67"/>
      <w:bookmarkEnd w:id="68"/>
    </w:p>
    <w:p w14:paraId="2EFBEED6" w14:textId="77777777" w:rsidR="00650C2A" w:rsidRPr="00DF48C0" w:rsidRDefault="00650C2A" w:rsidP="00650C2A">
      <w:pPr>
        <w:spacing w:line="360" w:lineRule="auto"/>
        <w:rPr>
          <w:rFonts w:cs="Times New Roman"/>
        </w:rPr>
      </w:pPr>
    </w:p>
    <w:p w14:paraId="120664E2" w14:textId="77777777" w:rsidR="00650C2A" w:rsidRPr="00DF48C0" w:rsidRDefault="00650C2A" w:rsidP="00650C2A">
      <w:pPr>
        <w:pStyle w:val="Heading2"/>
        <w:rPr>
          <w:sz w:val="22"/>
          <w:szCs w:val="22"/>
        </w:rPr>
      </w:pPr>
      <w:bookmarkStart w:id="69" w:name="_Toc327184541"/>
      <w:bookmarkStart w:id="70" w:name="_Toc327362384"/>
      <w:bookmarkStart w:id="71" w:name="_Toc473195106"/>
      <w:r w:rsidRPr="00DF48C0">
        <w:rPr>
          <w:sz w:val="22"/>
          <w:szCs w:val="22"/>
        </w:rPr>
        <w:t>1.</w:t>
      </w:r>
      <w:r w:rsidRPr="00DF48C0">
        <w:rPr>
          <w:sz w:val="22"/>
          <w:szCs w:val="22"/>
        </w:rPr>
        <w:tab/>
        <w:t>Survey Objectives, Key Variables, and Other Preliminaries</w:t>
      </w:r>
      <w:bookmarkEnd w:id="69"/>
      <w:bookmarkEnd w:id="70"/>
      <w:bookmarkEnd w:id="71"/>
      <w:r w:rsidRPr="00DF48C0">
        <w:rPr>
          <w:sz w:val="22"/>
          <w:szCs w:val="22"/>
        </w:rPr>
        <w:tab/>
      </w:r>
      <w:r w:rsidRPr="00DF48C0">
        <w:rPr>
          <w:sz w:val="22"/>
          <w:szCs w:val="22"/>
        </w:rPr>
        <w:tab/>
      </w:r>
    </w:p>
    <w:p w14:paraId="1A58DD1D" w14:textId="77777777" w:rsidR="00650C2A" w:rsidRPr="00DF48C0" w:rsidRDefault="00650C2A" w:rsidP="00650C2A">
      <w:pPr>
        <w:pStyle w:val="Heading3"/>
        <w:rPr>
          <w:sz w:val="22"/>
          <w:szCs w:val="22"/>
        </w:rPr>
      </w:pPr>
      <w:bookmarkStart w:id="72" w:name="_Toc327184542"/>
      <w:bookmarkStart w:id="73" w:name="_Toc327362385"/>
      <w:bookmarkStart w:id="74" w:name="_Toc473195107"/>
      <w:r w:rsidRPr="00DF48C0">
        <w:rPr>
          <w:sz w:val="22"/>
          <w:szCs w:val="22"/>
        </w:rPr>
        <w:t>1(a)</w:t>
      </w:r>
      <w:r w:rsidRPr="00DF48C0">
        <w:rPr>
          <w:sz w:val="22"/>
          <w:szCs w:val="22"/>
        </w:rPr>
        <w:tab/>
        <w:t>Survey Objectives</w:t>
      </w:r>
      <w:bookmarkEnd w:id="72"/>
      <w:bookmarkEnd w:id="73"/>
      <w:bookmarkEnd w:id="74"/>
    </w:p>
    <w:p w14:paraId="5E275F0D" w14:textId="77777777" w:rsidR="00650C2A" w:rsidRPr="00DF48C0" w:rsidRDefault="00650C2A" w:rsidP="00650C2A">
      <w:pPr>
        <w:spacing w:line="360" w:lineRule="auto"/>
        <w:rPr>
          <w:rFonts w:cs="Times New Roman"/>
        </w:rPr>
      </w:pPr>
      <w:r w:rsidRPr="00DF48C0">
        <w:rPr>
          <w:rFonts w:cs="Times New Roman"/>
        </w:rPr>
        <w:tab/>
      </w:r>
    </w:p>
    <w:p w14:paraId="2776546F" w14:textId="6B46FEC3" w:rsidR="00650C2A" w:rsidRPr="00DF48C0" w:rsidRDefault="00650C2A" w:rsidP="00907141">
      <w:pPr>
        <w:spacing w:line="360" w:lineRule="auto"/>
        <w:rPr>
          <w:rFonts w:cs="Times New Roman"/>
        </w:rPr>
      </w:pPr>
      <w:r w:rsidRPr="00DF48C0">
        <w:rPr>
          <w:rFonts w:cs="Times New Roman"/>
        </w:rPr>
        <w:tab/>
      </w:r>
      <w:r w:rsidR="00DD4342" w:rsidRPr="00DF48C0">
        <w:rPr>
          <w:rFonts w:cs="Times New Roman"/>
        </w:rPr>
        <w:t xml:space="preserve">The survey is being proposed by the EPA Office of Research and Development, and is not associated with any regulatory ruling of EPA. </w:t>
      </w:r>
      <w:r w:rsidR="00756AA2">
        <w:rPr>
          <w:rFonts w:cs="Times New Roman"/>
        </w:rPr>
        <w:t xml:space="preserve">Because the primary reason for the proposed survey is research, decisions were made in the study design from a perspective of making research contributions, rather than for conducting a definitive benefits analysis for regulatory purposes. </w:t>
      </w:r>
      <w:r w:rsidRPr="00DF48C0">
        <w:rPr>
          <w:rFonts w:cs="Times New Roman"/>
        </w:rPr>
        <w:t xml:space="preserve">The overall goal of this survey is to </w:t>
      </w:r>
      <w:r w:rsidR="00724BDB" w:rsidRPr="00DF48C0">
        <w:rPr>
          <w:rFonts w:cs="Times New Roman"/>
        </w:rPr>
        <w:t>understand how reduced water quality due to nutrient enrichment is affecting and may affect economic prosperity and social capacity of coastal New England communities.</w:t>
      </w:r>
      <w:r w:rsidRPr="00DF48C0">
        <w:rPr>
          <w:rFonts w:cs="Times New Roman"/>
        </w:rPr>
        <w:t xml:space="preserve"> EPA has designed the survey to provide data to support the following specific objectives:</w:t>
      </w:r>
    </w:p>
    <w:p w14:paraId="0191F095" w14:textId="6170D5DE" w:rsidR="00650C2A" w:rsidRPr="00DF48C0" w:rsidRDefault="00650C2A" w:rsidP="00650C2A">
      <w:pPr>
        <w:numPr>
          <w:ilvl w:val="0"/>
          <w:numId w:val="4"/>
        </w:numPr>
        <w:spacing w:line="360" w:lineRule="auto"/>
        <w:rPr>
          <w:rFonts w:cs="Times New Roman"/>
        </w:rPr>
      </w:pPr>
      <w:r w:rsidRPr="00DF48C0">
        <w:rPr>
          <w:rFonts w:cs="Times New Roman"/>
        </w:rPr>
        <w:t>To estimate</w:t>
      </w:r>
      <w:r w:rsidR="00724BDB" w:rsidRPr="00DF48C0">
        <w:rPr>
          <w:rFonts w:cs="Times New Roman"/>
        </w:rPr>
        <w:t xml:space="preserve"> the revealed recreational use values that </w:t>
      </w:r>
      <w:r w:rsidR="00756AA2">
        <w:rPr>
          <w:rFonts w:cs="Times New Roman"/>
        </w:rPr>
        <w:t xml:space="preserve">coastal residents of Southern New England </w:t>
      </w:r>
      <w:r w:rsidR="00724BDB" w:rsidRPr="00DF48C0">
        <w:rPr>
          <w:rFonts w:cs="Times New Roman"/>
        </w:rPr>
        <w:t>place on improving water quality in coastal New England waters.</w:t>
      </w:r>
    </w:p>
    <w:p w14:paraId="56C737D4" w14:textId="77777777" w:rsidR="00650C2A" w:rsidRPr="00DF48C0" w:rsidRDefault="00650C2A" w:rsidP="00650C2A">
      <w:pPr>
        <w:numPr>
          <w:ilvl w:val="0"/>
          <w:numId w:val="4"/>
        </w:numPr>
        <w:spacing w:line="360" w:lineRule="auto"/>
        <w:rPr>
          <w:rFonts w:cs="Times New Roman"/>
        </w:rPr>
      </w:pPr>
      <w:r w:rsidRPr="00DF48C0">
        <w:rPr>
          <w:rFonts w:cs="Times New Roman"/>
        </w:rPr>
        <w:t>To understand</w:t>
      </w:r>
      <w:r w:rsidR="00724BDB" w:rsidRPr="00DF48C0">
        <w:rPr>
          <w:rFonts w:cs="Times New Roman"/>
        </w:rPr>
        <w:t xml:space="preserve"> and connect</w:t>
      </w:r>
      <w:r w:rsidR="002C4485" w:rsidRPr="00DF48C0">
        <w:rPr>
          <w:rFonts w:cs="Times New Roman"/>
        </w:rPr>
        <w:t xml:space="preserve"> </w:t>
      </w:r>
      <w:r w:rsidR="00724BDB" w:rsidRPr="00DF48C0">
        <w:rPr>
          <w:rFonts w:cs="Times New Roman"/>
        </w:rPr>
        <w:t xml:space="preserve">the social and economic value of improvement in water </w:t>
      </w:r>
      <w:r w:rsidR="006E4690" w:rsidRPr="00DF48C0">
        <w:rPr>
          <w:rFonts w:cs="Times New Roman"/>
        </w:rPr>
        <w:t xml:space="preserve">quality </w:t>
      </w:r>
      <w:r w:rsidR="00724BDB" w:rsidRPr="00DF48C0">
        <w:rPr>
          <w:rFonts w:cs="Times New Roman"/>
        </w:rPr>
        <w:t>and recreational opportunities.</w:t>
      </w:r>
      <w:r w:rsidRPr="00DF48C0">
        <w:rPr>
          <w:rFonts w:cs="Times New Roman"/>
        </w:rPr>
        <w:t xml:space="preserve"> </w:t>
      </w:r>
    </w:p>
    <w:p w14:paraId="33B5A698" w14:textId="77777777" w:rsidR="002C4485" w:rsidRPr="00DF48C0" w:rsidRDefault="00724BDB" w:rsidP="00650C2A">
      <w:pPr>
        <w:numPr>
          <w:ilvl w:val="0"/>
          <w:numId w:val="4"/>
        </w:numPr>
        <w:spacing w:line="360" w:lineRule="auto"/>
        <w:rPr>
          <w:rFonts w:cs="Times New Roman"/>
        </w:rPr>
      </w:pPr>
      <w:r w:rsidRPr="00DF48C0">
        <w:rPr>
          <w:rFonts w:cs="Times New Roman"/>
        </w:rPr>
        <w:t>To estimate use of different types of coastal systems</w:t>
      </w:r>
      <w:r w:rsidR="002C4485" w:rsidRPr="00DF48C0">
        <w:rPr>
          <w:rFonts w:cs="Times New Roman"/>
        </w:rPr>
        <w:t>.</w:t>
      </w:r>
    </w:p>
    <w:p w14:paraId="5AC4EDB5" w14:textId="77777777" w:rsidR="00724BDB" w:rsidRPr="00DF48C0" w:rsidRDefault="00724BDB" w:rsidP="00650C2A">
      <w:pPr>
        <w:numPr>
          <w:ilvl w:val="0"/>
          <w:numId w:val="4"/>
        </w:numPr>
        <w:spacing w:line="360" w:lineRule="auto"/>
        <w:rPr>
          <w:rFonts w:cs="Times New Roman"/>
        </w:rPr>
      </w:pPr>
      <w:r w:rsidRPr="00DF48C0">
        <w:rPr>
          <w:rFonts w:cs="Times New Roman"/>
        </w:rPr>
        <w:t>To understand how individuals’ perceptions of water quality relate to actual water quality measurements in coastal systems.</w:t>
      </w:r>
    </w:p>
    <w:p w14:paraId="4FE02673" w14:textId="741126FD" w:rsidR="00650C2A" w:rsidRPr="00DF48C0" w:rsidRDefault="00650C2A" w:rsidP="00650C2A">
      <w:pPr>
        <w:numPr>
          <w:ilvl w:val="0"/>
          <w:numId w:val="4"/>
        </w:numPr>
        <w:spacing w:line="360" w:lineRule="auto"/>
        <w:rPr>
          <w:rFonts w:cs="Times New Roman"/>
        </w:rPr>
      </w:pPr>
      <w:r w:rsidRPr="00DF48C0">
        <w:rPr>
          <w:rFonts w:cs="Times New Roman"/>
        </w:rPr>
        <w:t xml:space="preserve">To understand how values vary with respect to individuals’ attitudes, awareness, </w:t>
      </w:r>
      <w:r w:rsidR="00756AA2">
        <w:rPr>
          <w:rFonts w:cs="Times New Roman"/>
        </w:rPr>
        <w:t xml:space="preserve">sense of place, </w:t>
      </w:r>
      <w:r w:rsidRPr="00DF48C0">
        <w:rPr>
          <w:rFonts w:cs="Times New Roman"/>
        </w:rPr>
        <w:t>and demographic characteristics.</w:t>
      </w:r>
    </w:p>
    <w:p w14:paraId="652FE09E" w14:textId="5C9808C6" w:rsidR="00650C2A" w:rsidRPr="00DF48C0" w:rsidRDefault="00650C2A" w:rsidP="00650C2A">
      <w:pPr>
        <w:spacing w:line="360" w:lineRule="auto"/>
        <w:ind w:firstLine="360"/>
        <w:rPr>
          <w:rFonts w:cs="Times New Roman"/>
        </w:rPr>
      </w:pPr>
      <w:r w:rsidRPr="00DF48C0">
        <w:rPr>
          <w:rFonts w:cs="Times New Roman"/>
        </w:rPr>
        <w:t xml:space="preserve">Understanding public values for water quality improvements is necessary to </w:t>
      </w:r>
      <w:r w:rsidR="00724BDB" w:rsidRPr="00DF48C0">
        <w:rPr>
          <w:rFonts w:cs="Times New Roman"/>
        </w:rPr>
        <w:t xml:space="preserve">better </w:t>
      </w:r>
      <w:r w:rsidRPr="00DF48C0">
        <w:rPr>
          <w:rFonts w:cs="Times New Roman"/>
        </w:rPr>
        <w:t xml:space="preserve">determine </w:t>
      </w:r>
      <w:r w:rsidR="00724BDB" w:rsidRPr="00DF48C0">
        <w:rPr>
          <w:rFonts w:cs="Times New Roman"/>
        </w:rPr>
        <w:t xml:space="preserve">the benefits associated with reductions in nutrients (in this case, nitrogen) to New England coastal waters. Very little data exist on the use of coastal New England waters, and the data that do exist </w:t>
      </w:r>
      <w:r w:rsidR="006E4690" w:rsidRPr="00DF48C0">
        <w:rPr>
          <w:rFonts w:cs="Times New Roman"/>
        </w:rPr>
        <w:t xml:space="preserve">are </w:t>
      </w:r>
      <w:r w:rsidR="00724BDB" w:rsidRPr="00DF48C0">
        <w:rPr>
          <w:rFonts w:cs="Times New Roman"/>
        </w:rPr>
        <w:t xml:space="preserve">limited to a few larger beach areas that are rarely exposed to water quality concerns. </w:t>
      </w:r>
    </w:p>
    <w:p w14:paraId="78C8FB3D" w14:textId="77777777" w:rsidR="00650C2A" w:rsidRPr="00DF48C0" w:rsidRDefault="00650C2A" w:rsidP="00650C2A">
      <w:pPr>
        <w:spacing w:line="360" w:lineRule="auto"/>
        <w:rPr>
          <w:rFonts w:cs="Times New Roman"/>
        </w:rPr>
      </w:pPr>
    </w:p>
    <w:p w14:paraId="515B5E4D" w14:textId="77777777" w:rsidR="00650C2A" w:rsidRPr="00DF48C0" w:rsidRDefault="00650C2A" w:rsidP="00650C2A">
      <w:pPr>
        <w:spacing w:line="360" w:lineRule="auto"/>
        <w:rPr>
          <w:rFonts w:cs="Times New Roman"/>
        </w:rPr>
      </w:pPr>
    </w:p>
    <w:p w14:paraId="393D95A7" w14:textId="77777777" w:rsidR="00650C2A" w:rsidRPr="00907141" w:rsidRDefault="00650C2A" w:rsidP="00650C2A">
      <w:pPr>
        <w:pStyle w:val="Heading3"/>
        <w:rPr>
          <w:sz w:val="22"/>
          <w:szCs w:val="22"/>
        </w:rPr>
      </w:pPr>
      <w:bookmarkStart w:id="75" w:name="_Toc327184543"/>
      <w:bookmarkStart w:id="76" w:name="_Toc327362386"/>
      <w:bookmarkStart w:id="77" w:name="_Toc473195108"/>
      <w:r w:rsidRPr="00DF48C0">
        <w:rPr>
          <w:sz w:val="22"/>
          <w:szCs w:val="22"/>
        </w:rPr>
        <w:t>1(b)</w:t>
      </w:r>
      <w:r w:rsidRPr="00907141">
        <w:rPr>
          <w:sz w:val="22"/>
          <w:szCs w:val="22"/>
        </w:rPr>
        <w:tab/>
        <w:t>Key Variables</w:t>
      </w:r>
      <w:bookmarkEnd w:id="75"/>
      <w:bookmarkEnd w:id="76"/>
      <w:bookmarkEnd w:id="77"/>
    </w:p>
    <w:p w14:paraId="0AA2EDCE" w14:textId="77777777" w:rsidR="00650C2A" w:rsidRPr="00DF48C0" w:rsidRDefault="00650C2A" w:rsidP="00650C2A">
      <w:pPr>
        <w:keepNext/>
        <w:spacing w:line="360" w:lineRule="auto"/>
        <w:ind w:firstLine="720"/>
        <w:rPr>
          <w:rFonts w:cs="Times New Roman"/>
          <w:highlight w:val="yellow"/>
        </w:rPr>
      </w:pPr>
    </w:p>
    <w:p w14:paraId="2789ABEA" w14:textId="0ED61CF2" w:rsidR="00650C2A" w:rsidRPr="00DF48C0" w:rsidRDefault="00650C2A" w:rsidP="00CF7F1F">
      <w:pPr>
        <w:keepNext/>
        <w:spacing w:line="360" w:lineRule="auto"/>
        <w:ind w:firstLine="720"/>
        <w:rPr>
          <w:rFonts w:cs="Times New Roman"/>
        </w:rPr>
      </w:pPr>
      <w:r w:rsidRPr="00DF48C0">
        <w:rPr>
          <w:rFonts w:cs="Times New Roman"/>
        </w:rPr>
        <w:t xml:space="preserve">The key questions in the survey ask respondents </w:t>
      </w:r>
      <w:r w:rsidR="00724BDB" w:rsidRPr="00DF48C0">
        <w:rPr>
          <w:rFonts w:cs="Times New Roman"/>
        </w:rPr>
        <w:t xml:space="preserve">about the recreation they do and how they perceive </w:t>
      </w:r>
      <w:r w:rsidR="000936E2" w:rsidRPr="00DF48C0">
        <w:rPr>
          <w:rFonts w:cs="Times New Roman"/>
        </w:rPr>
        <w:t xml:space="preserve">and value </w:t>
      </w:r>
      <w:r w:rsidR="00724BDB" w:rsidRPr="00DF48C0">
        <w:rPr>
          <w:rFonts w:cs="Times New Roman"/>
        </w:rPr>
        <w:t>the water quality</w:t>
      </w:r>
      <w:r w:rsidR="000936E2" w:rsidRPr="00DF48C0">
        <w:rPr>
          <w:rFonts w:cs="Times New Roman"/>
        </w:rPr>
        <w:t xml:space="preserve"> in coastal areas. The Random Utility Model</w:t>
      </w:r>
      <w:r w:rsidR="00CF7F1F" w:rsidRPr="00DF48C0">
        <w:rPr>
          <w:rFonts w:cs="Times New Roman"/>
        </w:rPr>
        <w:t xml:space="preserve"> (RUM)</w:t>
      </w:r>
      <w:r w:rsidR="000936E2" w:rsidRPr="00DF48C0">
        <w:rPr>
          <w:rFonts w:cs="Times New Roman"/>
        </w:rPr>
        <w:t xml:space="preserve"> framework </w:t>
      </w:r>
      <w:r w:rsidR="00193C24" w:rsidRPr="00DF48C0">
        <w:rPr>
          <w:rFonts w:cs="Times New Roman"/>
        </w:rPr>
        <w:t xml:space="preserve">is a type of travel cost method that </w:t>
      </w:r>
      <w:r w:rsidR="000936E2" w:rsidRPr="00DF48C0">
        <w:rPr>
          <w:rFonts w:cs="Times New Roman"/>
        </w:rPr>
        <w:t xml:space="preserve">allows respondents to provide data about their last coastal recreation trip. </w:t>
      </w:r>
      <w:r w:rsidR="00193C24" w:rsidRPr="00DF48C0">
        <w:rPr>
          <w:rFonts w:cs="Times New Roman"/>
        </w:rPr>
        <w:t>T</w:t>
      </w:r>
      <w:r w:rsidR="00CF7F1F" w:rsidRPr="00DF48C0">
        <w:rPr>
          <w:rFonts w:cs="Times New Roman"/>
        </w:rPr>
        <w:t xml:space="preserve">ravel costs methods are </w:t>
      </w:r>
      <w:r w:rsidR="00193C24" w:rsidRPr="00DF48C0">
        <w:rPr>
          <w:rFonts w:cs="Times New Roman"/>
        </w:rPr>
        <w:t>premised upon the idea that the “price” for recreation can be represented by the cost in reaching and entering the location (Parsons</w:t>
      </w:r>
      <w:r w:rsidR="00173347">
        <w:rPr>
          <w:rFonts w:cs="Times New Roman"/>
        </w:rPr>
        <w:t>,</w:t>
      </w:r>
      <w:r w:rsidR="00193C24" w:rsidRPr="00DF48C0">
        <w:rPr>
          <w:rFonts w:cs="Times New Roman"/>
        </w:rPr>
        <w:t xml:space="preserve"> 20</w:t>
      </w:r>
      <w:r w:rsidR="00CF7F1F" w:rsidRPr="00DF48C0">
        <w:rPr>
          <w:rFonts w:cs="Times New Roman"/>
        </w:rPr>
        <w:t>03</w:t>
      </w:r>
      <w:r w:rsidR="00193C24" w:rsidRPr="00DF48C0">
        <w:rPr>
          <w:rFonts w:cs="Times New Roman"/>
        </w:rPr>
        <w:t xml:space="preserve">). </w:t>
      </w:r>
      <w:r w:rsidR="00CF7F1F" w:rsidRPr="00DF48C0">
        <w:rPr>
          <w:rFonts w:cs="Times New Roman"/>
        </w:rPr>
        <w:t>RUM models are multiple site methods that include substitution among different sites while accommodating quality-change valuation (Parsons</w:t>
      </w:r>
      <w:r w:rsidR="00173347">
        <w:rPr>
          <w:rFonts w:cs="Times New Roman"/>
        </w:rPr>
        <w:t>,</w:t>
      </w:r>
      <w:r w:rsidR="00CF7F1F" w:rsidRPr="00DF48C0">
        <w:rPr>
          <w:rFonts w:cs="Times New Roman"/>
        </w:rPr>
        <w:t xml:space="preserve"> 2003). </w:t>
      </w:r>
      <w:r w:rsidR="000936E2" w:rsidRPr="00DF48C0">
        <w:rPr>
          <w:rFonts w:cs="Times New Roman"/>
        </w:rPr>
        <w:t xml:space="preserve">The questions ask about the </w:t>
      </w:r>
      <w:r w:rsidR="00CF7F1F" w:rsidRPr="00DF48C0">
        <w:rPr>
          <w:rFonts w:cs="Times New Roman"/>
        </w:rPr>
        <w:t>costs</w:t>
      </w:r>
      <w:r w:rsidR="000936E2" w:rsidRPr="00DF48C0">
        <w:rPr>
          <w:rFonts w:cs="Times New Roman"/>
        </w:rPr>
        <w:t xml:space="preserve"> </w:t>
      </w:r>
      <w:r w:rsidR="00C779C4" w:rsidRPr="00DF48C0">
        <w:rPr>
          <w:rFonts w:cs="Times New Roman"/>
        </w:rPr>
        <w:t>of</w:t>
      </w:r>
      <w:r w:rsidR="000936E2" w:rsidRPr="00DF48C0">
        <w:rPr>
          <w:rFonts w:cs="Times New Roman"/>
        </w:rPr>
        <w:t xml:space="preserve"> a recreational trip includ</w:t>
      </w:r>
      <w:r w:rsidR="00756AA2">
        <w:rPr>
          <w:rFonts w:cs="Times New Roman"/>
        </w:rPr>
        <w:t>ing</w:t>
      </w:r>
      <w:r w:rsidR="00CF7F1F" w:rsidRPr="00DF48C0">
        <w:rPr>
          <w:rFonts w:cs="Times New Roman"/>
        </w:rPr>
        <w:t xml:space="preserve"> </w:t>
      </w:r>
      <w:r w:rsidR="000936E2" w:rsidRPr="00DF48C0">
        <w:rPr>
          <w:rFonts w:cs="Times New Roman"/>
        </w:rPr>
        <w:t xml:space="preserve">lodging, </w:t>
      </w:r>
      <w:r w:rsidR="00CF7F1F" w:rsidRPr="00DF48C0">
        <w:rPr>
          <w:rFonts w:cs="Times New Roman"/>
        </w:rPr>
        <w:t>distance traveled, hours spent on the activity and in traveling to th</w:t>
      </w:r>
      <w:r w:rsidR="00756AA2">
        <w:rPr>
          <w:rFonts w:cs="Times New Roman"/>
        </w:rPr>
        <w:t>e</w:t>
      </w:r>
      <w:r w:rsidR="00CF7F1F" w:rsidRPr="00DF48C0">
        <w:rPr>
          <w:rFonts w:cs="Times New Roman"/>
        </w:rPr>
        <w:t xml:space="preserve"> site, and entrance fees. To understand substitution and quality changes among the sites, the following questions are included: activities the respondent participated in at that location, sense of place, and perceived water quality.</w:t>
      </w:r>
      <w:r w:rsidR="00DD4342" w:rsidRPr="00DF48C0">
        <w:rPr>
          <w:rFonts w:cs="Times New Roman"/>
        </w:rPr>
        <w:t xml:space="preserve"> </w:t>
      </w:r>
      <w:r w:rsidRPr="00DF48C0">
        <w:rPr>
          <w:rFonts w:cs="Times New Roman"/>
        </w:rPr>
        <w:t xml:space="preserve">The survey design follows well-established </w:t>
      </w:r>
      <w:r w:rsidR="002C4485" w:rsidRPr="00DF48C0">
        <w:rPr>
          <w:rFonts w:cs="Times New Roman"/>
        </w:rPr>
        <w:t xml:space="preserve">revealed preference recreational valuation </w:t>
      </w:r>
      <w:r w:rsidRPr="00DF48C0">
        <w:rPr>
          <w:rFonts w:cs="Times New Roman"/>
        </w:rPr>
        <w:t>methodology and format (</w:t>
      </w:r>
      <w:r w:rsidR="00C779C4" w:rsidRPr="00DF48C0">
        <w:rPr>
          <w:rFonts w:cs="Times New Roman"/>
        </w:rPr>
        <w:t>Parsons</w:t>
      </w:r>
      <w:r w:rsidR="00173347">
        <w:rPr>
          <w:rFonts w:cs="Times New Roman"/>
        </w:rPr>
        <w:t>,</w:t>
      </w:r>
      <w:r w:rsidR="00C779C4" w:rsidRPr="00DF48C0">
        <w:rPr>
          <w:rFonts w:cs="Times New Roman"/>
        </w:rPr>
        <w:t xml:space="preserve"> 2014</w:t>
      </w:r>
      <w:r w:rsidRPr="00DF48C0">
        <w:rPr>
          <w:rFonts w:cs="Times New Roman"/>
        </w:rPr>
        <w:t>).</w:t>
      </w:r>
    </w:p>
    <w:p w14:paraId="6794ECB3" w14:textId="1D092872" w:rsidR="00650C2A" w:rsidRPr="00DF48C0" w:rsidRDefault="00650C2A" w:rsidP="00650C2A">
      <w:pPr>
        <w:keepNext/>
        <w:spacing w:line="360" w:lineRule="auto"/>
        <w:ind w:firstLine="720"/>
        <w:rPr>
          <w:rFonts w:cs="Times New Roman"/>
        </w:rPr>
      </w:pPr>
      <w:r w:rsidRPr="00DF48C0">
        <w:rPr>
          <w:rFonts w:cs="Times New Roman"/>
        </w:rPr>
        <w:t>The survey focuses on</w:t>
      </w:r>
      <w:r w:rsidR="00FB3E51" w:rsidRPr="00DF48C0">
        <w:rPr>
          <w:rFonts w:cs="Times New Roman"/>
        </w:rPr>
        <w:t xml:space="preserve"> saltwater recreation in coastal New England. </w:t>
      </w:r>
      <w:r w:rsidR="00193C24" w:rsidRPr="00DF48C0">
        <w:rPr>
          <w:rFonts w:cs="Times New Roman"/>
        </w:rPr>
        <w:t xml:space="preserve">It asks respondents for attributes describing their last saltwater recreation trip. Specifically, it includes questions on the following attributes: activity type and frequency, location, </w:t>
      </w:r>
      <w:r w:rsidR="0005015F">
        <w:rPr>
          <w:rFonts w:cs="Times New Roman"/>
        </w:rPr>
        <w:t xml:space="preserve">and </w:t>
      </w:r>
      <w:r w:rsidR="00193C24" w:rsidRPr="00DF48C0">
        <w:rPr>
          <w:rFonts w:cs="Times New Roman"/>
        </w:rPr>
        <w:t xml:space="preserve">travel costs. As discussed in </w:t>
      </w:r>
      <w:r w:rsidR="00AC7830" w:rsidRPr="00DF48C0">
        <w:rPr>
          <w:rFonts w:cs="Times New Roman"/>
        </w:rPr>
        <w:t>Parsons (2014)</w:t>
      </w:r>
      <w:r w:rsidR="00193C24" w:rsidRPr="00DF48C0">
        <w:rPr>
          <w:rFonts w:cs="Times New Roman"/>
        </w:rPr>
        <w:t>, these attributes are important for modeling recreation demand under changing conditions, such as changes in water quality.</w:t>
      </w:r>
      <w:r w:rsidR="00AC7830" w:rsidRPr="00DF48C0">
        <w:rPr>
          <w:rFonts w:cs="Times New Roman"/>
        </w:rPr>
        <w:t xml:space="preserve"> Variables for </w:t>
      </w:r>
      <w:r w:rsidR="0005015F">
        <w:rPr>
          <w:rFonts w:cs="Times New Roman"/>
        </w:rPr>
        <w:t xml:space="preserve">demographic </w:t>
      </w:r>
      <w:r w:rsidR="00AC7830" w:rsidRPr="00DF48C0">
        <w:rPr>
          <w:rFonts w:cs="Times New Roman"/>
        </w:rPr>
        <w:t>characteristics will also be included in the analysis both to control for heterogeneity in preferences for recreation sites, as well as to estimate the cost of time spent on recreation for a respondent.</w:t>
      </w:r>
    </w:p>
    <w:p w14:paraId="57496DCF" w14:textId="03615949" w:rsidR="00650C2A" w:rsidRPr="00DF48C0" w:rsidRDefault="00650C2A" w:rsidP="00650C2A">
      <w:pPr>
        <w:keepNext/>
        <w:spacing w:line="360" w:lineRule="auto"/>
        <w:ind w:firstLine="720"/>
        <w:rPr>
          <w:rFonts w:cs="Times New Roman"/>
        </w:rPr>
      </w:pPr>
      <w:r w:rsidRPr="00DF48C0">
        <w:rPr>
          <w:rFonts w:cs="Times New Roman"/>
        </w:rPr>
        <w:t>The study design includes</w:t>
      </w:r>
      <w:r w:rsidR="002C4485" w:rsidRPr="00DF48C0">
        <w:rPr>
          <w:rFonts w:cs="Times New Roman"/>
        </w:rPr>
        <w:t xml:space="preserve"> </w:t>
      </w:r>
      <w:r w:rsidR="007C5D81" w:rsidRPr="00DF48C0">
        <w:rPr>
          <w:rFonts w:cs="Times New Roman"/>
        </w:rPr>
        <w:t>water quality</w:t>
      </w:r>
      <w:r w:rsidR="00017C2F">
        <w:rPr>
          <w:rFonts w:cs="Times New Roman"/>
        </w:rPr>
        <w:t xml:space="preserve"> perception</w:t>
      </w:r>
      <w:r w:rsidR="007C5D81" w:rsidRPr="00DF48C0">
        <w:rPr>
          <w:rFonts w:cs="Times New Roman"/>
        </w:rPr>
        <w:t xml:space="preserve"> and sense of place questions to better understand how these attributes contribute to site choice</w:t>
      </w:r>
      <w:r w:rsidR="0005015F">
        <w:rPr>
          <w:rFonts w:cs="Times New Roman"/>
        </w:rPr>
        <w:t>, and to explore other research hypotheses (as discussed elsewhere in this document)</w:t>
      </w:r>
      <w:r w:rsidR="007C5D81" w:rsidRPr="00DF48C0">
        <w:rPr>
          <w:rFonts w:cs="Times New Roman"/>
        </w:rPr>
        <w:t>. The water quality</w:t>
      </w:r>
      <w:r w:rsidR="00AC7830" w:rsidRPr="00DF48C0">
        <w:rPr>
          <w:rFonts w:cs="Times New Roman"/>
        </w:rPr>
        <w:t xml:space="preserve"> perception</w:t>
      </w:r>
      <w:r w:rsidR="007C5D81" w:rsidRPr="00DF48C0">
        <w:rPr>
          <w:rFonts w:cs="Times New Roman"/>
        </w:rPr>
        <w:t xml:space="preserve"> questions are coastal equivalents of </w:t>
      </w:r>
      <w:r w:rsidR="00DE3BFD" w:rsidRPr="00DF48C0">
        <w:rPr>
          <w:rFonts w:cs="Times New Roman"/>
        </w:rPr>
        <w:t xml:space="preserve">a set of questions developed for use in freshwater, nutrient impacted water systems (see Genskow </w:t>
      </w:r>
      <w:r w:rsidR="00173347">
        <w:rPr>
          <w:rFonts w:cs="Times New Roman"/>
        </w:rPr>
        <w:t>&amp;</w:t>
      </w:r>
      <w:r w:rsidR="00173347" w:rsidRPr="00DF48C0">
        <w:rPr>
          <w:rFonts w:cs="Times New Roman"/>
        </w:rPr>
        <w:t xml:space="preserve"> </w:t>
      </w:r>
      <w:r w:rsidR="00DE3BFD" w:rsidRPr="00DF48C0">
        <w:rPr>
          <w:rFonts w:cs="Times New Roman"/>
        </w:rPr>
        <w:t>Prokopy</w:t>
      </w:r>
      <w:r w:rsidR="00173347">
        <w:rPr>
          <w:rFonts w:cs="Times New Roman"/>
        </w:rPr>
        <w:t>,</w:t>
      </w:r>
      <w:r w:rsidR="00DE3BFD" w:rsidRPr="00DF48C0">
        <w:rPr>
          <w:rFonts w:cs="Times New Roman"/>
        </w:rPr>
        <w:t xml:space="preserve"> 2011).</w:t>
      </w:r>
      <w:r w:rsidR="007C5D81" w:rsidRPr="00DF48C0">
        <w:rPr>
          <w:rFonts w:cs="Times New Roman"/>
        </w:rPr>
        <w:t xml:space="preserve"> </w:t>
      </w:r>
      <w:r w:rsidR="00DE3BFD" w:rsidRPr="00DF48C0">
        <w:rPr>
          <w:rFonts w:cs="Times New Roman"/>
        </w:rPr>
        <w:t>As no single study has covered sense of place related to recreation in coastal waters, the sense of place questions are a combined set of questions taken from freshwater studies and recreation studies (Stedman et al.</w:t>
      </w:r>
      <w:r w:rsidR="00173347">
        <w:rPr>
          <w:rFonts w:cs="Times New Roman"/>
        </w:rPr>
        <w:t>,</w:t>
      </w:r>
      <w:r w:rsidR="00DE3BFD" w:rsidRPr="00DF48C0">
        <w:rPr>
          <w:rFonts w:cs="Times New Roman"/>
        </w:rPr>
        <w:t xml:space="preserve"> 2006; Mullendore et al.</w:t>
      </w:r>
      <w:r w:rsidR="00173347">
        <w:rPr>
          <w:rFonts w:cs="Times New Roman"/>
        </w:rPr>
        <w:t>,</w:t>
      </w:r>
      <w:r w:rsidR="00DE3BFD" w:rsidRPr="00DF48C0">
        <w:rPr>
          <w:rFonts w:cs="Times New Roman"/>
        </w:rPr>
        <w:t xml:space="preserve"> 2015; Smith et al.</w:t>
      </w:r>
      <w:r w:rsidR="00173347">
        <w:rPr>
          <w:rFonts w:cs="Times New Roman"/>
        </w:rPr>
        <w:t>,</w:t>
      </w:r>
      <w:r w:rsidR="00DE3BFD" w:rsidRPr="00DF48C0">
        <w:rPr>
          <w:rFonts w:cs="Times New Roman"/>
        </w:rPr>
        <w:t xml:space="preserve"> 2016).</w:t>
      </w:r>
    </w:p>
    <w:p w14:paraId="370695C9" w14:textId="77777777" w:rsidR="00650C2A" w:rsidRPr="00DF48C0" w:rsidRDefault="00650C2A" w:rsidP="00650C2A">
      <w:pPr>
        <w:keepNext/>
        <w:spacing w:line="360" w:lineRule="auto"/>
        <w:ind w:firstLine="720"/>
        <w:rPr>
          <w:rFonts w:cs="Times New Roman"/>
        </w:rPr>
      </w:pPr>
    </w:p>
    <w:p w14:paraId="12AD15F7" w14:textId="77777777" w:rsidR="00650C2A" w:rsidRPr="00DF48C0" w:rsidRDefault="00650C2A" w:rsidP="00650C2A">
      <w:pPr>
        <w:keepNext/>
        <w:spacing w:line="360" w:lineRule="auto"/>
        <w:ind w:firstLine="720"/>
        <w:rPr>
          <w:rFonts w:cs="Times New Roman"/>
        </w:rPr>
      </w:pPr>
    </w:p>
    <w:p w14:paraId="15306552" w14:textId="77777777" w:rsidR="00650C2A" w:rsidRPr="00DF48C0" w:rsidRDefault="00650C2A" w:rsidP="00650C2A">
      <w:pPr>
        <w:pStyle w:val="Heading3"/>
        <w:rPr>
          <w:sz w:val="22"/>
          <w:szCs w:val="22"/>
        </w:rPr>
      </w:pPr>
      <w:bookmarkStart w:id="78" w:name="_Toc327184544"/>
      <w:bookmarkStart w:id="79" w:name="_Toc327362387"/>
      <w:bookmarkStart w:id="80" w:name="_Toc473195109"/>
      <w:r w:rsidRPr="00865519">
        <w:rPr>
          <w:sz w:val="22"/>
          <w:szCs w:val="22"/>
        </w:rPr>
        <w:t>1</w:t>
      </w:r>
      <w:r w:rsidRPr="00593437">
        <w:rPr>
          <w:sz w:val="22"/>
          <w:szCs w:val="22"/>
        </w:rPr>
        <w:t>(c)</w:t>
      </w:r>
      <w:r w:rsidRPr="00593437">
        <w:rPr>
          <w:sz w:val="22"/>
          <w:szCs w:val="22"/>
        </w:rPr>
        <w:tab/>
        <w:t>Statistical Approach</w:t>
      </w:r>
      <w:bookmarkEnd w:id="78"/>
      <w:bookmarkEnd w:id="79"/>
      <w:bookmarkEnd w:id="80"/>
    </w:p>
    <w:p w14:paraId="7CABC44A" w14:textId="77777777" w:rsidR="00650C2A" w:rsidRPr="00DF48C0" w:rsidRDefault="00650C2A" w:rsidP="00650C2A">
      <w:pPr>
        <w:spacing w:line="360" w:lineRule="auto"/>
        <w:rPr>
          <w:rFonts w:cs="Times New Roman"/>
        </w:rPr>
      </w:pPr>
    </w:p>
    <w:p w14:paraId="6496525A" w14:textId="34ACC5D0" w:rsidR="00650C2A" w:rsidRPr="00DF48C0" w:rsidRDefault="00650C2A" w:rsidP="00650C2A">
      <w:pPr>
        <w:spacing w:line="360" w:lineRule="auto"/>
        <w:ind w:firstLine="720"/>
        <w:rPr>
          <w:rFonts w:cs="Times New Roman"/>
        </w:rPr>
      </w:pPr>
      <w:r w:rsidRPr="00DF48C0">
        <w:rPr>
          <w:rFonts w:cs="Times New Roman"/>
        </w:rPr>
        <w:t xml:space="preserve">A statistical survey approach in which a randomly drawn sample of households is asked to complete the survey is appropriate for estimating the values associated with improvements in </w:t>
      </w:r>
      <w:r w:rsidR="00D67686" w:rsidRPr="00DF48C0">
        <w:rPr>
          <w:rFonts w:cs="Times New Roman"/>
        </w:rPr>
        <w:t>coastal water quality</w:t>
      </w:r>
      <w:r w:rsidRPr="00DF48C0">
        <w:rPr>
          <w:rFonts w:cs="Times New Roman"/>
        </w:rPr>
        <w:t>.</w:t>
      </w:r>
      <w:r w:rsidR="004B5D91" w:rsidRPr="00DF48C0">
        <w:rPr>
          <w:rFonts w:cs="Times New Roman"/>
        </w:rPr>
        <w:t xml:space="preserve"> </w:t>
      </w:r>
      <w:r w:rsidRPr="00DF48C0">
        <w:rPr>
          <w:rFonts w:cs="Times New Roman"/>
        </w:rPr>
        <w:t>A census approach is impractical because of the extraordinary cost of contacting all households.</w:t>
      </w:r>
      <w:r w:rsidR="004B5D91" w:rsidRPr="00DF48C0">
        <w:rPr>
          <w:rFonts w:cs="Times New Roman"/>
        </w:rPr>
        <w:t xml:space="preserve"> </w:t>
      </w:r>
      <w:r w:rsidR="00330EF8" w:rsidRPr="00EB0C48">
        <w:rPr>
          <w:rFonts w:cs="Times New Roman"/>
        </w:rPr>
        <w:t>Therefore</w:t>
      </w:r>
      <w:r w:rsidR="006413B2">
        <w:rPr>
          <w:rFonts w:cs="Times New Roman"/>
        </w:rPr>
        <w:t>,</w:t>
      </w:r>
      <w:r w:rsidR="00330EF8" w:rsidRPr="00EB0C48">
        <w:rPr>
          <w:rFonts w:cs="Times New Roman"/>
        </w:rPr>
        <w:t xml:space="preserve"> the statistical survey is the most reasonable approach</w:t>
      </w:r>
      <w:r w:rsidR="00330EF8">
        <w:rPr>
          <w:rFonts w:cs="Times New Roman"/>
        </w:rPr>
        <w:t>.</w:t>
      </w:r>
      <w:r w:rsidR="004B5D91" w:rsidRPr="00DF48C0">
        <w:rPr>
          <w:rFonts w:cs="Times New Roman"/>
        </w:rPr>
        <w:t xml:space="preserve"> </w:t>
      </w:r>
      <w:r w:rsidRPr="00DF48C0">
        <w:rPr>
          <w:rFonts w:cs="Times New Roman"/>
        </w:rPr>
        <w:t xml:space="preserve">Specifically, </w:t>
      </w:r>
      <w:r w:rsidR="00330EF8">
        <w:rPr>
          <w:rFonts w:cs="Times New Roman"/>
        </w:rPr>
        <w:t>t</w:t>
      </w:r>
      <w:r w:rsidR="00330EF8" w:rsidRPr="00C15B08">
        <w:rPr>
          <w:rFonts w:cs="Times New Roman"/>
        </w:rPr>
        <w:t>he target population includes residents living in counties where more than 25</w:t>
      </w:r>
      <w:r w:rsidR="00C609CD">
        <w:rPr>
          <w:rFonts w:cs="Times New Roman"/>
        </w:rPr>
        <w:t xml:space="preserve"> percent</w:t>
      </w:r>
      <w:r w:rsidR="00330EF8" w:rsidRPr="00C15B08">
        <w:rPr>
          <w:rFonts w:cs="Times New Roman"/>
        </w:rPr>
        <w:t xml:space="preserve"> of the county falls within 100 miles of Cape Cod, Massachusetts</w:t>
      </w:r>
      <w:r w:rsidR="00330EF8">
        <w:rPr>
          <w:rFonts w:cs="Times New Roman"/>
        </w:rPr>
        <w:t xml:space="preserve">. </w:t>
      </w:r>
    </w:p>
    <w:p w14:paraId="75E2301E" w14:textId="6F4CF343" w:rsidR="00650C2A" w:rsidRPr="00DF48C0" w:rsidRDefault="00E43411" w:rsidP="00650C2A">
      <w:pPr>
        <w:spacing w:line="360" w:lineRule="auto"/>
        <w:ind w:firstLine="720"/>
        <w:rPr>
          <w:rFonts w:cs="Times New Roman"/>
        </w:rPr>
      </w:pPr>
      <w:r>
        <w:rPr>
          <w:rFonts w:cs="Times New Roman"/>
        </w:rPr>
        <w:t>EPA developed</w:t>
      </w:r>
      <w:r w:rsidR="00650C2A" w:rsidRPr="00DF48C0">
        <w:rPr>
          <w:rFonts w:cs="Times New Roman"/>
        </w:rPr>
        <w:t xml:space="preserve"> the survey instrument, and will also </w:t>
      </w:r>
      <w:r>
        <w:rPr>
          <w:rFonts w:cs="Times New Roman"/>
        </w:rPr>
        <w:t>analyze</w:t>
      </w:r>
      <w:r w:rsidR="00650C2A" w:rsidRPr="00DF48C0">
        <w:rPr>
          <w:rFonts w:cs="Times New Roman"/>
        </w:rPr>
        <w:t xml:space="preserve"> the survey results.</w:t>
      </w:r>
      <w:r w:rsidR="004B5D91" w:rsidRPr="00DF48C0">
        <w:rPr>
          <w:rFonts w:cs="Times New Roman"/>
        </w:rPr>
        <w:t xml:space="preserve"> </w:t>
      </w:r>
      <w:r w:rsidR="00650C2A" w:rsidRPr="00DF48C0">
        <w:rPr>
          <w:rFonts w:cs="Times New Roman"/>
        </w:rPr>
        <w:t>EPA has retained Abt Associates Inc. (55 Wheeler Street, Cambridge, M</w:t>
      </w:r>
      <w:r w:rsidR="00D67686" w:rsidRPr="00DF48C0">
        <w:rPr>
          <w:rFonts w:cs="Times New Roman"/>
        </w:rPr>
        <w:t>A 02138) under EPA contract EP-C</w:t>
      </w:r>
      <w:r w:rsidR="00650C2A" w:rsidRPr="00DF48C0">
        <w:rPr>
          <w:rFonts w:cs="Times New Roman"/>
        </w:rPr>
        <w:t>-1</w:t>
      </w:r>
      <w:r w:rsidR="00D67686" w:rsidRPr="00DF48C0">
        <w:rPr>
          <w:rFonts w:cs="Times New Roman"/>
        </w:rPr>
        <w:t>3</w:t>
      </w:r>
      <w:r w:rsidR="00650C2A" w:rsidRPr="00DF48C0">
        <w:rPr>
          <w:rFonts w:cs="Times New Roman"/>
        </w:rPr>
        <w:t>-03</w:t>
      </w:r>
      <w:r w:rsidR="00D67686" w:rsidRPr="00DF48C0">
        <w:rPr>
          <w:rFonts w:cs="Times New Roman"/>
        </w:rPr>
        <w:t>9</w:t>
      </w:r>
      <w:r w:rsidR="00650C2A" w:rsidRPr="00DF48C0">
        <w:rPr>
          <w:rFonts w:cs="Times New Roman"/>
        </w:rPr>
        <w:t xml:space="preserve"> to assist in the questionnaire design, sampling design, administration of the survey, and </w:t>
      </w:r>
      <w:r>
        <w:rPr>
          <w:rFonts w:cs="Times New Roman"/>
        </w:rPr>
        <w:t xml:space="preserve">data entry and cleaning prior to </w:t>
      </w:r>
      <w:r w:rsidR="00650C2A" w:rsidRPr="00DF48C0">
        <w:rPr>
          <w:rFonts w:cs="Times New Roman"/>
        </w:rPr>
        <w:t xml:space="preserve">analysis of the survey results. </w:t>
      </w:r>
    </w:p>
    <w:p w14:paraId="015CDE8C" w14:textId="77777777" w:rsidR="00650C2A" w:rsidRPr="00DF48C0" w:rsidRDefault="00650C2A" w:rsidP="00650C2A">
      <w:pPr>
        <w:spacing w:line="360" w:lineRule="auto"/>
        <w:rPr>
          <w:rFonts w:cs="Times New Roman"/>
        </w:rPr>
      </w:pPr>
    </w:p>
    <w:p w14:paraId="62D246D9" w14:textId="77777777" w:rsidR="00650C2A" w:rsidRPr="00DF48C0" w:rsidRDefault="00650C2A" w:rsidP="00650C2A">
      <w:pPr>
        <w:pStyle w:val="Heading3"/>
        <w:rPr>
          <w:sz w:val="22"/>
          <w:szCs w:val="22"/>
        </w:rPr>
      </w:pPr>
      <w:bookmarkStart w:id="81" w:name="_Toc327184545"/>
      <w:bookmarkStart w:id="82" w:name="_Toc327362388"/>
      <w:bookmarkStart w:id="83" w:name="_Toc473195110"/>
      <w:r w:rsidRPr="00DF48C0">
        <w:rPr>
          <w:sz w:val="22"/>
          <w:szCs w:val="22"/>
        </w:rPr>
        <w:t>1(d)</w:t>
      </w:r>
      <w:r w:rsidRPr="00DF48C0">
        <w:rPr>
          <w:sz w:val="22"/>
          <w:szCs w:val="22"/>
        </w:rPr>
        <w:tab/>
        <w:t>Feasibility</w:t>
      </w:r>
      <w:bookmarkEnd w:id="81"/>
      <w:bookmarkEnd w:id="82"/>
      <w:bookmarkEnd w:id="83"/>
    </w:p>
    <w:p w14:paraId="37F4D032" w14:textId="77777777" w:rsidR="00650C2A" w:rsidRPr="00DF48C0" w:rsidRDefault="00650C2A" w:rsidP="00650C2A">
      <w:pPr>
        <w:spacing w:line="360" w:lineRule="auto"/>
        <w:rPr>
          <w:rFonts w:cs="Times New Roman"/>
        </w:rPr>
      </w:pPr>
    </w:p>
    <w:p w14:paraId="098BC28E" w14:textId="5A004EAB" w:rsidR="00756AA2" w:rsidRDefault="00650C2A" w:rsidP="00650C2A">
      <w:pPr>
        <w:spacing w:line="360" w:lineRule="auto"/>
        <w:ind w:firstLine="720"/>
        <w:rPr>
          <w:rFonts w:cs="Times New Roman"/>
        </w:rPr>
      </w:pPr>
      <w:r w:rsidRPr="00C549D7">
        <w:rPr>
          <w:rFonts w:cs="Times New Roman"/>
        </w:rPr>
        <w:t xml:space="preserve">Following standard practice in the </w:t>
      </w:r>
      <w:r w:rsidR="00C549D7">
        <w:rPr>
          <w:rFonts w:cs="Times New Roman"/>
        </w:rPr>
        <w:t xml:space="preserve">non-market valuation </w:t>
      </w:r>
      <w:r w:rsidRPr="00C549D7">
        <w:rPr>
          <w:rFonts w:cs="Times New Roman"/>
        </w:rPr>
        <w:t>literature (</w:t>
      </w:r>
      <w:r w:rsidR="00C549D7">
        <w:rPr>
          <w:rFonts w:cs="Times New Roman"/>
        </w:rPr>
        <w:t>Champ et al., 2003</w:t>
      </w:r>
      <w:r w:rsidRPr="00C549D7">
        <w:rPr>
          <w:rFonts w:cs="Times New Roman"/>
        </w:rPr>
        <w:t xml:space="preserve">), EPA conducted a series of </w:t>
      </w:r>
      <w:r w:rsidR="00DB7A60" w:rsidRPr="00C549D7">
        <w:rPr>
          <w:rFonts w:cs="Times New Roman"/>
        </w:rPr>
        <w:t xml:space="preserve">7 </w:t>
      </w:r>
      <w:r w:rsidRPr="00C549D7">
        <w:rPr>
          <w:rFonts w:cs="Times New Roman"/>
        </w:rPr>
        <w:t>focus groups</w:t>
      </w:r>
      <w:r w:rsidR="00756AA2" w:rsidRPr="00C549D7">
        <w:rPr>
          <w:rFonts w:cs="Times New Roman"/>
        </w:rPr>
        <w:t xml:space="preserve"> with 63 people</w:t>
      </w:r>
      <w:r w:rsidRPr="00C549D7">
        <w:rPr>
          <w:rFonts w:cs="Times New Roman"/>
        </w:rPr>
        <w:t xml:space="preserve"> (</w:t>
      </w:r>
      <w:r w:rsidR="00D67686" w:rsidRPr="00C549D7">
        <w:rPr>
          <w:rFonts w:cs="Times New Roman"/>
        </w:rPr>
        <w:t>EPA ICR # 2205.17, OMB # 2090-0028</w:t>
      </w:r>
      <w:r w:rsidRPr="00C549D7">
        <w:rPr>
          <w:rFonts w:cs="Times New Roman"/>
        </w:rPr>
        <w:t>).</w:t>
      </w:r>
      <w:r w:rsidR="004B5D91" w:rsidRPr="00C549D7">
        <w:rPr>
          <w:rFonts w:cs="Times New Roman"/>
        </w:rPr>
        <w:t xml:space="preserve"> </w:t>
      </w:r>
      <w:r w:rsidRPr="00C549D7">
        <w:rPr>
          <w:rFonts w:cs="Times New Roman"/>
        </w:rPr>
        <w:t>Based on findings from these activities, EPA made various improvements to the survey instrument to reduce the potential for respondent bias, reduce respondent cognitive burden, and increase respondent comprehension of the survey materials. In addition, EPA solicited input from other experts (see section 3c in Part A)</w:t>
      </w:r>
      <w:r w:rsidR="00756AA2" w:rsidRPr="00C549D7">
        <w:rPr>
          <w:rFonts w:cs="Times New Roman"/>
        </w:rPr>
        <w:t xml:space="preserve">, and tested the survey with </w:t>
      </w:r>
      <w:r w:rsidR="003E1293" w:rsidRPr="00C549D7">
        <w:rPr>
          <w:rFonts w:cs="Times New Roman"/>
        </w:rPr>
        <w:t>10</w:t>
      </w:r>
      <w:r w:rsidR="00756AA2" w:rsidRPr="00C549D7">
        <w:rPr>
          <w:rFonts w:cs="Times New Roman"/>
        </w:rPr>
        <w:t xml:space="preserve"> federal employees at AED</w:t>
      </w:r>
      <w:r w:rsidRPr="00C549D7">
        <w:rPr>
          <w:rFonts w:cs="Times New Roman"/>
        </w:rPr>
        <w:t>. Recommendations and comments received as part of that process have been incorporated into the design of the survey instrument</w:t>
      </w:r>
      <w:r w:rsidR="00756AA2" w:rsidRPr="00C549D7">
        <w:rPr>
          <w:rFonts w:cs="Times New Roman"/>
        </w:rPr>
        <w:t>.</w:t>
      </w:r>
    </w:p>
    <w:p w14:paraId="511D78FF" w14:textId="4097D70A" w:rsidR="00650C2A" w:rsidRPr="00DF48C0" w:rsidRDefault="00650C2A" w:rsidP="00650C2A">
      <w:pPr>
        <w:spacing w:line="360" w:lineRule="auto"/>
        <w:ind w:firstLine="720"/>
        <w:rPr>
          <w:rFonts w:cs="Times New Roman"/>
        </w:rPr>
      </w:pPr>
      <w:r w:rsidRPr="00DF48C0">
        <w:rPr>
          <w:rFonts w:cs="Times New Roman"/>
        </w:rPr>
        <w:t>Because of the steps taken during the survey development process, EPA does not anticipate that respondents will have difficulty interpreting or responding to any of the survey questions. Furthermore, since the survey will be administered as</w:t>
      </w:r>
      <w:r w:rsidR="006378C4" w:rsidRPr="00DF48C0">
        <w:rPr>
          <w:rFonts w:cs="Times New Roman"/>
        </w:rPr>
        <w:t xml:space="preserve"> both a web and</w:t>
      </w:r>
      <w:r w:rsidRPr="00DF48C0">
        <w:rPr>
          <w:rFonts w:cs="Times New Roman"/>
        </w:rPr>
        <w:t xml:space="preserve"> a mail survey, it will be easily accessible to all respondents. EPA therefore believes that respondents will not face any obstacles in completing the survey, and that the survey will produce useful results. EPA has dedicated sufficient staff time and resources to the design and implementation of this survey, including funding for contractor assistance under EPA contract No. </w:t>
      </w:r>
      <w:r w:rsidR="00D67686" w:rsidRPr="00DF48C0">
        <w:rPr>
          <w:rFonts w:cs="Times New Roman"/>
        </w:rPr>
        <w:t>EP-C-13-039</w:t>
      </w:r>
      <w:r w:rsidRPr="00DF48C0">
        <w:rPr>
          <w:rFonts w:cs="Times New Roman"/>
          <w:spacing w:val="2"/>
        </w:rPr>
        <w:t>.</w:t>
      </w:r>
      <w:r w:rsidRPr="00DF48C0">
        <w:rPr>
          <w:rFonts w:cs="Times New Roman"/>
        </w:rPr>
        <w:t xml:space="preserve"> Given the timetable outlined in Section A 5(d) of this document, the survey results should be available for </w:t>
      </w:r>
      <w:r w:rsidR="001D409C" w:rsidRPr="00593437">
        <w:rPr>
          <w:rFonts w:cs="Times New Roman"/>
        </w:rPr>
        <w:t xml:space="preserve">timely </w:t>
      </w:r>
      <w:r w:rsidR="00756AA2">
        <w:rPr>
          <w:rFonts w:cs="Times New Roman"/>
        </w:rPr>
        <w:t>reporting with</w:t>
      </w:r>
      <w:r w:rsidR="008C0236">
        <w:rPr>
          <w:rFonts w:cs="Times New Roman"/>
        </w:rPr>
        <w:t>in ORD’s current research cycle</w:t>
      </w:r>
      <w:r w:rsidR="00756AA2">
        <w:rPr>
          <w:rFonts w:cs="Times New Roman"/>
        </w:rPr>
        <w:t xml:space="preserve"> (FY16-FY19), with final products due in FY19.</w:t>
      </w:r>
    </w:p>
    <w:p w14:paraId="72B79DC2" w14:textId="77777777" w:rsidR="00650C2A" w:rsidRPr="00DF48C0" w:rsidRDefault="00650C2A" w:rsidP="00650C2A">
      <w:pPr>
        <w:spacing w:line="360" w:lineRule="auto"/>
        <w:rPr>
          <w:rFonts w:cs="Times New Roman"/>
        </w:rPr>
      </w:pPr>
    </w:p>
    <w:p w14:paraId="092C147D" w14:textId="77777777" w:rsidR="00650C2A" w:rsidRPr="00DF48C0" w:rsidRDefault="00650C2A" w:rsidP="00650C2A">
      <w:pPr>
        <w:spacing w:line="360" w:lineRule="auto"/>
        <w:rPr>
          <w:rFonts w:cs="Times New Roman"/>
        </w:rPr>
      </w:pPr>
    </w:p>
    <w:p w14:paraId="7B1AC05F" w14:textId="77777777" w:rsidR="00650C2A" w:rsidRPr="00DF48C0" w:rsidRDefault="00650C2A" w:rsidP="00650C2A">
      <w:pPr>
        <w:pStyle w:val="Heading2"/>
        <w:rPr>
          <w:sz w:val="22"/>
          <w:szCs w:val="22"/>
        </w:rPr>
      </w:pPr>
      <w:bookmarkStart w:id="84" w:name="_Toc327184546"/>
      <w:bookmarkStart w:id="85" w:name="_Toc327362389"/>
      <w:bookmarkStart w:id="86" w:name="_Toc473195111"/>
      <w:r w:rsidRPr="00593437">
        <w:rPr>
          <w:sz w:val="22"/>
          <w:szCs w:val="22"/>
        </w:rPr>
        <w:t>2.</w:t>
      </w:r>
      <w:r w:rsidRPr="00593437">
        <w:rPr>
          <w:sz w:val="22"/>
          <w:szCs w:val="22"/>
        </w:rPr>
        <w:tab/>
        <w:t>Survey Design</w:t>
      </w:r>
      <w:bookmarkEnd w:id="84"/>
      <w:bookmarkEnd w:id="85"/>
      <w:bookmarkEnd w:id="86"/>
    </w:p>
    <w:p w14:paraId="4C52E8DC" w14:textId="77777777" w:rsidR="00650C2A" w:rsidRPr="00DF48C0" w:rsidRDefault="00650C2A" w:rsidP="00650C2A">
      <w:pPr>
        <w:pStyle w:val="Heading3"/>
        <w:rPr>
          <w:sz w:val="22"/>
          <w:szCs w:val="22"/>
        </w:rPr>
      </w:pPr>
      <w:bookmarkStart w:id="87" w:name="_Toc327184547"/>
      <w:bookmarkStart w:id="88" w:name="_Toc327362390"/>
      <w:bookmarkStart w:id="89" w:name="_Toc473195112"/>
      <w:r w:rsidRPr="00DF48C0">
        <w:rPr>
          <w:sz w:val="22"/>
          <w:szCs w:val="22"/>
        </w:rPr>
        <w:t>2(a)</w:t>
      </w:r>
      <w:r w:rsidRPr="00DF48C0">
        <w:rPr>
          <w:sz w:val="22"/>
          <w:szCs w:val="22"/>
        </w:rPr>
        <w:tab/>
        <w:t>Target Population and Coverage</w:t>
      </w:r>
      <w:bookmarkEnd w:id="87"/>
      <w:bookmarkEnd w:id="88"/>
      <w:bookmarkEnd w:id="89"/>
    </w:p>
    <w:p w14:paraId="23BC0C93" w14:textId="77777777" w:rsidR="00650C2A" w:rsidRPr="00DF48C0" w:rsidRDefault="00650C2A" w:rsidP="00650C2A">
      <w:pPr>
        <w:spacing w:line="360" w:lineRule="auto"/>
        <w:rPr>
          <w:rFonts w:cs="Times New Roman"/>
        </w:rPr>
      </w:pPr>
    </w:p>
    <w:p w14:paraId="1BF92027" w14:textId="528E9380" w:rsidR="0063558D" w:rsidRDefault="00330EF8" w:rsidP="00330EF8">
      <w:pPr>
        <w:pStyle w:val="BodyTextI2"/>
        <w:rPr>
          <w:sz w:val="22"/>
          <w:szCs w:val="22"/>
        </w:rPr>
      </w:pPr>
      <w:r w:rsidRPr="00EB0C48">
        <w:rPr>
          <w:sz w:val="22"/>
          <w:szCs w:val="22"/>
        </w:rPr>
        <w:t xml:space="preserve">To assess </w:t>
      </w:r>
      <w:r>
        <w:rPr>
          <w:sz w:val="22"/>
          <w:szCs w:val="22"/>
        </w:rPr>
        <w:t xml:space="preserve">recreational use </w:t>
      </w:r>
      <w:r w:rsidRPr="00EB0C48">
        <w:rPr>
          <w:sz w:val="22"/>
          <w:szCs w:val="22"/>
        </w:rPr>
        <w:t>values</w:t>
      </w:r>
      <w:r w:rsidR="0049539E">
        <w:rPr>
          <w:sz w:val="22"/>
          <w:szCs w:val="22"/>
        </w:rPr>
        <w:t xml:space="preserve"> of coastal New England residents</w:t>
      </w:r>
      <w:r w:rsidRPr="00EB0C48">
        <w:rPr>
          <w:sz w:val="22"/>
          <w:szCs w:val="22"/>
        </w:rPr>
        <w:t xml:space="preserve"> for improvements in </w:t>
      </w:r>
      <w:r>
        <w:rPr>
          <w:sz w:val="22"/>
          <w:szCs w:val="22"/>
        </w:rPr>
        <w:t xml:space="preserve">New England coastal </w:t>
      </w:r>
      <w:r w:rsidRPr="00EB0C48">
        <w:rPr>
          <w:sz w:val="22"/>
          <w:szCs w:val="22"/>
        </w:rPr>
        <w:t>water quality</w:t>
      </w:r>
      <w:r>
        <w:rPr>
          <w:sz w:val="22"/>
          <w:szCs w:val="22"/>
        </w:rPr>
        <w:t>, with a focus on Cape Cod and its surrounding area,</w:t>
      </w:r>
      <w:r w:rsidRPr="00EB0C48">
        <w:rPr>
          <w:sz w:val="22"/>
          <w:szCs w:val="22"/>
        </w:rPr>
        <w:t xml:space="preserve"> the target population is individuals who are 18 years of age or older</w:t>
      </w:r>
      <w:r>
        <w:rPr>
          <w:sz w:val="22"/>
          <w:szCs w:val="22"/>
        </w:rPr>
        <w:t xml:space="preserve"> </w:t>
      </w:r>
      <w:r w:rsidR="0049539E">
        <w:rPr>
          <w:sz w:val="22"/>
          <w:szCs w:val="22"/>
        </w:rPr>
        <w:t xml:space="preserve">and </w:t>
      </w:r>
      <w:r>
        <w:rPr>
          <w:sz w:val="22"/>
          <w:szCs w:val="22"/>
        </w:rPr>
        <w:t xml:space="preserve">includes residents </w:t>
      </w:r>
      <w:r w:rsidRPr="005436A3">
        <w:rPr>
          <w:sz w:val="22"/>
          <w:szCs w:val="22"/>
        </w:rPr>
        <w:t>living in counties where more than 25</w:t>
      </w:r>
      <w:r w:rsidR="00C609CD">
        <w:rPr>
          <w:sz w:val="22"/>
          <w:szCs w:val="22"/>
        </w:rPr>
        <w:t xml:space="preserve"> percent</w:t>
      </w:r>
      <w:r w:rsidRPr="005436A3">
        <w:rPr>
          <w:sz w:val="22"/>
          <w:szCs w:val="22"/>
        </w:rPr>
        <w:t xml:space="preserve"> of the county falls within 100 miles of Cape Cod, Massachusetts</w:t>
      </w:r>
      <w:r>
        <w:rPr>
          <w:sz w:val="22"/>
          <w:szCs w:val="22"/>
        </w:rPr>
        <w:t>. Individuals</w:t>
      </w:r>
      <w:r w:rsidRPr="00EB0C48">
        <w:rPr>
          <w:sz w:val="22"/>
          <w:szCs w:val="22"/>
        </w:rPr>
        <w:t xml:space="preserve"> in these areas are more likely to hold use values for improvements to the </w:t>
      </w:r>
      <w:r>
        <w:rPr>
          <w:sz w:val="22"/>
          <w:szCs w:val="22"/>
        </w:rPr>
        <w:t xml:space="preserve">waters of Cape Cod and surrounding areas </w:t>
      </w:r>
      <w:r w:rsidRPr="00EB0C48">
        <w:rPr>
          <w:sz w:val="22"/>
          <w:szCs w:val="22"/>
        </w:rPr>
        <w:t xml:space="preserve">than those farther away. </w:t>
      </w:r>
      <w:r w:rsidR="0049539E">
        <w:rPr>
          <w:sz w:val="22"/>
          <w:szCs w:val="22"/>
        </w:rPr>
        <w:t xml:space="preserve">The choice of 100 miles is based on typical driving distance to recreational sites (i.e., </w:t>
      </w:r>
      <w:r w:rsidR="00C609CD">
        <w:rPr>
          <w:sz w:val="22"/>
          <w:szCs w:val="22"/>
        </w:rPr>
        <w:t>two</w:t>
      </w:r>
      <w:r w:rsidR="0049539E">
        <w:rPr>
          <w:sz w:val="22"/>
          <w:szCs w:val="22"/>
        </w:rPr>
        <w:t xml:space="preserve"> hours or 100 miles) for single day or weekend trips. This was supported by our focus groups.</w:t>
      </w:r>
      <w:r w:rsidR="0063558D">
        <w:rPr>
          <w:sz w:val="22"/>
          <w:szCs w:val="22"/>
        </w:rPr>
        <w:t xml:space="preserve"> In addition, </w:t>
      </w:r>
      <w:r w:rsidR="005D09E8">
        <w:rPr>
          <w:sz w:val="22"/>
          <w:szCs w:val="22"/>
        </w:rPr>
        <w:t>Parsons &amp;</w:t>
      </w:r>
      <w:r w:rsidR="0063558D">
        <w:rPr>
          <w:sz w:val="22"/>
          <w:szCs w:val="22"/>
        </w:rPr>
        <w:t xml:space="preserve"> Hauber (1998) show that the welfare relevant coefficients in a RUM model of water recreation are stable after the choice set is extended to around a two</w:t>
      </w:r>
      <w:r w:rsidR="00983BEB">
        <w:rPr>
          <w:sz w:val="22"/>
          <w:szCs w:val="22"/>
        </w:rPr>
        <w:t>-</w:t>
      </w:r>
      <w:r w:rsidR="0063558D">
        <w:rPr>
          <w:sz w:val="22"/>
          <w:szCs w:val="22"/>
        </w:rPr>
        <w:t xml:space="preserve">hour travel distance. </w:t>
      </w:r>
    </w:p>
    <w:p w14:paraId="78DFFB05" w14:textId="77777777" w:rsidR="0063558D" w:rsidRDefault="0063558D" w:rsidP="00330EF8">
      <w:pPr>
        <w:pStyle w:val="BodyTextI2"/>
        <w:rPr>
          <w:sz w:val="22"/>
          <w:szCs w:val="22"/>
        </w:rPr>
      </w:pPr>
    </w:p>
    <w:p w14:paraId="441FD256" w14:textId="745ACAE7" w:rsidR="008A760A" w:rsidRDefault="0049539E" w:rsidP="00330EF8">
      <w:pPr>
        <w:pStyle w:val="BodyTextI2"/>
        <w:rPr>
          <w:sz w:val="22"/>
          <w:szCs w:val="22"/>
        </w:rPr>
      </w:pPr>
      <w:r>
        <w:rPr>
          <w:sz w:val="22"/>
          <w:szCs w:val="22"/>
        </w:rPr>
        <w:t xml:space="preserve"> While we </w:t>
      </w:r>
      <w:r w:rsidR="008A760A">
        <w:rPr>
          <w:sz w:val="22"/>
          <w:szCs w:val="22"/>
        </w:rPr>
        <w:t>will</w:t>
      </w:r>
      <w:r>
        <w:rPr>
          <w:sz w:val="22"/>
          <w:szCs w:val="22"/>
        </w:rPr>
        <w:t xml:space="preserve"> miss a portion of trips that originate from beyond 100 miles of the coast,</w:t>
      </w:r>
      <w:r w:rsidR="00D26E58">
        <w:rPr>
          <w:sz w:val="22"/>
          <w:szCs w:val="22"/>
        </w:rPr>
        <w:t xml:space="preserve"> which are likely to include more overnight trips,</w:t>
      </w:r>
      <w:r>
        <w:rPr>
          <w:sz w:val="22"/>
          <w:szCs w:val="22"/>
        </w:rPr>
        <w:t xml:space="preserve"> our purposes for the survey do not include a precise estimate of the value of overnight trips as compared to single day trips</w:t>
      </w:r>
      <w:r w:rsidR="00D26E58">
        <w:rPr>
          <w:sz w:val="22"/>
          <w:szCs w:val="22"/>
        </w:rPr>
        <w:t>. I</w:t>
      </w:r>
      <w:r>
        <w:rPr>
          <w:sz w:val="22"/>
          <w:szCs w:val="22"/>
        </w:rPr>
        <w:t>nstead</w:t>
      </w:r>
      <w:r w:rsidR="00D26E58">
        <w:rPr>
          <w:sz w:val="22"/>
          <w:szCs w:val="22"/>
        </w:rPr>
        <w:t>,</w:t>
      </w:r>
      <w:r>
        <w:rPr>
          <w:sz w:val="22"/>
          <w:szCs w:val="22"/>
        </w:rPr>
        <w:t xml:space="preserve"> the focus is primarily on the value of water quality changes to </w:t>
      </w:r>
      <w:r w:rsidR="0059230A">
        <w:rPr>
          <w:sz w:val="22"/>
          <w:szCs w:val="22"/>
        </w:rPr>
        <w:t>New England recreationists.</w:t>
      </w:r>
      <w:r w:rsidR="008A760A">
        <w:rPr>
          <w:sz w:val="22"/>
          <w:szCs w:val="22"/>
        </w:rPr>
        <w:t xml:space="preserve"> It is likely that those within 100 miles of the coast who take single day trips or have a weekend home or regularly visit the coast for overnight trips will be most sensitive to water quality variations across locations within the region. Those traveling from greater distances are less likely to be aware of water quality variations from place to place within the region and also most likely and able to substitute locations, thus being less affected by the range of water quality variations present within the region. </w:t>
      </w:r>
    </w:p>
    <w:p w14:paraId="51CCCE95" w14:textId="22FD2198" w:rsidR="0049539E" w:rsidRDefault="00D26E58" w:rsidP="00330EF8">
      <w:pPr>
        <w:pStyle w:val="BodyTextI2"/>
        <w:rPr>
          <w:sz w:val="22"/>
          <w:szCs w:val="22"/>
        </w:rPr>
      </w:pPr>
      <w:r>
        <w:rPr>
          <w:sz w:val="22"/>
          <w:szCs w:val="22"/>
        </w:rPr>
        <w:t>We found that m</w:t>
      </w:r>
      <w:r w:rsidR="008A760A">
        <w:rPr>
          <w:sz w:val="22"/>
          <w:szCs w:val="22"/>
        </w:rPr>
        <w:t>any trips within this 100-mile buffer are associated with overnight trips</w:t>
      </w:r>
      <w:r>
        <w:rPr>
          <w:sz w:val="22"/>
          <w:szCs w:val="22"/>
        </w:rPr>
        <w:t>,</w:t>
      </w:r>
      <w:r w:rsidR="008A760A">
        <w:rPr>
          <w:sz w:val="22"/>
          <w:szCs w:val="22"/>
        </w:rPr>
        <w:t xml:space="preserve"> based on our focus groups and knowledge of the local tourism economy. </w:t>
      </w:r>
      <w:r>
        <w:rPr>
          <w:sz w:val="22"/>
          <w:szCs w:val="22"/>
        </w:rPr>
        <w:t xml:space="preserve">It is important </w:t>
      </w:r>
      <w:r w:rsidR="00907179">
        <w:rPr>
          <w:sz w:val="22"/>
          <w:szCs w:val="22"/>
        </w:rPr>
        <w:t xml:space="preserve">to collect the costs associated with trips originating within the 100 miles of the Cape differently if they were part of a single </w:t>
      </w:r>
      <w:r>
        <w:rPr>
          <w:sz w:val="22"/>
          <w:szCs w:val="22"/>
        </w:rPr>
        <w:t xml:space="preserve">day </w:t>
      </w:r>
      <w:r w:rsidR="00907179">
        <w:rPr>
          <w:sz w:val="22"/>
          <w:szCs w:val="22"/>
        </w:rPr>
        <w:t>or overnight trip (see section 2(d) questions 2.4-2.14b for reasoning for those survey questions). This distinction is standard in the travel cost modeling literature, since the travel costs associated with a recreation trip may be over</w:t>
      </w:r>
      <w:r>
        <w:rPr>
          <w:sz w:val="22"/>
          <w:szCs w:val="22"/>
        </w:rPr>
        <w:t>-</w:t>
      </w:r>
      <w:r w:rsidR="00907179">
        <w:rPr>
          <w:sz w:val="22"/>
          <w:szCs w:val="22"/>
        </w:rPr>
        <w:t xml:space="preserve"> or under</w:t>
      </w:r>
      <w:r>
        <w:rPr>
          <w:sz w:val="22"/>
          <w:szCs w:val="22"/>
        </w:rPr>
        <w:t>-</w:t>
      </w:r>
      <w:r w:rsidR="00907179">
        <w:rPr>
          <w:sz w:val="22"/>
          <w:szCs w:val="22"/>
        </w:rPr>
        <w:t xml:space="preserve">estimated if the trips are treated in a uniform manner. </w:t>
      </w:r>
    </w:p>
    <w:p w14:paraId="183BF0BA" w14:textId="77777777" w:rsidR="00650C2A" w:rsidRPr="00DF48C0" w:rsidRDefault="00650C2A" w:rsidP="00650C2A">
      <w:pPr>
        <w:spacing w:line="360" w:lineRule="auto"/>
        <w:rPr>
          <w:rFonts w:cs="Times New Roman"/>
        </w:rPr>
      </w:pPr>
      <w:r w:rsidRPr="00DF48C0">
        <w:rPr>
          <w:rFonts w:cs="Times New Roman"/>
        </w:rPr>
        <w:tab/>
      </w:r>
      <w:r w:rsidRPr="00DF48C0">
        <w:rPr>
          <w:rFonts w:cs="Times New Roman"/>
        </w:rPr>
        <w:tab/>
      </w:r>
    </w:p>
    <w:p w14:paraId="4E8EC957" w14:textId="77777777" w:rsidR="00650C2A" w:rsidRPr="00DF48C0" w:rsidRDefault="00650C2A" w:rsidP="00650C2A">
      <w:pPr>
        <w:pStyle w:val="Heading3"/>
        <w:rPr>
          <w:sz w:val="22"/>
          <w:szCs w:val="22"/>
        </w:rPr>
      </w:pPr>
      <w:bookmarkStart w:id="90" w:name="_Toc327184548"/>
      <w:bookmarkStart w:id="91" w:name="_Toc327362391"/>
      <w:bookmarkStart w:id="92" w:name="_Toc473195113"/>
      <w:r w:rsidRPr="00DF48C0">
        <w:rPr>
          <w:sz w:val="22"/>
          <w:szCs w:val="22"/>
        </w:rPr>
        <w:t>2(b)</w:t>
      </w:r>
      <w:r w:rsidRPr="00DF48C0">
        <w:rPr>
          <w:sz w:val="22"/>
          <w:szCs w:val="22"/>
        </w:rPr>
        <w:tab/>
        <w:t>Sampling Design</w:t>
      </w:r>
      <w:bookmarkStart w:id="93" w:name="_Toc327184549"/>
      <w:bookmarkStart w:id="94" w:name="_Toc327362392"/>
      <w:bookmarkEnd w:id="90"/>
      <w:bookmarkEnd w:id="91"/>
      <w:bookmarkEnd w:id="92"/>
    </w:p>
    <w:p w14:paraId="56CEEA2B" w14:textId="77777777" w:rsidR="00650C2A" w:rsidRDefault="00650C2A" w:rsidP="00650C2A">
      <w:pPr>
        <w:pStyle w:val="Heading4"/>
        <w:rPr>
          <w:sz w:val="22"/>
          <w:szCs w:val="22"/>
        </w:rPr>
      </w:pPr>
      <w:r w:rsidRPr="00DF48C0">
        <w:rPr>
          <w:sz w:val="22"/>
          <w:szCs w:val="22"/>
        </w:rPr>
        <w:t>(i)</w:t>
      </w:r>
      <w:r w:rsidRPr="00DF48C0">
        <w:rPr>
          <w:sz w:val="22"/>
          <w:szCs w:val="22"/>
        </w:rPr>
        <w:tab/>
        <w:t>Sampling Frame</w:t>
      </w:r>
      <w:bookmarkEnd w:id="93"/>
      <w:bookmarkEnd w:id="94"/>
    </w:p>
    <w:p w14:paraId="024D63E5" w14:textId="77777777" w:rsidR="008C0236" w:rsidRPr="008C0236" w:rsidRDefault="008C0236" w:rsidP="008C0236"/>
    <w:p w14:paraId="2F123B96" w14:textId="1F16E637" w:rsidR="007323D7" w:rsidRPr="00DF48C0" w:rsidRDefault="00650C2A" w:rsidP="007323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cs="Times New Roman"/>
        </w:rPr>
      </w:pPr>
      <w:bookmarkStart w:id="95" w:name="_Toc327184550"/>
      <w:bookmarkStart w:id="96" w:name="_Toc327362393"/>
      <w:r w:rsidRPr="00DF48C0">
        <w:rPr>
          <w:rFonts w:cs="Times New Roman"/>
        </w:rPr>
        <w:tab/>
      </w:r>
      <w:r w:rsidR="007323D7" w:rsidRPr="00DF48C0">
        <w:rPr>
          <w:rFonts w:cs="Times New Roman"/>
        </w:rPr>
        <w:t>The sampling frame for this survey is the United States Postal Service Computerized Delivery Sequence File (DSF), the standard frame for address-based sampling (Iannacchione, 2011; Link et al</w:t>
      </w:r>
      <w:r w:rsidR="008C0236">
        <w:rPr>
          <w:rFonts w:cs="Times New Roman"/>
        </w:rPr>
        <w:t>.</w:t>
      </w:r>
      <w:r w:rsidR="007323D7" w:rsidRPr="00DF48C0">
        <w:rPr>
          <w:rFonts w:cs="Times New Roman"/>
        </w:rPr>
        <w:t>, 2008)</w:t>
      </w:r>
      <w:r w:rsidR="007323D7" w:rsidRPr="00DF48C0">
        <w:rPr>
          <w:rFonts w:cs="Times New Roman"/>
          <w:i/>
        </w:rPr>
        <w:t>.</w:t>
      </w:r>
      <w:r w:rsidR="007323D7" w:rsidRPr="00DF48C0">
        <w:rPr>
          <w:rFonts w:cs="Times New Roman"/>
        </w:rPr>
        <w:t xml:space="preserve"> The DSF is a non-duplicative list of residential addresses where U.S. postal workers deliver mail; it includes city-style addresses and </w:t>
      </w:r>
      <w:r w:rsidR="005328DD">
        <w:rPr>
          <w:rFonts w:cs="Times New Roman"/>
        </w:rPr>
        <w:t>post office</w:t>
      </w:r>
      <w:r w:rsidR="007323D7" w:rsidRPr="00DF48C0">
        <w:rPr>
          <w:rFonts w:cs="Times New Roman"/>
        </w:rPr>
        <w:t xml:space="preserve"> boxes, and covers single-unit, multi-unit, and other types of housing structures with known business</w:t>
      </w:r>
      <w:r w:rsidR="003A7916">
        <w:rPr>
          <w:rFonts w:cs="Times New Roman"/>
        </w:rPr>
        <w:t>es</w:t>
      </w:r>
      <w:r w:rsidR="007323D7" w:rsidRPr="00DF48C0">
        <w:rPr>
          <w:rFonts w:cs="Times New Roman"/>
        </w:rPr>
        <w:t xml:space="preserve"> excluded. In total the DSF is estimated to cover 97% of residences in the U.S., with coverage gradually increasing over the last few years as rural addresses are being converted to city-style, 911-compatible addresses</w:t>
      </w:r>
      <w:r w:rsidR="007323D7" w:rsidRPr="00DF48C0">
        <w:rPr>
          <w:rStyle w:val="FootnoteReference"/>
          <w:rFonts w:cs="Times New Roman"/>
        </w:rPr>
        <w:footnoteReference w:id="1"/>
      </w:r>
      <w:r w:rsidR="007323D7" w:rsidRPr="00DF48C0">
        <w:rPr>
          <w:rFonts w:cs="Times New Roman"/>
        </w:rPr>
        <w:t xml:space="preserve">. The universe of sample units is defined as this set of residential addresses, and hence is capable of reaching individuals who are 18 years of age or older living at a residential address in the </w:t>
      </w:r>
      <w:r w:rsidR="007323D7">
        <w:rPr>
          <w:rFonts w:cs="Times New Roman"/>
        </w:rPr>
        <w:t>four</w:t>
      </w:r>
      <w:r w:rsidR="007323D7" w:rsidRPr="00DF48C0">
        <w:rPr>
          <w:rFonts w:cs="Times New Roman"/>
        </w:rPr>
        <w:t xml:space="preserve"> target states. Samples from </w:t>
      </w:r>
      <w:r w:rsidR="003A7916">
        <w:rPr>
          <w:rFonts w:cs="Times New Roman"/>
        </w:rPr>
        <w:t xml:space="preserve">the </w:t>
      </w:r>
      <w:r w:rsidR="007323D7" w:rsidRPr="00DF48C0">
        <w:rPr>
          <w:rFonts w:cs="Times New Roman"/>
        </w:rPr>
        <w:t xml:space="preserve">DSF are taken indirectly, as USPS cannot sell mailing addresses or otherwise provide access to </w:t>
      </w:r>
      <w:r w:rsidR="003A7916">
        <w:rPr>
          <w:rFonts w:cs="Times New Roman"/>
        </w:rPr>
        <w:t xml:space="preserve">the </w:t>
      </w:r>
      <w:r w:rsidR="007323D7" w:rsidRPr="00DF48C0">
        <w:rPr>
          <w:rFonts w:cs="Times New Roman"/>
        </w:rPr>
        <w:t>DSF. Instead, a number of sample vendors maintain their own copies of the DSF and</w:t>
      </w:r>
      <w:r w:rsidR="003A7916">
        <w:rPr>
          <w:rFonts w:cs="Times New Roman"/>
        </w:rPr>
        <w:t>,</w:t>
      </w:r>
      <w:r w:rsidR="007323D7" w:rsidRPr="00DF48C0">
        <w:rPr>
          <w:rFonts w:cs="Times New Roman"/>
        </w:rPr>
        <w:t xml:space="preserve"> through verifying them with USPS, update the list quarterly. The sample vendors can also augment the mailing addresses with additional information (household demographics, landline phone numbers, etc.) from external sources.</w:t>
      </w:r>
    </w:p>
    <w:p w14:paraId="6984C74D" w14:textId="055C8676" w:rsidR="007323D7" w:rsidRPr="00DF48C0" w:rsidRDefault="007323D7" w:rsidP="007323D7">
      <w:pPr>
        <w:spacing w:line="360" w:lineRule="auto"/>
        <w:ind w:firstLine="720"/>
        <w:rPr>
          <w:rFonts w:cs="Times New Roman"/>
        </w:rPr>
      </w:pPr>
      <w:r w:rsidRPr="00DF48C0">
        <w:rPr>
          <w:rFonts w:cs="Times New Roman"/>
        </w:rPr>
        <w:t>For discussion of techniques that EPA will use to minimize non-response and other non-sampling errors in the survey sample, refer to Section 2(b)(</w:t>
      </w:r>
      <w:r w:rsidR="008C0236">
        <w:rPr>
          <w:rFonts w:cs="Times New Roman"/>
        </w:rPr>
        <w:t>ii</w:t>
      </w:r>
      <w:r w:rsidRPr="00DF48C0">
        <w:rPr>
          <w:rFonts w:cs="Times New Roman"/>
        </w:rPr>
        <w:t>), below.</w:t>
      </w:r>
    </w:p>
    <w:p w14:paraId="48F3E172" w14:textId="77777777" w:rsidR="00AD4141" w:rsidRPr="00DF48C0" w:rsidRDefault="00AD4141" w:rsidP="00AD4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cs="Times New Roman"/>
        </w:rPr>
      </w:pPr>
    </w:p>
    <w:p w14:paraId="4F1CB22C" w14:textId="77777777" w:rsidR="00AD4141" w:rsidRPr="00DF48C0" w:rsidRDefault="00AD4141" w:rsidP="00AD4141">
      <w:pPr>
        <w:pStyle w:val="Heading4"/>
        <w:rPr>
          <w:sz w:val="22"/>
          <w:szCs w:val="22"/>
        </w:rPr>
      </w:pPr>
      <w:r w:rsidRPr="00DF48C0">
        <w:rPr>
          <w:sz w:val="22"/>
          <w:szCs w:val="22"/>
        </w:rPr>
        <w:t xml:space="preserve"> (ii)</w:t>
      </w:r>
      <w:r w:rsidRPr="00DF48C0">
        <w:rPr>
          <w:sz w:val="22"/>
          <w:szCs w:val="22"/>
        </w:rPr>
        <w:tab/>
        <w:t>Sample Sizes</w:t>
      </w:r>
    </w:p>
    <w:p w14:paraId="1AEC2112" w14:textId="77777777" w:rsidR="00AD4141" w:rsidRPr="00DF48C0" w:rsidRDefault="00AD4141" w:rsidP="00AD4141">
      <w:pPr>
        <w:spacing w:line="360" w:lineRule="auto"/>
        <w:ind w:firstLine="720"/>
        <w:rPr>
          <w:rFonts w:cs="Times New Roman"/>
        </w:rPr>
      </w:pPr>
    </w:p>
    <w:p w14:paraId="6FBD7645" w14:textId="2EC9426E" w:rsidR="00AD4141" w:rsidRPr="00DF48C0" w:rsidRDefault="00AD4141" w:rsidP="00AD4141">
      <w:pPr>
        <w:spacing w:line="360" w:lineRule="auto"/>
        <w:ind w:firstLine="720"/>
        <w:rPr>
          <w:rFonts w:cs="Times New Roman"/>
        </w:rPr>
      </w:pPr>
      <w:r w:rsidRPr="00DF48C0">
        <w:rPr>
          <w:rFonts w:cs="Times New Roman"/>
        </w:rPr>
        <w:t xml:space="preserve">The target responding sample size for the main survey is </w:t>
      </w:r>
      <w:r>
        <w:rPr>
          <w:rFonts w:cs="Times New Roman"/>
        </w:rPr>
        <w:t>2,</w:t>
      </w:r>
      <w:r w:rsidR="00120870">
        <w:rPr>
          <w:rFonts w:cs="Times New Roman"/>
        </w:rPr>
        <w:t>163</w:t>
      </w:r>
      <w:r w:rsidRPr="00DF48C0">
        <w:rPr>
          <w:rFonts w:cs="Times New Roman"/>
        </w:rPr>
        <w:t xml:space="preserve"> completed household surveys. This sample size was chosen to provide statistically robust regression modeling while minimizing the cost and burden of the survey. Given this sample size, the level of precision (see section 2(c)) achieved by the analysis will be more than adequate to meet the analytic needs. For further discussion of the level of precision required by this analysis, see Section 2(c)(i) below. </w:t>
      </w:r>
    </w:p>
    <w:p w14:paraId="44F8B9F9" w14:textId="557F5240" w:rsidR="00373A52" w:rsidRDefault="00AD4141" w:rsidP="00AD414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cs="Times New Roman"/>
        </w:rPr>
      </w:pPr>
      <w:r w:rsidRPr="00DF48C0">
        <w:rPr>
          <w:rFonts w:cs="Times New Roman"/>
        </w:rPr>
        <w:tab/>
      </w:r>
      <w:r w:rsidRPr="00EB0C48">
        <w:rPr>
          <w:rFonts w:cs="Times New Roman"/>
        </w:rPr>
        <w:t xml:space="preserve">The sample design </w:t>
      </w:r>
      <w:r>
        <w:rPr>
          <w:rFonts w:cs="Times New Roman"/>
        </w:rPr>
        <w:t>includes</w:t>
      </w:r>
      <w:r w:rsidRPr="00EB0C48">
        <w:rPr>
          <w:rFonts w:cs="Times New Roman"/>
        </w:rPr>
        <w:t xml:space="preserve"> </w:t>
      </w:r>
      <w:r>
        <w:rPr>
          <w:rFonts w:cs="Times New Roman"/>
        </w:rPr>
        <w:t>22 counties based upon proximity to Cape Cod. EPA plans to oversample residents of Barnstable County on Cape Cod. EPA believes this is appropriate because Cape Cod residents are those who are most likely to receive significant use benefits of water qua</w:t>
      </w:r>
      <w:r w:rsidR="003F5692">
        <w:rPr>
          <w:rFonts w:cs="Times New Roman"/>
        </w:rPr>
        <w:t xml:space="preserve">lity improvements on Cape Cod. </w:t>
      </w:r>
      <w:r>
        <w:rPr>
          <w:rFonts w:cs="Times New Roman"/>
        </w:rPr>
        <w:t xml:space="preserve">The sample will be allocated in proportion to the county-level population within each state. The target number of respondents in each county and state is given in Table B1. </w:t>
      </w:r>
    </w:p>
    <w:p w14:paraId="756B40C9" w14:textId="77777777" w:rsidR="00373A52" w:rsidRPr="00DF48C0" w:rsidRDefault="00373A52" w:rsidP="00AD414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cs="Times New Roman"/>
        </w:rPr>
      </w:pPr>
    </w:p>
    <w:tbl>
      <w:tblPr>
        <w:tblW w:w="8280" w:type="dxa"/>
        <w:jc w:val="center"/>
        <w:tblLayout w:type="fixed"/>
        <w:tblCellMar>
          <w:left w:w="0" w:type="dxa"/>
          <w:right w:w="576" w:type="dxa"/>
        </w:tblCellMar>
        <w:tblLook w:val="04A0" w:firstRow="1" w:lastRow="0" w:firstColumn="1" w:lastColumn="0" w:noHBand="0" w:noVBand="1"/>
      </w:tblPr>
      <w:tblGrid>
        <w:gridCol w:w="3399"/>
        <w:gridCol w:w="1573"/>
        <w:gridCol w:w="3064"/>
        <w:gridCol w:w="244"/>
      </w:tblGrid>
      <w:tr w:rsidR="00373A52" w:rsidRPr="00EB0C48" w14:paraId="67A20A7D" w14:textId="77777777" w:rsidTr="00593437">
        <w:trPr>
          <w:trHeight w:val="300"/>
          <w:jc w:val="center"/>
        </w:trPr>
        <w:tc>
          <w:tcPr>
            <w:tcW w:w="8280" w:type="dxa"/>
            <w:gridSpan w:val="4"/>
            <w:tcBorders>
              <w:top w:val="single" w:sz="4" w:space="0" w:color="auto"/>
              <w:left w:val="nil"/>
              <w:bottom w:val="single" w:sz="4" w:space="0" w:color="auto"/>
              <w:right w:val="nil"/>
            </w:tcBorders>
            <w:noWrap/>
            <w:tcMar>
              <w:top w:w="0" w:type="dxa"/>
              <w:left w:w="108" w:type="dxa"/>
              <w:bottom w:w="0" w:type="dxa"/>
              <w:right w:w="108" w:type="dxa"/>
            </w:tcMar>
          </w:tcPr>
          <w:p w14:paraId="4F46BBDE" w14:textId="2D091447" w:rsidR="001B5DA3" w:rsidRPr="00EB0C48" w:rsidRDefault="001B5DA3" w:rsidP="00593437">
            <w:pPr>
              <w:spacing w:line="360" w:lineRule="auto"/>
              <w:rPr>
                <w:rFonts w:cs="Times New Roman"/>
                <w:b/>
              </w:rPr>
            </w:pPr>
            <w:r w:rsidRPr="00EB0C48">
              <w:rPr>
                <w:rFonts w:cs="Times New Roman"/>
                <w:b/>
                <w:bCs/>
                <w:color w:val="000000"/>
              </w:rPr>
              <w:t>Table B1</w:t>
            </w:r>
            <w:r>
              <w:rPr>
                <w:rFonts w:cs="Times New Roman"/>
                <w:b/>
                <w:bCs/>
                <w:color w:val="000000"/>
              </w:rPr>
              <w:t>:</w:t>
            </w:r>
            <w:r w:rsidRPr="00EB0C48">
              <w:rPr>
                <w:rFonts w:cs="Times New Roman"/>
                <w:b/>
                <w:bCs/>
                <w:color w:val="000000"/>
              </w:rPr>
              <w:t xml:space="preserve"> </w:t>
            </w:r>
            <w:r>
              <w:rPr>
                <w:rFonts w:cs="Times New Roman"/>
                <w:b/>
              </w:rPr>
              <w:t>Population</w:t>
            </w:r>
            <w:r w:rsidRPr="00EB0C48">
              <w:rPr>
                <w:rFonts w:cs="Times New Roman"/>
                <w:b/>
              </w:rPr>
              <w:t xml:space="preserve"> and Expected</w:t>
            </w:r>
            <w:r>
              <w:rPr>
                <w:rFonts w:cs="Times New Roman"/>
                <w:b/>
              </w:rPr>
              <w:t xml:space="preserve"> </w:t>
            </w:r>
            <w:r w:rsidRPr="00EB0C48">
              <w:rPr>
                <w:rFonts w:cs="Times New Roman"/>
                <w:b/>
              </w:rPr>
              <w:t>Number of Completed Surveys for</w:t>
            </w:r>
            <w:r>
              <w:rPr>
                <w:rFonts w:cs="Times New Roman"/>
                <w:b/>
              </w:rPr>
              <w:t xml:space="preserve"> Each County</w:t>
            </w:r>
          </w:p>
        </w:tc>
      </w:tr>
      <w:tr w:rsidR="00373A52" w:rsidRPr="00EB0C48" w14:paraId="6845C98B" w14:textId="77777777" w:rsidTr="00CC2944">
        <w:trPr>
          <w:trHeight w:val="908"/>
          <w:jc w:val="center"/>
        </w:trPr>
        <w:tc>
          <w:tcPr>
            <w:tcW w:w="3399" w:type="dxa"/>
            <w:tcBorders>
              <w:top w:val="single" w:sz="4" w:space="0" w:color="auto"/>
              <w:left w:val="nil"/>
              <w:bottom w:val="single" w:sz="4" w:space="0" w:color="auto"/>
              <w:right w:val="nil"/>
            </w:tcBorders>
            <w:noWrap/>
            <w:tcMar>
              <w:top w:w="0" w:type="dxa"/>
              <w:left w:w="108" w:type="dxa"/>
              <w:bottom w:w="0" w:type="dxa"/>
              <w:right w:w="108" w:type="dxa"/>
            </w:tcMar>
            <w:vAlign w:val="center"/>
          </w:tcPr>
          <w:p w14:paraId="4E794B41" w14:textId="505BA143" w:rsidR="001B5DA3" w:rsidRPr="00EB0C48" w:rsidRDefault="001B5DA3" w:rsidP="00593437">
            <w:pPr>
              <w:spacing w:line="360" w:lineRule="auto"/>
              <w:jc w:val="center"/>
              <w:rPr>
                <w:rFonts w:cs="Times New Roman"/>
                <w:b/>
                <w:bCs/>
                <w:color w:val="000000"/>
              </w:rPr>
            </w:pPr>
            <w:r w:rsidRPr="00EB0C48">
              <w:rPr>
                <w:rFonts w:cs="Times New Roman"/>
                <w:b/>
                <w:bCs/>
                <w:color w:val="000000"/>
              </w:rPr>
              <w:t>Sampl</w:t>
            </w:r>
            <w:r w:rsidR="00AD4141">
              <w:rPr>
                <w:rFonts w:cs="Times New Roman"/>
                <w:b/>
                <w:bCs/>
                <w:color w:val="000000"/>
              </w:rPr>
              <w:t>ed</w:t>
            </w:r>
            <w:r w:rsidRPr="00EB0C48">
              <w:rPr>
                <w:rFonts w:cs="Times New Roman"/>
                <w:b/>
                <w:bCs/>
                <w:color w:val="000000"/>
              </w:rPr>
              <w:t xml:space="preserve"> </w:t>
            </w:r>
            <w:r>
              <w:rPr>
                <w:rFonts w:cs="Times New Roman"/>
                <w:b/>
                <w:bCs/>
                <w:color w:val="000000"/>
              </w:rPr>
              <w:t>State and County</w:t>
            </w:r>
          </w:p>
        </w:tc>
        <w:tc>
          <w:tcPr>
            <w:tcW w:w="1573" w:type="dxa"/>
            <w:tcBorders>
              <w:top w:val="single" w:sz="4" w:space="0" w:color="auto"/>
              <w:left w:val="nil"/>
              <w:bottom w:val="single" w:sz="4" w:space="0" w:color="auto"/>
              <w:right w:val="nil"/>
            </w:tcBorders>
            <w:noWrap/>
            <w:tcMar>
              <w:top w:w="0" w:type="dxa"/>
              <w:left w:w="108" w:type="dxa"/>
              <w:bottom w:w="0" w:type="dxa"/>
              <w:right w:w="108" w:type="dxa"/>
            </w:tcMar>
            <w:vAlign w:val="center"/>
          </w:tcPr>
          <w:p w14:paraId="1E48E165" w14:textId="77777777" w:rsidR="001B5DA3" w:rsidRPr="00EB0C48" w:rsidRDefault="001B5DA3" w:rsidP="00593437">
            <w:pPr>
              <w:spacing w:line="360" w:lineRule="auto"/>
              <w:jc w:val="center"/>
              <w:rPr>
                <w:rFonts w:cs="Times New Roman"/>
                <w:b/>
                <w:bCs/>
                <w:color w:val="000000"/>
              </w:rPr>
            </w:pPr>
            <w:r>
              <w:rPr>
                <w:rFonts w:cs="Times New Roman"/>
                <w:b/>
                <w:bCs/>
                <w:color w:val="000000"/>
              </w:rPr>
              <w:t>Population</w:t>
            </w:r>
          </w:p>
        </w:tc>
        <w:tc>
          <w:tcPr>
            <w:tcW w:w="3308" w:type="dxa"/>
            <w:gridSpan w:val="2"/>
            <w:tcBorders>
              <w:top w:val="single" w:sz="4" w:space="0" w:color="auto"/>
              <w:left w:val="nil"/>
              <w:bottom w:val="single" w:sz="4" w:space="0" w:color="auto"/>
              <w:right w:val="nil"/>
            </w:tcBorders>
            <w:vAlign w:val="center"/>
          </w:tcPr>
          <w:p w14:paraId="6CFB9EEE" w14:textId="4BB3A2D1" w:rsidR="001B5DA3" w:rsidRPr="00EB0C48" w:rsidRDefault="001B5DA3" w:rsidP="00593437">
            <w:pPr>
              <w:spacing w:line="360" w:lineRule="auto"/>
              <w:jc w:val="center"/>
              <w:rPr>
                <w:rFonts w:cs="Times New Roman"/>
                <w:b/>
                <w:bCs/>
                <w:color w:val="000000"/>
              </w:rPr>
            </w:pPr>
            <w:r w:rsidRPr="00EB0C48">
              <w:rPr>
                <w:rFonts w:cs="Times New Roman"/>
                <w:b/>
                <w:bCs/>
                <w:color w:val="000000"/>
              </w:rPr>
              <w:t>Expected Number of</w:t>
            </w:r>
          </w:p>
          <w:p w14:paraId="0C0CF5FE" w14:textId="77777777" w:rsidR="001B5DA3" w:rsidRPr="00EB0C48" w:rsidRDefault="001B5DA3" w:rsidP="00593437">
            <w:pPr>
              <w:spacing w:line="360" w:lineRule="auto"/>
              <w:jc w:val="center"/>
              <w:rPr>
                <w:rFonts w:cs="Times New Roman"/>
                <w:b/>
                <w:bCs/>
                <w:color w:val="000000"/>
              </w:rPr>
            </w:pPr>
            <w:r w:rsidRPr="00EB0C48">
              <w:rPr>
                <w:rFonts w:cs="Times New Roman"/>
                <w:b/>
                <w:bCs/>
                <w:color w:val="000000"/>
              </w:rPr>
              <w:t>Completed Surveys</w:t>
            </w:r>
          </w:p>
        </w:tc>
      </w:tr>
      <w:tr w:rsidR="00373A52" w:rsidRPr="0028585F" w14:paraId="73A90710" w14:textId="77777777" w:rsidTr="00CC2944">
        <w:trPr>
          <w:gridAfter w:val="1"/>
          <w:wAfter w:w="244" w:type="dxa"/>
          <w:trHeight w:val="300"/>
          <w:jc w:val="center"/>
        </w:trPr>
        <w:tc>
          <w:tcPr>
            <w:tcW w:w="3399" w:type="dxa"/>
            <w:tcBorders>
              <w:top w:val="single" w:sz="4" w:space="0" w:color="auto"/>
              <w:left w:val="nil"/>
              <w:bottom w:val="nil"/>
              <w:right w:val="nil"/>
            </w:tcBorders>
            <w:noWrap/>
            <w:tcMar>
              <w:top w:w="0" w:type="dxa"/>
              <w:left w:w="108" w:type="dxa"/>
              <w:bottom w:w="0" w:type="dxa"/>
              <w:right w:w="108" w:type="dxa"/>
            </w:tcMar>
          </w:tcPr>
          <w:p w14:paraId="5851C325" w14:textId="77777777" w:rsidR="001B5DA3" w:rsidRPr="00EB0C48" w:rsidRDefault="001B5DA3" w:rsidP="00373A52">
            <w:pPr>
              <w:spacing w:line="360" w:lineRule="auto"/>
              <w:rPr>
                <w:rFonts w:cs="Times New Roman"/>
                <w:bCs/>
                <w:color w:val="000000"/>
              </w:rPr>
            </w:pPr>
            <w:r>
              <w:rPr>
                <w:rFonts w:cs="Times New Roman"/>
                <w:bCs/>
                <w:color w:val="000000"/>
              </w:rPr>
              <w:t>Massachusetts Counties</w:t>
            </w:r>
          </w:p>
        </w:tc>
        <w:tc>
          <w:tcPr>
            <w:tcW w:w="1573" w:type="dxa"/>
            <w:tcBorders>
              <w:top w:val="single" w:sz="4" w:space="0" w:color="auto"/>
              <w:left w:val="nil"/>
              <w:bottom w:val="nil"/>
              <w:right w:val="nil"/>
            </w:tcBorders>
            <w:noWrap/>
            <w:tcMar>
              <w:top w:w="0" w:type="dxa"/>
              <w:left w:w="108" w:type="dxa"/>
              <w:bottom w:w="0" w:type="dxa"/>
              <w:right w:w="108" w:type="dxa"/>
            </w:tcMar>
            <w:vAlign w:val="center"/>
          </w:tcPr>
          <w:p w14:paraId="53B840A0" w14:textId="77777777" w:rsidR="001B5DA3" w:rsidRPr="00EB0C48" w:rsidRDefault="001B5DA3" w:rsidP="00593437">
            <w:pPr>
              <w:spacing w:line="360" w:lineRule="auto"/>
              <w:jc w:val="right"/>
              <w:rPr>
                <w:rFonts w:cs="Times New Roman"/>
                <w:color w:val="000000"/>
              </w:rPr>
            </w:pPr>
            <w:r w:rsidRPr="00770323">
              <w:rPr>
                <w:rFonts w:cs="Times New Roman"/>
                <w:color w:val="000000"/>
              </w:rPr>
              <w:t>6</w:t>
            </w:r>
            <w:r>
              <w:rPr>
                <w:rFonts w:cs="Times New Roman"/>
                <w:color w:val="000000"/>
              </w:rPr>
              <w:t>,</w:t>
            </w:r>
            <w:r w:rsidRPr="00770323">
              <w:rPr>
                <w:rFonts w:cs="Times New Roman"/>
                <w:color w:val="000000"/>
              </w:rPr>
              <w:t>284</w:t>
            </w:r>
            <w:r>
              <w:rPr>
                <w:rFonts w:cs="Times New Roman"/>
                <w:color w:val="000000"/>
              </w:rPr>
              <w:t>,</w:t>
            </w:r>
            <w:r w:rsidRPr="00770323">
              <w:rPr>
                <w:rFonts w:cs="Times New Roman"/>
                <w:color w:val="000000"/>
              </w:rPr>
              <w:t>793</w:t>
            </w:r>
          </w:p>
        </w:tc>
        <w:tc>
          <w:tcPr>
            <w:tcW w:w="3064" w:type="dxa"/>
            <w:tcBorders>
              <w:top w:val="single" w:sz="4" w:space="0" w:color="auto"/>
              <w:left w:val="nil"/>
              <w:bottom w:val="nil"/>
              <w:right w:val="nil"/>
            </w:tcBorders>
            <w:vAlign w:val="center"/>
          </w:tcPr>
          <w:p w14:paraId="5E942053" w14:textId="77777777" w:rsidR="001B5DA3" w:rsidRPr="0028585F" w:rsidRDefault="001B5DA3" w:rsidP="00593437">
            <w:pPr>
              <w:spacing w:line="360" w:lineRule="auto"/>
              <w:jc w:val="right"/>
              <w:rPr>
                <w:rFonts w:cs="Times New Roman"/>
                <w:color w:val="000000"/>
                <w:highlight w:val="yellow"/>
              </w:rPr>
            </w:pPr>
            <w:r>
              <w:rPr>
                <w:rFonts w:cs="Times New Roman"/>
                <w:color w:val="000000"/>
              </w:rPr>
              <w:t>1,581</w:t>
            </w:r>
          </w:p>
        </w:tc>
      </w:tr>
      <w:tr w:rsidR="00373A52" w:rsidRPr="0028585F" w14:paraId="7A73C803" w14:textId="77777777" w:rsidTr="00CC2944">
        <w:trPr>
          <w:gridAfter w:val="1"/>
          <w:wAfter w:w="244" w:type="dxa"/>
          <w:trHeight w:val="300"/>
          <w:jc w:val="center"/>
        </w:trPr>
        <w:tc>
          <w:tcPr>
            <w:tcW w:w="3399" w:type="dxa"/>
            <w:noWrap/>
            <w:tcMar>
              <w:top w:w="0" w:type="dxa"/>
              <w:left w:w="108" w:type="dxa"/>
              <w:bottom w:w="0" w:type="dxa"/>
              <w:right w:w="108" w:type="dxa"/>
            </w:tcMar>
          </w:tcPr>
          <w:p w14:paraId="3680D4C5" w14:textId="41A6029C" w:rsidR="001B5DA3" w:rsidRDefault="001B5DA3" w:rsidP="003F5692">
            <w:pPr>
              <w:spacing w:line="360" w:lineRule="auto"/>
              <w:ind w:left="163"/>
              <w:rPr>
                <w:rFonts w:cs="Times New Roman"/>
                <w:bCs/>
                <w:color w:val="000000"/>
              </w:rPr>
            </w:pPr>
            <w:r>
              <w:rPr>
                <w:rFonts w:cs="Times New Roman"/>
                <w:bCs/>
                <w:color w:val="000000"/>
              </w:rPr>
              <w:t>Barnstable</w:t>
            </w:r>
            <w:r w:rsidRPr="004A7165">
              <w:rPr>
                <w:rFonts w:cs="Times New Roman"/>
                <w:bCs/>
                <w:color w:val="000000"/>
                <w:vertAlign w:val="superscript"/>
              </w:rPr>
              <w:t>1</w:t>
            </w:r>
          </w:p>
        </w:tc>
        <w:tc>
          <w:tcPr>
            <w:tcW w:w="1573" w:type="dxa"/>
            <w:noWrap/>
            <w:tcMar>
              <w:top w:w="0" w:type="dxa"/>
              <w:left w:w="108" w:type="dxa"/>
              <w:bottom w:w="0" w:type="dxa"/>
              <w:right w:w="108" w:type="dxa"/>
            </w:tcMar>
            <w:vAlign w:val="center"/>
          </w:tcPr>
          <w:p w14:paraId="076F4909" w14:textId="77777777" w:rsidR="001B5DA3" w:rsidRDefault="001B5DA3" w:rsidP="00593437">
            <w:pPr>
              <w:spacing w:line="360" w:lineRule="auto"/>
              <w:ind w:left="227"/>
              <w:jc w:val="right"/>
              <w:rPr>
                <w:rFonts w:cs="Times New Roman"/>
                <w:color w:val="000000"/>
              </w:rPr>
            </w:pPr>
            <w:r>
              <w:rPr>
                <w:rFonts w:cs="Times New Roman"/>
                <w:color w:val="000000"/>
              </w:rPr>
              <w:t>215,423</w:t>
            </w:r>
          </w:p>
        </w:tc>
        <w:tc>
          <w:tcPr>
            <w:tcW w:w="3064" w:type="dxa"/>
            <w:vAlign w:val="center"/>
          </w:tcPr>
          <w:p w14:paraId="53518BFA" w14:textId="77777777" w:rsidR="001B5DA3" w:rsidRPr="005E2804" w:rsidRDefault="001B5DA3" w:rsidP="00593437">
            <w:pPr>
              <w:spacing w:line="360" w:lineRule="auto"/>
              <w:ind w:left="1139"/>
              <w:jc w:val="right"/>
              <w:rPr>
                <w:rFonts w:cs="Times New Roman"/>
                <w:color w:val="000000"/>
              </w:rPr>
            </w:pPr>
            <w:r>
              <w:rPr>
                <w:rFonts w:cs="Times New Roman"/>
                <w:color w:val="000000"/>
              </w:rPr>
              <w:t>176</w:t>
            </w:r>
          </w:p>
        </w:tc>
      </w:tr>
      <w:tr w:rsidR="00373A52" w:rsidRPr="0028585F" w14:paraId="2EF80709" w14:textId="77777777" w:rsidTr="00CC2944">
        <w:trPr>
          <w:gridAfter w:val="1"/>
          <w:wAfter w:w="244" w:type="dxa"/>
          <w:trHeight w:val="300"/>
          <w:jc w:val="center"/>
        </w:trPr>
        <w:tc>
          <w:tcPr>
            <w:tcW w:w="3399" w:type="dxa"/>
            <w:noWrap/>
            <w:tcMar>
              <w:top w:w="0" w:type="dxa"/>
              <w:left w:w="108" w:type="dxa"/>
              <w:bottom w:w="0" w:type="dxa"/>
              <w:right w:w="108" w:type="dxa"/>
            </w:tcMar>
          </w:tcPr>
          <w:p w14:paraId="46CD2542" w14:textId="77777777" w:rsidR="001B5DA3" w:rsidRDefault="001B5DA3" w:rsidP="00373A52">
            <w:pPr>
              <w:spacing w:line="360" w:lineRule="auto"/>
              <w:ind w:left="163"/>
              <w:rPr>
                <w:rFonts w:cs="Times New Roman"/>
                <w:bCs/>
                <w:color w:val="000000"/>
              </w:rPr>
            </w:pPr>
            <w:r>
              <w:rPr>
                <w:rFonts w:cs="Times New Roman"/>
                <w:bCs/>
                <w:color w:val="000000"/>
              </w:rPr>
              <w:t>Bristol</w:t>
            </w:r>
          </w:p>
        </w:tc>
        <w:tc>
          <w:tcPr>
            <w:tcW w:w="1573" w:type="dxa"/>
            <w:noWrap/>
            <w:tcMar>
              <w:top w:w="0" w:type="dxa"/>
              <w:left w:w="108" w:type="dxa"/>
              <w:bottom w:w="0" w:type="dxa"/>
              <w:right w:w="108" w:type="dxa"/>
            </w:tcMar>
            <w:vAlign w:val="center"/>
          </w:tcPr>
          <w:p w14:paraId="471B2CB8" w14:textId="77777777" w:rsidR="001B5DA3" w:rsidRDefault="001B5DA3" w:rsidP="00593437">
            <w:pPr>
              <w:spacing w:line="360" w:lineRule="auto"/>
              <w:ind w:left="227"/>
              <w:jc w:val="right"/>
              <w:rPr>
                <w:rFonts w:cs="Times New Roman"/>
                <w:color w:val="000000"/>
              </w:rPr>
            </w:pPr>
            <w:r>
              <w:rPr>
                <w:rFonts w:cs="Times New Roman"/>
                <w:color w:val="000000"/>
              </w:rPr>
              <w:t>551,082</w:t>
            </w:r>
          </w:p>
        </w:tc>
        <w:tc>
          <w:tcPr>
            <w:tcW w:w="3064" w:type="dxa"/>
            <w:vAlign w:val="center"/>
          </w:tcPr>
          <w:p w14:paraId="788F5D37" w14:textId="77777777" w:rsidR="001B5DA3" w:rsidRPr="005E2804" w:rsidRDefault="001B5DA3" w:rsidP="00593437">
            <w:pPr>
              <w:spacing w:line="360" w:lineRule="auto"/>
              <w:ind w:left="1139"/>
              <w:jc w:val="right"/>
              <w:rPr>
                <w:rFonts w:cs="Times New Roman"/>
                <w:color w:val="000000"/>
              </w:rPr>
            </w:pPr>
            <w:r>
              <w:rPr>
                <w:rFonts w:cs="Times New Roman"/>
                <w:color w:val="000000"/>
              </w:rPr>
              <w:t>129</w:t>
            </w:r>
          </w:p>
        </w:tc>
      </w:tr>
      <w:tr w:rsidR="00373A52" w:rsidRPr="0028585F" w14:paraId="1F20B689" w14:textId="77777777" w:rsidTr="00CC2944">
        <w:trPr>
          <w:gridAfter w:val="1"/>
          <w:wAfter w:w="244" w:type="dxa"/>
          <w:trHeight w:val="300"/>
          <w:jc w:val="center"/>
        </w:trPr>
        <w:tc>
          <w:tcPr>
            <w:tcW w:w="3399" w:type="dxa"/>
            <w:noWrap/>
            <w:tcMar>
              <w:top w:w="0" w:type="dxa"/>
              <w:left w:w="108" w:type="dxa"/>
              <w:bottom w:w="0" w:type="dxa"/>
              <w:right w:w="108" w:type="dxa"/>
            </w:tcMar>
          </w:tcPr>
          <w:p w14:paraId="7C32A814" w14:textId="77777777" w:rsidR="001B5DA3" w:rsidRDefault="001B5DA3" w:rsidP="00373A52">
            <w:pPr>
              <w:spacing w:line="360" w:lineRule="auto"/>
              <w:ind w:left="163"/>
              <w:rPr>
                <w:rFonts w:cs="Times New Roman"/>
                <w:bCs/>
                <w:color w:val="000000"/>
              </w:rPr>
            </w:pPr>
            <w:r>
              <w:rPr>
                <w:rFonts w:cs="Times New Roman"/>
                <w:bCs/>
                <w:color w:val="000000"/>
              </w:rPr>
              <w:t>Dukes</w:t>
            </w:r>
          </w:p>
        </w:tc>
        <w:tc>
          <w:tcPr>
            <w:tcW w:w="1573" w:type="dxa"/>
            <w:noWrap/>
            <w:tcMar>
              <w:top w:w="0" w:type="dxa"/>
              <w:left w:w="108" w:type="dxa"/>
              <w:bottom w:w="0" w:type="dxa"/>
              <w:right w:w="108" w:type="dxa"/>
            </w:tcMar>
            <w:vAlign w:val="center"/>
          </w:tcPr>
          <w:p w14:paraId="3E66EFDE" w14:textId="77777777" w:rsidR="001B5DA3" w:rsidRDefault="001B5DA3" w:rsidP="00593437">
            <w:pPr>
              <w:spacing w:line="360" w:lineRule="auto"/>
              <w:ind w:left="227"/>
              <w:jc w:val="right"/>
              <w:rPr>
                <w:rFonts w:cs="Times New Roman"/>
                <w:color w:val="000000"/>
              </w:rPr>
            </w:pPr>
            <w:r w:rsidRPr="0028585F">
              <w:rPr>
                <w:rFonts w:cs="Times New Roman"/>
                <w:color w:val="000000"/>
              </w:rPr>
              <w:t>17</w:t>
            </w:r>
            <w:r>
              <w:rPr>
                <w:rFonts w:cs="Times New Roman"/>
                <w:color w:val="000000"/>
              </w:rPr>
              <w:t>,</w:t>
            </w:r>
            <w:r w:rsidRPr="0028585F">
              <w:rPr>
                <w:rFonts w:cs="Times New Roman"/>
                <w:color w:val="000000"/>
              </w:rPr>
              <w:t>041</w:t>
            </w:r>
          </w:p>
        </w:tc>
        <w:tc>
          <w:tcPr>
            <w:tcW w:w="3064" w:type="dxa"/>
            <w:vAlign w:val="center"/>
          </w:tcPr>
          <w:p w14:paraId="0E0CE102" w14:textId="77777777" w:rsidR="001B5DA3" w:rsidRPr="005E2804" w:rsidRDefault="001B5DA3" w:rsidP="00593437">
            <w:pPr>
              <w:spacing w:line="360" w:lineRule="auto"/>
              <w:ind w:left="1139"/>
              <w:jc w:val="right"/>
              <w:rPr>
                <w:rFonts w:cs="Times New Roman"/>
                <w:color w:val="000000"/>
              </w:rPr>
            </w:pPr>
            <w:r w:rsidRPr="005E2804">
              <w:rPr>
                <w:rFonts w:cs="Times New Roman"/>
                <w:color w:val="000000"/>
              </w:rPr>
              <w:t>4</w:t>
            </w:r>
          </w:p>
        </w:tc>
      </w:tr>
      <w:tr w:rsidR="00373A52" w:rsidRPr="0028585F" w14:paraId="08C3D250" w14:textId="77777777" w:rsidTr="00CC2944">
        <w:trPr>
          <w:gridAfter w:val="1"/>
          <w:wAfter w:w="244" w:type="dxa"/>
          <w:trHeight w:val="300"/>
          <w:jc w:val="center"/>
        </w:trPr>
        <w:tc>
          <w:tcPr>
            <w:tcW w:w="3399" w:type="dxa"/>
            <w:noWrap/>
            <w:tcMar>
              <w:top w:w="0" w:type="dxa"/>
              <w:left w:w="108" w:type="dxa"/>
              <w:bottom w:w="0" w:type="dxa"/>
              <w:right w:w="108" w:type="dxa"/>
            </w:tcMar>
          </w:tcPr>
          <w:p w14:paraId="45077113" w14:textId="77777777" w:rsidR="001B5DA3" w:rsidRPr="00EB0C48" w:rsidRDefault="001B5DA3" w:rsidP="00373A52">
            <w:pPr>
              <w:spacing w:line="360" w:lineRule="auto"/>
              <w:rPr>
                <w:rFonts w:cs="Times New Roman"/>
                <w:bCs/>
                <w:color w:val="000000"/>
              </w:rPr>
            </w:pPr>
            <w:r>
              <w:rPr>
                <w:rFonts w:cs="Times New Roman"/>
                <w:bCs/>
                <w:color w:val="000000"/>
              </w:rPr>
              <w:t xml:space="preserve">  </w:t>
            </w:r>
            <w:r w:rsidRPr="00EB0C48">
              <w:rPr>
                <w:rFonts w:cs="Times New Roman"/>
                <w:bCs/>
                <w:color w:val="000000"/>
              </w:rPr>
              <w:t xml:space="preserve"> </w:t>
            </w:r>
            <w:r>
              <w:rPr>
                <w:rFonts w:cs="Times New Roman"/>
                <w:bCs/>
                <w:color w:val="000000"/>
              </w:rPr>
              <w:t>Essex</w:t>
            </w:r>
          </w:p>
        </w:tc>
        <w:tc>
          <w:tcPr>
            <w:tcW w:w="1573" w:type="dxa"/>
            <w:noWrap/>
            <w:tcMar>
              <w:top w:w="0" w:type="dxa"/>
              <w:left w:w="108" w:type="dxa"/>
              <w:bottom w:w="0" w:type="dxa"/>
              <w:right w:w="108" w:type="dxa"/>
            </w:tcMar>
            <w:vAlign w:val="center"/>
          </w:tcPr>
          <w:p w14:paraId="4989AE6F" w14:textId="77777777" w:rsidR="001B5DA3" w:rsidRPr="00EB0C48" w:rsidRDefault="001B5DA3" w:rsidP="00593437">
            <w:pPr>
              <w:spacing w:line="360" w:lineRule="auto"/>
              <w:ind w:left="227"/>
              <w:jc w:val="right"/>
              <w:rPr>
                <w:rFonts w:cs="Times New Roman"/>
                <w:color w:val="000000"/>
              </w:rPr>
            </w:pPr>
            <w:r w:rsidRPr="0028585F">
              <w:rPr>
                <w:rFonts w:cs="Times New Roman"/>
                <w:color w:val="000000"/>
              </w:rPr>
              <w:t>755</w:t>
            </w:r>
            <w:r>
              <w:rPr>
                <w:rFonts w:cs="Times New Roman"/>
                <w:color w:val="000000"/>
              </w:rPr>
              <w:t>,</w:t>
            </w:r>
            <w:r w:rsidRPr="0028585F">
              <w:rPr>
                <w:rFonts w:cs="Times New Roman"/>
                <w:color w:val="000000"/>
              </w:rPr>
              <w:t>618</w:t>
            </w:r>
          </w:p>
        </w:tc>
        <w:tc>
          <w:tcPr>
            <w:tcW w:w="3064" w:type="dxa"/>
            <w:vAlign w:val="center"/>
          </w:tcPr>
          <w:p w14:paraId="41F5AB92" w14:textId="77777777" w:rsidR="001B5DA3" w:rsidRPr="005E2804" w:rsidRDefault="001B5DA3" w:rsidP="00593437">
            <w:pPr>
              <w:spacing w:line="360" w:lineRule="auto"/>
              <w:ind w:left="1139"/>
              <w:jc w:val="right"/>
              <w:rPr>
                <w:rFonts w:cs="Times New Roman"/>
                <w:color w:val="000000"/>
              </w:rPr>
            </w:pPr>
            <w:r>
              <w:rPr>
                <w:rFonts w:cs="Times New Roman"/>
                <w:color w:val="000000"/>
              </w:rPr>
              <w:t>175</w:t>
            </w:r>
          </w:p>
        </w:tc>
      </w:tr>
      <w:tr w:rsidR="00373A52" w:rsidRPr="0028585F" w14:paraId="3C0DBE1F" w14:textId="77777777" w:rsidTr="00CC2944">
        <w:trPr>
          <w:gridAfter w:val="1"/>
          <w:wAfter w:w="244" w:type="dxa"/>
          <w:trHeight w:val="300"/>
          <w:jc w:val="center"/>
        </w:trPr>
        <w:tc>
          <w:tcPr>
            <w:tcW w:w="3399" w:type="dxa"/>
            <w:noWrap/>
            <w:tcMar>
              <w:top w:w="0" w:type="dxa"/>
              <w:left w:w="108" w:type="dxa"/>
              <w:bottom w:w="0" w:type="dxa"/>
              <w:right w:w="108" w:type="dxa"/>
            </w:tcMar>
          </w:tcPr>
          <w:p w14:paraId="5B680B78" w14:textId="77777777" w:rsidR="001B5DA3" w:rsidRPr="00EB0C48" w:rsidRDefault="001B5DA3" w:rsidP="00373A52">
            <w:pPr>
              <w:spacing w:line="360" w:lineRule="auto"/>
              <w:rPr>
                <w:rFonts w:cs="Times New Roman"/>
                <w:bCs/>
                <w:color w:val="000000"/>
              </w:rPr>
            </w:pPr>
            <w:r>
              <w:rPr>
                <w:rFonts w:cs="Times New Roman"/>
                <w:bCs/>
                <w:color w:val="000000"/>
              </w:rPr>
              <w:t xml:space="preserve">  </w:t>
            </w:r>
            <w:r w:rsidRPr="00EB0C48">
              <w:rPr>
                <w:rFonts w:cs="Times New Roman"/>
                <w:bCs/>
                <w:color w:val="000000"/>
              </w:rPr>
              <w:t xml:space="preserve"> </w:t>
            </w:r>
            <w:r>
              <w:rPr>
                <w:rFonts w:cs="Times New Roman"/>
                <w:bCs/>
                <w:color w:val="000000"/>
              </w:rPr>
              <w:t>Hampden</w:t>
            </w:r>
          </w:p>
        </w:tc>
        <w:tc>
          <w:tcPr>
            <w:tcW w:w="1573" w:type="dxa"/>
            <w:noWrap/>
            <w:tcMar>
              <w:top w:w="0" w:type="dxa"/>
              <w:left w:w="108" w:type="dxa"/>
              <w:bottom w:w="0" w:type="dxa"/>
              <w:right w:w="108" w:type="dxa"/>
            </w:tcMar>
            <w:vAlign w:val="center"/>
          </w:tcPr>
          <w:p w14:paraId="418CF494" w14:textId="77777777" w:rsidR="001B5DA3" w:rsidRPr="00EB0C48" w:rsidRDefault="001B5DA3" w:rsidP="00593437">
            <w:pPr>
              <w:spacing w:line="360" w:lineRule="auto"/>
              <w:ind w:left="227"/>
              <w:jc w:val="right"/>
              <w:rPr>
                <w:rFonts w:cs="Times New Roman"/>
                <w:color w:val="000000"/>
              </w:rPr>
            </w:pPr>
            <w:r w:rsidRPr="0028585F">
              <w:rPr>
                <w:rFonts w:cs="Times New Roman"/>
                <w:color w:val="000000"/>
              </w:rPr>
              <w:t>465</w:t>
            </w:r>
            <w:r>
              <w:rPr>
                <w:rFonts w:cs="Times New Roman"/>
                <w:color w:val="000000"/>
              </w:rPr>
              <w:t>,</w:t>
            </w:r>
            <w:r w:rsidRPr="0028585F">
              <w:rPr>
                <w:rFonts w:cs="Times New Roman"/>
                <w:color w:val="000000"/>
              </w:rPr>
              <w:t>923</w:t>
            </w:r>
          </w:p>
        </w:tc>
        <w:tc>
          <w:tcPr>
            <w:tcW w:w="3064" w:type="dxa"/>
            <w:vAlign w:val="center"/>
          </w:tcPr>
          <w:p w14:paraId="578FA084" w14:textId="77777777" w:rsidR="001B5DA3" w:rsidRPr="005E2804" w:rsidRDefault="001B5DA3" w:rsidP="00593437">
            <w:pPr>
              <w:spacing w:line="360" w:lineRule="auto"/>
              <w:ind w:left="1139"/>
              <w:jc w:val="right"/>
              <w:rPr>
                <w:rFonts w:cs="Times New Roman"/>
                <w:color w:val="000000"/>
              </w:rPr>
            </w:pPr>
            <w:r>
              <w:rPr>
                <w:rFonts w:cs="Times New Roman"/>
                <w:color w:val="000000"/>
              </w:rPr>
              <w:t>108</w:t>
            </w:r>
          </w:p>
        </w:tc>
      </w:tr>
      <w:tr w:rsidR="00373A52" w:rsidRPr="0028585F" w14:paraId="129EF95A" w14:textId="77777777" w:rsidTr="00CC2944">
        <w:trPr>
          <w:gridAfter w:val="1"/>
          <w:wAfter w:w="244" w:type="dxa"/>
          <w:trHeight w:val="300"/>
          <w:jc w:val="center"/>
        </w:trPr>
        <w:tc>
          <w:tcPr>
            <w:tcW w:w="3399" w:type="dxa"/>
            <w:tcBorders>
              <w:top w:val="nil"/>
              <w:left w:val="nil"/>
              <w:right w:val="nil"/>
            </w:tcBorders>
            <w:noWrap/>
            <w:tcMar>
              <w:top w:w="0" w:type="dxa"/>
              <w:left w:w="108" w:type="dxa"/>
              <w:bottom w:w="0" w:type="dxa"/>
              <w:right w:w="108" w:type="dxa"/>
            </w:tcMar>
          </w:tcPr>
          <w:p w14:paraId="764380C0" w14:textId="77777777" w:rsidR="001B5DA3" w:rsidRPr="00EB0C48" w:rsidRDefault="001B5DA3" w:rsidP="00373A52">
            <w:pPr>
              <w:spacing w:line="360" w:lineRule="auto"/>
              <w:rPr>
                <w:rFonts w:cs="Times New Roman"/>
                <w:bCs/>
                <w:color w:val="000000"/>
              </w:rPr>
            </w:pPr>
            <w:r>
              <w:rPr>
                <w:rFonts w:cs="Times New Roman"/>
                <w:bCs/>
                <w:color w:val="000000"/>
              </w:rPr>
              <w:t xml:space="preserve">  </w:t>
            </w:r>
            <w:r w:rsidRPr="00EB0C48">
              <w:rPr>
                <w:rFonts w:cs="Times New Roman"/>
                <w:bCs/>
                <w:color w:val="000000"/>
              </w:rPr>
              <w:t xml:space="preserve"> </w:t>
            </w:r>
            <w:r>
              <w:rPr>
                <w:rFonts w:cs="Times New Roman"/>
                <w:bCs/>
                <w:color w:val="000000"/>
              </w:rPr>
              <w:t>Middlesex</w:t>
            </w:r>
          </w:p>
        </w:tc>
        <w:tc>
          <w:tcPr>
            <w:tcW w:w="1573" w:type="dxa"/>
            <w:tcBorders>
              <w:top w:val="nil"/>
              <w:left w:val="nil"/>
              <w:right w:val="nil"/>
            </w:tcBorders>
            <w:noWrap/>
            <w:tcMar>
              <w:top w:w="0" w:type="dxa"/>
              <w:left w:w="108" w:type="dxa"/>
              <w:bottom w:w="0" w:type="dxa"/>
              <w:right w:w="108" w:type="dxa"/>
            </w:tcMar>
            <w:vAlign w:val="center"/>
          </w:tcPr>
          <w:p w14:paraId="16AF4F9F" w14:textId="77777777" w:rsidR="001B5DA3" w:rsidRPr="00EB0C48" w:rsidRDefault="001B5DA3" w:rsidP="00593437">
            <w:pPr>
              <w:spacing w:line="360" w:lineRule="auto"/>
              <w:ind w:left="227"/>
              <w:jc w:val="right"/>
              <w:rPr>
                <w:rFonts w:cs="Times New Roman"/>
                <w:color w:val="000000"/>
              </w:rPr>
            </w:pPr>
            <w:r w:rsidRPr="0028585F">
              <w:rPr>
                <w:rFonts w:cs="Times New Roman"/>
                <w:color w:val="000000"/>
              </w:rPr>
              <w:t>1</w:t>
            </w:r>
            <w:r>
              <w:rPr>
                <w:rFonts w:cs="Times New Roman"/>
                <w:color w:val="000000"/>
              </w:rPr>
              <w:t>,</w:t>
            </w:r>
            <w:r w:rsidRPr="0028585F">
              <w:rPr>
                <w:rFonts w:cs="Times New Roman"/>
                <w:color w:val="000000"/>
              </w:rPr>
              <w:t>537</w:t>
            </w:r>
            <w:r>
              <w:rPr>
                <w:rFonts w:cs="Times New Roman"/>
                <w:color w:val="000000"/>
              </w:rPr>
              <w:t>,</w:t>
            </w:r>
            <w:r w:rsidRPr="0028585F">
              <w:rPr>
                <w:rFonts w:cs="Times New Roman"/>
                <w:color w:val="000000"/>
              </w:rPr>
              <w:t>215</w:t>
            </w:r>
          </w:p>
        </w:tc>
        <w:tc>
          <w:tcPr>
            <w:tcW w:w="3064" w:type="dxa"/>
            <w:tcBorders>
              <w:top w:val="nil"/>
              <w:left w:val="nil"/>
              <w:right w:val="nil"/>
            </w:tcBorders>
            <w:vAlign w:val="center"/>
          </w:tcPr>
          <w:p w14:paraId="5E8E42A1" w14:textId="77777777" w:rsidR="001B5DA3" w:rsidRPr="005E2804" w:rsidRDefault="001B5DA3" w:rsidP="00593437">
            <w:pPr>
              <w:spacing w:line="360" w:lineRule="auto"/>
              <w:ind w:left="1139"/>
              <w:jc w:val="right"/>
              <w:rPr>
                <w:rFonts w:cs="Times New Roman"/>
                <w:color w:val="000000"/>
              </w:rPr>
            </w:pPr>
            <w:r>
              <w:rPr>
                <w:rFonts w:cs="Times New Roman"/>
                <w:color w:val="000000"/>
              </w:rPr>
              <w:t>357</w:t>
            </w:r>
          </w:p>
        </w:tc>
      </w:tr>
      <w:tr w:rsidR="00373A52" w:rsidRPr="0028585F" w14:paraId="18FFF100" w14:textId="77777777" w:rsidTr="00CC2944">
        <w:trPr>
          <w:gridAfter w:val="1"/>
          <w:wAfter w:w="244" w:type="dxa"/>
          <w:trHeight w:val="300"/>
          <w:jc w:val="center"/>
        </w:trPr>
        <w:tc>
          <w:tcPr>
            <w:tcW w:w="3399" w:type="dxa"/>
            <w:tcBorders>
              <w:top w:val="nil"/>
              <w:left w:val="nil"/>
              <w:right w:val="nil"/>
            </w:tcBorders>
            <w:noWrap/>
            <w:tcMar>
              <w:top w:w="0" w:type="dxa"/>
              <w:left w:w="108" w:type="dxa"/>
              <w:bottom w:w="0" w:type="dxa"/>
              <w:right w:w="108" w:type="dxa"/>
            </w:tcMar>
          </w:tcPr>
          <w:p w14:paraId="77D0A385" w14:textId="77777777" w:rsidR="001B5DA3" w:rsidRDefault="001B5DA3" w:rsidP="00373A52">
            <w:pPr>
              <w:spacing w:line="360" w:lineRule="auto"/>
              <w:ind w:left="163"/>
              <w:rPr>
                <w:rFonts w:cs="Times New Roman"/>
                <w:bCs/>
                <w:color w:val="000000"/>
              </w:rPr>
            </w:pPr>
            <w:r>
              <w:rPr>
                <w:rFonts w:cs="Times New Roman"/>
                <w:bCs/>
                <w:color w:val="000000"/>
              </w:rPr>
              <w:t>Nantucket</w:t>
            </w:r>
          </w:p>
        </w:tc>
        <w:tc>
          <w:tcPr>
            <w:tcW w:w="1573" w:type="dxa"/>
            <w:tcBorders>
              <w:top w:val="nil"/>
              <w:left w:val="nil"/>
              <w:right w:val="nil"/>
            </w:tcBorders>
            <w:noWrap/>
            <w:tcMar>
              <w:top w:w="0" w:type="dxa"/>
              <w:left w:w="108" w:type="dxa"/>
              <w:bottom w:w="0" w:type="dxa"/>
              <w:right w:w="108" w:type="dxa"/>
            </w:tcMar>
            <w:vAlign w:val="center"/>
          </w:tcPr>
          <w:p w14:paraId="1A1E1D81" w14:textId="77777777" w:rsidR="001B5DA3" w:rsidRDefault="001B5DA3" w:rsidP="00593437">
            <w:pPr>
              <w:spacing w:line="360" w:lineRule="auto"/>
              <w:ind w:left="227"/>
              <w:jc w:val="right"/>
              <w:rPr>
                <w:rFonts w:cs="Times New Roman"/>
                <w:color w:val="000000"/>
              </w:rPr>
            </w:pPr>
            <w:r w:rsidRPr="0028585F">
              <w:rPr>
                <w:rFonts w:cs="Times New Roman"/>
                <w:color w:val="000000"/>
              </w:rPr>
              <w:t>10</w:t>
            </w:r>
            <w:r>
              <w:rPr>
                <w:rFonts w:cs="Times New Roman"/>
                <w:color w:val="000000"/>
              </w:rPr>
              <w:t>,</w:t>
            </w:r>
            <w:r w:rsidRPr="0028585F">
              <w:rPr>
                <w:rFonts w:cs="Times New Roman"/>
                <w:color w:val="000000"/>
              </w:rPr>
              <w:t>298</w:t>
            </w:r>
          </w:p>
        </w:tc>
        <w:tc>
          <w:tcPr>
            <w:tcW w:w="3064" w:type="dxa"/>
            <w:tcBorders>
              <w:top w:val="nil"/>
              <w:left w:val="nil"/>
              <w:right w:val="nil"/>
            </w:tcBorders>
            <w:vAlign w:val="center"/>
          </w:tcPr>
          <w:p w14:paraId="105E9ED4" w14:textId="77777777" w:rsidR="001B5DA3" w:rsidRPr="005E2804" w:rsidRDefault="001B5DA3" w:rsidP="00593437">
            <w:pPr>
              <w:spacing w:line="360" w:lineRule="auto"/>
              <w:ind w:left="1139"/>
              <w:jc w:val="right"/>
              <w:rPr>
                <w:rFonts w:cs="Times New Roman"/>
                <w:color w:val="000000"/>
              </w:rPr>
            </w:pPr>
            <w:r>
              <w:rPr>
                <w:rFonts w:cs="Times New Roman"/>
                <w:color w:val="000000"/>
              </w:rPr>
              <w:t>2</w:t>
            </w:r>
          </w:p>
        </w:tc>
      </w:tr>
      <w:tr w:rsidR="00373A52" w:rsidRPr="0028585F" w14:paraId="3FAD71B5" w14:textId="77777777" w:rsidTr="00CC2944">
        <w:trPr>
          <w:gridAfter w:val="1"/>
          <w:wAfter w:w="244" w:type="dxa"/>
          <w:trHeight w:val="300"/>
          <w:jc w:val="center"/>
        </w:trPr>
        <w:tc>
          <w:tcPr>
            <w:tcW w:w="3399" w:type="dxa"/>
            <w:tcBorders>
              <w:top w:val="nil"/>
              <w:left w:val="nil"/>
              <w:right w:val="nil"/>
            </w:tcBorders>
            <w:noWrap/>
            <w:tcMar>
              <w:top w:w="0" w:type="dxa"/>
              <w:left w:w="108" w:type="dxa"/>
              <w:bottom w:w="0" w:type="dxa"/>
              <w:right w:w="108" w:type="dxa"/>
            </w:tcMar>
          </w:tcPr>
          <w:p w14:paraId="2DCD5981" w14:textId="77777777" w:rsidR="001B5DA3" w:rsidRDefault="001B5DA3" w:rsidP="00373A52">
            <w:pPr>
              <w:spacing w:line="360" w:lineRule="auto"/>
              <w:ind w:left="163"/>
              <w:rPr>
                <w:rFonts w:cs="Times New Roman"/>
                <w:bCs/>
                <w:color w:val="000000"/>
              </w:rPr>
            </w:pPr>
            <w:r>
              <w:rPr>
                <w:rFonts w:cs="Times New Roman"/>
                <w:bCs/>
                <w:color w:val="000000"/>
              </w:rPr>
              <w:t>Norfolk</w:t>
            </w:r>
          </w:p>
        </w:tc>
        <w:tc>
          <w:tcPr>
            <w:tcW w:w="1573" w:type="dxa"/>
            <w:tcBorders>
              <w:top w:val="nil"/>
              <w:left w:val="nil"/>
              <w:right w:val="nil"/>
            </w:tcBorders>
            <w:noWrap/>
            <w:tcMar>
              <w:top w:w="0" w:type="dxa"/>
              <w:left w:w="108" w:type="dxa"/>
              <w:bottom w:w="0" w:type="dxa"/>
              <w:right w:w="108" w:type="dxa"/>
            </w:tcMar>
            <w:vAlign w:val="center"/>
          </w:tcPr>
          <w:p w14:paraId="39EF6ECC" w14:textId="77777777" w:rsidR="001B5DA3" w:rsidRDefault="001B5DA3" w:rsidP="00593437">
            <w:pPr>
              <w:spacing w:line="360" w:lineRule="auto"/>
              <w:ind w:left="227"/>
              <w:jc w:val="right"/>
              <w:rPr>
                <w:rFonts w:cs="Times New Roman"/>
                <w:color w:val="000000"/>
              </w:rPr>
            </w:pPr>
            <w:r w:rsidRPr="0028585F">
              <w:rPr>
                <w:rFonts w:cs="Times New Roman"/>
                <w:color w:val="000000"/>
              </w:rPr>
              <w:t>681</w:t>
            </w:r>
            <w:r>
              <w:rPr>
                <w:rFonts w:cs="Times New Roman"/>
                <w:color w:val="000000"/>
              </w:rPr>
              <w:t>,</w:t>
            </w:r>
            <w:r w:rsidRPr="0028585F">
              <w:rPr>
                <w:rFonts w:cs="Times New Roman"/>
                <w:color w:val="000000"/>
              </w:rPr>
              <w:t>845</w:t>
            </w:r>
          </w:p>
        </w:tc>
        <w:tc>
          <w:tcPr>
            <w:tcW w:w="3064" w:type="dxa"/>
            <w:tcBorders>
              <w:top w:val="nil"/>
              <w:left w:val="nil"/>
              <w:right w:val="nil"/>
            </w:tcBorders>
            <w:vAlign w:val="center"/>
          </w:tcPr>
          <w:p w14:paraId="317A6625" w14:textId="77777777" w:rsidR="001B5DA3" w:rsidRPr="005E2804" w:rsidRDefault="001B5DA3" w:rsidP="00593437">
            <w:pPr>
              <w:spacing w:line="360" w:lineRule="auto"/>
              <w:ind w:left="1139"/>
              <w:jc w:val="right"/>
              <w:rPr>
                <w:rFonts w:cs="Times New Roman"/>
                <w:color w:val="000000"/>
              </w:rPr>
            </w:pPr>
            <w:r>
              <w:rPr>
                <w:rFonts w:cs="Times New Roman"/>
                <w:color w:val="000000"/>
              </w:rPr>
              <w:t>158</w:t>
            </w:r>
          </w:p>
        </w:tc>
      </w:tr>
      <w:tr w:rsidR="00373A52" w:rsidRPr="0028585F" w14:paraId="281FB9BB" w14:textId="77777777" w:rsidTr="00CC2944">
        <w:trPr>
          <w:gridAfter w:val="1"/>
          <w:wAfter w:w="244" w:type="dxa"/>
          <w:trHeight w:val="300"/>
          <w:jc w:val="center"/>
        </w:trPr>
        <w:tc>
          <w:tcPr>
            <w:tcW w:w="3399" w:type="dxa"/>
            <w:tcBorders>
              <w:top w:val="nil"/>
              <w:left w:val="nil"/>
              <w:right w:val="nil"/>
            </w:tcBorders>
            <w:noWrap/>
            <w:tcMar>
              <w:top w:w="0" w:type="dxa"/>
              <w:left w:w="108" w:type="dxa"/>
              <w:bottom w:w="0" w:type="dxa"/>
              <w:right w:w="108" w:type="dxa"/>
            </w:tcMar>
          </w:tcPr>
          <w:p w14:paraId="7BF0058A" w14:textId="77777777" w:rsidR="001B5DA3" w:rsidRDefault="001B5DA3" w:rsidP="00373A52">
            <w:pPr>
              <w:spacing w:line="360" w:lineRule="auto"/>
              <w:ind w:left="163"/>
              <w:rPr>
                <w:rFonts w:cs="Times New Roman"/>
                <w:bCs/>
                <w:color w:val="000000"/>
              </w:rPr>
            </w:pPr>
            <w:r>
              <w:rPr>
                <w:rFonts w:cs="Times New Roman"/>
                <w:bCs/>
                <w:color w:val="000000"/>
              </w:rPr>
              <w:t>Plymouth</w:t>
            </w:r>
          </w:p>
        </w:tc>
        <w:tc>
          <w:tcPr>
            <w:tcW w:w="1573" w:type="dxa"/>
            <w:tcBorders>
              <w:top w:val="nil"/>
              <w:left w:val="nil"/>
              <w:right w:val="nil"/>
            </w:tcBorders>
            <w:noWrap/>
            <w:tcMar>
              <w:top w:w="0" w:type="dxa"/>
              <w:left w:w="108" w:type="dxa"/>
              <w:bottom w:w="0" w:type="dxa"/>
              <w:right w:w="108" w:type="dxa"/>
            </w:tcMar>
            <w:vAlign w:val="center"/>
          </w:tcPr>
          <w:p w14:paraId="421188B4" w14:textId="77777777" w:rsidR="001B5DA3" w:rsidRDefault="001B5DA3" w:rsidP="00593437">
            <w:pPr>
              <w:spacing w:line="360" w:lineRule="auto"/>
              <w:ind w:left="227"/>
              <w:jc w:val="right"/>
              <w:rPr>
                <w:rFonts w:cs="Times New Roman"/>
                <w:color w:val="000000"/>
              </w:rPr>
            </w:pPr>
            <w:r>
              <w:rPr>
                <w:rFonts w:cs="Times New Roman"/>
                <w:color w:val="000000"/>
              </w:rPr>
              <w:t>499,759</w:t>
            </w:r>
          </w:p>
        </w:tc>
        <w:tc>
          <w:tcPr>
            <w:tcW w:w="3064" w:type="dxa"/>
            <w:tcBorders>
              <w:top w:val="nil"/>
              <w:left w:val="nil"/>
              <w:right w:val="nil"/>
            </w:tcBorders>
            <w:vAlign w:val="center"/>
          </w:tcPr>
          <w:p w14:paraId="35B627C0" w14:textId="77777777" w:rsidR="001B5DA3" w:rsidRPr="005E2804" w:rsidRDefault="001B5DA3" w:rsidP="00593437">
            <w:pPr>
              <w:spacing w:line="360" w:lineRule="auto"/>
              <w:ind w:left="1139"/>
              <w:jc w:val="right"/>
              <w:rPr>
                <w:rFonts w:cs="Times New Roman"/>
                <w:color w:val="000000"/>
              </w:rPr>
            </w:pPr>
            <w:r>
              <w:rPr>
                <w:rFonts w:cs="Times New Roman"/>
                <w:color w:val="000000"/>
              </w:rPr>
              <w:t>110</w:t>
            </w:r>
          </w:p>
        </w:tc>
      </w:tr>
      <w:tr w:rsidR="00373A52" w:rsidRPr="0028585F" w14:paraId="1FCE2B07" w14:textId="77777777" w:rsidTr="00CC2944">
        <w:trPr>
          <w:gridAfter w:val="1"/>
          <w:wAfter w:w="244" w:type="dxa"/>
          <w:trHeight w:val="300"/>
          <w:jc w:val="center"/>
        </w:trPr>
        <w:tc>
          <w:tcPr>
            <w:tcW w:w="3399" w:type="dxa"/>
            <w:tcBorders>
              <w:top w:val="nil"/>
              <w:left w:val="nil"/>
              <w:right w:val="nil"/>
            </w:tcBorders>
            <w:noWrap/>
            <w:tcMar>
              <w:top w:w="0" w:type="dxa"/>
              <w:left w:w="108" w:type="dxa"/>
              <w:bottom w:w="0" w:type="dxa"/>
              <w:right w:w="108" w:type="dxa"/>
            </w:tcMar>
          </w:tcPr>
          <w:p w14:paraId="642511A0" w14:textId="77777777" w:rsidR="001B5DA3" w:rsidRDefault="001B5DA3" w:rsidP="00373A52">
            <w:pPr>
              <w:spacing w:line="360" w:lineRule="auto"/>
              <w:ind w:left="163"/>
              <w:rPr>
                <w:rFonts w:cs="Times New Roman"/>
                <w:bCs/>
                <w:color w:val="000000"/>
              </w:rPr>
            </w:pPr>
            <w:r>
              <w:rPr>
                <w:rFonts w:cs="Times New Roman"/>
                <w:bCs/>
                <w:color w:val="000000"/>
              </w:rPr>
              <w:t>Suffolk</w:t>
            </w:r>
          </w:p>
        </w:tc>
        <w:tc>
          <w:tcPr>
            <w:tcW w:w="1573" w:type="dxa"/>
            <w:tcBorders>
              <w:top w:val="nil"/>
              <w:left w:val="nil"/>
              <w:right w:val="nil"/>
            </w:tcBorders>
            <w:noWrap/>
            <w:tcMar>
              <w:top w:w="0" w:type="dxa"/>
              <w:left w:w="108" w:type="dxa"/>
              <w:bottom w:w="0" w:type="dxa"/>
              <w:right w:w="108" w:type="dxa"/>
            </w:tcMar>
            <w:vAlign w:val="center"/>
          </w:tcPr>
          <w:p w14:paraId="7D220708" w14:textId="77777777" w:rsidR="001B5DA3" w:rsidRDefault="001B5DA3" w:rsidP="00593437">
            <w:pPr>
              <w:spacing w:line="360" w:lineRule="auto"/>
              <w:ind w:left="227"/>
              <w:jc w:val="right"/>
              <w:rPr>
                <w:rFonts w:cs="Times New Roman"/>
                <w:color w:val="000000"/>
              </w:rPr>
            </w:pPr>
            <w:r>
              <w:rPr>
                <w:rFonts w:cs="Times New Roman"/>
                <w:color w:val="000000"/>
              </w:rPr>
              <w:t>744,426</w:t>
            </w:r>
          </w:p>
        </w:tc>
        <w:tc>
          <w:tcPr>
            <w:tcW w:w="3064" w:type="dxa"/>
            <w:tcBorders>
              <w:top w:val="nil"/>
              <w:left w:val="nil"/>
              <w:right w:val="nil"/>
            </w:tcBorders>
            <w:vAlign w:val="center"/>
          </w:tcPr>
          <w:p w14:paraId="1D74AAEE" w14:textId="77777777" w:rsidR="001B5DA3" w:rsidRPr="005E2804" w:rsidRDefault="001B5DA3" w:rsidP="00593437">
            <w:pPr>
              <w:spacing w:line="360" w:lineRule="auto"/>
              <w:ind w:left="1139"/>
              <w:jc w:val="right"/>
              <w:rPr>
                <w:rFonts w:cs="Times New Roman"/>
                <w:color w:val="000000"/>
              </w:rPr>
            </w:pPr>
            <w:r>
              <w:rPr>
                <w:rFonts w:cs="Times New Roman"/>
                <w:color w:val="000000"/>
              </w:rPr>
              <w:t>178</w:t>
            </w:r>
          </w:p>
        </w:tc>
      </w:tr>
      <w:tr w:rsidR="00373A52" w:rsidRPr="0028585F" w14:paraId="5172743F" w14:textId="77777777" w:rsidTr="00CC2944">
        <w:trPr>
          <w:gridAfter w:val="1"/>
          <w:wAfter w:w="244" w:type="dxa"/>
          <w:trHeight w:val="300"/>
          <w:jc w:val="center"/>
        </w:trPr>
        <w:tc>
          <w:tcPr>
            <w:tcW w:w="3399" w:type="dxa"/>
            <w:tcBorders>
              <w:top w:val="nil"/>
              <w:left w:val="nil"/>
              <w:right w:val="nil"/>
            </w:tcBorders>
            <w:noWrap/>
            <w:tcMar>
              <w:top w:w="0" w:type="dxa"/>
              <w:left w:w="108" w:type="dxa"/>
              <w:bottom w:w="0" w:type="dxa"/>
              <w:right w:w="108" w:type="dxa"/>
            </w:tcMar>
          </w:tcPr>
          <w:p w14:paraId="435578B8" w14:textId="77777777" w:rsidR="001B5DA3" w:rsidRDefault="001B5DA3" w:rsidP="00373A52">
            <w:pPr>
              <w:spacing w:line="360" w:lineRule="auto"/>
              <w:ind w:left="163"/>
              <w:rPr>
                <w:rFonts w:cs="Times New Roman"/>
                <w:bCs/>
                <w:color w:val="000000"/>
              </w:rPr>
            </w:pPr>
            <w:r>
              <w:rPr>
                <w:rFonts w:cs="Times New Roman"/>
                <w:bCs/>
                <w:color w:val="000000"/>
              </w:rPr>
              <w:t>Worcester</w:t>
            </w:r>
          </w:p>
        </w:tc>
        <w:tc>
          <w:tcPr>
            <w:tcW w:w="1573" w:type="dxa"/>
            <w:tcBorders>
              <w:top w:val="nil"/>
              <w:left w:val="nil"/>
              <w:right w:val="nil"/>
            </w:tcBorders>
            <w:noWrap/>
            <w:tcMar>
              <w:top w:w="0" w:type="dxa"/>
              <w:left w:w="108" w:type="dxa"/>
              <w:bottom w:w="0" w:type="dxa"/>
              <w:right w:w="108" w:type="dxa"/>
            </w:tcMar>
            <w:vAlign w:val="center"/>
          </w:tcPr>
          <w:p w14:paraId="41050821" w14:textId="77777777" w:rsidR="001B5DA3" w:rsidRDefault="001B5DA3" w:rsidP="00593437">
            <w:pPr>
              <w:spacing w:line="360" w:lineRule="auto"/>
              <w:ind w:left="227"/>
              <w:jc w:val="right"/>
              <w:rPr>
                <w:rFonts w:cs="Times New Roman"/>
                <w:color w:val="000000"/>
              </w:rPr>
            </w:pPr>
            <w:r>
              <w:rPr>
                <w:rFonts w:cs="Times New Roman"/>
                <w:color w:val="000000"/>
              </w:rPr>
              <w:t>806,163</w:t>
            </w:r>
          </w:p>
        </w:tc>
        <w:tc>
          <w:tcPr>
            <w:tcW w:w="3064" w:type="dxa"/>
            <w:tcBorders>
              <w:top w:val="nil"/>
              <w:left w:val="nil"/>
              <w:right w:val="nil"/>
            </w:tcBorders>
            <w:vAlign w:val="center"/>
          </w:tcPr>
          <w:p w14:paraId="7915B94B" w14:textId="77777777" w:rsidR="001B5DA3" w:rsidRPr="005E2804" w:rsidRDefault="001B5DA3" w:rsidP="00593437">
            <w:pPr>
              <w:spacing w:line="360" w:lineRule="auto"/>
              <w:ind w:left="1139"/>
              <w:jc w:val="right"/>
              <w:rPr>
                <w:rFonts w:cs="Times New Roman"/>
                <w:color w:val="000000"/>
              </w:rPr>
            </w:pPr>
            <w:r>
              <w:rPr>
                <w:rFonts w:cs="Times New Roman"/>
                <w:color w:val="000000"/>
              </w:rPr>
              <w:t>183</w:t>
            </w:r>
          </w:p>
        </w:tc>
      </w:tr>
      <w:tr w:rsidR="00373A52" w:rsidRPr="0028585F" w14:paraId="1D1084A5" w14:textId="77777777" w:rsidTr="00CC2944">
        <w:trPr>
          <w:gridAfter w:val="1"/>
          <w:wAfter w:w="244" w:type="dxa"/>
          <w:trHeight w:val="300"/>
          <w:jc w:val="center"/>
        </w:trPr>
        <w:tc>
          <w:tcPr>
            <w:tcW w:w="3399" w:type="dxa"/>
            <w:tcBorders>
              <w:top w:val="single" w:sz="4" w:space="0" w:color="auto"/>
              <w:left w:val="nil"/>
              <w:bottom w:val="nil"/>
              <w:right w:val="nil"/>
            </w:tcBorders>
            <w:noWrap/>
            <w:tcMar>
              <w:top w:w="0" w:type="dxa"/>
              <w:left w:w="108" w:type="dxa"/>
              <w:bottom w:w="0" w:type="dxa"/>
              <w:right w:w="108" w:type="dxa"/>
            </w:tcMar>
          </w:tcPr>
          <w:p w14:paraId="2EE2746C" w14:textId="77777777" w:rsidR="001B5DA3" w:rsidRPr="00EB0C48" w:rsidRDefault="001B5DA3" w:rsidP="00373A52">
            <w:pPr>
              <w:spacing w:line="360" w:lineRule="auto"/>
              <w:rPr>
                <w:rFonts w:cs="Times New Roman"/>
                <w:bCs/>
                <w:color w:val="000000"/>
              </w:rPr>
            </w:pPr>
            <w:r>
              <w:rPr>
                <w:rFonts w:cs="Times New Roman"/>
                <w:bCs/>
                <w:color w:val="000000"/>
              </w:rPr>
              <w:t>Connecticut Counties</w:t>
            </w:r>
          </w:p>
        </w:tc>
        <w:tc>
          <w:tcPr>
            <w:tcW w:w="1573" w:type="dxa"/>
            <w:tcBorders>
              <w:top w:val="single" w:sz="4" w:space="0" w:color="auto"/>
              <w:left w:val="nil"/>
              <w:bottom w:val="nil"/>
              <w:right w:val="nil"/>
            </w:tcBorders>
            <w:noWrap/>
            <w:tcMar>
              <w:top w:w="0" w:type="dxa"/>
              <w:left w:w="108" w:type="dxa"/>
              <w:bottom w:w="0" w:type="dxa"/>
              <w:right w:w="108" w:type="dxa"/>
            </w:tcMar>
            <w:vAlign w:val="center"/>
          </w:tcPr>
          <w:p w14:paraId="40991D6A" w14:textId="77777777" w:rsidR="001B5DA3" w:rsidRPr="00EB0C48" w:rsidRDefault="001B5DA3" w:rsidP="00593437">
            <w:pPr>
              <w:spacing w:line="360" w:lineRule="auto"/>
              <w:jc w:val="right"/>
              <w:rPr>
                <w:rFonts w:cs="Times New Roman"/>
                <w:color w:val="000000"/>
              </w:rPr>
            </w:pPr>
            <w:r>
              <w:rPr>
                <w:rFonts w:cs="Times New Roman"/>
                <w:color w:val="000000"/>
              </w:rPr>
              <w:t>708,910</w:t>
            </w:r>
          </w:p>
        </w:tc>
        <w:tc>
          <w:tcPr>
            <w:tcW w:w="3064" w:type="dxa"/>
            <w:tcBorders>
              <w:top w:val="single" w:sz="4" w:space="0" w:color="auto"/>
              <w:left w:val="nil"/>
              <w:bottom w:val="nil"/>
              <w:right w:val="nil"/>
            </w:tcBorders>
            <w:vAlign w:val="center"/>
          </w:tcPr>
          <w:p w14:paraId="4D0A3E9A" w14:textId="77777777" w:rsidR="001B5DA3" w:rsidRPr="005E2804" w:rsidRDefault="001B5DA3" w:rsidP="00593437">
            <w:pPr>
              <w:spacing w:line="360" w:lineRule="auto"/>
              <w:jc w:val="right"/>
              <w:rPr>
                <w:rFonts w:cs="Times New Roman"/>
                <w:color w:val="000000"/>
              </w:rPr>
            </w:pPr>
            <w:r>
              <w:rPr>
                <w:rFonts w:cs="Times New Roman"/>
                <w:color w:val="000000"/>
              </w:rPr>
              <w:t>166</w:t>
            </w:r>
          </w:p>
        </w:tc>
      </w:tr>
      <w:tr w:rsidR="00373A52" w:rsidRPr="0028585F" w14:paraId="0255FED3" w14:textId="77777777" w:rsidTr="00CC2944">
        <w:trPr>
          <w:gridAfter w:val="1"/>
          <w:wAfter w:w="244" w:type="dxa"/>
          <w:trHeight w:val="300"/>
          <w:jc w:val="center"/>
        </w:trPr>
        <w:tc>
          <w:tcPr>
            <w:tcW w:w="3399" w:type="dxa"/>
            <w:noWrap/>
            <w:tcMar>
              <w:top w:w="0" w:type="dxa"/>
              <w:left w:w="108" w:type="dxa"/>
              <w:bottom w:w="0" w:type="dxa"/>
              <w:right w:w="108" w:type="dxa"/>
            </w:tcMar>
          </w:tcPr>
          <w:p w14:paraId="1DBD7A98" w14:textId="77777777" w:rsidR="001B5DA3" w:rsidRPr="00EB0C48" w:rsidRDefault="001B5DA3" w:rsidP="00373A52">
            <w:pPr>
              <w:spacing w:line="360" w:lineRule="auto"/>
              <w:rPr>
                <w:rFonts w:cs="Times New Roman"/>
                <w:bCs/>
                <w:color w:val="000000"/>
              </w:rPr>
            </w:pPr>
            <w:r>
              <w:rPr>
                <w:rFonts w:cs="Times New Roman"/>
                <w:bCs/>
                <w:color w:val="000000"/>
              </w:rPr>
              <w:t xml:space="preserve">   Middlesex</w:t>
            </w:r>
          </w:p>
        </w:tc>
        <w:tc>
          <w:tcPr>
            <w:tcW w:w="1573" w:type="dxa"/>
            <w:noWrap/>
            <w:tcMar>
              <w:top w:w="0" w:type="dxa"/>
              <w:left w:w="108" w:type="dxa"/>
              <w:bottom w:w="0" w:type="dxa"/>
              <w:right w:w="108" w:type="dxa"/>
            </w:tcMar>
            <w:vAlign w:val="center"/>
          </w:tcPr>
          <w:p w14:paraId="0914EC18" w14:textId="77777777" w:rsidR="001B5DA3" w:rsidRPr="00EB0C48" w:rsidRDefault="001B5DA3" w:rsidP="00593437">
            <w:pPr>
              <w:spacing w:line="360" w:lineRule="auto"/>
              <w:ind w:left="227"/>
              <w:jc w:val="right"/>
              <w:rPr>
                <w:rFonts w:cs="Times New Roman"/>
                <w:color w:val="000000"/>
              </w:rPr>
            </w:pPr>
            <w:r w:rsidRPr="0019287A">
              <w:rPr>
                <w:rFonts w:cs="Times New Roman"/>
                <w:color w:val="000000"/>
              </w:rPr>
              <w:t>165</w:t>
            </w:r>
            <w:r>
              <w:rPr>
                <w:rFonts w:cs="Times New Roman"/>
                <w:color w:val="000000"/>
              </w:rPr>
              <w:t>,</w:t>
            </w:r>
            <w:r w:rsidRPr="0019287A">
              <w:rPr>
                <w:rFonts w:cs="Times New Roman"/>
                <w:color w:val="000000"/>
              </w:rPr>
              <w:t>602</w:t>
            </w:r>
          </w:p>
        </w:tc>
        <w:tc>
          <w:tcPr>
            <w:tcW w:w="3064" w:type="dxa"/>
            <w:vAlign w:val="center"/>
          </w:tcPr>
          <w:p w14:paraId="02B20427" w14:textId="77777777" w:rsidR="001B5DA3" w:rsidRPr="005E2804" w:rsidRDefault="001B5DA3" w:rsidP="00593437">
            <w:pPr>
              <w:spacing w:line="360" w:lineRule="auto"/>
              <w:ind w:left="1139"/>
              <w:jc w:val="right"/>
              <w:rPr>
                <w:rFonts w:cs="Times New Roman"/>
                <w:color w:val="000000"/>
              </w:rPr>
            </w:pPr>
            <w:r>
              <w:rPr>
                <w:rFonts w:cs="Times New Roman"/>
                <w:color w:val="000000"/>
              </w:rPr>
              <w:t>41</w:t>
            </w:r>
          </w:p>
        </w:tc>
      </w:tr>
      <w:tr w:rsidR="00373A52" w:rsidRPr="0028585F" w14:paraId="5028322F" w14:textId="77777777" w:rsidTr="00CC2944">
        <w:trPr>
          <w:gridAfter w:val="1"/>
          <w:wAfter w:w="244" w:type="dxa"/>
          <w:trHeight w:val="300"/>
          <w:jc w:val="center"/>
        </w:trPr>
        <w:tc>
          <w:tcPr>
            <w:tcW w:w="3399" w:type="dxa"/>
            <w:noWrap/>
            <w:tcMar>
              <w:top w:w="0" w:type="dxa"/>
              <w:left w:w="108" w:type="dxa"/>
              <w:bottom w:w="0" w:type="dxa"/>
              <w:right w:w="108" w:type="dxa"/>
            </w:tcMar>
          </w:tcPr>
          <w:p w14:paraId="381D900A" w14:textId="77777777" w:rsidR="001B5DA3" w:rsidRPr="00EB0C48" w:rsidRDefault="001B5DA3" w:rsidP="00373A52">
            <w:pPr>
              <w:spacing w:line="360" w:lineRule="auto"/>
              <w:rPr>
                <w:rFonts w:cs="Times New Roman"/>
                <w:bCs/>
                <w:color w:val="000000"/>
              </w:rPr>
            </w:pPr>
            <w:r>
              <w:rPr>
                <w:rFonts w:cs="Times New Roman"/>
                <w:bCs/>
                <w:color w:val="000000"/>
              </w:rPr>
              <w:t xml:space="preserve">   New London</w:t>
            </w:r>
          </w:p>
        </w:tc>
        <w:tc>
          <w:tcPr>
            <w:tcW w:w="1573" w:type="dxa"/>
            <w:noWrap/>
            <w:tcMar>
              <w:top w:w="0" w:type="dxa"/>
              <w:left w:w="108" w:type="dxa"/>
              <w:bottom w:w="0" w:type="dxa"/>
              <w:right w:w="108" w:type="dxa"/>
            </w:tcMar>
            <w:vAlign w:val="center"/>
          </w:tcPr>
          <w:p w14:paraId="612BA0A0" w14:textId="77777777" w:rsidR="001B5DA3" w:rsidRPr="00EB0C48" w:rsidRDefault="001B5DA3" w:rsidP="00593437">
            <w:pPr>
              <w:spacing w:line="360" w:lineRule="auto"/>
              <w:ind w:left="227"/>
              <w:jc w:val="right"/>
              <w:rPr>
                <w:rFonts w:cs="Times New Roman"/>
                <w:color w:val="000000"/>
              </w:rPr>
            </w:pPr>
            <w:r w:rsidRPr="0019287A">
              <w:rPr>
                <w:rFonts w:cs="Times New Roman"/>
                <w:color w:val="000000"/>
              </w:rPr>
              <w:t>274170</w:t>
            </w:r>
          </w:p>
        </w:tc>
        <w:tc>
          <w:tcPr>
            <w:tcW w:w="3064" w:type="dxa"/>
            <w:vAlign w:val="center"/>
          </w:tcPr>
          <w:p w14:paraId="61BDF9E2" w14:textId="77777777" w:rsidR="001B5DA3" w:rsidRPr="005E2804" w:rsidRDefault="001B5DA3" w:rsidP="00593437">
            <w:pPr>
              <w:spacing w:line="360" w:lineRule="auto"/>
              <w:ind w:left="1139"/>
              <w:jc w:val="right"/>
              <w:rPr>
                <w:rFonts w:cs="Times New Roman"/>
                <w:color w:val="000000"/>
              </w:rPr>
            </w:pPr>
            <w:r>
              <w:rPr>
                <w:rFonts w:cs="Times New Roman"/>
                <w:color w:val="000000"/>
              </w:rPr>
              <w:t>65</w:t>
            </w:r>
          </w:p>
        </w:tc>
      </w:tr>
      <w:tr w:rsidR="00373A52" w:rsidRPr="0028585F" w14:paraId="39D0DA48" w14:textId="77777777" w:rsidTr="00CC2944">
        <w:trPr>
          <w:gridAfter w:val="1"/>
          <w:wAfter w:w="244" w:type="dxa"/>
          <w:trHeight w:val="300"/>
          <w:jc w:val="center"/>
        </w:trPr>
        <w:tc>
          <w:tcPr>
            <w:tcW w:w="3399" w:type="dxa"/>
            <w:noWrap/>
            <w:tcMar>
              <w:top w:w="0" w:type="dxa"/>
              <w:left w:w="108" w:type="dxa"/>
              <w:bottom w:w="0" w:type="dxa"/>
              <w:right w:w="108" w:type="dxa"/>
            </w:tcMar>
          </w:tcPr>
          <w:p w14:paraId="311A222C" w14:textId="77777777" w:rsidR="001B5DA3" w:rsidRPr="00EB0C48" w:rsidRDefault="001B5DA3" w:rsidP="00373A52">
            <w:pPr>
              <w:spacing w:line="360" w:lineRule="auto"/>
              <w:rPr>
                <w:rFonts w:cs="Times New Roman"/>
                <w:bCs/>
                <w:color w:val="000000"/>
              </w:rPr>
            </w:pPr>
            <w:r>
              <w:rPr>
                <w:rFonts w:cs="Times New Roman"/>
                <w:bCs/>
                <w:color w:val="000000"/>
              </w:rPr>
              <w:t xml:space="preserve">   Tolland</w:t>
            </w:r>
          </w:p>
        </w:tc>
        <w:tc>
          <w:tcPr>
            <w:tcW w:w="1573" w:type="dxa"/>
            <w:noWrap/>
            <w:tcMar>
              <w:top w:w="0" w:type="dxa"/>
              <w:left w:w="108" w:type="dxa"/>
              <w:bottom w:w="0" w:type="dxa"/>
              <w:right w:w="108" w:type="dxa"/>
            </w:tcMar>
            <w:vAlign w:val="center"/>
          </w:tcPr>
          <w:p w14:paraId="529DB771" w14:textId="77777777" w:rsidR="001B5DA3" w:rsidRPr="00EB0C48" w:rsidRDefault="001B5DA3" w:rsidP="00593437">
            <w:pPr>
              <w:spacing w:line="360" w:lineRule="auto"/>
              <w:ind w:left="227"/>
              <w:jc w:val="right"/>
              <w:rPr>
                <w:rFonts w:cs="Times New Roman"/>
                <w:color w:val="000000"/>
              </w:rPr>
            </w:pPr>
            <w:r w:rsidRPr="0019287A">
              <w:rPr>
                <w:rFonts w:cs="Times New Roman"/>
                <w:color w:val="000000"/>
              </w:rPr>
              <w:t>151</w:t>
            </w:r>
            <w:r>
              <w:rPr>
                <w:rFonts w:cs="Times New Roman"/>
                <w:color w:val="000000"/>
              </w:rPr>
              <w:t>,</w:t>
            </w:r>
            <w:r w:rsidRPr="0019287A">
              <w:rPr>
                <w:rFonts w:cs="Times New Roman"/>
                <w:color w:val="000000"/>
              </w:rPr>
              <w:t>539</w:t>
            </w:r>
          </w:p>
        </w:tc>
        <w:tc>
          <w:tcPr>
            <w:tcW w:w="3064" w:type="dxa"/>
            <w:vAlign w:val="center"/>
          </w:tcPr>
          <w:p w14:paraId="07935281" w14:textId="77777777" w:rsidR="001B5DA3" w:rsidRPr="005E2804" w:rsidRDefault="001B5DA3" w:rsidP="00593437">
            <w:pPr>
              <w:spacing w:line="360" w:lineRule="auto"/>
              <w:ind w:left="1139"/>
              <w:jc w:val="right"/>
              <w:rPr>
                <w:rFonts w:cs="Times New Roman"/>
                <w:color w:val="000000"/>
              </w:rPr>
            </w:pPr>
            <w:r>
              <w:rPr>
                <w:rFonts w:cs="Times New Roman"/>
                <w:color w:val="000000"/>
              </w:rPr>
              <w:t>33</w:t>
            </w:r>
          </w:p>
        </w:tc>
      </w:tr>
      <w:tr w:rsidR="00373A52" w:rsidRPr="0028585F" w14:paraId="356A35D7" w14:textId="77777777" w:rsidTr="00CC2944">
        <w:trPr>
          <w:gridAfter w:val="1"/>
          <w:wAfter w:w="244" w:type="dxa"/>
          <w:trHeight w:val="300"/>
          <w:jc w:val="center"/>
        </w:trPr>
        <w:tc>
          <w:tcPr>
            <w:tcW w:w="3399" w:type="dxa"/>
            <w:tcBorders>
              <w:top w:val="nil"/>
              <w:left w:val="nil"/>
              <w:bottom w:val="single" w:sz="4" w:space="0" w:color="auto"/>
              <w:right w:val="nil"/>
            </w:tcBorders>
            <w:noWrap/>
            <w:tcMar>
              <w:top w:w="0" w:type="dxa"/>
              <w:left w:w="108" w:type="dxa"/>
              <w:bottom w:w="0" w:type="dxa"/>
              <w:right w:w="108" w:type="dxa"/>
            </w:tcMar>
          </w:tcPr>
          <w:p w14:paraId="1C52D792" w14:textId="77777777" w:rsidR="001B5DA3" w:rsidRPr="00EB0C48" w:rsidRDefault="001B5DA3" w:rsidP="00373A52">
            <w:pPr>
              <w:spacing w:line="360" w:lineRule="auto"/>
              <w:rPr>
                <w:rFonts w:cs="Times New Roman"/>
                <w:bCs/>
                <w:color w:val="000000"/>
              </w:rPr>
            </w:pPr>
            <w:r>
              <w:rPr>
                <w:rFonts w:cs="Times New Roman"/>
                <w:bCs/>
                <w:color w:val="000000"/>
              </w:rPr>
              <w:t xml:space="preserve">   Windham</w:t>
            </w:r>
          </w:p>
        </w:tc>
        <w:tc>
          <w:tcPr>
            <w:tcW w:w="1573" w:type="dxa"/>
            <w:tcBorders>
              <w:top w:val="nil"/>
              <w:left w:val="nil"/>
              <w:bottom w:val="single" w:sz="4" w:space="0" w:color="auto"/>
              <w:right w:val="nil"/>
            </w:tcBorders>
            <w:noWrap/>
            <w:tcMar>
              <w:top w:w="0" w:type="dxa"/>
              <w:left w:w="108" w:type="dxa"/>
              <w:bottom w:w="0" w:type="dxa"/>
              <w:right w:w="108" w:type="dxa"/>
            </w:tcMar>
            <w:vAlign w:val="center"/>
          </w:tcPr>
          <w:p w14:paraId="3124C698" w14:textId="77777777" w:rsidR="001B5DA3" w:rsidRPr="00EB0C48" w:rsidRDefault="001B5DA3" w:rsidP="00593437">
            <w:pPr>
              <w:spacing w:line="360" w:lineRule="auto"/>
              <w:ind w:left="227"/>
              <w:jc w:val="right"/>
              <w:rPr>
                <w:rFonts w:cs="Times New Roman"/>
                <w:color w:val="000000"/>
              </w:rPr>
            </w:pPr>
            <w:r w:rsidRPr="0019287A">
              <w:rPr>
                <w:rFonts w:cs="Times New Roman"/>
                <w:color w:val="000000"/>
              </w:rPr>
              <w:t>117</w:t>
            </w:r>
            <w:r>
              <w:rPr>
                <w:rFonts w:cs="Times New Roman"/>
                <w:color w:val="000000"/>
              </w:rPr>
              <w:t>,</w:t>
            </w:r>
            <w:r w:rsidRPr="0019287A">
              <w:rPr>
                <w:rFonts w:cs="Times New Roman"/>
                <w:color w:val="000000"/>
              </w:rPr>
              <w:t>599</w:t>
            </w:r>
          </w:p>
        </w:tc>
        <w:tc>
          <w:tcPr>
            <w:tcW w:w="3064" w:type="dxa"/>
            <w:tcBorders>
              <w:top w:val="nil"/>
              <w:left w:val="nil"/>
              <w:bottom w:val="single" w:sz="4" w:space="0" w:color="auto"/>
              <w:right w:val="nil"/>
            </w:tcBorders>
            <w:vAlign w:val="center"/>
          </w:tcPr>
          <w:p w14:paraId="6AE384CA" w14:textId="77777777" w:rsidR="001B5DA3" w:rsidRPr="005E2804" w:rsidRDefault="001B5DA3" w:rsidP="00593437">
            <w:pPr>
              <w:spacing w:line="360" w:lineRule="auto"/>
              <w:ind w:left="1139"/>
              <w:jc w:val="right"/>
              <w:rPr>
                <w:rFonts w:cs="Times New Roman"/>
                <w:color w:val="000000"/>
              </w:rPr>
            </w:pPr>
            <w:r>
              <w:rPr>
                <w:rFonts w:cs="Times New Roman"/>
                <w:color w:val="000000"/>
              </w:rPr>
              <w:t>27</w:t>
            </w:r>
          </w:p>
        </w:tc>
      </w:tr>
      <w:tr w:rsidR="00373A52" w:rsidRPr="0028585F" w14:paraId="3EDAEBEA" w14:textId="77777777" w:rsidTr="00CC2944">
        <w:trPr>
          <w:gridAfter w:val="1"/>
          <w:wAfter w:w="244" w:type="dxa"/>
          <w:trHeight w:val="300"/>
          <w:jc w:val="center"/>
        </w:trPr>
        <w:tc>
          <w:tcPr>
            <w:tcW w:w="3399" w:type="dxa"/>
            <w:tcBorders>
              <w:top w:val="single" w:sz="4" w:space="0" w:color="auto"/>
              <w:left w:val="nil"/>
              <w:bottom w:val="nil"/>
              <w:right w:val="nil"/>
            </w:tcBorders>
            <w:noWrap/>
            <w:tcMar>
              <w:top w:w="0" w:type="dxa"/>
              <w:left w:w="108" w:type="dxa"/>
              <w:bottom w:w="0" w:type="dxa"/>
              <w:right w:w="108" w:type="dxa"/>
            </w:tcMar>
          </w:tcPr>
          <w:p w14:paraId="46A047B5" w14:textId="77777777" w:rsidR="001B5DA3" w:rsidRPr="00EB0C48" w:rsidRDefault="001B5DA3" w:rsidP="00373A52">
            <w:pPr>
              <w:spacing w:line="360" w:lineRule="auto"/>
              <w:rPr>
                <w:rFonts w:cs="Times New Roman"/>
                <w:bCs/>
                <w:color w:val="000000"/>
              </w:rPr>
            </w:pPr>
            <w:r>
              <w:rPr>
                <w:rFonts w:cs="Times New Roman"/>
                <w:bCs/>
                <w:color w:val="000000"/>
              </w:rPr>
              <w:t>New Hampshire Counties</w:t>
            </w:r>
          </w:p>
        </w:tc>
        <w:tc>
          <w:tcPr>
            <w:tcW w:w="1573" w:type="dxa"/>
            <w:tcBorders>
              <w:top w:val="single" w:sz="4" w:space="0" w:color="auto"/>
              <w:left w:val="nil"/>
              <w:bottom w:val="nil"/>
              <w:right w:val="nil"/>
            </w:tcBorders>
            <w:noWrap/>
            <w:tcMar>
              <w:top w:w="0" w:type="dxa"/>
              <w:left w:w="108" w:type="dxa"/>
              <w:bottom w:w="0" w:type="dxa"/>
              <w:right w:w="108" w:type="dxa"/>
            </w:tcMar>
            <w:vAlign w:val="center"/>
          </w:tcPr>
          <w:p w14:paraId="0DEBB2FD" w14:textId="77777777" w:rsidR="001B5DA3" w:rsidRPr="00EB0C48" w:rsidRDefault="001B5DA3" w:rsidP="00593437">
            <w:pPr>
              <w:spacing w:line="360" w:lineRule="auto"/>
              <w:jc w:val="right"/>
              <w:rPr>
                <w:rFonts w:cs="Times New Roman"/>
                <w:color w:val="000000"/>
              </w:rPr>
            </w:pPr>
            <w:r>
              <w:rPr>
                <w:rFonts w:cs="Times New Roman"/>
                <w:color w:val="000000"/>
              </w:rPr>
              <w:t>700,742</w:t>
            </w:r>
          </w:p>
        </w:tc>
        <w:tc>
          <w:tcPr>
            <w:tcW w:w="3064" w:type="dxa"/>
            <w:tcBorders>
              <w:top w:val="single" w:sz="4" w:space="0" w:color="auto"/>
              <w:left w:val="nil"/>
              <w:bottom w:val="nil"/>
              <w:right w:val="nil"/>
            </w:tcBorders>
            <w:vAlign w:val="center"/>
          </w:tcPr>
          <w:p w14:paraId="263E4B49" w14:textId="77777777" w:rsidR="001B5DA3" w:rsidRPr="00913AA4" w:rsidRDefault="001B5DA3" w:rsidP="00593437">
            <w:pPr>
              <w:spacing w:line="360" w:lineRule="auto"/>
              <w:jc w:val="right"/>
              <w:rPr>
                <w:rFonts w:cs="Times New Roman"/>
                <w:color w:val="000000"/>
              </w:rPr>
            </w:pPr>
            <w:r>
              <w:rPr>
                <w:rFonts w:cs="Times New Roman"/>
                <w:color w:val="000000"/>
              </w:rPr>
              <w:t>166</w:t>
            </w:r>
          </w:p>
        </w:tc>
      </w:tr>
      <w:tr w:rsidR="00373A52" w:rsidRPr="0028585F" w14:paraId="5E8056CA" w14:textId="77777777" w:rsidTr="00CC2944">
        <w:trPr>
          <w:gridAfter w:val="1"/>
          <w:wAfter w:w="244" w:type="dxa"/>
          <w:trHeight w:val="300"/>
          <w:jc w:val="center"/>
        </w:trPr>
        <w:tc>
          <w:tcPr>
            <w:tcW w:w="3399" w:type="dxa"/>
            <w:noWrap/>
            <w:tcMar>
              <w:top w:w="0" w:type="dxa"/>
              <w:left w:w="108" w:type="dxa"/>
              <w:bottom w:w="0" w:type="dxa"/>
              <w:right w:w="108" w:type="dxa"/>
            </w:tcMar>
          </w:tcPr>
          <w:p w14:paraId="6F9932EB" w14:textId="77777777" w:rsidR="001B5DA3" w:rsidRDefault="001B5DA3" w:rsidP="00373A52">
            <w:pPr>
              <w:spacing w:line="360" w:lineRule="auto"/>
              <w:rPr>
                <w:rFonts w:cs="Times New Roman"/>
                <w:bCs/>
                <w:color w:val="000000"/>
              </w:rPr>
            </w:pPr>
            <w:r>
              <w:rPr>
                <w:rFonts w:cs="Times New Roman"/>
                <w:bCs/>
                <w:color w:val="000000"/>
              </w:rPr>
              <w:t xml:space="preserve">   Hillsborough</w:t>
            </w:r>
          </w:p>
        </w:tc>
        <w:tc>
          <w:tcPr>
            <w:tcW w:w="1573" w:type="dxa"/>
            <w:noWrap/>
            <w:tcMar>
              <w:top w:w="0" w:type="dxa"/>
              <w:left w:w="108" w:type="dxa"/>
              <w:bottom w:w="0" w:type="dxa"/>
              <w:right w:w="108" w:type="dxa"/>
            </w:tcMar>
            <w:vAlign w:val="center"/>
          </w:tcPr>
          <w:p w14:paraId="63434313" w14:textId="77777777" w:rsidR="001B5DA3" w:rsidRDefault="001B5DA3" w:rsidP="00593437">
            <w:pPr>
              <w:spacing w:line="360" w:lineRule="auto"/>
              <w:ind w:left="227"/>
              <w:jc w:val="right"/>
              <w:rPr>
                <w:rFonts w:cs="Times New Roman"/>
                <w:bCs/>
                <w:color w:val="000000"/>
              </w:rPr>
            </w:pPr>
            <w:r>
              <w:rPr>
                <w:rFonts w:cs="Times New Roman"/>
                <w:color w:val="000000"/>
              </w:rPr>
              <w:t>402,922</w:t>
            </w:r>
          </w:p>
        </w:tc>
        <w:tc>
          <w:tcPr>
            <w:tcW w:w="3064" w:type="dxa"/>
            <w:vAlign w:val="center"/>
          </w:tcPr>
          <w:p w14:paraId="26712AB6" w14:textId="77777777" w:rsidR="001B5DA3" w:rsidRPr="00913AA4" w:rsidRDefault="001B5DA3" w:rsidP="00593437">
            <w:pPr>
              <w:spacing w:line="360" w:lineRule="auto"/>
              <w:ind w:left="1139"/>
              <w:jc w:val="right"/>
              <w:rPr>
                <w:rFonts w:cs="Times New Roman"/>
                <w:bCs/>
                <w:color w:val="000000"/>
              </w:rPr>
            </w:pPr>
            <w:r>
              <w:rPr>
                <w:rFonts w:cs="Times New Roman"/>
                <w:bCs/>
                <w:color w:val="000000"/>
              </w:rPr>
              <w:t>94</w:t>
            </w:r>
          </w:p>
        </w:tc>
      </w:tr>
      <w:tr w:rsidR="00373A52" w:rsidRPr="0028585F" w14:paraId="441080BD" w14:textId="77777777" w:rsidTr="00CC2944">
        <w:trPr>
          <w:gridAfter w:val="1"/>
          <w:wAfter w:w="244" w:type="dxa"/>
          <w:trHeight w:val="300"/>
          <w:jc w:val="center"/>
        </w:trPr>
        <w:tc>
          <w:tcPr>
            <w:tcW w:w="3399" w:type="dxa"/>
            <w:noWrap/>
            <w:tcMar>
              <w:top w:w="0" w:type="dxa"/>
              <w:left w:w="108" w:type="dxa"/>
              <w:bottom w:w="0" w:type="dxa"/>
              <w:right w:w="108" w:type="dxa"/>
            </w:tcMar>
          </w:tcPr>
          <w:p w14:paraId="7C8E78F1" w14:textId="77777777" w:rsidR="001B5DA3" w:rsidRPr="00EB0C48" w:rsidRDefault="001B5DA3" w:rsidP="00373A52">
            <w:pPr>
              <w:spacing w:line="360" w:lineRule="auto"/>
              <w:rPr>
                <w:rFonts w:cs="Times New Roman"/>
                <w:bCs/>
                <w:color w:val="000000"/>
              </w:rPr>
            </w:pPr>
            <w:r>
              <w:rPr>
                <w:rFonts w:cs="Times New Roman"/>
                <w:bCs/>
                <w:color w:val="000000"/>
              </w:rPr>
              <w:t xml:space="preserve">   Rockingham</w:t>
            </w:r>
          </w:p>
        </w:tc>
        <w:tc>
          <w:tcPr>
            <w:tcW w:w="1573" w:type="dxa"/>
            <w:noWrap/>
            <w:tcMar>
              <w:top w:w="0" w:type="dxa"/>
              <w:left w:w="108" w:type="dxa"/>
              <w:bottom w:w="0" w:type="dxa"/>
              <w:right w:w="108" w:type="dxa"/>
            </w:tcMar>
            <w:vAlign w:val="center"/>
          </w:tcPr>
          <w:p w14:paraId="00C2B588" w14:textId="77777777" w:rsidR="001B5DA3" w:rsidRPr="00EB0C48" w:rsidRDefault="001B5DA3" w:rsidP="00593437">
            <w:pPr>
              <w:spacing w:line="360" w:lineRule="auto"/>
              <w:ind w:left="227"/>
              <w:jc w:val="right"/>
              <w:rPr>
                <w:rFonts w:cs="Times New Roman"/>
                <w:color w:val="000000"/>
              </w:rPr>
            </w:pPr>
            <w:r>
              <w:rPr>
                <w:rFonts w:cs="Times New Roman"/>
                <w:color w:val="000000"/>
              </w:rPr>
              <w:t>297,820</w:t>
            </w:r>
          </w:p>
        </w:tc>
        <w:tc>
          <w:tcPr>
            <w:tcW w:w="3064" w:type="dxa"/>
            <w:vAlign w:val="center"/>
          </w:tcPr>
          <w:p w14:paraId="48BADF2C" w14:textId="77777777" w:rsidR="001B5DA3" w:rsidRPr="00913AA4" w:rsidRDefault="001B5DA3" w:rsidP="00593437">
            <w:pPr>
              <w:spacing w:line="360" w:lineRule="auto"/>
              <w:ind w:left="1139"/>
              <w:jc w:val="right"/>
              <w:rPr>
                <w:rFonts w:cs="Times New Roman"/>
                <w:bCs/>
                <w:color w:val="000000"/>
              </w:rPr>
            </w:pPr>
            <w:r>
              <w:rPr>
                <w:rFonts w:cs="Times New Roman"/>
                <w:bCs/>
                <w:color w:val="000000"/>
              </w:rPr>
              <w:t>72</w:t>
            </w:r>
          </w:p>
        </w:tc>
      </w:tr>
      <w:tr w:rsidR="00373A52" w:rsidRPr="0028585F" w14:paraId="332646A7" w14:textId="77777777" w:rsidTr="00CC2944">
        <w:trPr>
          <w:gridAfter w:val="1"/>
          <w:wAfter w:w="244" w:type="dxa"/>
          <w:trHeight w:val="300"/>
          <w:jc w:val="center"/>
        </w:trPr>
        <w:tc>
          <w:tcPr>
            <w:tcW w:w="3399" w:type="dxa"/>
            <w:tcBorders>
              <w:top w:val="single" w:sz="4" w:space="0" w:color="auto"/>
            </w:tcBorders>
            <w:noWrap/>
            <w:tcMar>
              <w:top w:w="0" w:type="dxa"/>
              <w:left w:w="108" w:type="dxa"/>
              <w:bottom w:w="0" w:type="dxa"/>
              <w:right w:w="108" w:type="dxa"/>
            </w:tcMar>
          </w:tcPr>
          <w:p w14:paraId="4827AB3A" w14:textId="77777777" w:rsidR="001B5DA3" w:rsidRPr="00EB0C48" w:rsidRDefault="001B5DA3" w:rsidP="00373A52">
            <w:pPr>
              <w:tabs>
                <w:tab w:val="left" w:pos="1275"/>
              </w:tabs>
              <w:spacing w:line="360" w:lineRule="auto"/>
              <w:rPr>
                <w:rFonts w:cs="Times New Roman"/>
                <w:bCs/>
                <w:color w:val="000000"/>
              </w:rPr>
            </w:pPr>
            <w:r>
              <w:rPr>
                <w:rFonts w:cs="Times New Roman"/>
                <w:bCs/>
                <w:color w:val="000000"/>
              </w:rPr>
              <w:t>Rhode Island Counties</w:t>
            </w:r>
            <w:r>
              <w:rPr>
                <w:rFonts w:cs="Times New Roman"/>
                <w:bCs/>
                <w:color w:val="000000"/>
              </w:rPr>
              <w:tab/>
            </w:r>
          </w:p>
        </w:tc>
        <w:tc>
          <w:tcPr>
            <w:tcW w:w="1573" w:type="dxa"/>
            <w:tcBorders>
              <w:top w:val="single" w:sz="4" w:space="0" w:color="auto"/>
            </w:tcBorders>
            <w:noWrap/>
            <w:tcMar>
              <w:top w:w="0" w:type="dxa"/>
              <w:left w:w="108" w:type="dxa"/>
              <w:bottom w:w="0" w:type="dxa"/>
              <w:right w:w="108" w:type="dxa"/>
            </w:tcMar>
          </w:tcPr>
          <w:p w14:paraId="34E09E5F" w14:textId="77777777" w:rsidR="001B5DA3" w:rsidRPr="00EB0C48" w:rsidRDefault="001B5DA3" w:rsidP="00593437">
            <w:pPr>
              <w:spacing w:line="360" w:lineRule="auto"/>
              <w:jc w:val="right"/>
              <w:rPr>
                <w:rFonts w:cs="Times New Roman"/>
                <w:color w:val="000000"/>
              </w:rPr>
            </w:pPr>
            <w:r>
              <w:rPr>
                <w:rFonts w:cs="Times New Roman"/>
                <w:color w:val="000000"/>
              </w:rPr>
              <w:t>1,050,292</w:t>
            </w:r>
          </w:p>
        </w:tc>
        <w:tc>
          <w:tcPr>
            <w:tcW w:w="3064" w:type="dxa"/>
            <w:tcBorders>
              <w:top w:val="single" w:sz="4" w:space="0" w:color="auto"/>
            </w:tcBorders>
          </w:tcPr>
          <w:p w14:paraId="2828753C" w14:textId="77777777" w:rsidR="001B5DA3" w:rsidRPr="00913AA4" w:rsidRDefault="001B5DA3" w:rsidP="00593437">
            <w:pPr>
              <w:spacing w:line="360" w:lineRule="auto"/>
              <w:jc w:val="right"/>
              <w:rPr>
                <w:rFonts w:cs="Times New Roman"/>
                <w:bCs/>
                <w:color w:val="000000"/>
              </w:rPr>
            </w:pPr>
            <w:r>
              <w:rPr>
                <w:rFonts w:cs="Times New Roman"/>
                <w:bCs/>
                <w:color w:val="000000"/>
              </w:rPr>
              <w:t>250</w:t>
            </w:r>
          </w:p>
        </w:tc>
      </w:tr>
      <w:tr w:rsidR="00373A52" w:rsidRPr="0028585F" w14:paraId="47625837" w14:textId="77777777" w:rsidTr="00CC2944">
        <w:trPr>
          <w:gridAfter w:val="1"/>
          <w:wAfter w:w="244" w:type="dxa"/>
          <w:trHeight w:val="300"/>
          <w:jc w:val="center"/>
        </w:trPr>
        <w:tc>
          <w:tcPr>
            <w:tcW w:w="3399" w:type="dxa"/>
            <w:noWrap/>
            <w:tcMar>
              <w:top w:w="0" w:type="dxa"/>
              <w:left w:w="108" w:type="dxa"/>
              <w:bottom w:w="0" w:type="dxa"/>
              <w:right w:w="108" w:type="dxa"/>
            </w:tcMar>
          </w:tcPr>
          <w:p w14:paraId="5E7155EC" w14:textId="77777777" w:rsidR="001B5DA3" w:rsidRPr="00EB0C48" w:rsidRDefault="001B5DA3" w:rsidP="00373A52">
            <w:pPr>
              <w:spacing w:line="360" w:lineRule="auto"/>
              <w:rPr>
                <w:rFonts w:cs="Times New Roman"/>
                <w:bCs/>
                <w:color w:val="000000"/>
              </w:rPr>
            </w:pPr>
            <w:r>
              <w:rPr>
                <w:rFonts w:cs="Times New Roman"/>
                <w:bCs/>
                <w:color w:val="000000"/>
              </w:rPr>
              <w:t xml:space="preserve">   Bristol</w:t>
            </w:r>
          </w:p>
        </w:tc>
        <w:tc>
          <w:tcPr>
            <w:tcW w:w="1573" w:type="dxa"/>
            <w:noWrap/>
            <w:tcMar>
              <w:top w:w="0" w:type="dxa"/>
              <w:left w:w="108" w:type="dxa"/>
              <w:bottom w:w="0" w:type="dxa"/>
              <w:right w:w="108" w:type="dxa"/>
            </w:tcMar>
          </w:tcPr>
          <w:p w14:paraId="3CFA3618" w14:textId="77777777" w:rsidR="001B5DA3" w:rsidRPr="00EB0C48" w:rsidRDefault="001B5DA3" w:rsidP="00593437">
            <w:pPr>
              <w:spacing w:line="360" w:lineRule="auto"/>
              <w:ind w:left="227"/>
              <w:jc w:val="right"/>
              <w:rPr>
                <w:rFonts w:cs="Times New Roman"/>
                <w:color w:val="000000"/>
              </w:rPr>
            </w:pPr>
            <w:r>
              <w:rPr>
                <w:rFonts w:cs="Times New Roman"/>
                <w:color w:val="000000"/>
              </w:rPr>
              <w:t>49,144</w:t>
            </w:r>
          </w:p>
        </w:tc>
        <w:tc>
          <w:tcPr>
            <w:tcW w:w="3064" w:type="dxa"/>
          </w:tcPr>
          <w:p w14:paraId="65FA1E1E" w14:textId="77777777" w:rsidR="001B5DA3" w:rsidRPr="00913AA4" w:rsidRDefault="001B5DA3" w:rsidP="00593437">
            <w:pPr>
              <w:spacing w:line="360" w:lineRule="auto"/>
              <w:ind w:left="1139"/>
              <w:jc w:val="right"/>
              <w:rPr>
                <w:rFonts w:cs="Times New Roman"/>
                <w:bCs/>
                <w:color w:val="000000"/>
              </w:rPr>
            </w:pPr>
            <w:r>
              <w:rPr>
                <w:rFonts w:cs="Times New Roman"/>
                <w:bCs/>
                <w:color w:val="000000"/>
              </w:rPr>
              <w:t>12</w:t>
            </w:r>
          </w:p>
        </w:tc>
      </w:tr>
      <w:tr w:rsidR="00373A52" w:rsidRPr="0028585F" w14:paraId="2A859B75" w14:textId="77777777" w:rsidTr="00CC2944">
        <w:trPr>
          <w:gridAfter w:val="1"/>
          <w:wAfter w:w="244" w:type="dxa"/>
          <w:trHeight w:val="300"/>
          <w:jc w:val="center"/>
        </w:trPr>
        <w:tc>
          <w:tcPr>
            <w:tcW w:w="3399" w:type="dxa"/>
            <w:noWrap/>
            <w:tcMar>
              <w:top w:w="0" w:type="dxa"/>
              <w:left w:w="108" w:type="dxa"/>
              <w:bottom w:w="0" w:type="dxa"/>
              <w:right w:w="108" w:type="dxa"/>
            </w:tcMar>
          </w:tcPr>
          <w:p w14:paraId="22DEFE5D" w14:textId="77777777" w:rsidR="001B5DA3" w:rsidRPr="00EB0C48" w:rsidRDefault="001B5DA3" w:rsidP="00373A52">
            <w:pPr>
              <w:spacing w:line="360" w:lineRule="auto"/>
              <w:rPr>
                <w:rFonts w:cs="Times New Roman"/>
                <w:bCs/>
                <w:color w:val="000000"/>
              </w:rPr>
            </w:pPr>
            <w:r>
              <w:rPr>
                <w:rFonts w:cs="Times New Roman"/>
                <w:bCs/>
                <w:color w:val="000000"/>
              </w:rPr>
              <w:t xml:space="preserve">   Kent</w:t>
            </w:r>
          </w:p>
        </w:tc>
        <w:tc>
          <w:tcPr>
            <w:tcW w:w="1573" w:type="dxa"/>
            <w:noWrap/>
            <w:tcMar>
              <w:top w:w="0" w:type="dxa"/>
              <w:left w:w="108" w:type="dxa"/>
              <w:bottom w:w="0" w:type="dxa"/>
              <w:right w:w="108" w:type="dxa"/>
            </w:tcMar>
          </w:tcPr>
          <w:p w14:paraId="5FD0FB18" w14:textId="77777777" w:rsidR="001B5DA3" w:rsidRPr="00EB0C48" w:rsidRDefault="001B5DA3" w:rsidP="00593437">
            <w:pPr>
              <w:spacing w:line="360" w:lineRule="auto"/>
              <w:ind w:left="227"/>
              <w:jc w:val="right"/>
              <w:rPr>
                <w:rFonts w:cs="Times New Roman"/>
                <w:color w:val="000000"/>
              </w:rPr>
            </w:pPr>
            <w:r>
              <w:rPr>
                <w:rFonts w:cs="Times New Roman"/>
                <w:color w:val="000000"/>
              </w:rPr>
              <w:t>164,843</w:t>
            </w:r>
          </w:p>
        </w:tc>
        <w:tc>
          <w:tcPr>
            <w:tcW w:w="3064" w:type="dxa"/>
          </w:tcPr>
          <w:p w14:paraId="6F3DA23B" w14:textId="77777777" w:rsidR="001B5DA3" w:rsidRPr="00913AA4" w:rsidRDefault="001B5DA3" w:rsidP="00593437">
            <w:pPr>
              <w:spacing w:line="360" w:lineRule="auto"/>
              <w:ind w:left="1139"/>
              <w:jc w:val="right"/>
              <w:rPr>
                <w:rFonts w:cs="Times New Roman"/>
                <w:bCs/>
                <w:color w:val="000000"/>
              </w:rPr>
            </w:pPr>
            <w:r>
              <w:rPr>
                <w:rFonts w:cs="Times New Roman"/>
                <w:bCs/>
                <w:color w:val="000000"/>
              </w:rPr>
              <w:t>42</w:t>
            </w:r>
          </w:p>
        </w:tc>
      </w:tr>
      <w:tr w:rsidR="00373A52" w:rsidRPr="0028585F" w14:paraId="492634C0" w14:textId="77777777" w:rsidTr="00CC2944">
        <w:trPr>
          <w:gridAfter w:val="1"/>
          <w:wAfter w:w="244" w:type="dxa"/>
          <w:trHeight w:val="300"/>
          <w:jc w:val="center"/>
        </w:trPr>
        <w:tc>
          <w:tcPr>
            <w:tcW w:w="3399" w:type="dxa"/>
            <w:noWrap/>
            <w:tcMar>
              <w:top w:w="0" w:type="dxa"/>
              <w:left w:w="108" w:type="dxa"/>
              <w:bottom w:w="0" w:type="dxa"/>
              <w:right w:w="108" w:type="dxa"/>
            </w:tcMar>
          </w:tcPr>
          <w:p w14:paraId="62A9B23E" w14:textId="77777777" w:rsidR="001B5DA3" w:rsidRPr="00EB0C48" w:rsidRDefault="001B5DA3" w:rsidP="00373A52">
            <w:pPr>
              <w:spacing w:line="360" w:lineRule="auto"/>
              <w:rPr>
                <w:rFonts w:cs="Times New Roman"/>
                <w:bCs/>
                <w:color w:val="000000"/>
              </w:rPr>
            </w:pPr>
            <w:r>
              <w:rPr>
                <w:rFonts w:cs="Times New Roman"/>
                <w:bCs/>
                <w:color w:val="000000"/>
              </w:rPr>
              <w:t xml:space="preserve">   Newport</w:t>
            </w:r>
          </w:p>
        </w:tc>
        <w:tc>
          <w:tcPr>
            <w:tcW w:w="1573" w:type="dxa"/>
            <w:noWrap/>
            <w:tcMar>
              <w:top w:w="0" w:type="dxa"/>
              <w:left w:w="108" w:type="dxa"/>
              <w:bottom w:w="0" w:type="dxa"/>
              <w:right w:w="108" w:type="dxa"/>
            </w:tcMar>
          </w:tcPr>
          <w:p w14:paraId="2327CD17" w14:textId="77777777" w:rsidR="001B5DA3" w:rsidRPr="00EB0C48" w:rsidRDefault="001B5DA3" w:rsidP="00593437">
            <w:pPr>
              <w:spacing w:line="360" w:lineRule="auto"/>
              <w:ind w:left="227"/>
              <w:jc w:val="right"/>
              <w:rPr>
                <w:rFonts w:cs="Times New Roman"/>
              </w:rPr>
            </w:pPr>
            <w:r>
              <w:rPr>
                <w:rFonts w:cs="Times New Roman"/>
              </w:rPr>
              <w:t>82,036</w:t>
            </w:r>
          </w:p>
        </w:tc>
        <w:tc>
          <w:tcPr>
            <w:tcW w:w="3064" w:type="dxa"/>
          </w:tcPr>
          <w:p w14:paraId="48F3B9A8" w14:textId="77777777" w:rsidR="001B5DA3" w:rsidRPr="00913AA4" w:rsidRDefault="001B5DA3" w:rsidP="00593437">
            <w:pPr>
              <w:spacing w:line="360" w:lineRule="auto"/>
              <w:ind w:left="1139"/>
              <w:jc w:val="right"/>
              <w:rPr>
                <w:rFonts w:cs="Times New Roman"/>
                <w:bCs/>
                <w:color w:val="000000"/>
              </w:rPr>
            </w:pPr>
            <w:r w:rsidRPr="00913AA4">
              <w:rPr>
                <w:rFonts w:cs="Times New Roman"/>
                <w:bCs/>
                <w:color w:val="000000"/>
              </w:rPr>
              <w:t>21</w:t>
            </w:r>
          </w:p>
        </w:tc>
      </w:tr>
      <w:tr w:rsidR="00373A52" w:rsidRPr="0028585F" w14:paraId="1851FCB4" w14:textId="77777777" w:rsidTr="00CC2944">
        <w:trPr>
          <w:gridAfter w:val="1"/>
          <w:wAfter w:w="244" w:type="dxa"/>
          <w:trHeight w:val="300"/>
          <w:jc w:val="center"/>
        </w:trPr>
        <w:tc>
          <w:tcPr>
            <w:tcW w:w="3399" w:type="dxa"/>
            <w:noWrap/>
            <w:tcMar>
              <w:top w:w="0" w:type="dxa"/>
              <w:left w:w="108" w:type="dxa"/>
              <w:bottom w:w="0" w:type="dxa"/>
              <w:right w:w="108" w:type="dxa"/>
            </w:tcMar>
          </w:tcPr>
          <w:p w14:paraId="59C297F8" w14:textId="77777777" w:rsidR="001B5DA3" w:rsidRPr="00EB0C48" w:rsidRDefault="001B5DA3" w:rsidP="00373A52">
            <w:pPr>
              <w:spacing w:line="360" w:lineRule="auto"/>
              <w:rPr>
                <w:rFonts w:cs="Times New Roman"/>
                <w:bCs/>
                <w:color w:val="000000"/>
              </w:rPr>
            </w:pPr>
            <w:r>
              <w:rPr>
                <w:rFonts w:cs="Times New Roman"/>
                <w:bCs/>
                <w:color w:val="000000"/>
              </w:rPr>
              <w:t xml:space="preserve">   Providence</w:t>
            </w:r>
          </w:p>
        </w:tc>
        <w:tc>
          <w:tcPr>
            <w:tcW w:w="1573" w:type="dxa"/>
            <w:noWrap/>
            <w:tcMar>
              <w:top w:w="0" w:type="dxa"/>
              <w:left w:w="108" w:type="dxa"/>
              <w:bottom w:w="0" w:type="dxa"/>
              <w:right w:w="108" w:type="dxa"/>
            </w:tcMar>
          </w:tcPr>
          <w:p w14:paraId="194CE65A" w14:textId="77777777" w:rsidR="001B5DA3" w:rsidRPr="00EB0C48" w:rsidRDefault="001B5DA3" w:rsidP="00593437">
            <w:pPr>
              <w:spacing w:line="360" w:lineRule="auto"/>
              <w:ind w:left="227"/>
              <w:jc w:val="right"/>
              <w:rPr>
                <w:rFonts w:cs="Times New Roman"/>
                <w:bCs/>
                <w:color w:val="000000"/>
              </w:rPr>
            </w:pPr>
            <w:r>
              <w:rPr>
                <w:rFonts w:cs="Times New Roman"/>
                <w:bCs/>
                <w:color w:val="000000"/>
              </w:rPr>
              <w:t>628,323</w:t>
            </w:r>
          </w:p>
        </w:tc>
        <w:tc>
          <w:tcPr>
            <w:tcW w:w="3064" w:type="dxa"/>
          </w:tcPr>
          <w:p w14:paraId="362DDBB2" w14:textId="77777777" w:rsidR="001B5DA3" w:rsidRPr="00913AA4" w:rsidRDefault="001B5DA3" w:rsidP="00593437">
            <w:pPr>
              <w:spacing w:line="360" w:lineRule="auto"/>
              <w:ind w:left="1139"/>
              <w:jc w:val="right"/>
              <w:rPr>
                <w:rFonts w:cs="Times New Roman"/>
                <w:bCs/>
                <w:color w:val="000000"/>
              </w:rPr>
            </w:pPr>
            <w:r>
              <w:rPr>
                <w:rFonts w:cs="Times New Roman"/>
                <w:bCs/>
                <w:color w:val="000000"/>
              </w:rPr>
              <w:t>145</w:t>
            </w:r>
          </w:p>
        </w:tc>
      </w:tr>
      <w:tr w:rsidR="00373A52" w:rsidRPr="0028585F" w14:paraId="78A84CE0" w14:textId="77777777" w:rsidTr="00CC2944">
        <w:trPr>
          <w:gridAfter w:val="1"/>
          <w:wAfter w:w="244" w:type="dxa"/>
          <w:trHeight w:val="300"/>
          <w:jc w:val="center"/>
        </w:trPr>
        <w:tc>
          <w:tcPr>
            <w:tcW w:w="3399" w:type="dxa"/>
            <w:tcBorders>
              <w:bottom w:val="single" w:sz="4" w:space="0" w:color="auto"/>
            </w:tcBorders>
            <w:noWrap/>
            <w:tcMar>
              <w:top w:w="0" w:type="dxa"/>
              <w:left w:w="108" w:type="dxa"/>
              <w:bottom w:w="0" w:type="dxa"/>
              <w:right w:w="108" w:type="dxa"/>
            </w:tcMar>
          </w:tcPr>
          <w:p w14:paraId="1C585258" w14:textId="77777777" w:rsidR="001B5DA3" w:rsidRPr="00EB0C48" w:rsidRDefault="001B5DA3" w:rsidP="00373A52">
            <w:pPr>
              <w:spacing w:line="360" w:lineRule="auto"/>
              <w:rPr>
                <w:rFonts w:cs="Times New Roman"/>
                <w:bCs/>
                <w:color w:val="000000"/>
              </w:rPr>
            </w:pPr>
            <w:r>
              <w:rPr>
                <w:rFonts w:cs="Times New Roman"/>
                <w:bCs/>
                <w:color w:val="000000"/>
              </w:rPr>
              <w:t xml:space="preserve">   Washington</w:t>
            </w:r>
          </w:p>
        </w:tc>
        <w:tc>
          <w:tcPr>
            <w:tcW w:w="1573" w:type="dxa"/>
            <w:tcBorders>
              <w:bottom w:val="single" w:sz="4" w:space="0" w:color="auto"/>
            </w:tcBorders>
            <w:noWrap/>
            <w:tcMar>
              <w:top w:w="0" w:type="dxa"/>
              <w:left w:w="108" w:type="dxa"/>
              <w:bottom w:w="0" w:type="dxa"/>
              <w:right w:w="108" w:type="dxa"/>
            </w:tcMar>
          </w:tcPr>
          <w:p w14:paraId="035BC25A" w14:textId="77777777" w:rsidR="001B5DA3" w:rsidRPr="00EB0C48" w:rsidRDefault="001B5DA3" w:rsidP="00593437">
            <w:pPr>
              <w:spacing w:line="360" w:lineRule="auto"/>
              <w:ind w:left="227"/>
              <w:jc w:val="right"/>
              <w:rPr>
                <w:rFonts w:cs="Times New Roman"/>
                <w:color w:val="000000"/>
              </w:rPr>
            </w:pPr>
            <w:r>
              <w:rPr>
                <w:rFonts w:cs="Times New Roman"/>
                <w:bCs/>
                <w:color w:val="000000"/>
              </w:rPr>
              <w:t>125,946</w:t>
            </w:r>
          </w:p>
        </w:tc>
        <w:tc>
          <w:tcPr>
            <w:tcW w:w="3064" w:type="dxa"/>
            <w:tcBorders>
              <w:bottom w:val="single" w:sz="4" w:space="0" w:color="auto"/>
            </w:tcBorders>
          </w:tcPr>
          <w:p w14:paraId="723BBC00" w14:textId="77777777" w:rsidR="001B5DA3" w:rsidRPr="00913AA4" w:rsidRDefault="001B5DA3" w:rsidP="00593437">
            <w:pPr>
              <w:spacing w:line="360" w:lineRule="auto"/>
              <w:ind w:left="1139"/>
              <w:jc w:val="right"/>
              <w:rPr>
                <w:rFonts w:cs="Times New Roman"/>
                <w:bCs/>
                <w:color w:val="000000"/>
              </w:rPr>
            </w:pPr>
            <w:r>
              <w:rPr>
                <w:rFonts w:cs="Times New Roman"/>
                <w:bCs/>
                <w:color w:val="000000"/>
              </w:rPr>
              <w:t>30</w:t>
            </w:r>
          </w:p>
        </w:tc>
      </w:tr>
      <w:tr w:rsidR="00373A52" w:rsidRPr="0028585F" w14:paraId="3C7420AB" w14:textId="77777777" w:rsidTr="00CC2944">
        <w:trPr>
          <w:gridAfter w:val="1"/>
          <w:wAfter w:w="244" w:type="dxa"/>
          <w:trHeight w:val="300"/>
          <w:jc w:val="center"/>
        </w:trPr>
        <w:tc>
          <w:tcPr>
            <w:tcW w:w="3399" w:type="dxa"/>
            <w:tcBorders>
              <w:top w:val="single" w:sz="4" w:space="0" w:color="auto"/>
              <w:left w:val="nil"/>
              <w:bottom w:val="single" w:sz="4" w:space="0" w:color="auto"/>
              <w:right w:val="nil"/>
            </w:tcBorders>
            <w:noWrap/>
            <w:tcMar>
              <w:top w:w="0" w:type="dxa"/>
              <w:left w:w="108" w:type="dxa"/>
              <w:bottom w:w="0" w:type="dxa"/>
              <w:right w:w="108" w:type="dxa"/>
            </w:tcMar>
          </w:tcPr>
          <w:p w14:paraId="25A3C566" w14:textId="77777777" w:rsidR="001B5DA3" w:rsidRPr="00EB0C48" w:rsidRDefault="001B5DA3" w:rsidP="00373A52">
            <w:pPr>
              <w:tabs>
                <w:tab w:val="left" w:pos="1065"/>
              </w:tabs>
              <w:spacing w:line="360" w:lineRule="auto"/>
              <w:rPr>
                <w:rFonts w:cs="Times New Roman"/>
                <w:bCs/>
                <w:color w:val="000000"/>
              </w:rPr>
            </w:pPr>
            <w:r w:rsidRPr="00EB0C48">
              <w:rPr>
                <w:rFonts w:cs="Times New Roman"/>
                <w:bCs/>
                <w:color w:val="000000"/>
              </w:rPr>
              <w:t>Total</w:t>
            </w:r>
            <w:r w:rsidRPr="000612E3">
              <w:rPr>
                <w:rFonts w:cs="Times New Roman"/>
                <w:bCs/>
                <w:color w:val="000000"/>
                <w:vertAlign w:val="superscript"/>
              </w:rPr>
              <w:t>2</w:t>
            </w:r>
            <w:r>
              <w:rPr>
                <w:rFonts w:cs="Times New Roman"/>
                <w:bCs/>
                <w:color w:val="000000"/>
              </w:rPr>
              <w:tab/>
            </w:r>
          </w:p>
        </w:tc>
        <w:tc>
          <w:tcPr>
            <w:tcW w:w="1573" w:type="dxa"/>
            <w:tcBorders>
              <w:top w:val="single" w:sz="4" w:space="0" w:color="auto"/>
              <w:left w:val="nil"/>
              <w:bottom w:val="single" w:sz="4" w:space="0" w:color="auto"/>
              <w:right w:val="nil"/>
            </w:tcBorders>
            <w:noWrap/>
            <w:tcMar>
              <w:top w:w="0" w:type="dxa"/>
              <w:left w:w="108" w:type="dxa"/>
              <w:bottom w:w="0" w:type="dxa"/>
              <w:right w:w="108" w:type="dxa"/>
            </w:tcMar>
          </w:tcPr>
          <w:p w14:paraId="16D8A24A" w14:textId="2A303F9A" w:rsidR="001B5DA3" w:rsidRPr="00EB0C48" w:rsidRDefault="00FD6BAA" w:rsidP="005634BA">
            <w:pPr>
              <w:spacing w:line="360" w:lineRule="auto"/>
              <w:jc w:val="right"/>
              <w:rPr>
                <w:rFonts w:cs="Times New Roman"/>
                <w:bCs/>
                <w:color w:val="000000"/>
              </w:rPr>
            </w:pPr>
            <w:r w:rsidRPr="00770323">
              <w:rPr>
                <w:rFonts w:cs="Times New Roman"/>
                <w:bCs/>
                <w:color w:val="000000"/>
              </w:rPr>
              <w:t>8,744,737</w:t>
            </w:r>
          </w:p>
        </w:tc>
        <w:tc>
          <w:tcPr>
            <w:tcW w:w="3064" w:type="dxa"/>
            <w:tcBorders>
              <w:top w:val="single" w:sz="4" w:space="0" w:color="auto"/>
              <w:left w:val="nil"/>
              <w:bottom w:val="single" w:sz="4" w:space="0" w:color="auto"/>
              <w:right w:val="nil"/>
            </w:tcBorders>
          </w:tcPr>
          <w:p w14:paraId="0FD6BF43" w14:textId="3751D386" w:rsidR="001B5DA3" w:rsidRPr="0028585F" w:rsidRDefault="001B5DA3" w:rsidP="00CC2944">
            <w:pPr>
              <w:spacing w:line="360" w:lineRule="auto"/>
              <w:jc w:val="right"/>
              <w:rPr>
                <w:rFonts w:cs="Times New Roman"/>
                <w:bCs/>
                <w:color w:val="000000"/>
                <w:highlight w:val="yellow"/>
              </w:rPr>
            </w:pPr>
            <w:r>
              <w:rPr>
                <w:rFonts w:cs="Times New Roman"/>
                <w:bCs/>
                <w:color w:val="000000"/>
              </w:rPr>
              <w:t>2,</w:t>
            </w:r>
            <w:r w:rsidR="005634BA">
              <w:rPr>
                <w:rFonts w:cs="Times New Roman"/>
                <w:bCs/>
                <w:color w:val="000000"/>
              </w:rPr>
              <w:t>16</w:t>
            </w:r>
            <w:r w:rsidR="00CC2944">
              <w:rPr>
                <w:rFonts w:cs="Times New Roman"/>
                <w:bCs/>
                <w:color w:val="000000"/>
              </w:rPr>
              <w:t>3</w:t>
            </w:r>
          </w:p>
        </w:tc>
      </w:tr>
      <w:tr w:rsidR="00373A52" w:rsidRPr="00EB0C48" w14:paraId="41B58197" w14:textId="77777777" w:rsidTr="00593437">
        <w:trPr>
          <w:trHeight w:val="300"/>
          <w:jc w:val="center"/>
        </w:trPr>
        <w:tc>
          <w:tcPr>
            <w:tcW w:w="8280" w:type="dxa"/>
            <w:gridSpan w:val="4"/>
            <w:tcBorders>
              <w:top w:val="single" w:sz="4" w:space="0" w:color="auto"/>
              <w:left w:val="nil"/>
              <w:bottom w:val="single" w:sz="4" w:space="0" w:color="auto"/>
              <w:right w:val="nil"/>
            </w:tcBorders>
            <w:noWrap/>
            <w:tcMar>
              <w:top w:w="0" w:type="dxa"/>
              <w:left w:w="108" w:type="dxa"/>
              <w:bottom w:w="0" w:type="dxa"/>
              <w:right w:w="108" w:type="dxa"/>
            </w:tcMar>
          </w:tcPr>
          <w:p w14:paraId="4E1603DB" w14:textId="77777777" w:rsidR="001B5DA3" w:rsidRPr="000612E3" w:rsidRDefault="001B5DA3" w:rsidP="00373A5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cs="Times New Roman"/>
                <w:sz w:val="20"/>
                <w:szCs w:val="20"/>
              </w:rPr>
            </w:pPr>
            <w:r w:rsidRPr="000612E3">
              <w:rPr>
                <w:rFonts w:cs="Times New Roman"/>
                <w:sz w:val="20"/>
                <w:szCs w:val="20"/>
              </w:rPr>
              <w:t xml:space="preserve">Source: </w:t>
            </w:r>
            <w:r w:rsidRPr="00A653EF">
              <w:rPr>
                <w:rFonts w:cs="Times New Roman"/>
                <w:sz w:val="20"/>
                <w:szCs w:val="20"/>
              </w:rPr>
              <w:t>U.S. Census Bureau (2013).</w:t>
            </w:r>
            <w:r w:rsidRPr="000612E3">
              <w:rPr>
                <w:rFonts w:cs="Times New Roman"/>
                <w:sz w:val="20"/>
                <w:szCs w:val="20"/>
              </w:rPr>
              <w:t xml:space="preserve"> Annual Estimates of the Resident Population: April 1, 2010 to</w:t>
            </w:r>
            <w:r>
              <w:rPr>
                <w:rFonts w:cs="Times New Roman"/>
                <w:sz w:val="20"/>
                <w:szCs w:val="20"/>
              </w:rPr>
              <w:t xml:space="preserve">   </w:t>
            </w:r>
            <w:r w:rsidRPr="000612E3">
              <w:rPr>
                <w:rFonts w:cs="Times New Roman"/>
                <w:sz w:val="20"/>
                <w:szCs w:val="20"/>
              </w:rPr>
              <w:t xml:space="preserve"> July 1, 2012. Retrieved September 22, 2016 from </w:t>
            </w:r>
            <w:hyperlink r:id="rId11" w:history="1">
              <w:r w:rsidRPr="000612E3">
                <w:rPr>
                  <w:rStyle w:val="WPHyperlink"/>
                  <w:rFonts w:cs="Times New Roman"/>
                  <w:sz w:val="20"/>
                  <w:szCs w:val="20"/>
                </w:rPr>
                <w:t>http://factfinder2.census.gov/</w:t>
              </w:r>
            </w:hyperlink>
            <w:r w:rsidRPr="000612E3">
              <w:rPr>
                <w:rFonts w:cs="Times New Roman"/>
                <w:sz w:val="20"/>
                <w:szCs w:val="20"/>
              </w:rPr>
              <w:t>.</w:t>
            </w:r>
          </w:p>
          <w:p w14:paraId="3D9ECA31" w14:textId="2F51DCC9" w:rsidR="001B5DA3" w:rsidRPr="000612E3" w:rsidRDefault="001B5DA3" w:rsidP="00373A5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cs="Times New Roman"/>
                <w:sz w:val="20"/>
                <w:szCs w:val="20"/>
              </w:rPr>
            </w:pPr>
            <w:r w:rsidRPr="000612E3">
              <w:rPr>
                <w:rFonts w:cs="Times New Roman"/>
                <w:sz w:val="20"/>
                <w:szCs w:val="20"/>
                <w:vertAlign w:val="superscript"/>
              </w:rPr>
              <w:t xml:space="preserve">1 </w:t>
            </w:r>
            <w:r w:rsidRPr="000612E3">
              <w:rPr>
                <w:rFonts w:cs="Times New Roman"/>
                <w:sz w:val="20"/>
                <w:szCs w:val="20"/>
              </w:rPr>
              <w:t>Sample design includes oversampling of Barnstable County residents.</w:t>
            </w:r>
          </w:p>
          <w:p w14:paraId="0FBF8748" w14:textId="285EDB06" w:rsidR="001B5DA3" w:rsidRPr="00EB0C48" w:rsidRDefault="001B5DA3" w:rsidP="009F5C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cs="Times New Roman"/>
              </w:rPr>
            </w:pPr>
            <w:r w:rsidRPr="00C36816">
              <w:rPr>
                <w:rFonts w:cs="Times New Roman"/>
                <w:sz w:val="20"/>
                <w:szCs w:val="20"/>
                <w:vertAlign w:val="superscript"/>
              </w:rPr>
              <w:t>2</w:t>
            </w:r>
            <w:r>
              <w:rPr>
                <w:rFonts w:cs="Times New Roman"/>
                <w:sz w:val="20"/>
                <w:szCs w:val="20"/>
              </w:rPr>
              <w:t xml:space="preserve"> Total population for selected counties. </w:t>
            </w:r>
          </w:p>
        </w:tc>
      </w:tr>
    </w:tbl>
    <w:p w14:paraId="6B394CAD" w14:textId="77777777" w:rsidR="001B5DA3" w:rsidRDefault="00650C2A" w:rsidP="00650C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cs="Times New Roman"/>
        </w:rPr>
      </w:pPr>
      <w:r w:rsidRPr="00DF48C0">
        <w:rPr>
          <w:rFonts w:cs="Times New Roman"/>
        </w:rPr>
        <w:tab/>
      </w:r>
    </w:p>
    <w:p w14:paraId="584BA5ED" w14:textId="0BF3DAEA" w:rsidR="00650C2A" w:rsidRPr="00DF48C0" w:rsidRDefault="001B5DA3" w:rsidP="005934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cs="Times New Roman"/>
        </w:rPr>
      </w:pPr>
      <w:r>
        <w:rPr>
          <w:rFonts w:cs="Times New Roman"/>
        </w:rPr>
        <w:tab/>
      </w:r>
      <w:bookmarkEnd w:id="95"/>
      <w:bookmarkEnd w:id="96"/>
    </w:p>
    <w:p w14:paraId="69294A97" w14:textId="77777777" w:rsidR="00650C2A" w:rsidRPr="00DF48C0" w:rsidRDefault="00650C2A" w:rsidP="00650C2A">
      <w:pPr>
        <w:pStyle w:val="Heading4"/>
        <w:rPr>
          <w:sz w:val="22"/>
          <w:szCs w:val="22"/>
        </w:rPr>
      </w:pPr>
      <w:bookmarkStart w:id="97" w:name="_Toc327184551"/>
      <w:bookmarkStart w:id="98" w:name="_Toc327362394"/>
      <w:r w:rsidRPr="00DF48C0">
        <w:rPr>
          <w:sz w:val="22"/>
          <w:szCs w:val="22"/>
        </w:rPr>
        <w:t>(iii)</w:t>
      </w:r>
      <w:r w:rsidRPr="00DF48C0">
        <w:rPr>
          <w:sz w:val="22"/>
          <w:szCs w:val="22"/>
        </w:rPr>
        <w:tab/>
        <w:t>Stratification Variables</w:t>
      </w:r>
      <w:bookmarkEnd w:id="97"/>
      <w:bookmarkEnd w:id="98"/>
    </w:p>
    <w:p w14:paraId="701F665C" w14:textId="77777777" w:rsidR="00650C2A" w:rsidRPr="00DF48C0" w:rsidRDefault="00650C2A" w:rsidP="006413B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cs="Times New Roman"/>
        </w:rPr>
      </w:pPr>
    </w:p>
    <w:p w14:paraId="7FA6B9A6" w14:textId="26CA0248" w:rsidR="006413B2" w:rsidRPr="00EB0C48" w:rsidRDefault="006413B2" w:rsidP="006413B2">
      <w:pPr>
        <w:spacing w:line="360" w:lineRule="auto"/>
        <w:ind w:firstLine="720"/>
        <w:rPr>
          <w:rFonts w:cs="Times New Roman"/>
        </w:rPr>
      </w:pPr>
      <w:r>
        <w:rPr>
          <w:rFonts w:cs="Times New Roman"/>
        </w:rPr>
        <w:t xml:space="preserve">The sample will be effectively stratified by geography, with Barnstable County, Massachusetts, being sampled at a rate 3.06 </w:t>
      </w:r>
      <w:r w:rsidR="00932C93">
        <w:rPr>
          <w:rFonts w:cs="Times New Roman"/>
        </w:rPr>
        <w:t xml:space="preserve">times </w:t>
      </w:r>
      <w:r>
        <w:rPr>
          <w:rFonts w:cs="Times New Roman"/>
        </w:rPr>
        <w:t xml:space="preserve">higher than the rest of the population in the study area. </w:t>
      </w:r>
      <w:r w:rsidR="004D1787">
        <w:rPr>
          <w:rFonts w:cs="Times New Roman"/>
        </w:rPr>
        <w:t xml:space="preserve">The sample will be drawn from </w:t>
      </w:r>
      <w:r>
        <w:rPr>
          <w:rFonts w:cs="Times New Roman"/>
        </w:rPr>
        <w:t>the general population address</w:t>
      </w:r>
      <w:r w:rsidR="004D1787">
        <w:rPr>
          <w:rFonts w:cs="Times New Roman"/>
        </w:rPr>
        <w:t>es</w:t>
      </w:r>
      <w:r>
        <w:rPr>
          <w:rFonts w:cs="Times New Roman"/>
        </w:rPr>
        <w:t xml:space="preserve"> of the USPS DSF. </w:t>
      </w:r>
    </w:p>
    <w:p w14:paraId="3A2D1A9A" w14:textId="77777777" w:rsidR="00650C2A" w:rsidRPr="00DF48C0" w:rsidRDefault="00650C2A" w:rsidP="00650C2A">
      <w:pPr>
        <w:spacing w:line="360" w:lineRule="auto"/>
        <w:ind w:firstLine="720"/>
        <w:rPr>
          <w:rFonts w:cs="Times New Roman"/>
        </w:rPr>
      </w:pPr>
    </w:p>
    <w:p w14:paraId="6F62652D" w14:textId="77777777" w:rsidR="00650C2A" w:rsidRPr="00DF48C0" w:rsidRDefault="00650C2A" w:rsidP="00650C2A">
      <w:pPr>
        <w:pStyle w:val="Heading4"/>
        <w:rPr>
          <w:sz w:val="22"/>
          <w:szCs w:val="22"/>
        </w:rPr>
      </w:pPr>
      <w:bookmarkStart w:id="99" w:name="_Toc327184552"/>
      <w:bookmarkStart w:id="100" w:name="_Toc327362395"/>
      <w:r w:rsidRPr="00DF48C0">
        <w:rPr>
          <w:sz w:val="22"/>
          <w:szCs w:val="22"/>
        </w:rPr>
        <w:t>(iv)</w:t>
      </w:r>
      <w:r w:rsidRPr="00DF48C0">
        <w:rPr>
          <w:sz w:val="22"/>
          <w:szCs w:val="22"/>
        </w:rPr>
        <w:tab/>
        <w:t>Sampling Method</w:t>
      </w:r>
      <w:bookmarkEnd w:id="99"/>
      <w:bookmarkEnd w:id="100"/>
    </w:p>
    <w:p w14:paraId="2CD06A62" w14:textId="77777777" w:rsidR="00650C2A" w:rsidRPr="00DF48C0" w:rsidRDefault="00650C2A" w:rsidP="00650C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cs="Times New Roman"/>
        </w:rPr>
      </w:pPr>
      <w:r w:rsidRPr="00DF48C0">
        <w:rPr>
          <w:rFonts w:cs="Times New Roman"/>
        </w:rPr>
        <w:tab/>
      </w:r>
    </w:p>
    <w:p w14:paraId="1E48E1D5" w14:textId="2BBB4740" w:rsidR="0048049B" w:rsidRPr="00DF48C0" w:rsidRDefault="00650C2A" w:rsidP="004804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cs="Times New Roman"/>
        </w:rPr>
      </w:pPr>
      <w:r w:rsidRPr="00DF48C0">
        <w:rPr>
          <w:rFonts w:cs="Times New Roman"/>
        </w:rPr>
        <w:tab/>
      </w:r>
      <w:r w:rsidRPr="00C609CD">
        <w:rPr>
          <w:rFonts w:cs="Times New Roman"/>
        </w:rPr>
        <w:t>Using the stratification design discussed above</w:t>
      </w:r>
      <w:r w:rsidRPr="00DF48C0">
        <w:rPr>
          <w:rFonts w:cs="Times New Roman"/>
        </w:rPr>
        <w:t xml:space="preserve">, </w:t>
      </w:r>
      <w:r w:rsidR="006413B2">
        <w:rPr>
          <w:rFonts w:cs="Times New Roman"/>
        </w:rPr>
        <w:t>individuals</w:t>
      </w:r>
      <w:r w:rsidRPr="00DF48C0">
        <w:rPr>
          <w:rFonts w:cs="Times New Roman"/>
        </w:rPr>
        <w:t xml:space="preserve"> will be randomly selected from the U.S. Postal Service DSF database.</w:t>
      </w:r>
      <w:r w:rsidR="004B5D91" w:rsidRPr="00DF48C0">
        <w:rPr>
          <w:rFonts w:cs="Times New Roman"/>
        </w:rPr>
        <w:t xml:space="preserve"> </w:t>
      </w:r>
      <w:r w:rsidR="0048049B">
        <w:rPr>
          <w:rFonts w:cs="Times New Roman"/>
        </w:rPr>
        <w:t>We will send the main survey to 8,4</w:t>
      </w:r>
      <w:r w:rsidR="0048049B" w:rsidRPr="00CD3B79">
        <w:rPr>
          <w:rFonts w:cs="Times New Roman"/>
        </w:rPr>
        <w:t xml:space="preserve">00 households </w:t>
      </w:r>
      <w:r w:rsidR="0048049B" w:rsidRPr="00DF48C0">
        <w:rPr>
          <w:rFonts w:cs="Times New Roman"/>
        </w:rPr>
        <w:t>from the DSF</w:t>
      </w:r>
      <w:r w:rsidR="0048049B">
        <w:rPr>
          <w:rFonts w:cs="Times New Roman"/>
        </w:rPr>
        <w:t>. I</w:t>
      </w:r>
      <w:r w:rsidR="0048049B" w:rsidRPr="0027578B">
        <w:rPr>
          <w:rFonts w:cs="Times New Roman"/>
        </w:rPr>
        <w:t>n addition</w:t>
      </w:r>
      <w:r w:rsidR="0048049B">
        <w:rPr>
          <w:rFonts w:cs="Times New Roman"/>
        </w:rPr>
        <w:t>,</w:t>
      </w:r>
      <w:r w:rsidR="0048049B" w:rsidRPr="0027578B">
        <w:rPr>
          <w:rFonts w:cs="Times New Roman"/>
        </w:rPr>
        <w:t xml:space="preserve"> we will administer</w:t>
      </w:r>
      <w:r w:rsidR="0048049B">
        <w:rPr>
          <w:rFonts w:cs="Times New Roman"/>
        </w:rPr>
        <w:t xml:space="preserve"> 750 surveys to Cape Cod residents for a total sample of 9,</w:t>
      </w:r>
      <w:r w:rsidR="004D1787">
        <w:rPr>
          <w:rFonts w:cs="Times New Roman"/>
        </w:rPr>
        <w:t>15</w:t>
      </w:r>
      <w:r w:rsidR="0048049B">
        <w:rPr>
          <w:rFonts w:cs="Times New Roman"/>
        </w:rPr>
        <w:t xml:space="preserve">0. </w:t>
      </w:r>
      <w:r w:rsidR="0048049B" w:rsidRPr="0048049B">
        <w:rPr>
          <w:rFonts w:cs="Times New Roman"/>
        </w:rPr>
        <w:t>Assuming undeliverable rates equal to county-level vacancy rates and a 27% response rate, we anticipate 2,16</w:t>
      </w:r>
      <w:r w:rsidR="00CC2944">
        <w:rPr>
          <w:rFonts w:cs="Times New Roman"/>
        </w:rPr>
        <w:t>3</w:t>
      </w:r>
      <w:r w:rsidR="0048049B" w:rsidRPr="0048049B">
        <w:rPr>
          <w:rFonts w:cs="Times New Roman"/>
        </w:rPr>
        <w:t xml:space="preserve"> completed surveys from the DSF.</w:t>
      </w:r>
      <w:r w:rsidR="0048049B" w:rsidRPr="0048049B">
        <w:rPr>
          <w:rStyle w:val="FootnoteReference"/>
          <w:rFonts w:cs="Times New Roman"/>
        </w:rPr>
        <w:footnoteReference w:id="2"/>
      </w:r>
      <w:r w:rsidR="0048049B" w:rsidRPr="0048049B">
        <w:rPr>
          <w:rFonts w:cs="Times New Roman"/>
        </w:rPr>
        <w:t xml:space="preserve"> </w:t>
      </w:r>
    </w:p>
    <w:p w14:paraId="2A1570DE" w14:textId="77777777" w:rsidR="00650C2A" w:rsidRPr="00DF48C0" w:rsidRDefault="00650C2A" w:rsidP="00650C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cs="Times New Roman"/>
        </w:rPr>
      </w:pPr>
      <w:r w:rsidRPr="00DF48C0">
        <w:rPr>
          <w:rFonts w:cs="Times New Roman"/>
        </w:rPr>
        <w:tab/>
        <w:t xml:space="preserve">For obtaining population-based estimates of various parameters, each responding household will be assigned a sampling weight. The weights will be used to produce estimates that: </w:t>
      </w:r>
    </w:p>
    <w:p w14:paraId="1397C726" w14:textId="77777777" w:rsidR="00650C2A" w:rsidRPr="00DF48C0" w:rsidRDefault="00650C2A" w:rsidP="00650C2A">
      <w:pPr>
        <w:pStyle w:val="ListParagraph"/>
        <w:numPr>
          <w:ilvl w:val="0"/>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Times New Roman" w:hAnsi="Times New Roman"/>
        </w:rPr>
      </w:pPr>
      <w:r w:rsidRPr="00DF48C0">
        <w:rPr>
          <w:rFonts w:ascii="Times New Roman" w:hAnsi="Times New Roman"/>
        </w:rPr>
        <w:t xml:space="preserve">are generalizable to the population from which the sample was selected; </w:t>
      </w:r>
    </w:p>
    <w:p w14:paraId="40BFAFC2" w14:textId="77777777" w:rsidR="00650C2A" w:rsidRPr="00DF48C0" w:rsidRDefault="00650C2A" w:rsidP="00650C2A">
      <w:pPr>
        <w:pStyle w:val="ListParagraph"/>
        <w:numPr>
          <w:ilvl w:val="0"/>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Times New Roman" w:hAnsi="Times New Roman"/>
        </w:rPr>
      </w:pPr>
      <w:r w:rsidRPr="00DF48C0">
        <w:rPr>
          <w:rFonts w:ascii="Times New Roman" w:hAnsi="Times New Roman"/>
        </w:rPr>
        <w:t xml:space="preserve">account for differential probabilities of selection across the sampling strata; </w:t>
      </w:r>
    </w:p>
    <w:p w14:paraId="14C66CBD" w14:textId="77777777" w:rsidR="00650C2A" w:rsidRPr="00DF48C0" w:rsidRDefault="00650C2A" w:rsidP="00650C2A">
      <w:pPr>
        <w:pStyle w:val="ListParagraph"/>
        <w:numPr>
          <w:ilvl w:val="0"/>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Times New Roman" w:hAnsi="Times New Roman"/>
        </w:rPr>
      </w:pPr>
      <w:r w:rsidRPr="00DF48C0">
        <w:rPr>
          <w:rFonts w:ascii="Times New Roman" w:hAnsi="Times New Roman"/>
        </w:rPr>
        <w:t xml:space="preserve">match the population distributions of selected demographic variables within strata; and </w:t>
      </w:r>
    </w:p>
    <w:p w14:paraId="1B46382C" w14:textId="77777777" w:rsidR="00650C2A" w:rsidRPr="00DF48C0" w:rsidRDefault="00650C2A" w:rsidP="00650C2A">
      <w:pPr>
        <w:pStyle w:val="ListParagraph"/>
        <w:numPr>
          <w:ilvl w:val="0"/>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Times New Roman" w:hAnsi="Times New Roman"/>
        </w:rPr>
      </w:pPr>
      <w:r w:rsidRPr="00DF48C0">
        <w:rPr>
          <w:rFonts w:ascii="Times New Roman" w:hAnsi="Times New Roman"/>
        </w:rPr>
        <w:t xml:space="preserve">allow for adjustments to reduce potential non-response bias. </w:t>
      </w:r>
    </w:p>
    <w:p w14:paraId="6FE5BB96" w14:textId="77777777" w:rsidR="00650C2A" w:rsidRPr="00DF48C0" w:rsidRDefault="00650C2A" w:rsidP="00650C2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cs="Times New Roman"/>
        </w:rPr>
      </w:pPr>
      <w:r w:rsidRPr="00DF48C0">
        <w:rPr>
          <w:rFonts w:cs="Times New Roman"/>
        </w:rPr>
        <w:t xml:space="preserve">These weights combine: </w:t>
      </w:r>
    </w:p>
    <w:p w14:paraId="5B5A4DE5" w14:textId="77777777" w:rsidR="00650C2A" w:rsidRPr="00DF48C0" w:rsidRDefault="00650C2A" w:rsidP="00650C2A">
      <w:pPr>
        <w:pStyle w:val="ListParagraph"/>
        <w:numPr>
          <w:ilvl w:val="0"/>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Times New Roman" w:hAnsi="Times New Roman"/>
        </w:rPr>
      </w:pPr>
      <w:r w:rsidRPr="00DF48C0">
        <w:rPr>
          <w:rFonts w:ascii="Times New Roman" w:hAnsi="Times New Roman"/>
        </w:rPr>
        <w:t xml:space="preserve">a base sampling weight which is the inverse of the probability of selection of the household; </w:t>
      </w:r>
    </w:p>
    <w:p w14:paraId="326B3351" w14:textId="77777777" w:rsidR="00650C2A" w:rsidRPr="00DF48C0" w:rsidRDefault="00650C2A" w:rsidP="00650C2A">
      <w:pPr>
        <w:pStyle w:val="ListParagraph"/>
        <w:numPr>
          <w:ilvl w:val="0"/>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Times New Roman" w:hAnsi="Times New Roman"/>
        </w:rPr>
      </w:pPr>
      <w:r w:rsidRPr="00DF48C0">
        <w:rPr>
          <w:rFonts w:ascii="Times New Roman" w:hAnsi="Times New Roman"/>
        </w:rPr>
        <w:t xml:space="preserve">a within-stratum adjustment for differential non-response across strata; and </w:t>
      </w:r>
    </w:p>
    <w:p w14:paraId="559C7E32" w14:textId="77777777" w:rsidR="00650C2A" w:rsidRPr="00DF48C0" w:rsidRDefault="00650C2A" w:rsidP="00650C2A">
      <w:pPr>
        <w:pStyle w:val="ListParagraph"/>
        <w:numPr>
          <w:ilvl w:val="0"/>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Times New Roman" w:hAnsi="Times New Roman"/>
        </w:rPr>
      </w:pPr>
      <w:r w:rsidRPr="00DF48C0">
        <w:rPr>
          <w:rFonts w:ascii="Times New Roman" w:hAnsi="Times New Roman"/>
        </w:rPr>
        <w:t>a non-response weight.</w:t>
      </w:r>
    </w:p>
    <w:p w14:paraId="6FA220D9" w14:textId="77777777" w:rsidR="00650C2A" w:rsidRPr="00DF48C0" w:rsidRDefault="00650C2A" w:rsidP="00650C2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cs="Times New Roman"/>
        </w:rPr>
      </w:pPr>
      <w:r w:rsidRPr="00DF48C0">
        <w:rPr>
          <w:rFonts w:cs="Times New Roman"/>
        </w:rPr>
        <w:t xml:space="preserve">Post-stratification adjustments may be made to match the sample to known population values (e.g., from Census data). </w:t>
      </w:r>
    </w:p>
    <w:p w14:paraId="39D3191F" w14:textId="77777777" w:rsidR="00650C2A" w:rsidRPr="00DF48C0" w:rsidRDefault="00650C2A" w:rsidP="00650C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cs="Times New Roman"/>
        </w:rPr>
      </w:pPr>
      <w:r w:rsidRPr="00DF48C0">
        <w:rPr>
          <w:rFonts w:cs="Times New Roman"/>
        </w:rPr>
        <w:tab/>
        <w:t>There are various models that can be used for non-response weighting. For example, non-response weights can be constructed based on estimated response propensities or on weighting class adjustments. Response propensities are designed to treat non-response as a stochastic process in which there are shared causes of the likelihood of non-response and the value of the survey variable. The weighting class approach assumes that within a weighting class (typically demographically-defined), non-respondents and respondents have the same or very similar distributions on the survey variables. If this model assumption holds, then applying weights to the respondents reduces bias in the estimator that is due to non-response.</w:t>
      </w:r>
      <w:r w:rsidR="004B5D91" w:rsidRPr="00DF48C0">
        <w:rPr>
          <w:rFonts w:cs="Times New Roman"/>
        </w:rPr>
        <w:t xml:space="preserve"> </w:t>
      </w:r>
      <w:r w:rsidRPr="00DF48C0">
        <w:rPr>
          <w:rFonts w:cs="Times New Roman"/>
        </w:rPr>
        <w:t>Several factors, including the difference between the sample and population distributions of demographic characteristics, and the plan for how to use weights in the regression models will determine which approach is most efficient for both estimating popu</w:t>
      </w:r>
      <w:r w:rsidR="00CE3DB1" w:rsidRPr="00DF48C0">
        <w:rPr>
          <w:rFonts w:cs="Times New Roman"/>
        </w:rPr>
        <w:t>lation parameters and for the reveale</w:t>
      </w:r>
      <w:r w:rsidRPr="00DF48C0">
        <w:rPr>
          <w:rFonts w:cs="Times New Roman"/>
        </w:rPr>
        <w:t xml:space="preserve">d-preference modeling. </w:t>
      </w:r>
    </w:p>
    <w:p w14:paraId="72779080" w14:textId="4162B75B" w:rsidR="00650C2A" w:rsidRPr="00DF48C0" w:rsidRDefault="00650C2A" w:rsidP="00650C2A">
      <w:pPr>
        <w:spacing w:line="360" w:lineRule="auto"/>
        <w:ind w:firstLine="720"/>
        <w:rPr>
          <w:rFonts w:cs="Times New Roman"/>
        </w:rPr>
      </w:pPr>
      <w:r w:rsidRPr="00DF48C0">
        <w:rPr>
          <w:rFonts w:cs="Times New Roman"/>
        </w:rPr>
        <w:t xml:space="preserve">To estimate </w:t>
      </w:r>
      <w:r w:rsidR="00CE3DB1" w:rsidRPr="00DF48C0">
        <w:rPr>
          <w:rFonts w:cs="Times New Roman"/>
        </w:rPr>
        <w:t xml:space="preserve">recreational use values </w:t>
      </w:r>
      <w:r w:rsidRPr="00DF48C0">
        <w:rPr>
          <w:rFonts w:cs="Times New Roman"/>
        </w:rPr>
        <w:t xml:space="preserve">for </w:t>
      </w:r>
      <w:r w:rsidR="00CE3DB1" w:rsidRPr="00DF48C0">
        <w:rPr>
          <w:rFonts w:cs="Times New Roman"/>
        </w:rPr>
        <w:t>changes in coastal water quality</w:t>
      </w:r>
      <w:r w:rsidRPr="00DF48C0">
        <w:rPr>
          <w:rFonts w:cs="Times New Roman"/>
        </w:rPr>
        <w:t xml:space="preserve">, data will be analyzed statistically using a standard random utility model framework. </w:t>
      </w:r>
      <w:r w:rsidR="005271E2">
        <w:rPr>
          <w:rFonts w:cs="Times New Roman"/>
        </w:rPr>
        <w:t>Additional</w:t>
      </w:r>
      <w:r w:rsidR="005935E9">
        <w:rPr>
          <w:rFonts w:cs="Times New Roman"/>
        </w:rPr>
        <w:t xml:space="preserve"> </w:t>
      </w:r>
      <w:r w:rsidR="005271E2">
        <w:rPr>
          <w:rFonts w:cs="Times New Roman"/>
        </w:rPr>
        <w:t xml:space="preserve">regression </w:t>
      </w:r>
      <w:r w:rsidR="005935E9">
        <w:rPr>
          <w:rFonts w:cs="Times New Roman"/>
        </w:rPr>
        <w:t xml:space="preserve">models will be estimated to examine </w:t>
      </w:r>
      <w:r w:rsidR="00B80849">
        <w:rPr>
          <w:rFonts w:cs="Times New Roman"/>
        </w:rPr>
        <w:t xml:space="preserve">other </w:t>
      </w:r>
      <w:r w:rsidR="005935E9">
        <w:rPr>
          <w:rFonts w:cs="Times New Roman"/>
        </w:rPr>
        <w:t xml:space="preserve">research </w:t>
      </w:r>
      <w:r w:rsidR="00B80849">
        <w:rPr>
          <w:rFonts w:cs="Times New Roman"/>
        </w:rPr>
        <w:t xml:space="preserve">hypotheses regarding </w:t>
      </w:r>
      <w:r w:rsidR="005935E9">
        <w:rPr>
          <w:rFonts w:cs="Times New Roman"/>
        </w:rPr>
        <w:t>the relationship between actual and perceived water quality and the relationship between sense of place and perceived water quality.</w:t>
      </w:r>
    </w:p>
    <w:p w14:paraId="6FEF8152" w14:textId="77777777" w:rsidR="00650C2A" w:rsidRPr="00DF48C0" w:rsidRDefault="00650C2A" w:rsidP="00650C2A">
      <w:pPr>
        <w:spacing w:line="360" w:lineRule="auto"/>
        <w:ind w:firstLine="720"/>
        <w:rPr>
          <w:rFonts w:cs="Times New Roman"/>
        </w:rPr>
      </w:pPr>
    </w:p>
    <w:p w14:paraId="52412CAF" w14:textId="77777777" w:rsidR="00650C2A" w:rsidRDefault="00650C2A" w:rsidP="00650C2A">
      <w:pPr>
        <w:pStyle w:val="Heading4"/>
        <w:rPr>
          <w:sz w:val="22"/>
          <w:szCs w:val="22"/>
        </w:rPr>
      </w:pPr>
      <w:r w:rsidRPr="00DF48C0">
        <w:rPr>
          <w:sz w:val="22"/>
          <w:szCs w:val="22"/>
        </w:rPr>
        <w:t xml:space="preserve"> </w:t>
      </w:r>
      <w:bookmarkStart w:id="101" w:name="_Toc327184553"/>
      <w:bookmarkStart w:id="102" w:name="_Toc327362396"/>
      <w:r w:rsidRPr="00DF48C0">
        <w:rPr>
          <w:sz w:val="22"/>
          <w:szCs w:val="22"/>
        </w:rPr>
        <w:t>(v)</w:t>
      </w:r>
      <w:r w:rsidRPr="00DF48C0">
        <w:rPr>
          <w:sz w:val="22"/>
          <w:szCs w:val="22"/>
        </w:rPr>
        <w:tab/>
        <w:t>Multi-Stage Sampling</w:t>
      </w:r>
      <w:bookmarkEnd w:id="101"/>
      <w:bookmarkEnd w:id="102"/>
    </w:p>
    <w:p w14:paraId="499F0328" w14:textId="77777777" w:rsidR="008C0236" w:rsidRPr="008C0236" w:rsidRDefault="008C0236" w:rsidP="008C0236"/>
    <w:p w14:paraId="4F31FFDD" w14:textId="77777777" w:rsidR="00650C2A" w:rsidRDefault="00650C2A" w:rsidP="00650C2A">
      <w:pPr>
        <w:spacing w:line="360" w:lineRule="auto"/>
        <w:ind w:firstLine="720"/>
        <w:rPr>
          <w:rFonts w:cs="Times New Roman"/>
        </w:rPr>
      </w:pPr>
      <w:r w:rsidRPr="00DF48C0">
        <w:rPr>
          <w:rFonts w:cs="Times New Roman"/>
        </w:rPr>
        <w:t>Multi-stage sampling will not be necessary for this survey.</w:t>
      </w:r>
    </w:p>
    <w:p w14:paraId="5164154A" w14:textId="77777777" w:rsidR="0052342B" w:rsidRDefault="0052342B" w:rsidP="00593437">
      <w:pPr>
        <w:pStyle w:val="Heading3"/>
        <w:keepLines/>
        <w:rPr>
          <w:sz w:val="22"/>
          <w:szCs w:val="22"/>
        </w:rPr>
      </w:pPr>
      <w:bookmarkStart w:id="103" w:name="_Toc327184554"/>
      <w:bookmarkStart w:id="104" w:name="_Toc327362397"/>
    </w:p>
    <w:p w14:paraId="28019650" w14:textId="58B275F5" w:rsidR="00650C2A" w:rsidRPr="00DF48C0" w:rsidRDefault="00650C2A" w:rsidP="00593437">
      <w:pPr>
        <w:pStyle w:val="Heading3"/>
        <w:keepLines/>
        <w:rPr>
          <w:sz w:val="22"/>
          <w:szCs w:val="22"/>
        </w:rPr>
      </w:pPr>
      <w:bookmarkStart w:id="105" w:name="_Toc473195114"/>
      <w:r w:rsidRPr="00DF48C0">
        <w:rPr>
          <w:sz w:val="22"/>
          <w:szCs w:val="22"/>
        </w:rPr>
        <w:t>2(c)</w:t>
      </w:r>
      <w:r w:rsidRPr="00DF48C0">
        <w:rPr>
          <w:sz w:val="22"/>
          <w:szCs w:val="22"/>
        </w:rPr>
        <w:tab/>
        <w:t>Precision Requirements</w:t>
      </w:r>
      <w:bookmarkEnd w:id="103"/>
      <w:bookmarkEnd w:id="104"/>
      <w:bookmarkEnd w:id="105"/>
    </w:p>
    <w:p w14:paraId="5FF04A69" w14:textId="77777777" w:rsidR="00650C2A" w:rsidRPr="00DF48C0" w:rsidRDefault="00650C2A" w:rsidP="00593437">
      <w:pPr>
        <w:pStyle w:val="Heading4"/>
        <w:keepLines/>
        <w:rPr>
          <w:sz w:val="22"/>
          <w:szCs w:val="22"/>
        </w:rPr>
      </w:pPr>
      <w:bookmarkStart w:id="106" w:name="_Toc327184555"/>
      <w:bookmarkStart w:id="107" w:name="_Toc327362398"/>
      <w:r w:rsidRPr="00DF48C0">
        <w:rPr>
          <w:sz w:val="22"/>
          <w:szCs w:val="22"/>
        </w:rPr>
        <w:t>(i)</w:t>
      </w:r>
      <w:r w:rsidRPr="00DF48C0">
        <w:rPr>
          <w:sz w:val="22"/>
          <w:szCs w:val="22"/>
        </w:rPr>
        <w:tab/>
        <w:t>Precision Targets</w:t>
      </w:r>
      <w:bookmarkEnd w:id="106"/>
      <w:bookmarkEnd w:id="107"/>
    </w:p>
    <w:p w14:paraId="206385B3" w14:textId="77777777" w:rsidR="00650C2A" w:rsidRPr="00DF48C0" w:rsidRDefault="00650C2A" w:rsidP="0059343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cs="Times New Roman"/>
        </w:rPr>
      </w:pPr>
      <w:r w:rsidRPr="00DF48C0">
        <w:rPr>
          <w:rFonts w:cs="Times New Roman"/>
        </w:rPr>
        <w:tab/>
      </w:r>
    </w:p>
    <w:p w14:paraId="2D10C4EB" w14:textId="5E954A43" w:rsidR="004B6463" w:rsidRDefault="006413B2" w:rsidP="00593437">
      <w:pPr>
        <w:keepNext/>
        <w:keepLines/>
        <w:spacing w:line="360" w:lineRule="auto"/>
        <w:ind w:firstLine="720"/>
        <w:rPr>
          <w:rFonts w:cs="Times New Roman"/>
        </w:rPr>
      </w:pPr>
      <w:r w:rsidRPr="00EB0C48">
        <w:rPr>
          <w:rFonts w:cs="Times New Roman"/>
        </w:rPr>
        <w:t xml:space="preserve">Table B2 presents expected sample sizes </w:t>
      </w:r>
      <w:r>
        <w:rPr>
          <w:rFonts w:cs="Times New Roman"/>
        </w:rPr>
        <w:t>for each state</w:t>
      </w:r>
      <w:r w:rsidRPr="00EB0C48">
        <w:rPr>
          <w:rFonts w:cs="Times New Roman"/>
        </w:rPr>
        <w:t>.</w:t>
      </w:r>
      <w:r>
        <w:rPr>
          <w:rFonts w:cs="Times New Roman"/>
        </w:rPr>
        <w:t xml:space="preserve"> </w:t>
      </w:r>
      <w:r w:rsidRPr="00EB0C48">
        <w:rPr>
          <w:rFonts w:cs="Times New Roman"/>
        </w:rPr>
        <w:t>The maximum acceptable sampling error for predicting response probabilities (i.e., the likelihood of choosing a given alternative) in the present case is ±10%, assuming a true response probability of 50% associated with a utility indifference point.</w:t>
      </w:r>
      <w:r>
        <w:rPr>
          <w:rFonts w:cs="Times New Roman"/>
        </w:rPr>
        <w:t xml:space="preserve"> </w:t>
      </w:r>
      <w:r w:rsidR="00D27A10">
        <w:rPr>
          <w:rFonts w:cs="Times New Roman"/>
        </w:rPr>
        <w:t>Precision of the survey estimates will be affected by the design effect due to unequal weights (i.e., weights assigned to the general population versus residents of Barnstable County). The estimated design effect is 1.</w:t>
      </w:r>
      <w:r w:rsidR="00FD6BAA">
        <w:rPr>
          <w:rFonts w:cs="Times New Roman"/>
        </w:rPr>
        <w:t>32</w:t>
      </w:r>
      <w:r w:rsidR="00D27A10">
        <w:rPr>
          <w:rFonts w:cs="Times New Roman"/>
        </w:rPr>
        <w:t xml:space="preserve"> which is comprised of</w:t>
      </w:r>
      <w:r w:rsidR="004B6463">
        <w:rPr>
          <w:rFonts w:cs="Times New Roman"/>
        </w:rPr>
        <w:t xml:space="preserve"> the design effect due to unequal selection probabilities, equal to 1.</w:t>
      </w:r>
      <w:r w:rsidR="00FD6BAA">
        <w:rPr>
          <w:rFonts w:cs="Times New Roman"/>
        </w:rPr>
        <w:t>04</w:t>
      </w:r>
      <w:r w:rsidR="004B6463">
        <w:rPr>
          <w:rFonts w:cs="Times New Roman"/>
        </w:rPr>
        <w:t>, and the design effect due to calibration and nonresponse adjustments, projected to be 1.27 (see Table B3 below). The effective sample size for this survey (i.e., the equivalent sample size of an independent, identically distributed sample that provides the same precision as this survey) is approximated by dividing the nominal sample size by the design effect due to unequal weighting. Thus, a sample of 2,</w:t>
      </w:r>
      <w:r w:rsidR="00531CDA">
        <w:rPr>
          <w:rFonts w:cs="Times New Roman"/>
        </w:rPr>
        <w:t>163</w:t>
      </w:r>
      <w:r w:rsidR="004B6463">
        <w:rPr>
          <w:rFonts w:cs="Times New Roman"/>
        </w:rPr>
        <w:t xml:space="preserve"> respondents (completed surveys) will provide an effective sample size of 1,</w:t>
      </w:r>
      <w:r w:rsidR="00FD6BAA">
        <w:rPr>
          <w:rFonts w:cs="Times New Roman"/>
        </w:rPr>
        <w:t>642</w:t>
      </w:r>
      <w:r w:rsidR="004B6463">
        <w:rPr>
          <w:rFonts w:cs="Times New Roman"/>
        </w:rPr>
        <w:t xml:space="preserve">. The </w:t>
      </w:r>
      <w:r w:rsidR="004B6463" w:rsidRPr="002C3FD2">
        <w:rPr>
          <w:rFonts w:cs="Times New Roman"/>
        </w:rPr>
        <w:t>margins of error for the estimates of population percentages rang</w:t>
      </w:r>
      <w:r w:rsidR="004B6463">
        <w:rPr>
          <w:rFonts w:cs="Times New Roman"/>
        </w:rPr>
        <w:t>e</w:t>
      </w:r>
      <w:r w:rsidR="004B6463" w:rsidRPr="002C3FD2">
        <w:rPr>
          <w:rFonts w:cs="Times New Roman"/>
        </w:rPr>
        <w:t xml:space="preserve"> from 2.</w:t>
      </w:r>
      <w:r w:rsidR="00FD6BAA">
        <w:rPr>
          <w:rFonts w:cs="Times New Roman"/>
        </w:rPr>
        <w:t>3</w:t>
      </w:r>
      <w:r w:rsidR="004B6463">
        <w:rPr>
          <w:rFonts w:cs="Times New Roman"/>
        </w:rPr>
        <w:t xml:space="preserve"> percent at the 50 percent</w:t>
      </w:r>
      <w:r w:rsidR="004B6463" w:rsidRPr="002C3FD2">
        <w:rPr>
          <w:rFonts w:cs="Times New Roman"/>
        </w:rPr>
        <w:t xml:space="preserve"> po</w:t>
      </w:r>
      <w:r w:rsidR="004B6463">
        <w:rPr>
          <w:rFonts w:cs="Times New Roman"/>
        </w:rPr>
        <w:t>pulation incidence level to 1.</w:t>
      </w:r>
      <w:r w:rsidR="00FD6BAA">
        <w:rPr>
          <w:rFonts w:cs="Times New Roman"/>
        </w:rPr>
        <w:t>5</w:t>
      </w:r>
      <w:r w:rsidR="004B6463">
        <w:rPr>
          <w:rFonts w:cs="Times New Roman"/>
        </w:rPr>
        <w:t xml:space="preserve"> percent at the 10 percent</w:t>
      </w:r>
      <w:r w:rsidR="004B6463" w:rsidRPr="002C3FD2">
        <w:rPr>
          <w:rFonts w:cs="Times New Roman"/>
        </w:rPr>
        <w:t xml:space="preserve"> population incidence level (Table B2).</w:t>
      </w:r>
      <w:r w:rsidR="004B6463">
        <w:rPr>
          <w:rFonts w:cs="Times New Roman"/>
        </w:rPr>
        <w:t xml:space="preserve"> </w:t>
      </w:r>
      <w:r w:rsidR="004B6463" w:rsidRPr="00DA513E">
        <w:rPr>
          <w:rFonts w:cs="Times New Roman"/>
        </w:rPr>
        <w:t>Assuming 30 percent of New England residents participate in coastal recreation</w:t>
      </w:r>
      <w:r w:rsidR="00E37783">
        <w:rPr>
          <w:rFonts w:cs="Times New Roman"/>
        </w:rPr>
        <w:t xml:space="preserve"> (based on a conservative interpretation of participation numbers for counties in our sample from NOAA’s national scale ocean recreation survey, provided to us by NOAA)</w:t>
      </w:r>
      <w:r w:rsidR="004B6463" w:rsidRPr="00DA513E">
        <w:rPr>
          <w:rFonts w:cs="Times New Roman"/>
        </w:rPr>
        <w:t>, the projected number of recreational users complet</w:t>
      </w:r>
      <w:r w:rsidR="000D56EF" w:rsidRPr="00DA513E">
        <w:rPr>
          <w:rFonts w:cs="Times New Roman"/>
        </w:rPr>
        <w:t>ing</w:t>
      </w:r>
      <w:r w:rsidR="004B6463" w:rsidRPr="00DA513E">
        <w:rPr>
          <w:rFonts w:cs="Times New Roman"/>
        </w:rPr>
        <w:t xml:space="preserve"> this survey is </w:t>
      </w:r>
      <w:r w:rsidR="00D3243B">
        <w:rPr>
          <w:rFonts w:cs="Times New Roman"/>
        </w:rPr>
        <w:t>64</w:t>
      </w:r>
      <w:r w:rsidR="00FD6BAA">
        <w:rPr>
          <w:rFonts w:cs="Times New Roman"/>
        </w:rPr>
        <w:t>9</w:t>
      </w:r>
      <w:r w:rsidR="004B6463" w:rsidRPr="00DA513E">
        <w:rPr>
          <w:rFonts w:cs="Times New Roman"/>
        </w:rPr>
        <w:t xml:space="preserve">, which provides an effective sample size of </w:t>
      </w:r>
      <w:r w:rsidR="00FD6BAA">
        <w:rPr>
          <w:rFonts w:cs="Times New Roman"/>
        </w:rPr>
        <w:t>493</w:t>
      </w:r>
      <w:r w:rsidR="004B6463" w:rsidRPr="00DA513E">
        <w:rPr>
          <w:rFonts w:cs="Times New Roman"/>
        </w:rPr>
        <w:t>. For</w:t>
      </w:r>
      <w:r w:rsidR="004B6463">
        <w:rPr>
          <w:rFonts w:cs="Times New Roman"/>
        </w:rPr>
        <w:t xml:space="preserve"> recreational users, the corresponding margins of error are 4.0 percent at the 50 percent population incidence level to 2.</w:t>
      </w:r>
      <w:r w:rsidR="00FD6BAA">
        <w:rPr>
          <w:rFonts w:cs="Times New Roman"/>
        </w:rPr>
        <w:t>6</w:t>
      </w:r>
      <w:r w:rsidR="00926604">
        <w:rPr>
          <w:rFonts w:cs="Times New Roman"/>
        </w:rPr>
        <w:t xml:space="preserve"> percent</w:t>
      </w:r>
      <w:r w:rsidR="004B6463">
        <w:rPr>
          <w:rFonts w:cs="Times New Roman"/>
        </w:rPr>
        <w:t xml:space="preserve"> at the 10</w:t>
      </w:r>
      <w:r w:rsidR="00926604">
        <w:rPr>
          <w:rFonts w:cs="Times New Roman"/>
        </w:rPr>
        <w:t xml:space="preserve"> percent</w:t>
      </w:r>
      <w:r w:rsidR="004B6463">
        <w:rPr>
          <w:rFonts w:cs="Times New Roman"/>
        </w:rPr>
        <w:t xml:space="preserve"> population incidence level. </w:t>
      </w:r>
      <w:r w:rsidR="004B6463" w:rsidRPr="00DA513E">
        <w:rPr>
          <w:rFonts w:cs="Times New Roman"/>
        </w:rPr>
        <w:t xml:space="preserve">The projected sample size for recreational users is expected to be sufficient to ensure large sample properties for developing regression models, as it will </w:t>
      </w:r>
      <w:r w:rsidR="00926604" w:rsidRPr="00DA513E">
        <w:rPr>
          <w:rFonts w:cs="Times New Roman"/>
        </w:rPr>
        <w:t>safely exceed the common rule</w:t>
      </w:r>
      <w:r w:rsidR="004B6463" w:rsidRPr="00DA513E">
        <w:rPr>
          <w:rFonts w:cs="Times New Roman"/>
        </w:rPr>
        <w:t xml:space="preserve"> of thumb of 20 observations per parameter (Harrell, 2015).</w:t>
      </w:r>
    </w:p>
    <w:p w14:paraId="466CF898" w14:textId="77777777" w:rsidR="004B6463" w:rsidRDefault="004B6463" w:rsidP="00593437">
      <w:pPr>
        <w:keepNext/>
        <w:keepLines/>
        <w:spacing w:line="360" w:lineRule="auto"/>
        <w:ind w:firstLine="720"/>
        <w:rPr>
          <w:rFonts w:cs="Times New Roman"/>
        </w:rPr>
      </w:pPr>
    </w:p>
    <w:p w14:paraId="78DC7FB9" w14:textId="77777777" w:rsidR="00650C2A" w:rsidRDefault="00650C2A" w:rsidP="00650C2A">
      <w:pPr>
        <w:spacing w:line="360" w:lineRule="auto"/>
        <w:rPr>
          <w:rFonts w:cs="Times New Roman"/>
        </w:rPr>
      </w:pPr>
    </w:p>
    <w:tbl>
      <w:tblPr>
        <w:tblW w:w="9661" w:type="dxa"/>
        <w:tblLayout w:type="fixed"/>
        <w:tblLook w:val="04A0" w:firstRow="1" w:lastRow="0" w:firstColumn="1" w:lastColumn="0" w:noHBand="0" w:noVBand="1"/>
      </w:tblPr>
      <w:tblGrid>
        <w:gridCol w:w="1998"/>
        <w:gridCol w:w="1440"/>
        <w:gridCol w:w="2160"/>
        <w:gridCol w:w="1327"/>
        <w:gridCol w:w="1392"/>
        <w:gridCol w:w="1344"/>
      </w:tblGrid>
      <w:tr w:rsidR="00FD6BAA" w:rsidRPr="00EB0C48" w14:paraId="22CC66D6" w14:textId="77777777" w:rsidTr="00863B89">
        <w:tc>
          <w:tcPr>
            <w:tcW w:w="9661" w:type="dxa"/>
            <w:gridSpan w:val="6"/>
            <w:tcBorders>
              <w:top w:val="single" w:sz="4" w:space="0" w:color="auto"/>
              <w:left w:val="single" w:sz="4" w:space="0" w:color="auto"/>
              <w:bottom w:val="single" w:sz="4" w:space="0" w:color="auto"/>
              <w:right w:val="single" w:sz="4" w:space="0" w:color="auto"/>
            </w:tcBorders>
            <w:shd w:val="clear" w:color="auto" w:fill="auto"/>
          </w:tcPr>
          <w:p w14:paraId="45C49D1E" w14:textId="77777777" w:rsidR="00FD6BAA" w:rsidRPr="00110A45" w:rsidRDefault="00FD6BAA" w:rsidP="00863B89">
            <w:pPr>
              <w:keepNext/>
              <w:keepLines/>
              <w:spacing w:line="360" w:lineRule="auto"/>
              <w:rPr>
                <w:rFonts w:cs="Times New Roman"/>
              </w:rPr>
            </w:pPr>
            <w:r w:rsidRPr="00110A45">
              <w:rPr>
                <w:rFonts w:cs="Times New Roman"/>
                <w:b/>
              </w:rPr>
              <w:t>T</w:t>
            </w:r>
            <w:r>
              <w:rPr>
                <w:rFonts w:cs="Times New Roman"/>
                <w:b/>
              </w:rPr>
              <w:t>able B2:</w:t>
            </w:r>
            <w:r w:rsidRPr="00110A45">
              <w:rPr>
                <w:rFonts w:cs="Times New Roman"/>
                <w:b/>
              </w:rPr>
              <w:t xml:space="preserve"> Sample size and accuracy projections</w:t>
            </w:r>
          </w:p>
        </w:tc>
      </w:tr>
      <w:tr w:rsidR="00FD6BAA" w:rsidRPr="00EB0C48" w14:paraId="1CBA0EBF" w14:textId="77777777" w:rsidTr="00863B89">
        <w:tc>
          <w:tcPr>
            <w:tcW w:w="1998" w:type="dxa"/>
            <w:tcBorders>
              <w:top w:val="single" w:sz="4" w:space="0" w:color="auto"/>
              <w:left w:val="single" w:sz="4" w:space="0" w:color="auto"/>
              <w:bottom w:val="single" w:sz="4" w:space="0" w:color="auto"/>
              <w:right w:val="single" w:sz="4" w:space="0" w:color="auto"/>
            </w:tcBorders>
            <w:shd w:val="clear" w:color="auto" w:fill="auto"/>
          </w:tcPr>
          <w:p w14:paraId="1691D88A" w14:textId="77777777" w:rsidR="00FD6BAA" w:rsidRPr="003C1A01" w:rsidRDefault="00FD6BAA" w:rsidP="00863B89">
            <w:pPr>
              <w:keepNext/>
              <w:keepLines/>
              <w:jc w:val="center"/>
              <w:rPr>
                <w:b/>
                <w:bCs/>
              </w:rPr>
            </w:pPr>
            <w:r w:rsidRPr="003C1A01">
              <w:rPr>
                <w:b/>
                <w:bCs/>
              </w:rPr>
              <w:t>State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42CF3D5" w14:textId="77777777" w:rsidR="00FD6BAA" w:rsidRPr="003C1A01" w:rsidRDefault="00FD6BAA" w:rsidP="00863B89">
            <w:pPr>
              <w:keepNext/>
              <w:keepLines/>
              <w:jc w:val="center"/>
              <w:rPr>
                <w:b/>
                <w:bCs/>
              </w:rPr>
            </w:pPr>
            <w:r w:rsidRPr="003C1A01">
              <w:rPr>
                <w:b/>
                <w:bCs/>
              </w:rPr>
              <w:t>Population size</w:t>
            </w:r>
            <w:r>
              <w:rPr>
                <w:b/>
                <w:bCs/>
              </w:rPr>
              <w:t xml:space="preserve"> for selected counties</w:t>
            </w:r>
            <w:r w:rsidRPr="0052342B">
              <w:rPr>
                <w:b/>
                <w:bCs/>
                <w:vertAlign w:val="superscript"/>
              </w:rPr>
              <w:t>1</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B931A14" w14:textId="77777777" w:rsidR="00FD6BAA" w:rsidRPr="003C1A01" w:rsidRDefault="00FD6BAA" w:rsidP="00863B89">
            <w:pPr>
              <w:keepNext/>
              <w:keepLines/>
              <w:jc w:val="center"/>
              <w:rPr>
                <w:b/>
                <w:bCs/>
              </w:rPr>
            </w:pPr>
            <w:r w:rsidRPr="003C1A01">
              <w:rPr>
                <w:b/>
                <w:bCs/>
              </w:rPr>
              <w:t>Expected sample size</w:t>
            </w:r>
          </w:p>
          <w:p w14:paraId="555C5A17" w14:textId="77777777" w:rsidR="00FD6BAA" w:rsidRPr="003C1A01" w:rsidRDefault="00FD6BAA" w:rsidP="00863B89">
            <w:pPr>
              <w:keepNext/>
              <w:keepLines/>
              <w:jc w:val="center"/>
              <w:rPr>
                <w:b/>
                <w:bCs/>
              </w:rPr>
            </w:pPr>
            <w:r w:rsidRPr="003C1A01">
              <w:rPr>
                <w:b/>
                <w:bCs/>
              </w:rPr>
              <w:t>(completed surveys)</w:t>
            </w: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52F902B0" w14:textId="77777777" w:rsidR="00FD6BAA" w:rsidRPr="003C1A01" w:rsidRDefault="00FD6BAA" w:rsidP="00863B89">
            <w:pPr>
              <w:keepNext/>
              <w:keepLines/>
              <w:jc w:val="center"/>
              <w:rPr>
                <w:b/>
                <w:bCs/>
              </w:rPr>
            </w:pPr>
            <w:r w:rsidRPr="003C1A01">
              <w:rPr>
                <w:b/>
                <w:bCs/>
              </w:rPr>
              <w:t>Effective sample size</w:t>
            </w: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35E90E14" w14:textId="77777777" w:rsidR="00FD6BAA" w:rsidRPr="003C1A01" w:rsidRDefault="00FD6BAA" w:rsidP="00863B89">
            <w:pPr>
              <w:keepNext/>
              <w:keepLines/>
              <w:jc w:val="center"/>
              <w:rPr>
                <w:b/>
                <w:bCs/>
              </w:rPr>
            </w:pPr>
            <w:r w:rsidRPr="003C1A01">
              <w:rPr>
                <w:b/>
                <w:bCs/>
              </w:rPr>
              <w:t>Margin of error, 50% incidence</w:t>
            </w:r>
            <w:r w:rsidRPr="003C1A01">
              <w:rPr>
                <w:b/>
                <w:bCs/>
                <w:vertAlign w:val="superscript"/>
              </w:rPr>
              <w:t>2</w:t>
            </w:r>
            <w:r>
              <w:rPr>
                <w:b/>
                <w:bCs/>
                <w:vertAlign w:val="superscript"/>
              </w:rPr>
              <w:t>, 3</w:t>
            </w:r>
          </w:p>
        </w:tc>
        <w:tc>
          <w:tcPr>
            <w:tcW w:w="1344" w:type="dxa"/>
            <w:tcBorders>
              <w:top w:val="single" w:sz="4" w:space="0" w:color="auto"/>
              <w:left w:val="single" w:sz="4" w:space="0" w:color="auto"/>
              <w:bottom w:val="single" w:sz="4" w:space="0" w:color="auto"/>
              <w:right w:val="single" w:sz="4" w:space="0" w:color="auto"/>
            </w:tcBorders>
            <w:shd w:val="clear" w:color="auto" w:fill="auto"/>
          </w:tcPr>
          <w:p w14:paraId="48CDDD92" w14:textId="77777777" w:rsidR="00FD6BAA" w:rsidRPr="003C1A01" w:rsidRDefault="00FD6BAA" w:rsidP="00863B89">
            <w:pPr>
              <w:keepNext/>
              <w:keepLines/>
              <w:jc w:val="center"/>
              <w:rPr>
                <w:b/>
                <w:bCs/>
              </w:rPr>
            </w:pPr>
            <w:r w:rsidRPr="003C1A01">
              <w:rPr>
                <w:b/>
                <w:bCs/>
              </w:rPr>
              <w:t>Margin of error, 10% incidence</w:t>
            </w:r>
            <w:r w:rsidRPr="003C1A01">
              <w:rPr>
                <w:b/>
                <w:bCs/>
                <w:vertAlign w:val="superscript"/>
              </w:rPr>
              <w:t>2</w:t>
            </w:r>
            <w:r>
              <w:rPr>
                <w:b/>
                <w:bCs/>
                <w:vertAlign w:val="superscript"/>
              </w:rPr>
              <w:t>,3</w:t>
            </w:r>
          </w:p>
        </w:tc>
      </w:tr>
      <w:tr w:rsidR="00FD6BAA" w:rsidRPr="00EB0C48" w14:paraId="1D122FEB" w14:textId="77777777" w:rsidTr="00863B89">
        <w:tc>
          <w:tcPr>
            <w:tcW w:w="1998" w:type="dxa"/>
            <w:tcBorders>
              <w:top w:val="single" w:sz="4" w:space="0" w:color="auto"/>
              <w:left w:val="single" w:sz="4" w:space="0" w:color="auto"/>
              <w:bottom w:val="single" w:sz="4" w:space="0" w:color="auto"/>
              <w:right w:val="single" w:sz="4" w:space="0" w:color="auto"/>
            </w:tcBorders>
            <w:shd w:val="clear" w:color="auto" w:fill="auto"/>
          </w:tcPr>
          <w:p w14:paraId="28D46DA9" w14:textId="77777777" w:rsidR="00FD6BAA" w:rsidRPr="00110A45" w:rsidRDefault="00FD6BAA" w:rsidP="00863B89">
            <w:pPr>
              <w:keepNext/>
              <w:keepLines/>
              <w:spacing w:line="360" w:lineRule="auto"/>
              <w:rPr>
                <w:rFonts w:cs="Times New Roman"/>
              </w:rPr>
            </w:pPr>
            <w:r w:rsidRPr="00110A45">
              <w:rPr>
                <w:rFonts w:cs="Times New Roman"/>
              </w:rPr>
              <w:t>Massachusetts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87FAFAD" w14:textId="77777777" w:rsidR="00FD6BAA" w:rsidRPr="00110A45" w:rsidRDefault="00FD6BAA" w:rsidP="00863B89">
            <w:pPr>
              <w:keepNext/>
              <w:keepLines/>
              <w:tabs>
                <w:tab w:val="decimal" w:pos="1152"/>
              </w:tabs>
              <w:spacing w:line="360" w:lineRule="auto"/>
              <w:rPr>
                <w:rFonts w:cs="Times New Roman"/>
              </w:rPr>
            </w:pPr>
            <w:r w:rsidRPr="00110A45">
              <w:rPr>
                <w:rFonts w:cs="Times New Roman"/>
              </w:rPr>
              <w:t>6,284,793</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5838465" w14:textId="77777777" w:rsidR="00FD6BAA" w:rsidRPr="00EB0C48" w:rsidRDefault="00FD6BAA" w:rsidP="00863B89">
            <w:pPr>
              <w:keepNext/>
              <w:keepLines/>
              <w:tabs>
                <w:tab w:val="decimal" w:pos="1422"/>
              </w:tabs>
              <w:spacing w:line="360" w:lineRule="auto"/>
              <w:rPr>
                <w:rFonts w:cs="Times New Roman"/>
              </w:rPr>
            </w:pPr>
            <w:r>
              <w:rPr>
                <w:rFonts w:cs="Times New Roman"/>
              </w:rPr>
              <w:t>1,581</w:t>
            </w:r>
            <w:r>
              <w:rPr>
                <w:rFonts w:cs="Times New Roman"/>
                <w:vertAlign w:val="superscript"/>
              </w:rPr>
              <w:t>4</w:t>
            </w: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317AFCF8" w14:textId="77777777" w:rsidR="00FD6BAA" w:rsidRPr="00FE258E" w:rsidRDefault="00FD6BAA" w:rsidP="00863B89">
            <w:pPr>
              <w:keepNext/>
              <w:keepLines/>
              <w:spacing w:line="360" w:lineRule="auto"/>
              <w:jc w:val="center"/>
              <w:rPr>
                <w:rFonts w:cs="Times New Roman"/>
              </w:rPr>
            </w:pPr>
            <w:r w:rsidRPr="00FE258E">
              <w:rPr>
                <w:rFonts w:cs="Times New Roman"/>
              </w:rPr>
              <w:t>1</w:t>
            </w:r>
            <w:r>
              <w:rPr>
                <w:rFonts w:cs="Times New Roman"/>
              </w:rPr>
              <w:t>,200</w:t>
            </w: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56478D9C" w14:textId="77777777" w:rsidR="00FD6BAA" w:rsidRPr="00FE258E" w:rsidRDefault="00FD6BAA" w:rsidP="00863B89">
            <w:pPr>
              <w:keepNext/>
              <w:keepLines/>
              <w:spacing w:line="360" w:lineRule="auto"/>
              <w:jc w:val="center"/>
              <w:rPr>
                <w:rFonts w:cs="Times New Roman"/>
              </w:rPr>
            </w:pPr>
            <w:r w:rsidRPr="00FE258E">
              <w:rPr>
                <w:rFonts w:cs="Times New Roman"/>
              </w:rPr>
              <w:t>2.8%</w:t>
            </w:r>
          </w:p>
        </w:tc>
        <w:tc>
          <w:tcPr>
            <w:tcW w:w="1344" w:type="dxa"/>
            <w:tcBorders>
              <w:top w:val="single" w:sz="4" w:space="0" w:color="auto"/>
              <w:left w:val="single" w:sz="4" w:space="0" w:color="auto"/>
              <w:bottom w:val="single" w:sz="4" w:space="0" w:color="auto"/>
              <w:right w:val="single" w:sz="4" w:space="0" w:color="auto"/>
            </w:tcBorders>
            <w:shd w:val="clear" w:color="auto" w:fill="auto"/>
          </w:tcPr>
          <w:p w14:paraId="12107982" w14:textId="77777777" w:rsidR="00FD6BAA" w:rsidRPr="00FE258E" w:rsidRDefault="00FD6BAA" w:rsidP="00863B89">
            <w:pPr>
              <w:keepNext/>
              <w:keepLines/>
              <w:spacing w:line="360" w:lineRule="auto"/>
              <w:jc w:val="center"/>
              <w:rPr>
                <w:rFonts w:cs="Times New Roman"/>
              </w:rPr>
            </w:pPr>
            <w:r w:rsidRPr="00FE258E">
              <w:rPr>
                <w:rFonts w:cs="Times New Roman"/>
              </w:rPr>
              <w:t>1.7%</w:t>
            </w:r>
          </w:p>
        </w:tc>
      </w:tr>
      <w:tr w:rsidR="00FD6BAA" w:rsidRPr="00EB0C48" w14:paraId="51B911D7" w14:textId="77777777" w:rsidTr="00863B89">
        <w:tc>
          <w:tcPr>
            <w:tcW w:w="1998" w:type="dxa"/>
            <w:tcBorders>
              <w:top w:val="single" w:sz="4" w:space="0" w:color="auto"/>
              <w:left w:val="single" w:sz="4" w:space="0" w:color="auto"/>
              <w:bottom w:val="single" w:sz="4" w:space="0" w:color="auto"/>
              <w:right w:val="single" w:sz="4" w:space="0" w:color="auto"/>
            </w:tcBorders>
            <w:shd w:val="clear" w:color="auto" w:fill="auto"/>
          </w:tcPr>
          <w:p w14:paraId="5DC50CFB" w14:textId="77777777" w:rsidR="00FD6BAA" w:rsidRPr="00110A45" w:rsidRDefault="00FD6BAA" w:rsidP="00863B89">
            <w:pPr>
              <w:keepNext/>
              <w:keepLines/>
              <w:spacing w:line="360" w:lineRule="auto"/>
              <w:rPr>
                <w:rFonts w:cs="Times New Roman"/>
              </w:rPr>
            </w:pPr>
            <w:r w:rsidRPr="00110A45">
              <w:rPr>
                <w:rFonts w:cs="Times New Roman"/>
              </w:rPr>
              <w:t>Connecticut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B8FE561" w14:textId="77777777" w:rsidR="00FD6BAA" w:rsidRPr="00110A45" w:rsidRDefault="00FD6BAA" w:rsidP="00863B89">
            <w:pPr>
              <w:keepNext/>
              <w:keepLines/>
              <w:tabs>
                <w:tab w:val="decimal" w:pos="1152"/>
              </w:tabs>
              <w:spacing w:line="360" w:lineRule="auto"/>
              <w:rPr>
                <w:rFonts w:cs="Times New Roman"/>
              </w:rPr>
            </w:pPr>
            <w:r w:rsidRPr="00110A45">
              <w:rPr>
                <w:rFonts w:cs="Times New Roman"/>
              </w:rPr>
              <w:t>708,910</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A5F9F2C" w14:textId="77777777" w:rsidR="00FD6BAA" w:rsidRPr="00EB0C48" w:rsidRDefault="00FD6BAA" w:rsidP="00863B89">
            <w:pPr>
              <w:keepNext/>
              <w:keepLines/>
              <w:tabs>
                <w:tab w:val="decimal" w:pos="1422"/>
              </w:tabs>
              <w:spacing w:line="360" w:lineRule="auto"/>
              <w:rPr>
                <w:rFonts w:cs="Times New Roman"/>
              </w:rPr>
            </w:pPr>
            <w:r>
              <w:rPr>
                <w:rFonts w:cs="Times New Roman"/>
              </w:rPr>
              <w:t>166</w:t>
            </w: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116A01E0" w14:textId="77777777" w:rsidR="00FD6BAA" w:rsidRPr="00FE258E" w:rsidRDefault="00FD6BAA" w:rsidP="00863B89">
            <w:pPr>
              <w:keepNext/>
              <w:keepLines/>
              <w:spacing w:line="360" w:lineRule="auto"/>
              <w:jc w:val="center"/>
              <w:rPr>
                <w:rFonts w:cs="Times New Roman"/>
              </w:rPr>
            </w:pPr>
            <w:r>
              <w:rPr>
                <w:rFonts w:cs="Times New Roman"/>
              </w:rPr>
              <w:t>126</w:t>
            </w: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2AD6AC44" w14:textId="77777777" w:rsidR="00FD6BAA" w:rsidRPr="00FE258E" w:rsidRDefault="00FD6BAA" w:rsidP="00863B89">
            <w:pPr>
              <w:keepNext/>
              <w:keepLines/>
              <w:spacing w:line="360" w:lineRule="auto"/>
              <w:jc w:val="center"/>
              <w:rPr>
                <w:rFonts w:cs="Times New Roman"/>
              </w:rPr>
            </w:pPr>
            <w:r w:rsidRPr="00FE258E">
              <w:rPr>
                <w:rFonts w:cs="Times New Roman"/>
              </w:rPr>
              <w:t>8.</w:t>
            </w:r>
            <w:r>
              <w:rPr>
                <w:rFonts w:cs="Times New Roman"/>
              </w:rPr>
              <w:t>7</w:t>
            </w:r>
            <w:r w:rsidRPr="00FE258E">
              <w:rPr>
                <w:rFonts w:cs="Times New Roman"/>
              </w:rPr>
              <w:t>%</w:t>
            </w:r>
          </w:p>
        </w:tc>
        <w:tc>
          <w:tcPr>
            <w:tcW w:w="1344" w:type="dxa"/>
            <w:tcBorders>
              <w:top w:val="single" w:sz="4" w:space="0" w:color="auto"/>
              <w:left w:val="single" w:sz="4" w:space="0" w:color="auto"/>
              <w:bottom w:val="single" w:sz="4" w:space="0" w:color="auto"/>
              <w:right w:val="single" w:sz="4" w:space="0" w:color="auto"/>
            </w:tcBorders>
            <w:shd w:val="clear" w:color="auto" w:fill="auto"/>
          </w:tcPr>
          <w:p w14:paraId="089B87E5" w14:textId="77777777" w:rsidR="00FD6BAA" w:rsidRPr="00FE258E" w:rsidRDefault="00FD6BAA" w:rsidP="00863B89">
            <w:pPr>
              <w:keepNext/>
              <w:keepLines/>
              <w:spacing w:line="360" w:lineRule="auto"/>
              <w:jc w:val="center"/>
              <w:rPr>
                <w:rFonts w:cs="Times New Roman"/>
              </w:rPr>
            </w:pPr>
            <w:r w:rsidRPr="00FE258E">
              <w:rPr>
                <w:rFonts w:cs="Times New Roman"/>
              </w:rPr>
              <w:t>5.2%</w:t>
            </w:r>
          </w:p>
        </w:tc>
      </w:tr>
      <w:tr w:rsidR="00FD6BAA" w:rsidRPr="00EB0C48" w14:paraId="633AD234" w14:textId="77777777" w:rsidTr="00863B89">
        <w:tc>
          <w:tcPr>
            <w:tcW w:w="1998" w:type="dxa"/>
            <w:tcBorders>
              <w:top w:val="single" w:sz="4" w:space="0" w:color="auto"/>
              <w:left w:val="single" w:sz="4" w:space="0" w:color="auto"/>
              <w:bottom w:val="single" w:sz="4" w:space="0" w:color="auto"/>
              <w:right w:val="single" w:sz="4" w:space="0" w:color="auto"/>
            </w:tcBorders>
            <w:shd w:val="clear" w:color="auto" w:fill="auto"/>
          </w:tcPr>
          <w:p w14:paraId="43EE410B" w14:textId="77777777" w:rsidR="00FD6BAA" w:rsidRPr="00110A45" w:rsidRDefault="00FD6BAA" w:rsidP="00863B89">
            <w:pPr>
              <w:keepNext/>
              <w:keepLines/>
              <w:spacing w:line="360" w:lineRule="auto"/>
              <w:rPr>
                <w:rFonts w:cs="Times New Roman"/>
              </w:rPr>
            </w:pPr>
            <w:r w:rsidRPr="00110A45">
              <w:rPr>
                <w:rFonts w:cs="Times New Roman"/>
              </w:rPr>
              <w:t>New Hampshire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64217F7" w14:textId="77777777" w:rsidR="00FD6BAA" w:rsidRPr="00110A45" w:rsidRDefault="00FD6BAA" w:rsidP="00863B89">
            <w:pPr>
              <w:keepNext/>
              <w:keepLines/>
              <w:tabs>
                <w:tab w:val="decimal" w:pos="1152"/>
              </w:tabs>
              <w:spacing w:line="360" w:lineRule="auto"/>
              <w:rPr>
                <w:rFonts w:cs="Times New Roman"/>
              </w:rPr>
            </w:pPr>
            <w:r w:rsidRPr="00110A45">
              <w:rPr>
                <w:rFonts w:cs="Times New Roman"/>
                <w:color w:val="000000"/>
              </w:rPr>
              <w:t>700,742</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09E37D2" w14:textId="77777777" w:rsidR="00FD6BAA" w:rsidRPr="00EB0C48" w:rsidRDefault="00FD6BAA" w:rsidP="00863B89">
            <w:pPr>
              <w:keepNext/>
              <w:keepLines/>
              <w:tabs>
                <w:tab w:val="decimal" w:pos="1422"/>
              </w:tabs>
              <w:spacing w:line="360" w:lineRule="auto"/>
              <w:rPr>
                <w:rFonts w:cs="Times New Roman"/>
              </w:rPr>
            </w:pPr>
            <w:r>
              <w:rPr>
                <w:rFonts w:cs="Times New Roman"/>
              </w:rPr>
              <w:t>166</w:t>
            </w: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60D04C01" w14:textId="77777777" w:rsidR="00FD6BAA" w:rsidRPr="00FE258E" w:rsidRDefault="00FD6BAA" w:rsidP="00863B89">
            <w:pPr>
              <w:keepNext/>
              <w:keepLines/>
              <w:spacing w:line="360" w:lineRule="auto"/>
              <w:jc w:val="center"/>
              <w:rPr>
                <w:rFonts w:cs="Times New Roman"/>
              </w:rPr>
            </w:pPr>
            <w:r>
              <w:rPr>
                <w:rFonts w:cs="Times New Roman"/>
              </w:rPr>
              <w:t>126</w:t>
            </w: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32009E9A" w14:textId="77777777" w:rsidR="00FD6BAA" w:rsidRPr="00FE258E" w:rsidRDefault="00FD6BAA" w:rsidP="00863B89">
            <w:pPr>
              <w:keepNext/>
              <w:keepLines/>
              <w:spacing w:line="360" w:lineRule="auto"/>
              <w:jc w:val="center"/>
              <w:rPr>
                <w:rFonts w:cs="Times New Roman"/>
              </w:rPr>
            </w:pPr>
            <w:r w:rsidRPr="00FE258E">
              <w:rPr>
                <w:rFonts w:cs="Times New Roman"/>
              </w:rPr>
              <w:t>8.</w:t>
            </w:r>
            <w:r>
              <w:rPr>
                <w:rFonts w:cs="Times New Roman"/>
              </w:rPr>
              <w:t>7</w:t>
            </w:r>
            <w:r w:rsidRPr="00FE258E">
              <w:rPr>
                <w:rFonts w:cs="Times New Roman"/>
              </w:rPr>
              <w:t>%</w:t>
            </w:r>
          </w:p>
        </w:tc>
        <w:tc>
          <w:tcPr>
            <w:tcW w:w="1344" w:type="dxa"/>
            <w:tcBorders>
              <w:top w:val="single" w:sz="4" w:space="0" w:color="auto"/>
              <w:left w:val="single" w:sz="4" w:space="0" w:color="auto"/>
              <w:bottom w:val="single" w:sz="4" w:space="0" w:color="auto"/>
              <w:right w:val="single" w:sz="4" w:space="0" w:color="auto"/>
            </w:tcBorders>
            <w:shd w:val="clear" w:color="auto" w:fill="auto"/>
          </w:tcPr>
          <w:p w14:paraId="5CD1446C" w14:textId="77777777" w:rsidR="00FD6BAA" w:rsidRPr="00FE258E" w:rsidRDefault="00FD6BAA" w:rsidP="00863B89">
            <w:pPr>
              <w:keepNext/>
              <w:keepLines/>
              <w:spacing w:line="360" w:lineRule="auto"/>
              <w:jc w:val="center"/>
              <w:rPr>
                <w:rFonts w:cs="Times New Roman"/>
              </w:rPr>
            </w:pPr>
            <w:r>
              <w:rPr>
                <w:rFonts w:cs="Times New Roman"/>
              </w:rPr>
              <w:t>5.2</w:t>
            </w:r>
            <w:r w:rsidRPr="00FE258E">
              <w:rPr>
                <w:rFonts w:cs="Times New Roman"/>
              </w:rPr>
              <w:t>%</w:t>
            </w:r>
          </w:p>
        </w:tc>
      </w:tr>
      <w:tr w:rsidR="00FD6BAA" w:rsidRPr="00EB0C48" w14:paraId="61DF095A" w14:textId="77777777" w:rsidTr="00863B89">
        <w:tc>
          <w:tcPr>
            <w:tcW w:w="1998" w:type="dxa"/>
            <w:tcBorders>
              <w:top w:val="single" w:sz="4" w:space="0" w:color="auto"/>
              <w:left w:val="single" w:sz="4" w:space="0" w:color="auto"/>
              <w:bottom w:val="single" w:sz="4" w:space="0" w:color="auto"/>
              <w:right w:val="single" w:sz="4" w:space="0" w:color="auto"/>
            </w:tcBorders>
            <w:shd w:val="clear" w:color="auto" w:fill="auto"/>
          </w:tcPr>
          <w:p w14:paraId="629EEF1A" w14:textId="77777777" w:rsidR="00FD6BAA" w:rsidRPr="00110A45" w:rsidRDefault="00FD6BAA" w:rsidP="00863B89">
            <w:pPr>
              <w:keepNext/>
              <w:keepLines/>
              <w:spacing w:line="360" w:lineRule="auto"/>
              <w:rPr>
                <w:rFonts w:cs="Times New Roman"/>
              </w:rPr>
            </w:pPr>
            <w:r w:rsidRPr="00110A45">
              <w:rPr>
                <w:rFonts w:cs="Times New Roman"/>
              </w:rPr>
              <w:t>Rhode Island</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647ACF6" w14:textId="77777777" w:rsidR="00FD6BAA" w:rsidRPr="00110A45" w:rsidRDefault="00FD6BAA" w:rsidP="00863B89">
            <w:pPr>
              <w:keepNext/>
              <w:keepLines/>
              <w:tabs>
                <w:tab w:val="decimal" w:pos="1152"/>
              </w:tabs>
              <w:spacing w:line="360" w:lineRule="auto"/>
              <w:rPr>
                <w:rFonts w:cs="Times New Roman"/>
                <w:color w:val="000000"/>
              </w:rPr>
            </w:pPr>
            <w:r w:rsidRPr="00110A45">
              <w:rPr>
                <w:rFonts w:cs="Times New Roman"/>
                <w:color w:val="000000"/>
              </w:rPr>
              <w:t>1,050,292</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6C31E28" w14:textId="77777777" w:rsidR="00FD6BAA" w:rsidRDefault="00FD6BAA" w:rsidP="00863B89">
            <w:pPr>
              <w:keepNext/>
              <w:keepLines/>
              <w:tabs>
                <w:tab w:val="decimal" w:pos="1422"/>
              </w:tabs>
              <w:spacing w:line="360" w:lineRule="auto"/>
              <w:rPr>
                <w:rFonts w:cs="Times New Roman"/>
              </w:rPr>
            </w:pPr>
            <w:r>
              <w:rPr>
                <w:rFonts w:cs="Times New Roman"/>
              </w:rPr>
              <w:t>250</w:t>
            </w: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06688E45" w14:textId="77777777" w:rsidR="00FD6BAA" w:rsidRPr="00FE258E" w:rsidRDefault="00FD6BAA" w:rsidP="00863B89">
            <w:pPr>
              <w:keepNext/>
              <w:keepLines/>
              <w:spacing w:line="360" w:lineRule="auto"/>
              <w:jc w:val="center"/>
              <w:rPr>
                <w:rFonts w:cs="Times New Roman"/>
              </w:rPr>
            </w:pPr>
            <w:r>
              <w:rPr>
                <w:rFonts w:cs="Times New Roman"/>
              </w:rPr>
              <w:t>190</w:t>
            </w: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7426A735" w14:textId="77777777" w:rsidR="00FD6BAA" w:rsidRPr="00FE258E" w:rsidRDefault="00FD6BAA" w:rsidP="00863B89">
            <w:pPr>
              <w:keepNext/>
              <w:keepLines/>
              <w:spacing w:line="360" w:lineRule="auto"/>
              <w:jc w:val="center"/>
              <w:rPr>
                <w:rFonts w:cs="Times New Roman"/>
              </w:rPr>
            </w:pPr>
            <w:r w:rsidRPr="00FE258E">
              <w:rPr>
                <w:rFonts w:cs="Times New Roman"/>
              </w:rPr>
              <w:t>7.</w:t>
            </w:r>
            <w:r>
              <w:rPr>
                <w:rFonts w:cs="Times New Roman"/>
              </w:rPr>
              <w:t>1</w:t>
            </w:r>
            <w:r w:rsidRPr="00FE258E">
              <w:rPr>
                <w:rFonts w:cs="Times New Roman"/>
              </w:rPr>
              <w:t>%</w:t>
            </w:r>
          </w:p>
        </w:tc>
        <w:tc>
          <w:tcPr>
            <w:tcW w:w="1344" w:type="dxa"/>
            <w:tcBorders>
              <w:top w:val="single" w:sz="4" w:space="0" w:color="auto"/>
              <w:left w:val="single" w:sz="4" w:space="0" w:color="auto"/>
              <w:bottom w:val="single" w:sz="4" w:space="0" w:color="auto"/>
              <w:right w:val="single" w:sz="4" w:space="0" w:color="auto"/>
            </w:tcBorders>
            <w:shd w:val="clear" w:color="auto" w:fill="auto"/>
          </w:tcPr>
          <w:p w14:paraId="09E99AA9" w14:textId="77777777" w:rsidR="00FD6BAA" w:rsidRPr="00FE258E" w:rsidRDefault="00FD6BAA" w:rsidP="00863B89">
            <w:pPr>
              <w:keepNext/>
              <w:keepLines/>
              <w:spacing w:line="360" w:lineRule="auto"/>
              <w:jc w:val="center"/>
              <w:rPr>
                <w:rFonts w:cs="Times New Roman"/>
              </w:rPr>
            </w:pPr>
            <w:r w:rsidRPr="00FE258E">
              <w:rPr>
                <w:rFonts w:cs="Times New Roman"/>
              </w:rPr>
              <w:t>4.</w:t>
            </w:r>
            <w:r>
              <w:rPr>
                <w:rFonts w:cs="Times New Roman"/>
              </w:rPr>
              <w:t>3</w:t>
            </w:r>
            <w:r w:rsidRPr="00FE258E">
              <w:rPr>
                <w:rFonts w:cs="Times New Roman"/>
              </w:rPr>
              <w:t>%</w:t>
            </w:r>
          </w:p>
        </w:tc>
      </w:tr>
      <w:tr w:rsidR="00FD6BAA" w:rsidRPr="00EB0C48" w14:paraId="580003C8" w14:textId="77777777" w:rsidTr="00863B89">
        <w:tc>
          <w:tcPr>
            <w:tcW w:w="1998" w:type="dxa"/>
            <w:tcBorders>
              <w:top w:val="single" w:sz="4" w:space="0" w:color="auto"/>
              <w:left w:val="single" w:sz="4" w:space="0" w:color="auto"/>
              <w:bottom w:val="single" w:sz="4" w:space="0" w:color="auto"/>
              <w:right w:val="single" w:sz="4" w:space="0" w:color="auto"/>
            </w:tcBorders>
            <w:shd w:val="clear" w:color="auto" w:fill="auto"/>
          </w:tcPr>
          <w:p w14:paraId="4476B83B" w14:textId="77777777" w:rsidR="00FD6BAA" w:rsidRPr="00110A45" w:rsidRDefault="00FD6BAA" w:rsidP="00863B89">
            <w:pPr>
              <w:keepNext/>
              <w:keepLines/>
              <w:spacing w:line="360" w:lineRule="auto"/>
              <w:rPr>
                <w:rFonts w:cs="Times New Roman"/>
              </w:rPr>
            </w:pPr>
            <w:r w:rsidRPr="00110A45">
              <w:rPr>
                <w:rFonts w:cs="Times New Roman"/>
              </w:rPr>
              <w:t>Overall</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98696EA" w14:textId="77777777" w:rsidR="00FD6BAA" w:rsidRPr="00110A45" w:rsidRDefault="00FD6BAA" w:rsidP="00863B89">
            <w:pPr>
              <w:keepNext/>
              <w:keepLines/>
              <w:tabs>
                <w:tab w:val="decimal" w:pos="1152"/>
              </w:tabs>
              <w:spacing w:line="360" w:lineRule="auto"/>
              <w:rPr>
                <w:rFonts w:cs="Times New Roman"/>
              </w:rPr>
            </w:pPr>
            <w:r w:rsidRPr="00110A45">
              <w:rPr>
                <w:rFonts w:cs="Times New Roman"/>
                <w:bCs/>
                <w:color w:val="000000"/>
              </w:rPr>
              <w:t>8,744,737</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B583C90" w14:textId="77777777" w:rsidR="00FD6BAA" w:rsidRPr="00EB0C48" w:rsidRDefault="00FD6BAA" w:rsidP="00863B89">
            <w:pPr>
              <w:keepNext/>
              <w:keepLines/>
              <w:tabs>
                <w:tab w:val="decimal" w:pos="1422"/>
              </w:tabs>
              <w:spacing w:line="360" w:lineRule="auto"/>
              <w:rPr>
                <w:rFonts w:cs="Times New Roman"/>
              </w:rPr>
            </w:pPr>
            <w:r>
              <w:rPr>
                <w:rFonts w:cs="Times New Roman"/>
              </w:rPr>
              <w:t>2163</w:t>
            </w: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63184AEF" w14:textId="77777777" w:rsidR="00FD6BAA" w:rsidRPr="00FE258E" w:rsidRDefault="00FD6BAA" w:rsidP="00863B89">
            <w:pPr>
              <w:keepNext/>
              <w:keepLines/>
              <w:spacing w:line="360" w:lineRule="auto"/>
              <w:jc w:val="center"/>
              <w:rPr>
                <w:rFonts w:cs="Times New Roman"/>
              </w:rPr>
            </w:pPr>
            <w:r w:rsidRPr="00FE258E">
              <w:rPr>
                <w:rFonts w:cs="Times New Roman"/>
              </w:rPr>
              <w:t>1</w:t>
            </w:r>
            <w:r>
              <w:rPr>
                <w:rFonts w:cs="Times New Roman"/>
              </w:rPr>
              <w:t>,643</w:t>
            </w: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35FF9EDF" w14:textId="77777777" w:rsidR="00FD6BAA" w:rsidRPr="00FE258E" w:rsidRDefault="00FD6BAA" w:rsidP="00863B89">
            <w:pPr>
              <w:keepNext/>
              <w:keepLines/>
              <w:spacing w:line="360" w:lineRule="auto"/>
              <w:jc w:val="center"/>
              <w:rPr>
                <w:rFonts w:cs="Times New Roman"/>
              </w:rPr>
            </w:pPr>
            <w:r>
              <w:rPr>
                <w:rFonts w:cs="Times New Roman"/>
              </w:rPr>
              <w:t>2.4</w:t>
            </w:r>
            <w:r w:rsidRPr="00FE258E">
              <w:rPr>
                <w:rFonts w:cs="Times New Roman"/>
              </w:rPr>
              <w:t>%</w:t>
            </w:r>
          </w:p>
        </w:tc>
        <w:tc>
          <w:tcPr>
            <w:tcW w:w="1344" w:type="dxa"/>
            <w:tcBorders>
              <w:top w:val="single" w:sz="4" w:space="0" w:color="auto"/>
              <w:left w:val="single" w:sz="4" w:space="0" w:color="auto"/>
              <w:bottom w:val="single" w:sz="4" w:space="0" w:color="auto"/>
              <w:right w:val="single" w:sz="4" w:space="0" w:color="auto"/>
            </w:tcBorders>
            <w:shd w:val="clear" w:color="auto" w:fill="auto"/>
          </w:tcPr>
          <w:p w14:paraId="2A7EA801" w14:textId="77777777" w:rsidR="00FD6BAA" w:rsidRPr="00FE258E" w:rsidRDefault="00FD6BAA" w:rsidP="00863B89">
            <w:pPr>
              <w:keepNext/>
              <w:keepLines/>
              <w:spacing w:line="360" w:lineRule="auto"/>
              <w:jc w:val="center"/>
              <w:rPr>
                <w:rFonts w:cs="Times New Roman"/>
              </w:rPr>
            </w:pPr>
            <w:r>
              <w:rPr>
                <w:rFonts w:cs="Times New Roman"/>
              </w:rPr>
              <w:t>1</w:t>
            </w:r>
            <w:r w:rsidRPr="00FE258E">
              <w:rPr>
                <w:rFonts w:cs="Times New Roman"/>
              </w:rPr>
              <w:t>.</w:t>
            </w:r>
            <w:r>
              <w:rPr>
                <w:rFonts w:cs="Times New Roman"/>
              </w:rPr>
              <w:t>5</w:t>
            </w:r>
            <w:r w:rsidRPr="00FE258E">
              <w:rPr>
                <w:rFonts w:cs="Times New Roman"/>
              </w:rPr>
              <w:t>%</w:t>
            </w:r>
          </w:p>
        </w:tc>
      </w:tr>
      <w:tr w:rsidR="00FD6BAA" w:rsidRPr="00EB0C48" w14:paraId="1FB9CC4A" w14:textId="77777777" w:rsidTr="00863B89">
        <w:tc>
          <w:tcPr>
            <w:tcW w:w="9661" w:type="dxa"/>
            <w:gridSpan w:val="6"/>
            <w:tcBorders>
              <w:top w:val="single" w:sz="4" w:space="0" w:color="auto"/>
              <w:left w:val="single" w:sz="4" w:space="0" w:color="auto"/>
              <w:bottom w:val="single" w:sz="4" w:space="0" w:color="auto"/>
              <w:right w:val="single" w:sz="4" w:space="0" w:color="auto"/>
            </w:tcBorders>
            <w:shd w:val="clear" w:color="auto" w:fill="auto"/>
          </w:tcPr>
          <w:p w14:paraId="139DEC32" w14:textId="77777777" w:rsidR="00FD6BAA" w:rsidRPr="003C1A01" w:rsidRDefault="00FD6BAA" w:rsidP="00863B89">
            <w:pPr>
              <w:spacing w:line="360" w:lineRule="auto"/>
              <w:rPr>
                <w:rFonts w:cs="Times New Roman"/>
                <w:sz w:val="20"/>
                <w:szCs w:val="20"/>
              </w:rPr>
            </w:pPr>
            <w:r w:rsidRPr="003C1A01">
              <w:rPr>
                <w:rFonts w:cs="Times New Roman"/>
                <w:sz w:val="20"/>
                <w:szCs w:val="20"/>
              </w:rPr>
              <w:t>Source for population size</w:t>
            </w:r>
            <w:r w:rsidRPr="003C1A01">
              <w:rPr>
                <w:rFonts w:cs="Times New Roman"/>
                <w:i/>
                <w:sz w:val="20"/>
                <w:szCs w:val="20"/>
              </w:rPr>
              <w:t>:</w:t>
            </w:r>
            <w:r w:rsidRPr="003C1A01">
              <w:rPr>
                <w:rFonts w:cs="Times New Roman"/>
                <w:sz w:val="20"/>
                <w:szCs w:val="20"/>
              </w:rPr>
              <w:t xml:space="preserve"> U.S. Census Bureau (2013). Annual Estimates of the Resident Population: April 1, 2010 to July 1, 2012. Retrieved September 22, 2016 from </w:t>
            </w:r>
            <w:hyperlink r:id="rId12" w:history="1">
              <w:r w:rsidRPr="003C1A01">
                <w:rPr>
                  <w:rStyle w:val="Hyperlink"/>
                  <w:rFonts w:cs="Times New Roman"/>
                  <w:sz w:val="20"/>
                  <w:szCs w:val="20"/>
                </w:rPr>
                <w:t>http://factfinder2.census.gov/</w:t>
              </w:r>
            </w:hyperlink>
            <w:r w:rsidRPr="003C1A01">
              <w:rPr>
                <w:rFonts w:cs="Times New Roman"/>
                <w:sz w:val="20"/>
                <w:szCs w:val="20"/>
              </w:rPr>
              <w:t xml:space="preserve">. </w:t>
            </w:r>
          </w:p>
          <w:p w14:paraId="2C7AFA28" w14:textId="77777777" w:rsidR="00FD6BAA" w:rsidRDefault="00FD6BAA" w:rsidP="00863B89">
            <w:pPr>
              <w:spacing w:line="360" w:lineRule="auto"/>
              <w:rPr>
                <w:sz w:val="20"/>
                <w:szCs w:val="20"/>
              </w:rPr>
            </w:pPr>
            <w:r w:rsidRPr="003C1A01">
              <w:rPr>
                <w:sz w:val="20"/>
                <w:szCs w:val="20"/>
                <w:vertAlign w:val="superscript"/>
              </w:rPr>
              <w:t>1</w:t>
            </w:r>
            <w:r w:rsidRPr="00A94E27">
              <w:rPr>
                <w:sz w:val="20"/>
                <w:szCs w:val="20"/>
              </w:rPr>
              <w:t xml:space="preserve"> Includes individuals who reside in counties where at least 25% of county’s geographic area falls within a 100-mile radius of Cape Cod.</w:t>
            </w:r>
          </w:p>
          <w:p w14:paraId="04DB88A8" w14:textId="77777777" w:rsidR="00FD6BAA" w:rsidRDefault="00FD6BAA" w:rsidP="00863B89">
            <w:pPr>
              <w:spacing w:line="360" w:lineRule="auto"/>
              <w:rPr>
                <w:b/>
                <w:bCs/>
                <w:vertAlign w:val="superscript"/>
              </w:rPr>
            </w:pPr>
            <w:r>
              <w:rPr>
                <w:b/>
                <w:bCs/>
                <w:vertAlign w:val="superscript"/>
              </w:rPr>
              <w:t xml:space="preserve">2 </w:t>
            </w:r>
            <w:r>
              <w:rPr>
                <w:sz w:val="20"/>
                <w:szCs w:val="20"/>
              </w:rPr>
              <w:t>T</w:t>
            </w:r>
            <w:r w:rsidRPr="008562C9">
              <w:rPr>
                <w:sz w:val="20"/>
                <w:szCs w:val="20"/>
              </w:rPr>
              <w:t>he equivalent sample size of an independent, identically distributed sample that provides the same precision as the complex design survey at hand</w:t>
            </w:r>
            <w:r>
              <w:rPr>
                <w:sz w:val="20"/>
                <w:szCs w:val="20"/>
              </w:rPr>
              <w:t>.</w:t>
            </w:r>
            <w:r w:rsidRPr="00A94E27">
              <w:rPr>
                <w:b/>
                <w:bCs/>
                <w:vertAlign w:val="superscript"/>
              </w:rPr>
              <w:t xml:space="preserve"> </w:t>
            </w:r>
          </w:p>
          <w:p w14:paraId="75164A61" w14:textId="77777777" w:rsidR="00FD6BAA" w:rsidRDefault="00FD6BAA" w:rsidP="00863B89">
            <w:pPr>
              <w:spacing w:line="360" w:lineRule="auto"/>
              <w:rPr>
                <w:sz w:val="20"/>
                <w:szCs w:val="20"/>
              </w:rPr>
            </w:pPr>
            <w:r>
              <w:rPr>
                <w:b/>
                <w:bCs/>
                <w:vertAlign w:val="superscript"/>
              </w:rPr>
              <w:t xml:space="preserve">3 </w:t>
            </w:r>
            <w:r w:rsidRPr="003C1A01">
              <w:rPr>
                <w:sz w:val="20"/>
                <w:szCs w:val="20"/>
              </w:rPr>
              <w:t>The margin of error is 1.96 times the standard error.</w:t>
            </w:r>
            <w:r>
              <w:rPr>
                <w:sz w:val="20"/>
                <w:szCs w:val="20"/>
              </w:rPr>
              <w:t xml:space="preserve"> The standard errors are based on the effective sample size.</w:t>
            </w:r>
          </w:p>
          <w:p w14:paraId="733051AA" w14:textId="77777777" w:rsidR="00FD6BAA" w:rsidRPr="003C1A01" w:rsidRDefault="00FD6BAA" w:rsidP="00863B89">
            <w:pPr>
              <w:spacing w:line="360" w:lineRule="auto"/>
            </w:pPr>
            <w:r>
              <w:rPr>
                <w:b/>
                <w:bCs/>
                <w:vertAlign w:val="superscript"/>
              </w:rPr>
              <w:t xml:space="preserve">4 </w:t>
            </w:r>
            <w:r w:rsidRPr="003C1A01">
              <w:rPr>
                <w:sz w:val="20"/>
                <w:szCs w:val="20"/>
              </w:rPr>
              <w:t>Includes oversampling of the Barnstable County</w:t>
            </w:r>
            <w:r>
              <w:rPr>
                <w:sz w:val="20"/>
                <w:szCs w:val="20"/>
              </w:rPr>
              <w:t>.</w:t>
            </w:r>
          </w:p>
        </w:tc>
      </w:tr>
    </w:tbl>
    <w:p w14:paraId="7500094D" w14:textId="77777777" w:rsidR="006413B2" w:rsidRPr="00DF48C0" w:rsidRDefault="006413B2" w:rsidP="00650C2A">
      <w:pPr>
        <w:spacing w:line="360" w:lineRule="auto"/>
        <w:rPr>
          <w:rFonts w:cs="Times New Roman"/>
        </w:rPr>
      </w:pPr>
    </w:p>
    <w:p w14:paraId="1D71B913" w14:textId="77777777" w:rsidR="00650C2A" w:rsidRPr="00DF48C0" w:rsidRDefault="00650C2A" w:rsidP="00650C2A">
      <w:pPr>
        <w:pStyle w:val="Heading4"/>
        <w:rPr>
          <w:sz w:val="22"/>
          <w:szCs w:val="22"/>
        </w:rPr>
      </w:pPr>
      <w:r w:rsidRPr="00DF48C0">
        <w:rPr>
          <w:sz w:val="22"/>
          <w:szCs w:val="22"/>
        </w:rPr>
        <w:t xml:space="preserve">(ii) </w:t>
      </w:r>
      <w:r w:rsidRPr="00DF48C0">
        <w:rPr>
          <w:sz w:val="22"/>
          <w:szCs w:val="22"/>
        </w:rPr>
        <w:tab/>
        <w:t>Power analysis</w:t>
      </w:r>
    </w:p>
    <w:p w14:paraId="2ED5C92C" w14:textId="77777777" w:rsidR="006413B2" w:rsidRPr="00EB0C48" w:rsidRDefault="00650C2A" w:rsidP="00593437">
      <w:pPr>
        <w:keepNext/>
        <w:keepLines/>
        <w:spacing w:line="360" w:lineRule="auto"/>
        <w:ind w:firstLine="720"/>
        <w:rPr>
          <w:rFonts w:cs="Times New Roman"/>
        </w:rPr>
      </w:pPr>
      <w:r w:rsidRPr="00DF48C0">
        <w:rPr>
          <w:rFonts w:cs="Times New Roman"/>
        </w:rPr>
        <w:tab/>
      </w:r>
    </w:p>
    <w:p w14:paraId="660A1B7C" w14:textId="6C8EF396" w:rsidR="003D2E33" w:rsidRPr="00EB0C48" w:rsidRDefault="006413B2" w:rsidP="00593437">
      <w:pPr>
        <w:keepNext/>
        <w:keepLines/>
        <w:spacing w:line="360" w:lineRule="auto"/>
        <w:ind w:firstLine="720"/>
        <w:rPr>
          <w:rFonts w:cs="Times New Roman"/>
        </w:rPr>
      </w:pPr>
      <w:r w:rsidRPr="00EB0C48">
        <w:rPr>
          <w:rFonts w:cs="Times New Roman"/>
        </w:rPr>
        <w:t xml:space="preserve">Power analysis in this section is performed for a one-sample </w:t>
      </w:r>
      <w:r w:rsidRPr="00593437">
        <w:rPr>
          <w:rFonts w:cs="Times New Roman"/>
        </w:rPr>
        <w:t>t</w:t>
      </w:r>
      <w:r w:rsidRPr="00EB0C48">
        <w:rPr>
          <w:rFonts w:cs="Times New Roman"/>
        </w:rPr>
        <w:t xml:space="preserve">-test of proportions for study as a whole. The accuracy of the WTP estimates, and hence the power to detect differences in WTP, depends on the true values of the parameters of the logistic model used in WTP estimation, and hence can only be conducted post-hoc after the parameter estimates are obtained. Given the nature of the survey, the variance of a </w:t>
      </w:r>
      <w:r w:rsidRPr="00593437">
        <w:rPr>
          <w:rFonts w:cs="Times New Roman"/>
        </w:rPr>
        <w:t>z</w:t>
      </w:r>
      <w:r w:rsidRPr="00EB0C48">
        <w:rPr>
          <w:rFonts w:cs="Times New Roman"/>
        </w:rPr>
        <w:t xml:space="preserve">-test statistic </w:t>
      </w:r>
      <w:r>
        <w:rPr>
          <w:rFonts w:cs="Times New Roman"/>
        </w:rPr>
        <w:t>when the population incidence is equal to</w:t>
      </w:r>
      <w:r w:rsidR="003D2E33">
        <w:rPr>
          <w:rFonts w:cs="Times New Roman"/>
        </w:rPr>
        <w:t xml:space="preserve"> </w:t>
      </w:r>
      <m:oMath>
        <m:r>
          <w:rPr>
            <w:rFonts w:ascii="Cambria Math" w:hAnsi="Cambria Math" w:cs="Times New Roman"/>
          </w:rPr>
          <m:t>p</m:t>
        </m:r>
      </m:oMath>
      <w:r>
        <w:rPr>
          <w:rFonts w:cs="Times New Roman"/>
        </w:rPr>
        <w:t xml:space="preserve"> </w:t>
      </w:r>
      <w:r w:rsidRPr="00593437">
        <w:rPr>
          <w:rFonts w:cs="Times New Roman"/>
        </w:rPr>
        <w:t>is given by</w:t>
      </w:r>
      <w:r w:rsidRPr="00EB0C48">
        <w:rPr>
          <w:rFonts w:cs="Times New Roman"/>
        </w:rPr>
        <w:t xml:space="preserve"> </w:t>
      </w:r>
    </w:p>
    <w:p w14:paraId="5A293F76" w14:textId="77777777" w:rsidR="003D2E33" w:rsidRPr="00EB0C48" w:rsidRDefault="003D2E33" w:rsidP="003D2E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cs="Times New Roman"/>
        </w:rPr>
      </w:pPr>
    </w:p>
    <w:p w14:paraId="7C201F29" w14:textId="77777777" w:rsidR="00223938" w:rsidRPr="00CD7910" w:rsidRDefault="00223938" w:rsidP="00223938">
      <w:pPr>
        <w:keepNext/>
        <w:keepLines/>
        <w:spacing w:line="360" w:lineRule="auto"/>
        <w:ind w:firstLine="720"/>
        <w:rPr>
          <w:rFonts w:eastAsiaTheme="minorEastAsia" w:cs="Times New Roman"/>
        </w:rPr>
      </w:pPr>
      <m:oMathPara>
        <m:oMath>
          <m:r>
            <w:rPr>
              <w:rFonts w:ascii="Cambria Math" w:hAnsi="Cambria Math" w:cs="Times New Roman"/>
            </w:rPr>
            <m:t>V</m:t>
          </m:r>
          <m:d>
            <m:dPr>
              <m:ctrlPr>
                <w:rPr>
                  <w:rFonts w:ascii="Cambria Math" w:hAnsi="Cambria Math" w:cs="Times New Roman"/>
                  <w:i/>
                </w:rPr>
              </m:ctrlPr>
            </m:dPr>
            <m:e>
              <m:r>
                <w:rPr>
                  <w:rFonts w:ascii="Cambria Math" w:hAnsi="Cambria Math" w:cs="Times New Roman"/>
                </w:rPr>
                <m:t>p</m:t>
              </m:r>
              <m:r>
                <w:rPr>
                  <w:rFonts w:ascii="Cambria Math" w:cs="Times New Roman"/>
                </w:rPr>
                <m:t>,</m:t>
              </m:r>
              <m:r>
                <w:rPr>
                  <w:rFonts w:ascii="Cambria Math" w:hAnsi="Cambria Math" w:cs="Times New Roman"/>
                </w:rPr>
                <m:t>n</m:t>
              </m:r>
            </m:e>
          </m:d>
          <m:r>
            <w:rPr>
              <w:rFonts w:ascii="Cambria Math" w:cs="Times New Roman"/>
            </w:rPr>
            <m:t>=</m:t>
          </m:r>
          <m:f>
            <m:fPr>
              <m:ctrlPr>
                <w:rPr>
                  <w:rFonts w:ascii="Cambria Math" w:hAnsi="Cambria Math" w:cs="Times New Roman"/>
                  <w:i/>
                </w:rPr>
              </m:ctrlPr>
            </m:fPr>
            <m:num>
              <m:r>
                <w:rPr>
                  <w:rFonts w:ascii="Cambria Math" w:hAnsi="Cambria Math" w:cs="Times New Roman"/>
                </w:rPr>
                <m:t>p(1-p)(1+</m:t>
              </m:r>
              <m:r>
                <m:rPr>
                  <m:sty m:val="p"/>
                </m:rPr>
                <w:rPr>
                  <w:rFonts w:ascii="Cambria Math" w:cs="Times New Roman"/>
                </w:rPr>
                <m:t>C</m:t>
              </m:r>
              <m:sSup>
                <m:sSupPr>
                  <m:ctrlPr>
                    <w:rPr>
                      <w:rFonts w:ascii="Cambria Math" w:hAnsi="Cambria Math" w:cs="Times New Roman"/>
                    </w:rPr>
                  </m:ctrlPr>
                </m:sSupPr>
                <m:e>
                  <m:r>
                    <m:rPr>
                      <m:sty m:val="p"/>
                    </m:rPr>
                    <w:rPr>
                      <w:rFonts w:ascii="Cambria Math" w:cs="Times New Roman"/>
                    </w:rPr>
                    <m:t>V</m:t>
                  </m:r>
                </m:e>
                <m:sup>
                  <m:r>
                    <m:rPr>
                      <m:sty m:val="p"/>
                    </m:rPr>
                    <w:rPr>
                      <w:rFonts w:ascii="Cambria Math" w:cs="Times New Roman"/>
                    </w:rPr>
                    <m:t>2</m:t>
                  </m:r>
                </m:sup>
              </m:sSup>
              <m:r>
                <w:rPr>
                  <w:rFonts w:ascii="Cambria Math" w:hAnsi="Cambria Math" w:cs="Times New Roman"/>
                </w:rPr>
                <m:t>)</m:t>
              </m:r>
            </m:num>
            <m:den>
              <m:r>
                <w:rPr>
                  <w:rFonts w:ascii="Cambria Math" w:hAnsi="Cambria Math" w:cs="Times New Roman"/>
                </w:rPr>
                <m:t>n</m:t>
              </m:r>
            </m:den>
          </m:f>
        </m:oMath>
      </m:oMathPara>
    </w:p>
    <w:p w14:paraId="2F57CDB0" w14:textId="77777777" w:rsidR="00CD7910" w:rsidRPr="00EB0C48" w:rsidRDefault="00CD7910" w:rsidP="00223938">
      <w:pPr>
        <w:keepNext/>
        <w:keepLines/>
        <w:spacing w:line="360" w:lineRule="auto"/>
        <w:ind w:firstLine="720"/>
        <w:rPr>
          <w:rFonts w:cs="Times New Roman"/>
        </w:rPr>
      </w:pPr>
    </w:p>
    <w:p w14:paraId="2DBC6614" w14:textId="4D0FC3E4" w:rsidR="006413B2" w:rsidRDefault="006413B2" w:rsidP="006413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cs="Times New Roman"/>
        </w:rPr>
      </w:pPr>
      <w:r w:rsidRPr="00EB0C48">
        <w:rPr>
          <w:rFonts w:cs="Times New Roman"/>
        </w:rPr>
        <w:t xml:space="preserve">where CV is the coefficient of variation </w:t>
      </w:r>
      <w:r>
        <w:rPr>
          <w:rFonts w:cs="Times New Roman"/>
        </w:rPr>
        <w:t>final</w:t>
      </w:r>
      <w:r w:rsidRPr="00EB0C48">
        <w:rPr>
          <w:rFonts w:cs="Times New Roman"/>
        </w:rPr>
        <w:t xml:space="preserve"> weights</w:t>
      </w:r>
      <w:r w:rsidR="003D2E33">
        <w:rPr>
          <w:rFonts w:cs="Times New Roman"/>
        </w:rPr>
        <w:t>,</w:t>
      </w:r>
      <w:r w:rsidR="00223938">
        <w:rPr>
          <w:rFonts w:cs="Times New Roman"/>
        </w:rPr>
        <w:t xml:space="preserve"> </w:t>
      </w:r>
      <m:oMath>
        <m:r>
          <w:rPr>
            <w:rFonts w:ascii="Cambria Math" w:cs="Times New Roman"/>
          </w:rPr>
          <m:t>1+</m:t>
        </m:r>
        <m:r>
          <m:rPr>
            <m:sty m:val="p"/>
          </m:rPr>
          <w:rPr>
            <w:rFonts w:ascii="Cambria Math" w:cs="Times New Roman"/>
          </w:rPr>
          <m:t>C</m:t>
        </m:r>
        <m:sSup>
          <m:sSupPr>
            <m:ctrlPr>
              <w:rPr>
                <w:rFonts w:ascii="Cambria Math" w:hAnsi="Cambria Math" w:cs="Times New Roman"/>
              </w:rPr>
            </m:ctrlPr>
          </m:sSupPr>
          <m:e>
            <m:r>
              <m:rPr>
                <m:sty m:val="p"/>
              </m:rPr>
              <w:rPr>
                <w:rFonts w:ascii="Cambria Math" w:cs="Times New Roman"/>
              </w:rPr>
              <m:t>V</m:t>
            </m:r>
          </m:e>
          <m:sup>
            <m:r>
              <m:rPr>
                <m:sty m:val="p"/>
              </m:rPr>
              <w:rPr>
                <w:rFonts w:ascii="Cambria Math" w:cs="Times New Roman"/>
              </w:rPr>
              <m:t>2</m:t>
            </m:r>
          </m:sup>
        </m:sSup>
      </m:oMath>
      <w:r w:rsidR="003D2E33" w:rsidRPr="00EB0C48">
        <w:rPr>
          <w:rFonts w:cs="Times New Roman"/>
        </w:rPr>
        <w:t xml:space="preserve"> </w:t>
      </w:r>
      <w:r w:rsidRPr="00EB0C48">
        <w:rPr>
          <w:rFonts w:cs="Times New Roman"/>
        </w:rPr>
        <w:t xml:space="preserve">is the design effect due to variable weights, or ‘DEFF’, </w:t>
      </w:r>
      <w:r w:rsidRPr="001B5DA3">
        <w:rPr>
          <w:rFonts w:cs="Times New Roman"/>
        </w:rPr>
        <w:t xml:space="preserve">and </w:t>
      </w:r>
      <w:r w:rsidRPr="00CE1468">
        <w:rPr>
          <w:rFonts w:cs="Times New Roman"/>
          <w:i/>
        </w:rPr>
        <w:t>n</w:t>
      </w:r>
      <w:r w:rsidRPr="001B5DA3">
        <w:rPr>
          <w:rFonts w:cs="Times New Roman"/>
        </w:rPr>
        <w:t xml:space="preserve"> is the</w:t>
      </w:r>
      <w:r w:rsidRPr="00EB0C48">
        <w:rPr>
          <w:rFonts w:cs="Times New Roman"/>
        </w:rPr>
        <w:t xml:space="preserve"> </w:t>
      </w:r>
      <w:r>
        <w:rPr>
          <w:rFonts w:cs="Times New Roman"/>
        </w:rPr>
        <w:t xml:space="preserve">nominal </w:t>
      </w:r>
      <w:r w:rsidRPr="00EB0C48">
        <w:rPr>
          <w:rFonts w:cs="Times New Roman"/>
        </w:rPr>
        <w:t>target number of completed surveys</w:t>
      </w:r>
      <w:r w:rsidR="003D2E33">
        <w:rPr>
          <w:rFonts w:cs="Times New Roman"/>
        </w:rPr>
        <w:t xml:space="preserve">. </w:t>
      </w:r>
      <w:r>
        <w:rPr>
          <w:rFonts w:cs="Times New Roman"/>
        </w:rPr>
        <w:t xml:space="preserve">Design effect due to unequal weighting is computed as demonstrated in Table B3. </w:t>
      </w:r>
    </w:p>
    <w:p w14:paraId="2FA4CAC8" w14:textId="77777777" w:rsidR="006413B2" w:rsidRDefault="006413B2" w:rsidP="006413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cs="Times New Roman"/>
        </w:rPr>
      </w:pPr>
    </w:p>
    <w:tbl>
      <w:tblPr>
        <w:tblW w:w="919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3078"/>
        <w:gridCol w:w="1710"/>
        <w:gridCol w:w="1350"/>
        <w:gridCol w:w="1440"/>
        <w:gridCol w:w="1620"/>
      </w:tblGrid>
      <w:tr w:rsidR="00FD6BAA" w:rsidRPr="00EB0C48" w14:paraId="0C374022" w14:textId="77777777" w:rsidTr="00863B89">
        <w:tc>
          <w:tcPr>
            <w:tcW w:w="9198" w:type="dxa"/>
            <w:gridSpan w:val="5"/>
            <w:tcBorders>
              <w:bottom w:val="single" w:sz="4" w:space="0" w:color="auto"/>
            </w:tcBorders>
            <w:vAlign w:val="bottom"/>
          </w:tcPr>
          <w:p w14:paraId="3936F3E4" w14:textId="77777777" w:rsidR="00FD6BAA" w:rsidRPr="00EB0C48" w:rsidRDefault="00FD6BAA" w:rsidP="00863B89">
            <w:pPr>
              <w:keepNext/>
              <w:keepLines/>
              <w:spacing w:line="360" w:lineRule="auto"/>
              <w:rPr>
                <w:rFonts w:cs="Times New Roman"/>
              </w:rPr>
            </w:pPr>
            <w:r w:rsidRPr="00EB0C48">
              <w:rPr>
                <w:rFonts w:cs="Times New Roman"/>
                <w:b/>
              </w:rPr>
              <w:t>Table B</w:t>
            </w:r>
            <w:r>
              <w:rPr>
                <w:rFonts w:cs="Times New Roman"/>
                <w:b/>
              </w:rPr>
              <w:t>3:</w:t>
            </w:r>
            <w:r w:rsidRPr="00EB0C48">
              <w:rPr>
                <w:rFonts w:cs="Times New Roman"/>
                <w:b/>
              </w:rPr>
              <w:t xml:space="preserve"> </w:t>
            </w:r>
            <w:r>
              <w:rPr>
                <w:rFonts w:cs="Times New Roman"/>
                <w:b/>
              </w:rPr>
              <w:t>Design effect</w:t>
            </w:r>
          </w:p>
        </w:tc>
      </w:tr>
      <w:tr w:rsidR="00FD6BAA" w:rsidRPr="00EB0C48" w14:paraId="540FC428" w14:textId="77777777" w:rsidTr="00863B89">
        <w:tc>
          <w:tcPr>
            <w:tcW w:w="3078" w:type="dxa"/>
            <w:tcBorders>
              <w:bottom w:val="single" w:sz="4" w:space="0" w:color="auto"/>
              <w:right w:val="single" w:sz="4" w:space="0" w:color="auto"/>
            </w:tcBorders>
            <w:shd w:val="clear" w:color="auto" w:fill="auto"/>
            <w:vAlign w:val="center"/>
          </w:tcPr>
          <w:p w14:paraId="3EA404B6" w14:textId="77777777" w:rsidR="00FD6BAA" w:rsidRPr="00C235A7" w:rsidRDefault="00FD6BAA" w:rsidP="00863B89">
            <w:pPr>
              <w:keepNext/>
              <w:keepLines/>
              <w:jc w:val="center"/>
              <w:rPr>
                <w:b/>
                <w:bCs/>
              </w:rPr>
            </w:pPr>
            <w:r w:rsidRPr="00C235A7">
              <w:rPr>
                <w:b/>
                <w:bCs/>
              </w:rPr>
              <w:t>Subsample</w:t>
            </w:r>
          </w:p>
        </w:tc>
        <w:tc>
          <w:tcPr>
            <w:tcW w:w="1710" w:type="dxa"/>
            <w:tcBorders>
              <w:left w:val="single" w:sz="4" w:space="0" w:color="auto"/>
              <w:bottom w:val="single" w:sz="4" w:space="0" w:color="auto"/>
              <w:right w:val="single" w:sz="4" w:space="0" w:color="auto"/>
            </w:tcBorders>
            <w:vAlign w:val="center"/>
          </w:tcPr>
          <w:p w14:paraId="355581F9" w14:textId="77777777" w:rsidR="00FD6BAA" w:rsidRPr="00C235A7" w:rsidRDefault="00FD6BAA" w:rsidP="00863B89">
            <w:pPr>
              <w:keepNext/>
              <w:keepLines/>
              <w:jc w:val="center"/>
              <w:rPr>
                <w:b/>
                <w:bCs/>
              </w:rPr>
            </w:pPr>
            <w:r w:rsidRPr="00C235A7">
              <w:rPr>
                <w:b/>
                <w:bCs/>
              </w:rPr>
              <w:t>Probability weight</w:t>
            </w:r>
          </w:p>
        </w:tc>
        <w:tc>
          <w:tcPr>
            <w:tcW w:w="1350" w:type="dxa"/>
            <w:tcBorders>
              <w:left w:val="single" w:sz="4" w:space="0" w:color="auto"/>
              <w:bottom w:val="single" w:sz="4" w:space="0" w:color="auto"/>
              <w:right w:val="single" w:sz="4" w:space="0" w:color="auto"/>
            </w:tcBorders>
            <w:vAlign w:val="center"/>
          </w:tcPr>
          <w:p w14:paraId="2C680EB7" w14:textId="77777777" w:rsidR="00FD6BAA" w:rsidRPr="00C235A7" w:rsidRDefault="00FD6BAA" w:rsidP="00863B89">
            <w:pPr>
              <w:keepNext/>
              <w:keepLines/>
              <w:jc w:val="center"/>
              <w:rPr>
                <w:b/>
                <w:bCs/>
              </w:rPr>
            </w:pPr>
            <w:r w:rsidRPr="00C235A7">
              <w:rPr>
                <w:b/>
                <w:bCs/>
              </w:rPr>
              <w:t>Expected count</w:t>
            </w:r>
          </w:p>
        </w:tc>
        <w:tc>
          <w:tcPr>
            <w:tcW w:w="1440" w:type="dxa"/>
            <w:tcBorders>
              <w:left w:val="single" w:sz="4" w:space="0" w:color="auto"/>
              <w:bottom w:val="single" w:sz="4" w:space="0" w:color="auto"/>
              <w:right w:val="single" w:sz="4" w:space="0" w:color="auto"/>
            </w:tcBorders>
            <w:shd w:val="clear" w:color="auto" w:fill="auto"/>
            <w:vAlign w:val="center"/>
          </w:tcPr>
          <w:p w14:paraId="2F09537B" w14:textId="77777777" w:rsidR="00FD6BAA" w:rsidRPr="00C235A7" w:rsidRDefault="00FD6BAA" w:rsidP="00863B89">
            <w:pPr>
              <w:keepNext/>
              <w:keepLines/>
              <w:jc w:val="center"/>
              <w:rPr>
                <w:b/>
                <w:bCs/>
              </w:rPr>
            </w:pPr>
            <w:r w:rsidRPr="00C235A7">
              <w:rPr>
                <w:b/>
                <w:bCs/>
              </w:rPr>
              <w:t>Sum of weights</w:t>
            </w:r>
          </w:p>
        </w:tc>
        <w:tc>
          <w:tcPr>
            <w:tcW w:w="1620" w:type="dxa"/>
            <w:tcBorders>
              <w:left w:val="single" w:sz="4" w:space="0" w:color="auto"/>
              <w:bottom w:val="single" w:sz="4" w:space="0" w:color="auto"/>
            </w:tcBorders>
            <w:shd w:val="clear" w:color="auto" w:fill="auto"/>
            <w:vAlign w:val="center"/>
          </w:tcPr>
          <w:p w14:paraId="13D456B9" w14:textId="77777777" w:rsidR="00FD6BAA" w:rsidRPr="00C235A7" w:rsidRDefault="00FD6BAA" w:rsidP="00863B89">
            <w:pPr>
              <w:keepNext/>
              <w:keepLines/>
              <w:jc w:val="center"/>
              <w:rPr>
                <w:b/>
                <w:bCs/>
              </w:rPr>
            </w:pPr>
            <w:r w:rsidRPr="00C235A7">
              <w:rPr>
                <w:b/>
                <w:bCs/>
              </w:rPr>
              <w:t>Sum of squared weights</w:t>
            </w:r>
            <w:r>
              <w:rPr>
                <w:b/>
                <w:bCs/>
              </w:rPr>
              <w:t xml:space="preserve"> </w:t>
            </w:r>
            <m:oMath>
              <m:r>
                <m:rPr>
                  <m:sty m:val="bi"/>
                </m:rPr>
                <w:rPr>
                  <w:rFonts w:ascii="Cambria Math" w:hAnsi="Cambria Math"/>
                </w:rPr>
                <m:t>×1</m:t>
              </m:r>
              <m:sSup>
                <m:sSupPr>
                  <m:ctrlPr>
                    <w:rPr>
                      <w:rFonts w:ascii="Cambria Math" w:hAnsi="Cambria Math"/>
                      <w:b/>
                      <w:bCs/>
                      <w:i/>
                    </w:rPr>
                  </m:ctrlPr>
                </m:sSupPr>
                <m:e>
                  <m:r>
                    <m:rPr>
                      <m:sty m:val="bi"/>
                    </m:rPr>
                    <w:rPr>
                      <w:rFonts w:ascii="Cambria Math" w:hAnsi="Cambria Math"/>
                    </w:rPr>
                    <m:t>0</m:t>
                  </m:r>
                </m:e>
                <m:sup>
                  <m:r>
                    <m:rPr>
                      <m:sty m:val="bi"/>
                    </m:rPr>
                    <w:rPr>
                      <w:rFonts w:ascii="Cambria Math" w:hAnsi="Cambria Math"/>
                    </w:rPr>
                    <m:t>-3</m:t>
                  </m:r>
                </m:sup>
              </m:sSup>
            </m:oMath>
          </w:p>
        </w:tc>
      </w:tr>
      <w:tr w:rsidR="00FD6BAA" w:rsidRPr="00EB0C48" w14:paraId="37CF6821" w14:textId="77777777" w:rsidTr="00863B89">
        <w:tc>
          <w:tcPr>
            <w:tcW w:w="3078" w:type="dxa"/>
            <w:tcBorders>
              <w:right w:val="single" w:sz="4" w:space="0" w:color="auto"/>
            </w:tcBorders>
            <w:shd w:val="clear" w:color="auto" w:fill="auto"/>
          </w:tcPr>
          <w:p w14:paraId="7BE52146" w14:textId="77777777" w:rsidR="00FD6BAA" w:rsidRPr="00EB0C48" w:rsidRDefault="00FD6BAA" w:rsidP="00863B89">
            <w:pPr>
              <w:spacing w:line="360" w:lineRule="auto"/>
              <w:rPr>
                <w:rFonts w:cs="Times New Roman"/>
              </w:rPr>
            </w:pPr>
            <w:r>
              <w:rPr>
                <w:rFonts w:cs="Times New Roman"/>
              </w:rPr>
              <w:t>Cape Cod/Barnstable county</w:t>
            </w:r>
          </w:p>
        </w:tc>
        <w:tc>
          <w:tcPr>
            <w:tcW w:w="1710" w:type="dxa"/>
            <w:tcBorders>
              <w:left w:val="single" w:sz="4" w:space="0" w:color="auto"/>
              <w:right w:val="single" w:sz="4" w:space="0" w:color="auto"/>
            </w:tcBorders>
          </w:tcPr>
          <w:p w14:paraId="203A661B" w14:textId="77777777" w:rsidR="00FD6BAA" w:rsidRPr="00EB0C48" w:rsidRDefault="00FD6BAA" w:rsidP="00863B89">
            <w:pPr>
              <w:spacing w:line="360" w:lineRule="auto"/>
              <w:jc w:val="center"/>
              <w:rPr>
                <w:rFonts w:cs="Times New Roman"/>
              </w:rPr>
            </w:pPr>
            <w:r>
              <w:rPr>
                <w:rFonts w:cs="Times New Roman"/>
              </w:rPr>
              <w:t>144.46</w:t>
            </w:r>
          </w:p>
        </w:tc>
        <w:tc>
          <w:tcPr>
            <w:tcW w:w="1350" w:type="dxa"/>
            <w:tcBorders>
              <w:left w:val="single" w:sz="4" w:space="0" w:color="auto"/>
              <w:right w:val="single" w:sz="4" w:space="0" w:color="auto"/>
            </w:tcBorders>
          </w:tcPr>
          <w:p w14:paraId="7B6BCE08" w14:textId="77777777" w:rsidR="00FD6BAA" w:rsidRPr="00EB0C48" w:rsidRDefault="00FD6BAA" w:rsidP="00863B89">
            <w:pPr>
              <w:spacing w:line="360" w:lineRule="auto"/>
              <w:jc w:val="center"/>
              <w:rPr>
                <w:rFonts w:cs="Times New Roman"/>
              </w:rPr>
            </w:pPr>
            <w:r>
              <w:rPr>
                <w:rFonts w:cs="Times New Roman"/>
              </w:rPr>
              <w:t>176</w:t>
            </w:r>
          </w:p>
        </w:tc>
        <w:tc>
          <w:tcPr>
            <w:tcW w:w="1440" w:type="dxa"/>
            <w:tcBorders>
              <w:left w:val="single" w:sz="4" w:space="0" w:color="auto"/>
              <w:right w:val="single" w:sz="4" w:space="0" w:color="auto"/>
            </w:tcBorders>
            <w:shd w:val="clear" w:color="auto" w:fill="auto"/>
          </w:tcPr>
          <w:p w14:paraId="71CBF9E5" w14:textId="77777777" w:rsidR="00FD6BAA" w:rsidRPr="00EB0C48" w:rsidRDefault="00FD6BAA" w:rsidP="00863B89">
            <w:pPr>
              <w:spacing w:line="360" w:lineRule="auto"/>
              <w:jc w:val="center"/>
              <w:rPr>
                <w:rFonts w:cs="Times New Roman"/>
              </w:rPr>
            </w:pPr>
            <w:r>
              <w:rPr>
                <w:rFonts w:cs="Times New Roman"/>
              </w:rPr>
              <w:t>24,894</w:t>
            </w:r>
          </w:p>
        </w:tc>
        <w:tc>
          <w:tcPr>
            <w:tcW w:w="1620" w:type="dxa"/>
            <w:tcBorders>
              <w:left w:val="single" w:sz="4" w:space="0" w:color="auto"/>
            </w:tcBorders>
            <w:shd w:val="clear" w:color="auto" w:fill="auto"/>
          </w:tcPr>
          <w:p w14:paraId="393EC319" w14:textId="77777777" w:rsidR="00FD6BAA" w:rsidRPr="00EB0C48" w:rsidRDefault="00FD6BAA" w:rsidP="00863B89">
            <w:pPr>
              <w:spacing w:line="360" w:lineRule="auto"/>
              <w:jc w:val="center"/>
              <w:rPr>
                <w:rFonts w:cs="Times New Roman"/>
              </w:rPr>
            </w:pPr>
            <w:r>
              <w:rPr>
                <w:rFonts w:cs="Times New Roman"/>
              </w:rPr>
              <w:t>3,596</w:t>
            </w:r>
          </w:p>
        </w:tc>
      </w:tr>
      <w:tr w:rsidR="00FD6BAA" w:rsidRPr="00EB0C48" w14:paraId="5F358619" w14:textId="77777777" w:rsidTr="00863B89">
        <w:tc>
          <w:tcPr>
            <w:tcW w:w="3078" w:type="dxa"/>
            <w:tcBorders>
              <w:right w:val="single" w:sz="4" w:space="0" w:color="auto"/>
            </w:tcBorders>
            <w:shd w:val="clear" w:color="auto" w:fill="auto"/>
          </w:tcPr>
          <w:p w14:paraId="2ADA8FDC" w14:textId="77777777" w:rsidR="00FD6BAA" w:rsidRPr="00EB0C48" w:rsidRDefault="00FD6BAA" w:rsidP="00863B89">
            <w:pPr>
              <w:spacing w:line="360" w:lineRule="auto"/>
              <w:rPr>
                <w:rFonts w:cs="Times New Roman"/>
              </w:rPr>
            </w:pPr>
            <w:r>
              <w:rPr>
                <w:rFonts w:cs="Times New Roman"/>
              </w:rPr>
              <w:t>Rest of population</w:t>
            </w:r>
          </w:p>
        </w:tc>
        <w:tc>
          <w:tcPr>
            <w:tcW w:w="1710" w:type="dxa"/>
            <w:tcBorders>
              <w:left w:val="single" w:sz="4" w:space="0" w:color="auto"/>
              <w:right w:val="single" w:sz="4" w:space="0" w:color="auto"/>
            </w:tcBorders>
          </w:tcPr>
          <w:p w14:paraId="1DCDA48B" w14:textId="77777777" w:rsidR="00FD6BAA" w:rsidRPr="00EB0C48" w:rsidRDefault="00FD6BAA" w:rsidP="00863B89">
            <w:pPr>
              <w:spacing w:line="360" w:lineRule="auto"/>
              <w:jc w:val="center"/>
              <w:rPr>
                <w:rFonts w:cs="Times New Roman"/>
              </w:rPr>
            </w:pPr>
            <w:r>
              <w:rPr>
                <w:rFonts w:cs="Times New Roman"/>
              </w:rPr>
              <w:t>442.00</w:t>
            </w:r>
          </w:p>
        </w:tc>
        <w:tc>
          <w:tcPr>
            <w:tcW w:w="1350" w:type="dxa"/>
            <w:tcBorders>
              <w:left w:val="single" w:sz="4" w:space="0" w:color="auto"/>
              <w:right w:val="single" w:sz="4" w:space="0" w:color="auto"/>
            </w:tcBorders>
          </w:tcPr>
          <w:p w14:paraId="752E361E" w14:textId="77777777" w:rsidR="00FD6BAA" w:rsidRPr="00EB0C48" w:rsidRDefault="00FD6BAA" w:rsidP="00863B89">
            <w:pPr>
              <w:spacing w:line="360" w:lineRule="auto"/>
              <w:jc w:val="center"/>
              <w:rPr>
                <w:rFonts w:cs="Times New Roman"/>
              </w:rPr>
            </w:pPr>
            <w:r>
              <w:rPr>
                <w:rFonts w:cs="Times New Roman"/>
              </w:rPr>
              <w:t>1,987</w:t>
            </w:r>
          </w:p>
        </w:tc>
        <w:tc>
          <w:tcPr>
            <w:tcW w:w="1440" w:type="dxa"/>
            <w:tcBorders>
              <w:left w:val="single" w:sz="4" w:space="0" w:color="auto"/>
              <w:right w:val="single" w:sz="4" w:space="0" w:color="auto"/>
            </w:tcBorders>
            <w:shd w:val="clear" w:color="auto" w:fill="auto"/>
          </w:tcPr>
          <w:p w14:paraId="08DF23FF" w14:textId="77777777" w:rsidR="00FD6BAA" w:rsidRPr="00EB0C48" w:rsidRDefault="00FD6BAA" w:rsidP="00863B89">
            <w:pPr>
              <w:spacing w:line="360" w:lineRule="auto"/>
              <w:jc w:val="center"/>
              <w:rPr>
                <w:rFonts w:cs="Times New Roman"/>
              </w:rPr>
            </w:pPr>
            <w:r>
              <w:rPr>
                <w:rFonts w:cs="Times New Roman"/>
              </w:rPr>
              <w:t>858,070</w:t>
            </w:r>
          </w:p>
        </w:tc>
        <w:tc>
          <w:tcPr>
            <w:tcW w:w="1620" w:type="dxa"/>
            <w:tcBorders>
              <w:left w:val="single" w:sz="4" w:space="0" w:color="auto"/>
            </w:tcBorders>
            <w:shd w:val="clear" w:color="auto" w:fill="auto"/>
          </w:tcPr>
          <w:p w14:paraId="7374B44B" w14:textId="77777777" w:rsidR="00FD6BAA" w:rsidRPr="00EB0C48" w:rsidRDefault="00FD6BAA" w:rsidP="00863B89">
            <w:pPr>
              <w:spacing w:line="360" w:lineRule="auto"/>
              <w:jc w:val="center"/>
              <w:rPr>
                <w:rFonts w:cs="Times New Roman"/>
              </w:rPr>
            </w:pPr>
            <w:r>
              <w:rPr>
                <w:rFonts w:cs="Times New Roman"/>
              </w:rPr>
              <w:t>388,984</w:t>
            </w:r>
          </w:p>
        </w:tc>
      </w:tr>
      <w:tr w:rsidR="00FD6BAA" w:rsidRPr="00EB0C48" w14:paraId="2432C9EA" w14:textId="77777777" w:rsidTr="00863B89">
        <w:tc>
          <w:tcPr>
            <w:tcW w:w="3078" w:type="dxa"/>
            <w:tcBorders>
              <w:bottom w:val="single" w:sz="4" w:space="0" w:color="auto"/>
              <w:right w:val="single" w:sz="4" w:space="0" w:color="auto"/>
            </w:tcBorders>
            <w:shd w:val="clear" w:color="auto" w:fill="auto"/>
          </w:tcPr>
          <w:p w14:paraId="236659CE" w14:textId="77777777" w:rsidR="00FD6BAA" w:rsidRDefault="00FD6BAA" w:rsidP="00863B89">
            <w:pPr>
              <w:spacing w:line="360" w:lineRule="auto"/>
              <w:rPr>
                <w:rFonts w:cs="Times New Roman"/>
              </w:rPr>
            </w:pPr>
            <w:r>
              <w:rPr>
                <w:rFonts w:cs="Times New Roman"/>
              </w:rPr>
              <w:t>Total</w:t>
            </w:r>
          </w:p>
        </w:tc>
        <w:tc>
          <w:tcPr>
            <w:tcW w:w="1710" w:type="dxa"/>
            <w:tcBorders>
              <w:left w:val="single" w:sz="4" w:space="0" w:color="auto"/>
              <w:bottom w:val="single" w:sz="4" w:space="0" w:color="auto"/>
              <w:right w:val="single" w:sz="4" w:space="0" w:color="auto"/>
            </w:tcBorders>
          </w:tcPr>
          <w:p w14:paraId="288FFCD1" w14:textId="77777777" w:rsidR="00FD6BAA" w:rsidRDefault="00FD6BAA" w:rsidP="00863B89">
            <w:pPr>
              <w:spacing w:line="360" w:lineRule="auto"/>
              <w:jc w:val="center"/>
              <w:rPr>
                <w:rFonts w:cs="Times New Roman"/>
              </w:rPr>
            </w:pPr>
          </w:p>
        </w:tc>
        <w:tc>
          <w:tcPr>
            <w:tcW w:w="1350" w:type="dxa"/>
            <w:tcBorders>
              <w:left w:val="single" w:sz="4" w:space="0" w:color="auto"/>
              <w:bottom w:val="single" w:sz="4" w:space="0" w:color="auto"/>
              <w:right w:val="single" w:sz="4" w:space="0" w:color="auto"/>
            </w:tcBorders>
          </w:tcPr>
          <w:p w14:paraId="36E2B49E" w14:textId="77777777" w:rsidR="00FD6BAA" w:rsidRDefault="00FD6BAA" w:rsidP="00863B89">
            <w:pPr>
              <w:spacing w:line="360" w:lineRule="auto"/>
              <w:jc w:val="center"/>
              <w:rPr>
                <w:rFonts w:cs="Times New Roman"/>
              </w:rPr>
            </w:pPr>
            <w:r>
              <w:rPr>
                <w:rFonts w:cs="Times New Roman"/>
              </w:rPr>
              <w:t>2,163</w:t>
            </w:r>
          </w:p>
        </w:tc>
        <w:tc>
          <w:tcPr>
            <w:tcW w:w="1440" w:type="dxa"/>
            <w:tcBorders>
              <w:left w:val="single" w:sz="4" w:space="0" w:color="auto"/>
              <w:bottom w:val="single" w:sz="4" w:space="0" w:color="auto"/>
              <w:right w:val="single" w:sz="4" w:space="0" w:color="auto"/>
            </w:tcBorders>
            <w:shd w:val="clear" w:color="auto" w:fill="auto"/>
          </w:tcPr>
          <w:p w14:paraId="3237F14F" w14:textId="77777777" w:rsidR="00FD6BAA" w:rsidRDefault="00FD6BAA" w:rsidP="00863B89">
            <w:pPr>
              <w:spacing w:line="360" w:lineRule="auto"/>
              <w:jc w:val="center"/>
              <w:rPr>
                <w:rFonts w:cs="Times New Roman"/>
              </w:rPr>
            </w:pPr>
            <w:r>
              <w:rPr>
                <w:rFonts w:cs="Times New Roman"/>
              </w:rPr>
              <w:t>905,803</w:t>
            </w:r>
          </w:p>
        </w:tc>
        <w:tc>
          <w:tcPr>
            <w:tcW w:w="1620" w:type="dxa"/>
            <w:tcBorders>
              <w:left w:val="single" w:sz="4" w:space="0" w:color="auto"/>
              <w:bottom w:val="single" w:sz="4" w:space="0" w:color="auto"/>
            </w:tcBorders>
            <w:shd w:val="clear" w:color="auto" w:fill="auto"/>
          </w:tcPr>
          <w:p w14:paraId="27312A5C" w14:textId="77777777" w:rsidR="00FD6BAA" w:rsidRDefault="00FD6BAA" w:rsidP="00863B89">
            <w:pPr>
              <w:spacing w:line="360" w:lineRule="auto"/>
              <w:jc w:val="center"/>
              <w:rPr>
                <w:rFonts w:cs="Times New Roman"/>
              </w:rPr>
            </w:pPr>
            <w:r>
              <w:rPr>
                <w:rFonts w:cs="Times New Roman"/>
              </w:rPr>
              <w:t>392,581</w:t>
            </w:r>
          </w:p>
        </w:tc>
      </w:tr>
      <w:tr w:rsidR="00FD6BAA" w:rsidRPr="00EB0C48" w14:paraId="46AC5DCA" w14:textId="77777777" w:rsidTr="00863B89">
        <w:tc>
          <w:tcPr>
            <w:tcW w:w="3078" w:type="dxa"/>
            <w:tcBorders>
              <w:right w:val="nil"/>
            </w:tcBorders>
            <w:shd w:val="clear" w:color="auto" w:fill="auto"/>
          </w:tcPr>
          <w:p w14:paraId="4B78DC37" w14:textId="77777777" w:rsidR="00FD6BAA" w:rsidRDefault="00FD6BAA" w:rsidP="00863B89">
            <w:pPr>
              <w:spacing w:line="360" w:lineRule="auto"/>
              <w:rPr>
                <w:rFonts w:cs="Times New Roman"/>
              </w:rPr>
            </w:pPr>
            <w:r>
              <w:rPr>
                <w:rFonts w:cs="Times New Roman"/>
              </w:rPr>
              <w:t xml:space="preserve">DEFF = </w:t>
            </w:r>
            <m:oMath>
              <m:r>
                <w:rPr>
                  <w:rFonts w:ascii="Cambria Math" w:hAnsi="Cambria Math" w:cs="Times New Roman"/>
                </w:rPr>
                <m:t xml:space="preserve">n </m:t>
              </m:r>
              <m:nary>
                <m:naryPr>
                  <m:chr m:val="∑"/>
                  <m:supHide m:val="1"/>
                  <m:ctrlPr>
                    <w:rPr>
                      <w:rFonts w:ascii="Cambria Math" w:hAnsi="Cambria Math" w:cs="Times New Roman"/>
                      <w:i/>
                    </w:rPr>
                  </m:ctrlPr>
                </m:naryPr>
                <m:sub>
                  <m:r>
                    <w:rPr>
                      <w:rFonts w:ascii="Cambria Math" w:hAnsi="Cambria Math" w:cs="Times New Roman"/>
                    </w:rPr>
                    <m:t>i</m:t>
                  </m:r>
                </m:sub>
                <m:sup/>
                <m:e>
                  <m:sSubSup>
                    <m:sSubSupPr>
                      <m:ctrlPr>
                        <w:rPr>
                          <w:rFonts w:ascii="Cambria Math" w:hAnsi="Cambria Math" w:cs="Times New Roman"/>
                          <w:i/>
                        </w:rPr>
                      </m:ctrlPr>
                    </m:sSubSupPr>
                    <m:e>
                      <m:r>
                        <w:rPr>
                          <w:rFonts w:ascii="Cambria Math" w:hAnsi="Cambria Math" w:cs="Times New Roman"/>
                        </w:rPr>
                        <m:t>w</m:t>
                      </m:r>
                    </m:e>
                    <m:sub>
                      <m:r>
                        <w:rPr>
                          <w:rFonts w:ascii="Cambria Math" w:hAnsi="Cambria Math" w:cs="Times New Roman"/>
                        </w:rPr>
                        <m:t>i</m:t>
                      </m:r>
                    </m:sub>
                    <m:sup>
                      <m:r>
                        <w:rPr>
                          <w:rFonts w:ascii="Cambria Math" w:hAnsi="Cambria Math" w:cs="Times New Roman"/>
                        </w:rPr>
                        <m:t>2</m:t>
                      </m:r>
                    </m:sup>
                  </m:sSubSup>
                </m:e>
              </m:nary>
              <m:r>
                <w:rPr>
                  <w:rFonts w:ascii="Cambria Math" w:eastAsiaTheme="minorEastAsia" w:hAnsi="Cambria Math" w:cs="Times New Roman"/>
                </w:rPr>
                <m:t>/</m:t>
              </m:r>
              <m:sSup>
                <m:sSupPr>
                  <m:ctrlPr>
                    <w:rPr>
                      <w:rFonts w:ascii="Cambria Math" w:eastAsiaTheme="minorEastAsia" w:hAnsi="Cambria Math" w:cs="Times New Roman"/>
                      <w:i/>
                    </w:rPr>
                  </m:ctrlPr>
                </m:sSupPr>
                <m:e>
                  <m:d>
                    <m:dPr>
                      <m:ctrlPr>
                        <w:rPr>
                          <w:rFonts w:ascii="Cambria Math" w:eastAsiaTheme="minorEastAsia" w:hAnsi="Cambria Math" w:cs="Times New Roman"/>
                          <w:i/>
                        </w:rPr>
                      </m:ctrlPr>
                    </m:dPr>
                    <m:e>
                      <m:nary>
                        <m:naryPr>
                          <m:chr m:val="∑"/>
                          <m:supHide m:val="1"/>
                          <m:ctrlPr>
                            <w:rPr>
                              <w:rFonts w:ascii="Cambria Math" w:eastAsiaTheme="minorEastAsia" w:hAnsi="Cambria Math" w:cs="Times New Roman"/>
                              <w:i/>
                            </w:rPr>
                          </m:ctrlPr>
                        </m:naryPr>
                        <m:sub>
                          <m:r>
                            <w:rPr>
                              <w:rFonts w:ascii="Cambria Math" w:eastAsiaTheme="minorEastAsia" w:hAnsi="Cambria Math" w:cs="Times New Roman"/>
                            </w:rPr>
                            <m:t>i</m:t>
                          </m:r>
                        </m:sub>
                        <m:sup/>
                        <m:e>
                          <m:sSub>
                            <m:sSubPr>
                              <m:ctrlPr>
                                <w:rPr>
                                  <w:rFonts w:ascii="Cambria Math" w:eastAsiaTheme="minorEastAsia" w:hAnsi="Cambria Math" w:cs="Times New Roman"/>
                                  <w:i/>
                                </w:rPr>
                              </m:ctrlPr>
                            </m:sSubPr>
                            <m:e>
                              <m:r>
                                <w:rPr>
                                  <w:rFonts w:ascii="Cambria Math" w:eastAsiaTheme="minorEastAsia" w:hAnsi="Cambria Math" w:cs="Times New Roman"/>
                                </w:rPr>
                                <m:t>w</m:t>
                              </m:r>
                            </m:e>
                            <m:sub>
                              <m:r>
                                <w:rPr>
                                  <w:rFonts w:ascii="Cambria Math" w:eastAsiaTheme="minorEastAsia" w:hAnsi="Cambria Math" w:cs="Times New Roman"/>
                                </w:rPr>
                                <m:t>i</m:t>
                              </m:r>
                            </m:sub>
                          </m:sSub>
                          <m:r>
                            <w:rPr>
                              <w:rFonts w:ascii="Cambria Math" w:eastAsiaTheme="minorEastAsia" w:hAnsi="Cambria Math" w:cs="Times New Roman"/>
                            </w:rPr>
                            <m:t xml:space="preserve">  </m:t>
                          </m:r>
                        </m:e>
                      </m:nary>
                    </m:e>
                  </m:d>
                </m:e>
                <m:sup>
                  <m:r>
                    <w:rPr>
                      <w:rFonts w:ascii="Cambria Math" w:eastAsiaTheme="minorEastAsia" w:hAnsi="Cambria Math" w:cs="Times New Roman"/>
                    </w:rPr>
                    <m:t>2</m:t>
                  </m:r>
                </m:sup>
              </m:sSup>
            </m:oMath>
          </w:p>
        </w:tc>
        <w:tc>
          <w:tcPr>
            <w:tcW w:w="4500" w:type="dxa"/>
            <w:gridSpan w:val="3"/>
            <w:tcBorders>
              <w:left w:val="nil"/>
              <w:right w:val="nil"/>
            </w:tcBorders>
          </w:tcPr>
          <w:p w14:paraId="76A50B62" w14:textId="77777777" w:rsidR="00FD6BAA" w:rsidRDefault="00FD6BAA" w:rsidP="00863B89">
            <w:pPr>
              <w:spacing w:line="360" w:lineRule="auto"/>
              <w:jc w:val="center"/>
              <w:rPr>
                <w:rFonts w:cs="Times New Roman"/>
              </w:rPr>
            </w:pPr>
          </w:p>
        </w:tc>
        <w:tc>
          <w:tcPr>
            <w:tcW w:w="1620" w:type="dxa"/>
            <w:tcBorders>
              <w:left w:val="nil"/>
            </w:tcBorders>
            <w:shd w:val="clear" w:color="auto" w:fill="auto"/>
          </w:tcPr>
          <w:p w14:paraId="34B2B3E6" w14:textId="77777777" w:rsidR="00FD6BAA" w:rsidRDefault="00FD6BAA" w:rsidP="00863B89">
            <w:pPr>
              <w:spacing w:line="360" w:lineRule="auto"/>
              <w:jc w:val="center"/>
              <w:rPr>
                <w:rFonts w:cs="Times New Roman"/>
              </w:rPr>
            </w:pPr>
            <w:r>
              <w:rPr>
                <w:rFonts w:cs="Times New Roman"/>
              </w:rPr>
              <w:t>1.037</w:t>
            </w:r>
          </w:p>
        </w:tc>
      </w:tr>
      <w:tr w:rsidR="00FD6BAA" w:rsidRPr="00EB0C48" w14:paraId="3EF5AEB9" w14:textId="77777777" w:rsidTr="00863B89">
        <w:tc>
          <w:tcPr>
            <w:tcW w:w="3078" w:type="dxa"/>
            <w:tcBorders>
              <w:right w:val="nil"/>
            </w:tcBorders>
            <w:shd w:val="clear" w:color="auto" w:fill="auto"/>
          </w:tcPr>
          <w:p w14:paraId="5D96E30D" w14:textId="77777777" w:rsidR="00FD6BAA" w:rsidRDefault="00FD6BAA" w:rsidP="00863B89">
            <w:pPr>
              <w:spacing w:line="360" w:lineRule="auto"/>
              <w:rPr>
                <w:rFonts w:cs="Times New Roman"/>
              </w:rPr>
            </w:pPr>
            <w:r>
              <w:rPr>
                <w:rFonts w:cs="Times New Roman"/>
              </w:rPr>
              <w:t>DEFF due to weight calibration</w:t>
            </w:r>
          </w:p>
        </w:tc>
        <w:tc>
          <w:tcPr>
            <w:tcW w:w="4500" w:type="dxa"/>
            <w:gridSpan w:val="3"/>
            <w:tcBorders>
              <w:left w:val="nil"/>
              <w:right w:val="nil"/>
            </w:tcBorders>
          </w:tcPr>
          <w:p w14:paraId="00914D4E" w14:textId="77777777" w:rsidR="00FD6BAA" w:rsidRDefault="00FD6BAA" w:rsidP="00863B89">
            <w:pPr>
              <w:spacing w:line="360" w:lineRule="auto"/>
              <w:jc w:val="center"/>
              <w:rPr>
                <w:rFonts w:cs="Times New Roman"/>
              </w:rPr>
            </w:pPr>
          </w:p>
        </w:tc>
        <w:tc>
          <w:tcPr>
            <w:tcW w:w="1620" w:type="dxa"/>
            <w:tcBorders>
              <w:left w:val="nil"/>
            </w:tcBorders>
            <w:shd w:val="clear" w:color="auto" w:fill="auto"/>
          </w:tcPr>
          <w:p w14:paraId="614F6C2C" w14:textId="77777777" w:rsidR="00FD6BAA" w:rsidRDefault="00FD6BAA" w:rsidP="00863B89">
            <w:pPr>
              <w:spacing w:line="360" w:lineRule="auto"/>
              <w:jc w:val="center"/>
              <w:rPr>
                <w:rFonts w:cs="Times New Roman"/>
              </w:rPr>
            </w:pPr>
            <w:r>
              <w:rPr>
                <w:rFonts w:cs="Times New Roman"/>
              </w:rPr>
              <w:t>1.270</w:t>
            </w:r>
          </w:p>
        </w:tc>
      </w:tr>
      <w:tr w:rsidR="00FD6BAA" w:rsidRPr="00EB0C48" w14:paraId="13E2E428" w14:textId="77777777" w:rsidTr="00863B89">
        <w:tc>
          <w:tcPr>
            <w:tcW w:w="3078" w:type="dxa"/>
            <w:tcBorders>
              <w:right w:val="nil"/>
            </w:tcBorders>
            <w:shd w:val="clear" w:color="auto" w:fill="auto"/>
          </w:tcPr>
          <w:p w14:paraId="723CD33C" w14:textId="77777777" w:rsidR="00FD6BAA" w:rsidRDefault="00FD6BAA" w:rsidP="00863B89">
            <w:pPr>
              <w:spacing w:line="360" w:lineRule="auto"/>
              <w:rPr>
                <w:rFonts w:cs="Times New Roman"/>
              </w:rPr>
            </w:pPr>
            <w:r>
              <w:rPr>
                <w:rFonts w:cs="Times New Roman"/>
              </w:rPr>
              <w:t>Total DEFF</w:t>
            </w:r>
          </w:p>
        </w:tc>
        <w:tc>
          <w:tcPr>
            <w:tcW w:w="4500" w:type="dxa"/>
            <w:gridSpan w:val="3"/>
            <w:tcBorders>
              <w:left w:val="nil"/>
              <w:right w:val="nil"/>
            </w:tcBorders>
          </w:tcPr>
          <w:p w14:paraId="22809172" w14:textId="77777777" w:rsidR="00FD6BAA" w:rsidRDefault="00FD6BAA" w:rsidP="00863B89">
            <w:pPr>
              <w:spacing w:line="360" w:lineRule="auto"/>
              <w:jc w:val="center"/>
              <w:rPr>
                <w:rFonts w:cs="Times New Roman"/>
              </w:rPr>
            </w:pPr>
          </w:p>
        </w:tc>
        <w:tc>
          <w:tcPr>
            <w:tcW w:w="1620" w:type="dxa"/>
            <w:tcBorders>
              <w:left w:val="nil"/>
            </w:tcBorders>
            <w:shd w:val="clear" w:color="auto" w:fill="auto"/>
          </w:tcPr>
          <w:p w14:paraId="39588494" w14:textId="77777777" w:rsidR="00FD6BAA" w:rsidRDefault="00FD6BAA" w:rsidP="00863B89">
            <w:pPr>
              <w:spacing w:line="360" w:lineRule="auto"/>
              <w:jc w:val="center"/>
              <w:rPr>
                <w:rFonts w:cs="Times New Roman"/>
              </w:rPr>
            </w:pPr>
            <w:r>
              <w:rPr>
                <w:rFonts w:cs="Times New Roman"/>
              </w:rPr>
              <w:t>1.317</w:t>
            </w:r>
          </w:p>
        </w:tc>
      </w:tr>
    </w:tbl>
    <w:p w14:paraId="7AE2C95C" w14:textId="77777777" w:rsidR="000D56EF" w:rsidRDefault="000D56EF" w:rsidP="000D56EF">
      <w:pPr>
        <w:keepNext/>
        <w:keepLines/>
        <w:spacing w:line="360" w:lineRule="auto"/>
        <w:rPr>
          <w:rFonts w:cs="Times New Roman"/>
        </w:rPr>
      </w:pPr>
    </w:p>
    <w:p w14:paraId="41972F65" w14:textId="77777777" w:rsidR="006413B2" w:rsidRDefault="006413B2" w:rsidP="000D56EF">
      <w:pPr>
        <w:keepNext/>
        <w:keepLines/>
        <w:spacing w:line="360" w:lineRule="auto"/>
        <w:rPr>
          <w:rFonts w:cs="Times New Roman"/>
        </w:rPr>
      </w:pPr>
      <w:r w:rsidRPr="00EB0C48">
        <w:rPr>
          <w:rFonts w:cs="Times New Roman"/>
        </w:rPr>
        <w:t xml:space="preserve">For a given power level (e.g., 80%), the effect size that can be determined by solving </w:t>
      </w:r>
    </w:p>
    <w:p w14:paraId="17C27D0B" w14:textId="77777777" w:rsidR="00AD5CBD" w:rsidRPr="00EB0C48" w:rsidRDefault="00AD5CBD" w:rsidP="000D56EF">
      <w:pPr>
        <w:keepNext/>
        <w:keepLines/>
        <w:spacing w:line="360" w:lineRule="auto"/>
        <w:rPr>
          <w:rFonts w:cs="Times New Roman"/>
        </w:rPr>
      </w:pPr>
    </w:p>
    <w:p w14:paraId="383308EE" w14:textId="77777777" w:rsidR="00625686" w:rsidRPr="00AD5CBD" w:rsidRDefault="00EF0CD0" w:rsidP="000D56EF">
      <w:pPr>
        <w:keepNext/>
        <w:keepLines/>
        <w:spacing w:line="360" w:lineRule="auto"/>
        <w:rPr>
          <w:rFonts w:eastAsiaTheme="minorEastAsia" w:cs="Times New Roman"/>
        </w:rPr>
      </w:pPr>
      <m:oMathPara>
        <m:oMath>
          <m:sSub>
            <m:sSubPr>
              <m:ctrlPr>
                <w:rPr>
                  <w:rFonts w:ascii="Cambria Math" w:hAnsi="Cambria Math" w:cs="Times New Roman"/>
                </w:rPr>
              </m:ctrlPr>
            </m:sSubPr>
            <m:e>
              <m:r>
                <w:rPr>
                  <w:rFonts w:ascii="Cambria Math" w:hAnsi="Cambria Math" w:cs="Times New Roman"/>
                </w:rPr>
                <m:t>p</m:t>
              </m:r>
            </m:e>
            <m:sub>
              <m:r>
                <m:rPr>
                  <m:sty m:val="p"/>
                </m:rPr>
                <w:rPr>
                  <w:rFonts w:ascii="Cambria Math" w:cs="Times New Roman"/>
                </w:rPr>
                <m:t>1</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p</m:t>
              </m:r>
            </m:e>
            <m:sub>
              <m:r>
                <m:rPr>
                  <m:sty m:val="p"/>
                </m:rPr>
                <w:rPr>
                  <w:rFonts w:ascii="Cambria Math" w:cs="Times New Roman"/>
                </w:rPr>
                <m:t>0</m:t>
              </m:r>
            </m:sub>
          </m:sSub>
          <m:r>
            <m:rPr>
              <m:sty m:val="p"/>
            </m:rPr>
            <w:rPr>
              <w:rFonts w:ascii="Cambria Math" w:cs="Times New Roman"/>
            </w:rPr>
            <m:t>=</m:t>
          </m:r>
          <m:sSub>
            <m:sSubPr>
              <m:ctrlPr>
                <w:rPr>
                  <w:rFonts w:ascii="Cambria Math" w:hAnsi="Cambria Math" w:cs="Times New Roman"/>
                </w:rPr>
              </m:ctrlPr>
            </m:sSubPr>
            <m:e>
              <m:r>
                <w:rPr>
                  <w:rFonts w:ascii="Cambria Math" w:hAnsi="Cambria Math" w:cs="Times New Roman"/>
                </w:rPr>
                <m:t>z</m:t>
              </m:r>
            </m:e>
            <m:sub>
              <m:r>
                <m:rPr>
                  <m:sty m:val="p"/>
                </m:rPr>
                <w:rPr>
                  <w:rFonts w:ascii="Cambria Math" w:cs="Times New Roman"/>
                </w:rPr>
                <m:t>1</m:t>
              </m:r>
              <m:r>
                <m:rPr>
                  <m:sty m:val="p"/>
                </m:rPr>
                <w:rPr>
                  <w:rFonts w:ascii="Cambria Math" w:cs="Times New Roman"/>
                </w:rPr>
                <m:t>-</m:t>
              </m:r>
              <m:r>
                <w:rPr>
                  <w:rFonts w:ascii="Cambria Math" w:hAnsi="Cambria Math" w:cs="Times New Roman"/>
                </w:rPr>
                <m:t>α</m:t>
              </m:r>
              <m:r>
                <m:rPr>
                  <m:sty m:val="p"/>
                </m:rPr>
                <w:rPr>
                  <w:rFonts w:ascii="Cambria Math" w:cs="Times New Roman"/>
                </w:rPr>
                <m:t>/2</m:t>
              </m:r>
            </m:sub>
          </m:sSub>
          <m:r>
            <m:rPr>
              <m:sty m:val="p"/>
            </m:rPr>
            <w:rPr>
              <w:rFonts w:ascii="Cambria Math" w:cs="Times New Roman"/>
            </w:rPr>
            <m:t xml:space="preserve"> </m:t>
          </m:r>
          <m:sSup>
            <m:sSupPr>
              <m:ctrlPr>
                <w:rPr>
                  <w:rFonts w:ascii="Cambria Math" w:hAnsi="Cambria Math" w:cs="Times New Roman"/>
                </w:rPr>
              </m:ctrlPr>
            </m:sSupPr>
            <m:e>
              <m:r>
                <w:rPr>
                  <w:rFonts w:ascii="Cambria Math" w:hAnsi="Cambria Math" w:cs="Times New Roman"/>
                </w:rPr>
                <m:t>V</m:t>
              </m:r>
            </m:e>
            <m:sup>
              <m:r>
                <m:rPr>
                  <m:sty m:val="p"/>
                </m:rPr>
                <w:rPr>
                  <w:rFonts w:ascii="Cambria Math" w:cs="Times New Roman"/>
                </w:rPr>
                <m:t>1/2</m:t>
              </m:r>
            </m:sup>
          </m:sSup>
          <m:r>
            <m:rPr>
              <m:sty m:val="p"/>
            </m:rPr>
            <w:rPr>
              <w:rFonts w:ascii="Cambria Math" w:cs="Times New Roman"/>
            </w:rPr>
            <m:t xml:space="preserve"> (</m:t>
          </m:r>
          <m:sSub>
            <m:sSubPr>
              <m:ctrlPr>
                <w:rPr>
                  <w:rFonts w:ascii="Cambria Math" w:hAnsi="Cambria Math" w:cs="Times New Roman"/>
                </w:rPr>
              </m:ctrlPr>
            </m:sSubPr>
            <m:e>
              <m:r>
                <w:rPr>
                  <w:rFonts w:ascii="Cambria Math" w:hAnsi="Cambria Math" w:cs="Times New Roman"/>
                </w:rPr>
                <m:t>p</m:t>
              </m:r>
            </m:e>
            <m:sub>
              <m:r>
                <m:rPr>
                  <m:sty m:val="p"/>
                </m:rPr>
                <w:rPr>
                  <w:rFonts w:ascii="Cambria Math" w:cs="Times New Roman"/>
                </w:rPr>
                <m:t>0</m:t>
              </m:r>
            </m:sub>
          </m:sSub>
          <m:r>
            <m:rPr>
              <m:sty m:val="p"/>
            </m:rPr>
            <w:rPr>
              <w:rFonts w:ascii="Cambria Math" w:cs="Times New Roman"/>
            </w:rPr>
            <m:t>,</m:t>
          </m:r>
          <m:r>
            <w:rPr>
              <w:rFonts w:ascii="Cambria Math" w:hAnsi="Cambria Math" w:cs="Times New Roman"/>
            </w:rPr>
            <m:t>n</m:t>
          </m:r>
          <m:r>
            <m:rPr>
              <m:sty m:val="p"/>
            </m:rPr>
            <w:rPr>
              <w:rFonts w:ascii="Cambria Math" w:cs="Times New Roman"/>
            </w:rPr>
            <m:t>)+</m:t>
          </m:r>
          <m:sSub>
            <m:sSubPr>
              <m:ctrlPr>
                <w:rPr>
                  <w:rFonts w:ascii="Cambria Math" w:hAnsi="Cambria Math" w:cs="Times New Roman"/>
                </w:rPr>
              </m:ctrlPr>
            </m:sSubPr>
            <m:e>
              <m:r>
                <w:rPr>
                  <w:rFonts w:ascii="Cambria Math" w:hAnsi="Cambria Math" w:cs="Times New Roman"/>
                </w:rPr>
                <m:t>z</m:t>
              </m:r>
            </m:e>
            <m:sub>
              <m:r>
                <m:rPr>
                  <m:sty m:val="p"/>
                </m:rPr>
                <w:rPr>
                  <w:rFonts w:ascii="Cambria Math" w:cs="Times New Roman"/>
                </w:rPr>
                <m:t>1</m:t>
              </m:r>
              <m:r>
                <m:rPr>
                  <m:sty m:val="p"/>
                </m:rPr>
                <w:rPr>
                  <w:rFonts w:ascii="Cambria Math" w:cs="Times New Roman"/>
                </w:rPr>
                <m:t>-</m:t>
              </m:r>
              <m:r>
                <w:rPr>
                  <w:rFonts w:ascii="Cambria Math" w:hAnsi="Cambria Math" w:cs="Times New Roman"/>
                </w:rPr>
                <m:t>β</m:t>
              </m:r>
            </m:sub>
          </m:sSub>
          <m:r>
            <m:rPr>
              <m:sty m:val="p"/>
            </m:rPr>
            <w:rPr>
              <w:rFonts w:ascii="Cambria Math" w:cs="Times New Roman"/>
            </w:rPr>
            <m:t xml:space="preserve"> </m:t>
          </m:r>
          <m:sSup>
            <m:sSupPr>
              <m:ctrlPr>
                <w:rPr>
                  <w:rFonts w:ascii="Cambria Math" w:hAnsi="Cambria Math" w:cs="Times New Roman"/>
                </w:rPr>
              </m:ctrlPr>
            </m:sSupPr>
            <m:e>
              <m:r>
                <w:rPr>
                  <w:rFonts w:ascii="Cambria Math" w:hAnsi="Cambria Math" w:cs="Times New Roman"/>
                </w:rPr>
                <m:t>V</m:t>
              </m:r>
            </m:e>
            <m:sup>
              <m:r>
                <m:rPr>
                  <m:sty m:val="p"/>
                </m:rPr>
                <w:rPr>
                  <w:rFonts w:ascii="Cambria Math" w:cs="Times New Roman"/>
                </w:rPr>
                <m:t>1/2</m:t>
              </m:r>
            </m:sup>
          </m:sSup>
          <m:r>
            <m:rPr>
              <m:sty m:val="p"/>
            </m:rPr>
            <w:rPr>
              <w:rFonts w:ascii="Cambria Math" w:cs="Times New Roman"/>
            </w:rPr>
            <m:t xml:space="preserve"> (</m:t>
          </m:r>
          <m:sSub>
            <m:sSubPr>
              <m:ctrlPr>
                <w:rPr>
                  <w:rFonts w:ascii="Cambria Math" w:hAnsi="Cambria Math" w:cs="Times New Roman"/>
                </w:rPr>
              </m:ctrlPr>
            </m:sSubPr>
            <m:e>
              <m:r>
                <w:rPr>
                  <w:rFonts w:ascii="Cambria Math" w:hAnsi="Cambria Math" w:cs="Times New Roman"/>
                </w:rPr>
                <m:t>p</m:t>
              </m:r>
            </m:e>
            <m:sub>
              <m:r>
                <m:rPr>
                  <m:sty m:val="p"/>
                </m:rPr>
                <w:rPr>
                  <w:rFonts w:ascii="Cambria Math" w:cs="Times New Roman"/>
                </w:rPr>
                <m:t>1</m:t>
              </m:r>
            </m:sub>
          </m:sSub>
          <m:r>
            <m:rPr>
              <m:sty m:val="p"/>
            </m:rPr>
            <w:rPr>
              <w:rFonts w:ascii="Cambria Math" w:cs="Times New Roman"/>
            </w:rPr>
            <m:t>,</m:t>
          </m:r>
          <m:r>
            <w:rPr>
              <w:rFonts w:ascii="Cambria Math" w:hAnsi="Cambria Math" w:cs="Times New Roman"/>
            </w:rPr>
            <m:t>n</m:t>
          </m:r>
          <m:r>
            <m:rPr>
              <m:sty m:val="p"/>
            </m:rPr>
            <w:rPr>
              <w:rFonts w:ascii="Cambria Math" w:cs="Times New Roman"/>
            </w:rPr>
            <m:t>)</m:t>
          </m:r>
        </m:oMath>
      </m:oMathPara>
    </w:p>
    <w:p w14:paraId="1B43CF70" w14:textId="77777777" w:rsidR="00AD5CBD" w:rsidRPr="00EB0C48" w:rsidRDefault="00AD5CBD" w:rsidP="000D56EF">
      <w:pPr>
        <w:keepNext/>
        <w:keepLines/>
        <w:spacing w:line="360" w:lineRule="auto"/>
        <w:rPr>
          <w:rFonts w:cs="Times New Roman"/>
        </w:rPr>
      </w:pPr>
    </w:p>
    <w:p w14:paraId="33E53303" w14:textId="70DAE87A" w:rsidR="000D56EF" w:rsidRDefault="006413B2" w:rsidP="000D56EF">
      <w:pPr>
        <w:keepNext/>
        <w:keepLines/>
        <w:spacing w:line="360" w:lineRule="auto"/>
        <w:rPr>
          <w:rFonts w:cs="Times New Roman"/>
        </w:rPr>
      </w:pPr>
      <w:r w:rsidRPr="00EB0C48">
        <w:rPr>
          <w:rFonts w:cs="Times New Roman"/>
        </w:rPr>
        <w:t xml:space="preserve">for </w:t>
      </w:r>
      <w:r w:rsidRPr="00593437">
        <w:rPr>
          <w:rFonts w:cs="Times New Roman"/>
          <w:i/>
        </w:rPr>
        <w:t>p</w:t>
      </w:r>
      <w:r w:rsidRPr="00593437">
        <w:rPr>
          <w:rFonts w:cs="Times New Roman"/>
          <w:i/>
          <w:vertAlign w:val="subscript"/>
        </w:rPr>
        <w:t>1</w:t>
      </w:r>
      <w:r w:rsidRPr="00593437">
        <w:rPr>
          <w:rFonts w:cs="Times New Roman"/>
        </w:rPr>
        <w:t xml:space="preserve">. </w:t>
      </w:r>
      <w:r w:rsidRPr="00EB0C48">
        <w:rPr>
          <w:rFonts w:cs="Times New Roman"/>
        </w:rPr>
        <w:t xml:space="preserve">This is an extension of the standard power analysis for </w:t>
      </w:r>
      <w:r>
        <w:rPr>
          <w:rFonts w:cs="Times New Roman"/>
        </w:rPr>
        <w:t xml:space="preserve">weighted </w:t>
      </w:r>
      <w:r w:rsidRPr="00EB0C48">
        <w:rPr>
          <w:rFonts w:cs="Times New Roman"/>
        </w:rPr>
        <w:t>stratified samples.</w:t>
      </w:r>
    </w:p>
    <w:p w14:paraId="4A76353D" w14:textId="77777777" w:rsidR="000D56EF" w:rsidRPr="00EB0C48" w:rsidRDefault="000D56EF" w:rsidP="000D56EF">
      <w:pPr>
        <w:keepNext/>
        <w:keepLines/>
        <w:spacing w:line="360" w:lineRule="auto"/>
        <w:rPr>
          <w:rFonts w:cs="Times New Roman"/>
        </w:rPr>
      </w:pPr>
    </w:p>
    <w:p w14:paraId="6FC94FC4" w14:textId="61A254B0" w:rsidR="006413B2" w:rsidRPr="00EB0C48" w:rsidRDefault="00625686" w:rsidP="000D56EF">
      <w:pPr>
        <w:keepNext/>
        <w:keepLines/>
        <w:spacing w:line="360" w:lineRule="auto"/>
        <w:rPr>
          <w:rFonts w:cs="Times New Roman"/>
        </w:rPr>
      </w:pPr>
      <w:r>
        <w:rPr>
          <w:rFonts w:cs="Times New Roman"/>
        </w:rPr>
        <w:t>T</w:t>
      </w:r>
      <w:r w:rsidR="006413B2" w:rsidRPr="00EB0C48">
        <w:rPr>
          <w:rFonts w:cs="Times New Roman"/>
        </w:rPr>
        <w:t>able B</w:t>
      </w:r>
      <w:r w:rsidR="006413B2">
        <w:rPr>
          <w:rFonts w:cs="Times New Roman"/>
        </w:rPr>
        <w:t>4</w:t>
      </w:r>
      <w:r w:rsidR="006413B2" w:rsidRPr="00EB0C48">
        <w:rPr>
          <w:rFonts w:cs="Times New Roman"/>
        </w:rPr>
        <w:t xml:space="preserve"> lists effect sizes using the most typical values for significance level (</w:t>
      </w:r>
      <w:r w:rsidR="006413B2" w:rsidRPr="003A78AF">
        <w:rPr>
          <w:rFonts w:cs="Times New Roman"/>
          <w:i/>
        </w:rPr>
        <w:t>α</w:t>
      </w:r>
      <w:r w:rsidR="006413B2" w:rsidRPr="00EB0C48">
        <w:rPr>
          <w:rFonts w:cs="Times New Roman"/>
        </w:rPr>
        <w:t>=5%) and power (</w:t>
      </w:r>
      <w:r w:rsidR="006413B2" w:rsidRPr="003A78AF">
        <w:rPr>
          <w:rFonts w:cs="Times New Roman"/>
          <w:i/>
        </w:rPr>
        <w:t>β</w:t>
      </w:r>
      <w:r w:rsidR="006413B2" w:rsidRPr="00EB0C48">
        <w:rPr>
          <w:rFonts w:cs="Times New Roman"/>
        </w:rPr>
        <w:t>=80%), and for various scenarios concerning variability of weights within strata (which will be caused by differential non-response).</w:t>
      </w:r>
    </w:p>
    <w:p w14:paraId="190606F2" w14:textId="77777777" w:rsidR="006413B2" w:rsidRDefault="006413B2" w:rsidP="006413B2">
      <w:pPr>
        <w:spacing w:line="360" w:lineRule="auto"/>
        <w:rPr>
          <w:rFonts w:cs="Times New Roman"/>
        </w:rPr>
      </w:pPr>
    </w:p>
    <w:tbl>
      <w:tblPr>
        <w:tblW w:w="919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5418"/>
        <w:gridCol w:w="1890"/>
        <w:gridCol w:w="1890"/>
      </w:tblGrid>
      <w:tr w:rsidR="00FD6BAA" w:rsidRPr="00EB0C48" w14:paraId="15CDEEB9" w14:textId="77777777" w:rsidTr="00863B89">
        <w:tc>
          <w:tcPr>
            <w:tcW w:w="9198" w:type="dxa"/>
            <w:gridSpan w:val="3"/>
            <w:shd w:val="clear" w:color="auto" w:fill="auto"/>
          </w:tcPr>
          <w:p w14:paraId="5337914C" w14:textId="77777777" w:rsidR="00FD6BAA" w:rsidRPr="00EB0C48" w:rsidRDefault="00FD6BAA" w:rsidP="00863B89">
            <w:pPr>
              <w:keepNext/>
              <w:keepLines/>
              <w:spacing w:line="360" w:lineRule="auto"/>
              <w:rPr>
                <w:rFonts w:cs="Times New Roman"/>
              </w:rPr>
            </w:pPr>
            <w:r>
              <w:rPr>
                <w:rFonts w:cs="Times New Roman"/>
                <w:b/>
              </w:rPr>
              <w:t>Table B4:</w:t>
            </w:r>
            <w:r w:rsidRPr="00EB0C48">
              <w:rPr>
                <w:rFonts w:cs="Times New Roman"/>
                <w:b/>
              </w:rPr>
              <w:t xml:space="preserve"> Power analysis.</w:t>
            </w:r>
          </w:p>
        </w:tc>
      </w:tr>
      <w:tr w:rsidR="00FD6BAA" w:rsidRPr="00EB0C48" w14:paraId="1074EF9F" w14:textId="77777777" w:rsidTr="00FD6BAA">
        <w:tc>
          <w:tcPr>
            <w:tcW w:w="5418" w:type="dxa"/>
            <w:tcBorders>
              <w:right w:val="single" w:sz="4" w:space="0" w:color="auto"/>
            </w:tcBorders>
            <w:shd w:val="clear" w:color="auto" w:fill="auto"/>
          </w:tcPr>
          <w:p w14:paraId="184BE815" w14:textId="77777777" w:rsidR="00FD6BAA" w:rsidRPr="00EB0C48" w:rsidRDefault="00FD6BAA" w:rsidP="00863B89">
            <w:pPr>
              <w:spacing w:line="360" w:lineRule="auto"/>
              <w:rPr>
                <w:rFonts w:cs="Times New Roman"/>
              </w:rPr>
            </w:pPr>
            <w:r w:rsidRPr="00EB0C48">
              <w:rPr>
                <w:rFonts w:cs="Times New Roman"/>
              </w:rPr>
              <w:t>Effect size detectable with power 80% by a test of size 5%</w:t>
            </w:r>
          </w:p>
        </w:tc>
        <w:tc>
          <w:tcPr>
            <w:tcW w:w="1890" w:type="dxa"/>
            <w:tcBorders>
              <w:left w:val="single" w:sz="4" w:space="0" w:color="auto"/>
              <w:right w:val="single" w:sz="4" w:space="0" w:color="auto"/>
            </w:tcBorders>
            <w:shd w:val="clear" w:color="auto" w:fill="auto"/>
          </w:tcPr>
          <w:p w14:paraId="33131BF0" w14:textId="77777777" w:rsidR="00FD6BAA" w:rsidRPr="00EB0C48" w:rsidRDefault="00FD6BAA" w:rsidP="00863B89">
            <w:pPr>
              <w:spacing w:line="360" w:lineRule="auto"/>
              <w:jc w:val="center"/>
              <w:rPr>
                <w:rFonts w:cs="Times New Roman"/>
              </w:rPr>
            </w:pPr>
            <w:r w:rsidRPr="00EB0C48">
              <w:rPr>
                <w:rFonts w:cs="Times New Roman"/>
                <w:i/>
              </w:rPr>
              <w:t>p</w:t>
            </w:r>
            <w:r w:rsidRPr="00EB0C48">
              <w:rPr>
                <w:rFonts w:cs="Times New Roman"/>
                <w:i/>
                <w:vertAlign w:val="subscript"/>
              </w:rPr>
              <w:t>0</w:t>
            </w:r>
            <w:r w:rsidRPr="00EB0C48">
              <w:rPr>
                <w:rFonts w:cs="Times New Roman"/>
              </w:rPr>
              <w:t xml:space="preserve"> = 50%</w:t>
            </w:r>
          </w:p>
        </w:tc>
        <w:tc>
          <w:tcPr>
            <w:tcW w:w="1890" w:type="dxa"/>
            <w:tcBorders>
              <w:left w:val="single" w:sz="4" w:space="0" w:color="auto"/>
            </w:tcBorders>
            <w:shd w:val="clear" w:color="auto" w:fill="auto"/>
          </w:tcPr>
          <w:p w14:paraId="7F238366" w14:textId="77777777" w:rsidR="00FD6BAA" w:rsidRPr="00EB0C48" w:rsidRDefault="00FD6BAA" w:rsidP="00863B89">
            <w:pPr>
              <w:spacing w:line="360" w:lineRule="auto"/>
              <w:jc w:val="center"/>
              <w:rPr>
                <w:rFonts w:cs="Times New Roman"/>
              </w:rPr>
            </w:pPr>
            <w:r w:rsidRPr="00EB0C48">
              <w:rPr>
                <w:rFonts w:cs="Times New Roman"/>
                <w:i/>
              </w:rPr>
              <w:t>p</w:t>
            </w:r>
            <w:r w:rsidRPr="00EB0C48">
              <w:rPr>
                <w:rFonts w:cs="Times New Roman"/>
                <w:i/>
                <w:vertAlign w:val="subscript"/>
              </w:rPr>
              <w:t>0</w:t>
            </w:r>
            <w:r w:rsidRPr="00EB0C48">
              <w:rPr>
                <w:rFonts w:cs="Times New Roman"/>
              </w:rPr>
              <w:t xml:space="preserve"> = 10%</w:t>
            </w:r>
          </w:p>
        </w:tc>
      </w:tr>
      <w:tr w:rsidR="00FD6BAA" w:rsidRPr="00EB0C48" w14:paraId="3E0C290B" w14:textId="77777777" w:rsidTr="00FD6BAA">
        <w:tc>
          <w:tcPr>
            <w:tcW w:w="5418" w:type="dxa"/>
            <w:tcBorders>
              <w:right w:val="single" w:sz="4" w:space="0" w:color="auto"/>
            </w:tcBorders>
            <w:shd w:val="clear" w:color="auto" w:fill="auto"/>
          </w:tcPr>
          <w:p w14:paraId="71195B22" w14:textId="77777777" w:rsidR="00FD6BAA" w:rsidRPr="00EB0C48" w:rsidRDefault="00FD6BAA" w:rsidP="00863B89">
            <w:pPr>
              <w:spacing w:line="360" w:lineRule="auto"/>
              <w:rPr>
                <w:rFonts w:cs="Times New Roman"/>
              </w:rPr>
            </w:pPr>
            <w:r>
              <w:rPr>
                <w:rFonts w:cs="Times New Roman"/>
              </w:rPr>
              <w:t>Full sample (</w:t>
            </w:r>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eff</m:t>
                  </m:r>
                </m:sub>
              </m:sSub>
              <m:r>
                <w:rPr>
                  <w:rFonts w:ascii="Cambria Math" w:hAnsi="Cambria Math" w:cs="Times New Roman"/>
                </w:rPr>
                <m:t>=1643)</m:t>
              </m:r>
            </m:oMath>
          </w:p>
        </w:tc>
        <w:tc>
          <w:tcPr>
            <w:tcW w:w="1890" w:type="dxa"/>
            <w:tcBorders>
              <w:left w:val="single" w:sz="4" w:space="0" w:color="auto"/>
              <w:right w:val="single" w:sz="4" w:space="0" w:color="auto"/>
            </w:tcBorders>
            <w:shd w:val="clear" w:color="auto" w:fill="auto"/>
          </w:tcPr>
          <w:p w14:paraId="74CA2647" w14:textId="77777777" w:rsidR="00FD6BAA" w:rsidRPr="00EB0C48" w:rsidRDefault="00FD6BAA" w:rsidP="00863B89">
            <w:pPr>
              <w:spacing w:line="360" w:lineRule="auto"/>
              <w:jc w:val="center"/>
              <w:rPr>
                <w:rFonts w:cs="Times New Roman"/>
              </w:rPr>
            </w:pPr>
            <w:r>
              <w:rPr>
                <w:rFonts w:cs="Times New Roman"/>
              </w:rPr>
              <w:t>3.5%</w:t>
            </w:r>
          </w:p>
        </w:tc>
        <w:tc>
          <w:tcPr>
            <w:tcW w:w="1890" w:type="dxa"/>
            <w:tcBorders>
              <w:left w:val="single" w:sz="4" w:space="0" w:color="auto"/>
            </w:tcBorders>
            <w:shd w:val="clear" w:color="auto" w:fill="auto"/>
          </w:tcPr>
          <w:p w14:paraId="0A2B669C" w14:textId="77777777" w:rsidR="00FD6BAA" w:rsidRPr="00EB0C48" w:rsidRDefault="00FD6BAA" w:rsidP="00863B89">
            <w:pPr>
              <w:spacing w:line="360" w:lineRule="auto"/>
              <w:jc w:val="center"/>
              <w:rPr>
                <w:rFonts w:cs="Times New Roman"/>
              </w:rPr>
            </w:pPr>
            <w:r>
              <w:rPr>
                <w:rFonts w:cs="Times New Roman"/>
              </w:rPr>
              <w:t>2.1%</w:t>
            </w:r>
          </w:p>
        </w:tc>
      </w:tr>
      <w:tr w:rsidR="00FD6BAA" w:rsidRPr="00EB0C48" w14:paraId="7389BF89" w14:textId="77777777" w:rsidTr="00FD6BAA">
        <w:tc>
          <w:tcPr>
            <w:tcW w:w="5418" w:type="dxa"/>
            <w:tcBorders>
              <w:right w:val="single" w:sz="4" w:space="0" w:color="auto"/>
            </w:tcBorders>
            <w:shd w:val="clear" w:color="auto" w:fill="auto"/>
          </w:tcPr>
          <w:p w14:paraId="738F5193" w14:textId="77777777" w:rsidR="00FD6BAA" w:rsidRPr="00EB0C48" w:rsidRDefault="00FD6BAA" w:rsidP="00863B89">
            <w:pPr>
              <w:spacing w:line="360" w:lineRule="auto"/>
              <w:rPr>
                <w:rFonts w:cs="Times New Roman"/>
              </w:rPr>
            </w:pPr>
            <w:r>
              <w:rPr>
                <w:rFonts w:cs="Times New Roman"/>
              </w:rPr>
              <w:t>Recreational users (</w:t>
            </w:r>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eff</m:t>
                  </m:r>
                </m:sub>
              </m:sSub>
              <m:r>
                <w:rPr>
                  <w:rFonts w:ascii="Cambria Math" w:hAnsi="Cambria Math" w:cs="Times New Roman"/>
                </w:rPr>
                <m:t>=493)</m:t>
              </m:r>
            </m:oMath>
          </w:p>
        </w:tc>
        <w:tc>
          <w:tcPr>
            <w:tcW w:w="1890" w:type="dxa"/>
            <w:tcBorders>
              <w:left w:val="single" w:sz="4" w:space="0" w:color="auto"/>
              <w:right w:val="single" w:sz="4" w:space="0" w:color="auto"/>
            </w:tcBorders>
            <w:shd w:val="clear" w:color="auto" w:fill="auto"/>
          </w:tcPr>
          <w:p w14:paraId="5C3978A6" w14:textId="77777777" w:rsidR="00FD6BAA" w:rsidRPr="00EB0C48" w:rsidRDefault="00FD6BAA" w:rsidP="00863B89">
            <w:pPr>
              <w:spacing w:line="360" w:lineRule="auto"/>
              <w:jc w:val="center"/>
              <w:rPr>
                <w:rFonts w:cs="Times New Roman"/>
              </w:rPr>
            </w:pPr>
            <w:r>
              <w:rPr>
                <w:rFonts w:cs="Times New Roman"/>
              </w:rPr>
              <w:t>6.3%</w:t>
            </w:r>
          </w:p>
        </w:tc>
        <w:tc>
          <w:tcPr>
            <w:tcW w:w="1890" w:type="dxa"/>
            <w:tcBorders>
              <w:left w:val="single" w:sz="4" w:space="0" w:color="auto"/>
            </w:tcBorders>
            <w:shd w:val="clear" w:color="auto" w:fill="auto"/>
          </w:tcPr>
          <w:p w14:paraId="23D66913" w14:textId="77777777" w:rsidR="00FD6BAA" w:rsidRPr="00EB0C48" w:rsidRDefault="00FD6BAA" w:rsidP="00863B89">
            <w:pPr>
              <w:spacing w:line="360" w:lineRule="auto"/>
              <w:jc w:val="center"/>
              <w:rPr>
                <w:rFonts w:cs="Times New Roman"/>
              </w:rPr>
            </w:pPr>
            <w:r>
              <w:rPr>
                <w:rFonts w:cs="Times New Roman"/>
              </w:rPr>
              <w:t>4.0%</w:t>
            </w:r>
          </w:p>
        </w:tc>
      </w:tr>
    </w:tbl>
    <w:p w14:paraId="6AAFAE57" w14:textId="77777777" w:rsidR="006413B2" w:rsidRPr="00EB0C48" w:rsidRDefault="006413B2" w:rsidP="006413B2">
      <w:pPr>
        <w:spacing w:line="360" w:lineRule="auto"/>
        <w:rPr>
          <w:rFonts w:cs="Times New Roman"/>
        </w:rPr>
      </w:pPr>
    </w:p>
    <w:p w14:paraId="70C02DE6" w14:textId="77777777" w:rsidR="00650C2A" w:rsidRPr="00DF48C0" w:rsidRDefault="00650C2A" w:rsidP="00650C2A">
      <w:pPr>
        <w:spacing w:line="360" w:lineRule="auto"/>
        <w:rPr>
          <w:rFonts w:cs="Times New Roman"/>
        </w:rPr>
      </w:pPr>
    </w:p>
    <w:p w14:paraId="17ADB8C8" w14:textId="77777777" w:rsidR="00650C2A" w:rsidRPr="00DF48C0" w:rsidRDefault="00650C2A" w:rsidP="00AD5CBD">
      <w:pPr>
        <w:pStyle w:val="Heading4"/>
        <w:keepLines/>
        <w:rPr>
          <w:sz w:val="22"/>
          <w:szCs w:val="22"/>
        </w:rPr>
      </w:pPr>
      <w:bookmarkStart w:id="108" w:name="_Toc327184557"/>
      <w:bookmarkStart w:id="109" w:name="_Toc327362400"/>
      <w:r w:rsidRPr="00DF48C0">
        <w:rPr>
          <w:sz w:val="22"/>
          <w:szCs w:val="22"/>
        </w:rPr>
        <w:t>(iii)</w:t>
      </w:r>
      <w:r w:rsidRPr="00DF48C0">
        <w:rPr>
          <w:sz w:val="22"/>
          <w:szCs w:val="22"/>
        </w:rPr>
        <w:tab/>
        <w:t>Non-Sampling Errors</w:t>
      </w:r>
      <w:bookmarkEnd w:id="108"/>
      <w:bookmarkEnd w:id="109"/>
    </w:p>
    <w:p w14:paraId="7E969D9B" w14:textId="77777777" w:rsidR="00650C2A" w:rsidRPr="00DF48C0" w:rsidRDefault="00650C2A" w:rsidP="00AD5CBD">
      <w:pPr>
        <w:keepNext/>
        <w:keepLines/>
        <w:spacing w:line="360" w:lineRule="auto"/>
        <w:ind w:firstLine="720"/>
        <w:rPr>
          <w:rFonts w:cs="Times New Roman"/>
        </w:rPr>
      </w:pPr>
    </w:p>
    <w:p w14:paraId="7329320D" w14:textId="77B2261C" w:rsidR="00D55D0D" w:rsidRDefault="00BD76CA" w:rsidP="00AD5CBD">
      <w:pPr>
        <w:keepNext/>
        <w:keepLines/>
        <w:spacing w:line="360" w:lineRule="auto"/>
        <w:ind w:firstLine="720"/>
        <w:rPr>
          <w:rFonts w:cs="Times New Roman"/>
        </w:rPr>
      </w:pPr>
      <w:r>
        <w:rPr>
          <w:rFonts w:cs="Times New Roman"/>
        </w:rPr>
        <w:t xml:space="preserve">A variety of </w:t>
      </w:r>
      <w:r w:rsidRPr="00EB0C48">
        <w:rPr>
          <w:rFonts w:cs="Times New Roman"/>
        </w:rPr>
        <w:t xml:space="preserve">non-sampling errors may be encountered in </w:t>
      </w:r>
      <w:r>
        <w:rPr>
          <w:rFonts w:cs="Times New Roman"/>
        </w:rPr>
        <w:t>revealed</w:t>
      </w:r>
      <w:r w:rsidRPr="00EB0C48">
        <w:rPr>
          <w:rFonts w:cs="Times New Roman"/>
        </w:rPr>
        <w:t xml:space="preserve"> preference surveys. </w:t>
      </w:r>
      <w:r w:rsidR="00D55D0D">
        <w:rPr>
          <w:rFonts w:cs="Times New Roman"/>
        </w:rPr>
        <w:t>Coverage error occurs when some eligible units have zero probability of being selected. For the current survey, the generalizable population is that of residents of the 22 counties in the study area. Recreational users from other parts of the country are not covered. EPA has determined that surveying population further away from Cape Cod is economically impractical.</w:t>
      </w:r>
    </w:p>
    <w:p w14:paraId="0E72088C" w14:textId="77777777" w:rsidR="00D55D0D" w:rsidRPr="00EB0C48" w:rsidRDefault="00D55D0D" w:rsidP="00D55D0D">
      <w:pPr>
        <w:spacing w:line="360" w:lineRule="auto"/>
        <w:ind w:firstLine="720"/>
        <w:rPr>
          <w:rFonts w:cs="Times New Roman"/>
        </w:rPr>
      </w:pPr>
      <w:r>
        <w:rPr>
          <w:rFonts w:cs="Times New Roman"/>
        </w:rPr>
        <w:t>Measurement error occurs when the answers in the surveys do not accurately reflect the true events. In the current survey, a trip other than the most recent one can be reported, or the dates of the most recent trip, the location visited, saltwater activities or water quality may be reported incorrectly, all due to recall error (i.e., the respondent is unable to correctly recall all of the circumstances of the trip).</w:t>
      </w:r>
    </w:p>
    <w:p w14:paraId="47BEA505" w14:textId="0C3D7C05" w:rsidR="00D55D0D" w:rsidRPr="00EB0C48" w:rsidRDefault="00D55D0D" w:rsidP="00D55D0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cs="Times New Roman"/>
        </w:rPr>
      </w:pPr>
      <w:r w:rsidRPr="00EB0C48">
        <w:rPr>
          <w:rFonts w:cs="Times New Roman"/>
        </w:rPr>
        <w:tab/>
        <w:t xml:space="preserve">Non-response bias is another type of non-sampling error that can potentially occur in </w:t>
      </w:r>
      <w:r>
        <w:rPr>
          <w:rFonts w:cs="Times New Roman"/>
        </w:rPr>
        <w:t>revealed</w:t>
      </w:r>
      <w:r w:rsidRPr="00EB0C48">
        <w:rPr>
          <w:rFonts w:cs="Times New Roman"/>
        </w:rPr>
        <w:t xml:space="preserve"> preference surveys. Non-response bias can occur when households </w:t>
      </w:r>
      <w:r>
        <w:rPr>
          <w:rFonts w:cs="Times New Roman"/>
        </w:rPr>
        <w:t xml:space="preserve">do </w:t>
      </w:r>
      <w:r w:rsidRPr="00EB0C48">
        <w:rPr>
          <w:rFonts w:cs="Times New Roman"/>
        </w:rPr>
        <w:t xml:space="preserve">not participate in a survey (i.e., not </w:t>
      </w:r>
      <w:r>
        <w:rPr>
          <w:rFonts w:cs="Times New Roman"/>
        </w:rPr>
        <w:t xml:space="preserve">complete a web survey or </w:t>
      </w:r>
      <w:r w:rsidRPr="00EB0C48">
        <w:rPr>
          <w:rFonts w:cs="Times New Roman"/>
        </w:rPr>
        <w:t>return the mail survey, in this case</w:t>
      </w:r>
      <w:r>
        <w:rPr>
          <w:rFonts w:cs="Times New Roman"/>
        </w:rPr>
        <w:t>; this may be a deliberate refusal after the mail is opened, or the mail simply may be tossed without being opened</w:t>
      </w:r>
      <w:r w:rsidRPr="00EB0C48">
        <w:rPr>
          <w:rFonts w:cs="Times New Roman"/>
        </w:rPr>
        <w:t>) or do not answer all relevant questions on the survey instrument</w:t>
      </w:r>
      <w:r>
        <w:rPr>
          <w:rFonts w:cs="Times New Roman"/>
        </w:rPr>
        <w:t xml:space="preserve"> (item non-response)</w:t>
      </w:r>
      <w:r w:rsidRPr="00EB0C48">
        <w:rPr>
          <w:rFonts w:cs="Times New Roman"/>
        </w:rPr>
        <w:t>.</w:t>
      </w:r>
      <w:r>
        <w:rPr>
          <w:rFonts w:cs="Times New Roman"/>
        </w:rPr>
        <w:t xml:space="preserve"> </w:t>
      </w:r>
      <w:r w:rsidRPr="00EB0C48">
        <w:rPr>
          <w:rFonts w:cs="Times New Roman"/>
        </w:rPr>
        <w:t xml:space="preserve">EPA has designed the survey instrument to maximize the response rate. EPA will also follow </w:t>
      </w:r>
      <w:r w:rsidRPr="001B5DA3">
        <w:rPr>
          <w:rFonts w:cs="Times New Roman"/>
        </w:rPr>
        <w:t>Dillman</w:t>
      </w:r>
      <w:r w:rsidR="003E4FE3">
        <w:rPr>
          <w:rFonts w:cs="Times New Roman"/>
        </w:rPr>
        <w:t xml:space="preserve"> et al.</w:t>
      </w:r>
      <w:r w:rsidRPr="001B5DA3">
        <w:rPr>
          <w:rFonts w:cs="Times New Roman"/>
        </w:rPr>
        <w:t>’s (</w:t>
      </w:r>
      <w:r w:rsidRPr="00CE1468">
        <w:rPr>
          <w:rFonts w:cs="Times New Roman"/>
        </w:rPr>
        <w:t>2014</w:t>
      </w:r>
      <w:r w:rsidRPr="001B5DA3">
        <w:rPr>
          <w:rFonts w:cs="Times New Roman"/>
        </w:rPr>
        <w:t>)</w:t>
      </w:r>
      <w:r w:rsidRPr="00EB0C48">
        <w:rPr>
          <w:rFonts w:cs="Times New Roman"/>
        </w:rPr>
        <w:t xml:space="preserve"> </w:t>
      </w:r>
      <w:r w:rsidR="00707349">
        <w:rPr>
          <w:rFonts w:cs="Times New Roman"/>
        </w:rPr>
        <w:t>mixed-mode</w:t>
      </w:r>
      <w:r w:rsidRPr="00EB0C48">
        <w:rPr>
          <w:rFonts w:cs="Times New Roman"/>
        </w:rPr>
        <w:t xml:space="preserve"> survey approach (see subsection 4(b) for details). If necessary, EPA will use appropriate weighting or other statistical adjustments to correct for any bias due to non-response.</w:t>
      </w:r>
    </w:p>
    <w:p w14:paraId="77CD9990" w14:textId="19158AAE" w:rsidR="00D55D0D" w:rsidRDefault="00D55D0D" w:rsidP="00D55D0D">
      <w:pPr>
        <w:spacing w:line="360" w:lineRule="auto"/>
        <w:ind w:firstLine="720"/>
        <w:rPr>
          <w:rFonts w:cs="Times New Roman"/>
        </w:rPr>
      </w:pPr>
      <w:r w:rsidRPr="00EB0C48">
        <w:rPr>
          <w:rFonts w:cs="Times New Roman"/>
        </w:rPr>
        <w:t xml:space="preserve">To determine whether there is any evidence of significant non-response bias in the completed sample, EPA will conduct a non-response bias </w:t>
      </w:r>
      <w:r w:rsidR="00ED6D74">
        <w:rPr>
          <w:rFonts w:cs="Times New Roman"/>
        </w:rPr>
        <w:t>analysis</w:t>
      </w:r>
      <w:r w:rsidRPr="00EB0C48">
        <w:rPr>
          <w:rFonts w:cs="Times New Roman"/>
        </w:rPr>
        <w:t xml:space="preserve">. This will enable EPA to identify potential differences between respondents to the </w:t>
      </w:r>
      <w:r>
        <w:rPr>
          <w:rFonts w:cs="Times New Roman"/>
        </w:rPr>
        <w:t>web/</w:t>
      </w:r>
      <w:r w:rsidRPr="00EB0C48">
        <w:rPr>
          <w:rFonts w:cs="Times New Roman"/>
        </w:rPr>
        <w:t xml:space="preserve">mail survey and those who received a </w:t>
      </w:r>
      <w:r>
        <w:rPr>
          <w:rFonts w:cs="Times New Roman"/>
        </w:rPr>
        <w:t>URL/</w:t>
      </w:r>
      <w:r w:rsidRPr="00EB0C48">
        <w:rPr>
          <w:rFonts w:cs="Times New Roman"/>
        </w:rPr>
        <w:t xml:space="preserve">questionnaire but did not </w:t>
      </w:r>
      <w:r>
        <w:rPr>
          <w:rFonts w:cs="Times New Roman"/>
        </w:rPr>
        <w:t>complete</w:t>
      </w:r>
      <w:r w:rsidRPr="00EB0C48">
        <w:rPr>
          <w:rFonts w:cs="Times New Roman"/>
        </w:rPr>
        <w:t xml:space="preserve"> it. </w:t>
      </w:r>
    </w:p>
    <w:p w14:paraId="2108EFF1" w14:textId="77777777" w:rsidR="00650C2A" w:rsidRPr="00DF48C0" w:rsidRDefault="00650C2A" w:rsidP="00650C2A">
      <w:pPr>
        <w:spacing w:line="360" w:lineRule="auto"/>
        <w:ind w:firstLine="720"/>
        <w:rPr>
          <w:rFonts w:cs="Times New Roman"/>
        </w:rPr>
      </w:pPr>
    </w:p>
    <w:p w14:paraId="6EE9BBC7" w14:textId="77777777" w:rsidR="00650C2A" w:rsidRPr="00DF48C0" w:rsidRDefault="00650C2A" w:rsidP="00650C2A">
      <w:pPr>
        <w:tabs>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cs="Times New Roman"/>
          <w:b/>
          <w:i/>
        </w:rPr>
      </w:pPr>
      <w:r w:rsidRPr="00DF48C0">
        <w:rPr>
          <w:rFonts w:cs="Times New Roman"/>
          <w:b/>
          <w:i/>
        </w:rPr>
        <w:t xml:space="preserve">Non-response </w:t>
      </w:r>
      <w:r w:rsidR="008C4C97" w:rsidRPr="00DF48C0">
        <w:rPr>
          <w:rFonts w:cs="Times New Roman"/>
          <w:b/>
          <w:i/>
        </w:rPr>
        <w:t>Analysis</w:t>
      </w:r>
    </w:p>
    <w:p w14:paraId="0DD2DCC6" w14:textId="2C088D36" w:rsidR="00985026" w:rsidRPr="004758F2" w:rsidRDefault="00985026" w:rsidP="003A78AF">
      <w:pPr>
        <w:spacing w:line="360" w:lineRule="auto"/>
        <w:ind w:firstLine="720"/>
        <w:rPr>
          <w:rFonts w:cs="Times New Roman"/>
        </w:rPr>
      </w:pPr>
      <w:r w:rsidRPr="00865519">
        <w:rPr>
          <w:rFonts w:cs="Times New Roman"/>
        </w:rPr>
        <w:t xml:space="preserve">We conservatively estimate our response rate at </w:t>
      </w:r>
      <w:r w:rsidR="00E06141" w:rsidRPr="003A78AF">
        <w:rPr>
          <w:rFonts w:cs="Times New Roman"/>
        </w:rPr>
        <w:t>27</w:t>
      </w:r>
      <w:r w:rsidRPr="003A78AF">
        <w:rPr>
          <w:rFonts w:cs="Times New Roman"/>
        </w:rPr>
        <w:t>%</w:t>
      </w:r>
      <w:r w:rsidRPr="00865519">
        <w:rPr>
          <w:rFonts w:cs="Times New Roman"/>
        </w:rPr>
        <w:t xml:space="preserve">. Therefore, we are concerned with possible non-response bias. </w:t>
      </w:r>
      <w:r w:rsidRPr="004758F2">
        <w:rPr>
          <w:rFonts w:cs="Times New Roman"/>
        </w:rPr>
        <w:t xml:space="preserve">We intend to conduct a non-response </w:t>
      </w:r>
      <w:r w:rsidR="00AA05B4">
        <w:rPr>
          <w:rFonts w:cs="Times New Roman"/>
        </w:rPr>
        <w:t xml:space="preserve">analysis </w:t>
      </w:r>
      <w:r w:rsidRPr="00865519">
        <w:rPr>
          <w:rFonts w:cs="Times New Roman"/>
        </w:rPr>
        <w:t>to quantify and ultimately address this issue in our estimation of WTP. Any one method will be insufficient to address possible bias (</w:t>
      </w:r>
      <w:r w:rsidR="000D56EF">
        <w:rPr>
          <w:rFonts w:cs="Times New Roman"/>
        </w:rPr>
        <w:t>Groves et al., 2006</w:t>
      </w:r>
      <w:r w:rsidR="000D56EF" w:rsidRPr="0017544B">
        <w:rPr>
          <w:rFonts w:cs="Times New Roman"/>
        </w:rPr>
        <w:t xml:space="preserve">; </w:t>
      </w:r>
      <w:r w:rsidRPr="000D56EF">
        <w:rPr>
          <w:rFonts w:cs="Times New Roman"/>
        </w:rPr>
        <w:t>Groves, 2006). We</w:t>
      </w:r>
      <w:r w:rsidRPr="00865519">
        <w:rPr>
          <w:rFonts w:cs="Times New Roman"/>
        </w:rPr>
        <w:t xml:space="preserve"> propose a set of ac</w:t>
      </w:r>
      <w:r w:rsidRPr="00B82DED">
        <w:rPr>
          <w:rFonts w:cs="Times New Roman"/>
        </w:rPr>
        <w:t xml:space="preserve">tions following suggestions in Montaquila and Olson (2012), OMB’s own guidelines (Graham, 2006), and </w:t>
      </w:r>
      <w:r w:rsidRPr="00D46956">
        <w:rPr>
          <w:rFonts w:cs="Times New Roman"/>
        </w:rPr>
        <w:t>Halbesleben and Whitman (2013)</w:t>
      </w:r>
      <w:r w:rsidR="008C0236">
        <w:rPr>
          <w:rFonts w:cs="Times New Roman"/>
        </w:rPr>
        <w:t>.</w:t>
      </w:r>
    </w:p>
    <w:p w14:paraId="7AEB1CF8" w14:textId="21C4AF07" w:rsidR="005635A8" w:rsidRDefault="005635A8">
      <w:pPr>
        <w:spacing w:line="360" w:lineRule="auto"/>
        <w:ind w:firstLine="720"/>
        <w:rPr>
          <w:rFonts w:cs="Times New Roman"/>
        </w:rPr>
      </w:pPr>
      <w:r w:rsidRPr="005635A8">
        <w:rPr>
          <w:rFonts w:cs="Times New Roman"/>
        </w:rPr>
        <w:t>The main purpose of our study is to understand participation in coastal recreation, and how those who participate value a recreation day at places with different attributes (including distance traveled, water quality, and other site attributes). We expect that the primary differences across people who engage in coastal recreation</w:t>
      </w:r>
      <w:r w:rsidR="005B7465">
        <w:rPr>
          <w:rFonts w:cs="Times New Roman"/>
        </w:rPr>
        <w:t>,</w:t>
      </w:r>
      <w:r>
        <w:rPr>
          <w:rFonts w:cs="Times New Roman"/>
        </w:rPr>
        <w:t xml:space="preserve"> in terms of where they go and their WTP for attributes that are important to them</w:t>
      </w:r>
      <w:r w:rsidR="005B7465">
        <w:rPr>
          <w:rFonts w:cs="Times New Roman"/>
        </w:rPr>
        <w:t>,</w:t>
      </w:r>
      <w:r w:rsidRPr="005635A8">
        <w:rPr>
          <w:rFonts w:cs="Times New Roman"/>
        </w:rPr>
        <w:t xml:space="preserve"> will be demographic differences</w:t>
      </w:r>
      <w:r w:rsidR="005B7465">
        <w:rPr>
          <w:rFonts w:cs="Times New Roman"/>
        </w:rPr>
        <w:t xml:space="preserve">, </w:t>
      </w:r>
      <w:r w:rsidRPr="005635A8">
        <w:rPr>
          <w:rFonts w:cs="Times New Roman"/>
        </w:rPr>
        <w:t>distance from coastal access points</w:t>
      </w:r>
      <w:r w:rsidR="005B7465">
        <w:rPr>
          <w:rFonts w:cs="Times New Roman"/>
        </w:rPr>
        <w:t>, and avidity</w:t>
      </w:r>
      <w:r w:rsidRPr="005635A8">
        <w:rPr>
          <w:rFonts w:cs="Times New Roman"/>
        </w:rPr>
        <w:t>. Thus, income is the most critical variable to compare between respondents and nonrespondents.</w:t>
      </w:r>
      <w:r>
        <w:rPr>
          <w:rFonts w:cs="Times New Roman"/>
        </w:rPr>
        <w:t xml:space="preserve"> </w:t>
      </w:r>
      <w:r w:rsidRPr="005635A8">
        <w:rPr>
          <w:rFonts w:cs="Times New Roman"/>
        </w:rPr>
        <w:t xml:space="preserve">We </w:t>
      </w:r>
      <w:r>
        <w:rPr>
          <w:rFonts w:cs="Times New Roman"/>
        </w:rPr>
        <w:t xml:space="preserve">hypothesize </w:t>
      </w:r>
      <w:r w:rsidRPr="005635A8">
        <w:rPr>
          <w:rFonts w:cs="Times New Roman"/>
        </w:rPr>
        <w:t>that people with lower income will be less able or willing to travel longer distances to get to a higher quality access point.</w:t>
      </w:r>
      <w:r>
        <w:rPr>
          <w:rFonts w:cs="Times New Roman"/>
        </w:rPr>
        <w:t xml:space="preserve"> </w:t>
      </w:r>
      <w:r w:rsidR="00985026" w:rsidRPr="00EC5047">
        <w:rPr>
          <w:rFonts w:cs="Times New Roman"/>
        </w:rPr>
        <w:t>At a minimum, we plan to benchmark the demographics in our sample to the target population using the 2010</w:t>
      </w:r>
      <w:r w:rsidR="00A134CC">
        <w:rPr>
          <w:rFonts w:cs="Times New Roman"/>
        </w:rPr>
        <w:t xml:space="preserve"> U.S.</w:t>
      </w:r>
      <w:r w:rsidR="00985026" w:rsidRPr="00EC5047">
        <w:rPr>
          <w:rFonts w:cs="Times New Roman"/>
        </w:rPr>
        <w:t xml:space="preserve"> Census data</w:t>
      </w:r>
      <w:r w:rsidR="00174768">
        <w:rPr>
          <w:rFonts w:cs="Times New Roman"/>
        </w:rPr>
        <w:t xml:space="preserve">. Questions 5.4 </w:t>
      </w:r>
      <w:r w:rsidR="00A134CC">
        <w:rPr>
          <w:rFonts w:cs="Times New Roman"/>
        </w:rPr>
        <w:t>through</w:t>
      </w:r>
      <w:r w:rsidR="00174768">
        <w:rPr>
          <w:rFonts w:cs="Times New Roman"/>
        </w:rPr>
        <w:t xml:space="preserve"> 5.10 </w:t>
      </w:r>
      <w:r>
        <w:rPr>
          <w:rFonts w:cs="Times New Roman"/>
        </w:rPr>
        <w:t xml:space="preserve">and 5.13 </w:t>
      </w:r>
      <w:r w:rsidR="00174768">
        <w:rPr>
          <w:rFonts w:cs="Times New Roman"/>
        </w:rPr>
        <w:t>on our survey provide the comparative data</w:t>
      </w:r>
      <w:r w:rsidR="00985026" w:rsidRPr="00EC5047">
        <w:rPr>
          <w:rFonts w:cs="Times New Roman"/>
        </w:rPr>
        <w:t xml:space="preserve">. This will allow us to detect statistical differences in important demographics such as age, income, </w:t>
      </w:r>
      <w:r w:rsidR="00AA05B4" w:rsidRPr="00EC5047">
        <w:rPr>
          <w:rFonts w:cs="Times New Roman"/>
        </w:rPr>
        <w:t xml:space="preserve">race/ethnicity, </w:t>
      </w:r>
      <w:r w:rsidR="00985026" w:rsidRPr="00EC5047">
        <w:rPr>
          <w:rFonts w:cs="Times New Roman"/>
        </w:rPr>
        <w:t xml:space="preserve">and schooling. </w:t>
      </w:r>
    </w:p>
    <w:p w14:paraId="70A68EA8" w14:textId="05989E33" w:rsidR="00985026" w:rsidRDefault="00985026">
      <w:pPr>
        <w:spacing w:line="360" w:lineRule="auto"/>
        <w:ind w:firstLine="720"/>
        <w:rPr>
          <w:rFonts w:cs="Times New Roman"/>
        </w:rPr>
      </w:pPr>
      <w:r w:rsidRPr="00EC5047">
        <w:rPr>
          <w:rFonts w:cs="Times New Roman"/>
        </w:rPr>
        <w:t>In addition, we are in a favorable position to benchmark our survey on attributes of respondents that are specific to recreation. We plan to compare our sample on avidity and participation rates for coastal recreation to NOAA’s Coastal Expenditure Survey as well as the National Survey of Recreation and the Environment (NSRE)</w:t>
      </w:r>
      <w:r w:rsidR="005635A8">
        <w:rPr>
          <w:rFonts w:cs="Times New Roman"/>
        </w:rPr>
        <w:t xml:space="preserve"> Saltwater Recreation Module</w:t>
      </w:r>
      <w:r w:rsidRPr="00EC5047">
        <w:rPr>
          <w:rFonts w:cs="Times New Roman"/>
        </w:rPr>
        <w:t>.</w:t>
      </w:r>
      <w:r w:rsidR="00540FC5">
        <w:rPr>
          <w:rFonts w:cs="Times New Roman"/>
        </w:rPr>
        <w:t xml:space="preserve"> Specifically,</w:t>
      </w:r>
      <w:r w:rsidRPr="00EC5047">
        <w:rPr>
          <w:rFonts w:cs="Times New Roman"/>
        </w:rPr>
        <w:t xml:space="preserve"> </w:t>
      </w:r>
      <w:r w:rsidR="00540FC5">
        <w:rPr>
          <w:rFonts w:cs="Times New Roman"/>
        </w:rPr>
        <w:t>w</w:t>
      </w:r>
      <w:r w:rsidRPr="00EC5047">
        <w:rPr>
          <w:rFonts w:cs="Times New Roman"/>
        </w:rPr>
        <w:t xml:space="preserve">e </w:t>
      </w:r>
      <w:r w:rsidR="00540FC5">
        <w:rPr>
          <w:rFonts w:cs="Times New Roman"/>
        </w:rPr>
        <w:t xml:space="preserve">include </w:t>
      </w:r>
      <w:r w:rsidRPr="00EC5047">
        <w:rPr>
          <w:rFonts w:cs="Times New Roman"/>
        </w:rPr>
        <w:t>questions (Q1.1 and Q1.2) that collect the information to compare our sample to these survey</w:t>
      </w:r>
      <w:r w:rsidR="00C609CD" w:rsidRPr="00EC5047">
        <w:rPr>
          <w:rFonts w:cs="Times New Roman"/>
        </w:rPr>
        <w:t>s</w:t>
      </w:r>
      <w:r w:rsidRPr="00EC5047">
        <w:rPr>
          <w:rFonts w:cs="Times New Roman"/>
        </w:rPr>
        <w:t>’ sample</w:t>
      </w:r>
      <w:r w:rsidR="00AA05B4" w:rsidRPr="00EC5047">
        <w:rPr>
          <w:rFonts w:cs="Times New Roman"/>
        </w:rPr>
        <w:t>s</w:t>
      </w:r>
      <w:r w:rsidRPr="00EC5047">
        <w:rPr>
          <w:rFonts w:cs="Times New Roman"/>
        </w:rPr>
        <w:t xml:space="preserve"> for </w:t>
      </w:r>
      <w:r w:rsidR="00B623DA" w:rsidRPr="00EC5047">
        <w:rPr>
          <w:rFonts w:cs="Times New Roman"/>
        </w:rPr>
        <w:t xml:space="preserve">participation rates </w:t>
      </w:r>
      <w:r w:rsidR="00B623DA">
        <w:rPr>
          <w:rFonts w:cs="Times New Roman"/>
        </w:rPr>
        <w:t xml:space="preserve">and </w:t>
      </w:r>
      <w:r w:rsidRPr="00EC5047">
        <w:rPr>
          <w:rFonts w:cs="Times New Roman"/>
        </w:rPr>
        <w:t xml:space="preserve">avidity for coastal recreation. </w:t>
      </w:r>
      <w:r w:rsidR="00174768">
        <w:rPr>
          <w:rFonts w:cs="Times New Roman"/>
        </w:rPr>
        <w:t>This will help to ensure that o</w:t>
      </w:r>
      <w:r w:rsidR="00B623DA">
        <w:rPr>
          <w:rFonts w:cs="Times New Roman"/>
        </w:rPr>
        <w:t>u</w:t>
      </w:r>
      <w:r w:rsidR="00174768">
        <w:rPr>
          <w:rFonts w:cs="Times New Roman"/>
        </w:rPr>
        <w:t>r sample is not biased towards heavy or light users o</w:t>
      </w:r>
      <w:r w:rsidR="00B623DA">
        <w:rPr>
          <w:rFonts w:cs="Times New Roman"/>
        </w:rPr>
        <w:t>f</w:t>
      </w:r>
      <w:r w:rsidR="00174768">
        <w:rPr>
          <w:rFonts w:cs="Times New Roman"/>
        </w:rPr>
        <w:t xml:space="preserve"> coastal resources as compared to the general population in the sample area. For a revealed preference method</w:t>
      </w:r>
      <w:r w:rsidR="00B623DA">
        <w:rPr>
          <w:rFonts w:cs="Times New Roman"/>
        </w:rPr>
        <w:t>,</w:t>
      </w:r>
      <w:r w:rsidR="00174768">
        <w:rPr>
          <w:rFonts w:cs="Times New Roman"/>
        </w:rPr>
        <w:t xml:space="preserve"> these behavioral differences in our sample from the population are the type of biases </w:t>
      </w:r>
      <w:r w:rsidR="004E4006">
        <w:rPr>
          <w:rFonts w:cs="Times New Roman"/>
        </w:rPr>
        <w:t>of</w:t>
      </w:r>
      <w:r w:rsidR="00174768">
        <w:rPr>
          <w:rFonts w:cs="Times New Roman"/>
        </w:rPr>
        <w:t xml:space="preserve"> most concern, since the method rests on behavior and not </w:t>
      </w:r>
      <w:r w:rsidR="00B623DA">
        <w:rPr>
          <w:rFonts w:cs="Times New Roman"/>
        </w:rPr>
        <w:t xml:space="preserve">on </w:t>
      </w:r>
      <w:r w:rsidR="00174768">
        <w:rPr>
          <w:rFonts w:cs="Times New Roman"/>
        </w:rPr>
        <w:t>hypothetical scenarios as in a stated preference study.</w:t>
      </w:r>
    </w:p>
    <w:p w14:paraId="1D2CBD1E" w14:textId="029A4C01" w:rsidR="005B7465" w:rsidRPr="00D56161" w:rsidRDefault="005B7465">
      <w:pPr>
        <w:spacing w:line="360" w:lineRule="auto"/>
        <w:ind w:firstLine="720"/>
      </w:pPr>
      <w:r w:rsidRPr="00B82DED">
        <w:rPr>
          <w:rFonts w:cs="Times New Roman"/>
        </w:rPr>
        <w:t>Our statistical model has a spatial component needed</w:t>
      </w:r>
      <w:r w:rsidRPr="004758F2">
        <w:rPr>
          <w:rFonts w:cs="Times New Roman"/>
        </w:rPr>
        <w:t xml:space="preserve"> to calculate the distance to recreation opportunities for each respondent. </w:t>
      </w:r>
      <w:r>
        <w:rPr>
          <w:rFonts w:cs="Times New Roman"/>
        </w:rPr>
        <w:t>As an additional non-response bias test, w</w:t>
      </w:r>
      <w:r w:rsidRPr="004758F2">
        <w:rPr>
          <w:rFonts w:cs="Times New Roman"/>
        </w:rPr>
        <w:t xml:space="preserve">e plan to test </w:t>
      </w:r>
      <w:r>
        <w:rPr>
          <w:rFonts w:cs="Times New Roman"/>
        </w:rPr>
        <w:t xml:space="preserve">whether </w:t>
      </w:r>
      <w:r w:rsidRPr="00865519">
        <w:rPr>
          <w:rFonts w:cs="Times New Roman"/>
        </w:rPr>
        <w:t xml:space="preserve">we </w:t>
      </w:r>
      <w:r w:rsidRPr="00B82DED">
        <w:rPr>
          <w:rFonts w:cs="Times New Roman"/>
        </w:rPr>
        <w:t>collect</w:t>
      </w:r>
      <w:r w:rsidRPr="004758F2">
        <w:rPr>
          <w:rFonts w:cs="Times New Roman"/>
        </w:rPr>
        <w:t xml:space="preserve"> a skewed sample of distances from the respondent to the coast as compared to getting random responses geogr</w:t>
      </w:r>
      <w:r w:rsidRPr="00530158">
        <w:rPr>
          <w:rFonts w:cs="Times New Roman"/>
        </w:rPr>
        <w:t xml:space="preserve">aphically, given our sample design. We are not sampling uniformly on geography, but instead on population, so this will need to be taken into account when we calculate the distribution of distances to the coast we would expect. This check will bolster the robustness of generalizing our results to the whole sample population. Distance is particularly important as it </w:t>
      </w:r>
      <w:r>
        <w:rPr>
          <w:rFonts w:cs="Times New Roman"/>
        </w:rPr>
        <w:t xml:space="preserve">accounts for </w:t>
      </w:r>
      <w:r w:rsidRPr="00865519">
        <w:rPr>
          <w:rFonts w:cs="Times New Roman"/>
        </w:rPr>
        <w:t xml:space="preserve">a large </w:t>
      </w:r>
      <w:r>
        <w:rPr>
          <w:rFonts w:cs="Times New Roman"/>
        </w:rPr>
        <w:t xml:space="preserve">fraction </w:t>
      </w:r>
      <w:r w:rsidRPr="00865519">
        <w:rPr>
          <w:rFonts w:cs="Times New Roman"/>
        </w:rPr>
        <w:t xml:space="preserve">of the variation in travel cost, which we use to monetize water quality differences </w:t>
      </w:r>
      <w:r w:rsidRPr="003A78AF">
        <w:rPr>
          <w:rFonts w:cs="Times New Roman"/>
        </w:rPr>
        <w:t>(see Part B, section 5(b))</w:t>
      </w:r>
      <w:r w:rsidRPr="00865519">
        <w:rPr>
          <w:rFonts w:cs="Times New Roman"/>
        </w:rPr>
        <w:t>.</w:t>
      </w:r>
    </w:p>
    <w:p w14:paraId="79CB59C1" w14:textId="0F43CE14" w:rsidR="00985026" w:rsidRPr="00530158" w:rsidRDefault="00985026" w:rsidP="003A78AF">
      <w:pPr>
        <w:spacing w:line="360" w:lineRule="auto"/>
        <w:ind w:firstLine="720"/>
      </w:pPr>
      <w:r w:rsidRPr="00530158">
        <w:rPr>
          <w:rFonts w:cs="Times New Roman"/>
        </w:rPr>
        <w:t xml:space="preserve">We plan to compare our key WTP estimates, demographics, and recreation avidity within our sample design. By comparing respondents </w:t>
      </w:r>
      <w:r w:rsidR="00EC5047">
        <w:rPr>
          <w:rFonts w:cs="Times New Roman"/>
        </w:rPr>
        <w:t>who</w:t>
      </w:r>
      <w:r w:rsidRPr="00530158">
        <w:rPr>
          <w:rFonts w:cs="Times New Roman"/>
        </w:rPr>
        <w:t xml:space="preserve"> respond </w:t>
      </w:r>
      <w:r w:rsidR="00AA05B4">
        <w:rPr>
          <w:rFonts w:cs="Times New Roman"/>
        </w:rPr>
        <w:t>immediately to</w:t>
      </w:r>
      <w:r w:rsidR="00AA05B4" w:rsidRPr="00865519">
        <w:rPr>
          <w:rFonts w:cs="Times New Roman"/>
        </w:rPr>
        <w:t xml:space="preserve"> </w:t>
      </w:r>
      <w:r w:rsidRPr="00865519">
        <w:rPr>
          <w:rFonts w:cs="Times New Roman"/>
        </w:rPr>
        <w:t xml:space="preserve">the initial mailing to those </w:t>
      </w:r>
      <w:r w:rsidR="00AA05B4">
        <w:rPr>
          <w:rFonts w:cs="Times New Roman"/>
        </w:rPr>
        <w:t xml:space="preserve">who respond </w:t>
      </w:r>
      <w:r w:rsidRPr="00865519">
        <w:rPr>
          <w:rFonts w:cs="Times New Roman"/>
        </w:rPr>
        <w:t>later in the follow-up plan, we can identi</w:t>
      </w:r>
      <w:r w:rsidR="003E1293">
        <w:rPr>
          <w:rFonts w:cs="Times New Roman"/>
        </w:rPr>
        <w:t>f</w:t>
      </w:r>
      <w:r w:rsidRPr="00865519">
        <w:rPr>
          <w:rFonts w:cs="Times New Roman"/>
        </w:rPr>
        <w:t>y the trend of bias in key variables. We will do this statistically and identify any significant differences in respondent groups along the “continuum of resistance” (Halbesleben and Whitman, 2013). This includes summary variables a</w:t>
      </w:r>
      <w:r w:rsidRPr="00B82DED">
        <w:rPr>
          <w:rFonts w:cs="Times New Roman"/>
        </w:rPr>
        <w:t>s well as the results of the stati</w:t>
      </w:r>
      <w:r w:rsidRPr="004758F2">
        <w:rPr>
          <w:rFonts w:cs="Times New Roman"/>
        </w:rPr>
        <w:t xml:space="preserve">stical model for WTP segmented by response group. </w:t>
      </w:r>
    </w:p>
    <w:p w14:paraId="590D4584" w14:textId="022E4C1B" w:rsidR="00985026" w:rsidRPr="00865519" w:rsidRDefault="00985026" w:rsidP="003A78AF">
      <w:pPr>
        <w:spacing w:line="360" w:lineRule="auto"/>
        <w:ind w:firstLine="720"/>
      </w:pPr>
      <w:r w:rsidRPr="00017037">
        <w:rPr>
          <w:rFonts w:cs="Times New Roman"/>
        </w:rPr>
        <w:t xml:space="preserve">We chose to employ a </w:t>
      </w:r>
      <w:r w:rsidR="00707349" w:rsidRPr="00017037">
        <w:rPr>
          <w:rFonts w:cs="Times New Roman"/>
        </w:rPr>
        <w:t>mixed-mode</w:t>
      </w:r>
      <w:r w:rsidRPr="009A6238">
        <w:rPr>
          <w:rFonts w:cs="Times New Roman"/>
        </w:rPr>
        <w:t xml:space="preserve"> approach which can “improve survey representativeness and enhance the performance of poststratification weighting adjustments” (</w:t>
      </w:r>
      <w:r w:rsidRPr="0017544B">
        <w:rPr>
          <w:rFonts w:cs="Times New Roman"/>
        </w:rPr>
        <w:t>Baines et al.</w:t>
      </w:r>
      <w:r w:rsidR="000D56EF">
        <w:rPr>
          <w:rFonts w:cs="Times New Roman"/>
        </w:rPr>
        <w:t>,</w:t>
      </w:r>
      <w:r w:rsidRPr="0017544B">
        <w:rPr>
          <w:rFonts w:cs="Times New Roman"/>
        </w:rPr>
        <w:t xml:space="preserve"> </w:t>
      </w:r>
      <w:r w:rsidRPr="000D56EF">
        <w:rPr>
          <w:rFonts w:cs="Times New Roman"/>
        </w:rPr>
        <w:t>200</w:t>
      </w:r>
      <w:r w:rsidR="000D56EF" w:rsidRPr="000D56EF">
        <w:rPr>
          <w:rFonts w:cs="Times New Roman"/>
        </w:rPr>
        <w:t>7</w:t>
      </w:r>
      <w:r w:rsidR="000D56EF">
        <w:rPr>
          <w:rFonts w:cs="Times New Roman"/>
        </w:rPr>
        <w:t>)</w:t>
      </w:r>
      <w:r w:rsidRPr="0017544B">
        <w:rPr>
          <w:rFonts w:cs="Times New Roman"/>
        </w:rPr>
        <w:t>. The</w:t>
      </w:r>
      <w:r w:rsidRPr="009A6238">
        <w:rPr>
          <w:rFonts w:cs="Times New Roman"/>
        </w:rPr>
        <w:t xml:space="preserve"> multiple modes allow different types of people to respond and </w:t>
      </w:r>
      <w:r w:rsidR="00AA05B4">
        <w:rPr>
          <w:rFonts w:cs="Times New Roman"/>
        </w:rPr>
        <w:t xml:space="preserve">can </w:t>
      </w:r>
      <w:r w:rsidRPr="00865519">
        <w:rPr>
          <w:rFonts w:cs="Times New Roman"/>
        </w:rPr>
        <w:t>increase</w:t>
      </w:r>
      <w:r w:rsidRPr="00B82DED">
        <w:rPr>
          <w:rFonts w:cs="Times New Roman"/>
        </w:rPr>
        <w:t xml:space="preserve"> the </w:t>
      </w:r>
      <w:r w:rsidR="00AA05B4">
        <w:rPr>
          <w:rFonts w:cs="Times New Roman"/>
        </w:rPr>
        <w:t xml:space="preserve">overall </w:t>
      </w:r>
      <w:r w:rsidRPr="00865519">
        <w:rPr>
          <w:rFonts w:cs="Times New Roman"/>
        </w:rPr>
        <w:t xml:space="preserve">response rate. We will compare the WTP and key demographic and recreation avidity variables between response modes. </w:t>
      </w:r>
    </w:p>
    <w:p w14:paraId="40B0868B" w14:textId="59BE9358" w:rsidR="00985026" w:rsidRPr="004758F2" w:rsidRDefault="00985026" w:rsidP="003A78AF">
      <w:pPr>
        <w:spacing w:line="360" w:lineRule="auto"/>
        <w:ind w:firstLine="720"/>
      </w:pPr>
      <w:r w:rsidRPr="00B82DED">
        <w:rPr>
          <w:rFonts w:cs="Times New Roman"/>
        </w:rPr>
        <w:t xml:space="preserve">Lastly, we plan to calibrate our WTP estimates, which are themselves a function of demographics </w:t>
      </w:r>
      <w:r w:rsidRPr="003A78AF">
        <w:rPr>
          <w:rFonts w:cs="Times New Roman"/>
        </w:rPr>
        <w:t>(see Part B, section 5(b))</w:t>
      </w:r>
      <w:r w:rsidRPr="00865519">
        <w:rPr>
          <w:rFonts w:cs="Times New Roman"/>
        </w:rPr>
        <w:t>, to any statistical differences in the demographics of our sample as compared to the Census for the sample</w:t>
      </w:r>
      <w:r w:rsidR="00AA05B4">
        <w:rPr>
          <w:rFonts w:cs="Times New Roman"/>
        </w:rPr>
        <w:t>d</w:t>
      </w:r>
      <w:r w:rsidRPr="00865519">
        <w:rPr>
          <w:rFonts w:cs="Times New Roman"/>
        </w:rPr>
        <w:t xml:space="preserve"> populat</w:t>
      </w:r>
      <w:r w:rsidRPr="00B82DED">
        <w:rPr>
          <w:rFonts w:cs="Times New Roman"/>
        </w:rPr>
        <w:t xml:space="preserve">ion. This is to </w:t>
      </w:r>
      <w:r w:rsidR="00630108">
        <w:rPr>
          <w:rFonts w:cs="Times New Roman"/>
        </w:rPr>
        <w:t>e</w:t>
      </w:r>
      <w:r w:rsidRPr="00B82DED">
        <w:rPr>
          <w:rFonts w:cs="Times New Roman"/>
        </w:rPr>
        <w:t>nsure that when the results are generalized to the survey population they match the demographic profile and are corrected for the factors that are found to affect WTP.</w:t>
      </w:r>
      <w:r w:rsidR="00281710">
        <w:rPr>
          <w:rFonts w:cs="Times New Roman"/>
        </w:rPr>
        <w:t xml:space="preserve"> </w:t>
      </w:r>
    </w:p>
    <w:p w14:paraId="4678C988" w14:textId="77777777" w:rsidR="00985026" w:rsidRPr="003A78AF" w:rsidRDefault="00985026" w:rsidP="003A78AF">
      <w:pPr>
        <w:spacing w:line="360" w:lineRule="auto"/>
        <w:ind w:firstLine="720"/>
        <w:rPr>
          <w:rFonts w:cs="Times New Roman"/>
        </w:rPr>
      </w:pPr>
    </w:p>
    <w:p w14:paraId="1227E351" w14:textId="7B692E02" w:rsidR="00650C2A" w:rsidRPr="00DF48C0" w:rsidRDefault="00650C2A" w:rsidP="00DC3BCD">
      <w:pPr>
        <w:pStyle w:val="Heading3"/>
        <w:keepLines/>
        <w:rPr>
          <w:sz w:val="22"/>
          <w:szCs w:val="22"/>
        </w:rPr>
      </w:pPr>
      <w:bookmarkStart w:id="110" w:name="_Toc327184559"/>
      <w:bookmarkStart w:id="111" w:name="_Toc327362402"/>
      <w:bookmarkStart w:id="112" w:name="_Toc473195115"/>
      <w:r w:rsidRPr="0008664B">
        <w:rPr>
          <w:sz w:val="22"/>
          <w:szCs w:val="22"/>
        </w:rPr>
        <w:t>2(d)</w:t>
      </w:r>
      <w:r w:rsidRPr="0008664B">
        <w:rPr>
          <w:sz w:val="22"/>
          <w:szCs w:val="22"/>
        </w:rPr>
        <w:tab/>
        <w:t>Questionnaire</w:t>
      </w:r>
      <w:r w:rsidR="00D55D0D" w:rsidRPr="0008664B">
        <w:rPr>
          <w:sz w:val="22"/>
          <w:szCs w:val="22"/>
        </w:rPr>
        <w:t xml:space="preserve"> and Mail Materials</w:t>
      </w:r>
      <w:r w:rsidRPr="0008664B">
        <w:rPr>
          <w:sz w:val="22"/>
          <w:szCs w:val="22"/>
        </w:rPr>
        <w:t xml:space="preserve"> Design</w:t>
      </w:r>
      <w:bookmarkEnd w:id="110"/>
      <w:bookmarkEnd w:id="111"/>
      <w:bookmarkEnd w:id="112"/>
    </w:p>
    <w:p w14:paraId="1F484A15" w14:textId="77777777" w:rsidR="00650C2A" w:rsidRPr="00DF48C0" w:rsidRDefault="00650C2A" w:rsidP="00DC3BCD">
      <w:pPr>
        <w:keepNext/>
        <w:keepLines/>
        <w:spacing w:line="360" w:lineRule="auto"/>
        <w:rPr>
          <w:rFonts w:cs="Times New Roman"/>
        </w:rPr>
      </w:pPr>
    </w:p>
    <w:p w14:paraId="334ECF30" w14:textId="6A10BA6B" w:rsidR="00650C2A" w:rsidRPr="00DF48C0" w:rsidRDefault="00650C2A" w:rsidP="00DC3BCD">
      <w:pPr>
        <w:keepNext/>
        <w:keepLines/>
        <w:spacing w:line="360" w:lineRule="auto"/>
        <w:ind w:firstLine="720"/>
      </w:pPr>
      <w:r w:rsidRPr="00DF48C0">
        <w:rPr>
          <w:rFonts w:cs="Times New Roman"/>
        </w:rPr>
        <w:t xml:space="preserve">The full text of the </w:t>
      </w:r>
      <w:r w:rsidR="006F7B8B" w:rsidRPr="00DF48C0">
        <w:rPr>
          <w:rFonts w:cs="Times New Roman"/>
        </w:rPr>
        <w:t xml:space="preserve">draft </w:t>
      </w:r>
      <w:r w:rsidR="00484A58">
        <w:rPr>
          <w:rFonts w:cs="Times New Roman"/>
        </w:rPr>
        <w:t xml:space="preserve">recreation </w:t>
      </w:r>
      <w:r w:rsidR="006F7B8B" w:rsidRPr="00DF48C0">
        <w:rPr>
          <w:rFonts w:cs="Times New Roman"/>
        </w:rPr>
        <w:t>questionnaire</w:t>
      </w:r>
      <w:r w:rsidRPr="00DF48C0">
        <w:rPr>
          <w:rFonts w:cs="Times New Roman"/>
        </w:rPr>
        <w:t xml:space="preserve"> </w:t>
      </w:r>
      <w:r w:rsidR="006F7B8B" w:rsidRPr="00DF48C0">
        <w:rPr>
          <w:rFonts w:cs="Times New Roman"/>
        </w:rPr>
        <w:t xml:space="preserve">is </w:t>
      </w:r>
      <w:r w:rsidRPr="00DF48C0">
        <w:rPr>
          <w:rFonts w:cs="Times New Roman"/>
        </w:rPr>
        <w:t xml:space="preserve">provided </w:t>
      </w:r>
      <w:r w:rsidR="00882703">
        <w:rPr>
          <w:rFonts w:cs="Times New Roman"/>
        </w:rPr>
        <w:t>as</w:t>
      </w:r>
      <w:r w:rsidRPr="00DF48C0">
        <w:rPr>
          <w:rFonts w:cs="Times New Roman"/>
        </w:rPr>
        <w:t xml:space="preserve"> Attachment </w:t>
      </w:r>
      <w:r w:rsidR="00E05C2C">
        <w:rPr>
          <w:rFonts w:cs="Times New Roman"/>
        </w:rPr>
        <w:t>1</w:t>
      </w:r>
      <w:r w:rsidRPr="00DF48C0">
        <w:rPr>
          <w:rFonts w:cs="Times New Roman"/>
        </w:rPr>
        <w:t>.</w:t>
      </w:r>
      <w:r w:rsidR="009B3D35" w:rsidRPr="00DF48C0">
        <w:rPr>
          <w:rFonts w:cs="Times New Roman"/>
        </w:rPr>
        <w:t xml:space="preserve"> </w:t>
      </w:r>
      <w:r w:rsidRPr="00DF48C0">
        <w:rPr>
          <w:rFonts w:cs="Times New Roman"/>
        </w:rPr>
        <w:t>Several categories of questions are included in the survey. The reasons for including each of these categories are discussed below:</w:t>
      </w:r>
    </w:p>
    <w:p w14:paraId="716F29D2" w14:textId="534F2834" w:rsidR="00522F69" w:rsidRDefault="00522F69" w:rsidP="00882703">
      <w:pPr>
        <w:pStyle w:val="ListParagraph"/>
        <w:spacing w:before="120" w:line="360" w:lineRule="auto"/>
        <w:rPr>
          <w:rFonts w:ascii="Times New Roman" w:hAnsi="Times New Roman"/>
        </w:rPr>
      </w:pPr>
      <w:r w:rsidRPr="004D4CEB">
        <w:rPr>
          <w:rFonts w:ascii="Times New Roman" w:hAnsi="Times New Roman"/>
          <w:b/>
        </w:rPr>
        <w:t>Section 1: Saltwater Recreation Activities in New England</w:t>
      </w:r>
      <w:r w:rsidRPr="004D4CEB">
        <w:rPr>
          <w:rFonts w:ascii="Times New Roman" w:hAnsi="Times New Roman"/>
          <w:b/>
          <w:bCs/>
        </w:rPr>
        <w:t>.</w:t>
      </w:r>
      <w:r w:rsidRPr="004D4CEB">
        <w:rPr>
          <w:rFonts w:ascii="Times New Roman" w:hAnsi="Times New Roman"/>
        </w:rPr>
        <w:t xml:space="preserve"> This section includes two questions. Question 1.1 asks respondents to check all saltwater recreation activities that they have done in the </w:t>
      </w:r>
      <w:r w:rsidR="00ED1843" w:rsidRPr="004D4CEB">
        <w:rPr>
          <w:rFonts w:ascii="Times New Roman" w:hAnsi="Times New Roman"/>
        </w:rPr>
        <w:t>last 12 months</w:t>
      </w:r>
      <w:r w:rsidRPr="004D4CEB">
        <w:rPr>
          <w:rFonts w:ascii="Times New Roman" w:hAnsi="Times New Roman"/>
        </w:rPr>
        <w:t xml:space="preserve">; and Question 1.2 asks how many times in </w:t>
      </w:r>
      <w:r w:rsidR="00ED1843" w:rsidRPr="004D4CEB">
        <w:rPr>
          <w:rFonts w:ascii="Times New Roman" w:hAnsi="Times New Roman"/>
        </w:rPr>
        <w:t xml:space="preserve">the last 12 months </w:t>
      </w:r>
      <w:r w:rsidRPr="004D4CEB">
        <w:rPr>
          <w:rFonts w:ascii="Times New Roman" w:hAnsi="Times New Roman"/>
        </w:rPr>
        <w:t>they engage</w:t>
      </w:r>
      <w:r w:rsidR="00ED1843" w:rsidRPr="004D4CEB">
        <w:rPr>
          <w:rFonts w:ascii="Times New Roman" w:hAnsi="Times New Roman"/>
        </w:rPr>
        <w:t>d</w:t>
      </w:r>
      <w:r w:rsidRPr="004D4CEB">
        <w:rPr>
          <w:rFonts w:ascii="Times New Roman" w:hAnsi="Times New Roman"/>
        </w:rPr>
        <w:t xml:space="preserve"> in saltwater recreation. The purpose of this section is to gather general data on the number of people who engage in different saltwater recreation activities, generally referred to as participation rates, and the level of effort per year for saltwater recreation. The participation and effort estimates will help classify </w:t>
      </w:r>
      <w:r w:rsidR="00ED1843" w:rsidRPr="004D4CEB">
        <w:rPr>
          <w:rFonts w:ascii="Times New Roman" w:hAnsi="Times New Roman"/>
        </w:rPr>
        <w:t xml:space="preserve">the </w:t>
      </w:r>
      <w:r w:rsidRPr="004D4CEB">
        <w:rPr>
          <w:rFonts w:ascii="Times New Roman" w:hAnsi="Times New Roman"/>
        </w:rPr>
        <w:t xml:space="preserve">type of recreator. For example, avidity could be captured by how often the respondent </w:t>
      </w:r>
      <w:r w:rsidR="00E236BD" w:rsidRPr="004D4CEB">
        <w:rPr>
          <w:rFonts w:ascii="Times New Roman" w:hAnsi="Times New Roman"/>
        </w:rPr>
        <w:t>participates in saltwater recreation</w:t>
      </w:r>
      <w:r w:rsidRPr="004D4CEB">
        <w:rPr>
          <w:rFonts w:ascii="Times New Roman" w:hAnsi="Times New Roman"/>
        </w:rPr>
        <w:t>.</w:t>
      </w:r>
      <w:r w:rsidR="00F13C4D" w:rsidRPr="004D4CEB">
        <w:rPr>
          <w:rFonts w:ascii="Times New Roman" w:hAnsi="Times New Roman"/>
        </w:rPr>
        <w:t xml:space="preserve"> We also </w:t>
      </w:r>
      <w:r w:rsidR="00E236BD" w:rsidRPr="004D4CEB">
        <w:rPr>
          <w:rFonts w:ascii="Times New Roman" w:hAnsi="Times New Roman"/>
        </w:rPr>
        <w:t xml:space="preserve">plan </w:t>
      </w:r>
      <w:r w:rsidR="00F13C4D" w:rsidRPr="004D4CEB">
        <w:rPr>
          <w:rFonts w:ascii="Times New Roman" w:hAnsi="Times New Roman"/>
        </w:rPr>
        <w:t xml:space="preserve">to </w:t>
      </w:r>
      <w:r w:rsidR="00E236BD" w:rsidRPr="004D4CEB">
        <w:rPr>
          <w:rFonts w:ascii="Times New Roman" w:hAnsi="Times New Roman"/>
        </w:rPr>
        <w:t xml:space="preserve">use </w:t>
      </w:r>
      <w:r w:rsidR="00F13C4D" w:rsidRPr="004D4CEB">
        <w:rPr>
          <w:rFonts w:ascii="Times New Roman" w:hAnsi="Times New Roman"/>
        </w:rPr>
        <w:t>these questions to study possible non-response bias by comparing these to other surveys of recreation participation and effort (see section 2c).</w:t>
      </w:r>
      <w:r w:rsidRPr="004D4CEB">
        <w:rPr>
          <w:rFonts w:ascii="Times New Roman" w:hAnsi="Times New Roman"/>
        </w:rPr>
        <w:t xml:space="preserve"> Respondents who do not select an activity are directed to skip to Section 4.</w:t>
      </w:r>
    </w:p>
    <w:p w14:paraId="3037E6D6" w14:textId="77777777" w:rsidR="00537861" w:rsidRPr="004D4CEB" w:rsidRDefault="00537861" w:rsidP="00537861">
      <w:pPr>
        <w:pStyle w:val="ListParagraph"/>
        <w:spacing w:before="120" w:line="360" w:lineRule="auto"/>
        <w:rPr>
          <w:rFonts w:ascii="Times New Roman" w:hAnsi="Times New Roman"/>
        </w:rPr>
      </w:pPr>
    </w:p>
    <w:p w14:paraId="46476DF3" w14:textId="245796B1" w:rsidR="0008664B" w:rsidRDefault="00522F69" w:rsidP="008B5621">
      <w:pPr>
        <w:pStyle w:val="ListParagraph"/>
        <w:spacing w:before="120" w:line="360" w:lineRule="auto"/>
        <w:rPr>
          <w:rFonts w:ascii="Times New Roman" w:hAnsi="Times New Roman"/>
        </w:rPr>
      </w:pPr>
      <w:r w:rsidRPr="00907141">
        <w:rPr>
          <w:rFonts w:ascii="Times New Roman" w:hAnsi="Times New Roman"/>
          <w:b/>
        </w:rPr>
        <w:t xml:space="preserve">Section 2: The Most Recent Time Spent </w:t>
      </w:r>
      <w:r w:rsidR="00EC5047">
        <w:rPr>
          <w:rFonts w:ascii="Times New Roman" w:hAnsi="Times New Roman"/>
          <w:b/>
        </w:rPr>
        <w:t>Participating in</w:t>
      </w:r>
      <w:r w:rsidRPr="00907141">
        <w:rPr>
          <w:rFonts w:ascii="Times New Roman" w:hAnsi="Times New Roman"/>
          <w:b/>
        </w:rPr>
        <w:t xml:space="preserve"> Saltwater Recreation. </w:t>
      </w:r>
      <w:r w:rsidRPr="00907141">
        <w:rPr>
          <w:rFonts w:ascii="Times New Roman" w:hAnsi="Times New Roman"/>
        </w:rPr>
        <w:t xml:space="preserve">The second section asks about the last time the respondent </w:t>
      </w:r>
      <w:r w:rsidR="00B0595B">
        <w:rPr>
          <w:rFonts w:ascii="Times New Roman" w:hAnsi="Times New Roman"/>
        </w:rPr>
        <w:t>participated in</w:t>
      </w:r>
      <w:r w:rsidRPr="00907141">
        <w:rPr>
          <w:rFonts w:ascii="Times New Roman" w:hAnsi="Times New Roman"/>
        </w:rPr>
        <w:t xml:space="preserve"> any coastal recreation in New England. This section gathers the information to collect a trip profile</w:t>
      </w:r>
      <w:r w:rsidR="00E236BD">
        <w:rPr>
          <w:rFonts w:ascii="Times New Roman" w:hAnsi="Times New Roman"/>
        </w:rPr>
        <w:t>.</w:t>
      </w:r>
    </w:p>
    <w:p w14:paraId="6179FADE" w14:textId="77777777" w:rsidR="00327C2B" w:rsidRPr="002076DB" w:rsidRDefault="00327C2B" w:rsidP="008B5621">
      <w:pPr>
        <w:pStyle w:val="ListParagraph"/>
        <w:spacing w:before="120" w:line="360" w:lineRule="auto"/>
      </w:pPr>
    </w:p>
    <w:p w14:paraId="18F24BCF" w14:textId="501A1015" w:rsidR="00327C2B" w:rsidRDefault="000965C1" w:rsidP="004D4CEB">
      <w:pPr>
        <w:pStyle w:val="ListParagraph"/>
        <w:spacing w:before="120" w:line="360" w:lineRule="auto"/>
        <w:rPr>
          <w:rFonts w:ascii="Times New Roman" w:hAnsi="Times New Roman"/>
        </w:rPr>
      </w:pPr>
      <w:r>
        <w:rPr>
          <w:rFonts w:ascii="Times New Roman" w:hAnsi="Times New Roman"/>
        </w:rPr>
        <w:t>Question 2.1:</w:t>
      </w:r>
      <w:r w:rsidR="00E236BD">
        <w:rPr>
          <w:rFonts w:ascii="Times New Roman" w:hAnsi="Times New Roman"/>
        </w:rPr>
        <w:t xml:space="preserve"> </w:t>
      </w:r>
      <w:r w:rsidR="00327C2B">
        <w:rPr>
          <w:rFonts w:ascii="Times New Roman" w:hAnsi="Times New Roman"/>
        </w:rPr>
        <w:t xml:space="preserve">This question guides the respondent to one of two versions of </w:t>
      </w:r>
      <w:r w:rsidR="00CF44EB">
        <w:rPr>
          <w:rFonts w:ascii="Times New Roman" w:hAnsi="Times New Roman"/>
        </w:rPr>
        <w:t>S</w:t>
      </w:r>
      <w:r w:rsidR="00327C2B">
        <w:rPr>
          <w:rFonts w:ascii="Times New Roman" w:hAnsi="Times New Roman"/>
        </w:rPr>
        <w:t xml:space="preserve">ection 2, a single day (A) or overnight trip (B) profile. </w:t>
      </w:r>
      <w:r w:rsidR="00B0595B">
        <w:rPr>
          <w:rFonts w:ascii="Times New Roman" w:hAnsi="Times New Roman"/>
        </w:rPr>
        <w:t>The paper version includes a skip instruction. The online version will automatically present the relevant section.</w:t>
      </w:r>
    </w:p>
    <w:p w14:paraId="04B0F7A4" w14:textId="1EB2C1C9" w:rsidR="0008488B" w:rsidRDefault="0008488B" w:rsidP="0008488B">
      <w:pPr>
        <w:pStyle w:val="ListParagraph"/>
        <w:spacing w:before="120" w:line="360" w:lineRule="auto"/>
        <w:rPr>
          <w:rFonts w:ascii="Times New Roman" w:hAnsi="Times New Roman"/>
          <w:i/>
        </w:rPr>
      </w:pPr>
    </w:p>
    <w:p w14:paraId="6558E97B" w14:textId="53EC0210" w:rsidR="00327C2B" w:rsidRPr="00A00F66" w:rsidRDefault="0008488B">
      <w:pPr>
        <w:pStyle w:val="ListParagraph"/>
        <w:spacing w:before="120" w:line="360" w:lineRule="auto"/>
        <w:rPr>
          <w:rFonts w:ascii="Times New Roman" w:hAnsi="Times New Roman"/>
        </w:rPr>
      </w:pPr>
      <w:r w:rsidRPr="004D4CEB">
        <w:rPr>
          <w:rFonts w:ascii="Times New Roman" w:hAnsi="Times New Roman"/>
          <w:i/>
        </w:rPr>
        <w:t>Section 2A</w:t>
      </w:r>
      <w:r>
        <w:rPr>
          <w:rFonts w:ascii="Times New Roman" w:hAnsi="Times New Roman"/>
          <w:i/>
        </w:rPr>
        <w:t xml:space="preserve"> – Most Recent Single Day Recreation Trip</w:t>
      </w:r>
    </w:p>
    <w:p w14:paraId="680DBC4F" w14:textId="3D66A124" w:rsidR="00327C2B" w:rsidRDefault="00327C2B" w:rsidP="004D4CEB">
      <w:pPr>
        <w:pStyle w:val="ListParagraph"/>
        <w:spacing w:before="120" w:line="360" w:lineRule="auto"/>
        <w:rPr>
          <w:rFonts w:ascii="Times New Roman" w:hAnsi="Times New Roman"/>
        </w:rPr>
      </w:pPr>
      <w:r>
        <w:rPr>
          <w:rFonts w:ascii="Times New Roman" w:hAnsi="Times New Roman"/>
        </w:rPr>
        <w:t>Question 2.2A</w:t>
      </w:r>
      <w:r w:rsidR="000965C1">
        <w:rPr>
          <w:rFonts w:ascii="Times New Roman" w:hAnsi="Times New Roman"/>
        </w:rPr>
        <w:t>:</w:t>
      </w:r>
      <w:r>
        <w:rPr>
          <w:rFonts w:ascii="Times New Roman" w:hAnsi="Times New Roman"/>
        </w:rPr>
        <w:t xml:space="preserve"> This question </w:t>
      </w:r>
      <w:r w:rsidR="00B0595B">
        <w:rPr>
          <w:rFonts w:ascii="Times New Roman" w:hAnsi="Times New Roman"/>
        </w:rPr>
        <w:t xml:space="preserve">asks </w:t>
      </w:r>
      <w:r>
        <w:rPr>
          <w:rFonts w:ascii="Times New Roman" w:hAnsi="Times New Roman"/>
        </w:rPr>
        <w:t xml:space="preserve">for </w:t>
      </w:r>
      <w:r w:rsidR="00B0595B">
        <w:rPr>
          <w:rFonts w:ascii="Times New Roman" w:hAnsi="Times New Roman"/>
        </w:rPr>
        <w:t xml:space="preserve">the </w:t>
      </w:r>
      <w:r>
        <w:rPr>
          <w:rFonts w:ascii="Times New Roman" w:hAnsi="Times New Roman"/>
        </w:rPr>
        <w:t xml:space="preserve">month </w:t>
      </w:r>
      <w:r w:rsidR="00B0595B">
        <w:rPr>
          <w:rFonts w:ascii="Times New Roman" w:hAnsi="Times New Roman"/>
        </w:rPr>
        <w:t xml:space="preserve">and year of </w:t>
      </w:r>
      <w:r>
        <w:rPr>
          <w:rFonts w:ascii="Times New Roman" w:hAnsi="Times New Roman"/>
        </w:rPr>
        <w:t>the last trip taken</w:t>
      </w:r>
      <w:r w:rsidR="00B0595B">
        <w:rPr>
          <w:rFonts w:ascii="Times New Roman" w:hAnsi="Times New Roman"/>
        </w:rPr>
        <w:t xml:space="preserve">, which will allow </w:t>
      </w:r>
      <w:r w:rsidR="000965C1">
        <w:rPr>
          <w:rFonts w:ascii="Times New Roman" w:hAnsi="Times New Roman"/>
        </w:rPr>
        <w:t>u</w:t>
      </w:r>
      <w:r w:rsidR="00B0595B">
        <w:rPr>
          <w:rFonts w:ascii="Times New Roman" w:hAnsi="Times New Roman"/>
        </w:rPr>
        <w:t>s to control</w:t>
      </w:r>
      <w:r>
        <w:rPr>
          <w:rFonts w:ascii="Times New Roman" w:hAnsi="Times New Roman"/>
        </w:rPr>
        <w:t xml:space="preserve"> for month effects as well as recall of the respondent. </w:t>
      </w:r>
      <w:r w:rsidR="00B0595B">
        <w:rPr>
          <w:rFonts w:ascii="Times New Roman" w:hAnsi="Times New Roman"/>
        </w:rPr>
        <w:t xml:space="preserve">It also </w:t>
      </w:r>
      <w:r w:rsidR="00E236BD">
        <w:rPr>
          <w:rFonts w:ascii="Times New Roman" w:hAnsi="Times New Roman"/>
        </w:rPr>
        <w:t>categorize</w:t>
      </w:r>
      <w:r w:rsidR="00B0595B">
        <w:rPr>
          <w:rFonts w:ascii="Times New Roman" w:hAnsi="Times New Roman"/>
        </w:rPr>
        <w:t>s</w:t>
      </w:r>
      <w:r w:rsidR="00E236BD">
        <w:rPr>
          <w:rFonts w:ascii="Times New Roman" w:hAnsi="Times New Roman"/>
        </w:rPr>
        <w:t xml:space="preserve"> the trip as either a weekend/holiday or a weekday</w:t>
      </w:r>
      <w:r w:rsidR="00B0595B">
        <w:rPr>
          <w:rFonts w:ascii="Times New Roman" w:hAnsi="Times New Roman"/>
        </w:rPr>
        <w:t>,</w:t>
      </w:r>
      <w:r w:rsidR="00E236BD">
        <w:rPr>
          <w:rFonts w:ascii="Times New Roman" w:hAnsi="Times New Roman"/>
        </w:rPr>
        <w:t xml:space="preserve"> </w:t>
      </w:r>
      <w:r w:rsidR="00EB1E95">
        <w:rPr>
          <w:rFonts w:ascii="Times New Roman" w:hAnsi="Times New Roman"/>
        </w:rPr>
        <w:t>to control for differences in</w:t>
      </w:r>
      <w:r w:rsidR="0010404F">
        <w:rPr>
          <w:rFonts w:ascii="Times New Roman" w:hAnsi="Times New Roman"/>
        </w:rPr>
        <w:t xml:space="preserve"> the type of trip</w:t>
      </w:r>
      <w:r w:rsidR="00E236BD">
        <w:rPr>
          <w:rFonts w:ascii="Times New Roman" w:hAnsi="Times New Roman"/>
        </w:rPr>
        <w:t xml:space="preserve">. </w:t>
      </w:r>
    </w:p>
    <w:p w14:paraId="744CB482" w14:textId="77777777" w:rsidR="0008488B" w:rsidRDefault="0008488B" w:rsidP="004D4CEB">
      <w:pPr>
        <w:pStyle w:val="ListParagraph"/>
        <w:spacing w:before="120" w:line="360" w:lineRule="auto"/>
        <w:rPr>
          <w:rFonts w:ascii="Times New Roman" w:hAnsi="Times New Roman"/>
        </w:rPr>
      </w:pPr>
    </w:p>
    <w:p w14:paraId="2F915CE2" w14:textId="4E63EB32" w:rsidR="00327C2B" w:rsidRDefault="000965C1" w:rsidP="004D4CEB">
      <w:pPr>
        <w:pStyle w:val="ListParagraph"/>
        <w:spacing w:before="120" w:line="360" w:lineRule="auto"/>
        <w:rPr>
          <w:rFonts w:ascii="Times New Roman" w:hAnsi="Times New Roman"/>
        </w:rPr>
      </w:pPr>
      <w:r>
        <w:rPr>
          <w:rFonts w:ascii="Times New Roman" w:hAnsi="Times New Roman"/>
        </w:rPr>
        <w:t>Question 2.3A:</w:t>
      </w:r>
      <w:r w:rsidR="00327C2B">
        <w:rPr>
          <w:rFonts w:ascii="Times New Roman" w:hAnsi="Times New Roman"/>
        </w:rPr>
        <w:t xml:space="preserve"> This question elicits the location of the last trip. This is crucial for calculating travel cost and connecting the trip with a waterbody and water quality metric. We need more specific locations than town due to differences in water quality within towns along the coast.</w:t>
      </w:r>
      <w:r w:rsidR="00B0595B">
        <w:rPr>
          <w:rFonts w:ascii="Times New Roman" w:hAnsi="Times New Roman"/>
        </w:rPr>
        <w:t xml:space="preserve"> For the online version of the survey, this question will include an interactive map that will allow the respondent to drop a pin at the location of the last trip. </w:t>
      </w:r>
    </w:p>
    <w:p w14:paraId="35B48501" w14:textId="77777777" w:rsidR="00327C2B" w:rsidRDefault="00327C2B" w:rsidP="004D4CEB">
      <w:pPr>
        <w:pStyle w:val="ListParagraph"/>
        <w:spacing w:before="120" w:line="360" w:lineRule="auto"/>
        <w:rPr>
          <w:rFonts w:ascii="Times New Roman" w:hAnsi="Times New Roman"/>
        </w:rPr>
      </w:pPr>
    </w:p>
    <w:p w14:paraId="2542939F" w14:textId="24CE7E44" w:rsidR="0008488B" w:rsidRDefault="00327C2B" w:rsidP="004D4CEB">
      <w:pPr>
        <w:pStyle w:val="ListParagraph"/>
        <w:spacing w:before="120" w:line="360" w:lineRule="auto"/>
        <w:rPr>
          <w:rFonts w:ascii="Times New Roman" w:hAnsi="Times New Roman"/>
        </w:rPr>
      </w:pPr>
      <w:r>
        <w:rPr>
          <w:rFonts w:ascii="Times New Roman" w:hAnsi="Times New Roman"/>
        </w:rPr>
        <w:t>Question 2.4A</w:t>
      </w:r>
      <w:r w:rsidR="000965C1">
        <w:rPr>
          <w:rFonts w:ascii="Times New Roman" w:hAnsi="Times New Roman"/>
        </w:rPr>
        <w:t>:</w:t>
      </w:r>
      <w:r>
        <w:rPr>
          <w:rFonts w:ascii="Times New Roman" w:hAnsi="Times New Roman"/>
        </w:rPr>
        <w:t xml:space="preserve"> We a</w:t>
      </w:r>
      <w:r w:rsidR="006E2B44">
        <w:rPr>
          <w:rFonts w:ascii="Times New Roman" w:hAnsi="Times New Roman"/>
        </w:rPr>
        <w:t>sk</w:t>
      </w:r>
      <w:r>
        <w:rPr>
          <w:rFonts w:ascii="Times New Roman" w:hAnsi="Times New Roman"/>
        </w:rPr>
        <w:t xml:space="preserve"> an open</w:t>
      </w:r>
      <w:r w:rsidR="006E2B44">
        <w:rPr>
          <w:rFonts w:ascii="Times New Roman" w:hAnsi="Times New Roman"/>
        </w:rPr>
        <w:t>-</w:t>
      </w:r>
      <w:r>
        <w:rPr>
          <w:rFonts w:ascii="Times New Roman" w:hAnsi="Times New Roman"/>
        </w:rPr>
        <w:t xml:space="preserve">ended </w:t>
      </w:r>
      <w:r w:rsidR="006E2B44">
        <w:rPr>
          <w:rFonts w:ascii="Times New Roman" w:hAnsi="Times New Roman"/>
        </w:rPr>
        <w:t>question to understand</w:t>
      </w:r>
      <w:r>
        <w:rPr>
          <w:rFonts w:ascii="Times New Roman" w:hAnsi="Times New Roman"/>
        </w:rPr>
        <w:t xml:space="preserve"> </w:t>
      </w:r>
      <w:r w:rsidR="0008488B">
        <w:rPr>
          <w:rFonts w:ascii="Times New Roman" w:hAnsi="Times New Roman"/>
        </w:rPr>
        <w:t>why</w:t>
      </w:r>
      <w:r>
        <w:rPr>
          <w:rFonts w:ascii="Times New Roman" w:hAnsi="Times New Roman"/>
        </w:rPr>
        <w:t xml:space="preserve"> they chose this</w:t>
      </w:r>
      <w:r w:rsidR="0008488B">
        <w:rPr>
          <w:rFonts w:ascii="Times New Roman" w:hAnsi="Times New Roman"/>
        </w:rPr>
        <w:t xml:space="preserve"> recreation</w:t>
      </w:r>
      <w:r>
        <w:rPr>
          <w:rFonts w:ascii="Times New Roman" w:hAnsi="Times New Roman"/>
        </w:rPr>
        <w:t xml:space="preserve"> </w:t>
      </w:r>
      <w:r w:rsidR="0008488B">
        <w:rPr>
          <w:rFonts w:ascii="Times New Roman" w:hAnsi="Times New Roman"/>
        </w:rPr>
        <w:t>location</w:t>
      </w:r>
      <w:r>
        <w:rPr>
          <w:rFonts w:ascii="Times New Roman" w:hAnsi="Times New Roman"/>
        </w:rPr>
        <w:t xml:space="preserve">. We plan to code this </w:t>
      </w:r>
      <w:r w:rsidR="0008488B">
        <w:rPr>
          <w:rFonts w:ascii="Times New Roman" w:hAnsi="Times New Roman"/>
        </w:rPr>
        <w:t>open</w:t>
      </w:r>
      <w:r w:rsidR="006E2B44">
        <w:rPr>
          <w:rFonts w:ascii="Times New Roman" w:hAnsi="Times New Roman"/>
        </w:rPr>
        <w:t>-</w:t>
      </w:r>
      <w:r w:rsidR="0008488B">
        <w:rPr>
          <w:rFonts w:ascii="Times New Roman" w:hAnsi="Times New Roman"/>
        </w:rPr>
        <w:t>ended question</w:t>
      </w:r>
      <w:r>
        <w:rPr>
          <w:rFonts w:ascii="Times New Roman" w:hAnsi="Times New Roman"/>
        </w:rPr>
        <w:t xml:space="preserve"> using standard social science </w:t>
      </w:r>
      <w:r w:rsidR="006E2B44">
        <w:rPr>
          <w:rFonts w:ascii="Times New Roman" w:hAnsi="Times New Roman"/>
        </w:rPr>
        <w:t>methodology (Saldaña, 2009)</w:t>
      </w:r>
      <w:r>
        <w:rPr>
          <w:rFonts w:ascii="Times New Roman" w:hAnsi="Times New Roman"/>
        </w:rPr>
        <w:t xml:space="preserve">. It will serve to categorize the reason for trips, as well as allow </w:t>
      </w:r>
      <w:r w:rsidR="00B0595B">
        <w:rPr>
          <w:rFonts w:ascii="Times New Roman" w:hAnsi="Times New Roman"/>
        </w:rPr>
        <w:t xml:space="preserve">respondents to clarify </w:t>
      </w:r>
      <w:r>
        <w:rPr>
          <w:rFonts w:ascii="Times New Roman" w:hAnsi="Times New Roman"/>
        </w:rPr>
        <w:t xml:space="preserve">why this is the particular trip reported. Focus group participants were </w:t>
      </w:r>
      <w:r w:rsidR="00B0595B">
        <w:rPr>
          <w:rFonts w:ascii="Times New Roman" w:hAnsi="Times New Roman"/>
        </w:rPr>
        <w:t xml:space="preserve">eager to tell us </w:t>
      </w:r>
      <w:r w:rsidR="002B776A">
        <w:rPr>
          <w:rFonts w:ascii="Times New Roman" w:hAnsi="Times New Roman"/>
        </w:rPr>
        <w:t>why</w:t>
      </w:r>
      <w:r w:rsidR="00D66556">
        <w:rPr>
          <w:rFonts w:ascii="Times New Roman" w:hAnsi="Times New Roman"/>
        </w:rPr>
        <w:t xml:space="preserve"> </w:t>
      </w:r>
      <w:r w:rsidR="002B776A">
        <w:rPr>
          <w:rFonts w:ascii="Times New Roman" w:hAnsi="Times New Roman"/>
        </w:rPr>
        <w:t>they went to the location of</w:t>
      </w:r>
      <w:r>
        <w:rPr>
          <w:rFonts w:ascii="Times New Roman" w:hAnsi="Times New Roman"/>
        </w:rPr>
        <w:t xml:space="preserve"> their last trip and </w:t>
      </w:r>
      <w:r w:rsidR="00B0595B">
        <w:rPr>
          <w:rFonts w:ascii="Times New Roman" w:hAnsi="Times New Roman"/>
        </w:rPr>
        <w:t xml:space="preserve">also to indicate </w:t>
      </w:r>
      <w:r w:rsidR="002B776A">
        <w:rPr>
          <w:rFonts w:ascii="Times New Roman" w:hAnsi="Times New Roman"/>
        </w:rPr>
        <w:t xml:space="preserve">that, often, </w:t>
      </w:r>
      <w:r w:rsidR="00B0595B">
        <w:rPr>
          <w:rFonts w:ascii="Times New Roman" w:hAnsi="Times New Roman"/>
        </w:rPr>
        <w:t xml:space="preserve">their last trip </w:t>
      </w:r>
      <w:r w:rsidR="002B776A">
        <w:rPr>
          <w:rFonts w:ascii="Times New Roman" w:hAnsi="Times New Roman"/>
        </w:rPr>
        <w:t xml:space="preserve">was </w:t>
      </w:r>
      <w:r>
        <w:rPr>
          <w:rFonts w:ascii="Times New Roman" w:hAnsi="Times New Roman"/>
        </w:rPr>
        <w:t xml:space="preserve">not </w:t>
      </w:r>
      <w:r w:rsidR="00B0595B">
        <w:rPr>
          <w:rFonts w:ascii="Times New Roman" w:hAnsi="Times New Roman"/>
        </w:rPr>
        <w:t xml:space="preserve">to </w:t>
      </w:r>
      <w:r>
        <w:rPr>
          <w:rFonts w:ascii="Times New Roman" w:hAnsi="Times New Roman"/>
        </w:rPr>
        <w:t xml:space="preserve">the place they like best. </w:t>
      </w:r>
      <w:r w:rsidR="00B0595B">
        <w:rPr>
          <w:rFonts w:ascii="Times New Roman" w:hAnsi="Times New Roman"/>
        </w:rPr>
        <w:t>F</w:t>
      </w:r>
      <w:r>
        <w:rPr>
          <w:rFonts w:ascii="Times New Roman" w:hAnsi="Times New Roman"/>
        </w:rPr>
        <w:t xml:space="preserve">ocus group participants were satisfied with this outlet to address their concerns. </w:t>
      </w:r>
    </w:p>
    <w:p w14:paraId="78DB0433" w14:textId="77777777" w:rsidR="0008488B" w:rsidRDefault="0008488B" w:rsidP="004D4CEB">
      <w:pPr>
        <w:pStyle w:val="ListParagraph"/>
        <w:spacing w:before="120" w:line="360" w:lineRule="auto"/>
        <w:rPr>
          <w:rFonts w:ascii="Times New Roman" w:hAnsi="Times New Roman"/>
        </w:rPr>
      </w:pPr>
    </w:p>
    <w:p w14:paraId="4F5C53A1" w14:textId="78289CC4" w:rsidR="0008488B" w:rsidRDefault="0008488B" w:rsidP="004D4CEB">
      <w:pPr>
        <w:pStyle w:val="ListParagraph"/>
        <w:spacing w:before="120" w:line="360" w:lineRule="auto"/>
        <w:rPr>
          <w:rFonts w:ascii="Times New Roman" w:hAnsi="Times New Roman"/>
        </w:rPr>
      </w:pPr>
      <w:r>
        <w:rPr>
          <w:rFonts w:ascii="Times New Roman" w:hAnsi="Times New Roman"/>
        </w:rPr>
        <w:t>Question 2.5A</w:t>
      </w:r>
      <w:r w:rsidR="000965C1">
        <w:rPr>
          <w:rFonts w:ascii="Times New Roman" w:hAnsi="Times New Roman"/>
        </w:rPr>
        <w:t>:</w:t>
      </w:r>
      <w:r w:rsidRPr="00301F64">
        <w:rPr>
          <w:rFonts w:ascii="Times New Roman" w:hAnsi="Times New Roman"/>
        </w:rPr>
        <w:t xml:space="preserve"> We ask how often the respondent goes to this location to understand experience and familiarity with the site. We plan to compare perceived and objective water quality measures, and experience with the location </w:t>
      </w:r>
      <w:r>
        <w:rPr>
          <w:rFonts w:ascii="Times New Roman" w:hAnsi="Times New Roman"/>
        </w:rPr>
        <w:t xml:space="preserve">is </w:t>
      </w:r>
      <w:r w:rsidRPr="00301F64">
        <w:rPr>
          <w:rFonts w:ascii="Times New Roman" w:hAnsi="Times New Roman"/>
        </w:rPr>
        <w:t xml:space="preserve">an important factor. </w:t>
      </w:r>
    </w:p>
    <w:p w14:paraId="6E58D425" w14:textId="77777777" w:rsidR="0008488B" w:rsidRDefault="0008488B" w:rsidP="0008488B">
      <w:pPr>
        <w:pStyle w:val="ListParagraph"/>
        <w:spacing w:before="120" w:line="360" w:lineRule="auto"/>
        <w:rPr>
          <w:rFonts w:ascii="Times New Roman" w:hAnsi="Times New Roman"/>
        </w:rPr>
      </w:pPr>
    </w:p>
    <w:p w14:paraId="00343819" w14:textId="2B4451A9" w:rsidR="0008488B" w:rsidRDefault="000965C1" w:rsidP="0008488B">
      <w:pPr>
        <w:pStyle w:val="ListParagraph"/>
        <w:spacing w:before="120" w:line="360" w:lineRule="auto"/>
        <w:rPr>
          <w:rFonts w:ascii="Times New Roman" w:hAnsi="Times New Roman"/>
        </w:rPr>
      </w:pPr>
      <w:r>
        <w:rPr>
          <w:rFonts w:ascii="Times New Roman" w:hAnsi="Times New Roman"/>
        </w:rPr>
        <w:t>Question 2.6A:</w:t>
      </w:r>
      <w:r w:rsidR="0008488B">
        <w:rPr>
          <w:rFonts w:ascii="Times New Roman" w:hAnsi="Times New Roman"/>
        </w:rPr>
        <w:t xml:space="preserve"> This question collects the type of transportation used for travel. This is to attribute a cost per mile, varying by type of transportation. </w:t>
      </w:r>
    </w:p>
    <w:p w14:paraId="4CE17C6C" w14:textId="77777777" w:rsidR="00B3270B" w:rsidRDefault="00B3270B" w:rsidP="004D4CEB">
      <w:pPr>
        <w:pStyle w:val="ListParagraph"/>
        <w:spacing w:before="120" w:line="360" w:lineRule="auto"/>
        <w:rPr>
          <w:rFonts w:ascii="Times New Roman" w:hAnsi="Times New Roman"/>
        </w:rPr>
      </w:pPr>
    </w:p>
    <w:p w14:paraId="4E7B36F0" w14:textId="2133777F" w:rsidR="00E236BD" w:rsidRDefault="00E236BD" w:rsidP="004D4CEB">
      <w:pPr>
        <w:pStyle w:val="ListParagraph"/>
        <w:spacing w:before="120" w:line="360" w:lineRule="auto"/>
        <w:rPr>
          <w:rFonts w:ascii="Times New Roman" w:hAnsi="Times New Roman"/>
        </w:rPr>
      </w:pPr>
      <w:r>
        <w:rPr>
          <w:rFonts w:ascii="Times New Roman" w:hAnsi="Times New Roman"/>
        </w:rPr>
        <w:t>Question 2.</w:t>
      </w:r>
      <w:r w:rsidR="0008488B">
        <w:rPr>
          <w:rFonts w:ascii="Times New Roman" w:hAnsi="Times New Roman"/>
        </w:rPr>
        <w:t>7A</w:t>
      </w:r>
      <w:r w:rsidR="000965C1">
        <w:rPr>
          <w:rFonts w:ascii="Times New Roman" w:hAnsi="Times New Roman"/>
        </w:rPr>
        <w:t>:</w:t>
      </w:r>
      <w:r>
        <w:rPr>
          <w:rFonts w:ascii="Times New Roman" w:hAnsi="Times New Roman"/>
        </w:rPr>
        <w:t xml:space="preserve"> This question asks the respondent to estimate the time and distance from their home to the recreation location. While we will calculate an objective distance measure with </w:t>
      </w:r>
      <w:r w:rsidR="00EB1E95">
        <w:rPr>
          <w:rFonts w:ascii="Times New Roman" w:hAnsi="Times New Roman"/>
        </w:rPr>
        <w:t>G</w:t>
      </w:r>
      <w:r>
        <w:rPr>
          <w:rFonts w:ascii="Times New Roman" w:hAnsi="Times New Roman"/>
        </w:rPr>
        <w:t>oogle maps</w:t>
      </w:r>
      <w:r w:rsidR="00EC5047">
        <w:rPr>
          <w:rFonts w:ascii="Times New Roman" w:hAnsi="Times New Roman"/>
        </w:rPr>
        <w:t xml:space="preserve"> Application Programming Interface</w:t>
      </w:r>
      <w:r>
        <w:rPr>
          <w:rFonts w:ascii="Times New Roman" w:hAnsi="Times New Roman"/>
        </w:rPr>
        <w:t xml:space="preserve"> </w:t>
      </w:r>
      <w:r w:rsidR="00EC5047">
        <w:rPr>
          <w:rFonts w:ascii="Times New Roman" w:hAnsi="Times New Roman"/>
        </w:rPr>
        <w:t>(</w:t>
      </w:r>
      <w:r>
        <w:rPr>
          <w:rFonts w:ascii="Times New Roman" w:hAnsi="Times New Roman"/>
        </w:rPr>
        <w:t>API</w:t>
      </w:r>
      <w:r w:rsidR="00EC5047">
        <w:rPr>
          <w:rFonts w:ascii="Times New Roman" w:hAnsi="Times New Roman"/>
        </w:rPr>
        <w:t>)</w:t>
      </w:r>
      <w:r>
        <w:rPr>
          <w:rFonts w:ascii="Times New Roman" w:hAnsi="Times New Roman"/>
        </w:rPr>
        <w:t xml:space="preserve"> (see section 5b), we need self-reported distance</w:t>
      </w:r>
      <w:r w:rsidR="00EB1E95">
        <w:rPr>
          <w:rFonts w:ascii="Times New Roman" w:hAnsi="Times New Roman"/>
        </w:rPr>
        <w:t xml:space="preserve"> as a verification check on the geolocation of the recreation spot, which is based on Question 2.</w:t>
      </w:r>
      <w:r w:rsidR="0008488B">
        <w:rPr>
          <w:rFonts w:ascii="Times New Roman" w:hAnsi="Times New Roman"/>
        </w:rPr>
        <w:t>3A</w:t>
      </w:r>
      <w:r w:rsidR="00EB1E95">
        <w:rPr>
          <w:rFonts w:ascii="Times New Roman" w:hAnsi="Times New Roman"/>
        </w:rPr>
        <w:t xml:space="preserve">, as well as to test </w:t>
      </w:r>
      <w:r w:rsidR="00347790">
        <w:rPr>
          <w:rFonts w:ascii="Times New Roman" w:hAnsi="Times New Roman"/>
        </w:rPr>
        <w:t xml:space="preserve">whether </w:t>
      </w:r>
      <w:r w:rsidR="00EB1E95">
        <w:rPr>
          <w:rFonts w:ascii="Times New Roman" w:hAnsi="Times New Roman"/>
        </w:rPr>
        <w:t>perceived and actual distances vary consistently in people’s perception of travel cost.</w:t>
      </w:r>
      <w:r w:rsidR="0008488B">
        <w:rPr>
          <w:rFonts w:ascii="Times New Roman" w:hAnsi="Times New Roman"/>
        </w:rPr>
        <w:t xml:space="preserve"> In addition, for trips within the same town, where the location in 2.3A and their home are too close to distinguish from the provided answer, this allows for an estimate of travel cost.</w:t>
      </w:r>
      <w:r w:rsidR="00EB1E95">
        <w:rPr>
          <w:rFonts w:ascii="Times New Roman" w:hAnsi="Times New Roman"/>
        </w:rPr>
        <w:t xml:space="preserve"> We </w:t>
      </w:r>
      <w:r w:rsidR="004D4CEB">
        <w:rPr>
          <w:rFonts w:ascii="Times New Roman" w:hAnsi="Times New Roman"/>
        </w:rPr>
        <w:t xml:space="preserve">also </w:t>
      </w:r>
      <w:r w:rsidR="0010404F">
        <w:rPr>
          <w:rFonts w:ascii="Times New Roman" w:hAnsi="Times New Roman"/>
        </w:rPr>
        <w:t>need</w:t>
      </w:r>
      <w:r w:rsidR="00EB1E95">
        <w:rPr>
          <w:rFonts w:ascii="Times New Roman" w:hAnsi="Times New Roman"/>
        </w:rPr>
        <w:t xml:space="preserve"> </w:t>
      </w:r>
      <w:r w:rsidR="0010404F">
        <w:rPr>
          <w:rFonts w:ascii="Times New Roman" w:hAnsi="Times New Roman"/>
        </w:rPr>
        <w:t>respondent</w:t>
      </w:r>
      <w:r w:rsidR="004D4CEB">
        <w:rPr>
          <w:rFonts w:ascii="Times New Roman" w:hAnsi="Times New Roman"/>
        </w:rPr>
        <w:t>s</w:t>
      </w:r>
      <w:r w:rsidR="0010404F">
        <w:rPr>
          <w:rFonts w:ascii="Times New Roman" w:hAnsi="Times New Roman"/>
        </w:rPr>
        <w:t>’ estimation of</w:t>
      </w:r>
      <w:r w:rsidR="00EB1E95">
        <w:rPr>
          <w:rFonts w:ascii="Times New Roman" w:hAnsi="Times New Roman"/>
        </w:rPr>
        <w:t xml:space="preserve"> perceived travel time, since this is a function of traffic</w:t>
      </w:r>
      <w:r w:rsidR="0010404F">
        <w:rPr>
          <w:rFonts w:ascii="Times New Roman" w:hAnsi="Times New Roman"/>
        </w:rPr>
        <w:t>. Traffic causes travel time to vary widely in this highly</w:t>
      </w:r>
      <w:r w:rsidR="004D4CEB">
        <w:rPr>
          <w:rFonts w:ascii="Times New Roman" w:hAnsi="Times New Roman"/>
        </w:rPr>
        <w:t>-</w:t>
      </w:r>
      <w:r w:rsidR="0010404F">
        <w:rPr>
          <w:rFonts w:ascii="Times New Roman" w:hAnsi="Times New Roman"/>
        </w:rPr>
        <w:t xml:space="preserve">developed corridor of the </w:t>
      </w:r>
      <w:r w:rsidR="004D4CEB">
        <w:rPr>
          <w:rFonts w:ascii="Times New Roman" w:hAnsi="Times New Roman"/>
        </w:rPr>
        <w:t>n</w:t>
      </w:r>
      <w:r w:rsidR="0010404F">
        <w:rPr>
          <w:rFonts w:ascii="Times New Roman" w:hAnsi="Times New Roman"/>
        </w:rPr>
        <w:t>ortheast</w:t>
      </w:r>
      <w:r w:rsidR="00EB1E95">
        <w:rPr>
          <w:rFonts w:ascii="Times New Roman" w:hAnsi="Times New Roman"/>
        </w:rPr>
        <w:t xml:space="preserve">. </w:t>
      </w:r>
      <w:r w:rsidR="007E03F4">
        <w:rPr>
          <w:rFonts w:ascii="Times New Roman" w:hAnsi="Times New Roman"/>
        </w:rPr>
        <w:t>Because w</w:t>
      </w:r>
      <w:r w:rsidR="00EB1E95">
        <w:rPr>
          <w:rFonts w:ascii="Times New Roman" w:hAnsi="Times New Roman"/>
        </w:rPr>
        <w:t>e do</w:t>
      </w:r>
      <w:r w:rsidR="004D4CEB">
        <w:rPr>
          <w:rFonts w:ascii="Times New Roman" w:hAnsi="Times New Roman"/>
        </w:rPr>
        <w:t xml:space="preserve"> </w:t>
      </w:r>
      <w:r w:rsidR="00EB1E95">
        <w:rPr>
          <w:rFonts w:ascii="Times New Roman" w:hAnsi="Times New Roman"/>
        </w:rPr>
        <w:t>n</w:t>
      </w:r>
      <w:r w:rsidR="004D4CEB">
        <w:rPr>
          <w:rFonts w:ascii="Times New Roman" w:hAnsi="Times New Roman"/>
        </w:rPr>
        <w:t>o</w:t>
      </w:r>
      <w:r w:rsidR="00EB1E95">
        <w:rPr>
          <w:rFonts w:ascii="Times New Roman" w:hAnsi="Times New Roman"/>
        </w:rPr>
        <w:t xml:space="preserve">t believe we can collect the date and hourly departure/return time for each respondent accurately to use Google’s travel time estimation in real-time traffic, we therefore plan to rely on </w:t>
      </w:r>
      <w:r w:rsidR="007E03F4">
        <w:rPr>
          <w:rFonts w:ascii="Times New Roman" w:hAnsi="Times New Roman"/>
        </w:rPr>
        <w:t xml:space="preserve">reported </w:t>
      </w:r>
      <w:r w:rsidR="00EB1E95">
        <w:rPr>
          <w:rFonts w:ascii="Times New Roman" w:hAnsi="Times New Roman"/>
        </w:rPr>
        <w:t xml:space="preserve">travel time for attributing costs to the trip. </w:t>
      </w:r>
      <w:r w:rsidR="0010404F">
        <w:rPr>
          <w:rFonts w:ascii="Times New Roman" w:hAnsi="Times New Roman"/>
        </w:rPr>
        <w:t>This piece of information</w:t>
      </w:r>
      <w:r w:rsidR="00EB1E95">
        <w:rPr>
          <w:rFonts w:ascii="Times New Roman" w:hAnsi="Times New Roman"/>
        </w:rPr>
        <w:t xml:space="preserve"> will also give us a</w:t>
      </w:r>
      <w:r w:rsidR="007E03F4">
        <w:rPr>
          <w:rFonts w:ascii="Times New Roman" w:hAnsi="Times New Roman"/>
        </w:rPr>
        <w:t>dditional</w:t>
      </w:r>
      <w:r w:rsidR="00EB1E95">
        <w:rPr>
          <w:rFonts w:ascii="Times New Roman" w:hAnsi="Times New Roman"/>
        </w:rPr>
        <w:t xml:space="preserve"> verification </w:t>
      </w:r>
      <w:r w:rsidR="0010404F">
        <w:rPr>
          <w:rFonts w:ascii="Times New Roman" w:hAnsi="Times New Roman"/>
        </w:rPr>
        <w:t>data to confirm the geolocation of the</w:t>
      </w:r>
      <w:r w:rsidR="00EB1E95">
        <w:rPr>
          <w:rFonts w:ascii="Times New Roman" w:hAnsi="Times New Roman"/>
        </w:rPr>
        <w:t xml:space="preserve"> recreation location in Question 2.</w:t>
      </w:r>
      <w:r w:rsidR="0008488B">
        <w:rPr>
          <w:rFonts w:ascii="Times New Roman" w:hAnsi="Times New Roman"/>
        </w:rPr>
        <w:t>3A</w:t>
      </w:r>
      <w:r w:rsidR="00EB1E95">
        <w:rPr>
          <w:rFonts w:ascii="Times New Roman" w:hAnsi="Times New Roman"/>
        </w:rPr>
        <w:t>.</w:t>
      </w:r>
    </w:p>
    <w:p w14:paraId="270D68F9" w14:textId="77777777" w:rsidR="0010404F" w:rsidRDefault="0010404F" w:rsidP="004D4CEB">
      <w:pPr>
        <w:pStyle w:val="ListParagraph"/>
        <w:spacing w:before="120" w:line="360" w:lineRule="auto"/>
        <w:rPr>
          <w:rFonts w:ascii="Times New Roman" w:hAnsi="Times New Roman"/>
        </w:rPr>
      </w:pPr>
    </w:p>
    <w:p w14:paraId="6E74FC91" w14:textId="75AC7375" w:rsidR="0008488B" w:rsidRDefault="000965C1" w:rsidP="0008488B">
      <w:pPr>
        <w:pStyle w:val="ListParagraph"/>
        <w:spacing w:before="120" w:line="360" w:lineRule="auto"/>
        <w:rPr>
          <w:rFonts w:ascii="Times New Roman" w:hAnsi="Times New Roman"/>
        </w:rPr>
      </w:pPr>
      <w:r>
        <w:rPr>
          <w:rFonts w:ascii="Times New Roman" w:hAnsi="Times New Roman"/>
        </w:rPr>
        <w:t>Question 2.8A:</w:t>
      </w:r>
      <w:r w:rsidR="0008488B">
        <w:rPr>
          <w:rFonts w:ascii="Times New Roman" w:hAnsi="Times New Roman"/>
        </w:rPr>
        <w:t xml:space="preserve"> The purpose of this question is to split travel costs </w:t>
      </w:r>
      <w:r w:rsidR="00B0595B">
        <w:rPr>
          <w:rFonts w:ascii="Times New Roman" w:hAnsi="Times New Roman"/>
        </w:rPr>
        <w:t>among</w:t>
      </w:r>
      <w:r w:rsidR="0008488B">
        <w:rPr>
          <w:rFonts w:ascii="Times New Roman" w:hAnsi="Times New Roman"/>
        </w:rPr>
        <w:t xml:space="preserve"> adults </w:t>
      </w:r>
      <w:r w:rsidR="00B0595B">
        <w:rPr>
          <w:rFonts w:ascii="Times New Roman" w:hAnsi="Times New Roman"/>
        </w:rPr>
        <w:t xml:space="preserve">traveling together. It will also allow us to </w:t>
      </w:r>
      <w:r w:rsidR="0008488B">
        <w:rPr>
          <w:rFonts w:ascii="Times New Roman" w:hAnsi="Times New Roman"/>
        </w:rPr>
        <w:t>control for the type of recreation trip</w:t>
      </w:r>
      <w:r w:rsidR="00B0595B">
        <w:rPr>
          <w:rFonts w:ascii="Times New Roman" w:hAnsi="Times New Roman"/>
        </w:rPr>
        <w:t>, based on the hypothesis</w:t>
      </w:r>
      <w:r w:rsidR="0008488B">
        <w:rPr>
          <w:rFonts w:ascii="Times New Roman" w:hAnsi="Times New Roman"/>
        </w:rPr>
        <w:t xml:space="preserve"> that people traveling with children</w:t>
      </w:r>
      <w:r w:rsidR="00B0595B">
        <w:rPr>
          <w:rFonts w:ascii="Times New Roman" w:hAnsi="Times New Roman"/>
        </w:rPr>
        <w:t xml:space="preserve"> may</w:t>
      </w:r>
      <w:r w:rsidR="0008488B">
        <w:rPr>
          <w:rFonts w:ascii="Times New Roman" w:hAnsi="Times New Roman"/>
        </w:rPr>
        <w:t xml:space="preserve"> have a different choice process when choosing recreation activity and location.</w:t>
      </w:r>
    </w:p>
    <w:p w14:paraId="47F3C90E" w14:textId="77777777" w:rsidR="0008488B" w:rsidRDefault="0008488B" w:rsidP="004D4CEB">
      <w:pPr>
        <w:pStyle w:val="ListParagraph"/>
        <w:spacing w:before="120" w:line="360" w:lineRule="auto"/>
        <w:rPr>
          <w:rFonts w:ascii="Times New Roman" w:hAnsi="Times New Roman"/>
        </w:rPr>
      </w:pPr>
    </w:p>
    <w:p w14:paraId="2C2805F9" w14:textId="45E59291" w:rsidR="0008488B" w:rsidRDefault="000965C1" w:rsidP="0008488B">
      <w:pPr>
        <w:pStyle w:val="ListParagraph"/>
        <w:spacing w:before="120" w:line="360" w:lineRule="auto"/>
        <w:rPr>
          <w:rFonts w:ascii="Times New Roman" w:hAnsi="Times New Roman"/>
        </w:rPr>
      </w:pPr>
      <w:r>
        <w:rPr>
          <w:rFonts w:ascii="Times New Roman" w:hAnsi="Times New Roman"/>
        </w:rPr>
        <w:t>Question 2.9A:</w:t>
      </w:r>
      <w:r w:rsidR="0008488B">
        <w:rPr>
          <w:rFonts w:ascii="Times New Roman" w:hAnsi="Times New Roman"/>
        </w:rPr>
        <w:t xml:space="preserve"> Time spent on site allows us to categorize the type of trip and extent of the recreation. We plan to translate our results to WTP/hour in addition to WTP/trip. These metrics will allow the results to be more widely relevant and useful.</w:t>
      </w:r>
    </w:p>
    <w:p w14:paraId="156F3BBE" w14:textId="77777777" w:rsidR="0008488B" w:rsidRDefault="0008488B" w:rsidP="0008488B">
      <w:pPr>
        <w:pStyle w:val="ListParagraph"/>
        <w:spacing w:before="120" w:line="360" w:lineRule="auto"/>
        <w:rPr>
          <w:rFonts w:ascii="Times New Roman" w:hAnsi="Times New Roman"/>
        </w:rPr>
      </w:pPr>
    </w:p>
    <w:p w14:paraId="7B95D1C2" w14:textId="08EB893D" w:rsidR="0008488B" w:rsidRDefault="000965C1" w:rsidP="0008488B">
      <w:pPr>
        <w:pStyle w:val="ListParagraph"/>
        <w:spacing w:before="120" w:line="360" w:lineRule="auto"/>
        <w:rPr>
          <w:rFonts w:ascii="Times New Roman" w:hAnsi="Times New Roman"/>
        </w:rPr>
      </w:pPr>
      <w:r>
        <w:rPr>
          <w:rFonts w:ascii="Times New Roman" w:hAnsi="Times New Roman"/>
        </w:rPr>
        <w:t>Questions 2.10A and 2.11A:</w:t>
      </w:r>
      <w:r w:rsidR="0008488B">
        <w:rPr>
          <w:rFonts w:ascii="Times New Roman" w:hAnsi="Times New Roman"/>
        </w:rPr>
        <w:t xml:space="preserve"> These questions ask about parking in order to correctly attribute parking cost to the trip profile.</w:t>
      </w:r>
    </w:p>
    <w:p w14:paraId="6B87604D" w14:textId="77777777" w:rsidR="0010404F" w:rsidRDefault="0010404F">
      <w:pPr>
        <w:pStyle w:val="ListParagraph"/>
        <w:spacing w:before="120" w:line="360" w:lineRule="auto"/>
      </w:pPr>
    </w:p>
    <w:p w14:paraId="43864D1A" w14:textId="7F7F0EF7" w:rsidR="0010404F" w:rsidRDefault="0010404F" w:rsidP="004D4CEB">
      <w:pPr>
        <w:pStyle w:val="ListParagraph"/>
        <w:spacing w:before="120" w:line="360" w:lineRule="auto"/>
        <w:rPr>
          <w:rFonts w:ascii="Times New Roman" w:hAnsi="Times New Roman"/>
        </w:rPr>
      </w:pPr>
      <w:r>
        <w:rPr>
          <w:rFonts w:ascii="Times New Roman" w:hAnsi="Times New Roman"/>
        </w:rPr>
        <w:t>Question 2.</w:t>
      </w:r>
      <w:r w:rsidR="000965C1">
        <w:rPr>
          <w:rFonts w:ascii="Times New Roman" w:hAnsi="Times New Roman"/>
        </w:rPr>
        <w:t>12A:</w:t>
      </w:r>
      <w:r>
        <w:rPr>
          <w:rFonts w:ascii="Times New Roman" w:hAnsi="Times New Roman"/>
        </w:rPr>
        <w:t xml:space="preserve"> This question asks which activities the respondent did that day. This is to attribute the trip and cost to an activity and to see which activities occur in combination. </w:t>
      </w:r>
    </w:p>
    <w:p w14:paraId="618D703C" w14:textId="77777777" w:rsidR="0010404F" w:rsidRDefault="0010404F" w:rsidP="004D4CEB">
      <w:pPr>
        <w:pStyle w:val="ListParagraph"/>
        <w:spacing w:before="120" w:line="360" w:lineRule="auto"/>
        <w:rPr>
          <w:rFonts w:ascii="Times New Roman" w:hAnsi="Times New Roman"/>
        </w:rPr>
      </w:pPr>
    </w:p>
    <w:p w14:paraId="4841B5C5" w14:textId="72D49EDE" w:rsidR="0010404F" w:rsidRPr="00A00F66" w:rsidRDefault="0010404F">
      <w:pPr>
        <w:pStyle w:val="ListParagraph"/>
        <w:spacing w:before="120" w:line="360" w:lineRule="auto"/>
        <w:rPr>
          <w:rFonts w:ascii="Times New Roman" w:hAnsi="Times New Roman"/>
        </w:rPr>
      </w:pPr>
      <w:r>
        <w:rPr>
          <w:rFonts w:ascii="Times New Roman" w:hAnsi="Times New Roman"/>
        </w:rPr>
        <w:t>Question 2.</w:t>
      </w:r>
      <w:r w:rsidR="0008488B">
        <w:rPr>
          <w:rFonts w:ascii="Times New Roman" w:hAnsi="Times New Roman"/>
        </w:rPr>
        <w:t>13</w:t>
      </w:r>
      <w:r w:rsidR="000965C1">
        <w:rPr>
          <w:rFonts w:ascii="Times New Roman" w:hAnsi="Times New Roman"/>
        </w:rPr>
        <w:t>A:</w:t>
      </w:r>
      <w:r w:rsidRPr="00A00F66">
        <w:rPr>
          <w:rFonts w:ascii="Times New Roman" w:hAnsi="Times New Roman"/>
        </w:rPr>
        <w:t xml:space="preserve"> By asking the most important</w:t>
      </w:r>
      <w:r w:rsidR="007E03F4" w:rsidRPr="00A00F66">
        <w:rPr>
          <w:rFonts w:ascii="Times New Roman" w:hAnsi="Times New Roman"/>
        </w:rPr>
        <w:t xml:space="preserve"> activity</w:t>
      </w:r>
      <w:r w:rsidRPr="00A00F66">
        <w:rPr>
          <w:rFonts w:ascii="Times New Roman" w:hAnsi="Times New Roman"/>
        </w:rPr>
        <w:t xml:space="preserve">, we can attribute the trip to one of the many activities that the respondent might have participated in that day. </w:t>
      </w:r>
    </w:p>
    <w:p w14:paraId="52166806" w14:textId="77777777" w:rsidR="0008488B" w:rsidRDefault="0008488B" w:rsidP="0008488B">
      <w:pPr>
        <w:pStyle w:val="ListParagraph"/>
        <w:spacing w:before="120" w:line="360" w:lineRule="auto"/>
        <w:rPr>
          <w:rFonts w:ascii="Times New Roman" w:hAnsi="Times New Roman"/>
        </w:rPr>
      </w:pPr>
    </w:p>
    <w:p w14:paraId="40A183F9" w14:textId="04964AB2" w:rsidR="0008488B" w:rsidRDefault="000965C1" w:rsidP="0008488B">
      <w:pPr>
        <w:pStyle w:val="ListParagraph"/>
        <w:spacing w:before="120" w:line="360" w:lineRule="auto"/>
        <w:rPr>
          <w:rFonts w:ascii="Times New Roman" w:hAnsi="Times New Roman"/>
        </w:rPr>
      </w:pPr>
      <w:r>
        <w:rPr>
          <w:rFonts w:ascii="Times New Roman" w:hAnsi="Times New Roman"/>
        </w:rPr>
        <w:t>Question 2.14A:</w:t>
      </w:r>
      <w:r w:rsidR="0008488B">
        <w:rPr>
          <w:rFonts w:ascii="Times New Roman" w:hAnsi="Times New Roman"/>
        </w:rPr>
        <w:t xml:space="preserve"> This question asks for the level of water contact on that recreation trip. We hypothesize that as the level of contact increases, the respondent’s sensitivity to water quality will increase. This question will be used to group recreation activities and types of trips by sensitivity to water quality found in the statistical model. </w:t>
      </w:r>
    </w:p>
    <w:p w14:paraId="2D9A19C5" w14:textId="77777777" w:rsidR="0010404F" w:rsidRDefault="0010404F" w:rsidP="004D4CEB">
      <w:pPr>
        <w:pStyle w:val="ListParagraph"/>
        <w:spacing w:before="120" w:line="360" w:lineRule="auto"/>
        <w:rPr>
          <w:rFonts w:ascii="Times New Roman" w:hAnsi="Times New Roman"/>
        </w:rPr>
      </w:pPr>
    </w:p>
    <w:p w14:paraId="575210CA" w14:textId="3AE2CC81" w:rsidR="0008488B" w:rsidRDefault="000965C1" w:rsidP="0008488B">
      <w:pPr>
        <w:pStyle w:val="ListParagraph"/>
        <w:spacing w:before="120" w:line="360" w:lineRule="auto"/>
        <w:rPr>
          <w:rFonts w:ascii="Times New Roman" w:hAnsi="Times New Roman"/>
        </w:rPr>
      </w:pPr>
      <w:r>
        <w:rPr>
          <w:rFonts w:ascii="Times New Roman" w:hAnsi="Times New Roman"/>
        </w:rPr>
        <w:t>Question 2.15A:</w:t>
      </w:r>
      <w:r w:rsidR="0008488B">
        <w:rPr>
          <w:rFonts w:ascii="Times New Roman" w:hAnsi="Times New Roman"/>
        </w:rPr>
        <w:t xml:space="preserve"> We use a water quality scale to elicit the respondent’s perceived water quality at the recreation site. This 0-10 scale is anchored on either end with descriptions. This combined with questions 2.16A, 2.17A will allow us to connect perceived water quality to objective measures and ultimately to uses, to construct a coastal water quality index tailored to perceptions and choice data.</w:t>
      </w:r>
    </w:p>
    <w:p w14:paraId="57EEE922" w14:textId="77777777" w:rsidR="0008488B" w:rsidRDefault="0008488B" w:rsidP="0008488B">
      <w:pPr>
        <w:pStyle w:val="ListParagraph"/>
        <w:spacing w:before="120" w:line="360" w:lineRule="auto"/>
        <w:rPr>
          <w:rFonts w:ascii="Times New Roman" w:hAnsi="Times New Roman"/>
        </w:rPr>
      </w:pPr>
    </w:p>
    <w:p w14:paraId="0372965F" w14:textId="197E8C18" w:rsidR="0008488B" w:rsidRPr="004D4CEB" w:rsidRDefault="000965C1" w:rsidP="0008488B">
      <w:pPr>
        <w:pStyle w:val="ListParagraph"/>
        <w:spacing w:before="120" w:line="360" w:lineRule="auto"/>
        <w:rPr>
          <w:rFonts w:ascii="Times New Roman" w:hAnsi="Times New Roman"/>
        </w:rPr>
      </w:pPr>
      <w:r>
        <w:rPr>
          <w:rFonts w:ascii="Times New Roman" w:hAnsi="Times New Roman"/>
        </w:rPr>
        <w:t>Question 2.16A:</w:t>
      </w:r>
      <w:r w:rsidR="0008488B" w:rsidRPr="00B3270B">
        <w:rPr>
          <w:rFonts w:ascii="Times New Roman" w:hAnsi="Times New Roman"/>
        </w:rPr>
        <w:t xml:space="preserve"> We ask how sure the person is of their perceived water quality rating. This will be used in the analysis of perceived versus objective measures of water quality capturing experience and confidence in respondent’s assessment of water quality. </w:t>
      </w:r>
    </w:p>
    <w:p w14:paraId="09D8A582" w14:textId="01776B0C" w:rsidR="0008488B" w:rsidRDefault="0008488B" w:rsidP="004D4CEB">
      <w:pPr>
        <w:pStyle w:val="ListParagraph"/>
        <w:spacing w:before="120" w:line="360" w:lineRule="auto"/>
        <w:rPr>
          <w:rFonts w:ascii="Times New Roman" w:hAnsi="Times New Roman"/>
        </w:rPr>
      </w:pPr>
    </w:p>
    <w:p w14:paraId="60423691" w14:textId="0CC4674F" w:rsidR="0008488B" w:rsidRDefault="000965C1" w:rsidP="0008488B">
      <w:pPr>
        <w:pStyle w:val="ListParagraph"/>
        <w:spacing w:before="120" w:line="360" w:lineRule="auto"/>
        <w:rPr>
          <w:rFonts w:ascii="Times New Roman" w:hAnsi="Times New Roman"/>
        </w:rPr>
      </w:pPr>
      <w:r>
        <w:rPr>
          <w:rFonts w:ascii="Times New Roman" w:hAnsi="Times New Roman"/>
        </w:rPr>
        <w:t>Question 2.17A:</w:t>
      </w:r>
      <w:r w:rsidR="0008488B">
        <w:rPr>
          <w:rFonts w:ascii="Times New Roman" w:hAnsi="Times New Roman"/>
        </w:rPr>
        <w:t xml:space="preserve"> We ask this after 2.15A in order to better understand the aspects of water quality that led to the person’s 0-10 rating. These were the aspects that focus group participants consistently referred to as things they consider when judging water quality. This will be used in combination with the other perceived water quality questions, 2.16A, 2.1</w:t>
      </w:r>
      <w:r w:rsidR="00E13B91">
        <w:rPr>
          <w:rFonts w:ascii="Times New Roman" w:hAnsi="Times New Roman"/>
        </w:rPr>
        <w:t>8</w:t>
      </w:r>
      <w:r w:rsidR="0008488B">
        <w:rPr>
          <w:rFonts w:ascii="Times New Roman" w:hAnsi="Times New Roman"/>
        </w:rPr>
        <w:t>A</w:t>
      </w:r>
      <w:r w:rsidR="00E13B91">
        <w:rPr>
          <w:rFonts w:ascii="Times New Roman" w:hAnsi="Times New Roman"/>
        </w:rPr>
        <w:t xml:space="preserve"> </w:t>
      </w:r>
      <w:r w:rsidR="0008488B">
        <w:rPr>
          <w:rFonts w:ascii="Times New Roman" w:hAnsi="Times New Roman"/>
        </w:rPr>
        <w:t xml:space="preserve">to translate perceived to objective measures of water quality. </w:t>
      </w:r>
    </w:p>
    <w:p w14:paraId="73C6053B" w14:textId="77777777" w:rsidR="00E13B91" w:rsidRDefault="00E13B91" w:rsidP="00E13B91">
      <w:pPr>
        <w:pStyle w:val="ListParagraph"/>
        <w:spacing w:before="120" w:line="360" w:lineRule="auto"/>
        <w:rPr>
          <w:rFonts w:ascii="Times New Roman" w:hAnsi="Times New Roman"/>
        </w:rPr>
      </w:pPr>
    </w:p>
    <w:p w14:paraId="0BAFD689" w14:textId="2F3A24BB" w:rsidR="00E13B91" w:rsidRDefault="000965C1" w:rsidP="00E13B91">
      <w:pPr>
        <w:pStyle w:val="ListParagraph"/>
        <w:spacing w:before="120" w:line="360" w:lineRule="auto"/>
        <w:rPr>
          <w:rFonts w:ascii="Times New Roman" w:hAnsi="Times New Roman"/>
        </w:rPr>
      </w:pPr>
      <w:r>
        <w:rPr>
          <w:rFonts w:ascii="Times New Roman" w:hAnsi="Times New Roman"/>
        </w:rPr>
        <w:t>Question 2.18A:</w:t>
      </w:r>
      <w:r w:rsidR="00E13B91">
        <w:rPr>
          <w:rFonts w:ascii="Times New Roman" w:hAnsi="Times New Roman"/>
        </w:rPr>
        <w:t xml:space="preserve"> This water quality question connects the water quality at that location to possible uses. Similar to connecting a water quality ladder to designated uses, we will compare these categorical ratings to the 0-10 rating, as well as the objective water quality measures. This, combined with the level of water contact from question 2.10A will connect exposure with sensitivity to water quality.</w:t>
      </w:r>
    </w:p>
    <w:p w14:paraId="365330D8" w14:textId="77777777" w:rsidR="00E13B91" w:rsidRDefault="00E13B91" w:rsidP="00E13B91">
      <w:pPr>
        <w:pStyle w:val="ListParagraph"/>
        <w:spacing w:before="120" w:line="360" w:lineRule="auto"/>
        <w:rPr>
          <w:rFonts w:ascii="Times New Roman" w:hAnsi="Times New Roman"/>
        </w:rPr>
      </w:pPr>
    </w:p>
    <w:p w14:paraId="5DAA105A" w14:textId="686D428D" w:rsidR="0008488B" w:rsidRPr="00A00F66" w:rsidRDefault="00E13B91">
      <w:pPr>
        <w:pStyle w:val="ListParagraph"/>
        <w:spacing w:before="120" w:line="360" w:lineRule="auto"/>
        <w:rPr>
          <w:rFonts w:ascii="Times New Roman" w:hAnsi="Times New Roman"/>
        </w:rPr>
      </w:pPr>
      <w:r w:rsidRPr="003C47EE">
        <w:rPr>
          <w:rFonts w:ascii="Times New Roman" w:hAnsi="Times New Roman"/>
        </w:rPr>
        <w:t>Question</w:t>
      </w:r>
      <w:r w:rsidRPr="00C76DBA">
        <w:rPr>
          <w:rFonts w:ascii="Times New Roman" w:hAnsi="Times New Roman"/>
        </w:rPr>
        <w:t xml:space="preserve">s </w:t>
      </w:r>
      <w:r w:rsidRPr="003C47EE">
        <w:rPr>
          <w:rFonts w:ascii="Times New Roman" w:hAnsi="Times New Roman"/>
        </w:rPr>
        <w:t>2.1</w:t>
      </w:r>
      <w:r>
        <w:rPr>
          <w:rFonts w:ascii="Times New Roman" w:hAnsi="Times New Roman"/>
        </w:rPr>
        <w:t>9A</w:t>
      </w:r>
      <w:r w:rsidRPr="00C76DBA">
        <w:rPr>
          <w:rFonts w:ascii="Times New Roman" w:hAnsi="Times New Roman"/>
        </w:rPr>
        <w:t>-2.</w:t>
      </w:r>
      <w:r>
        <w:rPr>
          <w:rFonts w:ascii="Times New Roman" w:hAnsi="Times New Roman"/>
        </w:rPr>
        <w:t>20A</w:t>
      </w:r>
      <w:r w:rsidR="000965C1">
        <w:rPr>
          <w:rFonts w:ascii="Times New Roman" w:hAnsi="Times New Roman"/>
        </w:rPr>
        <w:t>:</w:t>
      </w:r>
      <w:r>
        <w:rPr>
          <w:rFonts w:ascii="Times New Roman" w:hAnsi="Times New Roman"/>
        </w:rPr>
        <w:t xml:space="preserve"> These question</w:t>
      </w:r>
      <w:r w:rsidR="00DB70B5">
        <w:rPr>
          <w:rFonts w:ascii="Times New Roman" w:hAnsi="Times New Roman"/>
        </w:rPr>
        <w:t>s</w:t>
      </w:r>
      <w:r>
        <w:rPr>
          <w:rFonts w:ascii="Times New Roman" w:hAnsi="Times New Roman"/>
        </w:rPr>
        <w:t xml:space="preserve"> gauge the respondent’s place attachment, place identity, and place dependence, the three components of sense of place. The questions and scales are drawn from the sense of place literature. Through the level of agreement with each of the statements, an index representing respondents’ sense of place can be consistently collected from the sample. This index will be used in the RUM model as a covariate explaining site choice, controlling for attitudes towards the particular site </w:t>
      </w:r>
      <w:r w:rsidRPr="003C47EE">
        <w:rPr>
          <w:rFonts w:ascii="Times New Roman" w:hAnsi="Times New Roman"/>
        </w:rPr>
        <w:t>chosen</w:t>
      </w:r>
      <w:r>
        <w:rPr>
          <w:rFonts w:ascii="Times New Roman" w:hAnsi="Times New Roman"/>
        </w:rPr>
        <w:t>,</w:t>
      </w:r>
      <w:r w:rsidRPr="003C47EE">
        <w:rPr>
          <w:rFonts w:ascii="Times New Roman" w:hAnsi="Times New Roman"/>
        </w:rPr>
        <w:t xml:space="preserve"> in addition to connecting water quality and perceived water quality to this attitudinal index</w:t>
      </w:r>
      <w:r>
        <w:rPr>
          <w:rFonts w:ascii="Times New Roman" w:hAnsi="Times New Roman"/>
        </w:rPr>
        <w:t xml:space="preserve"> in the water quality perceptions modeling</w:t>
      </w:r>
      <w:r w:rsidRPr="003C47EE">
        <w:rPr>
          <w:rFonts w:ascii="Times New Roman" w:hAnsi="Times New Roman"/>
        </w:rPr>
        <w:t>. This is a key component of our interdisciplinary research design and will add important and peer reviewed social science methods to complement traditional economic concepts of site choice.</w:t>
      </w:r>
    </w:p>
    <w:p w14:paraId="2F7B77BB" w14:textId="77777777" w:rsidR="00683B1B" w:rsidRDefault="00683B1B" w:rsidP="00A00F66"/>
    <w:p w14:paraId="17B3C5E8" w14:textId="7A2055B8" w:rsidR="004D4CEB" w:rsidRPr="004D4CEB" w:rsidRDefault="004D4CEB" w:rsidP="004D4CEB">
      <w:pPr>
        <w:pStyle w:val="ListParagraph"/>
        <w:spacing w:before="120" w:line="360" w:lineRule="auto"/>
        <w:rPr>
          <w:rFonts w:ascii="Times New Roman" w:hAnsi="Times New Roman"/>
          <w:i/>
        </w:rPr>
      </w:pPr>
      <w:r>
        <w:rPr>
          <w:rFonts w:ascii="Times New Roman" w:hAnsi="Times New Roman"/>
          <w:i/>
        </w:rPr>
        <w:t>Section 2B</w:t>
      </w:r>
      <w:r w:rsidR="00C76DBA">
        <w:rPr>
          <w:rFonts w:ascii="Times New Roman" w:hAnsi="Times New Roman"/>
          <w:i/>
        </w:rPr>
        <w:t xml:space="preserve"> – Most Recent Overnight Recreation Trip</w:t>
      </w:r>
    </w:p>
    <w:p w14:paraId="2C0BFC90" w14:textId="4D22E0A0" w:rsidR="004D4CEB" w:rsidRPr="008A760A" w:rsidRDefault="00553A3C" w:rsidP="004D4CEB">
      <w:pPr>
        <w:pStyle w:val="ListParagraph"/>
        <w:spacing w:before="120" w:line="360" w:lineRule="auto"/>
        <w:rPr>
          <w:rFonts w:ascii="Times New Roman" w:hAnsi="Times New Roman"/>
        </w:rPr>
      </w:pPr>
      <w:r w:rsidRPr="008A760A">
        <w:rPr>
          <w:rFonts w:ascii="Times New Roman" w:hAnsi="Times New Roman"/>
        </w:rPr>
        <w:t xml:space="preserve">This section collects the trip profile information related to a water recreation </w:t>
      </w:r>
      <w:r w:rsidR="0022303D" w:rsidRPr="008A760A">
        <w:rPr>
          <w:rFonts w:ascii="Times New Roman" w:hAnsi="Times New Roman"/>
        </w:rPr>
        <w:t xml:space="preserve">day </w:t>
      </w:r>
      <w:r w:rsidRPr="008A760A">
        <w:rPr>
          <w:rFonts w:ascii="Times New Roman" w:hAnsi="Times New Roman"/>
        </w:rPr>
        <w:t>that is part of an overnight trip.</w:t>
      </w:r>
      <w:r w:rsidR="004D4CEB" w:rsidRPr="008A760A">
        <w:rPr>
          <w:rFonts w:ascii="Times New Roman" w:hAnsi="Times New Roman"/>
        </w:rPr>
        <w:t xml:space="preserve"> Many of the questions are the same for single day and multi-day trips, so </w:t>
      </w:r>
      <w:r w:rsidR="0022303D" w:rsidRPr="008A760A">
        <w:rPr>
          <w:rFonts w:ascii="Times New Roman" w:hAnsi="Times New Roman"/>
        </w:rPr>
        <w:t xml:space="preserve">we only discuss </w:t>
      </w:r>
      <w:r w:rsidR="004D4CEB" w:rsidRPr="008A760A">
        <w:rPr>
          <w:rFonts w:ascii="Times New Roman" w:hAnsi="Times New Roman"/>
        </w:rPr>
        <w:t>the questions that were not described for Section 2A.</w:t>
      </w:r>
      <w:r w:rsidR="00907179" w:rsidRPr="008A760A">
        <w:rPr>
          <w:rFonts w:ascii="Times New Roman" w:hAnsi="Times New Roman"/>
        </w:rPr>
        <w:t xml:space="preserve"> </w:t>
      </w:r>
      <w:r w:rsidR="00A134CC">
        <w:rPr>
          <w:rFonts w:ascii="Times New Roman" w:hAnsi="Times New Roman"/>
        </w:rPr>
        <w:t>W</w:t>
      </w:r>
      <w:r w:rsidR="00907179" w:rsidRPr="00A134CC">
        <w:rPr>
          <w:rFonts w:ascii="Times New Roman" w:hAnsi="Times New Roman"/>
        </w:rPr>
        <w:t xml:space="preserve">e elicit costs associated with a single or an overnight trip </w:t>
      </w:r>
      <w:r w:rsidR="005E69BC">
        <w:rPr>
          <w:rFonts w:ascii="Times New Roman" w:hAnsi="Times New Roman"/>
        </w:rPr>
        <w:t xml:space="preserve">separately, </w:t>
      </w:r>
      <w:r w:rsidR="00A134CC">
        <w:rPr>
          <w:rFonts w:ascii="Times New Roman" w:hAnsi="Times New Roman"/>
        </w:rPr>
        <w:t>because</w:t>
      </w:r>
      <w:r w:rsidR="008A760A" w:rsidRPr="00A134CC">
        <w:rPr>
          <w:rFonts w:ascii="Times New Roman" w:hAnsi="Times New Roman"/>
        </w:rPr>
        <w:t xml:space="preserve"> </w:t>
      </w:r>
      <w:r w:rsidR="00907179" w:rsidRPr="00A134CC">
        <w:rPr>
          <w:rFonts w:ascii="Times New Roman" w:hAnsi="Times New Roman"/>
        </w:rPr>
        <w:t>those people taking overnight trips split</w:t>
      </w:r>
      <w:r w:rsidR="00A134CC">
        <w:rPr>
          <w:rFonts w:ascii="Times New Roman" w:hAnsi="Times New Roman"/>
        </w:rPr>
        <w:t xml:space="preserve"> travel</w:t>
      </w:r>
      <w:r w:rsidR="00907179" w:rsidRPr="00A134CC">
        <w:rPr>
          <w:rFonts w:ascii="Times New Roman" w:hAnsi="Times New Roman"/>
        </w:rPr>
        <w:t xml:space="preserve"> expenses </w:t>
      </w:r>
      <w:r w:rsidR="00A134CC">
        <w:rPr>
          <w:rFonts w:ascii="Times New Roman" w:hAnsi="Times New Roman"/>
        </w:rPr>
        <w:t>among</w:t>
      </w:r>
      <w:r w:rsidR="00907179" w:rsidRPr="00A134CC">
        <w:rPr>
          <w:rFonts w:ascii="Times New Roman" w:hAnsi="Times New Roman"/>
        </w:rPr>
        <w:t xml:space="preserve"> multiple recreation days</w:t>
      </w:r>
      <w:r w:rsidR="005E69BC">
        <w:rPr>
          <w:rFonts w:ascii="Times New Roman" w:hAnsi="Times New Roman"/>
        </w:rPr>
        <w:t xml:space="preserve"> and also </w:t>
      </w:r>
      <w:r w:rsidR="00907179" w:rsidRPr="00A134CC">
        <w:rPr>
          <w:rFonts w:ascii="Times New Roman" w:hAnsi="Times New Roman"/>
        </w:rPr>
        <w:t>incur</w:t>
      </w:r>
      <w:r w:rsidR="00A134CC">
        <w:rPr>
          <w:rFonts w:ascii="Times New Roman" w:hAnsi="Times New Roman"/>
        </w:rPr>
        <w:t xml:space="preserve"> additional cost</w:t>
      </w:r>
      <w:r w:rsidR="005E69BC">
        <w:rPr>
          <w:rFonts w:ascii="Times New Roman" w:hAnsi="Times New Roman"/>
        </w:rPr>
        <w:t>s</w:t>
      </w:r>
      <w:r w:rsidR="00A134CC">
        <w:rPr>
          <w:rFonts w:ascii="Times New Roman" w:hAnsi="Times New Roman"/>
        </w:rPr>
        <w:t xml:space="preserve"> through</w:t>
      </w:r>
      <w:r w:rsidR="00907179" w:rsidRPr="00A134CC">
        <w:rPr>
          <w:rFonts w:ascii="Times New Roman" w:hAnsi="Times New Roman"/>
        </w:rPr>
        <w:t xml:space="preserve"> lodging charges. Since the statistical model relies on the variation in travel cost</w:t>
      </w:r>
      <w:r w:rsidR="00A134CC">
        <w:rPr>
          <w:rFonts w:ascii="Times New Roman" w:hAnsi="Times New Roman"/>
        </w:rPr>
        <w:t>s</w:t>
      </w:r>
      <w:r w:rsidR="00907179" w:rsidRPr="00A134CC">
        <w:rPr>
          <w:rFonts w:ascii="Times New Roman" w:hAnsi="Times New Roman"/>
        </w:rPr>
        <w:t xml:space="preserve"> associated with trips </w:t>
      </w:r>
      <w:r w:rsidR="005E69BC">
        <w:rPr>
          <w:rFonts w:ascii="Times New Roman" w:hAnsi="Times New Roman"/>
        </w:rPr>
        <w:t xml:space="preserve">with </w:t>
      </w:r>
      <w:r w:rsidR="00907179" w:rsidRPr="00A134CC">
        <w:rPr>
          <w:rFonts w:ascii="Times New Roman" w:hAnsi="Times New Roman"/>
        </w:rPr>
        <w:t>various attributes, it</w:t>
      </w:r>
      <w:r w:rsidR="00A134CC">
        <w:rPr>
          <w:rFonts w:ascii="Times New Roman" w:hAnsi="Times New Roman"/>
        </w:rPr>
        <w:t xml:space="preserve"> i</w:t>
      </w:r>
      <w:r w:rsidR="00907179" w:rsidRPr="00A134CC">
        <w:rPr>
          <w:rFonts w:ascii="Times New Roman" w:hAnsi="Times New Roman"/>
        </w:rPr>
        <w:t xml:space="preserve">s </w:t>
      </w:r>
      <w:r w:rsidR="00A134CC">
        <w:rPr>
          <w:rFonts w:ascii="Times New Roman" w:hAnsi="Times New Roman"/>
        </w:rPr>
        <w:t>important</w:t>
      </w:r>
      <w:r w:rsidR="00907179" w:rsidRPr="00A134CC">
        <w:rPr>
          <w:rFonts w:ascii="Times New Roman" w:hAnsi="Times New Roman"/>
        </w:rPr>
        <w:t xml:space="preserve"> we take these differences in single </w:t>
      </w:r>
      <w:r w:rsidR="005E69BC">
        <w:rPr>
          <w:rFonts w:ascii="Times New Roman" w:hAnsi="Times New Roman"/>
        </w:rPr>
        <w:t xml:space="preserve">day </w:t>
      </w:r>
      <w:r w:rsidR="00907179" w:rsidRPr="00A134CC">
        <w:rPr>
          <w:rFonts w:ascii="Times New Roman" w:hAnsi="Times New Roman"/>
        </w:rPr>
        <w:t>and overnight trips into account</w:t>
      </w:r>
      <w:r w:rsidR="008A760A" w:rsidRPr="00A134CC">
        <w:rPr>
          <w:rFonts w:ascii="Times New Roman" w:hAnsi="Times New Roman"/>
        </w:rPr>
        <w:t xml:space="preserve"> (see section 5(b) for explanation of the analysis)</w:t>
      </w:r>
      <w:r w:rsidR="00907179" w:rsidRPr="00A134CC">
        <w:rPr>
          <w:rFonts w:ascii="Times New Roman" w:hAnsi="Times New Roman"/>
        </w:rPr>
        <w:t>.</w:t>
      </w:r>
    </w:p>
    <w:p w14:paraId="54221C2A" w14:textId="77777777" w:rsidR="00E13B91" w:rsidRDefault="00E13B91" w:rsidP="00E13B91">
      <w:pPr>
        <w:pStyle w:val="ListParagraph"/>
        <w:spacing w:before="120" w:line="360" w:lineRule="auto"/>
        <w:rPr>
          <w:rFonts w:ascii="Times New Roman" w:hAnsi="Times New Roman"/>
        </w:rPr>
      </w:pPr>
    </w:p>
    <w:p w14:paraId="512D5BA8" w14:textId="54CB37AE" w:rsidR="00E13B91" w:rsidRDefault="000965C1" w:rsidP="00E13B91">
      <w:pPr>
        <w:pStyle w:val="ListParagraph"/>
        <w:spacing w:before="120" w:line="360" w:lineRule="auto"/>
        <w:rPr>
          <w:rFonts w:ascii="Times New Roman" w:hAnsi="Times New Roman"/>
        </w:rPr>
      </w:pPr>
      <w:r>
        <w:rPr>
          <w:rFonts w:ascii="Times New Roman" w:hAnsi="Times New Roman"/>
        </w:rPr>
        <w:t>Question 2.4B:</w:t>
      </w:r>
      <w:r w:rsidR="00E13B91">
        <w:rPr>
          <w:rFonts w:ascii="Times New Roman" w:hAnsi="Times New Roman"/>
        </w:rPr>
        <w:t xml:space="preserve"> </w:t>
      </w:r>
      <w:r w:rsidR="00E13B91" w:rsidRPr="003C47EE">
        <w:rPr>
          <w:rFonts w:ascii="Times New Roman" w:hAnsi="Times New Roman"/>
        </w:rPr>
        <w:t xml:space="preserve">This question collects the </w:t>
      </w:r>
      <w:r w:rsidR="00E13B91">
        <w:rPr>
          <w:rFonts w:ascii="Times New Roman" w:hAnsi="Times New Roman"/>
        </w:rPr>
        <w:t>number of times the respondent has taken an overnight trip to this location in the last five years. This is to gauge familiarity with the location</w:t>
      </w:r>
      <w:r w:rsidR="0022303D">
        <w:rPr>
          <w:rFonts w:ascii="Times New Roman" w:hAnsi="Times New Roman"/>
        </w:rPr>
        <w:t>,</w:t>
      </w:r>
      <w:r w:rsidR="00E13B91">
        <w:rPr>
          <w:rFonts w:ascii="Times New Roman" w:hAnsi="Times New Roman"/>
        </w:rPr>
        <w:t xml:space="preserve"> similar to the question from the single day trip profile addressing visits, Question 2.5A</w:t>
      </w:r>
    </w:p>
    <w:p w14:paraId="072035D3" w14:textId="0FF45921" w:rsidR="008A374F" w:rsidRPr="004D4CEB" w:rsidRDefault="008A374F" w:rsidP="004B4642">
      <w:pPr>
        <w:pStyle w:val="ListParagraph"/>
        <w:rPr>
          <w:b/>
        </w:rPr>
      </w:pPr>
    </w:p>
    <w:p w14:paraId="4B72E0C2" w14:textId="3D8AB4F0" w:rsidR="00683B1B" w:rsidRDefault="008A374F" w:rsidP="004D4CEB">
      <w:pPr>
        <w:pStyle w:val="ListParagraph"/>
        <w:spacing w:before="120" w:line="360" w:lineRule="auto"/>
        <w:rPr>
          <w:rFonts w:ascii="Times New Roman" w:hAnsi="Times New Roman"/>
        </w:rPr>
      </w:pPr>
      <w:r>
        <w:rPr>
          <w:rFonts w:ascii="Times New Roman" w:hAnsi="Times New Roman"/>
        </w:rPr>
        <w:t>Question 2.</w:t>
      </w:r>
      <w:r w:rsidR="000965C1">
        <w:rPr>
          <w:rFonts w:ascii="Times New Roman" w:hAnsi="Times New Roman"/>
        </w:rPr>
        <w:t>8B:</w:t>
      </w:r>
      <w:r>
        <w:rPr>
          <w:rFonts w:ascii="Times New Roman" w:hAnsi="Times New Roman"/>
        </w:rPr>
        <w:t xml:space="preserve"> </w:t>
      </w:r>
      <w:r w:rsidR="004B4642" w:rsidRPr="003C47EE">
        <w:rPr>
          <w:rFonts w:ascii="Times New Roman" w:hAnsi="Times New Roman"/>
        </w:rPr>
        <w:t xml:space="preserve">This question </w:t>
      </w:r>
      <w:r w:rsidRPr="003C47EE">
        <w:rPr>
          <w:rFonts w:ascii="Times New Roman" w:hAnsi="Times New Roman"/>
        </w:rPr>
        <w:t>collect</w:t>
      </w:r>
      <w:r w:rsidR="004B4642" w:rsidRPr="003C47EE">
        <w:rPr>
          <w:rFonts w:ascii="Times New Roman" w:hAnsi="Times New Roman"/>
        </w:rPr>
        <w:t>s</w:t>
      </w:r>
      <w:r w:rsidRPr="003C47EE">
        <w:rPr>
          <w:rFonts w:ascii="Times New Roman" w:hAnsi="Times New Roman"/>
        </w:rPr>
        <w:t xml:space="preserve"> the length of the overnight trip</w:t>
      </w:r>
      <w:r w:rsidR="004B4642" w:rsidRPr="003C47EE">
        <w:rPr>
          <w:rFonts w:ascii="Times New Roman" w:hAnsi="Times New Roman"/>
        </w:rPr>
        <w:t>. This is to attribute a proportion of the</w:t>
      </w:r>
      <w:r w:rsidR="000D56EF" w:rsidRPr="00C76DBA">
        <w:rPr>
          <w:rFonts w:ascii="Times New Roman" w:hAnsi="Times New Roman"/>
        </w:rPr>
        <w:t xml:space="preserve"> overnight</w:t>
      </w:r>
      <w:r w:rsidR="004B4642" w:rsidRPr="003C47EE">
        <w:rPr>
          <w:rFonts w:ascii="Times New Roman" w:hAnsi="Times New Roman"/>
        </w:rPr>
        <w:t xml:space="preserve"> trip</w:t>
      </w:r>
      <w:r w:rsidR="000D56EF" w:rsidRPr="00C76DBA">
        <w:rPr>
          <w:rFonts w:ascii="Times New Roman" w:hAnsi="Times New Roman"/>
        </w:rPr>
        <w:t>’s cost</w:t>
      </w:r>
      <w:r w:rsidR="004B4642" w:rsidRPr="003C47EE">
        <w:rPr>
          <w:rFonts w:ascii="Times New Roman" w:hAnsi="Times New Roman"/>
        </w:rPr>
        <w:t xml:space="preserve"> to recreation.</w:t>
      </w:r>
    </w:p>
    <w:p w14:paraId="058CB378" w14:textId="77777777" w:rsidR="008A374F" w:rsidRDefault="008A374F" w:rsidP="004D4CEB">
      <w:pPr>
        <w:pStyle w:val="ListParagraph"/>
        <w:spacing w:before="120" w:line="360" w:lineRule="auto"/>
        <w:rPr>
          <w:rFonts w:ascii="Times New Roman" w:hAnsi="Times New Roman"/>
        </w:rPr>
      </w:pPr>
    </w:p>
    <w:p w14:paraId="3950B6BC" w14:textId="7CD9BAFD" w:rsidR="008A374F" w:rsidRDefault="008A374F" w:rsidP="004D4CEB">
      <w:pPr>
        <w:pStyle w:val="ListParagraph"/>
        <w:spacing w:before="120" w:line="360" w:lineRule="auto"/>
        <w:rPr>
          <w:rFonts w:ascii="Times New Roman" w:hAnsi="Times New Roman"/>
        </w:rPr>
      </w:pPr>
      <w:r>
        <w:rPr>
          <w:rFonts w:ascii="Times New Roman" w:hAnsi="Times New Roman"/>
        </w:rPr>
        <w:t>Question 2.</w:t>
      </w:r>
      <w:r w:rsidR="000965C1">
        <w:rPr>
          <w:rFonts w:ascii="Times New Roman" w:hAnsi="Times New Roman"/>
        </w:rPr>
        <w:t>9B:</w:t>
      </w:r>
      <w:r>
        <w:rPr>
          <w:rFonts w:ascii="Times New Roman" w:hAnsi="Times New Roman"/>
        </w:rPr>
        <w:t xml:space="preserve"> This question asks for the accommodation expenses in order to attribute these expenses to the recreation trip. </w:t>
      </w:r>
    </w:p>
    <w:p w14:paraId="16023818" w14:textId="77777777" w:rsidR="00E13B91" w:rsidRDefault="00E13B91" w:rsidP="004D4CEB">
      <w:pPr>
        <w:pStyle w:val="ListParagraph"/>
        <w:spacing w:before="120" w:line="360" w:lineRule="auto"/>
        <w:rPr>
          <w:rFonts w:ascii="Times New Roman" w:hAnsi="Times New Roman"/>
        </w:rPr>
      </w:pPr>
    </w:p>
    <w:p w14:paraId="10496DB9" w14:textId="35E37438" w:rsidR="00E13B91" w:rsidRDefault="00E13B91" w:rsidP="00E13B91">
      <w:pPr>
        <w:pStyle w:val="ListParagraph"/>
        <w:spacing w:before="120" w:line="360" w:lineRule="auto"/>
        <w:rPr>
          <w:rFonts w:ascii="Times New Roman" w:hAnsi="Times New Roman"/>
        </w:rPr>
      </w:pPr>
      <w:r>
        <w:rPr>
          <w:rFonts w:ascii="Times New Roman" w:hAnsi="Times New Roman"/>
        </w:rPr>
        <w:t>Question 2.11B</w:t>
      </w:r>
      <w:r w:rsidR="000965C1">
        <w:rPr>
          <w:rFonts w:ascii="Times New Roman" w:hAnsi="Times New Roman"/>
        </w:rPr>
        <w:t>:</w:t>
      </w:r>
      <w:r w:rsidRPr="009E66BD">
        <w:rPr>
          <w:rFonts w:ascii="Times New Roman" w:hAnsi="Times New Roman"/>
        </w:rPr>
        <w:t xml:space="preserve"> </w:t>
      </w:r>
      <w:r>
        <w:rPr>
          <w:rFonts w:ascii="Times New Roman" w:hAnsi="Times New Roman"/>
        </w:rPr>
        <w:t xml:space="preserve">This question </w:t>
      </w:r>
      <w:r w:rsidR="0022303D">
        <w:rPr>
          <w:rFonts w:ascii="Times New Roman" w:hAnsi="Times New Roman"/>
        </w:rPr>
        <w:t xml:space="preserve">will be </w:t>
      </w:r>
      <w:r>
        <w:rPr>
          <w:rFonts w:ascii="Times New Roman" w:hAnsi="Times New Roman"/>
        </w:rPr>
        <w:t xml:space="preserve">used to </w:t>
      </w:r>
      <w:r w:rsidR="0022303D">
        <w:rPr>
          <w:rFonts w:ascii="Times New Roman" w:hAnsi="Times New Roman"/>
        </w:rPr>
        <w:t xml:space="preserve">estimate </w:t>
      </w:r>
      <w:r>
        <w:rPr>
          <w:rFonts w:ascii="Times New Roman" w:hAnsi="Times New Roman"/>
        </w:rPr>
        <w:t xml:space="preserve">the </w:t>
      </w:r>
      <w:r w:rsidR="0022303D">
        <w:rPr>
          <w:rFonts w:ascii="Times New Roman" w:hAnsi="Times New Roman"/>
        </w:rPr>
        <w:t xml:space="preserve">portion </w:t>
      </w:r>
      <w:r>
        <w:rPr>
          <w:rFonts w:ascii="Times New Roman" w:hAnsi="Times New Roman"/>
        </w:rPr>
        <w:t>of the trip costs associated with the water recreation part of the overnight trip</w:t>
      </w:r>
      <w:r w:rsidR="0022303D">
        <w:rPr>
          <w:rFonts w:ascii="Times New Roman" w:hAnsi="Times New Roman"/>
        </w:rPr>
        <w:t xml:space="preserve">, using the </w:t>
      </w:r>
      <w:r>
        <w:rPr>
          <w:rFonts w:ascii="Times New Roman" w:hAnsi="Times New Roman"/>
        </w:rPr>
        <w:t xml:space="preserve">importance of water recreation </w:t>
      </w:r>
      <w:r w:rsidR="0022303D">
        <w:rPr>
          <w:rFonts w:ascii="Times New Roman" w:hAnsi="Times New Roman"/>
        </w:rPr>
        <w:t xml:space="preserve">as part of </w:t>
      </w:r>
      <w:r>
        <w:rPr>
          <w:rFonts w:ascii="Times New Roman" w:hAnsi="Times New Roman"/>
        </w:rPr>
        <w:t>the overall trip.</w:t>
      </w:r>
    </w:p>
    <w:p w14:paraId="6E2EB101" w14:textId="77777777" w:rsidR="00E13B91" w:rsidRDefault="00E13B91" w:rsidP="004D4CEB">
      <w:pPr>
        <w:pStyle w:val="ListParagraph"/>
        <w:spacing w:before="120" w:line="360" w:lineRule="auto"/>
        <w:rPr>
          <w:rFonts w:ascii="Times New Roman" w:hAnsi="Times New Roman"/>
        </w:rPr>
      </w:pPr>
    </w:p>
    <w:p w14:paraId="6860AC83" w14:textId="38EBBC01" w:rsidR="00DB0E73" w:rsidRDefault="00DB0E73" w:rsidP="00DB0E73">
      <w:pPr>
        <w:pStyle w:val="ListParagraph"/>
        <w:spacing w:before="120" w:line="360" w:lineRule="auto"/>
        <w:rPr>
          <w:rFonts w:ascii="Times New Roman" w:hAnsi="Times New Roman"/>
        </w:rPr>
      </w:pPr>
      <w:r>
        <w:rPr>
          <w:rFonts w:ascii="Times New Roman" w:hAnsi="Times New Roman"/>
        </w:rPr>
        <w:t>Question 2.14B</w:t>
      </w:r>
      <w:r w:rsidR="000965C1">
        <w:rPr>
          <w:rFonts w:ascii="Times New Roman" w:hAnsi="Times New Roman"/>
        </w:rPr>
        <w:t>:</w:t>
      </w:r>
      <w:r w:rsidRPr="009E66BD">
        <w:rPr>
          <w:rFonts w:ascii="Times New Roman" w:hAnsi="Times New Roman"/>
        </w:rPr>
        <w:t xml:space="preserve"> </w:t>
      </w:r>
      <w:r>
        <w:rPr>
          <w:rFonts w:ascii="Times New Roman" w:hAnsi="Times New Roman"/>
        </w:rPr>
        <w:t>Th</w:t>
      </w:r>
      <w:r w:rsidR="0022303D">
        <w:rPr>
          <w:rFonts w:ascii="Times New Roman" w:hAnsi="Times New Roman"/>
        </w:rPr>
        <w:t xml:space="preserve">is </w:t>
      </w:r>
      <w:r>
        <w:rPr>
          <w:rFonts w:ascii="Times New Roman" w:hAnsi="Times New Roman"/>
        </w:rPr>
        <w:t xml:space="preserve">will be used to </w:t>
      </w:r>
      <w:r w:rsidR="0022303D">
        <w:rPr>
          <w:rFonts w:ascii="Times New Roman" w:hAnsi="Times New Roman"/>
        </w:rPr>
        <w:t xml:space="preserve">attribute trip expenses per day to the activity valued for a single day of the overnight trip. </w:t>
      </w:r>
    </w:p>
    <w:p w14:paraId="1E31B17B" w14:textId="77777777" w:rsidR="001B636A" w:rsidRDefault="001B636A" w:rsidP="00A00F66"/>
    <w:p w14:paraId="5302ADED" w14:textId="51A0DC7E" w:rsidR="00553A3C" w:rsidRPr="00537861" w:rsidRDefault="00553A3C" w:rsidP="00537861">
      <w:pPr>
        <w:pStyle w:val="ListParagraph"/>
        <w:spacing w:before="120" w:line="360" w:lineRule="auto"/>
        <w:rPr>
          <w:rFonts w:ascii="Times New Roman" w:hAnsi="Times New Roman"/>
        </w:rPr>
      </w:pPr>
      <w:r w:rsidRPr="00537861">
        <w:rPr>
          <w:rFonts w:ascii="Times New Roman" w:hAnsi="Times New Roman"/>
          <w:b/>
        </w:rPr>
        <w:t>Section 3: Other Places for Saltwater Recreation</w:t>
      </w:r>
      <w:r w:rsidRPr="00537861">
        <w:rPr>
          <w:rFonts w:ascii="Times New Roman" w:hAnsi="Times New Roman"/>
        </w:rPr>
        <w:t xml:space="preserve"> – This section collects information about respondents’ general recreation behavior and </w:t>
      </w:r>
      <w:r w:rsidR="0022303D">
        <w:rPr>
          <w:rFonts w:ascii="Times New Roman" w:hAnsi="Times New Roman"/>
        </w:rPr>
        <w:t xml:space="preserve">water quality perceptions for </w:t>
      </w:r>
      <w:r w:rsidRPr="00537861">
        <w:rPr>
          <w:rFonts w:ascii="Times New Roman" w:hAnsi="Times New Roman"/>
        </w:rPr>
        <w:t>other places they go. This will be used to scale perceptions to objective water quality measures as well as test choice set definitions for the</w:t>
      </w:r>
      <w:r w:rsidR="004134C6" w:rsidRPr="00537861">
        <w:rPr>
          <w:rFonts w:ascii="Times New Roman" w:hAnsi="Times New Roman"/>
        </w:rPr>
        <w:t xml:space="preserve"> </w:t>
      </w:r>
      <w:r w:rsidR="009E66BD" w:rsidRPr="00537861">
        <w:rPr>
          <w:rFonts w:ascii="Times New Roman" w:hAnsi="Times New Roman"/>
        </w:rPr>
        <w:t>RUM</w:t>
      </w:r>
      <w:r w:rsidRPr="00537861">
        <w:rPr>
          <w:rFonts w:ascii="Times New Roman" w:hAnsi="Times New Roman"/>
        </w:rPr>
        <w:t xml:space="preserve"> model </w:t>
      </w:r>
      <w:r w:rsidR="009E66BD" w:rsidRPr="00537861">
        <w:rPr>
          <w:rFonts w:ascii="Times New Roman" w:hAnsi="Times New Roman"/>
        </w:rPr>
        <w:t>described in S</w:t>
      </w:r>
      <w:r w:rsidRPr="00537861">
        <w:rPr>
          <w:rFonts w:ascii="Times New Roman" w:hAnsi="Times New Roman"/>
        </w:rPr>
        <w:t>ection 5b</w:t>
      </w:r>
      <w:r w:rsidR="009E66BD" w:rsidRPr="00537861">
        <w:rPr>
          <w:rFonts w:ascii="Times New Roman" w:hAnsi="Times New Roman"/>
        </w:rPr>
        <w:t xml:space="preserve"> of this Supporting Statement.</w:t>
      </w:r>
    </w:p>
    <w:p w14:paraId="568AFB13" w14:textId="77777777" w:rsidR="00553A3C" w:rsidRPr="009E66BD" w:rsidRDefault="00553A3C" w:rsidP="009E66BD">
      <w:pPr>
        <w:pStyle w:val="ListParagraph"/>
        <w:rPr>
          <w:rFonts w:ascii="Times New Roman" w:hAnsi="Times New Roman"/>
        </w:rPr>
      </w:pPr>
    </w:p>
    <w:p w14:paraId="178BE9A3" w14:textId="5D70C469" w:rsidR="00553A3C" w:rsidRPr="009E66BD" w:rsidRDefault="00553A3C" w:rsidP="00537861">
      <w:pPr>
        <w:pStyle w:val="ListParagraph"/>
        <w:spacing w:before="120" w:line="360" w:lineRule="auto"/>
        <w:rPr>
          <w:rFonts w:ascii="Times New Roman" w:hAnsi="Times New Roman"/>
        </w:rPr>
      </w:pPr>
      <w:r w:rsidRPr="009E66BD">
        <w:rPr>
          <w:rFonts w:ascii="Times New Roman" w:hAnsi="Times New Roman"/>
        </w:rPr>
        <w:t>Questions 3.1-3.</w:t>
      </w:r>
      <w:r w:rsidR="00DB0E73">
        <w:rPr>
          <w:rFonts w:ascii="Times New Roman" w:hAnsi="Times New Roman"/>
        </w:rPr>
        <w:t>8</w:t>
      </w:r>
      <w:r w:rsidR="000965C1">
        <w:rPr>
          <w:rFonts w:ascii="Times New Roman" w:hAnsi="Times New Roman"/>
        </w:rPr>
        <w:t>:</w:t>
      </w:r>
      <w:r w:rsidRPr="009E66BD">
        <w:rPr>
          <w:rFonts w:ascii="Times New Roman" w:hAnsi="Times New Roman"/>
        </w:rPr>
        <w:t xml:space="preserve"> Th</w:t>
      </w:r>
      <w:r w:rsidR="009E66BD">
        <w:rPr>
          <w:rFonts w:ascii="Times New Roman" w:hAnsi="Times New Roman"/>
        </w:rPr>
        <w:t>e</w:t>
      </w:r>
      <w:r w:rsidRPr="009E66BD">
        <w:rPr>
          <w:rFonts w:ascii="Times New Roman" w:hAnsi="Times New Roman"/>
        </w:rPr>
        <w:t>s</w:t>
      </w:r>
      <w:r w:rsidR="009E66BD">
        <w:rPr>
          <w:rFonts w:ascii="Times New Roman" w:hAnsi="Times New Roman"/>
        </w:rPr>
        <w:t>e</w:t>
      </w:r>
      <w:r w:rsidRPr="009E66BD">
        <w:rPr>
          <w:rFonts w:ascii="Times New Roman" w:hAnsi="Times New Roman"/>
        </w:rPr>
        <w:t xml:space="preserve"> question</w:t>
      </w:r>
      <w:r w:rsidR="009E66BD">
        <w:rPr>
          <w:rFonts w:ascii="Times New Roman" w:hAnsi="Times New Roman"/>
        </w:rPr>
        <w:t>s</w:t>
      </w:r>
      <w:r w:rsidRPr="009E66BD">
        <w:rPr>
          <w:rFonts w:ascii="Times New Roman" w:hAnsi="Times New Roman"/>
        </w:rPr>
        <w:t xml:space="preserve"> ask for the locations that the respondent has </w:t>
      </w:r>
      <w:r w:rsidR="009E66BD">
        <w:rPr>
          <w:rFonts w:ascii="Times New Roman" w:hAnsi="Times New Roman"/>
        </w:rPr>
        <w:t>visited</w:t>
      </w:r>
      <w:r w:rsidR="0022303D">
        <w:rPr>
          <w:rFonts w:ascii="Times New Roman" w:hAnsi="Times New Roman"/>
        </w:rPr>
        <w:t xml:space="preserve"> with the </w:t>
      </w:r>
      <w:r w:rsidR="0022303D" w:rsidRPr="009E66BD">
        <w:rPr>
          <w:rFonts w:ascii="Times New Roman" w:hAnsi="Times New Roman"/>
        </w:rPr>
        <w:t>best and worst water quality</w:t>
      </w:r>
      <w:r w:rsidRPr="009E66BD">
        <w:rPr>
          <w:rFonts w:ascii="Times New Roman" w:hAnsi="Times New Roman"/>
        </w:rPr>
        <w:t>. Th</w:t>
      </w:r>
      <w:r w:rsidR="009E66BD">
        <w:rPr>
          <w:rFonts w:ascii="Times New Roman" w:hAnsi="Times New Roman"/>
        </w:rPr>
        <w:t>ese questions</w:t>
      </w:r>
      <w:r w:rsidR="003C47EE">
        <w:rPr>
          <w:rFonts w:ascii="Times New Roman" w:hAnsi="Times New Roman"/>
        </w:rPr>
        <w:t xml:space="preserve"> </w:t>
      </w:r>
      <w:r w:rsidRPr="009E66BD">
        <w:rPr>
          <w:rFonts w:ascii="Times New Roman" w:hAnsi="Times New Roman"/>
        </w:rPr>
        <w:t xml:space="preserve">allow us to </w:t>
      </w:r>
      <w:r w:rsidR="00537861">
        <w:rPr>
          <w:rFonts w:ascii="Times New Roman" w:hAnsi="Times New Roman"/>
        </w:rPr>
        <w:t xml:space="preserve">add context to the respondent’s water quality evaluation for their </w:t>
      </w:r>
      <w:r w:rsidRPr="009E66BD">
        <w:rPr>
          <w:rFonts w:ascii="Times New Roman" w:hAnsi="Times New Roman"/>
        </w:rPr>
        <w:t>last trip based on their best and worst</w:t>
      </w:r>
      <w:r w:rsidR="00537861">
        <w:rPr>
          <w:rFonts w:ascii="Times New Roman" w:hAnsi="Times New Roman"/>
        </w:rPr>
        <w:t>, which may help us to normalize those responses across respondents</w:t>
      </w:r>
      <w:r w:rsidRPr="009E66BD">
        <w:rPr>
          <w:rFonts w:ascii="Times New Roman" w:hAnsi="Times New Roman"/>
        </w:rPr>
        <w:t xml:space="preserve">. It also gives us two more observations </w:t>
      </w:r>
      <w:r w:rsidR="0022303D">
        <w:rPr>
          <w:rFonts w:ascii="Times New Roman" w:hAnsi="Times New Roman"/>
        </w:rPr>
        <w:t xml:space="preserve">per person </w:t>
      </w:r>
      <w:r w:rsidRPr="009E66BD">
        <w:rPr>
          <w:rFonts w:ascii="Times New Roman" w:hAnsi="Times New Roman"/>
        </w:rPr>
        <w:t xml:space="preserve">for relating perceptions to objective measures. </w:t>
      </w:r>
    </w:p>
    <w:p w14:paraId="584F718C" w14:textId="77777777" w:rsidR="00553A3C" w:rsidRPr="009E66BD" w:rsidRDefault="00553A3C" w:rsidP="00537861">
      <w:pPr>
        <w:pStyle w:val="ListParagraph"/>
        <w:spacing w:before="120" w:line="360" w:lineRule="auto"/>
        <w:rPr>
          <w:rFonts w:ascii="Times New Roman" w:hAnsi="Times New Roman"/>
        </w:rPr>
      </w:pPr>
    </w:p>
    <w:p w14:paraId="7AC3F793" w14:textId="4BFC4412" w:rsidR="00553A3C" w:rsidRPr="009E66BD" w:rsidRDefault="00553A3C" w:rsidP="00537861">
      <w:pPr>
        <w:pStyle w:val="ListParagraph"/>
        <w:spacing w:before="120" w:line="360" w:lineRule="auto"/>
        <w:rPr>
          <w:rFonts w:ascii="Times New Roman" w:hAnsi="Times New Roman"/>
        </w:rPr>
      </w:pPr>
      <w:r w:rsidRPr="009E66BD">
        <w:rPr>
          <w:rFonts w:ascii="Times New Roman" w:hAnsi="Times New Roman"/>
        </w:rPr>
        <w:t>Question 3.</w:t>
      </w:r>
      <w:r w:rsidR="00DB0E73">
        <w:rPr>
          <w:rFonts w:ascii="Times New Roman" w:hAnsi="Times New Roman"/>
        </w:rPr>
        <w:t>9</w:t>
      </w:r>
      <w:r w:rsidR="000965C1">
        <w:rPr>
          <w:rFonts w:ascii="Times New Roman" w:hAnsi="Times New Roman"/>
        </w:rPr>
        <w:t>:</w:t>
      </w:r>
      <w:r w:rsidR="009E66BD" w:rsidRPr="009E66BD">
        <w:rPr>
          <w:rFonts w:ascii="Times New Roman" w:hAnsi="Times New Roman"/>
        </w:rPr>
        <w:t xml:space="preserve"> </w:t>
      </w:r>
      <w:r w:rsidRPr="009E66BD">
        <w:rPr>
          <w:rFonts w:ascii="Times New Roman" w:hAnsi="Times New Roman"/>
        </w:rPr>
        <w:t xml:space="preserve">This asks how far people </w:t>
      </w:r>
      <w:r w:rsidR="00537861">
        <w:rPr>
          <w:rFonts w:ascii="Times New Roman" w:hAnsi="Times New Roman"/>
        </w:rPr>
        <w:t xml:space="preserve">are willing to </w:t>
      </w:r>
      <w:r w:rsidRPr="009E66BD">
        <w:rPr>
          <w:rFonts w:ascii="Times New Roman" w:hAnsi="Times New Roman"/>
        </w:rPr>
        <w:t>travel on a single day for saltwater recreation. This will be used to test alternative choice set definitions in the RUM model (see section 5b</w:t>
      </w:r>
      <w:r w:rsidR="00A70798">
        <w:rPr>
          <w:rFonts w:ascii="Times New Roman" w:hAnsi="Times New Roman"/>
        </w:rPr>
        <w:t xml:space="preserve"> of the Supporting Statement</w:t>
      </w:r>
      <w:r w:rsidRPr="009E66BD">
        <w:rPr>
          <w:rFonts w:ascii="Times New Roman" w:hAnsi="Times New Roman"/>
        </w:rPr>
        <w:t>)</w:t>
      </w:r>
      <w:r w:rsidR="00537861">
        <w:rPr>
          <w:rFonts w:ascii="Times New Roman" w:hAnsi="Times New Roman"/>
        </w:rPr>
        <w:t>.</w:t>
      </w:r>
      <w:r w:rsidRPr="009E66BD">
        <w:rPr>
          <w:rFonts w:ascii="Times New Roman" w:hAnsi="Times New Roman"/>
        </w:rPr>
        <w:t xml:space="preserve"> </w:t>
      </w:r>
    </w:p>
    <w:p w14:paraId="70E52C92" w14:textId="77777777" w:rsidR="00553A3C" w:rsidRPr="009E66BD" w:rsidRDefault="00553A3C" w:rsidP="00537861">
      <w:pPr>
        <w:pStyle w:val="ListParagraph"/>
        <w:spacing w:before="120" w:line="360" w:lineRule="auto"/>
        <w:rPr>
          <w:rFonts w:ascii="Times New Roman" w:hAnsi="Times New Roman"/>
        </w:rPr>
      </w:pPr>
    </w:p>
    <w:p w14:paraId="4C711268" w14:textId="4CBF4030" w:rsidR="00553A3C" w:rsidRPr="009E66BD" w:rsidRDefault="00553A3C" w:rsidP="00537861">
      <w:pPr>
        <w:pStyle w:val="ListParagraph"/>
        <w:spacing w:before="120" w:line="360" w:lineRule="auto"/>
        <w:rPr>
          <w:rFonts w:ascii="Times New Roman" w:hAnsi="Times New Roman"/>
        </w:rPr>
      </w:pPr>
      <w:r w:rsidRPr="009E66BD">
        <w:rPr>
          <w:rFonts w:ascii="Times New Roman" w:hAnsi="Times New Roman"/>
        </w:rPr>
        <w:t>Question 3.</w:t>
      </w:r>
      <w:r w:rsidR="00DB0E73">
        <w:rPr>
          <w:rFonts w:ascii="Times New Roman" w:hAnsi="Times New Roman"/>
        </w:rPr>
        <w:t>10</w:t>
      </w:r>
      <w:r w:rsidR="000965C1">
        <w:rPr>
          <w:rFonts w:ascii="Times New Roman" w:hAnsi="Times New Roman"/>
        </w:rPr>
        <w:t>:</w:t>
      </w:r>
      <w:r w:rsidRPr="009E66BD">
        <w:rPr>
          <w:rFonts w:ascii="Times New Roman" w:hAnsi="Times New Roman"/>
        </w:rPr>
        <w:t xml:space="preserve"> This question asks about behavior given a beach closure. This will be used to define choice alternatives </w:t>
      </w:r>
      <w:r w:rsidR="0022303D">
        <w:rPr>
          <w:rFonts w:ascii="Times New Roman" w:hAnsi="Times New Roman"/>
        </w:rPr>
        <w:t xml:space="preserve">and understand people’s substitution behaviors, </w:t>
      </w:r>
      <w:r w:rsidRPr="009E66BD">
        <w:rPr>
          <w:rFonts w:ascii="Times New Roman" w:hAnsi="Times New Roman"/>
        </w:rPr>
        <w:t xml:space="preserve">as well as to connect state beach bacteria sampling </w:t>
      </w:r>
      <w:r w:rsidR="006708FC">
        <w:rPr>
          <w:rFonts w:ascii="Times New Roman" w:hAnsi="Times New Roman"/>
        </w:rPr>
        <w:t>to the survey data</w:t>
      </w:r>
      <w:r w:rsidR="0022303D">
        <w:rPr>
          <w:rFonts w:ascii="Times New Roman" w:hAnsi="Times New Roman"/>
        </w:rPr>
        <w:t xml:space="preserve"> in order to provide values for eliminating closures</w:t>
      </w:r>
      <w:r w:rsidR="006708FC">
        <w:rPr>
          <w:rFonts w:ascii="Times New Roman" w:hAnsi="Times New Roman"/>
        </w:rPr>
        <w:t>.</w:t>
      </w:r>
      <w:r w:rsidR="0022303D">
        <w:rPr>
          <w:rFonts w:ascii="Times New Roman" w:hAnsi="Times New Roman"/>
        </w:rPr>
        <w:t xml:space="preserve"> </w:t>
      </w:r>
    </w:p>
    <w:p w14:paraId="4B227BC9" w14:textId="77777777" w:rsidR="005E69BC" w:rsidRDefault="005E69BC" w:rsidP="0064353E">
      <w:pPr>
        <w:pStyle w:val="ListParagraph"/>
        <w:spacing w:before="120" w:line="360" w:lineRule="auto"/>
        <w:rPr>
          <w:rFonts w:ascii="Times New Roman" w:hAnsi="Times New Roman"/>
          <w:b/>
        </w:rPr>
      </w:pPr>
    </w:p>
    <w:p w14:paraId="56ACBA88" w14:textId="41B8019B" w:rsidR="00522F69" w:rsidRPr="005A7447" w:rsidRDefault="00522F69" w:rsidP="0064353E">
      <w:pPr>
        <w:pStyle w:val="ListParagraph"/>
        <w:spacing w:before="120" w:line="360" w:lineRule="auto"/>
        <w:rPr>
          <w:rFonts w:ascii="Times New Roman" w:hAnsi="Times New Roman"/>
          <w:b/>
        </w:rPr>
      </w:pPr>
      <w:r w:rsidRPr="005A7447">
        <w:rPr>
          <w:rFonts w:ascii="Times New Roman" w:hAnsi="Times New Roman"/>
          <w:b/>
        </w:rPr>
        <w:t>Section 4: Your Opinions on Coastal Water Quality in New England</w:t>
      </w:r>
    </w:p>
    <w:p w14:paraId="3B7CCCDF" w14:textId="08ADE145" w:rsidR="00522F69" w:rsidRDefault="00DB0E73" w:rsidP="005A7447">
      <w:pPr>
        <w:pStyle w:val="ListParagraph"/>
        <w:spacing w:before="120" w:line="360" w:lineRule="auto"/>
        <w:rPr>
          <w:rFonts w:ascii="Times New Roman" w:hAnsi="Times New Roman"/>
        </w:rPr>
      </w:pPr>
      <w:r>
        <w:rPr>
          <w:rFonts w:ascii="Times New Roman" w:hAnsi="Times New Roman"/>
        </w:rPr>
        <w:t>Question 4.1</w:t>
      </w:r>
      <w:r w:rsidR="000965C1">
        <w:rPr>
          <w:rFonts w:ascii="Times New Roman" w:hAnsi="Times New Roman"/>
        </w:rPr>
        <w:t>:</w:t>
      </w:r>
      <w:r>
        <w:rPr>
          <w:rFonts w:ascii="Times New Roman" w:hAnsi="Times New Roman"/>
        </w:rPr>
        <w:t xml:space="preserve"> </w:t>
      </w:r>
      <w:r w:rsidR="00522F69" w:rsidRPr="005A7447">
        <w:rPr>
          <w:rFonts w:ascii="Times New Roman" w:hAnsi="Times New Roman"/>
        </w:rPr>
        <w:t xml:space="preserve">This </w:t>
      </w:r>
      <w:r>
        <w:rPr>
          <w:rFonts w:ascii="Times New Roman" w:hAnsi="Times New Roman"/>
        </w:rPr>
        <w:t>question</w:t>
      </w:r>
      <w:r w:rsidRPr="005A7447">
        <w:rPr>
          <w:rFonts w:ascii="Times New Roman" w:hAnsi="Times New Roman"/>
        </w:rPr>
        <w:t xml:space="preserve"> </w:t>
      </w:r>
      <w:r w:rsidR="00522F69" w:rsidRPr="005A7447">
        <w:rPr>
          <w:rFonts w:ascii="Times New Roman" w:hAnsi="Times New Roman"/>
        </w:rPr>
        <w:t>asks for the respondent’s opinions about a set of impacts of water quality issues in New England. These will help us understand both awareness of issues and perceived severity of issues</w:t>
      </w:r>
      <w:r w:rsidR="00DA16A8">
        <w:rPr>
          <w:rFonts w:ascii="Times New Roman" w:hAnsi="Times New Roman"/>
        </w:rPr>
        <w:t xml:space="preserve"> by the surveyed population</w:t>
      </w:r>
      <w:r w:rsidR="00522F69" w:rsidRPr="005A7447">
        <w:rPr>
          <w:rFonts w:ascii="Times New Roman" w:hAnsi="Times New Roman"/>
        </w:rPr>
        <w:t xml:space="preserve">. </w:t>
      </w:r>
      <w:r w:rsidR="00123073">
        <w:rPr>
          <w:rFonts w:ascii="Times New Roman" w:hAnsi="Times New Roman"/>
        </w:rPr>
        <w:t>The issues were identified through the focus groups</w:t>
      </w:r>
      <w:r w:rsidR="00C2737F">
        <w:rPr>
          <w:rFonts w:ascii="Times New Roman" w:hAnsi="Times New Roman"/>
        </w:rPr>
        <w:t xml:space="preserve"> as relevant to New England coastal waters</w:t>
      </w:r>
      <w:r w:rsidR="00123073">
        <w:rPr>
          <w:rFonts w:ascii="Times New Roman" w:hAnsi="Times New Roman"/>
        </w:rPr>
        <w:t>.</w:t>
      </w:r>
      <w:r>
        <w:rPr>
          <w:rFonts w:ascii="Times New Roman" w:hAnsi="Times New Roman"/>
        </w:rPr>
        <w:t xml:space="preserve"> </w:t>
      </w:r>
      <w:r w:rsidR="009E382B">
        <w:rPr>
          <w:rFonts w:ascii="Times New Roman" w:hAnsi="Times New Roman"/>
        </w:rPr>
        <w:t>Also, those respondents who do not participate in water recreation will be directed to skip here from the beginning of the survey, which will allow us to collect some opinion data and demographics from them, in order to compare them to people who participate and better predict participation rates.</w:t>
      </w:r>
    </w:p>
    <w:p w14:paraId="4552ECB8" w14:textId="77777777" w:rsidR="00290BBD" w:rsidRPr="005A7447" w:rsidRDefault="00290BBD" w:rsidP="005A7447">
      <w:pPr>
        <w:pStyle w:val="ListParagraph"/>
        <w:spacing w:before="120" w:line="360" w:lineRule="auto"/>
        <w:rPr>
          <w:rFonts w:ascii="Times New Roman" w:hAnsi="Times New Roman"/>
        </w:rPr>
      </w:pPr>
    </w:p>
    <w:p w14:paraId="3DCC5C35" w14:textId="77777777" w:rsidR="00522F69" w:rsidRPr="005A7447" w:rsidRDefault="00522F69" w:rsidP="0064353E">
      <w:pPr>
        <w:pStyle w:val="ListParagraph"/>
        <w:spacing w:before="120" w:line="360" w:lineRule="auto"/>
        <w:rPr>
          <w:rFonts w:ascii="Times New Roman" w:hAnsi="Times New Roman"/>
          <w:b/>
          <w:bCs/>
        </w:rPr>
      </w:pPr>
      <w:r w:rsidRPr="005A7447">
        <w:rPr>
          <w:rFonts w:ascii="Times New Roman" w:hAnsi="Times New Roman"/>
          <w:b/>
          <w:bCs/>
        </w:rPr>
        <w:t>Section 5: About Your Household</w:t>
      </w:r>
    </w:p>
    <w:p w14:paraId="15F350B3" w14:textId="275AF9F9" w:rsidR="00C23BD1" w:rsidRDefault="00522F69" w:rsidP="005A7447">
      <w:pPr>
        <w:pStyle w:val="ListParagraph"/>
        <w:spacing w:before="120" w:line="360" w:lineRule="auto"/>
        <w:rPr>
          <w:rFonts w:ascii="Times New Roman" w:hAnsi="Times New Roman"/>
        </w:rPr>
      </w:pPr>
      <w:r w:rsidRPr="005A7447">
        <w:rPr>
          <w:rFonts w:ascii="Times New Roman" w:hAnsi="Times New Roman"/>
        </w:rPr>
        <w:t xml:space="preserve">The questions in this section ask respondents to provide basic demographic information, including gender, age, </w:t>
      </w:r>
      <w:r w:rsidR="00ED1843">
        <w:rPr>
          <w:rFonts w:ascii="Times New Roman" w:hAnsi="Times New Roman"/>
        </w:rPr>
        <w:t xml:space="preserve">race/ethnicity, </w:t>
      </w:r>
      <w:r w:rsidRPr="005A7447">
        <w:rPr>
          <w:rFonts w:ascii="Times New Roman" w:hAnsi="Times New Roman"/>
        </w:rPr>
        <w:t xml:space="preserve">household composition (number of adults and children), income, highest level of education, and employment status. </w:t>
      </w:r>
      <w:r w:rsidR="00C23BD1">
        <w:rPr>
          <w:rFonts w:ascii="Times New Roman" w:hAnsi="Times New Roman"/>
        </w:rPr>
        <w:t>Two questions, 5.11 and 5.12, ask about the ability of the respondent to work extra hours and</w:t>
      </w:r>
      <w:r w:rsidR="005E69BC">
        <w:rPr>
          <w:rFonts w:ascii="Times New Roman" w:hAnsi="Times New Roman"/>
        </w:rPr>
        <w:t>,</w:t>
      </w:r>
      <w:r w:rsidR="00C23BD1">
        <w:rPr>
          <w:rFonts w:ascii="Times New Roman" w:hAnsi="Times New Roman"/>
        </w:rPr>
        <w:t xml:space="preserve"> if so</w:t>
      </w:r>
      <w:r w:rsidR="005E69BC">
        <w:rPr>
          <w:rFonts w:ascii="Times New Roman" w:hAnsi="Times New Roman"/>
        </w:rPr>
        <w:t>,</w:t>
      </w:r>
      <w:r w:rsidR="00C23BD1">
        <w:rPr>
          <w:rFonts w:ascii="Times New Roman" w:hAnsi="Times New Roman"/>
        </w:rPr>
        <w:t xml:space="preserve"> the wage rate of those hours. </w:t>
      </w:r>
      <w:r w:rsidR="008C1F75">
        <w:rPr>
          <w:rFonts w:ascii="Times New Roman" w:hAnsi="Times New Roman"/>
        </w:rPr>
        <w:t>Together, t</w:t>
      </w:r>
      <w:r w:rsidR="00C23BD1">
        <w:rPr>
          <w:rFonts w:ascii="Times New Roman" w:hAnsi="Times New Roman"/>
        </w:rPr>
        <w:t>hese question</w:t>
      </w:r>
      <w:r w:rsidR="008C1F75">
        <w:rPr>
          <w:rFonts w:ascii="Times New Roman" w:hAnsi="Times New Roman"/>
        </w:rPr>
        <w:t>s</w:t>
      </w:r>
      <w:r w:rsidR="00C23BD1">
        <w:rPr>
          <w:rFonts w:ascii="Times New Roman" w:hAnsi="Times New Roman"/>
        </w:rPr>
        <w:t xml:space="preserve"> collect a more accurate marginal value of time for the respondent than assuming a uniform </w:t>
      </w:r>
      <w:r w:rsidR="008C1F75">
        <w:rPr>
          <w:rFonts w:ascii="Times New Roman" w:hAnsi="Times New Roman"/>
        </w:rPr>
        <w:t>value based solely on</w:t>
      </w:r>
      <w:r w:rsidR="00C23BD1">
        <w:rPr>
          <w:rFonts w:ascii="Times New Roman" w:hAnsi="Times New Roman"/>
        </w:rPr>
        <w:t xml:space="preserve"> their annual income. The inclusion of the two questions </w:t>
      </w:r>
      <w:r w:rsidR="008C1F75">
        <w:rPr>
          <w:rFonts w:ascii="Times New Roman" w:hAnsi="Times New Roman"/>
        </w:rPr>
        <w:t>is</w:t>
      </w:r>
      <w:r w:rsidR="00C23BD1">
        <w:rPr>
          <w:rFonts w:ascii="Times New Roman" w:hAnsi="Times New Roman"/>
        </w:rPr>
        <w:t xml:space="preserve"> to address the </w:t>
      </w:r>
      <w:r w:rsidR="008C1F75">
        <w:rPr>
          <w:rFonts w:ascii="Times New Roman" w:hAnsi="Times New Roman"/>
        </w:rPr>
        <w:t>precision</w:t>
      </w:r>
      <w:r w:rsidR="00C23BD1">
        <w:rPr>
          <w:rFonts w:ascii="Times New Roman" w:hAnsi="Times New Roman"/>
        </w:rPr>
        <w:t xml:space="preserve"> of the travel cost estimates, </w:t>
      </w:r>
      <w:r w:rsidR="008C1F75">
        <w:rPr>
          <w:rFonts w:ascii="Times New Roman" w:hAnsi="Times New Roman"/>
        </w:rPr>
        <w:t xml:space="preserve">which is </w:t>
      </w:r>
      <w:r w:rsidR="00C23BD1">
        <w:rPr>
          <w:rFonts w:ascii="Times New Roman" w:hAnsi="Times New Roman"/>
        </w:rPr>
        <w:t xml:space="preserve">the key variable used to identify changes in marginal willingness to pay for changes in location attributes. </w:t>
      </w:r>
      <w:r w:rsidR="005E69BC">
        <w:rPr>
          <w:rFonts w:ascii="Times New Roman" w:hAnsi="Times New Roman"/>
        </w:rPr>
        <w:t>These questions also address the modeling question of whether to include opportunity cost of time spent in recreation in the RUM.</w:t>
      </w:r>
    </w:p>
    <w:p w14:paraId="40F83DB6" w14:textId="77777777" w:rsidR="00C23BD1" w:rsidRDefault="00C23BD1" w:rsidP="005A7447">
      <w:pPr>
        <w:pStyle w:val="ListParagraph"/>
        <w:spacing w:before="120" w:line="360" w:lineRule="auto"/>
        <w:rPr>
          <w:rFonts w:ascii="Times New Roman" w:hAnsi="Times New Roman"/>
        </w:rPr>
      </w:pPr>
    </w:p>
    <w:p w14:paraId="63FA24E2" w14:textId="28758EE9" w:rsidR="00522F69" w:rsidRPr="005A7447" w:rsidRDefault="00522F69" w:rsidP="005A7447">
      <w:pPr>
        <w:pStyle w:val="ListParagraph"/>
        <w:spacing w:before="120" w:line="360" w:lineRule="auto"/>
        <w:rPr>
          <w:rFonts w:ascii="Times New Roman" w:hAnsi="Times New Roman"/>
        </w:rPr>
      </w:pPr>
      <w:r w:rsidRPr="005A7447">
        <w:rPr>
          <w:rFonts w:ascii="Times New Roman" w:hAnsi="Times New Roman"/>
        </w:rPr>
        <w:t>This section also asks residence zip code in order to calculate travel distances as well as the zip code where the respondent works to compare commut</w:t>
      </w:r>
      <w:r w:rsidR="0090669E">
        <w:rPr>
          <w:rFonts w:ascii="Times New Roman" w:hAnsi="Times New Roman"/>
        </w:rPr>
        <w:t>e</w:t>
      </w:r>
      <w:r w:rsidRPr="005A7447">
        <w:rPr>
          <w:rFonts w:ascii="Times New Roman" w:hAnsi="Times New Roman"/>
        </w:rPr>
        <w:t xml:space="preserve"> distance to recreation opportunities. We also ask if the respondent owns a second home, and its zip</w:t>
      </w:r>
      <w:r w:rsidR="0090669E">
        <w:rPr>
          <w:rFonts w:ascii="Times New Roman" w:hAnsi="Times New Roman"/>
        </w:rPr>
        <w:t xml:space="preserve"> </w:t>
      </w:r>
      <w:r w:rsidRPr="005A7447">
        <w:rPr>
          <w:rFonts w:ascii="Times New Roman" w:hAnsi="Times New Roman"/>
        </w:rPr>
        <w:t>code, in order to control for that factor in the recreation demand model.</w:t>
      </w:r>
    </w:p>
    <w:p w14:paraId="0E65E4D2" w14:textId="77777777" w:rsidR="009B3D35" w:rsidRPr="005A7447" w:rsidRDefault="009B3D35" w:rsidP="005A7447">
      <w:pPr>
        <w:pStyle w:val="ListParagraph"/>
        <w:spacing w:before="120" w:line="360" w:lineRule="auto"/>
        <w:rPr>
          <w:rFonts w:ascii="Times New Roman" w:hAnsi="Times New Roman"/>
        </w:rPr>
      </w:pPr>
    </w:p>
    <w:p w14:paraId="76080349" w14:textId="13AFE4B9" w:rsidR="00522F69" w:rsidRPr="005A7447" w:rsidRDefault="00522F69" w:rsidP="005A7447">
      <w:pPr>
        <w:pStyle w:val="ListParagraph"/>
        <w:spacing w:before="120" w:line="360" w:lineRule="auto"/>
        <w:rPr>
          <w:rFonts w:ascii="Times New Roman" w:hAnsi="Times New Roman"/>
        </w:rPr>
      </w:pPr>
      <w:r w:rsidRPr="005A7447">
        <w:rPr>
          <w:rFonts w:ascii="Times New Roman" w:hAnsi="Times New Roman"/>
        </w:rPr>
        <w:t>This information will be used in the analysis of survey results, as well as in the non-response analysis. Responses to these questions will be used to estimate the influence of demographic variables on respondents’ site choices, and ultimately, their WTP for water quality improvements.</w:t>
      </w:r>
    </w:p>
    <w:p w14:paraId="76D019B4" w14:textId="77777777" w:rsidR="0078418A" w:rsidRPr="00DF48C0" w:rsidRDefault="0078418A" w:rsidP="00A00F66">
      <w:pPr>
        <w:spacing w:line="360" w:lineRule="auto"/>
        <w:rPr>
          <w:rFonts w:cs="Times New Roman"/>
        </w:rPr>
      </w:pPr>
    </w:p>
    <w:p w14:paraId="501982B3" w14:textId="77777777" w:rsidR="00650C2A" w:rsidRPr="00DF48C0" w:rsidRDefault="00650C2A" w:rsidP="00997995">
      <w:pPr>
        <w:pStyle w:val="Heading2"/>
        <w:keepLines/>
        <w:rPr>
          <w:sz w:val="22"/>
          <w:szCs w:val="22"/>
        </w:rPr>
      </w:pPr>
      <w:bookmarkStart w:id="113" w:name="_Toc473195116"/>
      <w:bookmarkStart w:id="114" w:name="_Toc327184560"/>
      <w:bookmarkStart w:id="115" w:name="_Toc327362403"/>
      <w:r w:rsidRPr="00DF48C0">
        <w:rPr>
          <w:sz w:val="22"/>
          <w:szCs w:val="22"/>
        </w:rPr>
        <w:t>3.</w:t>
      </w:r>
      <w:r w:rsidRPr="00DF48C0">
        <w:rPr>
          <w:sz w:val="22"/>
          <w:szCs w:val="22"/>
        </w:rPr>
        <w:tab/>
        <w:t>Pretests</w:t>
      </w:r>
      <w:bookmarkEnd w:id="113"/>
      <w:r w:rsidRPr="00DF48C0">
        <w:rPr>
          <w:sz w:val="22"/>
          <w:szCs w:val="22"/>
        </w:rPr>
        <w:t xml:space="preserve"> </w:t>
      </w:r>
      <w:bookmarkEnd w:id="114"/>
      <w:bookmarkEnd w:id="115"/>
    </w:p>
    <w:p w14:paraId="7DB7F3D3" w14:textId="77777777" w:rsidR="00650C2A" w:rsidRPr="00DF48C0" w:rsidRDefault="00650C2A" w:rsidP="00997995">
      <w:pPr>
        <w:keepNext/>
        <w:keepLines/>
        <w:spacing w:line="360" w:lineRule="auto"/>
        <w:rPr>
          <w:rFonts w:cs="Times New Roman"/>
        </w:rPr>
      </w:pPr>
    </w:p>
    <w:p w14:paraId="1511EDF3" w14:textId="24E4ED41" w:rsidR="004E2DCF" w:rsidRPr="00DF48C0" w:rsidRDefault="00650C2A" w:rsidP="00997995">
      <w:pPr>
        <w:keepNext/>
        <w:keepLines/>
        <w:spacing w:line="360" w:lineRule="auto"/>
        <w:ind w:firstLine="720"/>
        <w:rPr>
          <w:rFonts w:cs="Times New Roman"/>
        </w:rPr>
      </w:pPr>
      <w:r w:rsidRPr="00DF48C0">
        <w:rPr>
          <w:rFonts w:cs="Times New Roman"/>
        </w:rPr>
        <w:t xml:space="preserve">EPA conducted extensive </w:t>
      </w:r>
      <w:r w:rsidR="00BB776E" w:rsidRPr="00DF48C0">
        <w:rPr>
          <w:rFonts w:cs="Times New Roman"/>
        </w:rPr>
        <w:t xml:space="preserve">development and </w:t>
      </w:r>
      <w:r w:rsidRPr="00DF48C0">
        <w:rPr>
          <w:rFonts w:cs="Times New Roman"/>
        </w:rPr>
        <w:t xml:space="preserve">testing of the survey instrument during a set of </w:t>
      </w:r>
      <w:r w:rsidR="004B2E37">
        <w:rPr>
          <w:rFonts w:cs="Times New Roman"/>
        </w:rPr>
        <w:t>seven</w:t>
      </w:r>
      <w:r w:rsidR="004B2E37" w:rsidRPr="00DF48C0">
        <w:rPr>
          <w:rFonts w:cs="Times New Roman"/>
        </w:rPr>
        <w:t xml:space="preserve"> </w:t>
      </w:r>
      <w:r w:rsidRPr="00DF48C0">
        <w:rPr>
          <w:rFonts w:cs="Times New Roman"/>
        </w:rPr>
        <w:t>focus groups</w:t>
      </w:r>
      <w:r w:rsidR="00AD5FF5" w:rsidRPr="00DF48C0">
        <w:rPr>
          <w:rFonts w:cs="Times New Roman"/>
        </w:rPr>
        <w:t xml:space="preserve"> with </w:t>
      </w:r>
      <w:r w:rsidR="00BB776E" w:rsidRPr="00DF48C0">
        <w:rPr>
          <w:rFonts w:cs="Times New Roman"/>
        </w:rPr>
        <w:t>63</w:t>
      </w:r>
      <w:r w:rsidR="00AD5FF5" w:rsidRPr="00DF48C0">
        <w:rPr>
          <w:rFonts w:cs="Times New Roman"/>
        </w:rPr>
        <w:t xml:space="preserve"> people</w:t>
      </w:r>
      <w:r w:rsidRPr="00DF48C0">
        <w:rPr>
          <w:rFonts w:cs="Times New Roman"/>
        </w:rPr>
        <w:t xml:space="preserve"> (</w:t>
      </w:r>
      <w:r w:rsidR="00D67686" w:rsidRPr="00DF48C0">
        <w:rPr>
          <w:rFonts w:cs="Times New Roman"/>
        </w:rPr>
        <w:t>EPA ICR # 2205.17, OMB # 2090-0028</w:t>
      </w:r>
      <w:r w:rsidRPr="00DF48C0">
        <w:rPr>
          <w:rFonts w:cs="Times New Roman"/>
        </w:rPr>
        <w:t>)</w:t>
      </w:r>
      <w:r w:rsidR="00ED1843">
        <w:rPr>
          <w:rFonts w:cs="Times New Roman"/>
        </w:rPr>
        <w:t xml:space="preserve">, and with </w:t>
      </w:r>
      <w:r w:rsidR="003E1293">
        <w:rPr>
          <w:rFonts w:cs="Times New Roman"/>
        </w:rPr>
        <w:t>10</w:t>
      </w:r>
      <w:r w:rsidR="00ED1843">
        <w:rPr>
          <w:rFonts w:cs="Times New Roman"/>
        </w:rPr>
        <w:t xml:space="preserve"> federal employees at AED</w:t>
      </w:r>
      <w:r w:rsidRPr="00DF48C0">
        <w:rPr>
          <w:rFonts w:cs="Times New Roman"/>
        </w:rPr>
        <w:t xml:space="preserve">. Individuals in these focus groups participated in discussions about </w:t>
      </w:r>
      <w:r w:rsidR="00AD5FF5" w:rsidRPr="00DF48C0">
        <w:rPr>
          <w:rFonts w:cs="Times New Roman"/>
        </w:rPr>
        <w:t>their recreational activities, perceptions of water quality, sense of place, and opinions about water quality issues</w:t>
      </w:r>
      <w:r w:rsidRPr="00DF48C0">
        <w:rPr>
          <w:rFonts w:cs="Times New Roman"/>
        </w:rPr>
        <w:t>.</w:t>
      </w:r>
      <w:r w:rsidR="004B5D91" w:rsidRPr="00DF48C0">
        <w:rPr>
          <w:rFonts w:cs="Times New Roman"/>
        </w:rPr>
        <w:t xml:space="preserve"> </w:t>
      </w:r>
      <w:r w:rsidRPr="00DF48C0">
        <w:rPr>
          <w:rFonts w:cs="Times New Roman"/>
        </w:rPr>
        <w:t xml:space="preserve">They also completed draft survey questionnaires and provided comments and feedback about the survey format and content, their interpretations of the questions, and other issues relevant to </w:t>
      </w:r>
      <w:r w:rsidR="00AD5FF5" w:rsidRPr="00DF48C0">
        <w:rPr>
          <w:rFonts w:cs="Times New Roman"/>
        </w:rPr>
        <w:t xml:space="preserve">revealed </w:t>
      </w:r>
      <w:r w:rsidRPr="00DF48C0">
        <w:rPr>
          <w:rFonts w:cs="Times New Roman"/>
        </w:rPr>
        <w:t>preference estimation.</w:t>
      </w:r>
      <w:r w:rsidR="004B5D91" w:rsidRPr="00DF48C0">
        <w:rPr>
          <w:rFonts w:cs="Times New Roman"/>
        </w:rPr>
        <w:t xml:space="preserve"> </w:t>
      </w:r>
      <w:r w:rsidRPr="00DF48C0">
        <w:rPr>
          <w:rFonts w:cs="Times New Roman"/>
        </w:rPr>
        <w:t xml:space="preserve">These discussions were used to develop a survey that provides respondents with the necessary information to complete the questionnaire, develop </w:t>
      </w:r>
      <w:r w:rsidR="00AD5FF5" w:rsidRPr="00DF48C0">
        <w:rPr>
          <w:rFonts w:cs="Times New Roman"/>
        </w:rPr>
        <w:t>questions that result in accurate information</w:t>
      </w:r>
      <w:r w:rsidRPr="00DF48C0">
        <w:rPr>
          <w:rFonts w:cs="Times New Roman"/>
        </w:rPr>
        <w:t>, and minimize the burden placed on respondents while collecting the necessary information.</w:t>
      </w:r>
      <w:r w:rsidR="00281710">
        <w:rPr>
          <w:rFonts w:cs="Times New Roman"/>
        </w:rPr>
        <w:t xml:space="preserve"> </w:t>
      </w:r>
    </w:p>
    <w:p w14:paraId="6BE24656" w14:textId="740E52C1" w:rsidR="00650C2A" w:rsidRPr="00DF48C0" w:rsidRDefault="00650C2A" w:rsidP="00650C2A">
      <w:pPr>
        <w:spacing w:line="360" w:lineRule="auto"/>
        <w:ind w:firstLine="720"/>
        <w:rPr>
          <w:rFonts w:cs="Times New Roman"/>
        </w:rPr>
      </w:pPr>
      <w:r w:rsidRPr="00DF48C0">
        <w:rPr>
          <w:rFonts w:cs="Times New Roman"/>
        </w:rPr>
        <w:t xml:space="preserve">Particular emphasis in these survey discussions was on </w:t>
      </w:r>
      <w:r w:rsidR="007E5801" w:rsidRPr="00DF48C0">
        <w:rPr>
          <w:rFonts w:cs="Times New Roman"/>
        </w:rPr>
        <w:t xml:space="preserve">eliciting accurate locations where people recreated and accurate and consistent trip information, eliciting water quality perceptions and the </w:t>
      </w:r>
      <w:r w:rsidR="004B2E37">
        <w:rPr>
          <w:rFonts w:cs="Times New Roman"/>
        </w:rPr>
        <w:t xml:space="preserve">most salient </w:t>
      </w:r>
      <w:r w:rsidR="007E5801" w:rsidRPr="00DF48C0">
        <w:rPr>
          <w:rFonts w:cs="Times New Roman"/>
        </w:rPr>
        <w:t xml:space="preserve">aspects of water quality, and developing questions to better understand attitudes about water quality and related impacts. </w:t>
      </w:r>
      <w:r w:rsidRPr="00DF48C0">
        <w:rPr>
          <w:rFonts w:cs="Times New Roman"/>
        </w:rPr>
        <w:t xml:space="preserve">Based on focus group responses, EPA made various improvements to the questionnaire </w:t>
      </w:r>
      <w:r w:rsidR="007E5801" w:rsidRPr="00DF48C0">
        <w:rPr>
          <w:rFonts w:cs="Times New Roman"/>
        </w:rPr>
        <w:t xml:space="preserve">through revisions of question formats and wording. Focus groups were held </w:t>
      </w:r>
      <w:r w:rsidR="004B2E37">
        <w:rPr>
          <w:rFonts w:cs="Times New Roman"/>
        </w:rPr>
        <w:t xml:space="preserve">near </w:t>
      </w:r>
      <w:r w:rsidR="007E5801" w:rsidRPr="00DF48C0">
        <w:rPr>
          <w:rFonts w:cs="Times New Roman"/>
        </w:rPr>
        <w:t>Boston</w:t>
      </w:r>
      <w:r w:rsidR="004B2E37">
        <w:rPr>
          <w:rFonts w:cs="Times New Roman"/>
        </w:rPr>
        <w:t>,</w:t>
      </w:r>
      <w:r w:rsidR="007E5801" w:rsidRPr="00DF48C0">
        <w:rPr>
          <w:rFonts w:cs="Times New Roman"/>
        </w:rPr>
        <w:t xml:space="preserve"> Massachusetts</w:t>
      </w:r>
      <w:r w:rsidR="004B2E37">
        <w:rPr>
          <w:rFonts w:cs="Times New Roman"/>
        </w:rPr>
        <w:t>,</w:t>
      </w:r>
      <w:r w:rsidR="007E5801" w:rsidRPr="00DF48C0">
        <w:rPr>
          <w:rFonts w:cs="Times New Roman"/>
        </w:rPr>
        <w:t xml:space="preserve"> Providence</w:t>
      </w:r>
      <w:r w:rsidR="004B2E37">
        <w:rPr>
          <w:rFonts w:cs="Times New Roman"/>
        </w:rPr>
        <w:t>,</w:t>
      </w:r>
      <w:r w:rsidR="007E5801" w:rsidRPr="00DF48C0">
        <w:rPr>
          <w:rFonts w:cs="Times New Roman"/>
        </w:rPr>
        <w:t xml:space="preserve"> Rhode Island</w:t>
      </w:r>
      <w:r w:rsidR="004B2E37">
        <w:rPr>
          <w:rFonts w:cs="Times New Roman"/>
        </w:rPr>
        <w:t>,</w:t>
      </w:r>
      <w:r w:rsidR="007E5801" w:rsidRPr="00DF48C0">
        <w:rPr>
          <w:rFonts w:cs="Times New Roman"/>
        </w:rPr>
        <w:t xml:space="preserve"> and Hartford</w:t>
      </w:r>
      <w:r w:rsidR="004B2E37">
        <w:rPr>
          <w:rFonts w:cs="Times New Roman"/>
        </w:rPr>
        <w:t>,</w:t>
      </w:r>
      <w:r w:rsidR="007E5801" w:rsidRPr="00DF48C0">
        <w:rPr>
          <w:rFonts w:cs="Times New Roman"/>
        </w:rPr>
        <w:t xml:space="preserve"> Connecticut, in order to capture people </w:t>
      </w:r>
      <w:r w:rsidR="004B2E37">
        <w:rPr>
          <w:rFonts w:cs="Times New Roman"/>
        </w:rPr>
        <w:t xml:space="preserve">who reside </w:t>
      </w:r>
      <w:r w:rsidR="007E5801" w:rsidRPr="00DF48C0">
        <w:rPr>
          <w:rFonts w:cs="Times New Roman"/>
        </w:rPr>
        <w:t>at different distances from coastal waters and near waterbo</w:t>
      </w:r>
      <w:r w:rsidR="004E2DCF" w:rsidRPr="00DF48C0">
        <w:rPr>
          <w:rFonts w:cs="Times New Roman"/>
        </w:rPr>
        <w:t>dies with varying water quality.</w:t>
      </w:r>
      <w:r w:rsidR="007E5801" w:rsidRPr="00DF48C0">
        <w:rPr>
          <w:rFonts w:cs="Times New Roman"/>
        </w:rPr>
        <w:t xml:space="preserve"> Focus group p</w:t>
      </w:r>
      <w:r w:rsidRPr="00DF48C0">
        <w:rPr>
          <w:rFonts w:cs="Times New Roman"/>
        </w:rPr>
        <w:t xml:space="preserve">articipants </w:t>
      </w:r>
      <w:r w:rsidR="007E5801" w:rsidRPr="00DF48C0">
        <w:rPr>
          <w:rFonts w:cs="Times New Roman"/>
        </w:rPr>
        <w:t xml:space="preserve">were professionally recruited by marketing facilities and selected to represent a range of demographics and recreational activities. Participants </w:t>
      </w:r>
      <w:r w:rsidRPr="00DF48C0">
        <w:rPr>
          <w:rFonts w:cs="Times New Roman"/>
        </w:rPr>
        <w:t xml:space="preserve">in the focus group discussions </w:t>
      </w:r>
      <w:r w:rsidR="00AD5FF5" w:rsidRPr="00DF48C0">
        <w:rPr>
          <w:rFonts w:cs="Times New Roman"/>
        </w:rPr>
        <w:t>were offered an</w:t>
      </w:r>
      <w:r w:rsidRPr="00DF48C0">
        <w:rPr>
          <w:rFonts w:cs="Times New Roman"/>
        </w:rPr>
        <w:t xml:space="preserve"> incentive of $</w:t>
      </w:r>
      <w:r w:rsidR="00AD5FF5" w:rsidRPr="00DF48C0">
        <w:rPr>
          <w:rFonts w:cs="Times New Roman"/>
        </w:rPr>
        <w:t>100</w:t>
      </w:r>
      <w:r w:rsidRPr="00DF48C0">
        <w:rPr>
          <w:rFonts w:cs="Times New Roman"/>
        </w:rPr>
        <w:t xml:space="preserve"> for their participation.</w:t>
      </w:r>
    </w:p>
    <w:p w14:paraId="62B140E2" w14:textId="11973637" w:rsidR="00650C2A" w:rsidRPr="00DF48C0" w:rsidRDefault="00650C2A" w:rsidP="00650C2A">
      <w:pPr>
        <w:pStyle w:val="BodyTextI2"/>
        <w:rPr>
          <w:sz w:val="22"/>
          <w:szCs w:val="22"/>
        </w:rPr>
      </w:pPr>
      <w:r w:rsidRPr="00DF48C0">
        <w:rPr>
          <w:sz w:val="22"/>
          <w:szCs w:val="22"/>
        </w:rPr>
        <w:t>EPA intends to implement this survey in two stages: a pretest and a main study. First, EPA will administer the pretest to a sample of</w:t>
      </w:r>
      <w:r w:rsidR="00732151">
        <w:rPr>
          <w:sz w:val="22"/>
          <w:szCs w:val="22"/>
        </w:rPr>
        <w:t xml:space="preserve"> 370</w:t>
      </w:r>
      <w:r w:rsidR="004B5D91" w:rsidRPr="00DF48C0">
        <w:rPr>
          <w:sz w:val="22"/>
          <w:szCs w:val="22"/>
        </w:rPr>
        <w:t xml:space="preserve"> </w:t>
      </w:r>
      <w:r w:rsidRPr="00DF48C0">
        <w:rPr>
          <w:sz w:val="22"/>
          <w:szCs w:val="22"/>
        </w:rPr>
        <w:t xml:space="preserve">households using a </w:t>
      </w:r>
      <w:r w:rsidR="00707349">
        <w:rPr>
          <w:sz w:val="22"/>
          <w:szCs w:val="22"/>
        </w:rPr>
        <w:t>mixed-mode</w:t>
      </w:r>
      <w:r w:rsidRPr="00DF48C0">
        <w:rPr>
          <w:sz w:val="22"/>
          <w:szCs w:val="22"/>
        </w:rPr>
        <w:t xml:space="preserve"> survey and the Dillman Total Design Method (Dillman</w:t>
      </w:r>
      <w:r w:rsidR="00707349">
        <w:rPr>
          <w:sz w:val="22"/>
          <w:szCs w:val="22"/>
        </w:rPr>
        <w:t xml:space="preserve"> et al.</w:t>
      </w:r>
      <w:r w:rsidR="00D940DF">
        <w:rPr>
          <w:sz w:val="22"/>
          <w:szCs w:val="22"/>
        </w:rPr>
        <w:t>,</w:t>
      </w:r>
      <w:r w:rsidRPr="00DF48C0">
        <w:rPr>
          <w:sz w:val="22"/>
          <w:szCs w:val="22"/>
        </w:rPr>
        <w:t xml:space="preserve"> </w:t>
      </w:r>
      <w:r w:rsidR="00D55D0D" w:rsidRPr="0088409A">
        <w:rPr>
          <w:sz w:val="22"/>
          <w:szCs w:val="22"/>
        </w:rPr>
        <w:t>20</w:t>
      </w:r>
      <w:r w:rsidR="00D55D0D">
        <w:rPr>
          <w:sz w:val="22"/>
          <w:szCs w:val="22"/>
        </w:rPr>
        <w:t>14</w:t>
      </w:r>
      <w:r w:rsidRPr="00DF48C0">
        <w:rPr>
          <w:sz w:val="22"/>
          <w:szCs w:val="22"/>
        </w:rPr>
        <w:t xml:space="preserve">). Assuming </w:t>
      </w:r>
      <w:r w:rsidR="00D55D0D" w:rsidRPr="00DF48C0">
        <w:rPr>
          <w:sz w:val="22"/>
          <w:szCs w:val="22"/>
        </w:rPr>
        <w:t>9</w:t>
      </w:r>
      <w:r w:rsidR="00D55D0D">
        <w:rPr>
          <w:sz w:val="22"/>
          <w:szCs w:val="22"/>
        </w:rPr>
        <w:t>0</w:t>
      </w:r>
      <w:r w:rsidRPr="00DF48C0">
        <w:rPr>
          <w:sz w:val="22"/>
          <w:szCs w:val="22"/>
        </w:rPr>
        <w:t xml:space="preserve">% of the sampled addresses are eligible </w:t>
      </w:r>
      <w:r w:rsidRPr="0088409A">
        <w:rPr>
          <w:sz w:val="22"/>
          <w:szCs w:val="22"/>
        </w:rPr>
        <w:t xml:space="preserve">and </w:t>
      </w:r>
      <w:r w:rsidR="00D55D0D" w:rsidRPr="0088409A">
        <w:rPr>
          <w:sz w:val="22"/>
          <w:szCs w:val="22"/>
        </w:rPr>
        <w:t>27</w:t>
      </w:r>
      <w:r w:rsidRPr="0088409A">
        <w:rPr>
          <w:sz w:val="22"/>
          <w:szCs w:val="22"/>
        </w:rPr>
        <w:t>% of eligible households return the survey (</w:t>
      </w:r>
      <w:r w:rsidR="00D55D0D" w:rsidRPr="00233DF0">
        <w:rPr>
          <w:sz w:val="22"/>
        </w:rPr>
        <w:t>see Brennan</w:t>
      </w:r>
      <w:r w:rsidR="00D940DF">
        <w:rPr>
          <w:sz w:val="22"/>
        </w:rPr>
        <w:t>,</w:t>
      </w:r>
      <w:r w:rsidR="00D55D0D" w:rsidRPr="00233DF0">
        <w:rPr>
          <w:sz w:val="22"/>
        </w:rPr>
        <w:t xml:space="preserve"> 2011</w:t>
      </w:r>
      <w:r w:rsidR="00D940DF">
        <w:rPr>
          <w:sz w:val="22"/>
        </w:rPr>
        <w:t>;</w:t>
      </w:r>
      <w:r w:rsidR="00D55D0D" w:rsidRPr="00233DF0">
        <w:rPr>
          <w:sz w:val="22"/>
        </w:rPr>
        <w:t xml:space="preserve"> Edwards</w:t>
      </w:r>
      <w:r w:rsidR="00D940DF">
        <w:rPr>
          <w:sz w:val="22"/>
        </w:rPr>
        <w:t>,</w:t>
      </w:r>
      <w:r w:rsidR="00D55D0D" w:rsidRPr="00233DF0">
        <w:rPr>
          <w:sz w:val="22"/>
        </w:rPr>
        <w:t xml:space="preserve"> 2014</w:t>
      </w:r>
      <w:r w:rsidR="00D940DF">
        <w:rPr>
          <w:sz w:val="22"/>
        </w:rPr>
        <w:t>;</w:t>
      </w:r>
      <w:r w:rsidR="00D55D0D" w:rsidRPr="00233DF0">
        <w:rPr>
          <w:sz w:val="22"/>
        </w:rPr>
        <w:t xml:space="preserve"> Messer </w:t>
      </w:r>
      <w:r w:rsidR="00D940DF">
        <w:rPr>
          <w:sz w:val="22"/>
        </w:rPr>
        <w:t>&amp;</w:t>
      </w:r>
      <w:r w:rsidR="00D940DF" w:rsidRPr="00233DF0">
        <w:rPr>
          <w:sz w:val="22"/>
        </w:rPr>
        <w:t xml:space="preserve"> </w:t>
      </w:r>
      <w:r w:rsidR="00D55D0D" w:rsidRPr="00233DF0">
        <w:rPr>
          <w:sz w:val="22"/>
        </w:rPr>
        <w:t>Dillman</w:t>
      </w:r>
      <w:r w:rsidR="00D940DF">
        <w:rPr>
          <w:sz w:val="22"/>
        </w:rPr>
        <w:t>,</w:t>
      </w:r>
      <w:r w:rsidR="00D55D0D" w:rsidRPr="00233DF0">
        <w:rPr>
          <w:sz w:val="22"/>
        </w:rPr>
        <w:t xml:space="preserve"> 2011</w:t>
      </w:r>
      <w:r w:rsidRPr="00DF48C0">
        <w:rPr>
          <w:sz w:val="22"/>
          <w:szCs w:val="22"/>
        </w:rPr>
        <w:t xml:space="preserve">), EPA estimates that this will result in </w:t>
      </w:r>
      <w:r w:rsidR="00732151" w:rsidRPr="00807445">
        <w:rPr>
          <w:sz w:val="22"/>
          <w:szCs w:val="22"/>
        </w:rPr>
        <w:t>90</w:t>
      </w:r>
      <w:r w:rsidRPr="00DF48C0">
        <w:rPr>
          <w:sz w:val="22"/>
          <w:szCs w:val="22"/>
        </w:rPr>
        <w:t xml:space="preserve"> returned and completed pretest surveys. Households in the pretest will be selected from </w:t>
      </w:r>
      <w:r w:rsidR="00233DF0">
        <w:rPr>
          <w:sz w:val="22"/>
          <w:szCs w:val="22"/>
        </w:rPr>
        <w:t>the study area (i.e., 22 counties in Connecticut, Rhode Island, Massachusetts, and New Hampshire)</w:t>
      </w:r>
      <w:r w:rsidRPr="00DF48C0">
        <w:rPr>
          <w:sz w:val="22"/>
          <w:szCs w:val="22"/>
        </w:rPr>
        <w:t>.</w:t>
      </w:r>
      <w:r w:rsidR="004B5D91" w:rsidRPr="00DF48C0">
        <w:rPr>
          <w:sz w:val="22"/>
          <w:szCs w:val="22"/>
        </w:rPr>
        <w:t xml:space="preserve"> </w:t>
      </w:r>
      <w:r w:rsidRPr="00DF48C0">
        <w:rPr>
          <w:sz w:val="22"/>
          <w:szCs w:val="22"/>
        </w:rPr>
        <w:t xml:space="preserve">Responses and preliminary findings to this pilot study will be used to inform EPA regarding the response rates and the quality of survey data. EPA will evaluate pilot responses and determine whether any changes to the survey instruments or implementation approach are needed before proceeding with the administration of the main survey. </w:t>
      </w:r>
    </w:p>
    <w:p w14:paraId="451310D1" w14:textId="77777777" w:rsidR="00650C2A" w:rsidRPr="00DF48C0" w:rsidRDefault="00650C2A" w:rsidP="00507067">
      <w:pPr>
        <w:pStyle w:val="BodyTextI2"/>
        <w:keepNext/>
        <w:keepLines/>
        <w:rPr>
          <w:sz w:val="22"/>
          <w:szCs w:val="22"/>
        </w:rPr>
      </w:pPr>
      <w:r w:rsidRPr="00DF48C0">
        <w:rPr>
          <w:sz w:val="22"/>
          <w:szCs w:val="22"/>
        </w:rPr>
        <w:t>EPA will use results from the pretest to validate the survey design.</w:t>
      </w:r>
      <w:r w:rsidR="004B5D91" w:rsidRPr="00DF48C0">
        <w:rPr>
          <w:sz w:val="22"/>
          <w:szCs w:val="22"/>
        </w:rPr>
        <w:t xml:space="preserve"> </w:t>
      </w:r>
      <w:r w:rsidRPr="00DF48C0">
        <w:rPr>
          <w:sz w:val="22"/>
          <w:szCs w:val="22"/>
        </w:rPr>
        <w:t>Specifically, the pretest results will be used to:</w:t>
      </w:r>
    </w:p>
    <w:p w14:paraId="0778FF4A" w14:textId="74B91DC8" w:rsidR="00650C2A" w:rsidRPr="00DF48C0" w:rsidRDefault="00650C2A" w:rsidP="00507067">
      <w:pPr>
        <w:pStyle w:val="BodyTextI2"/>
        <w:keepNext/>
        <w:keepLines/>
        <w:numPr>
          <w:ilvl w:val="0"/>
          <w:numId w:val="8"/>
        </w:numPr>
        <w:rPr>
          <w:sz w:val="22"/>
          <w:szCs w:val="22"/>
        </w:rPr>
      </w:pPr>
      <w:r w:rsidRPr="00DF48C0">
        <w:rPr>
          <w:sz w:val="22"/>
          <w:szCs w:val="22"/>
        </w:rPr>
        <w:t xml:space="preserve">Compare the actual and expected response rates. Based on typical survey response rates for surveys of this type, </w:t>
      </w:r>
      <w:r w:rsidRPr="0088409A">
        <w:rPr>
          <w:sz w:val="22"/>
          <w:szCs w:val="22"/>
        </w:rPr>
        <w:t xml:space="preserve">the expected response rate is approximately </w:t>
      </w:r>
      <w:r w:rsidR="00D55D0D" w:rsidRPr="0088409A">
        <w:rPr>
          <w:sz w:val="22"/>
          <w:szCs w:val="22"/>
        </w:rPr>
        <w:t>27</w:t>
      </w:r>
      <w:r w:rsidRPr="0088409A">
        <w:rPr>
          <w:sz w:val="22"/>
          <w:szCs w:val="22"/>
        </w:rPr>
        <w:t xml:space="preserve">% </w:t>
      </w:r>
      <w:r w:rsidRPr="00233DF0">
        <w:rPr>
          <w:sz w:val="20"/>
          <w:szCs w:val="22"/>
        </w:rPr>
        <w:t>(</w:t>
      </w:r>
      <w:r w:rsidR="00D55D0D" w:rsidRPr="00233DF0">
        <w:rPr>
          <w:sz w:val="22"/>
        </w:rPr>
        <w:t>Brennan</w:t>
      </w:r>
      <w:r w:rsidR="00D940DF">
        <w:rPr>
          <w:sz w:val="22"/>
        </w:rPr>
        <w:t>,</w:t>
      </w:r>
      <w:r w:rsidR="00D55D0D" w:rsidRPr="00233DF0">
        <w:rPr>
          <w:sz w:val="22"/>
        </w:rPr>
        <w:t xml:space="preserve"> 2011</w:t>
      </w:r>
      <w:r w:rsidR="00D940DF">
        <w:rPr>
          <w:sz w:val="22"/>
        </w:rPr>
        <w:t>;</w:t>
      </w:r>
      <w:r w:rsidR="00D55D0D" w:rsidRPr="00233DF0">
        <w:rPr>
          <w:sz w:val="22"/>
        </w:rPr>
        <w:t xml:space="preserve"> Edwards</w:t>
      </w:r>
      <w:r w:rsidR="00D940DF">
        <w:rPr>
          <w:sz w:val="22"/>
        </w:rPr>
        <w:t>,</w:t>
      </w:r>
      <w:r w:rsidR="00D55D0D" w:rsidRPr="00233DF0">
        <w:rPr>
          <w:sz w:val="22"/>
        </w:rPr>
        <w:t xml:space="preserve"> 2014</w:t>
      </w:r>
      <w:r w:rsidR="00D940DF">
        <w:rPr>
          <w:sz w:val="22"/>
        </w:rPr>
        <w:t>;</w:t>
      </w:r>
      <w:r w:rsidR="00D55D0D" w:rsidRPr="00233DF0">
        <w:rPr>
          <w:sz w:val="22"/>
        </w:rPr>
        <w:t xml:space="preserve"> Messer </w:t>
      </w:r>
      <w:r w:rsidR="00D940DF">
        <w:rPr>
          <w:sz w:val="22"/>
        </w:rPr>
        <w:t>&amp;</w:t>
      </w:r>
      <w:r w:rsidR="00D940DF" w:rsidRPr="00233DF0">
        <w:rPr>
          <w:sz w:val="22"/>
        </w:rPr>
        <w:t xml:space="preserve"> </w:t>
      </w:r>
      <w:r w:rsidR="00D55D0D" w:rsidRPr="00233DF0">
        <w:rPr>
          <w:sz w:val="22"/>
        </w:rPr>
        <w:t>Dillman</w:t>
      </w:r>
      <w:r w:rsidR="00D940DF">
        <w:rPr>
          <w:sz w:val="22"/>
        </w:rPr>
        <w:t>,</w:t>
      </w:r>
      <w:r w:rsidR="00D55D0D" w:rsidRPr="00233DF0">
        <w:rPr>
          <w:sz w:val="22"/>
        </w:rPr>
        <w:t xml:space="preserve"> 2011</w:t>
      </w:r>
      <w:r w:rsidRPr="00233DF0">
        <w:rPr>
          <w:sz w:val="20"/>
          <w:szCs w:val="22"/>
        </w:rPr>
        <w:t>)</w:t>
      </w:r>
      <w:r w:rsidRPr="00DF48C0">
        <w:rPr>
          <w:sz w:val="22"/>
          <w:szCs w:val="22"/>
        </w:rPr>
        <w:t>.</w:t>
      </w:r>
      <w:r w:rsidRPr="00DF48C0" w:rsidDel="00544FD5">
        <w:rPr>
          <w:sz w:val="22"/>
          <w:szCs w:val="22"/>
        </w:rPr>
        <w:t xml:space="preserve"> </w:t>
      </w:r>
    </w:p>
    <w:p w14:paraId="47E679CC" w14:textId="77777777" w:rsidR="00650C2A" w:rsidRPr="00DF48C0" w:rsidRDefault="00650C2A" w:rsidP="002E570D">
      <w:pPr>
        <w:pStyle w:val="BodyTextI2"/>
        <w:numPr>
          <w:ilvl w:val="0"/>
          <w:numId w:val="8"/>
        </w:numPr>
        <w:rPr>
          <w:sz w:val="22"/>
          <w:szCs w:val="22"/>
        </w:rPr>
      </w:pPr>
      <w:r w:rsidRPr="00DF48C0">
        <w:rPr>
          <w:sz w:val="22"/>
          <w:szCs w:val="22"/>
        </w:rPr>
        <w:t>Assess whether demographic characteristics of the respondents are significantly different from the average demographic characteristics in the study region.</w:t>
      </w:r>
    </w:p>
    <w:p w14:paraId="6FDB5E9F" w14:textId="77777777" w:rsidR="00650C2A" w:rsidRPr="00DF48C0" w:rsidRDefault="00650C2A" w:rsidP="002E570D">
      <w:pPr>
        <w:pStyle w:val="BodyTextI2"/>
        <w:numPr>
          <w:ilvl w:val="0"/>
          <w:numId w:val="8"/>
        </w:numPr>
        <w:rPr>
          <w:sz w:val="22"/>
          <w:szCs w:val="22"/>
        </w:rPr>
      </w:pPr>
      <w:r w:rsidRPr="00DF48C0">
        <w:rPr>
          <w:sz w:val="22"/>
          <w:szCs w:val="22"/>
        </w:rPr>
        <w:t xml:space="preserve">Examine response rates for individual survey questions and evaluate whether adjustments to survey questions are required to promote a higher response rate. </w:t>
      </w:r>
    </w:p>
    <w:p w14:paraId="4DC9FFF5" w14:textId="77777777" w:rsidR="00650C2A" w:rsidRPr="00DF48C0" w:rsidRDefault="00650C2A" w:rsidP="003F551F">
      <w:pPr>
        <w:pStyle w:val="BodyTextI2"/>
        <w:ind w:firstLine="0"/>
        <w:rPr>
          <w:sz w:val="22"/>
          <w:szCs w:val="22"/>
        </w:rPr>
      </w:pPr>
      <w:r w:rsidRPr="00DF48C0">
        <w:rPr>
          <w:sz w:val="22"/>
          <w:szCs w:val="22"/>
        </w:rPr>
        <w:t>If required, EPA will make the appropriate a</w:t>
      </w:r>
      <w:r w:rsidR="002E570D" w:rsidRPr="00DF48C0">
        <w:rPr>
          <w:sz w:val="22"/>
          <w:szCs w:val="22"/>
        </w:rPr>
        <w:t>djustments to the questionnaire or</w:t>
      </w:r>
      <w:r w:rsidRPr="00DF48C0">
        <w:rPr>
          <w:sz w:val="22"/>
          <w:szCs w:val="22"/>
        </w:rPr>
        <w:t xml:space="preserve"> sampling frame. </w:t>
      </w:r>
    </w:p>
    <w:p w14:paraId="596D4021" w14:textId="77777777" w:rsidR="00650C2A" w:rsidRPr="00DF48C0" w:rsidRDefault="00650C2A" w:rsidP="00650C2A">
      <w:pPr>
        <w:spacing w:line="360" w:lineRule="auto"/>
        <w:ind w:firstLine="720"/>
        <w:rPr>
          <w:rFonts w:cs="Times New Roman"/>
        </w:rPr>
      </w:pPr>
    </w:p>
    <w:p w14:paraId="4F4221EE" w14:textId="77777777" w:rsidR="00650C2A" w:rsidRPr="00DF48C0" w:rsidRDefault="00650C2A" w:rsidP="00650C2A">
      <w:pPr>
        <w:pStyle w:val="Heading2"/>
        <w:rPr>
          <w:sz w:val="22"/>
          <w:szCs w:val="22"/>
        </w:rPr>
      </w:pPr>
      <w:bookmarkStart w:id="116" w:name="_Toc327184561"/>
      <w:bookmarkStart w:id="117" w:name="_Toc327362404"/>
      <w:bookmarkStart w:id="118" w:name="_Toc473195117"/>
      <w:r w:rsidRPr="00865519">
        <w:rPr>
          <w:sz w:val="22"/>
          <w:szCs w:val="22"/>
        </w:rPr>
        <w:t>4.</w:t>
      </w:r>
      <w:r w:rsidRPr="00865519">
        <w:rPr>
          <w:sz w:val="22"/>
          <w:szCs w:val="22"/>
        </w:rPr>
        <w:tab/>
        <w:t>Collection Methods and Follow-up</w:t>
      </w:r>
      <w:bookmarkEnd w:id="116"/>
      <w:bookmarkEnd w:id="117"/>
      <w:bookmarkEnd w:id="118"/>
    </w:p>
    <w:p w14:paraId="371C8F8A" w14:textId="77777777" w:rsidR="00650C2A" w:rsidRPr="00DF48C0" w:rsidRDefault="00650C2A" w:rsidP="00650C2A">
      <w:pPr>
        <w:pStyle w:val="Heading3"/>
        <w:rPr>
          <w:sz w:val="22"/>
          <w:szCs w:val="22"/>
        </w:rPr>
      </w:pPr>
      <w:bookmarkStart w:id="119" w:name="_Toc473195118"/>
      <w:r w:rsidRPr="00DF48C0">
        <w:rPr>
          <w:sz w:val="22"/>
          <w:szCs w:val="22"/>
        </w:rPr>
        <w:t>4(a)</w:t>
      </w:r>
      <w:r w:rsidRPr="00DF48C0">
        <w:rPr>
          <w:sz w:val="22"/>
          <w:szCs w:val="22"/>
        </w:rPr>
        <w:tab/>
        <w:t>Collection Methods</w:t>
      </w:r>
      <w:bookmarkEnd w:id="119"/>
    </w:p>
    <w:p w14:paraId="5DBB6012" w14:textId="77777777" w:rsidR="00650C2A" w:rsidRPr="00DF48C0" w:rsidRDefault="00650C2A" w:rsidP="00650C2A">
      <w:pPr>
        <w:spacing w:line="360" w:lineRule="auto"/>
        <w:rPr>
          <w:rFonts w:cs="Times New Roman"/>
        </w:rPr>
      </w:pPr>
    </w:p>
    <w:p w14:paraId="4FDA70A1" w14:textId="58F40CC5" w:rsidR="00D55D0D" w:rsidRDefault="00D55D0D" w:rsidP="00D55D0D">
      <w:pPr>
        <w:spacing w:line="360" w:lineRule="auto"/>
        <w:ind w:firstLine="720"/>
      </w:pPr>
      <w:r w:rsidRPr="002C3FD2">
        <w:t xml:space="preserve">The survey will be administered as a </w:t>
      </w:r>
      <w:r w:rsidR="00707349">
        <w:t>mixed-mode</w:t>
      </w:r>
      <w:r w:rsidRPr="002C3FD2">
        <w:t xml:space="preserve"> survey. Respondents will initially be sent a letter with a web URL and login information. A reminder letter will be sent one week later and a packet containing a paper version of the survey </w:t>
      </w:r>
      <w:r w:rsidR="006708FC">
        <w:t>two</w:t>
      </w:r>
      <w:r w:rsidR="006708FC" w:rsidRPr="002C3FD2">
        <w:t xml:space="preserve"> </w:t>
      </w:r>
      <w:r w:rsidRPr="002C3FD2">
        <w:t>week</w:t>
      </w:r>
      <w:r w:rsidR="006708FC">
        <w:t>s</w:t>
      </w:r>
      <w:r w:rsidRPr="002C3FD2">
        <w:t xml:space="preserve"> after that.</w:t>
      </w:r>
      <w:r w:rsidR="000E75BA">
        <w:t xml:space="preserve"> </w:t>
      </w:r>
      <w:r w:rsidRPr="002C3FD2">
        <w:t xml:space="preserve">A </w:t>
      </w:r>
      <w:r w:rsidR="00707349">
        <w:t>mixed-mode</w:t>
      </w:r>
      <w:r w:rsidRPr="002C3FD2">
        <w:t xml:space="preserve"> survey approach will allow respondents to choose the mode of survey completion. The first contacts will encourage completion of the survey via the internet. </w:t>
      </w:r>
      <w:r w:rsidR="000E75BA" w:rsidRPr="002C3FD2">
        <w:t xml:space="preserve">The mail mode will attract respondents who have limited or no internet access or prefer to complete a hardcopy version of the questionnaire. </w:t>
      </w:r>
      <w:r w:rsidRPr="002C3FD2">
        <w:t xml:space="preserve">Offering the internet option will allow respondents flexibility to start and stop the survey (continuing where the left off when they return to login) at their convenience. The online mode will also provide an interactive mapping tool that will provide a more specific pinpoint of locations selected by the respondent. The </w:t>
      </w:r>
      <w:r w:rsidR="00707349">
        <w:t>mixed-mode</w:t>
      </w:r>
      <w:r w:rsidRPr="002C3FD2">
        <w:t xml:space="preserve"> approach will help achieve the desired response rate</w:t>
      </w:r>
      <w:r w:rsidR="00A27FAB">
        <w:t>, and will balance the increased accuracy of the internet mapping with the opportunity to obtain a higher response rate by offering a paper survey option</w:t>
      </w:r>
      <w:r w:rsidRPr="002C3FD2">
        <w:t>.</w:t>
      </w:r>
    </w:p>
    <w:p w14:paraId="7CF59D40" w14:textId="77777777" w:rsidR="00650C2A" w:rsidRPr="00DF48C0" w:rsidRDefault="00650C2A" w:rsidP="00650C2A">
      <w:pPr>
        <w:spacing w:line="360" w:lineRule="auto"/>
        <w:ind w:firstLine="720"/>
        <w:rPr>
          <w:rFonts w:cs="Times New Roman"/>
        </w:rPr>
      </w:pPr>
    </w:p>
    <w:p w14:paraId="759EA9E4" w14:textId="77777777" w:rsidR="00650C2A" w:rsidRPr="00DF48C0" w:rsidRDefault="00650C2A" w:rsidP="00650C2A">
      <w:pPr>
        <w:pStyle w:val="Heading3"/>
        <w:rPr>
          <w:sz w:val="22"/>
          <w:szCs w:val="22"/>
        </w:rPr>
      </w:pPr>
      <w:bookmarkStart w:id="120" w:name="_Toc327184563"/>
      <w:bookmarkStart w:id="121" w:name="_Toc327362406"/>
      <w:bookmarkStart w:id="122" w:name="_Toc473195119"/>
      <w:r w:rsidRPr="00DF48C0">
        <w:rPr>
          <w:sz w:val="22"/>
          <w:szCs w:val="22"/>
        </w:rPr>
        <w:t>4(b)</w:t>
      </w:r>
      <w:r w:rsidRPr="00DF48C0">
        <w:rPr>
          <w:sz w:val="22"/>
          <w:szCs w:val="22"/>
        </w:rPr>
        <w:tab/>
        <w:t>Survey Response and Follow-up</w:t>
      </w:r>
      <w:bookmarkEnd w:id="120"/>
      <w:bookmarkEnd w:id="121"/>
      <w:bookmarkEnd w:id="122"/>
    </w:p>
    <w:p w14:paraId="62E88397" w14:textId="77777777" w:rsidR="00650C2A" w:rsidRPr="00DF48C0" w:rsidRDefault="00650C2A" w:rsidP="00650C2A">
      <w:pPr>
        <w:keepNext/>
        <w:spacing w:line="360" w:lineRule="auto"/>
        <w:rPr>
          <w:rFonts w:cs="Times New Roman"/>
        </w:rPr>
      </w:pPr>
    </w:p>
    <w:p w14:paraId="0D0D2A20" w14:textId="7943000B" w:rsidR="00650C2A" w:rsidRPr="00DF48C0" w:rsidRDefault="00650C2A" w:rsidP="00650C2A">
      <w:pPr>
        <w:pStyle w:val="BodyTextI2"/>
        <w:tabs>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3E1293">
        <w:rPr>
          <w:sz w:val="22"/>
          <w:szCs w:val="22"/>
        </w:rPr>
        <w:t xml:space="preserve">The </w:t>
      </w:r>
      <w:r w:rsidRPr="0088409A">
        <w:rPr>
          <w:sz w:val="22"/>
          <w:szCs w:val="22"/>
        </w:rPr>
        <w:t xml:space="preserve">estimated response rate for the survey is </w:t>
      </w:r>
      <w:r w:rsidR="00D55D0D" w:rsidRPr="00807445">
        <w:rPr>
          <w:sz w:val="22"/>
        </w:rPr>
        <w:t>27%</w:t>
      </w:r>
      <w:r w:rsidR="00D940DF">
        <w:rPr>
          <w:sz w:val="22"/>
        </w:rPr>
        <w:t xml:space="preserve"> </w:t>
      </w:r>
      <w:r w:rsidR="00D940DF" w:rsidRPr="00EB4A0F">
        <w:rPr>
          <w:sz w:val="20"/>
          <w:szCs w:val="22"/>
        </w:rPr>
        <w:t>(</w:t>
      </w:r>
      <w:r w:rsidR="00233DF0">
        <w:rPr>
          <w:sz w:val="20"/>
          <w:szCs w:val="22"/>
        </w:rPr>
        <w:t xml:space="preserve">Moore et al., 2014; </w:t>
      </w:r>
      <w:r w:rsidR="00D940DF" w:rsidRPr="00EB4A0F">
        <w:rPr>
          <w:sz w:val="22"/>
        </w:rPr>
        <w:t>Brennan</w:t>
      </w:r>
      <w:r w:rsidR="00D940DF">
        <w:rPr>
          <w:sz w:val="22"/>
        </w:rPr>
        <w:t>,</w:t>
      </w:r>
      <w:r w:rsidR="00D940DF" w:rsidRPr="00EB4A0F">
        <w:rPr>
          <w:sz w:val="22"/>
        </w:rPr>
        <w:t xml:space="preserve"> 2011</w:t>
      </w:r>
      <w:r w:rsidR="00D940DF">
        <w:rPr>
          <w:sz w:val="22"/>
        </w:rPr>
        <w:t>;</w:t>
      </w:r>
      <w:r w:rsidR="00D940DF" w:rsidRPr="00EB4A0F">
        <w:rPr>
          <w:sz w:val="22"/>
        </w:rPr>
        <w:t xml:space="preserve"> Edwards</w:t>
      </w:r>
      <w:r w:rsidR="00D940DF">
        <w:rPr>
          <w:sz w:val="22"/>
        </w:rPr>
        <w:t>,</w:t>
      </w:r>
      <w:r w:rsidR="00D940DF" w:rsidRPr="00EB4A0F">
        <w:rPr>
          <w:sz w:val="22"/>
        </w:rPr>
        <w:t xml:space="preserve"> 2014</w:t>
      </w:r>
      <w:r w:rsidR="00D940DF">
        <w:rPr>
          <w:sz w:val="22"/>
        </w:rPr>
        <w:t>;</w:t>
      </w:r>
      <w:r w:rsidR="00D940DF" w:rsidRPr="00EB4A0F">
        <w:rPr>
          <w:sz w:val="22"/>
        </w:rPr>
        <w:t xml:space="preserve"> Messer </w:t>
      </w:r>
      <w:r w:rsidR="00D940DF">
        <w:rPr>
          <w:sz w:val="22"/>
        </w:rPr>
        <w:t>&amp;</w:t>
      </w:r>
      <w:r w:rsidR="00D940DF" w:rsidRPr="00EB4A0F">
        <w:rPr>
          <w:sz w:val="22"/>
        </w:rPr>
        <w:t xml:space="preserve"> Dillman</w:t>
      </w:r>
      <w:r w:rsidR="00D940DF">
        <w:rPr>
          <w:sz w:val="22"/>
        </w:rPr>
        <w:t>,</w:t>
      </w:r>
      <w:r w:rsidR="00D940DF" w:rsidRPr="00EB4A0F">
        <w:rPr>
          <w:sz w:val="22"/>
        </w:rPr>
        <w:t xml:space="preserve"> 2011</w:t>
      </w:r>
      <w:r w:rsidR="00D940DF" w:rsidRPr="00EB4A0F">
        <w:rPr>
          <w:sz w:val="20"/>
          <w:szCs w:val="22"/>
        </w:rPr>
        <w:t>)</w:t>
      </w:r>
      <w:r w:rsidR="00D55D0D" w:rsidRPr="003E1293">
        <w:t xml:space="preserve">. </w:t>
      </w:r>
      <w:r w:rsidRPr="0088409A">
        <w:rPr>
          <w:sz w:val="22"/>
          <w:szCs w:val="22"/>
        </w:rPr>
        <w:t xml:space="preserve">That is, </w:t>
      </w:r>
      <w:r w:rsidR="00D55D0D" w:rsidRPr="0088409A">
        <w:rPr>
          <w:sz w:val="22"/>
          <w:szCs w:val="22"/>
        </w:rPr>
        <w:t>27</w:t>
      </w:r>
      <w:r w:rsidRPr="0088409A">
        <w:rPr>
          <w:sz w:val="22"/>
          <w:szCs w:val="22"/>
        </w:rPr>
        <w:t xml:space="preserve">% of the eligible households </w:t>
      </w:r>
      <w:r w:rsidR="00281710">
        <w:rPr>
          <w:sz w:val="22"/>
          <w:szCs w:val="22"/>
        </w:rPr>
        <w:t>receive</w:t>
      </w:r>
      <w:r w:rsidR="00253DCD">
        <w:rPr>
          <w:sz w:val="22"/>
          <w:szCs w:val="22"/>
        </w:rPr>
        <w:t xml:space="preserve"> </w:t>
      </w:r>
      <w:r w:rsidR="00281710">
        <w:rPr>
          <w:sz w:val="22"/>
          <w:szCs w:val="22"/>
        </w:rPr>
        <w:t xml:space="preserve">the </w:t>
      </w:r>
      <w:r w:rsidRPr="0088409A">
        <w:rPr>
          <w:sz w:val="22"/>
          <w:szCs w:val="22"/>
        </w:rPr>
        <w:t xml:space="preserve">survey </w:t>
      </w:r>
      <w:r w:rsidR="00281710">
        <w:rPr>
          <w:sz w:val="22"/>
          <w:szCs w:val="22"/>
        </w:rPr>
        <w:t xml:space="preserve">invitation </w:t>
      </w:r>
      <w:r w:rsidRPr="0088409A">
        <w:rPr>
          <w:sz w:val="22"/>
          <w:szCs w:val="22"/>
        </w:rPr>
        <w:t xml:space="preserve">are </w:t>
      </w:r>
      <w:r w:rsidRPr="003E1293">
        <w:rPr>
          <w:sz w:val="22"/>
          <w:szCs w:val="22"/>
        </w:rPr>
        <w:t>expected to return a completed survey. To obtain the highest response rate possible, EPA will follow Dillman</w:t>
      </w:r>
      <w:r w:rsidR="00707349" w:rsidRPr="003E1293">
        <w:rPr>
          <w:sz w:val="22"/>
          <w:szCs w:val="22"/>
        </w:rPr>
        <w:t xml:space="preserve"> et al.</w:t>
      </w:r>
      <w:r w:rsidRPr="003E1293">
        <w:rPr>
          <w:sz w:val="22"/>
          <w:szCs w:val="22"/>
        </w:rPr>
        <w:t>’s (</w:t>
      </w:r>
      <w:r w:rsidR="00D55D0D" w:rsidRPr="0088409A">
        <w:rPr>
          <w:sz w:val="22"/>
          <w:szCs w:val="22"/>
        </w:rPr>
        <w:t>2014</w:t>
      </w:r>
      <w:r w:rsidRPr="0088409A">
        <w:rPr>
          <w:sz w:val="22"/>
          <w:szCs w:val="22"/>
        </w:rPr>
        <w:t xml:space="preserve">) </w:t>
      </w:r>
      <w:r w:rsidR="00D55D0D" w:rsidRPr="0088409A">
        <w:rPr>
          <w:sz w:val="22"/>
          <w:szCs w:val="22"/>
        </w:rPr>
        <w:t>tailored-design method approach</w:t>
      </w:r>
      <w:r w:rsidR="000E75BA" w:rsidRPr="003E1293">
        <w:rPr>
          <w:sz w:val="22"/>
          <w:szCs w:val="22"/>
        </w:rPr>
        <w:t>, as described above</w:t>
      </w:r>
      <w:r w:rsidRPr="003E1293">
        <w:rPr>
          <w:sz w:val="22"/>
          <w:szCs w:val="22"/>
        </w:rPr>
        <w:t>.</w:t>
      </w:r>
      <w:r w:rsidRPr="00DF48C0">
        <w:rPr>
          <w:sz w:val="22"/>
          <w:szCs w:val="22"/>
        </w:rPr>
        <w:t xml:space="preserve"> </w:t>
      </w:r>
    </w:p>
    <w:p w14:paraId="4D15C12D" w14:textId="5F1E29B5" w:rsidR="00650C2A" w:rsidRPr="00DF48C0" w:rsidRDefault="00650C2A" w:rsidP="00650C2A">
      <w:pPr>
        <w:pStyle w:val="Heading2"/>
        <w:rPr>
          <w:sz w:val="22"/>
          <w:szCs w:val="22"/>
        </w:rPr>
      </w:pPr>
    </w:p>
    <w:p w14:paraId="76A9425E" w14:textId="77777777" w:rsidR="00F26397" w:rsidRPr="00DF48C0" w:rsidRDefault="00F26397" w:rsidP="00F26397">
      <w:pPr>
        <w:pStyle w:val="Heading2"/>
        <w:rPr>
          <w:sz w:val="22"/>
          <w:szCs w:val="22"/>
        </w:rPr>
      </w:pPr>
      <w:bookmarkStart w:id="123" w:name="_Toc327184564"/>
      <w:bookmarkStart w:id="124" w:name="_Toc327362407"/>
      <w:bookmarkStart w:id="125" w:name="_Toc473195120"/>
      <w:r w:rsidRPr="00DF48C0">
        <w:rPr>
          <w:sz w:val="22"/>
          <w:szCs w:val="22"/>
        </w:rPr>
        <w:t>5.</w:t>
      </w:r>
      <w:r w:rsidRPr="00DF48C0">
        <w:rPr>
          <w:sz w:val="22"/>
          <w:szCs w:val="22"/>
        </w:rPr>
        <w:tab/>
        <w:t>Analyzing and Reporting Survey Results</w:t>
      </w:r>
      <w:bookmarkEnd w:id="123"/>
      <w:bookmarkEnd w:id="124"/>
      <w:bookmarkEnd w:id="125"/>
    </w:p>
    <w:p w14:paraId="5663F4DA" w14:textId="77777777" w:rsidR="00F26397" w:rsidRPr="00DF48C0" w:rsidRDefault="00F26397" w:rsidP="00F26397">
      <w:pPr>
        <w:pStyle w:val="Heading3"/>
        <w:rPr>
          <w:sz w:val="22"/>
          <w:szCs w:val="22"/>
        </w:rPr>
      </w:pPr>
      <w:bookmarkStart w:id="126" w:name="_Toc327184565"/>
      <w:bookmarkStart w:id="127" w:name="_Toc327362408"/>
      <w:bookmarkStart w:id="128" w:name="_Toc473195121"/>
      <w:r w:rsidRPr="00DF48C0">
        <w:rPr>
          <w:sz w:val="22"/>
          <w:szCs w:val="22"/>
        </w:rPr>
        <w:t>5(a)</w:t>
      </w:r>
      <w:r w:rsidRPr="00DF48C0">
        <w:rPr>
          <w:sz w:val="22"/>
          <w:szCs w:val="22"/>
        </w:rPr>
        <w:tab/>
        <w:t>Data Preparation</w:t>
      </w:r>
      <w:bookmarkEnd w:id="126"/>
      <w:bookmarkEnd w:id="127"/>
      <w:bookmarkEnd w:id="128"/>
    </w:p>
    <w:p w14:paraId="53B52DD4" w14:textId="77777777" w:rsidR="00F26397" w:rsidRPr="00DF48C0" w:rsidRDefault="00F26397" w:rsidP="00F26397">
      <w:pPr>
        <w:keepNext/>
        <w:spacing w:line="360" w:lineRule="auto"/>
        <w:ind w:firstLine="720"/>
        <w:rPr>
          <w:rFonts w:cs="Times New Roman"/>
        </w:rPr>
      </w:pPr>
    </w:p>
    <w:p w14:paraId="68AC07AA" w14:textId="62907460" w:rsidR="00F26397" w:rsidRPr="00DF48C0" w:rsidRDefault="004B2E37" w:rsidP="00F26397">
      <w:pPr>
        <w:spacing w:line="360" w:lineRule="auto"/>
        <w:ind w:firstLine="720"/>
        <w:rPr>
          <w:rFonts w:cs="Times New Roman"/>
        </w:rPr>
      </w:pPr>
      <w:r>
        <w:rPr>
          <w:rFonts w:cs="Times New Roman"/>
        </w:rPr>
        <w:t>S</w:t>
      </w:r>
      <w:r w:rsidR="00F26397" w:rsidRPr="00DF48C0">
        <w:rPr>
          <w:rFonts w:cs="Times New Roman"/>
        </w:rPr>
        <w:t>urvey</w:t>
      </w:r>
      <w:r w:rsidR="00B70996" w:rsidRPr="00DF48C0">
        <w:rPr>
          <w:rFonts w:cs="Times New Roman"/>
        </w:rPr>
        <w:t xml:space="preserve"> responses to the web survey will be automatically entered into a database and </w:t>
      </w:r>
      <w:r w:rsidR="00F26397" w:rsidRPr="00DF48C0">
        <w:rPr>
          <w:rFonts w:cs="Times New Roman"/>
        </w:rPr>
        <w:t xml:space="preserve">responses </w:t>
      </w:r>
      <w:r w:rsidR="00B70996" w:rsidRPr="00DF48C0">
        <w:rPr>
          <w:rFonts w:cs="Times New Roman"/>
        </w:rPr>
        <w:t xml:space="preserve">to the paper survey </w:t>
      </w:r>
      <w:r w:rsidR="00F26397" w:rsidRPr="00DF48C0">
        <w:rPr>
          <w:rFonts w:cs="Times New Roman"/>
        </w:rPr>
        <w:t>will be entered into an electronic database after they are returned.</w:t>
      </w:r>
      <w:r w:rsidR="004B5D91" w:rsidRPr="00DF48C0">
        <w:rPr>
          <w:rFonts w:cs="Times New Roman"/>
        </w:rPr>
        <w:t xml:space="preserve"> </w:t>
      </w:r>
      <w:r w:rsidR="00F26397" w:rsidRPr="00DF48C0">
        <w:rPr>
          <w:rFonts w:cs="Times New Roman"/>
        </w:rPr>
        <w:t>EPA will also clean the data to ensure that the data are entered in a consistent manner and any inconsistencies are addressed. Specifically, we will use the Double Entry data entry method for closed-ended responses. The Double Entry method consists of data being keyed twice and compared. Discrepancies are reconciled upon completion of the second entry.</w:t>
      </w:r>
      <w:r w:rsidR="004B5D91" w:rsidRPr="00DF48C0">
        <w:rPr>
          <w:rFonts w:cs="Times New Roman"/>
        </w:rPr>
        <w:t xml:space="preserve"> </w:t>
      </w:r>
      <w:r w:rsidR="00F26397" w:rsidRPr="00DF48C0">
        <w:rPr>
          <w:rFonts w:cs="Times New Roman"/>
        </w:rPr>
        <w:t xml:space="preserve">After all responses have been entered, the database contents will be converted into a format suitable for use with a statistical analysis software package. </w:t>
      </w:r>
    </w:p>
    <w:p w14:paraId="2AAEE2F2" w14:textId="77777777" w:rsidR="00F26397" w:rsidRPr="00DF48C0" w:rsidRDefault="00F26397" w:rsidP="00F26397">
      <w:pPr>
        <w:pStyle w:val="Level9"/>
        <w:keepNext/>
        <w:widowControl/>
        <w:spacing w:line="360" w:lineRule="auto"/>
        <w:rPr>
          <w:sz w:val="22"/>
          <w:szCs w:val="22"/>
        </w:rPr>
      </w:pPr>
    </w:p>
    <w:p w14:paraId="12451DC2" w14:textId="77777777" w:rsidR="00CF16D3" w:rsidRPr="00DF48C0" w:rsidRDefault="00CF16D3">
      <w:pPr>
        <w:pStyle w:val="Heading3"/>
        <w:rPr>
          <w:sz w:val="22"/>
          <w:szCs w:val="22"/>
        </w:rPr>
      </w:pPr>
      <w:bookmarkStart w:id="129" w:name="_Toc473195122"/>
      <w:bookmarkStart w:id="130" w:name="_Toc327184566"/>
      <w:bookmarkStart w:id="131" w:name="_Toc327362409"/>
      <w:r w:rsidRPr="00DF48C0">
        <w:rPr>
          <w:sz w:val="22"/>
          <w:szCs w:val="22"/>
        </w:rPr>
        <w:t>5(b)</w:t>
      </w:r>
      <w:r w:rsidRPr="00DF48C0">
        <w:rPr>
          <w:sz w:val="22"/>
          <w:szCs w:val="22"/>
        </w:rPr>
        <w:tab/>
        <w:t>Analysis</w:t>
      </w:r>
      <w:bookmarkEnd w:id="129"/>
    </w:p>
    <w:p w14:paraId="009345AA" w14:textId="77777777" w:rsidR="00CF16D3" w:rsidRPr="00DF48C0" w:rsidRDefault="00CF16D3" w:rsidP="0097614E">
      <w:pPr>
        <w:pStyle w:val="Level9"/>
        <w:keepNext/>
        <w:widowControl/>
        <w:spacing w:line="360" w:lineRule="auto"/>
        <w:rPr>
          <w:b w:val="0"/>
          <w:i/>
          <w:sz w:val="22"/>
          <w:szCs w:val="22"/>
        </w:rPr>
      </w:pPr>
    </w:p>
    <w:p w14:paraId="2CE4485A" w14:textId="5ACD6223" w:rsidR="00CF16D3" w:rsidRPr="00DF48C0" w:rsidRDefault="00CF16D3" w:rsidP="002730A2">
      <w:pPr>
        <w:pStyle w:val="BodyTextI2"/>
        <w:tabs>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DF48C0">
        <w:rPr>
          <w:sz w:val="22"/>
          <w:szCs w:val="22"/>
        </w:rPr>
        <w:t>Once the survey data ha</w:t>
      </w:r>
      <w:r w:rsidR="006E4690" w:rsidRPr="00DF48C0">
        <w:rPr>
          <w:sz w:val="22"/>
          <w:szCs w:val="22"/>
        </w:rPr>
        <w:t>ve</w:t>
      </w:r>
      <w:r w:rsidRPr="00DF48C0">
        <w:rPr>
          <w:sz w:val="22"/>
          <w:szCs w:val="22"/>
        </w:rPr>
        <w:t xml:space="preserve"> been converted into a data file, </w:t>
      </w:r>
      <w:r w:rsidR="006E4690" w:rsidRPr="00DF48C0">
        <w:rPr>
          <w:sz w:val="22"/>
          <w:szCs w:val="22"/>
        </w:rPr>
        <w:t xml:space="preserve">data </w:t>
      </w:r>
      <w:r w:rsidRPr="00DF48C0">
        <w:rPr>
          <w:sz w:val="22"/>
          <w:szCs w:val="22"/>
        </w:rPr>
        <w:t xml:space="preserve">will be analyzed using statistical analysis techniques. </w:t>
      </w:r>
      <w:r w:rsidR="00105AE3">
        <w:rPr>
          <w:sz w:val="22"/>
          <w:szCs w:val="22"/>
        </w:rPr>
        <w:t xml:space="preserve">Our primary model will be a </w:t>
      </w:r>
      <w:r w:rsidR="004B2E37">
        <w:rPr>
          <w:sz w:val="22"/>
          <w:szCs w:val="22"/>
        </w:rPr>
        <w:t>RUM</w:t>
      </w:r>
      <w:r w:rsidR="00105AE3">
        <w:rPr>
          <w:sz w:val="22"/>
          <w:szCs w:val="22"/>
        </w:rPr>
        <w:t xml:space="preserve"> model that will be used to value changes in water quality for recreation trips. We will also be estimating ancillary regression models to examine how people’s water quality perceptions relate to objective water quality measures, and to explore the relationship between sense of place and perceptions of water quality. </w:t>
      </w:r>
      <w:r w:rsidRPr="00DF48C0">
        <w:rPr>
          <w:sz w:val="22"/>
          <w:szCs w:val="22"/>
        </w:rPr>
        <w:t xml:space="preserve">The following section discusses the </w:t>
      </w:r>
      <w:r w:rsidR="00105AE3">
        <w:rPr>
          <w:sz w:val="22"/>
          <w:szCs w:val="22"/>
        </w:rPr>
        <w:t xml:space="preserve">primary </w:t>
      </w:r>
      <w:r w:rsidRPr="00DF48C0">
        <w:rPr>
          <w:sz w:val="22"/>
          <w:szCs w:val="22"/>
        </w:rPr>
        <w:t xml:space="preserve">model that will be used to analyze the </w:t>
      </w:r>
      <w:r w:rsidR="000D16C4" w:rsidRPr="00DF48C0">
        <w:rPr>
          <w:sz w:val="22"/>
          <w:szCs w:val="22"/>
        </w:rPr>
        <w:t xml:space="preserve">revealed </w:t>
      </w:r>
      <w:r w:rsidRPr="00DF48C0">
        <w:rPr>
          <w:sz w:val="22"/>
          <w:szCs w:val="22"/>
        </w:rPr>
        <w:t>preference data from the survey.</w:t>
      </w:r>
    </w:p>
    <w:p w14:paraId="4CB86403" w14:textId="77777777" w:rsidR="00CF16D3" w:rsidRPr="00DF48C0" w:rsidRDefault="00CF16D3" w:rsidP="0097614E">
      <w:pPr>
        <w:spacing w:line="360" w:lineRule="auto"/>
        <w:rPr>
          <w:rFonts w:cs="Times New Roman"/>
        </w:rPr>
      </w:pPr>
    </w:p>
    <w:p w14:paraId="58E198B9" w14:textId="77777777" w:rsidR="00CF16D3" w:rsidRPr="00DF48C0" w:rsidRDefault="00CF16D3" w:rsidP="0097614E">
      <w:pPr>
        <w:spacing w:line="360" w:lineRule="auto"/>
        <w:rPr>
          <w:rFonts w:cs="Times New Roman"/>
          <w:i/>
        </w:rPr>
      </w:pPr>
      <w:r w:rsidRPr="00DF48C0">
        <w:rPr>
          <w:rFonts w:cs="Times New Roman"/>
          <w:i/>
        </w:rPr>
        <w:t>Analysis of Revealed Preference Data</w:t>
      </w:r>
    </w:p>
    <w:p w14:paraId="61ACDA41" w14:textId="58997790" w:rsidR="00CF16D3" w:rsidRPr="00DF48C0" w:rsidRDefault="00CF16D3" w:rsidP="002730A2">
      <w:pPr>
        <w:pStyle w:val="BodyTextI2"/>
        <w:tabs>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DF48C0">
        <w:rPr>
          <w:sz w:val="22"/>
          <w:szCs w:val="22"/>
        </w:rPr>
        <w:t>The model for analysis of revealed preference data is grounded in the standard random utility model (RUM) applied to recreation site choice data. Bockstael, Hanemann and Kling (1987) wrote the seminal works applying the model to recreation demand, which was</w:t>
      </w:r>
      <w:r w:rsidR="00265AEE">
        <w:rPr>
          <w:sz w:val="22"/>
          <w:szCs w:val="22"/>
        </w:rPr>
        <w:t xml:space="preserve"> </w:t>
      </w:r>
      <w:r w:rsidRPr="00DF48C0">
        <w:rPr>
          <w:sz w:val="22"/>
          <w:szCs w:val="22"/>
        </w:rPr>
        <w:t xml:space="preserve">also concerned specifically with recreation and water quality. The RUM model is applied extensively within revealed preference research, and allows for well-defined welfare measures (i.e., willingness to pay) to be derived from observed recreation choice behavior using the travel cost method (Phaneuf </w:t>
      </w:r>
      <w:r w:rsidR="00D940DF">
        <w:rPr>
          <w:sz w:val="22"/>
          <w:szCs w:val="22"/>
        </w:rPr>
        <w:t>&amp;</w:t>
      </w:r>
      <w:r w:rsidRPr="00DF48C0">
        <w:rPr>
          <w:sz w:val="22"/>
          <w:szCs w:val="22"/>
        </w:rPr>
        <w:t xml:space="preserve"> </w:t>
      </w:r>
      <w:r w:rsidR="003832C0">
        <w:rPr>
          <w:sz w:val="22"/>
          <w:szCs w:val="22"/>
        </w:rPr>
        <w:t>Smith</w:t>
      </w:r>
      <w:r w:rsidR="00D940DF">
        <w:rPr>
          <w:sz w:val="22"/>
          <w:szCs w:val="22"/>
        </w:rPr>
        <w:t>,</w:t>
      </w:r>
      <w:r w:rsidRPr="00DF48C0">
        <w:rPr>
          <w:sz w:val="22"/>
          <w:szCs w:val="22"/>
        </w:rPr>
        <w:t xml:space="preserve"> 2005; </w:t>
      </w:r>
      <w:r w:rsidR="00D940DF" w:rsidRPr="00DF48C0">
        <w:rPr>
          <w:sz w:val="22"/>
          <w:szCs w:val="22"/>
        </w:rPr>
        <w:t>Parsons</w:t>
      </w:r>
      <w:r w:rsidR="00D940DF">
        <w:rPr>
          <w:sz w:val="22"/>
          <w:szCs w:val="22"/>
        </w:rPr>
        <w:t>,</w:t>
      </w:r>
      <w:r w:rsidR="006708FC">
        <w:rPr>
          <w:sz w:val="22"/>
          <w:szCs w:val="22"/>
        </w:rPr>
        <w:t xml:space="preserve"> </w:t>
      </w:r>
      <w:r w:rsidRPr="00DF48C0">
        <w:rPr>
          <w:sz w:val="22"/>
          <w:szCs w:val="22"/>
        </w:rPr>
        <w:t xml:space="preserve">2014). </w:t>
      </w:r>
    </w:p>
    <w:p w14:paraId="2DC52B62" w14:textId="6BF4654E" w:rsidR="00493662" w:rsidRPr="00A00F66" w:rsidRDefault="00CF16D3" w:rsidP="002730A2">
      <w:pPr>
        <w:pStyle w:val="BodyTextI2"/>
        <w:tabs>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DF48C0">
        <w:rPr>
          <w:sz w:val="22"/>
          <w:szCs w:val="22"/>
        </w:rPr>
        <w:t>Within the standard RUM applied to recreation choice behavior, individuals’ choice decisions as to where to recreate are ba</w:t>
      </w:r>
      <w:r w:rsidR="002730A2" w:rsidRPr="00DF48C0">
        <w:rPr>
          <w:sz w:val="22"/>
          <w:szCs w:val="22"/>
        </w:rPr>
        <w:t>sed on choosing the alternative</w:t>
      </w:r>
      <w:r w:rsidRPr="00DF48C0">
        <w:rPr>
          <w:sz w:val="22"/>
          <w:szCs w:val="22"/>
        </w:rPr>
        <w:t xml:space="preserve"> that gives the highest utility. The individual is assumed to face a set of I possible sites for a trip. The sites might be beaches, parks, public accesses, </w:t>
      </w:r>
      <w:r w:rsidR="002730A2" w:rsidRPr="00DF48C0">
        <w:rPr>
          <w:sz w:val="22"/>
          <w:szCs w:val="22"/>
        </w:rPr>
        <w:t xml:space="preserve">etc. </w:t>
      </w:r>
      <w:r w:rsidRPr="00DF48C0">
        <w:rPr>
          <w:sz w:val="22"/>
          <w:szCs w:val="22"/>
        </w:rPr>
        <w:t>(Parsons</w:t>
      </w:r>
      <w:r w:rsidR="00D940DF">
        <w:rPr>
          <w:sz w:val="22"/>
          <w:szCs w:val="22"/>
        </w:rPr>
        <w:t>,</w:t>
      </w:r>
      <w:r w:rsidRPr="00DF48C0">
        <w:rPr>
          <w:sz w:val="22"/>
          <w:szCs w:val="22"/>
        </w:rPr>
        <w:t xml:space="preserve"> 2014). Each site i (i=1,</w:t>
      </w:r>
      <w:r w:rsidR="00EB1846">
        <w:rPr>
          <w:sz w:val="22"/>
          <w:szCs w:val="22"/>
        </w:rPr>
        <w:t xml:space="preserve"> </w:t>
      </w:r>
      <w:r w:rsidRPr="00DF48C0">
        <w:rPr>
          <w:sz w:val="22"/>
          <w:szCs w:val="22"/>
        </w:rPr>
        <w:t>2…</w:t>
      </w:r>
      <w:r w:rsidR="00493662">
        <w:rPr>
          <w:sz w:val="22"/>
          <w:szCs w:val="22"/>
        </w:rPr>
        <w:t>I</w:t>
      </w:r>
      <w:r w:rsidRPr="00DF48C0">
        <w:rPr>
          <w:sz w:val="22"/>
          <w:szCs w:val="22"/>
        </w:rPr>
        <w:t xml:space="preserve">) is assumed to </w:t>
      </w:r>
      <w:r w:rsidRPr="00507C3D">
        <w:rPr>
          <w:sz w:val="22"/>
          <w:szCs w:val="22"/>
        </w:rPr>
        <w:t>give the individual, n</w:t>
      </w:r>
      <w:r w:rsidR="002730A2" w:rsidRPr="00507C3D">
        <w:rPr>
          <w:sz w:val="22"/>
          <w:szCs w:val="22"/>
        </w:rPr>
        <w:t xml:space="preserve">, </w:t>
      </w:r>
      <w:r w:rsidR="00493662" w:rsidRPr="00A00F66">
        <w:rPr>
          <w:sz w:val="22"/>
          <w:szCs w:val="22"/>
        </w:rPr>
        <w:t xml:space="preserve">some utility </w:t>
      </w:r>
      <m:oMath>
        <m:sSub>
          <m:sSubPr>
            <m:ctrlPr>
              <w:rPr>
                <w:rFonts w:ascii="Cambria Math" w:hAnsi="Cambria Math"/>
                <w:sz w:val="22"/>
                <w:szCs w:val="22"/>
              </w:rPr>
            </m:ctrlPr>
          </m:sSubPr>
          <m:e>
            <m:r>
              <w:rPr>
                <w:rFonts w:ascii="Cambria Math" w:hAnsi="Cambria Math"/>
                <w:sz w:val="22"/>
                <w:szCs w:val="22"/>
              </w:rPr>
              <m:t>U</m:t>
            </m:r>
          </m:e>
          <m:sub>
            <m:r>
              <w:rPr>
                <w:rFonts w:ascii="Cambria Math" w:hAnsi="Cambria Math"/>
                <w:sz w:val="22"/>
                <w:szCs w:val="22"/>
              </w:rPr>
              <m:t>in</m:t>
            </m:r>
          </m:sub>
        </m:sSub>
      </m:oMath>
      <w:r w:rsidR="00493662" w:rsidRPr="00A00F66">
        <w:rPr>
          <w:sz w:val="22"/>
          <w:szCs w:val="22"/>
        </w:rPr>
        <w:t xml:space="preserve"> on a given choice occasion.</w:t>
      </w:r>
    </w:p>
    <w:p w14:paraId="6192D019" w14:textId="77777777" w:rsidR="00493662" w:rsidRPr="00D46956" w:rsidRDefault="00CF16D3" w:rsidP="00493662">
      <w:pPr>
        <w:pStyle w:val="BodyTextI2"/>
        <w:tabs>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DF48C0">
        <w:rPr>
          <w:sz w:val="22"/>
          <w:szCs w:val="22"/>
        </w:rPr>
        <w:t xml:space="preserve">Following standard random utility theory, utility is assumed known to the respondent, but </w:t>
      </w:r>
      <w:r w:rsidRPr="00645474">
        <w:rPr>
          <w:sz w:val="22"/>
          <w:szCs w:val="22"/>
        </w:rPr>
        <w:t xml:space="preserve">stochastic from the perspective of the researcher, </w:t>
      </w:r>
      <w:r w:rsidR="00493662" w:rsidRPr="00D46956">
        <w:rPr>
          <w:sz w:val="22"/>
          <w:szCs w:val="22"/>
        </w:rPr>
        <w:t>such that:</w:t>
      </w:r>
    </w:p>
    <w:p w14:paraId="58463489" w14:textId="77777777" w:rsidR="00493662" w:rsidRPr="00D46956" w:rsidRDefault="00493662" w:rsidP="00493662">
      <w:pPr>
        <w:spacing w:line="360" w:lineRule="auto"/>
        <w:rPr>
          <w:rFonts w:cs="Times New Roman"/>
        </w:rPr>
      </w:pPr>
    </w:p>
    <w:p w14:paraId="185A435D" w14:textId="77777777" w:rsidR="00493662" w:rsidRPr="00D46956" w:rsidRDefault="00EF0CD0" w:rsidP="00493662">
      <w:pPr>
        <w:pStyle w:val="ListParagraph"/>
        <w:numPr>
          <w:ilvl w:val="0"/>
          <w:numId w:val="9"/>
        </w:numPr>
        <w:spacing w:after="160" w:line="360" w:lineRule="auto"/>
        <w:rPr>
          <w:rFonts w:ascii="Times New Roman" w:hAnsi="Times New Roman"/>
          <w:lang w:val="es-ES"/>
        </w:rPr>
      </w:pPr>
      <m:oMath>
        <m:sSub>
          <m:sSubPr>
            <m:ctrlPr>
              <w:rPr>
                <w:rFonts w:ascii="Cambria Math" w:hAnsi="Cambria Math"/>
                <w:i/>
                <w:lang w:val="es-ES"/>
              </w:rPr>
            </m:ctrlPr>
          </m:sSubPr>
          <m:e>
            <m:r>
              <w:rPr>
                <w:rFonts w:ascii="Cambria Math" w:hAnsi="Cambria Math"/>
                <w:lang w:val="es-ES"/>
              </w:rPr>
              <m:t>U</m:t>
            </m:r>
          </m:e>
          <m:sub>
            <m:r>
              <w:rPr>
                <w:rFonts w:ascii="Cambria Math" w:hAnsi="Cambria Math"/>
                <w:lang w:val="es-ES"/>
              </w:rPr>
              <m:t>in</m:t>
            </m:r>
          </m:sub>
        </m:sSub>
        <m:d>
          <m:dPr>
            <m:ctrlPr>
              <w:rPr>
                <w:rFonts w:ascii="Cambria Math" w:hAnsi="Cambria Math"/>
                <w:i/>
                <w:lang w:val="es-ES"/>
              </w:rPr>
            </m:ctrlPr>
          </m:dPr>
          <m:e>
            <m:r>
              <m:rPr>
                <m:sty m:val="bi"/>
              </m:rPr>
              <w:rPr>
                <w:rFonts w:ascii="Cambria Math" w:hAnsi="Cambria Math"/>
                <w:vertAlign w:val="superscript"/>
                <w:lang w:val="es-ES"/>
              </w:rPr>
              <m:t>∙</m:t>
            </m:r>
          </m:e>
        </m:d>
        <m:r>
          <w:rPr>
            <w:rFonts w:ascii="Cambria Math" w:hAnsi="Cambria Math"/>
            <w:lang w:val="es-ES"/>
          </w:rPr>
          <m:t>= U</m:t>
        </m:r>
        <m:d>
          <m:dPr>
            <m:ctrlPr>
              <w:rPr>
                <w:rFonts w:ascii="Cambria Math" w:hAnsi="Cambria Math"/>
                <w:i/>
                <w:lang w:val="es-ES"/>
              </w:rPr>
            </m:ctrlPr>
          </m:dPr>
          <m:e>
            <m:sSub>
              <m:sSubPr>
                <m:ctrlPr>
                  <w:rPr>
                    <w:rFonts w:ascii="Cambria Math" w:hAnsi="Cambria Math"/>
                    <w:b/>
                    <w:bCs/>
                    <w:i/>
                    <w:lang w:val="es-ES"/>
                  </w:rPr>
                </m:ctrlPr>
              </m:sSubPr>
              <m:e>
                <m:r>
                  <m:rPr>
                    <m:sty m:val="bi"/>
                  </m:rPr>
                  <w:rPr>
                    <w:rFonts w:ascii="Cambria Math" w:hAnsi="Cambria Math"/>
                    <w:lang w:val="es-ES"/>
                  </w:rPr>
                  <m:t>X</m:t>
                </m:r>
              </m:e>
              <m:sub>
                <m:r>
                  <m:rPr>
                    <m:sty m:val="bi"/>
                  </m:rPr>
                  <w:rPr>
                    <w:rFonts w:ascii="Cambria Math" w:hAnsi="Cambria Math"/>
                    <w:lang w:val="es-ES"/>
                  </w:rPr>
                  <m:t>i</m:t>
                </m:r>
              </m:sub>
            </m:sSub>
            <m:r>
              <w:rPr>
                <w:rFonts w:ascii="Cambria Math" w:hAnsi="Cambria Math"/>
                <w:lang w:val="es-ES"/>
              </w:rPr>
              <m:t xml:space="preserve">, </m:t>
            </m:r>
            <m:sSub>
              <m:sSubPr>
                <m:ctrlPr>
                  <w:rPr>
                    <w:rFonts w:ascii="Cambria Math" w:hAnsi="Cambria Math"/>
                    <w:b/>
                    <w:bCs/>
                    <w:i/>
                    <w:lang w:val="es-ES"/>
                  </w:rPr>
                </m:ctrlPr>
              </m:sSubPr>
              <m:e>
                <m:r>
                  <m:rPr>
                    <m:sty m:val="bi"/>
                  </m:rPr>
                  <w:rPr>
                    <w:rFonts w:ascii="Cambria Math" w:hAnsi="Cambria Math"/>
                    <w:lang w:val="es-ES"/>
                  </w:rPr>
                  <m:t>D</m:t>
                </m:r>
              </m:e>
              <m:sub>
                <m:r>
                  <m:rPr>
                    <m:sty m:val="bi"/>
                  </m:rPr>
                  <w:rPr>
                    <w:rFonts w:ascii="Cambria Math" w:hAnsi="Cambria Math"/>
                    <w:lang w:val="es-ES"/>
                  </w:rPr>
                  <m:t>n</m:t>
                </m:r>
              </m:sub>
            </m:sSub>
            <m:r>
              <w:rPr>
                <w:rFonts w:ascii="Cambria Math" w:hAnsi="Cambria Math"/>
                <w:lang w:val="es-ES"/>
              </w:rPr>
              <m:t>,</m:t>
            </m:r>
            <m:sSub>
              <m:sSubPr>
                <m:ctrlPr>
                  <w:rPr>
                    <w:rFonts w:ascii="Cambria Math" w:hAnsi="Cambria Math"/>
                    <w:i/>
                    <w:lang w:val="es-ES"/>
                  </w:rPr>
                </m:ctrlPr>
              </m:sSubPr>
              <m:e>
                <m:r>
                  <w:rPr>
                    <w:rFonts w:ascii="Cambria Math" w:hAnsi="Cambria Math"/>
                    <w:lang w:val="es-ES"/>
                  </w:rPr>
                  <m:t xml:space="preserve"> T</m:t>
                </m:r>
              </m:e>
              <m:sub>
                <m:r>
                  <w:rPr>
                    <w:rFonts w:ascii="Cambria Math" w:hAnsi="Cambria Math"/>
                    <w:lang w:val="es-ES"/>
                  </w:rPr>
                  <m:t>in</m:t>
                </m:r>
              </m:sub>
            </m:sSub>
          </m:e>
        </m:d>
        <m:r>
          <w:rPr>
            <w:rFonts w:ascii="Cambria Math" w:hAnsi="Cambria Math"/>
            <w:lang w:val="es-ES"/>
          </w:rPr>
          <m:t>= v(</m:t>
        </m:r>
        <m:sSub>
          <m:sSubPr>
            <m:ctrlPr>
              <w:rPr>
                <w:rFonts w:ascii="Cambria Math" w:hAnsi="Cambria Math"/>
                <w:b/>
                <w:bCs/>
                <w:i/>
                <w:lang w:val="es-ES"/>
              </w:rPr>
            </m:ctrlPr>
          </m:sSubPr>
          <m:e>
            <m:r>
              <m:rPr>
                <m:sty m:val="bi"/>
              </m:rPr>
              <w:rPr>
                <w:rFonts w:ascii="Cambria Math" w:hAnsi="Cambria Math"/>
                <w:lang w:val="es-ES"/>
              </w:rPr>
              <m:t>X</m:t>
            </m:r>
          </m:e>
          <m:sub>
            <m:r>
              <m:rPr>
                <m:sty m:val="bi"/>
              </m:rPr>
              <w:rPr>
                <w:rFonts w:ascii="Cambria Math" w:hAnsi="Cambria Math"/>
                <w:lang w:val="es-ES"/>
              </w:rPr>
              <m:t>i</m:t>
            </m:r>
          </m:sub>
        </m:sSub>
        <m:r>
          <w:rPr>
            <w:rFonts w:ascii="Cambria Math" w:hAnsi="Cambria Math"/>
            <w:lang w:val="es-ES"/>
          </w:rPr>
          <m:t xml:space="preserve">,  </m:t>
        </m:r>
        <m:sSub>
          <m:sSubPr>
            <m:ctrlPr>
              <w:rPr>
                <w:rFonts w:ascii="Cambria Math" w:hAnsi="Cambria Math"/>
                <w:b/>
                <w:bCs/>
                <w:i/>
                <w:lang w:val="es-ES"/>
              </w:rPr>
            </m:ctrlPr>
          </m:sSubPr>
          <m:e>
            <m:r>
              <m:rPr>
                <m:sty m:val="bi"/>
              </m:rPr>
              <w:rPr>
                <w:rFonts w:ascii="Cambria Math" w:hAnsi="Cambria Math"/>
                <w:lang w:val="es-ES"/>
              </w:rPr>
              <m:t>D</m:t>
            </m:r>
          </m:e>
          <m:sub>
            <m:r>
              <m:rPr>
                <m:sty m:val="bi"/>
              </m:rPr>
              <w:rPr>
                <w:rFonts w:ascii="Cambria Math" w:hAnsi="Cambria Math"/>
                <w:lang w:val="es-ES"/>
              </w:rPr>
              <m:t>n</m:t>
            </m:r>
          </m:sub>
        </m:sSub>
        <m:r>
          <w:rPr>
            <w:rFonts w:ascii="Cambria Math" w:hAnsi="Cambria Math"/>
            <w:lang w:val="es-ES"/>
          </w:rPr>
          <m:t xml:space="preserve">, </m:t>
        </m:r>
        <m:sSub>
          <m:sSubPr>
            <m:ctrlPr>
              <w:rPr>
                <w:rFonts w:ascii="Cambria Math" w:hAnsi="Cambria Math"/>
                <w:i/>
                <w:lang w:val="es-ES"/>
              </w:rPr>
            </m:ctrlPr>
          </m:sSubPr>
          <m:e>
            <m:r>
              <w:rPr>
                <w:rFonts w:ascii="Cambria Math" w:hAnsi="Cambria Math"/>
                <w:lang w:val="es-ES"/>
              </w:rPr>
              <m:t xml:space="preserve"> T</m:t>
            </m:r>
          </m:e>
          <m:sub>
            <m:r>
              <w:rPr>
                <w:rFonts w:ascii="Cambria Math" w:hAnsi="Cambria Math"/>
                <w:lang w:val="es-ES"/>
              </w:rPr>
              <m:t>in</m:t>
            </m:r>
          </m:sub>
        </m:sSub>
        <m:r>
          <w:rPr>
            <w:rFonts w:ascii="Cambria Math" w:hAnsi="Cambria Math"/>
            <w:lang w:val="es-ES"/>
          </w:rPr>
          <m:t xml:space="preserve">)+ </m:t>
        </m:r>
        <m:sSub>
          <m:sSubPr>
            <m:ctrlPr>
              <w:rPr>
                <w:rFonts w:ascii="Cambria Math" w:hAnsi="Cambria Math"/>
                <w:i/>
              </w:rPr>
            </m:ctrlPr>
          </m:sSubPr>
          <m:e>
            <m:r>
              <w:rPr>
                <w:rFonts w:ascii="Cambria Math" w:hAnsi="Cambria Math"/>
              </w:rPr>
              <m:t>ε</m:t>
            </m:r>
          </m:e>
          <m:sub>
            <m:r>
              <w:rPr>
                <w:rFonts w:ascii="Cambria Math" w:hAnsi="Cambria Math"/>
              </w:rPr>
              <m:t>i</m:t>
            </m:r>
          </m:sub>
        </m:sSub>
      </m:oMath>
    </w:p>
    <w:p w14:paraId="293CF7A4" w14:textId="77777777" w:rsidR="00493662" w:rsidRPr="00D46956" w:rsidRDefault="00493662" w:rsidP="00493662">
      <w:pPr>
        <w:spacing w:line="360" w:lineRule="auto"/>
        <w:rPr>
          <w:rFonts w:cs="Times New Roman"/>
        </w:rPr>
      </w:pPr>
      <w:r w:rsidRPr="00D46956">
        <w:rPr>
          <w:rFonts w:cs="Times New Roman"/>
        </w:rPr>
        <w:t>where:</w:t>
      </w:r>
    </w:p>
    <w:p w14:paraId="22F51191" w14:textId="77777777" w:rsidR="00493662" w:rsidRPr="00D46956" w:rsidRDefault="00EF0CD0" w:rsidP="00493662">
      <w:pPr>
        <w:tabs>
          <w:tab w:val="left" w:pos="1260"/>
          <w:tab w:val="left" w:pos="1620"/>
        </w:tabs>
        <w:spacing w:line="360" w:lineRule="auto"/>
        <w:ind w:left="1440" w:hanging="720"/>
        <w:rPr>
          <w:rFonts w:cs="Times New Roman"/>
        </w:rPr>
      </w:pPr>
      <m:oMath>
        <m:sSub>
          <m:sSubPr>
            <m:ctrlPr>
              <w:rPr>
                <w:rFonts w:ascii="Cambria Math" w:hAnsi="Cambria Math" w:cs="Times New Roman"/>
                <w:b/>
                <w:bCs/>
                <w:i/>
                <w:lang w:val="es-ES"/>
              </w:rPr>
            </m:ctrlPr>
          </m:sSubPr>
          <m:e>
            <m:r>
              <m:rPr>
                <m:sty m:val="bi"/>
              </m:rPr>
              <w:rPr>
                <w:rFonts w:ascii="Cambria Math" w:hAnsi="Cambria Math" w:cs="Times New Roman"/>
                <w:lang w:val="es-ES"/>
              </w:rPr>
              <m:t>X</m:t>
            </m:r>
          </m:e>
          <m:sub>
            <m:r>
              <m:rPr>
                <m:sty m:val="bi"/>
              </m:rPr>
              <w:rPr>
                <w:rFonts w:ascii="Cambria Math" w:hAnsi="Cambria Math" w:cs="Times New Roman"/>
                <w:lang w:val="es-ES"/>
              </w:rPr>
              <m:t>i</m:t>
            </m:r>
          </m:sub>
        </m:sSub>
      </m:oMath>
      <w:r w:rsidR="00493662" w:rsidRPr="00D46956">
        <w:rPr>
          <w:rFonts w:cs="Times New Roman"/>
        </w:rPr>
        <w:tab/>
        <w:t>=</w:t>
      </w:r>
      <w:r w:rsidR="00493662" w:rsidRPr="00D46956">
        <w:rPr>
          <w:rFonts w:cs="Times New Roman"/>
        </w:rPr>
        <w:tab/>
      </w:r>
      <w:r w:rsidR="00493662" w:rsidRPr="00D46956">
        <w:rPr>
          <w:rFonts w:cs="Times New Roman"/>
        </w:rPr>
        <w:tab/>
        <w:t xml:space="preserve">a vector of variables describing attributes of recreation site </w:t>
      </w:r>
      <w:r w:rsidR="00493662" w:rsidRPr="00D46956">
        <w:rPr>
          <w:rFonts w:cs="Times New Roman"/>
          <w:i/>
          <w:iCs/>
        </w:rPr>
        <w:t>I</w:t>
      </w:r>
      <w:r w:rsidR="00493662" w:rsidRPr="00D46956">
        <w:rPr>
          <w:rFonts w:cs="Times New Roman"/>
          <w:iCs/>
        </w:rPr>
        <w:t>;</w:t>
      </w:r>
    </w:p>
    <w:p w14:paraId="2EAFA9FD" w14:textId="77777777" w:rsidR="00493662" w:rsidRPr="00D46956" w:rsidRDefault="00EF0CD0" w:rsidP="00493662">
      <w:pPr>
        <w:tabs>
          <w:tab w:val="left" w:pos="1260"/>
          <w:tab w:val="left" w:pos="1620"/>
        </w:tabs>
        <w:spacing w:line="360" w:lineRule="auto"/>
        <w:ind w:left="1440" w:hanging="720"/>
        <w:rPr>
          <w:rFonts w:cs="Times New Roman"/>
        </w:rPr>
      </w:pPr>
      <m:oMath>
        <m:sSub>
          <m:sSubPr>
            <m:ctrlPr>
              <w:rPr>
                <w:rFonts w:ascii="Cambria Math" w:hAnsi="Cambria Math" w:cs="Times New Roman"/>
                <w:b/>
                <w:bCs/>
                <w:i/>
                <w:lang w:val="es-ES"/>
              </w:rPr>
            </m:ctrlPr>
          </m:sSubPr>
          <m:e>
            <m:r>
              <m:rPr>
                <m:sty m:val="bi"/>
              </m:rPr>
              <w:rPr>
                <w:rFonts w:ascii="Cambria Math" w:hAnsi="Cambria Math" w:cs="Times New Roman"/>
                <w:lang w:val="es-ES"/>
              </w:rPr>
              <m:t>D</m:t>
            </m:r>
          </m:e>
          <m:sub>
            <m:r>
              <m:rPr>
                <m:sty m:val="bi"/>
              </m:rPr>
              <w:rPr>
                <w:rFonts w:ascii="Cambria Math" w:hAnsi="Cambria Math" w:cs="Times New Roman"/>
                <w:lang w:val="es-ES"/>
              </w:rPr>
              <m:t>n</m:t>
            </m:r>
          </m:sub>
        </m:sSub>
      </m:oMath>
      <w:r w:rsidR="00493662" w:rsidRPr="00D46956">
        <w:rPr>
          <w:rFonts w:cs="Times New Roman"/>
        </w:rPr>
        <w:tab/>
        <w:t>=</w:t>
      </w:r>
      <w:r w:rsidR="00493662" w:rsidRPr="00D46956">
        <w:rPr>
          <w:rFonts w:cs="Times New Roman"/>
        </w:rPr>
        <w:tab/>
      </w:r>
      <w:r w:rsidR="00493662" w:rsidRPr="00D46956">
        <w:rPr>
          <w:rFonts w:cs="Times New Roman"/>
        </w:rPr>
        <w:tab/>
        <w:t xml:space="preserve">a vector of demographic and other attributes of the respondent </w:t>
      </w:r>
      <w:r w:rsidR="00493662" w:rsidRPr="00D46956">
        <w:rPr>
          <w:rFonts w:cs="Times New Roman"/>
          <w:i/>
        </w:rPr>
        <w:t>n</w:t>
      </w:r>
      <w:r w:rsidR="00493662" w:rsidRPr="00D46956">
        <w:rPr>
          <w:rFonts w:cs="Times New Roman"/>
        </w:rPr>
        <w:t>;</w:t>
      </w:r>
    </w:p>
    <w:p w14:paraId="24191F3C" w14:textId="77777777" w:rsidR="00493662" w:rsidRPr="00D46956" w:rsidRDefault="00EF0CD0" w:rsidP="00493662">
      <w:pPr>
        <w:tabs>
          <w:tab w:val="left" w:pos="1260"/>
          <w:tab w:val="left" w:pos="1620"/>
        </w:tabs>
        <w:spacing w:line="360" w:lineRule="auto"/>
        <w:ind w:left="1440" w:hanging="720"/>
        <w:rPr>
          <w:rFonts w:cs="Times New Roman"/>
        </w:rPr>
      </w:pPr>
      <m:oMath>
        <m:sSub>
          <m:sSubPr>
            <m:ctrlPr>
              <w:rPr>
                <w:rFonts w:ascii="Cambria Math" w:hAnsi="Cambria Math" w:cs="Times New Roman"/>
                <w:i/>
                <w:lang w:val="es-ES"/>
              </w:rPr>
            </m:ctrlPr>
          </m:sSubPr>
          <m:e>
            <m:r>
              <w:rPr>
                <w:rFonts w:ascii="Cambria Math" w:hAnsi="Cambria Math" w:cs="Times New Roman"/>
                <w:lang w:val="es-ES"/>
              </w:rPr>
              <m:t xml:space="preserve"> T</m:t>
            </m:r>
          </m:e>
          <m:sub>
            <m:r>
              <w:rPr>
                <w:rFonts w:ascii="Cambria Math" w:hAnsi="Cambria Math" w:cs="Times New Roman"/>
                <w:lang w:val="es-ES"/>
              </w:rPr>
              <m:t>in</m:t>
            </m:r>
          </m:sub>
        </m:sSub>
      </m:oMath>
      <w:r w:rsidR="00493662" w:rsidRPr="00D46956">
        <w:rPr>
          <w:rFonts w:cs="Times New Roman"/>
        </w:rPr>
        <w:tab/>
        <w:t>=</w:t>
      </w:r>
      <w:r w:rsidR="00493662" w:rsidRPr="00D46956">
        <w:rPr>
          <w:rFonts w:cs="Times New Roman"/>
        </w:rPr>
        <w:tab/>
      </w:r>
      <w:r w:rsidR="00493662" w:rsidRPr="00D46956">
        <w:rPr>
          <w:rFonts w:cs="Times New Roman"/>
        </w:rPr>
        <w:tab/>
        <w:t xml:space="preserve">cost of choosing site </w:t>
      </w:r>
      <w:r w:rsidR="00493662" w:rsidRPr="00D46956">
        <w:rPr>
          <w:rFonts w:cs="Times New Roman"/>
          <w:i/>
          <w:iCs/>
        </w:rPr>
        <w:t xml:space="preserve">i </w:t>
      </w:r>
      <w:r w:rsidR="00493662" w:rsidRPr="00D46956">
        <w:rPr>
          <w:rFonts w:cs="Times New Roman"/>
          <w:iCs/>
        </w:rPr>
        <w:t xml:space="preserve">for respondent </w:t>
      </w:r>
      <w:r w:rsidR="00493662" w:rsidRPr="00D46956">
        <w:rPr>
          <w:rFonts w:cs="Times New Roman"/>
          <w:i/>
          <w:iCs/>
        </w:rPr>
        <w:t>n</w:t>
      </w:r>
      <w:r w:rsidR="00493662" w:rsidRPr="00D46956">
        <w:rPr>
          <w:rFonts w:cs="Times New Roman"/>
          <w:iCs/>
        </w:rPr>
        <w:t>, the travel cost;</w:t>
      </w:r>
    </w:p>
    <w:p w14:paraId="72D00FD8" w14:textId="77777777" w:rsidR="00493662" w:rsidRPr="00D46956" w:rsidRDefault="00493662" w:rsidP="00493662">
      <w:pPr>
        <w:tabs>
          <w:tab w:val="left" w:pos="1260"/>
          <w:tab w:val="left" w:pos="1620"/>
        </w:tabs>
        <w:spacing w:line="360" w:lineRule="auto"/>
        <w:ind w:left="1440" w:hanging="720"/>
        <w:rPr>
          <w:rFonts w:cs="Times New Roman"/>
        </w:rPr>
      </w:pPr>
      <m:oMath>
        <m:r>
          <w:rPr>
            <w:rFonts w:ascii="Cambria Math" w:hAnsi="Cambria Math" w:cs="Times New Roman"/>
          </w:rPr>
          <m:t>v</m:t>
        </m:r>
        <m:r>
          <w:rPr>
            <w:rFonts w:ascii="Cambria Math" w:hAnsi="Cambria Math" w:cs="Times New Roman"/>
            <w:lang w:val="es-ES"/>
          </w:rPr>
          <m:t>(</m:t>
        </m:r>
        <m:r>
          <m:rPr>
            <m:sty m:val="bi"/>
          </m:rPr>
          <w:rPr>
            <w:rFonts w:ascii="Cambria Math" w:hAnsi="Cambria Math" w:cs="Times New Roman"/>
            <w:vertAlign w:val="superscript"/>
            <w:lang w:val="es-ES"/>
          </w:rPr>
          <m:t>∙</m:t>
        </m:r>
        <m:r>
          <w:rPr>
            <w:rFonts w:ascii="Cambria Math" w:hAnsi="Cambria Math" w:cs="Times New Roman"/>
            <w:lang w:val="es-ES"/>
          </w:rPr>
          <m:t>)</m:t>
        </m:r>
      </m:oMath>
      <w:r w:rsidRPr="00D46956">
        <w:rPr>
          <w:rFonts w:cs="Times New Roman"/>
        </w:rPr>
        <w:tab/>
        <w:t>=</w:t>
      </w:r>
      <w:r w:rsidRPr="00D46956">
        <w:rPr>
          <w:rFonts w:cs="Times New Roman"/>
        </w:rPr>
        <w:tab/>
      </w:r>
      <w:r w:rsidRPr="00D46956">
        <w:rPr>
          <w:rFonts w:cs="Times New Roman"/>
        </w:rPr>
        <w:tab/>
        <w:t>a function representing the empirically estimable component of utility;</w:t>
      </w:r>
    </w:p>
    <w:p w14:paraId="32FCC383" w14:textId="77777777" w:rsidR="00493662" w:rsidRPr="00D46956" w:rsidRDefault="00EF0CD0" w:rsidP="00493662">
      <w:pPr>
        <w:tabs>
          <w:tab w:val="left" w:pos="1260"/>
          <w:tab w:val="left" w:pos="1620"/>
        </w:tabs>
        <w:spacing w:line="360" w:lineRule="auto"/>
        <w:ind w:left="1620" w:hanging="900"/>
        <w:rPr>
          <w:rFonts w:cs="Times New Roman"/>
        </w:rPr>
      </w:pPr>
      <m:oMath>
        <m:sSub>
          <m:sSubPr>
            <m:ctrlPr>
              <w:rPr>
                <w:rFonts w:ascii="Cambria Math" w:hAnsi="Cambria Math" w:cs="Times New Roman"/>
                <w:i/>
              </w:rPr>
            </m:ctrlPr>
          </m:sSubPr>
          <m:e>
            <m:r>
              <w:rPr>
                <w:rFonts w:ascii="Cambria Math" w:hAnsi="Cambria Math" w:cs="Times New Roman"/>
              </w:rPr>
              <m:t>ε</m:t>
            </m:r>
          </m:e>
          <m:sub>
            <m:r>
              <w:rPr>
                <w:rFonts w:ascii="Cambria Math" w:hAnsi="Cambria Math" w:cs="Times New Roman"/>
              </w:rPr>
              <m:t>i</m:t>
            </m:r>
          </m:sub>
        </m:sSub>
      </m:oMath>
      <w:r w:rsidR="00493662" w:rsidRPr="00D46956">
        <w:rPr>
          <w:rFonts w:cs="Times New Roman"/>
        </w:rPr>
        <w:tab/>
        <w:t>=</w:t>
      </w:r>
      <w:r w:rsidR="00493662" w:rsidRPr="00D46956">
        <w:rPr>
          <w:rFonts w:cs="Times New Roman"/>
        </w:rPr>
        <w:tab/>
        <w:t>stochastic or unobservable component of utility, modeled as an econometric error.</w:t>
      </w:r>
    </w:p>
    <w:p w14:paraId="08060146" w14:textId="77777777" w:rsidR="00493662" w:rsidRPr="00D46956" w:rsidRDefault="00493662" w:rsidP="00493662">
      <w:pPr>
        <w:spacing w:line="360" w:lineRule="auto"/>
        <w:ind w:left="720" w:hanging="720"/>
        <w:rPr>
          <w:rFonts w:cs="Times New Roman"/>
          <w:iCs/>
        </w:rPr>
      </w:pPr>
    </w:p>
    <w:p w14:paraId="5A1EEAD7" w14:textId="77777777" w:rsidR="00493662" w:rsidRPr="00D46956" w:rsidRDefault="00493662" w:rsidP="00493662">
      <w:pPr>
        <w:spacing w:line="360" w:lineRule="auto"/>
        <w:ind w:left="720" w:hanging="720"/>
        <w:rPr>
          <w:rFonts w:cs="Times New Roman"/>
          <w:iCs/>
        </w:rPr>
      </w:pPr>
      <w:r w:rsidRPr="00D46956">
        <w:rPr>
          <w:rFonts w:cs="Times New Roman"/>
          <w:iCs/>
        </w:rPr>
        <w:t xml:space="preserve">Consider </w:t>
      </w:r>
      <m:oMath>
        <m:r>
          <w:rPr>
            <w:rFonts w:ascii="Cambria Math" w:hAnsi="Cambria Math" w:cs="Times New Roman"/>
          </w:rPr>
          <m:t>v</m:t>
        </m:r>
        <m:r>
          <w:rPr>
            <w:rFonts w:ascii="Cambria Math" w:hAnsi="Cambria Math" w:cs="Times New Roman"/>
            <w:lang w:val="es-ES"/>
          </w:rPr>
          <m:t>(</m:t>
        </m:r>
        <m:r>
          <m:rPr>
            <m:sty m:val="bi"/>
          </m:rPr>
          <w:rPr>
            <w:rFonts w:ascii="Cambria Math" w:hAnsi="Cambria Math" w:cs="Times New Roman"/>
            <w:vertAlign w:val="superscript"/>
            <w:lang w:val="es-ES"/>
          </w:rPr>
          <m:t>∙</m:t>
        </m:r>
        <m:r>
          <w:rPr>
            <w:rFonts w:ascii="Cambria Math" w:hAnsi="Cambria Math" w:cs="Times New Roman"/>
            <w:lang w:val="es-ES"/>
          </w:rPr>
          <m:t>)</m:t>
        </m:r>
      </m:oMath>
      <w:r w:rsidRPr="00D46956">
        <w:rPr>
          <w:rFonts w:cs="Times New Roman"/>
          <w:iCs/>
        </w:rPr>
        <w:t>, the estimable component of utility, in a simple linear form,</w:t>
      </w:r>
    </w:p>
    <w:p w14:paraId="6F243369" w14:textId="77777777" w:rsidR="00493662" w:rsidRPr="00D46956" w:rsidRDefault="00493662" w:rsidP="00493662">
      <w:pPr>
        <w:spacing w:line="360" w:lineRule="auto"/>
        <w:ind w:left="720" w:hanging="720"/>
        <w:rPr>
          <w:rFonts w:cs="Times New Roman"/>
          <w:iCs/>
        </w:rPr>
      </w:pPr>
    </w:p>
    <w:p w14:paraId="5AD54645" w14:textId="77777777" w:rsidR="00493662" w:rsidRPr="00D46956" w:rsidRDefault="00493662" w:rsidP="00493662">
      <w:pPr>
        <w:pStyle w:val="ListParagraph"/>
        <w:numPr>
          <w:ilvl w:val="0"/>
          <w:numId w:val="15"/>
        </w:numPr>
        <w:spacing w:after="160" w:line="360" w:lineRule="auto"/>
        <w:rPr>
          <w:rFonts w:ascii="Times New Roman" w:hAnsi="Times New Roman"/>
        </w:rPr>
      </w:pPr>
      <m:oMath>
        <m:r>
          <w:rPr>
            <w:rFonts w:ascii="Cambria Math" w:hAnsi="Cambria Math"/>
          </w:rPr>
          <m:t xml:space="preserve"> </m:t>
        </m:r>
        <m:sSub>
          <m:sSubPr>
            <m:ctrlPr>
              <w:rPr>
                <w:rFonts w:ascii="Cambria Math" w:hAnsi="Cambria Math"/>
                <w:i/>
                <w:lang w:val="es-ES"/>
              </w:rPr>
            </m:ctrlPr>
          </m:sSubPr>
          <m:e>
            <m:r>
              <w:rPr>
                <w:rFonts w:ascii="Cambria Math" w:hAnsi="Cambria Math"/>
                <w:lang w:val="es-ES"/>
              </w:rPr>
              <m:t>U</m:t>
            </m:r>
          </m:e>
          <m:sub>
            <m:r>
              <w:rPr>
                <w:rFonts w:ascii="Cambria Math" w:hAnsi="Cambria Math"/>
                <w:lang w:val="es-ES"/>
              </w:rPr>
              <m:t>in</m:t>
            </m:r>
          </m:sub>
        </m:sSub>
        <m:d>
          <m:dPr>
            <m:ctrlPr>
              <w:rPr>
                <w:rFonts w:ascii="Cambria Math" w:hAnsi="Cambria Math"/>
                <w:i/>
                <w:lang w:val="es-ES"/>
              </w:rPr>
            </m:ctrlPr>
          </m:dPr>
          <m:e>
            <m:r>
              <m:rPr>
                <m:sty m:val="bi"/>
              </m:rPr>
              <w:rPr>
                <w:rFonts w:ascii="Cambria Math" w:hAnsi="Cambria Math"/>
                <w:vertAlign w:val="superscript"/>
                <w:lang w:val="es-ES"/>
              </w:rPr>
              <m:t>∙</m:t>
            </m:r>
          </m:e>
        </m:d>
        <m:r>
          <w:rPr>
            <w:rFonts w:ascii="Cambria Math" w:hAnsi="Cambria Math"/>
          </w:rPr>
          <m:t>= α</m:t>
        </m:r>
        <m:sSub>
          <m:sSubPr>
            <m:ctrlPr>
              <w:rPr>
                <w:rFonts w:ascii="Cambria Math" w:hAnsi="Cambria Math"/>
                <w:i/>
                <w:lang w:val="es-ES"/>
              </w:rPr>
            </m:ctrlPr>
          </m:sSubPr>
          <m:e>
            <m:r>
              <w:rPr>
                <w:rFonts w:ascii="Cambria Math" w:hAnsi="Cambria Math"/>
                <w:lang w:val="es-ES"/>
              </w:rPr>
              <m:t xml:space="preserve"> T</m:t>
            </m:r>
          </m:e>
          <m:sub>
            <m:r>
              <w:rPr>
                <w:rFonts w:ascii="Cambria Math" w:hAnsi="Cambria Math"/>
                <w:lang w:val="es-ES"/>
              </w:rPr>
              <m:t>in</m:t>
            </m:r>
          </m:sub>
        </m:sSub>
        <m:r>
          <w:rPr>
            <w:rFonts w:ascii="Cambria Math" w:hAnsi="Cambria Math"/>
          </w:rPr>
          <m:t xml:space="preserve">+ </m:t>
        </m:r>
        <m:sSub>
          <m:sSubPr>
            <m:ctrlPr>
              <w:rPr>
                <w:rFonts w:ascii="Cambria Math" w:hAnsi="Cambria Math"/>
                <w:b/>
                <w:bCs/>
                <w:i/>
                <w:lang w:val="es-ES"/>
              </w:rPr>
            </m:ctrlPr>
          </m:sSubPr>
          <m:e>
            <m:r>
              <m:rPr>
                <m:sty m:val="bi"/>
              </m:rPr>
              <w:rPr>
                <w:rFonts w:ascii="Cambria Math" w:hAnsi="Cambria Math"/>
                <w:lang w:val="es-ES"/>
              </w:rPr>
              <m:t>X</m:t>
            </m:r>
          </m:e>
          <m:sub>
            <m:r>
              <m:rPr>
                <m:sty m:val="bi"/>
              </m:rPr>
              <w:rPr>
                <w:rFonts w:ascii="Cambria Math" w:hAnsi="Cambria Math"/>
                <w:lang w:val="es-ES"/>
              </w:rPr>
              <m:t>i</m:t>
            </m:r>
          </m:sub>
        </m:sSub>
        <m:r>
          <m:rPr>
            <m:sty m:val="bi"/>
          </m:rPr>
          <w:rPr>
            <w:rFonts w:ascii="Cambria Math" w:hAnsi="Cambria Math"/>
          </w:rPr>
          <m:t>ζ</m:t>
        </m:r>
        <m:r>
          <w:rPr>
            <w:rFonts w:ascii="Cambria Math" w:hAnsi="Cambria Math"/>
          </w:rPr>
          <m:t>+</m:t>
        </m:r>
        <m:sSub>
          <m:sSubPr>
            <m:ctrlPr>
              <w:rPr>
                <w:rFonts w:ascii="Cambria Math" w:hAnsi="Cambria Math"/>
                <w:b/>
                <w:bCs/>
                <w:i/>
                <w:lang w:val="es-ES"/>
              </w:rPr>
            </m:ctrlPr>
          </m:sSubPr>
          <m:e>
            <m:r>
              <m:rPr>
                <m:sty m:val="bi"/>
              </m:rPr>
              <w:rPr>
                <w:rFonts w:ascii="Cambria Math" w:hAnsi="Cambria Math"/>
                <w:lang w:val="es-ES"/>
              </w:rPr>
              <m:t>D</m:t>
            </m:r>
          </m:e>
          <m:sub>
            <m:r>
              <m:rPr>
                <m:sty m:val="bi"/>
              </m:rPr>
              <w:rPr>
                <w:rFonts w:ascii="Cambria Math" w:hAnsi="Cambria Math"/>
                <w:lang w:val="es-ES"/>
              </w:rPr>
              <m:t>n</m:t>
            </m:r>
          </m:sub>
        </m:sSub>
        <m:r>
          <m:rPr>
            <m:sty m:val="bi"/>
          </m:rPr>
          <w:rPr>
            <w:rFonts w:ascii="Cambria Math" w:hAnsi="Cambria Math"/>
            <w:vertAlign w:val="subscript"/>
          </w:rPr>
          <m:t xml:space="preserve"> </m:t>
        </m:r>
        <m:r>
          <m:rPr>
            <m:sty m:val="bi"/>
          </m:rPr>
          <w:rPr>
            <w:rFonts w:ascii="Cambria Math" w:hAnsi="Cambria Math"/>
          </w:rPr>
          <m:t>β</m:t>
        </m:r>
        <m:r>
          <w:rPr>
            <w:rFonts w:ascii="Cambria Math" w:hAnsi="Cambria Math"/>
            <w:lang w:val="es-ES"/>
          </w:rPr>
          <m:t xml:space="preserve">+ </m:t>
        </m:r>
        <m:sSub>
          <m:sSubPr>
            <m:ctrlPr>
              <w:rPr>
                <w:rFonts w:ascii="Cambria Math" w:hAnsi="Cambria Math"/>
                <w:i/>
              </w:rPr>
            </m:ctrlPr>
          </m:sSubPr>
          <m:e>
            <m:r>
              <w:rPr>
                <w:rFonts w:ascii="Cambria Math" w:hAnsi="Cambria Math"/>
              </w:rPr>
              <m:t>ε</m:t>
            </m:r>
          </m:e>
          <m:sub>
            <m:r>
              <w:rPr>
                <w:rFonts w:ascii="Cambria Math" w:hAnsi="Cambria Math"/>
              </w:rPr>
              <m:t>i</m:t>
            </m:r>
          </m:sub>
        </m:sSub>
      </m:oMath>
    </w:p>
    <w:p w14:paraId="42F59A1C" w14:textId="77777777" w:rsidR="00493662" w:rsidRPr="00D46956" w:rsidRDefault="00493662" w:rsidP="00493662">
      <w:pPr>
        <w:spacing w:line="360" w:lineRule="auto"/>
        <w:rPr>
          <w:rFonts w:cs="Times New Roman"/>
        </w:rPr>
      </w:pPr>
      <w:r w:rsidRPr="00D46956">
        <w:rPr>
          <w:rFonts w:cs="Times New Roman"/>
        </w:rPr>
        <w:t xml:space="preserve">where: </w:t>
      </w:r>
    </w:p>
    <w:p w14:paraId="6326043A" w14:textId="77777777" w:rsidR="00493662" w:rsidRPr="00D46956" w:rsidRDefault="00493662" w:rsidP="00493662">
      <w:pPr>
        <w:tabs>
          <w:tab w:val="left" w:pos="1260"/>
          <w:tab w:val="left" w:pos="1620"/>
        </w:tabs>
        <w:spacing w:line="360" w:lineRule="auto"/>
        <w:ind w:left="1620" w:hanging="900"/>
        <w:rPr>
          <w:rFonts w:cs="Times New Roman"/>
        </w:rPr>
      </w:pPr>
      <m:oMath>
        <m:r>
          <w:rPr>
            <w:rFonts w:ascii="Cambria Math" w:hAnsi="Cambria Math" w:cs="Times New Roman"/>
          </w:rPr>
          <m:t>α</m:t>
        </m:r>
      </m:oMath>
      <w:r w:rsidRPr="00D46956">
        <w:rPr>
          <w:rFonts w:cs="Times New Roman"/>
        </w:rPr>
        <w:tab/>
        <w:t>=</w:t>
      </w:r>
      <w:r w:rsidRPr="00D46956">
        <w:rPr>
          <w:rFonts w:cs="Times New Roman"/>
        </w:rPr>
        <w:tab/>
        <w:t>the travel cost coefficient, or marginal utility of the cost of the trip;</w:t>
      </w:r>
    </w:p>
    <w:p w14:paraId="447D2007" w14:textId="77777777" w:rsidR="00493662" w:rsidRPr="00D46956" w:rsidRDefault="00493662" w:rsidP="00493662">
      <w:pPr>
        <w:tabs>
          <w:tab w:val="left" w:pos="1260"/>
          <w:tab w:val="left" w:pos="1620"/>
        </w:tabs>
        <w:spacing w:line="360" w:lineRule="auto"/>
        <w:ind w:left="1620" w:hanging="900"/>
        <w:rPr>
          <w:rFonts w:cs="Times New Roman"/>
        </w:rPr>
      </w:pPr>
      <m:oMath>
        <m:r>
          <m:rPr>
            <m:sty m:val="bi"/>
          </m:rPr>
          <w:rPr>
            <w:rFonts w:ascii="Cambria Math" w:hAnsi="Cambria Math" w:cs="Times New Roman"/>
          </w:rPr>
          <m:t>ζ</m:t>
        </m:r>
      </m:oMath>
      <w:r w:rsidRPr="00D46956">
        <w:rPr>
          <w:rFonts w:cs="Times New Roman"/>
          <w:b/>
        </w:rPr>
        <w:tab/>
      </w:r>
      <w:r w:rsidRPr="00D46956">
        <w:rPr>
          <w:rFonts w:cs="Times New Roman"/>
        </w:rPr>
        <w:t>=</w:t>
      </w:r>
      <w:r w:rsidRPr="00D46956">
        <w:rPr>
          <w:rFonts w:cs="Times New Roman"/>
        </w:rPr>
        <w:tab/>
        <w:t xml:space="preserve">a vector of coefficients for site attributes, </w:t>
      </w:r>
      <w:r w:rsidRPr="00D46956">
        <w:rPr>
          <w:rFonts w:cs="Times New Roman"/>
          <w:b/>
          <w:bCs/>
        </w:rPr>
        <w:t>X</w:t>
      </w:r>
      <w:r w:rsidRPr="00D46956">
        <w:rPr>
          <w:rFonts w:cs="Times New Roman"/>
          <w:vertAlign w:val="subscript"/>
        </w:rPr>
        <w:t>i</w:t>
      </w:r>
      <w:r w:rsidRPr="00D46956">
        <w:rPr>
          <w:rFonts w:cs="Times New Roman"/>
        </w:rPr>
        <w:t>;</w:t>
      </w:r>
    </w:p>
    <w:p w14:paraId="0F428928" w14:textId="77777777" w:rsidR="00493662" w:rsidRPr="00D46956" w:rsidRDefault="00493662" w:rsidP="00493662">
      <w:pPr>
        <w:tabs>
          <w:tab w:val="left" w:pos="1260"/>
          <w:tab w:val="left" w:pos="1620"/>
        </w:tabs>
        <w:spacing w:line="360" w:lineRule="auto"/>
        <w:ind w:left="1620" w:hanging="900"/>
        <w:rPr>
          <w:rFonts w:cs="Times New Roman"/>
          <w:b/>
        </w:rPr>
      </w:pPr>
      <m:oMath>
        <m:r>
          <m:rPr>
            <m:sty m:val="bi"/>
          </m:rPr>
          <w:rPr>
            <w:rFonts w:ascii="Cambria Math" w:hAnsi="Cambria Math" w:cs="Times New Roman"/>
          </w:rPr>
          <m:t>β</m:t>
        </m:r>
      </m:oMath>
      <w:r w:rsidRPr="00D46956">
        <w:rPr>
          <w:rFonts w:cs="Times New Roman"/>
          <w:b/>
          <w:iCs/>
        </w:rPr>
        <w:tab/>
      </w:r>
      <w:r w:rsidRPr="00D46956">
        <w:rPr>
          <w:rFonts w:cs="Times New Roman"/>
          <w:iCs/>
        </w:rPr>
        <w:t xml:space="preserve">= </w:t>
      </w:r>
      <w:r w:rsidRPr="00D46956">
        <w:rPr>
          <w:rFonts w:cs="Times New Roman"/>
          <w:iCs/>
        </w:rPr>
        <w:tab/>
        <w:t xml:space="preserve">a vector of coefficients for demographics, </w:t>
      </w:r>
      <w:r w:rsidRPr="00D46956">
        <w:rPr>
          <w:rFonts w:cs="Times New Roman"/>
          <w:b/>
          <w:bCs/>
        </w:rPr>
        <w:t>D</w:t>
      </w:r>
      <w:r w:rsidRPr="00D46956">
        <w:rPr>
          <w:rFonts w:cs="Times New Roman"/>
          <w:b/>
          <w:bCs/>
          <w:vertAlign w:val="subscript"/>
        </w:rPr>
        <w:t>n</w:t>
      </w:r>
      <w:r w:rsidRPr="00D46956">
        <w:rPr>
          <w:rFonts w:cs="Times New Roman"/>
          <w:bCs/>
        </w:rPr>
        <w:t>;</w:t>
      </w:r>
    </w:p>
    <w:p w14:paraId="06948A7E" w14:textId="77777777" w:rsidR="00493662" w:rsidRPr="00B61D82" w:rsidRDefault="00EF0CD0" w:rsidP="00493662">
      <w:pPr>
        <w:tabs>
          <w:tab w:val="left" w:pos="1260"/>
          <w:tab w:val="left" w:pos="1620"/>
        </w:tabs>
        <w:spacing w:line="360" w:lineRule="auto"/>
        <w:ind w:left="1620" w:hanging="900"/>
        <w:rPr>
          <w:rFonts w:cs="Times New Roman"/>
          <w:lang w:val="es-ES"/>
        </w:rPr>
      </w:pPr>
      <m:oMath>
        <m:sSub>
          <m:sSubPr>
            <m:ctrlPr>
              <w:rPr>
                <w:rFonts w:ascii="Cambria Math" w:hAnsi="Cambria Math" w:cs="Times New Roman"/>
                <w:i/>
              </w:rPr>
            </m:ctrlPr>
          </m:sSubPr>
          <m:e>
            <m:r>
              <w:rPr>
                <w:rFonts w:ascii="Cambria Math" w:hAnsi="Cambria Math" w:cs="Times New Roman"/>
              </w:rPr>
              <m:t>ε</m:t>
            </m:r>
          </m:e>
          <m:sub>
            <m:r>
              <w:rPr>
                <w:rFonts w:ascii="Cambria Math" w:hAnsi="Cambria Math" w:cs="Times New Roman"/>
              </w:rPr>
              <m:t>i</m:t>
            </m:r>
          </m:sub>
        </m:sSub>
      </m:oMath>
      <w:r w:rsidR="00493662" w:rsidRPr="00B61D82">
        <w:rPr>
          <w:rFonts w:cs="Times New Roman"/>
          <w:vertAlign w:val="subscript"/>
          <w:lang w:val="es-ES"/>
        </w:rPr>
        <w:tab/>
      </w:r>
      <w:r w:rsidR="00493662" w:rsidRPr="00B61D82">
        <w:rPr>
          <w:rFonts w:cs="Times New Roman"/>
          <w:lang w:val="es-ES"/>
        </w:rPr>
        <w:t xml:space="preserve">= </w:t>
      </w:r>
      <w:r w:rsidR="00493662" w:rsidRPr="00B61D82">
        <w:rPr>
          <w:rFonts w:cs="Times New Roman"/>
          <w:lang w:val="es-ES"/>
        </w:rPr>
        <w:tab/>
        <w:t xml:space="preserve">the error term capturing site and individual attributes that influence site choice but are unobserved by the analyst. </w:t>
      </w:r>
    </w:p>
    <w:p w14:paraId="0B91B7C7" w14:textId="77777777" w:rsidR="00493662" w:rsidRPr="00B61D82" w:rsidRDefault="00493662" w:rsidP="00493662">
      <w:pPr>
        <w:spacing w:line="360" w:lineRule="auto"/>
        <w:rPr>
          <w:rFonts w:cs="Times New Roman"/>
          <w:lang w:val="es-ES"/>
        </w:rPr>
      </w:pPr>
    </w:p>
    <w:p w14:paraId="142A6C49" w14:textId="77777777" w:rsidR="0009352A" w:rsidRPr="00B61D82" w:rsidRDefault="0009352A" w:rsidP="0009352A">
      <w:pPr>
        <w:pStyle w:val="BodyTextI2"/>
        <w:tabs>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B61D82">
        <w:rPr>
          <w:sz w:val="22"/>
          <w:szCs w:val="22"/>
        </w:rPr>
        <w:t xml:space="preserve">Standard RUMs are based on the probability that a respondent’s utility from site i, </w:t>
      </w:r>
      <m:oMath>
        <m:sSub>
          <m:sSubPr>
            <m:ctrlPr>
              <w:rPr>
                <w:rFonts w:ascii="Cambria Math" w:hAnsi="Cambria Math"/>
                <w:sz w:val="22"/>
                <w:szCs w:val="22"/>
              </w:rPr>
            </m:ctrlPr>
          </m:sSubPr>
          <m:e>
            <m:r>
              <w:rPr>
                <w:rFonts w:ascii="Cambria Math" w:hAnsi="Cambria Math"/>
                <w:sz w:val="22"/>
                <w:szCs w:val="22"/>
              </w:rPr>
              <m:t>U</m:t>
            </m:r>
          </m:e>
          <m:sub>
            <m:r>
              <w:rPr>
                <w:rFonts w:ascii="Cambria Math" w:hAnsi="Cambria Math"/>
                <w:sz w:val="22"/>
                <w:szCs w:val="22"/>
              </w:rPr>
              <m:t>in</m:t>
            </m:r>
          </m:sub>
        </m:sSub>
        <m:r>
          <m:rPr>
            <m:sty m:val="p"/>
          </m:rPr>
          <w:rPr>
            <w:rFonts w:ascii="Cambria Math" w:hAnsi="Cambria Math"/>
            <w:sz w:val="22"/>
            <w:szCs w:val="22"/>
          </w:rPr>
          <m:t>(∙)</m:t>
        </m:r>
      </m:oMath>
      <w:r w:rsidRPr="00B61D82">
        <w:rPr>
          <w:sz w:val="22"/>
          <w:szCs w:val="22"/>
        </w:rPr>
        <w:t xml:space="preserve">, exceeds the utility from alternative site j, </w:t>
      </w:r>
      <m:oMath>
        <m:sSub>
          <m:sSubPr>
            <m:ctrlPr>
              <w:rPr>
                <w:rFonts w:ascii="Cambria Math" w:hAnsi="Cambria Math"/>
                <w:sz w:val="22"/>
                <w:szCs w:val="22"/>
              </w:rPr>
            </m:ctrlPr>
          </m:sSubPr>
          <m:e>
            <m:r>
              <w:rPr>
                <w:rFonts w:ascii="Cambria Math" w:hAnsi="Cambria Math"/>
                <w:sz w:val="22"/>
                <w:szCs w:val="22"/>
              </w:rPr>
              <m:t>U</m:t>
            </m:r>
          </m:e>
          <m:sub>
            <m:r>
              <w:rPr>
                <w:rFonts w:ascii="Cambria Math" w:hAnsi="Cambria Math"/>
                <w:sz w:val="22"/>
                <w:szCs w:val="22"/>
              </w:rPr>
              <m:t>jn</m:t>
            </m:r>
          </m:sub>
        </m:sSub>
        <m:r>
          <m:rPr>
            <m:sty m:val="p"/>
          </m:rPr>
          <w:rPr>
            <w:rFonts w:ascii="Cambria Math" w:hAnsi="Cambria Math"/>
            <w:sz w:val="22"/>
            <w:szCs w:val="22"/>
          </w:rPr>
          <m:t>(∙)</m:t>
        </m:r>
      </m:oMath>
      <w:r w:rsidRPr="00B61D82">
        <w:rPr>
          <w:sz w:val="22"/>
          <w:szCs w:val="22"/>
        </w:rPr>
        <w:t>, for all potential sites j≠i considered by the respondent. The RUM presumes that the respondent assesses the utility that would result from each recreational site choice i, and chooses the site that provides the highest utility, or:</w:t>
      </w:r>
    </w:p>
    <w:p w14:paraId="3A88DFB2" w14:textId="77777777" w:rsidR="0009352A" w:rsidRPr="00B61D82" w:rsidRDefault="0009352A" w:rsidP="0009352A">
      <w:pPr>
        <w:pStyle w:val="BodyTextI2"/>
        <w:tabs>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2FFA8BD4" w14:textId="77777777" w:rsidR="0009352A" w:rsidRPr="00B61D82" w:rsidRDefault="00EF0CD0" w:rsidP="0009352A">
      <w:pPr>
        <w:pStyle w:val="ListParagraph"/>
        <w:numPr>
          <w:ilvl w:val="0"/>
          <w:numId w:val="9"/>
        </w:numPr>
        <w:spacing w:after="160" w:line="360" w:lineRule="auto"/>
        <w:rPr>
          <w:rFonts w:ascii="Times New Roman" w:hAnsi="Times New Roman"/>
        </w:rPr>
      </w:pPr>
      <m:oMath>
        <m:sSub>
          <m:sSubPr>
            <m:ctrlPr>
              <w:rPr>
                <w:rFonts w:ascii="Cambria Math" w:hAnsi="Cambria Math"/>
                <w:i/>
              </w:rPr>
            </m:ctrlPr>
          </m:sSubPr>
          <m:e>
            <m:r>
              <w:rPr>
                <w:rFonts w:ascii="Cambria Math" w:hAnsi="Cambria Math"/>
              </w:rPr>
              <m:t>V</m:t>
            </m:r>
          </m:e>
          <m:sub>
            <m:r>
              <w:rPr>
                <w:rFonts w:ascii="Cambria Math" w:hAnsi="Cambria Math"/>
              </w:rPr>
              <m:t>n</m:t>
            </m:r>
          </m:sub>
        </m:sSub>
        <m:r>
          <w:rPr>
            <w:rFonts w:ascii="Cambria Math" w:hAnsi="Cambria Math"/>
          </w:rPr>
          <m:t xml:space="preserve"> = max(</m:t>
        </m:r>
        <m:sSub>
          <m:sSubPr>
            <m:ctrlPr>
              <w:rPr>
                <w:rFonts w:ascii="Cambria Math" w:hAnsi="Cambria Math"/>
                <w:i/>
              </w:rPr>
            </m:ctrlPr>
          </m:sSubPr>
          <m:e>
            <m:r>
              <w:rPr>
                <w:rFonts w:ascii="Cambria Math" w:hAnsi="Cambria Math"/>
              </w:rPr>
              <m:t>U</m:t>
            </m:r>
          </m:e>
          <m:sub>
            <m:r>
              <w:rPr>
                <w:rFonts w:ascii="Cambria Math" w:hAnsi="Cambria Math"/>
              </w:rPr>
              <m:t>1n</m:t>
            </m:r>
          </m:sub>
        </m:sSub>
        <m:r>
          <w:rPr>
            <w:rFonts w:ascii="Cambria Math" w:hAnsi="Cambria Math"/>
          </w:rPr>
          <m:t xml:space="preserve">, </m:t>
        </m:r>
        <m:sSub>
          <m:sSubPr>
            <m:ctrlPr>
              <w:rPr>
                <w:rFonts w:ascii="Cambria Math" w:hAnsi="Cambria Math"/>
                <w:i/>
              </w:rPr>
            </m:ctrlPr>
          </m:sSubPr>
          <m:e>
            <m:r>
              <w:rPr>
                <w:rFonts w:ascii="Cambria Math" w:hAnsi="Cambria Math"/>
              </w:rPr>
              <m:t>U</m:t>
            </m:r>
          </m:e>
          <m:sub>
            <m:r>
              <w:rPr>
                <w:rFonts w:ascii="Cambria Math" w:hAnsi="Cambria Math"/>
              </w:rPr>
              <m:t>2n</m:t>
            </m:r>
          </m:sub>
        </m:sSub>
        <m:r>
          <w:rPr>
            <w:rFonts w:ascii="Cambria Math" w:hAnsi="Cambria Math"/>
          </w:rPr>
          <m:t>,</m:t>
        </m:r>
        <m:r>
          <w:rPr>
            <w:rFonts w:ascii="Cambria Math" w:hAnsi="Cambria Math" w:hint="eastAsia"/>
          </w:rPr>
          <m:t>…</m:t>
        </m:r>
        <m:r>
          <w:rPr>
            <w:rFonts w:ascii="Cambria Math" w:hAnsi="Cambria Math"/>
          </w:rPr>
          <m:t>.,</m:t>
        </m:r>
        <m:sSub>
          <m:sSubPr>
            <m:ctrlPr>
              <w:rPr>
                <w:rFonts w:ascii="Cambria Math" w:hAnsi="Cambria Math"/>
                <w:i/>
              </w:rPr>
            </m:ctrlPr>
          </m:sSubPr>
          <m:e>
            <m:r>
              <w:rPr>
                <w:rFonts w:ascii="Cambria Math" w:hAnsi="Cambria Math"/>
              </w:rPr>
              <m:t xml:space="preserve"> U</m:t>
            </m:r>
          </m:e>
          <m:sub>
            <m:r>
              <w:rPr>
                <w:rFonts w:ascii="Cambria Math" w:hAnsi="Cambria Math"/>
              </w:rPr>
              <m:t>In</m:t>
            </m:r>
          </m:sub>
        </m:sSub>
        <m:r>
          <w:rPr>
            <w:rFonts w:ascii="Cambria Math" w:hAnsi="Cambria Math"/>
          </w:rPr>
          <m:t>)</m:t>
        </m:r>
      </m:oMath>
    </w:p>
    <w:p w14:paraId="39D30787" w14:textId="5EFDCB7B" w:rsidR="0009352A" w:rsidRPr="00B61D82" w:rsidRDefault="0009352A" w:rsidP="0009352A">
      <w:pPr>
        <w:pStyle w:val="BodyTextI2"/>
        <w:tabs>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B61D82">
        <w:rPr>
          <w:sz w:val="22"/>
          <w:szCs w:val="22"/>
        </w:rPr>
        <w:t>Trip utility,</w:t>
      </w:r>
      <m:oMath>
        <m:sSub>
          <m:sSubPr>
            <m:ctrlPr>
              <w:rPr>
                <w:rFonts w:ascii="Cambria Math" w:hAnsi="Cambria Math"/>
                <w:sz w:val="22"/>
                <w:szCs w:val="22"/>
              </w:rPr>
            </m:ctrlPr>
          </m:sSubPr>
          <m:e>
            <m:r>
              <w:rPr>
                <w:rFonts w:ascii="Cambria Math" w:hAnsi="Cambria Math"/>
                <w:sz w:val="22"/>
                <w:szCs w:val="22"/>
              </w:rPr>
              <m:t>V</m:t>
            </m:r>
          </m:e>
          <m:sub>
            <m:r>
              <w:rPr>
                <w:rFonts w:ascii="Cambria Math" w:hAnsi="Cambria Math"/>
                <w:sz w:val="22"/>
                <w:szCs w:val="22"/>
              </w:rPr>
              <m:t>n</m:t>
            </m:r>
          </m:sub>
        </m:sSub>
      </m:oMath>
      <w:r w:rsidRPr="00B61D82">
        <w:rPr>
          <w:sz w:val="22"/>
          <w:szCs w:val="22"/>
        </w:rPr>
        <w:t>, is the basis for welfare analysis in the RUM model. It is used to value a loss or gain from site access (removal or addition of a site) and changes in site quality, such as water quality (Parsons</w:t>
      </w:r>
      <w:r w:rsidR="00D940DF">
        <w:rPr>
          <w:sz w:val="22"/>
          <w:szCs w:val="22"/>
        </w:rPr>
        <w:t>,</w:t>
      </w:r>
      <w:r w:rsidRPr="00B61D82">
        <w:rPr>
          <w:sz w:val="22"/>
          <w:szCs w:val="22"/>
        </w:rPr>
        <w:t xml:space="preserve"> 2014). Suppose water quality at sites 2 and 3 is improved through some program. If so, trip utility for person n becomes:</w:t>
      </w:r>
    </w:p>
    <w:p w14:paraId="6FD492C4" w14:textId="77777777" w:rsidR="0009352A" w:rsidRPr="00B61D82" w:rsidRDefault="0009352A" w:rsidP="0009352A">
      <w:pPr>
        <w:pStyle w:val="BodyTextI2"/>
        <w:tabs>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490F6968" w14:textId="77777777" w:rsidR="0009352A" w:rsidRPr="00B61D82" w:rsidRDefault="00EF0CD0" w:rsidP="0009352A">
      <w:pPr>
        <w:pStyle w:val="ListParagraph"/>
        <w:numPr>
          <w:ilvl w:val="0"/>
          <w:numId w:val="9"/>
        </w:numPr>
        <w:spacing w:after="160" w:line="360" w:lineRule="auto"/>
        <w:rPr>
          <w:rFonts w:ascii="Times New Roman" w:hAnsi="Times New Roman"/>
        </w:rPr>
      </w:pPr>
      <m:oMath>
        <m:sSubSup>
          <m:sSubSupPr>
            <m:ctrlPr>
              <w:rPr>
                <w:rFonts w:ascii="Cambria Math" w:hAnsi="Cambria Math"/>
                <w:i/>
              </w:rPr>
            </m:ctrlPr>
          </m:sSubSupPr>
          <m:e>
            <m:r>
              <w:rPr>
                <w:rFonts w:ascii="Cambria Math" w:hAnsi="Cambria Math"/>
              </w:rPr>
              <m:t>V</m:t>
            </m:r>
          </m:e>
          <m:sub>
            <m:r>
              <w:rPr>
                <w:rFonts w:ascii="Cambria Math" w:hAnsi="Cambria Math"/>
              </w:rPr>
              <m:t>n</m:t>
            </m:r>
          </m:sub>
          <m:sup>
            <m:r>
              <w:rPr>
                <w:rFonts w:ascii="Cambria Math" w:hAnsi="Cambria Math"/>
              </w:rPr>
              <m:t>clean</m:t>
            </m:r>
          </m:sup>
        </m:sSubSup>
        <m:r>
          <w:rPr>
            <w:rFonts w:ascii="Cambria Math" w:hAnsi="Cambria Math"/>
          </w:rPr>
          <m:t>= max(</m:t>
        </m:r>
        <m:sSub>
          <m:sSubPr>
            <m:ctrlPr>
              <w:rPr>
                <w:rFonts w:ascii="Cambria Math" w:hAnsi="Cambria Math"/>
                <w:i/>
              </w:rPr>
            </m:ctrlPr>
          </m:sSubPr>
          <m:e>
            <m:r>
              <w:rPr>
                <w:rFonts w:ascii="Cambria Math" w:hAnsi="Cambria Math"/>
              </w:rPr>
              <m:t>U</m:t>
            </m:r>
          </m:e>
          <m:sub>
            <m:r>
              <w:rPr>
                <w:rFonts w:ascii="Cambria Math" w:hAnsi="Cambria Math"/>
              </w:rPr>
              <m:t>1n</m:t>
            </m:r>
          </m:sub>
        </m:sSub>
        <m:r>
          <w:rPr>
            <w:rFonts w:ascii="Cambria Math" w:hAnsi="Cambria Math"/>
          </w:rPr>
          <m:t xml:space="preserve">, </m:t>
        </m:r>
        <m:sSubSup>
          <m:sSubSupPr>
            <m:ctrlPr>
              <w:rPr>
                <w:rFonts w:ascii="Cambria Math" w:hAnsi="Cambria Math"/>
                <w:i/>
              </w:rPr>
            </m:ctrlPr>
          </m:sSubSupPr>
          <m:e>
            <m:r>
              <w:rPr>
                <w:rFonts w:ascii="Cambria Math" w:hAnsi="Cambria Math"/>
              </w:rPr>
              <m:t>U</m:t>
            </m:r>
          </m:e>
          <m:sub>
            <m:r>
              <w:rPr>
                <w:rFonts w:ascii="Cambria Math" w:hAnsi="Cambria Math"/>
              </w:rPr>
              <m:t>2n</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U</m:t>
            </m:r>
          </m:e>
          <m:sub>
            <m:r>
              <w:rPr>
                <w:rFonts w:ascii="Cambria Math" w:hAnsi="Cambria Math"/>
              </w:rPr>
              <m:t>3n</m:t>
            </m:r>
          </m:sub>
          <m:sup>
            <m:r>
              <w:rPr>
                <w:rFonts w:ascii="Cambria Math" w:hAnsi="Cambria Math"/>
              </w:rPr>
              <m:t>*</m:t>
            </m:r>
          </m:sup>
        </m:sSubSup>
        <m:r>
          <w:rPr>
            <w:rFonts w:ascii="Cambria Math" w:hAnsi="Cambria Math"/>
          </w:rPr>
          <m:t>,</m:t>
        </m:r>
        <m:r>
          <w:rPr>
            <w:rFonts w:ascii="Cambria Math" w:hAnsi="Cambria Math" w:hint="eastAsia"/>
          </w:rPr>
          <m:t>…</m:t>
        </m:r>
        <m:r>
          <w:rPr>
            <w:rFonts w:ascii="Cambria Math" w:hAnsi="Cambria Math"/>
          </w:rPr>
          <m:t>,</m:t>
        </m:r>
        <m:sSub>
          <m:sSubPr>
            <m:ctrlPr>
              <w:rPr>
                <w:rFonts w:ascii="Cambria Math" w:hAnsi="Cambria Math"/>
                <w:i/>
              </w:rPr>
            </m:ctrlPr>
          </m:sSubPr>
          <m:e>
            <m:r>
              <w:rPr>
                <w:rFonts w:ascii="Cambria Math" w:hAnsi="Cambria Math"/>
              </w:rPr>
              <m:t xml:space="preserve"> U</m:t>
            </m:r>
          </m:e>
          <m:sub>
            <m:r>
              <w:rPr>
                <w:rFonts w:ascii="Cambria Math" w:hAnsi="Cambria Math"/>
              </w:rPr>
              <m:t>In</m:t>
            </m:r>
          </m:sub>
        </m:sSub>
        <m:r>
          <w:rPr>
            <w:rFonts w:ascii="Cambria Math" w:hAnsi="Cambria Math"/>
          </w:rPr>
          <m:t>)</m:t>
        </m:r>
      </m:oMath>
    </w:p>
    <w:p w14:paraId="6F4B8C87" w14:textId="38D859E7" w:rsidR="0009352A" w:rsidRPr="00B61D82" w:rsidRDefault="0009352A" w:rsidP="0009352A">
      <w:pPr>
        <w:spacing w:line="360" w:lineRule="auto"/>
        <w:rPr>
          <w:rFonts w:cs="Times New Roman"/>
        </w:rPr>
      </w:pPr>
      <w:r w:rsidRPr="00B61D82">
        <w:rPr>
          <w:rFonts w:cs="Times New Roman"/>
        </w:rPr>
        <w:t xml:space="preserve">Where </w:t>
      </w:r>
      <m:oMath>
        <m:sSubSup>
          <m:sSubSupPr>
            <m:ctrlPr>
              <w:rPr>
                <w:rFonts w:ascii="Cambria Math" w:hAnsi="Cambria Math" w:cs="Times New Roman"/>
                <w:i/>
              </w:rPr>
            </m:ctrlPr>
          </m:sSubSupPr>
          <m:e>
            <m:r>
              <w:rPr>
                <w:rFonts w:ascii="Cambria Math" w:hAnsi="Cambria Math" w:cs="Times New Roman"/>
              </w:rPr>
              <m:t>U</m:t>
            </m:r>
          </m:e>
          <m:sub>
            <m:r>
              <w:rPr>
                <w:rFonts w:ascii="Cambria Math" w:hAnsi="Cambria Math" w:cs="Times New Roman"/>
              </w:rPr>
              <m:t>2n</m:t>
            </m:r>
          </m:sub>
          <m:sup>
            <m:r>
              <w:rPr>
                <w:rFonts w:ascii="Cambria Math" w:hAnsi="Cambria Math" w:cs="Times New Roman"/>
              </w:rPr>
              <m:t>*</m:t>
            </m:r>
          </m:sup>
        </m:sSubSup>
      </m:oMath>
      <w:r w:rsidRPr="00B61D82">
        <w:rPr>
          <w:rFonts w:cs="Times New Roman"/>
        </w:rPr>
        <w:t xml:space="preserve"> and </w:t>
      </w:r>
      <m:oMath>
        <m:sSubSup>
          <m:sSubSupPr>
            <m:ctrlPr>
              <w:rPr>
                <w:rFonts w:ascii="Cambria Math" w:hAnsi="Cambria Math" w:cs="Times New Roman"/>
                <w:i/>
              </w:rPr>
            </m:ctrlPr>
          </m:sSubSupPr>
          <m:e>
            <m:r>
              <w:rPr>
                <w:rFonts w:ascii="Cambria Math" w:hAnsi="Cambria Math" w:cs="Times New Roman"/>
              </w:rPr>
              <m:t>U</m:t>
            </m:r>
          </m:e>
          <m:sub>
            <m:r>
              <w:rPr>
                <w:rFonts w:ascii="Cambria Math" w:hAnsi="Cambria Math" w:cs="Times New Roman"/>
              </w:rPr>
              <m:t>3n</m:t>
            </m:r>
          </m:sub>
          <m:sup>
            <m:r>
              <w:rPr>
                <w:rFonts w:ascii="Cambria Math" w:hAnsi="Cambria Math" w:cs="Times New Roman"/>
              </w:rPr>
              <m:t>*</m:t>
            </m:r>
          </m:sup>
        </m:sSubSup>
      </m:oMath>
      <w:r w:rsidRPr="00B61D82">
        <w:rPr>
          <w:rFonts w:cs="Times New Roman"/>
          <w:i/>
        </w:rPr>
        <w:t xml:space="preserve"> </w:t>
      </w:r>
      <w:r w:rsidRPr="00B61D82">
        <w:rPr>
          <w:rFonts w:cs="Times New Roman"/>
        </w:rPr>
        <w:t xml:space="preserve">denote the now higher utility due to the improved site quality. In this case trip utility increases from </w:t>
      </w:r>
      <m:oMath>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n</m:t>
            </m:r>
          </m:sub>
        </m:sSub>
      </m:oMath>
      <w:r w:rsidRPr="00B61D82">
        <w:rPr>
          <w:rFonts w:cs="Times New Roman"/>
        </w:rPr>
        <w:t xml:space="preserve"> to </w:t>
      </w:r>
      <m:oMath>
        <m:sSubSup>
          <m:sSubSupPr>
            <m:ctrlPr>
              <w:rPr>
                <w:rFonts w:ascii="Cambria Math" w:hAnsi="Cambria Math" w:cs="Times New Roman"/>
                <w:i/>
              </w:rPr>
            </m:ctrlPr>
          </m:sSubSupPr>
          <m:e>
            <m:r>
              <w:rPr>
                <w:rFonts w:ascii="Cambria Math" w:hAnsi="Cambria Math" w:cs="Times New Roman"/>
              </w:rPr>
              <m:t>V</m:t>
            </m:r>
          </m:e>
          <m:sub>
            <m:r>
              <w:rPr>
                <w:rFonts w:ascii="Cambria Math" w:hAnsi="Cambria Math" w:cs="Times New Roman"/>
              </w:rPr>
              <m:t>n</m:t>
            </m:r>
          </m:sub>
          <m:sup>
            <m:r>
              <w:rPr>
                <w:rFonts w:ascii="Cambria Math" w:hAnsi="Cambria Math" w:cs="Times New Roman"/>
              </w:rPr>
              <m:t>clean</m:t>
            </m:r>
          </m:sup>
        </m:sSubSup>
      </m:oMath>
      <w:r w:rsidRPr="00B61D82">
        <w:rPr>
          <w:rFonts w:cs="Times New Roman"/>
        </w:rPr>
        <w:t>. Change in utility is monetized by dividing the change by the negative of the coefficient on trip cost (α), which is a measure of the marginal utility of income.</w:t>
      </w:r>
      <w:r w:rsidRPr="00B61D82">
        <w:rPr>
          <w:rStyle w:val="FootnoteReference"/>
          <w:rFonts w:cs="Times New Roman"/>
        </w:rPr>
        <w:footnoteReference w:id="3"/>
      </w:r>
      <w:r w:rsidRPr="00B61D82">
        <w:rPr>
          <w:rFonts w:cs="Times New Roman"/>
        </w:rPr>
        <w:t xml:space="preserve"> This gives the following welfare effects (w</w:t>
      </w:r>
      <w:r w:rsidRPr="00B61D82">
        <w:rPr>
          <w:rFonts w:cs="Times New Roman"/>
          <w:vertAlign w:val="subscript"/>
        </w:rPr>
        <w:t>n</w:t>
      </w:r>
      <w:r w:rsidRPr="00B61D82">
        <w:rPr>
          <w:rFonts w:cs="Times New Roman"/>
          <w:vertAlign w:val="superscript"/>
        </w:rPr>
        <w:t>clean</w:t>
      </w:r>
      <w:r w:rsidRPr="00B61D82">
        <w:rPr>
          <w:rFonts w:cs="Times New Roman"/>
        </w:rPr>
        <w:t>) in monetary terms for changes in trip utility. These are estimated changes in welfare represented on a per-trip per-person basis (Parsons</w:t>
      </w:r>
      <w:r w:rsidR="00D940DF">
        <w:rPr>
          <w:rFonts w:cs="Times New Roman"/>
        </w:rPr>
        <w:t>,</w:t>
      </w:r>
      <w:r w:rsidRPr="00B61D82">
        <w:rPr>
          <w:rFonts w:cs="Times New Roman"/>
        </w:rPr>
        <w:t xml:space="preserve"> 2014). </w:t>
      </w:r>
    </w:p>
    <w:p w14:paraId="405AF767" w14:textId="77777777" w:rsidR="0009352A" w:rsidRPr="00B61D82" w:rsidRDefault="00EF0CD0" w:rsidP="0009352A">
      <w:pPr>
        <w:pStyle w:val="ListParagraph"/>
        <w:numPr>
          <w:ilvl w:val="0"/>
          <w:numId w:val="9"/>
        </w:numPr>
        <w:spacing w:after="160" w:line="360" w:lineRule="auto"/>
        <w:rPr>
          <w:rFonts w:ascii="Times New Roman" w:hAnsi="Times New Roman"/>
        </w:rPr>
      </w:pPr>
      <m:oMath>
        <m:sSubSup>
          <m:sSubSupPr>
            <m:ctrlPr>
              <w:rPr>
                <w:rFonts w:ascii="Cambria Math" w:hAnsi="Cambria Math"/>
                <w:i/>
              </w:rPr>
            </m:ctrlPr>
          </m:sSubSupPr>
          <m:e>
            <m:r>
              <w:rPr>
                <w:rFonts w:ascii="Cambria Math" w:hAnsi="Cambria Math"/>
              </w:rPr>
              <m:t>w</m:t>
            </m:r>
          </m:e>
          <m:sub>
            <m:r>
              <w:rPr>
                <w:rFonts w:ascii="Cambria Math" w:hAnsi="Cambria Math"/>
              </w:rPr>
              <m:t>n</m:t>
            </m:r>
          </m:sub>
          <m:sup>
            <m:r>
              <w:rPr>
                <w:rFonts w:ascii="Cambria Math" w:hAnsi="Cambria Math"/>
              </w:rPr>
              <m:t>clean</m:t>
            </m:r>
          </m:sup>
        </m:sSubSup>
        <m:r>
          <w:rPr>
            <w:rFonts w:ascii="Cambria Math" w:hAnsi="Cambria Math"/>
            <w:vertAlign w:val="superscript"/>
          </w:rPr>
          <m:t xml:space="preserve"> </m:t>
        </m:r>
        <m:r>
          <w:rPr>
            <w:rFonts w:ascii="Cambria Math" w:hAnsi="Cambria Math"/>
          </w:rPr>
          <m:t xml:space="preserve">= </m:t>
        </m:r>
        <m:f>
          <m:fPr>
            <m:ctrlPr>
              <w:rPr>
                <w:rFonts w:ascii="Cambria Math" w:hAnsi="Cambria Math"/>
                <w:i/>
              </w:rPr>
            </m:ctrlPr>
          </m:fPr>
          <m:num>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n</m:t>
                </m:r>
              </m:sub>
              <m:sup>
                <m:r>
                  <w:rPr>
                    <w:rFonts w:ascii="Cambria Math" w:hAnsi="Cambria Math"/>
                  </w:rPr>
                  <m:t>clean</m:t>
                </m:r>
              </m:sup>
            </m:sSubSup>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n</m:t>
                </m:r>
              </m:sub>
            </m:sSub>
            <m:r>
              <w:rPr>
                <w:rFonts w:ascii="Cambria Math" w:hAnsi="Cambria Math"/>
              </w:rPr>
              <m:t>)</m:t>
            </m:r>
          </m:num>
          <m:den>
            <m:r>
              <w:rPr>
                <w:rFonts w:ascii="Cambria Math" w:hAnsi="Cambria Math"/>
              </w:rPr>
              <m:t>-α</m:t>
            </m:r>
          </m:den>
        </m:f>
      </m:oMath>
    </w:p>
    <w:p w14:paraId="7CD1F4AB" w14:textId="77777777" w:rsidR="0009352A" w:rsidRPr="00B61D82" w:rsidRDefault="0009352A" w:rsidP="0009352A">
      <w:pPr>
        <w:spacing w:line="360" w:lineRule="auto"/>
        <w:rPr>
          <w:rFonts w:cs="Times New Roman"/>
          <w:iCs/>
        </w:rPr>
      </w:pPr>
    </w:p>
    <w:p w14:paraId="3A70C0CF" w14:textId="77777777" w:rsidR="0009352A" w:rsidRPr="00B61D82" w:rsidRDefault="0009352A" w:rsidP="0009352A">
      <w:pPr>
        <w:spacing w:line="360" w:lineRule="auto"/>
        <w:rPr>
          <w:rFonts w:cs="Times New Roman"/>
          <w:i/>
        </w:rPr>
      </w:pPr>
      <w:r w:rsidRPr="00B61D82">
        <w:rPr>
          <w:rFonts w:cs="Times New Roman"/>
          <w:i/>
        </w:rPr>
        <w:t>Econometric Estimation</w:t>
      </w:r>
    </w:p>
    <w:p w14:paraId="12A191C7" w14:textId="77777777" w:rsidR="0009352A" w:rsidRPr="00B61D82" w:rsidRDefault="0009352A" w:rsidP="0009352A">
      <w:pPr>
        <w:pStyle w:val="BodyTextI2"/>
        <w:tabs>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B61D82">
        <w:rPr>
          <w:sz w:val="22"/>
          <w:szCs w:val="22"/>
        </w:rPr>
        <w:t xml:space="preserve">Following Parsons 2014: </w:t>
      </w:r>
    </w:p>
    <w:p w14:paraId="5B624B32" w14:textId="128CB345" w:rsidR="0009352A" w:rsidRPr="00B61D82" w:rsidRDefault="0009352A" w:rsidP="0009352A">
      <w:pPr>
        <w:spacing w:line="360" w:lineRule="auto"/>
        <w:ind w:left="990" w:right="720"/>
        <w:rPr>
          <w:rFonts w:cs="Times New Roman"/>
          <w:iCs/>
        </w:rPr>
      </w:pPr>
      <w:r w:rsidRPr="00B61D82">
        <w:rPr>
          <w:rFonts w:cs="Times New Roman"/>
          <w:iCs/>
        </w:rPr>
        <w:t xml:space="preserve">“Since the error terms, </w:t>
      </w:r>
      <w:r w:rsidRPr="00B61D82">
        <w:rPr>
          <w:rFonts w:cs="Times New Roman"/>
        </w:rPr>
        <w:t>ε</w:t>
      </w:r>
      <w:r w:rsidRPr="00B61D82">
        <w:rPr>
          <w:rFonts w:cs="Times New Roman"/>
          <w:vertAlign w:val="subscript"/>
          <w:lang w:val="es-ES"/>
        </w:rPr>
        <w:t>in</w:t>
      </w:r>
      <w:r w:rsidRPr="00B61D82">
        <w:rPr>
          <w:rFonts w:cs="Times New Roman"/>
          <w:i/>
          <w:vertAlign w:val="subscript"/>
          <w:lang w:val="es-ES"/>
        </w:rPr>
        <w:t>,</w:t>
      </w:r>
      <w:r w:rsidRPr="00B61D82">
        <w:rPr>
          <w:rFonts w:cs="Times New Roman"/>
          <w:vertAlign w:val="subscript"/>
          <w:lang w:val="es-ES"/>
        </w:rPr>
        <w:t xml:space="preserve"> </w:t>
      </w:r>
      <w:r w:rsidRPr="00B61D82">
        <w:rPr>
          <w:rFonts w:cs="Times New Roman"/>
          <w:iCs/>
        </w:rPr>
        <w:t xml:space="preserve">on each site utility are unknown to researchers, the choice is treated as the outcome of a stochastic process in estimation. By assuming an explicit distribution for the error terms in equation [(2)], we can express each person’s choice as a probability of visiting each site in the choice set </w:t>
      </w:r>
      <m:oMath>
        <m:r>
          <w:rPr>
            <w:rFonts w:ascii="Cambria Math" w:hAnsi="Cambria Math" w:cs="Times New Roman"/>
          </w:rPr>
          <m:t>I</m:t>
        </m:r>
      </m:oMath>
      <w:r w:rsidRPr="00B61D82">
        <w:rPr>
          <w:rFonts w:cs="Times New Roman"/>
          <w:iCs/>
        </w:rPr>
        <w:t>. The simplest is to assume that the error terms are independently and identically distributed (iid) type 1 extreme value random variables. This results in a multinomial-logit specification, for the choice probabilities</w:t>
      </w:r>
      <w:r w:rsidR="00B61D82">
        <w:rPr>
          <w:rFonts w:cs="Times New Roman"/>
          <w:iCs/>
        </w:rPr>
        <w:t>”</w:t>
      </w:r>
      <w:r w:rsidRPr="00B61D82">
        <w:rPr>
          <w:rFonts w:cs="Times New Roman"/>
          <w:iCs/>
        </w:rPr>
        <w:t xml:space="preserve"> (Greene</w:t>
      </w:r>
      <w:r w:rsidR="00D940DF">
        <w:rPr>
          <w:rFonts w:cs="Times New Roman"/>
          <w:iCs/>
        </w:rPr>
        <w:t>,</w:t>
      </w:r>
      <w:r w:rsidRPr="00B61D82">
        <w:rPr>
          <w:rFonts w:cs="Times New Roman"/>
          <w:iCs/>
        </w:rPr>
        <w:t xml:space="preserve"> 2008, Ch. 23).</w:t>
      </w:r>
    </w:p>
    <w:p w14:paraId="64EB9713" w14:textId="77777777" w:rsidR="0009352A" w:rsidRPr="00B61D82" w:rsidRDefault="0009352A" w:rsidP="0009352A">
      <w:pPr>
        <w:spacing w:line="360" w:lineRule="auto"/>
        <w:ind w:left="990" w:right="720"/>
        <w:rPr>
          <w:rFonts w:cs="Times New Roman"/>
          <w:iCs/>
        </w:rPr>
      </w:pPr>
    </w:p>
    <w:p w14:paraId="3D0FB2E8" w14:textId="77777777" w:rsidR="0009352A" w:rsidRPr="00B61D82" w:rsidRDefault="0009352A" w:rsidP="0009352A">
      <w:pPr>
        <w:spacing w:line="360" w:lineRule="auto"/>
        <w:ind w:left="990" w:right="720"/>
        <w:rPr>
          <w:rFonts w:cs="Times New Roman"/>
          <w:iCs/>
        </w:rPr>
      </w:pPr>
      <w:r w:rsidRPr="00B61D82">
        <w:rPr>
          <w:rFonts w:cs="Times New Roman"/>
          <w:iCs/>
        </w:rPr>
        <w:t xml:space="preserve">“Maximum likelihood is used to estimate the parameters using data on the actual site choices. Since researchers proceed as though choices are the outcome of a stochastic process, trip utility in equations [(2)-(4)] is also stochastic. For this reason, </w:t>
      </w:r>
      <w:r w:rsidRPr="00B61D82">
        <w:rPr>
          <w:rFonts w:cs="Times New Roman"/>
          <w:i/>
          <w:iCs/>
        </w:rPr>
        <w:t>expected trip utility</w:t>
      </w:r>
      <w:r w:rsidRPr="00B61D82">
        <w:rPr>
          <w:rFonts w:cs="Times New Roman"/>
          <w:iCs/>
        </w:rPr>
        <w:t xml:space="preserve"> is used as an estimate of Vn in empirical work. It can be shown that each individual’s </w:t>
      </w:r>
      <w:r w:rsidRPr="00B61D82">
        <w:rPr>
          <w:rFonts w:cs="Times New Roman"/>
          <w:i/>
          <w:iCs/>
        </w:rPr>
        <w:t>expected trip utility</w:t>
      </w:r>
      <w:r w:rsidRPr="00B61D82">
        <w:rPr>
          <w:rFonts w:cs="Times New Roman"/>
          <w:iCs/>
        </w:rPr>
        <w:t xml:space="preserve"> in a multinomial logit model is</w:t>
      </w:r>
    </w:p>
    <w:p w14:paraId="1E4F438D" w14:textId="77777777" w:rsidR="0009352A" w:rsidRPr="00B61D82" w:rsidRDefault="0009352A" w:rsidP="0009352A">
      <w:pPr>
        <w:spacing w:line="360" w:lineRule="auto"/>
        <w:ind w:left="990" w:right="720"/>
        <w:rPr>
          <w:rFonts w:cs="Times New Roman"/>
          <w:iCs/>
        </w:rPr>
      </w:pPr>
    </w:p>
    <w:p w14:paraId="61DF46D2" w14:textId="77777777" w:rsidR="0009352A" w:rsidRPr="00B61D82" w:rsidRDefault="0009352A" w:rsidP="0009352A">
      <w:pPr>
        <w:pStyle w:val="ListParagraph"/>
        <w:numPr>
          <w:ilvl w:val="0"/>
          <w:numId w:val="9"/>
        </w:numPr>
        <w:spacing w:after="160" w:line="360" w:lineRule="auto"/>
        <w:rPr>
          <w:rFonts w:ascii="Times New Roman" w:hAnsi="Times New Roman"/>
        </w:rPr>
      </w:pPr>
      <m:oMath>
        <m:r>
          <w:rPr>
            <w:rFonts w:ascii="Cambria Math" w:hAnsi="Cambria Math"/>
          </w:rPr>
          <m:t>E</m:t>
        </m:r>
        <m:d>
          <m:dPr>
            <m:ctrlPr>
              <w:rPr>
                <w:rFonts w:ascii="Cambria Math" w:hAnsi="Cambria Math"/>
                <w:i/>
                <w:iCs/>
              </w:rPr>
            </m:ctrlPr>
          </m:dPr>
          <m:e>
            <m:sSub>
              <m:sSubPr>
                <m:ctrlPr>
                  <w:rPr>
                    <w:rFonts w:ascii="Cambria Math" w:hAnsi="Cambria Math"/>
                    <w:i/>
                  </w:rPr>
                </m:ctrlPr>
              </m:sSubPr>
              <m:e>
                <m:r>
                  <w:rPr>
                    <w:rFonts w:ascii="Cambria Math" w:hAnsi="Cambria Math"/>
                  </w:rPr>
                  <m:t>V</m:t>
                </m:r>
              </m:e>
              <m:sub>
                <m:r>
                  <w:rPr>
                    <w:rFonts w:ascii="Cambria Math" w:hAnsi="Cambria Math"/>
                  </w:rPr>
                  <m:t>n</m:t>
                </m:r>
              </m:sub>
            </m:sSub>
            <m:ctrlPr>
              <w:rPr>
                <w:rFonts w:ascii="Cambria Math" w:hAnsi="Cambria Math"/>
                <w:i/>
              </w:rPr>
            </m:ctrlPr>
          </m:e>
        </m:d>
        <m:r>
          <w:rPr>
            <w:rFonts w:ascii="Cambria Math" w:hAnsi="Cambria Math"/>
          </w:rPr>
          <m:t>= E</m:t>
        </m:r>
        <m:d>
          <m:dPr>
            <m:begChr m:val="{"/>
            <m:endChr m:val="}"/>
            <m:ctrlPr>
              <w:rPr>
                <w:rFonts w:ascii="Cambria Math" w:hAnsi="Cambria Math"/>
                <w:i/>
              </w:rPr>
            </m:ctrlPr>
          </m:dPr>
          <m:e>
            <m:func>
              <m:funcPr>
                <m:ctrlPr>
                  <w:rPr>
                    <w:rFonts w:ascii="Cambria Math" w:hAnsi="Cambria Math"/>
                  </w:rPr>
                </m:ctrlPr>
              </m:funcPr>
              <m:fName>
                <m:r>
                  <m:rPr>
                    <m:sty m:val="p"/>
                  </m:rPr>
                  <w:rPr>
                    <w:rFonts w:ascii="Cambria Math" w:hAnsi="Cambria Math"/>
                  </w:rPr>
                  <m:t>max</m:t>
                </m:r>
                <m:ctrlPr>
                  <w:rPr>
                    <w:rFonts w:ascii="Cambria Math" w:hAnsi="Cambria Math"/>
                    <w:i/>
                  </w:rPr>
                </m:ctrlPr>
              </m:fName>
              <m:e>
                <m:d>
                  <m:dPr>
                    <m:ctrlPr>
                      <w:rPr>
                        <w:rFonts w:ascii="Cambria Math" w:hAnsi="Cambria Math"/>
                        <w:i/>
                      </w:rPr>
                    </m:ctrlPr>
                  </m:dPr>
                  <m:e>
                    <m:sSub>
                      <m:sSubPr>
                        <m:ctrlPr>
                          <w:rPr>
                            <w:rFonts w:ascii="Cambria Math" w:hAnsi="Cambria Math"/>
                            <w:i/>
                          </w:rPr>
                        </m:ctrlPr>
                      </m:sSubPr>
                      <m:e>
                        <m:r>
                          <w:rPr>
                            <w:rFonts w:ascii="Cambria Math" w:hAnsi="Cambria Math"/>
                          </w:rPr>
                          <m:t>U</m:t>
                        </m:r>
                      </m:e>
                      <m:sub>
                        <m:r>
                          <w:rPr>
                            <w:rFonts w:ascii="Cambria Math" w:hAnsi="Cambria Math"/>
                          </w:rPr>
                          <m:t>1n</m:t>
                        </m:r>
                      </m:sub>
                    </m:sSub>
                    <m:r>
                      <w:rPr>
                        <w:rFonts w:ascii="Cambria Math" w:hAnsi="Cambria Math"/>
                      </w:rPr>
                      <m:t xml:space="preserve">, </m:t>
                    </m:r>
                    <m:sSub>
                      <m:sSubPr>
                        <m:ctrlPr>
                          <w:rPr>
                            <w:rFonts w:ascii="Cambria Math" w:hAnsi="Cambria Math"/>
                            <w:i/>
                          </w:rPr>
                        </m:ctrlPr>
                      </m:sSubPr>
                      <m:e>
                        <m:r>
                          <w:rPr>
                            <w:rFonts w:ascii="Cambria Math" w:hAnsi="Cambria Math"/>
                          </w:rPr>
                          <m:t>U</m:t>
                        </m:r>
                      </m:e>
                      <m:sub>
                        <m:r>
                          <w:rPr>
                            <w:rFonts w:ascii="Cambria Math" w:hAnsi="Cambria Math"/>
                          </w:rPr>
                          <m:t>2n</m:t>
                        </m:r>
                      </m:sub>
                    </m:sSub>
                    <m:r>
                      <w:rPr>
                        <w:rFonts w:ascii="Cambria Math" w:hAnsi="Cambria Math"/>
                      </w:rPr>
                      <m:t>,</m:t>
                    </m:r>
                    <m:r>
                      <w:rPr>
                        <w:rFonts w:ascii="Cambria Math" w:hAnsi="Cambria Math" w:hint="eastAsia"/>
                      </w:rPr>
                      <m:t>…</m:t>
                    </m:r>
                    <m:r>
                      <w:rPr>
                        <w:rFonts w:ascii="Cambria Math" w:hAnsi="Cambria Math"/>
                      </w:rPr>
                      <m:t>.,</m:t>
                    </m:r>
                    <m:sSub>
                      <m:sSubPr>
                        <m:ctrlPr>
                          <w:rPr>
                            <w:rFonts w:ascii="Cambria Math" w:hAnsi="Cambria Math"/>
                            <w:i/>
                          </w:rPr>
                        </m:ctrlPr>
                      </m:sSubPr>
                      <m:e>
                        <m:r>
                          <w:rPr>
                            <w:rFonts w:ascii="Cambria Math" w:hAnsi="Cambria Math"/>
                          </w:rPr>
                          <m:t xml:space="preserve"> U</m:t>
                        </m:r>
                      </m:e>
                      <m:sub>
                        <m:r>
                          <w:rPr>
                            <w:rFonts w:ascii="Cambria Math" w:hAnsi="Cambria Math"/>
                          </w:rPr>
                          <m:t>In</m:t>
                        </m:r>
                      </m:sub>
                    </m:sSub>
                  </m:e>
                </m:d>
              </m:e>
            </m:func>
          </m:e>
        </m:d>
      </m:oMath>
    </w:p>
    <w:p w14:paraId="4DACD4E2" w14:textId="5903B954" w:rsidR="0009352A" w:rsidRPr="00B61D82" w:rsidRDefault="0009352A" w:rsidP="0009352A">
      <w:pPr>
        <w:pStyle w:val="ListParagraph"/>
        <w:spacing w:line="360" w:lineRule="auto"/>
        <w:ind w:left="1890" w:firstLine="180"/>
        <w:rPr>
          <w:rFonts w:ascii="Times New Roman" w:hAnsi="Times New Roman"/>
          <w:lang w:val="es-ES"/>
        </w:rPr>
      </w:pPr>
      <m:oMath>
        <m:r>
          <w:rPr>
            <w:rFonts w:ascii="Cambria Math" w:hAnsi="Cambria Math"/>
          </w:rPr>
          <m:t>= ln{</m:t>
        </m:r>
        <m:nary>
          <m:naryPr>
            <m:chr m:val="∑"/>
            <m:limLoc m:val="undOvr"/>
            <m:ctrlPr>
              <w:rPr>
                <w:rFonts w:ascii="Cambria Math" w:hAnsi="Cambria Math"/>
                <w:i/>
              </w:rPr>
            </m:ctrlPr>
          </m:naryPr>
          <m:sub>
            <m:r>
              <w:rPr>
                <w:rFonts w:ascii="Cambria Math" w:hAnsi="Cambria Math"/>
              </w:rPr>
              <m:t>i=1</m:t>
            </m:r>
          </m:sub>
          <m:sup>
            <m:r>
              <w:rPr>
                <w:rFonts w:ascii="Cambria Math" w:hAnsi="Cambria Math"/>
              </w:rPr>
              <m:t>I</m:t>
            </m:r>
          </m:sup>
          <m:e>
            <m:r>
              <m:rPr>
                <m:sty m:val="p"/>
              </m:rPr>
              <w:rPr>
                <w:rFonts w:ascii="Cambria Math" w:hAnsi="Cambria Math"/>
              </w:rPr>
              <m:t>exp⁡</m:t>
            </m:r>
            <m:r>
              <w:rPr>
                <w:rFonts w:ascii="Cambria Math" w:hAnsi="Cambria Math"/>
              </w:rPr>
              <m:t>(α</m:t>
            </m:r>
            <m:sSub>
              <m:sSubPr>
                <m:ctrlPr>
                  <w:rPr>
                    <w:rFonts w:ascii="Cambria Math" w:hAnsi="Cambria Math"/>
                    <w:i/>
                    <w:iCs/>
                  </w:rPr>
                </m:ctrlPr>
              </m:sSubPr>
              <m:e>
                <m:r>
                  <w:rPr>
                    <w:rFonts w:ascii="Cambria Math" w:hAnsi="Cambria Math"/>
                  </w:rPr>
                  <m:t>T</m:t>
                </m:r>
              </m:e>
              <m:sub>
                <m:r>
                  <w:rPr>
                    <w:rFonts w:ascii="Cambria Math" w:hAnsi="Cambria Math"/>
                  </w:rPr>
                  <m:t>in</m:t>
                </m:r>
              </m:sub>
            </m:sSub>
            <m:r>
              <w:rPr>
                <w:rFonts w:ascii="Cambria Math" w:hAnsi="Cambria Math"/>
              </w:rPr>
              <m:t xml:space="preserve">+ </m:t>
            </m:r>
            <m:sSub>
              <m:sSubPr>
                <m:ctrlPr>
                  <w:rPr>
                    <w:rFonts w:ascii="Cambria Math" w:hAnsi="Cambria Math"/>
                    <w:b/>
                    <w:bCs/>
                    <w:i/>
                  </w:rPr>
                </m:ctrlPr>
              </m:sSubPr>
              <m:e>
                <m:r>
                  <m:rPr>
                    <m:sty m:val="bi"/>
                  </m:rPr>
                  <w:rPr>
                    <w:rFonts w:ascii="Cambria Math" w:hAnsi="Cambria Math"/>
                  </w:rPr>
                  <m:t>X</m:t>
                </m:r>
              </m:e>
              <m:sub>
                <m:r>
                  <m:rPr>
                    <m:sty m:val="bi"/>
                  </m:rPr>
                  <w:rPr>
                    <w:rFonts w:ascii="Cambria Math" w:hAnsi="Cambria Math"/>
                  </w:rPr>
                  <m:t>i</m:t>
                </m:r>
              </m:sub>
            </m:sSub>
            <m:r>
              <m:rPr>
                <m:sty m:val="bi"/>
              </m:rPr>
              <w:rPr>
                <w:rFonts w:ascii="Cambria Math" w:hAnsi="Cambria Math"/>
              </w:rPr>
              <m:t>ζ</m:t>
            </m:r>
            <m:r>
              <w:rPr>
                <w:rFonts w:ascii="Cambria Math" w:hAnsi="Cambria Math"/>
              </w:rPr>
              <m:t xml:space="preserve"> + </m:t>
            </m:r>
            <m:sSub>
              <m:sSubPr>
                <m:ctrlPr>
                  <w:rPr>
                    <w:rFonts w:ascii="Cambria Math" w:hAnsi="Cambria Math"/>
                    <w:b/>
                    <w:bCs/>
                    <w:i/>
                  </w:rPr>
                </m:ctrlPr>
              </m:sSubPr>
              <m:e>
                <m:r>
                  <m:rPr>
                    <m:sty m:val="bi"/>
                  </m:rPr>
                  <w:rPr>
                    <w:rFonts w:ascii="Cambria Math" w:hAnsi="Cambria Math"/>
                  </w:rPr>
                  <m:t>D</m:t>
                </m:r>
              </m:e>
              <m:sub>
                <m:r>
                  <m:rPr>
                    <m:sty m:val="bi"/>
                  </m:rPr>
                  <w:rPr>
                    <w:rFonts w:ascii="Cambria Math" w:hAnsi="Cambria Math"/>
                  </w:rPr>
                  <m:t>i</m:t>
                </m:r>
              </m:sub>
            </m:sSub>
            <m:r>
              <m:rPr>
                <m:sty m:val="bi"/>
              </m:rPr>
              <w:rPr>
                <w:rFonts w:ascii="Cambria Math" w:hAnsi="Cambria Math"/>
                <w:vertAlign w:val="subscript"/>
              </w:rPr>
              <m:t xml:space="preserve"> </m:t>
            </m:r>
            <m:r>
              <m:rPr>
                <m:sty m:val="bi"/>
              </m:rPr>
              <w:rPr>
                <w:rFonts w:ascii="Cambria Math" w:hAnsi="Cambria Math"/>
              </w:rPr>
              <m:t xml:space="preserve">β </m:t>
            </m:r>
            <m:r>
              <w:rPr>
                <w:rFonts w:ascii="Cambria Math" w:hAnsi="Cambria Math"/>
                <w:lang w:val="es-ES"/>
              </w:rPr>
              <m:t xml:space="preserve">+ </m:t>
            </m:r>
            <m:sSub>
              <m:sSubPr>
                <m:ctrlPr>
                  <w:rPr>
                    <w:rFonts w:ascii="Cambria Math" w:hAnsi="Cambria Math"/>
                    <w:i/>
                  </w:rPr>
                </m:ctrlPr>
              </m:sSubPr>
              <m:e>
                <m:r>
                  <w:rPr>
                    <w:rFonts w:ascii="Cambria Math" w:hAnsi="Cambria Math"/>
                  </w:rPr>
                  <m:t>ε</m:t>
                </m:r>
              </m:e>
              <m:sub>
                <m:r>
                  <w:rPr>
                    <w:rFonts w:ascii="Cambria Math" w:hAnsi="Cambria Math"/>
                  </w:rPr>
                  <m:t>i</m:t>
                </m:r>
              </m:sub>
            </m:sSub>
            <m:r>
              <w:rPr>
                <w:rFonts w:ascii="Cambria Math" w:hAnsi="Cambria Math"/>
                <w:lang w:val="es-ES"/>
              </w:rPr>
              <m:t>)} +C</m:t>
            </m:r>
          </m:e>
        </m:nary>
      </m:oMath>
      <w:r w:rsidRPr="00B61D82">
        <w:rPr>
          <w:rFonts w:ascii="Times New Roman" w:eastAsiaTheme="minorEastAsia" w:hAnsi="Times New Roman"/>
        </w:rPr>
        <w:t xml:space="preserve"> </w:t>
      </w:r>
      <w:r w:rsidR="00281710">
        <w:rPr>
          <w:rFonts w:ascii="Times New Roman" w:eastAsiaTheme="minorEastAsia" w:hAnsi="Times New Roman"/>
        </w:rPr>
        <w:t xml:space="preserve">  </w:t>
      </w:r>
    </w:p>
    <w:p w14:paraId="7A6FBFD5" w14:textId="2332DD79" w:rsidR="0009352A" w:rsidRPr="00B61D82" w:rsidRDefault="0009352A" w:rsidP="0009352A">
      <w:pPr>
        <w:spacing w:line="360" w:lineRule="auto"/>
        <w:ind w:left="990" w:right="720"/>
        <w:rPr>
          <w:rFonts w:cs="Times New Roman"/>
          <w:iCs/>
        </w:rPr>
      </w:pPr>
      <w:r w:rsidRPr="00B61D82">
        <w:rPr>
          <w:rFonts w:cs="Times New Roman"/>
          <w:iCs/>
        </w:rPr>
        <w:t>where C is some unknown additive constant (Small and Rosen</w:t>
      </w:r>
      <w:r w:rsidR="008C0236">
        <w:rPr>
          <w:rFonts w:cs="Times New Roman"/>
          <w:iCs/>
        </w:rPr>
        <w:t>,</w:t>
      </w:r>
      <w:r w:rsidRPr="00B61D82">
        <w:rPr>
          <w:rFonts w:cs="Times New Roman"/>
          <w:iCs/>
        </w:rPr>
        <w:t xml:space="preserve"> 1981). </w:t>
      </w:r>
      <m:oMath>
        <m:r>
          <w:rPr>
            <w:rFonts w:ascii="Cambria Math" w:hAnsi="Cambria Math" w:cs="Times New Roman"/>
          </w:rPr>
          <m:t>E</m:t>
        </m:r>
        <m:d>
          <m:dPr>
            <m:ctrlPr>
              <w:rPr>
                <w:rFonts w:ascii="Cambria Math" w:hAnsi="Cambria Math" w:cs="Times New Roman"/>
                <w:iCs/>
              </w:rPr>
            </m:ctrlPr>
          </m:dPr>
          <m:e>
            <m:sSub>
              <m:sSubPr>
                <m:ctrlPr>
                  <w:rPr>
                    <w:rFonts w:ascii="Cambria Math" w:hAnsi="Cambria Math" w:cs="Times New Roman"/>
                    <w:iCs/>
                  </w:rPr>
                </m:ctrlPr>
              </m:sSubPr>
              <m:e>
                <m:r>
                  <w:rPr>
                    <w:rFonts w:ascii="Cambria Math" w:hAnsi="Cambria Math" w:cs="Times New Roman"/>
                  </w:rPr>
                  <m:t>V</m:t>
                </m:r>
              </m:e>
              <m:sub>
                <m:r>
                  <w:rPr>
                    <w:rFonts w:ascii="Cambria Math" w:hAnsi="Cambria Math" w:cs="Times New Roman"/>
                  </w:rPr>
                  <m:t>n</m:t>
                </m:r>
              </m:sub>
            </m:sSub>
          </m:e>
        </m:d>
      </m:oMath>
      <w:r w:rsidRPr="00B61D82">
        <w:rPr>
          <w:rFonts w:cs="Times New Roman"/>
          <w:iCs/>
        </w:rPr>
        <w:t xml:space="preserve"> is referred to as the ‘log-sum’ and is the empirical form of </w:t>
      </w:r>
      <m:oMath>
        <m:sSub>
          <m:sSubPr>
            <m:ctrlPr>
              <w:rPr>
                <w:rFonts w:ascii="Cambria Math" w:hAnsi="Cambria Math" w:cs="Times New Roman"/>
                <w:iCs/>
              </w:rPr>
            </m:ctrlPr>
          </m:sSubPr>
          <m:e>
            <m:r>
              <w:rPr>
                <w:rFonts w:ascii="Cambria Math" w:hAnsi="Cambria Math" w:cs="Times New Roman"/>
              </w:rPr>
              <m:t>V</m:t>
            </m:r>
          </m:e>
          <m:sub>
            <m:r>
              <w:rPr>
                <w:rFonts w:ascii="Cambria Math" w:hAnsi="Cambria Math" w:cs="Times New Roman"/>
              </w:rPr>
              <m:t>n</m:t>
            </m:r>
          </m:sub>
        </m:sSub>
      </m:oMath>
      <w:r w:rsidRPr="00B61D82">
        <w:rPr>
          <w:rFonts w:cs="Times New Roman"/>
          <w:iCs/>
        </w:rPr>
        <w:t xml:space="preserve"> used welfare analysis.”</w:t>
      </w:r>
    </w:p>
    <w:p w14:paraId="2C1F5780" w14:textId="77777777" w:rsidR="0009352A" w:rsidRPr="00B61D82" w:rsidRDefault="0009352A" w:rsidP="0009352A">
      <w:pPr>
        <w:spacing w:line="360" w:lineRule="auto"/>
        <w:ind w:left="450"/>
        <w:rPr>
          <w:rFonts w:cs="Times New Roman"/>
        </w:rPr>
      </w:pPr>
    </w:p>
    <w:p w14:paraId="496C8C90" w14:textId="716720D4" w:rsidR="0009352A" w:rsidRPr="00B61D82" w:rsidRDefault="0009352A" w:rsidP="0009352A">
      <w:pPr>
        <w:pStyle w:val="BodyTextI2"/>
        <w:tabs>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B61D82">
        <w:rPr>
          <w:sz w:val="22"/>
          <w:szCs w:val="22"/>
        </w:rPr>
        <w:t>The multinomial logit model allows for straightforward estimation of welfare changes, but the imposed structure does not allow for correlated errors across site alternatives. Thus, the model assumes that, as a site is closed or site attributes change, there will be a proportional increase in the probability of visitation to all other sites. This property is referred to as “independence of irrelevant alternatives” (</w:t>
      </w:r>
      <w:r w:rsidR="004B2E37" w:rsidRPr="00B61D82">
        <w:rPr>
          <w:sz w:val="22"/>
          <w:szCs w:val="22"/>
        </w:rPr>
        <w:t>IIA</w:t>
      </w:r>
      <w:r w:rsidRPr="00B61D82">
        <w:rPr>
          <w:sz w:val="22"/>
          <w:szCs w:val="22"/>
        </w:rPr>
        <w:t xml:space="preserve">), and is </w:t>
      </w:r>
      <w:r w:rsidRPr="000B16D5">
        <w:rPr>
          <w:sz w:val="22"/>
          <w:szCs w:val="22"/>
        </w:rPr>
        <w:t>usually unrealistic (</w:t>
      </w:r>
      <w:r w:rsidRPr="00807445">
        <w:rPr>
          <w:sz w:val="22"/>
          <w:szCs w:val="22"/>
        </w:rPr>
        <w:t>Train</w:t>
      </w:r>
      <w:r w:rsidR="00D940DF" w:rsidRPr="000B16D5">
        <w:rPr>
          <w:sz w:val="22"/>
          <w:szCs w:val="22"/>
        </w:rPr>
        <w:t>,</w:t>
      </w:r>
      <w:r w:rsidRPr="00807445">
        <w:rPr>
          <w:sz w:val="22"/>
          <w:szCs w:val="22"/>
        </w:rPr>
        <w:t xml:space="preserve"> 2009</w:t>
      </w:r>
      <w:r w:rsidRPr="000B16D5">
        <w:rPr>
          <w:sz w:val="22"/>
          <w:szCs w:val="22"/>
        </w:rPr>
        <w:t>, p</w:t>
      </w:r>
      <w:r w:rsidRPr="00B61D82">
        <w:rPr>
          <w:sz w:val="22"/>
          <w:szCs w:val="22"/>
        </w:rPr>
        <w:t>. 45). For this reason, more flexible forms such as nested or mixed (or random parameters) logit models allow for various correlation structures across error terms in estimation (Train</w:t>
      </w:r>
      <w:r w:rsidR="008C0236">
        <w:rPr>
          <w:sz w:val="22"/>
          <w:szCs w:val="22"/>
        </w:rPr>
        <w:t>,</w:t>
      </w:r>
      <w:r w:rsidRPr="00B61D82">
        <w:rPr>
          <w:sz w:val="22"/>
          <w:szCs w:val="22"/>
        </w:rPr>
        <w:t xml:space="preserve"> 1998</w:t>
      </w:r>
      <w:r w:rsidR="00D940DF">
        <w:rPr>
          <w:sz w:val="22"/>
          <w:szCs w:val="22"/>
        </w:rPr>
        <w:t>;</w:t>
      </w:r>
      <w:r w:rsidRPr="00B61D82">
        <w:rPr>
          <w:sz w:val="22"/>
          <w:szCs w:val="22"/>
        </w:rPr>
        <w:t xml:space="preserve"> Jeon et al.</w:t>
      </w:r>
      <w:r w:rsidR="00D940DF">
        <w:rPr>
          <w:sz w:val="22"/>
          <w:szCs w:val="22"/>
        </w:rPr>
        <w:t>,</w:t>
      </w:r>
      <w:r w:rsidRPr="00B61D82">
        <w:rPr>
          <w:sz w:val="22"/>
          <w:szCs w:val="22"/>
        </w:rPr>
        <w:t xml:space="preserve"> 2005). We plan to estimate such models using standard maximum likelihood for mixed conditional logit techniques, as described by Train (1998), Greene (2008) and others. Mixed logit model performance of alternative specifications will be assessed using standard statistical measures of model fit and convergence, as detailed by Greene (2008) and Train (1998).</w:t>
      </w:r>
    </w:p>
    <w:p w14:paraId="64593997" w14:textId="77777777" w:rsidR="0009352A" w:rsidRPr="00B61D82" w:rsidRDefault="0009352A" w:rsidP="0009352A">
      <w:pPr>
        <w:pStyle w:val="BodyTextI2"/>
        <w:tabs>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76F1C97B" w14:textId="77777777" w:rsidR="001D4195" w:rsidRPr="00B61D82" w:rsidRDefault="001D4195" w:rsidP="00DC3BCD">
      <w:pPr>
        <w:keepNext/>
        <w:spacing w:line="360" w:lineRule="auto"/>
        <w:rPr>
          <w:rFonts w:cs="Times New Roman"/>
          <w:i/>
        </w:rPr>
      </w:pPr>
      <w:r w:rsidRPr="00B61D82">
        <w:rPr>
          <w:rFonts w:cs="Times New Roman"/>
          <w:i/>
        </w:rPr>
        <w:t>Econometric Specification</w:t>
      </w:r>
    </w:p>
    <w:p w14:paraId="34CB66C6" w14:textId="13764CBD" w:rsidR="001D4195" w:rsidRPr="00B61D82" w:rsidRDefault="001D4195" w:rsidP="001D4195">
      <w:pPr>
        <w:pStyle w:val="BodyTextI2"/>
        <w:tabs>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B61D82">
        <w:rPr>
          <w:sz w:val="22"/>
          <w:szCs w:val="22"/>
        </w:rPr>
        <w:t xml:space="preserve">Based on focus groups, expert review and attributes of the policies under consideration, EPA anticipates the inclusion a vector of explanatory variables representing site characteristics including water quality, type of waterbody the site is on, size, and possibly indicators for facilities and parking depending on availability across the extent New England. The variable capturing variation in water quality allows respondents’ choices to reveal their WTP for improvements/degradations in water quality. Given we will be eliciting perceived water quality </w:t>
      </w:r>
      <w:r w:rsidR="003843D1" w:rsidRPr="00B61D82">
        <w:rPr>
          <w:sz w:val="22"/>
          <w:szCs w:val="22"/>
        </w:rPr>
        <w:t>conditions</w:t>
      </w:r>
      <w:r w:rsidRPr="00B61D82">
        <w:rPr>
          <w:sz w:val="22"/>
          <w:szCs w:val="22"/>
        </w:rPr>
        <w:t xml:space="preserve">, we plan to validate that the objective water quality metrics describe the conditions by which people perceive water quality and affect their site choice. </w:t>
      </w:r>
    </w:p>
    <w:p w14:paraId="7A3293C4" w14:textId="3C6AAB5A" w:rsidR="001D4195" w:rsidRPr="00B61D82" w:rsidRDefault="001D4195" w:rsidP="001D4195">
      <w:pPr>
        <w:pStyle w:val="BodyTextI2"/>
        <w:tabs>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B61D82">
        <w:rPr>
          <w:sz w:val="22"/>
          <w:szCs w:val="22"/>
        </w:rPr>
        <w:t>A vector of demographics will also be included, capturing heterogeneous preferences and types of people. It is here we anticipate the sense of place indexes to enter to capture varying degrees of place attachment</w:t>
      </w:r>
      <w:r w:rsidR="003843D1" w:rsidRPr="00B61D82">
        <w:rPr>
          <w:sz w:val="22"/>
          <w:szCs w:val="22"/>
        </w:rPr>
        <w:t>, dependence, and identity</w:t>
      </w:r>
      <w:r w:rsidRPr="00B61D82">
        <w:rPr>
          <w:sz w:val="22"/>
          <w:szCs w:val="22"/>
        </w:rPr>
        <w:t xml:space="preserve"> to the chosen site. The extent to which this correlates with water quality is of interest</w:t>
      </w:r>
      <w:r w:rsidR="003843D1" w:rsidRPr="00B61D82">
        <w:rPr>
          <w:sz w:val="22"/>
          <w:szCs w:val="22"/>
        </w:rPr>
        <w:t xml:space="preserve">; </w:t>
      </w:r>
      <w:r w:rsidRPr="00B61D82">
        <w:rPr>
          <w:sz w:val="22"/>
          <w:szCs w:val="22"/>
        </w:rPr>
        <w:t xml:space="preserve">if that correlation is strong and sense of place is ignored, our estimates of marginal effects of changes in water quality will be biased through omitted variable bias. </w:t>
      </w:r>
    </w:p>
    <w:p w14:paraId="015BBE3E" w14:textId="7562E490" w:rsidR="001D4195" w:rsidRPr="00B61D82" w:rsidRDefault="001D4195" w:rsidP="001D4195">
      <w:pPr>
        <w:pStyle w:val="BodyTextI2"/>
        <w:tabs>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B61D82">
        <w:rPr>
          <w:sz w:val="22"/>
          <w:szCs w:val="22"/>
        </w:rPr>
        <w:t>Linear forms of the utility function,</w:t>
      </w:r>
      <m:oMath>
        <m:r>
          <m:rPr>
            <m:sty m:val="p"/>
          </m:rPr>
          <w:rPr>
            <w:rFonts w:ascii="Cambria Math" w:hAnsi="Cambria Math"/>
            <w:sz w:val="22"/>
            <w:szCs w:val="22"/>
          </w:rPr>
          <m:t xml:space="preserve"> </m:t>
        </m:r>
        <m:r>
          <w:rPr>
            <w:rFonts w:ascii="Cambria Math" w:hAnsi="Cambria Math"/>
            <w:sz w:val="22"/>
            <w:szCs w:val="22"/>
          </w:rPr>
          <m:t>v</m:t>
        </m:r>
        <m:r>
          <m:rPr>
            <m:sty m:val="p"/>
          </m:rPr>
          <w:rPr>
            <w:rFonts w:ascii="Cambria Math" w:hAnsi="Cambria Math"/>
            <w:sz w:val="22"/>
            <w:szCs w:val="22"/>
          </w:rPr>
          <m:t>(∙)</m:t>
        </m:r>
      </m:oMath>
      <w:r w:rsidRPr="00B61D82">
        <w:rPr>
          <w:sz w:val="22"/>
          <w:szCs w:val="22"/>
        </w:rPr>
        <w:t xml:space="preserve"> in equation (1), are most common in the literature (Phaneuf</w:t>
      </w:r>
      <w:r w:rsidR="00D940DF">
        <w:rPr>
          <w:sz w:val="22"/>
          <w:szCs w:val="22"/>
        </w:rPr>
        <w:t>,</w:t>
      </w:r>
      <w:r w:rsidRPr="00B61D82">
        <w:rPr>
          <w:sz w:val="22"/>
          <w:szCs w:val="22"/>
        </w:rPr>
        <w:t xml:space="preserve"> 2002) and EPA anticipates these will provide the basis for analysis. Model fit will be assessed following standard practice in the literature (e.g., Greene</w:t>
      </w:r>
      <w:r w:rsidR="00D940DF">
        <w:rPr>
          <w:sz w:val="22"/>
          <w:szCs w:val="22"/>
        </w:rPr>
        <w:t>,</w:t>
      </w:r>
      <w:r w:rsidRPr="00B61D82">
        <w:rPr>
          <w:sz w:val="22"/>
          <w:szCs w:val="22"/>
        </w:rPr>
        <w:t xml:space="preserve"> 2008). To monetize the coefficients, and site choice probability elasticities, the travel cost for an observed trip, </w:t>
      </w:r>
      <m:oMath>
        <m:sSub>
          <m:sSubPr>
            <m:ctrlPr>
              <w:rPr>
                <w:rFonts w:ascii="Cambria Math" w:hAnsi="Cambria Math"/>
                <w:sz w:val="22"/>
                <w:szCs w:val="22"/>
              </w:rPr>
            </m:ctrlPr>
          </m:sSubPr>
          <m:e>
            <m:r>
              <w:rPr>
                <w:rFonts w:ascii="Cambria Math" w:hAnsi="Cambria Math"/>
                <w:sz w:val="22"/>
                <w:szCs w:val="22"/>
              </w:rPr>
              <m:t>T</m:t>
            </m:r>
          </m:e>
          <m:sub>
            <m:r>
              <w:rPr>
                <w:rFonts w:ascii="Cambria Math" w:hAnsi="Cambria Math"/>
                <w:sz w:val="22"/>
                <w:szCs w:val="22"/>
              </w:rPr>
              <m:t>in</m:t>
            </m:r>
          </m:sub>
        </m:sSub>
      </m:oMath>
      <w:r w:rsidRPr="00B61D82">
        <w:rPr>
          <w:sz w:val="22"/>
          <w:szCs w:val="22"/>
        </w:rPr>
        <w:t xml:space="preserve"> in equation (2), will be added as a covariate. The travel cost will be calculated using the publicly available Google Maps API, which returns travel distance and time on a road network for pairs of geographic points (Google Maps API</w:t>
      </w:r>
      <w:r w:rsidR="00D940DF">
        <w:rPr>
          <w:sz w:val="22"/>
          <w:szCs w:val="22"/>
        </w:rPr>
        <w:t>,</w:t>
      </w:r>
      <w:r w:rsidRPr="00B61D82">
        <w:rPr>
          <w:sz w:val="22"/>
          <w:szCs w:val="22"/>
        </w:rPr>
        <w:t xml:space="preserve"> 2016). Welfare estimates will be created using equation (5).</w:t>
      </w:r>
    </w:p>
    <w:p w14:paraId="5D4E5FEE" w14:textId="77777777" w:rsidR="00CF0D8C" w:rsidRPr="00DF48C0" w:rsidRDefault="00CF0D8C" w:rsidP="00D06E93">
      <w:pPr>
        <w:spacing w:line="360" w:lineRule="auto"/>
        <w:rPr>
          <w:rFonts w:cs="Times New Roman"/>
        </w:rPr>
      </w:pPr>
    </w:p>
    <w:p w14:paraId="22C30A00" w14:textId="77777777" w:rsidR="00CF0D8C" w:rsidRPr="00DF48C0" w:rsidRDefault="00CF0D8C" w:rsidP="00997995">
      <w:pPr>
        <w:pStyle w:val="Heading3"/>
        <w:keepLines/>
        <w:rPr>
          <w:sz w:val="22"/>
          <w:szCs w:val="22"/>
        </w:rPr>
      </w:pPr>
      <w:bookmarkStart w:id="132" w:name="_Toc473195123"/>
      <w:r w:rsidRPr="00DF48C0">
        <w:rPr>
          <w:sz w:val="22"/>
          <w:szCs w:val="22"/>
        </w:rPr>
        <w:t>5(c)</w:t>
      </w:r>
      <w:r w:rsidRPr="00DF48C0">
        <w:rPr>
          <w:sz w:val="22"/>
          <w:szCs w:val="22"/>
        </w:rPr>
        <w:tab/>
        <w:t>Reporting Results</w:t>
      </w:r>
      <w:bookmarkEnd w:id="132"/>
    </w:p>
    <w:p w14:paraId="2F6361FD" w14:textId="77777777" w:rsidR="00CF0D8C" w:rsidRPr="00DF48C0" w:rsidRDefault="00CF0D8C" w:rsidP="00997995">
      <w:pPr>
        <w:keepNext/>
        <w:keepLines/>
        <w:spacing w:line="360" w:lineRule="auto"/>
        <w:rPr>
          <w:rFonts w:cs="Times New Roman"/>
        </w:rPr>
      </w:pPr>
    </w:p>
    <w:p w14:paraId="12B30566" w14:textId="77777777" w:rsidR="00CF0D8C" w:rsidRPr="00DF48C0" w:rsidRDefault="00CF0D8C" w:rsidP="00997995">
      <w:pPr>
        <w:keepNext/>
        <w:keepLines/>
        <w:spacing w:line="360" w:lineRule="auto"/>
        <w:ind w:firstLine="720"/>
        <w:rPr>
          <w:rFonts w:cs="Times New Roman"/>
        </w:rPr>
      </w:pPr>
      <w:r w:rsidRPr="00DF48C0">
        <w:rPr>
          <w:rFonts w:cs="Times New Roman"/>
        </w:rPr>
        <w:t>The results of the survey will be made public in an EPA report</w:t>
      </w:r>
      <w:r w:rsidR="00C20E96" w:rsidRPr="00DF48C0">
        <w:rPr>
          <w:rFonts w:cs="Times New Roman"/>
        </w:rPr>
        <w:t xml:space="preserve"> and journal publications</w:t>
      </w:r>
      <w:r w:rsidRPr="00DF48C0">
        <w:rPr>
          <w:rFonts w:cs="Times New Roman"/>
        </w:rPr>
        <w:t>. Provided information will include summary statistics for the survey data, extensive documentation for the statistical analysis, and a detailed description of the final results. The survey data will be released only after it has been thoroughly vetted to ensure that all potentially identifying information has been removed.</w:t>
      </w:r>
    </w:p>
    <w:p w14:paraId="78E2CF67" w14:textId="77777777" w:rsidR="00CF0D8C" w:rsidRDefault="00CF0D8C" w:rsidP="00CF0D8C">
      <w:pPr>
        <w:rPr>
          <w:rFonts w:cs="Times New Roman"/>
        </w:rPr>
      </w:pPr>
    </w:p>
    <w:p w14:paraId="53B15B69" w14:textId="77777777" w:rsidR="00C96AD2" w:rsidRDefault="00C96AD2" w:rsidP="00CF0D8C">
      <w:pPr>
        <w:rPr>
          <w:rFonts w:cs="Times New Roman"/>
        </w:rPr>
      </w:pPr>
    </w:p>
    <w:p w14:paraId="560CA8E1" w14:textId="77777777" w:rsidR="00C96AD2" w:rsidRDefault="00C96AD2" w:rsidP="00CF0D8C">
      <w:pPr>
        <w:rPr>
          <w:rFonts w:cs="Times New Roman"/>
        </w:rPr>
      </w:pPr>
    </w:p>
    <w:p w14:paraId="3EB7A27F" w14:textId="77777777" w:rsidR="00C96AD2" w:rsidRDefault="00C96AD2" w:rsidP="00CF0D8C">
      <w:pPr>
        <w:rPr>
          <w:rFonts w:cs="Times New Roman"/>
        </w:rPr>
      </w:pPr>
    </w:p>
    <w:p w14:paraId="25E1A50D" w14:textId="77777777" w:rsidR="00C96AD2" w:rsidRDefault="00C96AD2" w:rsidP="00CF0D8C">
      <w:pPr>
        <w:rPr>
          <w:rFonts w:cs="Times New Roman"/>
        </w:rPr>
      </w:pPr>
    </w:p>
    <w:p w14:paraId="5C859F10" w14:textId="77777777" w:rsidR="00C96AD2" w:rsidRDefault="00C96AD2" w:rsidP="00CF0D8C">
      <w:pPr>
        <w:rPr>
          <w:rFonts w:cs="Times New Roman"/>
        </w:rPr>
      </w:pPr>
    </w:p>
    <w:p w14:paraId="0D3423A0" w14:textId="77777777" w:rsidR="00C96AD2" w:rsidRDefault="00C96AD2" w:rsidP="00CF0D8C">
      <w:pPr>
        <w:rPr>
          <w:rFonts w:cs="Times New Roman"/>
        </w:rPr>
      </w:pPr>
    </w:p>
    <w:p w14:paraId="24475970" w14:textId="77777777" w:rsidR="00C96AD2" w:rsidRDefault="00C96AD2" w:rsidP="00CF0D8C">
      <w:pPr>
        <w:rPr>
          <w:rFonts w:cs="Times New Roman"/>
        </w:rPr>
      </w:pPr>
    </w:p>
    <w:p w14:paraId="603EECE3" w14:textId="77777777" w:rsidR="00C96AD2" w:rsidRDefault="00C96AD2" w:rsidP="00CF0D8C">
      <w:pPr>
        <w:rPr>
          <w:rFonts w:cs="Times New Roman"/>
        </w:rPr>
      </w:pPr>
    </w:p>
    <w:p w14:paraId="69129A14" w14:textId="77777777" w:rsidR="00C96AD2" w:rsidRDefault="00C96AD2" w:rsidP="00CF0D8C">
      <w:pPr>
        <w:rPr>
          <w:rFonts w:cs="Times New Roman"/>
        </w:rPr>
      </w:pPr>
    </w:p>
    <w:p w14:paraId="09ADD466" w14:textId="77777777" w:rsidR="00C96AD2" w:rsidRDefault="00C96AD2" w:rsidP="00CF0D8C">
      <w:pPr>
        <w:rPr>
          <w:rFonts w:cs="Times New Roman"/>
        </w:rPr>
      </w:pPr>
    </w:p>
    <w:p w14:paraId="6CBA0C71" w14:textId="77777777" w:rsidR="00C96AD2" w:rsidRDefault="00C96AD2" w:rsidP="00CF0D8C">
      <w:pPr>
        <w:rPr>
          <w:rFonts w:cs="Times New Roman"/>
        </w:rPr>
      </w:pPr>
    </w:p>
    <w:p w14:paraId="387C3E84" w14:textId="77777777" w:rsidR="00C96AD2" w:rsidRDefault="00C96AD2" w:rsidP="00CF0D8C">
      <w:pPr>
        <w:rPr>
          <w:rFonts w:cs="Times New Roman"/>
        </w:rPr>
      </w:pPr>
    </w:p>
    <w:p w14:paraId="11772459" w14:textId="77777777" w:rsidR="00C96AD2" w:rsidRDefault="00C96AD2" w:rsidP="00CF0D8C">
      <w:pPr>
        <w:rPr>
          <w:rFonts w:cs="Times New Roman"/>
        </w:rPr>
      </w:pPr>
    </w:p>
    <w:p w14:paraId="22BA2E5E" w14:textId="77777777" w:rsidR="00C96AD2" w:rsidRDefault="00C96AD2" w:rsidP="00CF0D8C">
      <w:pPr>
        <w:rPr>
          <w:rFonts w:cs="Times New Roman"/>
        </w:rPr>
      </w:pPr>
    </w:p>
    <w:p w14:paraId="5B91A34A" w14:textId="77777777" w:rsidR="00C96AD2" w:rsidRDefault="00C96AD2" w:rsidP="00CF0D8C">
      <w:pPr>
        <w:rPr>
          <w:rFonts w:cs="Times New Roman"/>
        </w:rPr>
      </w:pPr>
    </w:p>
    <w:p w14:paraId="7D32313C" w14:textId="77777777" w:rsidR="00C96AD2" w:rsidRDefault="00C96AD2" w:rsidP="00CF0D8C">
      <w:pPr>
        <w:rPr>
          <w:rFonts w:cs="Times New Roman"/>
        </w:rPr>
      </w:pPr>
    </w:p>
    <w:p w14:paraId="0997C575" w14:textId="77777777" w:rsidR="00C96AD2" w:rsidRDefault="00C96AD2" w:rsidP="00CF0D8C">
      <w:pPr>
        <w:rPr>
          <w:rFonts w:cs="Times New Roman"/>
        </w:rPr>
      </w:pPr>
    </w:p>
    <w:p w14:paraId="1E7EDA52" w14:textId="77777777" w:rsidR="00C96AD2" w:rsidRDefault="00C96AD2" w:rsidP="00CF0D8C">
      <w:pPr>
        <w:rPr>
          <w:rFonts w:cs="Times New Roman"/>
        </w:rPr>
      </w:pPr>
    </w:p>
    <w:p w14:paraId="038A33D7" w14:textId="77777777" w:rsidR="00C96AD2" w:rsidRDefault="00C96AD2" w:rsidP="00CF0D8C">
      <w:pPr>
        <w:rPr>
          <w:rFonts w:cs="Times New Roman"/>
        </w:rPr>
      </w:pPr>
    </w:p>
    <w:p w14:paraId="67F36D7C" w14:textId="77777777" w:rsidR="00C96AD2" w:rsidRDefault="00C96AD2" w:rsidP="00CF0D8C">
      <w:pPr>
        <w:rPr>
          <w:rFonts w:cs="Times New Roman"/>
        </w:rPr>
      </w:pPr>
    </w:p>
    <w:p w14:paraId="00BC1899" w14:textId="77777777" w:rsidR="00C96AD2" w:rsidRDefault="00C96AD2" w:rsidP="00CF0D8C">
      <w:pPr>
        <w:rPr>
          <w:rFonts w:cs="Times New Roman"/>
        </w:rPr>
      </w:pPr>
    </w:p>
    <w:p w14:paraId="4B08644C" w14:textId="77777777" w:rsidR="00C96AD2" w:rsidRDefault="00C96AD2" w:rsidP="00CF0D8C">
      <w:pPr>
        <w:rPr>
          <w:rFonts w:cs="Times New Roman"/>
        </w:rPr>
      </w:pPr>
    </w:p>
    <w:p w14:paraId="1BFC92BA" w14:textId="77777777" w:rsidR="00C96AD2" w:rsidRDefault="00C96AD2" w:rsidP="00CF0D8C">
      <w:pPr>
        <w:rPr>
          <w:rFonts w:cs="Times New Roman"/>
        </w:rPr>
      </w:pPr>
    </w:p>
    <w:p w14:paraId="4395A3B7" w14:textId="77777777" w:rsidR="00C96AD2" w:rsidRDefault="00C96AD2" w:rsidP="00CF0D8C">
      <w:pPr>
        <w:rPr>
          <w:rFonts w:cs="Times New Roman"/>
        </w:rPr>
      </w:pPr>
    </w:p>
    <w:p w14:paraId="5EB67B85" w14:textId="77777777" w:rsidR="00C96AD2" w:rsidRDefault="00C96AD2" w:rsidP="00CF0D8C">
      <w:pPr>
        <w:rPr>
          <w:rFonts w:cs="Times New Roman"/>
        </w:rPr>
      </w:pPr>
    </w:p>
    <w:p w14:paraId="19AD8791" w14:textId="77777777" w:rsidR="00C96AD2" w:rsidRDefault="00C96AD2" w:rsidP="00CF0D8C">
      <w:pPr>
        <w:rPr>
          <w:rFonts w:cs="Times New Roman"/>
        </w:rPr>
      </w:pPr>
    </w:p>
    <w:p w14:paraId="31368EE2" w14:textId="77777777" w:rsidR="00C96AD2" w:rsidRDefault="00C96AD2" w:rsidP="00CF0D8C">
      <w:pPr>
        <w:rPr>
          <w:rFonts w:cs="Times New Roman"/>
        </w:rPr>
      </w:pPr>
    </w:p>
    <w:p w14:paraId="15143957" w14:textId="77777777" w:rsidR="00C96AD2" w:rsidRDefault="00C96AD2" w:rsidP="00CF0D8C">
      <w:pPr>
        <w:rPr>
          <w:rFonts w:cs="Times New Roman"/>
        </w:rPr>
      </w:pPr>
    </w:p>
    <w:p w14:paraId="43E86BCA" w14:textId="77777777" w:rsidR="00C96AD2" w:rsidRDefault="00C96AD2" w:rsidP="00CF0D8C">
      <w:pPr>
        <w:rPr>
          <w:rFonts w:cs="Times New Roman"/>
        </w:rPr>
      </w:pPr>
    </w:p>
    <w:p w14:paraId="48512F52" w14:textId="77777777" w:rsidR="00C96AD2" w:rsidRPr="00DF48C0" w:rsidRDefault="00C96AD2" w:rsidP="00CF0D8C">
      <w:pPr>
        <w:rPr>
          <w:rFonts w:cs="Times New Roman"/>
        </w:rPr>
      </w:pPr>
    </w:p>
    <w:p w14:paraId="303B88D9" w14:textId="77777777" w:rsidR="00CF0D8C" w:rsidRPr="00DF48C0" w:rsidRDefault="00CF0D8C" w:rsidP="00CF16D3">
      <w:pPr>
        <w:rPr>
          <w:rFonts w:eastAsiaTheme="minorEastAsia" w:cs="Times New Roman"/>
        </w:rPr>
      </w:pPr>
    </w:p>
    <w:p w14:paraId="76FDABFE" w14:textId="77777777" w:rsidR="00CF0D8C" w:rsidRPr="00DF48C0" w:rsidRDefault="00CF0D8C" w:rsidP="00CF16D3">
      <w:pPr>
        <w:rPr>
          <w:rFonts w:eastAsiaTheme="minorEastAsia" w:cs="Times New Roman"/>
        </w:rPr>
      </w:pPr>
    </w:p>
    <w:p w14:paraId="7CBC3431" w14:textId="77777777" w:rsidR="0091583F" w:rsidRPr="00DF48C0" w:rsidRDefault="0091583F" w:rsidP="00DC3BCD">
      <w:pPr>
        <w:pStyle w:val="Heading1"/>
        <w:keepLines/>
        <w:rPr>
          <w:sz w:val="22"/>
          <w:szCs w:val="22"/>
        </w:rPr>
      </w:pPr>
      <w:bookmarkStart w:id="133" w:name="_Toc473195124"/>
      <w:bookmarkEnd w:id="130"/>
      <w:bookmarkEnd w:id="131"/>
      <w:r w:rsidRPr="00DF48C0">
        <w:rPr>
          <w:sz w:val="22"/>
          <w:szCs w:val="22"/>
        </w:rPr>
        <w:t>REFERENCES</w:t>
      </w:r>
      <w:bookmarkEnd w:id="133"/>
    </w:p>
    <w:p w14:paraId="5B2B44FE" w14:textId="77777777" w:rsidR="0091583F" w:rsidRPr="00DF48C0" w:rsidRDefault="0091583F" w:rsidP="00DC3BCD">
      <w:pPr>
        <w:pStyle w:val="BodyTextIndent"/>
        <w:keepNext/>
        <w:keepLines/>
        <w:spacing w:line="240" w:lineRule="auto"/>
        <w:rPr>
          <w:sz w:val="22"/>
          <w:szCs w:val="22"/>
        </w:rPr>
      </w:pPr>
    </w:p>
    <w:p w14:paraId="25E9ECA1" w14:textId="729AB71D" w:rsidR="00AA05B4" w:rsidRPr="00015104" w:rsidRDefault="00AA05B4" w:rsidP="00DC3BCD">
      <w:pPr>
        <w:keepNext/>
        <w:keepLines/>
        <w:ind w:left="720" w:hanging="720"/>
        <w:rPr>
          <w:rFonts w:cs="Times New Roman"/>
        </w:rPr>
      </w:pPr>
      <w:r w:rsidRPr="00015104">
        <w:rPr>
          <w:rFonts w:cs="Times New Roman"/>
        </w:rPr>
        <w:t>Baines, A</w:t>
      </w:r>
      <w:r w:rsidR="00F40FAB">
        <w:rPr>
          <w:rFonts w:cs="Times New Roman"/>
        </w:rPr>
        <w:t>.</w:t>
      </w:r>
      <w:r w:rsidRPr="00015104">
        <w:rPr>
          <w:rFonts w:cs="Times New Roman"/>
        </w:rPr>
        <w:t>D., Partin, M</w:t>
      </w:r>
      <w:r w:rsidR="00F40FAB">
        <w:rPr>
          <w:rFonts w:cs="Times New Roman"/>
        </w:rPr>
        <w:t>.</w:t>
      </w:r>
      <w:r w:rsidRPr="00015104">
        <w:rPr>
          <w:rFonts w:cs="Times New Roman"/>
        </w:rPr>
        <w:t>R., Davern, M</w:t>
      </w:r>
      <w:r w:rsidR="00F40FAB">
        <w:rPr>
          <w:rFonts w:cs="Times New Roman"/>
        </w:rPr>
        <w:t>.</w:t>
      </w:r>
      <w:r w:rsidRPr="00015104">
        <w:rPr>
          <w:rFonts w:cs="Times New Roman"/>
        </w:rPr>
        <w:t xml:space="preserve">, </w:t>
      </w:r>
      <w:r w:rsidR="00F40FAB">
        <w:rPr>
          <w:rFonts w:cs="Times New Roman"/>
        </w:rPr>
        <w:t>and</w:t>
      </w:r>
      <w:r w:rsidR="00F40FAB" w:rsidRPr="00015104">
        <w:rPr>
          <w:rFonts w:cs="Times New Roman"/>
        </w:rPr>
        <w:t xml:space="preserve"> </w:t>
      </w:r>
      <w:r w:rsidRPr="00015104">
        <w:rPr>
          <w:rFonts w:cs="Times New Roman"/>
        </w:rPr>
        <w:t xml:space="preserve">Rockwood, </w:t>
      </w:r>
      <w:r w:rsidR="00F40FAB">
        <w:rPr>
          <w:rFonts w:cs="Times New Roman"/>
        </w:rPr>
        <w:t>T.</w:t>
      </w:r>
      <w:r w:rsidRPr="00015104">
        <w:rPr>
          <w:rFonts w:cs="Times New Roman"/>
        </w:rPr>
        <w:t xml:space="preserve"> H. (2007). Mixed-mode administration reduced bias and enhanced poststratification adjustments in a health behavior survey. </w:t>
      </w:r>
      <w:r w:rsidRPr="006C4EB7">
        <w:rPr>
          <w:rFonts w:cs="Times New Roman"/>
          <w:i/>
        </w:rPr>
        <w:t>Journal of Clinical Epidemiology</w:t>
      </w:r>
      <w:r w:rsidRPr="00015104">
        <w:rPr>
          <w:rFonts w:cs="Times New Roman"/>
        </w:rPr>
        <w:t>, 60(12), 1246-1255. doi: http://dx.doi.org/10.1016/j.jclinepi.2007.02.011</w:t>
      </w:r>
    </w:p>
    <w:p w14:paraId="66F7780C" w14:textId="77777777" w:rsidR="00AA05B4" w:rsidRPr="00015104" w:rsidRDefault="00AA05B4" w:rsidP="00DC3BCD">
      <w:pPr>
        <w:keepNext/>
        <w:keepLines/>
        <w:spacing w:line="360" w:lineRule="auto"/>
        <w:ind w:firstLine="720"/>
        <w:rPr>
          <w:rFonts w:cs="Times New Roman"/>
        </w:rPr>
      </w:pPr>
      <w:r w:rsidRPr="00015104">
        <w:rPr>
          <w:rFonts w:cs="Times New Roman"/>
        </w:rPr>
        <w:tab/>
      </w:r>
    </w:p>
    <w:p w14:paraId="29DEF2E4" w14:textId="7F61A40D" w:rsidR="00DD177F" w:rsidRDefault="00DD177F" w:rsidP="00DC3BCD">
      <w:pPr>
        <w:keepNext/>
        <w:keepLines/>
        <w:autoSpaceDE w:val="0"/>
        <w:autoSpaceDN w:val="0"/>
        <w:adjustRightInd w:val="0"/>
        <w:ind w:left="720" w:hanging="720"/>
        <w:rPr>
          <w:rFonts w:cs="Times New Roman"/>
        </w:rPr>
      </w:pPr>
      <w:r w:rsidRPr="001D36C8">
        <w:rPr>
          <w:rFonts w:cs="Times New Roman"/>
        </w:rPr>
        <w:t xml:space="preserve">Berzelak, N., Vehovar, V., </w:t>
      </w:r>
      <w:r w:rsidR="00F40FAB">
        <w:rPr>
          <w:rFonts w:cs="Times New Roman"/>
        </w:rPr>
        <w:t>and</w:t>
      </w:r>
      <w:r w:rsidR="00F40FAB" w:rsidRPr="001D36C8">
        <w:rPr>
          <w:rFonts w:cs="Times New Roman"/>
        </w:rPr>
        <w:t xml:space="preserve"> </w:t>
      </w:r>
      <w:r w:rsidRPr="001D36C8">
        <w:rPr>
          <w:rFonts w:cs="Times New Roman"/>
        </w:rPr>
        <w:t xml:space="preserve">Manfreda, K.L. (2015). Web </w:t>
      </w:r>
      <w:r w:rsidR="00F40FAB">
        <w:rPr>
          <w:rFonts w:cs="Times New Roman"/>
        </w:rPr>
        <w:t>m</w:t>
      </w:r>
      <w:r w:rsidRPr="001D36C8">
        <w:rPr>
          <w:rFonts w:cs="Times New Roman"/>
        </w:rPr>
        <w:t xml:space="preserve">ode as </w:t>
      </w:r>
      <w:r w:rsidR="00F40FAB">
        <w:rPr>
          <w:rFonts w:cs="Times New Roman"/>
        </w:rPr>
        <w:t>p</w:t>
      </w:r>
      <w:r w:rsidRPr="001D36C8">
        <w:rPr>
          <w:rFonts w:cs="Times New Roman"/>
        </w:rPr>
        <w:t xml:space="preserve">art of </w:t>
      </w:r>
      <w:r w:rsidR="00F40FAB">
        <w:rPr>
          <w:rFonts w:cs="Times New Roman"/>
        </w:rPr>
        <w:t>m</w:t>
      </w:r>
      <w:r w:rsidRPr="001D36C8">
        <w:rPr>
          <w:rFonts w:cs="Times New Roman"/>
        </w:rPr>
        <w:t>ixed-</w:t>
      </w:r>
      <w:r w:rsidR="00F40FAB">
        <w:rPr>
          <w:rFonts w:cs="Times New Roman"/>
        </w:rPr>
        <w:t>m</w:t>
      </w:r>
      <w:r w:rsidRPr="001D36C8">
        <w:rPr>
          <w:rFonts w:cs="Times New Roman"/>
        </w:rPr>
        <w:t xml:space="preserve">ode </w:t>
      </w:r>
      <w:r w:rsidR="00F40FAB">
        <w:rPr>
          <w:rFonts w:cs="Times New Roman"/>
        </w:rPr>
        <w:t>s</w:t>
      </w:r>
      <w:r w:rsidRPr="001D36C8">
        <w:rPr>
          <w:rFonts w:cs="Times New Roman"/>
        </w:rPr>
        <w:t xml:space="preserve">urveys of the </w:t>
      </w:r>
      <w:r w:rsidR="00F40FAB">
        <w:rPr>
          <w:rFonts w:cs="Times New Roman"/>
        </w:rPr>
        <w:t>g</w:t>
      </w:r>
      <w:r w:rsidRPr="001D36C8">
        <w:rPr>
          <w:rFonts w:cs="Times New Roman"/>
        </w:rPr>
        <w:t xml:space="preserve">eneral </w:t>
      </w:r>
      <w:r w:rsidR="00F40FAB">
        <w:rPr>
          <w:rFonts w:cs="Times New Roman"/>
        </w:rPr>
        <w:t>p</w:t>
      </w:r>
      <w:r w:rsidRPr="001D36C8">
        <w:rPr>
          <w:rFonts w:cs="Times New Roman"/>
        </w:rPr>
        <w:t xml:space="preserve">opulation: </w:t>
      </w:r>
      <w:r w:rsidR="00F40FAB">
        <w:rPr>
          <w:rFonts w:cs="Times New Roman"/>
        </w:rPr>
        <w:t>a</w:t>
      </w:r>
      <w:r w:rsidRPr="001D36C8">
        <w:rPr>
          <w:rFonts w:cs="Times New Roman"/>
        </w:rPr>
        <w:t xml:space="preserve">n </w:t>
      </w:r>
      <w:r w:rsidR="00F40FAB">
        <w:rPr>
          <w:rFonts w:cs="Times New Roman"/>
        </w:rPr>
        <w:t>a</w:t>
      </w:r>
      <w:r w:rsidRPr="001D36C8">
        <w:rPr>
          <w:rFonts w:cs="Times New Roman"/>
        </w:rPr>
        <w:t xml:space="preserve">pproach to the </w:t>
      </w:r>
      <w:r w:rsidR="00F40FAB">
        <w:rPr>
          <w:rFonts w:cs="Times New Roman"/>
        </w:rPr>
        <w:t>e</w:t>
      </w:r>
      <w:r w:rsidRPr="001D36C8">
        <w:rPr>
          <w:rFonts w:cs="Times New Roman"/>
        </w:rPr>
        <w:t xml:space="preserve">valuation of </w:t>
      </w:r>
      <w:r w:rsidR="00F40FAB">
        <w:rPr>
          <w:rFonts w:cs="Times New Roman"/>
        </w:rPr>
        <w:t>c</w:t>
      </w:r>
      <w:r w:rsidRPr="001D36C8">
        <w:rPr>
          <w:rFonts w:cs="Times New Roman"/>
        </w:rPr>
        <w:t xml:space="preserve">osts and </w:t>
      </w:r>
      <w:r w:rsidR="00F40FAB">
        <w:rPr>
          <w:rFonts w:cs="Times New Roman"/>
        </w:rPr>
        <w:t>e</w:t>
      </w:r>
      <w:r w:rsidRPr="001D36C8">
        <w:rPr>
          <w:rFonts w:cs="Times New Roman"/>
        </w:rPr>
        <w:t xml:space="preserve">rrors. </w:t>
      </w:r>
      <w:r w:rsidRPr="001D36C8">
        <w:rPr>
          <w:rFonts w:cs="Times New Roman"/>
          <w:i/>
        </w:rPr>
        <w:t>Advances in Methodology &amp; Statistics / Metodoloski Zvezki</w:t>
      </w:r>
      <w:r w:rsidRPr="001D36C8">
        <w:rPr>
          <w:rFonts w:cs="Times New Roman"/>
        </w:rPr>
        <w:t>, 12(1/2), 45-68.</w:t>
      </w:r>
    </w:p>
    <w:p w14:paraId="6918E54D" w14:textId="77777777" w:rsidR="00DD177F" w:rsidRDefault="00DD177F" w:rsidP="005167DB">
      <w:pPr>
        <w:autoSpaceDE w:val="0"/>
        <w:autoSpaceDN w:val="0"/>
        <w:adjustRightInd w:val="0"/>
        <w:ind w:left="720" w:hanging="720"/>
        <w:rPr>
          <w:rFonts w:cs="Times New Roman"/>
        </w:rPr>
      </w:pPr>
    </w:p>
    <w:p w14:paraId="249D3AB5" w14:textId="2BD1C27F" w:rsidR="003F7435" w:rsidRPr="00DF48C0" w:rsidRDefault="003F7435" w:rsidP="003F7435">
      <w:pPr>
        <w:autoSpaceDE w:val="0"/>
        <w:autoSpaceDN w:val="0"/>
        <w:adjustRightInd w:val="0"/>
        <w:ind w:left="720" w:hanging="720"/>
        <w:rPr>
          <w:rFonts w:cs="Times New Roman"/>
        </w:rPr>
      </w:pPr>
      <w:r w:rsidRPr="00DF48C0">
        <w:rPr>
          <w:rFonts w:cs="Times New Roman"/>
        </w:rPr>
        <w:t>Bockstael, N</w:t>
      </w:r>
      <w:r w:rsidR="00F40FAB">
        <w:rPr>
          <w:rFonts w:cs="Times New Roman"/>
        </w:rPr>
        <w:t>.</w:t>
      </w:r>
      <w:r w:rsidRPr="00DF48C0">
        <w:rPr>
          <w:rFonts w:cs="Times New Roman"/>
        </w:rPr>
        <w:t>E</w:t>
      </w:r>
      <w:r w:rsidR="00F40FAB">
        <w:rPr>
          <w:rFonts w:cs="Times New Roman"/>
        </w:rPr>
        <w:t>.</w:t>
      </w:r>
      <w:r w:rsidRPr="00DF48C0">
        <w:rPr>
          <w:rFonts w:cs="Times New Roman"/>
        </w:rPr>
        <w:t>, Hanemann, W</w:t>
      </w:r>
      <w:r w:rsidR="00F40FAB">
        <w:rPr>
          <w:rFonts w:cs="Times New Roman"/>
        </w:rPr>
        <w:t>.</w:t>
      </w:r>
      <w:r w:rsidRPr="00DF48C0">
        <w:rPr>
          <w:rFonts w:cs="Times New Roman"/>
        </w:rPr>
        <w:t xml:space="preserve"> M</w:t>
      </w:r>
      <w:r w:rsidR="00F40FAB">
        <w:rPr>
          <w:rFonts w:cs="Times New Roman"/>
        </w:rPr>
        <w:t>.</w:t>
      </w:r>
      <w:r w:rsidRPr="00DF48C0">
        <w:rPr>
          <w:rFonts w:cs="Times New Roman"/>
        </w:rPr>
        <w:t>, &amp; Kling, C</w:t>
      </w:r>
      <w:r w:rsidR="00F40FAB">
        <w:rPr>
          <w:rFonts w:cs="Times New Roman"/>
        </w:rPr>
        <w:t>.</w:t>
      </w:r>
      <w:r w:rsidRPr="00DF48C0">
        <w:rPr>
          <w:rFonts w:cs="Times New Roman"/>
        </w:rPr>
        <w:t xml:space="preserve">L. (1987). Estimating the value of water quality improvements in a recreational demand framework. </w:t>
      </w:r>
      <w:r w:rsidRPr="00DF48C0">
        <w:rPr>
          <w:rFonts w:cs="Times New Roman"/>
          <w:i/>
          <w:iCs/>
        </w:rPr>
        <w:t xml:space="preserve">Water Resources Research, </w:t>
      </w:r>
      <w:r w:rsidRPr="00A00F66">
        <w:rPr>
          <w:rFonts w:cs="Times New Roman"/>
          <w:iCs/>
        </w:rPr>
        <w:t>23</w:t>
      </w:r>
      <w:r w:rsidRPr="00F40FAB">
        <w:rPr>
          <w:rFonts w:cs="Times New Roman"/>
        </w:rPr>
        <w:t>(</w:t>
      </w:r>
      <w:r w:rsidRPr="00DF48C0">
        <w:rPr>
          <w:rFonts w:cs="Times New Roman"/>
        </w:rPr>
        <w:t xml:space="preserve">5), 951-960. </w:t>
      </w:r>
    </w:p>
    <w:p w14:paraId="3EE1EA2D" w14:textId="77777777" w:rsidR="003F7435" w:rsidRPr="00DF48C0" w:rsidRDefault="003F7435" w:rsidP="0091583F">
      <w:pPr>
        <w:ind w:left="720" w:hanging="720"/>
        <w:rPr>
          <w:rFonts w:cs="Times New Roman"/>
        </w:rPr>
      </w:pPr>
    </w:p>
    <w:p w14:paraId="5C559717" w14:textId="291F4C3E" w:rsidR="00544C48" w:rsidRDefault="00544C48" w:rsidP="00544C48">
      <w:pPr>
        <w:autoSpaceDE w:val="0"/>
        <w:autoSpaceDN w:val="0"/>
        <w:adjustRightInd w:val="0"/>
        <w:ind w:left="720" w:hanging="720"/>
        <w:rPr>
          <w:rFonts w:cs="Times New Roman"/>
        </w:rPr>
      </w:pPr>
      <w:r w:rsidRPr="00A00F66">
        <w:rPr>
          <w:rFonts w:cs="Times New Roman"/>
        </w:rPr>
        <w:t xml:space="preserve">Bloeser, J., Chen, C., Gates, M., Lipsky, A., </w:t>
      </w:r>
      <w:r w:rsidR="00F40FAB" w:rsidRPr="00A00F66">
        <w:rPr>
          <w:rFonts w:cs="Times New Roman"/>
        </w:rPr>
        <w:t xml:space="preserve">and </w:t>
      </w:r>
      <w:r w:rsidRPr="00A00F66">
        <w:rPr>
          <w:rFonts w:cs="Times New Roman"/>
        </w:rPr>
        <w:t>Longley-Wood, K. (2015). Characterization of Coastal and Marine Recreational Activity in the U.S. Northeast.</w:t>
      </w:r>
      <w:r w:rsidR="00580AA5" w:rsidRPr="00A00F66">
        <w:rPr>
          <w:rFonts w:cs="Times New Roman"/>
        </w:rPr>
        <w:t xml:space="preserve"> http://neoceanplanning.org/wp-content/uploads/2015/10/Recreation-Study_Final-Report.pdf.</w:t>
      </w:r>
    </w:p>
    <w:p w14:paraId="71CC447D" w14:textId="77777777" w:rsidR="00DD177F" w:rsidRDefault="00DD177F" w:rsidP="00544C48">
      <w:pPr>
        <w:autoSpaceDE w:val="0"/>
        <w:autoSpaceDN w:val="0"/>
        <w:adjustRightInd w:val="0"/>
        <w:ind w:left="720" w:hanging="720"/>
        <w:rPr>
          <w:rFonts w:cs="Times New Roman"/>
        </w:rPr>
      </w:pPr>
    </w:p>
    <w:p w14:paraId="446C57EF" w14:textId="718591FD" w:rsidR="00DD177F" w:rsidRPr="000A047F" w:rsidRDefault="00DD177F" w:rsidP="00544C48">
      <w:pPr>
        <w:autoSpaceDE w:val="0"/>
        <w:autoSpaceDN w:val="0"/>
        <w:adjustRightInd w:val="0"/>
        <w:ind w:left="720" w:hanging="720"/>
        <w:rPr>
          <w:rFonts w:cs="Times New Roman"/>
        </w:rPr>
      </w:pPr>
      <w:r w:rsidRPr="000A047F">
        <w:rPr>
          <w:rFonts w:cs="Times New Roman"/>
        </w:rPr>
        <w:t xml:space="preserve">Brennan, M. (2011). Recruiting </w:t>
      </w:r>
      <w:r w:rsidR="00F40FAB">
        <w:rPr>
          <w:rFonts w:cs="Times New Roman"/>
        </w:rPr>
        <w:t>o</w:t>
      </w:r>
      <w:r w:rsidRPr="000A047F">
        <w:rPr>
          <w:rFonts w:cs="Times New Roman"/>
        </w:rPr>
        <w:t xml:space="preserve">pinion </w:t>
      </w:r>
      <w:r w:rsidR="00F40FAB">
        <w:rPr>
          <w:rFonts w:cs="Times New Roman"/>
        </w:rPr>
        <w:t>l</w:t>
      </w:r>
      <w:r w:rsidRPr="000A047F">
        <w:rPr>
          <w:rFonts w:cs="Times New Roman"/>
        </w:rPr>
        <w:t xml:space="preserve">eaders and </w:t>
      </w:r>
      <w:r w:rsidR="00F40FAB">
        <w:rPr>
          <w:rFonts w:cs="Times New Roman"/>
        </w:rPr>
        <w:t>i</w:t>
      </w:r>
      <w:r w:rsidRPr="000A047F">
        <w:rPr>
          <w:rFonts w:cs="Times New Roman"/>
        </w:rPr>
        <w:t xml:space="preserve">nnovators: </w:t>
      </w:r>
      <w:r w:rsidR="00F40FAB">
        <w:rPr>
          <w:rFonts w:cs="Times New Roman"/>
        </w:rPr>
        <w:t>a</w:t>
      </w:r>
      <w:r w:rsidRPr="000A047F">
        <w:rPr>
          <w:rFonts w:cs="Times New Roman"/>
        </w:rPr>
        <w:t xml:space="preserve"> </w:t>
      </w:r>
      <w:r w:rsidR="00F40FAB">
        <w:rPr>
          <w:rFonts w:cs="Times New Roman"/>
        </w:rPr>
        <w:t>c</w:t>
      </w:r>
      <w:r w:rsidRPr="000A047F">
        <w:rPr>
          <w:rFonts w:cs="Times New Roman"/>
        </w:rPr>
        <w:t xml:space="preserve">omparison of </w:t>
      </w:r>
      <w:r w:rsidR="00F40FAB">
        <w:rPr>
          <w:rFonts w:cs="Times New Roman"/>
        </w:rPr>
        <w:t>m</w:t>
      </w:r>
      <w:r w:rsidRPr="000A047F">
        <w:rPr>
          <w:rFonts w:cs="Times New Roman"/>
        </w:rPr>
        <w:t>ail versus '</w:t>
      </w:r>
      <w:r w:rsidR="00F40FAB">
        <w:rPr>
          <w:rFonts w:cs="Times New Roman"/>
        </w:rPr>
        <w:t>w</w:t>
      </w:r>
      <w:r w:rsidRPr="000A047F">
        <w:rPr>
          <w:rFonts w:cs="Times New Roman"/>
        </w:rPr>
        <w:t xml:space="preserve">eb plus </w:t>
      </w:r>
      <w:r w:rsidR="00F40FAB">
        <w:rPr>
          <w:rFonts w:cs="Times New Roman"/>
        </w:rPr>
        <w:t>m</w:t>
      </w:r>
      <w:r w:rsidRPr="000A047F">
        <w:rPr>
          <w:rFonts w:cs="Times New Roman"/>
        </w:rPr>
        <w:t xml:space="preserve">ail' </w:t>
      </w:r>
      <w:r w:rsidR="00F40FAB">
        <w:rPr>
          <w:rFonts w:cs="Times New Roman"/>
        </w:rPr>
        <w:t>u</w:t>
      </w:r>
      <w:r w:rsidRPr="000A047F">
        <w:rPr>
          <w:rFonts w:cs="Times New Roman"/>
        </w:rPr>
        <w:t xml:space="preserve">sing </w:t>
      </w:r>
      <w:r w:rsidR="00F40FAB">
        <w:rPr>
          <w:rFonts w:cs="Times New Roman"/>
        </w:rPr>
        <w:t>a</w:t>
      </w:r>
      <w:r w:rsidRPr="000A047F">
        <w:rPr>
          <w:rFonts w:cs="Times New Roman"/>
        </w:rPr>
        <w:t xml:space="preserve">ddressed-based Sampling. </w:t>
      </w:r>
      <w:r w:rsidRPr="00A00F66">
        <w:rPr>
          <w:rFonts w:cs="Times New Roman"/>
          <w:i/>
        </w:rPr>
        <w:t>Australasian Journal of Market &amp; Social Research</w:t>
      </w:r>
      <w:r w:rsidRPr="000A047F">
        <w:rPr>
          <w:rFonts w:cs="Times New Roman"/>
        </w:rPr>
        <w:t>, 19(1), 9-23.</w:t>
      </w:r>
    </w:p>
    <w:p w14:paraId="449157D6" w14:textId="77777777" w:rsidR="00CA7C21" w:rsidRPr="000A047F" w:rsidRDefault="00CA7C21" w:rsidP="00544C48">
      <w:pPr>
        <w:autoSpaceDE w:val="0"/>
        <w:autoSpaceDN w:val="0"/>
        <w:adjustRightInd w:val="0"/>
        <w:ind w:left="720" w:hanging="720"/>
        <w:rPr>
          <w:rFonts w:cs="Times New Roman"/>
        </w:rPr>
      </w:pPr>
    </w:p>
    <w:p w14:paraId="3C35FD32" w14:textId="50412FC7" w:rsidR="00CA7C21" w:rsidRPr="00807445" w:rsidRDefault="00782E74" w:rsidP="00CA7C21">
      <w:pPr>
        <w:autoSpaceDE w:val="0"/>
        <w:autoSpaceDN w:val="0"/>
        <w:adjustRightInd w:val="0"/>
        <w:ind w:left="720" w:hanging="720"/>
        <w:rPr>
          <w:rFonts w:cs="Times New Roman"/>
        </w:rPr>
      </w:pPr>
      <w:r w:rsidRPr="000A047F">
        <w:rPr>
          <w:rFonts w:cs="Times New Roman"/>
        </w:rPr>
        <w:t>Cape Cod Commission.</w:t>
      </w:r>
      <w:r w:rsidR="00CA7C21" w:rsidRPr="00807445">
        <w:rPr>
          <w:rFonts w:cs="Times New Roman"/>
        </w:rPr>
        <w:t xml:space="preserve"> (2015). Cape Cod Area Wide Water Quality Management Plan Update.</w:t>
      </w:r>
    </w:p>
    <w:p w14:paraId="16E38EAD" w14:textId="77777777" w:rsidR="00CA7C21" w:rsidRPr="000A047F" w:rsidRDefault="00CA7C21" w:rsidP="00544C48">
      <w:pPr>
        <w:autoSpaceDE w:val="0"/>
        <w:autoSpaceDN w:val="0"/>
        <w:adjustRightInd w:val="0"/>
        <w:ind w:left="720" w:hanging="720"/>
        <w:rPr>
          <w:rFonts w:cs="Times New Roman"/>
        </w:rPr>
      </w:pPr>
    </w:p>
    <w:p w14:paraId="571BA2A5" w14:textId="5FA62B57" w:rsidR="00C549D7" w:rsidRPr="00C549D7" w:rsidRDefault="00C549D7" w:rsidP="00C549D7">
      <w:pPr>
        <w:autoSpaceDE w:val="0"/>
        <w:autoSpaceDN w:val="0"/>
        <w:adjustRightInd w:val="0"/>
        <w:ind w:left="720" w:hanging="720"/>
        <w:rPr>
          <w:rFonts w:cs="Times New Roman"/>
        </w:rPr>
      </w:pPr>
      <w:r w:rsidRPr="00C549D7">
        <w:rPr>
          <w:rFonts w:cs="Times New Roman"/>
        </w:rPr>
        <w:t xml:space="preserve">Champ, P., </w:t>
      </w:r>
      <w:r>
        <w:rPr>
          <w:rFonts w:cs="Times New Roman"/>
        </w:rPr>
        <w:t>Boyle, K., and Brown</w:t>
      </w:r>
      <w:r w:rsidR="00F40FAB">
        <w:rPr>
          <w:rFonts w:cs="Times New Roman"/>
        </w:rPr>
        <w:t>,</w:t>
      </w:r>
      <w:r>
        <w:rPr>
          <w:rFonts w:cs="Times New Roman"/>
        </w:rPr>
        <w:t xml:space="preserve"> T.C.</w:t>
      </w:r>
      <w:r w:rsidRPr="00C549D7">
        <w:rPr>
          <w:rFonts w:cs="Times New Roman"/>
        </w:rPr>
        <w:t xml:space="preserve">, Eds. (2003). </w:t>
      </w:r>
      <w:r w:rsidRPr="00C549D7">
        <w:rPr>
          <w:rFonts w:cs="Times New Roman"/>
          <w:i/>
        </w:rPr>
        <w:t>A Primer on Nonmarket Valuation</w:t>
      </w:r>
      <w:r w:rsidRPr="00C549D7">
        <w:rPr>
          <w:rFonts w:cs="Times New Roman"/>
        </w:rPr>
        <w:t>. The Economics of Non-Market Goods and Resources. Boston, Kluwer Academic Publishers.</w:t>
      </w:r>
    </w:p>
    <w:p w14:paraId="5A3B7293" w14:textId="77777777" w:rsidR="00C549D7" w:rsidRDefault="00C549D7" w:rsidP="00C549D7">
      <w:pPr>
        <w:autoSpaceDE w:val="0"/>
        <w:autoSpaceDN w:val="0"/>
        <w:adjustRightInd w:val="0"/>
        <w:ind w:left="720" w:hanging="720"/>
        <w:rPr>
          <w:rFonts w:cs="Times New Roman"/>
        </w:rPr>
      </w:pPr>
    </w:p>
    <w:p w14:paraId="51B9854E" w14:textId="785A83BA" w:rsidR="00083677" w:rsidRPr="000A047F" w:rsidRDefault="00083677" w:rsidP="0091583F">
      <w:pPr>
        <w:ind w:left="720" w:hanging="720"/>
        <w:rPr>
          <w:rFonts w:cs="Times New Roman"/>
        </w:rPr>
      </w:pPr>
      <w:r w:rsidRPr="000A047F">
        <w:rPr>
          <w:rFonts w:cs="Times New Roman"/>
        </w:rPr>
        <w:t>Cuba, L. and Hummon</w:t>
      </w:r>
      <w:r w:rsidR="00F40FAB">
        <w:rPr>
          <w:rFonts w:cs="Times New Roman"/>
        </w:rPr>
        <w:t>, D.M</w:t>
      </w:r>
      <w:r w:rsidRPr="000A047F">
        <w:rPr>
          <w:rFonts w:cs="Times New Roman"/>
        </w:rPr>
        <w:t xml:space="preserve">. </w:t>
      </w:r>
      <w:r w:rsidR="00962F67" w:rsidRPr="008276EA">
        <w:rPr>
          <w:rFonts w:cs="Times New Roman"/>
        </w:rPr>
        <w:t>(</w:t>
      </w:r>
      <w:r w:rsidRPr="000A047F">
        <w:rPr>
          <w:rFonts w:cs="Times New Roman"/>
        </w:rPr>
        <w:t>1993</w:t>
      </w:r>
      <w:r w:rsidR="007427C2" w:rsidRPr="000A047F">
        <w:rPr>
          <w:rFonts w:cs="Times New Roman"/>
        </w:rPr>
        <w:t>a</w:t>
      </w:r>
      <w:r w:rsidR="00962F67" w:rsidRPr="008276EA">
        <w:rPr>
          <w:rFonts w:cs="Times New Roman"/>
        </w:rPr>
        <w:t>)</w:t>
      </w:r>
      <w:r w:rsidRPr="000A047F">
        <w:rPr>
          <w:rFonts w:cs="Times New Roman"/>
        </w:rPr>
        <w:t xml:space="preserve">. Constructing a sense of home: place affiliation and migration across the life cycle. </w:t>
      </w:r>
      <w:r w:rsidRPr="000A047F">
        <w:rPr>
          <w:rFonts w:cs="Times New Roman"/>
          <w:i/>
        </w:rPr>
        <w:t>Sociological Forum</w:t>
      </w:r>
      <w:r w:rsidRPr="000A047F">
        <w:rPr>
          <w:rFonts w:cs="Times New Roman"/>
        </w:rPr>
        <w:t>, 8(4)</w:t>
      </w:r>
      <w:r w:rsidR="00A56C25">
        <w:rPr>
          <w:rFonts w:cs="Times New Roman"/>
        </w:rPr>
        <w:t>,</w:t>
      </w:r>
      <w:r w:rsidRPr="000A047F">
        <w:rPr>
          <w:rFonts w:cs="Times New Roman"/>
        </w:rPr>
        <w:t xml:space="preserve"> 547-572.</w:t>
      </w:r>
    </w:p>
    <w:p w14:paraId="553BEB49" w14:textId="77777777" w:rsidR="00083677" w:rsidRPr="000A047F" w:rsidRDefault="00083677" w:rsidP="0091583F">
      <w:pPr>
        <w:ind w:left="720" w:hanging="720"/>
        <w:rPr>
          <w:rFonts w:cs="Times New Roman"/>
        </w:rPr>
      </w:pPr>
    </w:p>
    <w:p w14:paraId="28611F79" w14:textId="183603A5" w:rsidR="007427C2" w:rsidRPr="007427C2" w:rsidRDefault="007427C2" w:rsidP="0091583F">
      <w:pPr>
        <w:ind w:left="720" w:hanging="720"/>
        <w:rPr>
          <w:rFonts w:cs="Times New Roman"/>
        </w:rPr>
      </w:pPr>
      <w:r w:rsidRPr="000A047F">
        <w:rPr>
          <w:rFonts w:cs="Times New Roman"/>
        </w:rPr>
        <w:t>Cuba, L. and Hummon</w:t>
      </w:r>
      <w:r w:rsidR="00F40FAB">
        <w:rPr>
          <w:rFonts w:cs="Times New Roman"/>
        </w:rPr>
        <w:t>, D.M</w:t>
      </w:r>
      <w:r w:rsidRPr="000A047F">
        <w:rPr>
          <w:rFonts w:cs="Times New Roman"/>
        </w:rPr>
        <w:t xml:space="preserve">. </w:t>
      </w:r>
      <w:r w:rsidR="00962F67" w:rsidRPr="008276EA">
        <w:rPr>
          <w:rFonts w:cs="Times New Roman"/>
        </w:rPr>
        <w:t>(</w:t>
      </w:r>
      <w:r w:rsidRPr="000A047F">
        <w:rPr>
          <w:rFonts w:cs="Times New Roman"/>
        </w:rPr>
        <w:t>1993b</w:t>
      </w:r>
      <w:r w:rsidR="00962F67" w:rsidRPr="008276EA">
        <w:rPr>
          <w:rFonts w:cs="Times New Roman"/>
        </w:rPr>
        <w:t>)</w:t>
      </w:r>
      <w:r w:rsidRPr="000A047F">
        <w:rPr>
          <w:rFonts w:cs="Times New Roman"/>
        </w:rPr>
        <w:t xml:space="preserve">. A place to call home: identification with dwelling, community, and region. </w:t>
      </w:r>
      <w:r w:rsidRPr="000A047F">
        <w:rPr>
          <w:rFonts w:cs="Times New Roman"/>
          <w:i/>
        </w:rPr>
        <w:t>The Sociological Quarterly</w:t>
      </w:r>
      <w:r w:rsidRPr="000A047F">
        <w:rPr>
          <w:rFonts w:cs="Times New Roman"/>
        </w:rPr>
        <w:t>, 34(1)</w:t>
      </w:r>
      <w:r w:rsidR="00A56C25">
        <w:rPr>
          <w:rFonts w:cs="Times New Roman"/>
        </w:rPr>
        <w:t>,</w:t>
      </w:r>
      <w:r w:rsidRPr="000A047F">
        <w:rPr>
          <w:rFonts w:cs="Times New Roman"/>
        </w:rPr>
        <w:t>111-131.</w:t>
      </w:r>
    </w:p>
    <w:p w14:paraId="3526B028" w14:textId="77777777" w:rsidR="0091583F" w:rsidRPr="00DF48C0" w:rsidRDefault="0091583F" w:rsidP="0091583F">
      <w:pPr>
        <w:rPr>
          <w:rFonts w:cs="Times New Roman"/>
        </w:rPr>
      </w:pPr>
    </w:p>
    <w:p w14:paraId="2840BA10" w14:textId="0B7AA7DE" w:rsidR="0070031D" w:rsidRPr="00DF48C0" w:rsidRDefault="0070031D" w:rsidP="0091583F">
      <w:pPr>
        <w:pStyle w:val="BodyTextIndent"/>
        <w:spacing w:line="240" w:lineRule="auto"/>
        <w:rPr>
          <w:sz w:val="22"/>
          <w:szCs w:val="22"/>
        </w:rPr>
      </w:pPr>
      <w:r w:rsidRPr="00DF48C0">
        <w:rPr>
          <w:sz w:val="22"/>
          <w:szCs w:val="22"/>
        </w:rPr>
        <w:t>De Groot, R.S., Alkemade,</w:t>
      </w:r>
      <w:r w:rsidR="00F40FAB">
        <w:rPr>
          <w:sz w:val="22"/>
          <w:szCs w:val="22"/>
        </w:rPr>
        <w:t xml:space="preserve"> R.,</w:t>
      </w:r>
      <w:r w:rsidRPr="00DF48C0">
        <w:rPr>
          <w:sz w:val="22"/>
          <w:szCs w:val="22"/>
        </w:rPr>
        <w:t xml:space="preserve"> Braat, L.</w:t>
      </w:r>
      <w:r w:rsidR="00F40FAB">
        <w:rPr>
          <w:sz w:val="22"/>
          <w:szCs w:val="22"/>
        </w:rPr>
        <w:t>,</w:t>
      </w:r>
      <w:r w:rsidRPr="00DF48C0">
        <w:rPr>
          <w:sz w:val="22"/>
          <w:szCs w:val="22"/>
        </w:rPr>
        <w:t xml:space="preserve"> Hein,</w:t>
      </w:r>
      <w:r w:rsidR="00F40FAB">
        <w:rPr>
          <w:sz w:val="22"/>
          <w:szCs w:val="22"/>
        </w:rPr>
        <w:t xml:space="preserve"> L.</w:t>
      </w:r>
      <w:r w:rsidRPr="00DF48C0">
        <w:rPr>
          <w:sz w:val="22"/>
          <w:szCs w:val="22"/>
        </w:rPr>
        <w:t xml:space="preserve"> and Willemen</w:t>
      </w:r>
      <w:r w:rsidR="00F40FAB">
        <w:rPr>
          <w:sz w:val="22"/>
          <w:szCs w:val="22"/>
        </w:rPr>
        <w:t>, L</w:t>
      </w:r>
      <w:r w:rsidRPr="00DF48C0">
        <w:rPr>
          <w:sz w:val="22"/>
          <w:szCs w:val="22"/>
        </w:rPr>
        <w:t xml:space="preserve">. </w:t>
      </w:r>
      <w:r w:rsidR="00962F67">
        <w:rPr>
          <w:sz w:val="22"/>
          <w:szCs w:val="22"/>
        </w:rPr>
        <w:t>(</w:t>
      </w:r>
      <w:r w:rsidRPr="00DF48C0">
        <w:rPr>
          <w:sz w:val="22"/>
          <w:szCs w:val="22"/>
        </w:rPr>
        <w:t>2010</w:t>
      </w:r>
      <w:r w:rsidR="00962F67">
        <w:rPr>
          <w:sz w:val="22"/>
          <w:szCs w:val="22"/>
        </w:rPr>
        <w:t>)</w:t>
      </w:r>
      <w:r w:rsidRPr="00DF48C0">
        <w:rPr>
          <w:sz w:val="22"/>
          <w:szCs w:val="22"/>
        </w:rPr>
        <w:t xml:space="preserve">. Challenges in integrating the concept of ecosystem services and values into landscape planning, management and decision making. </w:t>
      </w:r>
      <w:r w:rsidRPr="00DF48C0">
        <w:rPr>
          <w:i/>
          <w:sz w:val="22"/>
          <w:szCs w:val="22"/>
        </w:rPr>
        <w:t>Ecological Complexity</w:t>
      </w:r>
      <w:r w:rsidRPr="00DF48C0">
        <w:rPr>
          <w:sz w:val="22"/>
          <w:szCs w:val="22"/>
        </w:rPr>
        <w:t xml:space="preserve"> 7</w:t>
      </w:r>
      <w:r w:rsidR="00A56C25">
        <w:rPr>
          <w:sz w:val="22"/>
          <w:szCs w:val="22"/>
        </w:rPr>
        <w:t xml:space="preserve">, </w:t>
      </w:r>
      <w:r w:rsidRPr="00DF48C0">
        <w:rPr>
          <w:sz w:val="22"/>
          <w:szCs w:val="22"/>
        </w:rPr>
        <w:t>260-272.</w:t>
      </w:r>
    </w:p>
    <w:p w14:paraId="562EAEE2" w14:textId="77777777" w:rsidR="0070031D" w:rsidRPr="00DF48C0" w:rsidRDefault="0070031D" w:rsidP="0091583F">
      <w:pPr>
        <w:pStyle w:val="BodyTextIndent"/>
        <w:spacing w:line="240" w:lineRule="auto"/>
        <w:rPr>
          <w:sz w:val="22"/>
          <w:szCs w:val="22"/>
        </w:rPr>
      </w:pPr>
    </w:p>
    <w:p w14:paraId="57F80159" w14:textId="77777777" w:rsidR="0091583F" w:rsidRPr="00DF48C0" w:rsidRDefault="0091583F" w:rsidP="0091583F">
      <w:pPr>
        <w:pStyle w:val="BodyTextIndent"/>
        <w:spacing w:line="240" w:lineRule="auto"/>
        <w:rPr>
          <w:sz w:val="22"/>
          <w:szCs w:val="22"/>
        </w:rPr>
      </w:pPr>
      <w:r w:rsidRPr="00DF48C0">
        <w:rPr>
          <w:sz w:val="22"/>
          <w:szCs w:val="22"/>
        </w:rPr>
        <w:t xml:space="preserve">Desvousges, W.H., and Smith, V.K. (1988). Focus groups and risk communication: The science of listening to data. </w:t>
      </w:r>
      <w:r w:rsidRPr="00DF48C0">
        <w:rPr>
          <w:i/>
          <w:iCs/>
          <w:sz w:val="22"/>
          <w:szCs w:val="22"/>
        </w:rPr>
        <w:t>Risk Analysis</w:t>
      </w:r>
      <w:r w:rsidRPr="00A00F66">
        <w:rPr>
          <w:iCs/>
          <w:sz w:val="22"/>
          <w:szCs w:val="22"/>
        </w:rPr>
        <w:t xml:space="preserve">, </w:t>
      </w:r>
      <w:r w:rsidRPr="00A00F66">
        <w:rPr>
          <w:sz w:val="22"/>
          <w:szCs w:val="22"/>
        </w:rPr>
        <w:t>8</w:t>
      </w:r>
      <w:r w:rsidRPr="00DF48C0">
        <w:rPr>
          <w:sz w:val="22"/>
          <w:szCs w:val="22"/>
        </w:rPr>
        <w:t>, 479-484.</w:t>
      </w:r>
    </w:p>
    <w:p w14:paraId="605886BA" w14:textId="77777777" w:rsidR="0091583F" w:rsidRPr="00DF48C0" w:rsidRDefault="0091583F" w:rsidP="0091583F">
      <w:pPr>
        <w:pStyle w:val="BodyTextIndent"/>
        <w:spacing w:line="240" w:lineRule="auto"/>
        <w:rPr>
          <w:sz w:val="22"/>
          <w:szCs w:val="22"/>
        </w:rPr>
      </w:pPr>
    </w:p>
    <w:p w14:paraId="3F356DC7" w14:textId="77777777" w:rsidR="0091583F" w:rsidRPr="00DF48C0" w:rsidRDefault="0091583F" w:rsidP="0091583F">
      <w:pPr>
        <w:pStyle w:val="BodyTextIndent"/>
        <w:spacing w:line="240" w:lineRule="auto"/>
        <w:rPr>
          <w:sz w:val="22"/>
          <w:szCs w:val="22"/>
        </w:rPr>
      </w:pPr>
      <w:r w:rsidRPr="00DF48C0">
        <w:rPr>
          <w:sz w:val="22"/>
          <w:szCs w:val="22"/>
        </w:rPr>
        <w:t xml:space="preserve">Desvousges, W.H., Smith, V.K., Brown, D.H., and Pate, D.K. (1984). </w:t>
      </w:r>
      <w:r w:rsidRPr="00962F67">
        <w:rPr>
          <w:i/>
          <w:sz w:val="22"/>
          <w:szCs w:val="22"/>
        </w:rPr>
        <w:t>The role of focus groups in designing a contingent valuation survey to measure the benefits of hazardous waste management regulations</w:t>
      </w:r>
      <w:r w:rsidRPr="00DF48C0">
        <w:rPr>
          <w:i/>
          <w:sz w:val="22"/>
          <w:szCs w:val="22"/>
        </w:rPr>
        <w:t xml:space="preserve">. </w:t>
      </w:r>
      <w:r w:rsidRPr="00DF48C0">
        <w:rPr>
          <w:sz w:val="22"/>
          <w:szCs w:val="22"/>
        </w:rPr>
        <w:t>Research Triangle Park, NC: Research Triangle Institute.</w:t>
      </w:r>
    </w:p>
    <w:p w14:paraId="7FC14DD2" w14:textId="77777777" w:rsidR="003F7435" w:rsidRPr="00DF48C0" w:rsidRDefault="003F7435" w:rsidP="0091583F">
      <w:pPr>
        <w:pStyle w:val="BodyTextIndent"/>
        <w:spacing w:line="240" w:lineRule="auto"/>
        <w:rPr>
          <w:sz w:val="22"/>
          <w:szCs w:val="22"/>
        </w:rPr>
      </w:pPr>
    </w:p>
    <w:p w14:paraId="54318A5C" w14:textId="72CA1C0B" w:rsidR="008E4D39" w:rsidRDefault="008E4D39" w:rsidP="003F7435">
      <w:pPr>
        <w:autoSpaceDE w:val="0"/>
        <w:autoSpaceDN w:val="0"/>
        <w:adjustRightInd w:val="0"/>
        <w:ind w:left="720" w:hanging="720"/>
        <w:rPr>
          <w:rFonts w:cs="Times New Roman"/>
        </w:rPr>
      </w:pPr>
      <w:r w:rsidRPr="008E4D39">
        <w:rPr>
          <w:rFonts w:cs="Times New Roman"/>
        </w:rPr>
        <w:t xml:space="preserve">Dillman, D. A., Smyth, J. D., </w:t>
      </w:r>
      <w:r w:rsidR="00F40FAB">
        <w:rPr>
          <w:rFonts w:cs="Times New Roman"/>
        </w:rPr>
        <w:t>and</w:t>
      </w:r>
      <w:r w:rsidR="00F40FAB" w:rsidRPr="008E4D39">
        <w:rPr>
          <w:rFonts w:cs="Times New Roman"/>
        </w:rPr>
        <w:t xml:space="preserve"> </w:t>
      </w:r>
      <w:r w:rsidRPr="008E4D39">
        <w:rPr>
          <w:rFonts w:cs="Times New Roman"/>
        </w:rPr>
        <w:t xml:space="preserve">Christian, L. M. (2014). </w:t>
      </w:r>
      <w:r w:rsidRPr="00A00F66">
        <w:rPr>
          <w:rFonts w:cs="Times New Roman"/>
          <w:i/>
        </w:rPr>
        <w:t xml:space="preserve">Internet, </w:t>
      </w:r>
      <w:r w:rsidR="00F40FAB">
        <w:rPr>
          <w:rFonts w:cs="Times New Roman"/>
          <w:i/>
        </w:rPr>
        <w:t>P</w:t>
      </w:r>
      <w:r w:rsidRPr="00A00F66">
        <w:rPr>
          <w:rFonts w:cs="Times New Roman"/>
          <w:i/>
        </w:rPr>
        <w:t xml:space="preserve">hone, </w:t>
      </w:r>
      <w:r w:rsidR="00F40FAB">
        <w:rPr>
          <w:rFonts w:cs="Times New Roman"/>
          <w:i/>
        </w:rPr>
        <w:t>M</w:t>
      </w:r>
      <w:r w:rsidRPr="00A00F66">
        <w:rPr>
          <w:rFonts w:cs="Times New Roman"/>
          <w:i/>
        </w:rPr>
        <w:t xml:space="preserve">ail, and </w:t>
      </w:r>
      <w:r w:rsidR="00F40FAB">
        <w:rPr>
          <w:rFonts w:cs="Times New Roman"/>
          <w:i/>
        </w:rPr>
        <w:t>M</w:t>
      </w:r>
      <w:r w:rsidRPr="00A00F66">
        <w:rPr>
          <w:rFonts w:cs="Times New Roman"/>
          <w:i/>
        </w:rPr>
        <w:t xml:space="preserve">ixed-mode </w:t>
      </w:r>
      <w:r w:rsidR="00F40FAB">
        <w:rPr>
          <w:rFonts w:cs="Times New Roman"/>
          <w:i/>
        </w:rPr>
        <w:t>S</w:t>
      </w:r>
      <w:r w:rsidRPr="00A00F66">
        <w:rPr>
          <w:rFonts w:cs="Times New Roman"/>
          <w:i/>
        </w:rPr>
        <w:t xml:space="preserve">urveys: </w:t>
      </w:r>
      <w:r w:rsidR="00F40FAB">
        <w:rPr>
          <w:rFonts w:cs="Times New Roman"/>
          <w:i/>
        </w:rPr>
        <w:t>T</w:t>
      </w:r>
      <w:r w:rsidRPr="00A00F66">
        <w:rPr>
          <w:rFonts w:cs="Times New Roman"/>
          <w:i/>
        </w:rPr>
        <w:t xml:space="preserve">he </w:t>
      </w:r>
      <w:r w:rsidR="00F40FAB">
        <w:rPr>
          <w:rFonts w:cs="Times New Roman"/>
          <w:i/>
        </w:rPr>
        <w:t>T</w:t>
      </w:r>
      <w:r w:rsidRPr="00A00F66">
        <w:rPr>
          <w:rFonts w:cs="Times New Roman"/>
          <w:i/>
        </w:rPr>
        <w:t xml:space="preserve">ailored </w:t>
      </w:r>
      <w:r w:rsidR="00F40FAB">
        <w:rPr>
          <w:rFonts w:cs="Times New Roman"/>
          <w:i/>
        </w:rPr>
        <w:t>D</w:t>
      </w:r>
      <w:r w:rsidRPr="00A00F66">
        <w:rPr>
          <w:rFonts w:cs="Times New Roman"/>
          <w:i/>
        </w:rPr>
        <w:t xml:space="preserve">esign </w:t>
      </w:r>
      <w:r w:rsidR="00F40FAB">
        <w:rPr>
          <w:rFonts w:cs="Times New Roman"/>
          <w:i/>
        </w:rPr>
        <w:t>M</w:t>
      </w:r>
      <w:r w:rsidRPr="00A00F66">
        <w:rPr>
          <w:rFonts w:cs="Times New Roman"/>
          <w:i/>
        </w:rPr>
        <w:t>ethod</w:t>
      </w:r>
      <w:r w:rsidRPr="008E4D39">
        <w:rPr>
          <w:rFonts w:cs="Times New Roman"/>
        </w:rPr>
        <w:t xml:space="preserve">. </w:t>
      </w:r>
      <w:r w:rsidRPr="00A00F66">
        <w:rPr>
          <w:rFonts w:cs="Times New Roman"/>
        </w:rPr>
        <w:t>John Wiley &amp; Sons</w:t>
      </w:r>
      <w:r w:rsidRPr="008E4D39">
        <w:rPr>
          <w:rFonts w:cs="Times New Roman"/>
        </w:rPr>
        <w:t>.</w:t>
      </w:r>
    </w:p>
    <w:p w14:paraId="41AF7D93" w14:textId="77777777" w:rsidR="008E4D39" w:rsidRDefault="008E4D39" w:rsidP="003F7435">
      <w:pPr>
        <w:autoSpaceDE w:val="0"/>
        <w:autoSpaceDN w:val="0"/>
        <w:adjustRightInd w:val="0"/>
        <w:ind w:left="720" w:hanging="720"/>
        <w:rPr>
          <w:rFonts w:cs="Times New Roman"/>
        </w:rPr>
      </w:pPr>
    </w:p>
    <w:p w14:paraId="1DCF13F3" w14:textId="31101AD4" w:rsidR="00DD177F" w:rsidRPr="000A047F" w:rsidRDefault="00DD177F" w:rsidP="003F7435">
      <w:pPr>
        <w:autoSpaceDE w:val="0"/>
        <w:autoSpaceDN w:val="0"/>
        <w:adjustRightInd w:val="0"/>
        <w:ind w:left="720" w:hanging="720"/>
        <w:rPr>
          <w:rFonts w:cs="Times New Roman"/>
        </w:rPr>
      </w:pPr>
      <w:r w:rsidRPr="000A047F">
        <w:rPr>
          <w:rFonts w:cs="Times New Roman"/>
        </w:rPr>
        <w:t>Edwards, M.</w:t>
      </w:r>
      <w:r w:rsidR="00A56C25">
        <w:rPr>
          <w:rFonts w:cs="Times New Roman"/>
        </w:rPr>
        <w:t xml:space="preserve"> Dillman, D.A., and Smyth, J.D.</w:t>
      </w:r>
      <w:r w:rsidRPr="000A047F">
        <w:rPr>
          <w:rFonts w:cs="Times New Roman"/>
        </w:rPr>
        <w:t xml:space="preserve"> (2014)</w:t>
      </w:r>
      <w:r w:rsidR="000A047F">
        <w:rPr>
          <w:rFonts w:cs="Times New Roman"/>
        </w:rPr>
        <w:t>.</w:t>
      </w:r>
      <w:r w:rsidRPr="000A047F">
        <w:rPr>
          <w:rFonts w:cs="Times New Roman"/>
        </w:rPr>
        <w:t xml:space="preserve"> An </w:t>
      </w:r>
      <w:r w:rsidR="00F40FAB">
        <w:rPr>
          <w:rFonts w:cs="Times New Roman"/>
        </w:rPr>
        <w:t>e</w:t>
      </w:r>
      <w:r w:rsidRPr="000A047F">
        <w:rPr>
          <w:rFonts w:cs="Times New Roman"/>
        </w:rPr>
        <w:t xml:space="preserve">xperimental </w:t>
      </w:r>
      <w:r w:rsidR="00F40FAB">
        <w:rPr>
          <w:rFonts w:cs="Times New Roman"/>
        </w:rPr>
        <w:t>t</w:t>
      </w:r>
      <w:r w:rsidRPr="000A047F">
        <w:rPr>
          <w:rFonts w:cs="Times New Roman"/>
        </w:rPr>
        <w:t xml:space="preserve">est of the </w:t>
      </w:r>
      <w:r w:rsidR="00F40FAB">
        <w:rPr>
          <w:rFonts w:cs="Times New Roman"/>
        </w:rPr>
        <w:t>e</w:t>
      </w:r>
      <w:r w:rsidRPr="000A047F">
        <w:rPr>
          <w:rFonts w:cs="Times New Roman"/>
        </w:rPr>
        <w:t xml:space="preserve">ffects of </w:t>
      </w:r>
      <w:r w:rsidR="00F40FAB">
        <w:rPr>
          <w:rFonts w:cs="Times New Roman"/>
        </w:rPr>
        <w:t>s</w:t>
      </w:r>
      <w:r w:rsidRPr="000A047F">
        <w:rPr>
          <w:rFonts w:cs="Times New Roman"/>
        </w:rPr>
        <w:t xml:space="preserve">urvey </w:t>
      </w:r>
      <w:r w:rsidR="00F40FAB">
        <w:rPr>
          <w:rFonts w:cs="Times New Roman"/>
        </w:rPr>
        <w:t>s</w:t>
      </w:r>
      <w:r w:rsidRPr="000A047F">
        <w:rPr>
          <w:rFonts w:cs="Times New Roman"/>
        </w:rPr>
        <w:t xml:space="preserve">ponsorship on </w:t>
      </w:r>
      <w:r w:rsidR="00F40FAB">
        <w:rPr>
          <w:rFonts w:cs="Times New Roman"/>
        </w:rPr>
        <w:t>i</w:t>
      </w:r>
      <w:r w:rsidRPr="000A047F">
        <w:rPr>
          <w:rFonts w:cs="Times New Roman"/>
        </w:rPr>
        <w:t xml:space="preserve">nternet and </w:t>
      </w:r>
      <w:r w:rsidR="00F40FAB">
        <w:rPr>
          <w:rFonts w:cs="Times New Roman"/>
        </w:rPr>
        <w:t>m</w:t>
      </w:r>
      <w:r w:rsidRPr="000A047F">
        <w:rPr>
          <w:rFonts w:cs="Times New Roman"/>
        </w:rPr>
        <w:t xml:space="preserve">ail </w:t>
      </w:r>
      <w:r w:rsidR="00F40FAB">
        <w:rPr>
          <w:rFonts w:cs="Times New Roman"/>
        </w:rPr>
        <w:t>s</w:t>
      </w:r>
      <w:r w:rsidRPr="000A047F">
        <w:rPr>
          <w:rFonts w:cs="Times New Roman"/>
        </w:rPr>
        <w:t xml:space="preserve">urvey </w:t>
      </w:r>
      <w:r w:rsidR="00F40FAB">
        <w:rPr>
          <w:rFonts w:cs="Times New Roman"/>
        </w:rPr>
        <w:t>r</w:t>
      </w:r>
      <w:r w:rsidRPr="000A047F">
        <w:rPr>
          <w:rFonts w:cs="Times New Roman"/>
        </w:rPr>
        <w:t xml:space="preserve">esponse. </w:t>
      </w:r>
      <w:r w:rsidRPr="00A00F66">
        <w:rPr>
          <w:rFonts w:cs="Times New Roman"/>
          <w:i/>
        </w:rPr>
        <w:t>Public Opinion Quarterly</w:t>
      </w:r>
      <w:r w:rsidRPr="000A047F">
        <w:rPr>
          <w:rFonts w:cs="Times New Roman"/>
        </w:rPr>
        <w:t xml:space="preserve">, </w:t>
      </w:r>
      <w:r w:rsidR="00A56C25">
        <w:rPr>
          <w:rFonts w:cs="Times New Roman"/>
        </w:rPr>
        <w:t>78(3), 734-750</w:t>
      </w:r>
      <w:r w:rsidRPr="000A047F">
        <w:rPr>
          <w:rFonts w:cs="Times New Roman"/>
        </w:rPr>
        <w:t xml:space="preserve">. </w:t>
      </w:r>
    </w:p>
    <w:p w14:paraId="3CE92668" w14:textId="77777777" w:rsidR="00DD177F" w:rsidRPr="000A047F" w:rsidRDefault="00DD177F" w:rsidP="003F7435">
      <w:pPr>
        <w:autoSpaceDE w:val="0"/>
        <w:autoSpaceDN w:val="0"/>
        <w:adjustRightInd w:val="0"/>
        <w:ind w:left="720" w:hanging="720"/>
        <w:rPr>
          <w:rFonts w:cs="Times New Roman"/>
        </w:rPr>
      </w:pPr>
    </w:p>
    <w:p w14:paraId="7FFF8FAA" w14:textId="171DF12D" w:rsidR="003F7435" w:rsidRPr="000A047F" w:rsidRDefault="003F7435" w:rsidP="003F7435">
      <w:pPr>
        <w:autoSpaceDE w:val="0"/>
        <w:autoSpaceDN w:val="0"/>
        <w:adjustRightInd w:val="0"/>
        <w:ind w:left="720" w:hanging="720"/>
        <w:rPr>
          <w:rFonts w:cs="Times New Roman"/>
        </w:rPr>
      </w:pPr>
      <w:r w:rsidRPr="000A047F">
        <w:rPr>
          <w:rFonts w:cs="Times New Roman"/>
        </w:rPr>
        <w:t xml:space="preserve">Egan, </w:t>
      </w:r>
      <w:r w:rsidR="00A56C25" w:rsidRPr="000A047F">
        <w:rPr>
          <w:rFonts w:cs="Times New Roman"/>
        </w:rPr>
        <w:t>K</w:t>
      </w:r>
      <w:r w:rsidR="00A56C25">
        <w:rPr>
          <w:rFonts w:cs="Times New Roman"/>
        </w:rPr>
        <w:t>.</w:t>
      </w:r>
      <w:r w:rsidRPr="000A047F">
        <w:rPr>
          <w:rFonts w:cs="Times New Roman"/>
        </w:rPr>
        <w:t xml:space="preserve">J, Herriges, </w:t>
      </w:r>
      <w:r w:rsidR="00A56C25" w:rsidRPr="000A047F">
        <w:rPr>
          <w:rFonts w:cs="Times New Roman"/>
        </w:rPr>
        <w:t>J</w:t>
      </w:r>
      <w:r w:rsidR="00A56C25">
        <w:rPr>
          <w:rFonts w:cs="Times New Roman"/>
        </w:rPr>
        <w:t>.</w:t>
      </w:r>
      <w:r w:rsidRPr="000A047F">
        <w:rPr>
          <w:rFonts w:cs="Times New Roman"/>
        </w:rPr>
        <w:t xml:space="preserve">A, Kling, </w:t>
      </w:r>
      <w:r w:rsidR="00A56C25" w:rsidRPr="000A047F">
        <w:rPr>
          <w:rFonts w:cs="Times New Roman"/>
        </w:rPr>
        <w:t>C</w:t>
      </w:r>
      <w:r w:rsidR="00A56C25">
        <w:rPr>
          <w:rFonts w:cs="Times New Roman"/>
        </w:rPr>
        <w:t>.</w:t>
      </w:r>
      <w:r w:rsidRPr="000A047F">
        <w:rPr>
          <w:rFonts w:cs="Times New Roman"/>
        </w:rPr>
        <w:t xml:space="preserve">L, </w:t>
      </w:r>
      <w:r w:rsidR="00A56C25">
        <w:rPr>
          <w:rFonts w:cs="Times New Roman"/>
        </w:rPr>
        <w:t>and</w:t>
      </w:r>
      <w:r w:rsidR="00A56C25" w:rsidRPr="000A047F">
        <w:rPr>
          <w:rFonts w:cs="Times New Roman"/>
        </w:rPr>
        <w:t xml:space="preserve"> </w:t>
      </w:r>
      <w:r w:rsidRPr="000A047F">
        <w:rPr>
          <w:rFonts w:cs="Times New Roman"/>
        </w:rPr>
        <w:t xml:space="preserve">Downing, </w:t>
      </w:r>
      <w:r w:rsidR="00A56C25" w:rsidRPr="000A047F">
        <w:rPr>
          <w:rFonts w:cs="Times New Roman"/>
        </w:rPr>
        <w:t>J</w:t>
      </w:r>
      <w:r w:rsidR="00A56C25">
        <w:rPr>
          <w:rFonts w:cs="Times New Roman"/>
        </w:rPr>
        <w:t>.</w:t>
      </w:r>
      <w:r w:rsidRPr="000A047F">
        <w:rPr>
          <w:rFonts w:cs="Times New Roman"/>
        </w:rPr>
        <w:t xml:space="preserve">A. (2009). Valuing water quality as a function of water quality measures. </w:t>
      </w:r>
      <w:r w:rsidRPr="000A047F">
        <w:rPr>
          <w:rFonts w:cs="Times New Roman"/>
          <w:i/>
          <w:iCs/>
        </w:rPr>
        <w:t xml:space="preserve">American Journal of Agricultural Economics, </w:t>
      </w:r>
      <w:r w:rsidRPr="00A00F66">
        <w:rPr>
          <w:rFonts w:cs="Times New Roman"/>
          <w:iCs/>
        </w:rPr>
        <w:t>91</w:t>
      </w:r>
      <w:r w:rsidRPr="00A56C25">
        <w:rPr>
          <w:rFonts w:cs="Times New Roman"/>
        </w:rPr>
        <w:t>(1),</w:t>
      </w:r>
      <w:r w:rsidRPr="000A047F">
        <w:rPr>
          <w:rFonts w:cs="Times New Roman"/>
        </w:rPr>
        <w:t xml:space="preserve"> 106-123. </w:t>
      </w:r>
    </w:p>
    <w:p w14:paraId="0A375E47" w14:textId="77777777" w:rsidR="003F7435" w:rsidRPr="000A047F" w:rsidRDefault="003F7435" w:rsidP="00AF2F2C">
      <w:pPr>
        <w:pStyle w:val="BodyTextIndent"/>
        <w:spacing w:line="240" w:lineRule="auto"/>
        <w:ind w:left="0" w:firstLine="0"/>
        <w:rPr>
          <w:sz w:val="22"/>
          <w:szCs w:val="22"/>
        </w:rPr>
      </w:pPr>
    </w:p>
    <w:p w14:paraId="0B964C6B" w14:textId="6E0B841A" w:rsidR="00782E74" w:rsidRPr="00807445" w:rsidRDefault="00782E74" w:rsidP="00782E74">
      <w:pPr>
        <w:autoSpaceDE w:val="0"/>
        <w:autoSpaceDN w:val="0"/>
        <w:adjustRightInd w:val="0"/>
        <w:ind w:left="720" w:hanging="720"/>
        <w:rPr>
          <w:rFonts w:cs="Times New Roman"/>
        </w:rPr>
      </w:pPr>
      <w:r w:rsidRPr="00807445">
        <w:rPr>
          <w:rFonts w:cs="Times New Roman"/>
        </w:rPr>
        <w:t xml:space="preserve">English, E.P. (2010). </w:t>
      </w:r>
      <w:r w:rsidRPr="00807445">
        <w:rPr>
          <w:rFonts w:cs="Times New Roman"/>
          <w:i/>
          <w:iCs/>
        </w:rPr>
        <w:t xml:space="preserve">Discrete Choice, Recreation Demand, </w:t>
      </w:r>
      <w:r w:rsidRPr="000A047F">
        <w:rPr>
          <w:rFonts w:cs="Times New Roman"/>
          <w:i/>
          <w:iCs/>
        </w:rPr>
        <w:t>a</w:t>
      </w:r>
      <w:r w:rsidRPr="00807445">
        <w:rPr>
          <w:rFonts w:cs="Times New Roman"/>
          <w:i/>
          <w:iCs/>
        </w:rPr>
        <w:t>nd Consumer Surplus.</w:t>
      </w:r>
      <w:r w:rsidRPr="00807445">
        <w:rPr>
          <w:rFonts w:cs="Times New Roman"/>
        </w:rPr>
        <w:t xml:space="preserve"> Cornell University.</w:t>
      </w:r>
      <w:r w:rsidR="00281710">
        <w:rPr>
          <w:rFonts w:cs="Times New Roman"/>
        </w:rPr>
        <w:t xml:space="preserve"> </w:t>
      </w:r>
      <w:r w:rsidRPr="00807445">
        <w:rPr>
          <w:rFonts w:cs="Times New Roman"/>
        </w:rPr>
        <w:t xml:space="preserve"> </w:t>
      </w:r>
    </w:p>
    <w:p w14:paraId="2A1B48BF" w14:textId="4AD7B8E7" w:rsidR="00782E74" w:rsidRPr="00246EE2" w:rsidRDefault="00782E74" w:rsidP="00AF2F2C">
      <w:pPr>
        <w:pStyle w:val="BodyTextIndent"/>
        <w:spacing w:line="240" w:lineRule="auto"/>
        <w:ind w:left="0" w:firstLine="0"/>
        <w:rPr>
          <w:sz w:val="22"/>
          <w:szCs w:val="22"/>
        </w:rPr>
      </w:pPr>
    </w:p>
    <w:p w14:paraId="14FD8E8E" w14:textId="67D5E645" w:rsidR="00CE074D" w:rsidRPr="00DF48C0" w:rsidRDefault="00CE074D" w:rsidP="00CE074D">
      <w:pPr>
        <w:autoSpaceDE w:val="0"/>
        <w:autoSpaceDN w:val="0"/>
        <w:adjustRightInd w:val="0"/>
        <w:ind w:left="720" w:hanging="720"/>
        <w:rPr>
          <w:rFonts w:cs="Times New Roman"/>
        </w:rPr>
      </w:pPr>
      <w:r w:rsidRPr="00DF48C0">
        <w:rPr>
          <w:rFonts w:cs="Times New Roman"/>
        </w:rPr>
        <w:t xml:space="preserve">Feather, P.M. (1994). Sampling and aggregation issues in random utility model estimation. </w:t>
      </w:r>
      <w:r w:rsidRPr="00DF48C0">
        <w:rPr>
          <w:rFonts w:cs="Times New Roman"/>
          <w:i/>
          <w:iCs/>
        </w:rPr>
        <w:t xml:space="preserve">American Journal of Agricultural Economics, </w:t>
      </w:r>
      <w:r w:rsidRPr="00A00F66">
        <w:rPr>
          <w:rFonts w:cs="Times New Roman"/>
          <w:iCs/>
        </w:rPr>
        <w:t>76</w:t>
      </w:r>
      <w:r w:rsidRPr="00A56C25">
        <w:rPr>
          <w:rFonts w:cs="Times New Roman"/>
        </w:rPr>
        <w:t>(4),</w:t>
      </w:r>
      <w:r w:rsidRPr="00DF48C0">
        <w:rPr>
          <w:rFonts w:cs="Times New Roman"/>
        </w:rPr>
        <w:t xml:space="preserve"> 772-780. </w:t>
      </w:r>
    </w:p>
    <w:p w14:paraId="5E52A97D" w14:textId="77777777" w:rsidR="0091583F" w:rsidRPr="00DF48C0" w:rsidRDefault="0091583F" w:rsidP="00D06E93">
      <w:pPr>
        <w:pStyle w:val="BodyTextIndent"/>
        <w:spacing w:line="240" w:lineRule="auto"/>
        <w:ind w:left="0" w:firstLine="0"/>
        <w:rPr>
          <w:sz w:val="22"/>
          <w:szCs w:val="22"/>
        </w:rPr>
      </w:pPr>
    </w:p>
    <w:p w14:paraId="327CB304" w14:textId="601CE789" w:rsidR="00DE3BFD" w:rsidRPr="00DF48C0" w:rsidRDefault="00DE3BFD" w:rsidP="0091583F">
      <w:pPr>
        <w:pStyle w:val="BodyTextIndent"/>
        <w:spacing w:line="240" w:lineRule="auto"/>
        <w:rPr>
          <w:sz w:val="22"/>
          <w:szCs w:val="22"/>
        </w:rPr>
      </w:pPr>
      <w:r w:rsidRPr="00DF48C0">
        <w:rPr>
          <w:sz w:val="22"/>
          <w:szCs w:val="22"/>
        </w:rPr>
        <w:t>Genskow, K. and Prokopy</w:t>
      </w:r>
      <w:r w:rsidR="00A56C25">
        <w:rPr>
          <w:sz w:val="22"/>
          <w:szCs w:val="22"/>
        </w:rPr>
        <w:t>, L., E</w:t>
      </w:r>
      <w:r w:rsidRPr="00DF48C0">
        <w:rPr>
          <w:sz w:val="22"/>
          <w:szCs w:val="22"/>
        </w:rPr>
        <w:t xml:space="preserve">ds. </w:t>
      </w:r>
      <w:r w:rsidR="00962F67">
        <w:rPr>
          <w:sz w:val="22"/>
          <w:szCs w:val="22"/>
        </w:rPr>
        <w:t>(</w:t>
      </w:r>
      <w:r w:rsidRPr="00DF48C0">
        <w:rPr>
          <w:sz w:val="22"/>
          <w:szCs w:val="22"/>
        </w:rPr>
        <w:t>2011</w:t>
      </w:r>
      <w:r w:rsidR="00962F67">
        <w:rPr>
          <w:sz w:val="22"/>
          <w:szCs w:val="22"/>
        </w:rPr>
        <w:t>)</w:t>
      </w:r>
      <w:r w:rsidRPr="00DF48C0">
        <w:rPr>
          <w:sz w:val="22"/>
          <w:szCs w:val="22"/>
        </w:rPr>
        <w:t xml:space="preserve">. </w:t>
      </w:r>
      <w:r w:rsidRPr="00DF48C0">
        <w:rPr>
          <w:i/>
          <w:sz w:val="22"/>
          <w:szCs w:val="22"/>
        </w:rPr>
        <w:t>The Social Indicator Planning and Evaluation System (SIPES) for Nonpoint Source Management: A Handbook for Watershed Projects</w:t>
      </w:r>
      <w:r w:rsidRPr="00DF48C0">
        <w:rPr>
          <w:sz w:val="22"/>
          <w:szCs w:val="22"/>
        </w:rPr>
        <w:t>. 3</w:t>
      </w:r>
      <w:r w:rsidRPr="00DF48C0">
        <w:rPr>
          <w:sz w:val="22"/>
          <w:szCs w:val="22"/>
          <w:vertAlign w:val="superscript"/>
        </w:rPr>
        <w:t>rd</w:t>
      </w:r>
      <w:r w:rsidRPr="00DF48C0">
        <w:rPr>
          <w:sz w:val="22"/>
          <w:szCs w:val="22"/>
        </w:rPr>
        <w:t xml:space="preserve"> Edition. Great Lakes Regional Water Program. 104 pp.</w:t>
      </w:r>
    </w:p>
    <w:p w14:paraId="74EC6F0D" w14:textId="77777777" w:rsidR="003F7435" w:rsidRPr="00DF48C0" w:rsidRDefault="003F7435" w:rsidP="0091583F">
      <w:pPr>
        <w:pStyle w:val="BodyTextIndent"/>
        <w:spacing w:line="240" w:lineRule="auto"/>
        <w:rPr>
          <w:sz w:val="22"/>
          <w:szCs w:val="22"/>
        </w:rPr>
      </w:pPr>
    </w:p>
    <w:p w14:paraId="2D6D3451" w14:textId="77777777" w:rsidR="003F7435" w:rsidRPr="00DF48C0" w:rsidRDefault="003F7435" w:rsidP="003F7435">
      <w:pPr>
        <w:autoSpaceDE w:val="0"/>
        <w:autoSpaceDN w:val="0"/>
        <w:adjustRightInd w:val="0"/>
        <w:ind w:left="720" w:hanging="720"/>
        <w:rPr>
          <w:rFonts w:cs="Times New Roman"/>
        </w:rPr>
      </w:pPr>
      <w:r w:rsidRPr="00DF48C0">
        <w:rPr>
          <w:rFonts w:cs="Times New Roman"/>
        </w:rPr>
        <w:t xml:space="preserve">Google Maps API. (2016). </w:t>
      </w:r>
    </w:p>
    <w:p w14:paraId="517CE529" w14:textId="77777777" w:rsidR="00DE3BFD" w:rsidRPr="00DF48C0" w:rsidRDefault="00DE3BFD" w:rsidP="0091583F">
      <w:pPr>
        <w:pStyle w:val="BodyTextIndent"/>
        <w:spacing w:line="240" w:lineRule="auto"/>
        <w:rPr>
          <w:sz w:val="22"/>
          <w:szCs w:val="22"/>
        </w:rPr>
      </w:pPr>
    </w:p>
    <w:p w14:paraId="69B23593" w14:textId="3A624CB5" w:rsidR="00AA05B4" w:rsidRPr="00015104" w:rsidRDefault="00AA05B4" w:rsidP="006C4EB7">
      <w:pPr>
        <w:pStyle w:val="BodyTextIndent"/>
        <w:spacing w:line="240" w:lineRule="auto"/>
      </w:pPr>
      <w:r w:rsidRPr="00015104">
        <w:rPr>
          <w:sz w:val="22"/>
          <w:szCs w:val="22"/>
        </w:rPr>
        <w:t xml:space="preserve">Graham, J. (2006). </w:t>
      </w:r>
      <w:r w:rsidRPr="006C4EB7">
        <w:rPr>
          <w:i/>
          <w:sz w:val="22"/>
          <w:szCs w:val="22"/>
        </w:rPr>
        <w:t>Guidance on Agency Survey and Statistical Information Collections. An Office of Management and Budget memorandum</w:t>
      </w:r>
      <w:r>
        <w:rPr>
          <w:sz w:val="22"/>
          <w:szCs w:val="22"/>
        </w:rPr>
        <w:t>. L</w:t>
      </w:r>
      <w:r w:rsidRPr="00015104">
        <w:rPr>
          <w:sz w:val="22"/>
          <w:szCs w:val="22"/>
        </w:rPr>
        <w:t>ocated at</w:t>
      </w:r>
      <w:r w:rsidR="00580AA5">
        <w:rPr>
          <w:sz w:val="22"/>
          <w:szCs w:val="22"/>
        </w:rPr>
        <w:t xml:space="preserve"> </w:t>
      </w:r>
      <w:r w:rsidRPr="00015104">
        <w:rPr>
          <w:sz w:val="22"/>
          <w:szCs w:val="22"/>
        </w:rPr>
        <w:t xml:space="preserve">http://www.whitehouse.gov/omb/assets/omb/inforeg/pmc_survey_guidance_2006. pdf. </w:t>
      </w:r>
    </w:p>
    <w:p w14:paraId="74BE2862" w14:textId="77777777" w:rsidR="00AA05B4" w:rsidRDefault="00AA05B4" w:rsidP="0091583F">
      <w:pPr>
        <w:pStyle w:val="BodyTextIndent"/>
        <w:spacing w:line="240" w:lineRule="auto"/>
        <w:rPr>
          <w:sz w:val="22"/>
          <w:szCs w:val="22"/>
        </w:rPr>
      </w:pPr>
    </w:p>
    <w:p w14:paraId="18640818" w14:textId="682595D1" w:rsidR="003F7435" w:rsidRDefault="003F7435" w:rsidP="00AF2F2C">
      <w:pPr>
        <w:autoSpaceDE w:val="0"/>
        <w:autoSpaceDN w:val="0"/>
        <w:adjustRightInd w:val="0"/>
        <w:ind w:left="720" w:hanging="720"/>
        <w:rPr>
          <w:rFonts w:cs="Times New Roman"/>
        </w:rPr>
      </w:pPr>
      <w:r w:rsidRPr="00DF48C0">
        <w:rPr>
          <w:rFonts w:cs="Times New Roman"/>
        </w:rPr>
        <w:t xml:space="preserve">Greene, William H. (2008). </w:t>
      </w:r>
      <w:r w:rsidRPr="00A00F66">
        <w:rPr>
          <w:rFonts w:cs="Times New Roman"/>
          <w:i/>
        </w:rPr>
        <w:t>Econometric Analysis</w:t>
      </w:r>
      <w:r w:rsidRPr="00DF48C0">
        <w:rPr>
          <w:rFonts w:cs="Times New Roman"/>
        </w:rPr>
        <w:t xml:space="preserve">. </w:t>
      </w:r>
      <w:r w:rsidRPr="00A00F66">
        <w:rPr>
          <w:rFonts w:cs="Times New Roman"/>
          <w:iCs/>
        </w:rPr>
        <w:t>Pearson Prentice Hall</w:t>
      </w:r>
      <w:r w:rsidR="00A56C25">
        <w:rPr>
          <w:rFonts w:cs="Times New Roman"/>
          <w:iCs/>
        </w:rPr>
        <w:t>: Upper Saddle River</w:t>
      </w:r>
      <w:r w:rsidRPr="00DF48C0">
        <w:rPr>
          <w:rFonts w:cs="Times New Roman"/>
        </w:rPr>
        <w:t xml:space="preserve">, 92-250. </w:t>
      </w:r>
    </w:p>
    <w:p w14:paraId="47B0DFDA" w14:textId="77777777" w:rsidR="00C55E04" w:rsidRPr="00DF48C0" w:rsidRDefault="00C55E04" w:rsidP="00AF2F2C">
      <w:pPr>
        <w:autoSpaceDE w:val="0"/>
        <w:autoSpaceDN w:val="0"/>
        <w:adjustRightInd w:val="0"/>
        <w:ind w:left="720" w:hanging="720"/>
        <w:rPr>
          <w:rFonts w:cs="Times New Roman"/>
        </w:rPr>
      </w:pPr>
    </w:p>
    <w:p w14:paraId="3690724B" w14:textId="501F7774" w:rsidR="00AA05B4" w:rsidRDefault="00AA05B4" w:rsidP="006C4EB7">
      <w:pPr>
        <w:pStyle w:val="BodyTextIndent"/>
        <w:spacing w:line="240" w:lineRule="auto"/>
        <w:rPr>
          <w:rFonts w:eastAsiaTheme="minorHAnsi"/>
          <w:sz w:val="22"/>
          <w:szCs w:val="22"/>
        </w:rPr>
      </w:pPr>
      <w:r w:rsidRPr="00AA05B4">
        <w:rPr>
          <w:rFonts w:eastAsiaTheme="minorHAnsi"/>
          <w:sz w:val="22"/>
          <w:szCs w:val="22"/>
        </w:rPr>
        <w:t xml:space="preserve">Groves, Robert M. (2006). Nonresponse rates and nonresponse bias in household surveys. </w:t>
      </w:r>
      <w:r w:rsidRPr="006C4EB7">
        <w:rPr>
          <w:rFonts w:eastAsiaTheme="minorHAnsi"/>
          <w:i/>
          <w:sz w:val="22"/>
          <w:szCs w:val="22"/>
        </w:rPr>
        <w:t xml:space="preserve">Public </w:t>
      </w:r>
      <w:r w:rsidR="00A56C25">
        <w:rPr>
          <w:rFonts w:eastAsiaTheme="minorHAnsi"/>
          <w:i/>
          <w:sz w:val="22"/>
          <w:szCs w:val="22"/>
        </w:rPr>
        <w:t>O</w:t>
      </w:r>
      <w:r w:rsidRPr="006C4EB7">
        <w:rPr>
          <w:rFonts w:eastAsiaTheme="minorHAnsi"/>
          <w:i/>
          <w:sz w:val="22"/>
          <w:szCs w:val="22"/>
        </w:rPr>
        <w:t xml:space="preserve">pinion </w:t>
      </w:r>
      <w:r w:rsidR="00A56C25">
        <w:rPr>
          <w:rFonts w:eastAsiaTheme="minorHAnsi"/>
          <w:i/>
          <w:sz w:val="22"/>
          <w:szCs w:val="22"/>
        </w:rPr>
        <w:t>Q</w:t>
      </w:r>
      <w:r w:rsidRPr="006C4EB7">
        <w:rPr>
          <w:rFonts w:eastAsiaTheme="minorHAnsi"/>
          <w:i/>
          <w:sz w:val="22"/>
          <w:szCs w:val="22"/>
        </w:rPr>
        <w:t>uarterly</w:t>
      </w:r>
      <w:r w:rsidRPr="00AA05B4">
        <w:rPr>
          <w:rFonts w:eastAsiaTheme="minorHAnsi"/>
          <w:sz w:val="22"/>
          <w:szCs w:val="22"/>
        </w:rPr>
        <w:t xml:space="preserve">, 70(5), 646-675. </w:t>
      </w:r>
    </w:p>
    <w:p w14:paraId="4691C4A5" w14:textId="77777777" w:rsidR="006C4EB7" w:rsidRPr="00AA05B4" w:rsidRDefault="006C4EB7" w:rsidP="006C4EB7">
      <w:pPr>
        <w:pStyle w:val="BodyTextIndent"/>
        <w:spacing w:line="240" w:lineRule="auto"/>
      </w:pPr>
    </w:p>
    <w:p w14:paraId="0B02B63B" w14:textId="5A83C20A" w:rsidR="00D46956" w:rsidRDefault="0091583F" w:rsidP="00807445">
      <w:pPr>
        <w:pStyle w:val="BodyTextIndent"/>
        <w:spacing w:line="240" w:lineRule="auto"/>
        <w:rPr>
          <w:sz w:val="22"/>
          <w:szCs w:val="22"/>
        </w:rPr>
      </w:pPr>
      <w:r w:rsidRPr="00DF48C0">
        <w:rPr>
          <w:sz w:val="22"/>
          <w:szCs w:val="22"/>
          <w:lang w:val="fr-BE"/>
        </w:rPr>
        <w:t xml:space="preserve">Groves, R.M., Couper, M.P., Presser, S., Singer, E., Tourangeau, R., Acosta, G.P., </w:t>
      </w:r>
      <w:r w:rsidR="00A56C25">
        <w:rPr>
          <w:sz w:val="22"/>
          <w:szCs w:val="22"/>
          <w:lang w:val="fr-BE"/>
        </w:rPr>
        <w:t>and Nelson, L</w:t>
      </w:r>
      <w:r w:rsidRPr="00DF48C0">
        <w:rPr>
          <w:sz w:val="22"/>
          <w:szCs w:val="22"/>
          <w:lang w:val="fr-BE"/>
        </w:rPr>
        <w:t xml:space="preserve">. </w:t>
      </w:r>
      <w:r w:rsidRPr="00DF48C0">
        <w:rPr>
          <w:sz w:val="22"/>
          <w:szCs w:val="22"/>
        </w:rPr>
        <w:t xml:space="preserve">(2006) Experiments in producing nonresponse bias. </w:t>
      </w:r>
      <w:r w:rsidRPr="00DF48C0">
        <w:rPr>
          <w:i/>
          <w:sz w:val="22"/>
          <w:szCs w:val="22"/>
        </w:rPr>
        <w:t>Public Opinion Quarterly</w:t>
      </w:r>
      <w:r w:rsidRPr="00DF48C0">
        <w:rPr>
          <w:sz w:val="22"/>
          <w:szCs w:val="22"/>
        </w:rPr>
        <w:t>, 70(5), 720-736.</w:t>
      </w:r>
    </w:p>
    <w:p w14:paraId="6A780D7A" w14:textId="77777777" w:rsidR="008E4D39" w:rsidRPr="00DF48C0" w:rsidRDefault="008E4D39" w:rsidP="00807445">
      <w:pPr>
        <w:pStyle w:val="BodyTextIndent"/>
        <w:spacing w:line="240" w:lineRule="auto"/>
        <w:rPr>
          <w:sz w:val="22"/>
          <w:szCs w:val="22"/>
        </w:rPr>
      </w:pPr>
    </w:p>
    <w:p w14:paraId="0B287DAE" w14:textId="29F8AF70" w:rsidR="0091583F" w:rsidRDefault="00A653EF" w:rsidP="00807445">
      <w:pPr>
        <w:pStyle w:val="BodyTextIndent"/>
        <w:spacing w:line="240" w:lineRule="auto"/>
        <w:rPr>
          <w:sz w:val="22"/>
          <w:szCs w:val="22"/>
        </w:rPr>
      </w:pPr>
      <w:r w:rsidRPr="00962F67">
        <w:rPr>
          <w:sz w:val="22"/>
          <w:szCs w:val="22"/>
        </w:rPr>
        <w:t>Halbesleben, J.R.B. and Whitman</w:t>
      </w:r>
      <w:r w:rsidR="00A56C25">
        <w:rPr>
          <w:sz w:val="22"/>
          <w:szCs w:val="22"/>
        </w:rPr>
        <w:t>, M.A</w:t>
      </w:r>
      <w:r w:rsidRPr="00962F67">
        <w:rPr>
          <w:sz w:val="22"/>
          <w:szCs w:val="22"/>
        </w:rPr>
        <w:t xml:space="preserve">. </w:t>
      </w:r>
      <w:r w:rsidR="00962F67" w:rsidRPr="008276EA">
        <w:rPr>
          <w:sz w:val="22"/>
          <w:szCs w:val="22"/>
        </w:rPr>
        <w:t>(</w:t>
      </w:r>
      <w:r w:rsidRPr="00962F67">
        <w:rPr>
          <w:sz w:val="22"/>
          <w:szCs w:val="22"/>
        </w:rPr>
        <w:t>2013</w:t>
      </w:r>
      <w:r w:rsidR="00962F67" w:rsidRPr="008276EA">
        <w:rPr>
          <w:sz w:val="22"/>
          <w:szCs w:val="22"/>
        </w:rPr>
        <w:t>)</w:t>
      </w:r>
      <w:r w:rsidRPr="00962F67">
        <w:rPr>
          <w:sz w:val="22"/>
          <w:szCs w:val="22"/>
        </w:rPr>
        <w:t xml:space="preserve">. Evaluating survey quality in health services research: a decision framework for assessing nonresponse bias. </w:t>
      </w:r>
      <w:r w:rsidRPr="00962F67">
        <w:rPr>
          <w:i/>
          <w:sz w:val="22"/>
          <w:szCs w:val="22"/>
        </w:rPr>
        <w:t>Health Services Journal</w:t>
      </w:r>
      <w:r w:rsidR="00D46956" w:rsidRPr="00962F67">
        <w:rPr>
          <w:sz w:val="22"/>
          <w:szCs w:val="22"/>
        </w:rPr>
        <w:t xml:space="preserve">, 48(3), </w:t>
      </w:r>
      <w:r w:rsidRPr="00962F67">
        <w:rPr>
          <w:sz w:val="22"/>
          <w:szCs w:val="22"/>
        </w:rPr>
        <w:t>913-930.</w:t>
      </w:r>
    </w:p>
    <w:p w14:paraId="1AA9F35D" w14:textId="77777777" w:rsidR="008E4D39" w:rsidRPr="00A653EF" w:rsidRDefault="008E4D39" w:rsidP="00807445">
      <w:pPr>
        <w:pStyle w:val="BodyTextIndent"/>
        <w:spacing w:line="240" w:lineRule="auto"/>
        <w:rPr>
          <w:sz w:val="22"/>
          <w:szCs w:val="22"/>
        </w:rPr>
      </w:pPr>
    </w:p>
    <w:p w14:paraId="05AD6089" w14:textId="446F135C" w:rsidR="006F7C58" w:rsidRPr="006F7C58" w:rsidRDefault="006F7C58" w:rsidP="0091583F">
      <w:pPr>
        <w:pStyle w:val="BodyTextIndent"/>
        <w:spacing w:line="240" w:lineRule="auto"/>
        <w:rPr>
          <w:sz w:val="22"/>
          <w:szCs w:val="22"/>
        </w:rPr>
      </w:pPr>
      <w:r>
        <w:rPr>
          <w:sz w:val="22"/>
          <w:szCs w:val="22"/>
        </w:rPr>
        <w:t xml:space="preserve">Harrell, F. </w:t>
      </w:r>
      <w:r w:rsidR="00962F67">
        <w:rPr>
          <w:sz w:val="22"/>
          <w:szCs w:val="22"/>
        </w:rPr>
        <w:t>(</w:t>
      </w:r>
      <w:r>
        <w:rPr>
          <w:sz w:val="22"/>
          <w:szCs w:val="22"/>
        </w:rPr>
        <w:t>2015</w:t>
      </w:r>
      <w:r w:rsidR="00962F67">
        <w:rPr>
          <w:sz w:val="22"/>
          <w:szCs w:val="22"/>
        </w:rPr>
        <w:t>)</w:t>
      </w:r>
      <w:r>
        <w:rPr>
          <w:sz w:val="22"/>
          <w:szCs w:val="22"/>
        </w:rPr>
        <w:t xml:space="preserve">. </w:t>
      </w:r>
      <w:r>
        <w:rPr>
          <w:i/>
          <w:sz w:val="22"/>
          <w:szCs w:val="22"/>
        </w:rPr>
        <w:t>Regression Modeling Strategies: With Applications to Linear Models, Logistic and Ordinal Regression, and Survival Analysis</w:t>
      </w:r>
      <w:r w:rsidR="0074724C">
        <w:rPr>
          <w:sz w:val="22"/>
          <w:szCs w:val="22"/>
        </w:rPr>
        <w:t xml:space="preserve">, </w:t>
      </w:r>
      <w:r>
        <w:rPr>
          <w:sz w:val="22"/>
          <w:szCs w:val="22"/>
        </w:rPr>
        <w:t>Springer.</w:t>
      </w:r>
    </w:p>
    <w:p w14:paraId="5005DF4D" w14:textId="77777777" w:rsidR="007B78BC" w:rsidRPr="00DF48C0" w:rsidRDefault="007B78BC" w:rsidP="0091583F">
      <w:pPr>
        <w:pStyle w:val="BodyTextIndent"/>
        <w:spacing w:line="240" w:lineRule="auto"/>
        <w:rPr>
          <w:sz w:val="22"/>
          <w:szCs w:val="22"/>
        </w:rPr>
      </w:pPr>
    </w:p>
    <w:p w14:paraId="4760A262" w14:textId="7DC90CE9" w:rsidR="004D2115" w:rsidRPr="00807445" w:rsidRDefault="004D2115" w:rsidP="004D2115">
      <w:pPr>
        <w:autoSpaceDE w:val="0"/>
        <w:autoSpaceDN w:val="0"/>
        <w:adjustRightInd w:val="0"/>
        <w:ind w:left="720" w:hanging="720"/>
        <w:rPr>
          <w:rFonts w:cs="Times New Roman"/>
        </w:rPr>
      </w:pPr>
      <w:r w:rsidRPr="00A00F66">
        <w:rPr>
          <w:rFonts w:cs="Times New Roman"/>
        </w:rPr>
        <w:t xml:space="preserve">Hilger, J., </w:t>
      </w:r>
      <w:r w:rsidR="00A56C25" w:rsidRPr="00A00F66">
        <w:rPr>
          <w:rFonts w:cs="Times New Roman"/>
        </w:rPr>
        <w:t>and</w:t>
      </w:r>
      <w:r w:rsidRPr="00A00F66">
        <w:rPr>
          <w:rFonts w:cs="Times New Roman"/>
        </w:rPr>
        <w:t xml:space="preserve"> Hanemann, M. (</w:t>
      </w:r>
      <w:r w:rsidR="00566383" w:rsidRPr="00A00F66">
        <w:rPr>
          <w:rFonts w:cs="Times New Roman"/>
        </w:rPr>
        <w:t>2008</w:t>
      </w:r>
      <w:r w:rsidRPr="00A00F66">
        <w:rPr>
          <w:rFonts w:cs="Times New Roman"/>
        </w:rPr>
        <w:t xml:space="preserve">). Heterogeneous preferences for water quality: a finite mixture model of beach recreation in Southern California. </w:t>
      </w:r>
      <w:r w:rsidR="00580AA5" w:rsidRPr="00A00F66">
        <w:rPr>
          <w:rFonts w:cs="Times New Roman"/>
          <w:i/>
          <w:iCs/>
        </w:rPr>
        <w:t>CUDARE Working Papers</w:t>
      </w:r>
      <w:r w:rsidR="00580AA5" w:rsidRPr="00A00F66">
        <w:rPr>
          <w:rFonts w:cs="Times New Roman"/>
          <w:iCs/>
        </w:rPr>
        <w:t>.</w:t>
      </w:r>
      <w:r w:rsidR="00580AA5">
        <w:rPr>
          <w:rFonts w:cs="Times New Roman"/>
          <w:iCs/>
        </w:rPr>
        <w:t xml:space="preserve"> </w:t>
      </w:r>
      <w:r w:rsidRPr="00807445">
        <w:rPr>
          <w:rFonts w:cs="Times New Roman"/>
        </w:rPr>
        <w:t xml:space="preserve"> </w:t>
      </w:r>
    </w:p>
    <w:p w14:paraId="313DD963" w14:textId="77777777" w:rsidR="004D2115" w:rsidRPr="00DF48C0" w:rsidRDefault="004D2115" w:rsidP="0091583F">
      <w:pPr>
        <w:ind w:left="720" w:hanging="720"/>
        <w:rPr>
          <w:rFonts w:cs="Times New Roman"/>
          <w:color w:val="000000"/>
        </w:rPr>
      </w:pPr>
    </w:p>
    <w:p w14:paraId="471FAB83" w14:textId="3CD126F6" w:rsidR="00D647EE" w:rsidRDefault="00D647EE" w:rsidP="0091583F">
      <w:pPr>
        <w:ind w:left="720" w:hanging="720"/>
        <w:rPr>
          <w:rFonts w:cs="Times New Roman"/>
        </w:rPr>
      </w:pPr>
      <w:r w:rsidRPr="00962F67">
        <w:rPr>
          <w:rFonts w:cs="Times New Roman"/>
        </w:rPr>
        <w:t xml:space="preserve">Hohwü, L., Lyshol, H., Gissler, M., Jonsson, S.H., Petzold, M., </w:t>
      </w:r>
      <w:r w:rsidR="00A56C25">
        <w:rPr>
          <w:rFonts w:cs="Times New Roman"/>
        </w:rPr>
        <w:t>and</w:t>
      </w:r>
      <w:r w:rsidRPr="00962F67">
        <w:rPr>
          <w:rFonts w:cs="Times New Roman"/>
        </w:rPr>
        <w:t xml:space="preserve"> Obel, C. (2013). Web-based versus traditional paper questionnaires: a mixed-mode survey with a Nordic perspective. </w:t>
      </w:r>
      <w:r w:rsidRPr="00807445">
        <w:rPr>
          <w:rFonts w:cs="Times New Roman"/>
          <w:i/>
        </w:rPr>
        <w:t>Journal of Medical Internet Research</w:t>
      </w:r>
      <w:r w:rsidRPr="00962F67">
        <w:rPr>
          <w:rFonts w:cs="Times New Roman"/>
        </w:rPr>
        <w:t>, 15(8), e173. doi:10.2196/jmir.2595</w:t>
      </w:r>
    </w:p>
    <w:p w14:paraId="2503AA5A" w14:textId="77777777" w:rsidR="00D647EE" w:rsidRPr="00DF48C0" w:rsidRDefault="00D647EE" w:rsidP="0091583F">
      <w:pPr>
        <w:ind w:left="720" w:hanging="720"/>
        <w:rPr>
          <w:rFonts w:cs="Times New Roman"/>
        </w:rPr>
      </w:pPr>
    </w:p>
    <w:p w14:paraId="6FD931FF" w14:textId="59256C6C" w:rsidR="00BB5DB4" w:rsidRPr="00DF48C0" w:rsidRDefault="00BB5DB4" w:rsidP="0091583F">
      <w:pPr>
        <w:ind w:left="720" w:hanging="720"/>
        <w:rPr>
          <w:rFonts w:cs="Times New Roman"/>
        </w:rPr>
      </w:pPr>
      <w:r w:rsidRPr="00DF48C0">
        <w:rPr>
          <w:rFonts w:cs="Times New Roman"/>
        </w:rPr>
        <w:t xml:space="preserve">IASNR (International Association for Society and Natural Resources). </w:t>
      </w:r>
      <w:r w:rsidR="008E4D39">
        <w:rPr>
          <w:rFonts w:cs="Times New Roman"/>
        </w:rPr>
        <w:t>(</w:t>
      </w:r>
      <w:r w:rsidRPr="00DF48C0">
        <w:rPr>
          <w:rFonts w:cs="Times New Roman"/>
        </w:rPr>
        <w:t>2016</w:t>
      </w:r>
      <w:r w:rsidR="008E4D39">
        <w:rPr>
          <w:rFonts w:cs="Times New Roman"/>
        </w:rPr>
        <w:t>)</w:t>
      </w:r>
      <w:r w:rsidRPr="00DF48C0">
        <w:rPr>
          <w:rFonts w:cs="Times New Roman"/>
        </w:rPr>
        <w:t xml:space="preserve">. About IASNR Webpage. </w:t>
      </w:r>
      <w:hyperlink r:id="rId13" w:history="1">
        <w:r w:rsidRPr="00DF48C0">
          <w:rPr>
            <w:rStyle w:val="Hyperlink"/>
            <w:rFonts w:cs="Times New Roman"/>
          </w:rPr>
          <w:t>www.iasnr.org</w:t>
        </w:r>
      </w:hyperlink>
      <w:r w:rsidR="00281710">
        <w:rPr>
          <w:rFonts w:cs="Times New Roman"/>
        </w:rPr>
        <w:t xml:space="preserve"> </w:t>
      </w:r>
      <w:r w:rsidRPr="00DF48C0">
        <w:rPr>
          <w:rFonts w:cs="Times New Roman"/>
        </w:rPr>
        <w:t xml:space="preserve">Accessed: August 30, 2016. </w:t>
      </w:r>
    </w:p>
    <w:p w14:paraId="7A60093B" w14:textId="77777777" w:rsidR="00824877" w:rsidRPr="00DF48C0" w:rsidRDefault="00824877" w:rsidP="0091583F">
      <w:pPr>
        <w:ind w:left="720" w:hanging="720"/>
        <w:rPr>
          <w:rFonts w:cs="Times New Roman"/>
        </w:rPr>
      </w:pPr>
    </w:p>
    <w:p w14:paraId="514F178A" w14:textId="3ED08655" w:rsidR="0091583F" w:rsidRPr="00DF48C0" w:rsidRDefault="0091583F" w:rsidP="0091583F">
      <w:pPr>
        <w:ind w:left="720" w:hanging="720"/>
        <w:rPr>
          <w:rFonts w:cs="Times New Roman"/>
        </w:rPr>
      </w:pPr>
      <w:r w:rsidRPr="00DF48C0">
        <w:rPr>
          <w:rFonts w:cs="Times New Roman"/>
        </w:rPr>
        <w:t xml:space="preserve">Iannacchione, V.G. (2011). The changing role of address-based sampling in survey research. </w:t>
      </w:r>
      <w:r w:rsidRPr="00DF48C0">
        <w:rPr>
          <w:rFonts w:cs="Times New Roman"/>
          <w:i/>
        </w:rPr>
        <w:t>Public Opinion Quarterly</w:t>
      </w:r>
      <w:r w:rsidRPr="00A00F66">
        <w:rPr>
          <w:rFonts w:cs="Times New Roman"/>
        </w:rPr>
        <w:t>,</w:t>
      </w:r>
      <w:r w:rsidRPr="00DF48C0">
        <w:rPr>
          <w:rFonts w:cs="Times New Roman"/>
          <w:i/>
        </w:rPr>
        <w:t xml:space="preserve"> </w:t>
      </w:r>
      <w:r w:rsidRPr="00A00F66">
        <w:rPr>
          <w:rFonts w:cs="Times New Roman"/>
        </w:rPr>
        <w:t>75</w:t>
      </w:r>
      <w:r w:rsidRPr="00A56C25">
        <w:rPr>
          <w:rFonts w:cs="Times New Roman"/>
        </w:rPr>
        <w:t>(3</w:t>
      </w:r>
      <w:r w:rsidRPr="00DF48C0">
        <w:rPr>
          <w:rFonts w:cs="Times New Roman"/>
        </w:rPr>
        <w:t>), 556-575.</w:t>
      </w:r>
    </w:p>
    <w:p w14:paraId="6246F3C1" w14:textId="77777777" w:rsidR="003F7435" w:rsidRPr="00DF48C0" w:rsidRDefault="003F7435" w:rsidP="003F7435">
      <w:pPr>
        <w:autoSpaceDE w:val="0"/>
        <w:autoSpaceDN w:val="0"/>
        <w:adjustRightInd w:val="0"/>
        <w:ind w:left="720" w:hanging="720"/>
        <w:rPr>
          <w:rFonts w:cs="Times New Roman"/>
        </w:rPr>
      </w:pPr>
    </w:p>
    <w:p w14:paraId="57021F29" w14:textId="7927A3FE" w:rsidR="003F7435" w:rsidRPr="00DF48C0" w:rsidRDefault="003F7435" w:rsidP="003F7435">
      <w:pPr>
        <w:autoSpaceDE w:val="0"/>
        <w:autoSpaceDN w:val="0"/>
        <w:adjustRightInd w:val="0"/>
        <w:ind w:left="720" w:hanging="720"/>
        <w:rPr>
          <w:rFonts w:cs="Times New Roman"/>
        </w:rPr>
      </w:pPr>
      <w:r w:rsidRPr="00DF48C0">
        <w:rPr>
          <w:rFonts w:cs="Times New Roman"/>
        </w:rPr>
        <w:t xml:space="preserve">Jeon, </w:t>
      </w:r>
      <w:r w:rsidR="00A56C25" w:rsidRPr="00DF48C0">
        <w:rPr>
          <w:rFonts w:cs="Times New Roman"/>
        </w:rPr>
        <w:t>Y</w:t>
      </w:r>
      <w:r w:rsidR="00A56C25">
        <w:rPr>
          <w:rFonts w:cs="Times New Roman"/>
        </w:rPr>
        <w:t>.</w:t>
      </w:r>
      <w:r w:rsidRPr="00DF48C0">
        <w:rPr>
          <w:rFonts w:cs="Times New Roman"/>
        </w:rPr>
        <w:t xml:space="preserve">, Herriges, </w:t>
      </w:r>
      <w:r w:rsidR="00A56C25" w:rsidRPr="00DF48C0">
        <w:rPr>
          <w:rFonts w:cs="Times New Roman"/>
        </w:rPr>
        <w:t>J</w:t>
      </w:r>
      <w:r w:rsidR="00A56C25">
        <w:rPr>
          <w:rFonts w:cs="Times New Roman"/>
        </w:rPr>
        <w:t>.</w:t>
      </w:r>
      <w:r w:rsidRPr="00DF48C0">
        <w:rPr>
          <w:rFonts w:cs="Times New Roman"/>
        </w:rPr>
        <w:t>A</w:t>
      </w:r>
      <w:r w:rsidR="00A56C25">
        <w:rPr>
          <w:rFonts w:cs="Times New Roman"/>
        </w:rPr>
        <w:t>.</w:t>
      </w:r>
      <w:r w:rsidRPr="00DF48C0">
        <w:rPr>
          <w:rFonts w:cs="Times New Roman"/>
        </w:rPr>
        <w:t xml:space="preserve">, Kling, </w:t>
      </w:r>
      <w:r w:rsidR="00A56C25" w:rsidRPr="00DF48C0">
        <w:rPr>
          <w:rFonts w:cs="Times New Roman"/>
        </w:rPr>
        <w:t>C</w:t>
      </w:r>
      <w:r w:rsidR="00A56C25">
        <w:rPr>
          <w:rFonts w:cs="Times New Roman"/>
        </w:rPr>
        <w:t>.</w:t>
      </w:r>
      <w:r w:rsidRPr="00DF48C0">
        <w:rPr>
          <w:rFonts w:cs="Times New Roman"/>
        </w:rPr>
        <w:t>L</w:t>
      </w:r>
      <w:r w:rsidR="00A56C25">
        <w:rPr>
          <w:rFonts w:cs="Times New Roman"/>
        </w:rPr>
        <w:t>.</w:t>
      </w:r>
      <w:r w:rsidRPr="00DF48C0">
        <w:rPr>
          <w:rFonts w:cs="Times New Roman"/>
        </w:rPr>
        <w:t xml:space="preserve">, </w:t>
      </w:r>
      <w:r w:rsidR="00A56C25">
        <w:rPr>
          <w:rFonts w:cs="Times New Roman"/>
        </w:rPr>
        <w:t>and</w:t>
      </w:r>
      <w:r w:rsidR="00A56C25" w:rsidRPr="00DF48C0">
        <w:rPr>
          <w:rFonts w:cs="Times New Roman"/>
        </w:rPr>
        <w:t xml:space="preserve"> </w:t>
      </w:r>
      <w:r w:rsidRPr="00DF48C0">
        <w:rPr>
          <w:rFonts w:cs="Times New Roman"/>
        </w:rPr>
        <w:t xml:space="preserve">Downing, J. (2005). The role of water quality perceptions in modeling lake recreation demand </w:t>
      </w:r>
      <w:r w:rsidRPr="00DF48C0">
        <w:rPr>
          <w:rFonts w:cs="Times New Roman"/>
          <w:i/>
          <w:iCs/>
        </w:rPr>
        <w:t xml:space="preserve">The </w:t>
      </w:r>
      <w:r w:rsidR="00A56C25">
        <w:rPr>
          <w:rFonts w:cs="Times New Roman"/>
          <w:i/>
          <w:iCs/>
        </w:rPr>
        <w:t>I</w:t>
      </w:r>
      <w:r w:rsidRPr="00DF48C0">
        <w:rPr>
          <w:rFonts w:cs="Times New Roman"/>
          <w:i/>
          <w:iCs/>
        </w:rPr>
        <w:t xml:space="preserve">nternational </w:t>
      </w:r>
      <w:r w:rsidR="00A56C25">
        <w:rPr>
          <w:rFonts w:cs="Times New Roman"/>
          <w:i/>
          <w:iCs/>
        </w:rPr>
        <w:t>H</w:t>
      </w:r>
      <w:r w:rsidRPr="00DF48C0">
        <w:rPr>
          <w:rFonts w:cs="Times New Roman"/>
          <w:i/>
          <w:iCs/>
        </w:rPr>
        <w:t>andbook on</w:t>
      </w:r>
      <w:r w:rsidR="00A56C25">
        <w:rPr>
          <w:rFonts w:cs="Times New Roman"/>
          <w:i/>
          <w:iCs/>
        </w:rPr>
        <w:t xml:space="preserve"> N</w:t>
      </w:r>
      <w:r w:rsidRPr="00DF48C0">
        <w:rPr>
          <w:rFonts w:cs="Times New Roman"/>
          <w:i/>
          <w:iCs/>
        </w:rPr>
        <w:t xml:space="preserve">on-market </w:t>
      </w:r>
      <w:r w:rsidR="0074724C">
        <w:rPr>
          <w:rFonts w:cs="Times New Roman"/>
          <w:i/>
          <w:iCs/>
        </w:rPr>
        <w:t>E</w:t>
      </w:r>
      <w:r w:rsidR="0074724C" w:rsidRPr="00DF48C0">
        <w:rPr>
          <w:rFonts w:cs="Times New Roman"/>
          <w:i/>
          <w:iCs/>
        </w:rPr>
        <w:t xml:space="preserve">nvironmental </w:t>
      </w:r>
      <w:r w:rsidR="0074724C">
        <w:rPr>
          <w:rFonts w:cs="Times New Roman"/>
          <w:i/>
          <w:iCs/>
        </w:rPr>
        <w:t>V</w:t>
      </w:r>
      <w:r w:rsidR="0074724C" w:rsidRPr="00DF48C0">
        <w:rPr>
          <w:rFonts w:cs="Times New Roman"/>
          <w:i/>
          <w:iCs/>
        </w:rPr>
        <w:t>aluation</w:t>
      </w:r>
      <w:r w:rsidR="0074724C">
        <w:rPr>
          <w:rFonts w:cs="Times New Roman"/>
          <w:iCs/>
        </w:rPr>
        <w:t>,</w:t>
      </w:r>
      <w:r w:rsidRPr="00DF48C0">
        <w:rPr>
          <w:rFonts w:cs="Times New Roman"/>
        </w:rPr>
        <w:t xml:space="preserve"> Edward Elgar Publishing</w:t>
      </w:r>
      <w:r w:rsidR="0074724C">
        <w:rPr>
          <w:rFonts w:cs="Times New Roman"/>
        </w:rPr>
        <w:t>:</w:t>
      </w:r>
      <w:r w:rsidRPr="00DF48C0">
        <w:rPr>
          <w:rFonts w:cs="Times New Roman"/>
        </w:rPr>
        <w:t xml:space="preserve"> Cheltenham, UK.</w:t>
      </w:r>
    </w:p>
    <w:p w14:paraId="07723EE4" w14:textId="77777777" w:rsidR="0091583F" w:rsidRPr="00DF48C0" w:rsidRDefault="0091583F" w:rsidP="0091583F">
      <w:pPr>
        <w:ind w:left="720" w:hanging="720"/>
        <w:rPr>
          <w:rFonts w:cs="Times New Roman"/>
        </w:rPr>
      </w:pPr>
    </w:p>
    <w:p w14:paraId="6D65206A" w14:textId="77777777" w:rsidR="0091583F" w:rsidRPr="00DF48C0" w:rsidRDefault="0091583F" w:rsidP="0091583F">
      <w:pPr>
        <w:ind w:left="720" w:hanging="720"/>
        <w:rPr>
          <w:rFonts w:cs="Times New Roman"/>
        </w:rPr>
      </w:pPr>
      <w:r w:rsidRPr="00DF48C0">
        <w:rPr>
          <w:rFonts w:cs="Times New Roman"/>
        </w:rPr>
        <w:t xml:space="preserve">Johnston, R.J., Weaver, T.F., Smith, L.A., and Swallow, S.K. (1995). Contingent valuation focus groups: insights from ethnographic interview techniques. </w:t>
      </w:r>
      <w:r w:rsidRPr="00DF48C0">
        <w:rPr>
          <w:rFonts w:cs="Times New Roman"/>
          <w:i/>
          <w:iCs/>
        </w:rPr>
        <w:t>Agricultural and Resource Economics Review</w:t>
      </w:r>
      <w:r w:rsidRPr="00A00F66">
        <w:rPr>
          <w:rFonts w:cs="Times New Roman"/>
          <w:iCs/>
        </w:rPr>
        <w:t xml:space="preserve">, </w:t>
      </w:r>
      <w:r w:rsidRPr="00A00F66">
        <w:rPr>
          <w:rFonts w:cs="Times New Roman"/>
        </w:rPr>
        <w:t>24(1), 56-69.</w:t>
      </w:r>
    </w:p>
    <w:p w14:paraId="5B997BAA" w14:textId="77777777" w:rsidR="0091583F" w:rsidRDefault="0091583F" w:rsidP="0091583F">
      <w:pPr>
        <w:ind w:left="720" w:hanging="720"/>
        <w:rPr>
          <w:rFonts w:cs="Times New Roman"/>
        </w:rPr>
      </w:pPr>
    </w:p>
    <w:p w14:paraId="578024FE" w14:textId="133F7119" w:rsidR="008D4B87" w:rsidRPr="008D4B87" w:rsidRDefault="008D4B87" w:rsidP="0091583F">
      <w:pPr>
        <w:ind w:left="720" w:hanging="720"/>
        <w:rPr>
          <w:rFonts w:cs="Times New Roman"/>
        </w:rPr>
      </w:pPr>
      <w:r>
        <w:rPr>
          <w:rFonts w:cs="Times New Roman"/>
        </w:rPr>
        <w:t xml:space="preserve">Jorgenson, B.S., and R.C. Stedman. </w:t>
      </w:r>
      <w:r w:rsidR="00962F67">
        <w:rPr>
          <w:rFonts w:cs="Times New Roman"/>
        </w:rPr>
        <w:t>(</w:t>
      </w:r>
      <w:r>
        <w:rPr>
          <w:rFonts w:cs="Times New Roman"/>
        </w:rPr>
        <w:t>2001</w:t>
      </w:r>
      <w:r w:rsidR="00962F67">
        <w:rPr>
          <w:rFonts w:cs="Times New Roman"/>
        </w:rPr>
        <w:t>)</w:t>
      </w:r>
      <w:r>
        <w:rPr>
          <w:rFonts w:cs="Times New Roman"/>
        </w:rPr>
        <w:t xml:space="preserve">. Sense of place as an attitude: lakeshore owners attitudes toward their properties. </w:t>
      </w:r>
      <w:r>
        <w:rPr>
          <w:rFonts w:cs="Times New Roman"/>
          <w:i/>
        </w:rPr>
        <w:t>Journal of Environmental Psychology</w:t>
      </w:r>
      <w:r w:rsidR="0074724C">
        <w:rPr>
          <w:rFonts w:cs="Times New Roman"/>
        </w:rPr>
        <w:t xml:space="preserve">, </w:t>
      </w:r>
      <w:r>
        <w:rPr>
          <w:rFonts w:cs="Times New Roman"/>
        </w:rPr>
        <w:t>21</w:t>
      </w:r>
      <w:r w:rsidR="0074724C">
        <w:rPr>
          <w:rFonts w:cs="Times New Roman"/>
        </w:rPr>
        <w:t xml:space="preserve">, </w:t>
      </w:r>
      <w:r>
        <w:rPr>
          <w:rFonts w:cs="Times New Roman"/>
        </w:rPr>
        <w:t>233-248.</w:t>
      </w:r>
    </w:p>
    <w:p w14:paraId="38DAC969" w14:textId="77777777" w:rsidR="008D4B87" w:rsidRDefault="008D4B87" w:rsidP="0091583F">
      <w:pPr>
        <w:ind w:left="720" w:hanging="720"/>
        <w:rPr>
          <w:rFonts w:cs="Times New Roman"/>
        </w:rPr>
      </w:pPr>
    </w:p>
    <w:p w14:paraId="3034FC21" w14:textId="274C5FB2" w:rsidR="007A4657" w:rsidRDefault="007A4657" w:rsidP="0091583F">
      <w:pPr>
        <w:ind w:left="720" w:hanging="720"/>
        <w:rPr>
          <w:rFonts w:cs="Times New Roman"/>
        </w:rPr>
      </w:pPr>
      <w:r>
        <w:rPr>
          <w:rFonts w:cs="Times New Roman"/>
        </w:rPr>
        <w:t xml:space="preserve">Jorgenson, B.S., and R.C. Stedman. </w:t>
      </w:r>
      <w:r w:rsidR="00962F67">
        <w:rPr>
          <w:rFonts w:cs="Times New Roman"/>
        </w:rPr>
        <w:t>(</w:t>
      </w:r>
      <w:r>
        <w:rPr>
          <w:rFonts w:cs="Times New Roman"/>
        </w:rPr>
        <w:t>2006</w:t>
      </w:r>
      <w:r w:rsidR="00962F67">
        <w:rPr>
          <w:rFonts w:cs="Times New Roman"/>
        </w:rPr>
        <w:t>)</w:t>
      </w:r>
      <w:r>
        <w:rPr>
          <w:rFonts w:cs="Times New Roman"/>
        </w:rPr>
        <w:t xml:space="preserve">. A comparative analysis of predictors of sense of place dimensions: attachment to, dependence on, and identification with lakeshores properties. </w:t>
      </w:r>
      <w:r w:rsidRPr="007A4657">
        <w:rPr>
          <w:rFonts w:cs="Times New Roman"/>
          <w:i/>
        </w:rPr>
        <w:t>Journal of Environmental Management</w:t>
      </w:r>
      <w:r w:rsidR="0074724C">
        <w:rPr>
          <w:rFonts w:cs="Times New Roman"/>
        </w:rPr>
        <w:t xml:space="preserve">, </w:t>
      </w:r>
      <w:r>
        <w:rPr>
          <w:rFonts w:cs="Times New Roman"/>
        </w:rPr>
        <w:t>79</w:t>
      </w:r>
      <w:r w:rsidR="0074724C">
        <w:rPr>
          <w:rFonts w:cs="Times New Roman"/>
        </w:rPr>
        <w:t xml:space="preserve">, </w:t>
      </w:r>
      <w:r>
        <w:rPr>
          <w:rFonts w:cs="Times New Roman"/>
        </w:rPr>
        <w:t>316-327.</w:t>
      </w:r>
    </w:p>
    <w:p w14:paraId="7BB93D00" w14:textId="77777777" w:rsidR="007A4657" w:rsidRPr="00DF48C0" w:rsidRDefault="007A4657" w:rsidP="0091583F">
      <w:pPr>
        <w:ind w:left="720" w:hanging="720"/>
        <w:rPr>
          <w:rFonts w:cs="Times New Roman"/>
        </w:rPr>
      </w:pPr>
    </w:p>
    <w:p w14:paraId="653FE5A9" w14:textId="14C11814" w:rsidR="00CE074D" w:rsidRPr="00DF48C0" w:rsidRDefault="00CE074D" w:rsidP="00D06E93">
      <w:pPr>
        <w:autoSpaceDE w:val="0"/>
        <w:autoSpaceDN w:val="0"/>
        <w:adjustRightInd w:val="0"/>
        <w:ind w:left="720" w:hanging="720"/>
        <w:rPr>
          <w:rFonts w:cs="Times New Roman"/>
        </w:rPr>
      </w:pPr>
      <w:r w:rsidRPr="00DF48C0">
        <w:rPr>
          <w:rFonts w:cs="Times New Roman"/>
        </w:rPr>
        <w:t xml:space="preserve">Kaoru, Y., Smith, V.K., </w:t>
      </w:r>
      <w:r w:rsidR="0074724C">
        <w:rPr>
          <w:rFonts w:cs="Times New Roman"/>
        </w:rPr>
        <w:t>and</w:t>
      </w:r>
      <w:r w:rsidR="0074724C" w:rsidRPr="00DF48C0">
        <w:rPr>
          <w:rFonts w:cs="Times New Roman"/>
        </w:rPr>
        <w:t xml:space="preserve"> </w:t>
      </w:r>
      <w:r w:rsidRPr="00DF48C0">
        <w:rPr>
          <w:rFonts w:cs="Times New Roman"/>
        </w:rPr>
        <w:t xml:space="preserve">Liu, J.L. (1995). Using random utility models to estimate the recreational value of estuarine resources. </w:t>
      </w:r>
      <w:r w:rsidRPr="00DF48C0">
        <w:rPr>
          <w:rFonts w:cs="Times New Roman"/>
          <w:i/>
          <w:iCs/>
        </w:rPr>
        <w:t xml:space="preserve">American Journal of Agricultural Economics, </w:t>
      </w:r>
      <w:r w:rsidRPr="00A00F66">
        <w:rPr>
          <w:rFonts w:cs="Times New Roman"/>
          <w:iCs/>
        </w:rPr>
        <w:t>77</w:t>
      </w:r>
      <w:r w:rsidRPr="0074724C">
        <w:rPr>
          <w:rFonts w:cs="Times New Roman"/>
        </w:rPr>
        <w:t>(</w:t>
      </w:r>
      <w:r w:rsidRPr="00DF48C0">
        <w:rPr>
          <w:rFonts w:cs="Times New Roman"/>
        </w:rPr>
        <w:t xml:space="preserve">1), 141-151. </w:t>
      </w:r>
    </w:p>
    <w:p w14:paraId="5F5A6068" w14:textId="77777777" w:rsidR="0091583F" w:rsidRPr="00DF48C0" w:rsidRDefault="0091583F" w:rsidP="0091583F">
      <w:pPr>
        <w:ind w:left="720" w:hanging="720"/>
        <w:rPr>
          <w:rFonts w:cs="Times New Roman"/>
        </w:rPr>
      </w:pPr>
    </w:p>
    <w:p w14:paraId="462BD657" w14:textId="0874377D" w:rsidR="008B1BEE" w:rsidRPr="008B1BEE" w:rsidRDefault="008B1BEE" w:rsidP="0091583F">
      <w:pPr>
        <w:ind w:left="720" w:hanging="720"/>
        <w:rPr>
          <w:rFonts w:cs="Times New Roman"/>
        </w:rPr>
      </w:pPr>
      <w:r>
        <w:rPr>
          <w:rFonts w:cs="Times New Roman"/>
        </w:rPr>
        <w:t xml:space="preserve">Kaltenborn, B.P. </w:t>
      </w:r>
      <w:r w:rsidR="00962F67">
        <w:rPr>
          <w:rFonts w:cs="Times New Roman"/>
        </w:rPr>
        <w:t>(</w:t>
      </w:r>
      <w:r>
        <w:rPr>
          <w:rFonts w:cs="Times New Roman"/>
        </w:rPr>
        <w:t>1998</w:t>
      </w:r>
      <w:r w:rsidR="00962F67">
        <w:rPr>
          <w:rFonts w:cs="Times New Roman"/>
        </w:rPr>
        <w:t>)</w:t>
      </w:r>
      <w:r>
        <w:rPr>
          <w:rFonts w:cs="Times New Roman"/>
        </w:rPr>
        <w:t xml:space="preserve">. Effects of sense of place on responses to environmental impacts. </w:t>
      </w:r>
      <w:r>
        <w:rPr>
          <w:rFonts w:cs="Times New Roman"/>
          <w:i/>
        </w:rPr>
        <w:t>Applied Geography</w:t>
      </w:r>
      <w:r w:rsidR="0074724C">
        <w:rPr>
          <w:rFonts w:cs="Times New Roman"/>
        </w:rPr>
        <w:t xml:space="preserve">, </w:t>
      </w:r>
      <w:r>
        <w:rPr>
          <w:rFonts w:cs="Times New Roman"/>
        </w:rPr>
        <w:t>18(2</w:t>
      </w:r>
      <w:r w:rsidR="0074724C">
        <w:rPr>
          <w:rFonts w:cs="Times New Roman"/>
        </w:rPr>
        <w:t>),</w:t>
      </w:r>
      <w:r>
        <w:rPr>
          <w:rFonts w:cs="Times New Roman"/>
        </w:rPr>
        <w:t>169-189.</w:t>
      </w:r>
    </w:p>
    <w:p w14:paraId="1ACAAD96" w14:textId="77777777" w:rsidR="008B1BEE" w:rsidRDefault="008B1BEE" w:rsidP="0091583F">
      <w:pPr>
        <w:ind w:left="720" w:hanging="720"/>
        <w:rPr>
          <w:rFonts w:cs="Times New Roman"/>
        </w:rPr>
      </w:pPr>
    </w:p>
    <w:p w14:paraId="17B5895C" w14:textId="43D74CB5" w:rsidR="00320FEA" w:rsidRPr="00320FEA" w:rsidRDefault="00320FEA" w:rsidP="0091583F">
      <w:pPr>
        <w:ind w:left="720" w:hanging="720"/>
        <w:rPr>
          <w:rFonts w:cs="Times New Roman"/>
          <w:color w:val="000000"/>
        </w:rPr>
      </w:pPr>
      <w:r>
        <w:rPr>
          <w:rFonts w:cs="Times New Roman"/>
          <w:color w:val="000000"/>
        </w:rPr>
        <w:t>Kyle, G., Graefe,</w:t>
      </w:r>
      <w:r w:rsidR="0074724C">
        <w:rPr>
          <w:rFonts w:cs="Times New Roman"/>
          <w:color w:val="000000"/>
        </w:rPr>
        <w:t xml:space="preserve"> A.,</w:t>
      </w:r>
      <w:r>
        <w:rPr>
          <w:rFonts w:cs="Times New Roman"/>
          <w:color w:val="000000"/>
        </w:rPr>
        <w:t xml:space="preserve"> Manning,</w:t>
      </w:r>
      <w:r w:rsidR="0074724C">
        <w:rPr>
          <w:rFonts w:cs="Times New Roman"/>
          <w:color w:val="000000"/>
        </w:rPr>
        <w:t xml:space="preserve"> R.,</w:t>
      </w:r>
      <w:r>
        <w:rPr>
          <w:rFonts w:cs="Times New Roman"/>
          <w:color w:val="000000"/>
        </w:rPr>
        <w:t xml:space="preserve"> and Bacon</w:t>
      </w:r>
      <w:r w:rsidR="0074724C">
        <w:rPr>
          <w:rFonts w:cs="Times New Roman"/>
          <w:color w:val="000000"/>
        </w:rPr>
        <w:t>, J</w:t>
      </w:r>
      <w:r>
        <w:rPr>
          <w:rFonts w:cs="Times New Roman"/>
          <w:color w:val="000000"/>
        </w:rPr>
        <w:t xml:space="preserve">. </w:t>
      </w:r>
      <w:r w:rsidR="00962F67">
        <w:rPr>
          <w:rFonts w:cs="Times New Roman"/>
          <w:color w:val="000000"/>
        </w:rPr>
        <w:t>(</w:t>
      </w:r>
      <w:r>
        <w:rPr>
          <w:rFonts w:cs="Times New Roman"/>
          <w:color w:val="000000"/>
        </w:rPr>
        <w:t>2004</w:t>
      </w:r>
      <w:r w:rsidR="00962F67">
        <w:rPr>
          <w:rFonts w:cs="Times New Roman"/>
          <w:color w:val="000000"/>
        </w:rPr>
        <w:t>)</w:t>
      </w:r>
      <w:r>
        <w:rPr>
          <w:rFonts w:cs="Times New Roman"/>
          <w:color w:val="000000"/>
        </w:rPr>
        <w:t xml:space="preserve">. Effects of place attachment on users’ perceptions of social and environmental conditions in a natural setting. </w:t>
      </w:r>
      <w:r>
        <w:rPr>
          <w:rFonts w:cs="Times New Roman"/>
          <w:i/>
          <w:color w:val="000000"/>
        </w:rPr>
        <w:t>Journal of Environmental Psychology</w:t>
      </w:r>
      <w:r w:rsidR="0074724C">
        <w:rPr>
          <w:rFonts w:cs="Times New Roman"/>
          <w:i/>
          <w:color w:val="000000"/>
        </w:rPr>
        <w:t>,</w:t>
      </w:r>
      <w:r>
        <w:rPr>
          <w:rFonts w:cs="Times New Roman"/>
          <w:color w:val="000000"/>
        </w:rPr>
        <w:t xml:space="preserve"> 24</w:t>
      </w:r>
      <w:r w:rsidR="0074724C">
        <w:rPr>
          <w:rFonts w:cs="Times New Roman"/>
          <w:color w:val="000000"/>
        </w:rPr>
        <w:t xml:space="preserve">, </w:t>
      </w:r>
      <w:r>
        <w:rPr>
          <w:rFonts w:cs="Times New Roman"/>
          <w:color w:val="000000"/>
        </w:rPr>
        <w:t>213-225.</w:t>
      </w:r>
    </w:p>
    <w:p w14:paraId="2A635C6D" w14:textId="77777777" w:rsidR="00320FEA" w:rsidRDefault="00320FEA" w:rsidP="0091583F">
      <w:pPr>
        <w:ind w:left="720" w:hanging="720"/>
        <w:rPr>
          <w:rFonts w:cs="Times New Roman"/>
          <w:color w:val="000000"/>
        </w:rPr>
      </w:pPr>
    </w:p>
    <w:p w14:paraId="127D7706" w14:textId="29255B63" w:rsidR="00246EE2" w:rsidRPr="00246EE2" w:rsidRDefault="00246EE2" w:rsidP="0091583F">
      <w:pPr>
        <w:ind w:left="720" w:hanging="720"/>
        <w:rPr>
          <w:rFonts w:cs="Times New Roman"/>
          <w:color w:val="000000"/>
        </w:rPr>
      </w:pPr>
      <w:r>
        <w:rPr>
          <w:rFonts w:cs="Times New Roman"/>
          <w:color w:val="000000"/>
        </w:rPr>
        <w:t xml:space="preserve">Kyle, G.T., Absher, </w:t>
      </w:r>
      <w:r w:rsidR="0074724C">
        <w:rPr>
          <w:rFonts w:cs="Times New Roman"/>
          <w:color w:val="000000"/>
        </w:rPr>
        <w:t xml:space="preserve">J.D., </w:t>
      </w:r>
      <w:r>
        <w:rPr>
          <w:rFonts w:cs="Times New Roman"/>
          <w:color w:val="000000"/>
        </w:rPr>
        <w:t>and Graeffe</w:t>
      </w:r>
      <w:r w:rsidR="0074724C">
        <w:rPr>
          <w:rFonts w:cs="Times New Roman"/>
          <w:color w:val="000000"/>
        </w:rPr>
        <w:t>, A.R</w:t>
      </w:r>
      <w:r>
        <w:rPr>
          <w:rFonts w:cs="Times New Roman"/>
          <w:color w:val="000000"/>
        </w:rPr>
        <w:t xml:space="preserve">. </w:t>
      </w:r>
      <w:r w:rsidR="00962F67">
        <w:rPr>
          <w:rFonts w:cs="Times New Roman"/>
          <w:color w:val="000000"/>
        </w:rPr>
        <w:t>(</w:t>
      </w:r>
      <w:r>
        <w:rPr>
          <w:rFonts w:cs="Times New Roman"/>
          <w:color w:val="000000"/>
        </w:rPr>
        <w:t>2003</w:t>
      </w:r>
      <w:r w:rsidR="00962F67">
        <w:rPr>
          <w:rFonts w:cs="Times New Roman"/>
          <w:color w:val="000000"/>
        </w:rPr>
        <w:t>)</w:t>
      </w:r>
      <w:r>
        <w:rPr>
          <w:rFonts w:cs="Times New Roman"/>
          <w:color w:val="000000"/>
        </w:rPr>
        <w:t xml:space="preserve">. The moderating role of place attachment on the relationship between attitudes towards fees and spending preferences. </w:t>
      </w:r>
      <w:r>
        <w:rPr>
          <w:rFonts w:cs="Times New Roman"/>
          <w:i/>
          <w:color w:val="000000"/>
        </w:rPr>
        <w:t>Leisure Sciences</w:t>
      </w:r>
      <w:r w:rsidR="0074724C">
        <w:rPr>
          <w:rFonts w:cs="Times New Roman"/>
          <w:color w:val="000000"/>
        </w:rPr>
        <w:t xml:space="preserve">, </w:t>
      </w:r>
      <w:r>
        <w:rPr>
          <w:rFonts w:cs="Times New Roman"/>
          <w:color w:val="000000"/>
        </w:rPr>
        <w:t>25</w:t>
      </w:r>
      <w:r w:rsidR="0074724C">
        <w:rPr>
          <w:rFonts w:cs="Times New Roman"/>
          <w:color w:val="000000"/>
        </w:rPr>
        <w:t xml:space="preserve">, </w:t>
      </w:r>
      <w:r>
        <w:rPr>
          <w:rFonts w:cs="Times New Roman"/>
          <w:color w:val="000000"/>
        </w:rPr>
        <w:t>33-50.</w:t>
      </w:r>
    </w:p>
    <w:p w14:paraId="724BD8EC" w14:textId="77777777" w:rsidR="00246EE2" w:rsidRDefault="00246EE2" w:rsidP="0091583F">
      <w:pPr>
        <w:ind w:left="720" w:hanging="720"/>
        <w:rPr>
          <w:rFonts w:cs="Times New Roman"/>
          <w:color w:val="000000"/>
        </w:rPr>
      </w:pPr>
    </w:p>
    <w:p w14:paraId="664EE53A" w14:textId="192FA781" w:rsidR="0091583F" w:rsidRPr="00DF48C0" w:rsidRDefault="0091583F" w:rsidP="0091583F">
      <w:pPr>
        <w:ind w:left="720" w:hanging="720"/>
        <w:rPr>
          <w:rFonts w:cs="Times New Roman"/>
        </w:rPr>
      </w:pPr>
      <w:r w:rsidRPr="00DF48C0">
        <w:rPr>
          <w:rFonts w:cs="Times New Roman"/>
        </w:rPr>
        <w:t xml:space="preserve">Link, M.W. Battaglia, M.P., Frankel, M.R., Osborn, L., and Mokdad, A.H. (2008). A comparison of address-based sampling (ABS) versus random-digit dialing (RDD) for general population surveys. </w:t>
      </w:r>
      <w:r w:rsidRPr="00DF48C0">
        <w:rPr>
          <w:rFonts w:cs="Times New Roman"/>
          <w:i/>
        </w:rPr>
        <w:t>Public Opinion Quarterly</w:t>
      </w:r>
      <w:r w:rsidRPr="00A00F66">
        <w:rPr>
          <w:rFonts w:cs="Times New Roman"/>
        </w:rPr>
        <w:t>, 72</w:t>
      </w:r>
      <w:r w:rsidRPr="0074724C">
        <w:rPr>
          <w:rFonts w:cs="Times New Roman"/>
        </w:rPr>
        <w:t>(</w:t>
      </w:r>
      <w:r w:rsidRPr="00DF48C0">
        <w:rPr>
          <w:rFonts w:cs="Times New Roman"/>
        </w:rPr>
        <w:t>1), 6-27.</w:t>
      </w:r>
    </w:p>
    <w:p w14:paraId="7BBCC1E6" w14:textId="77777777" w:rsidR="0091583F" w:rsidRPr="00DF48C0" w:rsidRDefault="0091583F" w:rsidP="0091583F">
      <w:pPr>
        <w:ind w:left="720" w:hanging="720"/>
        <w:rPr>
          <w:rFonts w:cs="Times New Roman"/>
        </w:rPr>
      </w:pPr>
    </w:p>
    <w:p w14:paraId="4271A336" w14:textId="5418AE4C" w:rsidR="00352F26" w:rsidRPr="00352F26" w:rsidRDefault="00352F26" w:rsidP="008E4D39">
      <w:pPr>
        <w:ind w:left="720" w:hanging="720"/>
        <w:rPr>
          <w:rFonts w:cs="Times New Roman"/>
        </w:rPr>
      </w:pPr>
      <w:r w:rsidRPr="00962F67">
        <w:rPr>
          <w:rFonts w:cs="Times New Roman"/>
        </w:rPr>
        <w:t>Matarrita-Cascante, D., Stedman,</w:t>
      </w:r>
      <w:r w:rsidR="0074724C">
        <w:rPr>
          <w:rFonts w:cs="Times New Roman"/>
        </w:rPr>
        <w:t xml:space="preserve"> </w:t>
      </w:r>
      <w:r w:rsidR="0074724C" w:rsidRPr="00962F67">
        <w:rPr>
          <w:rFonts w:cs="Times New Roman"/>
        </w:rPr>
        <w:t>R.</w:t>
      </w:r>
      <w:r w:rsidR="0074724C">
        <w:rPr>
          <w:rFonts w:cs="Times New Roman"/>
        </w:rPr>
        <w:t>,</w:t>
      </w:r>
      <w:r w:rsidRPr="00962F67">
        <w:rPr>
          <w:rFonts w:cs="Times New Roman"/>
        </w:rPr>
        <w:t xml:space="preserve"> and Luloff</w:t>
      </w:r>
      <w:r w:rsidR="0074724C">
        <w:rPr>
          <w:rFonts w:cs="Times New Roman"/>
        </w:rPr>
        <w:t xml:space="preserve">, </w:t>
      </w:r>
      <w:r w:rsidR="0074724C" w:rsidRPr="00962F67">
        <w:rPr>
          <w:rFonts w:cs="Times New Roman"/>
        </w:rPr>
        <w:t>A. E</w:t>
      </w:r>
      <w:r w:rsidRPr="00962F67">
        <w:rPr>
          <w:rFonts w:cs="Times New Roman"/>
        </w:rPr>
        <w:t xml:space="preserve">. </w:t>
      </w:r>
      <w:r w:rsidR="00962F67" w:rsidRPr="008276EA">
        <w:rPr>
          <w:rFonts w:cs="Times New Roman"/>
        </w:rPr>
        <w:t>(</w:t>
      </w:r>
      <w:r w:rsidRPr="00962F67">
        <w:rPr>
          <w:rFonts w:cs="Times New Roman"/>
        </w:rPr>
        <w:t>2010</w:t>
      </w:r>
      <w:r w:rsidR="00962F67" w:rsidRPr="008276EA">
        <w:rPr>
          <w:rFonts w:cs="Times New Roman"/>
        </w:rPr>
        <w:t>)</w:t>
      </w:r>
      <w:r w:rsidRPr="00962F67">
        <w:rPr>
          <w:rFonts w:cs="Times New Roman"/>
        </w:rPr>
        <w:t xml:space="preserve">. Permanent and seasonal residents’ community attachment in natural amenity-rich areas: exploring the contribution of landscape-related factors. </w:t>
      </w:r>
      <w:r w:rsidRPr="00962F67">
        <w:rPr>
          <w:rFonts w:cs="Times New Roman"/>
          <w:i/>
        </w:rPr>
        <w:t>Environment and Behavior</w:t>
      </w:r>
      <w:r w:rsidRPr="00962F67">
        <w:rPr>
          <w:rFonts w:cs="Times New Roman"/>
        </w:rPr>
        <w:t>, 42(2):197-220.</w:t>
      </w:r>
    </w:p>
    <w:p w14:paraId="1C8F1D4C" w14:textId="77777777" w:rsidR="00352F26" w:rsidRPr="00DF48C0" w:rsidRDefault="00352F26" w:rsidP="0091583F">
      <w:pPr>
        <w:rPr>
          <w:rFonts w:cs="Times New Roman"/>
        </w:rPr>
      </w:pPr>
    </w:p>
    <w:p w14:paraId="59E11AC1" w14:textId="0CA4F568" w:rsidR="00CE074D" w:rsidRPr="00DF48C0" w:rsidRDefault="00CE074D" w:rsidP="00CE074D">
      <w:pPr>
        <w:autoSpaceDE w:val="0"/>
        <w:autoSpaceDN w:val="0"/>
        <w:adjustRightInd w:val="0"/>
        <w:ind w:left="720" w:hanging="720"/>
        <w:rPr>
          <w:rFonts w:cs="Times New Roman"/>
        </w:rPr>
      </w:pPr>
      <w:r w:rsidRPr="00A00F66">
        <w:rPr>
          <w:rFonts w:cs="Times New Roman"/>
        </w:rPr>
        <w:t xml:space="preserve">Melstrom, R.T., </w:t>
      </w:r>
      <w:r w:rsidR="0074724C" w:rsidRPr="00A00F66">
        <w:rPr>
          <w:rFonts w:cs="Times New Roman"/>
        </w:rPr>
        <w:t xml:space="preserve">and </w:t>
      </w:r>
      <w:r w:rsidRPr="00A00F66">
        <w:rPr>
          <w:rFonts w:cs="Times New Roman"/>
        </w:rPr>
        <w:t>Jayasekera, D.H. (2016). Two-Stage Estimation to Control for Unobservables in a Recreation Demand Model with Unvisited Sites</w:t>
      </w:r>
      <w:r w:rsidR="00566383" w:rsidRPr="00A00F66">
        <w:rPr>
          <w:rFonts w:cs="Times New Roman"/>
        </w:rPr>
        <w:t>.</w:t>
      </w:r>
      <w:r w:rsidRPr="00A00F66">
        <w:rPr>
          <w:rFonts w:cs="Times New Roman"/>
        </w:rPr>
        <w:t xml:space="preserve"> </w:t>
      </w:r>
      <w:r w:rsidRPr="00A00F66">
        <w:rPr>
          <w:rFonts w:cs="Times New Roman"/>
          <w:i/>
        </w:rPr>
        <w:t>Agricultural and Applied Economics Association</w:t>
      </w:r>
      <w:r w:rsidR="00566383" w:rsidRPr="00A00F66">
        <w:rPr>
          <w:rFonts w:cs="Times New Roman"/>
          <w:i/>
        </w:rPr>
        <w:t xml:space="preserve"> Selected Paper</w:t>
      </w:r>
      <w:r w:rsidRPr="00A00F66">
        <w:rPr>
          <w:rFonts w:cs="Times New Roman"/>
        </w:rPr>
        <w:t>.</w:t>
      </w:r>
      <w:r w:rsidR="00566383">
        <w:rPr>
          <w:rFonts w:cs="Times New Roman"/>
        </w:rPr>
        <w:t xml:space="preserve"> Located at: </w:t>
      </w:r>
      <w:r w:rsidR="00566383" w:rsidRPr="00566383">
        <w:rPr>
          <w:rFonts w:cs="Times New Roman"/>
        </w:rPr>
        <w:t>http://ageconsearch.umn.edu/bitstream/236252/2/Two-stage%20estimation.pdf</w:t>
      </w:r>
      <w:r w:rsidR="00566383">
        <w:rPr>
          <w:rFonts w:cs="Times New Roman"/>
        </w:rPr>
        <w:t>.</w:t>
      </w:r>
    </w:p>
    <w:p w14:paraId="2BCC558D" w14:textId="77777777" w:rsidR="003F7435" w:rsidRDefault="003F7435" w:rsidP="003F7435">
      <w:pPr>
        <w:autoSpaceDE w:val="0"/>
        <w:autoSpaceDN w:val="0"/>
        <w:adjustRightInd w:val="0"/>
        <w:rPr>
          <w:rFonts w:cs="Times New Roman"/>
        </w:rPr>
      </w:pPr>
    </w:p>
    <w:p w14:paraId="4E61AFA4" w14:textId="1199F528" w:rsidR="00C55359" w:rsidRDefault="00C55359" w:rsidP="008E4D39">
      <w:pPr>
        <w:autoSpaceDE w:val="0"/>
        <w:autoSpaceDN w:val="0"/>
        <w:adjustRightInd w:val="0"/>
        <w:ind w:left="720" w:hanging="720"/>
        <w:rPr>
          <w:rFonts w:cs="Times New Roman"/>
        </w:rPr>
      </w:pPr>
      <w:r w:rsidRPr="00962F67">
        <w:rPr>
          <w:rFonts w:cs="Times New Roman"/>
        </w:rPr>
        <w:t xml:space="preserve">Messer, B.L., </w:t>
      </w:r>
      <w:r w:rsidR="0074724C">
        <w:rPr>
          <w:rFonts w:cs="Times New Roman"/>
        </w:rPr>
        <w:t>and</w:t>
      </w:r>
      <w:r w:rsidR="0074724C" w:rsidRPr="00962F67">
        <w:rPr>
          <w:rFonts w:cs="Times New Roman"/>
        </w:rPr>
        <w:t xml:space="preserve"> </w:t>
      </w:r>
      <w:r w:rsidRPr="00962F67">
        <w:rPr>
          <w:rFonts w:cs="Times New Roman"/>
        </w:rPr>
        <w:t xml:space="preserve">Dillman, D.A. (2011). Surveying the </w:t>
      </w:r>
      <w:r w:rsidR="0074724C">
        <w:rPr>
          <w:rFonts w:cs="Times New Roman"/>
        </w:rPr>
        <w:t>g</w:t>
      </w:r>
      <w:r w:rsidR="0074724C" w:rsidRPr="00962F67">
        <w:rPr>
          <w:rFonts w:cs="Times New Roman"/>
        </w:rPr>
        <w:t xml:space="preserve">eneral </w:t>
      </w:r>
      <w:r w:rsidR="0074724C">
        <w:rPr>
          <w:rFonts w:cs="Times New Roman"/>
        </w:rPr>
        <w:t>p</w:t>
      </w:r>
      <w:r w:rsidR="0074724C" w:rsidRPr="00962F67">
        <w:rPr>
          <w:rFonts w:cs="Times New Roman"/>
        </w:rPr>
        <w:t xml:space="preserve">ublic </w:t>
      </w:r>
      <w:r w:rsidRPr="00962F67">
        <w:rPr>
          <w:rFonts w:cs="Times New Roman"/>
        </w:rPr>
        <w:t xml:space="preserve">over the </w:t>
      </w:r>
      <w:r w:rsidR="0074724C">
        <w:rPr>
          <w:rFonts w:cs="Times New Roman"/>
        </w:rPr>
        <w:t>i</w:t>
      </w:r>
      <w:r w:rsidR="0074724C" w:rsidRPr="00962F67">
        <w:rPr>
          <w:rFonts w:cs="Times New Roman"/>
        </w:rPr>
        <w:t xml:space="preserve">nternet </w:t>
      </w:r>
      <w:r w:rsidR="0074724C">
        <w:rPr>
          <w:rFonts w:cs="Times New Roman"/>
        </w:rPr>
        <w:t>u</w:t>
      </w:r>
      <w:r w:rsidR="0074724C" w:rsidRPr="00962F67">
        <w:rPr>
          <w:rFonts w:cs="Times New Roman"/>
        </w:rPr>
        <w:t xml:space="preserve">sing </w:t>
      </w:r>
      <w:r w:rsidR="0074724C">
        <w:rPr>
          <w:rFonts w:cs="Times New Roman"/>
        </w:rPr>
        <w:t>a</w:t>
      </w:r>
      <w:r w:rsidR="0074724C" w:rsidRPr="00962F67">
        <w:rPr>
          <w:rFonts w:cs="Times New Roman"/>
        </w:rPr>
        <w:t>ddress</w:t>
      </w:r>
      <w:r w:rsidRPr="00962F67">
        <w:rPr>
          <w:rFonts w:cs="Times New Roman"/>
        </w:rPr>
        <w:t>-</w:t>
      </w:r>
      <w:r w:rsidR="0074724C">
        <w:rPr>
          <w:rFonts w:cs="Times New Roman"/>
        </w:rPr>
        <w:t>b</w:t>
      </w:r>
      <w:r w:rsidR="0074724C" w:rsidRPr="00962F67">
        <w:rPr>
          <w:rFonts w:cs="Times New Roman"/>
        </w:rPr>
        <w:t xml:space="preserve">ased </w:t>
      </w:r>
      <w:r w:rsidR="0074724C">
        <w:rPr>
          <w:rFonts w:cs="Times New Roman"/>
        </w:rPr>
        <w:t>s</w:t>
      </w:r>
      <w:r w:rsidR="0074724C" w:rsidRPr="00962F67">
        <w:rPr>
          <w:rFonts w:cs="Times New Roman"/>
        </w:rPr>
        <w:t xml:space="preserve">ampling </w:t>
      </w:r>
      <w:r w:rsidRPr="00962F67">
        <w:rPr>
          <w:rFonts w:cs="Times New Roman"/>
        </w:rPr>
        <w:t xml:space="preserve">and </w:t>
      </w:r>
      <w:r w:rsidR="0074724C">
        <w:rPr>
          <w:rFonts w:cs="Times New Roman"/>
        </w:rPr>
        <w:t>m</w:t>
      </w:r>
      <w:r w:rsidR="0074724C" w:rsidRPr="00962F67">
        <w:rPr>
          <w:rFonts w:cs="Times New Roman"/>
        </w:rPr>
        <w:t xml:space="preserve">ail </w:t>
      </w:r>
      <w:r w:rsidR="0074724C">
        <w:rPr>
          <w:rFonts w:cs="Times New Roman"/>
        </w:rPr>
        <w:t>c</w:t>
      </w:r>
      <w:r w:rsidR="0074724C" w:rsidRPr="00962F67">
        <w:rPr>
          <w:rFonts w:cs="Times New Roman"/>
        </w:rPr>
        <w:t xml:space="preserve">ontact </w:t>
      </w:r>
      <w:r w:rsidR="0074724C">
        <w:rPr>
          <w:rFonts w:cs="Times New Roman"/>
        </w:rPr>
        <w:t>p</w:t>
      </w:r>
      <w:r w:rsidR="0074724C" w:rsidRPr="00962F67">
        <w:rPr>
          <w:rFonts w:cs="Times New Roman"/>
        </w:rPr>
        <w:t>rocedures</w:t>
      </w:r>
      <w:r w:rsidRPr="00962F67">
        <w:rPr>
          <w:rFonts w:cs="Times New Roman"/>
        </w:rPr>
        <w:t xml:space="preserve">. </w:t>
      </w:r>
      <w:r w:rsidRPr="00A00F66">
        <w:rPr>
          <w:rFonts w:cs="Times New Roman"/>
          <w:i/>
        </w:rPr>
        <w:t>Public Opinion Quarterly</w:t>
      </w:r>
      <w:r w:rsidRPr="00962F67">
        <w:rPr>
          <w:rFonts w:cs="Times New Roman"/>
        </w:rPr>
        <w:t>, 75(3), 429-457.</w:t>
      </w:r>
    </w:p>
    <w:p w14:paraId="347B416F" w14:textId="77777777" w:rsidR="00C55359" w:rsidRPr="00DF48C0" w:rsidRDefault="00C55359" w:rsidP="003F7435">
      <w:pPr>
        <w:autoSpaceDE w:val="0"/>
        <w:autoSpaceDN w:val="0"/>
        <w:adjustRightInd w:val="0"/>
        <w:rPr>
          <w:rFonts w:cs="Times New Roman"/>
        </w:rPr>
      </w:pPr>
    </w:p>
    <w:p w14:paraId="61BCB375" w14:textId="10DCE7EC" w:rsidR="00F4162F" w:rsidRPr="00DF48C0" w:rsidRDefault="00F4162F" w:rsidP="0091583F">
      <w:pPr>
        <w:ind w:left="720" w:hanging="720"/>
        <w:rPr>
          <w:rFonts w:cs="Times New Roman"/>
        </w:rPr>
      </w:pPr>
      <w:r w:rsidRPr="00DF48C0">
        <w:rPr>
          <w:rFonts w:cs="Times New Roman"/>
        </w:rPr>
        <w:t xml:space="preserve">Millennium Ecosystem Assessment. </w:t>
      </w:r>
      <w:r w:rsidR="00962F67">
        <w:rPr>
          <w:rFonts w:cs="Times New Roman"/>
        </w:rPr>
        <w:t>(</w:t>
      </w:r>
      <w:r w:rsidRPr="00DF48C0">
        <w:rPr>
          <w:rFonts w:cs="Times New Roman"/>
        </w:rPr>
        <w:t>2005</w:t>
      </w:r>
      <w:r w:rsidR="00962F67">
        <w:rPr>
          <w:rFonts w:cs="Times New Roman"/>
        </w:rPr>
        <w:t>)</w:t>
      </w:r>
      <w:r w:rsidRPr="00DF48C0">
        <w:rPr>
          <w:rFonts w:cs="Times New Roman"/>
        </w:rPr>
        <w:t xml:space="preserve">. </w:t>
      </w:r>
      <w:r w:rsidRPr="00DF48C0">
        <w:rPr>
          <w:rFonts w:cs="Times New Roman"/>
          <w:i/>
        </w:rPr>
        <w:t>Ecosystems and Human Well-being: A Framework for Assessment</w:t>
      </w:r>
      <w:r w:rsidRPr="00DF48C0">
        <w:rPr>
          <w:rFonts w:cs="Times New Roman"/>
        </w:rPr>
        <w:t>. Island Press: Washington, DC.</w:t>
      </w:r>
    </w:p>
    <w:p w14:paraId="1F3D77A8" w14:textId="77777777" w:rsidR="00F4162F" w:rsidRPr="00DF48C0" w:rsidRDefault="00F4162F" w:rsidP="0091583F">
      <w:pPr>
        <w:ind w:left="720" w:hanging="720"/>
        <w:rPr>
          <w:rFonts w:cs="Times New Roman"/>
        </w:rPr>
      </w:pPr>
    </w:p>
    <w:p w14:paraId="63B278AB" w14:textId="3B70F5C2" w:rsidR="00A44E9B" w:rsidRPr="00015104" w:rsidRDefault="00A44E9B" w:rsidP="006C4EB7">
      <w:pPr>
        <w:pStyle w:val="BodyTextIndent"/>
        <w:spacing w:line="240" w:lineRule="auto"/>
      </w:pPr>
      <w:r w:rsidRPr="00A00F66">
        <w:rPr>
          <w:sz w:val="22"/>
          <w:szCs w:val="22"/>
        </w:rPr>
        <w:t xml:space="preserve">Montaquila, </w:t>
      </w:r>
      <w:r w:rsidR="0074724C" w:rsidRPr="00A00F66">
        <w:rPr>
          <w:sz w:val="22"/>
          <w:szCs w:val="22"/>
        </w:rPr>
        <w:t>J.</w:t>
      </w:r>
      <w:r w:rsidRPr="00A00F66">
        <w:rPr>
          <w:sz w:val="22"/>
          <w:szCs w:val="22"/>
        </w:rPr>
        <w:t xml:space="preserve">M, </w:t>
      </w:r>
      <w:r w:rsidR="0074724C" w:rsidRPr="00A00F66">
        <w:rPr>
          <w:sz w:val="22"/>
          <w:szCs w:val="22"/>
        </w:rPr>
        <w:t>and</w:t>
      </w:r>
      <w:r w:rsidRPr="00A00F66">
        <w:rPr>
          <w:sz w:val="22"/>
          <w:szCs w:val="22"/>
        </w:rPr>
        <w:t xml:space="preserve"> Olson, </w:t>
      </w:r>
      <w:r w:rsidR="0074724C" w:rsidRPr="00A00F66">
        <w:rPr>
          <w:sz w:val="22"/>
          <w:szCs w:val="22"/>
        </w:rPr>
        <w:t>K.</w:t>
      </w:r>
      <w:r w:rsidRPr="00A00F66">
        <w:rPr>
          <w:sz w:val="22"/>
          <w:szCs w:val="22"/>
        </w:rPr>
        <w:t xml:space="preserve">M. (2012). Practical Tools for Nonresponse Bias Studies. </w:t>
      </w:r>
      <w:r w:rsidRPr="00A00F66">
        <w:rPr>
          <w:i/>
          <w:sz w:val="22"/>
          <w:szCs w:val="22"/>
        </w:rPr>
        <w:t>SRMS/AAPOR Webinar</w:t>
      </w:r>
      <w:r w:rsidRPr="00A00F66">
        <w:rPr>
          <w:sz w:val="22"/>
          <w:szCs w:val="22"/>
        </w:rPr>
        <w:t>.</w:t>
      </w:r>
      <w:r w:rsidRPr="00015104">
        <w:rPr>
          <w:sz w:val="22"/>
          <w:szCs w:val="22"/>
        </w:rPr>
        <w:t xml:space="preserve"> </w:t>
      </w:r>
    </w:p>
    <w:p w14:paraId="4D9D2F57" w14:textId="77777777" w:rsidR="0091583F" w:rsidRPr="00DF48C0" w:rsidRDefault="0091583F" w:rsidP="0091583F">
      <w:pPr>
        <w:pStyle w:val="BodyTextIndent"/>
        <w:spacing w:line="240" w:lineRule="auto"/>
        <w:rPr>
          <w:sz w:val="22"/>
          <w:szCs w:val="22"/>
        </w:rPr>
      </w:pPr>
    </w:p>
    <w:p w14:paraId="541680AB" w14:textId="7790DAE1" w:rsidR="00CE074D" w:rsidRPr="00DF48C0" w:rsidRDefault="00CE074D" w:rsidP="00CE074D">
      <w:pPr>
        <w:autoSpaceDE w:val="0"/>
        <w:autoSpaceDN w:val="0"/>
        <w:adjustRightInd w:val="0"/>
        <w:ind w:left="720" w:hanging="720"/>
        <w:rPr>
          <w:rFonts w:cs="Times New Roman"/>
        </w:rPr>
      </w:pPr>
      <w:r w:rsidRPr="00DF48C0">
        <w:rPr>
          <w:rFonts w:cs="Times New Roman"/>
        </w:rPr>
        <w:t xml:space="preserve">Murray, C., Sohngen, B., </w:t>
      </w:r>
      <w:r w:rsidR="0074724C">
        <w:rPr>
          <w:rFonts w:cs="Times New Roman"/>
        </w:rPr>
        <w:t>and</w:t>
      </w:r>
      <w:r w:rsidRPr="00DF48C0">
        <w:rPr>
          <w:rFonts w:cs="Times New Roman"/>
        </w:rPr>
        <w:t xml:space="preserve"> Pendleton, L. (2001). Valuing water quality advisories and beach amenities in the Great Lakes. </w:t>
      </w:r>
      <w:r w:rsidRPr="00DF48C0">
        <w:rPr>
          <w:rFonts w:cs="Times New Roman"/>
          <w:i/>
          <w:iCs/>
        </w:rPr>
        <w:t>Water Resources Research</w:t>
      </w:r>
      <w:r w:rsidRPr="00A00F66">
        <w:rPr>
          <w:rFonts w:cs="Times New Roman"/>
          <w:iCs/>
        </w:rPr>
        <w:t>, 37</w:t>
      </w:r>
      <w:r w:rsidRPr="0074724C">
        <w:rPr>
          <w:rFonts w:cs="Times New Roman"/>
        </w:rPr>
        <w:t>(10</w:t>
      </w:r>
      <w:r w:rsidRPr="00DF48C0">
        <w:rPr>
          <w:rFonts w:cs="Times New Roman"/>
        </w:rPr>
        <w:t>), 2583-2590. doi: 10.1029/2001WR000409</w:t>
      </w:r>
    </w:p>
    <w:p w14:paraId="7E52F72F" w14:textId="77777777" w:rsidR="00CE074D" w:rsidRPr="00DF48C0" w:rsidRDefault="00CE074D" w:rsidP="0091583F">
      <w:pPr>
        <w:pStyle w:val="BodyTextIndent"/>
        <w:spacing w:line="240" w:lineRule="auto"/>
        <w:rPr>
          <w:sz w:val="22"/>
          <w:szCs w:val="22"/>
        </w:rPr>
      </w:pPr>
    </w:p>
    <w:p w14:paraId="4FE1C8D3" w14:textId="1FD7144E" w:rsidR="00DE3BFD" w:rsidRPr="00DF48C0" w:rsidRDefault="00DE3BFD" w:rsidP="0091583F">
      <w:pPr>
        <w:pStyle w:val="BodyTextIndent"/>
        <w:spacing w:line="240" w:lineRule="auto"/>
        <w:rPr>
          <w:sz w:val="22"/>
          <w:szCs w:val="22"/>
        </w:rPr>
      </w:pPr>
      <w:r w:rsidRPr="00DF48C0">
        <w:rPr>
          <w:sz w:val="22"/>
          <w:szCs w:val="22"/>
        </w:rPr>
        <w:t xml:space="preserve">Mullendore, N.D., Ulrich-Schad, </w:t>
      </w:r>
      <w:r w:rsidR="0074724C" w:rsidRPr="00DF48C0">
        <w:rPr>
          <w:sz w:val="22"/>
          <w:szCs w:val="22"/>
        </w:rPr>
        <w:t xml:space="preserve">J.D. </w:t>
      </w:r>
      <w:r w:rsidR="0074724C">
        <w:rPr>
          <w:sz w:val="22"/>
          <w:szCs w:val="22"/>
        </w:rPr>
        <w:t>, and</w:t>
      </w:r>
      <w:r w:rsidRPr="00DF48C0">
        <w:rPr>
          <w:sz w:val="22"/>
          <w:szCs w:val="22"/>
        </w:rPr>
        <w:t xml:space="preserve"> Prokopy</w:t>
      </w:r>
      <w:r w:rsidR="0074724C">
        <w:rPr>
          <w:sz w:val="22"/>
          <w:szCs w:val="22"/>
        </w:rPr>
        <w:t>, L.S</w:t>
      </w:r>
      <w:r w:rsidRPr="00DF48C0">
        <w:rPr>
          <w:sz w:val="22"/>
          <w:szCs w:val="22"/>
        </w:rPr>
        <w:t xml:space="preserve">. </w:t>
      </w:r>
      <w:r w:rsidR="00962F67">
        <w:rPr>
          <w:sz w:val="22"/>
          <w:szCs w:val="22"/>
        </w:rPr>
        <w:t>(</w:t>
      </w:r>
      <w:r w:rsidRPr="00DF48C0">
        <w:rPr>
          <w:sz w:val="22"/>
          <w:szCs w:val="22"/>
        </w:rPr>
        <w:t>2015</w:t>
      </w:r>
      <w:r w:rsidR="00962F67">
        <w:rPr>
          <w:sz w:val="22"/>
          <w:szCs w:val="22"/>
        </w:rPr>
        <w:t>)</w:t>
      </w:r>
      <w:r w:rsidRPr="00DF48C0">
        <w:rPr>
          <w:sz w:val="22"/>
          <w:szCs w:val="22"/>
        </w:rPr>
        <w:t xml:space="preserve">. U.S. farmers’ sense of place and its relation to conservation behavior. </w:t>
      </w:r>
      <w:r w:rsidRPr="00DF48C0">
        <w:rPr>
          <w:i/>
          <w:sz w:val="22"/>
          <w:szCs w:val="22"/>
        </w:rPr>
        <w:t>Landscape and Urban Planning</w:t>
      </w:r>
      <w:r w:rsidRPr="00DF48C0">
        <w:rPr>
          <w:sz w:val="22"/>
          <w:szCs w:val="22"/>
        </w:rPr>
        <w:t>. 140</w:t>
      </w:r>
      <w:r w:rsidR="0074724C">
        <w:rPr>
          <w:sz w:val="22"/>
          <w:szCs w:val="22"/>
        </w:rPr>
        <w:t xml:space="preserve">, </w:t>
      </w:r>
      <w:r w:rsidRPr="00DF48C0">
        <w:rPr>
          <w:sz w:val="22"/>
          <w:szCs w:val="22"/>
        </w:rPr>
        <w:t>67-75.</w:t>
      </w:r>
    </w:p>
    <w:p w14:paraId="23E21F25" w14:textId="77777777" w:rsidR="00DE3BFD" w:rsidRPr="00DF48C0" w:rsidRDefault="00DE3BFD" w:rsidP="0091583F">
      <w:pPr>
        <w:pStyle w:val="BodyTextIndent"/>
        <w:spacing w:line="240" w:lineRule="auto"/>
        <w:rPr>
          <w:sz w:val="22"/>
          <w:szCs w:val="22"/>
        </w:rPr>
      </w:pPr>
    </w:p>
    <w:p w14:paraId="2776AA6A" w14:textId="5CF725D2" w:rsidR="0097614E" w:rsidRPr="00DF48C0" w:rsidRDefault="0097614E" w:rsidP="0091583F">
      <w:pPr>
        <w:pStyle w:val="HTMLPreformatted"/>
        <w:ind w:left="630" w:hanging="630"/>
        <w:rPr>
          <w:rFonts w:ascii="Times New Roman" w:hAnsi="Times New Roman" w:cs="Times New Roman"/>
          <w:color w:val="000000"/>
          <w:sz w:val="22"/>
          <w:szCs w:val="22"/>
        </w:rPr>
      </w:pPr>
      <w:r w:rsidRPr="00DF48C0">
        <w:rPr>
          <w:rFonts w:ascii="Times New Roman" w:hAnsi="Times New Roman" w:cs="Times New Roman"/>
          <w:color w:val="000000"/>
          <w:sz w:val="22"/>
          <w:szCs w:val="22"/>
        </w:rPr>
        <w:t xml:space="preserve">NAREA (Northeastern Agricultural and Resource Economics Association). </w:t>
      </w:r>
      <w:r w:rsidR="00962F67">
        <w:rPr>
          <w:rFonts w:ascii="Times New Roman" w:hAnsi="Times New Roman" w:cs="Times New Roman"/>
          <w:color w:val="000000"/>
          <w:sz w:val="22"/>
          <w:szCs w:val="22"/>
        </w:rPr>
        <w:t>(</w:t>
      </w:r>
      <w:r w:rsidRPr="00DF48C0">
        <w:rPr>
          <w:rFonts w:ascii="Times New Roman" w:hAnsi="Times New Roman" w:cs="Times New Roman"/>
          <w:color w:val="000000"/>
          <w:sz w:val="22"/>
          <w:szCs w:val="22"/>
        </w:rPr>
        <w:t>2016</w:t>
      </w:r>
      <w:r w:rsidR="00962F67">
        <w:rPr>
          <w:rFonts w:ascii="Times New Roman" w:hAnsi="Times New Roman" w:cs="Times New Roman"/>
          <w:color w:val="000000"/>
          <w:sz w:val="22"/>
          <w:szCs w:val="22"/>
        </w:rPr>
        <w:t>)</w:t>
      </w:r>
      <w:r w:rsidRPr="00DF48C0">
        <w:rPr>
          <w:rFonts w:ascii="Times New Roman" w:hAnsi="Times New Roman" w:cs="Times New Roman"/>
          <w:color w:val="000000"/>
          <w:sz w:val="22"/>
          <w:szCs w:val="22"/>
        </w:rPr>
        <w:t xml:space="preserve">. Welcome to NAREA website. </w:t>
      </w:r>
      <w:hyperlink r:id="rId14" w:history="1">
        <w:r w:rsidRPr="00DF48C0">
          <w:rPr>
            <w:rStyle w:val="Hyperlink"/>
            <w:rFonts w:ascii="Times New Roman" w:hAnsi="Times New Roman" w:cs="Times New Roman"/>
            <w:sz w:val="22"/>
            <w:szCs w:val="22"/>
          </w:rPr>
          <w:t>www.narea.org</w:t>
        </w:r>
      </w:hyperlink>
      <w:r w:rsidR="00281710">
        <w:rPr>
          <w:rFonts w:ascii="Times New Roman" w:hAnsi="Times New Roman" w:cs="Times New Roman"/>
          <w:color w:val="000000"/>
          <w:sz w:val="22"/>
          <w:szCs w:val="22"/>
        </w:rPr>
        <w:t xml:space="preserve"> </w:t>
      </w:r>
      <w:r w:rsidRPr="00DF48C0">
        <w:rPr>
          <w:rFonts w:ascii="Times New Roman" w:hAnsi="Times New Roman" w:cs="Times New Roman"/>
          <w:color w:val="000000"/>
          <w:sz w:val="22"/>
          <w:szCs w:val="22"/>
        </w:rPr>
        <w:t>Accessed: August 30, 2016.</w:t>
      </w:r>
      <w:r w:rsidR="00281710">
        <w:rPr>
          <w:rFonts w:ascii="Times New Roman" w:hAnsi="Times New Roman" w:cs="Times New Roman"/>
          <w:color w:val="000000"/>
          <w:sz w:val="22"/>
          <w:szCs w:val="22"/>
        </w:rPr>
        <w:t xml:space="preserve"> </w:t>
      </w:r>
    </w:p>
    <w:p w14:paraId="0E7462ED" w14:textId="77777777" w:rsidR="0097614E" w:rsidRPr="00DF48C0" w:rsidRDefault="0097614E" w:rsidP="0091583F">
      <w:pPr>
        <w:pStyle w:val="HTMLPreformatted"/>
        <w:ind w:left="630" w:hanging="630"/>
        <w:rPr>
          <w:rFonts w:ascii="Times New Roman" w:hAnsi="Times New Roman" w:cs="Times New Roman"/>
          <w:color w:val="000000"/>
          <w:sz w:val="22"/>
          <w:szCs w:val="22"/>
        </w:rPr>
      </w:pPr>
    </w:p>
    <w:p w14:paraId="59762E10" w14:textId="1E58734A" w:rsidR="00105E16" w:rsidRPr="00DF48C0" w:rsidRDefault="00105E16" w:rsidP="0091583F">
      <w:pPr>
        <w:pStyle w:val="BodyTextIndent"/>
        <w:spacing w:line="240" w:lineRule="auto"/>
        <w:rPr>
          <w:sz w:val="22"/>
          <w:szCs w:val="22"/>
        </w:rPr>
      </w:pPr>
      <w:r>
        <w:rPr>
          <w:sz w:val="22"/>
          <w:szCs w:val="22"/>
        </w:rPr>
        <w:t xml:space="preserve">NORC. </w:t>
      </w:r>
      <w:r w:rsidR="00962F67">
        <w:rPr>
          <w:sz w:val="22"/>
          <w:szCs w:val="22"/>
        </w:rPr>
        <w:t>(</w:t>
      </w:r>
      <w:r>
        <w:rPr>
          <w:sz w:val="22"/>
          <w:szCs w:val="22"/>
        </w:rPr>
        <w:t>2016</w:t>
      </w:r>
      <w:r w:rsidR="00962F67">
        <w:rPr>
          <w:sz w:val="22"/>
          <w:szCs w:val="22"/>
        </w:rPr>
        <w:t>)</w:t>
      </w:r>
      <w:r>
        <w:rPr>
          <w:sz w:val="22"/>
          <w:szCs w:val="22"/>
        </w:rPr>
        <w:t xml:space="preserve">. GSS Response Rates. Available online: </w:t>
      </w:r>
      <w:hyperlink r:id="rId15" w:history="1">
        <w:r w:rsidRPr="002C378B">
          <w:rPr>
            <w:rStyle w:val="Hyperlink"/>
            <w:sz w:val="22"/>
            <w:szCs w:val="22"/>
          </w:rPr>
          <w:t>http://gss.norc.org/Documents/other/GSS%20Response%20Period%20and%20Field%20Period.pdf</w:t>
        </w:r>
      </w:hyperlink>
      <w:r w:rsidR="00281710">
        <w:rPr>
          <w:sz w:val="22"/>
          <w:szCs w:val="22"/>
        </w:rPr>
        <w:t xml:space="preserve"> </w:t>
      </w:r>
      <w:r>
        <w:rPr>
          <w:sz w:val="22"/>
          <w:szCs w:val="22"/>
        </w:rPr>
        <w:t>Accessed: October 26, 2016.</w:t>
      </w:r>
    </w:p>
    <w:p w14:paraId="362C383C" w14:textId="77777777" w:rsidR="00105E16" w:rsidRDefault="00105E16" w:rsidP="0091583F">
      <w:pPr>
        <w:ind w:left="720" w:hanging="720"/>
        <w:rPr>
          <w:rFonts w:cs="Times New Roman"/>
        </w:rPr>
      </w:pPr>
    </w:p>
    <w:p w14:paraId="25598822" w14:textId="77777777" w:rsidR="0091583F" w:rsidRPr="00DF48C0" w:rsidRDefault="0091583F" w:rsidP="0091583F">
      <w:pPr>
        <w:ind w:left="720" w:hanging="720"/>
        <w:rPr>
          <w:rFonts w:cs="Times New Roman"/>
        </w:rPr>
      </w:pPr>
      <w:r w:rsidRPr="00DF48C0">
        <w:rPr>
          <w:rFonts w:cs="Times New Roman"/>
        </w:rPr>
        <w:t xml:space="preserve">Opaluch, J.J., Grigalunas, T.A., Mazzotta, M., Johnston, R.J., and Diamantedes, J. (1999). </w:t>
      </w:r>
      <w:r w:rsidRPr="00DF48C0">
        <w:rPr>
          <w:rFonts w:cs="Times New Roman"/>
          <w:i/>
          <w:iCs/>
        </w:rPr>
        <w:t>Recreational and resource economic values for the Peconic Estuary.</w:t>
      </w:r>
      <w:r w:rsidRPr="00DF48C0">
        <w:rPr>
          <w:rFonts w:cs="Times New Roman"/>
        </w:rPr>
        <w:t xml:space="preserve"> Prepared for the Peconic Estuary Program. Peace Dale, RI: Economic Analysis Inc. </w:t>
      </w:r>
    </w:p>
    <w:p w14:paraId="76C85817" w14:textId="77777777" w:rsidR="0091583F" w:rsidRPr="00DF48C0" w:rsidRDefault="0091583F" w:rsidP="0091583F">
      <w:pPr>
        <w:ind w:left="720" w:hanging="720"/>
        <w:rPr>
          <w:rFonts w:cs="Times New Roman"/>
        </w:rPr>
      </w:pPr>
    </w:p>
    <w:p w14:paraId="3F11296F" w14:textId="1932B00E" w:rsidR="003F7435" w:rsidRDefault="003F7435" w:rsidP="003F7435">
      <w:pPr>
        <w:autoSpaceDE w:val="0"/>
        <w:autoSpaceDN w:val="0"/>
        <w:adjustRightInd w:val="0"/>
        <w:ind w:left="720" w:hanging="720"/>
        <w:rPr>
          <w:rFonts w:cs="Times New Roman"/>
          <w:i/>
          <w:iCs/>
        </w:rPr>
      </w:pPr>
      <w:r w:rsidRPr="00A00F66">
        <w:rPr>
          <w:rFonts w:cs="Times New Roman"/>
        </w:rPr>
        <w:t xml:space="preserve">Parsons, George R. (2014). Travel Cost. </w:t>
      </w:r>
      <w:r w:rsidR="00566383" w:rsidRPr="00A00F66">
        <w:rPr>
          <w:rFonts w:cs="Times New Roman"/>
          <w:i/>
        </w:rPr>
        <w:t xml:space="preserve">Selected Works of George Parsons. </w:t>
      </w:r>
      <w:r w:rsidRPr="00A00F66">
        <w:rPr>
          <w:rFonts w:cs="Times New Roman"/>
          <w:iCs/>
        </w:rPr>
        <w:t>University of Del</w:t>
      </w:r>
      <w:r w:rsidR="00AF2F2C" w:rsidRPr="00A00F66">
        <w:rPr>
          <w:rFonts w:cs="Times New Roman"/>
          <w:iCs/>
        </w:rPr>
        <w:t>a</w:t>
      </w:r>
      <w:r w:rsidRPr="00A00F66">
        <w:rPr>
          <w:rFonts w:cs="Times New Roman"/>
          <w:iCs/>
        </w:rPr>
        <w:t>ware</w:t>
      </w:r>
      <w:r w:rsidR="00566383" w:rsidRPr="00A00F66">
        <w:rPr>
          <w:rFonts w:cs="Times New Roman"/>
          <w:iCs/>
        </w:rPr>
        <w:t>.</w:t>
      </w:r>
    </w:p>
    <w:p w14:paraId="556AE3F7" w14:textId="77777777" w:rsidR="004D2115" w:rsidRDefault="004D2115" w:rsidP="003F7435">
      <w:pPr>
        <w:autoSpaceDE w:val="0"/>
        <w:autoSpaceDN w:val="0"/>
        <w:adjustRightInd w:val="0"/>
        <w:ind w:left="720" w:hanging="720"/>
        <w:rPr>
          <w:rFonts w:cs="Times New Roman"/>
          <w:i/>
          <w:iCs/>
        </w:rPr>
      </w:pPr>
    </w:p>
    <w:p w14:paraId="00B85B18" w14:textId="5FCED046" w:rsidR="004D2115" w:rsidRPr="00807445" w:rsidRDefault="004D2115">
      <w:pPr>
        <w:autoSpaceDE w:val="0"/>
        <w:autoSpaceDN w:val="0"/>
        <w:adjustRightInd w:val="0"/>
        <w:ind w:left="720" w:hanging="720"/>
        <w:rPr>
          <w:rFonts w:cs="Times New Roman"/>
        </w:rPr>
      </w:pPr>
      <w:r w:rsidRPr="00807445">
        <w:rPr>
          <w:rFonts w:cs="Times New Roman"/>
        </w:rPr>
        <w:t xml:space="preserve">Parsons, G.R., Kang, A.K., Leggett, C.G., </w:t>
      </w:r>
      <w:r w:rsidR="0074724C">
        <w:rPr>
          <w:rFonts w:cs="Times New Roman"/>
        </w:rPr>
        <w:t>and</w:t>
      </w:r>
      <w:r w:rsidRPr="00807445">
        <w:rPr>
          <w:rFonts w:cs="Times New Roman"/>
        </w:rPr>
        <w:t xml:space="preserve"> Boyle, K.J. (2009). Valuing Beach Closures on the Padre Island National Seashore. </w:t>
      </w:r>
      <w:r w:rsidRPr="00807445">
        <w:rPr>
          <w:rFonts w:cs="Times New Roman"/>
          <w:i/>
          <w:iCs/>
        </w:rPr>
        <w:t>Marine Resource Economics</w:t>
      </w:r>
      <w:r w:rsidRPr="00A00F66">
        <w:rPr>
          <w:rFonts w:cs="Times New Roman"/>
          <w:iCs/>
        </w:rPr>
        <w:t>, 24</w:t>
      </w:r>
      <w:r w:rsidRPr="0074724C">
        <w:rPr>
          <w:rFonts w:cs="Times New Roman"/>
        </w:rPr>
        <w:t>,</w:t>
      </w:r>
      <w:r w:rsidRPr="00807445">
        <w:rPr>
          <w:rFonts w:cs="Times New Roman"/>
        </w:rPr>
        <w:t xml:space="preserve"> 213-235. </w:t>
      </w:r>
    </w:p>
    <w:p w14:paraId="106F6164" w14:textId="77777777" w:rsidR="003F7435" w:rsidRPr="00962F67" w:rsidRDefault="003F7435" w:rsidP="0091583F">
      <w:pPr>
        <w:pStyle w:val="NoSpacing"/>
        <w:rPr>
          <w:rFonts w:cs="Times New Roman"/>
        </w:rPr>
      </w:pPr>
    </w:p>
    <w:p w14:paraId="43C5E207" w14:textId="77777777" w:rsidR="00E5739D" w:rsidRPr="00962F67" w:rsidRDefault="00E5739D" w:rsidP="0091583F">
      <w:pPr>
        <w:ind w:left="720" w:hanging="720"/>
        <w:rPr>
          <w:rFonts w:cs="Times New Roman"/>
        </w:rPr>
      </w:pPr>
      <w:r w:rsidRPr="00962F67">
        <w:rPr>
          <w:rFonts w:cs="Times New Roman"/>
        </w:rPr>
        <w:t xml:space="preserve">Parsons, G.R. </w:t>
      </w:r>
      <w:r w:rsidR="00CE074D" w:rsidRPr="00962F67">
        <w:rPr>
          <w:rFonts w:cs="Times New Roman"/>
        </w:rPr>
        <w:t>(</w:t>
      </w:r>
      <w:r w:rsidRPr="00962F67">
        <w:rPr>
          <w:rFonts w:cs="Times New Roman"/>
        </w:rPr>
        <w:t>20</w:t>
      </w:r>
      <w:r w:rsidR="00CF7F1F" w:rsidRPr="00962F67">
        <w:rPr>
          <w:rFonts w:cs="Times New Roman"/>
        </w:rPr>
        <w:t>03</w:t>
      </w:r>
      <w:r w:rsidR="00CE074D" w:rsidRPr="00962F67">
        <w:rPr>
          <w:rFonts w:cs="Times New Roman"/>
        </w:rPr>
        <w:t>)</w:t>
      </w:r>
      <w:r w:rsidRPr="00962F67">
        <w:rPr>
          <w:rFonts w:cs="Times New Roman"/>
        </w:rPr>
        <w:t xml:space="preserve">. </w:t>
      </w:r>
      <w:r w:rsidR="00CF7F1F" w:rsidRPr="00962F67">
        <w:rPr>
          <w:rFonts w:cs="Times New Roman"/>
        </w:rPr>
        <w:t>The travel c</w:t>
      </w:r>
      <w:r w:rsidRPr="00962F67">
        <w:rPr>
          <w:rFonts w:cs="Times New Roman"/>
        </w:rPr>
        <w:t>ost</w:t>
      </w:r>
      <w:r w:rsidR="00CF7F1F" w:rsidRPr="00962F67">
        <w:rPr>
          <w:rFonts w:cs="Times New Roman"/>
        </w:rPr>
        <w:t xml:space="preserve"> model</w:t>
      </w:r>
      <w:r w:rsidRPr="00962F67">
        <w:rPr>
          <w:rFonts w:cs="Times New Roman"/>
        </w:rPr>
        <w:t xml:space="preserve">. </w:t>
      </w:r>
      <w:r w:rsidR="00CF7F1F" w:rsidRPr="00962F67">
        <w:rPr>
          <w:rFonts w:cs="Times New Roman"/>
          <w:i/>
        </w:rPr>
        <w:t>A Primer on Nonmarket Valuation</w:t>
      </w:r>
      <w:r w:rsidR="00CF7F1F" w:rsidRPr="00962F67">
        <w:rPr>
          <w:rFonts w:cs="Times New Roman"/>
        </w:rPr>
        <w:t>. Springer Netherlands: 269-329.</w:t>
      </w:r>
    </w:p>
    <w:p w14:paraId="5607CCF0" w14:textId="77777777" w:rsidR="0063558D" w:rsidRPr="00962F67" w:rsidRDefault="0063558D" w:rsidP="0091583F">
      <w:pPr>
        <w:ind w:left="720" w:hanging="720"/>
        <w:rPr>
          <w:rFonts w:cs="Times New Roman"/>
        </w:rPr>
      </w:pPr>
    </w:p>
    <w:p w14:paraId="49148A5E" w14:textId="59DFA188" w:rsidR="0063558D" w:rsidRPr="00807445" w:rsidRDefault="0063558D" w:rsidP="0063558D">
      <w:pPr>
        <w:autoSpaceDE w:val="0"/>
        <w:autoSpaceDN w:val="0"/>
        <w:adjustRightInd w:val="0"/>
        <w:ind w:left="720" w:hanging="720"/>
        <w:rPr>
          <w:rFonts w:cs="Times New Roman"/>
        </w:rPr>
      </w:pPr>
      <w:r w:rsidRPr="00807445">
        <w:rPr>
          <w:rFonts w:cs="Times New Roman"/>
        </w:rPr>
        <w:t xml:space="preserve">Parsons, G.R., </w:t>
      </w:r>
      <w:r w:rsidR="0074724C">
        <w:rPr>
          <w:rFonts w:cs="Times New Roman"/>
        </w:rPr>
        <w:t>and</w:t>
      </w:r>
      <w:r w:rsidRPr="00807445">
        <w:rPr>
          <w:rFonts w:cs="Times New Roman"/>
        </w:rPr>
        <w:t xml:space="preserve"> Hauber, A.B. (1998). Spatial boundaries and choice set definition in a random utility model of recreation demand. </w:t>
      </w:r>
      <w:r w:rsidRPr="00A00F66">
        <w:rPr>
          <w:rFonts w:cs="Times New Roman"/>
          <w:i/>
          <w:iCs/>
        </w:rPr>
        <w:t>Land Economics</w:t>
      </w:r>
      <w:r w:rsidRPr="00A00F66">
        <w:rPr>
          <w:rFonts w:cs="Times New Roman"/>
        </w:rPr>
        <w:t>,</w:t>
      </w:r>
      <w:r w:rsidR="00566383" w:rsidRPr="00A00F66">
        <w:rPr>
          <w:rFonts w:cs="Times New Roman"/>
        </w:rPr>
        <w:t xml:space="preserve"> 74(1),</w:t>
      </w:r>
      <w:r w:rsidRPr="00A00F66">
        <w:rPr>
          <w:rFonts w:cs="Times New Roman"/>
        </w:rPr>
        <w:t xml:space="preserve"> 32-48.</w:t>
      </w:r>
      <w:r w:rsidRPr="00807445">
        <w:rPr>
          <w:rFonts w:cs="Times New Roman"/>
        </w:rPr>
        <w:t xml:space="preserve"> </w:t>
      </w:r>
    </w:p>
    <w:p w14:paraId="197D0E19" w14:textId="34C2ED60" w:rsidR="003F7435" w:rsidRPr="00807445" w:rsidRDefault="0063558D" w:rsidP="00807445">
      <w:pPr>
        <w:autoSpaceDE w:val="0"/>
        <w:autoSpaceDN w:val="0"/>
        <w:adjustRightInd w:val="0"/>
        <w:ind w:left="720" w:hanging="720"/>
        <w:rPr>
          <w:rFonts w:ascii="Segoe UI" w:hAnsi="Segoe UI" w:cs="Segoe UI"/>
          <w:sz w:val="18"/>
          <w:szCs w:val="18"/>
        </w:rPr>
      </w:pPr>
      <w:r>
        <w:rPr>
          <w:rFonts w:ascii="Segoe UI" w:hAnsi="Segoe UI" w:cs="Segoe UI"/>
          <w:sz w:val="18"/>
          <w:szCs w:val="18"/>
        </w:rPr>
        <w:tab/>
      </w:r>
    </w:p>
    <w:p w14:paraId="6D92899B" w14:textId="7344CDD2" w:rsidR="003F7435" w:rsidRPr="00DF48C0" w:rsidRDefault="003F7435" w:rsidP="003F7435">
      <w:pPr>
        <w:autoSpaceDE w:val="0"/>
        <w:autoSpaceDN w:val="0"/>
        <w:adjustRightInd w:val="0"/>
        <w:ind w:left="720" w:hanging="720"/>
        <w:rPr>
          <w:rFonts w:cs="Times New Roman"/>
        </w:rPr>
      </w:pPr>
      <w:r w:rsidRPr="00DF48C0">
        <w:rPr>
          <w:rFonts w:cs="Times New Roman"/>
        </w:rPr>
        <w:t xml:space="preserve">Phaneuf, </w:t>
      </w:r>
      <w:r w:rsidR="0074724C" w:rsidRPr="00DF48C0">
        <w:rPr>
          <w:rFonts w:cs="Times New Roman"/>
        </w:rPr>
        <w:t>D</w:t>
      </w:r>
      <w:r w:rsidR="0074724C">
        <w:rPr>
          <w:rFonts w:cs="Times New Roman"/>
        </w:rPr>
        <w:t>.</w:t>
      </w:r>
      <w:r w:rsidRPr="00DF48C0">
        <w:rPr>
          <w:rFonts w:cs="Times New Roman"/>
        </w:rPr>
        <w:t>J. (2002). A random utility model for total maximum daily loads: Estimating the benefits of watershed</w:t>
      </w:r>
      <w:r w:rsidRPr="00DF48C0">
        <w:rPr>
          <w:rFonts w:ascii="Cambria Math" w:hAnsi="Cambria Math" w:cs="Cambria Math"/>
        </w:rPr>
        <w:t>‐</w:t>
      </w:r>
      <w:r w:rsidRPr="00DF48C0">
        <w:rPr>
          <w:rFonts w:cs="Times New Roman"/>
        </w:rPr>
        <w:t xml:space="preserve">based ambient water quality improvements. </w:t>
      </w:r>
      <w:r w:rsidRPr="00DF48C0">
        <w:rPr>
          <w:rFonts w:cs="Times New Roman"/>
          <w:i/>
          <w:iCs/>
        </w:rPr>
        <w:t>Water Resources Research</w:t>
      </w:r>
      <w:r w:rsidRPr="00A00F66">
        <w:rPr>
          <w:rFonts w:cs="Times New Roman"/>
          <w:iCs/>
        </w:rPr>
        <w:t>, 38</w:t>
      </w:r>
      <w:r w:rsidRPr="0074724C">
        <w:rPr>
          <w:rFonts w:cs="Times New Roman"/>
        </w:rPr>
        <w:t>(11</w:t>
      </w:r>
      <w:r w:rsidRPr="00DF48C0">
        <w:rPr>
          <w:rFonts w:cs="Times New Roman"/>
        </w:rPr>
        <w:t>)</w:t>
      </w:r>
      <w:r w:rsidR="00566383">
        <w:rPr>
          <w:rFonts w:cs="Times New Roman"/>
        </w:rPr>
        <w:t>, 36-1 – 36-11</w:t>
      </w:r>
      <w:r w:rsidRPr="00DF48C0">
        <w:rPr>
          <w:rFonts w:cs="Times New Roman"/>
        </w:rPr>
        <w:t xml:space="preserve">. </w:t>
      </w:r>
    </w:p>
    <w:p w14:paraId="29B5E5D0" w14:textId="77777777" w:rsidR="003F7435" w:rsidRPr="00DF48C0" w:rsidRDefault="003F7435" w:rsidP="003F7435">
      <w:pPr>
        <w:autoSpaceDE w:val="0"/>
        <w:autoSpaceDN w:val="0"/>
        <w:adjustRightInd w:val="0"/>
        <w:ind w:left="720" w:hanging="720"/>
        <w:rPr>
          <w:rFonts w:cs="Times New Roman"/>
        </w:rPr>
      </w:pPr>
    </w:p>
    <w:p w14:paraId="423E229F" w14:textId="754AD220" w:rsidR="003F7435" w:rsidRPr="00DF48C0" w:rsidRDefault="003F7435" w:rsidP="003F7435">
      <w:pPr>
        <w:autoSpaceDE w:val="0"/>
        <w:autoSpaceDN w:val="0"/>
        <w:adjustRightInd w:val="0"/>
        <w:ind w:left="720" w:hanging="720"/>
        <w:rPr>
          <w:rFonts w:cs="Times New Roman"/>
        </w:rPr>
      </w:pPr>
      <w:r w:rsidRPr="00DF48C0">
        <w:rPr>
          <w:rFonts w:cs="Times New Roman"/>
        </w:rPr>
        <w:t xml:space="preserve">Phaneuf, </w:t>
      </w:r>
      <w:r w:rsidR="0074724C" w:rsidRPr="00DF48C0">
        <w:rPr>
          <w:rFonts w:cs="Times New Roman"/>
        </w:rPr>
        <w:t>D</w:t>
      </w:r>
      <w:r w:rsidR="0074724C">
        <w:rPr>
          <w:rFonts w:cs="Times New Roman"/>
        </w:rPr>
        <w:t>.</w:t>
      </w:r>
      <w:r w:rsidRPr="00DF48C0">
        <w:rPr>
          <w:rFonts w:cs="Times New Roman"/>
        </w:rPr>
        <w:t>J</w:t>
      </w:r>
      <w:r w:rsidR="0074724C">
        <w:rPr>
          <w:rFonts w:cs="Times New Roman"/>
        </w:rPr>
        <w:t>.</w:t>
      </w:r>
      <w:r w:rsidRPr="00DF48C0">
        <w:rPr>
          <w:rFonts w:cs="Times New Roman"/>
        </w:rPr>
        <w:t xml:space="preserve">, </w:t>
      </w:r>
      <w:r w:rsidR="0074724C">
        <w:rPr>
          <w:rFonts w:cs="Times New Roman"/>
        </w:rPr>
        <w:t>and</w:t>
      </w:r>
      <w:r w:rsidRPr="00DF48C0">
        <w:rPr>
          <w:rFonts w:cs="Times New Roman"/>
        </w:rPr>
        <w:t xml:space="preserve"> Smith, V</w:t>
      </w:r>
      <w:r w:rsidR="0074724C">
        <w:rPr>
          <w:rFonts w:cs="Times New Roman"/>
        </w:rPr>
        <w:t>.</w:t>
      </w:r>
      <w:r w:rsidRPr="00DF48C0">
        <w:rPr>
          <w:rFonts w:cs="Times New Roman"/>
        </w:rPr>
        <w:t>K. (2005). Recreati</w:t>
      </w:r>
      <w:r w:rsidRPr="00A00F66">
        <w:rPr>
          <w:rFonts w:cs="Times New Roman"/>
        </w:rPr>
        <w:t xml:space="preserve">on demand models. </w:t>
      </w:r>
      <w:r w:rsidRPr="00A00F66">
        <w:rPr>
          <w:rFonts w:cs="Times New Roman"/>
          <w:i/>
          <w:iCs/>
        </w:rPr>
        <w:t xml:space="preserve">Handbook of </w:t>
      </w:r>
      <w:r w:rsidR="006E2B44" w:rsidRPr="00A00F66">
        <w:rPr>
          <w:rFonts w:cs="Times New Roman"/>
          <w:i/>
          <w:iCs/>
        </w:rPr>
        <w:t>Environmental Economics</w:t>
      </w:r>
      <w:r w:rsidRPr="00A00F66">
        <w:rPr>
          <w:rFonts w:cs="Times New Roman"/>
          <w:i/>
          <w:iCs/>
        </w:rPr>
        <w:t xml:space="preserve">, </w:t>
      </w:r>
      <w:r w:rsidRPr="00A00F66">
        <w:rPr>
          <w:rFonts w:cs="Times New Roman"/>
        </w:rPr>
        <w:t>671-761.</w:t>
      </w:r>
      <w:r w:rsidRPr="00DF48C0">
        <w:rPr>
          <w:rFonts w:cs="Times New Roman"/>
        </w:rPr>
        <w:t xml:space="preserve"> </w:t>
      </w:r>
    </w:p>
    <w:p w14:paraId="0B3A671A" w14:textId="77777777" w:rsidR="006E2B44" w:rsidRDefault="006E2B44" w:rsidP="0091583F">
      <w:pPr>
        <w:ind w:left="720" w:hanging="720"/>
      </w:pPr>
    </w:p>
    <w:p w14:paraId="64C3013B" w14:textId="0C79B45C" w:rsidR="00E5739D" w:rsidRPr="00DF48C0" w:rsidRDefault="006E2B44" w:rsidP="0091583F">
      <w:pPr>
        <w:ind w:left="720" w:hanging="720"/>
        <w:rPr>
          <w:rFonts w:cs="Times New Roman"/>
        </w:rPr>
      </w:pPr>
      <w:r>
        <w:t xml:space="preserve">Saldaña, J. 2009. </w:t>
      </w:r>
      <w:r w:rsidRPr="00A00F66">
        <w:rPr>
          <w:i/>
        </w:rPr>
        <w:t>The Coding Manual for Qualitative Researchers</w:t>
      </w:r>
      <w:r>
        <w:t>. Sage Publications: Thousand Oaks.</w:t>
      </w:r>
    </w:p>
    <w:p w14:paraId="34B88DFD" w14:textId="77777777" w:rsidR="006E2B44" w:rsidRDefault="006E2B44" w:rsidP="0091583F">
      <w:pPr>
        <w:ind w:left="720" w:hanging="720"/>
        <w:rPr>
          <w:rFonts w:cs="Times New Roman"/>
        </w:rPr>
      </w:pPr>
    </w:p>
    <w:p w14:paraId="308BF531" w14:textId="6190D9C1" w:rsidR="00D647EE" w:rsidRDefault="00D647EE" w:rsidP="0091583F">
      <w:pPr>
        <w:ind w:left="720" w:hanging="720"/>
        <w:rPr>
          <w:rFonts w:cs="Times New Roman"/>
        </w:rPr>
      </w:pPr>
      <w:r w:rsidRPr="00962F67">
        <w:rPr>
          <w:rFonts w:cs="Times New Roman"/>
        </w:rPr>
        <w:t xml:space="preserve">Schmuhl, P., Van Duker, H., Gurley, K.L., Webster, A., </w:t>
      </w:r>
      <w:r w:rsidR="0074724C">
        <w:rPr>
          <w:rFonts w:cs="Times New Roman"/>
        </w:rPr>
        <w:t>and</w:t>
      </w:r>
      <w:r w:rsidRPr="00807445">
        <w:rPr>
          <w:rFonts w:cs="Times New Roman"/>
        </w:rPr>
        <w:t xml:space="preserve"> Olson, L.M. (2010). Reaching emergency medical services providers: Is one survey mode better than another</w:t>
      </w:r>
      <w:r w:rsidRPr="00962F67">
        <w:rPr>
          <w:rFonts w:cs="Times New Roman"/>
        </w:rPr>
        <w:t xml:space="preserve">? </w:t>
      </w:r>
      <w:r w:rsidRPr="00807445">
        <w:rPr>
          <w:rFonts w:cs="Times New Roman"/>
          <w:i/>
        </w:rPr>
        <w:t>Prehospital Emergency Care</w:t>
      </w:r>
      <w:r w:rsidRPr="00962F67">
        <w:rPr>
          <w:rFonts w:cs="Times New Roman"/>
        </w:rPr>
        <w:t>, 14(3), 361. doi:10.3109/10903121003760184</w:t>
      </w:r>
    </w:p>
    <w:p w14:paraId="2C29BEE6" w14:textId="77777777" w:rsidR="00D647EE" w:rsidRDefault="00D647EE" w:rsidP="0091583F">
      <w:pPr>
        <w:ind w:left="720" w:hanging="720"/>
        <w:rPr>
          <w:rFonts w:cs="Times New Roman"/>
        </w:rPr>
      </w:pPr>
    </w:p>
    <w:p w14:paraId="59B4132E" w14:textId="50B3ABDC" w:rsidR="00DE3BFD" w:rsidRPr="00DF48C0" w:rsidRDefault="00DE3BFD" w:rsidP="0091583F">
      <w:pPr>
        <w:ind w:left="720" w:hanging="720"/>
        <w:rPr>
          <w:rFonts w:cs="Times New Roman"/>
        </w:rPr>
      </w:pPr>
      <w:r w:rsidRPr="00DF48C0">
        <w:rPr>
          <w:rFonts w:cs="Times New Roman"/>
        </w:rPr>
        <w:t xml:space="preserve">Smith, J.W., Seekamp, </w:t>
      </w:r>
      <w:r w:rsidR="0074724C" w:rsidRPr="00DF48C0">
        <w:rPr>
          <w:rFonts w:cs="Times New Roman"/>
        </w:rPr>
        <w:t>E.</w:t>
      </w:r>
      <w:r w:rsidR="0074724C">
        <w:rPr>
          <w:rFonts w:cs="Times New Roman"/>
        </w:rPr>
        <w:t>,</w:t>
      </w:r>
      <w:r w:rsidRPr="00DF48C0">
        <w:rPr>
          <w:rFonts w:cs="Times New Roman"/>
        </w:rPr>
        <w:t xml:space="preserve"> McCreary,</w:t>
      </w:r>
      <w:r w:rsidR="0074724C">
        <w:rPr>
          <w:rFonts w:cs="Times New Roman"/>
        </w:rPr>
        <w:t xml:space="preserve"> A.,</w:t>
      </w:r>
      <w:r w:rsidRPr="00DF48C0">
        <w:rPr>
          <w:rFonts w:cs="Times New Roman"/>
        </w:rPr>
        <w:t>Davenport, M.</w:t>
      </w:r>
      <w:r w:rsidR="0074724C">
        <w:rPr>
          <w:rFonts w:cs="Times New Roman"/>
        </w:rPr>
        <w:t>,</w:t>
      </w:r>
      <w:r w:rsidRPr="00DF48C0">
        <w:rPr>
          <w:rFonts w:cs="Times New Roman"/>
        </w:rPr>
        <w:t xml:space="preserve"> Kanazawa,</w:t>
      </w:r>
      <w:r w:rsidR="0074724C">
        <w:rPr>
          <w:rFonts w:cs="Times New Roman"/>
        </w:rPr>
        <w:t xml:space="preserve"> M.,</w:t>
      </w:r>
      <w:r w:rsidRPr="00DF48C0">
        <w:rPr>
          <w:rFonts w:cs="Times New Roman"/>
        </w:rPr>
        <w:t xml:space="preserve"> Holmberg,</w:t>
      </w:r>
      <w:r w:rsidR="0074724C">
        <w:rPr>
          <w:rFonts w:cs="Times New Roman"/>
        </w:rPr>
        <w:t xml:space="preserve"> K.,</w:t>
      </w:r>
      <w:r w:rsidRPr="00DF48C0">
        <w:rPr>
          <w:rFonts w:cs="Times New Roman"/>
        </w:rPr>
        <w:t xml:space="preserve"> Wilson,</w:t>
      </w:r>
      <w:r w:rsidR="0074724C">
        <w:rPr>
          <w:rFonts w:cs="Times New Roman"/>
        </w:rPr>
        <w:t xml:space="preserve"> B.,</w:t>
      </w:r>
      <w:r w:rsidRPr="00DF48C0">
        <w:rPr>
          <w:rFonts w:cs="Times New Roman"/>
        </w:rPr>
        <w:t xml:space="preserve"> and Nieber</w:t>
      </w:r>
      <w:r w:rsidR="0074724C">
        <w:rPr>
          <w:rFonts w:cs="Times New Roman"/>
        </w:rPr>
        <w:t>, J</w:t>
      </w:r>
      <w:r w:rsidRPr="00DF48C0">
        <w:rPr>
          <w:rFonts w:cs="Times New Roman"/>
        </w:rPr>
        <w:t xml:space="preserve">. </w:t>
      </w:r>
      <w:r w:rsidR="00AC2B68">
        <w:rPr>
          <w:rFonts w:cs="Times New Roman"/>
        </w:rPr>
        <w:t>(</w:t>
      </w:r>
      <w:r w:rsidRPr="00DF48C0">
        <w:rPr>
          <w:rFonts w:cs="Times New Roman"/>
        </w:rPr>
        <w:t>2016</w:t>
      </w:r>
      <w:r w:rsidR="00AC2B68">
        <w:rPr>
          <w:rFonts w:cs="Times New Roman"/>
        </w:rPr>
        <w:t>)</w:t>
      </w:r>
      <w:r w:rsidRPr="00DF48C0">
        <w:rPr>
          <w:rFonts w:cs="Times New Roman"/>
        </w:rPr>
        <w:t xml:space="preserve">. Shifting demands for winter outdoor recreation along the North Shore of Lake Superior under variable rates of climate change: A finite-mixture modeling approach. </w:t>
      </w:r>
      <w:r w:rsidRPr="00DF48C0">
        <w:rPr>
          <w:rFonts w:cs="Times New Roman"/>
          <w:i/>
        </w:rPr>
        <w:t>Ecological Economics</w:t>
      </w:r>
      <w:r w:rsidR="0074724C">
        <w:rPr>
          <w:rFonts w:cs="Times New Roman"/>
        </w:rPr>
        <w:t xml:space="preserve">, </w:t>
      </w:r>
      <w:r w:rsidRPr="00DF48C0">
        <w:rPr>
          <w:rFonts w:cs="Times New Roman"/>
        </w:rPr>
        <w:t>123:1-13.</w:t>
      </w:r>
    </w:p>
    <w:p w14:paraId="6C50ADF1" w14:textId="77777777" w:rsidR="00DE3BFD" w:rsidRPr="00DF48C0" w:rsidRDefault="00DE3BFD" w:rsidP="0091583F">
      <w:pPr>
        <w:ind w:left="720" w:hanging="720"/>
        <w:rPr>
          <w:rFonts w:cs="Times New Roman"/>
        </w:rPr>
      </w:pPr>
    </w:p>
    <w:p w14:paraId="6E2DD568" w14:textId="5EB54185" w:rsidR="00E11A4F" w:rsidRPr="00DF48C0" w:rsidRDefault="00E11A4F" w:rsidP="0091583F">
      <w:pPr>
        <w:pStyle w:val="BodyTextIndent"/>
        <w:spacing w:line="240" w:lineRule="auto"/>
        <w:rPr>
          <w:sz w:val="22"/>
          <w:szCs w:val="22"/>
        </w:rPr>
      </w:pPr>
      <w:r w:rsidRPr="00DF48C0">
        <w:rPr>
          <w:sz w:val="22"/>
          <w:szCs w:val="22"/>
        </w:rPr>
        <w:t xml:space="preserve">Stedman, R., Beckley, </w:t>
      </w:r>
      <w:r w:rsidR="0074724C">
        <w:rPr>
          <w:sz w:val="22"/>
          <w:szCs w:val="22"/>
        </w:rPr>
        <w:t xml:space="preserve">T., </w:t>
      </w:r>
      <w:r w:rsidRPr="00DF48C0">
        <w:rPr>
          <w:sz w:val="22"/>
          <w:szCs w:val="22"/>
        </w:rPr>
        <w:t>Wallace,</w:t>
      </w:r>
      <w:r w:rsidR="0074724C">
        <w:rPr>
          <w:sz w:val="22"/>
          <w:szCs w:val="22"/>
        </w:rPr>
        <w:t xml:space="preserve"> S.,</w:t>
      </w:r>
      <w:r w:rsidRPr="00DF48C0">
        <w:rPr>
          <w:sz w:val="22"/>
          <w:szCs w:val="22"/>
        </w:rPr>
        <w:t xml:space="preserve"> and Ambard</w:t>
      </w:r>
      <w:r w:rsidR="0074724C">
        <w:rPr>
          <w:sz w:val="22"/>
          <w:szCs w:val="22"/>
        </w:rPr>
        <w:t>, M</w:t>
      </w:r>
      <w:r w:rsidRPr="00DF48C0">
        <w:rPr>
          <w:sz w:val="22"/>
          <w:szCs w:val="22"/>
        </w:rPr>
        <w:t xml:space="preserve">. </w:t>
      </w:r>
      <w:r w:rsidR="00CE074D" w:rsidRPr="00DF48C0">
        <w:rPr>
          <w:sz w:val="22"/>
          <w:szCs w:val="22"/>
        </w:rPr>
        <w:t>(</w:t>
      </w:r>
      <w:r w:rsidRPr="00DF48C0">
        <w:rPr>
          <w:sz w:val="22"/>
          <w:szCs w:val="22"/>
        </w:rPr>
        <w:t>2004</w:t>
      </w:r>
      <w:r w:rsidR="00CE074D" w:rsidRPr="00DF48C0">
        <w:rPr>
          <w:sz w:val="22"/>
          <w:szCs w:val="22"/>
        </w:rPr>
        <w:t>)</w:t>
      </w:r>
      <w:r w:rsidRPr="00DF48C0">
        <w:rPr>
          <w:sz w:val="22"/>
          <w:szCs w:val="22"/>
        </w:rPr>
        <w:t xml:space="preserve">. A picture </w:t>
      </w:r>
      <w:r w:rsidRPr="00DF48C0">
        <w:rPr>
          <w:i/>
          <w:sz w:val="22"/>
          <w:szCs w:val="22"/>
        </w:rPr>
        <w:t>and</w:t>
      </w:r>
      <w:r w:rsidRPr="00DF48C0">
        <w:rPr>
          <w:sz w:val="22"/>
          <w:szCs w:val="22"/>
        </w:rPr>
        <w:t xml:space="preserve"> a thousand words: Using resident-employed photography to understand attachment to high amenity places. </w:t>
      </w:r>
      <w:r w:rsidRPr="00DF48C0">
        <w:rPr>
          <w:i/>
          <w:sz w:val="22"/>
          <w:szCs w:val="22"/>
        </w:rPr>
        <w:t>Journal of Leisure Research</w:t>
      </w:r>
      <w:r w:rsidR="0074724C">
        <w:rPr>
          <w:sz w:val="22"/>
          <w:szCs w:val="22"/>
        </w:rPr>
        <w:t xml:space="preserve">, </w:t>
      </w:r>
      <w:r w:rsidRPr="00DF48C0">
        <w:rPr>
          <w:sz w:val="22"/>
          <w:szCs w:val="22"/>
        </w:rPr>
        <w:t>36(4):580-606.</w:t>
      </w:r>
    </w:p>
    <w:p w14:paraId="6F60F57C" w14:textId="77777777" w:rsidR="00E11A4F" w:rsidRPr="00DF48C0" w:rsidRDefault="00E11A4F" w:rsidP="0091583F">
      <w:pPr>
        <w:pStyle w:val="BodyTextIndent"/>
        <w:spacing w:line="240" w:lineRule="auto"/>
        <w:rPr>
          <w:sz w:val="22"/>
          <w:szCs w:val="22"/>
        </w:rPr>
      </w:pPr>
    </w:p>
    <w:p w14:paraId="75B675E1" w14:textId="01CFEBFF" w:rsidR="00A7273A" w:rsidRPr="00DF48C0" w:rsidRDefault="00A7273A" w:rsidP="0091583F">
      <w:pPr>
        <w:pStyle w:val="BodyTextIndent"/>
        <w:spacing w:line="240" w:lineRule="auto"/>
        <w:rPr>
          <w:sz w:val="22"/>
          <w:szCs w:val="22"/>
        </w:rPr>
      </w:pPr>
      <w:r w:rsidRPr="00DF48C0">
        <w:rPr>
          <w:sz w:val="22"/>
          <w:szCs w:val="22"/>
        </w:rPr>
        <w:t>Stedman, R., Amsden,</w:t>
      </w:r>
      <w:r w:rsidR="0074724C" w:rsidRPr="0074724C">
        <w:rPr>
          <w:sz w:val="22"/>
          <w:szCs w:val="22"/>
        </w:rPr>
        <w:t xml:space="preserve"> </w:t>
      </w:r>
      <w:r w:rsidR="0074724C" w:rsidRPr="00DF48C0">
        <w:rPr>
          <w:sz w:val="22"/>
          <w:szCs w:val="22"/>
        </w:rPr>
        <w:t>B.L.</w:t>
      </w:r>
      <w:r w:rsidR="0074724C">
        <w:rPr>
          <w:sz w:val="22"/>
          <w:szCs w:val="22"/>
        </w:rPr>
        <w:t>,</w:t>
      </w:r>
      <w:r w:rsidR="0074724C" w:rsidRPr="00DF48C0">
        <w:rPr>
          <w:sz w:val="22"/>
          <w:szCs w:val="22"/>
        </w:rPr>
        <w:t xml:space="preserve"> </w:t>
      </w:r>
      <w:r w:rsidRPr="00DF48C0">
        <w:rPr>
          <w:sz w:val="22"/>
          <w:szCs w:val="22"/>
        </w:rPr>
        <w:t xml:space="preserve"> and Kruger</w:t>
      </w:r>
      <w:r w:rsidR="0074724C">
        <w:rPr>
          <w:sz w:val="22"/>
          <w:szCs w:val="22"/>
        </w:rPr>
        <w:t xml:space="preserve">, </w:t>
      </w:r>
      <w:r w:rsidR="0074724C" w:rsidRPr="00DF48C0">
        <w:rPr>
          <w:sz w:val="22"/>
          <w:szCs w:val="22"/>
        </w:rPr>
        <w:t>L</w:t>
      </w:r>
      <w:r w:rsidRPr="00DF48C0">
        <w:rPr>
          <w:sz w:val="22"/>
          <w:szCs w:val="22"/>
        </w:rPr>
        <w:t xml:space="preserve">. </w:t>
      </w:r>
      <w:r w:rsidR="00CE074D" w:rsidRPr="00DF48C0">
        <w:rPr>
          <w:sz w:val="22"/>
          <w:szCs w:val="22"/>
        </w:rPr>
        <w:t>(</w:t>
      </w:r>
      <w:r w:rsidRPr="00DF48C0">
        <w:rPr>
          <w:sz w:val="22"/>
          <w:szCs w:val="22"/>
        </w:rPr>
        <w:t>2006</w:t>
      </w:r>
      <w:r w:rsidR="00CE074D" w:rsidRPr="00DF48C0">
        <w:rPr>
          <w:sz w:val="22"/>
          <w:szCs w:val="22"/>
        </w:rPr>
        <w:t>)</w:t>
      </w:r>
      <w:r w:rsidRPr="00DF48C0">
        <w:rPr>
          <w:sz w:val="22"/>
          <w:szCs w:val="22"/>
        </w:rPr>
        <w:t xml:space="preserve">. Sense of place and community: points of intersection with implications for leisure research. </w:t>
      </w:r>
      <w:r w:rsidRPr="00DF48C0">
        <w:rPr>
          <w:i/>
          <w:sz w:val="22"/>
          <w:szCs w:val="22"/>
        </w:rPr>
        <w:t>Leisure/Loisir</w:t>
      </w:r>
      <w:r w:rsidRPr="00DF48C0">
        <w:rPr>
          <w:sz w:val="22"/>
          <w:szCs w:val="22"/>
        </w:rPr>
        <w:t xml:space="preserve">, </w:t>
      </w:r>
      <w:r w:rsidR="007846BF" w:rsidRPr="00DF48C0">
        <w:rPr>
          <w:sz w:val="22"/>
          <w:szCs w:val="22"/>
        </w:rPr>
        <w:t>30(2): 393-404.</w:t>
      </w:r>
    </w:p>
    <w:p w14:paraId="73D51EDD" w14:textId="77777777" w:rsidR="00A7273A" w:rsidRDefault="00A7273A" w:rsidP="0091583F">
      <w:pPr>
        <w:pStyle w:val="BodyTextIndent"/>
        <w:spacing w:line="240" w:lineRule="auto"/>
        <w:rPr>
          <w:sz w:val="22"/>
          <w:szCs w:val="22"/>
        </w:rPr>
      </w:pPr>
    </w:p>
    <w:p w14:paraId="146621C5" w14:textId="06330BE0" w:rsidR="00017037" w:rsidRDefault="00017037" w:rsidP="0091583F">
      <w:pPr>
        <w:pStyle w:val="BodyTextIndent"/>
        <w:spacing w:line="240" w:lineRule="auto"/>
      </w:pPr>
      <w:r w:rsidRPr="00DF48C0">
        <w:t>Steinback</w:t>
      </w:r>
      <w:r>
        <w:t xml:space="preserve">, </w:t>
      </w:r>
      <w:r w:rsidR="0074724C">
        <w:t>S.</w:t>
      </w:r>
      <w:r w:rsidR="0074724C" w:rsidRPr="00DF48C0">
        <w:t xml:space="preserve"> </w:t>
      </w:r>
      <w:r w:rsidRPr="00DF48C0">
        <w:t>and Kosaka</w:t>
      </w:r>
      <w:r>
        <w:t xml:space="preserve">, </w:t>
      </w:r>
      <w:r w:rsidR="0074724C">
        <w:t>R</w:t>
      </w:r>
      <w:r>
        <w:t>. (2016). NOAA National Marine Fisheries Service Economists, personal communication.</w:t>
      </w:r>
    </w:p>
    <w:p w14:paraId="469EDEB8" w14:textId="77777777" w:rsidR="00017037" w:rsidRPr="00DF48C0" w:rsidRDefault="00017037" w:rsidP="0091583F">
      <w:pPr>
        <w:pStyle w:val="BodyTextIndent"/>
        <w:spacing w:line="240" w:lineRule="auto"/>
        <w:rPr>
          <w:sz w:val="22"/>
          <w:szCs w:val="22"/>
        </w:rPr>
      </w:pPr>
    </w:p>
    <w:p w14:paraId="031F21A8" w14:textId="5F43CBC6" w:rsidR="006708FC" w:rsidRPr="00A00F66" w:rsidRDefault="006708FC" w:rsidP="006708FC">
      <w:pPr>
        <w:autoSpaceDE w:val="0"/>
        <w:autoSpaceDN w:val="0"/>
        <w:adjustRightInd w:val="0"/>
        <w:ind w:left="720" w:hanging="720"/>
        <w:rPr>
          <w:rFonts w:cs="Times New Roman"/>
        </w:rPr>
      </w:pPr>
      <w:r w:rsidRPr="00A00F66">
        <w:rPr>
          <w:rFonts w:cs="Times New Roman"/>
        </w:rPr>
        <w:t xml:space="preserve">Train, K.E. (2009). </w:t>
      </w:r>
      <w:r w:rsidRPr="00A00F66">
        <w:rPr>
          <w:rFonts w:cs="Times New Roman"/>
          <w:i/>
          <w:iCs/>
        </w:rPr>
        <w:t xml:space="preserve">Discrete </w:t>
      </w:r>
      <w:r w:rsidR="0074724C" w:rsidRPr="00A00F66">
        <w:rPr>
          <w:rFonts w:cs="Times New Roman"/>
          <w:i/>
          <w:iCs/>
        </w:rPr>
        <w:t xml:space="preserve">Choice Methods </w:t>
      </w:r>
      <w:r w:rsidRPr="00A00F66">
        <w:rPr>
          <w:rFonts w:cs="Times New Roman"/>
          <w:i/>
          <w:iCs/>
        </w:rPr>
        <w:t xml:space="preserve">with </w:t>
      </w:r>
      <w:r w:rsidR="0074724C" w:rsidRPr="00A00F66">
        <w:rPr>
          <w:rFonts w:cs="Times New Roman"/>
          <w:i/>
          <w:iCs/>
        </w:rPr>
        <w:t>Simulation</w:t>
      </w:r>
      <w:r w:rsidRPr="00A00F66">
        <w:rPr>
          <w:rFonts w:cs="Times New Roman"/>
        </w:rPr>
        <w:t xml:space="preserve">: Cambridge </w:t>
      </w:r>
      <w:r w:rsidR="0074724C" w:rsidRPr="00A00F66">
        <w:rPr>
          <w:rFonts w:cs="Times New Roman"/>
        </w:rPr>
        <w:t>University Press: Cambridge</w:t>
      </w:r>
      <w:r w:rsidRPr="00A00F66">
        <w:rPr>
          <w:rFonts w:cs="Times New Roman"/>
        </w:rPr>
        <w:t>.</w:t>
      </w:r>
    </w:p>
    <w:p w14:paraId="06B3A94D" w14:textId="77777777" w:rsidR="00AC2B68" w:rsidRPr="00A00F66" w:rsidRDefault="00AC2B68" w:rsidP="0091583F">
      <w:pPr>
        <w:pStyle w:val="BodyTextIndent"/>
        <w:spacing w:line="240" w:lineRule="auto"/>
        <w:rPr>
          <w:sz w:val="22"/>
          <w:szCs w:val="22"/>
        </w:rPr>
      </w:pPr>
    </w:p>
    <w:p w14:paraId="520DF44D" w14:textId="332AA975" w:rsidR="0091583F" w:rsidRPr="0074724C" w:rsidRDefault="0091583F" w:rsidP="0091583F">
      <w:pPr>
        <w:pStyle w:val="BodyTextIndent"/>
        <w:spacing w:line="240" w:lineRule="auto"/>
        <w:rPr>
          <w:sz w:val="22"/>
          <w:szCs w:val="22"/>
        </w:rPr>
      </w:pPr>
      <w:r w:rsidRPr="0074724C">
        <w:rPr>
          <w:sz w:val="22"/>
          <w:szCs w:val="22"/>
        </w:rPr>
        <w:t xml:space="preserve">Train, K. (1998). Recreation Demand Models with Taste Differences Over People. </w:t>
      </w:r>
      <w:r w:rsidRPr="0074724C">
        <w:rPr>
          <w:i/>
          <w:iCs/>
          <w:sz w:val="22"/>
          <w:szCs w:val="22"/>
        </w:rPr>
        <w:t>Land Economics,</w:t>
      </w:r>
      <w:r w:rsidRPr="0074724C">
        <w:rPr>
          <w:sz w:val="22"/>
          <w:szCs w:val="22"/>
        </w:rPr>
        <w:t xml:space="preserve"> 74(2), 230-239. </w:t>
      </w:r>
    </w:p>
    <w:p w14:paraId="7C621D17" w14:textId="77777777" w:rsidR="0091583F" w:rsidRPr="0074724C" w:rsidRDefault="0091583F" w:rsidP="0091583F">
      <w:pPr>
        <w:pStyle w:val="BodyTextIndent"/>
        <w:spacing w:line="240" w:lineRule="auto"/>
        <w:rPr>
          <w:sz w:val="22"/>
          <w:szCs w:val="22"/>
        </w:rPr>
      </w:pPr>
    </w:p>
    <w:p w14:paraId="5E46AB47" w14:textId="39B11997" w:rsidR="00A653EF" w:rsidRPr="00807445" w:rsidRDefault="00A653EF" w:rsidP="0091583F">
      <w:pPr>
        <w:pStyle w:val="BodyTextIndent"/>
        <w:spacing w:line="240" w:lineRule="auto"/>
        <w:rPr>
          <w:sz w:val="22"/>
          <w:szCs w:val="22"/>
        </w:rPr>
      </w:pPr>
      <w:r w:rsidRPr="0074724C">
        <w:rPr>
          <w:sz w:val="22"/>
          <w:szCs w:val="22"/>
        </w:rPr>
        <w:t xml:space="preserve">U.S. Census Bureau (2013). Annual Estimates of the Resident Population: April 1, 2010 to July 1, 2012. Retrieved September </w:t>
      </w:r>
      <w:r w:rsidRPr="00807445">
        <w:rPr>
          <w:sz w:val="22"/>
          <w:szCs w:val="22"/>
        </w:rPr>
        <w:t xml:space="preserve">22, 2016 from </w:t>
      </w:r>
      <w:hyperlink r:id="rId16" w:history="1">
        <w:r w:rsidRPr="00807445">
          <w:rPr>
            <w:rStyle w:val="WPHyperlink"/>
            <w:sz w:val="22"/>
            <w:szCs w:val="22"/>
          </w:rPr>
          <w:t>http://factfinder2.census.gov/</w:t>
        </w:r>
      </w:hyperlink>
      <w:r w:rsidRPr="00807445">
        <w:rPr>
          <w:sz w:val="22"/>
          <w:szCs w:val="22"/>
        </w:rPr>
        <w:t>.</w:t>
      </w:r>
    </w:p>
    <w:p w14:paraId="7BDDFB77" w14:textId="77777777" w:rsidR="003832C0" w:rsidRPr="00962F67" w:rsidRDefault="003832C0" w:rsidP="0091583F">
      <w:pPr>
        <w:pStyle w:val="BodyTextIndent"/>
        <w:spacing w:line="240" w:lineRule="auto"/>
        <w:rPr>
          <w:sz w:val="20"/>
          <w:szCs w:val="20"/>
        </w:rPr>
      </w:pPr>
    </w:p>
    <w:p w14:paraId="5C945D84" w14:textId="44D8ED01" w:rsidR="0091583F" w:rsidRPr="00962F67" w:rsidRDefault="0091583F" w:rsidP="0091583F">
      <w:pPr>
        <w:ind w:left="720" w:hanging="720"/>
        <w:rPr>
          <w:rFonts w:cs="Times New Roman"/>
        </w:rPr>
      </w:pPr>
      <w:r w:rsidRPr="00962F67">
        <w:rPr>
          <w:rFonts w:cs="Times New Roman"/>
        </w:rPr>
        <w:t>U.S. Department of Labor, Bureau of Labor Statistics. (</w:t>
      </w:r>
      <w:r w:rsidR="00607A62" w:rsidRPr="00962F67">
        <w:rPr>
          <w:rFonts w:cs="Times New Roman"/>
        </w:rPr>
        <w:t>2016</w:t>
      </w:r>
      <w:r w:rsidRPr="00962F67">
        <w:rPr>
          <w:rFonts w:cs="Times New Roman"/>
        </w:rPr>
        <w:t xml:space="preserve">). </w:t>
      </w:r>
      <w:r w:rsidR="00607A62" w:rsidRPr="00962F67">
        <w:rPr>
          <w:rFonts w:cs="Times New Roman"/>
        </w:rPr>
        <w:t xml:space="preserve">Quarterly Census of Employment and Wages. Retrieved October 2016 from: </w:t>
      </w:r>
      <w:hyperlink r:id="rId17" w:history="1">
        <w:r w:rsidR="00607A62" w:rsidRPr="00962F67">
          <w:rPr>
            <w:rStyle w:val="Hyperlink"/>
            <w:rFonts w:cs="Times New Roman"/>
          </w:rPr>
          <w:t>http://data.bls.gov/cew/apps/table_maker/v4/table_maker.htm</w:t>
        </w:r>
      </w:hyperlink>
      <w:r w:rsidR="00607A62" w:rsidRPr="00962F67">
        <w:rPr>
          <w:rFonts w:cs="Times New Roman"/>
        </w:rPr>
        <w:t xml:space="preserve"> </w:t>
      </w:r>
    </w:p>
    <w:p w14:paraId="42D47D00" w14:textId="77777777" w:rsidR="0091583F" w:rsidRPr="00962F67" w:rsidRDefault="0091583F" w:rsidP="0091583F">
      <w:pPr>
        <w:ind w:left="720" w:hanging="720"/>
        <w:rPr>
          <w:rFonts w:cs="Times New Roman"/>
        </w:rPr>
      </w:pPr>
    </w:p>
    <w:p w14:paraId="23415C3B" w14:textId="46ED4B36" w:rsidR="00822E3E" w:rsidRPr="00A00F66" w:rsidRDefault="00822E3E" w:rsidP="0091583F">
      <w:pPr>
        <w:pStyle w:val="BodyTextIndent"/>
        <w:spacing w:line="240" w:lineRule="auto"/>
        <w:rPr>
          <w:sz w:val="22"/>
          <w:szCs w:val="22"/>
        </w:rPr>
      </w:pPr>
      <w:r w:rsidRPr="00A00F66">
        <w:rPr>
          <w:sz w:val="22"/>
          <w:szCs w:val="22"/>
        </w:rPr>
        <w:t xml:space="preserve">U.S. EPA. </w:t>
      </w:r>
      <w:r w:rsidR="003832C0" w:rsidRPr="00A00F66">
        <w:rPr>
          <w:sz w:val="22"/>
          <w:szCs w:val="22"/>
        </w:rPr>
        <w:t>(</w:t>
      </w:r>
      <w:r w:rsidRPr="00A00F66">
        <w:rPr>
          <w:sz w:val="22"/>
          <w:szCs w:val="22"/>
        </w:rPr>
        <w:t>2015</w:t>
      </w:r>
      <w:r w:rsidR="003832C0" w:rsidRPr="00A00F66">
        <w:rPr>
          <w:sz w:val="22"/>
          <w:szCs w:val="22"/>
        </w:rPr>
        <w:t>a)</w:t>
      </w:r>
      <w:r w:rsidRPr="00A00F66">
        <w:rPr>
          <w:sz w:val="22"/>
          <w:szCs w:val="22"/>
        </w:rPr>
        <w:t>. Safe and Sustainable Water Resources: Strategic Research Action Plan 2016-2019.</w:t>
      </w:r>
    </w:p>
    <w:p w14:paraId="1D7C05BF" w14:textId="77777777" w:rsidR="00822E3E" w:rsidRPr="00A00F66" w:rsidRDefault="00822E3E" w:rsidP="0091583F">
      <w:pPr>
        <w:pStyle w:val="BodyTextIndent"/>
        <w:spacing w:line="240" w:lineRule="auto"/>
        <w:rPr>
          <w:sz w:val="22"/>
          <w:szCs w:val="22"/>
        </w:rPr>
      </w:pPr>
    </w:p>
    <w:p w14:paraId="39F540B6" w14:textId="4C4159CF" w:rsidR="00B86CBC" w:rsidRPr="00962F67" w:rsidRDefault="00B86CBC" w:rsidP="00B86CBC">
      <w:pPr>
        <w:pStyle w:val="BodyTextIndent"/>
        <w:spacing w:line="240" w:lineRule="auto"/>
        <w:rPr>
          <w:sz w:val="22"/>
          <w:szCs w:val="22"/>
        </w:rPr>
      </w:pPr>
      <w:r w:rsidRPr="00A00F66">
        <w:rPr>
          <w:sz w:val="22"/>
          <w:szCs w:val="22"/>
        </w:rPr>
        <w:t xml:space="preserve">U.S. EPA. </w:t>
      </w:r>
      <w:r w:rsidR="003832C0" w:rsidRPr="00A00F66">
        <w:rPr>
          <w:sz w:val="22"/>
          <w:szCs w:val="22"/>
        </w:rPr>
        <w:t>(</w:t>
      </w:r>
      <w:r w:rsidRPr="00A00F66">
        <w:rPr>
          <w:sz w:val="22"/>
          <w:szCs w:val="22"/>
        </w:rPr>
        <w:t>2015</w:t>
      </w:r>
      <w:r w:rsidR="003832C0" w:rsidRPr="00A00F66">
        <w:rPr>
          <w:sz w:val="22"/>
          <w:szCs w:val="22"/>
        </w:rPr>
        <w:t>b)</w:t>
      </w:r>
      <w:r w:rsidRPr="00A00F66">
        <w:rPr>
          <w:sz w:val="22"/>
          <w:szCs w:val="22"/>
        </w:rPr>
        <w:t>. Sustainable and Healthy Communities: Strategic Research Action Plan 2016-2019.</w:t>
      </w:r>
    </w:p>
    <w:p w14:paraId="10C0552B" w14:textId="77777777" w:rsidR="00B86CBC" w:rsidRPr="00962F67" w:rsidRDefault="00B86CBC" w:rsidP="0091583F">
      <w:pPr>
        <w:pStyle w:val="BodyTextIndent"/>
        <w:spacing w:line="240" w:lineRule="auto"/>
        <w:rPr>
          <w:sz w:val="22"/>
          <w:szCs w:val="22"/>
        </w:rPr>
      </w:pPr>
    </w:p>
    <w:p w14:paraId="5B6D1D29" w14:textId="1C8B6CE3" w:rsidR="00352F26" w:rsidRPr="00352F26" w:rsidRDefault="00352F26" w:rsidP="00B10D12">
      <w:pPr>
        <w:autoSpaceDE w:val="0"/>
        <w:autoSpaceDN w:val="0"/>
        <w:adjustRightInd w:val="0"/>
        <w:ind w:left="720" w:hanging="720"/>
        <w:rPr>
          <w:rFonts w:cs="Times New Roman"/>
        </w:rPr>
      </w:pPr>
      <w:r w:rsidRPr="00962F67">
        <w:rPr>
          <w:rFonts w:cs="Times New Roman"/>
        </w:rPr>
        <w:t xml:space="preserve">Williams, D.R., Patterson, </w:t>
      </w:r>
      <w:r w:rsidR="0074724C" w:rsidRPr="00962F67">
        <w:rPr>
          <w:rFonts w:cs="Times New Roman"/>
        </w:rPr>
        <w:t>M.E.</w:t>
      </w:r>
      <w:r w:rsidR="0074724C">
        <w:rPr>
          <w:rFonts w:cs="Times New Roman"/>
        </w:rPr>
        <w:t>,</w:t>
      </w:r>
      <w:r w:rsidR="0074724C" w:rsidRPr="00962F67">
        <w:rPr>
          <w:rFonts w:cs="Times New Roman"/>
        </w:rPr>
        <w:t xml:space="preserve"> </w:t>
      </w:r>
      <w:r w:rsidRPr="00962F67">
        <w:rPr>
          <w:rFonts w:cs="Times New Roman"/>
        </w:rPr>
        <w:t xml:space="preserve">Roggenbuck, </w:t>
      </w:r>
      <w:r w:rsidR="0074724C" w:rsidRPr="00962F67">
        <w:rPr>
          <w:rFonts w:cs="Times New Roman"/>
        </w:rPr>
        <w:t>J.W.</w:t>
      </w:r>
      <w:r w:rsidR="0074724C">
        <w:rPr>
          <w:rFonts w:cs="Times New Roman"/>
        </w:rPr>
        <w:t>,</w:t>
      </w:r>
      <w:r w:rsidR="0074724C" w:rsidRPr="00962F67">
        <w:rPr>
          <w:rFonts w:cs="Times New Roman"/>
        </w:rPr>
        <w:t xml:space="preserve"> </w:t>
      </w:r>
      <w:r w:rsidRPr="00962F67">
        <w:rPr>
          <w:rFonts w:cs="Times New Roman"/>
        </w:rPr>
        <w:t>and Watson</w:t>
      </w:r>
      <w:r w:rsidR="0074724C">
        <w:rPr>
          <w:rFonts w:cs="Times New Roman"/>
        </w:rPr>
        <w:t xml:space="preserve">, </w:t>
      </w:r>
      <w:r w:rsidR="0074724C" w:rsidRPr="00962F67">
        <w:rPr>
          <w:rFonts w:cs="Times New Roman"/>
        </w:rPr>
        <w:t>A.E</w:t>
      </w:r>
      <w:r w:rsidRPr="00962F67">
        <w:rPr>
          <w:rFonts w:cs="Times New Roman"/>
        </w:rPr>
        <w:t xml:space="preserve">. </w:t>
      </w:r>
      <w:r w:rsidR="00962F67" w:rsidRPr="008276EA">
        <w:rPr>
          <w:rFonts w:cs="Times New Roman"/>
        </w:rPr>
        <w:t>(</w:t>
      </w:r>
      <w:r w:rsidRPr="00962F67">
        <w:rPr>
          <w:rFonts w:cs="Times New Roman"/>
        </w:rPr>
        <w:t>1992</w:t>
      </w:r>
      <w:r w:rsidR="00962F67" w:rsidRPr="008276EA">
        <w:rPr>
          <w:rFonts w:cs="Times New Roman"/>
        </w:rPr>
        <w:t>)</w:t>
      </w:r>
      <w:r w:rsidRPr="00962F67">
        <w:rPr>
          <w:rFonts w:cs="Times New Roman"/>
        </w:rPr>
        <w:t xml:space="preserve">. Beyond the commodity metaphor: examining emotional and symbolic attachment to place. </w:t>
      </w:r>
      <w:r w:rsidRPr="00962F67">
        <w:rPr>
          <w:rFonts w:cs="Times New Roman"/>
          <w:i/>
        </w:rPr>
        <w:t>Leisure Sciences</w:t>
      </w:r>
      <w:r w:rsidRPr="00962F67">
        <w:rPr>
          <w:rFonts w:cs="Times New Roman"/>
        </w:rPr>
        <w:t>, 14:29-46.</w:t>
      </w:r>
    </w:p>
    <w:p w14:paraId="0404A509" w14:textId="77777777" w:rsidR="00352F26" w:rsidRPr="00DF48C0" w:rsidRDefault="00352F26" w:rsidP="00B10D12">
      <w:pPr>
        <w:autoSpaceDE w:val="0"/>
        <w:autoSpaceDN w:val="0"/>
        <w:adjustRightInd w:val="0"/>
        <w:ind w:left="720" w:hanging="720"/>
        <w:rPr>
          <w:rFonts w:cs="Times New Roman"/>
        </w:rPr>
      </w:pPr>
    </w:p>
    <w:p w14:paraId="54CFCB88" w14:textId="7695FCBC" w:rsidR="00A76C2F" w:rsidRPr="00DF48C0" w:rsidRDefault="00CE074D" w:rsidP="00056D4D">
      <w:pPr>
        <w:autoSpaceDE w:val="0"/>
        <w:autoSpaceDN w:val="0"/>
        <w:adjustRightInd w:val="0"/>
        <w:ind w:left="720" w:hanging="720"/>
      </w:pPr>
      <w:r w:rsidRPr="00DF48C0">
        <w:rPr>
          <w:rFonts w:cs="Times New Roman"/>
        </w:rPr>
        <w:t xml:space="preserve">Yeh, C.-Y., Haab, T.C., </w:t>
      </w:r>
      <w:r w:rsidR="0074724C">
        <w:rPr>
          <w:rFonts w:cs="Times New Roman"/>
        </w:rPr>
        <w:t>and</w:t>
      </w:r>
      <w:r w:rsidRPr="00DF48C0">
        <w:rPr>
          <w:rFonts w:cs="Times New Roman"/>
        </w:rPr>
        <w:t xml:space="preserve"> Sohngen, B.L. (2006). Modeling multiple-objective recreation trips with choices over trip</w:t>
      </w:r>
      <w:r w:rsidR="00A4357F" w:rsidRPr="00DF48C0">
        <w:rPr>
          <w:rFonts w:cs="Times New Roman"/>
        </w:rPr>
        <w:t xml:space="preserve"> duration and alternative sites</w:t>
      </w:r>
      <w:r w:rsidRPr="00DF48C0">
        <w:rPr>
          <w:rFonts w:cs="Times New Roman"/>
        </w:rPr>
        <w:t xml:space="preserve">. </w:t>
      </w:r>
      <w:r w:rsidRPr="00DF48C0">
        <w:rPr>
          <w:rFonts w:cs="Times New Roman"/>
          <w:i/>
          <w:iCs/>
        </w:rPr>
        <w:t>Environmental and Resource Economics</w:t>
      </w:r>
      <w:r w:rsidRPr="00A00F66">
        <w:rPr>
          <w:rFonts w:cs="Times New Roman"/>
          <w:iCs/>
        </w:rPr>
        <w:t>, 34</w:t>
      </w:r>
      <w:r w:rsidRPr="0074724C">
        <w:rPr>
          <w:rFonts w:cs="Times New Roman"/>
        </w:rPr>
        <w:t>(</w:t>
      </w:r>
      <w:bookmarkStart w:id="134" w:name="_Toc472435311"/>
      <w:r w:rsidR="00A11241">
        <w:rPr>
          <w:rFonts w:cs="Times New Roman"/>
        </w:rPr>
        <w:t xml:space="preserve">2), </w:t>
      </w:r>
      <w:r w:rsidR="00484A58">
        <w:rPr>
          <w:rFonts w:cs="Times New Roman"/>
        </w:rPr>
        <w:t>189-209.</w:t>
      </w:r>
      <w:bookmarkEnd w:id="134"/>
    </w:p>
    <w:sectPr w:rsidR="00A76C2F" w:rsidRPr="00DF48C0" w:rsidSect="00647B1D">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79CBDB" w14:textId="77777777" w:rsidR="008C3F50" w:rsidRDefault="008C3F50" w:rsidP="00462BA7">
      <w:r>
        <w:separator/>
      </w:r>
    </w:p>
  </w:endnote>
  <w:endnote w:type="continuationSeparator" w:id="0">
    <w:p w14:paraId="656C0784" w14:textId="77777777" w:rsidR="008C3F50" w:rsidRDefault="008C3F50" w:rsidP="00462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908525" w14:textId="03F6C110" w:rsidR="00A44795" w:rsidRPr="008B300A" w:rsidRDefault="00A44795" w:rsidP="00691380">
    <w:pPr>
      <w:pStyle w:val="Footer"/>
      <w:pBdr>
        <w:top w:val="single" w:sz="4" w:space="0" w:color="auto"/>
      </w:pBdr>
      <w:jc w:val="right"/>
      <w:rPr>
        <w:rFonts w:ascii="Arial" w:hAnsi="Arial" w:cs="Arial"/>
        <w:b/>
        <w:bCs/>
        <w:sz w:val="18"/>
        <w:szCs w:val="18"/>
      </w:rPr>
    </w:pPr>
    <w:r w:rsidRPr="008B300A">
      <w:rPr>
        <w:rStyle w:val="PageNumber"/>
        <w:rFonts w:ascii="Arial" w:hAnsi="Arial" w:cs="Arial"/>
        <w:b/>
        <w:sz w:val="18"/>
        <w:szCs w:val="18"/>
      </w:rPr>
      <w:fldChar w:fldCharType="begin"/>
    </w:r>
    <w:r w:rsidRPr="008B300A">
      <w:rPr>
        <w:rStyle w:val="PageNumber"/>
        <w:rFonts w:ascii="Arial" w:hAnsi="Arial" w:cs="Arial"/>
        <w:b/>
        <w:sz w:val="18"/>
        <w:szCs w:val="18"/>
      </w:rPr>
      <w:instrText xml:space="preserve"> PAGE </w:instrText>
    </w:r>
    <w:r w:rsidRPr="008B300A">
      <w:rPr>
        <w:rStyle w:val="PageNumber"/>
        <w:rFonts w:ascii="Arial" w:hAnsi="Arial" w:cs="Arial"/>
        <w:b/>
        <w:sz w:val="18"/>
        <w:szCs w:val="18"/>
      </w:rPr>
      <w:fldChar w:fldCharType="separate"/>
    </w:r>
    <w:r w:rsidR="00EF0CD0">
      <w:rPr>
        <w:rStyle w:val="PageNumber"/>
        <w:rFonts w:ascii="Arial" w:hAnsi="Arial" w:cs="Arial"/>
        <w:b/>
        <w:noProof/>
        <w:sz w:val="18"/>
        <w:szCs w:val="18"/>
      </w:rPr>
      <w:t>1</w:t>
    </w:r>
    <w:r w:rsidRPr="008B300A">
      <w:rPr>
        <w:rStyle w:val="PageNumber"/>
        <w:rFonts w:ascii="Arial" w:hAnsi="Arial" w:cs="Arial"/>
        <w:b/>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EEDDD8" w14:textId="77777777" w:rsidR="008C3F50" w:rsidRDefault="008C3F50" w:rsidP="00462BA7">
      <w:r>
        <w:separator/>
      </w:r>
    </w:p>
  </w:footnote>
  <w:footnote w:type="continuationSeparator" w:id="0">
    <w:p w14:paraId="0E51E183" w14:textId="77777777" w:rsidR="008C3F50" w:rsidRDefault="008C3F50" w:rsidP="00462BA7">
      <w:r>
        <w:continuationSeparator/>
      </w:r>
    </w:p>
  </w:footnote>
  <w:footnote w:id="1">
    <w:p w14:paraId="483B0F02" w14:textId="77777777" w:rsidR="00A44795" w:rsidRDefault="00A44795" w:rsidP="007323D7">
      <w:pPr>
        <w:pStyle w:val="FootnoteText"/>
      </w:pPr>
      <w:r>
        <w:rPr>
          <w:rStyle w:val="FootnoteReference"/>
        </w:rPr>
        <w:footnoteRef/>
      </w:r>
      <w:r>
        <w:t xml:space="preserve"> For example, in rural areas, Rural Route box addresses have been converted to physical street addresses. </w:t>
      </w:r>
    </w:p>
  </w:footnote>
  <w:footnote w:id="2">
    <w:p w14:paraId="630F5854" w14:textId="6204E253" w:rsidR="00A44795" w:rsidRPr="00744D39" w:rsidRDefault="00A44795" w:rsidP="0048049B">
      <w:pPr>
        <w:pStyle w:val="FootnoteText"/>
      </w:pPr>
      <w:r>
        <w:rPr>
          <w:rStyle w:val="FootnoteReference"/>
        </w:rPr>
        <w:footnoteRef/>
      </w:r>
      <w:r>
        <w:t xml:space="preserve"> The average occupancy rate is based on ACS 2010–14 data on occupied housing units in the study area. We used county-level occupancy rates in our calculations. A 27% response rate is based on </w:t>
      </w:r>
      <w:r w:rsidRPr="00276CE8">
        <w:t xml:space="preserve">Brennan </w:t>
      </w:r>
      <w:r>
        <w:t xml:space="preserve">(2011), </w:t>
      </w:r>
      <w:r w:rsidRPr="00276CE8">
        <w:t xml:space="preserve">Edwards </w:t>
      </w:r>
      <w:r>
        <w:t>(</w:t>
      </w:r>
      <w:r w:rsidRPr="00276CE8">
        <w:t>2014</w:t>
      </w:r>
      <w:r>
        <w:t xml:space="preserve">), and </w:t>
      </w:r>
      <w:r w:rsidRPr="00276CE8">
        <w:t xml:space="preserve">Messer and Dillman </w:t>
      </w:r>
      <w:r>
        <w:t>(</w:t>
      </w:r>
      <w:r w:rsidRPr="00276CE8">
        <w:t>2011</w:t>
      </w:r>
      <w:r>
        <w:t xml:space="preserve">).  </w:t>
      </w:r>
    </w:p>
  </w:footnote>
  <w:footnote w:id="3">
    <w:p w14:paraId="1DA4448D" w14:textId="41E69596" w:rsidR="00A44795" w:rsidRPr="005D3DE4" w:rsidRDefault="00A44795" w:rsidP="0009352A">
      <w:pPr>
        <w:pStyle w:val="FootnoteText"/>
      </w:pPr>
      <w:r w:rsidRPr="005D3DE4">
        <w:rPr>
          <w:rStyle w:val="FootnoteReference"/>
        </w:rPr>
        <w:footnoteRef/>
      </w:r>
      <w:r w:rsidRPr="005D3DE4">
        <w:t xml:space="preserve"> α from equation (2) describes how site utility changes with a decrease in income (less money to spend on things if a trip is taken</w:t>
      </w:r>
      <w:r>
        <w:t>)</w:t>
      </w:r>
      <w:r w:rsidRPr="005D3DE4">
        <w:t>. Since trip cost “takes away from income”, α is the marginal effect of taking away income and – α is a measure of adding income, or the marginal utility of income.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32B67" w14:textId="60BFC693" w:rsidR="00A44795" w:rsidRPr="00647B1D" w:rsidRDefault="00A44795" w:rsidP="00647B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A626C"/>
    <w:multiLevelType w:val="hybridMultilevel"/>
    <w:tmpl w:val="3752A6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04211E"/>
    <w:multiLevelType w:val="hybridMultilevel"/>
    <w:tmpl w:val="4AA2B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DA5BFB"/>
    <w:multiLevelType w:val="hybridMultilevel"/>
    <w:tmpl w:val="E4F07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867FA2"/>
    <w:multiLevelType w:val="hybridMultilevel"/>
    <w:tmpl w:val="9F2CF4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2EE396E"/>
    <w:multiLevelType w:val="hybridMultilevel"/>
    <w:tmpl w:val="FA5C3E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3827237"/>
    <w:multiLevelType w:val="hybridMultilevel"/>
    <w:tmpl w:val="E6E8D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F1A2D8A"/>
    <w:multiLevelType w:val="hybridMultilevel"/>
    <w:tmpl w:val="802A36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3630E68"/>
    <w:multiLevelType w:val="hybridMultilevel"/>
    <w:tmpl w:val="DD5EDB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8">
    <w:nsid w:val="38BD7C15"/>
    <w:multiLevelType w:val="hybridMultilevel"/>
    <w:tmpl w:val="BD1093C8"/>
    <w:lvl w:ilvl="0" w:tplc="C08082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C6378C"/>
    <w:multiLevelType w:val="hybridMultilevel"/>
    <w:tmpl w:val="0F046C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B806E6"/>
    <w:multiLevelType w:val="hybridMultilevel"/>
    <w:tmpl w:val="AC141E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B076A98"/>
    <w:multiLevelType w:val="hybridMultilevel"/>
    <w:tmpl w:val="3D10E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45317A"/>
    <w:multiLevelType w:val="hybridMultilevel"/>
    <w:tmpl w:val="B8F64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B803E6"/>
    <w:multiLevelType w:val="multilevel"/>
    <w:tmpl w:val="D280080C"/>
    <w:lvl w:ilvl="0">
      <w:start w:val="1"/>
      <w:numFmt w:val="decimal"/>
      <w:lvlText w:val="(%1)"/>
      <w:lvlJc w:val="left"/>
      <w:pPr>
        <w:ind w:left="1980" w:hanging="144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1."/>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4">
    <w:nsid w:val="68E97591"/>
    <w:multiLevelType w:val="hybridMultilevel"/>
    <w:tmpl w:val="FC609F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0437C33"/>
    <w:multiLevelType w:val="hybridMultilevel"/>
    <w:tmpl w:val="7E2037A8"/>
    <w:lvl w:ilvl="0" w:tplc="2BD4B200">
      <w:start w:val="1"/>
      <w:numFmt w:val="decimal"/>
      <w:lvlText w:val="(%1)"/>
      <w:lvlJc w:val="left"/>
      <w:pPr>
        <w:ind w:left="1980" w:hanging="144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70566496"/>
    <w:multiLevelType w:val="hybridMultilevel"/>
    <w:tmpl w:val="7E2037A8"/>
    <w:lvl w:ilvl="0" w:tplc="2BD4B200">
      <w:start w:val="1"/>
      <w:numFmt w:val="decimal"/>
      <w:lvlText w:val="(%1)"/>
      <w:lvlJc w:val="left"/>
      <w:pPr>
        <w:ind w:left="1980" w:hanging="144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0"/>
  </w:num>
  <w:num w:numId="2">
    <w:abstractNumId w:val="14"/>
  </w:num>
  <w:num w:numId="3">
    <w:abstractNumId w:val="2"/>
  </w:num>
  <w:num w:numId="4">
    <w:abstractNumId w:val="5"/>
  </w:num>
  <w:num w:numId="5">
    <w:abstractNumId w:val="6"/>
  </w:num>
  <w:num w:numId="6">
    <w:abstractNumId w:val="3"/>
  </w:num>
  <w:num w:numId="7">
    <w:abstractNumId w:val="0"/>
  </w:num>
  <w:num w:numId="8">
    <w:abstractNumId w:val="4"/>
  </w:num>
  <w:num w:numId="9">
    <w:abstractNumId w:val="16"/>
  </w:num>
  <w:num w:numId="10">
    <w:abstractNumId w:val="13"/>
  </w:num>
  <w:num w:numId="11">
    <w:abstractNumId w:val="12"/>
  </w:num>
  <w:num w:numId="12">
    <w:abstractNumId w:val="7"/>
  </w:num>
  <w:num w:numId="13">
    <w:abstractNumId w:val="1"/>
  </w:num>
  <w:num w:numId="14">
    <w:abstractNumId w:val="11"/>
  </w:num>
  <w:num w:numId="15">
    <w:abstractNumId w:val="15"/>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ES" w:vendorID="64" w:dllVersion="6" w:nlCheck="1" w:checkStyle="0"/>
  <w:activeWritingStyle w:appName="MSWord" w:lang="en-US" w:vendorID="64" w:dllVersion="6" w:nlCheck="1" w:checkStyle="0"/>
  <w:activeWritingStyle w:appName="MSWord" w:lang="fr-BE" w:vendorID="64" w:dllVersion="6" w:nlCheck="1" w:checkStyle="0"/>
  <w:activeWritingStyle w:appName="MSWord" w:lang="en-US" w:vendorID="64" w:dllVersion="0" w:nlCheck="1" w:checkStyle="0"/>
  <w:activeWritingStyle w:appName="MSWord" w:lang="es-ES" w:vendorID="64" w:dllVersion="0" w:nlCheck="1" w:checkStyle="0"/>
  <w:activeWritingStyle w:appName="MSWord" w:lang="fr-BE" w:vendorID="64" w:dllVersion="0" w:nlCheck="1" w:checkStyle="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uthor-Dat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vewxexpf720p5yes5535s5e322xsvwawffee&quot;&gt;SHC4.61 refs-Saved&lt;record-ids&gt;&lt;item&gt;106&lt;/item&gt;&lt;item&gt;125&lt;/item&gt;&lt;item&gt;133&lt;/item&gt;&lt;item&gt;146&lt;/item&gt;&lt;item&gt;147&lt;/item&gt;&lt;item&gt;183&lt;/item&gt;&lt;item&gt;251&lt;/item&gt;&lt;item&gt;252&lt;/item&gt;&lt;item&gt;253&lt;/item&gt;&lt;item&gt;254&lt;/item&gt;&lt;item&gt;255&lt;/item&gt;&lt;item&gt;256&lt;/item&gt;&lt;item&gt;257&lt;/item&gt;&lt;/record-ids&gt;&lt;/item&gt;&lt;/Libraries&gt;"/>
  </w:docVars>
  <w:rsids>
    <w:rsidRoot w:val="00462BA7"/>
    <w:rsid w:val="00001C68"/>
    <w:rsid w:val="00005B8F"/>
    <w:rsid w:val="0000783E"/>
    <w:rsid w:val="000111F8"/>
    <w:rsid w:val="0001336C"/>
    <w:rsid w:val="00017037"/>
    <w:rsid w:val="00017C2F"/>
    <w:rsid w:val="000217EA"/>
    <w:rsid w:val="00022095"/>
    <w:rsid w:val="00022B73"/>
    <w:rsid w:val="00033D5D"/>
    <w:rsid w:val="000418AA"/>
    <w:rsid w:val="00042F4E"/>
    <w:rsid w:val="00042FDE"/>
    <w:rsid w:val="00043817"/>
    <w:rsid w:val="00045DC1"/>
    <w:rsid w:val="0005015F"/>
    <w:rsid w:val="00050C22"/>
    <w:rsid w:val="00056C18"/>
    <w:rsid w:val="00056D4D"/>
    <w:rsid w:val="0006106A"/>
    <w:rsid w:val="000615CB"/>
    <w:rsid w:val="0006284D"/>
    <w:rsid w:val="00074BD9"/>
    <w:rsid w:val="00074C70"/>
    <w:rsid w:val="00075EE4"/>
    <w:rsid w:val="00081C1B"/>
    <w:rsid w:val="00083677"/>
    <w:rsid w:val="00083960"/>
    <w:rsid w:val="0008488B"/>
    <w:rsid w:val="00085356"/>
    <w:rsid w:val="0008664B"/>
    <w:rsid w:val="00086CEF"/>
    <w:rsid w:val="00092672"/>
    <w:rsid w:val="0009352A"/>
    <w:rsid w:val="000936E2"/>
    <w:rsid w:val="00093B19"/>
    <w:rsid w:val="000965C1"/>
    <w:rsid w:val="00097B12"/>
    <w:rsid w:val="000A047F"/>
    <w:rsid w:val="000A1AC8"/>
    <w:rsid w:val="000A271E"/>
    <w:rsid w:val="000A39ED"/>
    <w:rsid w:val="000A61CF"/>
    <w:rsid w:val="000A6BEF"/>
    <w:rsid w:val="000A75DC"/>
    <w:rsid w:val="000B16D5"/>
    <w:rsid w:val="000B187D"/>
    <w:rsid w:val="000B32DA"/>
    <w:rsid w:val="000B33D6"/>
    <w:rsid w:val="000C0453"/>
    <w:rsid w:val="000C2234"/>
    <w:rsid w:val="000C226B"/>
    <w:rsid w:val="000C3909"/>
    <w:rsid w:val="000C3FF0"/>
    <w:rsid w:val="000C4E52"/>
    <w:rsid w:val="000C5277"/>
    <w:rsid w:val="000C6E9A"/>
    <w:rsid w:val="000C7AC1"/>
    <w:rsid w:val="000D0089"/>
    <w:rsid w:val="000D16C4"/>
    <w:rsid w:val="000D1DB1"/>
    <w:rsid w:val="000D56EF"/>
    <w:rsid w:val="000D77B1"/>
    <w:rsid w:val="000E0728"/>
    <w:rsid w:val="000E21A8"/>
    <w:rsid w:val="000E22C1"/>
    <w:rsid w:val="000E2BEB"/>
    <w:rsid w:val="000E2C07"/>
    <w:rsid w:val="000E3F55"/>
    <w:rsid w:val="000E75BA"/>
    <w:rsid w:val="000F4ADA"/>
    <w:rsid w:val="00100AF4"/>
    <w:rsid w:val="00103460"/>
    <w:rsid w:val="0010404F"/>
    <w:rsid w:val="00105383"/>
    <w:rsid w:val="00105AE3"/>
    <w:rsid w:val="00105E16"/>
    <w:rsid w:val="001065AD"/>
    <w:rsid w:val="00107692"/>
    <w:rsid w:val="00107FC0"/>
    <w:rsid w:val="00115088"/>
    <w:rsid w:val="001169E6"/>
    <w:rsid w:val="00120870"/>
    <w:rsid w:val="00120AA8"/>
    <w:rsid w:val="00120EBF"/>
    <w:rsid w:val="00121413"/>
    <w:rsid w:val="00123073"/>
    <w:rsid w:val="00124557"/>
    <w:rsid w:val="00124D27"/>
    <w:rsid w:val="0012506A"/>
    <w:rsid w:val="00127DD9"/>
    <w:rsid w:val="00134AA0"/>
    <w:rsid w:val="0013612C"/>
    <w:rsid w:val="001366CD"/>
    <w:rsid w:val="0013754F"/>
    <w:rsid w:val="0014012A"/>
    <w:rsid w:val="00140D41"/>
    <w:rsid w:val="00141581"/>
    <w:rsid w:val="00141C39"/>
    <w:rsid w:val="00143F10"/>
    <w:rsid w:val="00147069"/>
    <w:rsid w:val="00151687"/>
    <w:rsid w:val="001561BD"/>
    <w:rsid w:val="00156642"/>
    <w:rsid w:val="001566E6"/>
    <w:rsid w:val="001606E6"/>
    <w:rsid w:val="001625C6"/>
    <w:rsid w:val="001633E0"/>
    <w:rsid w:val="00164210"/>
    <w:rsid w:val="00165D41"/>
    <w:rsid w:val="0016722F"/>
    <w:rsid w:val="00173347"/>
    <w:rsid w:val="00174768"/>
    <w:rsid w:val="0017544B"/>
    <w:rsid w:val="001842C4"/>
    <w:rsid w:val="00185DD3"/>
    <w:rsid w:val="00193C24"/>
    <w:rsid w:val="0019600E"/>
    <w:rsid w:val="001A11E3"/>
    <w:rsid w:val="001A279A"/>
    <w:rsid w:val="001A3CA7"/>
    <w:rsid w:val="001A3F05"/>
    <w:rsid w:val="001A3FE4"/>
    <w:rsid w:val="001A51C0"/>
    <w:rsid w:val="001A5216"/>
    <w:rsid w:val="001A738A"/>
    <w:rsid w:val="001B411B"/>
    <w:rsid w:val="001B4A35"/>
    <w:rsid w:val="001B5DA3"/>
    <w:rsid w:val="001B636A"/>
    <w:rsid w:val="001C24EB"/>
    <w:rsid w:val="001C2CF7"/>
    <w:rsid w:val="001C3CC0"/>
    <w:rsid w:val="001C4A37"/>
    <w:rsid w:val="001C522D"/>
    <w:rsid w:val="001C732C"/>
    <w:rsid w:val="001C74DF"/>
    <w:rsid w:val="001D36C8"/>
    <w:rsid w:val="001D409C"/>
    <w:rsid w:val="001D4195"/>
    <w:rsid w:val="001E10CA"/>
    <w:rsid w:val="001E58C0"/>
    <w:rsid w:val="001E62CB"/>
    <w:rsid w:val="001F4B30"/>
    <w:rsid w:val="001F69D6"/>
    <w:rsid w:val="002076DB"/>
    <w:rsid w:val="00210D85"/>
    <w:rsid w:val="00212BDC"/>
    <w:rsid w:val="002163AA"/>
    <w:rsid w:val="0021722A"/>
    <w:rsid w:val="0022303D"/>
    <w:rsid w:val="00223938"/>
    <w:rsid w:val="00223943"/>
    <w:rsid w:val="00226576"/>
    <w:rsid w:val="00226D28"/>
    <w:rsid w:val="0023176B"/>
    <w:rsid w:val="0023380A"/>
    <w:rsid w:val="00233DF0"/>
    <w:rsid w:val="00237714"/>
    <w:rsid w:val="002450D0"/>
    <w:rsid w:val="00246EE2"/>
    <w:rsid w:val="0024749A"/>
    <w:rsid w:val="00250F8A"/>
    <w:rsid w:val="0025293E"/>
    <w:rsid w:val="00253DCD"/>
    <w:rsid w:val="00254D03"/>
    <w:rsid w:val="002555EB"/>
    <w:rsid w:val="002557B3"/>
    <w:rsid w:val="00257097"/>
    <w:rsid w:val="00257B44"/>
    <w:rsid w:val="00257BFF"/>
    <w:rsid w:val="00261B41"/>
    <w:rsid w:val="00264583"/>
    <w:rsid w:val="00265AEE"/>
    <w:rsid w:val="00266083"/>
    <w:rsid w:val="00266C96"/>
    <w:rsid w:val="00267FFE"/>
    <w:rsid w:val="00272AB4"/>
    <w:rsid w:val="002730A2"/>
    <w:rsid w:val="00275A7C"/>
    <w:rsid w:val="002760D2"/>
    <w:rsid w:val="00277839"/>
    <w:rsid w:val="00281710"/>
    <w:rsid w:val="00284652"/>
    <w:rsid w:val="002859A3"/>
    <w:rsid w:val="002867BA"/>
    <w:rsid w:val="00286E6F"/>
    <w:rsid w:val="00287738"/>
    <w:rsid w:val="00287BFF"/>
    <w:rsid w:val="00290BBD"/>
    <w:rsid w:val="0029693C"/>
    <w:rsid w:val="00296D00"/>
    <w:rsid w:val="0029708D"/>
    <w:rsid w:val="002A2DCF"/>
    <w:rsid w:val="002A699A"/>
    <w:rsid w:val="002B3A5E"/>
    <w:rsid w:val="002B6141"/>
    <w:rsid w:val="002B776A"/>
    <w:rsid w:val="002C4485"/>
    <w:rsid w:val="002C4627"/>
    <w:rsid w:val="002C56BE"/>
    <w:rsid w:val="002C6CEC"/>
    <w:rsid w:val="002D2FA1"/>
    <w:rsid w:val="002D5177"/>
    <w:rsid w:val="002D5635"/>
    <w:rsid w:val="002D67D0"/>
    <w:rsid w:val="002D786B"/>
    <w:rsid w:val="002E0685"/>
    <w:rsid w:val="002E18F8"/>
    <w:rsid w:val="002E43C3"/>
    <w:rsid w:val="002E4D8F"/>
    <w:rsid w:val="002E52BA"/>
    <w:rsid w:val="002E570D"/>
    <w:rsid w:val="002E6F57"/>
    <w:rsid w:val="002E7DBE"/>
    <w:rsid w:val="002E7E9A"/>
    <w:rsid w:val="002F3232"/>
    <w:rsid w:val="002F3236"/>
    <w:rsid w:val="002F5599"/>
    <w:rsid w:val="003014B9"/>
    <w:rsid w:val="00301F64"/>
    <w:rsid w:val="00302677"/>
    <w:rsid w:val="00303F0F"/>
    <w:rsid w:val="00304D6B"/>
    <w:rsid w:val="003056D8"/>
    <w:rsid w:val="00305EB4"/>
    <w:rsid w:val="00310E9F"/>
    <w:rsid w:val="00315725"/>
    <w:rsid w:val="003160FD"/>
    <w:rsid w:val="00320FEA"/>
    <w:rsid w:val="0032448F"/>
    <w:rsid w:val="003277DC"/>
    <w:rsid w:val="00327C2B"/>
    <w:rsid w:val="00330EF8"/>
    <w:rsid w:val="0033231D"/>
    <w:rsid w:val="0033321C"/>
    <w:rsid w:val="0033424E"/>
    <w:rsid w:val="00335D2C"/>
    <w:rsid w:val="00340882"/>
    <w:rsid w:val="0034344F"/>
    <w:rsid w:val="00344C57"/>
    <w:rsid w:val="003452DB"/>
    <w:rsid w:val="00346833"/>
    <w:rsid w:val="00347790"/>
    <w:rsid w:val="00350DAF"/>
    <w:rsid w:val="00351796"/>
    <w:rsid w:val="00352F26"/>
    <w:rsid w:val="00367EAF"/>
    <w:rsid w:val="00372B2B"/>
    <w:rsid w:val="0037341B"/>
    <w:rsid w:val="00373A52"/>
    <w:rsid w:val="00373EF8"/>
    <w:rsid w:val="00374281"/>
    <w:rsid w:val="00374C8B"/>
    <w:rsid w:val="0037670C"/>
    <w:rsid w:val="00380D02"/>
    <w:rsid w:val="00382283"/>
    <w:rsid w:val="003832C0"/>
    <w:rsid w:val="003836E5"/>
    <w:rsid w:val="003843D1"/>
    <w:rsid w:val="00387A49"/>
    <w:rsid w:val="00395516"/>
    <w:rsid w:val="00395D81"/>
    <w:rsid w:val="00397F47"/>
    <w:rsid w:val="003A0373"/>
    <w:rsid w:val="003A124C"/>
    <w:rsid w:val="003A1FD8"/>
    <w:rsid w:val="003A78AF"/>
    <w:rsid w:val="003A7916"/>
    <w:rsid w:val="003B2808"/>
    <w:rsid w:val="003C00B9"/>
    <w:rsid w:val="003C47EE"/>
    <w:rsid w:val="003D2E33"/>
    <w:rsid w:val="003D5854"/>
    <w:rsid w:val="003D5A03"/>
    <w:rsid w:val="003D70B1"/>
    <w:rsid w:val="003D73B8"/>
    <w:rsid w:val="003E1293"/>
    <w:rsid w:val="003E3BD9"/>
    <w:rsid w:val="003E4FE3"/>
    <w:rsid w:val="003F40C4"/>
    <w:rsid w:val="003F4F09"/>
    <w:rsid w:val="003F551F"/>
    <w:rsid w:val="003F5692"/>
    <w:rsid w:val="003F60B2"/>
    <w:rsid w:val="003F67DA"/>
    <w:rsid w:val="003F7435"/>
    <w:rsid w:val="003F75AE"/>
    <w:rsid w:val="00400D13"/>
    <w:rsid w:val="00400F3A"/>
    <w:rsid w:val="004010D6"/>
    <w:rsid w:val="00403897"/>
    <w:rsid w:val="00406A63"/>
    <w:rsid w:val="00410FA0"/>
    <w:rsid w:val="00411056"/>
    <w:rsid w:val="004134C6"/>
    <w:rsid w:val="00413529"/>
    <w:rsid w:val="00413C7E"/>
    <w:rsid w:val="004149A0"/>
    <w:rsid w:val="004175F8"/>
    <w:rsid w:val="00417B42"/>
    <w:rsid w:val="00417CB4"/>
    <w:rsid w:val="00430297"/>
    <w:rsid w:val="00430584"/>
    <w:rsid w:val="004306BF"/>
    <w:rsid w:val="00431E1D"/>
    <w:rsid w:val="0043303A"/>
    <w:rsid w:val="0043537C"/>
    <w:rsid w:val="0043561C"/>
    <w:rsid w:val="00436C74"/>
    <w:rsid w:val="00437975"/>
    <w:rsid w:val="00443906"/>
    <w:rsid w:val="00444D14"/>
    <w:rsid w:val="004478E3"/>
    <w:rsid w:val="004547F5"/>
    <w:rsid w:val="00457B2A"/>
    <w:rsid w:val="004626F2"/>
    <w:rsid w:val="00462BA7"/>
    <w:rsid w:val="0046703C"/>
    <w:rsid w:val="0047034D"/>
    <w:rsid w:val="00472BAE"/>
    <w:rsid w:val="00473942"/>
    <w:rsid w:val="00473CC0"/>
    <w:rsid w:val="00474F32"/>
    <w:rsid w:val="004758F2"/>
    <w:rsid w:val="00477C0F"/>
    <w:rsid w:val="0048049B"/>
    <w:rsid w:val="00481B76"/>
    <w:rsid w:val="00481E24"/>
    <w:rsid w:val="0048318C"/>
    <w:rsid w:val="00483B3A"/>
    <w:rsid w:val="00484A58"/>
    <w:rsid w:val="00487B69"/>
    <w:rsid w:val="00490904"/>
    <w:rsid w:val="00493662"/>
    <w:rsid w:val="0049539E"/>
    <w:rsid w:val="00495EFA"/>
    <w:rsid w:val="004A1AC1"/>
    <w:rsid w:val="004A1DDC"/>
    <w:rsid w:val="004A3693"/>
    <w:rsid w:val="004B2E37"/>
    <w:rsid w:val="004B3AB1"/>
    <w:rsid w:val="004B3BF1"/>
    <w:rsid w:val="004B4642"/>
    <w:rsid w:val="004B52E2"/>
    <w:rsid w:val="004B5D91"/>
    <w:rsid w:val="004B5E7D"/>
    <w:rsid w:val="004B6463"/>
    <w:rsid w:val="004C0C4D"/>
    <w:rsid w:val="004C13E8"/>
    <w:rsid w:val="004C1609"/>
    <w:rsid w:val="004C357A"/>
    <w:rsid w:val="004C3889"/>
    <w:rsid w:val="004C62DF"/>
    <w:rsid w:val="004C6458"/>
    <w:rsid w:val="004C6463"/>
    <w:rsid w:val="004C67C3"/>
    <w:rsid w:val="004D1787"/>
    <w:rsid w:val="004D1817"/>
    <w:rsid w:val="004D2115"/>
    <w:rsid w:val="004D25EF"/>
    <w:rsid w:val="004D2B70"/>
    <w:rsid w:val="004D4CEB"/>
    <w:rsid w:val="004E2DCF"/>
    <w:rsid w:val="004E3594"/>
    <w:rsid w:val="004E4006"/>
    <w:rsid w:val="004E49B5"/>
    <w:rsid w:val="004E7359"/>
    <w:rsid w:val="004E7E88"/>
    <w:rsid w:val="00500E68"/>
    <w:rsid w:val="0050346F"/>
    <w:rsid w:val="00503AB8"/>
    <w:rsid w:val="00507067"/>
    <w:rsid w:val="005076BB"/>
    <w:rsid w:val="00507C3D"/>
    <w:rsid w:val="00507FB7"/>
    <w:rsid w:val="00511954"/>
    <w:rsid w:val="00515AD7"/>
    <w:rsid w:val="005167DB"/>
    <w:rsid w:val="00522F69"/>
    <w:rsid w:val="00523360"/>
    <w:rsid w:val="0052342B"/>
    <w:rsid w:val="00525DD0"/>
    <w:rsid w:val="005271E2"/>
    <w:rsid w:val="00530158"/>
    <w:rsid w:val="00531CDA"/>
    <w:rsid w:val="005328DD"/>
    <w:rsid w:val="00537861"/>
    <w:rsid w:val="00540B15"/>
    <w:rsid w:val="00540FC5"/>
    <w:rsid w:val="005426FC"/>
    <w:rsid w:val="00543AFB"/>
    <w:rsid w:val="00544C48"/>
    <w:rsid w:val="00544CEB"/>
    <w:rsid w:val="00545FF0"/>
    <w:rsid w:val="00546541"/>
    <w:rsid w:val="00547404"/>
    <w:rsid w:val="00550726"/>
    <w:rsid w:val="0055248D"/>
    <w:rsid w:val="00553A3C"/>
    <w:rsid w:val="00555531"/>
    <w:rsid w:val="00555E0C"/>
    <w:rsid w:val="00561354"/>
    <w:rsid w:val="00562462"/>
    <w:rsid w:val="00562812"/>
    <w:rsid w:val="005630C5"/>
    <w:rsid w:val="005634BA"/>
    <w:rsid w:val="005635A8"/>
    <w:rsid w:val="005645FF"/>
    <w:rsid w:val="00566383"/>
    <w:rsid w:val="00573069"/>
    <w:rsid w:val="00573185"/>
    <w:rsid w:val="00573482"/>
    <w:rsid w:val="00575184"/>
    <w:rsid w:val="00575DA6"/>
    <w:rsid w:val="00576268"/>
    <w:rsid w:val="0057729C"/>
    <w:rsid w:val="00577F5B"/>
    <w:rsid w:val="00580AA5"/>
    <w:rsid w:val="0058244B"/>
    <w:rsid w:val="0058416D"/>
    <w:rsid w:val="0058539A"/>
    <w:rsid w:val="00587628"/>
    <w:rsid w:val="005908DB"/>
    <w:rsid w:val="0059230A"/>
    <w:rsid w:val="00593437"/>
    <w:rsid w:val="005935E9"/>
    <w:rsid w:val="005974CE"/>
    <w:rsid w:val="005A0050"/>
    <w:rsid w:val="005A0B5D"/>
    <w:rsid w:val="005A4788"/>
    <w:rsid w:val="005A62AD"/>
    <w:rsid w:val="005A7447"/>
    <w:rsid w:val="005A77FC"/>
    <w:rsid w:val="005B0760"/>
    <w:rsid w:val="005B21CF"/>
    <w:rsid w:val="005B2E9A"/>
    <w:rsid w:val="005B4A8A"/>
    <w:rsid w:val="005B534C"/>
    <w:rsid w:val="005B60D9"/>
    <w:rsid w:val="005B6D2A"/>
    <w:rsid w:val="005B7465"/>
    <w:rsid w:val="005B7729"/>
    <w:rsid w:val="005C0617"/>
    <w:rsid w:val="005C148B"/>
    <w:rsid w:val="005C19E1"/>
    <w:rsid w:val="005C503F"/>
    <w:rsid w:val="005C5801"/>
    <w:rsid w:val="005C7087"/>
    <w:rsid w:val="005D09E8"/>
    <w:rsid w:val="005E0DC1"/>
    <w:rsid w:val="005E12CF"/>
    <w:rsid w:val="005E69BC"/>
    <w:rsid w:val="005E6A46"/>
    <w:rsid w:val="005E6A7A"/>
    <w:rsid w:val="005E6EA5"/>
    <w:rsid w:val="005E7060"/>
    <w:rsid w:val="005E72FC"/>
    <w:rsid w:val="005F33FF"/>
    <w:rsid w:val="005F4E5D"/>
    <w:rsid w:val="005F5820"/>
    <w:rsid w:val="00600CC9"/>
    <w:rsid w:val="00602FA0"/>
    <w:rsid w:val="00603D4C"/>
    <w:rsid w:val="00607A62"/>
    <w:rsid w:val="006166AC"/>
    <w:rsid w:val="00622FE7"/>
    <w:rsid w:val="0062302C"/>
    <w:rsid w:val="00623705"/>
    <w:rsid w:val="006254BE"/>
    <w:rsid w:val="00625686"/>
    <w:rsid w:val="0062631A"/>
    <w:rsid w:val="00630108"/>
    <w:rsid w:val="00630FBB"/>
    <w:rsid w:val="00631646"/>
    <w:rsid w:val="0063558D"/>
    <w:rsid w:val="00635A5F"/>
    <w:rsid w:val="006378C4"/>
    <w:rsid w:val="00640D7C"/>
    <w:rsid w:val="006413B2"/>
    <w:rsid w:val="0064353E"/>
    <w:rsid w:val="00645474"/>
    <w:rsid w:val="006455D5"/>
    <w:rsid w:val="00647B1D"/>
    <w:rsid w:val="006508F3"/>
    <w:rsid w:val="00650C2A"/>
    <w:rsid w:val="006533AF"/>
    <w:rsid w:val="00660CF1"/>
    <w:rsid w:val="00663FC1"/>
    <w:rsid w:val="006665A2"/>
    <w:rsid w:val="006708FC"/>
    <w:rsid w:val="00673333"/>
    <w:rsid w:val="0067393B"/>
    <w:rsid w:val="006739C5"/>
    <w:rsid w:val="00673BA6"/>
    <w:rsid w:val="0067705E"/>
    <w:rsid w:val="00680173"/>
    <w:rsid w:val="00681FF1"/>
    <w:rsid w:val="0068337E"/>
    <w:rsid w:val="00683B1B"/>
    <w:rsid w:val="00683EB7"/>
    <w:rsid w:val="00685049"/>
    <w:rsid w:val="0068527E"/>
    <w:rsid w:val="00687F5E"/>
    <w:rsid w:val="00691380"/>
    <w:rsid w:val="006953A2"/>
    <w:rsid w:val="006965AB"/>
    <w:rsid w:val="006A0617"/>
    <w:rsid w:val="006A0D5D"/>
    <w:rsid w:val="006A245E"/>
    <w:rsid w:val="006A26AE"/>
    <w:rsid w:val="006A36BE"/>
    <w:rsid w:val="006A3A14"/>
    <w:rsid w:val="006A5003"/>
    <w:rsid w:val="006B316C"/>
    <w:rsid w:val="006B6669"/>
    <w:rsid w:val="006B6CAF"/>
    <w:rsid w:val="006B6F6F"/>
    <w:rsid w:val="006C4EB7"/>
    <w:rsid w:val="006C78D9"/>
    <w:rsid w:val="006D38DB"/>
    <w:rsid w:val="006E0FCE"/>
    <w:rsid w:val="006E1774"/>
    <w:rsid w:val="006E235E"/>
    <w:rsid w:val="006E2B44"/>
    <w:rsid w:val="006E3407"/>
    <w:rsid w:val="006E4690"/>
    <w:rsid w:val="006E5C30"/>
    <w:rsid w:val="006F05C1"/>
    <w:rsid w:val="006F4828"/>
    <w:rsid w:val="006F7B8B"/>
    <w:rsid w:val="006F7C58"/>
    <w:rsid w:val="0070031D"/>
    <w:rsid w:val="00701102"/>
    <w:rsid w:val="00701716"/>
    <w:rsid w:val="00702AE0"/>
    <w:rsid w:val="00704BAC"/>
    <w:rsid w:val="00707349"/>
    <w:rsid w:val="00713638"/>
    <w:rsid w:val="00713FB3"/>
    <w:rsid w:val="00715620"/>
    <w:rsid w:val="00716275"/>
    <w:rsid w:val="0071656A"/>
    <w:rsid w:val="007174E7"/>
    <w:rsid w:val="007230F9"/>
    <w:rsid w:val="00723473"/>
    <w:rsid w:val="00724BDB"/>
    <w:rsid w:val="00725EDC"/>
    <w:rsid w:val="007308A8"/>
    <w:rsid w:val="00732151"/>
    <w:rsid w:val="007323D7"/>
    <w:rsid w:val="00734290"/>
    <w:rsid w:val="00734963"/>
    <w:rsid w:val="007352D7"/>
    <w:rsid w:val="00740F31"/>
    <w:rsid w:val="007427C2"/>
    <w:rsid w:val="00745E11"/>
    <w:rsid w:val="00745F47"/>
    <w:rsid w:val="0074724C"/>
    <w:rsid w:val="00750D9B"/>
    <w:rsid w:val="007514AB"/>
    <w:rsid w:val="007520ED"/>
    <w:rsid w:val="00753061"/>
    <w:rsid w:val="00755D7B"/>
    <w:rsid w:val="00756AA2"/>
    <w:rsid w:val="00760AD0"/>
    <w:rsid w:val="00760E16"/>
    <w:rsid w:val="00761539"/>
    <w:rsid w:val="00763B01"/>
    <w:rsid w:val="00765B79"/>
    <w:rsid w:val="0077126E"/>
    <w:rsid w:val="00771F22"/>
    <w:rsid w:val="007802A9"/>
    <w:rsid w:val="00780FAB"/>
    <w:rsid w:val="0078294E"/>
    <w:rsid w:val="00782B00"/>
    <w:rsid w:val="00782E74"/>
    <w:rsid w:val="0078418A"/>
    <w:rsid w:val="007846BF"/>
    <w:rsid w:val="00784F51"/>
    <w:rsid w:val="00785EFB"/>
    <w:rsid w:val="007912B3"/>
    <w:rsid w:val="007927A1"/>
    <w:rsid w:val="007935A4"/>
    <w:rsid w:val="0079586D"/>
    <w:rsid w:val="007A061A"/>
    <w:rsid w:val="007A3AC1"/>
    <w:rsid w:val="007A4657"/>
    <w:rsid w:val="007A7A51"/>
    <w:rsid w:val="007B2914"/>
    <w:rsid w:val="007B2959"/>
    <w:rsid w:val="007B6A82"/>
    <w:rsid w:val="007B78BC"/>
    <w:rsid w:val="007C31E4"/>
    <w:rsid w:val="007C37D4"/>
    <w:rsid w:val="007C4538"/>
    <w:rsid w:val="007C5D81"/>
    <w:rsid w:val="007C778E"/>
    <w:rsid w:val="007D1722"/>
    <w:rsid w:val="007D2740"/>
    <w:rsid w:val="007D3A61"/>
    <w:rsid w:val="007D3F4D"/>
    <w:rsid w:val="007D3F82"/>
    <w:rsid w:val="007D569F"/>
    <w:rsid w:val="007D5B9B"/>
    <w:rsid w:val="007D73BD"/>
    <w:rsid w:val="007E03F4"/>
    <w:rsid w:val="007E07AE"/>
    <w:rsid w:val="007E1C8D"/>
    <w:rsid w:val="007E5801"/>
    <w:rsid w:val="007E65F2"/>
    <w:rsid w:val="007F0E96"/>
    <w:rsid w:val="007F105A"/>
    <w:rsid w:val="007F443D"/>
    <w:rsid w:val="007F4F5E"/>
    <w:rsid w:val="007F6489"/>
    <w:rsid w:val="007F7731"/>
    <w:rsid w:val="008028E0"/>
    <w:rsid w:val="00802FF7"/>
    <w:rsid w:val="008063B4"/>
    <w:rsid w:val="00807445"/>
    <w:rsid w:val="008103BD"/>
    <w:rsid w:val="00813397"/>
    <w:rsid w:val="00814F15"/>
    <w:rsid w:val="00820959"/>
    <w:rsid w:val="00822E3E"/>
    <w:rsid w:val="00824877"/>
    <w:rsid w:val="00826031"/>
    <w:rsid w:val="00826977"/>
    <w:rsid w:val="00826EE9"/>
    <w:rsid w:val="008270EC"/>
    <w:rsid w:val="008276EA"/>
    <w:rsid w:val="0083627F"/>
    <w:rsid w:val="008400AD"/>
    <w:rsid w:val="008409EE"/>
    <w:rsid w:val="00841B15"/>
    <w:rsid w:val="00847179"/>
    <w:rsid w:val="00850669"/>
    <w:rsid w:val="008556E9"/>
    <w:rsid w:val="008620C5"/>
    <w:rsid w:val="00863462"/>
    <w:rsid w:val="00863B89"/>
    <w:rsid w:val="00865067"/>
    <w:rsid w:val="00865519"/>
    <w:rsid w:val="00865F05"/>
    <w:rsid w:val="008700F1"/>
    <w:rsid w:val="008716BE"/>
    <w:rsid w:val="008759C3"/>
    <w:rsid w:val="008762B4"/>
    <w:rsid w:val="00882703"/>
    <w:rsid w:val="0088409A"/>
    <w:rsid w:val="00892A5D"/>
    <w:rsid w:val="00892E31"/>
    <w:rsid w:val="00895EB5"/>
    <w:rsid w:val="008A374F"/>
    <w:rsid w:val="008A4A1A"/>
    <w:rsid w:val="008A4CD8"/>
    <w:rsid w:val="008A56AD"/>
    <w:rsid w:val="008A6D61"/>
    <w:rsid w:val="008A6FE7"/>
    <w:rsid w:val="008A760A"/>
    <w:rsid w:val="008B0116"/>
    <w:rsid w:val="008B049E"/>
    <w:rsid w:val="008B12C2"/>
    <w:rsid w:val="008B1BEE"/>
    <w:rsid w:val="008B3A03"/>
    <w:rsid w:val="008B4CEB"/>
    <w:rsid w:val="008B5621"/>
    <w:rsid w:val="008C0236"/>
    <w:rsid w:val="008C1484"/>
    <w:rsid w:val="008C1821"/>
    <w:rsid w:val="008C1F75"/>
    <w:rsid w:val="008C2273"/>
    <w:rsid w:val="008C3F50"/>
    <w:rsid w:val="008C4C97"/>
    <w:rsid w:val="008C6652"/>
    <w:rsid w:val="008C7FB3"/>
    <w:rsid w:val="008D01E3"/>
    <w:rsid w:val="008D1A5F"/>
    <w:rsid w:val="008D4B87"/>
    <w:rsid w:val="008D55C7"/>
    <w:rsid w:val="008E2755"/>
    <w:rsid w:val="008E2D96"/>
    <w:rsid w:val="008E395A"/>
    <w:rsid w:val="008E4D39"/>
    <w:rsid w:val="008F1B1B"/>
    <w:rsid w:val="008F25C7"/>
    <w:rsid w:val="008F5FD4"/>
    <w:rsid w:val="0090017A"/>
    <w:rsid w:val="0090513E"/>
    <w:rsid w:val="0090513F"/>
    <w:rsid w:val="0090669E"/>
    <w:rsid w:val="00907141"/>
    <w:rsid w:val="00907179"/>
    <w:rsid w:val="0090799D"/>
    <w:rsid w:val="00914613"/>
    <w:rsid w:val="009148D9"/>
    <w:rsid w:val="0091583F"/>
    <w:rsid w:val="009159AD"/>
    <w:rsid w:val="00920DCD"/>
    <w:rsid w:val="009227F9"/>
    <w:rsid w:val="00926604"/>
    <w:rsid w:val="00927611"/>
    <w:rsid w:val="00931F9F"/>
    <w:rsid w:val="00932C93"/>
    <w:rsid w:val="0093382E"/>
    <w:rsid w:val="00937821"/>
    <w:rsid w:val="009407C3"/>
    <w:rsid w:val="00942AFE"/>
    <w:rsid w:val="009432EF"/>
    <w:rsid w:val="009464AA"/>
    <w:rsid w:val="00950BE4"/>
    <w:rsid w:val="0095694F"/>
    <w:rsid w:val="00957FD1"/>
    <w:rsid w:val="009624BA"/>
    <w:rsid w:val="009629F2"/>
    <w:rsid w:val="00962F67"/>
    <w:rsid w:val="00963349"/>
    <w:rsid w:val="009644C2"/>
    <w:rsid w:val="00970DBA"/>
    <w:rsid w:val="00972187"/>
    <w:rsid w:val="00973B91"/>
    <w:rsid w:val="0097614E"/>
    <w:rsid w:val="00983BEB"/>
    <w:rsid w:val="00985026"/>
    <w:rsid w:val="009875FF"/>
    <w:rsid w:val="009907B3"/>
    <w:rsid w:val="00997995"/>
    <w:rsid w:val="009A37B0"/>
    <w:rsid w:val="009A5511"/>
    <w:rsid w:val="009A6019"/>
    <w:rsid w:val="009A6238"/>
    <w:rsid w:val="009A6B67"/>
    <w:rsid w:val="009B1030"/>
    <w:rsid w:val="009B2478"/>
    <w:rsid w:val="009B2C79"/>
    <w:rsid w:val="009B3D35"/>
    <w:rsid w:val="009B77ED"/>
    <w:rsid w:val="009B783E"/>
    <w:rsid w:val="009C0D08"/>
    <w:rsid w:val="009C27CB"/>
    <w:rsid w:val="009C545E"/>
    <w:rsid w:val="009C5D6C"/>
    <w:rsid w:val="009D00A5"/>
    <w:rsid w:val="009D1D1F"/>
    <w:rsid w:val="009D45FC"/>
    <w:rsid w:val="009D7E31"/>
    <w:rsid w:val="009D7F73"/>
    <w:rsid w:val="009E065E"/>
    <w:rsid w:val="009E200A"/>
    <w:rsid w:val="009E382B"/>
    <w:rsid w:val="009E66BD"/>
    <w:rsid w:val="009E6E1D"/>
    <w:rsid w:val="009E79A0"/>
    <w:rsid w:val="009F06BA"/>
    <w:rsid w:val="009F0BD0"/>
    <w:rsid w:val="009F108A"/>
    <w:rsid w:val="009F1BAF"/>
    <w:rsid w:val="009F512F"/>
    <w:rsid w:val="009F5CDF"/>
    <w:rsid w:val="00A00F66"/>
    <w:rsid w:val="00A0386D"/>
    <w:rsid w:val="00A0392F"/>
    <w:rsid w:val="00A041B1"/>
    <w:rsid w:val="00A06F56"/>
    <w:rsid w:val="00A10AED"/>
    <w:rsid w:val="00A11241"/>
    <w:rsid w:val="00A11BBF"/>
    <w:rsid w:val="00A134CC"/>
    <w:rsid w:val="00A15149"/>
    <w:rsid w:val="00A20A62"/>
    <w:rsid w:val="00A213AC"/>
    <w:rsid w:val="00A26A51"/>
    <w:rsid w:val="00A27FAB"/>
    <w:rsid w:val="00A30E01"/>
    <w:rsid w:val="00A3166C"/>
    <w:rsid w:val="00A31E8E"/>
    <w:rsid w:val="00A340CF"/>
    <w:rsid w:val="00A34333"/>
    <w:rsid w:val="00A34C45"/>
    <w:rsid w:val="00A4041F"/>
    <w:rsid w:val="00A409F2"/>
    <w:rsid w:val="00A40C13"/>
    <w:rsid w:val="00A42BB5"/>
    <w:rsid w:val="00A43166"/>
    <w:rsid w:val="00A4357F"/>
    <w:rsid w:val="00A44795"/>
    <w:rsid w:val="00A44E9B"/>
    <w:rsid w:val="00A46A5A"/>
    <w:rsid w:val="00A50B37"/>
    <w:rsid w:val="00A53275"/>
    <w:rsid w:val="00A53973"/>
    <w:rsid w:val="00A53C3C"/>
    <w:rsid w:val="00A54169"/>
    <w:rsid w:val="00A56846"/>
    <w:rsid w:val="00A56C25"/>
    <w:rsid w:val="00A653EF"/>
    <w:rsid w:val="00A65F42"/>
    <w:rsid w:val="00A70798"/>
    <w:rsid w:val="00A723E6"/>
    <w:rsid w:val="00A7273A"/>
    <w:rsid w:val="00A73B24"/>
    <w:rsid w:val="00A73BB9"/>
    <w:rsid w:val="00A76C2F"/>
    <w:rsid w:val="00A821FB"/>
    <w:rsid w:val="00A8398A"/>
    <w:rsid w:val="00A84FA3"/>
    <w:rsid w:val="00A86401"/>
    <w:rsid w:val="00A97574"/>
    <w:rsid w:val="00AA05B4"/>
    <w:rsid w:val="00AA4DB4"/>
    <w:rsid w:val="00AB0D2C"/>
    <w:rsid w:val="00AB1819"/>
    <w:rsid w:val="00AB2181"/>
    <w:rsid w:val="00AB2E4A"/>
    <w:rsid w:val="00AB4F99"/>
    <w:rsid w:val="00AB5C92"/>
    <w:rsid w:val="00AC2B68"/>
    <w:rsid w:val="00AC30F9"/>
    <w:rsid w:val="00AC7830"/>
    <w:rsid w:val="00AD3319"/>
    <w:rsid w:val="00AD4141"/>
    <w:rsid w:val="00AD420E"/>
    <w:rsid w:val="00AD550B"/>
    <w:rsid w:val="00AD5CBD"/>
    <w:rsid w:val="00AD5FF5"/>
    <w:rsid w:val="00AE05C0"/>
    <w:rsid w:val="00AF1F6C"/>
    <w:rsid w:val="00AF2F2C"/>
    <w:rsid w:val="00B008C7"/>
    <w:rsid w:val="00B0165A"/>
    <w:rsid w:val="00B017AD"/>
    <w:rsid w:val="00B01E28"/>
    <w:rsid w:val="00B0231F"/>
    <w:rsid w:val="00B02495"/>
    <w:rsid w:val="00B03014"/>
    <w:rsid w:val="00B0595B"/>
    <w:rsid w:val="00B10D12"/>
    <w:rsid w:val="00B119F7"/>
    <w:rsid w:val="00B11F68"/>
    <w:rsid w:val="00B1694F"/>
    <w:rsid w:val="00B1758A"/>
    <w:rsid w:val="00B2058B"/>
    <w:rsid w:val="00B2236A"/>
    <w:rsid w:val="00B27C3A"/>
    <w:rsid w:val="00B3027C"/>
    <w:rsid w:val="00B3270B"/>
    <w:rsid w:val="00B33CF8"/>
    <w:rsid w:val="00B33E80"/>
    <w:rsid w:val="00B3547D"/>
    <w:rsid w:val="00B36162"/>
    <w:rsid w:val="00B36D0F"/>
    <w:rsid w:val="00B4072D"/>
    <w:rsid w:val="00B424F2"/>
    <w:rsid w:val="00B436DA"/>
    <w:rsid w:val="00B46BB4"/>
    <w:rsid w:val="00B47389"/>
    <w:rsid w:val="00B53139"/>
    <w:rsid w:val="00B575D0"/>
    <w:rsid w:val="00B61D82"/>
    <w:rsid w:val="00B623DA"/>
    <w:rsid w:val="00B65183"/>
    <w:rsid w:val="00B66A97"/>
    <w:rsid w:val="00B70996"/>
    <w:rsid w:val="00B71911"/>
    <w:rsid w:val="00B75ECB"/>
    <w:rsid w:val="00B76E6F"/>
    <w:rsid w:val="00B77ECA"/>
    <w:rsid w:val="00B80849"/>
    <w:rsid w:val="00B819CA"/>
    <w:rsid w:val="00B82DED"/>
    <w:rsid w:val="00B836DA"/>
    <w:rsid w:val="00B845AE"/>
    <w:rsid w:val="00B8652C"/>
    <w:rsid w:val="00B869D5"/>
    <w:rsid w:val="00B86CBC"/>
    <w:rsid w:val="00B93973"/>
    <w:rsid w:val="00B94487"/>
    <w:rsid w:val="00B96A0D"/>
    <w:rsid w:val="00B96E20"/>
    <w:rsid w:val="00BA3ADB"/>
    <w:rsid w:val="00BA49FF"/>
    <w:rsid w:val="00BA5123"/>
    <w:rsid w:val="00BA6E6A"/>
    <w:rsid w:val="00BA746B"/>
    <w:rsid w:val="00BA76F0"/>
    <w:rsid w:val="00BA79B8"/>
    <w:rsid w:val="00BB2AA2"/>
    <w:rsid w:val="00BB3B39"/>
    <w:rsid w:val="00BB5241"/>
    <w:rsid w:val="00BB5DB4"/>
    <w:rsid w:val="00BB6270"/>
    <w:rsid w:val="00BB776E"/>
    <w:rsid w:val="00BB7C45"/>
    <w:rsid w:val="00BC329A"/>
    <w:rsid w:val="00BC66C6"/>
    <w:rsid w:val="00BC6C49"/>
    <w:rsid w:val="00BD0EF0"/>
    <w:rsid w:val="00BD2709"/>
    <w:rsid w:val="00BD4075"/>
    <w:rsid w:val="00BD76CA"/>
    <w:rsid w:val="00BD7925"/>
    <w:rsid w:val="00BE0297"/>
    <w:rsid w:val="00BE42E9"/>
    <w:rsid w:val="00BE5AEA"/>
    <w:rsid w:val="00BE6D69"/>
    <w:rsid w:val="00BF1FE9"/>
    <w:rsid w:val="00BF3E9C"/>
    <w:rsid w:val="00BF58D5"/>
    <w:rsid w:val="00BF643B"/>
    <w:rsid w:val="00BF758B"/>
    <w:rsid w:val="00C00417"/>
    <w:rsid w:val="00C07AA5"/>
    <w:rsid w:val="00C10C23"/>
    <w:rsid w:val="00C11FE9"/>
    <w:rsid w:val="00C12604"/>
    <w:rsid w:val="00C14A67"/>
    <w:rsid w:val="00C162FC"/>
    <w:rsid w:val="00C1706F"/>
    <w:rsid w:val="00C179EF"/>
    <w:rsid w:val="00C20E96"/>
    <w:rsid w:val="00C22E2E"/>
    <w:rsid w:val="00C238C6"/>
    <w:rsid w:val="00C23BD1"/>
    <w:rsid w:val="00C2737F"/>
    <w:rsid w:val="00C327BC"/>
    <w:rsid w:val="00C32B18"/>
    <w:rsid w:val="00C33131"/>
    <w:rsid w:val="00C412D8"/>
    <w:rsid w:val="00C50F12"/>
    <w:rsid w:val="00C549D7"/>
    <w:rsid w:val="00C54C23"/>
    <w:rsid w:val="00C54C51"/>
    <w:rsid w:val="00C55359"/>
    <w:rsid w:val="00C55E04"/>
    <w:rsid w:val="00C60503"/>
    <w:rsid w:val="00C609CD"/>
    <w:rsid w:val="00C645D4"/>
    <w:rsid w:val="00C70146"/>
    <w:rsid w:val="00C70625"/>
    <w:rsid w:val="00C70974"/>
    <w:rsid w:val="00C71DD5"/>
    <w:rsid w:val="00C73B44"/>
    <w:rsid w:val="00C768DC"/>
    <w:rsid w:val="00C76DBA"/>
    <w:rsid w:val="00C779C4"/>
    <w:rsid w:val="00C83666"/>
    <w:rsid w:val="00C8394C"/>
    <w:rsid w:val="00C83F23"/>
    <w:rsid w:val="00C852AD"/>
    <w:rsid w:val="00C858FD"/>
    <w:rsid w:val="00C87F33"/>
    <w:rsid w:val="00C94822"/>
    <w:rsid w:val="00C96AD2"/>
    <w:rsid w:val="00C97045"/>
    <w:rsid w:val="00CA071B"/>
    <w:rsid w:val="00CA7C21"/>
    <w:rsid w:val="00CB43AE"/>
    <w:rsid w:val="00CB749F"/>
    <w:rsid w:val="00CC1C7C"/>
    <w:rsid w:val="00CC2056"/>
    <w:rsid w:val="00CC25DA"/>
    <w:rsid w:val="00CC2944"/>
    <w:rsid w:val="00CC51B3"/>
    <w:rsid w:val="00CC6E7E"/>
    <w:rsid w:val="00CD3B79"/>
    <w:rsid w:val="00CD50C6"/>
    <w:rsid w:val="00CD6539"/>
    <w:rsid w:val="00CD7910"/>
    <w:rsid w:val="00CE0275"/>
    <w:rsid w:val="00CE074D"/>
    <w:rsid w:val="00CE1468"/>
    <w:rsid w:val="00CE35A6"/>
    <w:rsid w:val="00CE3DB1"/>
    <w:rsid w:val="00CF053C"/>
    <w:rsid w:val="00CF0D8C"/>
    <w:rsid w:val="00CF16D3"/>
    <w:rsid w:val="00CF44EB"/>
    <w:rsid w:val="00CF7F1F"/>
    <w:rsid w:val="00D03013"/>
    <w:rsid w:val="00D05C3A"/>
    <w:rsid w:val="00D06E93"/>
    <w:rsid w:val="00D07017"/>
    <w:rsid w:val="00D14407"/>
    <w:rsid w:val="00D14A8F"/>
    <w:rsid w:val="00D254F7"/>
    <w:rsid w:val="00D26B64"/>
    <w:rsid w:val="00D26E58"/>
    <w:rsid w:val="00D2740E"/>
    <w:rsid w:val="00D27A10"/>
    <w:rsid w:val="00D3243B"/>
    <w:rsid w:val="00D32DD0"/>
    <w:rsid w:val="00D342C9"/>
    <w:rsid w:val="00D347FB"/>
    <w:rsid w:val="00D432D8"/>
    <w:rsid w:val="00D432F7"/>
    <w:rsid w:val="00D46186"/>
    <w:rsid w:val="00D46956"/>
    <w:rsid w:val="00D50675"/>
    <w:rsid w:val="00D558A1"/>
    <w:rsid w:val="00D55D0D"/>
    <w:rsid w:val="00D56161"/>
    <w:rsid w:val="00D57B63"/>
    <w:rsid w:val="00D57E8A"/>
    <w:rsid w:val="00D61124"/>
    <w:rsid w:val="00D617F4"/>
    <w:rsid w:val="00D619FB"/>
    <w:rsid w:val="00D63123"/>
    <w:rsid w:val="00D6425E"/>
    <w:rsid w:val="00D647EE"/>
    <w:rsid w:val="00D64DAD"/>
    <w:rsid w:val="00D65000"/>
    <w:rsid w:val="00D66556"/>
    <w:rsid w:val="00D666ED"/>
    <w:rsid w:val="00D669AB"/>
    <w:rsid w:val="00D67686"/>
    <w:rsid w:val="00D67C2C"/>
    <w:rsid w:val="00D70B09"/>
    <w:rsid w:val="00D75460"/>
    <w:rsid w:val="00D765BC"/>
    <w:rsid w:val="00D802C3"/>
    <w:rsid w:val="00D837E9"/>
    <w:rsid w:val="00D85D02"/>
    <w:rsid w:val="00D9008B"/>
    <w:rsid w:val="00D91D03"/>
    <w:rsid w:val="00D925BE"/>
    <w:rsid w:val="00D931BB"/>
    <w:rsid w:val="00D93909"/>
    <w:rsid w:val="00D93BA8"/>
    <w:rsid w:val="00D940DF"/>
    <w:rsid w:val="00D95657"/>
    <w:rsid w:val="00D95900"/>
    <w:rsid w:val="00DA16A8"/>
    <w:rsid w:val="00DA1B15"/>
    <w:rsid w:val="00DA4D5A"/>
    <w:rsid w:val="00DA513E"/>
    <w:rsid w:val="00DA6077"/>
    <w:rsid w:val="00DB00C6"/>
    <w:rsid w:val="00DB0E73"/>
    <w:rsid w:val="00DB20C0"/>
    <w:rsid w:val="00DB23AE"/>
    <w:rsid w:val="00DB4A1C"/>
    <w:rsid w:val="00DB4D57"/>
    <w:rsid w:val="00DB70B5"/>
    <w:rsid w:val="00DB7A60"/>
    <w:rsid w:val="00DC39A5"/>
    <w:rsid w:val="00DC3BCD"/>
    <w:rsid w:val="00DC6DC3"/>
    <w:rsid w:val="00DD177F"/>
    <w:rsid w:val="00DD4342"/>
    <w:rsid w:val="00DD7C4C"/>
    <w:rsid w:val="00DE00F4"/>
    <w:rsid w:val="00DE0803"/>
    <w:rsid w:val="00DE3BFD"/>
    <w:rsid w:val="00DE5701"/>
    <w:rsid w:val="00DE5B8C"/>
    <w:rsid w:val="00DF020C"/>
    <w:rsid w:val="00DF083A"/>
    <w:rsid w:val="00DF1064"/>
    <w:rsid w:val="00DF32C3"/>
    <w:rsid w:val="00DF3688"/>
    <w:rsid w:val="00DF48C0"/>
    <w:rsid w:val="00E02A22"/>
    <w:rsid w:val="00E05C2C"/>
    <w:rsid w:val="00E06141"/>
    <w:rsid w:val="00E06200"/>
    <w:rsid w:val="00E074BB"/>
    <w:rsid w:val="00E118BB"/>
    <w:rsid w:val="00E11A4F"/>
    <w:rsid w:val="00E1353F"/>
    <w:rsid w:val="00E13B91"/>
    <w:rsid w:val="00E13DE5"/>
    <w:rsid w:val="00E1451E"/>
    <w:rsid w:val="00E17185"/>
    <w:rsid w:val="00E17439"/>
    <w:rsid w:val="00E22C0C"/>
    <w:rsid w:val="00E236BD"/>
    <w:rsid w:val="00E238B6"/>
    <w:rsid w:val="00E23AC7"/>
    <w:rsid w:val="00E24147"/>
    <w:rsid w:val="00E25FAB"/>
    <w:rsid w:val="00E2630F"/>
    <w:rsid w:val="00E30AB9"/>
    <w:rsid w:val="00E36DA1"/>
    <w:rsid w:val="00E37783"/>
    <w:rsid w:val="00E400AC"/>
    <w:rsid w:val="00E40B02"/>
    <w:rsid w:val="00E41901"/>
    <w:rsid w:val="00E43411"/>
    <w:rsid w:val="00E4666F"/>
    <w:rsid w:val="00E5236F"/>
    <w:rsid w:val="00E53922"/>
    <w:rsid w:val="00E53BE3"/>
    <w:rsid w:val="00E53D5A"/>
    <w:rsid w:val="00E55A40"/>
    <w:rsid w:val="00E56245"/>
    <w:rsid w:val="00E5739D"/>
    <w:rsid w:val="00E601D9"/>
    <w:rsid w:val="00E605B7"/>
    <w:rsid w:val="00E63E8C"/>
    <w:rsid w:val="00E66ECC"/>
    <w:rsid w:val="00E7075B"/>
    <w:rsid w:val="00E754FE"/>
    <w:rsid w:val="00E80780"/>
    <w:rsid w:val="00E80F49"/>
    <w:rsid w:val="00E81D14"/>
    <w:rsid w:val="00E827F5"/>
    <w:rsid w:val="00E91A0D"/>
    <w:rsid w:val="00EA2D87"/>
    <w:rsid w:val="00EA4AB7"/>
    <w:rsid w:val="00EA57D5"/>
    <w:rsid w:val="00EA6AA1"/>
    <w:rsid w:val="00EA7C6E"/>
    <w:rsid w:val="00EB1846"/>
    <w:rsid w:val="00EB1E95"/>
    <w:rsid w:val="00EB7ACA"/>
    <w:rsid w:val="00EC11F5"/>
    <w:rsid w:val="00EC37FF"/>
    <w:rsid w:val="00EC4AB0"/>
    <w:rsid w:val="00EC5047"/>
    <w:rsid w:val="00EC7116"/>
    <w:rsid w:val="00EC7B55"/>
    <w:rsid w:val="00ED08BD"/>
    <w:rsid w:val="00ED1843"/>
    <w:rsid w:val="00ED262C"/>
    <w:rsid w:val="00ED2722"/>
    <w:rsid w:val="00ED4DDF"/>
    <w:rsid w:val="00ED6BEF"/>
    <w:rsid w:val="00ED6D74"/>
    <w:rsid w:val="00ED6FBE"/>
    <w:rsid w:val="00ED78E3"/>
    <w:rsid w:val="00ED7C46"/>
    <w:rsid w:val="00EE1E05"/>
    <w:rsid w:val="00EE4285"/>
    <w:rsid w:val="00EE73AB"/>
    <w:rsid w:val="00EF0CD0"/>
    <w:rsid w:val="00F02262"/>
    <w:rsid w:val="00F046BD"/>
    <w:rsid w:val="00F11235"/>
    <w:rsid w:val="00F13C4D"/>
    <w:rsid w:val="00F17E93"/>
    <w:rsid w:val="00F21D96"/>
    <w:rsid w:val="00F26397"/>
    <w:rsid w:val="00F2646A"/>
    <w:rsid w:val="00F33BFB"/>
    <w:rsid w:val="00F37F1E"/>
    <w:rsid w:val="00F40097"/>
    <w:rsid w:val="00F4037C"/>
    <w:rsid w:val="00F40948"/>
    <w:rsid w:val="00F40FAB"/>
    <w:rsid w:val="00F4162F"/>
    <w:rsid w:val="00F41A5C"/>
    <w:rsid w:val="00F41CBF"/>
    <w:rsid w:val="00F423C6"/>
    <w:rsid w:val="00F4351F"/>
    <w:rsid w:val="00F45723"/>
    <w:rsid w:val="00F46BF7"/>
    <w:rsid w:val="00F514DC"/>
    <w:rsid w:val="00F55B27"/>
    <w:rsid w:val="00F65E35"/>
    <w:rsid w:val="00F77F18"/>
    <w:rsid w:val="00F8509C"/>
    <w:rsid w:val="00F86634"/>
    <w:rsid w:val="00F86861"/>
    <w:rsid w:val="00F911B0"/>
    <w:rsid w:val="00F935F6"/>
    <w:rsid w:val="00F93AFA"/>
    <w:rsid w:val="00F93C06"/>
    <w:rsid w:val="00F94C4C"/>
    <w:rsid w:val="00F963B2"/>
    <w:rsid w:val="00F96515"/>
    <w:rsid w:val="00F97179"/>
    <w:rsid w:val="00FA6358"/>
    <w:rsid w:val="00FB15A4"/>
    <w:rsid w:val="00FB27BD"/>
    <w:rsid w:val="00FB3E51"/>
    <w:rsid w:val="00FB49BE"/>
    <w:rsid w:val="00FC32E1"/>
    <w:rsid w:val="00FC360E"/>
    <w:rsid w:val="00FC5767"/>
    <w:rsid w:val="00FC6DC4"/>
    <w:rsid w:val="00FD04C6"/>
    <w:rsid w:val="00FD0ADF"/>
    <w:rsid w:val="00FD27EF"/>
    <w:rsid w:val="00FD30B4"/>
    <w:rsid w:val="00FD6BAA"/>
    <w:rsid w:val="00FD7A26"/>
    <w:rsid w:val="00FE0E2B"/>
    <w:rsid w:val="00FE20E9"/>
    <w:rsid w:val="00FE51F4"/>
    <w:rsid w:val="00FE68DD"/>
    <w:rsid w:val="00FF085F"/>
    <w:rsid w:val="00FF1B06"/>
    <w:rsid w:val="00FF447A"/>
    <w:rsid w:val="00FF60E8"/>
    <w:rsid w:val="00FF6A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6A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98A"/>
    <w:pPr>
      <w:spacing w:line="240" w:lineRule="auto"/>
    </w:pPr>
    <w:rPr>
      <w:rFonts w:ascii="Times New Roman" w:hAnsi="Times New Roman"/>
    </w:rPr>
  </w:style>
  <w:style w:type="paragraph" w:styleId="Heading1">
    <w:name w:val="heading 1"/>
    <w:basedOn w:val="Normal"/>
    <w:next w:val="Normal"/>
    <w:link w:val="Heading1Char"/>
    <w:uiPriority w:val="9"/>
    <w:qFormat/>
    <w:rsid w:val="00462BA7"/>
    <w:pPr>
      <w:keepNext/>
      <w:spacing w:line="360" w:lineRule="auto"/>
      <w:jc w:val="center"/>
      <w:outlineLvl w:val="0"/>
    </w:pPr>
    <w:rPr>
      <w:rFonts w:eastAsia="Times New Roman" w:cs="Times New Roman"/>
      <w:b/>
      <w:bCs/>
      <w:sz w:val="24"/>
      <w:szCs w:val="24"/>
    </w:rPr>
  </w:style>
  <w:style w:type="paragraph" w:styleId="Heading2">
    <w:name w:val="heading 2"/>
    <w:basedOn w:val="Normal"/>
    <w:next w:val="Normal"/>
    <w:link w:val="Heading2Char"/>
    <w:qFormat/>
    <w:rsid w:val="00462BA7"/>
    <w:pPr>
      <w:keepNext/>
      <w:spacing w:line="360" w:lineRule="auto"/>
      <w:outlineLvl w:val="1"/>
    </w:pPr>
    <w:rPr>
      <w:rFonts w:eastAsia="Times New Roman" w:cs="Times New Roman"/>
      <w:b/>
      <w:bCs/>
      <w:iCs/>
      <w:sz w:val="24"/>
      <w:szCs w:val="24"/>
    </w:rPr>
  </w:style>
  <w:style w:type="paragraph" w:styleId="Heading3">
    <w:name w:val="heading 3"/>
    <w:basedOn w:val="Heading2"/>
    <w:next w:val="Normal"/>
    <w:link w:val="Heading3Char"/>
    <w:qFormat/>
    <w:rsid w:val="00462BA7"/>
    <w:pPr>
      <w:outlineLvl w:val="2"/>
    </w:pPr>
  </w:style>
  <w:style w:type="paragraph" w:styleId="Heading4">
    <w:name w:val="heading 4"/>
    <w:basedOn w:val="Heading3"/>
    <w:next w:val="Normal"/>
    <w:link w:val="Heading4Char"/>
    <w:qFormat/>
    <w:rsid w:val="00FE0E2B"/>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398A"/>
    <w:pPr>
      <w:spacing w:line="240" w:lineRule="auto"/>
    </w:pPr>
    <w:rPr>
      <w:rFonts w:ascii="Times New Roman" w:hAnsi="Times New Roman"/>
    </w:rPr>
  </w:style>
  <w:style w:type="character" w:customStyle="1" w:styleId="Heading1Char">
    <w:name w:val="Heading 1 Char"/>
    <w:basedOn w:val="DefaultParagraphFont"/>
    <w:link w:val="Heading1"/>
    <w:uiPriority w:val="9"/>
    <w:rsid w:val="00462BA7"/>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462BA7"/>
    <w:rPr>
      <w:rFonts w:ascii="Times New Roman" w:eastAsia="Times New Roman" w:hAnsi="Times New Roman" w:cs="Times New Roman"/>
      <w:b/>
      <w:bCs/>
      <w:iCs/>
      <w:sz w:val="24"/>
      <w:szCs w:val="24"/>
    </w:rPr>
  </w:style>
  <w:style w:type="character" w:customStyle="1" w:styleId="Heading3Char">
    <w:name w:val="Heading 3 Char"/>
    <w:basedOn w:val="DefaultParagraphFont"/>
    <w:link w:val="Heading3"/>
    <w:rsid w:val="00462BA7"/>
    <w:rPr>
      <w:rFonts w:ascii="Times New Roman" w:eastAsia="Times New Roman" w:hAnsi="Times New Roman" w:cs="Times New Roman"/>
      <w:b/>
      <w:bCs/>
      <w:iCs/>
      <w:sz w:val="24"/>
      <w:szCs w:val="24"/>
    </w:rPr>
  </w:style>
  <w:style w:type="paragraph" w:styleId="BodyText">
    <w:name w:val="Body Text"/>
    <w:basedOn w:val="Normal"/>
    <w:link w:val="BodyTextChar"/>
    <w:rsid w:val="00462BA7"/>
    <w:pPr>
      <w:spacing w:after="120"/>
    </w:pPr>
    <w:rPr>
      <w:rFonts w:eastAsia="Times New Roman" w:cs="Times New Roman"/>
      <w:sz w:val="24"/>
      <w:szCs w:val="24"/>
    </w:rPr>
  </w:style>
  <w:style w:type="character" w:customStyle="1" w:styleId="BodyTextChar">
    <w:name w:val="Body Text Char"/>
    <w:basedOn w:val="DefaultParagraphFont"/>
    <w:link w:val="BodyText"/>
    <w:rsid w:val="00462BA7"/>
    <w:rPr>
      <w:rFonts w:ascii="Times New Roman" w:eastAsia="Times New Roman" w:hAnsi="Times New Roman" w:cs="Times New Roman"/>
      <w:sz w:val="24"/>
      <w:szCs w:val="24"/>
    </w:rPr>
  </w:style>
  <w:style w:type="paragraph" w:styleId="FootnoteText">
    <w:name w:val="footnote text"/>
    <w:aliases w:val="Footnote Text Char Char,Footnote Text Char1 Char Char,Footnote Text Char Char Char Char,Footnote Text Char Char1,ALTS FOOTNOTE,fn,Char,Char4,Footnote Text - Preamble,Char2,Footnote Text - Preamble1,Char3,f,Footnote Text Char Char2,fn1"/>
    <w:basedOn w:val="Normal"/>
    <w:link w:val="FootnoteTextChar"/>
    <w:uiPriority w:val="99"/>
    <w:rsid w:val="00462BA7"/>
    <w:rPr>
      <w:rFonts w:eastAsia="Times New Roman" w:cs="Times New Roman"/>
      <w:sz w:val="20"/>
      <w:szCs w:val="20"/>
    </w:rPr>
  </w:style>
  <w:style w:type="character" w:customStyle="1" w:styleId="FootnoteTextChar">
    <w:name w:val="Footnote Text Char"/>
    <w:aliases w:val="Footnote Text Char Char Char,Footnote Text Char1 Char Char Char,Footnote Text Char Char Char Char Char,Footnote Text Char Char1 Char,ALTS FOOTNOTE Char,fn Char,Char Char,Char4 Char,Footnote Text - Preamble Char,Char2 Char,Char3 Char"/>
    <w:basedOn w:val="DefaultParagraphFont"/>
    <w:link w:val="FootnoteText"/>
    <w:uiPriority w:val="99"/>
    <w:rsid w:val="00462BA7"/>
    <w:rPr>
      <w:rFonts w:ascii="Times New Roman" w:eastAsia="Times New Roman" w:hAnsi="Times New Roman" w:cs="Times New Roman"/>
      <w:sz w:val="20"/>
      <w:szCs w:val="20"/>
    </w:rPr>
  </w:style>
  <w:style w:type="character" w:styleId="FootnoteReference">
    <w:name w:val="footnote reference"/>
    <w:uiPriority w:val="99"/>
    <w:rsid w:val="00462BA7"/>
    <w:rPr>
      <w:vertAlign w:val="superscript"/>
    </w:rPr>
  </w:style>
  <w:style w:type="paragraph" w:customStyle="1" w:styleId="Level9">
    <w:name w:val="Level 9"/>
    <w:basedOn w:val="Normal"/>
    <w:rsid w:val="00462BA7"/>
    <w:pPr>
      <w:widowControl w:val="0"/>
    </w:pPr>
    <w:rPr>
      <w:rFonts w:eastAsia="Times New Roman" w:cs="Times New Roman"/>
      <w:b/>
      <w:sz w:val="24"/>
      <w:szCs w:val="20"/>
    </w:rPr>
  </w:style>
  <w:style w:type="paragraph" w:customStyle="1" w:styleId="BodyTextI2">
    <w:name w:val="Body Text I2"/>
    <w:basedOn w:val="Normal"/>
    <w:rsid w:val="00462BA7"/>
    <w:pPr>
      <w:spacing w:line="360" w:lineRule="auto"/>
      <w:ind w:firstLine="720"/>
    </w:pPr>
    <w:rPr>
      <w:rFonts w:eastAsia="Times New Roman" w:cs="Times New Roman"/>
      <w:sz w:val="24"/>
      <w:szCs w:val="20"/>
    </w:rPr>
  </w:style>
  <w:style w:type="paragraph" w:styleId="ListParagraph">
    <w:name w:val="List Paragraph"/>
    <w:basedOn w:val="Normal"/>
    <w:uiPriority w:val="34"/>
    <w:qFormat/>
    <w:rsid w:val="00462BA7"/>
    <w:pPr>
      <w:spacing w:after="200" w:line="276" w:lineRule="auto"/>
      <w:ind w:left="720"/>
      <w:contextualSpacing/>
    </w:pPr>
    <w:rPr>
      <w:rFonts w:ascii="Calibri" w:eastAsia="Times New Roman" w:hAnsi="Calibri" w:cs="Times New Roman"/>
    </w:rPr>
  </w:style>
  <w:style w:type="paragraph" w:customStyle="1" w:styleId="Default">
    <w:name w:val="Default"/>
    <w:rsid w:val="00462BA7"/>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Resume">
    <w:name w:val="Resume"/>
    <w:basedOn w:val="Normal"/>
    <w:rsid w:val="00462BA7"/>
    <w:pPr>
      <w:tabs>
        <w:tab w:val="left" w:pos="2160"/>
        <w:tab w:val="right" w:pos="9360"/>
      </w:tabs>
      <w:autoSpaceDE w:val="0"/>
      <w:autoSpaceDN w:val="0"/>
      <w:adjustRightInd w:val="0"/>
      <w:jc w:val="both"/>
    </w:pPr>
    <w:rPr>
      <w:rFonts w:eastAsia="Times New Roman" w:cs="Times New Roman"/>
      <w:sz w:val="20"/>
      <w:szCs w:val="24"/>
    </w:rPr>
  </w:style>
  <w:style w:type="paragraph" w:styleId="BalloonText">
    <w:name w:val="Balloon Text"/>
    <w:basedOn w:val="Normal"/>
    <w:link w:val="BalloonTextChar"/>
    <w:uiPriority w:val="99"/>
    <w:semiHidden/>
    <w:unhideWhenUsed/>
    <w:rsid w:val="00462BA7"/>
    <w:rPr>
      <w:rFonts w:ascii="Tahoma" w:hAnsi="Tahoma" w:cs="Tahoma"/>
      <w:sz w:val="16"/>
      <w:szCs w:val="16"/>
    </w:rPr>
  </w:style>
  <w:style w:type="character" w:customStyle="1" w:styleId="BalloonTextChar">
    <w:name w:val="Balloon Text Char"/>
    <w:basedOn w:val="DefaultParagraphFont"/>
    <w:link w:val="BalloonText"/>
    <w:uiPriority w:val="99"/>
    <w:semiHidden/>
    <w:rsid w:val="00462BA7"/>
    <w:rPr>
      <w:rFonts w:ascii="Tahoma" w:hAnsi="Tahoma" w:cs="Tahoma"/>
      <w:sz w:val="16"/>
      <w:szCs w:val="16"/>
    </w:rPr>
  </w:style>
  <w:style w:type="character" w:customStyle="1" w:styleId="Heading4Char">
    <w:name w:val="Heading 4 Char"/>
    <w:basedOn w:val="DefaultParagraphFont"/>
    <w:link w:val="Heading4"/>
    <w:rsid w:val="00FE0E2B"/>
    <w:rPr>
      <w:rFonts w:ascii="Times New Roman" w:eastAsia="Times New Roman" w:hAnsi="Times New Roman" w:cs="Times New Roman"/>
      <w:b/>
      <w:bCs/>
      <w:iCs/>
      <w:sz w:val="24"/>
      <w:szCs w:val="24"/>
    </w:rPr>
  </w:style>
  <w:style w:type="character" w:styleId="CommentReference">
    <w:name w:val="annotation reference"/>
    <w:uiPriority w:val="99"/>
    <w:rsid w:val="00FE0E2B"/>
    <w:rPr>
      <w:sz w:val="16"/>
      <w:szCs w:val="16"/>
    </w:rPr>
  </w:style>
  <w:style w:type="paragraph" w:styleId="CommentText">
    <w:name w:val="annotation text"/>
    <w:basedOn w:val="Normal"/>
    <w:link w:val="CommentTextChar1"/>
    <w:uiPriority w:val="99"/>
    <w:rsid w:val="00FE0E2B"/>
    <w:rPr>
      <w:rFonts w:eastAsia="Times New Roman" w:cs="Times New Roman"/>
      <w:sz w:val="20"/>
      <w:szCs w:val="20"/>
    </w:rPr>
  </w:style>
  <w:style w:type="character" w:customStyle="1" w:styleId="CommentTextChar">
    <w:name w:val="Comment Text Char"/>
    <w:basedOn w:val="DefaultParagraphFont"/>
    <w:uiPriority w:val="99"/>
    <w:semiHidden/>
    <w:rsid w:val="00FE0E2B"/>
    <w:rPr>
      <w:rFonts w:ascii="Times New Roman" w:hAnsi="Times New Roman"/>
      <w:sz w:val="20"/>
      <w:szCs w:val="20"/>
    </w:rPr>
  </w:style>
  <w:style w:type="paragraph" w:styleId="Header">
    <w:name w:val="header"/>
    <w:basedOn w:val="Normal"/>
    <w:link w:val="HeaderChar"/>
    <w:uiPriority w:val="99"/>
    <w:rsid w:val="00FE0E2B"/>
    <w:pPr>
      <w:tabs>
        <w:tab w:val="center" w:pos="4320"/>
        <w:tab w:val="right" w:pos="8640"/>
      </w:tabs>
    </w:pPr>
    <w:rPr>
      <w:rFonts w:eastAsia="Times New Roman" w:cs="Times New Roman"/>
      <w:sz w:val="24"/>
      <w:szCs w:val="24"/>
    </w:rPr>
  </w:style>
  <w:style w:type="character" w:customStyle="1" w:styleId="HeaderChar">
    <w:name w:val="Header Char"/>
    <w:basedOn w:val="DefaultParagraphFont"/>
    <w:link w:val="Header"/>
    <w:uiPriority w:val="99"/>
    <w:rsid w:val="00FE0E2B"/>
    <w:rPr>
      <w:rFonts w:ascii="Times New Roman" w:eastAsia="Times New Roman" w:hAnsi="Times New Roman" w:cs="Times New Roman"/>
      <w:sz w:val="24"/>
      <w:szCs w:val="24"/>
    </w:rPr>
  </w:style>
  <w:style w:type="character" w:customStyle="1" w:styleId="CommentTextChar1">
    <w:name w:val="Comment Text Char1"/>
    <w:link w:val="CommentText"/>
    <w:locked/>
    <w:rsid w:val="00FE0E2B"/>
    <w:rPr>
      <w:rFonts w:ascii="Times New Roman" w:eastAsia="Times New Roman" w:hAnsi="Times New Roman" w:cs="Times New Roman"/>
      <w:sz w:val="20"/>
      <w:szCs w:val="20"/>
    </w:rPr>
  </w:style>
  <w:style w:type="character" w:customStyle="1" w:styleId="WPHyperlink">
    <w:name w:val="WP_Hyperlink"/>
    <w:basedOn w:val="DefaultParagraphFont"/>
    <w:rsid w:val="00650C2A"/>
    <w:rPr>
      <w:color w:val="0000FF"/>
      <w:u w:val="single"/>
    </w:rPr>
  </w:style>
  <w:style w:type="paragraph" w:styleId="BodyTextIndent">
    <w:name w:val="Body Text Indent"/>
    <w:basedOn w:val="Normal"/>
    <w:link w:val="BodyTextIndentChar"/>
    <w:rsid w:val="00650C2A"/>
    <w:pPr>
      <w:spacing w:line="360" w:lineRule="auto"/>
      <w:ind w:left="720" w:hanging="720"/>
    </w:pPr>
    <w:rPr>
      <w:rFonts w:eastAsia="Times New Roman" w:cs="Times New Roman"/>
      <w:sz w:val="24"/>
      <w:szCs w:val="24"/>
    </w:rPr>
  </w:style>
  <w:style w:type="character" w:customStyle="1" w:styleId="BodyTextIndentChar">
    <w:name w:val="Body Text Indent Char"/>
    <w:basedOn w:val="DefaultParagraphFont"/>
    <w:link w:val="BodyTextIndent"/>
    <w:rsid w:val="00650C2A"/>
    <w:rPr>
      <w:rFonts w:ascii="Times New Roman" w:eastAsia="Times New Roman" w:hAnsi="Times New Roman" w:cs="Times New Roman"/>
      <w:sz w:val="24"/>
      <w:szCs w:val="24"/>
    </w:rPr>
  </w:style>
  <w:style w:type="character" w:styleId="Hyperlink">
    <w:name w:val="Hyperlink"/>
    <w:uiPriority w:val="99"/>
    <w:rsid w:val="0091583F"/>
    <w:rPr>
      <w:color w:val="0000FF"/>
      <w:u w:val="single"/>
    </w:rPr>
  </w:style>
  <w:style w:type="character" w:customStyle="1" w:styleId="apple-converted-space">
    <w:name w:val="apple-converted-space"/>
    <w:basedOn w:val="DefaultParagraphFont"/>
    <w:rsid w:val="0091583F"/>
  </w:style>
  <w:style w:type="character" w:styleId="Emphasis">
    <w:name w:val="Emphasis"/>
    <w:basedOn w:val="DefaultParagraphFont"/>
    <w:uiPriority w:val="20"/>
    <w:qFormat/>
    <w:rsid w:val="0091583F"/>
    <w:rPr>
      <w:i/>
      <w:iCs/>
    </w:rPr>
  </w:style>
  <w:style w:type="paragraph" w:styleId="HTMLPreformatted">
    <w:name w:val="HTML Preformatted"/>
    <w:basedOn w:val="Normal"/>
    <w:link w:val="HTMLPreformattedChar"/>
    <w:uiPriority w:val="99"/>
    <w:semiHidden/>
    <w:unhideWhenUsed/>
    <w:rsid w:val="00915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1583F"/>
    <w:rPr>
      <w:rFonts w:ascii="Courier New" w:eastAsia="Times New Roman" w:hAnsi="Courier New" w:cs="Courier New"/>
      <w:sz w:val="20"/>
      <w:szCs w:val="20"/>
    </w:rPr>
  </w:style>
  <w:style w:type="paragraph" w:styleId="Footer">
    <w:name w:val="footer"/>
    <w:basedOn w:val="Normal"/>
    <w:link w:val="FooterChar"/>
    <w:uiPriority w:val="99"/>
    <w:rsid w:val="0091583F"/>
    <w:pPr>
      <w:tabs>
        <w:tab w:val="center" w:pos="4320"/>
        <w:tab w:val="right" w:pos="8640"/>
      </w:tabs>
    </w:pPr>
    <w:rPr>
      <w:rFonts w:eastAsia="Times New Roman" w:cs="Times New Roman"/>
      <w:sz w:val="24"/>
      <w:szCs w:val="24"/>
    </w:rPr>
  </w:style>
  <w:style w:type="character" w:customStyle="1" w:styleId="FooterChar">
    <w:name w:val="Footer Char"/>
    <w:basedOn w:val="DefaultParagraphFont"/>
    <w:link w:val="Footer"/>
    <w:uiPriority w:val="99"/>
    <w:rsid w:val="0091583F"/>
    <w:rPr>
      <w:rFonts w:ascii="Times New Roman" w:eastAsia="Times New Roman" w:hAnsi="Times New Roman" w:cs="Times New Roman"/>
      <w:sz w:val="24"/>
      <w:szCs w:val="24"/>
    </w:rPr>
  </w:style>
  <w:style w:type="character" w:styleId="PageNumber">
    <w:name w:val="page number"/>
    <w:basedOn w:val="DefaultParagraphFont"/>
    <w:rsid w:val="0091583F"/>
  </w:style>
  <w:style w:type="paragraph" w:styleId="TOC2">
    <w:name w:val="toc 2"/>
    <w:basedOn w:val="Normal"/>
    <w:next w:val="Normal"/>
    <w:autoRedefine/>
    <w:uiPriority w:val="39"/>
    <w:qFormat/>
    <w:rsid w:val="0091583F"/>
    <w:pPr>
      <w:tabs>
        <w:tab w:val="left" w:pos="720"/>
        <w:tab w:val="right" w:leader="dot" w:pos="9350"/>
      </w:tabs>
      <w:spacing w:line="360" w:lineRule="auto"/>
      <w:ind w:left="720" w:hanging="720"/>
    </w:pPr>
    <w:rPr>
      <w:rFonts w:eastAsia="Times New Roman" w:cs="Times New Roman"/>
      <w:sz w:val="24"/>
      <w:szCs w:val="24"/>
    </w:rPr>
  </w:style>
  <w:style w:type="paragraph" w:styleId="TOC1">
    <w:name w:val="toc 1"/>
    <w:basedOn w:val="Normal"/>
    <w:next w:val="Normal"/>
    <w:autoRedefine/>
    <w:uiPriority w:val="39"/>
    <w:qFormat/>
    <w:rsid w:val="0091583F"/>
    <w:pPr>
      <w:tabs>
        <w:tab w:val="left" w:pos="720"/>
        <w:tab w:val="right" w:leader="dot" w:pos="9350"/>
      </w:tabs>
      <w:spacing w:line="360" w:lineRule="auto"/>
      <w:ind w:left="720" w:hanging="720"/>
    </w:pPr>
    <w:rPr>
      <w:rFonts w:eastAsia="Times New Roman" w:cs="Times New Roman"/>
      <w:sz w:val="24"/>
      <w:szCs w:val="24"/>
    </w:rPr>
  </w:style>
  <w:style w:type="paragraph" w:styleId="TOC3">
    <w:name w:val="toc 3"/>
    <w:basedOn w:val="Normal"/>
    <w:next w:val="Normal"/>
    <w:autoRedefine/>
    <w:uiPriority w:val="39"/>
    <w:qFormat/>
    <w:rsid w:val="0091583F"/>
    <w:pPr>
      <w:tabs>
        <w:tab w:val="left" w:pos="0"/>
        <w:tab w:val="left" w:pos="720"/>
        <w:tab w:val="right" w:leader="dot" w:pos="9350"/>
      </w:tabs>
      <w:spacing w:line="360" w:lineRule="auto"/>
    </w:pPr>
    <w:rPr>
      <w:rFonts w:eastAsia="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8556E9"/>
    <w:rPr>
      <w:rFonts w:eastAsiaTheme="minorHAnsi" w:cstheme="minorBidi"/>
      <w:b/>
      <w:bCs/>
    </w:rPr>
  </w:style>
  <w:style w:type="character" w:customStyle="1" w:styleId="CommentSubjectChar">
    <w:name w:val="Comment Subject Char"/>
    <w:basedOn w:val="CommentTextChar1"/>
    <w:link w:val="CommentSubject"/>
    <w:uiPriority w:val="99"/>
    <w:semiHidden/>
    <w:rsid w:val="008556E9"/>
    <w:rPr>
      <w:rFonts w:ascii="Times New Roman" w:eastAsia="Times New Roman" w:hAnsi="Times New Roman" w:cs="Times New Roman"/>
      <w:b/>
      <w:bCs/>
      <w:sz w:val="20"/>
      <w:szCs w:val="20"/>
    </w:rPr>
  </w:style>
  <w:style w:type="paragraph" w:styleId="NormalWeb">
    <w:name w:val="Normal (Web)"/>
    <w:basedOn w:val="Normal"/>
    <w:uiPriority w:val="99"/>
    <w:rsid w:val="00CB749F"/>
    <w:pPr>
      <w:spacing w:before="100" w:beforeAutospacing="1" w:after="100" w:afterAutospacing="1"/>
    </w:pPr>
    <w:rPr>
      <w:rFonts w:eastAsia="Times New Roman" w:cs="Times New Roman"/>
      <w:sz w:val="24"/>
      <w:szCs w:val="24"/>
    </w:rPr>
  </w:style>
  <w:style w:type="character" w:styleId="FollowedHyperlink">
    <w:name w:val="FollowedHyperlink"/>
    <w:basedOn w:val="DefaultParagraphFont"/>
    <w:uiPriority w:val="99"/>
    <w:semiHidden/>
    <w:unhideWhenUsed/>
    <w:rsid w:val="007D73BD"/>
    <w:rPr>
      <w:color w:val="800080" w:themeColor="followedHyperlink"/>
      <w:u w:val="single"/>
    </w:rPr>
  </w:style>
  <w:style w:type="paragraph" w:customStyle="1" w:styleId="EndNoteBibliographyTitle">
    <w:name w:val="EndNote Bibliography Title"/>
    <w:basedOn w:val="Normal"/>
    <w:link w:val="EndNoteBibliographyTitleChar"/>
    <w:rsid w:val="00CF0D8C"/>
    <w:pPr>
      <w:jc w:val="center"/>
    </w:pPr>
    <w:rPr>
      <w:rFonts w:cs="Times New Roman"/>
      <w:noProof/>
    </w:rPr>
  </w:style>
  <w:style w:type="character" w:customStyle="1" w:styleId="EndNoteBibliographyTitleChar">
    <w:name w:val="EndNote Bibliography Title Char"/>
    <w:basedOn w:val="DefaultParagraphFont"/>
    <w:link w:val="EndNoteBibliographyTitle"/>
    <w:rsid w:val="00CF0D8C"/>
    <w:rPr>
      <w:rFonts w:ascii="Times New Roman" w:hAnsi="Times New Roman" w:cs="Times New Roman"/>
      <w:noProof/>
    </w:rPr>
  </w:style>
  <w:style w:type="paragraph" w:customStyle="1" w:styleId="EndNoteBibliography">
    <w:name w:val="EndNote Bibliography"/>
    <w:basedOn w:val="Normal"/>
    <w:link w:val="EndNoteBibliographyChar"/>
    <w:rsid w:val="00CF0D8C"/>
    <w:rPr>
      <w:rFonts w:cs="Times New Roman"/>
      <w:noProof/>
    </w:rPr>
  </w:style>
  <w:style w:type="character" w:customStyle="1" w:styleId="EndNoteBibliographyChar">
    <w:name w:val="EndNote Bibliography Char"/>
    <w:basedOn w:val="DefaultParagraphFont"/>
    <w:link w:val="EndNoteBibliography"/>
    <w:rsid w:val="00CF0D8C"/>
    <w:rPr>
      <w:rFonts w:ascii="Times New Roman" w:hAnsi="Times New Roman" w:cs="Times New Roman"/>
      <w:noProof/>
    </w:rPr>
  </w:style>
  <w:style w:type="paragraph" w:styleId="Revision">
    <w:name w:val="Revision"/>
    <w:hidden/>
    <w:uiPriority w:val="99"/>
    <w:semiHidden/>
    <w:rsid w:val="00B27C3A"/>
    <w:pPr>
      <w:spacing w:line="240" w:lineRule="auto"/>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98A"/>
    <w:pPr>
      <w:spacing w:line="240" w:lineRule="auto"/>
    </w:pPr>
    <w:rPr>
      <w:rFonts w:ascii="Times New Roman" w:hAnsi="Times New Roman"/>
    </w:rPr>
  </w:style>
  <w:style w:type="paragraph" w:styleId="Heading1">
    <w:name w:val="heading 1"/>
    <w:basedOn w:val="Normal"/>
    <w:next w:val="Normal"/>
    <w:link w:val="Heading1Char"/>
    <w:uiPriority w:val="9"/>
    <w:qFormat/>
    <w:rsid w:val="00462BA7"/>
    <w:pPr>
      <w:keepNext/>
      <w:spacing w:line="360" w:lineRule="auto"/>
      <w:jc w:val="center"/>
      <w:outlineLvl w:val="0"/>
    </w:pPr>
    <w:rPr>
      <w:rFonts w:eastAsia="Times New Roman" w:cs="Times New Roman"/>
      <w:b/>
      <w:bCs/>
      <w:sz w:val="24"/>
      <w:szCs w:val="24"/>
    </w:rPr>
  </w:style>
  <w:style w:type="paragraph" w:styleId="Heading2">
    <w:name w:val="heading 2"/>
    <w:basedOn w:val="Normal"/>
    <w:next w:val="Normal"/>
    <w:link w:val="Heading2Char"/>
    <w:qFormat/>
    <w:rsid w:val="00462BA7"/>
    <w:pPr>
      <w:keepNext/>
      <w:spacing w:line="360" w:lineRule="auto"/>
      <w:outlineLvl w:val="1"/>
    </w:pPr>
    <w:rPr>
      <w:rFonts w:eastAsia="Times New Roman" w:cs="Times New Roman"/>
      <w:b/>
      <w:bCs/>
      <w:iCs/>
      <w:sz w:val="24"/>
      <w:szCs w:val="24"/>
    </w:rPr>
  </w:style>
  <w:style w:type="paragraph" w:styleId="Heading3">
    <w:name w:val="heading 3"/>
    <w:basedOn w:val="Heading2"/>
    <w:next w:val="Normal"/>
    <w:link w:val="Heading3Char"/>
    <w:qFormat/>
    <w:rsid w:val="00462BA7"/>
    <w:pPr>
      <w:outlineLvl w:val="2"/>
    </w:pPr>
  </w:style>
  <w:style w:type="paragraph" w:styleId="Heading4">
    <w:name w:val="heading 4"/>
    <w:basedOn w:val="Heading3"/>
    <w:next w:val="Normal"/>
    <w:link w:val="Heading4Char"/>
    <w:qFormat/>
    <w:rsid w:val="00FE0E2B"/>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398A"/>
    <w:pPr>
      <w:spacing w:line="240" w:lineRule="auto"/>
    </w:pPr>
    <w:rPr>
      <w:rFonts w:ascii="Times New Roman" w:hAnsi="Times New Roman"/>
    </w:rPr>
  </w:style>
  <w:style w:type="character" w:customStyle="1" w:styleId="Heading1Char">
    <w:name w:val="Heading 1 Char"/>
    <w:basedOn w:val="DefaultParagraphFont"/>
    <w:link w:val="Heading1"/>
    <w:uiPriority w:val="9"/>
    <w:rsid w:val="00462BA7"/>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462BA7"/>
    <w:rPr>
      <w:rFonts w:ascii="Times New Roman" w:eastAsia="Times New Roman" w:hAnsi="Times New Roman" w:cs="Times New Roman"/>
      <w:b/>
      <w:bCs/>
      <w:iCs/>
      <w:sz w:val="24"/>
      <w:szCs w:val="24"/>
    </w:rPr>
  </w:style>
  <w:style w:type="character" w:customStyle="1" w:styleId="Heading3Char">
    <w:name w:val="Heading 3 Char"/>
    <w:basedOn w:val="DefaultParagraphFont"/>
    <w:link w:val="Heading3"/>
    <w:rsid w:val="00462BA7"/>
    <w:rPr>
      <w:rFonts w:ascii="Times New Roman" w:eastAsia="Times New Roman" w:hAnsi="Times New Roman" w:cs="Times New Roman"/>
      <w:b/>
      <w:bCs/>
      <w:iCs/>
      <w:sz w:val="24"/>
      <w:szCs w:val="24"/>
    </w:rPr>
  </w:style>
  <w:style w:type="paragraph" w:styleId="BodyText">
    <w:name w:val="Body Text"/>
    <w:basedOn w:val="Normal"/>
    <w:link w:val="BodyTextChar"/>
    <w:rsid w:val="00462BA7"/>
    <w:pPr>
      <w:spacing w:after="120"/>
    </w:pPr>
    <w:rPr>
      <w:rFonts w:eastAsia="Times New Roman" w:cs="Times New Roman"/>
      <w:sz w:val="24"/>
      <w:szCs w:val="24"/>
    </w:rPr>
  </w:style>
  <w:style w:type="character" w:customStyle="1" w:styleId="BodyTextChar">
    <w:name w:val="Body Text Char"/>
    <w:basedOn w:val="DefaultParagraphFont"/>
    <w:link w:val="BodyText"/>
    <w:rsid w:val="00462BA7"/>
    <w:rPr>
      <w:rFonts w:ascii="Times New Roman" w:eastAsia="Times New Roman" w:hAnsi="Times New Roman" w:cs="Times New Roman"/>
      <w:sz w:val="24"/>
      <w:szCs w:val="24"/>
    </w:rPr>
  </w:style>
  <w:style w:type="paragraph" w:styleId="FootnoteText">
    <w:name w:val="footnote text"/>
    <w:aliases w:val="Footnote Text Char Char,Footnote Text Char1 Char Char,Footnote Text Char Char Char Char,Footnote Text Char Char1,ALTS FOOTNOTE,fn,Char,Char4,Footnote Text - Preamble,Char2,Footnote Text - Preamble1,Char3,f,Footnote Text Char Char2,fn1"/>
    <w:basedOn w:val="Normal"/>
    <w:link w:val="FootnoteTextChar"/>
    <w:uiPriority w:val="99"/>
    <w:rsid w:val="00462BA7"/>
    <w:rPr>
      <w:rFonts w:eastAsia="Times New Roman" w:cs="Times New Roman"/>
      <w:sz w:val="20"/>
      <w:szCs w:val="20"/>
    </w:rPr>
  </w:style>
  <w:style w:type="character" w:customStyle="1" w:styleId="FootnoteTextChar">
    <w:name w:val="Footnote Text Char"/>
    <w:aliases w:val="Footnote Text Char Char Char,Footnote Text Char1 Char Char Char,Footnote Text Char Char Char Char Char,Footnote Text Char Char1 Char,ALTS FOOTNOTE Char,fn Char,Char Char,Char4 Char,Footnote Text - Preamble Char,Char2 Char,Char3 Char"/>
    <w:basedOn w:val="DefaultParagraphFont"/>
    <w:link w:val="FootnoteText"/>
    <w:uiPriority w:val="99"/>
    <w:rsid w:val="00462BA7"/>
    <w:rPr>
      <w:rFonts w:ascii="Times New Roman" w:eastAsia="Times New Roman" w:hAnsi="Times New Roman" w:cs="Times New Roman"/>
      <w:sz w:val="20"/>
      <w:szCs w:val="20"/>
    </w:rPr>
  </w:style>
  <w:style w:type="character" w:styleId="FootnoteReference">
    <w:name w:val="footnote reference"/>
    <w:uiPriority w:val="99"/>
    <w:rsid w:val="00462BA7"/>
    <w:rPr>
      <w:vertAlign w:val="superscript"/>
    </w:rPr>
  </w:style>
  <w:style w:type="paragraph" w:customStyle="1" w:styleId="Level9">
    <w:name w:val="Level 9"/>
    <w:basedOn w:val="Normal"/>
    <w:rsid w:val="00462BA7"/>
    <w:pPr>
      <w:widowControl w:val="0"/>
    </w:pPr>
    <w:rPr>
      <w:rFonts w:eastAsia="Times New Roman" w:cs="Times New Roman"/>
      <w:b/>
      <w:sz w:val="24"/>
      <w:szCs w:val="20"/>
    </w:rPr>
  </w:style>
  <w:style w:type="paragraph" w:customStyle="1" w:styleId="BodyTextI2">
    <w:name w:val="Body Text I2"/>
    <w:basedOn w:val="Normal"/>
    <w:rsid w:val="00462BA7"/>
    <w:pPr>
      <w:spacing w:line="360" w:lineRule="auto"/>
      <w:ind w:firstLine="720"/>
    </w:pPr>
    <w:rPr>
      <w:rFonts w:eastAsia="Times New Roman" w:cs="Times New Roman"/>
      <w:sz w:val="24"/>
      <w:szCs w:val="20"/>
    </w:rPr>
  </w:style>
  <w:style w:type="paragraph" w:styleId="ListParagraph">
    <w:name w:val="List Paragraph"/>
    <w:basedOn w:val="Normal"/>
    <w:uiPriority w:val="34"/>
    <w:qFormat/>
    <w:rsid w:val="00462BA7"/>
    <w:pPr>
      <w:spacing w:after="200" w:line="276" w:lineRule="auto"/>
      <w:ind w:left="720"/>
      <w:contextualSpacing/>
    </w:pPr>
    <w:rPr>
      <w:rFonts w:ascii="Calibri" w:eastAsia="Times New Roman" w:hAnsi="Calibri" w:cs="Times New Roman"/>
    </w:rPr>
  </w:style>
  <w:style w:type="paragraph" w:customStyle="1" w:styleId="Default">
    <w:name w:val="Default"/>
    <w:rsid w:val="00462BA7"/>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Resume">
    <w:name w:val="Resume"/>
    <w:basedOn w:val="Normal"/>
    <w:rsid w:val="00462BA7"/>
    <w:pPr>
      <w:tabs>
        <w:tab w:val="left" w:pos="2160"/>
        <w:tab w:val="right" w:pos="9360"/>
      </w:tabs>
      <w:autoSpaceDE w:val="0"/>
      <w:autoSpaceDN w:val="0"/>
      <w:adjustRightInd w:val="0"/>
      <w:jc w:val="both"/>
    </w:pPr>
    <w:rPr>
      <w:rFonts w:eastAsia="Times New Roman" w:cs="Times New Roman"/>
      <w:sz w:val="20"/>
      <w:szCs w:val="24"/>
    </w:rPr>
  </w:style>
  <w:style w:type="paragraph" w:styleId="BalloonText">
    <w:name w:val="Balloon Text"/>
    <w:basedOn w:val="Normal"/>
    <w:link w:val="BalloonTextChar"/>
    <w:uiPriority w:val="99"/>
    <w:semiHidden/>
    <w:unhideWhenUsed/>
    <w:rsid w:val="00462BA7"/>
    <w:rPr>
      <w:rFonts w:ascii="Tahoma" w:hAnsi="Tahoma" w:cs="Tahoma"/>
      <w:sz w:val="16"/>
      <w:szCs w:val="16"/>
    </w:rPr>
  </w:style>
  <w:style w:type="character" w:customStyle="1" w:styleId="BalloonTextChar">
    <w:name w:val="Balloon Text Char"/>
    <w:basedOn w:val="DefaultParagraphFont"/>
    <w:link w:val="BalloonText"/>
    <w:uiPriority w:val="99"/>
    <w:semiHidden/>
    <w:rsid w:val="00462BA7"/>
    <w:rPr>
      <w:rFonts w:ascii="Tahoma" w:hAnsi="Tahoma" w:cs="Tahoma"/>
      <w:sz w:val="16"/>
      <w:szCs w:val="16"/>
    </w:rPr>
  </w:style>
  <w:style w:type="character" w:customStyle="1" w:styleId="Heading4Char">
    <w:name w:val="Heading 4 Char"/>
    <w:basedOn w:val="DefaultParagraphFont"/>
    <w:link w:val="Heading4"/>
    <w:rsid w:val="00FE0E2B"/>
    <w:rPr>
      <w:rFonts w:ascii="Times New Roman" w:eastAsia="Times New Roman" w:hAnsi="Times New Roman" w:cs="Times New Roman"/>
      <w:b/>
      <w:bCs/>
      <w:iCs/>
      <w:sz w:val="24"/>
      <w:szCs w:val="24"/>
    </w:rPr>
  </w:style>
  <w:style w:type="character" w:styleId="CommentReference">
    <w:name w:val="annotation reference"/>
    <w:uiPriority w:val="99"/>
    <w:rsid w:val="00FE0E2B"/>
    <w:rPr>
      <w:sz w:val="16"/>
      <w:szCs w:val="16"/>
    </w:rPr>
  </w:style>
  <w:style w:type="paragraph" w:styleId="CommentText">
    <w:name w:val="annotation text"/>
    <w:basedOn w:val="Normal"/>
    <w:link w:val="CommentTextChar1"/>
    <w:uiPriority w:val="99"/>
    <w:rsid w:val="00FE0E2B"/>
    <w:rPr>
      <w:rFonts w:eastAsia="Times New Roman" w:cs="Times New Roman"/>
      <w:sz w:val="20"/>
      <w:szCs w:val="20"/>
    </w:rPr>
  </w:style>
  <w:style w:type="character" w:customStyle="1" w:styleId="CommentTextChar">
    <w:name w:val="Comment Text Char"/>
    <w:basedOn w:val="DefaultParagraphFont"/>
    <w:uiPriority w:val="99"/>
    <w:semiHidden/>
    <w:rsid w:val="00FE0E2B"/>
    <w:rPr>
      <w:rFonts w:ascii="Times New Roman" w:hAnsi="Times New Roman"/>
      <w:sz w:val="20"/>
      <w:szCs w:val="20"/>
    </w:rPr>
  </w:style>
  <w:style w:type="paragraph" w:styleId="Header">
    <w:name w:val="header"/>
    <w:basedOn w:val="Normal"/>
    <w:link w:val="HeaderChar"/>
    <w:uiPriority w:val="99"/>
    <w:rsid w:val="00FE0E2B"/>
    <w:pPr>
      <w:tabs>
        <w:tab w:val="center" w:pos="4320"/>
        <w:tab w:val="right" w:pos="8640"/>
      </w:tabs>
    </w:pPr>
    <w:rPr>
      <w:rFonts w:eastAsia="Times New Roman" w:cs="Times New Roman"/>
      <w:sz w:val="24"/>
      <w:szCs w:val="24"/>
    </w:rPr>
  </w:style>
  <w:style w:type="character" w:customStyle="1" w:styleId="HeaderChar">
    <w:name w:val="Header Char"/>
    <w:basedOn w:val="DefaultParagraphFont"/>
    <w:link w:val="Header"/>
    <w:uiPriority w:val="99"/>
    <w:rsid w:val="00FE0E2B"/>
    <w:rPr>
      <w:rFonts w:ascii="Times New Roman" w:eastAsia="Times New Roman" w:hAnsi="Times New Roman" w:cs="Times New Roman"/>
      <w:sz w:val="24"/>
      <w:szCs w:val="24"/>
    </w:rPr>
  </w:style>
  <w:style w:type="character" w:customStyle="1" w:styleId="CommentTextChar1">
    <w:name w:val="Comment Text Char1"/>
    <w:link w:val="CommentText"/>
    <w:locked/>
    <w:rsid w:val="00FE0E2B"/>
    <w:rPr>
      <w:rFonts w:ascii="Times New Roman" w:eastAsia="Times New Roman" w:hAnsi="Times New Roman" w:cs="Times New Roman"/>
      <w:sz w:val="20"/>
      <w:szCs w:val="20"/>
    </w:rPr>
  </w:style>
  <w:style w:type="character" w:customStyle="1" w:styleId="WPHyperlink">
    <w:name w:val="WP_Hyperlink"/>
    <w:basedOn w:val="DefaultParagraphFont"/>
    <w:rsid w:val="00650C2A"/>
    <w:rPr>
      <w:color w:val="0000FF"/>
      <w:u w:val="single"/>
    </w:rPr>
  </w:style>
  <w:style w:type="paragraph" w:styleId="BodyTextIndent">
    <w:name w:val="Body Text Indent"/>
    <w:basedOn w:val="Normal"/>
    <w:link w:val="BodyTextIndentChar"/>
    <w:rsid w:val="00650C2A"/>
    <w:pPr>
      <w:spacing w:line="360" w:lineRule="auto"/>
      <w:ind w:left="720" w:hanging="720"/>
    </w:pPr>
    <w:rPr>
      <w:rFonts w:eastAsia="Times New Roman" w:cs="Times New Roman"/>
      <w:sz w:val="24"/>
      <w:szCs w:val="24"/>
    </w:rPr>
  </w:style>
  <w:style w:type="character" w:customStyle="1" w:styleId="BodyTextIndentChar">
    <w:name w:val="Body Text Indent Char"/>
    <w:basedOn w:val="DefaultParagraphFont"/>
    <w:link w:val="BodyTextIndent"/>
    <w:rsid w:val="00650C2A"/>
    <w:rPr>
      <w:rFonts w:ascii="Times New Roman" w:eastAsia="Times New Roman" w:hAnsi="Times New Roman" w:cs="Times New Roman"/>
      <w:sz w:val="24"/>
      <w:szCs w:val="24"/>
    </w:rPr>
  </w:style>
  <w:style w:type="character" w:styleId="Hyperlink">
    <w:name w:val="Hyperlink"/>
    <w:uiPriority w:val="99"/>
    <w:rsid w:val="0091583F"/>
    <w:rPr>
      <w:color w:val="0000FF"/>
      <w:u w:val="single"/>
    </w:rPr>
  </w:style>
  <w:style w:type="character" w:customStyle="1" w:styleId="apple-converted-space">
    <w:name w:val="apple-converted-space"/>
    <w:basedOn w:val="DefaultParagraphFont"/>
    <w:rsid w:val="0091583F"/>
  </w:style>
  <w:style w:type="character" w:styleId="Emphasis">
    <w:name w:val="Emphasis"/>
    <w:basedOn w:val="DefaultParagraphFont"/>
    <w:uiPriority w:val="20"/>
    <w:qFormat/>
    <w:rsid w:val="0091583F"/>
    <w:rPr>
      <w:i/>
      <w:iCs/>
    </w:rPr>
  </w:style>
  <w:style w:type="paragraph" w:styleId="HTMLPreformatted">
    <w:name w:val="HTML Preformatted"/>
    <w:basedOn w:val="Normal"/>
    <w:link w:val="HTMLPreformattedChar"/>
    <w:uiPriority w:val="99"/>
    <w:semiHidden/>
    <w:unhideWhenUsed/>
    <w:rsid w:val="00915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1583F"/>
    <w:rPr>
      <w:rFonts w:ascii="Courier New" w:eastAsia="Times New Roman" w:hAnsi="Courier New" w:cs="Courier New"/>
      <w:sz w:val="20"/>
      <w:szCs w:val="20"/>
    </w:rPr>
  </w:style>
  <w:style w:type="paragraph" w:styleId="Footer">
    <w:name w:val="footer"/>
    <w:basedOn w:val="Normal"/>
    <w:link w:val="FooterChar"/>
    <w:uiPriority w:val="99"/>
    <w:rsid w:val="0091583F"/>
    <w:pPr>
      <w:tabs>
        <w:tab w:val="center" w:pos="4320"/>
        <w:tab w:val="right" w:pos="8640"/>
      </w:tabs>
    </w:pPr>
    <w:rPr>
      <w:rFonts w:eastAsia="Times New Roman" w:cs="Times New Roman"/>
      <w:sz w:val="24"/>
      <w:szCs w:val="24"/>
    </w:rPr>
  </w:style>
  <w:style w:type="character" w:customStyle="1" w:styleId="FooterChar">
    <w:name w:val="Footer Char"/>
    <w:basedOn w:val="DefaultParagraphFont"/>
    <w:link w:val="Footer"/>
    <w:uiPriority w:val="99"/>
    <w:rsid w:val="0091583F"/>
    <w:rPr>
      <w:rFonts w:ascii="Times New Roman" w:eastAsia="Times New Roman" w:hAnsi="Times New Roman" w:cs="Times New Roman"/>
      <w:sz w:val="24"/>
      <w:szCs w:val="24"/>
    </w:rPr>
  </w:style>
  <w:style w:type="character" w:styleId="PageNumber">
    <w:name w:val="page number"/>
    <w:basedOn w:val="DefaultParagraphFont"/>
    <w:rsid w:val="0091583F"/>
  </w:style>
  <w:style w:type="paragraph" w:styleId="TOC2">
    <w:name w:val="toc 2"/>
    <w:basedOn w:val="Normal"/>
    <w:next w:val="Normal"/>
    <w:autoRedefine/>
    <w:uiPriority w:val="39"/>
    <w:qFormat/>
    <w:rsid w:val="0091583F"/>
    <w:pPr>
      <w:tabs>
        <w:tab w:val="left" w:pos="720"/>
        <w:tab w:val="right" w:leader="dot" w:pos="9350"/>
      </w:tabs>
      <w:spacing w:line="360" w:lineRule="auto"/>
      <w:ind w:left="720" w:hanging="720"/>
    </w:pPr>
    <w:rPr>
      <w:rFonts w:eastAsia="Times New Roman" w:cs="Times New Roman"/>
      <w:sz w:val="24"/>
      <w:szCs w:val="24"/>
    </w:rPr>
  </w:style>
  <w:style w:type="paragraph" w:styleId="TOC1">
    <w:name w:val="toc 1"/>
    <w:basedOn w:val="Normal"/>
    <w:next w:val="Normal"/>
    <w:autoRedefine/>
    <w:uiPriority w:val="39"/>
    <w:qFormat/>
    <w:rsid w:val="0091583F"/>
    <w:pPr>
      <w:tabs>
        <w:tab w:val="left" w:pos="720"/>
        <w:tab w:val="right" w:leader="dot" w:pos="9350"/>
      </w:tabs>
      <w:spacing w:line="360" w:lineRule="auto"/>
      <w:ind w:left="720" w:hanging="720"/>
    </w:pPr>
    <w:rPr>
      <w:rFonts w:eastAsia="Times New Roman" w:cs="Times New Roman"/>
      <w:sz w:val="24"/>
      <w:szCs w:val="24"/>
    </w:rPr>
  </w:style>
  <w:style w:type="paragraph" w:styleId="TOC3">
    <w:name w:val="toc 3"/>
    <w:basedOn w:val="Normal"/>
    <w:next w:val="Normal"/>
    <w:autoRedefine/>
    <w:uiPriority w:val="39"/>
    <w:qFormat/>
    <w:rsid w:val="0091583F"/>
    <w:pPr>
      <w:tabs>
        <w:tab w:val="left" w:pos="0"/>
        <w:tab w:val="left" w:pos="720"/>
        <w:tab w:val="right" w:leader="dot" w:pos="9350"/>
      </w:tabs>
      <w:spacing w:line="360" w:lineRule="auto"/>
    </w:pPr>
    <w:rPr>
      <w:rFonts w:eastAsia="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8556E9"/>
    <w:rPr>
      <w:rFonts w:eastAsiaTheme="minorHAnsi" w:cstheme="minorBidi"/>
      <w:b/>
      <w:bCs/>
    </w:rPr>
  </w:style>
  <w:style w:type="character" w:customStyle="1" w:styleId="CommentSubjectChar">
    <w:name w:val="Comment Subject Char"/>
    <w:basedOn w:val="CommentTextChar1"/>
    <w:link w:val="CommentSubject"/>
    <w:uiPriority w:val="99"/>
    <w:semiHidden/>
    <w:rsid w:val="008556E9"/>
    <w:rPr>
      <w:rFonts w:ascii="Times New Roman" w:eastAsia="Times New Roman" w:hAnsi="Times New Roman" w:cs="Times New Roman"/>
      <w:b/>
      <w:bCs/>
      <w:sz w:val="20"/>
      <w:szCs w:val="20"/>
    </w:rPr>
  </w:style>
  <w:style w:type="paragraph" w:styleId="NormalWeb">
    <w:name w:val="Normal (Web)"/>
    <w:basedOn w:val="Normal"/>
    <w:uiPriority w:val="99"/>
    <w:rsid w:val="00CB749F"/>
    <w:pPr>
      <w:spacing w:before="100" w:beforeAutospacing="1" w:after="100" w:afterAutospacing="1"/>
    </w:pPr>
    <w:rPr>
      <w:rFonts w:eastAsia="Times New Roman" w:cs="Times New Roman"/>
      <w:sz w:val="24"/>
      <w:szCs w:val="24"/>
    </w:rPr>
  </w:style>
  <w:style w:type="character" w:styleId="FollowedHyperlink">
    <w:name w:val="FollowedHyperlink"/>
    <w:basedOn w:val="DefaultParagraphFont"/>
    <w:uiPriority w:val="99"/>
    <w:semiHidden/>
    <w:unhideWhenUsed/>
    <w:rsid w:val="007D73BD"/>
    <w:rPr>
      <w:color w:val="800080" w:themeColor="followedHyperlink"/>
      <w:u w:val="single"/>
    </w:rPr>
  </w:style>
  <w:style w:type="paragraph" w:customStyle="1" w:styleId="EndNoteBibliographyTitle">
    <w:name w:val="EndNote Bibliography Title"/>
    <w:basedOn w:val="Normal"/>
    <w:link w:val="EndNoteBibliographyTitleChar"/>
    <w:rsid w:val="00CF0D8C"/>
    <w:pPr>
      <w:jc w:val="center"/>
    </w:pPr>
    <w:rPr>
      <w:rFonts w:cs="Times New Roman"/>
      <w:noProof/>
    </w:rPr>
  </w:style>
  <w:style w:type="character" w:customStyle="1" w:styleId="EndNoteBibliographyTitleChar">
    <w:name w:val="EndNote Bibliography Title Char"/>
    <w:basedOn w:val="DefaultParagraphFont"/>
    <w:link w:val="EndNoteBibliographyTitle"/>
    <w:rsid w:val="00CF0D8C"/>
    <w:rPr>
      <w:rFonts w:ascii="Times New Roman" w:hAnsi="Times New Roman" w:cs="Times New Roman"/>
      <w:noProof/>
    </w:rPr>
  </w:style>
  <w:style w:type="paragraph" w:customStyle="1" w:styleId="EndNoteBibliography">
    <w:name w:val="EndNote Bibliography"/>
    <w:basedOn w:val="Normal"/>
    <w:link w:val="EndNoteBibliographyChar"/>
    <w:rsid w:val="00CF0D8C"/>
    <w:rPr>
      <w:rFonts w:cs="Times New Roman"/>
      <w:noProof/>
    </w:rPr>
  </w:style>
  <w:style w:type="character" w:customStyle="1" w:styleId="EndNoteBibliographyChar">
    <w:name w:val="EndNote Bibliography Char"/>
    <w:basedOn w:val="DefaultParagraphFont"/>
    <w:link w:val="EndNoteBibliography"/>
    <w:rsid w:val="00CF0D8C"/>
    <w:rPr>
      <w:rFonts w:ascii="Times New Roman" w:hAnsi="Times New Roman" w:cs="Times New Roman"/>
      <w:noProof/>
    </w:rPr>
  </w:style>
  <w:style w:type="paragraph" w:styleId="Revision">
    <w:name w:val="Revision"/>
    <w:hidden/>
    <w:uiPriority w:val="99"/>
    <w:semiHidden/>
    <w:rsid w:val="00B27C3A"/>
    <w:pPr>
      <w:spacing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345667">
      <w:bodyDiv w:val="1"/>
      <w:marLeft w:val="0"/>
      <w:marRight w:val="0"/>
      <w:marTop w:val="0"/>
      <w:marBottom w:val="0"/>
      <w:divBdr>
        <w:top w:val="none" w:sz="0" w:space="0" w:color="auto"/>
        <w:left w:val="none" w:sz="0" w:space="0" w:color="auto"/>
        <w:bottom w:val="none" w:sz="0" w:space="0" w:color="auto"/>
        <w:right w:val="none" w:sz="0" w:space="0" w:color="auto"/>
      </w:divBdr>
    </w:div>
    <w:div w:id="1476141039">
      <w:bodyDiv w:val="1"/>
      <w:marLeft w:val="0"/>
      <w:marRight w:val="0"/>
      <w:marTop w:val="0"/>
      <w:marBottom w:val="0"/>
      <w:divBdr>
        <w:top w:val="none" w:sz="0" w:space="0" w:color="auto"/>
        <w:left w:val="none" w:sz="0" w:space="0" w:color="auto"/>
        <w:bottom w:val="none" w:sz="0" w:space="0" w:color="auto"/>
        <w:right w:val="none" w:sz="0" w:space="0" w:color="auto"/>
      </w:divBdr>
    </w:div>
    <w:div w:id="1713579278">
      <w:bodyDiv w:val="1"/>
      <w:marLeft w:val="0"/>
      <w:marRight w:val="0"/>
      <w:marTop w:val="0"/>
      <w:marBottom w:val="0"/>
      <w:divBdr>
        <w:top w:val="none" w:sz="0" w:space="0" w:color="auto"/>
        <w:left w:val="none" w:sz="0" w:space="0" w:color="auto"/>
        <w:bottom w:val="none" w:sz="0" w:space="0" w:color="auto"/>
        <w:right w:val="none" w:sz="0" w:space="0" w:color="auto"/>
      </w:divBdr>
    </w:div>
    <w:div w:id="197833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asnr.org"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factfinder2.census.gov/" TargetMode="External"/><Relationship Id="rId17" Type="http://schemas.openxmlformats.org/officeDocument/2006/relationships/hyperlink" Target="http://data.bls.gov/cew/apps/table_maker/v4/table_maker.htm" TargetMode="External"/><Relationship Id="rId2" Type="http://schemas.openxmlformats.org/officeDocument/2006/relationships/numbering" Target="numbering.xml"/><Relationship Id="rId16" Type="http://schemas.openxmlformats.org/officeDocument/2006/relationships/hyperlink" Target="http://factfinder2.census.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actfinder2.census.gov/" TargetMode="External"/><Relationship Id="rId5" Type="http://schemas.openxmlformats.org/officeDocument/2006/relationships/settings" Target="settings.xml"/><Relationship Id="rId15" Type="http://schemas.openxmlformats.org/officeDocument/2006/relationships/hyperlink" Target="http://gss.norc.org/Documents/other/GSS%20Response%20Period%20and%20Field%20Period.pdf" TargetMode="External"/><Relationship Id="rId10" Type="http://schemas.openxmlformats.org/officeDocument/2006/relationships/image" Target="media/image1.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nare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6DC46-D13E-4B10-BB95-6814ECEBB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18869</Words>
  <Characters>107556</Characters>
  <Application>Microsoft Office Word</Application>
  <DocSecurity>0</DocSecurity>
  <Lines>896</Lines>
  <Paragraphs>252</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126173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Moore</dc:creator>
  <cp:keywords/>
  <cp:lastModifiedBy>SYSTEM</cp:lastModifiedBy>
  <cp:revision>2</cp:revision>
  <cp:lastPrinted>2017-01-30T14:29:00Z</cp:lastPrinted>
  <dcterms:created xsi:type="dcterms:W3CDTF">2018-03-30T20:45:00Z</dcterms:created>
  <dcterms:modified xsi:type="dcterms:W3CDTF">2018-03-30T20:45:00Z</dcterms:modified>
</cp:coreProperties>
</file>