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4C79D" w14:textId="77777777" w:rsidR="006F55CF" w:rsidRPr="00727F52" w:rsidRDefault="006F55CF" w:rsidP="006F55CF">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727F52">
        <w:rPr>
          <w:b/>
          <w:sz w:val="24"/>
        </w:rPr>
        <w:t>Supporting Statement for Paperwork Reduction Act Submissions</w:t>
      </w:r>
    </w:p>
    <w:p w14:paraId="14BA7508" w14:textId="7D8CF73B" w:rsidR="006F55CF" w:rsidRPr="00727F52" w:rsidRDefault="006F55CF" w:rsidP="006F55CF">
      <w:pPr>
        <w:tabs>
          <w:tab w:val="center" w:pos="4752"/>
          <w:tab w:val="left" w:pos="5040"/>
          <w:tab w:val="left" w:pos="5760"/>
          <w:tab w:val="left" w:pos="6480"/>
          <w:tab w:val="left" w:pos="7200"/>
          <w:tab w:val="left" w:pos="7920"/>
          <w:tab w:val="left" w:pos="8640"/>
          <w:tab w:val="left" w:pos="9360"/>
        </w:tabs>
        <w:jc w:val="center"/>
        <w:rPr>
          <w:b/>
          <w:sz w:val="24"/>
        </w:rPr>
      </w:pPr>
      <w:r w:rsidRPr="00727F52">
        <w:rPr>
          <w:b/>
          <w:sz w:val="24"/>
        </w:rPr>
        <w:t>HUD Supportive Services Demonstration</w:t>
      </w:r>
      <w:r w:rsidR="00F95CDC">
        <w:rPr>
          <w:b/>
          <w:sz w:val="24"/>
        </w:rPr>
        <w:t>/Integrated Wellness in Supportive Housing (IWISH)</w:t>
      </w:r>
    </w:p>
    <w:p w14:paraId="64262AB2" w14:textId="77777777" w:rsidR="006F55CF" w:rsidRDefault="006F55CF" w:rsidP="006F55CF">
      <w:pPr>
        <w:tabs>
          <w:tab w:val="center" w:pos="4752"/>
          <w:tab w:val="left" w:pos="5040"/>
          <w:tab w:val="left" w:pos="5760"/>
          <w:tab w:val="left" w:pos="6480"/>
          <w:tab w:val="left" w:pos="7200"/>
          <w:tab w:val="left" w:pos="7920"/>
          <w:tab w:val="left" w:pos="8640"/>
          <w:tab w:val="left" w:pos="9360"/>
        </w:tabs>
        <w:jc w:val="center"/>
        <w:rPr>
          <w:b/>
          <w:sz w:val="24"/>
        </w:rPr>
      </w:pPr>
      <w:r w:rsidRPr="00727F52">
        <w:rPr>
          <w:b/>
          <w:sz w:val="24"/>
        </w:rPr>
        <w:t>OMB Number 2528-New</w:t>
      </w:r>
    </w:p>
    <w:p w14:paraId="247CE26A" w14:textId="77777777" w:rsidR="006F55CF" w:rsidRDefault="006F55CF" w:rsidP="006F55CF">
      <w:pPr>
        <w:tabs>
          <w:tab w:val="center" w:pos="4752"/>
          <w:tab w:val="left" w:pos="5040"/>
          <w:tab w:val="left" w:pos="5760"/>
          <w:tab w:val="left" w:pos="6480"/>
          <w:tab w:val="left" w:pos="7200"/>
          <w:tab w:val="left" w:pos="7920"/>
          <w:tab w:val="left" w:pos="8640"/>
          <w:tab w:val="left" w:pos="9360"/>
        </w:tabs>
        <w:rPr>
          <w:b/>
          <w:bCs/>
          <w:sz w:val="24"/>
          <w:u w:val="single"/>
        </w:rPr>
      </w:pPr>
    </w:p>
    <w:p w14:paraId="0647686B" w14:textId="77777777" w:rsidR="006F55CF" w:rsidRDefault="006F55CF" w:rsidP="006F55CF">
      <w:pPr>
        <w:tabs>
          <w:tab w:val="center" w:pos="4752"/>
          <w:tab w:val="left" w:pos="5040"/>
          <w:tab w:val="left" w:pos="5760"/>
          <w:tab w:val="left" w:pos="6480"/>
          <w:tab w:val="left" w:pos="7200"/>
          <w:tab w:val="left" w:pos="7920"/>
          <w:tab w:val="left" w:pos="8640"/>
          <w:tab w:val="left" w:pos="9360"/>
        </w:tabs>
        <w:rPr>
          <w:b/>
          <w:bCs/>
          <w:sz w:val="24"/>
          <w:u w:val="single"/>
        </w:rPr>
      </w:pPr>
    </w:p>
    <w:p w14:paraId="1E3AE65A" w14:textId="4E04D9DD" w:rsidR="009C7A4C" w:rsidRPr="00F26B24" w:rsidRDefault="009C7A4C" w:rsidP="006F55CF">
      <w:pPr>
        <w:tabs>
          <w:tab w:val="center" w:pos="4752"/>
          <w:tab w:val="left" w:pos="5040"/>
          <w:tab w:val="left" w:pos="5760"/>
          <w:tab w:val="left" w:pos="6480"/>
          <w:tab w:val="left" w:pos="7200"/>
          <w:tab w:val="left" w:pos="7920"/>
          <w:tab w:val="left" w:pos="8640"/>
          <w:tab w:val="left" w:pos="9360"/>
        </w:tabs>
        <w:rPr>
          <w:sz w:val="24"/>
        </w:rPr>
      </w:pPr>
      <w:r w:rsidRPr="006F55CF">
        <w:rPr>
          <w:bCs/>
          <w:sz w:val="24"/>
        </w:rPr>
        <w:t>Part B</w:t>
      </w:r>
      <w:r w:rsidR="006F55CF">
        <w:rPr>
          <w:bCs/>
          <w:sz w:val="24"/>
        </w:rPr>
        <w:t xml:space="preserve">- </w:t>
      </w:r>
      <w:r w:rsidRPr="00F26B24">
        <w:rPr>
          <w:bCs/>
          <w:sz w:val="24"/>
        </w:rPr>
        <w:t>Collections of Information Employing Statistical Methods</w:t>
      </w:r>
    </w:p>
    <w:p w14:paraId="54A3BD45" w14:textId="77777777" w:rsidR="009C7A4C" w:rsidRPr="00F26B2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77C2C31" w14:textId="5511AEB8" w:rsidR="009C7A4C" w:rsidRPr="00F26B24" w:rsidRDefault="00F26B24" w:rsidP="008510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26B24">
        <w:rPr>
          <w:b/>
          <w:sz w:val="24"/>
        </w:rPr>
        <w:t>1.</w:t>
      </w:r>
      <w:r w:rsidR="009C7A4C" w:rsidRPr="00F26B24">
        <w:rPr>
          <w:b/>
          <w:sz w:val="24"/>
        </w:rPr>
        <w:t xml:space="preserve">  </w:t>
      </w:r>
      <w:r w:rsidR="008510A5" w:rsidRPr="00F26B24">
        <w:rPr>
          <w:b/>
          <w:sz w:val="24"/>
        </w:rPr>
        <w:t xml:space="preserve">Respondent Universe and Sampling Methods </w:t>
      </w:r>
    </w:p>
    <w:p w14:paraId="2DE646EB" w14:textId="77777777" w:rsidR="001370F7" w:rsidRPr="00F26B24" w:rsidRDefault="001370F7" w:rsidP="001370F7">
      <w:pPr>
        <w:tabs>
          <w:tab w:val="left" w:pos="-720"/>
        </w:tabs>
        <w:suppressAutoHyphens/>
        <w:rPr>
          <w:color w:val="000000"/>
          <w:sz w:val="24"/>
        </w:rPr>
      </w:pPr>
      <w:r w:rsidRPr="00F26B24">
        <w:rPr>
          <w:color w:val="000000"/>
          <w:sz w:val="24"/>
        </w:rPr>
        <w:t xml:space="preserve">The Fiscal Year (FY) 2014 Consolidated Appropriations Act gave the U.S. Department of Housing and Urban Development (HUD) authority to develop a demonstration to test a model of housing and supportive services for low-income elderly residents in HUD-assisted housing. In FY 2015, HUD announced the availability of a funding opportunity under the Supportive Services Demonstration that will provide grants to property owners to participate in the demonstration. </w:t>
      </w:r>
    </w:p>
    <w:p w14:paraId="763B65A8" w14:textId="77777777" w:rsidR="001370F7" w:rsidRPr="00F26B24" w:rsidRDefault="001370F7" w:rsidP="001370F7">
      <w:pPr>
        <w:tabs>
          <w:tab w:val="left" w:pos="-720"/>
        </w:tabs>
        <w:suppressAutoHyphens/>
        <w:rPr>
          <w:color w:val="000000"/>
          <w:sz w:val="24"/>
        </w:rPr>
      </w:pPr>
    </w:p>
    <w:p w14:paraId="24E53D14" w14:textId="11131FC8" w:rsidR="009415A8" w:rsidRPr="009555B5" w:rsidRDefault="00670BB4" w:rsidP="00F95CDC">
      <w:pPr>
        <w:tabs>
          <w:tab w:val="left" w:pos="-720"/>
        </w:tabs>
        <w:suppressAutoHyphens/>
        <w:rPr>
          <w:color w:val="000000"/>
          <w:sz w:val="24"/>
        </w:rPr>
      </w:pPr>
      <w:r>
        <w:rPr>
          <w:color w:val="000000"/>
          <w:sz w:val="24"/>
        </w:rPr>
        <w:t xml:space="preserve">This information request is for the </w:t>
      </w:r>
      <w:r w:rsidR="00F95CDC" w:rsidRPr="0088350E">
        <w:rPr>
          <w:i/>
          <w:color w:val="000000"/>
          <w:sz w:val="24"/>
        </w:rPr>
        <w:t>Integrated Wellness in Supportive Housing (IWISH) Resident Assessment</w:t>
      </w:r>
      <w:r>
        <w:rPr>
          <w:color w:val="000000"/>
          <w:sz w:val="24"/>
        </w:rPr>
        <w:t>.</w:t>
      </w:r>
      <w:r w:rsidRPr="00F26B24">
        <w:rPr>
          <w:color w:val="000000"/>
          <w:sz w:val="24"/>
        </w:rPr>
        <w:t xml:space="preserve"> The</w:t>
      </w:r>
      <w:r w:rsidR="00692F34" w:rsidRPr="00F26B24">
        <w:rPr>
          <w:color w:val="000000"/>
          <w:sz w:val="24"/>
        </w:rPr>
        <w:t xml:space="preserve"> </w:t>
      </w:r>
      <w:r w:rsidR="00D37DD8" w:rsidRPr="00A7071C">
        <w:rPr>
          <w:b/>
          <w:i/>
          <w:color w:val="000000"/>
          <w:sz w:val="24"/>
        </w:rPr>
        <w:t>IWISH</w:t>
      </w:r>
      <w:r w:rsidR="00D37DD8" w:rsidRPr="00F26B24">
        <w:rPr>
          <w:b/>
          <w:i/>
          <w:color w:val="000000"/>
          <w:sz w:val="24"/>
        </w:rPr>
        <w:t xml:space="preserve"> </w:t>
      </w:r>
      <w:r w:rsidR="00B97A25">
        <w:rPr>
          <w:b/>
          <w:i/>
          <w:color w:val="000000"/>
          <w:sz w:val="24"/>
        </w:rPr>
        <w:t xml:space="preserve">Resident Assessment </w:t>
      </w:r>
      <w:r w:rsidR="00692F34" w:rsidRPr="00F26B24">
        <w:rPr>
          <w:color w:val="000000"/>
          <w:sz w:val="24"/>
        </w:rPr>
        <w:t xml:space="preserve">will collect self-reported information from </w:t>
      </w:r>
      <w:r w:rsidR="00D13CF4" w:rsidRPr="00F26B24">
        <w:rPr>
          <w:color w:val="000000"/>
          <w:sz w:val="24"/>
        </w:rPr>
        <w:t xml:space="preserve">low-income </w:t>
      </w:r>
      <w:r>
        <w:rPr>
          <w:color w:val="000000"/>
          <w:sz w:val="24"/>
        </w:rPr>
        <w:t>elderly</w:t>
      </w:r>
      <w:r w:rsidRPr="009555B5">
        <w:rPr>
          <w:rStyle w:val="FootnoteReference"/>
          <w:color w:val="000000"/>
          <w:sz w:val="24"/>
          <w:vertAlign w:val="superscript"/>
        </w:rPr>
        <w:footnoteReference w:id="1"/>
      </w:r>
      <w:r>
        <w:rPr>
          <w:color w:val="000000"/>
          <w:sz w:val="24"/>
        </w:rPr>
        <w:t xml:space="preserve"> tenants</w:t>
      </w:r>
      <w:r w:rsidRPr="00F26B24">
        <w:rPr>
          <w:color w:val="000000"/>
          <w:sz w:val="24"/>
        </w:rPr>
        <w:t xml:space="preserve"> </w:t>
      </w:r>
      <w:r w:rsidR="009B3490" w:rsidRPr="00F26B24">
        <w:rPr>
          <w:color w:val="000000"/>
          <w:sz w:val="24"/>
        </w:rPr>
        <w:t xml:space="preserve">residing in HUD properties selected to participate in the </w:t>
      </w:r>
      <w:r w:rsidR="009B3490" w:rsidRPr="00F26B24">
        <w:rPr>
          <w:i/>
          <w:color w:val="000000"/>
          <w:sz w:val="24"/>
        </w:rPr>
        <w:t>Supportive Services Demonstration (SSD).</w:t>
      </w:r>
      <w:r w:rsidR="00D13CF4" w:rsidRPr="00F26B24">
        <w:rPr>
          <w:i/>
          <w:color w:val="000000"/>
          <w:sz w:val="24"/>
        </w:rPr>
        <w:t xml:space="preserve"> </w:t>
      </w:r>
      <w:r w:rsidR="00CE17D5">
        <w:rPr>
          <w:color w:val="000000"/>
          <w:sz w:val="24"/>
        </w:rPr>
        <w:t>Forty propert</w:t>
      </w:r>
      <w:r w:rsidR="005170AA">
        <w:rPr>
          <w:color w:val="000000"/>
          <w:sz w:val="24"/>
        </w:rPr>
        <w:t>ies</w:t>
      </w:r>
      <w:r w:rsidR="00CE17D5">
        <w:rPr>
          <w:color w:val="000000"/>
          <w:sz w:val="24"/>
        </w:rPr>
        <w:t xml:space="preserve"> across seven states were selected for the treatment group of the demonstration (see Table 1 for breakdown of properties by state).  </w:t>
      </w:r>
      <w:r w:rsidR="00CE17D5" w:rsidRPr="00727F52">
        <w:rPr>
          <w:color w:val="000000"/>
          <w:sz w:val="24"/>
        </w:rPr>
        <w:t xml:space="preserve">This information collection will affect approximately </w:t>
      </w:r>
      <w:r w:rsidR="009E22D1">
        <w:rPr>
          <w:color w:val="000000"/>
          <w:sz w:val="24"/>
        </w:rPr>
        <w:t>4</w:t>
      </w:r>
      <w:r w:rsidR="00CE17D5">
        <w:rPr>
          <w:color w:val="000000"/>
          <w:sz w:val="24"/>
        </w:rPr>
        <w:t>,</w:t>
      </w:r>
      <w:r w:rsidR="009E22D1">
        <w:rPr>
          <w:color w:val="000000"/>
          <w:sz w:val="24"/>
        </w:rPr>
        <w:t>249</w:t>
      </w:r>
      <w:r w:rsidR="00CE17D5" w:rsidRPr="00727F52">
        <w:rPr>
          <w:color w:val="000000"/>
          <w:sz w:val="24"/>
        </w:rPr>
        <w:t xml:space="preserve"> individuals residing in units of 40 funded demonstration sites</w:t>
      </w:r>
      <w:r w:rsidR="00CE17D5">
        <w:rPr>
          <w:color w:val="000000"/>
          <w:sz w:val="24"/>
        </w:rPr>
        <w:t>.</w:t>
      </w:r>
      <w:r w:rsidR="00CE17D5" w:rsidRPr="00F26B24">
        <w:rPr>
          <w:color w:val="000000"/>
          <w:sz w:val="24"/>
        </w:rPr>
        <w:t xml:space="preserve"> </w:t>
      </w:r>
      <w:r w:rsidR="00D13CF4" w:rsidRPr="00F26B24">
        <w:rPr>
          <w:color w:val="000000"/>
          <w:sz w:val="24"/>
        </w:rPr>
        <w:t xml:space="preserve">All residents enrolled in the SSD will be asked to </w:t>
      </w:r>
      <w:r w:rsidR="00CE5653">
        <w:rPr>
          <w:color w:val="000000"/>
          <w:sz w:val="24"/>
        </w:rPr>
        <w:t xml:space="preserve">participate in the program and sign the informed consent. All those enrolling will </w:t>
      </w:r>
      <w:r w:rsidR="00D13CF4" w:rsidRPr="00F26B24">
        <w:rPr>
          <w:color w:val="000000"/>
          <w:sz w:val="24"/>
        </w:rPr>
        <w:t xml:space="preserve">complete a </w:t>
      </w:r>
      <w:r w:rsidR="00B97A25">
        <w:rPr>
          <w:b/>
          <w:i/>
          <w:color w:val="000000"/>
          <w:sz w:val="24"/>
        </w:rPr>
        <w:t xml:space="preserve">IWISH Resident Assessment </w:t>
      </w:r>
      <w:r w:rsidR="007E49D1" w:rsidRPr="00F26B24">
        <w:rPr>
          <w:color w:val="000000"/>
          <w:sz w:val="24"/>
        </w:rPr>
        <w:t xml:space="preserve">within </w:t>
      </w:r>
      <w:r w:rsidR="00CE17D5">
        <w:rPr>
          <w:color w:val="000000"/>
          <w:sz w:val="24"/>
        </w:rPr>
        <w:t>60</w:t>
      </w:r>
      <w:r w:rsidR="007E49D1" w:rsidRPr="00F26B24">
        <w:rPr>
          <w:color w:val="000000"/>
          <w:sz w:val="24"/>
        </w:rPr>
        <w:t xml:space="preserve"> days of consent in the program</w:t>
      </w:r>
      <w:r w:rsidR="00D13CF4" w:rsidRPr="00F26B24">
        <w:rPr>
          <w:b/>
          <w:i/>
          <w:color w:val="000000"/>
          <w:sz w:val="24"/>
        </w:rPr>
        <w:t xml:space="preserve">. </w:t>
      </w:r>
      <w:r w:rsidR="00CE17D5">
        <w:rPr>
          <w:color w:val="000000"/>
          <w:sz w:val="24"/>
        </w:rPr>
        <w:t xml:space="preserve">HUD expects a response rate </w:t>
      </w:r>
      <w:r w:rsidR="00A857D9">
        <w:rPr>
          <w:color w:val="000000"/>
          <w:sz w:val="24"/>
        </w:rPr>
        <w:t xml:space="preserve">to the assessment </w:t>
      </w:r>
      <w:r w:rsidR="00CE17D5">
        <w:rPr>
          <w:color w:val="000000"/>
          <w:sz w:val="24"/>
        </w:rPr>
        <w:t xml:space="preserve">of nearly 100% of residents </w:t>
      </w:r>
      <w:r w:rsidR="00A857D9">
        <w:rPr>
          <w:color w:val="000000"/>
          <w:sz w:val="24"/>
        </w:rPr>
        <w:t>who sign the informed consent to</w:t>
      </w:r>
      <w:r w:rsidR="00CE17D5">
        <w:rPr>
          <w:color w:val="000000"/>
          <w:sz w:val="24"/>
        </w:rPr>
        <w:t xml:space="preserve"> participat</w:t>
      </w:r>
      <w:r w:rsidR="00A857D9">
        <w:rPr>
          <w:color w:val="000000"/>
          <w:sz w:val="24"/>
        </w:rPr>
        <w:t>e</w:t>
      </w:r>
      <w:r w:rsidR="00CE17D5">
        <w:rPr>
          <w:color w:val="000000"/>
          <w:sz w:val="24"/>
        </w:rPr>
        <w:t xml:space="preserve"> in the demonstration.</w:t>
      </w:r>
      <w:r w:rsidR="007E630C">
        <w:rPr>
          <w:color w:val="000000"/>
          <w:sz w:val="24"/>
        </w:rPr>
        <w:t xml:space="preserve"> This survey will comply with all requirements to be accessible for both persons with disabilities, in addition to respondents with limited English proficiency</w:t>
      </w:r>
    </w:p>
    <w:p w14:paraId="01BE469E" w14:textId="77777777" w:rsidR="009415A8" w:rsidRPr="00F26B24" w:rsidRDefault="009415A8" w:rsidP="009415A8">
      <w:pPr>
        <w:tabs>
          <w:tab w:val="left" w:pos="-720"/>
        </w:tabs>
        <w:suppressAutoHyphens/>
        <w:rPr>
          <w:b/>
          <w:i/>
          <w:color w:val="000000"/>
          <w:sz w:val="24"/>
        </w:rPr>
      </w:pPr>
    </w:p>
    <w:p w14:paraId="3D938095" w14:textId="753A4209" w:rsidR="009415A8" w:rsidRPr="00F26B24" w:rsidRDefault="0079008D" w:rsidP="009415A8">
      <w:pPr>
        <w:tabs>
          <w:tab w:val="left" w:pos="-720"/>
        </w:tabs>
        <w:suppressAutoHyphens/>
        <w:rPr>
          <w:rFonts w:eastAsia="Calibri"/>
          <w:sz w:val="24"/>
        </w:rPr>
      </w:pPr>
      <w:r w:rsidRPr="00F26B24">
        <w:rPr>
          <w:color w:val="000000"/>
          <w:sz w:val="24"/>
        </w:rPr>
        <w:t xml:space="preserve">The </w:t>
      </w:r>
      <w:r w:rsidR="00B97A25">
        <w:rPr>
          <w:b/>
          <w:i/>
          <w:color w:val="000000"/>
          <w:sz w:val="24"/>
        </w:rPr>
        <w:t xml:space="preserve">IWISH Resident Assessment </w:t>
      </w:r>
      <w:r w:rsidR="0097685D" w:rsidRPr="00F26B24">
        <w:rPr>
          <w:color w:val="000000"/>
          <w:sz w:val="24"/>
        </w:rPr>
        <w:t>is a cri</w:t>
      </w:r>
      <w:r w:rsidR="0097685D" w:rsidRPr="00F26B24">
        <w:rPr>
          <w:rFonts w:eastAsia="Calibri"/>
          <w:sz w:val="24"/>
        </w:rPr>
        <w:t xml:space="preserve">tical element of the demonstration. Typical housing properties do not conduct standardized assessments on all residents and are not aware of the health/functional status, current service use and service gaps of these individuals. This lack of information has historically stymied staff efforts to design an appropriate package of programs and to assist in linking residents to needed community-based services. </w:t>
      </w:r>
      <w:r w:rsidR="00B97A25">
        <w:rPr>
          <w:b/>
          <w:i/>
          <w:color w:val="000000"/>
          <w:sz w:val="24"/>
        </w:rPr>
        <w:t xml:space="preserve">IWISH Resident Assessment </w:t>
      </w:r>
      <w:r w:rsidR="0097685D" w:rsidRPr="00F26B24">
        <w:rPr>
          <w:rFonts w:eastAsia="Calibri"/>
          <w:sz w:val="24"/>
        </w:rPr>
        <w:t xml:space="preserve">data will provide critical information that the </w:t>
      </w:r>
      <w:r w:rsidR="002A765F" w:rsidRPr="00F26B24">
        <w:rPr>
          <w:rFonts w:eastAsia="Calibri"/>
          <w:sz w:val="24"/>
        </w:rPr>
        <w:t xml:space="preserve">enhanced </w:t>
      </w:r>
      <w:r w:rsidR="0097685D" w:rsidRPr="00F26B24">
        <w:rPr>
          <w:rFonts w:eastAsia="Calibri"/>
          <w:sz w:val="24"/>
        </w:rPr>
        <w:t xml:space="preserve">service coordinator/wellness nurse team will use to decide on the most appropriate external partners and will help the team identify various at-risk groups within the property that need </w:t>
      </w:r>
      <w:r w:rsidR="00461151" w:rsidRPr="00F26B24">
        <w:rPr>
          <w:rFonts w:eastAsia="Calibri"/>
          <w:sz w:val="24"/>
        </w:rPr>
        <w:t>service and wellness</w:t>
      </w:r>
      <w:r w:rsidR="0097685D" w:rsidRPr="00F26B24">
        <w:rPr>
          <w:rFonts w:eastAsia="Calibri"/>
          <w:sz w:val="24"/>
        </w:rPr>
        <w:t xml:space="preserve"> coordination and that are most likely to be of interest to potential health care and social services collaborators. Information from resident assessments will also feed into the development of healthy aging and </w:t>
      </w:r>
      <w:r w:rsidR="00461151" w:rsidRPr="00F26B24">
        <w:rPr>
          <w:rFonts w:eastAsia="Calibri"/>
          <w:sz w:val="24"/>
        </w:rPr>
        <w:t>service and wellness</w:t>
      </w:r>
      <w:r w:rsidR="0097685D" w:rsidRPr="00F26B24">
        <w:rPr>
          <w:rFonts w:eastAsia="Calibri"/>
          <w:sz w:val="24"/>
        </w:rPr>
        <w:t xml:space="preserve"> coordination plans that will guide which services are needed and how these services </w:t>
      </w:r>
      <w:r w:rsidR="0097685D" w:rsidRPr="00F26B24">
        <w:rPr>
          <w:rFonts w:eastAsia="Calibri"/>
          <w:noProof/>
          <w:sz w:val="24"/>
        </w:rPr>
        <w:t>are most efficiently delivered</w:t>
      </w:r>
      <w:r w:rsidR="0097685D" w:rsidRPr="00F26B24">
        <w:rPr>
          <w:rFonts w:eastAsia="Calibri"/>
          <w:sz w:val="24"/>
        </w:rPr>
        <w:t xml:space="preserve">, both internally and with external partners. </w:t>
      </w:r>
      <w:r w:rsidR="00A830CB" w:rsidRPr="00F26B24">
        <w:rPr>
          <w:rFonts w:eastAsia="Calibri"/>
          <w:noProof/>
          <w:sz w:val="24"/>
        </w:rPr>
        <w:t xml:space="preserve">These data will also be used by </w:t>
      </w:r>
      <w:r w:rsidR="009415A8" w:rsidRPr="00F26B24">
        <w:rPr>
          <w:rFonts w:eastAsia="Calibri"/>
          <w:noProof/>
          <w:sz w:val="24"/>
        </w:rPr>
        <w:t>SSD Implementation Team</w:t>
      </w:r>
      <w:r w:rsidR="009415A8" w:rsidRPr="00F26B24">
        <w:rPr>
          <w:rFonts w:eastAsia="Calibri"/>
          <w:sz w:val="24"/>
        </w:rPr>
        <w:t xml:space="preserve">, contracted by HUD to monitor program implementation quality and fidelity to the demonstration design. </w:t>
      </w:r>
    </w:p>
    <w:p w14:paraId="6B0E5642" w14:textId="1883E174" w:rsidR="009415A8" w:rsidRDefault="009415A8" w:rsidP="009415A8">
      <w:pPr>
        <w:tabs>
          <w:tab w:val="left" w:pos="-720"/>
        </w:tabs>
        <w:suppressAutoHyphens/>
        <w:rPr>
          <w:rFonts w:eastAsia="Calibri"/>
          <w:sz w:val="24"/>
        </w:rPr>
      </w:pPr>
    </w:p>
    <w:p w14:paraId="166CD9D0" w14:textId="77777777" w:rsidR="00B97A25" w:rsidRPr="00F26B24" w:rsidRDefault="00B97A25" w:rsidP="009415A8">
      <w:pPr>
        <w:tabs>
          <w:tab w:val="left" w:pos="-720"/>
        </w:tabs>
        <w:suppressAutoHyphens/>
        <w:rPr>
          <w:rFonts w:eastAsia="Calibri"/>
          <w:sz w:val="24"/>
        </w:rPr>
      </w:pPr>
    </w:p>
    <w:p w14:paraId="477E9EFC" w14:textId="5520691D" w:rsidR="0097685D" w:rsidRPr="00F26B24" w:rsidRDefault="009415A8" w:rsidP="009415A8">
      <w:pPr>
        <w:tabs>
          <w:tab w:val="left" w:pos="-720"/>
        </w:tabs>
        <w:suppressAutoHyphens/>
        <w:rPr>
          <w:color w:val="000000"/>
          <w:sz w:val="24"/>
        </w:rPr>
      </w:pPr>
      <w:r w:rsidRPr="00F26B24">
        <w:rPr>
          <w:color w:val="000000"/>
          <w:sz w:val="24"/>
        </w:rPr>
        <w:lastRenderedPageBreak/>
        <w:t xml:space="preserve">Since </w:t>
      </w:r>
      <w:r w:rsidR="00A24F6B">
        <w:rPr>
          <w:color w:val="000000"/>
          <w:sz w:val="24"/>
        </w:rPr>
        <w:t xml:space="preserve">the results of the </w:t>
      </w:r>
      <w:r w:rsidR="00A24F6B" w:rsidRPr="00416327">
        <w:rPr>
          <w:b/>
          <w:i/>
          <w:color w:val="000000"/>
          <w:sz w:val="24"/>
        </w:rPr>
        <w:t xml:space="preserve">IWISH Resident </w:t>
      </w:r>
      <w:r w:rsidR="00A24F6B" w:rsidRPr="00A24F6B">
        <w:rPr>
          <w:b/>
          <w:i/>
          <w:color w:val="000000"/>
          <w:sz w:val="24"/>
        </w:rPr>
        <w:t>Assessment</w:t>
      </w:r>
      <w:r w:rsidR="00A24F6B">
        <w:rPr>
          <w:color w:val="000000"/>
          <w:sz w:val="24"/>
        </w:rPr>
        <w:t xml:space="preserve"> will be used to by staff to determine resident health and social services needs and appropriate services, </w:t>
      </w:r>
      <w:r w:rsidRPr="00F26B24">
        <w:rPr>
          <w:color w:val="000000"/>
          <w:sz w:val="24"/>
        </w:rPr>
        <w:t xml:space="preserve">we expect that </w:t>
      </w:r>
      <w:r w:rsidR="00A24F6B">
        <w:rPr>
          <w:color w:val="000000"/>
          <w:sz w:val="24"/>
        </w:rPr>
        <w:t xml:space="preserve">nearly </w:t>
      </w:r>
      <w:r w:rsidRPr="00F26B24">
        <w:rPr>
          <w:color w:val="000000"/>
          <w:sz w:val="24"/>
        </w:rPr>
        <w:t>all participants will complete the assessment.</w:t>
      </w:r>
      <w:r w:rsidR="004439EA" w:rsidRPr="00F26B24">
        <w:rPr>
          <w:color w:val="000000"/>
          <w:sz w:val="24"/>
        </w:rPr>
        <w:t xml:space="preserve"> </w:t>
      </w:r>
      <w:r w:rsidR="00A24F6B">
        <w:rPr>
          <w:color w:val="000000"/>
          <w:sz w:val="24"/>
        </w:rPr>
        <w:t xml:space="preserve">However, </w:t>
      </w:r>
      <w:r w:rsidR="00A24F6B">
        <w:t>r</w:t>
      </w:r>
      <w:r w:rsidR="00A24F6B" w:rsidRPr="00A24F6B">
        <w:rPr>
          <w:color w:val="000000"/>
          <w:sz w:val="24"/>
        </w:rPr>
        <w:t>esidents are not obligated to participate</w:t>
      </w:r>
      <w:r w:rsidR="00A24F6B">
        <w:rPr>
          <w:color w:val="000000"/>
          <w:sz w:val="24"/>
        </w:rPr>
        <w:t xml:space="preserve"> in the Demonstration</w:t>
      </w:r>
      <w:r w:rsidR="00A24F6B" w:rsidRPr="00A24F6B">
        <w:rPr>
          <w:color w:val="000000"/>
          <w:sz w:val="24"/>
        </w:rPr>
        <w:t xml:space="preserve"> or receive services, and their tenancy or receipt of services is not dependent on participating.</w:t>
      </w:r>
      <w:r w:rsidR="00A24F6B">
        <w:rPr>
          <w:color w:val="000000"/>
          <w:sz w:val="24"/>
        </w:rPr>
        <w:t xml:space="preserve"> </w:t>
      </w:r>
      <w:r w:rsidR="009A3B91" w:rsidRPr="00F26B24">
        <w:rPr>
          <w:sz w:val="24"/>
        </w:rPr>
        <w:t>The SSD Implementation Team will not employ any statistical methodology for stratification or sample selections as</w:t>
      </w:r>
      <w:r w:rsidR="00692F34" w:rsidRPr="00F26B24">
        <w:rPr>
          <w:sz w:val="24"/>
        </w:rPr>
        <w:t xml:space="preserve"> a</w:t>
      </w:r>
      <w:r w:rsidR="009A3B91" w:rsidRPr="00F26B24">
        <w:rPr>
          <w:sz w:val="24"/>
        </w:rPr>
        <w:t xml:space="preserve"> </w:t>
      </w:r>
      <w:r w:rsidR="009A3B91" w:rsidRPr="00F26B24">
        <w:rPr>
          <w:noProof/>
          <w:sz w:val="24"/>
        </w:rPr>
        <w:t>selection</w:t>
      </w:r>
      <w:r w:rsidR="009A3B91" w:rsidRPr="00F26B24">
        <w:rPr>
          <w:sz w:val="24"/>
        </w:rPr>
        <w:t xml:space="preserve"> of demonstration sites is being conducted by HUD.</w:t>
      </w:r>
      <w:r w:rsidR="009A3B91" w:rsidRPr="00F26B24">
        <w:rPr>
          <w:color w:val="000000"/>
          <w:sz w:val="24"/>
        </w:rPr>
        <w:t xml:space="preserve"> </w:t>
      </w:r>
      <w:r w:rsidR="009A3B91" w:rsidRPr="00F26B24">
        <w:rPr>
          <w:noProof/>
          <w:sz w:val="24"/>
        </w:rPr>
        <w:t>All responses will be</w:t>
      </w:r>
      <w:r w:rsidR="00692F34" w:rsidRPr="00F26B24">
        <w:rPr>
          <w:noProof/>
          <w:sz w:val="24"/>
        </w:rPr>
        <w:t xml:space="preserve"> reviewed by property staff to inform their activities and</w:t>
      </w:r>
      <w:r w:rsidR="009A3B91" w:rsidRPr="00F26B24">
        <w:rPr>
          <w:noProof/>
          <w:sz w:val="24"/>
        </w:rPr>
        <w:t xml:space="preserve"> analyzed by The </w:t>
      </w:r>
      <w:r w:rsidR="00692F34" w:rsidRPr="00F26B24">
        <w:rPr>
          <w:noProof/>
          <w:sz w:val="24"/>
        </w:rPr>
        <w:t xml:space="preserve">SSD Implementation </w:t>
      </w:r>
      <w:r w:rsidR="009A3B91" w:rsidRPr="00F26B24">
        <w:rPr>
          <w:noProof/>
          <w:sz w:val="24"/>
        </w:rPr>
        <w:t>Team</w:t>
      </w:r>
      <w:r w:rsidR="009A3B91" w:rsidRPr="00F26B24">
        <w:rPr>
          <w:sz w:val="24"/>
        </w:rPr>
        <w:t>, HUD’s contracted implementation vendor to monitor program performance and inform technical assistance efforts.</w:t>
      </w:r>
    </w:p>
    <w:p w14:paraId="5892CDBE" w14:textId="45A7F465" w:rsidR="004439EA" w:rsidRDefault="004439EA" w:rsidP="009415A8">
      <w:pPr>
        <w:tabs>
          <w:tab w:val="left" w:pos="-720"/>
        </w:tabs>
        <w:suppressAutoHyphens/>
        <w:rPr>
          <w:color w:val="000000"/>
          <w:sz w:val="24"/>
        </w:rPr>
      </w:pPr>
    </w:p>
    <w:p w14:paraId="5757AE2B" w14:textId="49F59628" w:rsidR="0092659B" w:rsidRPr="009555B5" w:rsidRDefault="0092659B" w:rsidP="009555B5">
      <w:pPr>
        <w:tabs>
          <w:tab w:val="left" w:pos="-720"/>
        </w:tabs>
        <w:suppressAutoHyphens/>
        <w:jc w:val="center"/>
        <w:rPr>
          <w:b/>
          <w:color w:val="000000"/>
          <w:sz w:val="24"/>
        </w:rPr>
      </w:pPr>
      <w:r w:rsidRPr="009555B5">
        <w:rPr>
          <w:b/>
          <w:color w:val="000000"/>
          <w:sz w:val="24"/>
        </w:rPr>
        <w:t>Table 1</w:t>
      </w:r>
    </w:p>
    <w:tbl>
      <w:tblPr>
        <w:tblStyle w:val="TableGrid"/>
        <w:tblW w:w="0" w:type="auto"/>
        <w:jc w:val="center"/>
        <w:tblLook w:val="04A0" w:firstRow="1" w:lastRow="0" w:firstColumn="1" w:lastColumn="0" w:noHBand="0" w:noVBand="1"/>
      </w:tblPr>
      <w:tblGrid>
        <w:gridCol w:w="2250"/>
        <w:gridCol w:w="2610"/>
        <w:gridCol w:w="2610"/>
      </w:tblGrid>
      <w:tr w:rsidR="009555B5" w:rsidRPr="009555B5" w14:paraId="3EB5C1BA" w14:textId="0B2E8C0C" w:rsidTr="00B97A25">
        <w:trPr>
          <w:jc w:val="center"/>
        </w:trPr>
        <w:tc>
          <w:tcPr>
            <w:tcW w:w="2250" w:type="dxa"/>
          </w:tcPr>
          <w:p w14:paraId="41078CD7" w14:textId="7AB7A73D" w:rsidR="009555B5" w:rsidRPr="009555B5" w:rsidRDefault="009555B5" w:rsidP="009415A8">
            <w:pPr>
              <w:tabs>
                <w:tab w:val="left" w:pos="-720"/>
              </w:tabs>
              <w:suppressAutoHyphens/>
              <w:rPr>
                <w:b/>
                <w:color w:val="000000"/>
                <w:sz w:val="24"/>
              </w:rPr>
            </w:pPr>
            <w:r w:rsidRPr="009555B5">
              <w:rPr>
                <w:b/>
                <w:color w:val="000000"/>
                <w:sz w:val="24"/>
              </w:rPr>
              <w:t>State</w:t>
            </w:r>
          </w:p>
        </w:tc>
        <w:tc>
          <w:tcPr>
            <w:tcW w:w="2610" w:type="dxa"/>
          </w:tcPr>
          <w:p w14:paraId="59B2E2DB" w14:textId="5576F0BC" w:rsidR="009555B5" w:rsidRPr="009555B5" w:rsidRDefault="009555B5" w:rsidP="009415A8">
            <w:pPr>
              <w:tabs>
                <w:tab w:val="left" w:pos="-720"/>
              </w:tabs>
              <w:suppressAutoHyphens/>
              <w:rPr>
                <w:b/>
                <w:color w:val="000000"/>
                <w:sz w:val="24"/>
              </w:rPr>
            </w:pPr>
            <w:r w:rsidRPr="009555B5">
              <w:rPr>
                <w:b/>
                <w:color w:val="000000"/>
                <w:sz w:val="24"/>
              </w:rPr>
              <w:t>Number of Properties</w:t>
            </w:r>
          </w:p>
        </w:tc>
        <w:tc>
          <w:tcPr>
            <w:tcW w:w="2610" w:type="dxa"/>
          </w:tcPr>
          <w:p w14:paraId="13BF5060" w14:textId="6AFF965C" w:rsidR="009555B5" w:rsidRPr="009555B5" w:rsidRDefault="009555B5" w:rsidP="009415A8">
            <w:pPr>
              <w:tabs>
                <w:tab w:val="left" w:pos="-720"/>
              </w:tabs>
              <w:suppressAutoHyphens/>
              <w:rPr>
                <w:b/>
                <w:color w:val="000000"/>
                <w:sz w:val="24"/>
              </w:rPr>
            </w:pPr>
            <w:r w:rsidRPr="009555B5">
              <w:rPr>
                <w:b/>
                <w:color w:val="000000"/>
                <w:sz w:val="24"/>
              </w:rPr>
              <w:t>Number of Residents</w:t>
            </w:r>
          </w:p>
        </w:tc>
      </w:tr>
      <w:tr w:rsidR="009555B5" w14:paraId="6B686CA8" w14:textId="2D7B2634" w:rsidTr="00B97A25">
        <w:trPr>
          <w:jc w:val="center"/>
        </w:trPr>
        <w:tc>
          <w:tcPr>
            <w:tcW w:w="2250" w:type="dxa"/>
          </w:tcPr>
          <w:p w14:paraId="5DD5D210" w14:textId="3257AA23" w:rsidR="009555B5" w:rsidRDefault="009555B5" w:rsidP="009415A8">
            <w:pPr>
              <w:tabs>
                <w:tab w:val="left" w:pos="-720"/>
              </w:tabs>
              <w:suppressAutoHyphens/>
              <w:rPr>
                <w:color w:val="000000"/>
                <w:sz w:val="24"/>
              </w:rPr>
            </w:pPr>
            <w:r>
              <w:rPr>
                <w:color w:val="000000"/>
                <w:sz w:val="24"/>
              </w:rPr>
              <w:t>California</w:t>
            </w:r>
          </w:p>
        </w:tc>
        <w:tc>
          <w:tcPr>
            <w:tcW w:w="2610" w:type="dxa"/>
          </w:tcPr>
          <w:p w14:paraId="6EE89351" w14:textId="6150FB32" w:rsidR="009555B5" w:rsidRPr="00B97A25" w:rsidRDefault="009555B5" w:rsidP="00B97A25">
            <w:pPr>
              <w:jc w:val="right"/>
              <w:rPr>
                <w:sz w:val="24"/>
              </w:rPr>
            </w:pPr>
            <w:r w:rsidRPr="00B97A25">
              <w:rPr>
                <w:sz w:val="24"/>
              </w:rPr>
              <w:t>15</w:t>
            </w:r>
          </w:p>
        </w:tc>
        <w:tc>
          <w:tcPr>
            <w:tcW w:w="2610" w:type="dxa"/>
          </w:tcPr>
          <w:p w14:paraId="68755CA0" w14:textId="6A3828E7" w:rsidR="009555B5" w:rsidRPr="00B97A25" w:rsidRDefault="009555B5" w:rsidP="00B97A25">
            <w:pPr>
              <w:jc w:val="right"/>
              <w:rPr>
                <w:sz w:val="24"/>
              </w:rPr>
            </w:pPr>
            <w:r w:rsidRPr="00B97A25">
              <w:rPr>
                <w:sz w:val="24"/>
              </w:rPr>
              <w:t>1,434</w:t>
            </w:r>
          </w:p>
        </w:tc>
      </w:tr>
      <w:tr w:rsidR="009555B5" w14:paraId="3144B167" w14:textId="796F47C1" w:rsidTr="00B97A25">
        <w:trPr>
          <w:jc w:val="center"/>
        </w:trPr>
        <w:tc>
          <w:tcPr>
            <w:tcW w:w="2250" w:type="dxa"/>
          </w:tcPr>
          <w:p w14:paraId="201D47F8" w14:textId="6DF8FED4" w:rsidR="009555B5" w:rsidRDefault="009555B5" w:rsidP="009415A8">
            <w:pPr>
              <w:tabs>
                <w:tab w:val="left" w:pos="-720"/>
              </w:tabs>
              <w:suppressAutoHyphens/>
              <w:rPr>
                <w:color w:val="000000"/>
                <w:sz w:val="24"/>
              </w:rPr>
            </w:pPr>
            <w:r>
              <w:rPr>
                <w:color w:val="000000"/>
                <w:sz w:val="24"/>
              </w:rPr>
              <w:t>Illinois</w:t>
            </w:r>
          </w:p>
        </w:tc>
        <w:tc>
          <w:tcPr>
            <w:tcW w:w="2610" w:type="dxa"/>
          </w:tcPr>
          <w:p w14:paraId="1E5EADF7" w14:textId="0E733416" w:rsidR="009555B5" w:rsidRPr="00B97A25" w:rsidRDefault="009555B5" w:rsidP="00B97A25">
            <w:pPr>
              <w:jc w:val="right"/>
              <w:rPr>
                <w:sz w:val="24"/>
              </w:rPr>
            </w:pPr>
            <w:r w:rsidRPr="00B97A25">
              <w:rPr>
                <w:sz w:val="24"/>
              </w:rPr>
              <w:t>5</w:t>
            </w:r>
          </w:p>
        </w:tc>
        <w:tc>
          <w:tcPr>
            <w:tcW w:w="2610" w:type="dxa"/>
          </w:tcPr>
          <w:p w14:paraId="3D20AAF4" w14:textId="7010C610" w:rsidR="009555B5" w:rsidRPr="00B97A25" w:rsidRDefault="00716AAB" w:rsidP="00B97A25">
            <w:pPr>
              <w:jc w:val="right"/>
              <w:rPr>
                <w:sz w:val="24"/>
              </w:rPr>
            </w:pPr>
            <w:r w:rsidRPr="00B97A25">
              <w:rPr>
                <w:sz w:val="24"/>
              </w:rPr>
              <w:t>821</w:t>
            </w:r>
          </w:p>
        </w:tc>
      </w:tr>
      <w:tr w:rsidR="009555B5" w14:paraId="69EB3E75" w14:textId="294B2597" w:rsidTr="00B97A25">
        <w:trPr>
          <w:jc w:val="center"/>
        </w:trPr>
        <w:tc>
          <w:tcPr>
            <w:tcW w:w="2250" w:type="dxa"/>
          </w:tcPr>
          <w:p w14:paraId="335679A3" w14:textId="48302508" w:rsidR="009555B5" w:rsidRDefault="009555B5" w:rsidP="009415A8">
            <w:pPr>
              <w:tabs>
                <w:tab w:val="left" w:pos="-720"/>
              </w:tabs>
              <w:suppressAutoHyphens/>
              <w:rPr>
                <w:color w:val="000000"/>
                <w:sz w:val="24"/>
              </w:rPr>
            </w:pPr>
            <w:r>
              <w:rPr>
                <w:color w:val="000000"/>
                <w:sz w:val="24"/>
              </w:rPr>
              <w:t>Massachusetts</w:t>
            </w:r>
          </w:p>
        </w:tc>
        <w:tc>
          <w:tcPr>
            <w:tcW w:w="2610" w:type="dxa"/>
          </w:tcPr>
          <w:p w14:paraId="1785250E" w14:textId="0B8747A6" w:rsidR="009555B5" w:rsidRPr="00B97A25" w:rsidRDefault="009555B5" w:rsidP="00B97A25">
            <w:pPr>
              <w:jc w:val="right"/>
              <w:rPr>
                <w:sz w:val="24"/>
              </w:rPr>
            </w:pPr>
            <w:r w:rsidRPr="00B97A25">
              <w:rPr>
                <w:sz w:val="24"/>
              </w:rPr>
              <w:t>6</w:t>
            </w:r>
          </w:p>
        </w:tc>
        <w:tc>
          <w:tcPr>
            <w:tcW w:w="2610" w:type="dxa"/>
          </w:tcPr>
          <w:p w14:paraId="42EDC841" w14:textId="4F8AED00" w:rsidR="009555B5" w:rsidRPr="00B97A25" w:rsidRDefault="00716AAB" w:rsidP="00B97A25">
            <w:pPr>
              <w:jc w:val="right"/>
              <w:rPr>
                <w:sz w:val="24"/>
              </w:rPr>
            </w:pPr>
            <w:r w:rsidRPr="00B97A25">
              <w:rPr>
                <w:sz w:val="24"/>
              </w:rPr>
              <w:t>582</w:t>
            </w:r>
          </w:p>
        </w:tc>
      </w:tr>
      <w:tr w:rsidR="009555B5" w14:paraId="5521B1D9" w14:textId="37283A82" w:rsidTr="00B97A25">
        <w:trPr>
          <w:jc w:val="center"/>
        </w:trPr>
        <w:tc>
          <w:tcPr>
            <w:tcW w:w="2250" w:type="dxa"/>
          </w:tcPr>
          <w:p w14:paraId="00C80D70" w14:textId="7BDF0ED7" w:rsidR="009555B5" w:rsidRDefault="009555B5" w:rsidP="009415A8">
            <w:pPr>
              <w:tabs>
                <w:tab w:val="left" w:pos="-720"/>
              </w:tabs>
              <w:suppressAutoHyphens/>
              <w:rPr>
                <w:color w:val="000000"/>
                <w:sz w:val="24"/>
              </w:rPr>
            </w:pPr>
            <w:r>
              <w:rPr>
                <w:color w:val="000000"/>
                <w:sz w:val="24"/>
              </w:rPr>
              <w:t>Maryland</w:t>
            </w:r>
          </w:p>
        </w:tc>
        <w:tc>
          <w:tcPr>
            <w:tcW w:w="2610" w:type="dxa"/>
          </w:tcPr>
          <w:p w14:paraId="15B829A1" w14:textId="200A05AC" w:rsidR="009555B5" w:rsidRPr="00B97A25" w:rsidRDefault="009555B5" w:rsidP="00B97A25">
            <w:pPr>
              <w:jc w:val="right"/>
              <w:rPr>
                <w:sz w:val="24"/>
              </w:rPr>
            </w:pPr>
            <w:r w:rsidRPr="00B97A25">
              <w:rPr>
                <w:sz w:val="24"/>
              </w:rPr>
              <w:t>2</w:t>
            </w:r>
          </w:p>
        </w:tc>
        <w:tc>
          <w:tcPr>
            <w:tcW w:w="2610" w:type="dxa"/>
          </w:tcPr>
          <w:p w14:paraId="1D595F5A" w14:textId="4E8B42B5" w:rsidR="009555B5" w:rsidRPr="00B97A25" w:rsidRDefault="00716AAB" w:rsidP="00B97A25">
            <w:pPr>
              <w:jc w:val="right"/>
              <w:rPr>
                <w:sz w:val="24"/>
              </w:rPr>
            </w:pPr>
            <w:r w:rsidRPr="00B97A25">
              <w:rPr>
                <w:sz w:val="24"/>
              </w:rPr>
              <w:t>131</w:t>
            </w:r>
          </w:p>
        </w:tc>
      </w:tr>
      <w:tr w:rsidR="009555B5" w14:paraId="45D3FB50" w14:textId="08ABB62C" w:rsidTr="00B97A25">
        <w:trPr>
          <w:jc w:val="center"/>
        </w:trPr>
        <w:tc>
          <w:tcPr>
            <w:tcW w:w="2250" w:type="dxa"/>
          </w:tcPr>
          <w:p w14:paraId="08B0A532" w14:textId="4ED016D9" w:rsidR="009555B5" w:rsidRDefault="009555B5" w:rsidP="009415A8">
            <w:pPr>
              <w:tabs>
                <w:tab w:val="left" w:pos="-720"/>
              </w:tabs>
              <w:suppressAutoHyphens/>
              <w:rPr>
                <w:color w:val="000000"/>
                <w:sz w:val="24"/>
              </w:rPr>
            </w:pPr>
            <w:r>
              <w:rPr>
                <w:color w:val="000000"/>
                <w:sz w:val="24"/>
              </w:rPr>
              <w:t>Michigan</w:t>
            </w:r>
          </w:p>
        </w:tc>
        <w:tc>
          <w:tcPr>
            <w:tcW w:w="2610" w:type="dxa"/>
          </w:tcPr>
          <w:p w14:paraId="7BBE1261" w14:textId="0E179B37" w:rsidR="009555B5" w:rsidRPr="00B97A25" w:rsidRDefault="009555B5" w:rsidP="00B97A25">
            <w:pPr>
              <w:jc w:val="right"/>
              <w:rPr>
                <w:sz w:val="24"/>
              </w:rPr>
            </w:pPr>
            <w:r w:rsidRPr="00B97A25">
              <w:rPr>
                <w:sz w:val="24"/>
              </w:rPr>
              <w:t>7</w:t>
            </w:r>
          </w:p>
        </w:tc>
        <w:tc>
          <w:tcPr>
            <w:tcW w:w="2610" w:type="dxa"/>
          </w:tcPr>
          <w:p w14:paraId="3E786B7C" w14:textId="1FB2EB46" w:rsidR="009555B5" w:rsidRPr="00B97A25" w:rsidRDefault="00716AAB" w:rsidP="00B97A25">
            <w:pPr>
              <w:jc w:val="right"/>
              <w:rPr>
                <w:sz w:val="24"/>
              </w:rPr>
            </w:pPr>
            <w:r w:rsidRPr="00B97A25">
              <w:rPr>
                <w:sz w:val="24"/>
              </w:rPr>
              <w:t>773</w:t>
            </w:r>
          </w:p>
        </w:tc>
      </w:tr>
      <w:tr w:rsidR="009555B5" w14:paraId="7CEE6D67" w14:textId="2CC0420C" w:rsidTr="00B97A25">
        <w:trPr>
          <w:jc w:val="center"/>
        </w:trPr>
        <w:tc>
          <w:tcPr>
            <w:tcW w:w="2250" w:type="dxa"/>
          </w:tcPr>
          <w:p w14:paraId="705D1170" w14:textId="24904AB8" w:rsidR="009555B5" w:rsidRDefault="009555B5" w:rsidP="009415A8">
            <w:pPr>
              <w:tabs>
                <w:tab w:val="left" w:pos="-720"/>
              </w:tabs>
              <w:suppressAutoHyphens/>
              <w:rPr>
                <w:color w:val="000000"/>
                <w:sz w:val="24"/>
              </w:rPr>
            </w:pPr>
            <w:r>
              <w:rPr>
                <w:color w:val="000000"/>
                <w:sz w:val="24"/>
              </w:rPr>
              <w:t>New Jersey</w:t>
            </w:r>
          </w:p>
        </w:tc>
        <w:tc>
          <w:tcPr>
            <w:tcW w:w="2610" w:type="dxa"/>
          </w:tcPr>
          <w:p w14:paraId="3D72ECAD" w14:textId="17C771FD" w:rsidR="009555B5" w:rsidRPr="00B97A25" w:rsidRDefault="009555B5" w:rsidP="00B97A25">
            <w:pPr>
              <w:jc w:val="right"/>
              <w:rPr>
                <w:sz w:val="24"/>
              </w:rPr>
            </w:pPr>
            <w:r w:rsidRPr="00B97A25">
              <w:rPr>
                <w:sz w:val="24"/>
              </w:rPr>
              <w:t>3</w:t>
            </w:r>
          </w:p>
        </w:tc>
        <w:tc>
          <w:tcPr>
            <w:tcW w:w="2610" w:type="dxa"/>
          </w:tcPr>
          <w:p w14:paraId="66B2A391" w14:textId="2DF8A0D7" w:rsidR="009555B5" w:rsidRPr="00B97A25" w:rsidRDefault="00716AAB" w:rsidP="00B97A25">
            <w:pPr>
              <w:jc w:val="right"/>
              <w:rPr>
                <w:sz w:val="24"/>
              </w:rPr>
            </w:pPr>
            <w:r w:rsidRPr="00B97A25">
              <w:rPr>
                <w:sz w:val="24"/>
              </w:rPr>
              <w:t>194</w:t>
            </w:r>
          </w:p>
        </w:tc>
      </w:tr>
      <w:tr w:rsidR="009555B5" w14:paraId="6B5C0F31" w14:textId="6E39F061" w:rsidTr="00B97A25">
        <w:trPr>
          <w:jc w:val="center"/>
        </w:trPr>
        <w:tc>
          <w:tcPr>
            <w:tcW w:w="2250" w:type="dxa"/>
          </w:tcPr>
          <w:p w14:paraId="61E81056" w14:textId="2B41BFCB" w:rsidR="009555B5" w:rsidRDefault="009555B5" w:rsidP="009415A8">
            <w:pPr>
              <w:tabs>
                <w:tab w:val="left" w:pos="-720"/>
              </w:tabs>
              <w:suppressAutoHyphens/>
              <w:rPr>
                <w:color w:val="000000"/>
                <w:sz w:val="24"/>
              </w:rPr>
            </w:pPr>
            <w:r>
              <w:rPr>
                <w:color w:val="000000"/>
                <w:sz w:val="24"/>
              </w:rPr>
              <w:t>South Carolina</w:t>
            </w:r>
          </w:p>
        </w:tc>
        <w:tc>
          <w:tcPr>
            <w:tcW w:w="2610" w:type="dxa"/>
          </w:tcPr>
          <w:p w14:paraId="1EC7A044" w14:textId="16761B42" w:rsidR="009555B5" w:rsidRPr="00B97A25" w:rsidRDefault="009555B5" w:rsidP="00B97A25">
            <w:pPr>
              <w:jc w:val="right"/>
              <w:rPr>
                <w:sz w:val="24"/>
              </w:rPr>
            </w:pPr>
            <w:r w:rsidRPr="00B97A25">
              <w:rPr>
                <w:sz w:val="24"/>
              </w:rPr>
              <w:t>2</w:t>
            </w:r>
          </w:p>
        </w:tc>
        <w:tc>
          <w:tcPr>
            <w:tcW w:w="2610" w:type="dxa"/>
          </w:tcPr>
          <w:p w14:paraId="3FC798FF" w14:textId="363F2BBA" w:rsidR="009555B5" w:rsidRPr="00B97A25" w:rsidRDefault="00716AAB" w:rsidP="00B97A25">
            <w:pPr>
              <w:jc w:val="right"/>
              <w:rPr>
                <w:sz w:val="24"/>
              </w:rPr>
            </w:pPr>
            <w:r w:rsidRPr="00B97A25">
              <w:rPr>
                <w:sz w:val="24"/>
              </w:rPr>
              <w:t>314</w:t>
            </w:r>
          </w:p>
        </w:tc>
      </w:tr>
      <w:tr w:rsidR="009555B5" w14:paraId="59DF573A" w14:textId="67454DDE" w:rsidTr="00B97A25">
        <w:trPr>
          <w:jc w:val="center"/>
        </w:trPr>
        <w:tc>
          <w:tcPr>
            <w:tcW w:w="2250" w:type="dxa"/>
          </w:tcPr>
          <w:p w14:paraId="442AB877" w14:textId="04CF8262" w:rsidR="009555B5" w:rsidRDefault="009555B5" w:rsidP="009415A8">
            <w:pPr>
              <w:tabs>
                <w:tab w:val="left" w:pos="-720"/>
              </w:tabs>
              <w:suppressAutoHyphens/>
              <w:rPr>
                <w:color w:val="000000"/>
                <w:sz w:val="24"/>
              </w:rPr>
            </w:pPr>
            <w:r>
              <w:rPr>
                <w:color w:val="000000"/>
                <w:sz w:val="24"/>
              </w:rPr>
              <w:t>Total</w:t>
            </w:r>
          </w:p>
        </w:tc>
        <w:tc>
          <w:tcPr>
            <w:tcW w:w="2610" w:type="dxa"/>
          </w:tcPr>
          <w:p w14:paraId="35F3826D" w14:textId="68223EC9" w:rsidR="009555B5" w:rsidRPr="00B97A25" w:rsidRDefault="009555B5" w:rsidP="00B97A25">
            <w:pPr>
              <w:jc w:val="right"/>
              <w:rPr>
                <w:sz w:val="24"/>
              </w:rPr>
            </w:pPr>
            <w:r w:rsidRPr="00B97A25">
              <w:rPr>
                <w:sz w:val="24"/>
              </w:rPr>
              <w:t>40</w:t>
            </w:r>
          </w:p>
        </w:tc>
        <w:tc>
          <w:tcPr>
            <w:tcW w:w="2610" w:type="dxa"/>
          </w:tcPr>
          <w:p w14:paraId="68C938AE" w14:textId="1EA0C3FF" w:rsidR="009555B5" w:rsidRPr="00B97A25" w:rsidRDefault="00716AAB" w:rsidP="00B97A25">
            <w:pPr>
              <w:jc w:val="right"/>
              <w:rPr>
                <w:sz w:val="24"/>
              </w:rPr>
            </w:pPr>
            <w:r w:rsidRPr="00B97A25">
              <w:rPr>
                <w:sz w:val="24"/>
              </w:rPr>
              <w:t>4,249</w:t>
            </w:r>
          </w:p>
        </w:tc>
      </w:tr>
    </w:tbl>
    <w:p w14:paraId="6D8E5F22" w14:textId="77777777" w:rsidR="0092659B" w:rsidRPr="00F26B24" w:rsidRDefault="0092659B" w:rsidP="009415A8">
      <w:pPr>
        <w:tabs>
          <w:tab w:val="left" w:pos="-720"/>
        </w:tabs>
        <w:suppressAutoHyphens/>
        <w:rPr>
          <w:color w:val="000000"/>
          <w:sz w:val="24"/>
        </w:rPr>
      </w:pPr>
    </w:p>
    <w:p w14:paraId="259EFEE5" w14:textId="4CA7ADDE" w:rsidR="00BD1359" w:rsidRDefault="00BD1359" w:rsidP="00BD1359">
      <w:pPr>
        <w:tabs>
          <w:tab w:val="left" w:pos="-720"/>
        </w:tabs>
        <w:suppressAutoHyphens/>
        <w:rPr>
          <w:b/>
          <w:sz w:val="24"/>
        </w:rPr>
      </w:pPr>
      <w:r w:rsidRPr="00F26B24">
        <w:rPr>
          <w:b/>
          <w:sz w:val="24"/>
        </w:rPr>
        <w:t>2.</w:t>
      </w:r>
      <w:r>
        <w:rPr>
          <w:b/>
          <w:sz w:val="24"/>
        </w:rPr>
        <w:t xml:space="preserve">  </w:t>
      </w:r>
      <w:r w:rsidRPr="00F26B24">
        <w:rPr>
          <w:b/>
          <w:sz w:val="24"/>
        </w:rPr>
        <w:t>Procedures for the Collection of Information</w:t>
      </w:r>
    </w:p>
    <w:p w14:paraId="57C5EBF3" w14:textId="77777777" w:rsidR="00B97A25" w:rsidRPr="00F26B24" w:rsidRDefault="00B97A25" w:rsidP="00BD1359">
      <w:pPr>
        <w:tabs>
          <w:tab w:val="left" w:pos="-720"/>
        </w:tabs>
        <w:suppressAutoHyphens/>
        <w:rPr>
          <w:sz w:val="24"/>
        </w:rPr>
      </w:pPr>
    </w:p>
    <w:p w14:paraId="2F052F5B" w14:textId="146C9BBB" w:rsidR="0042786C" w:rsidRPr="0042786C" w:rsidRDefault="0042786C" w:rsidP="0042786C">
      <w:pPr>
        <w:tabs>
          <w:tab w:val="left" w:pos="-720"/>
        </w:tabs>
        <w:suppressAutoHyphens/>
        <w:rPr>
          <w:sz w:val="24"/>
        </w:rPr>
      </w:pPr>
      <w:r w:rsidRPr="0042786C">
        <w:rPr>
          <w:sz w:val="24"/>
        </w:rPr>
        <w:t xml:space="preserve">On January 20, 2016, HUD announced the availability of a funding opportunity (Notice of Funding Availability or NOFA) under the Supportive Services Demonstration for Elderly Households in HUD-Assisted Multifamily Housing, </w:t>
      </w:r>
      <w:r>
        <w:rPr>
          <w:sz w:val="24"/>
        </w:rPr>
        <w:t>which</w:t>
      </w:r>
      <w:r w:rsidRPr="0042786C">
        <w:rPr>
          <w:sz w:val="24"/>
        </w:rPr>
        <w:t xml:space="preserve"> made available approximately $15 million in three- year grants to owners of multifamily properties to implement the demonstration.</w:t>
      </w:r>
    </w:p>
    <w:p w14:paraId="74F685EE" w14:textId="77777777" w:rsidR="0042786C" w:rsidRPr="0042786C" w:rsidRDefault="0042786C" w:rsidP="0042786C">
      <w:pPr>
        <w:tabs>
          <w:tab w:val="left" w:pos="-720"/>
        </w:tabs>
        <w:suppressAutoHyphens/>
        <w:rPr>
          <w:sz w:val="24"/>
        </w:rPr>
      </w:pPr>
    </w:p>
    <w:p w14:paraId="5D19F6E2" w14:textId="2B5551E9" w:rsidR="0042786C" w:rsidRDefault="0042786C" w:rsidP="0042786C">
      <w:pPr>
        <w:tabs>
          <w:tab w:val="left" w:pos="-720"/>
        </w:tabs>
        <w:suppressAutoHyphens/>
        <w:rPr>
          <w:sz w:val="24"/>
        </w:rPr>
      </w:pPr>
      <w:r w:rsidRPr="0042786C">
        <w:rPr>
          <w:sz w:val="24"/>
        </w:rPr>
        <w:t>Eligible applicants were owners of elderly designated or restricted Multifamily properties with at least 50 assisted housing units occupied by eligible tenants (households consisting of one or more persons of whom one is at least 62 years of age or older); up to 10% of the units could be occupied by a person with a di</w:t>
      </w:r>
      <w:r>
        <w:rPr>
          <w:sz w:val="24"/>
        </w:rPr>
        <w:t xml:space="preserve">sability under the age of 62.  </w:t>
      </w:r>
      <w:r w:rsidRPr="0042786C">
        <w:rPr>
          <w:sz w:val="24"/>
        </w:rPr>
        <w:t>Properties with and without current resident service coordinators could apply. Eligible HUD-assisted housing types included housing assisted under Section 202 of the Housing Act of 1959, housing with project based Section 8 assistance (including USDA Section 515 rural housing projects), housing insured under Section 221(d)(3), and housing assisted under Section 236 of the National Housing Act.</w:t>
      </w:r>
      <w:r>
        <w:rPr>
          <w:sz w:val="24"/>
        </w:rPr>
        <w:t xml:space="preserve"> HUD</w:t>
      </w:r>
      <w:r w:rsidRPr="0042786C">
        <w:rPr>
          <w:sz w:val="24"/>
        </w:rPr>
        <w:t xml:space="preserve"> received over 700 applications. </w:t>
      </w:r>
    </w:p>
    <w:p w14:paraId="45B8DA11" w14:textId="77777777" w:rsidR="0042786C" w:rsidRDefault="0042786C" w:rsidP="0042786C">
      <w:pPr>
        <w:tabs>
          <w:tab w:val="left" w:pos="-720"/>
        </w:tabs>
        <w:suppressAutoHyphens/>
        <w:rPr>
          <w:sz w:val="24"/>
        </w:rPr>
      </w:pPr>
    </w:p>
    <w:p w14:paraId="629E20E2" w14:textId="576D628A" w:rsidR="0042786C" w:rsidRPr="00D370AE" w:rsidRDefault="0042786C" w:rsidP="00830E0A">
      <w:pPr>
        <w:tabs>
          <w:tab w:val="left" w:pos="-720"/>
        </w:tabs>
        <w:suppressAutoHyphens/>
        <w:rPr>
          <w:sz w:val="24"/>
        </w:rPr>
      </w:pPr>
      <w:r w:rsidRPr="00D370AE">
        <w:rPr>
          <w:sz w:val="24"/>
        </w:rPr>
        <w:t xml:space="preserve">HUD </w:t>
      </w:r>
      <w:r>
        <w:rPr>
          <w:sz w:val="24"/>
        </w:rPr>
        <w:t>designed</w:t>
      </w:r>
      <w:r w:rsidRPr="00D370AE">
        <w:rPr>
          <w:sz w:val="24"/>
        </w:rPr>
        <w:t xml:space="preserve"> a rigorous, cluster-randomized controlled evaluation of the Supportive Services Demonstration. The prospective design was included in the demonstration NOFA, such that the implementation roll-out will accommodate a robust and simultaneous evaluation. Eligible properties were randomized to one of three groups: a treatment group or one of two control groups—active and passive. The treatment group will implement </w:t>
      </w:r>
      <w:r>
        <w:rPr>
          <w:sz w:val="24"/>
        </w:rPr>
        <w:t>the demonstration model</w:t>
      </w:r>
      <w:r w:rsidRPr="00D370AE">
        <w:rPr>
          <w:sz w:val="24"/>
        </w:rPr>
        <w:t xml:space="preserve"> in a standardized way across all sites. </w:t>
      </w:r>
      <w:r w:rsidR="00830E0A" w:rsidRPr="00D370AE">
        <w:rPr>
          <w:sz w:val="24"/>
        </w:rPr>
        <w:t>Properties in the treatment and active control groups are required to participate in the evaluation as a condition of award.</w:t>
      </w:r>
      <w:r w:rsidR="00830E0A">
        <w:rPr>
          <w:sz w:val="24"/>
        </w:rPr>
        <w:t xml:space="preserve"> </w:t>
      </w:r>
      <w:r w:rsidRPr="00D370AE">
        <w:rPr>
          <w:sz w:val="24"/>
        </w:rPr>
        <w:t xml:space="preserve">The active control group properties will </w:t>
      </w:r>
      <w:r w:rsidRPr="00D370AE">
        <w:rPr>
          <w:sz w:val="24"/>
        </w:rPr>
        <w:lastRenderedPageBreak/>
        <w:t>know that they are participating in the evaluation and will be paid a participation fee</w:t>
      </w:r>
      <w:r w:rsidR="00E7008B">
        <w:rPr>
          <w:sz w:val="24"/>
        </w:rPr>
        <w:t xml:space="preserve"> of $5,000 per property. </w:t>
      </w:r>
      <w:r w:rsidR="00E7008B" w:rsidRPr="00E7008B">
        <w:rPr>
          <w:sz w:val="24"/>
        </w:rPr>
        <w:t xml:space="preserve">The first payment of $2,500 </w:t>
      </w:r>
      <w:r w:rsidR="00E7008B">
        <w:rPr>
          <w:sz w:val="24"/>
        </w:rPr>
        <w:t>was</w:t>
      </w:r>
      <w:r w:rsidR="00E7008B" w:rsidRPr="00E7008B">
        <w:rPr>
          <w:sz w:val="24"/>
        </w:rPr>
        <w:t xml:space="preserve"> paid upon the execution of Cooperative Agreement</w:t>
      </w:r>
      <w:r w:rsidR="00E7008B">
        <w:rPr>
          <w:sz w:val="24"/>
        </w:rPr>
        <w:t>s in September 2017</w:t>
      </w:r>
      <w:r w:rsidR="00E7008B" w:rsidRPr="00E7008B">
        <w:rPr>
          <w:sz w:val="24"/>
        </w:rPr>
        <w:t xml:space="preserve">. The second and final payment of $2,500 will be paid at the end of the Demonstration upon the completion of the </w:t>
      </w:r>
      <w:r w:rsidR="00C32EF8">
        <w:rPr>
          <w:sz w:val="24"/>
        </w:rPr>
        <w:t>g</w:t>
      </w:r>
      <w:r w:rsidR="00E7008B" w:rsidRPr="00E7008B">
        <w:rPr>
          <w:sz w:val="24"/>
        </w:rPr>
        <w:t>rantee performing milestones of site visits, telephone interviews, and focus groups</w:t>
      </w:r>
      <w:r w:rsidR="00C32EF8">
        <w:rPr>
          <w:sz w:val="24"/>
        </w:rPr>
        <w:t xml:space="preserve"> that are outlined in the cooperative agreement</w:t>
      </w:r>
      <w:r w:rsidRPr="00D370AE">
        <w:rPr>
          <w:sz w:val="24"/>
        </w:rPr>
        <w:t>.</w:t>
      </w:r>
      <w:r w:rsidR="00830E0A">
        <w:rPr>
          <w:sz w:val="24"/>
        </w:rPr>
        <w:t xml:space="preserve"> As detailed in the Cooperative Agreement, allowable program costs are </w:t>
      </w:r>
      <w:r w:rsidR="00830E0A" w:rsidRPr="00830E0A">
        <w:rPr>
          <w:sz w:val="24"/>
        </w:rPr>
        <w:t xml:space="preserve">those costs which are necessary and reasonable for the Grantee’s participation in the Control Group </w:t>
      </w:r>
      <w:r w:rsidR="00830E0A">
        <w:rPr>
          <w:sz w:val="24"/>
        </w:rPr>
        <w:t xml:space="preserve">and </w:t>
      </w:r>
      <w:r w:rsidR="00830E0A" w:rsidRPr="00830E0A">
        <w:rPr>
          <w:sz w:val="24"/>
        </w:rPr>
        <w:t>include, but are not limited to</w:t>
      </w:r>
      <w:r w:rsidR="00830E0A">
        <w:rPr>
          <w:sz w:val="24"/>
        </w:rPr>
        <w:t>, s</w:t>
      </w:r>
      <w:r w:rsidR="00830E0A" w:rsidRPr="00830E0A">
        <w:rPr>
          <w:sz w:val="24"/>
        </w:rPr>
        <w:t>taff hours devoted to preparation and/or participation in site visits, interviews, or resident focus groups</w:t>
      </w:r>
      <w:r w:rsidR="00830E0A">
        <w:rPr>
          <w:sz w:val="24"/>
        </w:rPr>
        <w:t>.</w:t>
      </w:r>
      <w:r w:rsidRPr="00D370AE">
        <w:rPr>
          <w:sz w:val="24"/>
        </w:rPr>
        <w:t xml:space="preserve"> The passive control group properties will not know that they are participating and data for residents will be obtained from administrative sources. </w:t>
      </w:r>
    </w:p>
    <w:p w14:paraId="67607310" w14:textId="77777777" w:rsidR="0042786C" w:rsidRPr="00D370AE" w:rsidRDefault="0042786C" w:rsidP="0042786C">
      <w:pPr>
        <w:tabs>
          <w:tab w:val="left" w:pos="-720"/>
        </w:tabs>
        <w:suppressAutoHyphens/>
        <w:rPr>
          <w:sz w:val="24"/>
        </w:rPr>
      </w:pPr>
    </w:p>
    <w:p w14:paraId="7A2B1B67" w14:textId="77777777" w:rsidR="0042786C" w:rsidRPr="00D370AE" w:rsidRDefault="0042786C" w:rsidP="0042786C">
      <w:pPr>
        <w:tabs>
          <w:tab w:val="left" w:pos="-720"/>
        </w:tabs>
        <w:suppressAutoHyphens/>
        <w:rPr>
          <w:sz w:val="24"/>
        </w:rPr>
      </w:pPr>
      <w:r w:rsidRPr="00D370AE">
        <w:rPr>
          <w:sz w:val="24"/>
        </w:rPr>
        <w:t>Forty properties were selected into the treatment group chosen not to exceed the NOFA budget. Eighty properties were selected for the control group, evenly split between active and passive controls. A few additional properties were drawn into waitlists for inclusion in the treatment and control groups to account for post-implementation attrition due to ineligibility or refusal.</w:t>
      </w:r>
    </w:p>
    <w:p w14:paraId="62C74284" w14:textId="77777777" w:rsidR="0042786C" w:rsidRPr="00D370AE" w:rsidRDefault="0042786C" w:rsidP="0042786C">
      <w:pPr>
        <w:tabs>
          <w:tab w:val="left" w:pos="-720"/>
        </w:tabs>
        <w:suppressAutoHyphens/>
        <w:rPr>
          <w:sz w:val="24"/>
        </w:rPr>
      </w:pPr>
    </w:p>
    <w:p w14:paraId="114FA4C9" w14:textId="77777777" w:rsidR="0042786C" w:rsidRPr="00D370AE" w:rsidRDefault="0042786C" w:rsidP="0042786C">
      <w:pPr>
        <w:tabs>
          <w:tab w:val="left" w:pos="-720"/>
        </w:tabs>
        <w:suppressAutoHyphens/>
        <w:rPr>
          <w:sz w:val="24"/>
        </w:rPr>
      </w:pPr>
      <w:r w:rsidRPr="00D370AE">
        <w:rPr>
          <w:sz w:val="24"/>
        </w:rPr>
        <w:t>Properties were randomized to the different groups using the following methodology:</w:t>
      </w:r>
    </w:p>
    <w:p w14:paraId="37717CE6" w14:textId="77777777" w:rsidR="0042786C" w:rsidRPr="00D370AE" w:rsidRDefault="0042786C" w:rsidP="0042786C">
      <w:pPr>
        <w:tabs>
          <w:tab w:val="left" w:pos="-720"/>
        </w:tabs>
        <w:suppressAutoHyphens/>
        <w:rPr>
          <w:sz w:val="24"/>
        </w:rPr>
      </w:pPr>
    </w:p>
    <w:p w14:paraId="162F4809" w14:textId="2D50D40D" w:rsidR="00B97A25" w:rsidRDefault="0042786C" w:rsidP="009930C3">
      <w:pPr>
        <w:pStyle w:val="ListParagraph"/>
        <w:numPr>
          <w:ilvl w:val="0"/>
          <w:numId w:val="15"/>
        </w:numPr>
        <w:tabs>
          <w:tab w:val="left" w:pos="-720"/>
        </w:tabs>
        <w:suppressAutoHyphens/>
        <w:rPr>
          <w:sz w:val="24"/>
        </w:rPr>
      </w:pPr>
      <w:r w:rsidRPr="00B97A25">
        <w:rPr>
          <w:sz w:val="24"/>
        </w:rPr>
        <w:t>A total of 756 applications were submitted for funding consideration. As noted in the NOFA, HUD expected to constrain the demonstration to a select number of states based on the pool of applicants and property characteristics. After screening all applications for eligibility, HUD ranked states for the demonstration based on three factors: The number of properties with and without a current service coordinator; the rate of county-level fee-for-service enrollment among Medicare beneficiaries; and the number of Centers for Medicare and Medicaid Services (CMS)-funded initiatives improving care coordination for elderly persons. Based on the rankings, 185 properties across seven states (California, Illinois, Massachusetts, Maryland, Michigan, New Jersey, and South Carolina) were eligible for randomization into the three groups.</w:t>
      </w:r>
    </w:p>
    <w:p w14:paraId="10E3C4F3" w14:textId="77777777" w:rsidR="00B97A25" w:rsidRDefault="00B97A25" w:rsidP="00B97A25">
      <w:pPr>
        <w:pStyle w:val="ListParagraph"/>
        <w:tabs>
          <w:tab w:val="left" w:pos="-720"/>
        </w:tabs>
        <w:suppressAutoHyphens/>
        <w:rPr>
          <w:sz w:val="24"/>
        </w:rPr>
      </w:pPr>
    </w:p>
    <w:p w14:paraId="0745BBF6" w14:textId="77777777" w:rsidR="00B97A25" w:rsidRDefault="0042786C" w:rsidP="009930C3">
      <w:pPr>
        <w:pStyle w:val="ListParagraph"/>
        <w:numPr>
          <w:ilvl w:val="0"/>
          <w:numId w:val="15"/>
        </w:numPr>
        <w:tabs>
          <w:tab w:val="left" w:pos="-720"/>
        </w:tabs>
        <w:suppressAutoHyphens/>
        <w:rPr>
          <w:sz w:val="24"/>
        </w:rPr>
      </w:pPr>
      <w:r w:rsidRPr="00B97A25">
        <w:rPr>
          <w:sz w:val="24"/>
        </w:rPr>
        <w:t>Prior to randomization, CBSAs were used as a geographic unit to stratify properties. CBSAs across the country vary in numerous ways, including in measures of access to and cost of healthcare services and access to social services. Stratification on CBSAs was adopted to help ensure that the treatment and control groups are balanced, not just on the observed characteristics for which balance can be checked, but also for unobserved characteristics of the locality. CBSAs with too few properties to treat as independent strata were combined within states to form one larger stratum. Three properties were considered outliers and dropped before randomization, leaving 185 properties across 14 strata.</w:t>
      </w:r>
    </w:p>
    <w:p w14:paraId="20838FA4" w14:textId="77777777" w:rsidR="00B97A25" w:rsidRPr="00B97A25" w:rsidRDefault="00B97A25" w:rsidP="00B97A25">
      <w:pPr>
        <w:pStyle w:val="ListParagraph"/>
        <w:rPr>
          <w:sz w:val="24"/>
        </w:rPr>
      </w:pPr>
    </w:p>
    <w:p w14:paraId="54E5693F" w14:textId="77777777" w:rsidR="00B97A25" w:rsidRDefault="00B97A25" w:rsidP="0042786C">
      <w:pPr>
        <w:pStyle w:val="ListParagraph"/>
        <w:numPr>
          <w:ilvl w:val="0"/>
          <w:numId w:val="15"/>
        </w:numPr>
        <w:tabs>
          <w:tab w:val="left" w:pos="-720"/>
        </w:tabs>
        <w:suppressAutoHyphens/>
        <w:rPr>
          <w:sz w:val="24"/>
        </w:rPr>
      </w:pPr>
      <w:r>
        <w:rPr>
          <w:sz w:val="24"/>
        </w:rPr>
        <w:t>A</w:t>
      </w:r>
      <w:r w:rsidR="0042786C" w:rsidRPr="00B97A25">
        <w:rPr>
          <w:sz w:val="24"/>
        </w:rPr>
        <w:t xml:space="preserve"> set of importance weights were created to account for desired characteristics—such as higher fee-for-service Medicare penetration weights—of the properties selected for the demonstration.</w:t>
      </w:r>
    </w:p>
    <w:p w14:paraId="022173FF" w14:textId="77777777" w:rsidR="00B97A25" w:rsidRPr="00B97A25" w:rsidRDefault="00B97A25" w:rsidP="00B97A25">
      <w:pPr>
        <w:pStyle w:val="ListParagraph"/>
        <w:rPr>
          <w:sz w:val="24"/>
        </w:rPr>
      </w:pPr>
    </w:p>
    <w:p w14:paraId="39DB4024" w14:textId="77777777" w:rsidR="00B97A25" w:rsidRDefault="0042786C" w:rsidP="0042786C">
      <w:pPr>
        <w:pStyle w:val="ListParagraph"/>
        <w:numPr>
          <w:ilvl w:val="0"/>
          <w:numId w:val="15"/>
        </w:numPr>
        <w:tabs>
          <w:tab w:val="left" w:pos="-720"/>
        </w:tabs>
        <w:suppressAutoHyphens/>
        <w:rPr>
          <w:sz w:val="24"/>
        </w:rPr>
      </w:pPr>
      <w:r w:rsidRPr="00B97A25">
        <w:rPr>
          <w:sz w:val="24"/>
        </w:rPr>
        <w:t>Random sampling was executed using the default random-number generator in Stata 14. An unequal probability sampling without replacement algorithm was implemented using the random systematic sampling technique developed by Hartley and Rao (1962).  For each of the 14 strata, 3x44/182*(number of properties in stratum) properties using the importance weights and the unequal probability sampling without replacement algorithm were drawn. Simple random sampling was then used to allocate selected properties in each stratum into treatment, active control and passive control groups.</w:t>
      </w:r>
    </w:p>
    <w:p w14:paraId="5311AAB7" w14:textId="77777777" w:rsidR="00B97A25" w:rsidRPr="00B97A25" w:rsidRDefault="00B97A25" w:rsidP="00B97A25">
      <w:pPr>
        <w:pStyle w:val="ListParagraph"/>
        <w:rPr>
          <w:sz w:val="24"/>
        </w:rPr>
      </w:pPr>
    </w:p>
    <w:p w14:paraId="715F419A" w14:textId="6E226DCD" w:rsidR="0042786C" w:rsidRPr="00B97A25" w:rsidRDefault="0042786C" w:rsidP="0042786C">
      <w:pPr>
        <w:pStyle w:val="ListParagraph"/>
        <w:numPr>
          <w:ilvl w:val="0"/>
          <w:numId w:val="15"/>
        </w:numPr>
        <w:tabs>
          <w:tab w:val="left" w:pos="-720"/>
        </w:tabs>
        <w:suppressAutoHyphens/>
        <w:rPr>
          <w:sz w:val="24"/>
        </w:rPr>
      </w:pPr>
      <w:r w:rsidRPr="00B97A25">
        <w:rPr>
          <w:sz w:val="24"/>
        </w:rPr>
        <w:t xml:space="preserve">Forty properties were randomized to the treatment group, 40 to the active control group, and 40 to the passive control group which also serves as the active control group waitlist. Three properties were randomized to the treatment group waitlist. Properties on the waitlists were assigned a rank to dictate the order in which any waitlist properties would be drawn into the treatment and active control groups. </w:t>
      </w:r>
    </w:p>
    <w:p w14:paraId="6E64A8D4" w14:textId="77777777" w:rsidR="0042786C" w:rsidRPr="00D370AE" w:rsidRDefault="0042786C" w:rsidP="0042786C">
      <w:pPr>
        <w:tabs>
          <w:tab w:val="left" w:pos="-720"/>
        </w:tabs>
        <w:suppressAutoHyphens/>
        <w:rPr>
          <w:sz w:val="24"/>
        </w:rPr>
      </w:pPr>
    </w:p>
    <w:p w14:paraId="6665FB81" w14:textId="602AC87C" w:rsidR="0042786C" w:rsidRDefault="0042786C" w:rsidP="0042786C">
      <w:pPr>
        <w:tabs>
          <w:tab w:val="left" w:pos="-720"/>
        </w:tabs>
        <w:suppressAutoHyphens/>
        <w:rPr>
          <w:sz w:val="24"/>
        </w:rPr>
      </w:pPr>
      <w:r w:rsidRPr="00D370AE">
        <w:rPr>
          <w:sz w:val="24"/>
        </w:rPr>
        <w:t>Post-randomization, three properties from the treatment group and one property from the active control group were either deemed ineligible or declined participation. Sites were replaced from properties from the ranked wait lists.</w:t>
      </w:r>
    </w:p>
    <w:p w14:paraId="645A1C47" w14:textId="7C7D6CA0" w:rsidR="0042786C" w:rsidRDefault="0042786C" w:rsidP="0042786C">
      <w:pPr>
        <w:tabs>
          <w:tab w:val="left" w:pos="-720"/>
        </w:tabs>
        <w:suppressAutoHyphens/>
        <w:rPr>
          <w:sz w:val="24"/>
        </w:rPr>
      </w:pPr>
    </w:p>
    <w:p w14:paraId="72BD3CD8" w14:textId="4A4DF543" w:rsidR="0042786C" w:rsidRPr="00D370AE" w:rsidRDefault="0042786C" w:rsidP="0042786C">
      <w:pPr>
        <w:tabs>
          <w:tab w:val="left" w:pos="-720"/>
        </w:tabs>
        <w:suppressAutoHyphens/>
        <w:rPr>
          <w:sz w:val="24"/>
        </w:rPr>
      </w:pPr>
      <w:r>
        <w:rPr>
          <w:sz w:val="24"/>
        </w:rPr>
        <w:t xml:space="preserve">Forty properties across seven states were selected for the treatment group of the demonstration, the residents of which will be asked to participate in the </w:t>
      </w:r>
      <w:r w:rsidRPr="00D370AE">
        <w:rPr>
          <w:i/>
          <w:sz w:val="24"/>
        </w:rPr>
        <w:t>Resident Assessment</w:t>
      </w:r>
      <w:r>
        <w:rPr>
          <w:sz w:val="24"/>
        </w:rPr>
        <w:t>.</w:t>
      </w:r>
    </w:p>
    <w:p w14:paraId="583739B4" w14:textId="77777777" w:rsidR="0042786C" w:rsidRDefault="0042786C" w:rsidP="00DC31AA">
      <w:pPr>
        <w:tabs>
          <w:tab w:val="left" w:pos="-720"/>
        </w:tabs>
        <w:suppressAutoHyphens/>
        <w:rPr>
          <w:color w:val="000000"/>
          <w:sz w:val="24"/>
        </w:rPr>
      </w:pPr>
    </w:p>
    <w:p w14:paraId="6F68309B" w14:textId="4D89DC06" w:rsidR="00DC31AA" w:rsidRPr="00F26B24" w:rsidRDefault="00DC31AA" w:rsidP="00DC31AA">
      <w:pPr>
        <w:tabs>
          <w:tab w:val="left" w:pos="-720"/>
        </w:tabs>
        <w:suppressAutoHyphens/>
        <w:rPr>
          <w:color w:val="000000"/>
          <w:sz w:val="24"/>
        </w:rPr>
      </w:pPr>
      <w:r w:rsidRPr="00F26B24">
        <w:rPr>
          <w:color w:val="000000"/>
          <w:sz w:val="24"/>
        </w:rPr>
        <w:t xml:space="preserve">All respondents will </w:t>
      </w:r>
      <w:r w:rsidRPr="00F26B24">
        <w:rPr>
          <w:noProof/>
          <w:color w:val="000000"/>
          <w:sz w:val="24"/>
        </w:rPr>
        <w:t>be presented</w:t>
      </w:r>
      <w:r w:rsidRPr="00F26B24">
        <w:rPr>
          <w:color w:val="000000"/>
          <w:sz w:val="24"/>
        </w:rPr>
        <w:t xml:space="preserve"> with an IRB approved informed consent form </w:t>
      </w:r>
      <w:r w:rsidR="00692F34" w:rsidRPr="00F26B24">
        <w:rPr>
          <w:noProof/>
          <w:color w:val="000000"/>
          <w:sz w:val="24"/>
        </w:rPr>
        <w:t>prior to</w:t>
      </w:r>
      <w:r w:rsidRPr="00F26B24">
        <w:rPr>
          <w:color w:val="000000"/>
          <w:sz w:val="24"/>
        </w:rPr>
        <w:t xml:space="preserve"> participation in the demonstration. </w:t>
      </w:r>
      <w:r w:rsidR="009A3B91" w:rsidRPr="00F26B24">
        <w:rPr>
          <w:color w:val="000000"/>
          <w:sz w:val="24"/>
        </w:rPr>
        <w:t xml:space="preserve">It is estimated that approximately </w:t>
      </w:r>
      <w:r w:rsidR="009E22D1">
        <w:rPr>
          <w:color w:val="000000"/>
          <w:sz w:val="24"/>
        </w:rPr>
        <w:t>4</w:t>
      </w:r>
      <w:r w:rsidR="0092659B">
        <w:rPr>
          <w:color w:val="000000"/>
          <w:sz w:val="24"/>
        </w:rPr>
        <w:t>,</w:t>
      </w:r>
      <w:r w:rsidR="009E22D1">
        <w:rPr>
          <w:color w:val="000000"/>
          <w:sz w:val="24"/>
        </w:rPr>
        <w:t>249</w:t>
      </w:r>
      <w:r w:rsidR="009A3B91" w:rsidRPr="00F26B24">
        <w:rPr>
          <w:color w:val="000000"/>
          <w:sz w:val="24"/>
        </w:rPr>
        <w:t xml:space="preserve"> </w:t>
      </w:r>
      <w:r w:rsidR="009E22D1">
        <w:rPr>
          <w:color w:val="000000"/>
          <w:sz w:val="24"/>
        </w:rPr>
        <w:t>residents will be impacted.</w:t>
      </w:r>
      <w:r w:rsidR="00F24D56">
        <w:rPr>
          <w:color w:val="000000"/>
          <w:sz w:val="24"/>
        </w:rPr>
        <w:t xml:space="preserve"> </w:t>
      </w:r>
      <w:r w:rsidRPr="00F26B24">
        <w:rPr>
          <w:color w:val="000000"/>
          <w:sz w:val="24"/>
        </w:rPr>
        <w:t xml:space="preserve">Upon consent, participants will be </w:t>
      </w:r>
      <w:r w:rsidR="00BB2F82" w:rsidRPr="00F26B24">
        <w:rPr>
          <w:color w:val="000000"/>
          <w:sz w:val="24"/>
        </w:rPr>
        <w:t xml:space="preserve">asked </w:t>
      </w:r>
      <w:r w:rsidRPr="00F26B24">
        <w:rPr>
          <w:color w:val="000000"/>
          <w:sz w:val="24"/>
        </w:rPr>
        <w:t xml:space="preserve">to complete a </w:t>
      </w:r>
      <w:r w:rsidR="00B97A25">
        <w:rPr>
          <w:b/>
          <w:i/>
          <w:color w:val="000000"/>
          <w:sz w:val="24"/>
        </w:rPr>
        <w:t xml:space="preserve">IWISH Resident Assessment </w:t>
      </w:r>
      <w:r w:rsidRPr="00F26B24">
        <w:rPr>
          <w:color w:val="000000"/>
          <w:sz w:val="24"/>
        </w:rPr>
        <w:t xml:space="preserve">within </w:t>
      </w:r>
      <w:r w:rsidR="0092659B">
        <w:rPr>
          <w:color w:val="000000"/>
          <w:sz w:val="24"/>
        </w:rPr>
        <w:t>60</w:t>
      </w:r>
      <w:r w:rsidRPr="00F26B24">
        <w:rPr>
          <w:color w:val="000000"/>
          <w:sz w:val="24"/>
        </w:rPr>
        <w:t xml:space="preserve"> days of enrollment in the demonstration. The assessment is expected to last an average of 90 minutes. Trained </w:t>
      </w:r>
      <w:r w:rsidR="009E22D1">
        <w:rPr>
          <w:color w:val="000000"/>
          <w:sz w:val="24"/>
        </w:rPr>
        <w:t>Resident Wellness Directors</w:t>
      </w:r>
      <w:r w:rsidRPr="00F26B24">
        <w:rPr>
          <w:color w:val="000000"/>
          <w:sz w:val="24"/>
        </w:rPr>
        <w:t xml:space="preserve"> and </w:t>
      </w:r>
      <w:r w:rsidR="009E22D1">
        <w:rPr>
          <w:color w:val="000000"/>
          <w:sz w:val="24"/>
        </w:rPr>
        <w:t>W</w:t>
      </w:r>
      <w:r w:rsidRPr="00F26B24">
        <w:rPr>
          <w:color w:val="000000"/>
          <w:sz w:val="24"/>
        </w:rPr>
        <w:t xml:space="preserve">ellness </w:t>
      </w:r>
      <w:r w:rsidR="009E22D1">
        <w:rPr>
          <w:color w:val="000000"/>
          <w:sz w:val="24"/>
        </w:rPr>
        <w:t>N</w:t>
      </w:r>
      <w:r w:rsidRPr="00F26B24">
        <w:rPr>
          <w:color w:val="000000"/>
          <w:sz w:val="24"/>
        </w:rPr>
        <w:t xml:space="preserve">urses (property staff) will conduct the </w:t>
      </w:r>
      <w:r w:rsidR="00B97A25">
        <w:rPr>
          <w:b/>
          <w:i/>
          <w:color w:val="000000"/>
          <w:sz w:val="24"/>
        </w:rPr>
        <w:t xml:space="preserve">IWISH Resident Assessment </w:t>
      </w:r>
      <w:r w:rsidRPr="00F26B24">
        <w:rPr>
          <w:color w:val="000000"/>
          <w:sz w:val="24"/>
        </w:rPr>
        <w:t xml:space="preserve">face-to-face in a private setting. </w:t>
      </w:r>
    </w:p>
    <w:p w14:paraId="38457689" w14:textId="77777777" w:rsidR="00DC31AA" w:rsidRPr="00F26B24" w:rsidRDefault="00DC31AA" w:rsidP="009E6DC9">
      <w:pPr>
        <w:tabs>
          <w:tab w:val="left" w:pos="-720"/>
        </w:tabs>
        <w:suppressAutoHyphens/>
        <w:rPr>
          <w:color w:val="000000"/>
          <w:sz w:val="24"/>
        </w:rPr>
      </w:pPr>
    </w:p>
    <w:p w14:paraId="4359E2D2" w14:textId="236F6EB7" w:rsidR="007B271B" w:rsidRPr="00F26B24" w:rsidRDefault="00DC31AA" w:rsidP="009E6DC9">
      <w:pPr>
        <w:tabs>
          <w:tab w:val="left" w:pos="-720"/>
        </w:tabs>
        <w:suppressAutoHyphens/>
        <w:rPr>
          <w:color w:val="000000"/>
          <w:sz w:val="24"/>
        </w:rPr>
      </w:pPr>
      <w:r w:rsidRPr="00F26B24">
        <w:rPr>
          <w:color w:val="000000"/>
          <w:sz w:val="24"/>
        </w:rPr>
        <w:t>Data will be tracked in a demonstration specific web-based platform that allows information to be updated periodically, as sentinel events or changes in health status occur, or during the annual re-assessment</w:t>
      </w:r>
      <w:r w:rsidR="007B271B" w:rsidRPr="00F26B24">
        <w:rPr>
          <w:color w:val="000000"/>
          <w:sz w:val="24"/>
        </w:rPr>
        <w:t xml:space="preserve">. All data collection and analysis will </w:t>
      </w:r>
      <w:r w:rsidR="007B271B" w:rsidRPr="00F26B24">
        <w:rPr>
          <w:noProof/>
          <w:color w:val="000000"/>
          <w:sz w:val="24"/>
        </w:rPr>
        <w:t>be performed</w:t>
      </w:r>
      <w:r w:rsidR="007B271B" w:rsidRPr="00F26B24">
        <w:rPr>
          <w:color w:val="000000"/>
          <w:sz w:val="24"/>
        </w:rPr>
        <w:t xml:space="preserve"> in compliance with OMB and Privacy Act requirements. </w:t>
      </w:r>
    </w:p>
    <w:p w14:paraId="13D485A4" w14:textId="77777777" w:rsidR="009A3B91" w:rsidRPr="00F26B24" w:rsidRDefault="009A3B91"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14:paraId="5A82FF05" w14:textId="7D84964A" w:rsidR="007B271B" w:rsidRPr="00F26B24" w:rsidRDefault="00F26B24" w:rsidP="00F26B24">
      <w:pPr>
        <w:rPr>
          <w:b/>
          <w:sz w:val="24"/>
        </w:rPr>
      </w:pPr>
      <w:r>
        <w:rPr>
          <w:b/>
          <w:sz w:val="24"/>
        </w:rPr>
        <w:t xml:space="preserve">3.  </w:t>
      </w:r>
      <w:r w:rsidR="007B271B" w:rsidRPr="00F26B24">
        <w:rPr>
          <w:b/>
          <w:sz w:val="24"/>
        </w:rPr>
        <w:t xml:space="preserve">Methods to Maximize </w:t>
      </w:r>
      <w:r w:rsidR="00A67C92" w:rsidRPr="00F26B24">
        <w:rPr>
          <w:b/>
          <w:sz w:val="24"/>
        </w:rPr>
        <w:t>Response Rate</w:t>
      </w:r>
      <w:r w:rsidR="007B271B" w:rsidRPr="00F26B24">
        <w:rPr>
          <w:b/>
          <w:sz w:val="24"/>
        </w:rPr>
        <w:t>s and Deal with Nonresponse</w:t>
      </w:r>
    </w:p>
    <w:p w14:paraId="22180666" w14:textId="5FC38CCC" w:rsidR="007B271B" w:rsidRPr="00F26B24" w:rsidRDefault="007B271B"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 w:val="24"/>
        </w:rPr>
      </w:pPr>
      <w:r w:rsidRPr="00F26B24">
        <w:rPr>
          <w:sz w:val="24"/>
        </w:rPr>
        <w:t>Participation in the demonstration is contingent upon</w:t>
      </w:r>
      <w:r w:rsidR="00F24D56">
        <w:rPr>
          <w:sz w:val="24"/>
        </w:rPr>
        <w:t xml:space="preserve"> an individual’s signed consent</w:t>
      </w:r>
      <w:r w:rsidRPr="00F26B24">
        <w:rPr>
          <w:sz w:val="24"/>
        </w:rPr>
        <w:t>. The SSD Implementation Team</w:t>
      </w:r>
      <w:r w:rsidR="00A830CB" w:rsidRPr="00F26B24">
        <w:rPr>
          <w:sz w:val="24"/>
        </w:rPr>
        <w:t xml:space="preserve"> expect</w:t>
      </w:r>
      <w:r w:rsidRPr="00F26B24">
        <w:rPr>
          <w:sz w:val="24"/>
        </w:rPr>
        <w:t>s a</w:t>
      </w:r>
      <w:r w:rsidR="00A830CB" w:rsidRPr="00F26B24">
        <w:rPr>
          <w:sz w:val="24"/>
        </w:rPr>
        <w:t xml:space="preserve"> </w:t>
      </w:r>
      <w:r w:rsidR="00C32EF8">
        <w:rPr>
          <w:sz w:val="24"/>
        </w:rPr>
        <w:t>90-</w:t>
      </w:r>
      <w:r w:rsidRPr="00F26B24">
        <w:rPr>
          <w:sz w:val="24"/>
        </w:rPr>
        <w:t xml:space="preserve">100% </w:t>
      </w:r>
      <w:r w:rsidR="00A830CB" w:rsidRPr="00F26B24">
        <w:rPr>
          <w:sz w:val="24"/>
        </w:rPr>
        <w:t>assessment response rate</w:t>
      </w:r>
      <w:r w:rsidR="00C32EF8">
        <w:rPr>
          <w:sz w:val="24"/>
        </w:rPr>
        <w:t>, with a target rate of at l</w:t>
      </w:r>
      <w:r w:rsidR="00830E0A">
        <w:rPr>
          <w:sz w:val="24"/>
        </w:rPr>
        <w:t>e</w:t>
      </w:r>
      <w:r w:rsidR="00C32EF8">
        <w:rPr>
          <w:sz w:val="24"/>
        </w:rPr>
        <w:t>ast 80% at each property,</w:t>
      </w:r>
      <w:r w:rsidR="00A830CB" w:rsidRPr="00F26B24">
        <w:rPr>
          <w:sz w:val="24"/>
        </w:rPr>
        <w:t xml:space="preserve"> </w:t>
      </w:r>
      <w:r w:rsidR="00A830CB" w:rsidRPr="00F26B24">
        <w:rPr>
          <w:color w:val="000000"/>
          <w:sz w:val="24"/>
        </w:rPr>
        <w:t xml:space="preserve">for each year a </w:t>
      </w:r>
      <w:r w:rsidR="007217FF" w:rsidRPr="00F26B24">
        <w:rPr>
          <w:color w:val="000000"/>
          <w:sz w:val="24"/>
        </w:rPr>
        <w:t>demonstration site</w:t>
      </w:r>
      <w:r w:rsidR="00A830CB" w:rsidRPr="00F26B24">
        <w:rPr>
          <w:color w:val="000000"/>
          <w:sz w:val="24"/>
        </w:rPr>
        <w:t xml:space="preserve"> receives demonst</w:t>
      </w:r>
      <w:r w:rsidRPr="00F26B24">
        <w:rPr>
          <w:color w:val="000000"/>
          <w:sz w:val="24"/>
        </w:rPr>
        <w:t xml:space="preserve">ration funds, or </w:t>
      </w:r>
      <w:r w:rsidR="00CE5653">
        <w:rPr>
          <w:color w:val="000000"/>
          <w:sz w:val="24"/>
        </w:rPr>
        <w:t>3,399</w:t>
      </w:r>
      <w:r w:rsidRPr="00F26B24">
        <w:rPr>
          <w:color w:val="000000"/>
          <w:sz w:val="24"/>
        </w:rPr>
        <w:t xml:space="preserve"> individuals to consent to the program and complete the </w:t>
      </w:r>
      <w:r w:rsidR="00B97A25" w:rsidRPr="00A7071C">
        <w:rPr>
          <w:b/>
          <w:i/>
          <w:color w:val="000000"/>
          <w:sz w:val="24"/>
        </w:rPr>
        <w:t>IWISH</w:t>
      </w:r>
      <w:r w:rsidR="00B97A25" w:rsidRPr="00F26B24">
        <w:rPr>
          <w:b/>
          <w:i/>
          <w:color w:val="000000"/>
          <w:sz w:val="24"/>
        </w:rPr>
        <w:t xml:space="preserve"> </w:t>
      </w:r>
      <w:r w:rsidR="001370F7" w:rsidRPr="00F26B24">
        <w:rPr>
          <w:b/>
          <w:i/>
          <w:color w:val="000000"/>
          <w:sz w:val="24"/>
        </w:rPr>
        <w:t xml:space="preserve">Resident </w:t>
      </w:r>
      <w:r w:rsidR="00AB3DF9" w:rsidRPr="00F26B24">
        <w:rPr>
          <w:b/>
          <w:i/>
          <w:color w:val="000000"/>
          <w:sz w:val="24"/>
        </w:rPr>
        <w:t>Assessment</w:t>
      </w:r>
      <w:r w:rsidRPr="00F26B24">
        <w:rPr>
          <w:b/>
          <w:i/>
          <w:color w:val="000000"/>
          <w:sz w:val="24"/>
        </w:rPr>
        <w:t xml:space="preserve">. </w:t>
      </w:r>
    </w:p>
    <w:p w14:paraId="196B5925" w14:textId="77777777" w:rsidR="007B271B" w:rsidRPr="00F26B24" w:rsidRDefault="007B271B"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 w:val="24"/>
        </w:rPr>
      </w:pPr>
    </w:p>
    <w:p w14:paraId="1D321498" w14:textId="45C60989" w:rsidR="00C10910" w:rsidRPr="00F26B24" w:rsidRDefault="00A830CB"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26B24">
        <w:rPr>
          <w:color w:val="000000"/>
          <w:sz w:val="24"/>
        </w:rPr>
        <w:t xml:space="preserve">All </w:t>
      </w:r>
      <w:r w:rsidR="007217FF" w:rsidRPr="00F26B24">
        <w:rPr>
          <w:sz w:val="24"/>
        </w:rPr>
        <w:t>demonstration sites</w:t>
      </w:r>
      <w:r w:rsidR="00EE0403" w:rsidRPr="00F26B24">
        <w:rPr>
          <w:color w:val="000000"/>
          <w:sz w:val="24"/>
        </w:rPr>
        <w:t xml:space="preserve"> </w:t>
      </w:r>
      <w:r w:rsidRPr="00F26B24">
        <w:rPr>
          <w:color w:val="000000"/>
          <w:sz w:val="24"/>
        </w:rPr>
        <w:t xml:space="preserve">were required to agree to </w:t>
      </w:r>
      <w:r w:rsidR="007B271B" w:rsidRPr="00F26B24">
        <w:rPr>
          <w:color w:val="000000"/>
          <w:sz w:val="24"/>
        </w:rPr>
        <w:t xml:space="preserve">complete a </w:t>
      </w:r>
      <w:r w:rsidR="00B97A25">
        <w:rPr>
          <w:b/>
          <w:i/>
          <w:color w:val="000000"/>
          <w:sz w:val="24"/>
        </w:rPr>
        <w:t xml:space="preserve">IWISH Resident Assessment </w:t>
      </w:r>
      <w:r w:rsidR="007B271B" w:rsidRPr="00F26B24">
        <w:rPr>
          <w:color w:val="000000"/>
          <w:sz w:val="24"/>
        </w:rPr>
        <w:t xml:space="preserve">with all </w:t>
      </w:r>
      <w:r w:rsidR="0092659B">
        <w:rPr>
          <w:color w:val="000000"/>
          <w:sz w:val="24"/>
        </w:rPr>
        <w:t xml:space="preserve">interested </w:t>
      </w:r>
      <w:r w:rsidR="007B271B" w:rsidRPr="00F26B24">
        <w:rPr>
          <w:color w:val="000000"/>
          <w:sz w:val="24"/>
        </w:rPr>
        <w:t xml:space="preserve">participants within </w:t>
      </w:r>
      <w:r w:rsidRPr="00F26B24">
        <w:rPr>
          <w:color w:val="000000"/>
          <w:sz w:val="24"/>
        </w:rPr>
        <w:t xml:space="preserve">their </w:t>
      </w:r>
      <w:r w:rsidR="00EE0403" w:rsidRPr="00F26B24">
        <w:rPr>
          <w:color w:val="000000"/>
          <w:sz w:val="24"/>
        </w:rPr>
        <w:t>cooperative agreements.</w:t>
      </w:r>
    </w:p>
    <w:p w14:paraId="6C922FC1" w14:textId="77777777" w:rsidR="007B271B" w:rsidRPr="00F26B24" w:rsidRDefault="007B271B"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F3EFEB7" w14:textId="1E76443A" w:rsidR="007B271B" w:rsidRPr="00F26B24" w:rsidRDefault="007B271B" w:rsidP="009E5F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26B24">
        <w:rPr>
          <w:color w:val="000000"/>
          <w:sz w:val="24"/>
        </w:rPr>
        <w:t xml:space="preserve">Property staff will input </w:t>
      </w:r>
      <w:r w:rsidR="00B97A25">
        <w:rPr>
          <w:b/>
          <w:i/>
          <w:color w:val="000000"/>
          <w:sz w:val="24"/>
        </w:rPr>
        <w:t xml:space="preserve">IWISH Resident Assessment </w:t>
      </w:r>
      <w:r w:rsidRPr="00F26B24">
        <w:rPr>
          <w:color w:val="000000"/>
          <w:sz w:val="24"/>
        </w:rPr>
        <w:t xml:space="preserve">results directly in the web-based platform. The platform will alert staff when an assessment </w:t>
      </w:r>
      <w:r w:rsidRPr="00F26B24">
        <w:rPr>
          <w:noProof/>
          <w:color w:val="000000"/>
          <w:sz w:val="24"/>
        </w:rPr>
        <w:t>is not completed</w:t>
      </w:r>
      <w:r w:rsidRPr="00F26B24">
        <w:rPr>
          <w:color w:val="000000"/>
          <w:sz w:val="24"/>
        </w:rPr>
        <w:t xml:space="preserve"> with 45 days. It will also provide </w:t>
      </w:r>
      <w:r w:rsidRPr="00F26B24">
        <w:rPr>
          <w:sz w:val="24"/>
        </w:rPr>
        <w:t xml:space="preserve">property staff alerts for incomplete assessments. Staff will continue to receive alerts until the assessment is completed. </w:t>
      </w:r>
      <w:r w:rsidR="009A3B91" w:rsidRPr="00F26B24">
        <w:rPr>
          <w:sz w:val="24"/>
        </w:rPr>
        <w:t xml:space="preserve">Additionally, the Implementation Team will monitor response rates and completion monthly and work with property staff, as necessary to achieve the required response rate. </w:t>
      </w:r>
    </w:p>
    <w:p w14:paraId="1FD298C0" w14:textId="77777777" w:rsidR="00B430F7" w:rsidRPr="00F26B24" w:rsidRDefault="00B430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2F03E2A3" w14:textId="26A5814C" w:rsidR="009C7A4C" w:rsidRPr="00F26B2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26B24">
        <w:rPr>
          <w:b/>
          <w:sz w:val="24"/>
        </w:rPr>
        <w:t>4.</w:t>
      </w:r>
      <w:r w:rsidR="00F26B24">
        <w:rPr>
          <w:b/>
          <w:sz w:val="24"/>
        </w:rPr>
        <w:t xml:space="preserve">  </w:t>
      </w:r>
      <w:r w:rsidR="009A3B91" w:rsidRPr="00F26B24">
        <w:rPr>
          <w:b/>
          <w:sz w:val="24"/>
        </w:rPr>
        <w:t>T</w:t>
      </w:r>
      <w:r w:rsidRPr="00F26B24">
        <w:rPr>
          <w:b/>
          <w:sz w:val="24"/>
        </w:rPr>
        <w:t>ests of</w:t>
      </w:r>
      <w:r w:rsidR="009A3B91" w:rsidRPr="00F26B24">
        <w:rPr>
          <w:b/>
          <w:sz w:val="24"/>
        </w:rPr>
        <w:t xml:space="preserve"> Procedures or M</w:t>
      </w:r>
      <w:r w:rsidRPr="00F26B24">
        <w:rPr>
          <w:b/>
          <w:sz w:val="24"/>
        </w:rPr>
        <w:t xml:space="preserve">ethods to be </w:t>
      </w:r>
      <w:r w:rsidR="00692F34" w:rsidRPr="00F26B24">
        <w:rPr>
          <w:b/>
          <w:sz w:val="24"/>
        </w:rPr>
        <w:t>undertaken</w:t>
      </w:r>
    </w:p>
    <w:p w14:paraId="4D2138BE" w14:textId="1704F691" w:rsidR="001370F7" w:rsidRPr="00F26B24" w:rsidRDefault="001370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 xml:space="preserve">Approximately </w:t>
      </w:r>
      <w:r w:rsidR="0060568F">
        <w:rPr>
          <w:sz w:val="24"/>
        </w:rPr>
        <w:t>33</w:t>
      </w:r>
      <w:r w:rsidRPr="00F26B24">
        <w:rPr>
          <w:sz w:val="24"/>
        </w:rPr>
        <w:t xml:space="preserve">% of the assessment questions included in the </w:t>
      </w:r>
      <w:r w:rsidR="00B97A25">
        <w:rPr>
          <w:b/>
          <w:i/>
          <w:sz w:val="24"/>
        </w:rPr>
        <w:t xml:space="preserve">IWISH Resident Assessment </w:t>
      </w:r>
      <w:r w:rsidRPr="00F26B24">
        <w:rPr>
          <w:sz w:val="24"/>
        </w:rPr>
        <w:t xml:space="preserve">were taken from previously validated instruments. </w:t>
      </w:r>
    </w:p>
    <w:p w14:paraId="3149FF87" w14:textId="77777777" w:rsidR="001370F7" w:rsidRPr="00F26B24" w:rsidRDefault="001370F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F859F7" w14:textId="77777777" w:rsidR="0060568F" w:rsidRDefault="0060568F">
      <w:pPr>
        <w:widowControl/>
        <w:autoSpaceDE/>
        <w:autoSpaceDN/>
        <w:adjustRightInd/>
        <w:rPr>
          <w:sz w:val="24"/>
        </w:rPr>
      </w:pPr>
      <w:r>
        <w:rPr>
          <w:sz w:val="24"/>
        </w:rPr>
        <w:br w:type="page"/>
      </w:r>
    </w:p>
    <w:p w14:paraId="37428DE9" w14:textId="77777777" w:rsidR="0060568F" w:rsidRDefault="0060568F" w:rsidP="00137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0568F" w:rsidSect="0060568F">
          <w:footerReference w:type="default" r:id="rId9"/>
          <w:endnotePr>
            <w:numFmt w:val="decimal"/>
          </w:endnotePr>
          <w:pgSz w:w="12240" w:h="15840"/>
          <w:pgMar w:top="1170" w:right="1296" w:bottom="1440" w:left="1440" w:header="540" w:footer="1440" w:gutter="0"/>
          <w:cols w:space="720"/>
          <w:noEndnote/>
          <w:docGrid w:linePitch="272"/>
        </w:sectPr>
      </w:pPr>
    </w:p>
    <w:p w14:paraId="1A5C14D6" w14:textId="610788D8" w:rsidR="0060568F" w:rsidRDefault="001370F7" w:rsidP="00137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 xml:space="preserve">The following table details the number of questions in the </w:t>
      </w:r>
      <w:r w:rsidR="00B97A25">
        <w:rPr>
          <w:b/>
          <w:i/>
          <w:sz w:val="24"/>
        </w:rPr>
        <w:t xml:space="preserve">IWISH Resident Assessment </w:t>
      </w:r>
      <w:r w:rsidRPr="00F26B24">
        <w:rPr>
          <w:sz w:val="24"/>
        </w:rPr>
        <w:t>pulled from validated instruments.</w:t>
      </w:r>
    </w:p>
    <w:p w14:paraId="2BD48908" w14:textId="77777777" w:rsidR="0060568F" w:rsidRDefault="0060568F" w:rsidP="00137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GridTable41"/>
        <w:tblW w:w="5000" w:type="pct"/>
        <w:tblLook w:val="04A0" w:firstRow="1" w:lastRow="0" w:firstColumn="1" w:lastColumn="0" w:noHBand="0" w:noVBand="1"/>
      </w:tblPr>
      <w:tblGrid>
        <w:gridCol w:w="1828"/>
        <w:gridCol w:w="2097"/>
        <w:gridCol w:w="1431"/>
        <w:gridCol w:w="1501"/>
        <w:gridCol w:w="6589"/>
      </w:tblGrid>
      <w:tr w:rsidR="0060568F" w:rsidRPr="00E53DAC" w14:paraId="587BF04F" w14:textId="77777777" w:rsidTr="004163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6505070F" w14:textId="77777777" w:rsidR="0060568F" w:rsidRPr="00E53DAC" w:rsidRDefault="0060568F" w:rsidP="009930C3">
            <w:pPr>
              <w:spacing w:before="40" w:after="40"/>
              <w:jc w:val="center"/>
              <w:rPr>
                <w:b w:val="0"/>
                <w:szCs w:val="20"/>
              </w:rPr>
            </w:pPr>
            <w:r w:rsidRPr="00E53DAC">
              <w:rPr>
                <w:szCs w:val="20"/>
              </w:rPr>
              <w:t>Survey Instrument</w:t>
            </w:r>
          </w:p>
        </w:tc>
        <w:tc>
          <w:tcPr>
            <w:tcW w:w="0" w:type="pct"/>
          </w:tcPr>
          <w:p w14:paraId="0CECA99D" w14:textId="77777777" w:rsidR="0060568F" w:rsidRPr="00E53DAC" w:rsidRDefault="0060568F" w:rsidP="009930C3">
            <w:pPr>
              <w:spacing w:before="40" w:after="40"/>
              <w:jc w:val="center"/>
              <w:cnfStyle w:val="100000000000" w:firstRow="1" w:lastRow="0" w:firstColumn="0" w:lastColumn="0" w:oddVBand="0" w:evenVBand="0" w:oddHBand="0" w:evenHBand="0" w:firstRowFirstColumn="0" w:firstRowLastColumn="0" w:lastRowFirstColumn="0" w:lastRowLastColumn="0"/>
              <w:rPr>
                <w:b w:val="0"/>
                <w:szCs w:val="20"/>
              </w:rPr>
            </w:pPr>
            <w:r w:rsidRPr="00E53DAC">
              <w:rPr>
                <w:szCs w:val="20"/>
              </w:rPr>
              <w:t>Developing Entity</w:t>
            </w:r>
          </w:p>
        </w:tc>
        <w:tc>
          <w:tcPr>
            <w:tcW w:w="0" w:type="pct"/>
          </w:tcPr>
          <w:p w14:paraId="6E33935F" w14:textId="77777777" w:rsidR="0060568F" w:rsidRPr="00E53DAC" w:rsidRDefault="0060568F" w:rsidP="009930C3">
            <w:pPr>
              <w:spacing w:before="40" w:after="40"/>
              <w:jc w:val="center"/>
              <w:cnfStyle w:val="100000000000" w:firstRow="1" w:lastRow="0" w:firstColumn="0" w:lastColumn="0" w:oddVBand="0" w:evenVBand="0" w:oddHBand="0" w:evenHBand="0" w:firstRowFirstColumn="0" w:firstRowLastColumn="0" w:lastRowFirstColumn="0" w:lastRowLastColumn="0"/>
              <w:rPr>
                <w:b w:val="0"/>
                <w:szCs w:val="20"/>
              </w:rPr>
            </w:pPr>
            <w:r w:rsidRPr="00E53DAC">
              <w:rPr>
                <w:szCs w:val="20"/>
              </w:rPr>
              <w:t>Validated Instrument</w:t>
            </w:r>
          </w:p>
        </w:tc>
        <w:tc>
          <w:tcPr>
            <w:tcW w:w="0" w:type="pct"/>
          </w:tcPr>
          <w:p w14:paraId="4BA98B36" w14:textId="77777777" w:rsidR="0060568F" w:rsidRPr="00E53DAC" w:rsidRDefault="0060568F" w:rsidP="009930C3">
            <w:pPr>
              <w:spacing w:before="40" w:after="40"/>
              <w:jc w:val="center"/>
              <w:cnfStyle w:val="100000000000" w:firstRow="1" w:lastRow="0" w:firstColumn="0" w:lastColumn="0" w:oddVBand="0" w:evenVBand="0" w:oddHBand="0" w:evenHBand="0" w:firstRowFirstColumn="0" w:firstRowLastColumn="0" w:lastRowFirstColumn="0" w:lastRowLastColumn="0"/>
              <w:rPr>
                <w:b w:val="0"/>
                <w:szCs w:val="20"/>
              </w:rPr>
            </w:pPr>
            <w:r w:rsidRPr="00E53DAC">
              <w:rPr>
                <w:b w:val="0"/>
                <w:szCs w:val="20"/>
              </w:rPr>
              <w:t>Section</w:t>
            </w:r>
          </w:p>
        </w:tc>
        <w:tc>
          <w:tcPr>
            <w:tcW w:w="0" w:type="pct"/>
          </w:tcPr>
          <w:p w14:paraId="424E7F71" w14:textId="77777777" w:rsidR="0060568F" w:rsidRPr="00E53DAC" w:rsidRDefault="0060568F" w:rsidP="009930C3">
            <w:pPr>
              <w:spacing w:before="40" w:after="40"/>
              <w:jc w:val="center"/>
              <w:cnfStyle w:val="100000000000" w:firstRow="1" w:lastRow="0" w:firstColumn="0" w:lastColumn="0" w:oddVBand="0" w:evenVBand="0" w:oddHBand="0" w:evenHBand="0" w:firstRowFirstColumn="0" w:firstRowLastColumn="0" w:lastRowFirstColumn="0" w:lastRowLastColumn="0"/>
              <w:rPr>
                <w:b w:val="0"/>
                <w:szCs w:val="20"/>
              </w:rPr>
            </w:pPr>
            <w:r w:rsidRPr="00E53DAC">
              <w:rPr>
                <w:szCs w:val="20"/>
              </w:rPr>
              <w:t>Description of Instrument and Our Use</w:t>
            </w:r>
          </w:p>
        </w:tc>
      </w:tr>
      <w:tr w:rsidR="0060568F" w:rsidRPr="00E53DAC" w14:paraId="1AD29AA0"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25BEF3DF" w14:textId="6FBAFB91" w:rsidR="0060568F" w:rsidRPr="00E53DAC" w:rsidRDefault="003E2649" w:rsidP="009930C3">
            <w:pPr>
              <w:spacing w:before="40" w:after="40"/>
              <w:jc w:val="center"/>
              <w:rPr>
                <w:szCs w:val="20"/>
              </w:rPr>
            </w:pPr>
            <w:r>
              <w:t xml:space="preserve"> </w:t>
            </w:r>
            <w:r w:rsidRPr="003E2649">
              <w:rPr>
                <w:szCs w:val="20"/>
              </w:rPr>
              <w:t>Morisky 8-Item Medication Adherence Questionnaire</w:t>
            </w:r>
            <w:r w:rsidRPr="00AA2271">
              <w:rPr>
                <w:rStyle w:val="FootnoteReference"/>
                <w:szCs w:val="20"/>
                <w:vertAlign w:val="superscript"/>
              </w:rPr>
              <w:footnoteReference w:id="2"/>
            </w:r>
          </w:p>
        </w:tc>
        <w:tc>
          <w:tcPr>
            <w:tcW w:w="780" w:type="pct"/>
          </w:tcPr>
          <w:p w14:paraId="299E7E71" w14:textId="7351D831"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c>
          <w:tcPr>
            <w:tcW w:w="532" w:type="pct"/>
          </w:tcPr>
          <w:p w14:paraId="40657304" w14:textId="39008D68"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0EFA429D" w14:textId="49E0EEE7" w:rsidR="0060568F" w:rsidRPr="00E53DAC" w:rsidRDefault="003E2649"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Pr>
                <w:szCs w:val="20"/>
              </w:rPr>
              <w:t>Medications</w:t>
            </w:r>
          </w:p>
        </w:tc>
        <w:tc>
          <w:tcPr>
            <w:tcW w:w="2450" w:type="pct"/>
          </w:tcPr>
          <w:p w14:paraId="31DA3290" w14:textId="22A4A50B" w:rsidR="0060568F" w:rsidRPr="00E53DAC" w:rsidRDefault="000B25A4"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 The Morisky 8-item Medication Adherence Questionnaire is a widely used scale to measure medication-taking behavior. We will use this scale to assess medication adherence.</w:t>
            </w:r>
          </w:p>
        </w:tc>
      </w:tr>
      <w:tr w:rsidR="0060568F" w:rsidRPr="00E53DAC" w14:paraId="63F35926"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1C82BD93" w14:textId="77777777" w:rsidR="0060568F" w:rsidRPr="00E53DAC" w:rsidRDefault="0060568F" w:rsidP="009930C3">
            <w:pPr>
              <w:spacing w:before="40" w:after="40"/>
              <w:jc w:val="center"/>
              <w:rPr>
                <w:szCs w:val="20"/>
              </w:rPr>
            </w:pPr>
            <w:r w:rsidRPr="00E53DAC">
              <w:rPr>
                <w:szCs w:val="20"/>
              </w:rPr>
              <w:t>PHQ-2</w:t>
            </w:r>
            <w:r w:rsidRPr="00E53DAC">
              <w:rPr>
                <w:rStyle w:val="FootnoteReference"/>
                <w:szCs w:val="20"/>
                <w:vertAlign w:val="superscript"/>
              </w:rPr>
              <w:footnoteReference w:id="3"/>
            </w:r>
          </w:p>
        </w:tc>
        <w:tc>
          <w:tcPr>
            <w:tcW w:w="780" w:type="pct"/>
          </w:tcPr>
          <w:p w14:paraId="5EAF74E3"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 xml:space="preserve">Drs. Robert L. Spitzer, Janet B.W. Williams, Kurt </w:t>
            </w:r>
            <w:r w:rsidRPr="00E53DAC">
              <w:rPr>
                <w:noProof/>
                <w:szCs w:val="20"/>
              </w:rPr>
              <w:t>Kroenke,</w:t>
            </w:r>
            <w:r w:rsidRPr="00E53DAC">
              <w:rPr>
                <w:szCs w:val="20"/>
              </w:rPr>
              <w:t xml:space="preserve"> and colleagues</w:t>
            </w:r>
          </w:p>
        </w:tc>
        <w:tc>
          <w:tcPr>
            <w:tcW w:w="532" w:type="pct"/>
          </w:tcPr>
          <w:p w14:paraId="0C24030E"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5C95FAB7"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Pr>
                <w:szCs w:val="20"/>
              </w:rPr>
              <w:t>General Health Assessment (</w:t>
            </w:r>
            <w:r w:rsidRPr="00E53DAC">
              <w:rPr>
                <w:szCs w:val="20"/>
              </w:rPr>
              <w:t>Mental Health and Substance Use</w:t>
            </w:r>
            <w:r>
              <w:rPr>
                <w:szCs w:val="20"/>
              </w:rPr>
              <w:t>)</w:t>
            </w:r>
          </w:p>
        </w:tc>
        <w:tc>
          <w:tcPr>
            <w:tcW w:w="2450" w:type="pct"/>
          </w:tcPr>
          <w:p w14:paraId="00C01507" w14:textId="557F293D"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 xml:space="preserve">The PHQ-2, comprising the first </w:t>
            </w:r>
            <w:r w:rsidRPr="00E53DAC">
              <w:rPr>
                <w:noProof/>
                <w:color w:val="000000"/>
                <w:szCs w:val="20"/>
              </w:rPr>
              <w:t>two</w:t>
            </w:r>
            <w:r w:rsidRPr="00E53DAC">
              <w:rPr>
                <w:color w:val="000000"/>
                <w:szCs w:val="20"/>
              </w:rPr>
              <w:t xml:space="preserve"> items of the PHQ-9, inquir</w:t>
            </w:r>
            <w:r w:rsidR="009E22D1">
              <w:rPr>
                <w:color w:val="000000"/>
                <w:szCs w:val="20"/>
              </w:rPr>
              <w:t>i</w:t>
            </w:r>
            <w:r w:rsidRPr="00E53DAC">
              <w:rPr>
                <w:color w:val="000000"/>
                <w:szCs w:val="20"/>
              </w:rPr>
              <w:t xml:space="preserve">es about the degree to which an individual has experienced depressed mood and anhedonia over the past two weeks. The purpose of the PHQ-2 is not to establish a </w:t>
            </w:r>
            <w:r w:rsidRPr="00E53DAC">
              <w:rPr>
                <w:noProof/>
                <w:color w:val="000000"/>
                <w:szCs w:val="20"/>
              </w:rPr>
              <w:t>final</w:t>
            </w:r>
            <w:r w:rsidRPr="00E53DAC">
              <w:rPr>
                <w:color w:val="000000"/>
                <w:szCs w:val="20"/>
              </w:rPr>
              <w:t xml:space="preserve"> diagnosis or to monitor depression severity, but rather to screen for depression. Patients who screen positive should be further evaluated with the PHQ-9 to determine whether they meet criteria for a depressive disorder. We will use this instrument as an initial screen for depression which will trigger a full screen (PHQ-9 or the GDS-S, based on age) as needed.</w:t>
            </w:r>
          </w:p>
        </w:tc>
      </w:tr>
      <w:tr w:rsidR="0060568F" w:rsidRPr="00E53DAC" w14:paraId="0BA27920"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09AFFC13" w14:textId="77777777" w:rsidR="0060568F" w:rsidRPr="00E53DAC" w:rsidRDefault="0060568F" w:rsidP="009930C3">
            <w:pPr>
              <w:spacing w:before="40" w:after="40"/>
              <w:jc w:val="center"/>
              <w:rPr>
                <w:szCs w:val="20"/>
              </w:rPr>
            </w:pPr>
            <w:r w:rsidRPr="00E53DAC">
              <w:rPr>
                <w:szCs w:val="20"/>
              </w:rPr>
              <w:t>GAD-2</w:t>
            </w:r>
            <w:r w:rsidRPr="00E53DAC">
              <w:rPr>
                <w:rStyle w:val="FootnoteReference"/>
                <w:szCs w:val="20"/>
                <w:vertAlign w:val="superscript"/>
              </w:rPr>
              <w:footnoteReference w:id="4"/>
            </w:r>
          </w:p>
        </w:tc>
        <w:tc>
          <w:tcPr>
            <w:tcW w:w="780" w:type="pct"/>
          </w:tcPr>
          <w:p w14:paraId="3F6607BF"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 xml:space="preserve">Drs. Robert L. Spitzer, Janet B.W. Williams, Kurt </w:t>
            </w:r>
            <w:r w:rsidRPr="00E53DAC">
              <w:rPr>
                <w:noProof/>
                <w:szCs w:val="20"/>
              </w:rPr>
              <w:t>Kroenke,</w:t>
            </w:r>
            <w:r w:rsidRPr="00E53DAC">
              <w:rPr>
                <w:szCs w:val="20"/>
              </w:rPr>
              <w:t xml:space="preserve"> and colleagues</w:t>
            </w:r>
          </w:p>
        </w:tc>
        <w:tc>
          <w:tcPr>
            <w:tcW w:w="532" w:type="pct"/>
          </w:tcPr>
          <w:p w14:paraId="4843EF9F"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714C7A4E"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Pr>
                <w:szCs w:val="20"/>
              </w:rPr>
              <w:t>General Health Assessment (</w:t>
            </w:r>
            <w:r w:rsidRPr="00E53DAC">
              <w:rPr>
                <w:szCs w:val="20"/>
              </w:rPr>
              <w:t>Mental Health and Substance Use</w:t>
            </w:r>
            <w:r>
              <w:rPr>
                <w:szCs w:val="20"/>
              </w:rPr>
              <w:t>)</w:t>
            </w:r>
          </w:p>
        </w:tc>
        <w:tc>
          <w:tcPr>
            <w:tcW w:w="2450" w:type="pct"/>
          </w:tcPr>
          <w:p w14:paraId="1DFCF07C" w14:textId="77777777"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The GAD-2, comprising the first two items of the GAD-7, is a short and efficient screening tool for detecting generalized anxiety disorders. We will use this instrument to screen participants for anxiety, which will trigger the full screen (GAD-7) as needed.</w:t>
            </w:r>
          </w:p>
        </w:tc>
      </w:tr>
      <w:tr w:rsidR="0060568F" w:rsidRPr="00E53DAC" w14:paraId="122DFEC6"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730D7D50" w14:textId="77777777" w:rsidR="0060568F" w:rsidRPr="00E53DAC" w:rsidRDefault="0060568F" w:rsidP="009930C3">
            <w:pPr>
              <w:spacing w:before="40" w:after="40"/>
              <w:jc w:val="center"/>
              <w:rPr>
                <w:szCs w:val="20"/>
              </w:rPr>
            </w:pPr>
            <w:r w:rsidRPr="00E53DAC">
              <w:rPr>
                <w:szCs w:val="20"/>
              </w:rPr>
              <w:t>MDS 3.0</w:t>
            </w:r>
            <w:r>
              <w:rPr>
                <w:szCs w:val="20"/>
              </w:rPr>
              <w:t xml:space="preserve"> Section I</w:t>
            </w:r>
            <w:r w:rsidRPr="00E53DAC">
              <w:rPr>
                <w:rStyle w:val="FootnoteReference"/>
                <w:szCs w:val="20"/>
                <w:vertAlign w:val="superscript"/>
              </w:rPr>
              <w:footnoteReference w:id="5"/>
            </w:r>
          </w:p>
        </w:tc>
        <w:tc>
          <w:tcPr>
            <w:tcW w:w="780" w:type="pct"/>
          </w:tcPr>
          <w:p w14:paraId="678D6B35"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 xml:space="preserve">Center for Medicare and Medicaid </w:t>
            </w:r>
          </w:p>
        </w:tc>
        <w:tc>
          <w:tcPr>
            <w:tcW w:w="532" w:type="pct"/>
          </w:tcPr>
          <w:p w14:paraId="3756C7EA"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174038EC"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Diagnosis</w:t>
            </w:r>
          </w:p>
        </w:tc>
        <w:tc>
          <w:tcPr>
            <w:tcW w:w="2450" w:type="pct"/>
          </w:tcPr>
          <w:p w14:paraId="15D47234" w14:textId="3D5DE776"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 xml:space="preserve">The Minimum Data Set (MDS) is a component of the </w:t>
            </w:r>
            <w:r w:rsidR="00B97A25">
              <w:rPr>
                <w:color w:val="000000"/>
                <w:szCs w:val="20"/>
              </w:rPr>
              <w:t xml:space="preserve">IWISH Resident Assessment </w:t>
            </w:r>
            <w:r w:rsidRPr="00E53DAC">
              <w:rPr>
                <w:color w:val="000000"/>
                <w:szCs w:val="20"/>
              </w:rPr>
              <w:t>Instrument (RAI) which forms the foundation of a comprehensive assessment for all residents of nursing homes certified to participate in Medicare or Medicaid. Items in Section I are intended to code diseases that have a relationship to the resident’s current functional status, cognitive status, mood or behavior status, medical treatments, nursing monitoring, or risk of death. We will use this tool to generate an updated, accurate picture of the resident’s health status.</w:t>
            </w:r>
          </w:p>
        </w:tc>
      </w:tr>
      <w:tr w:rsidR="0060568F" w:rsidRPr="00E53DAC" w14:paraId="22E553D3"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0993A928" w14:textId="77777777" w:rsidR="0060568F" w:rsidRPr="00E53DAC" w:rsidRDefault="0060568F" w:rsidP="009930C3">
            <w:pPr>
              <w:spacing w:before="40" w:after="40"/>
              <w:jc w:val="center"/>
              <w:rPr>
                <w:szCs w:val="20"/>
              </w:rPr>
            </w:pPr>
            <w:r w:rsidRPr="00E53DAC">
              <w:rPr>
                <w:szCs w:val="20"/>
              </w:rPr>
              <w:t>Pain Assessment Scale</w:t>
            </w:r>
            <w:r w:rsidRPr="00E53DAC">
              <w:rPr>
                <w:rStyle w:val="FootnoteReference"/>
                <w:szCs w:val="20"/>
                <w:vertAlign w:val="superscript"/>
              </w:rPr>
              <w:footnoteReference w:id="6"/>
            </w:r>
          </w:p>
        </w:tc>
        <w:tc>
          <w:tcPr>
            <w:tcW w:w="780" w:type="pct"/>
          </w:tcPr>
          <w:p w14:paraId="00CD11FE"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 xml:space="preserve">Margo McCaffery, Chris Pasero </w:t>
            </w:r>
          </w:p>
        </w:tc>
        <w:tc>
          <w:tcPr>
            <w:tcW w:w="532" w:type="pct"/>
          </w:tcPr>
          <w:p w14:paraId="5637E210"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38E860C6"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Vitals</w:t>
            </w:r>
          </w:p>
        </w:tc>
        <w:tc>
          <w:tcPr>
            <w:tcW w:w="2450" w:type="pct"/>
          </w:tcPr>
          <w:p w14:paraId="45D54C85" w14:textId="77777777"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 xml:space="preserve">The Pain Scale is a diagnostic tool used to address patients’ pain in all settings and age groups. We will use the pain scale to assess the severity, quality, and location of pain experienced by participants. </w:t>
            </w:r>
          </w:p>
        </w:tc>
      </w:tr>
      <w:tr w:rsidR="0060568F" w:rsidRPr="00E53DAC" w14:paraId="11507B74"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52CD8065" w14:textId="77777777" w:rsidR="0060568F" w:rsidRPr="00E53DAC" w:rsidRDefault="0060568F" w:rsidP="009930C3">
            <w:pPr>
              <w:spacing w:before="40" w:after="40"/>
              <w:jc w:val="center"/>
              <w:rPr>
                <w:szCs w:val="20"/>
              </w:rPr>
            </w:pPr>
            <w:r w:rsidRPr="00E53DAC">
              <w:rPr>
                <w:szCs w:val="20"/>
              </w:rPr>
              <w:t>Physical Self-Maintenance Scale (PSMS)</w:t>
            </w:r>
            <w:r w:rsidRPr="00E53DAC">
              <w:rPr>
                <w:rStyle w:val="FootnoteReference"/>
                <w:szCs w:val="20"/>
                <w:vertAlign w:val="superscript"/>
              </w:rPr>
              <w:footnoteReference w:id="7"/>
            </w:r>
          </w:p>
        </w:tc>
        <w:tc>
          <w:tcPr>
            <w:tcW w:w="780" w:type="pct"/>
          </w:tcPr>
          <w:p w14:paraId="30C38C1E"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Lawton MP, Brody EM</w:t>
            </w:r>
          </w:p>
        </w:tc>
        <w:tc>
          <w:tcPr>
            <w:tcW w:w="532" w:type="pct"/>
          </w:tcPr>
          <w:p w14:paraId="58E3242D"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1CEFC4EA"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Activities of Daily Living (ADLs)</w:t>
            </w:r>
            <w:r>
              <w:rPr>
                <w:szCs w:val="20"/>
              </w:rPr>
              <w:t xml:space="preserve"> &amp;</w:t>
            </w:r>
          </w:p>
          <w:p w14:paraId="3562146F"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Instrumental Activities of Daily Living (IADLs)</w:t>
            </w:r>
          </w:p>
        </w:tc>
        <w:tc>
          <w:tcPr>
            <w:tcW w:w="2450" w:type="pct"/>
          </w:tcPr>
          <w:p w14:paraId="0EB6AE7C" w14:textId="77777777"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The PSMS is a disability measure used for planning and evaluation treatment for elderly individuals. It includes both ADL and IADL items and focuses on observable behaviors. We will use the tool to detect problems in performing activities of daily living and to support care planning and participant goal development accordingly.</w:t>
            </w:r>
          </w:p>
        </w:tc>
      </w:tr>
      <w:tr w:rsidR="0060568F" w:rsidRPr="00E53DAC" w14:paraId="10C77D01"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79CD1A7" w14:textId="77777777" w:rsidR="0060568F" w:rsidRPr="00E53DAC" w:rsidRDefault="0060568F" w:rsidP="009930C3">
            <w:pPr>
              <w:spacing w:before="40" w:after="40"/>
              <w:jc w:val="center"/>
              <w:rPr>
                <w:szCs w:val="20"/>
              </w:rPr>
            </w:pPr>
            <w:r w:rsidRPr="00E53DAC">
              <w:rPr>
                <w:szCs w:val="20"/>
              </w:rPr>
              <w:t>PHQ-9</w:t>
            </w:r>
            <w:r w:rsidRPr="00E53DAC">
              <w:rPr>
                <w:rStyle w:val="FootnoteReference"/>
                <w:szCs w:val="20"/>
                <w:vertAlign w:val="superscript"/>
              </w:rPr>
              <w:footnoteReference w:id="8"/>
            </w:r>
          </w:p>
        </w:tc>
        <w:tc>
          <w:tcPr>
            <w:tcW w:w="780" w:type="pct"/>
          </w:tcPr>
          <w:p w14:paraId="3623DC92"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 xml:space="preserve">Drs. Robert L. Spitzer, Janet B.W. Williams, Kurt </w:t>
            </w:r>
            <w:r w:rsidRPr="00E53DAC">
              <w:rPr>
                <w:noProof/>
                <w:szCs w:val="20"/>
              </w:rPr>
              <w:t>Kroenke,</w:t>
            </w:r>
            <w:r w:rsidRPr="00E53DAC">
              <w:rPr>
                <w:szCs w:val="20"/>
              </w:rPr>
              <w:t xml:space="preserve"> and colleagues</w:t>
            </w:r>
          </w:p>
        </w:tc>
        <w:tc>
          <w:tcPr>
            <w:tcW w:w="532" w:type="pct"/>
          </w:tcPr>
          <w:p w14:paraId="18D18BE8"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39F105F8"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Appendix A</w:t>
            </w:r>
          </w:p>
        </w:tc>
        <w:tc>
          <w:tcPr>
            <w:tcW w:w="2450" w:type="pct"/>
          </w:tcPr>
          <w:p w14:paraId="6E7EC7E5" w14:textId="7E9A5805"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 xml:space="preserve">The PHQ-9 is a </w:t>
            </w:r>
            <w:r w:rsidR="00B97A25" w:rsidRPr="00E53DAC">
              <w:rPr>
                <w:color w:val="000000"/>
                <w:szCs w:val="20"/>
              </w:rPr>
              <w:t>nine-item</w:t>
            </w:r>
            <w:r w:rsidRPr="00E53DAC">
              <w:rPr>
                <w:color w:val="000000"/>
                <w:szCs w:val="20"/>
              </w:rPr>
              <w:t xml:space="preserve"> depression scale of the </w:t>
            </w:r>
            <w:r w:rsidRPr="00E53DAC">
              <w:rPr>
                <w:noProof/>
                <w:color w:val="000000"/>
                <w:szCs w:val="20"/>
              </w:rPr>
              <w:t>patient</w:t>
            </w:r>
            <w:r w:rsidRPr="00E53DAC">
              <w:rPr>
                <w:color w:val="000000"/>
                <w:szCs w:val="20"/>
              </w:rPr>
              <w:t xml:space="preserve"> health questionnaire. It is one of the most validated tools in mental health and can be a powerful tool to assist clinicians </w:t>
            </w:r>
            <w:r w:rsidRPr="00E53DAC">
              <w:rPr>
                <w:noProof/>
                <w:color w:val="000000"/>
                <w:szCs w:val="20"/>
              </w:rPr>
              <w:t>with</w:t>
            </w:r>
            <w:r w:rsidRPr="00E53DAC">
              <w:rPr>
                <w:color w:val="000000"/>
                <w:szCs w:val="20"/>
              </w:rPr>
              <w:t xml:space="preserve"> diagnosing depression and monitoring treatment response. The nine items of the PHQ-9 are based directly on the nine diagnostic criteria for major depressive disorder in the DSM-IV. We will use this form to identify the presence of depression in participant under age 65 years. </w:t>
            </w:r>
          </w:p>
        </w:tc>
      </w:tr>
      <w:tr w:rsidR="0060568F" w:rsidRPr="00E53DAC" w14:paraId="47E5DD64"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5013368D" w14:textId="10CDE389" w:rsidR="0060568F" w:rsidRPr="00E53DAC" w:rsidRDefault="0060568F" w:rsidP="009930C3">
            <w:pPr>
              <w:spacing w:before="40" w:after="40"/>
              <w:jc w:val="center"/>
              <w:rPr>
                <w:szCs w:val="20"/>
              </w:rPr>
            </w:pPr>
            <w:r w:rsidRPr="00E53DAC">
              <w:rPr>
                <w:szCs w:val="20"/>
              </w:rPr>
              <w:t>Geriatric Depression Scale</w:t>
            </w:r>
            <w:r w:rsidR="00BE1A59">
              <w:rPr>
                <w:szCs w:val="20"/>
              </w:rPr>
              <w:t xml:space="preserve"> –Short Form</w:t>
            </w:r>
            <w:r w:rsidRPr="00E53DAC">
              <w:rPr>
                <w:szCs w:val="20"/>
              </w:rPr>
              <w:t xml:space="preserve"> (GDS-S)</w:t>
            </w:r>
            <w:r w:rsidRPr="00E53DAC">
              <w:rPr>
                <w:rStyle w:val="FootnoteReference"/>
                <w:szCs w:val="20"/>
                <w:vertAlign w:val="superscript"/>
              </w:rPr>
              <w:footnoteReference w:id="9"/>
            </w:r>
          </w:p>
        </w:tc>
        <w:tc>
          <w:tcPr>
            <w:tcW w:w="780" w:type="pct"/>
          </w:tcPr>
          <w:p w14:paraId="0C2098FE"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 xml:space="preserve">J.A. Yesavage and J.I. Sheikh </w:t>
            </w:r>
          </w:p>
        </w:tc>
        <w:tc>
          <w:tcPr>
            <w:tcW w:w="532" w:type="pct"/>
          </w:tcPr>
          <w:p w14:paraId="5999EC9D"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0117208D"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Appendix A</w:t>
            </w:r>
          </w:p>
        </w:tc>
        <w:tc>
          <w:tcPr>
            <w:tcW w:w="2450" w:type="pct"/>
          </w:tcPr>
          <w:p w14:paraId="6F4868B5" w14:textId="77777777"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 xml:space="preserve">The Geriatric Depression Scale Short Form (GDS-S) is comprised of 15 items chosen from the Geriatric Depression Scale-Long Form (GDS-L). It is a self-report measure of depression in older adults. The shortened form were chosen because of their high correlation with depressive symptoms in previous validation studies. We will use this form to identify the presence of depression in participants over 65 years of age. </w:t>
            </w:r>
          </w:p>
        </w:tc>
      </w:tr>
      <w:tr w:rsidR="0060568F" w:rsidRPr="00E53DAC" w14:paraId="7F1D28FB"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86B3173" w14:textId="77777777" w:rsidR="0060568F" w:rsidRPr="00E53DAC" w:rsidRDefault="0060568F" w:rsidP="009930C3">
            <w:pPr>
              <w:spacing w:before="40" w:after="40"/>
              <w:jc w:val="center"/>
              <w:rPr>
                <w:szCs w:val="20"/>
              </w:rPr>
            </w:pPr>
            <w:r w:rsidRPr="00E53DAC">
              <w:rPr>
                <w:szCs w:val="20"/>
              </w:rPr>
              <w:t>The DETERMINE Checklist</w:t>
            </w:r>
            <w:r w:rsidRPr="00E53DAC">
              <w:rPr>
                <w:rStyle w:val="FootnoteReference"/>
                <w:szCs w:val="20"/>
                <w:vertAlign w:val="superscript"/>
              </w:rPr>
              <w:footnoteReference w:id="10"/>
            </w:r>
            <w:r w:rsidRPr="00E53DAC">
              <w:rPr>
                <w:szCs w:val="20"/>
                <w:vertAlign w:val="superscript"/>
              </w:rPr>
              <w:t xml:space="preserve"> </w:t>
            </w:r>
            <w:r w:rsidRPr="00E53DAC">
              <w:rPr>
                <w:szCs w:val="20"/>
              </w:rPr>
              <w:t xml:space="preserve"> </w:t>
            </w:r>
          </w:p>
        </w:tc>
        <w:tc>
          <w:tcPr>
            <w:tcW w:w="780" w:type="pct"/>
          </w:tcPr>
          <w:p w14:paraId="2354E6BD"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The Nutrition Screening Initiative</w:t>
            </w:r>
          </w:p>
        </w:tc>
        <w:tc>
          <w:tcPr>
            <w:tcW w:w="532" w:type="pct"/>
          </w:tcPr>
          <w:p w14:paraId="0B24B1F6"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19CBE0EB"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Appendix B</w:t>
            </w:r>
          </w:p>
        </w:tc>
        <w:tc>
          <w:tcPr>
            <w:tcW w:w="2450" w:type="pct"/>
          </w:tcPr>
          <w:p w14:paraId="3D8053D7" w14:textId="77777777"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 xml:space="preserve">The Nutrition Screening Initiative (NSI) is a national collaborative developed to address the prevalence of malnutrition among older adults. The NSI DETERMINE questionnaire is used by professionals working with elders in order to assess their risk for poor nutritional status or malnutrition. We will use this instrument to identify warning signs for poor nutrition such as disease, economic hardship, reduced social contact, multiple medicines, and involuntary weight loss/gain. </w:t>
            </w:r>
          </w:p>
        </w:tc>
      </w:tr>
      <w:tr w:rsidR="0060568F" w:rsidRPr="00E53DAC" w14:paraId="60092E59"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1CBA2923" w14:textId="77777777" w:rsidR="0060568F" w:rsidRPr="00E53DAC" w:rsidRDefault="0060568F" w:rsidP="009930C3">
            <w:pPr>
              <w:spacing w:before="40" w:after="40"/>
              <w:jc w:val="center"/>
              <w:rPr>
                <w:szCs w:val="20"/>
              </w:rPr>
            </w:pPr>
            <w:r w:rsidRPr="00E53DAC">
              <w:rPr>
                <w:szCs w:val="20"/>
              </w:rPr>
              <w:t>STEADI Fall Risk Questionnaire</w:t>
            </w:r>
            <w:r w:rsidRPr="00E53DAC">
              <w:rPr>
                <w:rStyle w:val="FootnoteReference"/>
                <w:szCs w:val="20"/>
                <w:vertAlign w:val="superscript"/>
              </w:rPr>
              <w:footnoteReference w:id="11"/>
            </w:r>
          </w:p>
        </w:tc>
        <w:tc>
          <w:tcPr>
            <w:tcW w:w="780" w:type="pct"/>
          </w:tcPr>
          <w:p w14:paraId="2CC8D23F"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Greater Los Angeles VA Geriatric Research Education Clinical Center and affiliates</w:t>
            </w:r>
          </w:p>
        </w:tc>
        <w:tc>
          <w:tcPr>
            <w:tcW w:w="532" w:type="pct"/>
          </w:tcPr>
          <w:p w14:paraId="2F368D02"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5ACC6290"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Appendix C</w:t>
            </w:r>
          </w:p>
        </w:tc>
        <w:tc>
          <w:tcPr>
            <w:tcW w:w="2450" w:type="pct"/>
          </w:tcPr>
          <w:p w14:paraId="6DEE0A2C" w14:textId="77777777"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szCs w:val="20"/>
              </w:rPr>
              <w:t xml:space="preserve">The STEADI Fall Risk Questionnaire is a fall risk self-assessment that is based on both evidence and clinical acceptability and has </w:t>
            </w:r>
            <w:r w:rsidRPr="00E53DAC">
              <w:rPr>
                <w:noProof/>
                <w:szCs w:val="20"/>
              </w:rPr>
              <w:t>been initially validated</w:t>
            </w:r>
            <w:r w:rsidRPr="00E53DAC">
              <w:rPr>
                <w:szCs w:val="20"/>
              </w:rPr>
              <w:t xml:space="preserve"> with clinical examination data. We will use this questionnaire to assess participants’ level of risk for falling, which will support property staff in triaging participants as high-risk/high-need.</w:t>
            </w:r>
          </w:p>
        </w:tc>
      </w:tr>
      <w:tr w:rsidR="0060568F" w:rsidRPr="00E53DAC" w14:paraId="5888616F"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B43E99E" w14:textId="709E47B7" w:rsidR="0060568F" w:rsidRPr="00E53DAC" w:rsidRDefault="0060568F" w:rsidP="009930C3">
            <w:pPr>
              <w:spacing w:before="40" w:after="40"/>
              <w:jc w:val="center"/>
              <w:rPr>
                <w:szCs w:val="20"/>
              </w:rPr>
            </w:pPr>
          </w:p>
        </w:tc>
        <w:tc>
          <w:tcPr>
            <w:tcW w:w="780" w:type="pct"/>
          </w:tcPr>
          <w:p w14:paraId="576631B5" w14:textId="03323211"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c>
          <w:tcPr>
            <w:tcW w:w="532" w:type="pct"/>
          </w:tcPr>
          <w:p w14:paraId="068DC865" w14:textId="37B76FF2"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c>
          <w:tcPr>
            <w:tcW w:w="558" w:type="pct"/>
          </w:tcPr>
          <w:p w14:paraId="084D83CA" w14:textId="438AA1D0"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c>
          <w:tcPr>
            <w:tcW w:w="2450" w:type="pct"/>
          </w:tcPr>
          <w:p w14:paraId="20C59F99" w14:textId="042B6879"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p>
        </w:tc>
      </w:tr>
      <w:tr w:rsidR="0060568F" w:rsidRPr="00E53DAC" w14:paraId="7CD6B4BC"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030EC9A7" w14:textId="77777777" w:rsidR="0060568F" w:rsidRPr="00E53DAC" w:rsidRDefault="0060568F" w:rsidP="009930C3">
            <w:pPr>
              <w:spacing w:before="40" w:after="40"/>
              <w:jc w:val="center"/>
              <w:rPr>
                <w:szCs w:val="20"/>
              </w:rPr>
            </w:pPr>
            <w:r w:rsidRPr="00E53DAC">
              <w:rPr>
                <w:szCs w:val="20"/>
              </w:rPr>
              <w:t>UCLA Loneliness Scale</w:t>
            </w:r>
            <w:r w:rsidRPr="00E53DAC">
              <w:rPr>
                <w:rStyle w:val="FootnoteReference"/>
                <w:szCs w:val="20"/>
                <w:vertAlign w:val="superscript"/>
              </w:rPr>
              <w:footnoteReference w:id="12"/>
            </w:r>
          </w:p>
        </w:tc>
        <w:tc>
          <w:tcPr>
            <w:tcW w:w="780" w:type="pct"/>
          </w:tcPr>
          <w:p w14:paraId="695AB57A"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University of California, Los Angeles (UCLA)</w:t>
            </w:r>
          </w:p>
        </w:tc>
        <w:tc>
          <w:tcPr>
            <w:tcW w:w="532" w:type="pct"/>
          </w:tcPr>
          <w:p w14:paraId="57F0F0CC"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5152AD08"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Appendix D</w:t>
            </w:r>
          </w:p>
        </w:tc>
        <w:tc>
          <w:tcPr>
            <w:tcW w:w="2450" w:type="pct"/>
          </w:tcPr>
          <w:p w14:paraId="6BC4ED76" w14:textId="045A9561"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 xml:space="preserve">The UCLA Loneliness scale was originally a 20-item scale designed to measure one’s subjective feelings of loneliness as well as feelings of social isolation. We will use the </w:t>
            </w:r>
            <w:r w:rsidR="00B97A25" w:rsidRPr="00E53DAC">
              <w:rPr>
                <w:color w:val="000000"/>
                <w:szCs w:val="20"/>
              </w:rPr>
              <w:t>three-item</w:t>
            </w:r>
            <w:r w:rsidRPr="00E53DAC">
              <w:rPr>
                <w:color w:val="000000"/>
                <w:szCs w:val="20"/>
              </w:rPr>
              <w:t xml:space="preserve"> scale, which has shown to be highly reliable, to </w:t>
            </w:r>
            <w:r w:rsidRPr="00E53DAC">
              <w:rPr>
                <w:szCs w:val="20"/>
              </w:rPr>
              <w:t>assess dimensions of loneliness including relational connectedness, social connectedness, and perceived isolation.</w:t>
            </w:r>
          </w:p>
        </w:tc>
      </w:tr>
      <w:tr w:rsidR="0060568F" w:rsidRPr="00E53DAC" w14:paraId="6CD5845F"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3E08DA7" w14:textId="77777777" w:rsidR="0060568F" w:rsidRPr="00E53DAC" w:rsidRDefault="0060568F" w:rsidP="009930C3">
            <w:pPr>
              <w:spacing w:before="40" w:after="40"/>
              <w:jc w:val="center"/>
              <w:rPr>
                <w:szCs w:val="20"/>
              </w:rPr>
            </w:pPr>
            <w:r w:rsidRPr="00E53DAC">
              <w:rPr>
                <w:szCs w:val="20"/>
              </w:rPr>
              <w:t>The Mini-Cog</w:t>
            </w:r>
            <w:r w:rsidRPr="00E53DAC">
              <w:rPr>
                <w:rStyle w:val="FootnoteReference"/>
                <w:szCs w:val="20"/>
                <w:vertAlign w:val="superscript"/>
              </w:rPr>
              <w:footnoteReference w:id="13"/>
            </w:r>
          </w:p>
        </w:tc>
        <w:tc>
          <w:tcPr>
            <w:tcW w:w="780" w:type="pct"/>
          </w:tcPr>
          <w:p w14:paraId="68A71529"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Dr. Soo Borson, University of Washington</w:t>
            </w:r>
          </w:p>
        </w:tc>
        <w:tc>
          <w:tcPr>
            <w:tcW w:w="532" w:type="pct"/>
          </w:tcPr>
          <w:p w14:paraId="6CE3A966"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74E69048"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Appendix E</w:t>
            </w:r>
          </w:p>
        </w:tc>
        <w:tc>
          <w:tcPr>
            <w:tcW w:w="2450" w:type="pct"/>
          </w:tcPr>
          <w:p w14:paraId="4C3A1F74" w14:textId="77777777"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 xml:space="preserve">The Mini-Cog, a composite of three-item recall and clock drawing, was developed as a brief test for discriminating demented from </w:t>
            </w:r>
            <w:r w:rsidRPr="00E53DAC">
              <w:rPr>
                <w:noProof/>
                <w:color w:val="000000"/>
                <w:szCs w:val="20"/>
              </w:rPr>
              <w:t>non-demented</w:t>
            </w:r>
            <w:r w:rsidRPr="00E53DAC">
              <w:rPr>
                <w:color w:val="000000"/>
                <w:szCs w:val="20"/>
              </w:rPr>
              <w:t xml:space="preserve"> persons in a community sample of culturally, linguistically, and educationally heterogeneous older adults. We will use this instrument to screen participants for cognitive impairment, which will inform property staff of ongoing care coordination needs.</w:t>
            </w:r>
          </w:p>
        </w:tc>
      </w:tr>
      <w:tr w:rsidR="0060568F" w:rsidRPr="00E53DAC" w14:paraId="6B57189D"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56442B8B" w14:textId="77777777" w:rsidR="0060568F" w:rsidRPr="00E53DAC" w:rsidRDefault="0060568F" w:rsidP="009930C3">
            <w:pPr>
              <w:spacing w:before="40" w:after="40"/>
              <w:jc w:val="center"/>
              <w:rPr>
                <w:szCs w:val="20"/>
              </w:rPr>
            </w:pPr>
            <w:r w:rsidRPr="00E53DAC">
              <w:rPr>
                <w:szCs w:val="20"/>
              </w:rPr>
              <w:t>GAD-7</w:t>
            </w:r>
            <w:r w:rsidRPr="00E53DAC">
              <w:rPr>
                <w:rStyle w:val="FootnoteReference"/>
                <w:szCs w:val="20"/>
                <w:vertAlign w:val="superscript"/>
              </w:rPr>
              <w:footnoteReference w:id="14"/>
            </w:r>
          </w:p>
        </w:tc>
        <w:tc>
          <w:tcPr>
            <w:tcW w:w="780" w:type="pct"/>
          </w:tcPr>
          <w:p w14:paraId="1047573B"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 xml:space="preserve">Drs. Robert L. Spitzer, Janet B.W. Williams, Kurt </w:t>
            </w:r>
            <w:r w:rsidRPr="00E53DAC">
              <w:rPr>
                <w:noProof/>
                <w:szCs w:val="20"/>
              </w:rPr>
              <w:t>Kroenke,</w:t>
            </w:r>
            <w:r w:rsidRPr="00E53DAC">
              <w:rPr>
                <w:szCs w:val="20"/>
              </w:rPr>
              <w:t xml:space="preserve"> and colleagues</w:t>
            </w:r>
          </w:p>
        </w:tc>
        <w:tc>
          <w:tcPr>
            <w:tcW w:w="532" w:type="pct"/>
          </w:tcPr>
          <w:p w14:paraId="1BEA1CD8"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sym w:font="Wingdings" w:char="F0FC"/>
            </w:r>
          </w:p>
        </w:tc>
        <w:tc>
          <w:tcPr>
            <w:tcW w:w="558" w:type="pct"/>
          </w:tcPr>
          <w:p w14:paraId="7F615CF6" w14:textId="77777777"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r w:rsidRPr="00E53DAC">
              <w:rPr>
                <w:szCs w:val="20"/>
              </w:rPr>
              <w:t>Appendix F</w:t>
            </w:r>
          </w:p>
        </w:tc>
        <w:tc>
          <w:tcPr>
            <w:tcW w:w="2450" w:type="pct"/>
          </w:tcPr>
          <w:p w14:paraId="5538490B" w14:textId="77777777"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r w:rsidRPr="00E53DAC">
              <w:rPr>
                <w:color w:val="000000"/>
                <w:szCs w:val="20"/>
              </w:rPr>
              <w:t xml:space="preserve">The Generalized Anxiety Disorder (GAD-7) questionnaire is a seven-item, self-reported anxiety questionnaire designed to assess the patient’s health status during the previous </w:t>
            </w:r>
            <w:r w:rsidRPr="00E53DAC">
              <w:rPr>
                <w:noProof/>
                <w:color w:val="000000"/>
                <w:szCs w:val="20"/>
              </w:rPr>
              <w:t>two</w:t>
            </w:r>
            <w:r w:rsidRPr="00E53DAC">
              <w:rPr>
                <w:color w:val="000000"/>
                <w:szCs w:val="20"/>
              </w:rPr>
              <w:t xml:space="preserve"> weeks. The GAD-7 asks about the degree to which the patient has been bothered by feeling nervous, anxious or on edge, and has not </w:t>
            </w:r>
            <w:r w:rsidRPr="00E53DAC">
              <w:rPr>
                <w:noProof/>
                <w:color w:val="000000"/>
                <w:szCs w:val="20"/>
              </w:rPr>
              <w:t>been</w:t>
            </w:r>
            <w:r w:rsidRPr="00E53DAC">
              <w:rPr>
                <w:color w:val="000000"/>
                <w:szCs w:val="20"/>
              </w:rPr>
              <w:t xml:space="preserve"> able to stop or control worrying. We will use this instrument to further screen participants at risk for anxiety, based on GAD-2 results. </w:t>
            </w:r>
          </w:p>
        </w:tc>
      </w:tr>
      <w:tr w:rsidR="0060568F" w:rsidRPr="00E53DAC" w14:paraId="611638A8" w14:textId="77777777" w:rsidTr="00993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07583547" w14:textId="77777777" w:rsidR="0060568F" w:rsidRPr="00E53DAC" w:rsidRDefault="0060568F" w:rsidP="009930C3">
            <w:pPr>
              <w:spacing w:before="40" w:after="40"/>
              <w:jc w:val="center"/>
              <w:rPr>
                <w:szCs w:val="20"/>
              </w:rPr>
            </w:pPr>
            <w:r w:rsidRPr="00E53DAC">
              <w:rPr>
                <w:szCs w:val="20"/>
              </w:rPr>
              <w:t>Short Michigan Alcoholism Screening Test- Geriatric Version (SMAST-G)</w:t>
            </w:r>
            <w:r w:rsidRPr="00E53DAC">
              <w:rPr>
                <w:rStyle w:val="FootnoteReference"/>
                <w:szCs w:val="20"/>
                <w:vertAlign w:val="superscript"/>
              </w:rPr>
              <w:footnoteReference w:id="15"/>
            </w:r>
          </w:p>
        </w:tc>
        <w:tc>
          <w:tcPr>
            <w:tcW w:w="780" w:type="pct"/>
          </w:tcPr>
          <w:p w14:paraId="5E008A2E"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Blow F.C., Brower K.J., Schulenberg J.E., et al.</w:t>
            </w:r>
          </w:p>
        </w:tc>
        <w:tc>
          <w:tcPr>
            <w:tcW w:w="532" w:type="pct"/>
          </w:tcPr>
          <w:p w14:paraId="55C1F90D"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sym w:font="Wingdings" w:char="F0FC"/>
            </w:r>
          </w:p>
        </w:tc>
        <w:tc>
          <w:tcPr>
            <w:tcW w:w="558" w:type="pct"/>
          </w:tcPr>
          <w:p w14:paraId="0D7C489C" w14:textId="77777777" w:rsidR="0060568F" w:rsidRPr="00E53DAC" w:rsidRDefault="0060568F" w:rsidP="009930C3">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E53DAC">
              <w:rPr>
                <w:szCs w:val="20"/>
              </w:rPr>
              <w:t>Appendix G</w:t>
            </w:r>
          </w:p>
        </w:tc>
        <w:tc>
          <w:tcPr>
            <w:tcW w:w="2450" w:type="pct"/>
          </w:tcPr>
          <w:p w14:paraId="73FA36D3" w14:textId="77777777" w:rsidR="0060568F" w:rsidRPr="00E53DAC" w:rsidRDefault="0060568F" w:rsidP="009930C3">
            <w:pPr>
              <w:spacing w:before="40" w:after="40"/>
              <w:cnfStyle w:val="000000100000" w:firstRow="0" w:lastRow="0" w:firstColumn="0" w:lastColumn="0" w:oddVBand="0" w:evenVBand="0" w:oddHBand="1" w:evenHBand="0" w:firstRowFirstColumn="0" w:firstRowLastColumn="0" w:lastRowFirstColumn="0" w:lastRowLastColumn="0"/>
              <w:rPr>
                <w:color w:val="000000"/>
                <w:szCs w:val="20"/>
              </w:rPr>
            </w:pPr>
            <w:r w:rsidRPr="00E53DAC">
              <w:rPr>
                <w:color w:val="000000"/>
                <w:szCs w:val="20"/>
              </w:rPr>
              <w:t xml:space="preserve">The SMAST-G is a modified version of the evidence-based Short Michigan Alcoholism Screening Test. Because older adults may show signs of drinking problems that are different than other age groups, this screening tool asks specific questions related to an older population. We will use this instrument to detect "at-risk" alcohol use, alcohol abuse, or alcoholism in older adult participants. </w:t>
            </w:r>
          </w:p>
        </w:tc>
      </w:tr>
      <w:tr w:rsidR="0060568F" w:rsidRPr="00E53DAC" w14:paraId="361423F7" w14:textId="77777777" w:rsidTr="009930C3">
        <w:tc>
          <w:tcPr>
            <w:cnfStyle w:val="001000000000" w:firstRow="0" w:lastRow="0" w:firstColumn="1" w:lastColumn="0" w:oddVBand="0" w:evenVBand="0" w:oddHBand="0" w:evenHBand="0" w:firstRowFirstColumn="0" w:firstRowLastColumn="0" w:lastRowFirstColumn="0" w:lastRowLastColumn="0"/>
            <w:tcW w:w="680" w:type="pct"/>
          </w:tcPr>
          <w:p w14:paraId="2C88768D" w14:textId="70085CCF" w:rsidR="0060568F" w:rsidRPr="00E53DAC" w:rsidRDefault="0060568F" w:rsidP="009930C3">
            <w:pPr>
              <w:spacing w:before="40" w:after="40"/>
              <w:jc w:val="center"/>
              <w:rPr>
                <w:szCs w:val="20"/>
              </w:rPr>
            </w:pPr>
          </w:p>
        </w:tc>
        <w:tc>
          <w:tcPr>
            <w:tcW w:w="780" w:type="pct"/>
          </w:tcPr>
          <w:p w14:paraId="0A38B9D2" w14:textId="45F5F4F6"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c>
          <w:tcPr>
            <w:tcW w:w="532" w:type="pct"/>
          </w:tcPr>
          <w:p w14:paraId="3D3D626A" w14:textId="07C36A6C"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c>
          <w:tcPr>
            <w:tcW w:w="558" w:type="pct"/>
          </w:tcPr>
          <w:p w14:paraId="76F54E07" w14:textId="6ED657AC" w:rsidR="0060568F" w:rsidRPr="00E53DAC" w:rsidRDefault="0060568F" w:rsidP="009930C3">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c>
          <w:tcPr>
            <w:tcW w:w="2450" w:type="pct"/>
          </w:tcPr>
          <w:p w14:paraId="3BBF545C" w14:textId="627204CC" w:rsidR="0060568F" w:rsidRPr="00E53DAC" w:rsidRDefault="0060568F" w:rsidP="009930C3">
            <w:pPr>
              <w:spacing w:before="40" w:after="40"/>
              <w:cnfStyle w:val="000000000000" w:firstRow="0" w:lastRow="0" w:firstColumn="0" w:lastColumn="0" w:oddVBand="0" w:evenVBand="0" w:oddHBand="0" w:evenHBand="0" w:firstRowFirstColumn="0" w:firstRowLastColumn="0" w:lastRowFirstColumn="0" w:lastRowLastColumn="0"/>
              <w:rPr>
                <w:color w:val="000000"/>
                <w:szCs w:val="20"/>
              </w:rPr>
            </w:pPr>
          </w:p>
        </w:tc>
      </w:tr>
    </w:tbl>
    <w:p w14:paraId="1399BB45" w14:textId="77777777" w:rsidR="0060568F" w:rsidRDefault="0060568F" w:rsidP="00137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4206A1" w14:textId="77777777" w:rsidR="0060568F" w:rsidRDefault="0060568F" w:rsidP="00137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7D7540" w14:textId="6459EEFD" w:rsidR="00692F34" w:rsidRPr="00F26B24" w:rsidRDefault="00692F34" w:rsidP="00601E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4863B4" w14:textId="4F541AD7" w:rsidR="00692F34" w:rsidRPr="00F26B24" w:rsidRDefault="00692F3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F26B24">
        <w:rPr>
          <w:sz w:val="24"/>
          <w:highlight w:val="yellow"/>
        </w:rPr>
        <w:br w:type="page"/>
      </w:r>
    </w:p>
    <w:p w14:paraId="5E03A270" w14:textId="77777777" w:rsidR="00692F34" w:rsidRPr="00F26B24" w:rsidRDefault="00692F3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sectPr w:rsidR="00692F34" w:rsidRPr="00F26B24" w:rsidSect="00692F34">
          <w:endnotePr>
            <w:numFmt w:val="decimal"/>
          </w:endnotePr>
          <w:pgSz w:w="15840" w:h="12240" w:orient="landscape"/>
          <w:pgMar w:top="1440" w:right="1170" w:bottom="1296" w:left="1440" w:header="540" w:footer="1440" w:gutter="0"/>
          <w:cols w:space="720"/>
          <w:noEndnote/>
          <w:docGrid w:linePitch="272"/>
        </w:sectPr>
      </w:pPr>
    </w:p>
    <w:p w14:paraId="689696C0" w14:textId="74222C1F" w:rsidR="009C7A4C" w:rsidRPr="00F26B2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6C25D1A5" w14:textId="5C8E36A0" w:rsidR="00BE24E5" w:rsidRPr="00F26B2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26B24">
        <w:rPr>
          <w:b/>
          <w:sz w:val="24"/>
        </w:rPr>
        <w:t>5.</w:t>
      </w:r>
      <w:r w:rsidRPr="00F26B24">
        <w:rPr>
          <w:b/>
          <w:sz w:val="24"/>
        </w:rPr>
        <w:tab/>
      </w:r>
      <w:r w:rsidR="00692F34" w:rsidRPr="00F26B24">
        <w:rPr>
          <w:b/>
          <w:sz w:val="24"/>
        </w:rPr>
        <w:t>Individuals C</w:t>
      </w:r>
      <w:r w:rsidRPr="00F26B24">
        <w:rPr>
          <w:b/>
          <w:sz w:val="24"/>
        </w:rPr>
        <w:t>ollect</w:t>
      </w:r>
      <w:r w:rsidR="00692F34" w:rsidRPr="00F26B24">
        <w:rPr>
          <w:b/>
          <w:sz w:val="24"/>
        </w:rPr>
        <w:t xml:space="preserve">ing </w:t>
      </w:r>
      <w:r w:rsidR="00692F34" w:rsidRPr="00F26B24">
        <w:rPr>
          <w:b/>
          <w:noProof/>
          <w:sz w:val="24"/>
        </w:rPr>
        <w:t>and</w:t>
      </w:r>
      <w:r w:rsidR="00692F34" w:rsidRPr="00F26B24">
        <w:rPr>
          <w:b/>
          <w:sz w:val="24"/>
        </w:rPr>
        <w:t xml:space="preserve"> Analyzing Data </w:t>
      </w:r>
    </w:p>
    <w:p w14:paraId="320F2AB3" w14:textId="15F3706D" w:rsidR="00EE0403" w:rsidRPr="00F26B24" w:rsidRDefault="00692F34" w:rsidP="007217F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Elizabeth Martin</w:t>
      </w:r>
      <w:r w:rsidR="00EE0403" w:rsidRPr="00F26B24">
        <w:rPr>
          <w:sz w:val="24"/>
        </w:rPr>
        <w:t xml:space="preserve">, The Lewin Group, </w:t>
      </w:r>
      <w:r w:rsidR="007217FF" w:rsidRPr="00F26B24">
        <w:rPr>
          <w:sz w:val="24"/>
        </w:rPr>
        <w:t>(703) 269-5</w:t>
      </w:r>
      <w:r w:rsidRPr="00F26B24">
        <w:rPr>
          <w:sz w:val="24"/>
        </w:rPr>
        <w:t>625</w:t>
      </w:r>
    </w:p>
    <w:p w14:paraId="0AE5F04B" w14:textId="7E36A19A" w:rsidR="00EE0403" w:rsidRPr="00F26B24" w:rsidRDefault="00692F34" w:rsidP="007217F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Kristina Rerucha-Azeem</w:t>
      </w:r>
      <w:r w:rsidR="00EE0403" w:rsidRPr="00F26B24">
        <w:rPr>
          <w:sz w:val="24"/>
        </w:rPr>
        <w:t xml:space="preserve">, The Lewin Group, </w:t>
      </w:r>
      <w:r w:rsidRPr="00F26B24">
        <w:rPr>
          <w:sz w:val="24"/>
        </w:rPr>
        <w:t>(703) 269-5562</w:t>
      </w:r>
    </w:p>
    <w:p w14:paraId="55A035A3" w14:textId="17BC88E4" w:rsidR="00692F34" w:rsidRPr="00F26B24" w:rsidRDefault="00692F34" w:rsidP="007217F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Christina Wu, The Lewin Group, (703) 269-5728</w:t>
      </w:r>
    </w:p>
    <w:p w14:paraId="0CB857C1" w14:textId="1DF8C392" w:rsidR="001370F7" w:rsidRPr="00F26B24" w:rsidRDefault="001370F7" w:rsidP="007217F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6B24">
        <w:rPr>
          <w:sz w:val="24"/>
        </w:rPr>
        <w:t>Joy Oguntimein, The Lewin Group, (703) 269 -5967</w:t>
      </w:r>
    </w:p>
    <w:p w14:paraId="01EA8B90" w14:textId="7603E2C1" w:rsidR="001370F7" w:rsidRPr="00F26B24" w:rsidRDefault="00BE1A59" w:rsidP="007217F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Resident Wellness Directors</w:t>
      </w:r>
      <w:r w:rsidR="001370F7" w:rsidRPr="00F26B24">
        <w:rPr>
          <w:sz w:val="24"/>
        </w:rPr>
        <w:t xml:space="preserve"> and Wellness Nurse</w:t>
      </w:r>
      <w:r w:rsidR="00823CC8">
        <w:rPr>
          <w:sz w:val="24"/>
        </w:rPr>
        <w:t>s</w:t>
      </w:r>
      <w:r w:rsidR="001370F7" w:rsidRPr="00F26B24">
        <w:rPr>
          <w:sz w:val="24"/>
        </w:rPr>
        <w:t xml:space="preserve"> working at each demonstration site</w:t>
      </w:r>
    </w:p>
    <w:p w14:paraId="324029DD" w14:textId="77777777" w:rsidR="00D933F5" w:rsidRPr="00F26B24" w:rsidRDefault="00D933F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D933F5" w:rsidRPr="00F26B24" w:rsidSect="00692F34">
      <w:endnotePr>
        <w:numFmt w:val="decimal"/>
      </w:endnotePr>
      <w:pgSz w:w="12240" w:h="15840"/>
      <w:pgMar w:top="1170" w:right="1296" w:bottom="1440" w:left="1440" w:header="5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E3D0F" w14:textId="77777777" w:rsidR="009930C3" w:rsidRDefault="009930C3">
      <w:r>
        <w:separator/>
      </w:r>
    </w:p>
  </w:endnote>
  <w:endnote w:type="continuationSeparator" w:id="0">
    <w:p w14:paraId="65108748" w14:textId="77777777" w:rsidR="009930C3" w:rsidRDefault="0099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Regular">
    <w:altName w:val="Times New Roman"/>
    <w:charset w:val="00"/>
    <w:family w:val="auto"/>
    <w:pitch w:val="variable"/>
    <w:sig w:usb0="E10002FF" w:usb1="5000ECFF" w:usb2="00000009"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6A971" w14:textId="77777777" w:rsidR="009930C3" w:rsidRDefault="009930C3">
    <w:pPr>
      <w:spacing w:line="240" w:lineRule="exact"/>
    </w:pPr>
  </w:p>
  <w:p w14:paraId="1A6F499E" w14:textId="71FD30B2" w:rsidR="009930C3" w:rsidRDefault="009930C3">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368CD">
      <w:rPr>
        <w:noProof/>
        <w:sz w:val="24"/>
      </w:rPr>
      <w:t>1</w:t>
    </w:r>
    <w:r>
      <w:rPr>
        <w:sz w:val="24"/>
      </w:rPr>
      <w:fldChar w:fldCharType="end"/>
    </w:r>
  </w:p>
  <w:p w14:paraId="3A67E5A6" w14:textId="77777777" w:rsidR="009930C3" w:rsidRDefault="009930C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924D0" w14:textId="77777777" w:rsidR="009930C3" w:rsidRDefault="009930C3">
      <w:r>
        <w:separator/>
      </w:r>
    </w:p>
  </w:footnote>
  <w:footnote w:type="continuationSeparator" w:id="0">
    <w:p w14:paraId="6CA7C42B" w14:textId="77777777" w:rsidR="009930C3" w:rsidRDefault="009930C3">
      <w:r>
        <w:continuationSeparator/>
      </w:r>
    </w:p>
  </w:footnote>
  <w:footnote w:id="1">
    <w:p w14:paraId="65AD7C43" w14:textId="18A9C333" w:rsidR="009930C3" w:rsidRDefault="009930C3">
      <w:pPr>
        <w:pStyle w:val="FootnoteText"/>
      </w:pPr>
      <w:r w:rsidRPr="009555B5">
        <w:rPr>
          <w:rStyle w:val="FootnoteReference"/>
          <w:vertAlign w:val="superscript"/>
        </w:rPr>
        <w:footnoteRef/>
      </w:r>
      <w:r>
        <w:t xml:space="preserve"> A respondent is considered elderly if they are age 62 or older according to the Fair Housing Act</w:t>
      </w:r>
    </w:p>
  </w:footnote>
  <w:footnote w:id="2">
    <w:p w14:paraId="572BC1E7" w14:textId="019D974D" w:rsidR="003E2649" w:rsidRDefault="003E2649">
      <w:pPr>
        <w:pStyle w:val="FootnoteText"/>
      </w:pPr>
      <w:r w:rsidRPr="00AA2271">
        <w:rPr>
          <w:rStyle w:val="FootnoteReference"/>
          <w:vertAlign w:val="superscript"/>
        </w:rPr>
        <w:footnoteRef/>
      </w:r>
      <w:r>
        <w:t xml:space="preserve"> </w:t>
      </w:r>
      <w:r w:rsidR="00AA2271">
        <w:tab/>
      </w:r>
      <w:r w:rsidR="00AA2271" w:rsidRPr="00AA2271">
        <w:t>Morisky</w:t>
      </w:r>
      <w:r w:rsidR="00AA2271">
        <w:t>,</w:t>
      </w:r>
      <w:r w:rsidR="00AA2271" w:rsidRPr="00AA2271">
        <w:t xml:space="preserve"> Donald, Ang</w:t>
      </w:r>
      <w:r w:rsidR="00AA2271">
        <w:t>,</w:t>
      </w:r>
      <w:r w:rsidR="00AA2271" w:rsidRPr="00AA2271">
        <w:t xml:space="preserve"> Alfonso, Krousel-Woo</w:t>
      </w:r>
      <w:r w:rsidR="00AA2271">
        <w:t>d,</w:t>
      </w:r>
      <w:r w:rsidR="00AA2271" w:rsidRPr="00AA2271">
        <w:t xml:space="preserve"> Marie</w:t>
      </w:r>
      <w:r w:rsidR="00AA2271">
        <w:t>, and Ward, Harry</w:t>
      </w:r>
      <w:r w:rsidR="00B03231">
        <w:t>. “</w:t>
      </w:r>
      <w:r w:rsidR="00AA2271" w:rsidRPr="00AA2271">
        <w:t>Predictive Validity of A Medication Adherence Measure in an Outpatient Setting</w:t>
      </w:r>
      <w:r w:rsidR="00AA2271">
        <w:t xml:space="preserve">.” </w:t>
      </w:r>
      <w:r w:rsidR="00AA2271" w:rsidRPr="00AA2271">
        <w:t>J</w:t>
      </w:r>
      <w:r w:rsidR="00AA2271">
        <w:t>ournal of</w:t>
      </w:r>
      <w:r w:rsidR="00AA2271" w:rsidRPr="00AA2271">
        <w:t xml:space="preserve"> Clin</w:t>
      </w:r>
      <w:r w:rsidR="00AA2271">
        <w:t>ical</w:t>
      </w:r>
      <w:r w:rsidR="00AA2271" w:rsidRPr="00AA2271">
        <w:t xml:space="preserve"> Hypertens</w:t>
      </w:r>
      <w:r w:rsidR="00AA2271">
        <w:t>ion</w:t>
      </w:r>
      <w:r w:rsidR="00AA2271" w:rsidRPr="00AA2271">
        <w:t xml:space="preserve"> 10(5)</w:t>
      </w:r>
      <w:r w:rsidR="00AA2271">
        <w:t xml:space="preserve"> (2008)</w:t>
      </w:r>
      <w:r w:rsidR="00AA2271" w:rsidRPr="00AA2271">
        <w:t>: 348–354.</w:t>
      </w:r>
    </w:p>
  </w:footnote>
  <w:footnote w:id="3">
    <w:p w14:paraId="5286A44A" w14:textId="77777777" w:rsidR="009930C3" w:rsidRPr="0051023A" w:rsidRDefault="009930C3" w:rsidP="0060568F">
      <w:pPr>
        <w:pStyle w:val="FootnoteText"/>
        <w:rPr>
          <w:szCs w:val="18"/>
        </w:rPr>
      </w:pPr>
      <w:r w:rsidRPr="00AA2271">
        <w:rPr>
          <w:rStyle w:val="FootnoteReference"/>
          <w:szCs w:val="18"/>
          <w:vertAlign w:val="superscript"/>
        </w:rPr>
        <w:footnoteRef/>
      </w:r>
      <w:r w:rsidRPr="0051023A">
        <w:rPr>
          <w:szCs w:val="18"/>
        </w:rPr>
        <w:t xml:space="preserve"> </w:t>
      </w:r>
      <w:r w:rsidRPr="0051023A">
        <w:rPr>
          <w:color w:val="222222"/>
          <w:szCs w:val="18"/>
          <w:shd w:val="clear" w:color="auto" w:fill="FFFFFF"/>
        </w:rPr>
        <w:t>Kroenke, Kurt, Robert L. Spitzer, and Janet BW Williams. "The Patient Health Questionnaire-2: validity of a two-item depression screener."</w:t>
      </w:r>
      <w:r w:rsidRPr="0051023A">
        <w:rPr>
          <w:rStyle w:val="apple-converted-space"/>
          <w:color w:val="222222"/>
          <w:szCs w:val="18"/>
          <w:shd w:val="clear" w:color="auto" w:fill="FFFFFF"/>
        </w:rPr>
        <w:t> </w:t>
      </w:r>
      <w:r w:rsidRPr="0051023A">
        <w:rPr>
          <w:i/>
          <w:iCs/>
          <w:color w:val="222222"/>
          <w:szCs w:val="18"/>
          <w:shd w:val="clear" w:color="auto" w:fill="FFFFFF"/>
        </w:rPr>
        <w:t>Medical care</w:t>
      </w:r>
      <w:r w:rsidRPr="0051023A">
        <w:rPr>
          <w:rStyle w:val="apple-converted-space"/>
          <w:color w:val="222222"/>
          <w:szCs w:val="18"/>
          <w:shd w:val="clear" w:color="auto" w:fill="FFFFFF"/>
        </w:rPr>
        <w:t> </w:t>
      </w:r>
      <w:r w:rsidRPr="0051023A">
        <w:rPr>
          <w:color w:val="222222"/>
          <w:szCs w:val="18"/>
          <w:shd w:val="clear" w:color="auto" w:fill="FFFFFF"/>
        </w:rPr>
        <w:t>41.11 (2003): 1284-1292.</w:t>
      </w:r>
    </w:p>
  </w:footnote>
  <w:footnote w:id="4">
    <w:p w14:paraId="12598EFD" w14:textId="77777777" w:rsidR="009930C3" w:rsidRDefault="009930C3" w:rsidP="0060568F">
      <w:pPr>
        <w:pStyle w:val="FootnoteText"/>
      </w:pPr>
      <w:r w:rsidRPr="00AA2271">
        <w:rPr>
          <w:rStyle w:val="FootnoteReference"/>
          <w:vertAlign w:val="superscript"/>
        </w:rPr>
        <w:footnoteRef/>
      </w:r>
      <w:r>
        <w:t xml:space="preserve"> </w:t>
      </w:r>
      <w:r w:rsidRPr="00A2365B">
        <w:t xml:space="preserve">Kroenke K, Spitzer RL, Williams JB, et al. </w:t>
      </w:r>
      <w:r>
        <w:t>“</w:t>
      </w:r>
      <w:r w:rsidRPr="00A2365B">
        <w:t>Anxiety disorders in primary care: prevalence, impairment, comorbidity, and detection.</w:t>
      </w:r>
      <w:r>
        <w:t>”</w:t>
      </w:r>
      <w:r w:rsidRPr="00A2365B">
        <w:t xml:space="preserve"> </w:t>
      </w:r>
      <w:r w:rsidRPr="00A2365B">
        <w:rPr>
          <w:i/>
        </w:rPr>
        <w:t>Ann Intern Med</w:t>
      </w:r>
      <w:r>
        <w:rPr>
          <w:i/>
        </w:rPr>
        <w:t xml:space="preserve"> </w:t>
      </w:r>
      <w:r>
        <w:t>146</w:t>
      </w:r>
      <w:r w:rsidRPr="00A2365B">
        <w:t xml:space="preserve"> </w:t>
      </w:r>
      <w:r>
        <w:t>(</w:t>
      </w:r>
      <w:r w:rsidRPr="00A2365B">
        <w:t>2007</w:t>
      </w:r>
      <w:r>
        <w:t xml:space="preserve">): </w:t>
      </w:r>
      <w:r w:rsidRPr="00A2365B">
        <w:t>317–25.</w:t>
      </w:r>
    </w:p>
  </w:footnote>
  <w:footnote w:id="5">
    <w:p w14:paraId="10CF4D2A" w14:textId="63AB3D46" w:rsidR="009930C3" w:rsidRPr="0051023A" w:rsidRDefault="009930C3" w:rsidP="0060568F">
      <w:pPr>
        <w:pStyle w:val="FootnoteText"/>
        <w:rPr>
          <w:szCs w:val="18"/>
        </w:rPr>
      </w:pPr>
      <w:r w:rsidRPr="00AA2271">
        <w:rPr>
          <w:rStyle w:val="FootnoteReference"/>
          <w:vertAlign w:val="superscript"/>
        </w:rPr>
        <w:footnoteRef/>
      </w:r>
      <w:r w:rsidRPr="0051023A">
        <w:rPr>
          <w:szCs w:val="18"/>
        </w:rPr>
        <w:t xml:space="preserve"> Centers for Medicare &amp; Medicaid Services. “Long-Term Care Facility </w:t>
      </w:r>
      <w:r>
        <w:rPr>
          <w:szCs w:val="18"/>
        </w:rPr>
        <w:t xml:space="preserve">IWISH Resident Assessment </w:t>
      </w:r>
      <w:r w:rsidRPr="0051023A">
        <w:rPr>
          <w:szCs w:val="18"/>
        </w:rPr>
        <w:t>Instrument 3.0 User’s Manual, Version 1.14.” (October 2016): Web.</w:t>
      </w:r>
    </w:p>
  </w:footnote>
  <w:footnote w:id="6">
    <w:p w14:paraId="7BD00225" w14:textId="77777777" w:rsidR="009930C3" w:rsidRPr="0051023A" w:rsidRDefault="009930C3" w:rsidP="0060568F">
      <w:pPr>
        <w:pStyle w:val="FootnoteText"/>
        <w:rPr>
          <w:szCs w:val="18"/>
        </w:rPr>
      </w:pPr>
      <w:r w:rsidRPr="00AA2271">
        <w:rPr>
          <w:rStyle w:val="FootnoteReference"/>
          <w:vertAlign w:val="superscript"/>
        </w:rPr>
        <w:footnoteRef/>
      </w:r>
      <w:r w:rsidRPr="00AA2271">
        <w:rPr>
          <w:rStyle w:val="FootnoteReference"/>
          <w:vertAlign w:val="superscript"/>
        </w:rPr>
        <w:t xml:space="preserve"> </w:t>
      </w:r>
      <w:r w:rsidRPr="0051023A">
        <w:rPr>
          <w:bCs/>
          <w:color w:val="333333"/>
          <w:szCs w:val="18"/>
          <w:shd w:val="clear" w:color="auto" w:fill="FFFFFF"/>
        </w:rPr>
        <w:t>McCaffery, Margo, and Chris Pasero.</w:t>
      </w:r>
      <w:r w:rsidRPr="0051023A">
        <w:rPr>
          <w:rStyle w:val="apple-converted-space"/>
          <w:bCs/>
          <w:color w:val="333333"/>
          <w:szCs w:val="18"/>
          <w:shd w:val="clear" w:color="auto" w:fill="FFFFFF"/>
        </w:rPr>
        <w:t> </w:t>
      </w:r>
      <w:r w:rsidRPr="0051023A">
        <w:rPr>
          <w:bCs/>
          <w:i/>
          <w:iCs/>
          <w:color w:val="333333"/>
          <w:szCs w:val="18"/>
          <w:shd w:val="clear" w:color="auto" w:fill="FFFFFF"/>
        </w:rPr>
        <w:t xml:space="preserve">Pain: Clinical Manual, </w:t>
      </w:r>
      <w:r w:rsidRPr="0051023A">
        <w:rPr>
          <w:bCs/>
          <w:iCs/>
          <w:color w:val="333333"/>
          <w:szCs w:val="18"/>
          <w:shd w:val="clear" w:color="auto" w:fill="FFFFFF"/>
        </w:rPr>
        <w:t>p.16</w:t>
      </w:r>
      <w:r w:rsidRPr="0051023A">
        <w:rPr>
          <w:bCs/>
          <w:color w:val="333333"/>
          <w:szCs w:val="18"/>
          <w:shd w:val="clear" w:color="auto" w:fill="FFFFFF"/>
        </w:rPr>
        <w:t>. St. Louis: Mosby, 1999. Print.</w:t>
      </w:r>
    </w:p>
  </w:footnote>
  <w:footnote w:id="7">
    <w:p w14:paraId="75EF46FD" w14:textId="77777777" w:rsidR="009930C3" w:rsidRPr="00B26DEA" w:rsidRDefault="009930C3" w:rsidP="0060568F">
      <w:pPr>
        <w:pStyle w:val="FootnoteText"/>
        <w:rPr>
          <w:sz w:val="16"/>
        </w:rPr>
      </w:pPr>
      <w:r w:rsidRPr="00AA2271">
        <w:rPr>
          <w:rStyle w:val="FootnoteReference"/>
          <w:vertAlign w:val="superscript"/>
        </w:rPr>
        <w:footnoteRef/>
      </w:r>
      <w:r w:rsidRPr="00B26DEA">
        <w:rPr>
          <w:szCs w:val="18"/>
        </w:rPr>
        <w:t xml:space="preserve"> </w:t>
      </w:r>
      <w:r w:rsidRPr="00B26DEA">
        <w:rPr>
          <w:rFonts w:ascii="Lato Regular" w:hAnsi="Lato Regular"/>
          <w:color w:val="2C2F39"/>
          <w:szCs w:val="18"/>
          <w:shd w:val="clear" w:color="auto" w:fill="FFFFFF"/>
        </w:rPr>
        <w:t xml:space="preserve">Lawton MP, Brody EM. Assessment of older people: self-maintaining and instrumental activities of daily living. </w:t>
      </w:r>
      <w:r w:rsidRPr="00B26DEA">
        <w:rPr>
          <w:rFonts w:ascii="Lato Regular" w:hAnsi="Lato Regular"/>
          <w:i/>
          <w:color w:val="2C2F39"/>
          <w:szCs w:val="18"/>
          <w:shd w:val="clear" w:color="auto" w:fill="FFFFFF"/>
        </w:rPr>
        <w:t>Gerontologist</w:t>
      </w:r>
      <w:r w:rsidRPr="00B26DEA">
        <w:rPr>
          <w:rFonts w:ascii="Lato Regular" w:hAnsi="Lato Regular"/>
          <w:color w:val="2C2F39"/>
          <w:szCs w:val="18"/>
          <w:shd w:val="clear" w:color="auto" w:fill="FFFFFF"/>
        </w:rPr>
        <w:t xml:space="preserve"> 1969; 9:179-86</w:t>
      </w:r>
    </w:p>
  </w:footnote>
  <w:footnote w:id="8">
    <w:p w14:paraId="77835A5B" w14:textId="77777777" w:rsidR="009930C3" w:rsidRPr="000C2013" w:rsidRDefault="009930C3" w:rsidP="0060568F">
      <w:pPr>
        <w:pStyle w:val="FootnoteText"/>
        <w:rPr>
          <w:szCs w:val="18"/>
        </w:rPr>
      </w:pPr>
      <w:r w:rsidRPr="00AA2271">
        <w:rPr>
          <w:rStyle w:val="FootnoteReference"/>
          <w:vertAlign w:val="superscript"/>
        </w:rPr>
        <w:footnoteRef/>
      </w:r>
      <w:r w:rsidRPr="0051023A">
        <w:rPr>
          <w:szCs w:val="18"/>
        </w:rPr>
        <w:t xml:space="preserve"> </w:t>
      </w:r>
      <w:r w:rsidRPr="0051023A">
        <w:rPr>
          <w:color w:val="222222"/>
          <w:szCs w:val="18"/>
          <w:shd w:val="clear" w:color="auto" w:fill="FFFFFF"/>
        </w:rPr>
        <w:t xml:space="preserve">Kroenke, </w:t>
      </w:r>
      <w:r w:rsidRPr="000C2013">
        <w:rPr>
          <w:color w:val="222222"/>
          <w:szCs w:val="18"/>
          <w:shd w:val="clear" w:color="auto" w:fill="FFFFFF"/>
        </w:rPr>
        <w:t>Kurt, Robert L. Spitzer, and Janet BW Williams. "The Phq</w:t>
      </w:r>
      <w:r w:rsidRPr="000C2013">
        <w:rPr>
          <w:rFonts w:ascii="Cambria Math" w:hAnsi="Cambria Math" w:cs="Cambria Math"/>
          <w:color w:val="222222"/>
          <w:szCs w:val="18"/>
          <w:shd w:val="clear" w:color="auto" w:fill="FFFFFF"/>
        </w:rPr>
        <w:t>‐</w:t>
      </w:r>
      <w:r w:rsidRPr="000C2013">
        <w:rPr>
          <w:color w:val="222222"/>
          <w:szCs w:val="18"/>
          <w:shd w:val="clear" w:color="auto" w:fill="FFFFFF"/>
        </w:rPr>
        <w:t>9."</w:t>
      </w:r>
      <w:r w:rsidRPr="000C2013">
        <w:rPr>
          <w:rStyle w:val="apple-converted-space"/>
          <w:color w:val="222222"/>
          <w:szCs w:val="18"/>
          <w:shd w:val="clear" w:color="auto" w:fill="FFFFFF"/>
        </w:rPr>
        <w:t> </w:t>
      </w:r>
      <w:r w:rsidRPr="000C2013">
        <w:rPr>
          <w:i/>
          <w:iCs/>
          <w:color w:val="222222"/>
          <w:szCs w:val="18"/>
          <w:shd w:val="clear" w:color="auto" w:fill="FFFFFF"/>
        </w:rPr>
        <w:t>Journal of general internal medicine</w:t>
      </w:r>
      <w:r w:rsidRPr="000C2013">
        <w:rPr>
          <w:rStyle w:val="apple-converted-space"/>
          <w:color w:val="222222"/>
          <w:szCs w:val="18"/>
          <w:shd w:val="clear" w:color="auto" w:fill="FFFFFF"/>
        </w:rPr>
        <w:t> </w:t>
      </w:r>
      <w:r w:rsidRPr="000C2013">
        <w:rPr>
          <w:color w:val="222222"/>
          <w:szCs w:val="18"/>
          <w:shd w:val="clear" w:color="auto" w:fill="FFFFFF"/>
        </w:rPr>
        <w:t>16.9 (2001): 606-613.</w:t>
      </w:r>
    </w:p>
  </w:footnote>
  <w:footnote w:id="9">
    <w:p w14:paraId="052E5E68" w14:textId="77777777" w:rsidR="009930C3" w:rsidRDefault="009930C3" w:rsidP="0060568F">
      <w:pPr>
        <w:pStyle w:val="FootnoteText"/>
      </w:pPr>
      <w:r w:rsidRPr="00AA2271">
        <w:rPr>
          <w:rStyle w:val="FootnoteReference"/>
          <w:vertAlign w:val="superscript"/>
        </w:rPr>
        <w:footnoteRef/>
      </w:r>
      <w:r w:rsidRPr="000C2013">
        <w:t xml:space="preserve"> </w:t>
      </w:r>
      <w:r>
        <w:t>Sheikh, J. I. and</w:t>
      </w:r>
      <w:r w:rsidRPr="00D31DA9">
        <w:t xml:space="preserve"> Yesavage, J. A. </w:t>
      </w:r>
      <w:r>
        <w:t>“</w:t>
      </w:r>
      <w:r w:rsidRPr="00D31DA9">
        <w:t>Geriatric Depression Scale (GDS): Recent evidence and development of a shorter version.</w:t>
      </w:r>
      <w:r>
        <w:t>”</w:t>
      </w:r>
      <w:r w:rsidRPr="00D31DA9">
        <w:t xml:space="preserve"> </w:t>
      </w:r>
      <w:r w:rsidRPr="00D31DA9">
        <w:rPr>
          <w:i/>
        </w:rPr>
        <w:t>Clinical Gerontologist,</w:t>
      </w:r>
      <w:r>
        <w:rPr>
          <w:i/>
        </w:rPr>
        <w:t xml:space="preserve"> </w:t>
      </w:r>
      <w:r>
        <w:t>5</w:t>
      </w:r>
      <w:r w:rsidRPr="00D31DA9">
        <w:t xml:space="preserve"> </w:t>
      </w:r>
      <w:r>
        <w:t xml:space="preserve">(1986): </w:t>
      </w:r>
      <w:r w:rsidRPr="00D31DA9">
        <w:t>165-173.</w:t>
      </w:r>
    </w:p>
  </w:footnote>
  <w:footnote w:id="10">
    <w:p w14:paraId="5EE86D4F" w14:textId="77777777" w:rsidR="009930C3" w:rsidRPr="0051023A" w:rsidRDefault="009930C3" w:rsidP="0060568F">
      <w:pPr>
        <w:pStyle w:val="FootnoteText"/>
        <w:rPr>
          <w:szCs w:val="18"/>
        </w:rPr>
      </w:pPr>
      <w:r w:rsidRPr="00AA2271">
        <w:rPr>
          <w:rStyle w:val="FootnoteReference"/>
          <w:vertAlign w:val="superscript"/>
        </w:rPr>
        <w:footnoteRef/>
      </w:r>
      <w:r w:rsidRPr="00AA2271">
        <w:rPr>
          <w:rStyle w:val="FootnoteReference"/>
          <w:vertAlign w:val="superscript"/>
        </w:rPr>
        <w:t xml:space="preserve"> </w:t>
      </w:r>
      <w:r w:rsidRPr="0051023A">
        <w:rPr>
          <w:color w:val="000000"/>
          <w:szCs w:val="18"/>
          <w:shd w:val="clear" w:color="auto" w:fill="FFFFFF"/>
        </w:rPr>
        <w:t xml:space="preserve">White JV, Dwyer JT, Posner BM, Ham RJ, Lipschitz DA, Wellman NS. </w:t>
      </w:r>
      <w:r>
        <w:rPr>
          <w:color w:val="000000"/>
          <w:szCs w:val="18"/>
          <w:shd w:val="clear" w:color="auto" w:fill="FFFFFF"/>
        </w:rPr>
        <w:t>“</w:t>
      </w:r>
      <w:r w:rsidRPr="0051023A">
        <w:rPr>
          <w:color w:val="000000"/>
          <w:szCs w:val="18"/>
          <w:shd w:val="clear" w:color="auto" w:fill="FFFFFF"/>
        </w:rPr>
        <w:t>Nutrition screening initiative: development and implementation of the public awareness checklist and screening tools.</w:t>
      </w:r>
      <w:r>
        <w:rPr>
          <w:color w:val="000000"/>
          <w:szCs w:val="18"/>
          <w:shd w:val="clear" w:color="auto" w:fill="FFFFFF"/>
        </w:rPr>
        <w:t>”</w:t>
      </w:r>
      <w:r w:rsidRPr="0051023A">
        <w:rPr>
          <w:rStyle w:val="apple-converted-space"/>
          <w:color w:val="000000"/>
          <w:szCs w:val="18"/>
          <w:shd w:val="clear" w:color="auto" w:fill="FFFFFF"/>
        </w:rPr>
        <w:t> </w:t>
      </w:r>
      <w:r w:rsidRPr="0051023A">
        <w:rPr>
          <w:rStyle w:val="ref-journal"/>
          <w:i/>
          <w:iCs/>
          <w:color w:val="000000"/>
          <w:szCs w:val="18"/>
          <w:shd w:val="clear" w:color="auto" w:fill="FFFFFF"/>
        </w:rPr>
        <w:t>J Am Diet Assoc.</w:t>
      </w:r>
      <w:r w:rsidRPr="0051023A">
        <w:rPr>
          <w:rStyle w:val="apple-converted-space"/>
          <w:i/>
          <w:iCs/>
          <w:color w:val="000000"/>
          <w:szCs w:val="18"/>
          <w:shd w:val="clear" w:color="auto" w:fill="FFFFFF"/>
        </w:rPr>
        <w:t> </w:t>
      </w:r>
      <w:r w:rsidRPr="0051023A">
        <w:rPr>
          <w:color w:val="000000"/>
          <w:szCs w:val="18"/>
          <w:shd w:val="clear" w:color="auto" w:fill="FFFFFF"/>
        </w:rPr>
        <w:t>1992 Feb;</w:t>
      </w:r>
      <w:r w:rsidRPr="0051023A">
        <w:rPr>
          <w:rStyle w:val="ref-vol"/>
          <w:color w:val="000000"/>
          <w:szCs w:val="18"/>
          <w:shd w:val="clear" w:color="auto" w:fill="FFFFFF"/>
        </w:rPr>
        <w:t>92</w:t>
      </w:r>
      <w:r w:rsidRPr="0051023A">
        <w:rPr>
          <w:color w:val="000000"/>
          <w:szCs w:val="18"/>
          <w:shd w:val="clear" w:color="auto" w:fill="FFFFFF"/>
        </w:rPr>
        <w:t>(2):163–167</w:t>
      </w:r>
    </w:p>
  </w:footnote>
  <w:footnote w:id="11">
    <w:p w14:paraId="15B64C04" w14:textId="77777777" w:rsidR="009930C3" w:rsidRPr="0051023A" w:rsidRDefault="009930C3" w:rsidP="0060568F">
      <w:pPr>
        <w:pStyle w:val="FootnoteText"/>
        <w:rPr>
          <w:szCs w:val="18"/>
        </w:rPr>
      </w:pPr>
      <w:r w:rsidRPr="00AA2271">
        <w:rPr>
          <w:rStyle w:val="FootnoteReference"/>
          <w:vertAlign w:val="superscript"/>
        </w:rPr>
        <w:footnoteRef/>
      </w:r>
      <w:r w:rsidRPr="0051023A">
        <w:rPr>
          <w:szCs w:val="18"/>
        </w:rPr>
        <w:t xml:space="preserve"> Rubenstein et al. J Safety Res; 2011:42(6)493-499</w:t>
      </w:r>
    </w:p>
  </w:footnote>
  <w:footnote w:id="12">
    <w:p w14:paraId="3D48D29E" w14:textId="77777777" w:rsidR="009930C3" w:rsidRDefault="009930C3" w:rsidP="0060568F">
      <w:pPr>
        <w:pStyle w:val="FootnoteText"/>
      </w:pPr>
      <w:r w:rsidRPr="00AA2271">
        <w:rPr>
          <w:rStyle w:val="FootnoteReference"/>
          <w:vertAlign w:val="superscript"/>
        </w:rPr>
        <w:footnoteRef/>
      </w:r>
      <w:r w:rsidRPr="00AA2271">
        <w:rPr>
          <w:rStyle w:val="FootnoteReference"/>
          <w:vertAlign w:val="superscript"/>
        </w:rPr>
        <w:t xml:space="preserve"> </w:t>
      </w:r>
      <w:r>
        <w:t>Russell, D , Peplau, L. A.. &amp; Ferguson, M. L. (1978). Developing a measure of loneliness. Journal of Personality Assessment, 42, 290-294.</w:t>
      </w:r>
    </w:p>
  </w:footnote>
  <w:footnote w:id="13">
    <w:p w14:paraId="2DC4D1FD" w14:textId="77777777" w:rsidR="009930C3" w:rsidRPr="00F00F06" w:rsidRDefault="009930C3" w:rsidP="0060568F">
      <w:pPr>
        <w:pStyle w:val="FootnoteText"/>
      </w:pPr>
      <w:r w:rsidRPr="00AA2271">
        <w:rPr>
          <w:rStyle w:val="FootnoteReference"/>
          <w:vertAlign w:val="superscript"/>
        </w:rPr>
        <w:footnoteRef/>
      </w:r>
      <w:r w:rsidRPr="00F00F06">
        <w:t xml:space="preserve"> </w:t>
      </w:r>
      <w:r w:rsidRPr="00F00F06">
        <w:rPr>
          <w:color w:val="222222"/>
          <w:shd w:val="clear" w:color="auto" w:fill="FFFFFF"/>
        </w:rPr>
        <w:t>Borson, Soo, et al. "The Mini-Cog: a cognitive</w:t>
      </w:r>
      <w:r>
        <w:rPr>
          <w:color w:val="222222"/>
          <w:shd w:val="clear" w:color="auto" w:fill="FFFFFF"/>
        </w:rPr>
        <w:t xml:space="preserve"> </w:t>
      </w:r>
      <w:r w:rsidRPr="00F00F06">
        <w:rPr>
          <w:color w:val="222222"/>
          <w:shd w:val="clear" w:color="auto" w:fill="FFFFFF"/>
        </w:rPr>
        <w:t>‘vital signs’ measure for dementia screening in multi-lingual elderly."</w:t>
      </w:r>
      <w:r w:rsidRPr="00F00F06">
        <w:rPr>
          <w:rStyle w:val="apple-converted-space"/>
          <w:color w:val="222222"/>
          <w:shd w:val="clear" w:color="auto" w:fill="FFFFFF"/>
        </w:rPr>
        <w:t> </w:t>
      </w:r>
      <w:r w:rsidRPr="00F00F06">
        <w:rPr>
          <w:i/>
          <w:iCs/>
          <w:color w:val="222222"/>
          <w:shd w:val="clear" w:color="auto" w:fill="FFFFFF"/>
        </w:rPr>
        <w:t>International journal of geriatric psychiatry</w:t>
      </w:r>
      <w:r w:rsidRPr="00F00F06">
        <w:rPr>
          <w:rStyle w:val="apple-converted-space"/>
          <w:color w:val="222222"/>
          <w:shd w:val="clear" w:color="auto" w:fill="FFFFFF"/>
        </w:rPr>
        <w:t> </w:t>
      </w:r>
      <w:r w:rsidRPr="00F00F06">
        <w:rPr>
          <w:color w:val="222222"/>
          <w:shd w:val="clear" w:color="auto" w:fill="FFFFFF"/>
        </w:rPr>
        <w:t>15.11 (2000): 1021-1027.</w:t>
      </w:r>
    </w:p>
  </w:footnote>
  <w:footnote w:id="14">
    <w:p w14:paraId="72B8A189" w14:textId="77777777" w:rsidR="009930C3" w:rsidRPr="00F00F06" w:rsidRDefault="009930C3" w:rsidP="0060568F">
      <w:pPr>
        <w:pStyle w:val="FootnoteText"/>
      </w:pPr>
      <w:r w:rsidRPr="00AA2271">
        <w:rPr>
          <w:rStyle w:val="FootnoteReference"/>
          <w:vertAlign w:val="superscript"/>
        </w:rPr>
        <w:footnoteRef/>
      </w:r>
      <w:r w:rsidRPr="00F00F06">
        <w:t xml:space="preserve"> </w:t>
      </w:r>
      <w:r w:rsidRPr="00F00F06">
        <w:rPr>
          <w:color w:val="222222"/>
          <w:shd w:val="clear" w:color="auto" w:fill="FFFFFF"/>
        </w:rPr>
        <w:t>Spitzer, Robert L., et al. "A brief measure for assessing generalized anxiety disorder: the GAD-7."</w:t>
      </w:r>
      <w:r w:rsidRPr="00F00F06">
        <w:rPr>
          <w:rStyle w:val="apple-converted-space"/>
          <w:color w:val="222222"/>
          <w:shd w:val="clear" w:color="auto" w:fill="FFFFFF"/>
        </w:rPr>
        <w:t> </w:t>
      </w:r>
      <w:r w:rsidRPr="00F00F06">
        <w:rPr>
          <w:i/>
          <w:iCs/>
          <w:color w:val="222222"/>
          <w:shd w:val="clear" w:color="auto" w:fill="FFFFFF"/>
        </w:rPr>
        <w:t>Archives of internal medicine</w:t>
      </w:r>
      <w:r w:rsidRPr="00F00F06">
        <w:rPr>
          <w:rStyle w:val="apple-converted-space"/>
          <w:color w:val="222222"/>
          <w:shd w:val="clear" w:color="auto" w:fill="FFFFFF"/>
        </w:rPr>
        <w:t> </w:t>
      </w:r>
      <w:r w:rsidRPr="00F00F06">
        <w:rPr>
          <w:color w:val="222222"/>
          <w:shd w:val="clear" w:color="auto" w:fill="FFFFFF"/>
        </w:rPr>
        <w:t>166.10 (2006): 1092-1097.</w:t>
      </w:r>
    </w:p>
  </w:footnote>
  <w:footnote w:id="15">
    <w:p w14:paraId="301A01AD" w14:textId="77777777" w:rsidR="009930C3" w:rsidRPr="00B10193" w:rsidRDefault="009930C3" w:rsidP="0060568F">
      <w:pPr>
        <w:pStyle w:val="FootnoteText"/>
      </w:pPr>
      <w:r w:rsidRPr="00AA2271">
        <w:rPr>
          <w:rStyle w:val="FootnoteReference"/>
          <w:vertAlign w:val="superscript"/>
        </w:rPr>
        <w:footnoteRef/>
      </w:r>
      <w:r w:rsidRPr="00AA2271">
        <w:rPr>
          <w:rStyle w:val="FootnoteReference"/>
          <w:vertAlign w:val="superscript"/>
        </w:rPr>
        <w:t xml:space="preserve"> </w:t>
      </w:r>
      <w:r>
        <w:t xml:space="preserve">Blow F.C., Brower K.J., Schulenberg J.E., et al. “The Michigan Alcoholism Screening Test- Geriatric Version (MAST-G): a new elderly-specific screening instrument.” </w:t>
      </w:r>
      <w:r>
        <w:rPr>
          <w:i/>
        </w:rPr>
        <w:t xml:space="preserve">Alcoholism Clin Exp Res, </w:t>
      </w:r>
      <w:r>
        <w:t>16</w:t>
      </w:r>
      <w:r>
        <w:rPr>
          <w:i/>
        </w:rPr>
        <w:t xml:space="preserve"> </w:t>
      </w:r>
      <w:r>
        <w:t xml:space="preserve">(1992): 372.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3DB"/>
    <w:multiLevelType w:val="hybridMultilevel"/>
    <w:tmpl w:val="5FF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42D82"/>
    <w:multiLevelType w:val="hybridMultilevel"/>
    <w:tmpl w:val="3294B98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nsid w:val="14890FD7"/>
    <w:multiLevelType w:val="hybridMultilevel"/>
    <w:tmpl w:val="E0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62E42"/>
    <w:multiLevelType w:val="hybridMultilevel"/>
    <w:tmpl w:val="B0D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6CFD"/>
    <w:multiLevelType w:val="hybridMultilevel"/>
    <w:tmpl w:val="0EE6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66557"/>
    <w:multiLevelType w:val="hybridMultilevel"/>
    <w:tmpl w:val="2DE61752"/>
    <w:lvl w:ilvl="0" w:tplc="04090001">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7530A"/>
    <w:multiLevelType w:val="hybridMultilevel"/>
    <w:tmpl w:val="C6D2E5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3FD2648"/>
    <w:multiLevelType w:val="hybridMultilevel"/>
    <w:tmpl w:val="761235B8"/>
    <w:lvl w:ilvl="0" w:tplc="F606E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E5CAF"/>
    <w:multiLevelType w:val="hybridMultilevel"/>
    <w:tmpl w:val="BAF0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160A7"/>
    <w:multiLevelType w:val="hybridMultilevel"/>
    <w:tmpl w:val="EE2CC0DE"/>
    <w:lvl w:ilvl="0" w:tplc="A8AEB60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4FD44602"/>
    <w:multiLevelType w:val="hybridMultilevel"/>
    <w:tmpl w:val="092C556A"/>
    <w:lvl w:ilvl="0" w:tplc="F6DCDB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85981"/>
    <w:multiLevelType w:val="hybridMultilevel"/>
    <w:tmpl w:val="FE56E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60F18"/>
    <w:multiLevelType w:val="hybridMultilevel"/>
    <w:tmpl w:val="9E2C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B29AE"/>
    <w:multiLevelType w:val="hybridMultilevel"/>
    <w:tmpl w:val="6DC8EDA2"/>
    <w:lvl w:ilvl="0" w:tplc="A8AEB60E">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ED20324"/>
    <w:multiLevelType w:val="hybridMultilevel"/>
    <w:tmpl w:val="B06E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14"/>
  </w:num>
  <w:num w:numId="5">
    <w:abstractNumId w:val="8"/>
  </w:num>
  <w:num w:numId="6">
    <w:abstractNumId w:val="10"/>
  </w:num>
  <w:num w:numId="7">
    <w:abstractNumId w:val="7"/>
  </w:num>
  <w:num w:numId="8">
    <w:abstractNumId w:val="0"/>
  </w:num>
  <w:num w:numId="9">
    <w:abstractNumId w:val="1"/>
  </w:num>
  <w:num w:numId="10">
    <w:abstractNumId w:val="12"/>
  </w:num>
  <w:num w:numId="11">
    <w:abstractNumId w:val="3"/>
  </w:num>
  <w:num w:numId="12">
    <w:abstractNumId w:val="4"/>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M1MTEyBpYGxgYmyqpKMUnFpcnJmfB1JgaFALADh9nZ8tAAAA"/>
  </w:docVars>
  <w:rsids>
    <w:rsidRoot w:val="009C7A4C"/>
    <w:rsid w:val="00056CB1"/>
    <w:rsid w:val="000665DE"/>
    <w:rsid w:val="00070BB7"/>
    <w:rsid w:val="0009390E"/>
    <w:rsid w:val="000B25A4"/>
    <w:rsid w:val="000B4C1F"/>
    <w:rsid w:val="000C3666"/>
    <w:rsid w:val="000C5810"/>
    <w:rsid w:val="000C7475"/>
    <w:rsid w:val="000D137F"/>
    <w:rsid w:val="000F13EF"/>
    <w:rsid w:val="00100667"/>
    <w:rsid w:val="001370F7"/>
    <w:rsid w:val="00154343"/>
    <w:rsid w:val="0016279E"/>
    <w:rsid w:val="00177A59"/>
    <w:rsid w:val="001A7245"/>
    <w:rsid w:val="001D5CB5"/>
    <w:rsid w:val="001D7A2E"/>
    <w:rsid w:val="002749FE"/>
    <w:rsid w:val="00274E55"/>
    <w:rsid w:val="00274FEF"/>
    <w:rsid w:val="00275F8A"/>
    <w:rsid w:val="00285DA3"/>
    <w:rsid w:val="002A175C"/>
    <w:rsid w:val="002A765F"/>
    <w:rsid w:val="002E7F1E"/>
    <w:rsid w:val="002F1441"/>
    <w:rsid w:val="003B0192"/>
    <w:rsid w:val="003C5BBA"/>
    <w:rsid w:val="003D349A"/>
    <w:rsid w:val="003E2649"/>
    <w:rsid w:val="00416327"/>
    <w:rsid w:val="0042786C"/>
    <w:rsid w:val="004439EA"/>
    <w:rsid w:val="00447F38"/>
    <w:rsid w:val="0045235C"/>
    <w:rsid w:val="00461151"/>
    <w:rsid w:val="00473DD2"/>
    <w:rsid w:val="004A489A"/>
    <w:rsid w:val="004B3A92"/>
    <w:rsid w:val="004D6F26"/>
    <w:rsid w:val="005170AA"/>
    <w:rsid w:val="00524E55"/>
    <w:rsid w:val="005A285A"/>
    <w:rsid w:val="005A5B0B"/>
    <w:rsid w:val="005B103E"/>
    <w:rsid w:val="005C0A44"/>
    <w:rsid w:val="005E6092"/>
    <w:rsid w:val="005F77FB"/>
    <w:rsid w:val="00601E68"/>
    <w:rsid w:val="0060568F"/>
    <w:rsid w:val="00670BB4"/>
    <w:rsid w:val="00692F34"/>
    <w:rsid w:val="006B0893"/>
    <w:rsid w:val="006B6F45"/>
    <w:rsid w:val="006D2085"/>
    <w:rsid w:val="006F55CF"/>
    <w:rsid w:val="00716AAB"/>
    <w:rsid w:val="007217FF"/>
    <w:rsid w:val="0076746B"/>
    <w:rsid w:val="0079008D"/>
    <w:rsid w:val="00791D61"/>
    <w:rsid w:val="007A125D"/>
    <w:rsid w:val="007A3F0F"/>
    <w:rsid w:val="007B271B"/>
    <w:rsid w:val="007E276A"/>
    <w:rsid w:val="007E49D1"/>
    <w:rsid w:val="007E630C"/>
    <w:rsid w:val="00823CC8"/>
    <w:rsid w:val="00830E0A"/>
    <w:rsid w:val="0083138A"/>
    <w:rsid w:val="008360BB"/>
    <w:rsid w:val="00840C1E"/>
    <w:rsid w:val="00841718"/>
    <w:rsid w:val="00847C8F"/>
    <w:rsid w:val="008510A5"/>
    <w:rsid w:val="008640BD"/>
    <w:rsid w:val="0088350E"/>
    <w:rsid w:val="008A7192"/>
    <w:rsid w:val="008C2DEB"/>
    <w:rsid w:val="008F2381"/>
    <w:rsid w:val="008F51E8"/>
    <w:rsid w:val="008F71B8"/>
    <w:rsid w:val="00914CEF"/>
    <w:rsid w:val="0092659B"/>
    <w:rsid w:val="009415A8"/>
    <w:rsid w:val="009555B5"/>
    <w:rsid w:val="0096027D"/>
    <w:rsid w:val="00971637"/>
    <w:rsid w:val="0097402E"/>
    <w:rsid w:val="0097685D"/>
    <w:rsid w:val="00982BDC"/>
    <w:rsid w:val="009930C3"/>
    <w:rsid w:val="009A3B91"/>
    <w:rsid w:val="009B3490"/>
    <w:rsid w:val="009C7A4C"/>
    <w:rsid w:val="009D1EDD"/>
    <w:rsid w:val="009D69CD"/>
    <w:rsid w:val="009E22D1"/>
    <w:rsid w:val="009E3BA9"/>
    <w:rsid w:val="009E5F5B"/>
    <w:rsid w:val="009E6DC9"/>
    <w:rsid w:val="00A24F6B"/>
    <w:rsid w:val="00A43A98"/>
    <w:rsid w:val="00A56194"/>
    <w:rsid w:val="00A642CE"/>
    <w:rsid w:val="00A67C92"/>
    <w:rsid w:val="00A70540"/>
    <w:rsid w:val="00A727A1"/>
    <w:rsid w:val="00A81117"/>
    <w:rsid w:val="00A830CB"/>
    <w:rsid w:val="00A857D9"/>
    <w:rsid w:val="00AA2271"/>
    <w:rsid w:val="00AB3DF9"/>
    <w:rsid w:val="00AD08FB"/>
    <w:rsid w:val="00AE4E03"/>
    <w:rsid w:val="00B03231"/>
    <w:rsid w:val="00B41375"/>
    <w:rsid w:val="00B430F7"/>
    <w:rsid w:val="00B97A25"/>
    <w:rsid w:val="00BB2F82"/>
    <w:rsid w:val="00BD1359"/>
    <w:rsid w:val="00BE1A59"/>
    <w:rsid w:val="00BE24E5"/>
    <w:rsid w:val="00BE5284"/>
    <w:rsid w:val="00BF5276"/>
    <w:rsid w:val="00BF6C77"/>
    <w:rsid w:val="00C06F5B"/>
    <w:rsid w:val="00C10910"/>
    <w:rsid w:val="00C17641"/>
    <w:rsid w:val="00C32EF8"/>
    <w:rsid w:val="00C46E82"/>
    <w:rsid w:val="00C507BF"/>
    <w:rsid w:val="00C50F85"/>
    <w:rsid w:val="00C53401"/>
    <w:rsid w:val="00C80C8B"/>
    <w:rsid w:val="00CA709B"/>
    <w:rsid w:val="00CB12EA"/>
    <w:rsid w:val="00CB3A49"/>
    <w:rsid w:val="00CB42FA"/>
    <w:rsid w:val="00CC6522"/>
    <w:rsid w:val="00CD0692"/>
    <w:rsid w:val="00CE17D5"/>
    <w:rsid w:val="00CE5496"/>
    <w:rsid w:val="00CE5653"/>
    <w:rsid w:val="00CE6D17"/>
    <w:rsid w:val="00CF384C"/>
    <w:rsid w:val="00D13CF4"/>
    <w:rsid w:val="00D33B3C"/>
    <w:rsid w:val="00D370AE"/>
    <w:rsid w:val="00D37DD8"/>
    <w:rsid w:val="00D933F5"/>
    <w:rsid w:val="00DC31AA"/>
    <w:rsid w:val="00DD2DE1"/>
    <w:rsid w:val="00DE2EE8"/>
    <w:rsid w:val="00E11521"/>
    <w:rsid w:val="00E13C3B"/>
    <w:rsid w:val="00E354A7"/>
    <w:rsid w:val="00E5477B"/>
    <w:rsid w:val="00E7008B"/>
    <w:rsid w:val="00EB0CA7"/>
    <w:rsid w:val="00EE0403"/>
    <w:rsid w:val="00EF512B"/>
    <w:rsid w:val="00F00C07"/>
    <w:rsid w:val="00F049ED"/>
    <w:rsid w:val="00F21701"/>
    <w:rsid w:val="00F24D56"/>
    <w:rsid w:val="00F26B24"/>
    <w:rsid w:val="00F368CD"/>
    <w:rsid w:val="00F95CDC"/>
    <w:rsid w:val="00FA1644"/>
    <w:rsid w:val="00FD3503"/>
    <w:rsid w:val="00FD363A"/>
    <w:rsid w:val="00FD3F5C"/>
    <w:rsid w:val="00FD5C53"/>
    <w:rsid w:val="00FE31F0"/>
    <w:rsid w:val="00FF6AD5"/>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2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B0893"/>
    <w:rPr>
      <w:sz w:val="16"/>
      <w:szCs w:val="16"/>
    </w:rPr>
  </w:style>
  <w:style w:type="paragraph" w:styleId="CommentText">
    <w:name w:val="annotation text"/>
    <w:basedOn w:val="Normal"/>
    <w:link w:val="CommentTextChar"/>
    <w:uiPriority w:val="99"/>
    <w:rsid w:val="006B0893"/>
    <w:rPr>
      <w:szCs w:val="20"/>
    </w:rPr>
  </w:style>
  <w:style w:type="character" w:customStyle="1" w:styleId="CommentTextChar">
    <w:name w:val="Comment Text Char"/>
    <w:basedOn w:val="DefaultParagraphFont"/>
    <w:link w:val="CommentText"/>
    <w:uiPriority w:val="99"/>
    <w:rsid w:val="006B0893"/>
  </w:style>
  <w:style w:type="paragraph" w:styleId="CommentSubject">
    <w:name w:val="annotation subject"/>
    <w:basedOn w:val="CommentText"/>
    <w:next w:val="CommentText"/>
    <w:link w:val="CommentSubjectChar"/>
    <w:rsid w:val="006B0893"/>
    <w:rPr>
      <w:b/>
      <w:bCs/>
    </w:rPr>
  </w:style>
  <w:style w:type="character" w:customStyle="1" w:styleId="CommentSubjectChar">
    <w:name w:val="Comment Subject Char"/>
    <w:link w:val="CommentSubject"/>
    <w:rsid w:val="006B0893"/>
    <w:rPr>
      <w:b/>
      <w:bCs/>
    </w:rPr>
  </w:style>
  <w:style w:type="paragraph" w:styleId="BalloonText">
    <w:name w:val="Balloon Text"/>
    <w:basedOn w:val="Normal"/>
    <w:link w:val="BalloonTextChar"/>
    <w:rsid w:val="006B0893"/>
    <w:rPr>
      <w:rFonts w:ascii="Tahoma" w:hAnsi="Tahoma" w:cs="Tahoma"/>
      <w:sz w:val="16"/>
      <w:szCs w:val="16"/>
    </w:rPr>
  </w:style>
  <w:style w:type="character" w:customStyle="1" w:styleId="BalloonTextChar">
    <w:name w:val="Balloon Text Char"/>
    <w:link w:val="BalloonText"/>
    <w:rsid w:val="006B0893"/>
    <w:rPr>
      <w:rFonts w:ascii="Tahoma" w:hAnsi="Tahoma" w:cs="Tahoma"/>
      <w:sz w:val="16"/>
      <w:szCs w:val="16"/>
    </w:rPr>
  </w:style>
  <w:style w:type="paragraph" w:styleId="Header">
    <w:name w:val="header"/>
    <w:basedOn w:val="Normal"/>
    <w:link w:val="HeaderChar"/>
    <w:rsid w:val="000665DE"/>
    <w:pPr>
      <w:tabs>
        <w:tab w:val="center" w:pos="4680"/>
        <w:tab w:val="right" w:pos="9360"/>
      </w:tabs>
    </w:pPr>
  </w:style>
  <w:style w:type="character" w:customStyle="1" w:styleId="HeaderChar">
    <w:name w:val="Header Char"/>
    <w:basedOn w:val="DefaultParagraphFont"/>
    <w:link w:val="Header"/>
    <w:rsid w:val="000665DE"/>
    <w:rPr>
      <w:szCs w:val="24"/>
    </w:rPr>
  </w:style>
  <w:style w:type="paragraph" w:styleId="Footer">
    <w:name w:val="footer"/>
    <w:basedOn w:val="Normal"/>
    <w:link w:val="FooterChar"/>
    <w:rsid w:val="000665DE"/>
    <w:pPr>
      <w:tabs>
        <w:tab w:val="center" w:pos="4680"/>
        <w:tab w:val="right" w:pos="9360"/>
      </w:tabs>
    </w:pPr>
  </w:style>
  <w:style w:type="character" w:customStyle="1" w:styleId="FooterChar">
    <w:name w:val="Footer Char"/>
    <w:basedOn w:val="DefaultParagraphFont"/>
    <w:link w:val="Footer"/>
    <w:rsid w:val="000665DE"/>
    <w:rPr>
      <w:szCs w:val="24"/>
    </w:rPr>
  </w:style>
  <w:style w:type="paragraph" w:styleId="ListParagraph">
    <w:name w:val="List Paragraph"/>
    <w:basedOn w:val="Normal"/>
    <w:uiPriority w:val="34"/>
    <w:qFormat/>
    <w:rsid w:val="000C3666"/>
    <w:pPr>
      <w:ind w:left="720"/>
      <w:contextualSpacing/>
    </w:pPr>
  </w:style>
  <w:style w:type="character" w:styleId="Hyperlink">
    <w:name w:val="Hyperlink"/>
    <w:basedOn w:val="DefaultParagraphFont"/>
    <w:uiPriority w:val="99"/>
    <w:unhideWhenUsed/>
    <w:rsid w:val="0083138A"/>
    <w:rPr>
      <w:color w:val="0000FF"/>
      <w:u w:val="single"/>
    </w:rPr>
  </w:style>
  <w:style w:type="character" w:styleId="FootnoteReference">
    <w:name w:val="footnote reference"/>
    <w:uiPriority w:val="99"/>
    <w:qFormat/>
    <w:rsid w:val="00692F34"/>
  </w:style>
  <w:style w:type="table" w:styleId="TableGrid">
    <w:name w:val="Table Grid"/>
    <w:basedOn w:val="TableNormal"/>
    <w:rsid w:val="00692F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92F34"/>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692F34"/>
    <w:rPr>
      <w:sz w:val="18"/>
    </w:rPr>
  </w:style>
  <w:style w:type="character" w:customStyle="1" w:styleId="apple-converted-space">
    <w:name w:val="apple-converted-space"/>
    <w:basedOn w:val="DefaultParagraphFont"/>
    <w:rsid w:val="00692F34"/>
  </w:style>
  <w:style w:type="character" w:customStyle="1" w:styleId="ref-journal">
    <w:name w:val="ref-journal"/>
    <w:basedOn w:val="DefaultParagraphFont"/>
    <w:rsid w:val="000D137F"/>
  </w:style>
  <w:style w:type="character" w:customStyle="1" w:styleId="ref-vol">
    <w:name w:val="ref-vol"/>
    <w:basedOn w:val="DefaultParagraphFont"/>
    <w:rsid w:val="000D137F"/>
  </w:style>
  <w:style w:type="table" w:customStyle="1" w:styleId="GridTable41">
    <w:name w:val="Grid Table 41"/>
    <w:basedOn w:val="TableNormal"/>
    <w:uiPriority w:val="49"/>
    <w:rsid w:val="0060568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B0893"/>
    <w:rPr>
      <w:sz w:val="16"/>
      <w:szCs w:val="16"/>
    </w:rPr>
  </w:style>
  <w:style w:type="paragraph" w:styleId="CommentText">
    <w:name w:val="annotation text"/>
    <w:basedOn w:val="Normal"/>
    <w:link w:val="CommentTextChar"/>
    <w:uiPriority w:val="99"/>
    <w:rsid w:val="006B0893"/>
    <w:rPr>
      <w:szCs w:val="20"/>
    </w:rPr>
  </w:style>
  <w:style w:type="character" w:customStyle="1" w:styleId="CommentTextChar">
    <w:name w:val="Comment Text Char"/>
    <w:basedOn w:val="DefaultParagraphFont"/>
    <w:link w:val="CommentText"/>
    <w:uiPriority w:val="99"/>
    <w:rsid w:val="006B0893"/>
  </w:style>
  <w:style w:type="paragraph" w:styleId="CommentSubject">
    <w:name w:val="annotation subject"/>
    <w:basedOn w:val="CommentText"/>
    <w:next w:val="CommentText"/>
    <w:link w:val="CommentSubjectChar"/>
    <w:rsid w:val="006B0893"/>
    <w:rPr>
      <w:b/>
      <w:bCs/>
    </w:rPr>
  </w:style>
  <w:style w:type="character" w:customStyle="1" w:styleId="CommentSubjectChar">
    <w:name w:val="Comment Subject Char"/>
    <w:link w:val="CommentSubject"/>
    <w:rsid w:val="006B0893"/>
    <w:rPr>
      <w:b/>
      <w:bCs/>
    </w:rPr>
  </w:style>
  <w:style w:type="paragraph" w:styleId="BalloonText">
    <w:name w:val="Balloon Text"/>
    <w:basedOn w:val="Normal"/>
    <w:link w:val="BalloonTextChar"/>
    <w:rsid w:val="006B0893"/>
    <w:rPr>
      <w:rFonts w:ascii="Tahoma" w:hAnsi="Tahoma" w:cs="Tahoma"/>
      <w:sz w:val="16"/>
      <w:szCs w:val="16"/>
    </w:rPr>
  </w:style>
  <w:style w:type="character" w:customStyle="1" w:styleId="BalloonTextChar">
    <w:name w:val="Balloon Text Char"/>
    <w:link w:val="BalloonText"/>
    <w:rsid w:val="006B0893"/>
    <w:rPr>
      <w:rFonts w:ascii="Tahoma" w:hAnsi="Tahoma" w:cs="Tahoma"/>
      <w:sz w:val="16"/>
      <w:szCs w:val="16"/>
    </w:rPr>
  </w:style>
  <w:style w:type="paragraph" w:styleId="Header">
    <w:name w:val="header"/>
    <w:basedOn w:val="Normal"/>
    <w:link w:val="HeaderChar"/>
    <w:rsid w:val="000665DE"/>
    <w:pPr>
      <w:tabs>
        <w:tab w:val="center" w:pos="4680"/>
        <w:tab w:val="right" w:pos="9360"/>
      </w:tabs>
    </w:pPr>
  </w:style>
  <w:style w:type="character" w:customStyle="1" w:styleId="HeaderChar">
    <w:name w:val="Header Char"/>
    <w:basedOn w:val="DefaultParagraphFont"/>
    <w:link w:val="Header"/>
    <w:rsid w:val="000665DE"/>
    <w:rPr>
      <w:szCs w:val="24"/>
    </w:rPr>
  </w:style>
  <w:style w:type="paragraph" w:styleId="Footer">
    <w:name w:val="footer"/>
    <w:basedOn w:val="Normal"/>
    <w:link w:val="FooterChar"/>
    <w:rsid w:val="000665DE"/>
    <w:pPr>
      <w:tabs>
        <w:tab w:val="center" w:pos="4680"/>
        <w:tab w:val="right" w:pos="9360"/>
      </w:tabs>
    </w:pPr>
  </w:style>
  <w:style w:type="character" w:customStyle="1" w:styleId="FooterChar">
    <w:name w:val="Footer Char"/>
    <w:basedOn w:val="DefaultParagraphFont"/>
    <w:link w:val="Footer"/>
    <w:rsid w:val="000665DE"/>
    <w:rPr>
      <w:szCs w:val="24"/>
    </w:rPr>
  </w:style>
  <w:style w:type="paragraph" w:styleId="ListParagraph">
    <w:name w:val="List Paragraph"/>
    <w:basedOn w:val="Normal"/>
    <w:uiPriority w:val="34"/>
    <w:qFormat/>
    <w:rsid w:val="000C3666"/>
    <w:pPr>
      <w:ind w:left="720"/>
      <w:contextualSpacing/>
    </w:pPr>
  </w:style>
  <w:style w:type="character" w:styleId="Hyperlink">
    <w:name w:val="Hyperlink"/>
    <w:basedOn w:val="DefaultParagraphFont"/>
    <w:uiPriority w:val="99"/>
    <w:unhideWhenUsed/>
    <w:rsid w:val="0083138A"/>
    <w:rPr>
      <w:color w:val="0000FF"/>
      <w:u w:val="single"/>
    </w:rPr>
  </w:style>
  <w:style w:type="character" w:styleId="FootnoteReference">
    <w:name w:val="footnote reference"/>
    <w:uiPriority w:val="99"/>
    <w:qFormat/>
    <w:rsid w:val="00692F34"/>
  </w:style>
  <w:style w:type="table" w:styleId="TableGrid">
    <w:name w:val="Table Grid"/>
    <w:basedOn w:val="TableNormal"/>
    <w:rsid w:val="00692F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92F34"/>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692F34"/>
    <w:rPr>
      <w:sz w:val="18"/>
    </w:rPr>
  </w:style>
  <w:style w:type="character" w:customStyle="1" w:styleId="apple-converted-space">
    <w:name w:val="apple-converted-space"/>
    <w:basedOn w:val="DefaultParagraphFont"/>
    <w:rsid w:val="00692F34"/>
  </w:style>
  <w:style w:type="character" w:customStyle="1" w:styleId="ref-journal">
    <w:name w:val="ref-journal"/>
    <w:basedOn w:val="DefaultParagraphFont"/>
    <w:rsid w:val="000D137F"/>
  </w:style>
  <w:style w:type="character" w:customStyle="1" w:styleId="ref-vol">
    <w:name w:val="ref-vol"/>
    <w:basedOn w:val="DefaultParagraphFont"/>
    <w:rsid w:val="000D137F"/>
  </w:style>
  <w:style w:type="table" w:customStyle="1" w:styleId="GridTable41">
    <w:name w:val="Grid Table 41"/>
    <w:basedOn w:val="TableNormal"/>
    <w:uiPriority w:val="49"/>
    <w:rsid w:val="0060568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845">
      <w:bodyDiv w:val="1"/>
      <w:marLeft w:val="0"/>
      <w:marRight w:val="0"/>
      <w:marTop w:val="0"/>
      <w:marBottom w:val="0"/>
      <w:divBdr>
        <w:top w:val="none" w:sz="0" w:space="0" w:color="auto"/>
        <w:left w:val="none" w:sz="0" w:space="0" w:color="auto"/>
        <w:bottom w:val="none" w:sz="0" w:space="0" w:color="auto"/>
        <w:right w:val="none" w:sz="0" w:space="0" w:color="auto"/>
      </w:divBdr>
    </w:div>
    <w:div w:id="1100417568">
      <w:bodyDiv w:val="1"/>
      <w:marLeft w:val="0"/>
      <w:marRight w:val="0"/>
      <w:marTop w:val="0"/>
      <w:marBottom w:val="0"/>
      <w:divBdr>
        <w:top w:val="none" w:sz="0" w:space="0" w:color="auto"/>
        <w:left w:val="none" w:sz="0" w:space="0" w:color="auto"/>
        <w:bottom w:val="none" w:sz="0" w:space="0" w:color="auto"/>
        <w:right w:val="none" w:sz="0" w:space="0" w:color="auto"/>
      </w:divBdr>
    </w:div>
    <w:div w:id="1917978545">
      <w:bodyDiv w:val="1"/>
      <w:marLeft w:val="0"/>
      <w:marRight w:val="0"/>
      <w:marTop w:val="0"/>
      <w:marBottom w:val="0"/>
      <w:divBdr>
        <w:top w:val="none" w:sz="0" w:space="0" w:color="auto"/>
        <w:left w:val="none" w:sz="0" w:space="0" w:color="auto"/>
        <w:bottom w:val="none" w:sz="0" w:space="0" w:color="auto"/>
        <w:right w:val="none" w:sz="0" w:space="0" w:color="auto"/>
      </w:divBdr>
    </w:div>
    <w:div w:id="19271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BCDF-1138-4BB7-9FF0-0320DDD6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SYSTEM</cp:lastModifiedBy>
  <cp:revision>2</cp:revision>
  <cp:lastPrinted>2017-10-05T16:22:00Z</cp:lastPrinted>
  <dcterms:created xsi:type="dcterms:W3CDTF">2018-02-15T19:05:00Z</dcterms:created>
  <dcterms:modified xsi:type="dcterms:W3CDTF">2018-02-15T19:05:00Z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