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36A77" w14:textId="791B879E" w:rsidR="00785C7F" w:rsidRPr="00785C7F" w:rsidRDefault="00785C7F" w:rsidP="00785C7F">
      <w:pPr>
        <w:rPr>
          <w:b/>
          <w:sz w:val="24"/>
          <w:szCs w:val="24"/>
        </w:rPr>
      </w:pPr>
      <w:r>
        <w:rPr>
          <w:b/>
          <w:sz w:val="24"/>
          <w:szCs w:val="24"/>
        </w:rPr>
        <w:t>Supporting</w:t>
      </w:r>
      <w:r w:rsidRPr="00785C7F">
        <w:rPr>
          <w:b/>
          <w:sz w:val="24"/>
          <w:szCs w:val="24"/>
        </w:rPr>
        <w:t xml:space="preserve"> </w:t>
      </w:r>
      <w:r w:rsidR="0001010D">
        <w:rPr>
          <w:b/>
          <w:sz w:val="24"/>
          <w:szCs w:val="24"/>
        </w:rPr>
        <w:t>Statement for</w:t>
      </w:r>
      <w:r>
        <w:rPr>
          <w:b/>
          <w:sz w:val="24"/>
          <w:szCs w:val="24"/>
        </w:rPr>
        <w:t xml:space="preserve"> the </w:t>
      </w:r>
      <w:r w:rsidRPr="00785C7F">
        <w:rPr>
          <w:b/>
          <w:sz w:val="24"/>
          <w:szCs w:val="24"/>
        </w:rPr>
        <w:t xml:space="preserve">Census of Users of the National Plant Germplasm System </w:t>
      </w:r>
    </w:p>
    <w:p w14:paraId="717821B5" w14:textId="77777777" w:rsidR="00785C7F" w:rsidRPr="00785C7F" w:rsidRDefault="00785C7F" w:rsidP="00785C7F">
      <w:pPr>
        <w:rPr>
          <w:b/>
          <w:sz w:val="24"/>
          <w:szCs w:val="24"/>
        </w:rPr>
      </w:pPr>
    </w:p>
    <w:p w14:paraId="25753C5A" w14:textId="3B489BFC" w:rsidR="00785C7F" w:rsidRDefault="00785C7F" w:rsidP="00785C7F">
      <w:pPr>
        <w:rPr>
          <w:b/>
          <w:sz w:val="24"/>
          <w:szCs w:val="24"/>
        </w:rPr>
      </w:pPr>
      <w:r w:rsidRPr="00785C7F">
        <w:rPr>
          <w:b/>
          <w:sz w:val="24"/>
          <w:szCs w:val="24"/>
        </w:rPr>
        <w:t>OMBC Control No. 0536-XXXX</w:t>
      </w:r>
    </w:p>
    <w:p w14:paraId="11F7CB2F" w14:textId="77777777" w:rsidR="00785C7F" w:rsidRDefault="00785C7F" w:rsidP="00785C7F">
      <w:pPr>
        <w:rPr>
          <w:b/>
          <w:sz w:val="24"/>
          <w:szCs w:val="24"/>
        </w:rPr>
      </w:pPr>
    </w:p>
    <w:p w14:paraId="6295E8E2" w14:textId="77777777" w:rsidR="00785C7F" w:rsidRDefault="00785C7F" w:rsidP="00785C7F">
      <w:pPr>
        <w:rPr>
          <w:b/>
          <w:sz w:val="24"/>
          <w:szCs w:val="24"/>
        </w:rPr>
      </w:pPr>
      <w:r>
        <w:rPr>
          <w:b/>
          <w:sz w:val="24"/>
          <w:szCs w:val="24"/>
        </w:rPr>
        <w:t>Part A: Justification</w:t>
      </w:r>
    </w:p>
    <w:p w14:paraId="1770E52A" w14:textId="77777777" w:rsidR="00785C7F" w:rsidRDefault="00785C7F" w:rsidP="00785C7F">
      <w:pPr>
        <w:rPr>
          <w:b/>
          <w:sz w:val="24"/>
          <w:szCs w:val="24"/>
        </w:rPr>
      </w:pPr>
    </w:p>
    <w:p w14:paraId="5F4427C9" w14:textId="11B8E359" w:rsidR="00785C7F" w:rsidRDefault="00083E1F" w:rsidP="00785C7F">
      <w:pPr>
        <w:rPr>
          <w:b/>
          <w:sz w:val="24"/>
          <w:szCs w:val="24"/>
        </w:rPr>
      </w:pPr>
      <w:r>
        <w:rPr>
          <w:b/>
          <w:sz w:val="24"/>
          <w:szCs w:val="24"/>
        </w:rPr>
        <w:t xml:space="preserve">April 7, </w:t>
      </w:r>
      <w:r w:rsidR="006F3283">
        <w:rPr>
          <w:b/>
          <w:sz w:val="24"/>
          <w:szCs w:val="24"/>
        </w:rPr>
        <w:t>2017</w:t>
      </w:r>
      <w:r w:rsidR="00785C7F">
        <w:rPr>
          <w:b/>
          <w:sz w:val="24"/>
          <w:szCs w:val="24"/>
        </w:rPr>
        <w:t xml:space="preserve"> </w:t>
      </w:r>
    </w:p>
    <w:p w14:paraId="12FB48AC" w14:textId="77777777" w:rsidR="00785C7F" w:rsidRDefault="00785C7F" w:rsidP="00785C7F">
      <w:pPr>
        <w:jc w:val="center"/>
        <w:rPr>
          <w:b/>
          <w:sz w:val="24"/>
          <w:szCs w:val="24"/>
        </w:rPr>
      </w:pPr>
    </w:p>
    <w:p w14:paraId="523EC468" w14:textId="77777777" w:rsidR="00785C7F" w:rsidRDefault="00785C7F" w:rsidP="00785C7F">
      <w:pPr>
        <w:jc w:val="center"/>
        <w:rPr>
          <w:b/>
          <w:sz w:val="24"/>
          <w:szCs w:val="24"/>
        </w:rPr>
      </w:pPr>
      <w:r>
        <w:rPr>
          <w:b/>
          <w:sz w:val="24"/>
          <w:szCs w:val="24"/>
        </w:rPr>
        <w:t>Contents</w:t>
      </w:r>
    </w:p>
    <w:p w14:paraId="6DC1E36E" w14:textId="77777777" w:rsidR="00785C7F" w:rsidRDefault="00785C7F" w:rsidP="00785C7F">
      <w:pPr>
        <w:rPr>
          <w:b/>
          <w:sz w:val="24"/>
          <w:szCs w:val="24"/>
        </w:rPr>
      </w:pPr>
    </w:p>
    <w:p w14:paraId="2D0C72DB" w14:textId="423ED9C3" w:rsidR="00785C7F" w:rsidRPr="00785C7F" w:rsidRDefault="00785C7F" w:rsidP="00785C7F">
      <w:pPr>
        <w:rPr>
          <w:b/>
          <w:sz w:val="24"/>
          <w:szCs w:val="24"/>
        </w:rPr>
      </w:pPr>
      <w:r w:rsidRPr="00785C7F">
        <w:rPr>
          <w:b/>
          <w:sz w:val="24"/>
          <w:szCs w:val="24"/>
        </w:rPr>
        <w:t>Justification</w:t>
      </w:r>
    </w:p>
    <w:p w14:paraId="5577FB08" w14:textId="77777777" w:rsidR="00785C7F" w:rsidRDefault="00785C7F" w:rsidP="00785C7F">
      <w:pPr>
        <w:rPr>
          <w:b/>
          <w:sz w:val="24"/>
          <w:szCs w:val="24"/>
        </w:rPr>
      </w:pPr>
    </w:p>
    <w:p w14:paraId="047F07CA" w14:textId="6EE2E78F" w:rsidR="00785C7F" w:rsidRDefault="00677B38" w:rsidP="00785C7F">
      <w:pPr>
        <w:rPr>
          <w:iCs/>
          <w:sz w:val="24"/>
          <w:szCs w:val="24"/>
        </w:rPr>
      </w:pPr>
      <w:r>
        <w:rPr>
          <w:b/>
          <w:sz w:val="24"/>
          <w:szCs w:val="24"/>
        </w:rPr>
        <w:t xml:space="preserve">Attachment </w:t>
      </w:r>
      <w:r w:rsidR="00785C7F">
        <w:rPr>
          <w:b/>
          <w:sz w:val="24"/>
          <w:szCs w:val="24"/>
        </w:rPr>
        <w:t xml:space="preserve">A: </w:t>
      </w:r>
      <w:r w:rsidR="00785C7F" w:rsidRPr="00322DA7">
        <w:rPr>
          <w:iCs/>
          <w:sz w:val="24"/>
          <w:szCs w:val="24"/>
        </w:rPr>
        <w:t>Leg</w:t>
      </w:r>
      <w:r w:rsidR="00852280">
        <w:rPr>
          <w:iCs/>
          <w:sz w:val="24"/>
          <w:szCs w:val="24"/>
        </w:rPr>
        <w:t>a</w:t>
      </w:r>
      <w:r w:rsidR="00785C7F" w:rsidRPr="00322DA7">
        <w:rPr>
          <w:iCs/>
          <w:sz w:val="24"/>
          <w:szCs w:val="24"/>
        </w:rPr>
        <w:t xml:space="preserve">l </w:t>
      </w:r>
      <w:r w:rsidR="007E1BC7">
        <w:rPr>
          <w:iCs/>
          <w:sz w:val="24"/>
          <w:szCs w:val="24"/>
        </w:rPr>
        <w:t>A</w:t>
      </w:r>
      <w:r w:rsidR="00785C7F" w:rsidRPr="00322DA7">
        <w:rPr>
          <w:iCs/>
          <w:sz w:val="24"/>
          <w:szCs w:val="24"/>
        </w:rPr>
        <w:t xml:space="preserve">uthority for the </w:t>
      </w:r>
      <w:r w:rsidR="007E1BC7">
        <w:rPr>
          <w:iCs/>
          <w:sz w:val="24"/>
          <w:szCs w:val="24"/>
        </w:rPr>
        <w:t>P</w:t>
      </w:r>
      <w:r w:rsidR="00785C7F" w:rsidRPr="00322DA7">
        <w:rPr>
          <w:iCs/>
          <w:sz w:val="24"/>
          <w:szCs w:val="24"/>
        </w:rPr>
        <w:t xml:space="preserve">lanned </w:t>
      </w:r>
      <w:r w:rsidR="007E1BC7">
        <w:rPr>
          <w:iCs/>
          <w:sz w:val="24"/>
          <w:szCs w:val="24"/>
        </w:rPr>
        <w:t>D</w:t>
      </w:r>
      <w:r w:rsidR="00785C7F" w:rsidRPr="00322DA7">
        <w:rPr>
          <w:iCs/>
          <w:sz w:val="24"/>
          <w:szCs w:val="24"/>
        </w:rPr>
        <w:t xml:space="preserve">ata </w:t>
      </w:r>
      <w:r w:rsidR="007E1BC7">
        <w:rPr>
          <w:iCs/>
          <w:sz w:val="24"/>
          <w:szCs w:val="24"/>
        </w:rPr>
        <w:t>C</w:t>
      </w:r>
      <w:r w:rsidR="00785C7F" w:rsidRPr="00322DA7">
        <w:rPr>
          <w:iCs/>
          <w:sz w:val="24"/>
          <w:szCs w:val="24"/>
        </w:rPr>
        <w:t xml:space="preserve">ollection </w:t>
      </w:r>
    </w:p>
    <w:p w14:paraId="2CDA90A5" w14:textId="77777777" w:rsidR="0064703E" w:rsidRDefault="0064703E" w:rsidP="00785C7F">
      <w:pPr>
        <w:rPr>
          <w:iCs/>
          <w:sz w:val="24"/>
          <w:szCs w:val="24"/>
        </w:rPr>
      </w:pPr>
    </w:p>
    <w:p w14:paraId="764336A2" w14:textId="11DA5988" w:rsidR="00677B38" w:rsidRDefault="00677B38" w:rsidP="00785C7F">
      <w:pPr>
        <w:rPr>
          <w:iCs/>
          <w:sz w:val="24"/>
          <w:szCs w:val="24"/>
        </w:rPr>
      </w:pPr>
      <w:r>
        <w:rPr>
          <w:b/>
          <w:iCs/>
          <w:sz w:val="24"/>
          <w:szCs w:val="24"/>
        </w:rPr>
        <w:t xml:space="preserve">Attachment </w:t>
      </w:r>
      <w:r w:rsidR="00785C7F" w:rsidRPr="00785C7F">
        <w:rPr>
          <w:b/>
          <w:iCs/>
          <w:sz w:val="24"/>
          <w:szCs w:val="24"/>
        </w:rPr>
        <w:t>B:</w:t>
      </w:r>
      <w:r w:rsidR="00785C7F">
        <w:rPr>
          <w:iCs/>
          <w:sz w:val="24"/>
          <w:szCs w:val="24"/>
        </w:rPr>
        <w:t xml:space="preserve"> </w:t>
      </w:r>
      <w:r>
        <w:rPr>
          <w:iCs/>
          <w:sz w:val="24"/>
          <w:szCs w:val="24"/>
        </w:rPr>
        <w:t>Instrument for Census of Users of the National Plant Germplasm System</w:t>
      </w:r>
    </w:p>
    <w:p w14:paraId="45484A81" w14:textId="77777777" w:rsidR="00677B38" w:rsidRDefault="00677B38" w:rsidP="00785C7F">
      <w:pPr>
        <w:rPr>
          <w:iCs/>
          <w:sz w:val="24"/>
          <w:szCs w:val="24"/>
        </w:rPr>
      </w:pPr>
    </w:p>
    <w:p w14:paraId="172B953F" w14:textId="77777777" w:rsidR="00E14AC6" w:rsidRDefault="00677B38" w:rsidP="00785C7F">
      <w:pPr>
        <w:rPr>
          <w:bCs/>
          <w:sz w:val="24"/>
          <w:szCs w:val="24"/>
        </w:rPr>
      </w:pPr>
      <w:r w:rsidRPr="00F35C6A">
        <w:rPr>
          <w:b/>
          <w:bCs/>
          <w:sz w:val="24"/>
          <w:szCs w:val="24"/>
        </w:rPr>
        <w:t>Attachment C</w:t>
      </w:r>
      <w:r>
        <w:rPr>
          <w:bCs/>
          <w:sz w:val="24"/>
          <w:szCs w:val="24"/>
        </w:rPr>
        <w:t xml:space="preserve">: </w:t>
      </w:r>
      <w:r w:rsidR="00F23C49">
        <w:rPr>
          <w:bCs/>
          <w:sz w:val="24"/>
          <w:szCs w:val="24"/>
        </w:rPr>
        <w:t>60-day Federal Register Notice</w:t>
      </w:r>
    </w:p>
    <w:p w14:paraId="444F571D" w14:textId="77777777" w:rsidR="00E14AC6" w:rsidRDefault="00E14AC6" w:rsidP="00785C7F">
      <w:pPr>
        <w:rPr>
          <w:bCs/>
          <w:sz w:val="24"/>
          <w:szCs w:val="24"/>
        </w:rPr>
      </w:pPr>
    </w:p>
    <w:p w14:paraId="502A9DE8" w14:textId="77777777" w:rsidR="00E14AC6" w:rsidRDefault="00E14AC6" w:rsidP="00E14AC6">
      <w:pPr>
        <w:rPr>
          <w:bCs/>
          <w:sz w:val="24"/>
          <w:szCs w:val="24"/>
        </w:rPr>
      </w:pPr>
      <w:r w:rsidRPr="00E14AC6">
        <w:rPr>
          <w:b/>
          <w:bCs/>
          <w:sz w:val="24"/>
          <w:szCs w:val="24"/>
        </w:rPr>
        <w:t xml:space="preserve">Attachment D: </w:t>
      </w:r>
      <w:r w:rsidRPr="00F35C6A">
        <w:rPr>
          <w:bCs/>
          <w:sz w:val="24"/>
          <w:szCs w:val="24"/>
        </w:rPr>
        <w:t>Calculation of Response Rates</w:t>
      </w:r>
    </w:p>
    <w:p w14:paraId="18DC6EAB" w14:textId="77777777" w:rsidR="00E14AC6" w:rsidRDefault="00E14AC6" w:rsidP="00E14AC6">
      <w:pPr>
        <w:rPr>
          <w:bCs/>
          <w:sz w:val="24"/>
          <w:szCs w:val="24"/>
        </w:rPr>
      </w:pPr>
    </w:p>
    <w:p w14:paraId="5B8E48EC" w14:textId="4A8F91FD" w:rsidR="00E14AC6" w:rsidRDefault="00E14AC6" w:rsidP="00E14AC6">
      <w:pPr>
        <w:rPr>
          <w:bCs/>
          <w:sz w:val="24"/>
          <w:szCs w:val="24"/>
        </w:rPr>
      </w:pPr>
      <w:r w:rsidRPr="00F35C6A">
        <w:rPr>
          <w:b/>
          <w:bCs/>
          <w:sz w:val="24"/>
          <w:szCs w:val="24"/>
        </w:rPr>
        <w:t>Attachment E</w:t>
      </w:r>
      <w:r>
        <w:rPr>
          <w:bCs/>
          <w:sz w:val="24"/>
          <w:szCs w:val="24"/>
        </w:rPr>
        <w:t>: Calculation of Burden Hours</w:t>
      </w:r>
    </w:p>
    <w:p w14:paraId="77B07493" w14:textId="77777777" w:rsidR="00EA6F3C" w:rsidRDefault="00EA6F3C" w:rsidP="00E14AC6">
      <w:pPr>
        <w:rPr>
          <w:bCs/>
          <w:sz w:val="24"/>
          <w:szCs w:val="24"/>
        </w:rPr>
      </w:pPr>
    </w:p>
    <w:p w14:paraId="47752DED" w14:textId="58FF8E9A" w:rsidR="00EA6F3C" w:rsidRDefault="00EA6F3C" w:rsidP="00E14AC6">
      <w:pPr>
        <w:rPr>
          <w:bCs/>
          <w:sz w:val="24"/>
          <w:szCs w:val="24"/>
        </w:rPr>
      </w:pPr>
      <w:r w:rsidRPr="00EA6F3C">
        <w:rPr>
          <w:b/>
          <w:bCs/>
          <w:sz w:val="24"/>
          <w:szCs w:val="24"/>
        </w:rPr>
        <w:t>Attachment F:</w:t>
      </w:r>
      <w:r w:rsidRPr="00EA6F3C">
        <w:rPr>
          <w:bCs/>
          <w:sz w:val="24"/>
          <w:szCs w:val="24"/>
        </w:rPr>
        <w:t xml:space="preserve"> NASS review of Census of Users of the National Plant Germplasm System</w:t>
      </w:r>
      <w:r>
        <w:rPr>
          <w:bCs/>
          <w:sz w:val="24"/>
          <w:szCs w:val="24"/>
        </w:rPr>
        <w:t xml:space="preserve"> with response</w:t>
      </w:r>
      <w:r w:rsidR="006A338D">
        <w:rPr>
          <w:bCs/>
          <w:sz w:val="24"/>
          <w:szCs w:val="24"/>
        </w:rPr>
        <w:t>s</w:t>
      </w:r>
      <w:r>
        <w:rPr>
          <w:bCs/>
          <w:sz w:val="24"/>
          <w:szCs w:val="24"/>
        </w:rPr>
        <w:t xml:space="preserve"> from the Economic Research Service </w:t>
      </w:r>
    </w:p>
    <w:p w14:paraId="47EC815B" w14:textId="77777777" w:rsidR="001E1199" w:rsidRDefault="001E1199" w:rsidP="00E14AC6">
      <w:pPr>
        <w:rPr>
          <w:bCs/>
          <w:sz w:val="24"/>
          <w:szCs w:val="24"/>
        </w:rPr>
      </w:pPr>
    </w:p>
    <w:p w14:paraId="0F857498" w14:textId="218E5977" w:rsidR="00B82DB5" w:rsidRDefault="00B82DB5" w:rsidP="005E413E">
      <w:pPr>
        <w:jc w:val="center"/>
        <w:rPr>
          <w:b/>
          <w:sz w:val="24"/>
          <w:szCs w:val="24"/>
        </w:rPr>
      </w:pPr>
    </w:p>
    <w:p w14:paraId="7AAB8CE5" w14:textId="77777777" w:rsidR="00071F56" w:rsidRPr="00322DA7" w:rsidRDefault="00071F56" w:rsidP="009A3085">
      <w:pPr>
        <w:rPr>
          <w:b/>
          <w:sz w:val="24"/>
          <w:szCs w:val="24"/>
        </w:rPr>
      </w:pPr>
      <w:r w:rsidRPr="00322DA7">
        <w:rPr>
          <w:b/>
          <w:sz w:val="24"/>
          <w:szCs w:val="24"/>
        </w:rPr>
        <w:t>A.  Justification</w:t>
      </w:r>
    </w:p>
    <w:p w14:paraId="224923BB" w14:textId="77777777" w:rsidR="00071F56" w:rsidRPr="00322DA7" w:rsidRDefault="00071F56" w:rsidP="009A3085">
      <w:pPr>
        <w:rPr>
          <w:b/>
          <w:sz w:val="24"/>
          <w:szCs w:val="24"/>
        </w:rPr>
      </w:pPr>
    </w:p>
    <w:p w14:paraId="6AEC8995" w14:textId="77777777" w:rsidR="00071F56" w:rsidRPr="00322DA7" w:rsidRDefault="00071F56" w:rsidP="00781C14">
      <w:pPr>
        <w:numPr>
          <w:ilvl w:val="0"/>
          <w:numId w:val="22"/>
        </w:numPr>
        <w:rPr>
          <w:b/>
          <w:sz w:val="24"/>
          <w:szCs w:val="24"/>
        </w:rPr>
      </w:pPr>
      <w:r w:rsidRPr="00322DA7">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F67125E" w14:textId="77777777" w:rsidR="00781C14" w:rsidRPr="00322DA7" w:rsidRDefault="00781C14" w:rsidP="00781C14">
      <w:pPr>
        <w:rPr>
          <w:b/>
          <w:sz w:val="24"/>
          <w:szCs w:val="24"/>
        </w:rPr>
      </w:pPr>
    </w:p>
    <w:p w14:paraId="00384FBB" w14:textId="0D8E1073" w:rsidR="00FC4F6C" w:rsidRPr="00F35C6A" w:rsidRDefault="00557B16" w:rsidP="00765A8F">
      <w:pPr>
        <w:pStyle w:val="HTMLPreformatted"/>
        <w:rPr>
          <w:rFonts w:ascii="Times New Roman" w:hAnsi="Times New Roman"/>
          <w:iCs/>
          <w:sz w:val="24"/>
          <w:szCs w:val="24"/>
          <w:lang w:val="en-US"/>
        </w:rPr>
      </w:pPr>
      <w:r w:rsidRPr="00322DA7">
        <w:rPr>
          <w:rFonts w:ascii="Times New Roman" w:hAnsi="Times New Roman"/>
          <w:iCs/>
          <w:sz w:val="24"/>
          <w:szCs w:val="24"/>
        </w:rPr>
        <w:t xml:space="preserve">Agricultural productivity depends heavily on </w:t>
      </w:r>
      <w:r w:rsidR="00C97D7E">
        <w:rPr>
          <w:rFonts w:ascii="Times New Roman" w:hAnsi="Times New Roman"/>
          <w:iCs/>
          <w:sz w:val="24"/>
          <w:szCs w:val="24"/>
          <w:lang w:val="en-US"/>
        </w:rPr>
        <w:t xml:space="preserve">the </w:t>
      </w:r>
      <w:r w:rsidRPr="00322DA7">
        <w:rPr>
          <w:rFonts w:ascii="Times New Roman" w:hAnsi="Times New Roman"/>
          <w:iCs/>
          <w:sz w:val="24"/>
          <w:szCs w:val="24"/>
        </w:rPr>
        <w:t xml:space="preserve">process of genetic enhancement, i.e., </w:t>
      </w:r>
      <w:r w:rsidR="00322DA7" w:rsidRPr="00322DA7">
        <w:rPr>
          <w:rFonts w:ascii="Times New Roman" w:hAnsi="Times New Roman"/>
          <w:iCs/>
          <w:sz w:val="24"/>
          <w:szCs w:val="24"/>
        </w:rPr>
        <w:t xml:space="preserve">the use of </w:t>
      </w:r>
      <w:r w:rsidRPr="00322DA7">
        <w:rPr>
          <w:rFonts w:ascii="Times New Roman" w:hAnsi="Times New Roman"/>
          <w:iCs/>
          <w:sz w:val="24"/>
          <w:szCs w:val="24"/>
        </w:rPr>
        <w:t xml:space="preserve">genetic materials </w:t>
      </w:r>
      <w:r w:rsidR="00C65166">
        <w:rPr>
          <w:rFonts w:ascii="Times New Roman" w:hAnsi="Times New Roman"/>
          <w:iCs/>
          <w:sz w:val="24"/>
          <w:szCs w:val="24"/>
        </w:rPr>
        <w:t>for crop improvement</w:t>
      </w:r>
      <w:r w:rsidR="00322DA7" w:rsidRPr="00322DA7">
        <w:rPr>
          <w:rFonts w:ascii="Times New Roman" w:hAnsi="Times New Roman"/>
          <w:iCs/>
          <w:sz w:val="24"/>
          <w:szCs w:val="24"/>
        </w:rPr>
        <w:t>.  The United States hold</w:t>
      </w:r>
      <w:r w:rsidR="00E252A3">
        <w:rPr>
          <w:rFonts w:ascii="Times New Roman" w:hAnsi="Times New Roman"/>
          <w:iCs/>
          <w:sz w:val="24"/>
          <w:szCs w:val="24"/>
          <w:lang w:val="en-US"/>
        </w:rPr>
        <w:t>s</w:t>
      </w:r>
      <w:r w:rsidR="00322DA7" w:rsidRPr="00322DA7">
        <w:rPr>
          <w:rFonts w:ascii="Times New Roman" w:hAnsi="Times New Roman"/>
          <w:iCs/>
          <w:sz w:val="24"/>
          <w:szCs w:val="24"/>
        </w:rPr>
        <w:t xml:space="preserve"> a large and diverse collection of plant genetic resources in The National Plant Germplasm System</w:t>
      </w:r>
      <w:r w:rsidR="0025439E">
        <w:rPr>
          <w:rFonts w:ascii="Times New Roman" w:hAnsi="Times New Roman"/>
          <w:iCs/>
          <w:sz w:val="24"/>
          <w:szCs w:val="24"/>
        </w:rPr>
        <w:t xml:space="preserve"> (NPGS)</w:t>
      </w:r>
      <w:r w:rsidR="00322DA7" w:rsidRPr="00322DA7">
        <w:rPr>
          <w:rFonts w:ascii="Times New Roman" w:hAnsi="Times New Roman"/>
          <w:iCs/>
          <w:sz w:val="24"/>
          <w:szCs w:val="24"/>
        </w:rPr>
        <w:t xml:space="preserve">.  </w:t>
      </w:r>
      <w:r w:rsidR="00FD32CB">
        <w:rPr>
          <w:rFonts w:ascii="Times New Roman" w:hAnsi="Times New Roman"/>
          <w:iCs/>
          <w:sz w:val="24"/>
          <w:szCs w:val="24"/>
        </w:rPr>
        <w:t xml:space="preserve">This multi-institutional network is </w:t>
      </w:r>
      <w:r w:rsidR="0087225C">
        <w:rPr>
          <w:rFonts w:ascii="Times New Roman" w:hAnsi="Times New Roman"/>
          <w:iCs/>
          <w:sz w:val="24"/>
          <w:szCs w:val="24"/>
        </w:rPr>
        <w:t xml:space="preserve">one </w:t>
      </w:r>
      <w:r w:rsidR="00FD32CB">
        <w:rPr>
          <w:rFonts w:ascii="Times New Roman" w:hAnsi="Times New Roman"/>
          <w:iCs/>
          <w:sz w:val="24"/>
          <w:szCs w:val="24"/>
        </w:rPr>
        <w:t xml:space="preserve">of the largest national </w:t>
      </w:r>
      <w:proofErr w:type="spellStart"/>
      <w:r w:rsidR="00FD32CB">
        <w:rPr>
          <w:rFonts w:ascii="Times New Roman" w:hAnsi="Times New Roman"/>
          <w:iCs/>
          <w:sz w:val="24"/>
          <w:szCs w:val="24"/>
        </w:rPr>
        <w:t>genebank</w:t>
      </w:r>
      <w:proofErr w:type="spellEnd"/>
      <w:r w:rsidR="00FD32CB">
        <w:rPr>
          <w:rFonts w:ascii="Times New Roman" w:hAnsi="Times New Roman"/>
          <w:iCs/>
          <w:sz w:val="24"/>
          <w:szCs w:val="24"/>
        </w:rPr>
        <w:t xml:space="preserve"> systems in the world.  </w:t>
      </w:r>
      <w:r w:rsidR="00D94EDD">
        <w:rPr>
          <w:rFonts w:ascii="Times New Roman" w:hAnsi="Times New Roman"/>
          <w:iCs/>
          <w:sz w:val="24"/>
          <w:szCs w:val="24"/>
          <w:lang w:val="en-US"/>
        </w:rPr>
        <w:t xml:space="preserve">The mission of the NPGS is support agricultural production </w:t>
      </w:r>
      <w:r w:rsidR="00D94EDD" w:rsidRPr="00D94EDD">
        <w:rPr>
          <w:rFonts w:ascii="Times New Roman" w:hAnsi="Times New Roman"/>
          <w:iCs/>
          <w:sz w:val="24"/>
          <w:szCs w:val="24"/>
          <w:lang w:val="en-US"/>
        </w:rPr>
        <w:t>by 1) acquiring germplasm</w:t>
      </w:r>
      <w:r w:rsidR="00D94EDD">
        <w:rPr>
          <w:rFonts w:ascii="Times New Roman" w:hAnsi="Times New Roman"/>
          <w:iCs/>
          <w:sz w:val="24"/>
          <w:szCs w:val="24"/>
          <w:lang w:val="en-US"/>
        </w:rPr>
        <w:t>;</w:t>
      </w:r>
      <w:r w:rsidR="00D94EDD" w:rsidRPr="00D94EDD">
        <w:rPr>
          <w:rFonts w:ascii="Times New Roman" w:hAnsi="Times New Roman"/>
          <w:iCs/>
          <w:sz w:val="24"/>
          <w:szCs w:val="24"/>
          <w:lang w:val="en-US"/>
        </w:rPr>
        <w:t xml:space="preserve"> 2) conserving germplasm</w:t>
      </w:r>
      <w:r w:rsidR="00D94EDD">
        <w:rPr>
          <w:rFonts w:ascii="Times New Roman" w:hAnsi="Times New Roman"/>
          <w:iCs/>
          <w:sz w:val="24"/>
          <w:szCs w:val="24"/>
          <w:lang w:val="en-US"/>
        </w:rPr>
        <w:t>;</w:t>
      </w:r>
      <w:r w:rsidR="00D94EDD" w:rsidRPr="00D94EDD">
        <w:rPr>
          <w:rFonts w:ascii="Times New Roman" w:hAnsi="Times New Roman"/>
          <w:iCs/>
          <w:sz w:val="24"/>
          <w:szCs w:val="24"/>
          <w:lang w:val="en-US"/>
        </w:rPr>
        <w:t xml:space="preserve"> 3) evaluating and characterizing germplasm</w:t>
      </w:r>
      <w:r w:rsidR="00D94EDD">
        <w:rPr>
          <w:rFonts w:ascii="Times New Roman" w:hAnsi="Times New Roman"/>
          <w:iCs/>
          <w:sz w:val="24"/>
          <w:szCs w:val="24"/>
          <w:lang w:val="en-US"/>
        </w:rPr>
        <w:t>;</w:t>
      </w:r>
      <w:r w:rsidR="00D94EDD" w:rsidRPr="00D94EDD">
        <w:rPr>
          <w:rFonts w:ascii="Times New Roman" w:hAnsi="Times New Roman"/>
          <w:iCs/>
          <w:sz w:val="24"/>
          <w:szCs w:val="24"/>
          <w:lang w:val="en-US"/>
        </w:rPr>
        <w:t xml:space="preserve"> 4) documenting germplasm</w:t>
      </w:r>
      <w:r w:rsidR="00D94EDD">
        <w:rPr>
          <w:rFonts w:ascii="Times New Roman" w:hAnsi="Times New Roman"/>
          <w:iCs/>
          <w:sz w:val="24"/>
          <w:szCs w:val="24"/>
          <w:lang w:val="en-US"/>
        </w:rPr>
        <w:t>;</w:t>
      </w:r>
      <w:r w:rsidR="00D94EDD" w:rsidRPr="00D94EDD">
        <w:rPr>
          <w:rFonts w:ascii="Times New Roman" w:hAnsi="Times New Roman"/>
          <w:iCs/>
          <w:sz w:val="24"/>
          <w:szCs w:val="24"/>
          <w:lang w:val="en-US"/>
        </w:rPr>
        <w:t xml:space="preserve"> and 5) distributing germplasm. </w:t>
      </w:r>
      <w:r w:rsidR="000340A6">
        <w:rPr>
          <w:rFonts w:ascii="Times New Roman" w:hAnsi="Times New Roman"/>
          <w:iCs/>
          <w:sz w:val="24"/>
          <w:szCs w:val="24"/>
          <w:lang w:val="en-US"/>
        </w:rPr>
        <w:t xml:space="preserve"> </w:t>
      </w:r>
      <w:r w:rsidR="00D94EDD">
        <w:rPr>
          <w:rFonts w:ascii="Times New Roman" w:hAnsi="Times New Roman"/>
          <w:iCs/>
          <w:sz w:val="24"/>
          <w:szCs w:val="24"/>
          <w:lang w:val="en-US"/>
        </w:rPr>
        <w:t xml:space="preserve">Resources must be allotting to these various responsibilities.  </w:t>
      </w:r>
      <w:r w:rsidR="00AE1FB1">
        <w:rPr>
          <w:rFonts w:ascii="Times New Roman" w:hAnsi="Times New Roman"/>
          <w:iCs/>
          <w:sz w:val="24"/>
          <w:szCs w:val="24"/>
          <w:lang w:val="en-US"/>
        </w:rPr>
        <w:t xml:space="preserve">During the past decade, demand for germplasm from the NPGS has increased, while its budget has decreased in real terms.  Thus, the NPGS must provide more germplasm services with </w:t>
      </w:r>
      <w:r w:rsidR="00E50A2C">
        <w:rPr>
          <w:rFonts w:ascii="Times New Roman" w:hAnsi="Times New Roman"/>
          <w:iCs/>
          <w:sz w:val="24"/>
          <w:szCs w:val="24"/>
          <w:lang w:val="en-US"/>
        </w:rPr>
        <w:t xml:space="preserve">fewer </w:t>
      </w:r>
      <w:r w:rsidR="00420C8D">
        <w:rPr>
          <w:rFonts w:ascii="Times New Roman" w:hAnsi="Times New Roman"/>
          <w:iCs/>
          <w:sz w:val="24"/>
          <w:szCs w:val="24"/>
          <w:lang w:val="en-US"/>
        </w:rPr>
        <w:t>resources.</w:t>
      </w:r>
      <w:r w:rsidR="00AE1FB1">
        <w:rPr>
          <w:rFonts w:ascii="Times New Roman" w:hAnsi="Times New Roman"/>
          <w:iCs/>
          <w:sz w:val="24"/>
          <w:szCs w:val="24"/>
          <w:lang w:val="en-US"/>
        </w:rPr>
        <w:t xml:space="preserve"> </w:t>
      </w:r>
      <w:r w:rsidR="00D94EDD">
        <w:rPr>
          <w:rFonts w:ascii="Times New Roman" w:hAnsi="Times New Roman"/>
          <w:iCs/>
          <w:sz w:val="24"/>
          <w:szCs w:val="24"/>
          <w:lang w:val="en-US"/>
        </w:rPr>
        <w:t xml:space="preserve"> </w:t>
      </w:r>
      <w:r w:rsidRPr="00322DA7">
        <w:rPr>
          <w:rFonts w:ascii="Times New Roman" w:hAnsi="Times New Roman"/>
          <w:iCs/>
          <w:sz w:val="24"/>
          <w:szCs w:val="24"/>
        </w:rPr>
        <w:t xml:space="preserve">The information to be collected by the Census </w:t>
      </w:r>
      <w:r w:rsidRPr="007D449F">
        <w:rPr>
          <w:rFonts w:ascii="Times New Roman" w:hAnsi="Times New Roman"/>
          <w:iCs/>
          <w:sz w:val="24"/>
          <w:szCs w:val="24"/>
        </w:rPr>
        <w:t xml:space="preserve">of Users of the National Plant Germplasm System is necessary to assess and understand the types of germplasm </w:t>
      </w:r>
      <w:r w:rsidR="002C4B94" w:rsidRPr="00704F44">
        <w:rPr>
          <w:rFonts w:ascii="Times New Roman" w:hAnsi="Times New Roman"/>
          <w:iCs/>
          <w:sz w:val="24"/>
        </w:rPr>
        <w:t>(i.e., living tissue from which plants can be grown)</w:t>
      </w:r>
      <w:r w:rsidR="007D449F">
        <w:rPr>
          <w:rFonts w:ascii="Times New Roman" w:hAnsi="Times New Roman"/>
          <w:iCs/>
          <w:sz w:val="24"/>
        </w:rPr>
        <w:t xml:space="preserve"> </w:t>
      </w:r>
      <w:r w:rsidRPr="007D449F">
        <w:rPr>
          <w:rFonts w:ascii="Times New Roman" w:hAnsi="Times New Roman"/>
          <w:iCs/>
          <w:sz w:val="24"/>
          <w:szCs w:val="24"/>
        </w:rPr>
        <w:t>needed by breeders and other scientists in both</w:t>
      </w:r>
      <w:r w:rsidRPr="00322DA7">
        <w:rPr>
          <w:rFonts w:ascii="Times New Roman" w:hAnsi="Times New Roman"/>
          <w:iCs/>
          <w:sz w:val="24"/>
          <w:szCs w:val="24"/>
        </w:rPr>
        <w:t xml:space="preserve"> the public and private sectors.  This </w:t>
      </w:r>
      <w:r w:rsidR="0025439E">
        <w:rPr>
          <w:rFonts w:ascii="Times New Roman" w:hAnsi="Times New Roman"/>
          <w:iCs/>
          <w:sz w:val="24"/>
          <w:szCs w:val="24"/>
        </w:rPr>
        <w:t xml:space="preserve">census </w:t>
      </w:r>
      <w:r w:rsidRPr="00322DA7">
        <w:rPr>
          <w:rFonts w:ascii="Times New Roman" w:hAnsi="Times New Roman"/>
          <w:iCs/>
          <w:sz w:val="24"/>
          <w:szCs w:val="24"/>
        </w:rPr>
        <w:t xml:space="preserve">will provide data not currently available to </w:t>
      </w:r>
      <w:r w:rsidR="0025439E">
        <w:rPr>
          <w:rFonts w:ascii="Times New Roman" w:hAnsi="Times New Roman"/>
          <w:iCs/>
          <w:sz w:val="24"/>
          <w:szCs w:val="24"/>
        </w:rPr>
        <w:t xml:space="preserve">NPGS </w:t>
      </w:r>
      <w:r w:rsidRPr="00322DA7">
        <w:rPr>
          <w:rFonts w:ascii="Times New Roman" w:hAnsi="Times New Roman"/>
          <w:iCs/>
          <w:sz w:val="24"/>
          <w:szCs w:val="24"/>
        </w:rPr>
        <w:t>officials</w:t>
      </w:r>
      <w:r w:rsidR="00C65166">
        <w:rPr>
          <w:rFonts w:ascii="Times New Roman" w:hAnsi="Times New Roman"/>
          <w:iCs/>
          <w:sz w:val="24"/>
          <w:szCs w:val="24"/>
        </w:rPr>
        <w:t xml:space="preserve"> and </w:t>
      </w:r>
      <w:r w:rsidR="00C65166">
        <w:rPr>
          <w:rFonts w:ascii="Times New Roman" w:hAnsi="Times New Roman"/>
          <w:iCs/>
          <w:sz w:val="24"/>
          <w:szCs w:val="24"/>
        </w:rPr>
        <w:lastRenderedPageBreak/>
        <w:t xml:space="preserve">it </w:t>
      </w:r>
      <w:r w:rsidR="009335E7">
        <w:rPr>
          <w:rFonts w:ascii="Times New Roman" w:hAnsi="Times New Roman"/>
          <w:iCs/>
          <w:sz w:val="24"/>
          <w:szCs w:val="24"/>
        </w:rPr>
        <w:t xml:space="preserve">will broaden </w:t>
      </w:r>
      <w:r w:rsidRPr="00322DA7">
        <w:rPr>
          <w:rFonts w:ascii="Times New Roman" w:hAnsi="Times New Roman"/>
          <w:iCs/>
          <w:sz w:val="24"/>
          <w:szCs w:val="24"/>
        </w:rPr>
        <w:t>the scope of economic analyses of genetic enhancement</w:t>
      </w:r>
      <w:r w:rsidR="00E252A3">
        <w:rPr>
          <w:rFonts w:ascii="Times New Roman" w:hAnsi="Times New Roman"/>
          <w:iCs/>
          <w:sz w:val="24"/>
          <w:szCs w:val="24"/>
          <w:lang w:val="en-US"/>
        </w:rPr>
        <w:t>.  That</w:t>
      </w:r>
      <w:r w:rsidR="00E252A3">
        <w:rPr>
          <w:rFonts w:ascii="Times New Roman" w:hAnsi="Times New Roman"/>
          <w:iCs/>
          <w:sz w:val="24"/>
          <w:szCs w:val="24"/>
        </w:rPr>
        <w:t xml:space="preserve"> will</w:t>
      </w:r>
      <w:r w:rsidRPr="00322DA7">
        <w:rPr>
          <w:rFonts w:ascii="Times New Roman" w:hAnsi="Times New Roman"/>
          <w:iCs/>
          <w:sz w:val="24"/>
          <w:szCs w:val="24"/>
        </w:rPr>
        <w:t xml:space="preserve">, in turn, </w:t>
      </w:r>
      <w:r w:rsidR="00C65166">
        <w:rPr>
          <w:rFonts w:ascii="Times New Roman" w:hAnsi="Times New Roman"/>
          <w:iCs/>
          <w:sz w:val="24"/>
          <w:szCs w:val="24"/>
        </w:rPr>
        <w:t xml:space="preserve">add to the </w:t>
      </w:r>
      <w:r w:rsidR="00C40D4D">
        <w:rPr>
          <w:rFonts w:ascii="Times New Roman" w:hAnsi="Times New Roman"/>
          <w:iCs/>
          <w:sz w:val="24"/>
          <w:szCs w:val="24"/>
        </w:rPr>
        <w:t xml:space="preserve">empirical foundation </w:t>
      </w:r>
      <w:r w:rsidR="0025439E">
        <w:rPr>
          <w:rFonts w:ascii="Times New Roman" w:hAnsi="Times New Roman"/>
          <w:iCs/>
          <w:sz w:val="24"/>
          <w:szCs w:val="24"/>
        </w:rPr>
        <w:t xml:space="preserve">for </w:t>
      </w:r>
      <w:r w:rsidR="00703413">
        <w:rPr>
          <w:rFonts w:ascii="Times New Roman" w:hAnsi="Times New Roman"/>
          <w:iCs/>
          <w:sz w:val="24"/>
          <w:szCs w:val="24"/>
          <w:lang w:val="en-US"/>
        </w:rPr>
        <w:t xml:space="preserve">the assessment of research and development investments, </w:t>
      </w:r>
      <w:r w:rsidRPr="00322DA7">
        <w:rPr>
          <w:rFonts w:ascii="Times New Roman" w:hAnsi="Times New Roman"/>
          <w:iCs/>
          <w:sz w:val="24"/>
          <w:szCs w:val="24"/>
        </w:rPr>
        <w:t>and</w:t>
      </w:r>
      <w:r w:rsidR="00703413">
        <w:rPr>
          <w:rFonts w:ascii="Times New Roman" w:hAnsi="Times New Roman"/>
          <w:iCs/>
          <w:sz w:val="24"/>
          <w:szCs w:val="24"/>
          <w:lang w:val="en-US"/>
        </w:rPr>
        <w:t>, in turn,</w:t>
      </w:r>
      <w:r w:rsidRPr="00322DA7">
        <w:rPr>
          <w:rFonts w:ascii="Times New Roman" w:hAnsi="Times New Roman"/>
          <w:iCs/>
          <w:sz w:val="24"/>
          <w:szCs w:val="24"/>
        </w:rPr>
        <w:t xml:space="preserve"> </w:t>
      </w:r>
      <w:r w:rsidR="00374B44" w:rsidRPr="00322DA7">
        <w:rPr>
          <w:rFonts w:ascii="Times New Roman" w:hAnsi="Times New Roman"/>
          <w:iCs/>
          <w:sz w:val="24"/>
          <w:szCs w:val="24"/>
        </w:rPr>
        <w:t>productivity at</w:t>
      </w:r>
      <w:r w:rsidRPr="00322DA7">
        <w:rPr>
          <w:rFonts w:ascii="Times New Roman" w:hAnsi="Times New Roman"/>
          <w:iCs/>
          <w:sz w:val="24"/>
          <w:szCs w:val="24"/>
        </w:rPr>
        <w:t xml:space="preserve"> </w:t>
      </w:r>
      <w:r w:rsidR="0025439E">
        <w:rPr>
          <w:rFonts w:ascii="Times New Roman" w:hAnsi="Times New Roman"/>
          <w:iCs/>
          <w:sz w:val="24"/>
          <w:szCs w:val="24"/>
        </w:rPr>
        <w:t xml:space="preserve">USDA’s </w:t>
      </w:r>
      <w:r w:rsidRPr="00322DA7">
        <w:rPr>
          <w:rFonts w:ascii="Times New Roman" w:hAnsi="Times New Roman"/>
          <w:iCs/>
          <w:sz w:val="24"/>
          <w:szCs w:val="24"/>
        </w:rPr>
        <w:t>E</w:t>
      </w:r>
      <w:r w:rsidR="0025439E">
        <w:rPr>
          <w:rFonts w:ascii="Times New Roman" w:hAnsi="Times New Roman"/>
          <w:iCs/>
          <w:sz w:val="24"/>
          <w:szCs w:val="24"/>
        </w:rPr>
        <w:t xml:space="preserve">conomic </w:t>
      </w:r>
      <w:r w:rsidRPr="00322DA7">
        <w:rPr>
          <w:rFonts w:ascii="Times New Roman" w:hAnsi="Times New Roman"/>
          <w:iCs/>
          <w:sz w:val="24"/>
          <w:szCs w:val="24"/>
        </w:rPr>
        <w:t>R</w:t>
      </w:r>
      <w:r w:rsidR="0025439E">
        <w:rPr>
          <w:rFonts w:ascii="Times New Roman" w:hAnsi="Times New Roman"/>
          <w:iCs/>
          <w:sz w:val="24"/>
          <w:szCs w:val="24"/>
        </w:rPr>
        <w:t xml:space="preserve">esearch </w:t>
      </w:r>
      <w:r w:rsidRPr="00322DA7">
        <w:rPr>
          <w:rFonts w:ascii="Times New Roman" w:hAnsi="Times New Roman"/>
          <w:iCs/>
          <w:sz w:val="24"/>
          <w:szCs w:val="24"/>
        </w:rPr>
        <w:t>S</w:t>
      </w:r>
      <w:r w:rsidR="0025439E">
        <w:rPr>
          <w:rFonts w:ascii="Times New Roman" w:hAnsi="Times New Roman"/>
          <w:iCs/>
          <w:sz w:val="24"/>
          <w:szCs w:val="24"/>
        </w:rPr>
        <w:t>ervice</w:t>
      </w:r>
      <w:r w:rsidR="00C65166">
        <w:rPr>
          <w:rFonts w:ascii="Times New Roman" w:hAnsi="Times New Roman"/>
          <w:iCs/>
          <w:sz w:val="24"/>
          <w:szCs w:val="24"/>
        </w:rPr>
        <w:t xml:space="preserve"> (ERS)</w:t>
      </w:r>
      <w:r w:rsidRPr="00322DA7">
        <w:rPr>
          <w:rFonts w:ascii="Times New Roman" w:hAnsi="Times New Roman"/>
          <w:iCs/>
          <w:sz w:val="24"/>
          <w:szCs w:val="24"/>
        </w:rPr>
        <w:t xml:space="preserve">.  The database would </w:t>
      </w:r>
      <w:r w:rsidR="00322DA7" w:rsidRPr="00322DA7">
        <w:rPr>
          <w:rFonts w:ascii="Times New Roman" w:hAnsi="Times New Roman"/>
          <w:iCs/>
          <w:sz w:val="24"/>
          <w:szCs w:val="24"/>
        </w:rPr>
        <w:t xml:space="preserve">consist of </w:t>
      </w:r>
      <w:r w:rsidRPr="00322DA7">
        <w:rPr>
          <w:rFonts w:ascii="Times New Roman" w:hAnsi="Times New Roman"/>
          <w:iCs/>
          <w:sz w:val="24"/>
          <w:szCs w:val="24"/>
        </w:rPr>
        <w:t xml:space="preserve">statistically assessable information on germplasm use for breeding and research.  This includes information </w:t>
      </w:r>
      <w:r w:rsidR="00C40D4D">
        <w:rPr>
          <w:rFonts w:ascii="Times New Roman" w:hAnsi="Times New Roman"/>
          <w:iCs/>
          <w:sz w:val="24"/>
          <w:szCs w:val="24"/>
        </w:rPr>
        <w:t xml:space="preserve">about use </w:t>
      </w:r>
      <w:r w:rsidR="00E252A3">
        <w:rPr>
          <w:rFonts w:ascii="Times New Roman" w:hAnsi="Times New Roman"/>
          <w:iCs/>
          <w:sz w:val="24"/>
          <w:szCs w:val="24"/>
          <w:lang w:val="en-US"/>
        </w:rPr>
        <w:t xml:space="preserve">of </w:t>
      </w:r>
      <w:r w:rsidRPr="00322DA7">
        <w:rPr>
          <w:rFonts w:ascii="Times New Roman" w:hAnsi="Times New Roman"/>
          <w:iCs/>
          <w:sz w:val="24"/>
          <w:szCs w:val="24"/>
        </w:rPr>
        <w:t>specific crops;</w:t>
      </w:r>
      <w:r w:rsidR="00C40D4D">
        <w:rPr>
          <w:rFonts w:ascii="Times New Roman" w:hAnsi="Times New Roman"/>
          <w:iCs/>
          <w:sz w:val="24"/>
          <w:szCs w:val="24"/>
        </w:rPr>
        <w:t xml:space="preserve"> traits sought,</w:t>
      </w:r>
      <w:r w:rsidRPr="00322DA7">
        <w:rPr>
          <w:rFonts w:ascii="Times New Roman" w:hAnsi="Times New Roman"/>
          <w:iCs/>
          <w:sz w:val="24"/>
          <w:szCs w:val="24"/>
        </w:rPr>
        <w:t xml:space="preserve"> </w:t>
      </w:r>
      <w:r w:rsidR="00E252A3">
        <w:rPr>
          <w:rFonts w:ascii="Times New Roman" w:hAnsi="Times New Roman"/>
          <w:iCs/>
          <w:sz w:val="24"/>
          <w:szCs w:val="24"/>
          <w:lang w:val="en-US"/>
        </w:rPr>
        <w:t xml:space="preserve">and </w:t>
      </w:r>
      <w:r w:rsidRPr="00322DA7">
        <w:rPr>
          <w:rFonts w:ascii="Times New Roman" w:hAnsi="Times New Roman"/>
          <w:iCs/>
          <w:sz w:val="24"/>
          <w:szCs w:val="24"/>
        </w:rPr>
        <w:t xml:space="preserve">the </w:t>
      </w:r>
      <w:r w:rsidR="00C40D4D">
        <w:rPr>
          <w:rFonts w:ascii="Times New Roman" w:hAnsi="Times New Roman"/>
          <w:iCs/>
          <w:sz w:val="24"/>
          <w:szCs w:val="24"/>
        </w:rPr>
        <w:t xml:space="preserve">utility of </w:t>
      </w:r>
      <w:r w:rsidRPr="00322DA7">
        <w:rPr>
          <w:rFonts w:ascii="Times New Roman" w:hAnsi="Times New Roman"/>
          <w:iCs/>
          <w:sz w:val="24"/>
          <w:szCs w:val="24"/>
        </w:rPr>
        <w:t xml:space="preserve">germplasm by type and purpose; institutional needs for germplasm (both public and private); and requestors’ predictions of future use.  </w:t>
      </w:r>
      <w:r w:rsidR="00096E9C">
        <w:rPr>
          <w:rFonts w:ascii="Times New Roman" w:hAnsi="Times New Roman"/>
          <w:iCs/>
          <w:sz w:val="24"/>
          <w:szCs w:val="24"/>
          <w:lang w:val="en-US"/>
        </w:rPr>
        <w:t>Two data products will be released to the public: 1) aggregated estimates of users’ evaluations; and 2</w:t>
      </w:r>
      <w:r w:rsidR="00374B44">
        <w:rPr>
          <w:rFonts w:ascii="Times New Roman" w:hAnsi="Times New Roman"/>
          <w:iCs/>
          <w:sz w:val="24"/>
          <w:szCs w:val="24"/>
          <w:lang w:val="en-US"/>
        </w:rPr>
        <w:t>) maps</w:t>
      </w:r>
      <w:r w:rsidR="00096E9C">
        <w:rPr>
          <w:rFonts w:ascii="Times New Roman" w:hAnsi="Times New Roman"/>
          <w:iCs/>
          <w:sz w:val="24"/>
          <w:szCs w:val="24"/>
          <w:lang w:val="en-US"/>
        </w:rPr>
        <w:t xml:space="preserve"> detailing </w:t>
      </w:r>
      <w:r w:rsidR="00D94EDD">
        <w:rPr>
          <w:rFonts w:ascii="Times New Roman" w:hAnsi="Times New Roman"/>
          <w:iCs/>
          <w:sz w:val="24"/>
          <w:szCs w:val="24"/>
          <w:lang w:val="en-US"/>
        </w:rPr>
        <w:t xml:space="preserve">U.S. </w:t>
      </w:r>
      <w:r w:rsidR="00096E9C">
        <w:rPr>
          <w:rFonts w:ascii="Times New Roman" w:hAnsi="Times New Roman"/>
          <w:iCs/>
          <w:sz w:val="24"/>
          <w:szCs w:val="24"/>
          <w:lang w:val="en-US"/>
        </w:rPr>
        <w:t>demand for germplasm traits in NPGS material.</w:t>
      </w:r>
      <w:r w:rsidR="00492AB9">
        <w:rPr>
          <w:rFonts w:ascii="Times New Roman" w:hAnsi="Times New Roman"/>
          <w:iCs/>
          <w:sz w:val="24"/>
          <w:szCs w:val="24"/>
          <w:lang w:val="en-US"/>
        </w:rPr>
        <w:t xml:space="preserve">  The results will be compared with an earlier study measuring demand for NPGS material </w:t>
      </w:r>
      <w:r w:rsidR="00E50A2C">
        <w:rPr>
          <w:rFonts w:ascii="Times New Roman" w:hAnsi="Times New Roman"/>
          <w:iCs/>
          <w:sz w:val="24"/>
          <w:szCs w:val="24"/>
          <w:lang w:val="en-US"/>
        </w:rPr>
        <w:t xml:space="preserve">during </w:t>
      </w:r>
      <w:r w:rsidR="00492AB9">
        <w:rPr>
          <w:rFonts w:ascii="Times New Roman" w:hAnsi="Times New Roman"/>
          <w:iCs/>
          <w:sz w:val="24"/>
          <w:szCs w:val="24"/>
          <w:lang w:val="en-US"/>
        </w:rPr>
        <w:t>1995-1999.</w:t>
      </w:r>
    </w:p>
    <w:p w14:paraId="0B577986" w14:textId="15D83DB5" w:rsidR="00781C14" w:rsidRPr="00322DA7" w:rsidRDefault="00781C14" w:rsidP="00E50A2C">
      <w:pPr>
        <w:spacing w:before="100" w:beforeAutospacing="1" w:after="100" w:afterAutospacing="1"/>
        <w:rPr>
          <w:b/>
          <w:sz w:val="24"/>
          <w:szCs w:val="24"/>
        </w:rPr>
      </w:pPr>
      <w:r w:rsidRPr="00322DA7">
        <w:rPr>
          <w:iCs/>
          <w:sz w:val="24"/>
          <w:szCs w:val="24"/>
        </w:rPr>
        <w:t>Leg</w:t>
      </w:r>
      <w:r w:rsidR="0058210B">
        <w:rPr>
          <w:iCs/>
          <w:sz w:val="24"/>
          <w:szCs w:val="24"/>
        </w:rPr>
        <w:t>a</w:t>
      </w:r>
      <w:r w:rsidRPr="00322DA7">
        <w:rPr>
          <w:iCs/>
          <w:sz w:val="24"/>
          <w:szCs w:val="24"/>
        </w:rPr>
        <w:t xml:space="preserve">l authority for the planned data collection is 7 U.S.C. 2204(a) and 7 U.S.C. </w:t>
      </w:r>
      <w:r w:rsidR="00517A7D">
        <w:rPr>
          <w:iCs/>
          <w:sz w:val="24"/>
          <w:szCs w:val="24"/>
        </w:rPr>
        <w:t>427</w:t>
      </w:r>
      <w:bookmarkStart w:id="0" w:name="_GoBack"/>
      <w:bookmarkEnd w:id="0"/>
      <w:r w:rsidR="00785C7F">
        <w:rPr>
          <w:iCs/>
          <w:sz w:val="24"/>
          <w:szCs w:val="24"/>
        </w:rPr>
        <w:t xml:space="preserve"> (attachment A)</w:t>
      </w:r>
      <w:r w:rsidRPr="00322DA7">
        <w:rPr>
          <w:iCs/>
          <w:sz w:val="24"/>
          <w:szCs w:val="24"/>
        </w:rPr>
        <w:t xml:space="preserve">. This section authorizes the Secretary </w:t>
      </w:r>
      <w:r w:rsidR="00E252A3">
        <w:rPr>
          <w:iCs/>
          <w:sz w:val="24"/>
          <w:szCs w:val="24"/>
        </w:rPr>
        <w:t xml:space="preserve">to </w:t>
      </w:r>
      <w:r w:rsidRPr="00322DA7">
        <w:rPr>
          <w:iCs/>
          <w:sz w:val="24"/>
          <w:szCs w:val="24"/>
        </w:rPr>
        <w:t xml:space="preserve">collect statistics concerning agriculture, including those related to the collection, maintenance and distribution of seeds and plants.  </w:t>
      </w:r>
    </w:p>
    <w:p w14:paraId="35DDD330" w14:textId="77777777" w:rsidR="00071F56" w:rsidRPr="00322DA7" w:rsidRDefault="00071F56" w:rsidP="009A3085">
      <w:pPr>
        <w:ind w:left="720"/>
        <w:rPr>
          <w:b/>
          <w:sz w:val="24"/>
          <w:szCs w:val="24"/>
        </w:rPr>
      </w:pPr>
    </w:p>
    <w:p w14:paraId="19FBA190" w14:textId="77777777" w:rsidR="00071F56" w:rsidRPr="00322DA7" w:rsidRDefault="00071F56" w:rsidP="00322DA7">
      <w:pPr>
        <w:numPr>
          <w:ilvl w:val="0"/>
          <w:numId w:val="22"/>
        </w:numPr>
        <w:rPr>
          <w:b/>
          <w:sz w:val="24"/>
          <w:szCs w:val="24"/>
        </w:rPr>
      </w:pPr>
      <w:r w:rsidRPr="00322DA7">
        <w:rPr>
          <w:b/>
          <w:sz w:val="24"/>
          <w:szCs w:val="24"/>
        </w:rPr>
        <w:t>Indicate how, by whom, how frequently, and for what purpose the information is to be used.  Except for a new collection, indicate the actual use the agency has made of the information received from the current collection.</w:t>
      </w:r>
    </w:p>
    <w:p w14:paraId="6571C04A" w14:textId="77777777" w:rsidR="00322DA7" w:rsidRPr="00322DA7" w:rsidRDefault="00322DA7" w:rsidP="00322DA7">
      <w:pPr>
        <w:rPr>
          <w:b/>
          <w:sz w:val="24"/>
          <w:szCs w:val="24"/>
        </w:rPr>
      </w:pPr>
    </w:p>
    <w:p w14:paraId="57EAD2D0" w14:textId="7CF67E42" w:rsidR="009335E7" w:rsidRDefault="00322DA7" w:rsidP="009335E7">
      <w:pPr>
        <w:pStyle w:val="HTMLPreformatted"/>
        <w:rPr>
          <w:rFonts w:ascii="Times New Roman" w:hAnsi="Times New Roman"/>
          <w:iCs/>
          <w:sz w:val="24"/>
          <w:szCs w:val="24"/>
        </w:rPr>
      </w:pPr>
      <w:r w:rsidRPr="00BC0B15">
        <w:rPr>
          <w:rFonts w:ascii="Times New Roman" w:hAnsi="Times New Roman"/>
          <w:iCs/>
          <w:sz w:val="24"/>
          <w:szCs w:val="24"/>
        </w:rPr>
        <w:t xml:space="preserve">The Census of Users of the National Plant </w:t>
      </w:r>
      <w:r w:rsidR="009D0963">
        <w:rPr>
          <w:rFonts w:ascii="Times New Roman" w:hAnsi="Times New Roman"/>
          <w:iCs/>
          <w:sz w:val="24"/>
          <w:szCs w:val="24"/>
        </w:rPr>
        <w:t xml:space="preserve">Germplasm </w:t>
      </w:r>
      <w:r w:rsidRPr="00BC0B15">
        <w:rPr>
          <w:rFonts w:ascii="Times New Roman" w:hAnsi="Times New Roman"/>
          <w:iCs/>
          <w:sz w:val="24"/>
          <w:szCs w:val="24"/>
        </w:rPr>
        <w:t>System is a new, one-time, data collection</w:t>
      </w:r>
      <w:r w:rsidR="00CE07AC" w:rsidRPr="00BC0B15">
        <w:rPr>
          <w:rFonts w:ascii="Times New Roman" w:hAnsi="Times New Roman"/>
          <w:iCs/>
          <w:sz w:val="24"/>
          <w:szCs w:val="24"/>
        </w:rPr>
        <w:t xml:space="preserve">.  </w:t>
      </w:r>
      <w:r w:rsidR="003D04D0" w:rsidRPr="00BC0B15">
        <w:rPr>
          <w:rFonts w:ascii="Times New Roman" w:hAnsi="Times New Roman"/>
          <w:iCs/>
          <w:sz w:val="24"/>
          <w:szCs w:val="24"/>
        </w:rPr>
        <w:t xml:space="preserve">The </w:t>
      </w:r>
      <w:r w:rsidR="00C65166">
        <w:rPr>
          <w:rFonts w:ascii="Times New Roman" w:hAnsi="Times New Roman"/>
          <w:iCs/>
          <w:sz w:val="24"/>
          <w:szCs w:val="24"/>
        </w:rPr>
        <w:t>c</w:t>
      </w:r>
      <w:r w:rsidR="003D04D0" w:rsidRPr="00BC0B15">
        <w:rPr>
          <w:rFonts w:ascii="Times New Roman" w:hAnsi="Times New Roman"/>
          <w:iCs/>
          <w:sz w:val="24"/>
          <w:szCs w:val="24"/>
        </w:rPr>
        <w:t>ensus will solicit data from the</w:t>
      </w:r>
      <w:r w:rsidR="00425E5F">
        <w:rPr>
          <w:rFonts w:ascii="Times New Roman" w:hAnsi="Times New Roman"/>
          <w:iCs/>
          <w:sz w:val="24"/>
          <w:szCs w:val="24"/>
        </w:rPr>
        <w:t xml:space="preserve"> </w:t>
      </w:r>
      <w:r w:rsidR="00172EB2">
        <w:rPr>
          <w:rFonts w:ascii="Times New Roman" w:hAnsi="Times New Roman"/>
          <w:iCs/>
          <w:sz w:val="24"/>
          <w:szCs w:val="24"/>
          <w:lang w:val="en-US"/>
        </w:rPr>
        <w:t>6,009</w:t>
      </w:r>
      <w:r w:rsidR="003D04D0" w:rsidRPr="00BC0B15">
        <w:rPr>
          <w:rFonts w:ascii="Times New Roman" w:hAnsi="Times New Roman"/>
          <w:iCs/>
          <w:sz w:val="24"/>
          <w:szCs w:val="24"/>
        </w:rPr>
        <w:t xml:space="preserve"> </w:t>
      </w:r>
      <w:r w:rsidR="005D1326">
        <w:rPr>
          <w:rFonts w:ascii="Times New Roman" w:hAnsi="Times New Roman"/>
          <w:iCs/>
          <w:sz w:val="24"/>
          <w:szCs w:val="24"/>
        </w:rPr>
        <w:t xml:space="preserve"> </w:t>
      </w:r>
      <w:r w:rsidR="00704F44" w:rsidRPr="00BC0B15">
        <w:rPr>
          <w:rFonts w:ascii="Times New Roman" w:hAnsi="Times New Roman"/>
          <w:iCs/>
          <w:sz w:val="24"/>
          <w:szCs w:val="24"/>
        </w:rPr>
        <w:t>people</w:t>
      </w:r>
      <w:r w:rsidR="003D04D0" w:rsidRPr="00BC0B15">
        <w:rPr>
          <w:rFonts w:ascii="Times New Roman" w:hAnsi="Times New Roman"/>
          <w:iCs/>
          <w:sz w:val="24"/>
          <w:szCs w:val="24"/>
        </w:rPr>
        <w:t xml:space="preserve"> who requested germplasm from a set of ten crops from the </w:t>
      </w:r>
      <w:r w:rsidR="00C65166">
        <w:rPr>
          <w:rFonts w:ascii="Times New Roman" w:hAnsi="Times New Roman"/>
          <w:iCs/>
          <w:sz w:val="24"/>
          <w:szCs w:val="24"/>
        </w:rPr>
        <w:t>NP</w:t>
      </w:r>
      <w:r w:rsidR="009335E7" w:rsidRPr="00BC0B15">
        <w:rPr>
          <w:rFonts w:ascii="Times New Roman" w:hAnsi="Times New Roman"/>
          <w:iCs/>
          <w:sz w:val="24"/>
          <w:szCs w:val="24"/>
        </w:rPr>
        <w:t xml:space="preserve">GS </w:t>
      </w:r>
      <w:r w:rsidR="003D04D0" w:rsidRPr="00BC0B15">
        <w:rPr>
          <w:rFonts w:ascii="Times New Roman" w:hAnsi="Times New Roman"/>
          <w:iCs/>
          <w:sz w:val="24"/>
          <w:szCs w:val="24"/>
        </w:rPr>
        <w:t xml:space="preserve">over a five year </w:t>
      </w:r>
      <w:r w:rsidR="00704F44">
        <w:rPr>
          <w:rFonts w:ascii="Times New Roman" w:hAnsi="Times New Roman"/>
          <w:iCs/>
          <w:sz w:val="24"/>
          <w:szCs w:val="24"/>
        </w:rPr>
        <w:t>2009-2013</w:t>
      </w:r>
      <w:r w:rsidR="003D04D0" w:rsidRPr="00BC0B15">
        <w:rPr>
          <w:rFonts w:ascii="Times New Roman" w:hAnsi="Times New Roman"/>
          <w:iCs/>
          <w:sz w:val="24"/>
          <w:szCs w:val="24"/>
        </w:rPr>
        <w:t xml:space="preserve">.  (The ten crops are beans, barley, </w:t>
      </w:r>
      <w:r w:rsidR="00C65166">
        <w:rPr>
          <w:rFonts w:ascii="Times New Roman" w:hAnsi="Times New Roman"/>
          <w:iCs/>
          <w:sz w:val="24"/>
          <w:szCs w:val="24"/>
        </w:rPr>
        <w:t xml:space="preserve">corn, </w:t>
      </w:r>
      <w:r w:rsidR="003D04D0" w:rsidRPr="00BC0B15">
        <w:rPr>
          <w:rFonts w:ascii="Times New Roman" w:hAnsi="Times New Roman"/>
          <w:iCs/>
          <w:sz w:val="24"/>
          <w:szCs w:val="24"/>
        </w:rPr>
        <w:t>cotton, sorghum, squash, soybeans, potato, rice and wheat.</w:t>
      </w:r>
      <w:r w:rsidR="00420C8D">
        <w:rPr>
          <w:rFonts w:ascii="Times New Roman" w:hAnsi="Times New Roman"/>
          <w:iCs/>
          <w:sz w:val="24"/>
          <w:szCs w:val="24"/>
          <w:lang w:val="en-US"/>
        </w:rPr>
        <w:t xml:space="preserve">  The</w:t>
      </w:r>
      <w:r w:rsidR="00492AB9">
        <w:rPr>
          <w:rFonts w:ascii="Times New Roman" w:hAnsi="Times New Roman"/>
          <w:iCs/>
          <w:sz w:val="24"/>
          <w:szCs w:val="24"/>
          <w:lang w:val="en-US"/>
        </w:rPr>
        <w:t>s</w:t>
      </w:r>
      <w:r w:rsidR="00420C8D">
        <w:rPr>
          <w:rFonts w:ascii="Times New Roman" w:hAnsi="Times New Roman"/>
          <w:iCs/>
          <w:sz w:val="24"/>
          <w:szCs w:val="24"/>
          <w:lang w:val="en-US"/>
        </w:rPr>
        <w:t>e capture</w:t>
      </w:r>
      <w:r w:rsidR="00492AB9">
        <w:rPr>
          <w:rFonts w:ascii="Times New Roman" w:hAnsi="Times New Roman"/>
          <w:iCs/>
          <w:sz w:val="24"/>
          <w:szCs w:val="24"/>
          <w:lang w:val="en-US"/>
        </w:rPr>
        <w:t xml:space="preserve"> the most economically important row crops</w:t>
      </w:r>
      <w:r w:rsidR="00083E1F">
        <w:rPr>
          <w:rFonts w:ascii="Times New Roman" w:hAnsi="Times New Roman"/>
          <w:iCs/>
          <w:sz w:val="24"/>
          <w:szCs w:val="24"/>
          <w:lang w:val="en-US"/>
        </w:rPr>
        <w:t xml:space="preserve"> in the U.S.</w:t>
      </w:r>
      <w:r w:rsidR="00492AB9">
        <w:rPr>
          <w:rFonts w:ascii="Times New Roman" w:hAnsi="Times New Roman"/>
          <w:iCs/>
          <w:sz w:val="24"/>
          <w:szCs w:val="24"/>
          <w:lang w:val="en-US"/>
        </w:rPr>
        <w:t>, as well as crops originating in the Americas.</w:t>
      </w:r>
      <w:r w:rsidR="003D04D0" w:rsidRPr="00BC0B15">
        <w:rPr>
          <w:rFonts w:ascii="Times New Roman" w:hAnsi="Times New Roman"/>
          <w:iCs/>
          <w:sz w:val="24"/>
          <w:szCs w:val="24"/>
        </w:rPr>
        <w:t xml:space="preserve">)  </w:t>
      </w:r>
      <w:r w:rsidR="00CE07AC" w:rsidRPr="00BC0B15">
        <w:rPr>
          <w:rFonts w:ascii="Times New Roman" w:hAnsi="Times New Roman"/>
          <w:iCs/>
          <w:sz w:val="24"/>
          <w:szCs w:val="24"/>
        </w:rPr>
        <w:t xml:space="preserve">A web-based instrument will ask </w:t>
      </w:r>
      <w:r w:rsidR="00081CA5">
        <w:rPr>
          <w:rFonts w:ascii="Times New Roman" w:hAnsi="Times New Roman"/>
          <w:iCs/>
          <w:sz w:val="24"/>
          <w:szCs w:val="24"/>
          <w:lang w:val="en-US"/>
        </w:rPr>
        <w:t xml:space="preserve">a set of </w:t>
      </w:r>
      <w:r w:rsidR="00E252A3">
        <w:rPr>
          <w:rFonts w:ascii="Times New Roman" w:hAnsi="Times New Roman"/>
          <w:iCs/>
          <w:sz w:val="24"/>
          <w:szCs w:val="24"/>
          <w:lang w:val="en-US"/>
        </w:rPr>
        <w:t xml:space="preserve">eight </w:t>
      </w:r>
      <w:r w:rsidR="00CE07AC" w:rsidRPr="00BC0B15">
        <w:rPr>
          <w:rFonts w:ascii="Times New Roman" w:hAnsi="Times New Roman"/>
          <w:iCs/>
          <w:sz w:val="24"/>
          <w:szCs w:val="24"/>
        </w:rPr>
        <w:t xml:space="preserve">questions </w:t>
      </w:r>
      <w:r w:rsidR="00081CA5">
        <w:rPr>
          <w:rFonts w:ascii="Times New Roman" w:hAnsi="Times New Roman"/>
          <w:iCs/>
          <w:sz w:val="24"/>
          <w:szCs w:val="24"/>
          <w:lang w:val="en-US"/>
        </w:rPr>
        <w:t>for each crop, along with two questions about profession and institutional affiliation</w:t>
      </w:r>
      <w:r w:rsidR="00677B38">
        <w:rPr>
          <w:rFonts w:ascii="Times New Roman" w:hAnsi="Times New Roman"/>
          <w:iCs/>
          <w:sz w:val="24"/>
          <w:szCs w:val="24"/>
          <w:lang w:val="en-US"/>
        </w:rPr>
        <w:t xml:space="preserve"> (attachment B)</w:t>
      </w:r>
      <w:r w:rsidR="00081CA5">
        <w:rPr>
          <w:rFonts w:ascii="Times New Roman" w:hAnsi="Times New Roman"/>
          <w:iCs/>
          <w:sz w:val="24"/>
          <w:szCs w:val="24"/>
          <w:lang w:val="en-US"/>
        </w:rPr>
        <w:t xml:space="preserve">.  There are </w:t>
      </w:r>
      <w:r w:rsidR="00CE07AC" w:rsidRPr="00BC0B15">
        <w:rPr>
          <w:rFonts w:ascii="Times New Roman" w:hAnsi="Times New Roman"/>
          <w:iCs/>
          <w:sz w:val="24"/>
          <w:szCs w:val="24"/>
        </w:rPr>
        <w:t xml:space="preserve">spaces for optional comments.  Responses are voluntary. The </w:t>
      </w:r>
      <w:r w:rsidR="009335E7" w:rsidRPr="00BC0B15">
        <w:rPr>
          <w:rFonts w:ascii="Times New Roman" w:hAnsi="Times New Roman"/>
          <w:iCs/>
          <w:sz w:val="24"/>
          <w:szCs w:val="24"/>
        </w:rPr>
        <w:t xml:space="preserve">census </w:t>
      </w:r>
      <w:r w:rsidR="00CE07AC" w:rsidRPr="00BC0B15">
        <w:rPr>
          <w:rFonts w:ascii="Times New Roman" w:hAnsi="Times New Roman"/>
          <w:iCs/>
          <w:sz w:val="24"/>
          <w:szCs w:val="24"/>
        </w:rPr>
        <w:t xml:space="preserve">instrument and procedures are based on the instrument used in </w:t>
      </w:r>
      <w:r w:rsidR="003D04D0" w:rsidRPr="00BC0B15">
        <w:rPr>
          <w:rFonts w:ascii="Times New Roman" w:hAnsi="Times New Roman"/>
          <w:iCs/>
          <w:sz w:val="24"/>
          <w:szCs w:val="24"/>
        </w:rPr>
        <w:t xml:space="preserve">a </w:t>
      </w:r>
      <w:r w:rsidR="009335E7" w:rsidRPr="00BC0B15">
        <w:rPr>
          <w:rFonts w:ascii="Times New Roman" w:hAnsi="Times New Roman"/>
          <w:iCs/>
          <w:sz w:val="24"/>
          <w:szCs w:val="24"/>
        </w:rPr>
        <w:t xml:space="preserve">similar </w:t>
      </w:r>
      <w:r w:rsidR="00CE07AC" w:rsidRPr="00BC0B15">
        <w:rPr>
          <w:rFonts w:ascii="Times New Roman" w:hAnsi="Times New Roman"/>
          <w:iCs/>
          <w:sz w:val="24"/>
          <w:szCs w:val="24"/>
        </w:rPr>
        <w:t>study “Demand for Genetic Resources</w:t>
      </w:r>
      <w:r w:rsidR="00E252A3">
        <w:rPr>
          <w:rFonts w:ascii="Times New Roman" w:hAnsi="Times New Roman"/>
          <w:iCs/>
          <w:sz w:val="24"/>
          <w:szCs w:val="24"/>
          <w:lang w:val="en-US"/>
        </w:rPr>
        <w:t xml:space="preserve"> </w:t>
      </w:r>
      <w:r w:rsidR="00CE07AC" w:rsidRPr="00BC0B15">
        <w:rPr>
          <w:rFonts w:ascii="Times New Roman" w:hAnsi="Times New Roman"/>
          <w:iCs/>
          <w:sz w:val="24"/>
          <w:szCs w:val="24"/>
        </w:rPr>
        <w:t>from the Nationa</w:t>
      </w:r>
      <w:r w:rsidR="003D04D0" w:rsidRPr="00BC0B15">
        <w:rPr>
          <w:rFonts w:ascii="Times New Roman" w:hAnsi="Times New Roman"/>
          <w:iCs/>
          <w:sz w:val="24"/>
          <w:szCs w:val="24"/>
        </w:rPr>
        <w:t>l Plant Germplasm System”</w:t>
      </w:r>
      <w:r w:rsidR="009335E7" w:rsidRPr="00BC0B15">
        <w:rPr>
          <w:rFonts w:ascii="Times New Roman" w:hAnsi="Times New Roman"/>
          <w:iCs/>
          <w:sz w:val="24"/>
          <w:szCs w:val="24"/>
        </w:rPr>
        <w:t xml:space="preserve"> in 2000.</w:t>
      </w:r>
      <w:r w:rsidR="003D04D0" w:rsidRPr="00BC0B15">
        <w:rPr>
          <w:rFonts w:ascii="Times New Roman" w:hAnsi="Times New Roman"/>
          <w:iCs/>
          <w:sz w:val="24"/>
          <w:szCs w:val="24"/>
        </w:rPr>
        <w:t xml:space="preserve">  That</w:t>
      </w:r>
      <w:r w:rsidR="009335E7" w:rsidRPr="00BC0B15">
        <w:rPr>
          <w:rFonts w:ascii="Times New Roman" w:hAnsi="Times New Roman"/>
          <w:iCs/>
          <w:sz w:val="24"/>
          <w:szCs w:val="24"/>
        </w:rPr>
        <w:t xml:space="preserve"> instrument was</w:t>
      </w:r>
      <w:r w:rsidR="00CE07AC" w:rsidRPr="00BC0B15">
        <w:rPr>
          <w:rFonts w:ascii="Times New Roman" w:hAnsi="Times New Roman"/>
          <w:iCs/>
          <w:sz w:val="24"/>
          <w:szCs w:val="24"/>
        </w:rPr>
        <w:t xml:space="preserve"> developed by </w:t>
      </w:r>
      <w:r w:rsidR="00E252A3">
        <w:rPr>
          <w:rFonts w:ascii="Times New Roman" w:hAnsi="Times New Roman"/>
          <w:iCs/>
          <w:sz w:val="24"/>
          <w:szCs w:val="24"/>
          <w:lang w:val="en-US"/>
        </w:rPr>
        <w:t xml:space="preserve">the </w:t>
      </w:r>
      <w:r w:rsidR="00CE07AC" w:rsidRPr="00BC0B15">
        <w:rPr>
          <w:rFonts w:ascii="Times New Roman" w:hAnsi="Times New Roman"/>
          <w:iCs/>
          <w:sz w:val="24"/>
          <w:szCs w:val="24"/>
        </w:rPr>
        <w:t>International Food Policy Research Institute, Auburn University’s Department of Agricultural Economics and Rural Sociology, the National Genetic Resources Lab</w:t>
      </w:r>
      <w:r w:rsidR="00B9760B">
        <w:rPr>
          <w:rFonts w:ascii="Times New Roman" w:hAnsi="Times New Roman"/>
          <w:iCs/>
          <w:sz w:val="24"/>
          <w:szCs w:val="24"/>
          <w:lang w:val="en-US"/>
        </w:rPr>
        <w:t>oratory</w:t>
      </w:r>
      <w:r w:rsidR="00CE07AC" w:rsidRPr="00BC0B15">
        <w:rPr>
          <w:rFonts w:ascii="Times New Roman" w:hAnsi="Times New Roman"/>
          <w:iCs/>
          <w:sz w:val="24"/>
          <w:szCs w:val="24"/>
        </w:rPr>
        <w:t xml:space="preserve"> </w:t>
      </w:r>
      <w:r w:rsidR="00C65166">
        <w:rPr>
          <w:rFonts w:ascii="Times New Roman" w:hAnsi="Times New Roman"/>
          <w:iCs/>
          <w:sz w:val="24"/>
          <w:szCs w:val="24"/>
        </w:rPr>
        <w:t xml:space="preserve">(NGRL) </w:t>
      </w:r>
      <w:r w:rsidR="00CE07AC" w:rsidRPr="00BC0B15">
        <w:rPr>
          <w:rFonts w:ascii="Times New Roman" w:hAnsi="Times New Roman"/>
          <w:iCs/>
          <w:sz w:val="24"/>
          <w:szCs w:val="24"/>
        </w:rPr>
        <w:t xml:space="preserve">of the </w:t>
      </w:r>
      <w:r w:rsidR="00C65166">
        <w:rPr>
          <w:rFonts w:ascii="Times New Roman" w:hAnsi="Times New Roman"/>
          <w:iCs/>
          <w:sz w:val="24"/>
          <w:szCs w:val="24"/>
        </w:rPr>
        <w:t>NPGS</w:t>
      </w:r>
      <w:r w:rsidR="00B9760B">
        <w:rPr>
          <w:rFonts w:ascii="Times New Roman" w:hAnsi="Times New Roman"/>
          <w:iCs/>
          <w:sz w:val="24"/>
          <w:szCs w:val="24"/>
          <w:lang w:val="en-US"/>
        </w:rPr>
        <w:t>,</w:t>
      </w:r>
      <w:r w:rsidR="00C65166">
        <w:rPr>
          <w:rFonts w:ascii="Times New Roman" w:hAnsi="Times New Roman"/>
          <w:iCs/>
          <w:sz w:val="24"/>
          <w:szCs w:val="24"/>
        </w:rPr>
        <w:t xml:space="preserve"> </w:t>
      </w:r>
      <w:r w:rsidR="00CE07AC" w:rsidRPr="00BC0B15">
        <w:rPr>
          <w:rFonts w:ascii="Times New Roman" w:hAnsi="Times New Roman"/>
          <w:iCs/>
          <w:sz w:val="24"/>
          <w:szCs w:val="24"/>
        </w:rPr>
        <w:t>and</w:t>
      </w:r>
      <w:r w:rsidR="00C65166">
        <w:rPr>
          <w:rFonts w:ascii="Times New Roman" w:hAnsi="Times New Roman"/>
          <w:iCs/>
          <w:sz w:val="24"/>
          <w:szCs w:val="24"/>
        </w:rPr>
        <w:t xml:space="preserve"> ERS</w:t>
      </w:r>
      <w:r w:rsidR="00CE07AC" w:rsidRPr="00BC0B15">
        <w:rPr>
          <w:rFonts w:ascii="Times New Roman" w:hAnsi="Times New Roman"/>
          <w:iCs/>
          <w:sz w:val="24"/>
          <w:szCs w:val="24"/>
        </w:rPr>
        <w:t xml:space="preserve">.  The sequence of questions began with simple estimates of accessions requested and received and ended with professional and institutional inquires, as suggested by </w:t>
      </w:r>
      <w:r w:rsidR="00704F44">
        <w:rPr>
          <w:rFonts w:ascii="Times New Roman" w:hAnsi="Times New Roman"/>
          <w:iCs/>
          <w:sz w:val="24"/>
          <w:szCs w:val="24"/>
        </w:rPr>
        <w:t xml:space="preserve">Auburn </w:t>
      </w:r>
      <w:r w:rsidR="00CE07AC" w:rsidRPr="00BC0B15">
        <w:rPr>
          <w:rFonts w:ascii="Times New Roman" w:hAnsi="Times New Roman"/>
          <w:iCs/>
          <w:sz w:val="24"/>
          <w:szCs w:val="24"/>
        </w:rPr>
        <w:t xml:space="preserve">sociologist </w:t>
      </w:r>
      <w:r w:rsidR="00704F44">
        <w:rPr>
          <w:rFonts w:ascii="Times New Roman" w:hAnsi="Times New Roman"/>
          <w:iCs/>
          <w:sz w:val="24"/>
          <w:szCs w:val="24"/>
        </w:rPr>
        <w:t>Rick Walsh</w:t>
      </w:r>
      <w:r w:rsidR="00CE07AC" w:rsidRPr="00BC0B15">
        <w:rPr>
          <w:rFonts w:ascii="Times New Roman" w:hAnsi="Times New Roman"/>
          <w:iCs/>
          <w:sz w:val="24"/>
          <w:szCs w:val="24"/>
        </w:rPr>
        <w:t xml:space="preserve">, who advised the earlier study.  </w:t>
      </w:r>
      <w:r w:rsidR="009335E7">
        <w:rPr>
          <w:rFonts w:ascii="Times New Roman" w:hAnsi="Times New Roman"/>
          <w:iCs/>
          <w:sz w:val="24"/>
          <w:szCs w:val="24"/>
        </w:rPr>
        <w:t xml:space="preserve">Using the results of the census, along with the study conducted 15 years ago, we </w:t>
      </w:r>
      <w:r w:rsidR="00173B94">
        <w:rPr>
          <w:rFonts w:ascii="Times New Roman" w:hAnsi="Times New Roman"/>
          <w:iCs/>
          <w:sz w:val="24"/>
          <w:szCs w:val="24"/>
        </w:rPr>
        <w:t>plan to</w:t>
      </w:r>
      <w:r w:rsidR="009335E7">
        <w:rPr>
          <w:rFonts w:ascii="Times New Roman" w:hAnsi="Times New Roman"/>
          <w:iCs/>
          <w:sz w:val="24"/>
          <w:szCs w:val="24"/>
        </w:rPr>
        <w:t xml:space="preserve"> compare </w:t>
      </w:r>
      <w:r w:rsidR="009335E7" w:rsidRPr="00322DA7">
        <w:rPr>
          <w:rFonts w:ascii="Times New Roman" w:hAnsi="Times New Roman"/>
          <w:iCs/>
          <w:sz w:val="24"/>
          <w:szCs w:val="24"/>
        </w:rPr>
        <w:t xml:space="preserve">two time periods of germplasm use.  </w:t>
      </w:r>
    </w:p>
    <w:p w14:paraId="66A66009" w14:textId="77777777" w:rsidR="00765A8F" w:rsidRDefault="00765A8F" w:rsidP="009335E7">
      <w:pPr>
        <w:pStyle w:val="HTMLPreformatted"/>
        <w:rPr>
          <w:rFonts w:ascii="Times New Roman" w:hAnsi="Times New Roman"/>
          <w:iCs/>
          <w:sz w:val="24"/>
          <w:szCs w:val="24"/>
        </w:rPr>
      </w:pPr>
    </w:p>
    <w:p w14:paraId="17BF1762" w14:textId="5AF7DAB6" w:rsidR="00204D7B" w:rsidRPr="00204D7B" w:rsidRDefault="00204D7B" w:rsidP="00765A8F">
      <w:pPr>
        <w:pStyle w:val="HTMLPreformatted"/>
        <w:rPr>
          <w:rFonts w:ascii="Times New Roman" w:hAnsi="Times New Roman"/>
          <w:iCs/>
          <w:sz w:val="24"/>
          <w:szCs w:val="24"/>
        </w:rPr>
      </w:pPr>
      <w:r>
        <w:rPr>
          <w:rFonts w:ascii="Times New Roman" w:hAnsi="Times New Roman"/>
          <w:iCs/>
          <w:sz w:val="24"/>
          <w:szCs w:val="24"/>
        </w:rPr>
        <w:t>The database of responses will</w:t>
      </w:r>
      <w:r w:rsidRPr="00204D7B">
        <w:rPr>
          <w:rFonts w:ascii="Times New Roman" w:hAnsi="Times New Roman"/>
          <w:iCs/>
          <w:sz w:val="24"/>
          <w:szCs w:val="24"/>
        </w:rPr>
        <w:t xml:space="preserve"> be used by ERS researchers to </w:t>
      </w:r>
      <w:r>
        <w:rPr>
          <w:rFonts w:ascii="Times New Roman" w:hAnsi="Times New Roman"/>
          <w:iCs/>
          <w:sz w:val="24"/>
          <w:szCs w:val="24"/>
        </w:rPr>
        <w:t xml:space="preserve">measure </w:t>
      </w:r>
      <w:r w:rsidRPr="00204D7B">
        <w:rPr>
          <w:rFonts w:ascii="Times New Roman" w:hAnsi="Times New Roman"/>
          <w:iCs/>
          <w:sz w:val="24"/>
          <w:szCs w:val="24"/>
        </w:rPr>
        <w:t xml:space="preserve">germplasm </w:t>
      </w:r>
      <w:r>
        <w:rPr>
          <w:rFonts w:ascii="Times New Roman" w:hAnsi="Times New Roman"/>
          <w:iCs/>
          <w:sz w:val="24"/>
          <w:szCs w:val="24"/>
        </w:rPr>
        <w:t xml:space="preserve">demand, </w:t>
      </w:r>
      <w:r w:rsidR="006366D4">
        <w:rPr>
          <w:rFonts w:ascii="Times New Roman" w:hAnsi="Times New Roman"/>
          <w:iCs/>
          <w:sz w:val="24"/>
          <w:szCs w:val="24"/>
          <w:lang w:val="en-US"/>
        </w:rPr>
        <w:t>the way germplasm is used, the degree to which NPGS germplasm met users</w:t>
      </w:r>
      <w:r w:rsidR="00B9760B">
        <w:rPr>
          <w:rFonts w:ascii="Times New Roman" w:hAnsi="Times New Roman"/>
          <w:iCs/>
          <w:sz w:val="24"/>
          <w:szCs w:val="24"/>
          <w:lang w:val="en-US"/>
        </w:rPr>
        <w:t>’</w:t>
      </w:r>
      <w:r w:rsidR="006366D4">
        <w:rPr>
          <w:rFonts w:ascii="Times New Roman" w:hAnsi="Times New Roman"/>
          <w:iCs/>
          <w:sz w:val="24"/>
          <w:szCs w:val="24"/>
          <w:lang w:val="en-US"/>
        </w:rPr>
        <w:t xml:space="preserve"> objectives</w:t>
      </w:r>
      <w:r w:rsidR="00492AB9">
        <w:rPr>
          <w:rFonts w:ascii="Times New Roman" w:hAnsi="Times New Roman"/>
          <w:iCs/>
          <w:sz w:val="24"/>
          <w:szCs w:val="24"/>
          <w:lang w:val="en-US"/>
        </w:rPr>
        <w:t xml:space="preserve">, and sources of increased demand for NPGS </w:t>
      </w:r>
      <w:r w:rsidR="00703413">
        <w:rPr>
          <w:rFonts w:ascii="Times New Roman" w:hAnsi="Times New Roman"/>
          <w:iCs/>
          <w:sz w:val="24"/>
          <w:szCs w:val="24"/>
          <w:lang w:val="en-US"/>
        </w:rPr>
        <w:t>materials</w:t>
      </w:r>
      <w:r w:rsidR="006366D4">
        <w:rPr>
          <w:rFonts w:ascii="Times New Roman" w:hAnsi="Times New Roman"/>
          <w:iCs/>
          <w:sz w:val="24"/>
          <w:szCs w:val="24"/>
          <w:lang w:val="en-US"/>
        </w:rPr>
        <w:t xml:space="preserve">.  </w:t>
      </w:r>
      <w:r>
        <w:rPr>
          <w:rFonts w:ascii="Times New Roman" w:hAnsi="Times New Roman"/>
          <w:iCs/>
          <w:sz w:val="24"/>
          <w:szCs w:val="24"/>
        </w:rPr>
        <w:t>Analysis will form the basis of an Economic Research Report published by USDA ERS.  Geospatial findings will also be</w:t>
      </w:r>
      <w:r w:rsidRPr="00204D7B">
        <w:rPr>
          <w:rFonts w:ascii="Times New Roman" w:hAnsi="Times New Roman"/>
          <w:iCs/>
          <w:sz w:val="24"/>
          <w:szCs w:val="24"/>
        </w:rPr>
        <w:t xml:space="preserve"> used in </w:t>
      </w:r>
      <w:r>
        <w:rPr>
          <w:rFonts w:ascii="Times New Roman" w:hAnsi="Times New Roman"/>
          <w:iCs/>
          <w:sz w:val="24"/>
          <w:szCs w:val="24"/>
        </w:rPr>
        <w:t xml:space="preserve">ERS products </w:t>
      </w:r>
      <w:r w:rsidRPr="00204D7B">
        <w:rPr>
          <w:rFonts w:ascii="Times New Roman" w:hAnsi="Times New Roman"/>
          <w:iCs/>
          <w:sz w:val="24"/>
          <w:szCs w:val="24"/>
        </w:rPr>
        <w:t xml:space="preserve">related to </w:t>
      </w:r>
      <w:r w:rsidR="00492AB9" w:rsidRPr="00204D7B">
        <w:rPr>
          <w:rFonts w:ascii="Times New Roman" w:hAnsi="Times New Roman"/>
          <w:iCs/>
          <w:sz w:val="24"/>
          <w:szCs w:val="24"/>
        </w:rPr>
        <w:t>productivity</w:t>
      </w:r>
      <w:r w:rsidR="00492AB9" w:rsidRPr="00204D7B" w:rsidDel="00B9760B">
        <w:rPr>
          <w:rFonts w:ascii="Times New Roman" w:hAnsi="Times New Roman"/>
          <w:iCs/>
          <w:sz w:val="24"/>
          <w:szCs w:val="24"/>
        </w:rPr>
        <w:t xml:space="preserve"> </w:t>
      </w:r>
      <w:r w:rsidR="00492AB9">
        <w:rPr>
          <w:rFonts w:ascii="Times New Roman" w:hAnsi="Times New Roman"/>
          <w:iCs/>
          <w:sz w:val="24"/>
          <w:szCs w:val="24"/>
          <w:lang w:val="en-US"/>
        </w:rPr>
        <w:t xml:space="preserve">and </w:t>
      </w:r>
      <w:r w:rsidRPr="00204D7B">
        <w:rPr>
          <w:rFonts w:ascii="Times New Roman" w:hAnsi="Times New Roman"/>
          <w:iCs/>
          <w:sz w:val="24"/>
          <w:szCs w:val="24"/>
        </w:rPr>
        <w:t>chang</w:t>
      </w:r>
      <w:r w:rsidR="00B9760B">
        <w:rPr>
          <w:rFonts w:ascii="Times New Roman" w:hAnsi="Times New Roman"/>
          <w:iCs/>
          <w:sz w:val="24"/>
          <w:szCs w:val="24"/>
          <w:lang w:val="en-US"/>
        </w:rPr>
        <w:t>ing growing conditions</w:t>
      </w:r>
      <w:r w:rsidRPr="00204D7B">
        <w:rPr>
          <w:rFonts w:ascii="Times New Roman" w:hAnsi="Times New Roman"/>
          <w:iCs/>
          <w:sz w:val="24"/>
          <w:szCs w:val="24"/>
        </w:rPr>
        <w:t xml:space="preserve"> .  </w:t>
      </w:r>
      <w:r w:rsidR="00765A8F" w:rsidRPr="00204D7B">
        <w:rPr>
          <w:rFonts w:ascii="Times New Roman" w:hAnsi="Times New Roman"/>
          <w:iCs/>
          <w:sz w:val="24"/>
          <w:szCs w:val="24"/>
        </w:rPr>
        <w:t xml:space="preserve">The database </w:t>
      </w:r>
      <w:r w:rsidR="00765A8F">
        <w:rPr>
          <w:rFonts w:ascii="Times New Roman" w:hAnsi="Times New Roman"/>
          <w:iCs/>
          <w:sz w:val="24"/>
          <w:szCs w:val="24"/>
        </w:rPr>
        <w:t xml:space="preserve">will </w:t>
      </w:r>
      <w:r w:rsidR="00765A8F" w:rsidRPr="00204D7B">
        <w:rPr>
          <w:rFonts w:ascii="Times New Roman" w:hAnsi="Times New Roman"/>
          <w:iCs/>
          <w:sz w:val="24"/>
          <w:szCs w:val="24"/>
        </w:rPr>
        <w:t xml:space="preserve">be </w:t>
      </w:r>
      <w:r w:rsidR="00765A8F">
        <w:rPr>
          <w:rFonts w:ascii="Times New Roman" w:hAnsi="Times New Roman"/>
          <w:iCs/>
          <w:sz w:val="24"/>
          <w:szCs w:val="24"/>
        </w:rPr>
        <w:t xml:space="preserve">shared with </w:t>
      </w:r>
      <w:r w:rsidR="00765A8F" w:rsidRPr="00204D7B">
        <w:rPr>
          <w:rFonts w:ascii="Times New Roman" w:hAnsi="Times New Roman"/>
          <w:iCs/>
          <w:sz w:val="24"/>
          <w:szCs w:val="24"/>
        </w:rPr>
        <w:t xml:space="preserve">NPGS staff and research leaders in the plant genetic resource </w:t>
      </w:r>
      <w:r w:rsidR="00765A8F">
        <w:rPr>
          <w:rFonts w:ascii="Times New Roman" w:hAnsi="Times New Roman"/>
          <w:iCs/>
          <w:sz w:val="24"/>
          <w:szCs w:val="24"/>
        </w:rPr>
        <w:t>area at the Agricultural Research Service (ARS) for program assessment</w:t>
      </w:r>
      <w:r w:rsidR="00765A8F" w:rsidRPr="00204D7B">
        <w:rPr>
          <w:rFonts w:ascii="Times New Roman" w:hAnsi="Times New Roman"/>
          <w:iCs/>
          <w:sz w:val="24"/>
          <w:szCs w:val="24"/>
        </w:rPr>
        <w:t xml:space="preserve">.  </w:t>
      </w:r>
    </w:p>
    <w:p w14:paraId="18F0C37A" w14:textId="77777777" w:rsidR="00204D7B" w:rsidRDefault="00204D7B" w:rsidP="009335E7">
      <w:pPr>
        <w:pStyle w:val="HTMLPreformatted"/>
        <w:rPr>
          <w:rFonts w:ascii="Times New Roman" w:hAnsi="Times New Roman"/>
          <w:iCs/>
          <w:sz w:val="24"/>
          <w:szCs w:val="24"/>
        </w:rPr>
      </w:pPr>
    </w:p>
    <w:p w14:paraId="6787CDA0" w14:textId="77777777" w:rsidR="00071F56" w:rsidRPr="00322DA7" w:rsidRDefault="00071F56" w:rsidP="00C91FC2">
      <w:pPr>
        <w:numPr>
          <w:ilvl w:val="0"/>
          <w:numId w:val="22"/>
        </w:numPr>
        <w:rPr>
          <w:b/>
          <w:sz w:val="24"/>
          <w:szCs w:val="24"/>
        </w:rPr>
      </w:pPr>
      <w:r w:rsidRPr="00322DA7">
        <w:rPr>
          <w:b/>
          <w:sz w:val="24"/>
          <w:szCs w:val="24"/>
        </w:rPr>
        <w:lastRenderedPageBreak/>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FE856B4" w14:textId="77777777" w:rsidR="00322DA7" w:rsidRPr="00322DA7" w:rsidRDefault="00322DA7" w:rsidP="00322DA7">
      <w:pPr>
        <w:rPr>
          <w:b/>
          <w:sz w:val="24"/>
          <w:szCs w:val="24"/>
        </w:rPr>
      </w:pPr>
    </w:p>
    <w:p w14:paraId="6F532096" w14:textId="328A13F8" w:rsidR="00071F56" w:rsidRDefault="00322DA7" w:rsidP="00765A8F">
      <w:pPr>
        <w:rPr>
          <w:sz w:val="24"/>
          <w:szCs w:val="24"/>
        </w:rPr>
      </w:pPr>
      <w:r w:rsidRPr="00322DA7">
        <w:rPr>
          <w:sz w:val="24"/>
          <w:szCs w:val="24"/>
        </w:rPr>
        <w:t xml:space="preserve">The information collection will be administered on-line using </w:t>
      </w:r>
      <w:proofErr w:type="spellStart"/>
      <w:r w:rsidRPr="00322DA7">
        <w:rPr>
          <w:sz w:val="24"/>
          <w:szCs w:val="24"/>
        </w:rPr>
        <w:t>SurveyMonkey</w:t>
      </w:r>
      <w:proofErr w:type="spellEnd"/>
      <w:r w:rsidRPr="00322DA7">
        <w:rPr>
          <w:sz w:val="24"/>
          <w:szCs w:val="24"/>
        </w:rPr>
        <w:t>, a web-based survey software packag</w:t>
      </w:r>
      <w:r w:rsidR="00E252A3">
        <w:rPr>
          <w:sz w:val="24"/>
          <w:szCs w:val="24"/>
        </w:rPr>
        <w:t>e.  Collection of these data on</w:t>
      </w:r>
      <w:r w:rsidRPr="00322DA7">
        <w:rPr>
          <w:sz w:val="24"/>
          <w:szCs w:val="24"/>
        </w:rPr>
        <w:t xml:space="preserve">line permits a substantial cost savings, and </w:t>
      </w:r>
      <w:proofErr w:type="spellStart"/>
      <w:r w:rsidRPr="00322DA7">
        <w:rPr>
          <w:sz w:val="24"/>
          <w:szCs w:val="24"/>
        </w:rPr>
        <w:t>SurveyMonkey</w:t>
      </w:r>
      <w:proofErr w:type="spellEnd"/>
      <w:r w:rsidRPr="00322DA7">
        <w:rPr>
          <w:sz w:val="24"/>
          <w:szCs w:val="24"/>
        </w:rPr>
        <w:t xml:space="preserve"> is a popular, low-cost, reliable survey package that is easy to use for both questionnaire developers and respondents.  </w:t>
      </w:r>
    </w:p>
    <w:p w14:paraId="63161B98" w14:textId="77777777" w:rsidR="003D04D0" w:rsidRDefault="003D04D0" w:rsidP="003D04D0">
      <w:pPr>
        <w:pStyle w:val="HTMLPreformatted"/>
      </w:pPr>
    </w:p>
    <w:p w14:paraId="622D6EDB" w14:textId="1E19D330" w:rsidR="003D04D0" w:rsidRPr="00914305" w:rsidRDefault="003D04D0" w:rsidP="00765A8F">
      <w:pPr>
        <w:pStyle w:val="HTMLPreformatted"/>
        <w:rPr>
          <w:rFonts w:ascii="Times New Roman" w:hAnsi="Times New Roman"/>
          <w:iCs/>
          <w:sz w:val="24"/>
          <w:szCs w:val="24"/>
        </w:rPr>
      </w:pPr>
      <w:r w:rsidRPr="00FC4F6C">
        <w:rPr>
          <w:rFonts w:ascii="Times New Roman" w:hAnsi="Times New Roman"/>
          <w:iCs/>
          <w:sz w:val="24"/>
          <w:szCs w:val="24"/>
        </w:rPr>
        <w:t xml:space="preserve">The census questionnaire has been kept as simple and respondent-friendly as possible. The web-based instrument was pretested for ease of use by </w:t>
      </w:r>
      <w:r w:rsidR="005E7011" w:rsidRPr="00FC4F6C">
        <w:rPr>
          <w:rFonts w:ascii="Times New Roman" w:hAnsi="Times New Roman"/>
          <w:iCs/>
          <w:sz w:val="24"/>
          <w:szCs w:val="24"/>
        </w:rPr>
        <w:t xml:space="preserve">seven </w:t>
      </w:r>
      <w:r w:rsidRPr="00FC4F6C">
        <w:rPr>
          <w:rFonts w:ascii="Times New Roman" w:hAnsi="Times New Roman"/>
          <w:iCs/>
          <w:sz w:val="24"/>
          <w:szCs w:val="24"/>
        </w:rPr>
        <w:t xml:space="preserve">germplasm requestors from </w:t>
      </w:r>
      <w:r w:rsidR="00765A8F">
        <w:rPr>
          <w:rFonts w:ascii="Times New Roman" w:hAnsi="Times New Roman"/>
          <w:iCs/>
          <w:sz w:val="24"/>
          <w:szCs w:val="24"/>
        </w:rPr>
        <w:t>USDA’s ARS</w:t>
      </w:r>
      <w:r w:rsidR="00606B58">
        <w:rPr>
          <w:rFonts w:ascii="Times New Roman" w:hAnsi="Times New Roman"/>
          <w:iCs/>
          <w:sz w:val="24"/>
          <w:szCs w:val="24"/>
          <w:lang w:val="en-US"/>
        </w:rPr>
        <w:t xml:space="preserve">.  Nine NPGS users then estimated the </w:t>
      </w:r>
      <w:r w:rsidRPr="00FC4F6C">
        <w:rPr>
          <w:rFonts w:ascii="Times New Roman" w:hAnsi="Times New Roman"/>
          <w:iCs/>
          <w:sz w:val="24"/>
          <w:szCs w:val="24"/>
        </w:rPr>
        <w:t xml:space="preserve">time spent completing the forms.  ERS information technology staff has worked to enhance the instrument design, including such elements as validated input, </w:t>
      </w:r>
      <w:r w:rsidR="00E50A2C">
        <w:rPr>
          <w:rFonts w:ascii="Times New Roman" w:hAnsi="Times New Roman"/>
          <w:iCs/>
          <w:sz w:val="24"/>
          <w:szCs w:val="24"/>
          <w:lang w:val="en-US"/>
        </w:rPr>
        <w:t xml:space="preserve">skip logic, </w:t>
      </w:r>
      <w:r w:rsidRPr="00FC4F6C">
        <w:rPr>
          <w:rFonts w:ascii="Times New Roman" w:hAnsi="Times New Roman"/>
          <w:iCs/>
          <w:sz w:val="24"/>
          <w:szCs w:val="24"/>
        </w:rPr>
        <w:t xml:space="preserve">indicators of survey progress and incentives in the form of access to aggregated data.  </w:t>
      </w:r>
      <w:r w:rsidR="00914305">
        <w:rPr>
          <w:rFonts w:ascii="Times New Roman" w:hAnsi="Times New Roman"/>
          <w:iCs/>
          <w:sz w:val="24"/>
          <w:szCs w:val="24"/>
        </w:rPr>
        <w:t>(Respondents will be sent a link to the ERS report</w:t>
      </w:r>
      <w:r w:rsidR="00366748">
        <w:rPr>
          <w:rFonts w:ascii="Times New Roman" w:hAnsi="Times New Roman"/>
          <w:iCs/>
          <w:sz w:val="24"/>
          <w:szCs w:val="24"/>
        </w:rPr>
        <w:t>, which will include an appendix with the data</w:t>
      </w:r>
      <w:r w:rsidR="00914305">
        <w:rPr>
          <w:rFonts w:ascii="Times New Roman" w:hAnsi="Times New Roman"/>
          <w:iCs/>
          <w:sz w:val="24"/>
          <w:szCs w:val="24"/>
        </w:rPr>
        <w:t>.)</w:t>
      </w:r>
    </w:p>
    <w:p w14:paraId="0402C332" w14:textId="77777777" w:rsidR="00322DA7" w:rsidRPr="00322DA7" w:rsidRDefault="00322DA7" w:rsidP="009A3085">
      <w:pPr>
        <w:ind w:left="720"/>
        <w:rPr>
          <w:sz w:val="24"/>
          <w:szCs w:val="24"/>
        </w:rPr>
      </w:pPr>
    </w:p>
    <w:p w14:paraId="7906FD66" w14:textId="77777777" w:rsidR="00071F56" w:rsidRPr="00322DA7" w:rsidRDefault="00071F56" w:rsidP="009A3085">
      <w:pPr>
        <w:ind w:left="720" w:hanging="720"/>
        <w:rPr>
          <w:b/>
          <w:sz w:val="24"/>
          <w:szCs w:val="24"/>
        </w:rPr>
      </w:pPr>
      <w:r w:rsidRPr="00322DA7">
        <w:rPr>
          <w:b/>
          <w:sz w:val="24"/>
          <w:szCs w:val="24"/>
        </w:rPr>
        <w:t>4.</w:t>
      </w:r>
      <w:r w:rsidRPr="00322DA7">
        <w:rPr>
          <w:b/>
          <w:sz w:val="24"/>
          <w:szCs w:val="24"/>
        </w:rPr>
        <w:tab/>
        <w:t>Describe efforts to identify duplication.  Show specifically why any similar information already available cannot be used or modified for use for the purpose described in item 2 above.</w:t>
      </w:r>
    </w:p>
    <w:p w14:paraId="1C3420A7" w14:textId="77777777" w:rsidR="00071F56" w:rsidRDefault="00071F56" w:rsidP="009A3085">
      <w:pPr>
        <w:rPr>
          <w:sz w:val="24"/>
          <w:szCs w:val="24"/>
        </w:rPr>
      </w:pPr>
    </w:p>
    <w:p w14:paraId="16D55E0B" w14:textId="3152461F" w:rsidR="00BC0B15" w:rsidRDefault="005E7011" w:rsidP="00BC0B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Cs/>
          <w:sz w:val="24"/>
          <w:szCs w:val="24"/>
        </w:rPr>
      </w:pPr>
      <w:r w:rsidRPr="00FC4F6C">
        <w:rPr>
          <w:iCs/>
          <w:sz w:val="24"/>
          <w:szCs w:val="24"/>
        </w:rPr>
        <w:t>We consulted with the</w:t>
      </w:r>
      <w:r w:rsidR="00765A8F">
        <w:rPr>
          <w:iCs/>
          <w:sz w:val="24"/>
          <w:szCs w:val="24"/>
        </w:rPr>
        <w:t xml:space="preserve"> NGRL</w:t>
      </w:r>
      <w:r w:rsidRPr="00FC4F6C">
        <w:rPr>
          <w:iCs/>
          <w:sz w:val="24"/>
          <w:szCs w:val="24"/>
        </w:rPr>
        <w:t xml:space="preserve">, which maintains data on the distribution of NPGS resources.  The NGRL has data on the germplasm requests by crop, the type of germplasm distributed, and recipients’ locations by country.  However, the data collected do not include information about the traits sought, </w:t>
      </w:r>
      <w:r w:rsidR="00E248D1">
        <w:rPr>
          <w:iCs/>
          <w:sz w:val="24"/>
          <w:szCs w:val="24"/>
        </w:rPr>
        <w:t xml:space="preserve">the </w:t>
      </w:r>
      <w:r w:rsidR="0026078F" w:rsidRPr="00FC4F6C">
        <w:rPr>
          <w:iCs/>
          <w:sz w:val="24"/>
          <w:szCs w:val="24"/>
        </w:rPr>
        <w:t>ways in which germplasm has been used, the utility of accessions in breeding and other scientific endeavors</w:t>
      </w:r>
      <w:r w:rsidR="00765A8F">
        <w:rPr>
          <w:iCs/>
          <w:sz w:val="24"/>
          <w:szCs w:val="24"/>
        </w:rPr>
        <w:t>,</w:t>
      </w:r>
      <w:r w:rsidR="0026078F" w:rsidRPr="00FC4F6C">
        <w:rPr>
          <w:iCs/>
          <w:sz w:val="24"/>
          <w:szCs w:val="24"/>
        </w:rPr>
        <w:t xml:space="preserve"> and </w:t>
      </w:r>
      <w:r w:rsidR="00FC4F6C" w:rsidRPr="00FC4F6C">
        <w:rPr>
          <w:iCs/>
          <w:sz w:val="24"/>
          <w:szCs w:val="24"/>
        </w:rPr>
        <w:t>expectation</w:t>
      </w:r>
      <w:r w:rsidR="00B9760B">
        <w:rPr>
          <w:iCs/>
          <w:sz w:val="24"/>
          <w:szCs w:val="24"/>
        </w:rPr>
        <w:t>s</w:t>
      </w:r>
      <w:r w:rsidR="00FC4F6C" w:rsidRPr="00FC4F6C">
        <w:rPr>
          <w:iCs/>
          <w:sz w:val="24"/>
          <w:szCs w:val="24"/>
        </w:rPr>
        <w:t xml:space="preserve"> of use of the system’s resources in the future.</w:t>
      </w:r>
      <w:r w:rsidR="00FC4F6C">
        <w:rPr>
          <w:color w:val="000000"/>
        </w:rPr>
        <w:t xml:space="preserve">  </w:t>
      </w:r>
      <w:r w:rsidR="0026078F" w:rsidRPr="00322DA7">
        <w:rPr>
          <w:iCs/>
          <w:sz w:val="24"/>
          <w:szCs w:val="24"/>
        </w:rPr>
        <w:t>By including two additional descriptors of abiotic tolerance</w:t>
      </w:r>
      <w:r w:rsidR="00765A8F">
        <w:rPr>
          <w:iCs/>
          <w:sz w:val="24"/>
          <w:szCs w:val="24"/>
        </w:rPr>
        <w:t xml:space="preserve"> in the question about traits sought</w:t>
      </w:r>
      <w:r w:rsidR="00FC4F6C">
        <w:rPr>
          <w:iCs/>
          <w:sz w:val="24"/>
          <w:szCs w:val="24"/>
        </w:rPr>
        <w:t xml:space="preserve"> (</w:t>
      </w:r>
      <w:r w:rsidR="00765A8F">
        <w:rPr>
          <w:iCs/>
          <w:sz w:val="24"/>
          <w:szCs w:val="24"/>
        </w:rPr>
        <w:t xml:space="preserve">i.e., </w:t>
      </w:r>
      <w:r w:rsidR="00FC4F6C">
        <w:rPr>
          <w:iCs/>
          <w:sz w:val="24"/>
          <w:szCs w:val="24"/>
        </w:rPr>
        <w:t xml:space="preserve">temperature resistance and </w:t>
      </w:r>
      <w:r w:rsidR="00765A8F">
        <w:rPr>
          <w:iCs/>
          <w:sz w:val="24"/>
          <w:szCs w:val="24"/>
        </w:rPr>
        <w:t>moisture/</w:t>
      </w:r>
      <w:r w:rsidR="00FC4F6C">
        <w:rPr>
          <w:iCs/>
          <w:sz w:val="24"/>
          <w:szCs w:val="24"/>
        </w:rPr>
        <w:t>drought resistance)</w:t>
      </w:r>
      <w:r w:rsidR="0026078F" w:rsidRPr="00322DA7">
        <w:rPr>
          <w:iCs/>
          <w:sz w:val="24"/>
          <w:szCs w:val="24"/>
        </w:rPr>
        <w:t xml:space="preserve">, we can </w:t>
      </w:r>
      <w:r w:rsidR="00846BD0">
        <w:rPr>
          <w:iCs/>
          <w:sz w:val="24"/>
          <w:szCs w:val="24"/>
        </w:rPr>
        <w:t xml:space="preserve">also </w:t>
      </w:r>
      <w:r w:rsidR="0026078F" w:rsidRPr="00322DA7">
        <w:rPr>
          <w:iCs/>
          <w:sz w:val="24"/>
          <w:szCs w:val="24"/>
        </w:rPr>
        <w:t>measure the demand for traits related to chang</w:t>
      </w:r>
      <w:r w:rsidR="00B9760B">
        <w:rPr>
          <w:iCs/>
          <w:sz w:val="24"/>
          <w:szCs w:val="24"/>
        </w:rPr>
        <w:t>ing growing conditions</w:t>
      </w:r>
      <w:r w:rsidR="0026078F" w:rsidRPr="00322DA7">
        <w:rPr>
          <w:iCs/>
          <w:sz w:val="24"/>
          <w:szCs w:val="24"/>
        </w:rPr>
        <w:t>.</w:t>
      </w:r>
      <w:r w:rsidR="004705F0">
        <w:rPr>
          <w:iCs/>
          <w:sz w:val="24"/>
          <w:szCs w:val="24"/>
        </w:rPr>
        <w:t xml:space="preserve">  No other survey or census collects this information.</w:t>
      </w:r>
      <w:r w:rsidR="0026078F" w:rsidRPr="00322DA7">
        <w:rPr>
          <w:iCs/>
          <w:sz w:val="24"/>
          <w:szCs w:val="24"/>
        </w:rPr>
        <w:t xml:space="preserve">   </w:t>
      </w:r>
    </w:p>
    <w:p w14:paraId="12858864" w14:textId="77777777" w:rsidR="00BC0B15" w:rsidRDefault="00BC0B15" w:rsidP="00BC0B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14:paraId="27CE273E" w14:textId="77777777" w:rsidR="00BC0B15" w:rsidRDefault="00BC0B15" w:rsidP="00BC0B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14:paraId="2AC430DE" w14:textId="77777777" w:rsidR="00071F56" w:rsidRDefault="00BC0B15" w:rsidP="00BD0B1B">
      <w:pPr>
        <w:ind w:left="720" w:hanging="720"/>
        <w:rPr>
          <w:b/>
          <w:sz w:val="24"/>
          <w:szCs w:val="24"/>
        </w:rPr>
      </w:pPr>
      <w:r w:rsidRPr="00BC0B15">
        <w:rPr>
          <w:b/>
          <w:color w:val="000000"/>
          <w:sz w:val="24"/>
          <w:szCs w:val="24"/>
        </w:rPr>
        <w:t>5.</w:t>
      </w:r>
      <w:r>
        <w:rPr>
          <w:b/>
          <w:sz w:val="24"/>
          <w:szCs w:val="24"/>
        </w:rPr>
        <w:t xml:space="preserve">   </w:t>
      </w:r>
      <w:r w:rsidR="00BD0B1B">
        <w:rPr>
          <w:b/>
          <w:sz w:val="24"/>
          <w:szCs w:val="24"/>
        </w:rPr>
        <w:tab/>
      </w:r>
      <w:r w:rsidR="00071F56" w:rsidRPr="00322DA7">
        <w:rPr>
          <w:b/>
          <w:sz w:val="24"/>
          <w:szCs w:val="24"/>
        </w:rPr>
        <w:t>If the collection of information impacts small businesses or other small entities, describe any methods used to minimize burden.</w:t>
      </w:r>
    </w:p>
    <w:p w14:paraId="43938918" w14:textId="77777777" w:rsidR="00BC0B15" w:rsidRPr="00BC0B15" w:rsidRDefault="00BC0B15" w:rsidP="00BC0B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14:paraId="0DFF2C66" w14:textId="167AF727" w:rsidR="00FC4F6C" w:rsidRPr="00322DA7" w:rsidRDefault="00E248D1" w:rsidP="00FC4F6C">
      <w:pPr>
        <w:rPr>
          <w:sz w:val="24"/>
          <w:szCs w:val="24"/>
        </w:rPr>
      </w:pPr>
      <w:r>
        <w:rPr>
          <w:sz w:val="24"/>
          <w:szCs w:val="24"/>
        </w:rPr>
        <w:t xml:space="preserve">The census will be sent to individual requestors.  </w:t>
      </w:r>
      <w:r w:rsidR="00BB2F40">
        <w:rPr>
          <w:sz w:val="24"/>
          <w:szCs w:val="24"/>
        </w:rPr>
        <w:t xml:space="preserve">Requestors vary widely </w:t>
      </w:r>
      <w:r w:rsidR="00C91FC2">
        <w:rPr>
          <w:sz w:val="24"/>
          <w:szCs w:val="24"/>
        </w:rPr>
        <w:t xml:space="preserve">in their </w:t>
      </w:r>
      <w:r w:rsidR="00BB2F40">
        <w:rPr>
          <w:sz w:val="24"/>
          <w:szCs w:val="24"/>
        </w:rPr>
        <w:t>institutional</w:t>
      </w:r>
      <w:r w:rsidR="00C91FC2">
        <w:rPr>
          <w:sz w:val="24"/>
          <w:szCs w:val="24"/>
        </w:rPr>
        <w:t xml:space="preserve"> affiliation</w:t>
      </w:r>
      <w:r w:rsidR="00BB2F40">
        <w:rPr>
          <w:sz w:val="24"/>
          <w:szCs w:val="24"/>
        </w:rPr>
        <w:t xml:space="preserve">. The </w:t>
      </w:r>
      <w:r w:rsidR="00C91FC2">
        <w:rPr>
          <w:sz w:val="24"/>
          <w:szCs w:val="24"/>
        </w:rPr>
        <w:t>majority of requestors come</w:t>
      </w:r>
      <w:r w:rsidR="00BB2F40">
        <w:rPr>
          <w:sz w:val="24"/>
          <w:szCs w:val="24"/>
        </w:rPr>
        <w:t xml:space="preserve"> from non-profit institutions, but </w:t>
      </w:r>
      <w:r w:rsidR="00C91FC2">
        <w:rPr>
          <w:sz w:val="24"/>
          <w:szCs w:val="24"/>
        </w:rPr>
        <w:t xml:space="preserve">requestors are associated with </w:t>
      </w:r>
      <w:r w:rsidR="003F50F4">
        <w:rPr>
          <w:sz w:val="24"/>
          <w:szCs w:val="24"/>
        </w:rPr>
        <w:t xml:space="preserve">businesses of all sizes as well.  </w:t>
      </w:r>
      <w:r w:rsidR="00253A0D">
        <w:rPr>
          <w:sz w:val="24"/>
          <w:szCs w:val="24"/>
        </w:rPr>
        <w:t xml:space="preserve">Among requestors from </w:t>
      </w:r>
      <w:r w:rsidR="00880D9F">
        <w:rPr>
          <w:sz w:val="24"/>
          <w:szCs w:val="24"/>
        </w:rPr>
        <w:t xml:space="preserve">U.S. </w:t>
      </w:r>
      <w:r w:rsidR="00253A0D">
        <w:rPr>
          <w:sz w:val="24"/>
          <w:szCs w:val="24"/>
        </w:rPr>
        <w:t>commercial institutions, 339 meet the Small Business Administration’s definition for small business manufacturers (i.e., less employing less than 500 people)</w:t>
      </w:r>
      <w:r w:rsidR="00880D9F">
        <w:rPr>
          <w:sz w:val="24"/>
          <w:szCs w:val="24"/>
        </w:rPr>
        <w:t xml:space="preserve">, or </w:t>
      </w:r>
      <w:r w:rsidR="00AF3AE3">
        <w:rPr>
          <w:sz w:val="24"/>
          <w:szCs w:val="24"/>
        </w:rPr>
        <w:t xml:space="preserve">approximately </w:t>
      </w:r>
      <w:r w:rsidR="00880D9F">
        <w:rPr>
          <w:sz w:val="24"/>
          <w:szCs w:val="24"/>
        </w:rPr>
        <w:t>5.6% of all requestors</w:t>
      </w:r>
      <w:r w:rsidR="00253A0D">
        <w:rPr>
          <w:sz w:val="24"/>
          <w:szCs w:val="24"/>
        </w:rPr>
        <w:t xml:space="preserve">.  </w:t>
      </w:r>
      <w:r w:rsidR="003F50F4">
        <w:rPr>
          <w:sz w:val="24"/>
          <w:szCs w:val="24"/>
        </w:rPr>
        <w:t xml:space="preserve">Unaffiliated </w:t>
      </w:r>
      <w:r w:rsidR="00BB2F40">
        <w:rPr>
          <w:sz w:val="24"/>
          <w:szCs w:val="24"/>
        </w:rPr>
        <w:t xml:space="preserve">individuals </w:t>
      </w:r>
      <w:r w:rsidR="003F50F4">
        <w:rPr>
          <w:sz w:val="24"/>
          <w:szCs w:val="24"/>
        </w:rPr>
        <w:t>also request</w:t>
      </w:r>
      <w:r w:rsidR="00BB2F40">
        <w:rPr>
          <w:sz w:val="24"/>
          <w:szCs w:val="24"/>
        </w:rPr>
        <w:t xml:space="preserve"> germplasm from the NPGS.  </w:t>
      </w:r>
      <w:r>
        <w:rPr>
          <w:sz w:val="24"/>
          <w:szCs w:val="24"/>
        </w:rPr>
        <w:t xml:space="preserve">The economic impacts of participation in the survey will be small for </w:t>
      </w:r>
      <w:r w:rsidR="00BB2F40">
        <w:rPr>
          <w:sz w:val="24"/>
          <w:szCs w:val="24"/>
        </w:rPr>
        <w:t xml:space="preserve">all </w:t>
      </w:r>
      <w:r>
        <w:rPr>
          <w:sz w:val="24"/>
          <w:szCs w:val="24"/>
        </w:rPr>
        <w:t xml:space="preserve">respondents because participation will occur at a time convenient </w:t>
      </w:r>
      <w:r w:rsidR="00BD0B1B">
        <w:rPr>
          <w:sz w:val="24"/>
          <w:szCs w:val="24"/>
        </w:rPr>
        <w:t xml:space="preserve">for </w:t>
      </w:r>
      <w:r>
        <w:rPr>
          <w:sz w:val="24"/>
          <w:szCs w:val="24"/>
        </w:rPr>
        <w:t>the respondents</w:t>
      </w:r>
      <w:r w:rsidR="00BB2F40">
        <w:rPr>
          <w:sz w:val="24"/>
          <w:szCs w:val="24"/>
        </w:rPr>
        <w:t>,</w:t>
      </w:r>
      <w:r>
        <w:rPr>
          <w:sz w:val="24"/>
          <w:szCs w:val="24"/>
        </w:rPr>
        <w:t xml:space="preserve"> and the mean time for </w:t>
      </w:r>
      <w:r w:rsidR="002A25B3">
        <w:rPr>
          <w:sz w:val="24"/>
          <w:szCs w:val="24"/>
        </w:rPr>
        <w:t xml:space="preserve">completing the questionnaire is </w:t>
      </w:r>
      <w:r w:rsidR="002A25B3" w:rsidRPr="004A7188">
        <w:rPr>
          <w:sz w:val="24"/>
          <w:szCs w:val="24"/>
        </w:rPr>
        <w:t xml:space="preserve">19.8 </w:t>
      </w:r>
      <w:r w:rsidRPr="004A7188">
        <w:rPr>
          <w:sz w:val="24"/>
          <w:szCs w:val="24"/>
        </w:rPr>
        <w:t>minutes</w:t>
      </w:r>
      <w:r>
        <w:rPr>
          <w:sz w:val="24"/>
          <w:szCs w:val="24"/>
        </w:rPr>
        <w:t xml:space="preserve">.  </w:t>
      </w:r>
      <w:r w:rsidR="00BD0B1B">
        <w:rPr>
          <w:sz w:val="24"/>
          <w:szCs w:val="24"/>
        </w:rPr>
        <w:t xml:space="preserve">Because </w:t>
      </w:r>
      <w:r>
        <w:rPr>
          <w:sz w:val="24"/>
          <w:szCs w:val="24"/>
        </w:rPr>
        <w:t xml:space="preserve">information will be collected via the internet, the use of an electronic information collection method will further reduce </w:t>
      </w:r>
      <w:r w:rsidR="00B9760B">
        <w:rPr>
          <w:sz w:val="24"/>
          <w:szCs w:val="24"/>
        </w:rPr>
        <w:t xml:space="preserve">the </w:t>
      </w:r>
      <w:r>
        <w:rPr>
          <w:sz w:val="24"/>
          <w:szCs w:val="24"/>
        </w:rPr>
        <w:t xml:space="preserve">participation burden.  </w:t>
      </w:r>
      <w:r w:rsidR="00880D9F">
        <w:rPr>
          <w:sz w:val="24"/>
          <w:szCs w:val="24"/>
        </w:rPr>
        <w:t xml:space="preserve">Based </w:t>
      </w:r>
      <w:r w:rsidR="00880D9F">
        <w:rPr>
          <w:sz w:val="24"/>
          <w:szCs w:val="24"/>
        </w:rPr>
        <w:lastRenderedPageBreak/>
        <w:t>on a total burden of 1,619.</w:t>
      </w:r>
      <w:r w:rsidR="00AF3AE3">
        <w:rPr>
          <w:sz w:val="24"/>
          <w:szCs w:val="24"/>
        </w:rPr>
        <w:t>2</w:t>
      </w:r>
      <w:r w:rsidR="00880D9F">
        <w:rPr>
          <w:sz w:val="24"/>
          <w:szCs w:val="24"/>
        </w:rPr>
        <w:t xml:space="preserve"> hours, t</w:t>
      </w:r>
      <w:r w:rsidR="00253A0D">
        <w:rPr>
          <w:sz w:val="24"/>
          <w:szCs w:val="24"/>
        </w:rPr>
        <w:t>he burden on small businesses</w:t>
      </w:r>
      <w:r w:rsidR="00880D9F">
        <w:rPr>
          <w:sz w:val="24"/>
          <w:szCs w:val="24"/>
        </w:rPr>
        <w:t xml:space="preserve"> in the U.S. would be 90.6</w:t>
      </w:r>
      <w:r w:rsidR="00AF3AE3">
        <w:rPr>
          <w:sz w:val="24"/>
          <w:szCs w:val="24"/>
        </w:rPr>
        <w:t>8</w:t>
      </w:r>
      <w:r w:rsidR="00880D9F">
        <w:rPr>
          <w:sz w:val="24"/>
          <w:szCs w:val="24"/>
        </w:rPr>
        <w:t xml:space="preserve"> hours.</w:t>
      </w:r>
    </w:p>
    <w:p w14:paraId="1156EDE5" w14:textId="77777777" w:rsidR="00071F56" w:rsidRPr="00322DA7" w:rsidRDefault="00071F56" w:rsidP="009A3085">
      <w:pPr>
        <w:ind w:left="720"/>
        <w:rPr>
          <w:sz w:val="24"/>
          <w:szCs w:val="24"/>
        </w:rPr>
      </w:pPr>
    </w:p>
    <w:p w14:paraId="4EF11D71" w14:textId="77777777" w:rsidR="00071F56" w:rsidRDefault="00071F56" w:rsidP="009A3085">
      <w:pPr>
        <w:ind w:left="720" w:hanging="720"/>
        <w:rPr>
          <w:b/>
          <w:sz w:val="24"/>
          <w:szCs w:val="24"/>
        </w:rPr>
      </w:pPr>
      <w:r w:rsidRPr="00322DA7">
        <w:rPr>
          <w:b/>
          <w:sz w:val="24"/>
          <w:szCs w:val="24"/>
        </w:rPr>
        <w:t xml:space="preserve">6. </w:t>
      </w:r>
      <w:r w:rsidRPr="00322DA7">
        <w:rPr>
          <w:b/>
          <w:sz w:val="24"/>
          <w:szCs w:val="24"/>
        </w:rPr>
        <w:tab/>
        <w:t>Describe the consequence to Federal program or policy activities if the collection is not conducted or is conducted less frequently, as well as any technical or legal obstacles to reducing burden.</w:t>
      </w:r>
    </w:p>
    <w:p w14:paraId="02CDD978" w14:textId="35290A59" w:rsidR="004705F0" w:rsidRPr="0025439E" w:rsidRDefault="00A361E8" w:rsidP="00291209">
      <w:pPr>
        <w:spacing w:before="100" w:beforeAutospacing="1" w:after="100" w:afterAutospacing="1"/>
        <w:rPr>
          <w:sz w:val="24"/>
          <w:szCs w:val="24"/>
        </w:rPr>
      </w:pPr>
      <w:r>
        <w:rPr>
          <w:iCs/>
          <w:sz w:val="24"/>
          <w:szCs w:val="24"/>
        </w:rPr>
        <w:t xml:space="preserve">The NPGS budget has declined in real terms over the past decade while NPGS distributions have doubled over the same period.  </w:t>
      </w:r>
      <w:r w:rsidR="00492AB9">
        <w:rPr>
          <w:iCs/>
          <w:sz w:val="24"/>
          <w:szCs w:val="24"/>
        </w:rPr>
        <w:t>The NPGS must make decisions about how to allocate its limited resources among many crops and activities based on limited information.  T</w:t>
      </w:r>
      <w:r>
        <w:rPr>
          <w:iCs/>
          <w:sz w:val="24"/>
          <w:szCs w:val="24"/>
        </w:rPr>
        <w:t xml:space="preserve">hough </w:t>
      </w:r>
      <w:r w:rsidR="002A25B3">
        <w:rPr>
          <w:iCs/>
          <w:sz w:val="24"/>
          <w:szCs w:val="24"/>
        </w:rPr>
        <w:t xml:space="preserve">the </w:t>
      </w:r>
      <w:r>
        <w:rPr>
          <w:iCs/>
          <w:sz w:val="24"/>
          <w:szCs w:val="24"/>
        </w:rPr>
        <w:t xml:space="preserve">NPGS knows </w:t>
      </w:r>
      <w:r w:rsidRPr="00A361E8">
        <w:rPr>
          <w:i/>
          <w:iCs/>
          <w:sz w:val="24"/>
          <w:szCs w:val="24"/>
        </w:rPr>
        <w:t>who</w:t>
      </w:r>
      <w:r>
        <w:rPr>
          <w:iCs/>
          <w:sz w:val="24"/>
          <w:szCs w:val="24"/>
        </w:rPr>
        <w:t xml:space="preserve"> </w:t>
      </w:r>
      <w:proofErr w:type="gramStart"/>
      <w:r>
        <w:rPr>
          <w:iCs/>
          <w:sz w:val="24"/>
          <w:szCs w:val="24"/>
        </w:rPr>
        <w:t xml:space="preserve">is </w:t>
      </w:r>
      <w:r w:rsidR="00F35C6A">
        <w:rPr>
          <w:iCs/>
          <w:sz w:val="24"/>
          <w:szCs w:val="24"/>
        </w:rPr>
        <w:t>receiving germplasm</w:t>
      </w:r>
      <w:proofErr w:type="gramEnd"/>
      <w:r>
        <w:rPr>
          <w:iCs/>
          <w:sz w:val="24"/>
          <w:szCs w:val="24"/>
        </w:rPr>
        <w:t xml:space="preserve">, it does not know </w:t>
      </w:r>
      <w:r w:rsidRPr="00A361E8">
        <w:rPr>
          <w:i/>
          <w:iCs/>
          <w:sz w:val="24"/>
          <w:szCs w:val="24"/>
        </w:rPr>
        <w:t>how</w:t>
      </w:r>
      <w:r>
        <w:rPr>
          <w:iCs/>
          <w:sz w:val="24"/>
          <w:szCs w:val="24"/>
        </w:rPr>
        <w:t xml:space="preserve"> the germplasm is being used or </w:t>
      </w:r>
      <w:r w:rsidRPr="003F50F4">
        <w:rPr>
          <w:i/>
          <w:iCs/>
          <w:sz w:val="24"/>
          <w:szCs w:val="24"/>
        </w:rPr>
        <w:t>what traits</w:t>
      </w:r>
      <w:r>
        <w:rPr>
          <w:iCs/>
          <w:sz w:val="24"/>
          <w:szCs w:val="24"/>
        </w:rPr>
        <w:t xml:space="preserve"> are important to germplasm recipients.  </w:t>
      </w:r>
      <w:r w:rsidR="00BC0B15" w:rsidRPr="00A361E8">
        <w:rPr>
          <w:iCs/>
          <w:sz w:val="24"/>
          <w:szCs w:val="24"/>
        </w:rPr>
        <w:t>Information</w:t>
      </w:r>
      <w:r w:rsidR="00BC0B15">
        <w:rPr>
          <w:iCs/>
          <w:sz w:val="24"/>
          <w:szCs w:val="24"/>
        </w:rPr>
        <w:t xml:space="preserve"> about the needs of germplasm requestors can help </w:t>
      </w:r>
      <w:r w:rsidR="00BD0B1B">
        <w:rPr>
          <w:iCs/>
          <w:sz w:val="24"/>
          <w:szCs w:val="24"/>
        </w:rPr>
        <w:t xml:space="preserve">determine needed </w:t>
      </w:r>
      <w:r w:rsidR="00BC0B15">
        <w:rPr>
          <w:iCs/>
          <w:sz w:val="24"/>
          <w:szCs w:val="24"/>
        </w:rPr>
        <w:t>investments in the NPGS and guide priority-setting.  ERS</w:t>
      </w:r>
      <w:r w:rsidR="00BD0B1B">
        <w:rPr>
          <w:iCs/>
          <w:sz w:val="24"/>
          <w:szCs w:val="24"/>
        </w:rPr>
        <w:t>’</w:t>
      </w:r>
      <w:r w:rsidR="00BC0B15">
        <w:rPr>
          <w:iCs/>
          <w:sz w:val="24"/>
          <w:szCs w:val="24"/>
        </w:rPr>
        <w:t xml:space="preserve"> Agricultural Science Policy program is tasked with i</w:t>
      </w:r>
      <w:r w:rsidR="00BC0B15">
        <w:rPr>
          <w:sz w:val="24"/>
          <w:szCs w:val="24"/>
        </w:rPr>
        <w:t>nvestigating</w:t>
      </w:r>
      <w:r w:rsidR="00BC0B15" w:rsidRPr="0025439E">
        <w:rPr>
          <w:sz w:val="24"/>
          <w:szCs w:val="24"/>
        </w:rPr>
        <w:t xml:space="preserve"> the direction and </w:t>
      </w:r>
      <w:r w:rsidR="002A25B3">
        <w:rPr>
          <w:sz w:val="24"/>
          <w:szCs w:val="24"/>
        </w:rPr>
        <w:t>efficiency of the public sector</w:t>
      </w:r>
      <w:r w:rsidR="00BC0B15" w:rsidRPr="0025439E">
        <w:rPr>
          <w:sz w:val="24"/>
          <w:szCs w:val="24"/>
        </w:rPr>
        <w:t xml:space="preserve"> in enhancing the stock of agricultural knowledge and in developing new technologies; </w:t>
      </w:r>
      <w:r w:rsidR="002A25B3">
        <w:rPr>
          <w:sz w:val="24"/>
          <w:szCs w:val="24"/>
        </w:rPr>
        <w:t xml:space="preserve">this </w:t>
      </w:r>
      <w:r w:rsidR="00BC0B15">
        <w:rPr>
          <w:sz w:val="24"/>
          <w:szCs w:val="24"/>
        </w:rPr>
        <w:t>includes a</w:t>
      </w:r>
      <w:r w:rsidR="00BC0B15" w:rsidRPr="0025439E">
        <w:rPr>
          <w:sz w:val="24"/>
          <w:szCs w:val="24"/>
        </w:rPr>
        <w:t>ssess</w:t>
      </w:r>
      <w:r w:rsidR="00BC0B15">
        <w:rPr>
          <w:sz w:val="24"/>
          <w:szCs w:val="24"/>
        </w:rPr>
        <w:t>ing</w:t>
      </w:r>
      <w:r w:rsidR="00BC0B15" w:rsidRPr="0025439E">
        <w:rPr>
          <w:sz w:val="24"/>
          <w:szCs w:val="24"/>
        </w:rPr>
        <w:t xml:space="preserve"> the economic value and cost of preserving the public's access to genetic resources and genetic diversity.</w:t>
      </w:r>
      <w:r w:rsidR="00BC0B15">
        <w:rPr>
          <w:sz w:val="24"/>
          <w:szCs w:val="24"/>
        </w:rPr>
        <w:t xml:space="preserve">  Without this information collection, ERS analysis will rely </w:t>
      </w:r>
      <w:r w:rsidR="002A5124">
        <w:rPr>
          <w:sz w:val="24"/>
          <w:szCs w:val="24"/>
        </w:rPr>
        <w:t>primarily on analysis of costs of maintaining the NPGS and not the benefits, with little empirical understanding of the demand for the genetic material the NPGS maintains and supplies.</w:t>
      </w:r>
      <w:r w:rsidR="002A5124" w:rsidDel="002A5124">
        <w:rPr>
          <w:sz w:val="24"/>
          <w:szCs w:val="24"/>
        </w:rPr>
        <w:t xml:space="preserve"> </w:t>
      </w:r>
      <w:r w:rsidR="00204D7B">
        <w:rPr>
          <w:sz w:val="24"/>
          <w:szCs w:val="24"/>
        </w:rPr>
        <w:t xml:space="preserve"> </w:t>
      </w:r>
      <w:r w:rsidR="004705F0">
        <w:rPr>
          <w:sz w:val="24"/>
          <w:szCs w:val="24"/>
        </w:rPr>
        <w:t xml:space="preserve">Furthermore, </w:t>
      </w:r>
      <w:r w:rsidR="00C35D21">
        <w:rPr>
          <w:sz w:val="24"/>
          <w:szCs w:val="24"/>
        </w:rPr>
        <w:t xml:space="preserve">demand from NPGS </w:t>
      </w:r>
      <w:r w:rsidR="002A25B3">
        <w:rPr>
          <w:sz w:val="24"/>
          <w:szCs w:val="24"/>
        </w:rPr>
        <w:t xml:space="preserve">users </w:t>
      </w:r>
      <w:r w:rsidR="00C35D21">
        <w:rPr>
          <w:sz w:val="24"/>
          <w:szCs w:val="24"/>
        </w:rPr>
        <w:t xml:space="preserve">for traits such as drought tolerance, heat tolerance, or tolerance to new configurations of pests and diseases is likely to rise </w:t>
      </w:r>
      <w:r>
        <w:rPr>
          <w:sz w:val="24"/>
          <w:szCs w:val="24"/>
        </w:rPr>
        <w:t xml:space="preserve">as </w:t>
      </w:r>
      <w:r w:rsidR="00B9760B">
        <w:rPr>
          <w:sz w:val="24"/>
          <w:szCs w:val="24"/>
        </w:rPr>
        <w:t xml:space="preserve">growing conditions </w:t>
      </w:r>
      <w:r>
        <w:rPr>
          <w:sz w:val="24"/>
          <w:szCs w:val="24"/>
        </w:rPr>
        <w:t>change</w:t>
      </w:r>
      <w:r w:rsidR="00C35D21">
        <w:rPr>
          <w:sz w:val="24"/>
          <w:szCs w:val="24"/>
        </w:rPr>
        <w:t xml:space="preserve">.  </w:t>
      </w:r>
      <w:r w:rsidR="00FD32CB">
        <w:rPr>
          <w:sz w:val="24"/>
          <w:szCs w:val="24"/>
        </w:rPr>
        <w:t xml:space="preserve">As the major </w:t>
      </w:r>
      <w:proofErr w:type="spellStart"/>
      <w:r w:rsidR="00FD32CB">
        <w:rPr>
          <w:sz w:val="24"/>
          <w:szCs w:val="24"/>
        </w:rPr>
        <w:t>genebank</w:t>
      </w:r>
      <w:proofErr w:type="spellEnd"/>
      <w:r w:rsidR="00FD32CB">
        <w:rPr>
          <w:sz w:val="24"/>
          <w:szCs w:val="24"/>
        </w:rPr>
        <w:t xml:space="preserve"> in the U.S., the NPGS is an important source of genetic traits for adaption to </w:t>
      </w:r>
      <w:r w:rsidR="00B9760B">
        <w:rPr>
          <w:sz w:val="24"/>
          <w:szCs w:val="24"/>
        </w:rPr>
        <w:t>new environmental challenges</w:t>
      </w:r>
      <w:r w:rsidR="00FD32CB">
        <w:rPr>
          <w:sz w:val="24"/>
          <w:szCs w:val="24"/>
        </w:rPr>
        <w:t xml:space="preserve">.  </w:t>
      </w:r>
      <w:r w:rsidR="00C35D21">
        <w:rPr>
          <w:sz w:val="24"/>
          <w:szCs w:val="24"/>
        </w:rPr>
        <w:t>W</w:t>
      </w:r>
      <w:r w:rsidR="004705F0">
        <w:rPr>
          <w:sz w:val="24"/>
          <w:szCs w:val="24"/>
        </w:rPr>
        <w:t>ithout the combination of data about traits sought and the purpose intended for germplasm, it will be difficult or impossible to assess the use of NPGS resources for adaptation to chang</w:t>
      </w:r>
      <w:r w:rsidR="00B9760B">
        <w:rPr>
          <w:sz w:val="24"/>
          <w:szCs w:val="24"/>
        </w:rPr>
        <w:t>ing conditions</w:t>
      </w:r>
      <w:r w:rsidR="004705F0">
        <w:rPr>
          <w:sz w:val="24"/>
          <w:szCs w:val="24"/>
        </w:rPr>
        <w:t xml:space="preserve">.  </w:t>
      </w:r>
    </w:p>
    <w:p w14:paraId="40654E99" w14:textId="77777777" w:rsidR="00071F56" w:rsidRPr="00322DA7" w:rsidRDefault="00071F56" w:rsidP="000E450C">
      <w:pPr>
        <w:pStyle w:val="BodyTextIndent"/>
        <w:rPr>
          <w:szCs w:val="24"/>
        </w:rPr>
      </w:pPr>
      <w:r w:rsidRPr="00322DA7">
        <w:rPr>
          <w:szCs w:val="24"/>
        </w:rPr>
        <w:t>7.</w:t>
      </w:r>
      <w:r w:rsidRPr="00322DA7">
        <w:rPr>
          <w:szCs w:val="24"/>
        </w:rPr>
        <w:tab/>
        <w:t>Explain any special circumstances that would cause an information collecti</w:t>
      </w:r>
      <w:r w:rsidRPr="00322DA7">
        <w:rPr>
          <w:szCs w:val="24"/>
        </w:rPr>
        <w:softHyphen/>
        <w:t>on to be con</w:t>
      </w:r>
      <w:r w:rsidRPr="00322DA7">
        <w:rPr>
          <w:szCs w:val="24"/>
        </w:rPr>
        <w:softHyphen/>
        <w:t>ducted in a manner:</w:t>
      </w:r>
    </w:p>
    <w:p w14:paraId="098515C8" w14:textId="77777777" w:rsidR="00071F56" w:rsidRPr="00322DA7" w:rsidRDefault="00071F56" w:rsidP="009A3085">
      <w:pPr>
        <w:numPr>
          <w:ilvl w:val="0"/>
          <w:numId w:val="2"/>
        </w:numPr>
        <w:tabs>
          <w:tab w:val="clear" w:pos="360"/>
        </w:tabs>
        <w:spacing w:after="80"/>
        <w:ind w:left="1170" w:hanging="450"/>
        <w:rPr>
          <w:b/>
          <w:sz w:val="24"/>
          <w:szCs w:val="24"/>
        </w:rPr>
      </w:pPr>
      <w:r w:rsidRPr="00322DA7">
        <w:rPr>
          <w:b/>
          <w:sz w:val="24"/>
          <w:szCs w:val="24"/>
        </w:rPr>
        <w:t>requiring respondents to report informa</w:t>
      </w:r>
      <w:r w:rsidRPr="00322DA7">
        <w:rPr>
          <w:b/>
          <w:sz w:val="24"/>
          <w:szCs w:val="24"/>
        </w:rPr>
        <w:softHyphen/>
        <w:t>tion to the agency more often than quarterly;</w:t>
      </w:r>
    </w:p>
    <w:p w14:paraId="51A15719" w14:textId="77777777" w:rsidR="00071F56" w:rsidRPr="00322DA7" w:rsidRDefault="00071F56" w:rsidP="009A3085">
      <w:pPr>
        <w:numPr>
          <w:ilvl w:val="0"/>
          <w:numId w:val="3"/>
        </w:numPr>
        <w:tabs>
          <w:tab w:val="clear" w:pos="360"/>
        </w:tabs>
        <w:spacing w:after="80"/>
        <w:ind w:left="1170" w:hanging="450"/>
        <w:rPr>
          <w:b/>
          <w:sz w:val="24"/>
          <w:szCs w:val="24"/>
        </w:rPr>
      </w:pPr>
      <w:r w:rsidRPr="00322DA7">
        <w:rPr>
          <w:b/>
          <w:sz w:val="24"/>
          <w:szCs w:val="24"/>
        </w:rPr>
        <w:t>requiring respondents to prepare a writ</w:t>
      </w:r>
      <w:r w:rsidRPr="00322DA7">
        <w:rPr>
          <w:b/>
          <w:sz w:val="24"/>
          <w:szCs w:val="24"/>
        </w:rPr>
        <w:softHyphen/>
        <w:t>ten response to a collection of infor</w:t>
      </w:r>
      <w:r w:rsidRPr="00322DA7">
        <w:rPr>
          <w:b/>
          <w:sz w:val="24"/>
          <w:szCs w:val="24"/>
        </w:rPr>
        <w:softHyphen/>
        <w:t>ma</w:t>
      </w:r>
      <w:r w:rsidRPr="00322DA7">
        <w:rPr>
          <w:b/>
          <w:sz w:val="24"/>
          <w:szCs w:val="24"/>
        </w:rPr>
        <w:softHyphen/>
        <w:t>tion in fewer than 30 days after receipt of it;</w:t>
      </w:r>
    </w:p>
    <w:p w14:paraId="359731D3" w14:textId="77777777" w:rsidR="00071F56" w:rsidRPr="00322DA7" w:rsidRDefault="00071F56" w:rsidP="009A3085">
      <w:pPr>
        <w:numPr>
          <w:ilvl w:val="0"/>
          <w:numId w:val="4"/>
        </w:numPr>
        <w:tabs>
          <w:tab w:val="clear" w:pos="360"/>
        </w:tabs>
        <w:spacing w:after="80"/>
        <w:ind w:left="1170" w:hanging="450"/>
        <w:rPr>
          <w:b/>
          <w:sz w:val="24"/>
          <w:szCs w:val="24"/>
        </w:rPr>
      </w:pPr>
      <w:r w:rsidRPr="00322DA7">
        <w:rPr>
          <w:b/>
          <w:sz w:val="24"/>
          <w:szCs w:val="24"/>
        </w:rPr>
        <w:t>requiring respondents to submit more than an original and two copies of any docu</w:t>
      </w:r>
      <w:r w:rsidRPr="00322DA7">
        <w:rPr>
          <w:b/>
          <w:sz w:val="24"/>
          <w:szCs w:val="24"/>
        </w:rPr>
        <w:softHyphen/>
        <w:t>ment;</w:t>
      </w:r>
    </w:p>
    <w:p w14:paraId="045F3A08" w14:textId="77777777" w:rsidR="00071F56" w:rsidRPr="00322DA7" w:rsidRDefault="00071F56" w:rsidP="009A3085">
      <w:pPr>
        <w:numPr>
          <w:ilvl w:val="0"/>
          <w:numId w:val="5"/>
        </w:numPr>
        <w:tabs>
          <w:tab w:val="clear" w:pos="360"/>
        </w:tabs>
        <w:spacing w:after="80"/>
        <w:ind w:left="1170" w:hanging="450"/>
        <w:rPr>
          <w:b/>
          <w:sz w:val="24"/>
          <w:szCs w:val="24"/>
        </w:rPr>
      </w:pPr>
      <w:r w:rsidRPr="00322DA7">
        <w:rPr>
          <w:b/>
          <w:sz w:val="24"/>
          <w:szCs w:val="24"/>
        </w:rPr>
        <w:t>requiring respondents to retain re</w:t>
      </w:r>
      <w:r w:rsidRPr="00322DA7">
        <w:rPr>
          <w:b/>
          <w:sz w:val="24"/>
          <w:szCs w:val="24"/>
        </w:rPr>
        <w:softHyphen/>
        <w:t>cords, other than health, medical, governm</w:t>
      </w:r>
      <w:r w:rsidRPr="00322DA7">
        <w:rPr>
          <w:b/>
          <w:sz w:val="24"/>
          <w:szCs w:val="24"/>
        </w:rPr>
        <w:softHyphen/>
        <w:t>ent contract, grant-in-aid, or tax records for more than three years;</w:t>
      </w:r>
    </w:p>
    <w:p w14:paraId="5441F83B" w14:textId="77777777" w:rsidR="00071F56" w:rsidRPr="00322DA7" w:rsidRDefault="00071F56" w:rsidP="009A3085">
      <w:pPr>
        <w:numPr>
          <w:ilvl w:val="0"/>
          <w:numId w:val="6"/>
        </w:numPr>
        <w:tabs>
          <w:tab w:val="clear" w:pos="360"/>
        </w:tabs>
        <w:spacing w:after="80"/>
        <w:ind w:left="1170" w:hanging="450"/>
        <w:rPr>
          <w:b/>
          <w:sz w:val="24"/>
          <w:szCs w:val="24"/>
        </w:rPr>
      </w:pPr>
      <w:r w:rsidRPr="00322DA7">
        <w:rPr>
          <w:b/>
          <w:sz w:val="24"/>
          <w:szCs w:val="24"/>
        </w:rPr>
        <w:t>in connection with a statisti</w:t>
      </w:r>
      <w:r w:rsidRPr="00322DA7">
        <w:rPr>
          <w:b/>
          <w:sz w:val="24"/>
          <w:szCs w:val="24"/>
        </w:rPr>
        <w:softHyphen/>
        <w:t>cal sur</w:t>
      </w:r>
      <w:r w:rsidRPr="00322DA7">
        <w:rPr>
          <w:b/>
          <w:sz w:val="24"/>
          <w:szCs w:val="24"/>
        </w:rPr>
        <w:softHyphen/>
        <w:t>vey, that is not de</w:t>
      </w:r>
      <w:r w:rsidRPr="00322DA7">
        <w:rPr>
          <w:b/>
          <w:sz w:val="24"/>
          <w:szCs w:val="24"/>
        </w:rPr>
        <w:softHyphen/>
        <w:t>signed to produce valid and reli</w:t>
      </w:r>
      <w:r w:rsidRPr="00322DA7">
        <w:rPr>
          <w:b/>
          <w:sz w:val="24"/>
          <w:szCs w:val="24"/>
        </w:rPr>
        <w:softHyphen/>
        <w:t>able results that can be general</w:t>
      </w:r>
      <w:r w:rsidRPr="00322DA7">
        <w:rPr>
          <w:b/>
          <w:sz w:val="24"/>
          <w:szCs w:val="24"/>
        </w:rPr>
        <w:softHyphen/>
        <w:t>ized to the uni</w:t>
      </w:r>
      <w:r w:rsidRPr="00322DA7">
        <w:rPr>
          <w:b/>
          <w:sz w:val="24"/>
          <w:szCs w:val="24"/>
        </w:rPr>
        <w:softHyphen/>
        <w:t>verse of study;</w:t>
      </w:r>
    </w:p>
    <w:p w14:paraId="01DCD989" w14:textId="77777777" w:rsidR="00071F56" w:rsidRPr="00322DA7" w:rsidRDefault="00071F56" w:rsidP="009A3085">
      <w:pPr>
        <w:numPr>
          <w:ilvl w:val="0"/>
          <w:numId w:val="7"/>
        </w:numPr>
        <w:tabs>
          <w:tab w:val="clear" w:pos="360"/>
        </w:tabs>
        <w:spacing w:after="80"/>
        <w:ind w:left="1170" w:hanging="450"/>
        <w:rPr>
          <w:b/>
          <w:sz w:val="24"/>
          <w:szCs w:val="24"/>
        </w:rPr>
      </w:pPr>
      <w:r w:rsidRPr="00322DA7">
        <w:rPr>
          <w:b/>
          <w:sz w:val="24"/>
          <w:szCs w:val="24"/>
        </w:rPr>
        <w:t>requiring the use of a statis</w:t>
      </w:r>
      <w:r w:rsidRPr="00322DA7">
        <w:rPr>
          <w:b/>
          <w:sz w:val="24"/>
          <w:szCs w:val="24"/>
        </w:rPr>
        <w:softHyphen/>
        <w:t>tical data classi</w:t>
      </w:r>
      <w:r w:rsidRPr="00322DA7">
        <w:rPr>
          <w:b/>
          <w:sz w:val="24"/>
          <w:szCs w:val="24"/>
        </w:rPr>
        <w:softHyphen/>
        <w:t>fication that has not been re</w:t>
      </w:r>
      <w:r w:rsidRPr="00322DA7">
        <w:rPr>
          <w:b/>
          <w:sz w:val="24"/>
          <w:szCs w:val="24"/>
        </w:rPr>
        <w:softHyphen/>
        <w:t>vie</w:t>
      </w:r>
      <w:r w:rsidRPr="00322DA7">
        <w:rPr>
          <w:b/>
          <w:sz w:val="24"/>
          <w:szCs w:val="24"/>
        </w:rPr>
        <w:softHyphen/>
        <w:t>wed and approved by OMB;</w:t>
      </w:r>
    </w:p>
    <w:p w14:paraId="1092180B" w14:textId="77777777" w:rsidR="00071F56" w:rsidRPr="00322DA7" w:rsidRDefault="00071F56" w:rsidP="009A3085">
      <w:pPr>
        <w:numPr>
          <w:ilvl w:val="0"/>
          <w:numId w:val="8"/>
        </w:numPr>
        <w:tabs>
          <w:tab w:val="clear" w:pos="360"/>
        </w:tabs>
        <w:spacing w:after="80"/>
        <w:ind w:left="1170" w:hanging="450"/>
        <w:rPr>
          <w:b/>
          <w:sz w:val="24"/>
          <w:szCs w:val="24"/>
        </w:rPr>
      </w:pPr>
      <w:r w:rsidRPr="00322DA7">
        <w:rPr>
          <w:b/>
          <w:sz w:val="24"/>
          <w:szCs w:val="24"/>
        </w:rPr>
        <w:t>that includes a pledge of confiden</w:t>
      </w:r>
      <w:r w:rsidRPr="00322DA7">
        <w:rPr>
          <w:b/>
          <w:sz w:val="24"/>
          <w:szCs w:val="24"/>
        </w:rPr>
        <w:softHyphen/>
        <w:t>tiali</w:t>
      </w:r>
      <w:r w:rsidRPr="00322DA7">
        <w:rPr>
          <w:b/>
          <w:sz w:val="24"/>
          <w:szCs w:val="24"/>
        </w:rPr>
        <w:softHyphen/>
        <w:t>ty that is not supported by au</w:t>
      </w:r>
      <w:r w:rsidRPr="00322DA7">
        <w:rPr>
          <w:b/>
          <w:sz w:val="24"/>
          <w:szCs w:val="24"/>
        </w:rPr>
        <w:softHyphen/>
        <w:t>thority estab</w:t>
      </w:r>
      <w:r w:rsidRPr="00322DA7">
        <w:rPr>
          <w:b/>
          <w:sz w:val="24"/>
          <w:szCs w:val="24"/>
        </w:rPr>
        <w:softHyphen/>
        <w:t>lished in statute or regu</w:t>
      </w:r>
      <w:r w:rsidRPr="00322DA7">
        <w:rPr>
          <w:b/>
          <w:sz w:val="24"/>
          <w:szCs w:val="24"/>
        </w:rPr>
        <w:softHyphen/>
        <w:t>la</w:t>
      </w:r>
      <w:r w:rsidRPr="00322DA7">
        <w:rPr>
          <w:b/>
          <w:sz w:val="24"/>
          <w:szCs w:val="24"/>
        </w:rPr>
        <w:softHyphen/>
        <w:t>tion, that is not sup</w:t>
      </w:r>
      <w:r w:rsidRPr="00322DA7">
        <w:rPr>
          <w:b/>
          <w:sz w:val="24"/>
          <w:szCs w:val="24"/>
        </w:rPr>
        <w:softHyphen/>
        <w:t>ported by dis</w:t>
      </w:r>
      <w:r w:rsidRPr="00322DA7">
        <w:rPr>
          <w:b/>
          <w:sz w:val="24"/>
          <w:szCs w:val="24"/>
        </w:rPr>
        <w:softHyphen/>
        <w:t>closure and data security policies that are consistent with the pledge, or which unneces</w:t>
      </w:r>
      <w:r w:rsidRPr="00322DA7">
        <w:rPr>
          <w:b/>
          <w:sz w:val="24"/>
          <w:szCs w:val="24"/>
        </w:rPr>
        <w:softHyphen/>
        <w:t>sarily impedes shar</w:t>
      </w:r>
      <w:r w:rsidRPr="00322DA7">
        <w:rPr>
          <w:b/>
          <w:sz w:val="24"/>
          <w:szCs w:val="24"/>
        </w:rPr>
        <w:softHyphen/>
        <w:t>ing of data with other agencies for com</w:t>
      </w:r>
      <w:r w:rsidRPr="00322DA7">
        <w:rPr>
          <w:b/>
          <w:sz w:val="24"/>
          <w:szCs w:val="24"/>
        </w:rPr>
        <w:softHyphen/>
        <w:t>patible confiden</w:t>
      </w:r>
      <w:r w:rsidRPr="00322DA7">
        <w:rPr>
          <w:b/>
          <w:sz w:val="24"/>
          <w:szCs w:val="24"/>
        </w:rPr>
        <w:softHyphen/>
        <w:t>tial use; or</w:t>
      </w:r>
    </w:p>
    <w:p w14:paraId="4FB1051C" w14:textId="77777777" w:rsidR="008C098F" w:rsidRPr="00204D7B" w:rsidRDefault="00071F56" w:rsidP="00204D7B">
      <w:pPr>
        <w:numPr>
          <w:ilvl w:val="0"/>
          <w:numId w:val="10"/>
        </w:numPr>
        <w:tabs>
          <w:tab w:val="clear" w:pos="360"/>
          <w:tab w:val="num" w:pos="648"/>
        </w:tabs>
        <w:spacing w:before="100" w:beforeAutospacing="1" w:after="100" w:afterAutospacing="1"/>
        <w:ind w:left="1170" w:hanging="450"/>
        <w:rPr>
          <w:sz w:val="24"/>
          <w:szCs w:val="24"/>
        </w:rPr>
      </w:pPr>
      <w:r w:rsidRPr="00204D7B">
        <w:rPr>
          <w:b/>
          <w:sz w:val="24"/>
          <w:szCs w:val="24"/>
        </w:rPr>
        <w:lastRenderedPageBreak/>
        <w:t>requiring respondents to submit propri</w:t>
      </w:r>
      <w:r w:rsidRPr="00204D7B">
        <w:rPr>
          <w:b/>
          <w:sz w:val="24"/>
          <w:szCs w:val="24"/>
        </w:rPr>
        <w:softHyphen/>
        <w:t>etary trade secret, or other confidential information unless the agency can demon</w:t>
      </w:r>
      <w:r w:rsidRPr="00204D7B">
        <w:rPr>
          <w:b/>
          <w:sz w:val="24"/>
          <w:szCs w:val="24"/>
        </w:rPr>
        <w:softHyphen/>
        <w:t>strate that it has instituted procedures to protect the information's confidentiality to the extent permit</w:t>
      </w:r>
      <w:r w:rsidRPr="00204D7B">
        <w:rPr>
          <w:b/>
          <w:sz w:val="24"/>
          <w:szCs w:val="24"/>
        </w:rPr>
        <w:softHyphen/>
        <w:t>ted by law.</w:t>
      </w:r>
    </w:p>
    <w:p w14:paraId="551DECF8" w14:textId="77777777" w:rsidR="00967F61" w:rsidRDefault="00967F61" w:rsidP="00BD0B1B">
      <w:pPr>
        <w:pStyle w:val="indent"/>
        <w:numPr>
          <w:ilvl w:val="0"/>
          <w:numId w:val="0"/>
        </w:numPr>
        <w:spacing w:before="0" w:after="0" w:line="240" w:lineRule="auto"/>
        <w:rPr>
          <w:rFonts w:ascii="Times New Roman" w:hAnsi="Times New Roman"/>
          <w:sz w:val="24"/>
          <w:szCs w:val="24"/>
        </w:rPr>
      </w:pPr>
      <w:r w:rsidRPr="00930D2C">
        <w:rPr>
          <w:rFonts w:ascii="Times New Roman" w:hAnsi="Times New Roman"/>
          <w:sz w:val="24"/>
          <w:szCs w:val="24"/>
        </w:rPr>
        <w:t xml:space="preserve">There are no special circumstances.  </w:t>
      </w:r>
    </w:p>
    <w:p w14:paraId="7818D236" w14:textId="77777777" w:rsidR="00204D7B" w:rsidRPr="00930D2C" w:rsidRDefault="00204D7B" w:rsidP="00204D7B">
      <w:pPr>
        <w:pStyle w:val="indent"/>
        <w:numPr>
          <w:ilvl w:val="0"/>
          <w:numId w:val="0"/>
        </w:numPr>
        <w:spacing w:before="0" w:after="0" w:line="240" w:lineRule="auto"/>
        <w:ind w:left="720"/>
        <w:rPr>
          <w:rFonts w:ascii="Times New Roman" w:hAnsi="Times New Roman"/>
          <w:sz w:val="24"/>
          <w:szCs w:val="24"/>
        </w:rPr>
      </w:pPr>
    </w:p>
    <w:p w14:paraId="6B4565F0" w14:textId="77777777" w:rsidR="00071F56" w:rsidRPr="00322DA7" w:rsidRDefault="00071F56" w:rsidP="00204D7B">
      <w:pPr>
        <w:numPr>
          <w:ilvl w:val="0"/>
          <w:numId w:val="11"/>
        </w:numPr>
        <w:rPr>
          <w:b/>
          <w:sz w:val="24"/>
          <w:szCs w:val="24"/>
        </w:rPr>
      </w:pPr>
      <w:r w:rsidRPr="00322DA7">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60649FFF" w14:textId="77777777" w:rsidR="00071F56" w:rsidRPr="00322DA7" w:rsidRDefault="00071F56" w:rsidP="009A3085">
      <w:pPr>
        <w:rPr>
          <w:b/>
          <w:sz w:val="24"/>
          <w:szCs w:val="24"/>
        </w:rPr>
      </w:pPr>
    </w:p>
    <w:p w14:paraId="0F5AE490" w14:textId="77777777" w:rsidR="00071F56" w:rsidRPr="00322DA7" w:rsidRDefault="00071F56" w:rsidP="009A3085">
      <w:pPr>
        <w:pStyle w:val="BodyTextIndent2"/>
        <w:jc w:val="left"/>
        <w:rPr>
          <w:szCs w:val="24"/>
        </w:rPr>
      </w:pPr>
      <w:r w:rsidRPr="00322DA7">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14:paraId="2CFF2382" w14:textId="77777777" w:rsidR="00071F56" w:rsidRDefault="00071F56" w:rsidP="009A3085">
      <w:pPr>
        <w:ind w:left="720"/>
        <w:rPr>
          <w:sz w:val="24"/>
          <w:szCs w:val="24"/>
        </w:rPr>
      </w:pPr>
    </w:p>
    <w:p w14:paraId="0DB01B38" w14:textId="616ABD9E" w:rsidR="00967F61" w:rsidRPr="004705F0" w:rsidRDefault="00DB3CC6" w:rsidP="00BD0B1B">
      <w:pPr>
        <w:rPr>
          <w:sz w:val="24"/>
          <w:szCs w:val="24"/>
        </w:rPr>
      </w:pPr>
      <w:r w:rsidRPr="00096E9C">
        <w:rPr>
          <w:sz w:val="24"/>
          <w:szCs w:val="24"/>
        </w:rPr>
        <w:t xml:space="preserve">A 60-Day Federal Register Notice was published </w:t>
      </w:r>
      <w:r w:rsidR="00606B58">
        <w:rPr>
          <w:sz w:val="24"/>
          <w:szCs w:val="24"/>
        </w:rPr>
        <w:t>on April 7, 2016</w:t>
      </w:r>
      <w:r w:rsidR="00967F61" w:rsidRPr="004705F0">
        <w:rPr>
          <w:sz w:val="24"/>
          <w:szCs w:val="24"/>
        </w:rPr>
        <w:t xml:space="preserve"> (Volume </w:t>
      </w:r>
      <w:r w:rsidR="0070649C">
        <w:rPr>
          <w:sz w:val="24"/>
          <w:szCs w:val="24"/>
        </w:rPr>
        <w:t>81</w:t>
      </w:r>
      <w:r w:rsidR="00967F61" w:rsidRPr="004705F0">
        <w:rPr>
          <w:sz w:val="24"/>
          <w:szCs w:val="24"/>
        </w:rPr>
        <w:t xml:space="preserve"> Number </w:t>
      </w:r>
      <w:r w:rsidR="0070649C">
        <w:rPr>
          <w:sz w:val="24"/>
          <w:szCs w:val="24"/>
        </w:rPr>
        <w:t>67</w:t>
      </w:r>
      <w:r w:rsidR="00967F61" w:rsidRPr="004705F0">
        <w:rPr>
          <w:sz w:val="24"/>
          <w:szCs w:val="24"/>
        </w:rPr>
        <w:t xml:space="preserve">, Pages </w:t>
      </w:r>
      <w:r w:rsidR="0070649C">
        <w:rPr>
          <w:sz w:val="24"/>
          <w:szCs w:val="24"/>
        </w:rPr>
        <w:t>20320</w:t>
      </w:r>
      <w:r w:rsidR="00967F61" w:rsidRPr="004705F0">
        <w:rPr>
          <w:sz w:val="24"/>
          <w:szCs w:val="24"/>
        </w:rPr>
        <w:t>-</w:t>
      </w:r>
      <w:r w:rsidR="0070649C">
        <w:rPr>
          <w:sz w:val="24"/>
          <w:szCs w:val="24"/>
        </w:rPr>
        <w:t>20321</w:t>
      </w:r>
      <w:r w:rsidR="00967F61" w:rsidRPr="004705F0">
        <w:rPr>
          <w:sz w:val="24"/>
          <w:szCs w:val="24"/>
        </w:rPr>
        <w:t xml:space="preserve">, </w:t>
      </w:r>
      <w:r w:rsidR="005B38BB">
        <w:rPr>
          <w:sz w:val="24"/>
          <w:szCs w:val="24"/>
        </w:rPr>
        <w:t>a</w:t>
      </w:r>
      <w:r w:rsidR="00967F61" w:rsidRPr="004705F0">
        <w:rPr>
          <w:sz w:val="24"/>
          <w:szCs w:val="24"/>
        </w:rPr>
        <w:t xml:space="preserve">ttachment </w:t>
      </w:r>
      <w:r w:rsidR="006802DA">
        <w:rPr>
          <w:sz w:val="24"/>
          <w:szCs w:val="24"/>
        </w:rPr>
        <w:t>C</w:t>
      </w:r>
      <w:r w:rsidR="00967F61" w:rsidRPr="004705F0">
        <w:rPr>
          <w:sz w:val="24"/>
          <w:szCs w:val="24"/>
        </w:rPr>
        <w:t>). No comments were received.</w:t>
      </w:r>
    </w:p>
    <w:p w14:paraId="3810DB6E" w14:textId="77777777" w:rsidR="00967F61" w:rsidRPr="004705F0" w:rsidRDefault="00967F61" w:rsidP="00BD0B1B">
      <w:pPr>
        <w:rPr>
          <w:sz w:val="24"/>
          <w:szCs w:val="24"/>
        </w:rPr>
      </w:pPr>
    </w:p>
    <w:p w14:paraId="79BEEB9E" w14:textId="4D6CC81A" w:rsidR="00967F61" w:rsidRDefault="00967F61" w:rsidP="00BD0B1B">
      <w:pPr>
        <w:rPr>
          <w:sz w:val="24"/>
          <w:szCs w:val="24"/>
        </w:rPr>
      </w:pPr>
      <w:r w:rsidRPr="004705F0">
        <w:rPr>
          <w:sz w:val="24"/>
          <w:szCs w:val="24"/>
        </w:rPr>
        <w:t>ERS has communicated extensively with the NPGS, the</w:t>
      </w:r>
      <w:r w:rsidR="002A25B3">
        <w:rPr>
          <w:sz w:val="24"/>
          <w:szCs w:val="24"/>
        </w:rPr>
        <w:t xml:space="preserve"> NGRL, and ARS.  Their staff have</w:t>
      </w:r>
      <w:r w:rsidRPr="004705F0">
        <w:rPr>
          <w:sz w:val="24"/>
          <w:szCs w:val="24"/>
        </w:rPr>
        <w:t xml:space="preserve"> been involved since the beginning of planning this census.  </w:t>
      </w:r>
      <w:r w:rsidR="008C098F" w:rsidRPr="004705F0">
        <w:rPr>
          <w:sz w:val="24"/>
          <w:szCs w:val="24"/>
        </w:rPr>
        <w:t>The NGRL provided information about existing data, such as the geographical distribution of germplasm, the location of respondents and the types of germplasm requested.  The</w:t>
      </w:r>
      <w:r w:rsidRPr="004705F0">
        <w:rPr>
          <w:sz w:val="24"/>
          <w:szCs w:val="24"/>
        </w:rPr>
        <w:t xml:space="preserve"> </w:t>
      </w:r>
      <w:r w:rsidR="008C098F" w:rsidRPr="004705F0">
        <w:rPr>
          <w:sz w:val="24"/>
          <w:szCs w:val="24"/>
        </w:rPr>
        <w:t xml:space="preserve">NPGS, NGRL, and ARS </w:t>
      </w:r>
      <w:r w:rsidRPr="004705F0">
        <w:rPr>
          <w:sz w:val="24"/>
          <w:szCs w:val="24"/>
        </w:rPr>
        <w:t xml:space="preserve">have commented on </w:t>
      </w:r>
      <w:r w:rsidR="002A25B3">
        <w:rPr>
          <w:sz w:val="24"/>
          <w:szCs w:val="24"/>
        </w:rPr>
        <w:t xml:space="preserve">the </w:t>
      </w:r>
      <w:r w:rsidRPr="004705F0">
        <w:rPr>
          <w:sz w:val="24"/>
          <w:szCs w:val="24"/>
        </w:rPr>
        <w:t xml:space="preserve">study’s conceptual design, </w:t>
      </w:r>
      <w:r w:rsidR="008C098F" w:rsidRPr="004705F0">
        <w:rPr>
          <w:sz w:val="24"/>
          <w:szCs w:val="24"/>
        </w:rPr>
        <w:t xml:space="preserve">the </w:t>
      </w:r>
      <w:r w:rsidR="00BD0B1B">
        <w:rPr>
          <w:sz w:val="24"/>
          <w:szCs w:val="24"/>
        </w:rPr>
        <w:t xml:space="preserve">efficacy and practicality of </w:t>
      </w:r>
      <w:r w:rsidR="00B9760B">
        <w:rPr>
          <w:sz w:val="24"/>
          <w:szCs w:val="24"/>
        </w:rPr>
        <w:t xml:space="preserve">the </w:t>
      </w:r>
      <w:r w:rsidR="008C098F" w:rsidRPr="004705F0">
        <w:rPr>
          <w:sz w:val="24"/>
          <w:szCs w:val="24"/>
        </w:rPr>
        <w:t xml:space="preserve">collection instrument </w:t>
      </w:r>
      <w:r w:rsidR="00BD0B1B">
        <w:rPr>
          <w:sz w:val="24"/>
          <w:szCs w:val="24"/>
        </w:rPr>
        <w:t xml:space="preserve">for </w:t>
      </w:r>
      <w:r w:rsidR="00CE07AC" w:rsidRPr="004705F0">
        <w:rPr>
          <w:sz w:val="24"/>
          <w:szCs w:val="24"/>
        </w:rPr>
        <w:t>capturing the desired data</w:t>
      </w:r>
      <w:r w:rsidR="008C098F" w:rsidRPr="004705F0">
        <w:rPr>
          <w:sz w:val="24"/>
          <w:szCs w:val="24"/>
        </w:rPr>
        <w:t>, and techniques to improve response rates.</w:t>
      </w:r>
    </w:p>
    <w:p w14:paraId="2C61F261" w14:textId="77777777" w:rsidR="00B6000E" w:rsidRDefault="00B6000E" w:rsidP="00BD0B1B">
      <w:pPr>
        <w:rPr>
          <w:sz w:val="24"/>
          <w:szCs w:val="24"/>
        </w:rPr>
      </w:pPr>
    </w:p>
    <w:p w14:paraId="5780B7DA" w14:textId="0C024B2F" w:rsidR="00606B58" w:rsidRDefault="00B6000E" w:rsidP="00606B58">
      <w:pPr>
        <w:rPr>
          <w:color w:val="000000" w:themeColor="text1"/>
          <w:sz w:val="24"/>
          <w:szCs w:val="24"/>
        </w:rPr>
      </w:pPr>
      <w:r>
        <w:rPr>
          <w:sz w:val="24"/>
        </w:rPr>
        <w:t>Seven Agricultural Research Service (ARS) scientists reviewed the questionnaire and provided feedback</w:t>
      </w:r>
      <w:r w:rsidR="00437525">
        <w:rPr>
          <w:sz w:val="24"/>
        </w:rPr>
        <w:t xml:space="preserve">. </w:t>
      </w:r>
      <w:r>
        <w:rPr>
          <w:sz w:val="24"/>
        </w:rPr>
        <w:t xml:space="preserve"> We revised the instrument on the basis of their comments.  The reviewers were</w:t>
      </w:r>
      <w:r w:rsidR="00606B58">
        <w:rPr>
          <w:sz w:val="24"/>
        </w:rPr>
        <w:t>:</w:t>
      </w:r>
      <w:r>
        <w:rPr>
          <w:sz w:val="24"/>
        </w:rPr>
        <w:t xml:space="preserve"> </w:t>
      </w:r>
    </w:p>
    <w:p w14:paraId="001A0CB4" w14:textId="77777777" w:rsidR="00606B58" w:rsidRPr="00AF0539" w:rsidRDefault="00606B58" w:rsidP="00606B58">
      <w:pPr>
        <w:pStyle w:val="ListParagraph"/>
        <w:numPr>
          <w:ilvl w:val="0"/>
          <w:numId w:val="29"/>
        </w:numPr>
        <w:spacing w:after="200" w:line="276" w:lineRule="auto"/>
        <w:contextualSpacing/>
        <w:rPr>
          <w:color w:val="000000" w:themeColor="text1"/>
          <w:sz w:val="24"/>
          <w:szCs w:val="24"/>
        </w:rPr>
      </w:pPr>
      <w:r w:rsidRPr="00AF0539">
        <w:rPr>
          <w:color w:val="000000" w:themeColor="text1"/>
          <w:sz w:val="24"/>
          <w:szCs w:val="24"/>
        </w:rPr>
        <w:t>Dr. Todd Campbell,  Research Geneticist, ARS, Florence, SC</w:t>
      </w:r>
    </w:p>
    <w:p w14:paraId="0265F517" w14:textId="77777777" w:rsidR="00606B58" w:rsidRPr="00AF0539" w:rsidRDefault="00606B58" w:rsidP="00606B58">
      <w:pPr>
        <w:pStyle w:val="ListParagraph"/>
        <w:numPr>
          <w:ilvl w:val="0"/>
          <w:numId w:val="29"/>
        </w:numPr>
        <w:spacing w:after="200" w:line="276" w:lineRule="auto"/>
        <w:contextualSpacing/>
        <w:rPr>
          <w:color w:val="000000" w:themeColor="text1"/>
          <w:sz w:val="24"/>
          <w:szCs w:val="24"/>
        </w:rPr>
      </w:pPr>
      <w:r w:rsidRPr="00AF0539">
        <w:rPr>
          <w:color w:val="000000" w:themeColor="text1"/>
          <w:sz w:val="24"/>
          <w:szCs w:val="24"/>
        </w:rPr>
        <w:t>Dr. Tommy Carter, Research Geneticist, ARS, Raleigh, NC</w:t>
      </w:r>
    </w:p>
    <w:p w14:paraId="1C782077" w14:textId="77777777" w:rsidR="00606B58" w:rsidRPr="00AF0539" w:rsidRDefault="00606B58" w:rsidP="00606B58">
      <w:pPr>
        <w:pStyle w:val="ListParagraph"/>
        <w:numPr>
          <w:ilvl w:val="0"/>
          <w:numId w:val="29"/>
        </w:numPr>
        <w:spacing w:after="200" w:line="276" w:lineRule="auto"/>
        <w:contextualSpacing/>
        <w:rPr>
          <w:color w:val="000000" w:themeColor="text1"/>
          <w:sz w:val="24"/>
          <w:szCs w:val="24"/>
        </w:rPr>
      </w:pPr>
      <w:r w:rsidRPr="00AF0539">
        <w:rPr>
          <w:color w:val="000000" w:themeColor="text1"/>
          <w:sz w:val="24"/>
          <w:szCs w:val="24"/>
        </w:rPr>
        <w:t>Dr. Michael Dowd,  Chemical Engineer, ARS, New Orleans, LA</w:t>
      </w:r>
    </w:p>
    <w:p w14:paraId="4782446B" w14:textId="77777777" w:rsidR="00606B58" w:rsidRPr="00AF0539" w:rsidRDefault="00606B58" w:rsidP="00606B58">
      <w:pPr>
        <w:pStyle w:val="ListParagraph"/>
        <w:numPr>
          <w:ilvl w:val="0"/>
          <w:numId w:val="29"/>
        </w:numPr>
        <w:spacing w:after="200" w:line="276" w:lineRule="auto"/>
        <w:contextualSpacing/>
        <w:rPr>
          <w:color w:val="000000" w:themeColor="text1"/>
          <w:sz w:val="24"/>
          <w:szCs w:val="24"/>
        </w:rPr>
      </w:pPr>
      <w:r w:rsidRPr="00AF0539">
        <w:rPr>
          <w:color w:val="000000" w:themeColor="text1"/>
          <w:sz w:val="24"/>
          <w:szCs w:val="24"/>
        </w:rPr>
        <w:t>Dr. Sherry Flint-Garcia, Research Geneticist, ARS, Columbia, MO</w:t>
      </w:r>
    </w:p>
    <w:p w14:paraId="6B879698" w14:textId="77777777" w:rsidR="00606B58" w:rsidRPr="00AF0539" w:rsidRDefault="00606B58" w:rsidP="00606B58">
      <w:pPr>
        <w:pStyle w:val="ListParagraph"/>
        <w:numPr>
          <w:ilvl w:val="0"/>
          <w:numId w:val="29"/>
        </w:numPr>
        <w:spacing w:after="200" w:line="276" w:lineRule="auto"/>
        <w:contextualSpacing/>
        <w:rPr>
          <w:color w:val="000000" w:themeColor="text1"/>
          <w:sz w:val="24"/>
          <w:szCs w:val="24"/>
        </w:rPr>
      </w:pPr>
      <w:r w:rsidRPr="00AF0539">
        <w:rPr>
          <w:color w:val="000000" w:themeColor="text1"/>
          <w:sz w:val="24"/>
          <w:szCs w:val="24"/>
        </w:rPr>
        <w:t xml:space="preserve">Dr. Bob </w:t>
      </w:r>
      <w:proofErr w:type="spellStart"/>
      <w:r w:rsidRPr="00AF0539">
        <w:rPr>
          <w:color w:val="000000" w:themeColor="text1"/>
          <w:sz w:val="24"/>
          <w:szCs w:val="24"/>
        </w:rPr>
        <w:t>Graybosch</w:t>
      </w:r>
      <w:proofErr w:type="spellEnd"/>
      <w:r w:rsidRPr="00AF0539">
        <w:rPr>
          <w:color w:val="000000" w:themeColor="text1"/>
          <w:sz w:val="24"/>
          <w:szCs w:val="24"/>
        </w:rPr>
        <w:t>, Supervisory Research Geneticist/Research Leader, ARS, Lincoln, N</w:t>
      </w:r>
      <w:r>
        <w:rPr>
          <w:color w:val="000000" w:themeColor="text1"/>
          <w:sz w:val="24"/>
          <w:szCs w:val="24"/>
        </w:rPr>
        <w:t>E</w:t>
      </w:r>
    </w:p>
    <w:p w14:paraId="4BA945F2" w14:textId="77777777" w:rsidR="00606B58" w:rsidRPr="00AF0539" w:rsidRDefault="00606B58" w:rsidP="00606B58">
      <w:pPr>
        <w:pStyle w:val="ListParagraph"/>
        <w:numPr>
          <w:ilvl w:val="0"/>
          <w:numId w:val="29"/>
        </w:numPr>
        <w:spacing w:after="200" w:line="276" w:lineRule="auto"/>
        <w:contextualSpacing/>
        <w:rPr>
          <w:color w:val="000000" w:themeColor="text1"/>
          <w:sz w:val="24"/>
          <w:szCs w:val="24"/>
        </w:rPr>
      </w:pPr>
      <w:r w:rsidRPr="00AF0539">
        <w:rPr>
          <w:color w:val="000000" w:themeColor="text1"/>
          <w:sz w:val="24"/>
          <w:szCs w:val="24"/>
        </w:rPr>
        <w:t xml:space="preserve">Dr. Dolores </w:t>
      </w:r>
      <w:proofErr w:type="spellStart"/>
      <w:r w:rsidRPr="00AF0539">
        <w:rPr>
          <w:color w:val="000000" w:themeColor="text1"/>
          <w:sz w:val="24"/>
          <w:szCs w:val="24"/>
        </w:rPr>
        <w:t>Mornhinweg</w:t>
      </w:r>
      <w:proofErr w:type="spellEnd"/>
      <w:r w:rsidRPr="00AF0539">
        <w:rPr>
          <w:color w:val="000000" w:themeColor="text1"/>
          <w:sz w:val="24"/>
          <w:szCs w:val="24"/>
        </w:rPr>
        <w:t xml:space="preserve">, Research Geneticist, ARS, Stillwater, OK </w:t>
      </w:r>
    </w:p>
    <w:p w14:paraId="37ED3127" w14:textId="01499CE5" w:rsidR="00606B58" w:rsidRDefault="00606B58" w:rsidP="00606B58">
      <w:pPr>
        <w:pStyle w:val="ListParagraph"/>
        <w:numPr>
          <w:ilvl w:val="0"/>
          <w:numId w:val="29"/>
        </w:numPr>
        <w:spacing w:after="200" w:line="276" w:lineRule="auto"/>
        <w:contextualSpacing/>
        <w:rPr>
          <w:color w:val="000000" w:themeColor="text1"/>
          <w:sz w:val="24"/>
          <w:szCs w:val="24"/>
        </w:rPr>
      </w:pPr>
      <w:r w:rsidRPr="00AF0539">
        <w:rPr>
          <w:color w:val="000000" w:themeColor="text1"/>
          <w:sz w:val="24"/>
          <w:szCs w:val="24"/>
        </w:rPr>
        <w:t>Dr. Roy Navarre</w:t>
      </w:r>
      <w:r>
        <w:rPr>
          <w:color w:val="000000" w:themeColor="text1"/>
          <w:sz w:val="24"/>
          <w:szCs w:val="24"/>
        </w:rPr>
        <w:t xml:space="preserve">, </w:t>
      </w:r>
      <w:r w:rsidRPr="00AF0539">
        <w:rPr>
          <w:color w:val="000000" w:themeColor="text1"/>
          <w:sz w:val="24"/>
          <w:szCs w:val="24"/>
        </w:rPr>
        <w:t>Research Geneticist</w:t>
      </w:r>
      <w:r>
        <w:rPr>
          <w:color w:val="000000" w:themeColor="text1"/>
          <w:sz w:val="24"/>
          <w:szCs w:val="24"/>
        </w:rPr>
        <w:t>,</w:t>
      </w:r>
      <w:r w:rsidRPr="00AF0539" w:rsidDel="00263C1E">
        <w:rPr>
          <w:color w:val="000000" w:themeColor="text1"/>
          <w:sz w:val="24"/>
          <w:szCs w:val="24"/>
        </w:rPr>
        <w:t xml:space="preserve"> </w:t>
      </w:r>
      <w:r w:rsidR="002A25B3">
        <w:rPr>
          <w:color w:val="000000" w:themeColor="text1"/>
          <w:sz w:val="24"/>
          <w:szCs w:val="24"/>
        </w:rPr>
        <w:t xml:space="preserve">ARS, </w:t>
      </w:r>
      <w:r w:rsidRPr="00AF0539">
        <w:rPr>
          <w:color w:val="000000" w:themeColor="text1"/>
          <w:sz w:val="24"/>
          <w:szCs w:val="24"/>
        </w:rPr>
        <w:t>Pullman, WA</w:t>
      </w:r>
      <w:r w:rsidR="00096E9C">
        <w:rPr>
          <w:color w:val="000000" w:themeColor="text1"/>
          <w:sz w:val="24"/>
          <w:szCs w:val="24"/>
        </w:rPr>
        <w:t>.</w:t>
      </w:r>
    </w:p>
    <w:p w14:paraId="40A9EDE5" w14:textId="77777777" w:rsidR="00096E9C" w:rsidRDefault="00096E9C" w:rsidP="00096E9C">
      <w:pPr>
        <w:rPr>
          <w:color w:val="000000" w:themeColor="text1"/>
          <w:sz w:val="24"/>
          <w:szCs w:val="24"/>
        </w:rPr>
      </w:pPr>
      <w:r>
        <w:rPr>
          <w:color w:val="000000" w:themeColor="text1"/>
          <w:sz w:val="24"/>
          <w:szCs w:val="24"/>
        </w:rPr>
        <w:t>Results from the pretesting and actions taken in response are summarized below:</w:t>
      </w:r>
    </w:p>
    <w:p w14:paraId="52185304" w14:textId="77777777" w:rsidR="00096E9C" w:rsidRPr="00B72519" w:rsidRDefault="00096E9C" w:rsidP="00096E9C">
      <w:pPr>
        <w:rPr>
          <w:color w:val="000000" w:themeColor="text1"/>
          <w:sz w:val="24"/>
          <w:szCs w:val="24"/>
        </w:rPr>
      </w:pPr>
    </w:p>
    <w:p w14:paraId="0A359EB7" w14:textId="77777777" w:rsidR="00096E9C" w:rsidRPr="000A391F" w:rsidRDefault="00096E9C" w:rsidP="00096E9C">
      <w:pPr>
        <w:pStyle w:val="ListParagraph"/>
        <w:numPr>
          <w:ilvl w:val="0"/>
          <w:numId w:val="31"/>
        </w:numPr>
        <w:spacing w:after="200" w:line="276" w:lineRule="auto"/>
        <w:contextualSpacing/>
        <w:rPr>
          <w:i/>
          <w:color w:val="000000" w:themeColor="text1"/>
          <w:sz w:val="24"/>
          <w:szCs w:val="24"/>
        </w:rPr>
      </w:pPr>
      <w:r w:rsidRPr="000A391F">
        <w:rPr>
          <w:i/>
          <w:color w:val="000000" w:themeColor="text1"/>
          <w:sz w:val="24"/>
          <w:szCs w:val="24"/>
        </w:rPr>
        <w:t>You might want to consider making all percentage estimates as pull down options.  Some are and some are not.  Some will type in a % sign and others will not.</w:t>
      </w:r>
    </w:p>
    <w:p w14:paraId="4616994A" w14:textId="77777777" w:rsidR="00096E9C" w:rsidRPr="00B72519" w:rsidRDefault="00096E9C" w:rsidP="00096E9C">
      <w:pPr>
        <w:pStyle w:val="ListParagraph"/>
        <w:ind w:left="360"/>
        <w:rPr>
          <w:color w:val="000000" w:themeColor="text1"/>
          <w:sz w:val="24"/>
          <w:szCs w:val="24"/>
        </w:rPr>
      </w:pPr>
    </w:p>
    <w:p w14:paraId="6C03784F" w14:textId="77777777" w:rsidR="00096E9C" w:rsidRPr="00B72519" w:rsidRDefault="00096E9C" w:rsidP="00096E9C">
      <w:pPr>
        <w:pStyle w:val="ListParagraph"/>
        <w:ind w:left="0" w:firstLine="360"/>
        <w:rPr>
          <w:color w:val="000000" w:themeColor="text1"/>
          <w:sz w:val="24"/>
          <w:szCs w:val="24"/>
        </w:rPr>
      </w:pPr>
      <w:r>
        <w:rPr>
          <w:color w:val="000000" w:themeColor="text1"/>
          <w:sz w:val="24"/>
          <w:szCs w:val="24"/>
        </w:rPr>
        <w:t xml:space="preserve">Response: Added percent signs after </w:t>
      </w:r>
      <w:r w:rsidRPr="00B72519">
        <w:rPr>
          <w:color w:val="000000" w:themeColor="text1"/>
          <w:sz w:val="24"/>
          <w:szCs w:val="24"/>
        </w:rPr>
        <w:t>answer</w:t>
      </w:r>
      <w:r>
        <w:rPr>
          <w:color w:val="000000" w:themeColor="text1"/>
          <w:sz w:val="24"/>
          <w:szCs w:val="24"/>
        </w:rPr>
        <w:t>s for all relevant questions.</w:t>
      </w:r>
      <w:r w:rsidRPr="00B72519">
        <w:rPr>
          <w:color w:val="000000" w:themeColor="text1"/>
          <w:sz w:val="24"/>
          <w:szCs w:val="24"/>
        </w:rPr>
        <w:br/>
      </w:r>
    </w:p>
    <w:p w14:paraId="5C2B5307" w14:textId="77777777" w:rsidR="00096E9C" w:rsidRPr="000A391F" w:rsidRDefault="00096E9C" w:rsidP="00096E9C">
      <w:pPr>
        <w:pStyle w:val="ListParagraph"/>
        <w:numPr>
          <w:ilvl w:val="0"/>
          <w:numId w:val="31"/>
        </w:numPr>
        <w:spacing w:after="200" w:line="276" w:lineRule="auto"/>
        <w:contextualSpacing/>
        <w:rPr>
          <w:i/>
          <w:color w:val="000000" w:themeColor="text1"/>
          <w:sz w:val="24"/>
          <w:szCs w:val="24"/>
        </w:rPr>
      </w:pPr>
      <w:r w:rsidRPr="000A391F">
        <w:rPr>
          <w:i/>
          <w:color w:val="000000" w:themeColor="text1"/>
          <w:sz w:val="24"/>
          <w:szCs w:val="24"/>
        </w:rPr>
        <w:lastRenderedPageBreak/>
        <w:t>Differences between germplasm categories is a bit vague.....cultivars vs. advanced breeding materials? Maybe a quick definition is in order at first occurrence.</w:t>
      </w:r>
    </w:p>
    <w:p w14:paraId="051D15C7" w14:textId="575747E3" w:rsidR="00096E9C" w:rsidRPr="00B72519" w:rsidRDefault="00096E9C" w:rsidP="00096E9C">
      <w:pPr>
        <w:ind w:left="360"/>
        <w:rPr>
          <w:color w:val="000000" w:themeColor="text1"/>
          <w:sz w:val="24"/>
          <w:szCs w:val="24"/>
        </w:rPr>
      </w:pPr>
      <w:r>
        <w:rPr>
          <w:color w:val="000000" w:themeColor="text1"/>
          <w:sz w:val="24"/>
          <w:szCs w:val="24"/>
        </w:rPr>
        <w:t xml:space="preserve">Response: </w:t>
      </w:r>
      <w:r w:rsidRPr="00B72519">
        <w:rPr>
          <w:color w:val="000000" w:themeColor="text1"/>
          <w:sz w:val="24"/>
          <w:szCs w:val="24"/>
        </w:rPr>
        <w:t xml:space="preserve">The categories were set by the NPGS.  </w:t>
      </w:r>
      <w:r>
        <w:rPr>
          <w:color w:val="000000" w:themeColor="text1"/>
          <w:sz w:val="24"/>
          <w:szCs w:val="24"/>
        </w:rPr>
        <w:t>W</w:t>
      </w:r>
      <w:r w:rsidRPr="00B72519">
        <w:rPr>
          <w:color w:val="000000" w:themeColor="text1"/>
          <w:sz w:val="24"/>
          <w:szCs w:val="24"/>
        </w:rPr>
        <w:t xml:space="preserve">e </w:t>
      </w:r>
      <w:r>
        <w:rPr>
          <w:color w:val="000000" w:themeColor="text1"/>
          <w:sz w:val="24"/>
          <w:szCs w:val="24"/>
        </w:rPr>
        <w:t>have expanded the titles of the categories in the instrument to be more explanatory.</w:t>
      </w:r>
      <w:r w:rsidRPr="00B72519">
        <w:rPr>
          <w:color w:val="000000" w:themeColor="text1"/>
          <w:sz w:val="24"/>
          <w:szCs w:val="24"/>
        </w:rPr>
        <w:t xml:space="preserve"> </w:t>
      </w:r>
    </w:p>
    <w:p w14:paraId="47D92BCA" w14:textId="77777777" w:rsidR="00096E9C" w:rsidRPr="00B72519" w:rsidRDefault="00096E9C" w:rsidP="00096E9C">
      <w:pPr>
        <w:pStyle w:val="ListParagraph"/>
        <w:rPr>
          <w:color w:val="000000" w:themeColor="text1"/>
          <w:sz w:val="24"/>
          <w:szCs w:val="24"/>
        </w:rPr>
      </w:pPr>
    </w:p>
    <w:p w14:paraId="7171BC92" w14:textId="77777777" w:rsidR="00096E9C" w:rsidRPr="000A391F" w:rsidRDefault="00096E9C" w:rsidP="00096E9C">
      <w:pPr>
        <w:pStyle w:val="ListParagraph"/>
        <w:numPr>
          <w:ilvl w:val="0"/>
          <w:numId w:val="31"/>
        </w:numPr>
        <w:spacing w:after="200" w:line="276" w:lineRule="auto"/>
        <w:contextualSpacing/>
        <w:rPr>
          <w:i/>
          <w:color w:val="000000" w:themeColor="text1"/>
          <w:sz w:val="24"/>
          <w:szCs w:val="24"/>
        </w:rPr>
      </w:pPr>
      <w:r w:rsidRPr="000A391F">
        <w:rPr>
          <w:i/>
          <w:color w:val="000000" w:themeColor="text1"/>
          <w:sz w:val="24"/>
          <w:szCs w:val="24"/>
        </w:rPr>
        <w:t>The order of the germplasm groups changes during the survey....specifically weedy relatives and genetic stocks. It's easier if always in the same order.</w:t>
      </w:r>
    </w:p>
    <w:p w14:paraId="335C253A" w14:textId="77777777" w:rsidR="00096E9C" w:rsidRPr="00B72519" w:rsidRDefault="00096E9C" w:rsidP="00096E9C">
      <w:pPr>
        <w:pStyle w:val="ListParagraph"/>
        <w:ind w:left="360"/>
        <w:rPr>
          <w:color w:val="000000" w:themeColor="text1"/>
          <w:sz w:val="24"/>
          <w:szCs w:val="24"/>
        </w:rPr>
      </w:pPr>
    </w:p>
    <w:p w14:paraId="710CE308" w14:textId="77777777" w:rsidR="00096E9C" w:rsidRPr="00B72519" w:rsidRDefault="00096E9C" w:rsidP="00096E9C">
      <w:pPr>
        <w:pStyle w:val="ListParagraph"/>
        <w:ind w:left="360"/>
        <w:rPr>
          <w:color w:val="000000" w:themeColor="text1"/>
          <w:sz w:val="24"/>
          <w:szCs w:val="24"/>
        </w:rPr>
      </w:pPr>
      <w:r>
        <w:rPr>
          <w:color w:val="000000" w:themeColor="text1"/>
          <w:sz w:val="24"/>
          <w:szCs w:val="24"/>
        </w:rPr>
        <w:t>Response: F</w:t>
      </w:r>
      <w:r w:rsidRPr="00B72519">
        <w:rPr>
          <w:color w:val="000000" w:themeColor="text1"/>
          <w:sz w:val="24"/>
          <w:szCs w:val="24"/>
        </w:rPr>
        <w:t xml:space="preserve">or questions </w:t>
      </w:r>
      <w:r>
        <w:rPr>
          <w:color w:val="000000" w:themeColor="text1"/>
          <w:sz w:val="24"/>
          <w:szCs w:val="24"/>
        </w:rPr>
        <w:t xml:space="preserve">involving germplasm types, </w:t>
      </w:r>
      <w:r w:rsidRPr="00B72519">
        <w:rPr>
          <w:color w:val="000000" w:themeColor="text1"/>
          <w:sz w:val="24"/>
          <w:szCs w:val="24"/>
        </w:rPr>
        <w:t xml:space="preserve">the order </w:t>
      </w:r>
      <w:r>
        <w:rPr>
          <w:color w:val="000000" w:themeColor="text1"/>
          <w:sz w:val="24"/>
          <w:szCs w:val="24"/>
        </w:rPr>
        <w:t xml:space="preserve">is now </w:t>
      </w:r>
      <w:r w:rsidRPr="00B72519">
        <w:rPr>
          <w:color w:val="000000" w:themeColor="text1"/>
          <w:sz w:val="24"/>
          <w:szCs w:val="24"/>
        </w:rPr>
        <w:t>always the same:</w:t>
      </w:r>
    </w:p>
    <w:p w14:paraId="166E9641" w14:textId="77777777" w:rsidR="00096E9C" w:rsidRPr="00B72519" w:rsidRDefault="00096E9C" w:rsidP="00096E9C">
      <w:pPr>
        <w:pStyle w:val="ListParagraph"/>
        <w:numPr>
          <w:ilvl w:val="0"/>
          <w:numId w:val="33"/>
        </w:numPr>
        <w:spacing w:after="200" w:line="276" w:lineRule="auto"/>
        <w:contextualSpacing/>
        <w:rPr>
          <w:color w:val="000000" w:themeColor="text1"/>
          <w:sz w:val="24"/>
          <w:szCs w:val="24"/>
        </w:rPr>
      </w:pPr>
      <w:r w:rsidRPr="00B72519">
        <w:rPr>
          <w:color w:val="000000" w:themeColor="text1"/>
          <w:sz w:val="24"/>
          <w:szCs w:val="24"/>
        </w:rPr>
        <w:t>Cultivars</w:t>
      </w:r>
    </w:p>
    <w:p w14:paraId="2B870844" w14:textId="77777777" w:rsidR="00096E9C" w:rsidRPr="00B72519" w:rsidRDefault="00096E9C" w:rsidP="00096E9C">
      <w:pPr>
        <w:pStyle w:val="ListParagraph"/>
        <w:numPr>
          <w:ilvl w:val="0"/>
          <w:numId w:val="33"/>
        </w:numPr>
        <w:spacing w:after="200" w:line="276" w:lineRule="auto"/>
        <w:contextualSpacing/>
        <w:rPr>
          <w:color w:val="000000" w:themeColor="text1"/>
          <w:sz w:val="24"/>
          <w:szCs w:val="24"/>
        </w:rPr>
      </w:pPr>
      <w:r w:rsidRPr="00B72519">
        <w:rPr>
          <w:color w:val="000000" w:themeColor="text1"/>
          <w:sz w:val="24"/>
          <w:szCs w:val="24"/>
        </w:rPr>
        <w:t>Advanced breeding materials</w:t>
      </w:r>
    </w:p>
    <w:p w14:paraId="7654EB92" w14:textId="77777777" w:rsidR="00096E9C" w:rsidRPr="00B72519" w:rsidRDefault="00096E9C" w:rsidP="00096E9C">
      <w:pPr>
        <w:pStyle w:val="ListParagraph"/>
        <w:numPr>
          <w:ilvl w:val="0"/>
          <w:numId w:val="33"/>
        </w:numPr>
        <w:spacing w:after="200" w:line="276" w:lineRule="auto"/>
        <w:contextualSpacing/>
        <w:rPr>
          <w:color w:val="000000" w:themeColor="text1"/>
          <w:sz w:val="24"/>
          <w:szCs w:val="24"/>
        </w:rPr>
      </w:pPr>
      <w:r w:rsidRPr="00B72519">
        <w:rPr>
          <w:color w:val="000000" w:themeColor="text1"/>
          <w:sz w:val="24"/>
          <w:szCs w:val="24"/>
        </w:rPr>
        <w:t>Landraces</w:t>
      </w:r>
    </w:p>
    <w:p w14:paraId="32DE3C32" w14:textId="77777777" w:rsidR="00096E9C" w:rsidRPr="00B72519" w:rsidRDefault="00096E9C" w:rsidP="00096E9C">
      <w:pPr>
        <w:pStyle w:val="ListParagraph"/>
        <w:numPr>
          <w:ilvl w:val="0"/>
          <w:numId w:val="33"/>
        </w:numPr>
        <w:spacing w:after="200" w:line="276" w:lineRule="auto"/>
        <w:contextualSpacing/>
        <w:rPr>
          <w:color w:val="000000" w:themeColor="text1"/>
          <w:sz w:val="24"/>
          <w:szCs w:val="24"/>
        </w:rPr>
      </w:pPr>
      <w:r w:rsidRPr="00B72519">
        <w:rPr>
          <w:color w:val="000000" w:themeColor="text1"/>
          <w:sz w:val="24"/>
          <w:szCs w:val="24"/>
        </w:rPr>
        <w:t>Wild and weedy relatives</w:t>
      </w:r>
    </w:p>
    <w:p w14:paraId="12B82342" w14:textId="77777777" w:rsidR="00096E9C" w:rsidRPr="00B72519" w:rsidRDefault="00096E9C" w:rsidP="00096E9C">
      <w:pPr>
        <w:pStyle w:val="ListParagraph"/>
        <w:numPr>
          <w:ilvl w:val="0"/>
          <w:numId w:val="33"/>
        </w:numPr>
        <w:spacing w:after="200" w:line="276" w:lineRule="auto"/>
        <w:contextualSpacing/>
        <w:rPr>
          <w:color w:val="000000" w:themeColor="text1"/>
          <w:sz w:val="24"/>
          <w:szCs w:val="24"/>
        </w:rPr>
      </w:pPr>
      <w:r w:rsidRPr="00B72519">
        <w:rPr>
          <w:color w:val="000000" w:themeColor="text1"/>
          <w:sz w:val="24"/>
          <w:szCs w:val="24"/>
        </w:rPr>
        <w:t>Genetic stocks</w:t>
      </w:r>
    </w:p>
    <w:p w14:paraId="0DFC6BC1" w14:textId="2228EF8D" w:rsidR="00096E9C" w:rsidRDefault="00096E9C" w:rsidP="0024011C">
      <w:pPr>
        <w:pStyle w:val="ListParagraph"/>
        <w:numPr>
          <w:ilvl w:val="0"/>
          <w:numId w:val="33"/>
        </w:numPr>
        <w:spacing w:after="200" w:line="276" w:lineRule="auto"/>
        <w:contextualSpacing/>
        <w:rPr>
          <w:color w:val="000000" w:themeColor="text1"/>
          <w:sz w:val="24"/>
          <w:szCs w:val="24"/>
        </w:rPr>
      </w:pPr>
      <w:r w:rsidRPr="000340A6">
        <w:rPr>
          <w:color w:val="000000" w:themeColor="text1"/>
          <w:sz w:val="24"/>
          <w:szCs w:val="24"/>
        </w:rPr>
        <w:t>Material type unknown</w:t>
      </w:r>
    </w:p>
    <w:p w14:paraId="177AABD2" w14:textId="77777777" w:rsidR="000340A6" w:rsidRPr="000340A6" w:rsidRDefault="000340A6" w:rsidP="000340A6">
      <w:pPr>
        <w:pStyle w:val="ListParagraph"/>
        <w:spacing w:after="200" w:line="276" w:lineRule="auto"/>
        <w:ind w:left="1080"/>
        <w:contextualSpacing/>
        <w:rPr>
          <w:color w:val="000000" w:themeColor="text1"/>
          <w:sz w:val="24"/>
          <w:szCs w:val="24"/>
        </w:rPr>
      </w:pPr>
    </w:p>
    <w:p w14:paraId="27BE9598" w14:textId="77777777" w:rsidR="00096E9C" w:rsidRPr="000A391F" w:rsidRDefault="00096E9C" w:rsidP="00096E9C">
      <w:pPr>
        <w:pStyle w:val="ListParagraph"/>
        <w:numPr>
          <w:ilvl w:val="0"/>
          <w:numId w:val="31"/>
        </w:numPr>
        <w:spacing w:after="200" w:line="276" w:lineRule="auto"/>
        <w:contextualSpacing/>
        <w:rPr>
          <w:i/>
          <w:color w:val="000000" w:themeColor="text1"/>
          <w:sz w:val="24"/>
          <w:szCs w:val="24"/>
        </w:rPr>
      </w:pPr>
      <w:r w:rsidRPr="000A391F">
        <w:rPr>
          <w:i/>
          <w:color w:val="000000" w:themeColor="text1"/>
          <w:sz w:val="24"/>
          <w:szCs w:val="24"/>
        </w:rPr>
        <w:t xml:space="preserve"> Choice of traits seem random. I know you can't list all traits for lack of space, but seems a little odd.</w:t>
      </w:r>
    </w:p>
    <w:p w14:paraId="557DB0D3" w14:textId="0A8C9F80" w:rsidR="00096E9C" w:rsidRDefault="00096E9C" w:rsidP="00096E9C">
      <w:pPr>
        <w:ind w:left="360"/>
        <w:rPr>
          <w:color w:val="000000" w:themeColor="text1"/>
          <w:sz w:val="24"/>
          <w:szCs w:val="24"/>
        </w:rPr>
      </w:pPr>
      <w:r>
        <w:rPr>
          <w:color w:val="000000" w:themeColor="text1"/>
          <w:sz w:val="24"/>
          <w:szCs w:val="24"/>
        </w:rPr>
        <w:t xml:space="preserve">Response: </w:t>
      </w:r>
      <w:r w:rsidRPr="00B72519">
        <w:rPr>
          <w:color w:val="000000" w:themeColor="text1"/>
          <w:sz w:val="24"/>
          <w:szCs w:val="24"/>
        </w:rPr>
        <w:t xml:space="preserve">NGRL staff agreed that the choice of traits was suitable, especially because we want to capture resistance to temperature and </w:t>
      </w:r>
      <w:r w:rsidR="00B9760B">
        <w:rPr>
          <w:color w:val="000000" w:themeColor="text1"/>
          <w:sz w:val="24"/>
          <w:szCs w:val="24"/>
        </w:rPr>
        <w:t xml:space="preserve">moisture </w:t>
      </w:r>
      <w:r w:rsidRPr="00B72519">
        <w:rPr>
          <w:color w:val="000000" w:themeColor="text1"/>
          <w:sz w:val="24"/>
          <w:szCs w:val="24"/>
        </w:rPr>
        <w:t>changes.</w:t>
      </w:r>
    </w:p>
    <w:p w14:paraId="51F568DE" w14:textId="77777777" w:rsidR="00096E9C" w:rsidRPr="00B72519" w:rsidRDefault="00096E9C" w:rsidP="00096E9C">
      <w:pPr>
        <w:ind w:left="360"/>
        <w:rPr>
          <w:color w:val="000000" w:themeColor="text1"/>
          <w:sz w:val="24"/>
          <w:szCs w:val="24"/>
        </w:rPr>
      </w:pPr>
      <w:r w:rsidRPr="00B72519">
        <w:rPr>
          <w:color w:val="000000" w:themeColor="text1"/>
          <w:sz w:val="24"/>
          <w:szCs w:val="24"/>
        </w:rPr>
        <w:t xml:space="preserve">  </w:t>
      </w:r>
    </w:p>
    <w:p w14:paraId="4EC4DACC" w14:textId="77777777" w:rsidR="00096E9C" w:rsidRPr="000A391F" w:rsidRDefault="00096E9C" w:rsidP="00096E9C">
      <w:pPr>
        <w:pStyle w:val="ListParagraph"/>
        <w:numPr>
          <w:ilvl w:val="0"/>
          <w:numId w:val="31"/>
        </w:numPr>
        <w:spacing w:after="200" w:line="276" w:lineRule="auto"/>
        <w:contextualSpacing/>
        <w:rPr>
          <w:i/>
          <w:color w:val="000000" w:themeColor="text1"/>
          <w:sz w:val="24"/>
          <w:szCs w:val="24"/>
        </w:rPr>
      </w:pPr>
      <w:r w:rsidRPr="000A391F">
        <w:rPr>
          <w:i/>
          <w:color w:val="000000" w:themeColor="text1"/>
          <w:sz w:val="24"/>
          <w:szCs w:val="24"/>
        </w:rPr>
        <w:t>"</w:t>
      </w:r>
      <w:proofErr w:type="gramStart"/>
      <w:r w:rsidRPr="000A391F">
        <w:rPr>
          <w:i/>
          <w:color w:val="000000" w:themeColor="text1"/>
          <w:sz w:val="24"/>
          <w:szCs w:val="24"/>
        </w:rPr>
        <w:t>over</w:t>
      </w:r>
      <w:proofErr w:type="gramEnd"/>
      <w:r w:rsidRPr="000A391F">
        <w:rPr>
          <w:i/>
          <w:color w:val="000000" w:themeColor="text1"/>
          <w:sz w:val="24"/>
          <w:szCs w:val="24"/>
        </w:rPr>
        <w:t xml:space="preserve"> next 10 years, expect use of accessions to change?".... </w:t>
      </w:r>
      <w:proofErr w:type="gramStart"/>
      <w:r w:rsidRPr="000A391F">
        <w:rPr>
          <w:i/>
          <w:color w:val="000000" w:themeColor="text1"/>
          <w:sz w:val="24"/>
          <w:szCs w:val="24"/>
        </w:rPr>
        <w:t>do</w:t>
      </w:r>
      <w:proofErr w:type="gramEnd"/>
      <w:r w:rsidRPr="000A391F">
        <w:rPr>
          <w:i/>
          <w:color w:val="000000" w:themeColor="text1"/>
          <w:sz w:val="24"/>
          <w:szCs w:val="24"/>
        </w:rPr>
        <w:t xml:space="preserve"> you mean how often I will be requesting germplasm, or if I ordered it for one purpose that I will use in another way in the future? I assumed the latter.</w:t>
      </w:r>
    </w:p>
    <w:p w14:paraId="710AAF41" w14:textId="77777777" w:rsidR="00096E9C" w:rsidRPr="00B72519" w:rsidRDefault="00096E9C" w:rsidP="00096E9C">
      <w:pPr>
        <w:pStyle w:val="ListParagraph"/>
        <w:ind w:left="360"/>
        <w:rPr>
          <w:color w:val="000000" w:themeColor="text1"/>
          <w:sz w:val="24"/>
          <w:szCs w:val="24"/>
        </w:rPr>
      </w:pPr>
    </w:p>
    <w:p w14:paraId="41F24713" w14:textId="77777777" w:rsidR="00096E9C" w:rsidRPr="00B72519" w:rsidRDefault="00096E9C" w:rsidP="00096E9C">
      <w:pPr>
        <w:pStyle w:val="ListParagraph"/>
        <w:ind w:left="360"/>
        <w:rPr>
          <w:color w:val="000000" w:themeColor="text1"/>
          <w:sz w:val="24"/>
          <w:szCs w:val="24"/>
        </w:rPr>
      </w:pPr>
      <w:r>
        <w:rPr>
          <w:color w:val="000000" w:themeColor="text1"/>
          <w:sz w:val="24"/>
          <w:szCs w:val="24"/>
        </w:rPr>
        <w:t xml:space="preserve">Response: </w:t>
      </w:r>
      <w:r w:rsidRPr="00B72519">
        <w:rPr>
          <w:color w:val="000000" w:themeColor="text1"/>
          <w:sz w:val="24"/>
          <w:szCs w:val="24"/>
        </w:rPr>
        <w:t xml:space="preserve">The former is correct.  </w:t>
      </w:r>
      <w:r>
        <w:rPr>
          <w:color w:val="000000" w:themeColor="text1"/>
          <w:sz w:val="24"/>
          <w:szCs w:val="24"/>
        </w:rPr>
        <w:t xml:space="preserve">The instrument was </w:t>
      </w:r>
      <w:r w:rsidRPr="00B72519">
        <w:rPr>
          <w:color w:val="000000" w:themeColor="text1"/>
          <w:sz w:val="24"/>
          <w:szCs w:val="24"/>
        </w:rPr>
        <w:t>reword</w:t>
      </w:r>
      <w:r>
        <w:rPr>
          <w:color w:val="000000" w:themeColor="text1"/>
          <w:sz w:val="24"/>
          <w:szCs w:val="24"/>
        </w:rPr>
        <w:t>ed</w:t>
      </w:r>
      <w:r w:rsidRPr="00B72519">
        <w:rPr>
          <w:color w:val="000000" w:themeColor="text1"/>
          <w:sz w:val="24"/>
          <w:szCs w:val="24"/>
        </w:rPr>
        <w:t xml:space="preserve"> to “… do you expect your </w:t>
      </w:r>
      <w:r w:rsidRPr="00B72519">
        <w:rPr>
          <w:color w:val="000000" w:themeColor="text1"/>
          <w:sz w:val="24"/>
          <w:szCs w:val="24"/>
          <w:u w:val="single"/>
        </w:rPr>
        <w:t>requests for</w:t>
      </w:r>
      <w:r w:rsidRPr="00B72519">
        <w:rPr>
          <w:color w:val="000000" w:themeColor="text1"/>
          <w:sz w:val="24"/>
          <w:szCs w:val="24"/>
        </w:rPr>
        <w:t xml:space="preserve"> NPGS accessions to change?</w:t>
      </w:r>
      <w:r>
        <w:rPr>
          <w:color w:val="000000" w:themeColor="text1"/>
          <w:sz w:val="24"/>
          <w:szCs w:val="24"/>
        </w:rPr>
        <w:t>”</w:t>
      </w:r>
      <w:r w:rsidRPr="00B72519">
        <w:rPr>
          <w:color w:val="000000" w:themeColor="text1"/>
          <w:sz w:val="24"/>
          <w:szCs w:val="24"/>
        </w:rPr>
        <w:br/>
      </w:r>
    </w:p>
    <w:p w14:paraId="069D847D" w14:textId="77777777" w:rsidR="00096E9C" w:rsidRPr="000A391F" w:rsidRDefault="00096E9C" w:rsidP="00096E9C">
      <w:pPr>
        <w:pStyle w:val="ListParagraph"/>
        <w:numPr>
          <w:ilvl w:val="0"/>
          <w:numId w:val="31"/>
        </w:numPr>
        <w:spacing w:after="200" w:line="276" w:lineRule="auto"/>
        <w:contextualSpacing/>
        <w:rPr>
          <w:i/>
          <w:color w:val="000000" w:themeColor="text1"/>
          <w:sz w:val="24"/>
          <w:szCs w:val="24"/>
        </w:rPr>
      </w:pPr>
      <w:r w:rsidRPr="000A391F">
        <w:rPr>
          <w:i/>
          <w:color w:val="000000" w:themeColor="text1"/>
          <w:sz w:val="24"/>
          <w:szCs w:val="24"/>
        </w:rPr>
        <w:t>Primary professions are a bit odd.....These are not really professions. These are activities, which is what you asked in an earlier question. I would add "Geneticist" to the list as a default. And I would allow multiple options to be chosen.</w:t>
      </w:r>
    </w:p>
    <w:p w14:paraId="63F0680E" w14:textId="77777777" w:rsidR="00096E9C" w:rsidRPr="00B72519" w:rsidRDefault="00096E9C" w:rsidP="00096E9C">
      <w:pPr>
        <w:ind w:left="360"/>
        <w:rPr>
          <w:color w:val="000000" w:themeColor="text1"/>
          <w:sz w:val="24"/>
          <w:szCs w:val="24"/>
        </w:rPr>
      </w:pPr>
      <w:r>
        <w:rPr>
          <w:color w:val="000000" w:themeColor="text1"/>
          <w:sz w:val="24"/>
          <w:szCs w:val="24"/>
        </w:rPr>
        <w:t xml:space="preserve">Response: </w:t>
      </w:r>
      <w:r w:rsidRPr="00B72519">
        <w:rPr>
          <w:color w:val="000000" w:themeColor="text1"/>
          <w:sz w:val="24"/>
          <w:szCs w:val="24"/>
        </w:rPr>
        <w:t>We reword</w:t>
      </w:r>
      <w:r>
        <w:rPr>
          <w:color w:val="000000" w:themeColor="text1"/>
          <w:sz w:val="24"/>
          <w:szCs w:val="24"/>
        </w:rPr>
        <w:t xml:space="preserve">ed </w:t>
      </w:r>
      <w:r w:rsidRPr="00B72519">
        <w:rPr>
          <w:color w:val="000000" w:themeColor="text1"/>
          <w:sz w:val="24"/>
          <w:szCs w:val="24"/>
        </w:rPr>
        <w:t>the q</w:t>
      </w:r>
      <w:r>
        <w:rPr>
          <w:color w:val="000000" w:themeColor="text1"/>
          <w:sz w:val="24"/>
          <w:szCs w:val="24"/>
        </w:rPr>
        <w:t xml:space="preserve">uestion to “What best describes </w:t>
      </w:r>
      <w:r w:rsidRPr="00B72519">
        <w:rPr>
          <w:color w:val="000000" w:themeColor="text1"/>
          <w:sz w:val="24"/>
          <w:szCs w:val="24"/>
        </w:rPr>
        <w:t xml:space="preserve">your primary professions?”  </w:t>
      </w:r>
      <w:r>
        <w:rPr>
          <w:color w:val="000000" w:themeColor="text1"/>
          <w:sz w:val="24"/>
          <w:szCs w:val="24"/>
        </w:rPr>
        <w:t xml:space="preserve">A single option was needed </w:t>
      </w:r>
      <w:r w:rsidRPr="00B72519">
        <w:rPr>
          <w:color w:val="000000" w:themeColor="text1"/>
          <w:sz w:val="24"/>
          <w:szCs w:val="24"/>
        </w:rPr>
        <w:t xml:space="preserve">so </w:t>
      </w:r>
      <w:r>
        <w:rPr>
          <w:color w:val="000000" w:themeColor="text1"/>
          <w:sz w:val="24"/>
          <w:szCs w:val="24"/>
        </w:rPr>
        <w:t xml:space="preserve">responses </w:t>
      </w:r>
      <w:r w:rsidRPr="00B72519">
        <w:rPr>
          <w:color w:val="000000" w:themeColor="text1"/>
          <w:sz w:val="24"/>
          <w:szCs w:val="24"/>
        </w:rPr>
        <w:t xml:space="preserve">can </w:t>
      </w:r>
      <w:r>
        <w:rPr>
          <w:color w:val="000000" w:themeColor="text1"/>
          <w:sz w:val="24"/>
          <w:szCs w:val="24"/>
        </w:rPr>
        <w:t xml:space="preserve">be </w:t>
      </w:r>
      <w:r w:rsidRPr="00B72519">
        <w:rPr>
          <w:color w:val="000000" w:themeColor="text1"/>
          <w:sz w:val="24"/>
          <w:szCs w:val="24"/>
        </w:rPr>
        <w:t>compare</w:t>
      </w:r>
      <w:r>
        <w:rPr>
          <w:color w:val="000000" w:themeColor="text1"/>
          <w:sz w:val="24"/>
          <w:szCs w:val="24"/>
        </w:rPr>
        <w:t>d</w:t>
      </w:r>
      <w:r w:rsidRPr="00B72519">
        <w:rPr>
          <w:color w:val="000000" w:themeColor="text1"/>
          <w:sz w:val="24"/>
          <w:szCs w:val="24"/>
        </w:rPr>
        <w:t xml:space="preserve"> with 2000 results.  </w:t>
      </w:r>
      <w:r>
        <w:rPr>
          <w:color w:val="000000" w:themeColor="text1"/>
          <w:sz w:val="24"/>
          <w:szCs w:val="24"/>
        </w:rPr>
        <w:t xml:space="preserve">The </w:t>
      </w:r>
      <w:r w:rsidRPr="00B72519">
        <w:rPr>
          <w:color w:val="000000" w:themeColor="text1"/>
          <w:sz w:val="24"/>
          <w:szCs w:val="24"/>
        </w:rPr>
        <w:t xml:space="preserve">categories </w:t>
      </w:r>
      <w:r>
        <w:rPr>
          <w:color w:val="000000" w:themeColor="text1"/>
          <w:sz w:val="24"/>
          <w:szCs w:val="24"/>
        </w:rPr>
        <w:t xml:space="preserve">were edited to </w:t>
      </w:r>
      <w:r w:rsidRPr="00B72519">
        <w:rPr>
          <w:color w:val="000000" w:themeColor="text1"/>
          <w:sz w:val="24"/>
          <w:szCs w:val="24"/>
        </w:rPr>
        <w:t>read as follows:</w:t>
      </w:r>
    </w:p>
    <w:p w14:paraId="18D4C737" w14:textId="77777777" w:rsidR="00096E9C" w:rsidRPr="00B72519" w:rsidRDefault="00096E9C" w:rsidP="00096E9C">
      <w:pPr>
        <w:pStyle w:val="ListParagraph"/>
        <w:numPr>
          <w:ilvl w:val="0"/>
          <w:numId w:val="32"/>
        </w:numPr>
        <w:spacing w:after="200" w:line="276" w:lineRule="auto"/>
        <w:contextualSpacing/>
        <w:rPr>
          <w:color w:val="000000" w:themeColor="text1"/>
          <w:sz w:val="24"/>
          <w:szCs w:val="24"/>
        </w:rPr>
      </w:pPr>
      <w:r w:rsidRPr="00B72519">
        <w:rPr>
          <w:color w:val="000000" w:themeColor="text1"/>
          <w:sz w:val="24"/>
          <w:szCs w:val="24"/>
        </w:rPr>
        <w:t>Acquisition/curatorial activities</w:t>
      </w:r>
    </w:p>
    <w:p w14:paraId="35EB5290" w14:textId="77777777" w:rsidR="00096E9C" w:rsidRPr="00B72519" w:rsidRDefault="00096E9C" w:rsidP="00096E9C">
      <w:pPr>
        <w:pStyle w:val="ListParagraph"/>
        <w:numPr>
          <w:ilvl w:val="0"/>
          <w:numId w:val="32"/>
        </w:numPr>
        <w:spacing w:after="200" w:line="276" w:lineRule="auto"/>
        <w:contextualSpacing/>
        <w:rPr>
          <w:color w:val="000000" w:themeColor="text1"/>
          <w:sz w:val="24"/>
          <w:szCs w:val="24"/>
        </w:rPr>
      </w:pPr>
      <w:r w:rsidRPr="00B72519">
        <w:rPr>
          <w:color w:val="000000" w:themeColor="text1"/>
          <w:sz w:val="24"/>
          <w:szCs w:val="24"/>
        </w:rPr>
        <w:t>Pre-breeding/evaluation activities</w:t>
      </w:r>
    </w:p>
    <w:p w14:paraId="1FCB2007" w14:textId="77777777" w:rsidR="00096E9C" w:rsidRPr="00B72519" w:rsidRDefault="00096E9C" w:rsidP="00096E9C">
      <w:pPr>
        <w:pStyle w:val="ListParagraph"/>
        <w:numPr>
          <w:ilvl w:val="0"/>
          <w:numId w:val="32"/>
        </w:numPr>
        <w:spacing w:after="200" w:line="276" w:lineRule="auto"/>
        <w:contextualSpacing/>
        <w:rPr>
          <w:color w:val="000000" w:themeColor="text1"/>
          <w:sz w:val="24"/>
          <w:szCs w:val="24"/>
        </w:rPr>
      </w:pPr>
      <w:r w:rsidRPr="00B72519">
        <w:rPr>
          <w:color w:val="000000" w:themeColor="text1"/>
          <w:sz w:val="24"/>
          <w:szCs w:val="24"/>
        </w:rPr>
        <w:t>Breeding</w:t>
      </w:r>
    </w:p>
    <w:p w14:paraId="4E986B7B" w14:textId="77777777" w:rsidR="00096E9C" w:rsidRPr="00B72519" w:rsidRDefault="00096E9C" w:rsidP="00096E9C">
      <w:pPr>
        <w:pStyle w:val="ListParagraph"/>
        <w:numPr>
          <w:ilvl w:val="0"/>
          <w:numId w:val="32"/>
        </w:numPr>
        <w:spacing w:after="200" w:line="276" w:lineRule="auto"/>
        <w:contextualSpacing/>
        <w:rPr>
          <w:color w:val="000000" w:themeColor="text1"/>
          <w:sz w:val="24"/>
          <w:szCs w:val="24"/>
        </w:rPr>
      </w:pPr>
      <w:r w:rsidRPr="00B72519">
        <w:rPr>
          <w:color w:val="000000" w:themeColor="text1"/>
          <w:sz w:val="24"/>
          <w:szCs w:val="24"/>
        </w:rPr>
        <w:t>Genetics/molecular biology</w:t>
      </w:r>
    </w:p>
    <w:p w14:paraId="48603DB4" w14:textId="77777777" w:rsidR="00096E9C" w:rsidRPr="00B72519" w:rsidRDefault="00096E9C" w:rsidP="00096E9C">
      <w:pPr>
        <w:pStyle w:val="ListParagraph"/>
        <w:numPr>
          <w:ilvl w:val="0"/>
          <w:numId w:val="32"/>
        </w:numPr>
        <w:spacing w:after="200" w:line="276" w:lineRule="auto"/>
        <w:contextualSpacing/>
        <w:rPr>
          <w:color w:val="000000" w:themeColor="text1"/>
          <w:sz w:val="24"/>
          <w:szCs w:val="24"/>
        </w:rPr>
      </w:pPr>
      <w:r w:rsidRPr="00B72519">
        <w:rPr>
          <w:color w:val="000000" w:themeColor="text1"/>
          <w:sz w:val="24"/>
          <w:szCs w:val="24"/>
        </w:rPr>
        <w:t>Education</w:t>
      </w:r>
    </w:p>
    <w:p w14:paraId="2F2BEB13" w14:textId="77777777" w:rsidR="00096E9C" w:rsidRPr="00B72519" w:rsidRDefault="00096E9C" w:rsidP="00096E9C">
      <w:pPr>
        <w:pStyle w:val="ListParagraph"/>
        <w:numPr>
          <w:ilvl w:val="0"/>
          <w:numId w:val="32"/>
        </w:numPr>
        <w:spacing w:after="200" w:line="276" w:lineRule="auto"/>
        <w:contextualSpacing/>
        <w:rPr>
          <w:color w:val="000000" w:themeColor="text1"/>
          <w:sz w:val="24"/>
          <w:szCs w:val="24"/>
        </w:rPr>
      </w:pPr>
      <w:r w:rsidRPr="00B72519">
        <w:rPr>
          <w:color w:val="000000" w:themeColor="text1"/>
          <w:sz w:val="24"/>
          <w:szCs w:val="24"/>
        </w:rPr>
        <w:t>Farming</w:t>
      </w:r>
    </w:p>
    <w:p w14:paraId="42E5F2B9" w14:textId="77777777" w:rsidR="00096E9C" w:rsidRDefault="00096E9C" w:rsidP="00096E9C">
      <w:pPr>
        <w:pStyle w:val="ListParagraph"/>
        <w:numPr>
          <w:ilvl w:val="0"/>
          <w:numId w:val="32"/>
        </w:numPr>
        <w:spacing w:after="200" w:line="276" w:lineRule="auto"/>
        <w:contextualSpacing/>
        <w:rPr>
          <w:color w:val="000000" w:themeColor="text1"/>
          <w:sz w:val="24"/>
          <w:szCs w:val="24"/>
        </w:rPr>
      </w:pPr>
      <w:r w:rsidRPr="00B72519">
        <w:rPr>
          <w:color w:val="000000" w:themeColor="text1"/>
          <w:sz w:val="24"/>
          <w:szCs w:val="24"/>
        </w:rPr>
        <w:lastRenderedPageBreak/>
        <w:t>Other (please specify)</w:t>
      </w:r>
    </w:p>
    <w:p w14:paraId="21CEE129" w14:textId="5024B246" w:rsidR="00CE7D8C" w:rsidRPr="00CE7D8C" w:rsidRDefault="00CE7D8C" w:rsidP="00CE7D8C">
      <w:pPr>
        <w:rPr>
          <w:sz w:val="24"/>
          <w:szCs w:val="24"/>
        </w:rPr>
      </w:pPr>
      <w:r w:rsidRPr="00CE7D8C">
        <w:rPr>
          <w:sz w:val="24"/>
          <w:szCs w:val="24"/>
        </w:rPr>
        <w:t xml:space="preserve">The National Agricultural Statistics </w:t>
      </w:r>
      <w:r w:rsidR="00880D9F">
        <w:rPr>
          <w:sz w:val="24"/>
          <w:szCs w:val="24"/>
        </w:rPr>
        <w:t xml:space="preserve">(NASS) </w:t>
      </w:r>
      <w:r w:rsidRPr="00CE7D8C">
        <w:rPr>
          <w:sz w:val="24"/>
          <w:szCs w:val="24"/>
        </w:rPr>
        <w:t xml:space="preserve">reviewed the census protocol.  </w:t>
      </w:r>
      <w:r>
        <w:rPr>
          <w:sz w:val="24"/>
          <w:szCs w:val="24"/>
        </w:rPr>
        <w:t>The r</w:t>
      </w:r>
      <w:r w:rsidRPr="00CE7D8C">
        <w:rPr>
          <w:sz w:val="24"/>
          <w:szCs w:val="24"/>
        </w:rPr>
        <w:t xml:space="preserve">eview </w:t>
      </w:r>
      <w:r>
        <w:rPr>
          <w:sz w:val="24"/>
          <w:szCs w:val="24"/>
        </w:rPr>
        <w:t xml:space="preserve">was </w:t>
      </w:r>
      <w:r w:rsidR="00EA6F3C">
        <w:rPr>
          <w:sz w:val="24"/>
          <w:szCs w:val="24"/>
        </w:rPr>
        <w:t>c</w:t>
      </w:r>
      <w:r w:rsidRPr="00CE7D8C">
        <w:rPr>
          <w:sz w:val="24"/>
          <w:szCs w:val="24"/>
        </w:rPr>
        <w:t>onducted by Mingshan Zheng (Mathematical Statistician), at NASS Methods Division</w:t>
      </w:r>
      <w:r w:rsidR="00EA6F3C">
        <w:rPr>
          <w:sz w:val="24"/>
          <w:szCs w:val="24"/>
        </w:rPr>
        <w:t>, December 7, 2016</w:t>
      </w:r>
      <w:r>
        <w:rPr>
          <w:sz w:val="24"/>
          <w:szCs w:val="24"/>
        </w:rPr>
        <w:t xml:space="preserve"> (attachment F: </w:t>
      </w:r>
      <w:r w:rsidRPr="00CE7D8C">
        <w:rPr>
          <w:sz w:val="24"/>
          <w:szCs w:val="24"/>
        </w:rPr>
        <w:t>NASS review of Census of Users of the National Plant Germplasm System</w:t>
      </w:r>
      <w:r w:rsidR="00EA6F3C">
        <w:rPr>
          <w:sz w:val="24"/>
          <w:szCs w:val="24"/>
        </w:rPr>
        <w:t xml:space="preserve"> and ERS response).  </w:t>
      </w:r>
    </w:p>
    <w:p w14:paraId="36C23DED" w14:textId="77777777" w:rsidR="00967F61" w:rsidRPr="00322DA7" w:rsidRDefault="00967F61" w:rsidP="009A3085">
      <w:pPr>
        <w:ind w:left="720"/>
        <w:rPr>
          <w:sz w:val="24"/>
          <w:szCs w:val="24"/>
        </w:rPr>
      </w:pPr>
    </w:p>
    <w:p w14:paraId="54CE8D88" w14:textId="4500B0AB" w:rsidR="00071F56" w:rsidRDefault="00071F56" w:rsidP="008C098F">
      <w:pPr>
        <w:numPr>
          <w:ilvl w:val="0"/>
          <w:numId w:val="11"/>
        </w:numPr>
        <w:rPr>
          <w:b/>
          <w:sz w:val="24"/>
          <w:szCs w:val="24"/>
        </w:rPr>
      </w:pPr>
      <w:r w:rsidRPr="00322DA7">
        <w:rPr>
          <w:b/>
          <w:sz w:val="24"/>
          <w:szCs w:val="24"/>
        </w:rPr>
        <w:t xml:space="preserve">Explain any decision to provide any payment or gift to respondents, other than </w:t>
      </w:r>
      <w:r w:rsidR="003B7144" w:rsidRPr="00322DA7">
        <w:rPr>
          <w:b/>
          <w:sz w:val="24"/>
          <w:szCs w:val="24"/>
        </w:rPr>
        <w:t>remuneration</w:t>
      </w:r>
      <w:r w:rsidRPr="00322DA7">
        <w:rPr>
          <w:b/>
          <w:sz w:val="24"/>
          <w:szCs w:val="24"/>
        </w:rPr>
        <w:t xml:space="preserve"> of contractors or grantees.</w:t>
      </w:r>
    </w:p>
    <w:p w14:paraId="13186B7B" w14:textId="77777777" w:rsidR="008C098F" w:rsidRPr="00322DA7" w:rsidRDefault="008C098F" w:rsidP="008C098F">
      <w:pPr>
        <w:rPr>
          <w:sz w:val="24"/>
          <w:szCs w:val="24"/>
        </w:rPr>
      </w:pPr>
    </w:p>
    <w:p w14:paraId="2AE015B1" w14:textId="77777777" w:rsidR="00071F56" w:rsidRPr="00BC0B15" w:rsidRDefault="008C098F" w:rsidP="00BD0B1B">
      <w:pPr>
        <w:rPr>
          <w:sz w:val="24"/>
          <w:szCs w:val="24"/>
        </w:rPr>
      </w:pPr>
      <w:r w:rsidRPr="00BC0B15">
        <w:rPr>
          <w:sz w:val="24"/>
          <w:szCs w:val="24"/>
        </w:rPr>
        <w:t>Payment or gifts will not be provided to respondents.</w:t>
      </w:r>
    </w:p>
    <w:p w14:paraId="71ACF021" w14:textId="77777777" w:rsidR="008C098F" w:rsidRPr="00322DA7" w:rsidRDefault="008C098F" w:rsidP="009A3085">
      <w:pPr>
        <w:rPr>
          <w:sz w:val="24"/>
          <w:szCs w:val="24"/>
        </w:rPr>
      </w:pPr>
    </w:p>
    <w:p w14:paraId="1285111C" w14:textId="77777777" w:rsidR="00071F56" w:rsidRDefault="00071F56" w:rsidP="009A3085">
      <w:pPr>
        <w:numPr>
          <w:ilvl w:val="0"/>
          <w:numId w:val="1"/>
        </w:numPr>
        <w:rPr>
          <w:b/>
          <w:sz w:val="24"/>
          <w:szCs w:val="24"/>
        </w:rPr>
      </w:pPr>
      <w:r w:rsidRPr="00322DA7">
        <w:rPr>
          <w:b/>
          <w:sz w:val="24"/>
          <w:szCs w:val="24"/>
        </w:rPr>
        <w:t>Describe any assurance of confidentiality provided to respondents and the basis for the assurance in statute, regulation, or agency policy.</w:t>
      </w:r>
    </w:p>
    <w:p w14:paraId="15EE2109" w14:textId="77777777" w:rsidR="004705F0" w:rsidRDefault="004705F0" w:rsidP="004705F0">
      <w:pPr>
        <w:rPr>
          <w:b/>
          <w:sz w:val="24"/>
          <w:szCs w:val="24"/>
        </w:rPr>
      </w:pPr>
    </w:p>
    <w:p w14:paraId="6B762325" w14:textId="7DEFF20C" w:rsidR="004705F0" w:rsidRPr="00D11A79" w:rsidRDefault="0042399E" w:rsidP="00BD0B1B">
      <w:pPr>
        <w:rPr>
          <w:sz w:val="24"/>
          <w:szCs w:val="24"/>
        </w:rPr>
      </w:pPr>
      <w:r w:rsidRPr="007622B0">
        <w:rPr>
          <w:sz w:val="24"/>
          <w:szCs w:val="24"/>
        </w:rPr>
        <w:t xml:space="preserve">ERS does not intend to invoke CIPSEA </w:t>
      </w:r>
      <w:r w:rsidR="00BD773F" w:rsidRPr="00096E9C">
        <w:rPr>
          <w:sz w:val="24"/>
          <w:szCs w:val="24"/>
        </w:rPr>
        <w:t>or any other data protection statute</w:t>
      </w:r>
      <w:r w:rsidR="00BD773F" w:rsidRPr="007622B0">
        <w:rPr>
          <w:sz w:val="24"/>
          <w:szCs w:val="24"/>
        </w:rPr>
        <w:t xml:space="preserve"> </w:t>
      </w:r>
      <w:r w:rsidRPr="007622B0">
        <w:rPr>
          <w:sz w:val="24"/>
          <w:szCs w:val="24"/>
        </w:rPr>
        <w:t>for this collection, because it will not collect any sensitive or personal</w:t>
      </w:r>
      <w:r w:rsidR="002A25B3">
        <w:rPr>
          <w:sz w:val="24"/>
          <w:szCs w:val="24"/>
        </w:rPr>
        <w:t>ly</w:t>
      </w:r>
      <w:r w:rsidRPr="007622B0">
        <w:rPr>
          <w:sz w:val="24"/>
          <w:szCs w:val="24"/>
        </w:rPr>
        <w:t xml:space="preserve"> identifiable information.</w:t>
      </w:r>
    </w:p>
    <w:p w14:paraId="2E2F2A38" w14:textId="77777777" w:rsidR="00071F56" w:rsidRPr="00322DA7" w:rsidRDefault="00071F56" w:rsidP="009A3085">
      <w:pPr>
        <w:rPr>
          <w:sz w:val="24"/>
          <w:szCs w:val="24"/>
        </w:rPr>
      </w:pPr>
    </w:p>
    <w:p w14:paraId="62736FD9" w14:textId="77777777" w:rsidR="00071F56" w:rsidRDefault="00071F56" w:rsidP="008C098F">
      <w:pPr>
        <w:numPr>
          <w:ilvl w:val="0"/>
          <w:numId w:val="1"/>
        </w:numPr>
        <w:rPr>
          <w:b/>
          <w:sz w:val="24"/>
          <w:szCs w:val="24"/>
        </w:rPr>
      </w:pPr>
      <w:r w:rsidRPr="00322DA7">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196B8F1" w14:textId="77777777" w:rsidR="008C098F" w:rsidRDefault="008C098F" w:rsidP="008C098F">
      <w:pPr>
        <w:pStyle w:val="ListParagraph"/>
        <w:rPr>
          <w:b/>
          <w:sz w:val="24"/>
          <w:szCs w:val="24"/>
        </w:rPr>
      </w:pPr>
    </w:p>
    <w:p w14:paraId="0E41B89D" w14:textId="5171BF0D" w:rsidR="008C098F" w:rsidRPr="00BC0B15" w:rsidRDefault="00CE07AC" w:rsidP="00BD0B1B">
      <w:pPr>
        <w:rPr>
          <w:sz w:val="24"/>
          <w:szCs w:val="24"/>
        </w:rPr>
      </w:pPr>
      <w:r w:rsidRPr="00322DA7">
        <w:rPr>
          <w:sz w:val="24"/>
          <w:szCs w:val="24"/>
        </w:rPr>
        <w:t xml:space="preserve">The Census of Users of the National Plant </w:t>
      </w:r>
      <w:r w:rsidR="00B9760B">
        <w:rPr>
          <w:sz w:val="24"/>
          <w:szCs w:val="24"/>
        </w:rPr>
        <w:t xml:space="preserve">Germplasm </w:t>
      </w:r>
      <w:r w:rsidRPr="00322DA7">
        <w:rPr>
          <w:sz w:val="24"/>
          <w:szCs w:val="24"/>
        </w:rPr>
        <w:t xml:space="preserve">System </w:t>
      </w:r>
      <w:r w:rsidR="008C098F" w:rsidRPr="00BC0B15">
        <w:rPr>
          <w:sz w:val="24"/>
          <w:szCs w:val="24"/>
        </w:rPr>
        <w:t>does not request information of a sensitive nature.</w:t>
      </w:r>
    </w:p>
    <w:p w14:paraId="0A542852" w14:textId="77777777" w:rsidR="00071F56" w:rsidRPr="00322DA7" w:rsidRDefault="00071F56" w:rsidP="009A3085">
      <w:pPr>
        <w:ind w:left="720"/>
        <w:rPr>
          <w:sz w:val="24"/>
          <w:szCs w:val="24"/>
        </w:rPr>
      </w:pPr>
    </w:p>
    <w:p w14:paraId="599B8321" w14:textId="77777777" w:rsidR="00071F56" w:rsidRPr="003F50F4" w:rsidRDefault="00071F56" w:rsidP="009A3085">
      <w:pPr>
        <w:ind w:left="720" w:hanging="720"/>
        <w:rPr>
          <w:b/>
          <w:sz w:val="24"/>
          <w:szCs w:val="24"/>
        </w:rPr>
      </w:pPr>
      <w:r w:rsidRPr="003F50F4">
        <w:rPr>
          <w:b/>
          <w:sz w:val="24"/>
          <w:szCs w:val="24"/>
        </w:rPr>
        <w:t>12.</w:t>
      </w:r>
      <w:r w:rsidRPr="003F50F4">
        <w:rPr>
          <w:b/>
          <w:sz w:val="24"/>
          <w:szCs w:val="24"/>
        </w:rPr>
        <w:tab/>
        <w:t>Provide estimates of the hour burden of the collection of information.  The statement should:</w:t>
      </w:r>
    </w:p>
    <w:p w14:paraId="3E026710" w14:textId="77777777" w:rsidR="00071F56" w:rsidRPr="003F50F4" w:rsidRDefault="00071F56" w:rsidP="009A3085">
      <w:pPr>
        <w:rPr>
          <w:b/>
          <w:sz w:val="24"/>
          <w:szCs w:val="24"/>
        </w:rPr>
      </w:pPr>
    </w:p>
    <w:p w14:paraId="7D389957" w14:textId="77777777" w:rsidR="00071F56" w:rsidRPr="003F50F4" w:rsidRDefault="00071F56" w:rsidP="009A3085">
      <w:pPr>
        <w:numPr>
          <w:ilvl w:val="0"/>
          <w:numId w:val="12"/>
        </w:numPr>
        <w:tabs>
          <w:tab w:val="clear" w:pos="360"/>
        </w:tabs>
        <w:ind w:left="1440"/>
        <w:rPr>
          <w:b/>
          <w:sz w:val="24"/>
          <w:szCs w:val="24"/>
        </w:rPr>
      </w:pPr>
      <w:r w:rsidRPr="003F50F4">
        <w:rPr>
          <w:b/>
          <w:sz w:val="24"/>
          <w:szCs w:val="24"/>
        </w:rPr>
        <w:t>Indicate the number of respo</w:t>
      </w:r>
      <w:r w:rsidR="003B33B6" w:rsidRPr="003F50F4">
        <w:rPr>
          <w:b/>
          <w:sz w:val="24"/>
          <w:szCs w:val="24"/>
        </w:rPr>
        <w:t xml:space="preserve">ndents, frequency of response, </w:t>
      </w:r>
      <w:r w:rsidRPr="003F50F4">
        <w:rPr>
          <w:b/>
          <w:sz w:val="24"/>
          <w:szCs w:val="24"/>
        </w:rPr>
        <w:t>annual hour burden, and an exp</w:t>
      </w:r>
      <w:r w:rsidR="00B62FE5" w:rsidRPr="003F50F4">
        <w:rPr>
          <w:b/>
          <w:sz w:val="24"/>
          <w:szCs w:val="24"/>
        </w:rPr>
        <w:t xml:space="preserve">lanation of how the burden was </w:t>
      </w:r>
      <w:r w:rsidRPr="003F50F4">
        <w:rPr>
          <w:b/>
          <w:sz w:val="24"/>
          <w:szCs w:val="24"/>
        </w:rPr>
        <w:t>estimated. If this request for approval covers more than one form, provide separate hour burden estimates for each form and aggregate the hour burdens in Item 13 of OMB Form 83-I.</w:t>
      </w:r>
    </w:p>
    <w:p w14:paraId="7F5F9836" w14:textId="77777777" w:rsidR="00071F56" w:rsidRPr="003F50F4" w:rsidRDefault="00071F56" w:rsidP="009A3085">
      <w:pPr>
        <w:rPr>
          <w:sz w:val="24"/>
          <w:szCs w:val="24"/>
        </w:rPr>
      </w:pPr>
    </w:p>
    <w:p w14:paraId="115F4854" w14:textId="77777777" w:rsidR="00071F56" w:rsidRPr="003F50F4" w:rsidRDefault="00071F56" w:rsidP="009A3085">
      <w:pPr>
        <w:numPr>
          <w:ilvl w:val="0"/>
          <w:numId w:val="13"/>
        </w:numPr>
        <w:tabs>
          <w:tab w:val="clear" w:pos="360"/>
          <w:tab w:val="num" w:pos="1440"/>
        </w:tabs>
        <w:ind w:left="1440"/>
        <w:rPr>
          <w:sz w:val="24"/>
          <w:szCs w:val="24"/>
        </w:rPr>
      </w:pPr>
      <w:r w:rsidRPr="003F50F4">
        <w:rPr>
          <w:b/>
          <w:sz w:val="24"/>
          <w:szCs w:val="24"/>
        </w:rPr>
        <w:t>Provide estimates of annualized cost to respondents for the hour burdens for collections of information, identifying and using appropriate wage rate categories.</w:t>
      </w:r>
    </w:p>
    <w:p w14:paraId="0F6689F9" w14:textId="77777777" w:rsidR="00794878" w:rsidRDefault="00794878" w:rsidP="003F50F4">
      <w:pPr>
        <w:tabs>
          <w:tab w:val="right" w:pos="792"/>
        </w:tabs>
        <w:rPr>
          <w:sz w:val="24"/>
          <w:szCs w:val="24"/>
        </w:rPr>
      </w:pPr>
    </w:p>
    <w:p w14:paraId="6BC7C58F" w14:textId="70B4DD20" w:rsidR="004D223D" w:rsidRDefault="004D223D" w:rsidP="003F50F4">
      <w:pPr>
        <w:tabs>
          <w:tab w:val="right" w:pos="792"/>
        </w:tabs>
        <w:rPr>
          <w:sz w:val="24"/>
          <w:szCs w:val="24"/>
        </w:rPr>
      </w:pPr>
      <w:r w:rsidRPr="003F50F4">
        <w:rPr>
          <w:sz w:val="24"/>
          <w:szCs w:val="24"/>
        </w:rPr>
        <w:t xml:space="preserve">We estimate the total hour burden of this collection to be </w:t>
      </w:r>
      <w:r w:rsidR="00DD4778">
        <w:rPr>
          <w:sz w:val="24"/>
          <w:szCs w:val="24"/>
        </w:rPr>
        <w:t>1,61</w:t>
      </w:r>
      <w:r w:rsidR="00880D9F">
        <w:rPr>
          <w:sz w:val="24"/>
          <w:szCs w:val="24"/>
        </w:rPr>
        <w:t>9.</w:t>
      </w:r>
      <w:r w:rsidR="00C85FB5">
        <w:rPr>
          <w:sz w:val="24"/>
          <w:szCs w:val="24"/>
        </w:rPr>
        <w:t>2</w:t>
      </w:r>
      <w:r>
        <w:rPr>
          <w:sz w:val="24"/>
          <w:szCs w:val="24"/>
        </w:rPr>
        <w:t xml:space="preserve"> hours, based on information summarized in the table</w:t>
      </w:r>
      <w:r w:rsidR="006C2D93">
        <w:rPr>
          <w:sz w:val="24"/>
          <w:szCs w:val="24"/>
        </w:rPr>
        <w:t>s</w:t>
      </w:r>
      <w:r>
        <w:rPr>
          <w:sz w:val="24"/>
          <w:szCs w:val="24"/>
        </w:rPr>
        <w:t xml:space="preserve"> below, and explained in further detail after the table</w:t>
      </w:r>
      <w:r w:rsidR="006C2D93">
        <w:rPr>
          <w:sz w:val="24"/>
          <w:szCs w:val="24"/>
        </w:rPr>
        <w:t>s</w:t>
      </w:r>
      <w:r w:rsidR="009D0963">
        <w:rPr>
          <w:sz w:val="24"/>
          <w:szCs w:val="24"/>
        </w:rPr>
        <w:t>.</w:t>
      </w:r>
    </w:p>
    <w:p w14:paraId="69F2F050" w14:textId="77777777" w:rsidR="009D0963" w:rsidRDefault="009D0963" w:rsidP="009A3085">
      <w:pPr>
        <w:ind w:left="720" w:hanging="720"/>
        <w:rPr>
          <w:sz w:val="24"/>
          <w:szCs w:val="24"/>
        </w:rP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76"/>
        <w:gridCol w:w="1234"/>
        <w:gridCol w:w="1260"/>
        <w:gridCol w:w="1440"/>
        <w:gridCol w:w="1476"/>
        <w:gridCol w:w="1089"/>
        <w:gridCol w:w="254"/>
        <w:gridCol w:w="1382"/>
      </w:tblGrid>
      <w:tr w:rsidR="009D0963" w:rsidRPr="00E00EC2" w14:paraId="67A50BAD" w14:textId="77777777" w:rsidTr="006B4CB7">
        <w:trPr>
          <w:cantSplit/>
          <w:trHeight w:val="277"/>
        </w:trPr>
        <w:tc>
          <w:tcPr>
            <w:tcW w:w="9511" w:type="dxa"/>
            <w:gridSpan w:val="8"/>
            <w:tcBorders>
              <w:top w:val="nil"/>
              <w:left w:val="nil"/>
              <w:bottom w:val="single" w:sz="4" w:space="0" w:color="auto"/>
              <w:right w:val="nil"/>
            </w:tcBorders>
            <w:shd w:val="clear" w:color="auto" w:fill="auto"/>
          </w:tcPr>
          <w:p w14:paraId="2C721B12" w14:textId="77777777" w:rsidR="000340A6" w:rsidRDefault="009D0963" w:rsidP="000340A6">
            <w:pPr>
              <w:keepNext/>
              <w:keepLines/>
              <w:jc w:val="center"/>
              <w:rPr>
                <w:b/>
                <w:sz w:val="24"/>
                <w:szCs w:val="24"/>
              </w:rPr>
            </w:pPr>
            <w:r>
              <w:rPr>
                <w:b/>
                <w:sz w:val="24"/>
                <w:szCs w:val="24"/>
              </w:rPr>
              <w:lastRenderedPageBreak/>
              <w:t>Census of Users of the National Plant Germplasm System Reporting Burden</w:t>
            </w:r>
          </w:p>
          <w:p w14:paraId="41A8111B" w14:textId="58C279E1" w:rsidR="009D0963" w:rsidRPr="00CB3961" w:rsidRDefault="009D0963" w:rsidP="000340A6">
            <w:pPr>
              <w:keepNext/>
              <w:keepLines/>
              <w:jc w:val="center"/>
              <w:rPr>
                <w:b/>
                <w:sz w:val="24"/>
                <w:szCs w:val="24"/>
              </w:rPr>
            </w:pPr>
          </w:p>
        </w:tc>
      </w:tr>
      <w:tr w:rsidR="006B4CB7" w:rsidRPr="00E00EC2" w14:paraId="01CDCE69" w14:textId="77777777" w:rsidTr="006B4CB7">
        <w:trPr>
          <w:cantSplit/>
          <w:trHeight w:val="277"/>
        </w:trPr>
        <w:tc>
          <w:tcPr>
            <w:tcW w:w="9511" w:type="dxa"/>
            <w:gridSpan w:val="8"/>
            <w:tcBorders>
              <w:top w:val="nil"/>
              <w:left w:val="nil"/>
              <w:bottom w:val="single" w:sz="4" w:space="0" w:color="auto"/>
              <w:right w:val="nil"/>
            </w:tcBorders>
            <w:shd w:val="clear" w:color="auto" w:fill="auto"/>
          </w:tcPr>
          <w:p w14:paraId="78481EAD" w14:textId="77777777" w:rsidR="006B4CB7" w:rsidRDefault="006B4CB7" w:rsidP="000340A6">
            <w:pPr>
              <w:keepNext/>
              <w:keepLines/>
              <w:jc w:val="center"/>
              <w:rPr>
                <w:b/>
                <w:sz w:val="24"/>
                <w:szCs w:val="24"/>
              </w:rPr>
            </w:pPr>
          </w:p>
        </w:tc>
      </w:tr>
      <w:tr w:rsidR="000340A6" w:rsidRPr="00E00EC2" w14:paraId="39E00E4C" w14:textId="77777777" w:rsidTr="006B4CB7">
        <w:trPr>
          <w:cantSplit/>
          <w:trHeight w:val="277"/>
        </w:trPr>
        <w:tc>
          <w:tcPr>
            <w:tcW w:w="9511" w:type="dxa"/>
            <w:gridSpan w:val="8"/>
            <w:tcBorders>
              <w:top w:val="single" w:sz="4" w:space="0" w:color="auto"/>
            </w:tcBorders>
            <w:shd w:val="clear" w:color="auto" w:fill="auto"/>
          </w:tcPr>
          <w:p w14:paraId="6F0F5295" w14:textId="37CA99C3" w:rsidR="000340A6" w:rsidRDefault="000340A6" w:rsidP="000340A6">
            <w:pPr>
              <w:keepNext/>
              <w:keepLines/>
              <w:jc w:val="center"/>
              <w:rPr>
                <w:b/>
                <w:sz w:val="24"/>
                <w:szCs w:val="24"/>
              </w:rPr>
            </w:pPr>
            <w:r w:rsidRPr="00E00EC2">
              <w:rPr>
                <w:b/>
                <w:sz w:val="24"/>
                <w:szCs w:val="24"/>
              </w:rPr>
              <w:t>Users of the National Plant Germplasm System, 10 crops, 200</w:t>
            </w:r>
            <w:r>
              <w:rPr>
                <w:b/>
                <w:sz w:val="24"/>
                <w:szCs w:val="24"/>
              </w:rPr>
              <w:t>9</w:t>
            </w:r>
            <w:r w:rsidRPr="00E00EC2">
              <w:rPr>
                <w:b/>
                <w:sz w:val="24"/>
                <w:szCs w:val="24"/>
              </w:rPr>
              <w:t>-20</w:t>
            </w:r>
            <w:r>
              <w:rPr>
                <w:b/>
                <w:sz w:val="24"/>
                <w:szCs w:val="24"/>
              </w:rPr>
              <w:t>13</w:t>
            </w:r>
            <w:r w:rsidRPr="00E00EC2">
              <w:rPr>
                <w:b/>
                <w:sz w:val="24"/>
                <w:szCs w:val="24"/>
              </w:rPr>
              <w:t>—census burden</w:t>
            </w:r>
          </w:p>
        </w:tc>
      </w:tr>
      <w:tr w:rsidR="00180A38" w:rsidRPr="00E00EC2" w14:paraId="1597E498" w14:textId="77777777" w:rsidTr="006B4CB7">
        <w:trPr>
          <w:cantSplit/>
          <w:trHeight w:val="1129"/>
        </w:trPr>
        <w:tc>
          <w:tcPr>
            <w:tcW w:w="1376" w:type="dxa"/>
            <w:shd w:val="clear" w:color="auto" w:fill="auto"/>
          </w:tcPr>
          <w:p w14:paraId="41BDE801" w14:textId="77777777" w:rsidR="00180A38" w:rsidRPr="00E00EC2" w:rsidRDefault="00180A38" w:rsidP="000340A6">
            <w:pPr>
              <w:keepNext/>
              <w:keepLines/>
              <w:rPr>
                <w:sz w:val="24"/>
                <w:szCs w:val="24"/>
              </w:rPr>
            </w:pPr>
          </w:p>
        </w:tc>
        <w:tc>
          <w:tcPr>
            <w:tcW w:w="1234" w:type="dxa"/>
            <w:shd w:val="clear" w:color="auto" w:fill="auto"/>
            <w:vAlign w:val="center"/>
          </w:tcPr>
          <w:p w14:paraId="2D7A4761" w14:textId="46F2A516" w:rsidR="00180A38" w:rsidRPr="00BE6737" w:rsidRDefault="002A25B3" w:rsidP="000340A6">
            <w:pPr>
              <w:keepNext/>
              <w:keepLines/>
              <w:jc w:val="center"/>
            </w:pPr>
            <w:r>
              <w:t>Estimated p</w:t>
            </w:r>
            <w:r w:rsidR="00180A38" w:rsidRPr="00CB3961">
              <w:t xml:space="preserve">ercentage of </w:t>
            </w:r>
            <w:r w:rsidR="00180A38">
              <w:t>u</w:t>
            </w:r>
            <w:r w:rsidR="00180A38" w:rsidRPr="00CB3961">
              <w:t>sers responding</w:t>
            </w:r>
          </w:p>
        </w:tc>
        <w:tc>
          <w:tcPr>
            <w:tcW w:w="1260" w:type="dxa"/>
            <w:shd w:val="clear" w:color="auto" w:fill="auto"/>
            <w:vAlign w:val="center"/>
          </w:tcPr>
          <w:p w14:paraId="471125FC" w14:textId="77777777" w:rsidR="00180A38" w:rsidRPr="00C91FC2" w:rsidRDefault="00180A38" w:rsidP="000340A6">
            <w:pPr>
              <w:keepNext/>
              <w:keepLines/>
              <w:jc w:val="center"/>
            </w:pPr>
            <w:r w:rsidRPr="00C470CA">
              <w:t>Estimated number of respondents or non-respondents</w:t>
            </w:r>
          </w:p>
        </w:tc>
        <w:tc>
          <w:tcPr>
            <w:tcW w:w="1440" w:type="dxa"/>
            <w:shd w:val="clear" w:color="auto" w:fill="auto"/>
            <w:vAlign w:val="center"/>
          </w:tcPr>
          <w:p w14:paraId="1B9A9517" w14:textId="7A7B062A" w:rsidR="00180A38" w:rsidRDefault="00180A38" w:rsidP="000340A6">
            <w:pPr>
              <w:keepNext/>
              <w:keepLines/>
              <w:jc w:val="center"/>
            </w:pPr>
            <w:r>
              <w:t>Time</w:t>
            </w:r>
            <w:r w:rsidR="006B4CB7">
              <w:t xml:space="preserve"> to  complete the questionnaire/</w:t>
            </w:r>
          </w:p>
          <w:p w14:paraId="77EB14E7" w14:textId="5CA873FD" w:rsidR="00180A38" w:rsidRPr="00CB3961" w:rsidRDefault="006B4CB7" w:rsidP="006B4CB7">
            <w:pPr>
              <w:keepNext/>
              <w:keepLines/>
            </w:pPr>
            <w:r>
              <w:t>re</w:t>
            </w:r>
            <w:r w:rsidR="00180A38">
              <w:t>view email</w:t>
            </w:r>
          </w:p>
        </w:tc>
        <w:tc>
          <w:tcPr>
            <w:tcW w:w="1476" w:type="dxa"/>
            <w:shd w:val="clear" w:color="auto" w:fill="auto"/>
            <w:vAlign w:val="center"/>
          </w:tcPr>
          <w:p w14:paraId="52F5DAD7" w14:textId="451DFFB3" w:rsidR="00180A38" w:rsidRDefault="00180A38" w:rsidP="000340A6">
            <w:pPr>
              <w:keepNext/>
              <w:keepLines/>
              <w:jc w:val="center"/>
            </w:pPr>
            <w:r>
              <w:t>Total time</w:t>
            </w:r>
          </w:p>
          <w:p w14:paraId="67BF59EE" w14:textId="77777777" w:rsidR="000633C5" w:rsidRDefault="00180A38" w:rsidP="000340A6">
            <w:pPr>
              <w:keepNext/>
              <w:keepLines/>
              <w:jc w:val="center"/>
            </w:pPr>
            <w:r>
              <w:t xml:space="preserve">to respond or read </w:t>
            </w:r>
          </w:p>
          <w:p w14:paraId="108DD263" w14:textId="32E9F639" w:rsidR="00180A38" w:rsidRPr="00E00EC2" w:rsidRDefault="00180A38" w:rsidP="000340A6">
            <w:pPr>
              <w:keepNext/>
              <w:keepLines/>
              <w:jc w:val="center"/>
              <w:rPr>
                <w:sz w:val="24"/>
                <w:szCs w:val="24"/>
              </w:rPr>
            </w:pPr>
            <w:r>
              <w:t>(</w:t>
            </w:r>
            <w:r w:rsidRPr="00882B11">
              <w:rPr>
                <w:i/>
              </w:rPr>
              <w:t>minutes</w:t>
            </w:r>
            <w:r>
              <w:rPr>
                <w:i/>
              </w:rPr>
              <w:t>)</w:t>
            </w:r>
          </w:p>
        </w:tc>
        <w:tc>
          <w:tcPr>
            <w:tcW w:w="1089" w:type="dxa"/>
            <w:shd w:val="clear" w:color="auto" w:fill="auto"/>
            <w:vAlign w:val="center"/>
          </w:tcPr>
          <w:p w14:paraId="7D55F9F4" w14:textId="090F8679" w:rsidR="00180A38" w:rsidRDefault="00180A38" w:rsidP="000340A6">
            <w:pPr>
              <w:keepNext/>
              <w:keepLines/>
              <w:jc w:val="center"/>
            </w:pPr>
            <w:r>
              <w:t>Total time to respond or read</w:t>
            </w:r>
          </w:p>
          <w:p w14:paraId="2BCCEC2B" w14:textId="0FBDBF06" w:rsidR="00180A38" w:rsidRPr="00E00EC2" w:rsidRDefault="00180A38" w:rsidP="000340A6">
            <w:pPr>
              <w:keepNext/>
              <w:keepLines/>
              <w:jc w:val="center"/>
              <w:rPr>
                <w:sz w:val="24"/>
                <w:szCs w:val="24"/>
              </w:rPr>
            </w:pPr>
            <w:r w:rsidRPr="00882B11">
              <w:rPr>
                <w:i/>
              </w:rPr>
              <w:t>(hours)</w:t>
            </w:r>
          </w:p>
        </w:tc>
        <w:tc>
          <w:tcPr>
            <w:tcW w:w="254" w:type="dxa"/>
            <w:vMerge w:val="restart"/>
            <w:shd w:val="clear" w:color="auto" w:fill="auto"/>
            <w:vAlign w:val="center"/>
          </w:tcPr>
          <w:p w14:paraId="0ED47D85" w14:textId="029682BD" w:rsidR="00180A38" w:rsidRPr="00E00EC2" w:rsidRDefault="00180A38" w:rsidP="000340A6">
            <w:pPr>
              <w:keepNext/>
              <w:keepLines/>
              <w:tabs>
                <w:tab w:val="right" w:pos="504"/>
              </w:tabs>
              <w:rPr>
                <w:sz w:val="24"/>
                <w:szCs w:val="24"/>
              </w:rPr>
            </w:pPr>
          </w:p>
        </w:tc>
        <w:tc>
          <w:tcPr>
            <w:tcW w:w="1382" w:type="dxa"/>
            <w:shd w:val="clear" w:color="auto" w:fill="auto"/>
            <w:vAlign w:val="center"/>
          </w:tcPr>
          <w:p w14:paraId="08E007CC" w14:textId="77777777" w:rsidR="00180A38" w:rsidRPr="00CB3961" w:rsidRDefault="00180A38" w:rsidP="000340A6">
            <w:pPr>
              <w:keepNext/>
              <w:keepLines/>
              <w:jc w:val="center"/>
            </w:pPr>
            <w:r>
              <w:t>Estimated total hours of response and non-response burden</w:t>
            </w:r>
          </w:p>
        </w:tc>
      </w:tr>
      <w:tr w:rsidR="00880D9F" w:rsidRPr="00E00EC2" w14:paraId="5AE9025E" w14:textId="77777777" w:rsidTr="006B4CB7">
        <w:trPr>
          <w:cantSplit/>
          <w:trHeight w:val="224"/>
        </w:trPr>
        <w:tc>
          <w:tcPr>
            <w:tcW w:w="1376" w:type="dxa"/>
            <w:shd w:val="clear" w:color="auto" w:fill="auto"/>
          </w:tcPr>
          <w:p w14:paraId="205C8CCC" w14:textId="0657EE86" w:rsidR="00880D9F" w:rsidRDefault="00880D9F" w:rsidP="000340A6">
            <w:pPr>
              <w:keepNext/>
              <w:keepLines/>
              <w:rPr>
                <w:b/>
              </w:rPr>
            </w:pPr>
            <w:r w:rsidRPr="006B4CB7">
              <w:rPr>
                <w:b/>
              </w:rPr>
              <w:t>Total respondents</w:t>
            </w:r>
            <w:r w:rsidR="00C85FB5">
              <w:rPr>
                <w:b/>
              </w:rPr>
              <w:t xml:space="preserve"> and non-respondents</w:t>
            </w:r>
          </w:p>
          <w:p w14:paraId="04A7A01F" w14:textId="380CC663" w:rsidR="006B4CB7" w:rsidRPr="006B4CB7" w:rsidRDefault="006B4CB7" w:rsidP="000340A6">
            <w:pPr>
              <w:keepNext/>
              <w:keepLines/>
              <w:rPr>
                <w:b/>
              </w:rPr>
            </w:pPr>
          </w:p>
        </w:tc>
        <w:tc>
          <w:tcPr>
            <w:tcW w:w="1234" w:type="dxa"/>
            <w:shd w:val="clear" w:color="auto" w:fill="auto"/>
            <w:vAlign w:val="center"/>
          </w:tcPr>
          <w:p w14:paraId="2DB6755E" w14:textId="77777777" w:rsidR="00880D9F" w:rsidRPr="006B4CB7" w:rsidRDefault="00880D9F" w:rsidP="000340A6">
            <w:pPr>
              <w:keepNext/>
              <w:keepLines/>
              <w:tabs>
                <w:tab w:val="right" w:pos="576"/>
              </w:tabs>
              <w:rPr>
                <w:b/>
              </w:rPr>
            </w:pPr>
          </w:p>
        </w:tc>
        <w:tc>
          <w:tcPr>
            <w:tcW w:w="1260" w:type="dxa"/>
            <w:shd w:val="clear" w:color="auto" w:fill="auto"/>
            <w:vAlign w:val="center"/>
          </w:tcPr>
          <w:p w14:paraId="4BC16227" w14:textId="5D238F91" w:rsidR="00880D9F" w:rsidRPr="006B4CB7" w:rsidRDefault="00880D9F" w:rsidP="006B4CB7">
            <w:pPr>
              <w:keepNext/>
              <w:keepLines/>
              <w:tabs>
                <w:tab w:val="right" w:pos="792"/>
              </w:tabs>
              <w:jc w:val="center"/>
              <w:rPr>
                <w:b/>
              </w:rPr>
            </w:pPr>
            <w:r w:rsidRPr="006B4CB7">
              <w:rPr>
                <w:b/>
              </w:rPr>
              <w:t>6,009</w:t>
            </w:r>
          </w:p>
        </w:tc>
        <w:tc>
          <w:tcPr>
            <w:tcW w:w="1440" w:type="dxa"/>
            <w:shd w:val="clear" w:color="auto" w:fill="auto"/>
            <w:vAlign w:val="center"/>
          </w:tcPr>
          <w:p w14:paraId="54DF4530" w14:textId="77777777" w:rsidR="00880D9F" w:rsidRPr="006B4CB7" w:rsidRDefault="00880D9F" w:rsidP="000340A6">
            <w:pPr>
              <w:keepNext/>
              <w:keepLines/>
              <w:tabs>
                <w:tab w:val="right" w:pos="576"/>
              </w:tabs>
              <w:rPr>
                <w:b/>
              </w:rPr>
            </w:pPr>
          </w:p>
        </w:tc>
        <w:tc>
          <w:tcPr>
            <w:tcW w:w="1476" w:type="dxa"/>
            <w:shd w:val="clear" w:color="auto" w:fill="auto"/>
            <w:vAlign w:val="center"/>
          </w:tcPr>
          <w:p w14:paraId="146E262C" w14:textId="77777777" w:rsidR="00880D9F" w:rsidRPr="006B4CB7" w:rsidRDefault="00880D9F" w:rsidP="000340A6">
            <w:pPr>
              <w:keepNext/>
              <w:keepLines/>
              <w:tabs>
                <w:tab w:val="right" w:pos="576"/>
              </w:tabs>
              <w:jc w:val="center"/>
              <w:rPr>
                <w:b/>
              </w:rPr>
            </w:pPr>
          </w:p>
        </w:tc>
        <w:tc>
          <w:tcPr>
            <w:tcW w:w="1089" w:type="dxa"/>
            <w:shd w:val="clear" w:color="auto" w:fill="auto"/>
          </w:tcPr>
          <w:p w14:paraId="60BB1064" w14:textId="77777777" w:rsidR="00880D9F" w:rsidRPr="006B4CB7" w:rsidRDefault="00880D9F" w:rsidP="000340A6">
            <w:pPr>
              <w:keepNext/>
              <w:keepLines/>
              <w:tabs>
                <w:tab w:val="right" w:pos="576"/>
              </w:tabs>
              <w:jc w:val="center"/>
              <w:rPr>
                <w:b/>
              </w:rPr>
            </w:pPr>
          </w:p>
        </w:tc>
        <w:tc>
          <w:tcPr>
            <w:tcW w:w="254" w:type="dxa"/>
            <w:vMerge/>
            <w:shd w:val="clear" w:color="auto" w:fill="auto"/>
          </w:tcPr>
          <w:p w14:paraId="0370C531" w14:textId="77777777" w:rsidR="00880D9F" w:rsidRPr="006B4CB7" w:rsidRDefault="00880D9F" w:rsidP="000340A6">
            <w:pPr>
              <w:keepNext/>
              <w:keepLines/>
              <w:tabs>
                <w:tab w:val="right" w:pos="504"/>
              </w:tabs>
              <w:rPr>
                <w:b/>
              </w:rPr>
            </w:pPr>
          </w:p>
        </w:tc>
        <w:tc>
          <w:tcPr>
            <w:tcW w:w="1382" w:type="dxa"/>
            <w:shd w:val="clear" w:color="auto" w:fill="auto"/>
            <w:vAlign w:val="center"/>
          </w:tcPr>
          <w:p w14:paraId="18499BC1" w14:textId="04462DC6" w:rsidR="00880D9F" w:rsidRPr="006B4CB7" w:rsidRDefault="00880D9F" w:rsidP="000340A6">
            <w:pPr>
              <w:keepNext/>
              <w:keepLines/>
              <w:tabs>
                <w:tab w:val="right" w:pos="576"/>
              </w:tabs>
              <w:rPr>
                <w:b/>
                <w:highlight w:val="green"/>
              </w:rPr>
            </w:pPr>
            <w:r w:rsidRPr="006B4CB7">
              <w:rPr>
                <w:b/>
              </w:rPr>
              <w:t>1,609.4</w:t>
            </w:r>
          </w:p>
        </w:tc>
      </w:tr>
      <w:tr w:rsidR="00180A38" w:rsidRPr="00E00EC2" w14:paraId="4398CF28" w14:textId="77777777" w:rsidTr="006B4CB7">
        <w:trPr>
          <w:cantSplit/>
          <w:trHeight w:val="224"/>
        </w:trPr>
        <w:tc>
          <w:tcPr>
            <w:tcW w:w="1376" w:type="dxa"/>
            <w:shd w:val="clear" w:color="auto" w:fill="auto"/>
          </w:tcPr>
          <w:p w14:paraId="7F2959A1" w14:textId="66630F5B" w:rsidR="00180A38" w:rsidRPr="00CB3961" w:rsidRDefault="00180A38" w:rsidP="000340A6">
            <w:pPr>
              <w:keepNext/>
              <w:keepLines/>
            </w:pPr>
            <w:r>
              <w:t>Initial email</w:t>
            </w:r>
          </w:p>
        </w:tc>
        <w:tc>
          <w:tcPr>
            <w:tcW w:w="1234" w:type="dxa"/>
            <w:shd w:val="clear" w:color="auto" w:fill="auto"/>
            <w:vAlign w:val="center"/>
          </w:tcPr>
          <w:p w14:paraId="70608174" w14:textId="32E4114D" w:rsidR="00180A38" w:rsidRPr="00CB3961" w:rsidRDefault="00180A38" w:rsidP="000340A6">
            <w:pPr>
              <w:keepNext/>
              <w:keepLines/>
              <w:tabs>
                <w:tab w:val="right" w:pos="576"/>
              </w:tabs>
            </w:pPr>
            <w:r>
              <w:tab/>
              <w:t>36</w:t>
            </w:r>
            <w:r w:rsidR="007002A2">
              <w:t>.33</w:t>
            </w:r>
          </w:p>
        </w:tc>
        <w:tc>
          <w:tcPr>
            <w:tcW w:w="1260" w:type="dxa"/>
            <w:shd w:val="clear" w:color="auto" w:fill="auto"/>
            <w:vAlign w:val="center"/>
          </w:tcPr>
          <w:p w14:paraId="415324AB" w14:textId="34D24714" w:rsidR="00180A38" w:rsidRPr="00E55EA8" w:rsidRDefault="00180A38" w:rsidP="000340A6">
            <w:pPr>
              <w:keepNext/>
              <w:keepLines/>
              <w:tabs>
                <w:tab w:val="right" w:pos="792"/>
              </w:tabs>
            </w:pPr>
            <w:r w:rsidRPr="00E55EA8">
              <w:tab/>
              <w:t>2,</w:t>
            </w:r>
            <w:r>
              <w:t>183</w:t>
            </w:r>
          </w:p>
        </w:tc>
        <w:tc>
          <w:tcPr>
            <w:tcW w:w="1440" w:type="dxa"/>
            <w:shd w:val="clear" w:color="auto" w:fill="auto"/>
            <w:vAlign w:val="center"/>
          </w:tcPr>
          <w:p w14:paraId="2DB292C2" w14:textId="01FD9E7D" w:rsidR="00180A38" w:rsidRPr="00CB3961" w:rsidRDefault="00180A38" w:rsidP="000340A6">
            <w:pPr>
              <w:keepNext/>
              <w:keepLines/>
              <w:tabs>
                <w:tab w:val="right" w:pos="576"/>
              </w:tabs>
            </w:pPr>
            <w:r>
              <w:tab/>
              <w:t>19.8</w:t>
            </w:r>
          </w:p>
        </w:tc>
        <w:tc>
          <w:tcPr>
            <w:tcW w:w="1476" w:type="dxa"/>
            <w:shd w:val="clear" w:color="auto" w:fill="auto"/>
            <w:vAlign w:val="center"/>
          </w:tcPr>
          <w:p w14:paraId="36B4DFC3" w14:textId="65B40F1D" w:rsidR="00180A38" w:rsidRPr="00BE6737" w:rsidRDefault="00180A38" w:rsidP="000340A6">
            <w:pPr>
              <w:keepNext/>
              <w:keepLines/>
              <w:tabs>
                <w:tab w:val="right" w:pos="576"/>
              </w:tabs>
              <w:jc w:val="center"/>
            </w:pPr>
            <w:r>
              <w:t>43</w:t>
            </w:r>
            <w:r w:rsidR="002A25B3">
              <w:t>,</w:t>
            </w:r>
            <w:r>
              <w:t>223.4</w:t>
            </w:r>
          </w:p>
        </w:tc>
        <w:tc>
          <w:tcPr>
            <w:tcW w:w="1089" w:type="dxa"/>
            <w:shd w:val="clear" w:color="auto" w:fill="auto"/>
          </w:tcPr>
          <w:p w14:paraId="53F91A06" w14:textId="2891A764" w:rsidR="00180A38" w:rsidRPr="00C470CA" w:rsidRDefault="00180A38" w:rsidP="000340A6">
            <w:pPr>
              <w:keepNext/>
              <w:keepLines/>
              <w:tabs>
                <w:tab w:val="right" w:pos="576"/>
              </w:tabs>
              <w:jc w:val="center"/>
            </w:pPr>
            <w:r>
              <w:t>720.4</w:t>
            </w:r>
          </w:p>
        </w:tc>
        <w:tc>
          <w:tcPr>
            <w:tcW w:w="254" w:type="dxa"/>
            <w:vMerge/>
            <w:shd w:val="clear" w:color="auto" w:fill="auto"/>
          </w:tcPr>
          <w:p w14:paraId="382E0626" w14:textId="0086E602" w:rsidR="00180A38" w:rsidRPr="00CB3961" w:rsidRDefault="00180A38" w:rsidP="000340A6">
            <w:pPr>
              <w:keepNext/>
              <w:keepLines/>
              <w:tabs>
                <w:tab w:val="right" w:pos="504"/>
              </w:tabs>
            </w:pPr>
          </w:p>
        </w:tc>
        <w:tc>
          <w:tcPr>
            <w:tcW w:w="1382" w:type="dxa"/>
            <w:shd w:val="clear" w:color="auto" w:fill="auto"/>
            <w:vAlign w:val="center"/>
          </w:tcPr>
          <w:p w14:paraId="58AEC3C2" w14:textId="79B5DB2D" w:rsidR="00180A38" w:rsidRPr="00882B11" w:rsidRDefault="00180A38" w:rsidP="000340A6">
            <w:pPr>
              <w:keepNext/>
              <w:keepLines/>
              <w:tabs>
                <w:tab w:val="right" w:pos="576"/>
              </w:tabs>
              <w:rPr>
                <w:highlight w:val="green"/>
              </w:rPr>
            </w:pPr>
          </w:p>
        </w:tc>
      </w:tr>
      <w:tr w:rsidR="00180A38" w:rsidRPr="00E00EC2" w14:paraId="287D18E7" w14:textId="77777777" w:rsidTr="006B4CB7">
        <w:trPr>
          <w:cantSplit/>
          <w:trHeight w:val="450"/>
        </w:trPr>
        <w:tc>
          <w:tcPr>
            <w:tcW w:w="1376" w:type="dxa"/>
            <w:shd w:val="clear" w:color="auto" w:fill="auto"/>
          </w:tcPr>
          <w:p w14:paraId="584FF7AA" w14:textId="77777777" w:rsidR="00180A38" w:rsidRPr="00CB3961" w:rsidRDefault="00180A38" w:rsidP="000340A6">
            <w:pPr>
              <w:keepNext/>
              <w:keepLines/>
            </w:pPr>
            <w:r>
              <w:t>First reminder</w:t>
            </w:r>
          </w:p>
        </w:tc>
        <w:tc>
          <w:tcPr>
            <w:tcW w:w="1234" w:type="dxa"/>
            <w:shd w:val="clear" w:color="auto" w:fill="auto"/>
            <w:vAlign w:val="center"/>
          </w:tcPr>
          <w:p w14:paraId="0EDD0F33" w14:textId="6C4D3420" w:rsidR="00180A38" w:rsidRPr="00CB3961" w:rsidRDefault="00180A38" w:rsidP="000340A6">
            <w:pPr>
              <w:keepNext/>
              <w:keepLines/>
              <w:tabs>
                <w:tab w:val="right" w:pos="576"/>
              </w:tabs>
            </w:pPr>
            <w:r>
              <w:tab/>
              <w:t>18</w:t>
            </w:r>
            <w:r w:rsidR="007002A2">
              <w:t>.16</w:t>
            </w:r>
          </w:p>
        </w:tc>
        <w:tc>
          <w:tcPr>
            <w:tcW w:w="1260" w:type="dxa"/>
            <w:shd w:val="clear" w:color="auto" w:fill="auto"/>
            <w:vAlign w:val="center"/>
          </w:tcPr>
          <w:p w14:paraId="519CD438" w14:textId="173C2000" w:rsidR="00180A38" w:rsidRPr="00E55EA8" w:rsidRDefault="00180A38" w:rsidP="000340A6">
            <w:pPr>
              <w:keepNext/>
              <w:keepLines/>
              <w:tabs>
                <w:tab w:val="right" w:pos="792"/>
              </w:tabs>
            </w:pPr>
            <w:r w:rsidRPr="00E55EA8">
              <w:tab/>
              <w:t>1,</w:t>
            </w:r>
            <w:r>
              <w:t>091</w:t>
            </w:r>
          </w:p>
        </w:tc>
        <w:tc>
          <w:tcPr>
            <w:tcW w:w="1440" w:type="dxa"/>
            <w:shd w:val="clear" w:color="auto" w:fill="auto"/>
            <w:vAlign w:val="center"/>
          </w:tcPr>
          <w:p w14:paraId="08864722" w14:textId="78A4653B" w:rsidR="00180A38" w:rsidRPr="00CB3961" w:rsidRDefault="00180A38" w:rsidP="000340A6">
            <w:pPr>
              <w:keepNext/>
              <w:keepLines/>
              <w:tabs>
                <w:tab w:val="right" w:pos="576"/>
              </w:tabs>
            </w:pPr>
            <w:r>
              <w:tab/>
              <w:t>20.8</w:t>
            </w:r>
          </w:p>
        </w:tc>
        <w:tc>
          <w:tcPr>
            <w:tcW w:w="1476" w:type="dxa"/>
            <w:shd w:val="clear" w:color="auto" w:fill="auto"/>
            <w:vAlign w:val="center"/>
          </w:tcPr>
          <w:p w14:paraId="22638E36" w14:textId="3173BD04" w:rsidR="00180A38" w:rsidRPr="00CB3961" w:rsidRDefault="00180A38" w:rsidP="000340A6">
            <w:pPr>
              <w:keepNext/>
              <w:keepLines/>
              <w:tabs>
                <w:tab w:val="right" w:pos="576"/>
              </w:tabs>
              <w:jc w:val="center"/>
            </w:pPr>
            <w:r>
              <w:t>22</w:t>
            </w:r>
            <w:r w:rsidR="002A25B3">
              <w:t>,</w:t>
            </w:r>
            <w:r>
              <w:t>692.8</w:t>
            </w:r>
          </w:p>
        </w:tc>
        <w:tc>
          <w:tcPr>
            <w:tcW w:w="1089" w:type="dxa"/>
            <w:shd w:val="clear" w:color="auto" w:fill="auto"/>
            <w:vAlign w:val="center"/>
          </w:tcPr>
          <w:p w14:paraId="6053838F" w14:textId="76CF783F" w:rsidR="00180A38" w:rsidRPr="00BE6737" w:rsidRDefault="00180A38" w:rsidP="000340A6">
            <w:pPr>
              <w:keepNext/>
              <w:keepLines/>
              <w:tabs>
                <w:tab w:val="right" w:pos="576"/>
              </w:tabs>
              <w:jc w:val="center"/>
            </w:pPr>
            <w:r>
              <w:t>378.2</w:t>
            </w:r>
          </w:p>
        </w:tc>
        <w:tc>
          <w:tcPr>
            <w:tcW w:w="254" w:type="dxa"/>
            <w:vMerge/>
            <w:shd w:val="clear" w:color="auto" w:fill="auto"/>
            <w:vAlign w:val="center"/>
          </w:tcPr>
          <w:p w14:paraId="1568C66D" w14:textId="7C9F9067" w:rsidR="00180A38" w:rsidRPr="00CB3961" w:rsidRDefault="00180A38" w:rsidP="000340A6">
            <w:pPr>
              <w:keepNext/>
              <w:keepLines/>
              <w:tabs>
                <w:tab w:val="right" w:pos="504"/>
              </w:tabs>
            </w:pPr>
          </w:p>
        </w:tc>
        <w:tc>
          <w:tcPr>
            <w:tcW w:w="1382" w:type="dxa"/>
            <w:shd w:val="clear" w:color="auto" w:fill="auto"/>
            <w:vAlign w:val="center"/>
          </w:tcPr>
          <w:p w14:paraId="6F90FE6A" w14:textId="21B131D4" w:rsidR="00180A38" w:rsidRPr="00882B11" w:rsidRDefault="00180A38" w:rsidP="000340A6">
            <w:pPr>
              <w:keepNext/>
              <w:keepLines/>
              <w:tabs>
                <w:tab w:val="right" w:pos="576"/>
              </w:tabs>
              <w:rPr>
                <w:highlight w:val="green"/>
              </w:rPr>
            </w:pPr>
          </w:p>
        </w:tc>
      </w:tr>
      <w:tr w:rsidR="00180A38" w:rsidRPr="00E00EC2" w14:paraId="42F9C356" w14:textId="77777777" w:rsidTr="006B4CB7">
        <w:trPr>
          <w:cantSplit/>
          <w:trHeight w:val="450"/>
        </w:trPr>
        <w:tc>
          <w:tcPr>
            <w:tcW w:w="1376" w:type="dxa"/>
            <w:shd w:val="clear" w:color="auto" w:fill="auto"/>
          </w:tcPr>
          <w:p w14:paraId="62311B13" w14:textId="77777777" w:rsidR="00180A38" w:rsidRPr="00CB3961" w:rsidRDefault="00180A38" w:rsidP="000340A6">
            <w:pPr>
              <w:keepNext/>
              <w:keepLines/>
            </w:pPr>
            <w:r>
              <w:t>Second reminder</w:t>
            </w:r>
          </w:p>
        </w:tc>
        <w:tc>
          <w:tcPr>
            <w:tcW w:w="1234" w:type="dxa"/>
            <w:shd w:val="clear" w:color="auto" w:fill="auto"/>
            <w:vAlign w:val="center"/>
          </w:tcPr>
          <w:p w14:paraId="10E89AD8" w14:textId="56F93DF3" w:rsidR="00180A38" w:rsidRPr="00CB3961" w:rsidRDefault="00180A38" w:rsidP="000340A6">
            <w:pPr>
              <w:keepNext/>
              <w:keepLines/>
              <w:tabs>
                <w:tab w:val="right" w:pos="576"/>
              </w:tabs>
            </w:pPr>
            <w:r>
              <w:tab/>
              <w:t>1</w:t>
            </w:r>
            <w:r w:rsidR="007002A2">
              <w:t>3.63</w:t>
            </w:r>
          </w:p>
        </w:tc>
        <w:tc>
          <w:tcPr>
            <w:tcW w:w="1260" w:type="dxa"/>
            <w:shd w:val="clear" w:color="auto" w:fill="auto"/>
            <w:vAlign w:val="center"/>
          </w:tcPr>
          <w:p w14:paraId="46891C5F" w14:textId="698057A4" w:rsidR="00180A38" w:rsidRPr="00E55EA8" w:rsidRDefault="00180A38" w:rsidP="000340A6">
            <w:pPr>
              <w:keepNext/>
              <w:keepLines/>
              <w:tabs>
                <w:tab w:val="right" w:pos="792"/>
              </w:tabs>
            </w:pPr>
            <w:r w:rsidRPr="00E55EA8">
              <w:tab/>
            </w:r>
            <w:r>
              <w:t>819</w:t>
            </w:r>
          </w:p>
        </w:tc>
        <w:tc>
          <w:tcPr>
            <w:tcW w:w="1440" w:type="dxa"/>
            <w:shd w:val="clear" w:color="auto" w:fill="auto"/>
            <w:vAlign w:val="center"/>
          </w:tcPr>
          <w:p w14:paraId="1512426E" w14:textId="7BAF15FA" w:rsidR="00180A38" w:rsidRPr="00CB3961" w:rsidRDefault="00180A38" w:rsidP="000340A6">
            <w:pPr>
              <w:keepNext/>
              <w:keepLines/>
              <w:tabs>
                <w:tab w:val="right" w:pos="576"/>
              </w:tabs>
            </w:pPr>
            <w:r>
              <w:tab/>
              <w:t>21.8</w:t>
            </w:r>
          </w:p>
        </w:tc>
        <w:tc>
          <w:tcPr>
            <w:tcW w:w="1476" w:type="dxa"/>
            <w:shd w:val="clear" w:color="auto" w:fill="auto"/>
            <w:vAlign w:val="center"/>
          </w:tcPr>
          <w:p w14:paraId="788B283C" w14:textId="78AC205F" w:rsidR="00180A38" w:rsidRPr="00CB3961" w:rsidRDefault="00180A38" w:rsidP="000340A6">
            <w:pPr>
              <w:keepNext/>
              <w:keepLines/>
              <w:tabs>
                <w:tab w:val="right" w:pos="576"/>
              </w:tabs>
              <w:jc w:val="center"/>
            </w:pPr>
            <w:r>
              <w:t>17</w:t>
            </w:r>
            <w:r w:rsidR="002A25B3">
              <w:t>,</w:t>
            </w:r>
            <w:r>
              <w:t>854.2</w:t>
            </w:r>
          </w:p>
        </w:tc>
        <w:tc>
          <w:tcPr>
            <w:tcW w:w="1089" w:type="dxa"/>
            <w:shd w:val="clear" w:color="auto" w:fill="auto"/>
            <w:vAlign w:val="center"/>
          </w:tcPr>
          <w:p w14:paraId="0D93816F" w14:textId="41F1DCA8" w:rsidR="00180A38" w:rsidRPr="00CB3961" w:rsidRDefault="00180A38" w:rsidP="000340A6">
            <w:pPr>
              <w:keepNext/>
              <w:keepLines/>
              <w:tabs>
                <w:tab w:val="right" w:pos="576"/>
              </w:tabs>
              <w:jc w:val="center"/>
            </w:pPr>
            <w:r>
              <w:t>297.6</w:t>
            </w:r>
          </w:p>
        </w:tc>
        <w:tc>
          <w:tcPr>
            <w:tcW w:w="254" w:type="dxa"/>
            <w:vMerge/>
            <w:shd w:val="clear" w:color="auto" w:fill="auto"/>
            <w:vAlign w:val="center"/>
          </w:tcPr>
          <w:p w14:paraId="1BD5474A" w14:textId="07829F1C" w:rsidR="00180A38" w:rsidRPr="00CB3961" w:rsidRDefault="00180A38" w:rsidP="000340A6">
            <w:pPr>
              <w:keepNext/>
              <w:keepLines/>
              <w:tabs>
                <w:tab w:val="right" w:pos="504"/>
              </w:tabs>
            </w:pPr>
          </w:p>
        </w:tc>
        <w:tc>
          <w:tcPr>
            <w:tcW w:w="1382" w:type="dxa"/>
            <w:shd w:val="clear" w:color="auto" w:fill="auto"/>
            <w:vAlign w:val="center"/>
          </w:tcPr>
          <w:p w14:paraId="601C9129" w14:textId="48549243" w:rsidR="00180A38" w:rsidRPr="00882B11" w:rsidRDefault="00180A38" w:rsidP="000340A6">
            <w:pPr>
              <w:keepNext/>
              <w:keepLines/>
              <w:tabs>
                <w:tab w:val="right" w:pos="576"/>
              </w:tabs>
              <w:rPr>
                <w:highlight w:val="green"/>
              </w:rPr>
            </w:pPr>
          </w:p>
        </w:tc>
      </w:tr>
      <w:tr w:rsidR="00180A38" w:rsidRPr="00E00EC2" w14:paraId="04BF234E" w14:textId="77777777" w:rsidTr="006B4CB7">
        <w:trPr>
          <w:cantSplit/>
          <w:trHeight w:val="450"/>
        </w:trPr>
        <w:tc>
          <w:tcPr>
            <w:tcW w:w="1376" w:type="dxa"/>
            <w:shd w:val="clear" w:color="auto" w:fill="auto"/>
          </w:tcPr>
          <w:p w14:paraId="02C7943C" w14:textId="77777777" w:rsidR="00180A38" w:rsidRPr="00CB3961" w:rsidRDefault="00180A38" w:rsidP="000340A6">
            <w:pPr>
              <w:keepNext/>
              <w:keepLines/>
            </w:pPr>
            <w:r>
              <w:t>Third reminder</w:t>
            </w:r>
          </w:p>
        </w:tc>
        <w:tc>
          <w:tcPr>
            <w:tcW w:w="1234" w:type="dxa"/>
            <w:shd w:val="clear" w:color="auto" w:fill="auto"/>
            <w:vAlign w:val="center"/>
          </w:tcPr>
          <w:p w14:paraId="3D8E7B0B" w14:textId="32CA6E2B" w:rsidR="00180A38" w:rsidRPr="00CB3961" w:rsidRDefault="00437525" w:rsidP="000340A6">
            <w:pPr>
              <w:keepNext/>
              <w:keepLines/>
              <w:tabs>
                <w:tab w:val="right" w:pos="576"/>
              </w:tabs>
            </w:pPr>
            <w:r>
              <w:tab/>
            </w:r>
            <w:r w:rsidR="007002A2">
              <w:t>4.54</w:t>
            </w:r>
          </w:p>
        </w:tc>
        <w:tc>
          <w:tcPr>
            <w:tcW w:w="1260" w:type="dxa"/>
            <w:shd w:val="clear" w:color="auto" w:fill="auto"/>
            <w:vAlign w:val="center"/>
          </w:tcPr>
          <w:p w14:paraId="1E132626" w14:textId="6F7BEABB" w:rsidR="00180A38" w:rsidRPr="00E55EA8" w:rsidRDefault="00180A38" w:rsidP="000340A6">
            <w:pPr>
              <w:keepNext/>
              <w:keepLines/>
              <w:tabs>
                <w:tab w:val="right" w:pos="792"/>
              </w:tabs>
            </w:pPr>
            <w:r w:rsidRPr="00E55EA8">
              <w:tab/>
            </w:r>
            <w:r>
              <w:t>273</w:t>
            </w:r>
          </w:p>
        </w:tc>
        <w:tc>
          <w:tcPr>
            <w:tcW w:w="1440" w:type="dxa"/>
            <w:shd w:val="clear" w:color="auto" w:fill="auto"/>
            <w:vAlign w:val="center"/>
          </w:tcPr>
          <w:p w14:paraId="5FAB3F6B" w14:textId="15F99C10" w:rsidR="00180A38" w:rsidRPr="00CB3961" w:rsidRDefault="00180A38" w:rsidP="000340A6">
            <w:pPr>
              <w:keepNext/>
              <w:keepLines/>
              <w:tabs>
                <w:tab w:val="right" w:pos="576"/>
              </w:tabs>
            </w:pPr>
            <w:r>
              <w:tab/>
              <w:t>22.</w:t>
            </w:r>
            <w:r w:rsidR="00437525">
              <w:t>8</w:t>
            </w:r>
          </w:p>
        </w:tc>
        <w:tc>
          <w:tcPr>
            <w:tcW w:w="1476" w:type="dxa"/>
            <w:shd w:val="clear" w:color="auto" w:fill="auto"/>
            <w:vAlign w:val="center"/>
          </w:tcPr>
          <w:p w14:paraId="47ACCDE1" w14:textId="40271912" w:rsidR="00180A38" w:rsidRPr="00CB3961" w:rsidRDefault="00180A38" w:rsidP="000340A6">
            <w:pPr>
              <w:keepNext/>
              <w:keepLines/>
              <w:tabs>
                <w:tab w:val="right" w:pos="576"/>
              </w:tabs>
              <w:jc w:val="center"/>
            </w:pPr>
            <w:r>
              <w:t>6</w:t>
            </w:r>
            <w:r w:rsidR="002A25B3">
              <w:t>,</w:t>
            </w:r>
            <w:r>
              <w:t>224.0</w:t>
            </w:r>
          </w:p>
        </w:tc>
        <w:tc>
          <w:tcPr>
            <w:tcW w:w="1089" w:type="dxa"/>
            <w:shd w:val="clear" w:color="auto" w:fill="auto"/>
            <w:vAlign w:val="center"/>
          </w:tcPr>
          <w:p w14:paraId="4B62FAB1" w14:textId="76AAE3CF" w:rsidR="00180A38" w:rsidRPr="00CB3961" w:rsidRDefault="00180A38" w:rsidP="000340A6">
            <w:pPr>
              <w:keepNext/>
              <w:keepLines/>
              <w:tabs>
                <w:tab w:val="right" w:pos="576"/>
              </w:tabs>
              <w:jc w:val="center"/>
            </w:pPr>
            <w:r>
              <w:t>103.7</w:t>
            </w:r>
          </w:p>
        </w:tc>
        <w:tc>
          <w:tcPr>
            <w:tcW w:w="254" w:type="dxa"/>
            <w:vMerge/>
            <w:shd w:val="clear" w:color="auto" w:fill="auto"/>
            <w:vAlign w:val="center"/>
          </w:tcPr>
          <w:p w14:paraId="1B836E42" w14:textId="19A7E454" w:rsidR="00180A38" w:rsidRPr="00CB3961" w:rsidRDefault="00180A38" w:rsidP="000340A6">
            <w:pPr>
              <w:keepNext/>
              <w:keepLines/>
              <w:tabs>
                <w:tab w:val="right" w:pos="504"/>
              </w:tabs>
            </w:pPr>
          </w:p>
        </w:tc>
        <w:tc>
          <w:tcPr>
            <w:tcW w:w="1382" w:type="dxa"/>
            <w:shd w:val="clear" w:color="auto" w:fill="auto"/>
            <w:vAlign w:val="center"/>
          </w:tcPr>
          <w:p w14:paraId="1C29A582" w14:textId="5FFD094A" w:rsidR="00180A38" w:rsidRPr="00882B11" w:rsidRDefault="00180A38" w:rsidP="000340A6">
            <w:pPr>
              <w:keepNext/>
              <w:keepLines/>
              <w:tabs>
                <w:tab w:val="right" w:pos="576"/>
              </w:tabs>
              <w:rPr>
                <w:highlight w:val="green"/>
              </w:rPr>
            </w:pPr>
          </w:p>
        </w:tc>
      </w:tr>
      <w:tr w:rsidR="00180A38" w:rsidRPr="00E00EC2" w14:paraId="53887E20" w14:textId="77777777" w:rsidTr="006B4CB7">
        <w:trPr>
          <w:cantSplit/>
          <w:trHeight w:val="450"/>
        </w:trPr>
        <w:tc>
          <w:tcPr>
            <w:tcW w:w="1376" w:type="dxa"/>
            <w:shd w:val="clear" w:color="auto" w:fill="auto"/>
          </w:tcPr>
          <w:p w14:paraId="33BA07DB" w14:textId="77777777" w:rsidR="00180A38" w:rsidRPr="00C85FB5" w:rsidRDefault="00180A38" w:rsidP="000340A6">
            <w:pPr>
              <w:keepNext/>
              <w:keepLines/>
            </w:pPr>
            <w:r w:rsidRPr="00C85FB5">
              <w:t>Non-respondents</w:t>
            </w:r>
          </w:p>
        </w:tc>
        <w:tc>
          <w:tcPr>
            <w:tcW w:w="1234" w:type="dxa"/>
            <w:shd w:val="clear" w:color="auto" w:fill="auto"/>
          </w:tcPr>
          <w:p w14:paraId="02CC2FF5" w14:textId="77777777" w:rsidR="00180A38" w:rsidRPr="00C85FB5" w:rsidRDefault="00180A38" w:rsidP="000340A6">
            <w:pPr>
              <w:keepNext/>
              <w:keepLines/>
              <w:rPr>
                <w:sz w:val="24"/>
                <w:szCs w:val="24"/>
              </w:rPr>
            </w:pPr>
          </w:p>
        </w:tc>
        <w:tc>
          <w:tcPr>
            <w:tcW w:w="1260" w:type="dxa"/>
            <w:shd w:val="clear" w:color="auto" w:fill="auto"/>
            <w:vAlign w:val="center"/>
          </w:tcPr>
          <w:p w14:paraId="6E5883D9" w14:textId="095A386C" w:rsidR="00180A38" w:rsidRPr="00C85FB5" w:rsidRDefault="00180A38" w:rsidP="000340A6">
            <w:pPr>
              <w:keepNext/>
              <w:keepLines/>
              <w:tabs>
                <w:tab w:val="right" w:pos="792"/>
              </w:tabs>
            </w:pPr>
            <w:r w:rsidRPr="00C85FB5">
              <w:tab/>
              <w:t>1,643</w:t>
            </w:r>
          </w:p>
        </w:tc>
        <w:tc>
          <w:tcPr>
            <w:tcW w:w="1440" w:type="dxa"/>
            <w:shd w:val="clear" w:color="auto" w:fill="auto"/>
            <w:vAlign w:val="center"/>
          </w:tcPr>
          <w:p w14:paraId="54C6FE5D" w14:textId="65334739" w:rsidR="00180A38" w:rsidRPr="00C85FB5" w:rsidRDefault="00180A38" w:rsidP="000340A6">
            <w:pPr>
              <w:keepNext/>
              <w:keepLines/>
              <w:tabs>
                <w:tab w:val="right" w:pos="576"/>
              </w:tabs>
            </w:pPr>
            <w:r w:rsidRPr="00C85FB5">
              <w:tab/>
              <w:t>4</w:t>
            </w:r>
          </w:p>
        </w:tc>
        <w:tc>
          <w:tcPr>
            <w:tcW w:w="1476" w:type="dxa"/>
            <w:shd w:val="clear" w:color="auto" w:fill="auto"/>
            <w:vAlign w:val="center"/>
          </w:tcPr>
          <w:p w14:paraId="71192128" w14:textId="36F9A07B" w:rsidR="00180A38" w:rsidRPr="00C85FB5" w:rsidRDefault="00437525" w:rsidP="000340A6">
            <w:pPr>
              <w:keepNext/>
              <w:keepLines/>
              <w:tabs>
                <w:tab w:val="right" w:pos="576"/>
              </w:tabs>
              <w:jc w:val="center"/>
            </w:pPr>
            <w:r w:rsidRPr="00C85FB5">
              <w:t>6</w:t>
            </w:r>
            <w:r w:rsidR="002A25B3" w:rsidRPr="00C85FB5">
              <w:t>,</w:t>
            </w:r>
            <w:r w:rsidRPr="00C85FB5">
              <w:t>572.0</w:t>
            </w:r>
          </w:p>
        </w:tc>
        <w:tc>
          <w:tcPr>
            <w:tcW w:w="1089" w:type="dxa"/>
            <w:shd w:val="clear" w:color="auto" w:fill="auto"/>
            <w:vAlign w:val="center"/>
          </w:tcPr>
          <w:p w14:paraId="6C19E088" w14:textId="14F260AE" w:rsidR="00180A38" w:rsidRPr="00C85FB5" w:rsidRDefault="00180A38" w:rsidP="000340A6">
            <w:pPr>
              <w:keepNext/>
              <w:keepLines/>
              <w:tabs>
                <w:tab w:val="right" w:pos="576"/>
              </w:tabs>
              <w:jc w:val="center"/>
            </w:pPr>
            <w:r w:rsidRPr="00C85FB5">
              <w:t>109.5</w:t>
            </w:r>
          </w:p>
        </w:tc>
        <w:tc>
          <w:tcPr>
            <w:tcW w:w="254" w:type="dxa"/>
            <w:vMerge/>
            <w:shd w:val="clear" w:color="auto" w:fill="auto"/>
            <w:vAlign w:val="center"/>
          </w:tcPr>
          <w:p w14:paraId="0480D940" w14:textId="1FD5AD5E" w:rsidR="00180A38" w:rsidRPr="00C85FB5" w:rsidRDefault="00180A38" w:rsidP="000340A6">
            <w:pPr>
              <w:keepNext/>
              <w:keepLines/>
              <w:tabs>
                <w:tab w:val="right" w:pos="504"/>
              </w:tabs>
            </w:pPr>
          </w:p>
        </w:tc>
        <w:tc>
          <w:tcPr>
            <w:tcW w:w="1382" w:type="dxa"/>
            <w:shd w:val="clear" w:color="auto" w:fill="auto"/>
            <w:vAlign w:val="center"/>
          </w:tcPr>
          <w:p w14:paraId="5E1B2C89" w14:textId="6C8B1237" w:rsidR="00180A38" w:rsidRPr="00C85FB5" w:rsidRDefault="00180A38" w:rsidP="000340A6">
            <w:pPr>
              <w:keepNext/>
              <w:keepLines/>
              <w:tabs>
                <w:tab w:val="right" w:pos="576"/>
              </w:tabs>
              <w:rPr>
                <w:highlight w:val="green"/>
              </w:rPr>
            </w:pPr>
          </w:p>
        </w:tc>
      </w:tr>
    </w:tbl>
    <w:p w14:paraId="0E7F9D5B" w14:textId="77777777" w:rsidR="009D0963" w:rsidRDefault="009D0963" w:rsidP="009D0963">
      <w:pPr>
        <w:ind w:left="720" w:hanging="7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689"/>
        <w:gridCol w:w="1687"/>
        <w:gridCol w:w="1410"/>
        <w:gridCol w:w="1519"/>
        <w:gridCol w:w="1519"/>
      </w:tblGrid>
      <w:tr w:rsidR="008D1C54" w:rsidRPr="00E00EC2" w14:paraId="17F9834C" w14:textId="77777777" w:rsidTr="00374B44">
        <w:tc>
          <w:tcPr>
            <w:tcW w:w="9782" w:type="dxa"/>
            <w:gridSpan w:val="6"/>
            <w:shd w:val="clear" w:color="auto" w:fill="auto"/>
            <w:vAlign w:val="center"/>
          </w:tcPr>
          <w:p w14:paraId="50C45B90" w14:textId="7F79F5AC" w:rsidR="006B3174" w:rsidRPr="00CB3961" w:rsidRDefault="008D1C54">
            <w:pPr>
              <w:jc w:val="center"/>
              <w:rPr>
                <w:b/>
                <w:sz w:val="24"/>
                <w:szCs w:val="24"/>
              </w:rPr>
            </w:pPr>
            <w:r w:rsidRPr="00E00EC2">
              <w:rPr>
                <w:b/>
                <w:sz w:val="24"/>
                <w:szCs w:val="24"/>
              </w:rPr>
              <w:t>Non-response follow-up</w:t>
            </w:r>
            <w:r w:rsidR="00C868A4">
              <w:rPr>
                <w:b/>
                <w:sz w:val="24"/>
                <w:szCs w:val="24"/>
              </w:rPr>
              <w:t xml:space="preserve"> survey</w:t>
            </w:r>
            <w:r w:rsidRPr="00E00EC2">
              <w:rPr>
                <w:b/>
                <w:sz w:val="24"/>
                <w:szCs w:val="24"/>
              </w:rPr>
              <w:t xml:space="preserve"> burden</w:t>
            </w:r>
          </w:p>
        </w:tc>
      </w:tr>
      <w:tr w:rsidR="00152DE8" w:rsidRPr="00E00EC2" w14:paraId="2C8BDE60" w14:textId="77777777" w:rsidTr="00374B44">
        <w:tc>
          <w:tcPr>
            <w:tcW w:w="1567" w:type="dxa"/>
            <w:shd w:val="clear" w:color="auto" w:fill="auto"/>
          </w:tcPr>
          <w:p w14:paraId="5A2EC83C" w14:textId="77777777" w:rsidR="006C2D93" w:rsidRPr="00E00EC2" w:rsidRDefault="006C2D93" w:rsidP="006C2D93">
            <w:pPr>
              <w:rPr>
                <w:sz w:val="24"/>
                <w:szCs w:val="24"/>
              </w:rPr>
            </w:pPr>
          </w:p>
        </w:tc>
        <w:tc>
          <w:tcPr>
            <w:tcW w:w="1758" w:type="dxa"/>
            <w:shd w:val="clear" w:color="auto" w:fill="auto"/>
            <w:vAlign w:val="center"/>
          </w:tcPr>
          <w:p w14:paraId="4FC48687" w14:textId="77777777" w:rsidR="006C2D93" w:rsidRPr="00CB3961" w:rsidRDefault="006C2D93" w:rsidP="00E00EC2">
            <w:pPr>
              <w:jc w:val="center"/>
            </w:pPr>
            <w:r>
              <w:t>Estimated number of non-respondents, census</w:t>
            </w:r>
          </w:p>
        </w:tc>
        <w:tc>
          <w:tcPr>
            <w:tcW w:w="1800" w:type="dxa"/>
            <w:shd w:val="clear" w:color="auto" w:fill="auto"/>
            <w:vAlign w:val="center"/>
          </w:tcPr>
          <w:p w14:paraId="4169D5FD" w14:textId="6BDCC60A" w:rsidR="006C2D93" w:rsidRPr="00CB3961" w:rsidRDefault="006C2D93" w:rsidP="00E00EC2">
            <w:pPr>
              <w:jc w:val="center"/>
            </w:pPr>
            <w:r>
              <w:t>Number of</w:t>
            </w:r>
            <w:r w:rsidR="0030310E">
              <w:t xml:space="preserve"> </w:t>
            </w:r>
            <w:r w:rsidR="003F50F4">
              <w:t>u</w:t>
            </w:r>
            <w:r w:rsidR="0030310E">
              <w:t>sers selected for non-response</w:t>
            </w:r>
            <w:r w:rsidR="006416C6">
              <w:t xml:space="preserve"> bias</w:t>
            </w:r>
            <w:r w:rsidR="0030310E">
              <w:t xml:space="preserve"> analysis</w:t>
            </w:r>
          </w:p>
        </w:tc>
        <w:tc>
          <w:tcPr>
            <w:tcW w:w="1471" w:type="dxa"/>
            <w:shd w:val="clear" w:color="auto" w:fill="auto"/>
            <w:vAlign w:val="center"/>
          </w:tcPr>
          <w:p w14:paraId="144328CC" w14:textId="77777777" w:rsidR="006C2D93" w:rsidRPr="00CB3961" w:rsidRDefault="0030310E" w:rsidP="00E00EC2">
            <w:pPr>
              <w:jc w:val="center"/>
            </w:pPr>
            <w:r>
              <w:t>Total responses</w:t>
            </w:r>
          </w:p>
        </w:tc>
        <w:tc>
          <w:tcPr>
            <w:tcW w:w="1593" w:type="dxa"/>
            <w:shd w:val="clear" w:color="auto" w:fill="auto"/>
            <w:vAlign w:val="center"/>
          </w:tcPr>
          <w:p w14:paraId="6F80E470" w14:textId="6E8F4CE5" w:rsidR="006C2D93" w:rsidRPr="00CB3961" w:rsidRDefault="0030310E" w:rsidP="002A25B3">
            <w:pPr>
              <w:jc w:val="center"/>
            </w:pPr>
            <w:r>
              <w:t>Estimated average minutes per response</w:t>
            </w:r>
          </w:p>
        </w:tc>
        <w:tc>
          <w:tcPr>
            <w:tcW w:w="1593" w:type="dxa"/>
            <w:shd w:val="clear" w:color="auto" w:fill="auto"/>
            <w:vAlign w:val="center"/>
          </w:tcPr>
          <w:p w14:paraId="3EC87DB8" w14:textId="77777777" w:rsidR="006C2D93" w:rsidRPr="00CB3961" w:rsidRDefault="0030310E" w:rsidP="00E00EC2">
            <w:pPr>
              <w:jc w:val="center"/>
            </w:pPr>
            <w:r>
              <w:t>Estimated total hours of response burden</w:t>
            </w:r>
          </w:p>
        </w:tc>
      </w:tr>
      <w:tr w:rsidR="00152DE8" w:rsidRPr="00E00EC2" w14:paraId="09F410D8" w14:textId="77777777" w:rsidTr="00374B44">
        <w:tc>
          <w:tcPr>
            <w:tcW w:w="1567" w:type="dxa"/>
            <w:shd w:val="clear" w:color="auto" w:fill="auto"/>
            <w:vAlign w:val="center"/>
          </w:tcPr>
          <w:p w14:paraId="0CDEDD3F" w14:textId="611A03B1" w:rsidR="006C2D93" w:rsidRPr="00CB3961" w:rsidRDefault="00C85FB5" w:rsidP="007A75A7">
            <w:r>
              <w:t>Respondents to f</w:t>
            </w:r>
            <w:r w:rsidR="008D1C54">
              <w:t xml:space="preserve">ollow-up </w:t>
            </w:r>
            <w:r w:rsidR="00152DE8">
              <w:t xml:space="preserve">survey </w:t>
            </w:r>
            <w:r w:rsidR="008D1C54">
              <w:t xml:space="preserve">for non-response </w:t>
            </w:r>
            <w:r w:rsidR="006416C6">
              <w:t xml:space="preserve">bias </w:t>
            </w:r>
            <w:r w:rsidR="008D1C54">
              <w:t>analysis</w:t>
            </w:r>
          </w:p>
        </w:tc>
        <w:tc>
          <w:tcPr>
            <w:tcW w:w="1758" w:type="dxa"/>
            <w:shd w:val="clear" w:color="auto" w:fill="auto"/>
            <w:vAlign w:val="center"/>
          </w:tcPr>
          <w:p w14:paraId="5CDA8197" w14:textId="188ECE42" w:rsidR="006C2D93" w:rsidRPr="00CB3961" w:rsidRDefault="000633C5" w:rsidP="00152DE8">
            <w:pPr>
              <w:tabs>
                <w:tab w:val="right" w:pos="1008"/>
              </w:tabs>
              <w:jc w:val="center"/>
            </w:pPr>
            <w:r>
              <w:t>1,643</w:t>
            </w:r>
          </w:p>
        </w:tc>
        <w:tc>
          <w:tcPr>
            <w:tcW w:w="1800" w:type="dxa"/>
            <w:shd w:val="clear" w:color="auto" w:fill="auto"/>
            <w:vAlign w:val="center"/>
          </w:tcPr>
          <w:p w14:paraId="45AA778A" w14:textId="398B7CE3" w:rsidR="006C2D93" w:rsidRPr="00CB3961" w:rsidRDefault="00152DE8" w:rsidP="00152DE8">
            <w:pPr>
              <w:tabs>
                <w:tab w:val="right" w:pos="1008"/>
              </w:tabs>
              <w:jc w:val="center"/>
            </w:pPr>
            <w:r>
              <w:t>97</w:t>
            </w:r>
          </w:p>
        </w:tc>
        <w:tc>
          <w:tcPr>
            <w:tcW w:w="1471" w:type="dxa"/>
            <w:shd w:val="clear" w:color="auto" w:fill="auto"/>
            <w:vAlign w:val="center"/>
          </w:tcPr>
          <w:p w14:paraId="37B8C260" w14:textId="3742F22C" w:rsidR="006C2D93" w:rsidRPr="00CB3961" w:rsidRDefault="008D1C54" w:rsidP="00152DE8">
            <w:pPr>
              <w:tabs>
                <w:tab w:val="right" w:pos="1008"/>
              </w:tabs>
              <w:jc w:val="center"/>
            </w:pPr>
            <w:r>
              <w:t>100</w:t>
            </w:r>
          </w:p>
        </w:tc>
        <w:tc>
          <w:tcPr>
            <w:tcW w:w="1593" w:type="dxa"/>
            <w:shd w:val="clear" w:color="auto" w:fill="auto"/>
            <w:vAlign w:val="center"/>
          </w:tcPr>
          <w:p w14:paraId="46059D2A" w14:textId="1E51566E" w:rsidR="00152DE8" w:rsidRPr="00CB3961" w:rsidRDefault="00152DE8" w:rsidP="00152DE8">
            <w:pPr>
              <w:tabs>
                <w:tab w:val="right" w:pos="1008"/>
              </w:tabs>
              <w:jc w:val="center"/>
            </w:pPr>
            <w:r>
              <w:t>6</w:t>
            </w:r>
          </w:p>
        </w:tc>
        <w:tc>
          <w:tcPr>
            <w:tcW w:w="1593" w:type="dxa"/>
            <w:shd w:val="clear" w:color="auto" w:fill="auto"/>
            <w:vAlign w:val="center"/>
          </w:tcPr>
          <w:p w14:paraId="606B2840" w14:textId="49630D9C" w:rsidR="006C2D93" w:rsidRPr="00CB3961" w:rsidRDefault="00152DE8" w:rsidP="00C85FB5">
            <w:pPr>
              <w:tabs>
                <w:tab w:val="right" w:pos="1008"/>
              </w:tabs>
              <w:jc w:val="center"/>
            </w:pPr>
            <w:r>
              <w:t>9.</w:t>
            </w:r>
            <w:r w:rsidR="00C85FB5">
              <w:t>7</w:t>
            </w:r>
          </w:p>
        </w:tc>
      </w:tr>
      <w:tr w:rsidR="00152DE8" w:rsidRPr="00E00EC2" w14:paraId="2D7F688E" w14:textId="77777777" w:rsidTr="00374B44">
        <w:tc>
          <w:tcPr>
            <w:tcW w:w="1567" w:type="dxa"/>
            <w:shd w:val="clear" w:color="auto" w:fill="auto"/>
            <w:vAlign w:val="center"/>
          </w:tcPr>
          <w:p w14:paraId="3BFC7F9F" w14:textId="00342C10" w:rsidR="00152DE8" w:rsidRDefault="00152DE8" w:rsidP="00152DE8">
            <w:r>
              <w:t xml:space="preserve">Users not </w:t>
            </w:r>
            <w:r w:rsidR="007A75A7">
              <w:t>replying to non-response survey</w:t>
            </w:r>
          </w:p>
        </w:tc>
        <w:tc>
          <w:tcPr>
            <w:tcW w:w="1758" w:type="dxa"/>
            <w:shd w:val="clear" w:color="auto" w:fill="auto"/>
            <w:vAlign w:val="center"/>
          </w:tcPr>
          <w:p w14:paraId="60B8D3D2" w14:textId="77777777" w:rsidR="00152DE8" w:rsidRDefault="00152DE8" w:rsidP="00152DE8">
            <w:pPr>
              <w:tabs>
                <w:tab w:val="right" w:pos="1008"/>
              </w:tabs>
              <w:jc w:val="center"/>
            </w:pPr>
          </w:p>
        </w:tc>
        <w:tc>
          <w:tcPr>
            <w:tcW w:w="1800" w:type="dxa"/>
            <w:shd w:val="clear" w:color="auto" w:fill="auto"/>
            <w:vAlign w:val="center"/>
          </w:tcPr>
          <w:p w14:paraId="2DA3100F" w14:textId="4FD29E83" w:rsidR="00152DE8" w:rsidRDefault="00152DE8" w:rsidP="00C85FB5">
            <w:pPr>
              <w:tabs>
                <w:tab w:val="right" w:pos="1008"/>
              </w:tabs>
              <w:jc w:val="center"/>
            </w:pPr>
            <w:r>
              <w:t>3</w:t>
            </w:r>
          </w:p>
        </w:tc>
        <w:tc>
          <w:tcPr>
            <w:tcW w:w="1471" w:type="dxa"/>
            <w:shd w:val="clear" w:color="auto" w:fill="auto"/>
            <w:vAlign w:val="center"/>
          </w:tcPr>
          <w:p w14:paraId="63ABD116" w14:textId="77777777" w:rsidR="00152DE8" w:rsidRDefault="00152DE8" w:rsidP="00152DE8">
            <w:pPr>
              <w:tabs>
                <w:tab w:val="right" w:pos="1008"/>
              </w:tabs>
              <w:jc w:val="center"/>
            </w:pPr>
          </w:p>
        </w:tc>
        <w:tc>
          <w:tcPr>
            <w:tcW w:w="1593" w:type="dxa"/>
            <w:shd w:val="clear" w:color="auto" w:fill="auto"/>
            <w:vAlign w:val="center"/>
          </w:tcPr>
          <w:p w14:paraId="51811753" w14:textId="7A0C9590" w:rsidR="00152DE8" w:rsidRDefault="00152DE8" w:rsidP="00C85FB5">
            <w:pPr>
              <w:tabs>
                <w:tab w:val="right" w:pos="1008"/>
              </w:tabs>
              <w:jc w:val="center"/>
            </w:pPr>
            <w:r>
              <w:t>1</w:t>
            </w:r>
          </w:p>
        </w:tc>
        <w:tc>
          <w:tcPr>
            <w:tcW w:w="1593" w:type="dxa"/>
            <w:shd w:val="clear" w:color="auto" w:fill="auto"/>
            <w:vAlign w:val="center"/>
          </w:tcPr>
          <w:p w14:paraId="6068BF4A" w14:textId="49D7E22C" w:rsidR="00152DE8" w:rsidRDefault="00152DE8" w:rsidP="00C85FB5">
            <w:pPr>
              <w:tabs>
                <w:tab w:val="right" w:pos="1008"/>
              </w:tabs>
              <w:jc w:val="center"/>
            </w:pPr>
            <w:r>
              <w:t>.</w:t>
            </w:r>
            <w:r w:rsidR="00C85FB5">
              <w:t>1</w:t>
            </w:r>
          </w:p>
        </w:tc>
      </w:tr>
    </w:tbl>
    <w:p w14:paraId="7336F007" w14:textId="77777777" w:rsidR="006C2D93" w:rsidRDefault="006C2D93" w:rsidP="006C2D93">
      <w:pPr>
        <w:ind w:left="720" w:hanging="7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4899"/>
      </w:tblGrid>
      <w:tr w:rsidR="008D1C54" w:rsidRPr="00E00EC2" w14:paraId="19FF617B" w14:textId="77777777" w:rsidTr="006B4CB7">
        <w:tc>
          <w:tcPr>
            <w:tcW w:w="9350" w:type="dxa"/>
            <w:gridSpan w:val="2"/>
            <w:shd w:val="clear" w:color="auto" w:fill="auto"/>
            <w:vAlign w:val="center"/>
          </w:tcPr>
          <w:p w14:paraId="1DA33A46" w14:textId="77777777" w:rsidR="008D1C54" w:rsidRPr="00E00EC2" w:rsidRDefault="008D1C54" w:rsidP="00E00EC2">
            <w:pPr>
              <w:jc w:val="center"/>
              <w:rPr>
                <w:b/>
                <w:sz w:val="24"/>
                <w:szCs w:val="24"/>
              </w:rPr>
            </w:pPr>
            <w:r w:rsidRPr="00E00EC2">
              <w:rPr>
                <w:b/>
                <w:sz w:val="24"/>
                <w:szCs w:val="24"/>
              </w:rPr>
              <w:t xml:space="preserve">Total User </w:t>
            </w:r>
            <w:r w:rsidR="002F7D5E" w:rsidRPr="00E00EC2">
              <w:rPr>
                <w:b/>
                <w:sz w:val="24"/>
                <w:szCs w:val="24"/>
              </w:rPr>
              <w:t>Burden</w:t>
            </w:r>
          </w:p>
        </w:tc>
      </w:tr>
      <w:tr w:rsidR="002F7D5E" w:rsidRPr="00E00EC2" w14:paraId="0B469CF0" w14:textId="77777777" w:rsidTr="006B4CB7">
        <w:tc>
          <w:tcPr>
            <w:tcW w:w="4451" w:type="dxa"/>
            <w:shd w:val="clear" w:color="auto" w:fill="auto"/>
          </w:tcPr>
          <w:p w14:paraId="754B5B2F" w14:textId="77777777" w:rsidR="002F7D5E" w:rsidRPr="002F7D5E" w:rsidRDefault="002F7D5E" w:rsidP="009D0963"/>
        </w:tc>
        <w:tc>
          <w:tcPr>
            <w:tcW w:w="4899" w:type="dxa"/>
            <w:shd w:val="clear" w:color="auto" w:fill="auto"/>
            <w:vAlign w:val="center"/>
          </w:tcPr>
          <w:p w14:paraId="66F6206B" w14:textId="77777777" w:rsidR="002F7D5E" w:rsidRPr="00CB3961" w:rsidRDefault="002F7D5E" w:rsidP="00E00EC2">
            <w:pPr>
              <w:jc w:val="center"/>
            </w:pPr>
            <w:r w:rsidRPr="00CB3961">
              <w:t>Estimated</w:t>
            </w:r>
            <w:r>
              <w:t xml:space="preserve"> total annual hours of response and non-response burden</w:t>
            </w:r>
          </w:p>
        </w:tc>
      </w:tr>
      <w:tr w:rsidR="006B4CB7" w:rsidRPr="00E00EC2" w14:paraId="2DA6F295" w14:textId="77777777" w:rsidTr="006B4CB7">
        <w:tc>
          <w:tcPr>
            <w:tcW w:w="4451" w:type="dxa"/>
            <w:shd w:val="clear" w:color="auto" w:fill="auto"/>
            <w:vAlign w:val="center"/>
          </w:tcPr>
          <w:p w14:paraId="25509B24" w14:textId="77777777" w:rsidR="006B4CB7" w:rsidRDefault="006B4CB7" w:rsidP="006B4CB7">
            <w:pPr>
              <w:rPr>
                <w:b/>
              </w:rPr>
            </w:pPr>
          </w:p>
          <w:p w14:paraId="15CAEF72" w14:textId="77777777" w:rsidR="006B4CB7" w:rsidRDefault="006B4CB7" w:rsidP="006B4CB7">
            <w:pPr>
              <w:rPr>
                <w:b/>
              </w:rPr>
            </w:pPr>
            <w:r w:rsidRPr="00E00EC2">
              <w:rPr>
                <w:b/>
              </w:rPr>
              <w:t>Total burden</w:t>
            </w:r>
          </w:p>
          <w:p w14:paraId="5794C9EA" w14:textId="41534CBF" w:rsidR="006B4CB7" w:rsidRDefault="006B4CB7" w:rsidP="006B4CB7"/>
        </w:tc>
        <w:tc>
          <w:tcPr>
            <w:tcW w:w="4899" w:type="dxa"/>
            <w:shd w:val="clear" w:color="auto" w:fill="auto"/>
          </w:tcPr>
          <w:p w14:paraId="2E46C5DB" w14:textId="77777777" w:rsidR="007A75A7" w:rsidRDefault="006B4CB7" w:rsidP="006B4CB7">
            <w:pPr>
              <w:tabs>
                <w:tab w:val="right" w:pos="2880"/>
              </w:tabs>
            </w:pPr>
            <w:r w:rsidRPr="00E55EA8">
              <w:tab/>
            </w:r>
          </w:p>
          <w:p w14:paraId="0212FE00" w14:textId="6C213234" w:rsidR="006B4CB7" w:rsidRPr="007A75A7" w:rsidRDefault="00C85FB5" w:rsidP="007A75A7">
            <w:pPr>
              <w:tabs>
                <w:tab w:val="right" w:pos="2880"/>
              </w:tabs>
              <w:jc w:val="center"/>
              <w:rPr>
                <w:b/>
              </w:rPr>
            </w:pPr>
            <w:r w:rsidRPr="007A75A7">
              <w:rPr>
                <w:b/>
              </w:rPr>
              <w:t>1,619.2</w:t>
            </w:r>
          </w:p>
        </w:tc>
      </w:tr>
      <w:tr w:rsidR="006B4CB7" w:rsidRPr="00E00EC2" w14:paraId="6B03A01F" w14:textId="77777777" w:rsidTr="006B4CB7">
        <w:tc>
          <w:tcPr>
            <w:tcW w:w="4451" w:type="dxa"/>
            <w:shd w:val="clear" w:color="auto" w:fill="auto"/>
            <w:vAlign w:val="center"/>
          </w:tcPr>
          <w:p w14:paraId="2EFF6487" w14:textId="77777777" w:rsidR="006B4CB7" w:rsidRPr="00CB3961" w:rsidRDefault="006B4CB7" w:rsidP="006B4CB7">
            <w:pPr>
              <w:ind w:left="720"/>
            </w:pPr>
            <w:r>
              <w:t>Total Census burden</w:t>
            </w:r>
          </w:p>
        </w:tc>
        <w:tc>
          <w:tcPr>
            <w:tcW w:w="4899" w:type="dxa"/>
            <w:shd w:val="clear" w:color="auto" w:fill="auto"/>
          </w:tcPr>
          <w:p w14:paraId="16C05182" w14:textId="508FF850" w:rsidR="006B4CB7" w:rsidRPr="00E55EA8" w:rsidRDefault="006B4CB7" w:rsidP="007A75A7">
            <w:pPr>
              <w:tabs>
                <w:tab w:val="right" w:pos="2880"/>
              </w:tabs>
              <w:jc w:val="center"/>
            </w:pPr>
            <w:r w:rsidRPr="003B7144">
              <w:t>1,609.4</w:t>
            </w:r>
          </w:p>
        </w:tc>
      </w:tr>
      <w:tr w:rsidR="006B4CB7" w:rsidRPr="00E00EC2" w14:paraId="46D941F3" w14:textId="77777777" w:rsidTr="006B4CB7">
        <w:tc>
          <w:tcPr>
            <w:tcW w:w="4451" w:type="dxa"/>
            <w:shd w:val="clear" w:color="auto" w:fill="auto"/>
            <w:vAlign w:val="center"/>
          </w:tcPr>
          <w:p w14:paraId="0522B270" w14:textId="371F262B" w:rsidR="006B4CB7" w:rsidRPr="00CB3961" w:rsidRDefault="006B4CB7" w:rsidP="006B4CB7">
            <w:pPr>
              <w:ind w:left="720"/>
            </w:pPr>
            <w:r>
              <w:t xml:space="preserve">Total burden, follow-up </w:t>
            </w:r>
            <w:r w:rsidR="00BF3D66">
              <w:t xml:space="preserve">survey </w:t>
            </w:r>
            <w:r>
              <w:t>for non-response bias analysis</w:t>
            </w:r>
          </w:p>
        </w:tc>
        <w:tc>
          <w:tcPr>
            <w:tcW w:w="4899" w:type="dxa"/>
            <w:shd w:val="clear" w:color="auto" w:fill="auto"/>
          </w:tcPr>
          <w:p w14:paraId="1F2418D4" w14:textId="3E3605FB" w:rsidR="006B4CB7" w:rsidRPr="00E55EA8" w:rsidRDefault="00C85FB5" w:rsidP="007A75A7">
            <w:pPr>
              <w:tabs>
                <w:tab w:val="right" w:pos="2880"/>
              </w:tabs>
              <w:jc w:val="center"/>
            </w:pPr>
            <w:r>
              <w:t>9.8</w:t>
            </w:r>
          </w:p>
        </w:tc>
      </w:tr>
    </w:tbl>
    <w:p w14:paraId="014B9C8C" w14:textId="77777777" w:rsidR="009D0963" w:rsidRPr="003F50F4" w:rsidRDefault="009D0963" w:rsidP="003F50F4">
      <w:pPr>
        <w:rPr>
          <w:b/>
          <w:sz w:val="24"/>
          <w:szCs w:val="24"/>
        </w:rPr>
      </w:pPr>
    </w:p>
    <w:p w14:paraId="4CC146DA" w14:textId="0CC594D3" w:rsidR="0011588D" w:rsidRDefault="00557741" w:rsidP="003F50F4">
      <w:pPr>
        <w:rPr>
          <w:iCs/>
          <w:sz w:val="24"/>
          <w:szCs w:val="24"/>
        </w:rPr>
      </w:pPr>
      <w:r w:rsidRPr="003F50F4">
        <w:rPr>
          <w:b/>
          <w:sz w:val="24"/>
          <w:szCs w:val="24"/>
        </w:rPr>
        <w:t>Affected Public:</w:t>
      </w:r>
      <w:r>
        <w:rPr>
          <w:b/>
          <w:sz w:val="24"/>
          <w:szCs w:val="24"/>
        </w:rPr>
        <w:t xml:space="preserve">  </w:t>
      </w:r>
      <w:r>
        <w:rPr>
          <w:sz w:val="24"/>
          <w:szCs w:val="24"/>
        </w:rPr>
        <w:t xml:space="preserve">The respondent group is the universe of </w:t>
      </w:r>
      <w:r w:rsidR="000633C5">
        <w:rPr>
          <w:sz w:val="24"/>
          <w:szCs w:val="24"/>
        </w:rPr>
        <w:t>6,009</w:t>
      </w:r>
      <w:r w:rsidR="0064335D">
        <w:rPr>
          <w:sz w:val="24"/>
          <w:szCs w:val="24"/>
        </w:rPr>
        <w:t xml:space="preserve"> </w:t>
      </w:r>
      <w:r w:rsidR="003F50F4">
        <w:rPr>
          <w:sz w:val="24"/>
          <w:szCs w:val="24"/>
        </w:rPr>
        <w:t>u</w:t>
      </w:r>
      <w:r>
        <w:rPr>
          <w:sz w:val="24"/>
          <w:szCs w:val="24"/>
        </w:rPr>
        <w:t>sers who requested germplasm from the National Plant Germplasm System for ten crops (</w:t>
      </w:r>
      <w:r w:rsidRPr="00BC0B15">
        <w:rPr>
          <w:iCs/>
          <w:sz w:val="24"/>
          <w:szCs w:val="24"/>
        </w:rPr>
        <w:t xml:space="preserve">beans, barley, </w:t>
      </w:r>
      <w:r>
        <w:rPr>
          <w:iCs/>
          <w:sz w:val="24"/>
          <w:szCs w:val="24"/>
        </w:rPr>
        <w:t xml:space="preserve">corn, </w:t>
      </w:r>
      <w:r w:rsidRPr="00BC0B15">
        <w:rPr>
          <w:iCs/>
          <w:sz w:val="24"/>
          <w:szCs w:val="24"/>
        </w:rPr>
        <w:t>cotton, sorghum, squash, soybeans, potato, rice and wheat</w:t>
      </w:r>
      <w:r>
        <w:rPr>
          <w:iCs/>
          <w:sz w:val="24"/>
          <w:szCs w:val="24"/>
        </w:rPr>
        <w:t xml:space="preserve">) </w:t>
      </w:r>
      <w:r w:rsidR="000633C5">
        <w:rPr>
          <w:iCs/>
          <w:sz w:val="24"/>
          <w:szCs w:val="24"/>
        </w:rPr>
        <w:t xml:space="preserve">during </w:t>
      </w:r>
      <w:r w:rsidR="00366748">
        <w:rPr>
          <w:iCs/>
          <w:sz w:val="24"/>
          <w:szCs w:val="24"/>
        </w:rPr>
        <w:t>2009</w:t>
      </w:r>
      <w:r w:rsidR="000633C5">
        <w:rPr>
          <w:iCs/>
          <w:sz w:val="24"/>
          <w:szCs w:val="24"/>
        </w:rPr>
        <w:t>-</w:t>
      </w:r>
      <w:r w:rsidR="00366748">
        <w:rPr>
          <w:iCs/>
          <w:sz w:val="24"/>
          <w:szCs w:val="24"/>
        </w:rPr>
        <w:t>2013</w:t>
      </w:r>
      <w:r w:rsidR="003F50F4">
        <w:rPr>
          <w:iCs/>
          <w:sz w:val="24"/>
          <w:szCs w:val="24"/>
        </w:rPr>
        <w:t>.</w:t>
      </w:r>
      <w:r>
        <w:rPr>
          <w:iCs/>
          <w:sz w:val="24"/>
          <w:szCs w:val="24"/>
        </w:rPr>
        <w:t xml:space="preserve"> </w:t>
      </w:r>
      <w:r w:rsidR="009A0E90">
        <w:rPr>
          <w:iCs/>
          <w:sz w:val="24"/>
          <w:szCs w:val="24"/>
        </w:rPr>
        <w:t xml:space="preserve"> </w:t>
      </w:r>
      <w:r w:rsidR="00C92572">
        <w:rPr>
          <w:iCs/>
          <w:sz w:val="24"/>
          <w:szCs w:val="24"/>
        </w:rPr>
        <w:t xml:space="preserve">(Email addresses were not available for approximately 4 percent of requestors.  These have been omitted from the study </w:t>
      </w:r>
      <w:r w:rsidR="00C92572">
        <w:rPr>
          <w:iCs/>
          <w:sz w:val="24"/>
          <w:szCs w:val="24"/>
        </w:rPr>
        <w:lastRenderedPageBreak/>
        <w:t xml:space="preserve">universe.) </w:t>
      </w:r>
      <w:r w:rsidR="00425E5F">
        <w:rPr>
          <w:iCs/>
          <w:sz w:val="24"/>
          <w:szCs w:val="24"/>
        </w:rPr>
        <w:t xml:space="preserve"> </w:t>
      </w:r>
      <w:r w:rsidR="000633C5">
        <w:rPr>
          <w:iCs/>
          <w:sz w:val="24"/>
          <w:szCs w:val="24"/>
        </w:rPr>
        <w:t>4,671</w:t>
      </w:r>
      <w:r w:rsidR="0064335D">
        <w:rPr>
          <w:iCs/>
          <w:sz w:val="24"/>
          <w:szCs w:val="24"/>
        </w:rPr>
        <w:t xml:space="preserve"> r</w:t>
      </w:r>
      <w:r w:rsidR="003F50F4">
        <w:rPr>
          <w:iCs/>
          <w:sz w:val="24"/>
          <w:szCs w:val="24"/>
        </w:rPr>
        <w:t xml:space="preserve">equestors </w:t>
      </w:r>
      <w:r w:rsidR="0064335D">
        <w:rPr>
          <w:iCs/>
          <w:sz w:val="24"/>
          <w:szCs w:val="24"/>
        </w:rPr>
        <w:t xml:space="preserve">are </w:t>
      </w:r>
      <w:r w:rsidR="009A0E90">
        <w:rPr>
          <w:iCs/>
          <w:sz w:val="24"/>
          <w:szCs w:val="24"/>
        </w:rPr>
        <w:t>from the U.S. and</w:t>
      </w:r>
      <w:r w:rsidR="005E6B35">
        <w:rPr>
          <w:iCs/>
          <w:sz w:val="24"/>
          <w:szCs w:val="24"/>
        </w:rPr>
        <w:t xml:space="preserve"> 1,338</w:t>
      </w:r>
      <w:r w:rsidR="009A0E90">
        <w:rPr>
          <w:iCs/>
          <w:sz w:val="24"/>
          <w:szCs w:val="24"/>
        </w:rPr>
        <w:t xml:space="preserve"> </w:t>
      </w:r>
      <w:r w:rsidR="0064335D">
        <w:rPr>
          <w:iCs/>
          <w:sz w:val="24"/>
          <w:szCs w:val="24"/>
        </w:rPr>
        <w:t xml:space="preserve">are </w:t>
      </w:r>
      <w:r w:rsidR="009A0E90">
        <w:rPr>
          <w:iCs/>
          <w:sz w:val="24"/>
          <w:szCs w:val="24"/>
        </w:rPr>
        <w:t xml:space="preserve">from other countries.  Among the U.S. users, </w:t>
      </w:r>
      <w:r w:rsidR="002A5124">
        <w:rPr>
          <w:iCs/>
          <w:sz w:val="24"/>
          <w:szCs w:val="24"/>
        </w:rPr>
        <w:t>824 (17.64 percent)</w:t>
      </w:r>
      <w:r w:rsidR="009A0E90">
        <w:rPr>
          <w:iCs/>
          <w:sz w:val="24"/>
          <w:szCs w:val="24"/>
        </w:rPr>
        <w:t xml:space="preserve"> represent commercial firms, </w:t>
      </w:r>
      <w:r w:rsidR="009E4CF1">
        <w:rPr>
          <w:iCs/>
          <w:sz w:val="24"/>
          <w:szCs w:val="24"/>
        </w:rPr>
        <w:t>2,180 (46.67 percent)</w:t>
      </w:r>
      <w:r w:rsidR="009E4CF1" w:rsidDel="009E4CF1">
        <w:rPr>
          <w:iCs/>
          <w:sz w:val="24"/>
          <w:szCs w:val="24"/>
        </w:rPr>
        <w:t xml:space="preserve"> </w:t>
      </w:r>
      <w:r w:rsidR="005E6B35">
        <w:rPr>
          <w:iCs/>
          <w:sz w:val="24"/>
          <w:szCs w:val="24"/>
        </w:rPr>
        <w:t xml:space="preserve">are from </w:t>
      </w:r>
      <w:r w:rsidR="009A0E90">
        <w:rPr>
          <w:iCs/>
          <w:sz w:val="24"/>
          <w:szCs w:val="24"/>
        </w:rPr>
        <w:t xml:space="preserve">the non-profit sector (Federal agencies, state agencies, universities, and other non-profit institutions), and </w:t>
      </w:r>
      <w:r w:rsidR="009E4CF1">
        <w:rPr>
          <w:iCs/>
          <w:sz w:val="24"/>
          <w:szCs w:val="24"/>
        </w:rPr>
        <w:t>1,667 (35.69 percent)</w:t>
      </w:r>
      <w:r w:rsidR="009E4CF1" w:rsidDel="009E4CF1">
        <w:rPr>
          <w:iCs/>
          <w:sz w:val="24"/>
          <w:szCs w:val="24"/>
        </w:rPr>
        <w:t xml:space="preserve"> </w:t>
      </w:r>
      <w:r w:rsidR="009A0E90">
        <w:rPr>
          <w:iCs/>
          <w:sz w:val="24"/>
          <w:szCs w:val="24"/>
        </w:rPr>
        <w:t>are unaffiliated individuals.</w:t>
      </w:r>
    </w:p>
    <w:p w14:paraId="2DC8088B" w14:textId="77777777" w:rsidR="0011588D" w:rsidRDefault="0011588D" w:rsidP="003F50F4">
      <w:pPr>
        <w:rPr>
          <w:iCs/>
          <w:sz w:val="24"/>
          <w:szCs w:val="24"/>
        </w:rPr>
      </w:pPr>
    </w:p>
    <w:p w14:paraId="6DFC7849" w14:textId="2AD8131A" w:rsidR="004D223D" w:rsidRDefault="0011588D" w:rsidP="003F50F4">
      <w:pPr>
        <w:rPr>
          <w:iCs/>
          <w:sz w:val="24"/>
          <w:szCs w:val="24"/>
        </w:rPr>
      </w:pPr>
      <w:r>
        <w:rPr>
          <w:b/>
          <w:iCs/>
          <w:sz w:val="24"/>
          <w:szCs w:val="24"/>
        </w:rPr>
        <w:t>Estimated Number of Respondents:</w:t>
      </w:r>
      <w:r>
        <w:rPr>
          <w:iCs/>
          <w:sz w:val="24"/>
          <w:szCs w:val="24"/>
        </w:rPr>
        <w:t xml:space="preserve">  </w:t>
      </w:r>
      <w:r w:rsidR="00601358">
        <w:rPr>
          <w:iCs/>
          <w:sz w:val="24"/>
          <w:szCs w:val="24"/>
        </w:rPr>
        <w:t xml:space="preserve">The estimated total number of </w:t>
      </w:r>
      <w:r w:rsidR="00B9760B">
        <w:rPr>
          <w:iCs/>
          <w:sz w:val="24"/>
          <w:szCs w:val="24"/>
        </w:rPr>
        <w:t xml:space="preserve">potential </w:t>
      </w:r>
      <w:r w:rsidR="00601358">
        <w:rPr>
          <w:iCs/>
          <w:sz w:val="24"/>
          <w:szCs w:val="24"/>
        </w:rPr>
        <w:t xml:space="preserve">respondents for this study is 6,009.  </w:t>
      </w:r>
      <w:r>
        <w:rPr>
          <w:iCs/>
          <w:sz w:val="24"/>
          <w:szCs w:val="24"/>
        </w:rPr>
        <w:t>Approximately 70 percent of U.S. commercial users</w:t>
      </w:r>
      <w:r w:rsidR="003912BC">
        <w:rPr>
          <w:iCs/>
          <w:sz w:val="24"/>
          <w:szCs w:val="24"/>
        </w:rPr>
        <w:t xml:space="preserve"> (</w:t>
      </w:r>
      <w:r w:rsidR="00585304">
        <w:rPr>
          <w:iCs/>
          <w:sz w:val="24"/>
          <w:szCs w:val="24"/>
        </w:rPr>
        <w:t>57</w:t>
      </w:r>
      <w:r w:rsidR="00437525">
        <w:rPr>
          <w:iCs/>
          <w:sz w:val="24"/>
          <w:szCs w:val="24"/>
        </w:rPr>
        <w:t>6</w:t>
      </w:r>
      <w:r w:rsidR="003912BC">
        <w:rPr>
          <w:iCs/>
          <w:sz w:val="24"/>
          <w:szCs w:val="24"/>
        </w:rPr>
        <w:t>)</w:t>
      </w:r>
      <w:r>
        <w:rPr>
          <w:iCs/>
          <w:sz w:val="24"/>
          <w:szCs w:val="24"/>
        </w:rPr>
        <w:t>, 85 percent of U.S. non-profit users</w:t>
      </w:r>
      <w:r w:rsidR="003912BC">
        <w:rPr>
          <w:iCs/>
          <w:sz w:val="24"/>
          <w:szCs w:val="24"/>
        </w:rPr>
        <w:t xml:space="preserve"> (</w:t>
      </w:r>
      <w:r w:rsidR="00BF51CD">
        <w:rPr>
          <w:iCs/>
          <w:sz w:val="24"/>
          <w:szCs w:val="24"/>
        </w:rPr>
        <w:t>1,</w:t>
      </w:r>
      <w:r w:rsidR="00585304">
        <w:rPr>
          <w:iCs/>
          <w:sz w:val="24"/>
          <w:szCs w:val="24"/>
        </w:rPr>
        <w:t>85</w:t>
      </w:r>
      <w:r w:rsidR="001B5C64">
        <w:rPr>
          <w:iCs/>
          <w:sz w:val="24"/>
          <w:szCs w:val="24"/>
        </w:rPr>
        <w:t>3</w:t>
      </w:r>
      <w:r w:rsidR="003912BC">
        <w:rPr>
          <w:iCs/>
          <w:sz w:val="24"/>
          <w:szCs w:val="24"/>
        </w:rPr>
        <w:t xml:space="preserve"> users), </w:t>
      </w:r>
      <w:r w:rsidR="00BF51CD">
        <w:rPr>
          <w:iCs/>
          <w:sz w:val="24"/>
          <w:szCs w:val="24"/>
        </w:rPr>
        <w:t>60</w:t>
      </w:r>
      <w:r w:rsidR="003912BC">
        <w:rPr>
          <w:iCs/>
          <w:sz w:val="24"/>
          <w:szCs w:val="24"/>
        </w:rPr>
        <w:t xml:space="preserve"> percent of unaffiliated U.S. users (</w:t>
      </w:r>
      <w:r w:rsidR="00585304">
        <w:rPr>
          <w:iCs/>
          <w:sz w:val="24"/>
          <w:szCs w:val="24"/>
        </w:rPr>
        <w:t>1,000</w:t>
      </w:r>
      <w:r w:rsidR="003912BC">
        <w:rPr>
          <w:iCs/>
          <w:sz w:val="24"/>
          <w:szCs w:val="24"/>
        </w:rPr>
        <w:t>), and 70 percent of non-U.S. users (</w:t>
      </w:r>
      <w:r w:rsidR="00585304">
        <w:rPr>
          <w:iCs/>
          <w:sz w:val="24"/>
          <w:szCs w:val="24"/>
        </w:rPr>
        <w:t>937</w:t>
      </w:r>
      <w:r w:rsidR="003912BC">
        <w:rPr>
          <w:iCs/>
          <w:sz w:val="24"/>
          <w:szCs w:val="24"/>
        </w:rPr>
        <w:t xml:space="preserve"> users) are expected to respond to the survey, for a total of </w:t>
      </w:r>
      <w:r w:rsidR="00585304">
        <w:rPr>
          <w:iCs/>
          <w:sz w:val="24"/>
          <w:szCs w:val="24"/>
        </w:rPr>
        <w:t>4,</w:t>
      </w:r>
      <w:r w:rsidR="001F272F">
        <w:rPr>
          <w:iCs/>
          <w:sz w:val="24"/>
          <w:szCs w:val="24"/>
        </w:rPr>
        <w:t>3</w:t>
      </w:r>
      <w:r w:rsidR="00437525">
        <w:rPr>
          <w:iCs/>
          <w:sz w:val="24"/>
          <w:szCs w:val="24"/>
        </w:rPr>
        <w:t>66</w:t>
      </w:r>
      <w:r w:rsidR="003912BC">
        <w:rPr>
          <w:iCs/>
          <w:sz w:val="24"/>
          <w:szCs w:val="24"/>
        </w:rPr>
        <w:t xml:space="preserve"> respondents, or approximately 7</w:t>
      </w:r>
      <w:r w:rsidR="00585304">
        <w:rPr>
          <w:iCs/>
          <w:sz w:val="24"/>
          <w:szCs w:val="24"/>
        </w:rPr>
        <w:t>3</w:t>
      </w:r>
      <w:r w:rsidR="003912BC">
        <w:rPr>
          <w:iCs/>
          <w:sz w:val="24"/>
          <w:szCs w:val="24"/>
        </w:rPr>
        <w:t xml:space="preserve"> percent.  Restricting the count to U.S. users only, approximately </w:t>
      </w:r>
      <w:r w:rsidR="00BF51CD">
        <w:rPr>
          <w:iCs/>
          <w:sz w:val="24"/>
          <w:szCs w:val="24"/>
        </w:rPr>
        <w:t>3,</w:t>
      </w:r>
      <w:r w:rsidR="00585304">
        <w:rPr>
          <w:iCs/>
          <w:sz w:val="24"/>
          <w:szCs w:val="24"/>
        </w:rPr>
        <w:t>4</w:t>
      </w:r>
      <w:r w:rsidR="006B3174">
        <w:rPr>
          <w:iCs/>
          <w:sz w:val="24"/>
          <w:szCs w:val="24"/>
        </w:rPr>
        <w:t>29</w:t>
      </w:r>
      <w:r w:rsidR="003912BC">
        <w:rPr>
          <w:iCs/>
          <w:sz w:val="24"/>
          <w:szCs w:val="24"/>
        </w:rPr>
        <w:t xml:space="preserve"> or 7</w:t>
      </w:r>
      <w:r w:rsidR="00A67C77">
        <w:rPr>
          <w:iCs/>
          <w:sz w:val="24"/>
          <w:szCs w:val="24"/>
        </w:rPr>
        <w:t>3</w:t>
      </w:r>
      <w:r w:rsidR="003912BC">
        <w:rPr>
          <w:iCs/>
          <w:sz w:val="24"/>
          <w:szCs w:val="24"/>
        </w:rPr>
        <w:t xml:space="preserve"> percent of all users are expected to respond.</w:t>
      </w:r>
      <w:r w:rsidR="00601358">
        <w:rPr>
          <w:iCs/>
          <w:sz w:val="24"/>
          <w:szCs w:val="24"/>
        </w:rPr>
        <w:t xml:space="preserve">  An estimated 1,643 potential respondents will not complete this survey</w:t>
      </w:r>
      <w:r w:rsidR="00696563">
        <w:rPr>
          <w:iCs/>
          <w:sz w:val="24"/>
          <w:szCs w:val="24"/>
        </w:rPr>
        <w:t xml:space="preserve"> (attachment </w:t>
      </w:r>
      <w:r w:rsidR="005B38BB">
        <w:rPr>
          <w:iCs/>
          <w:sz w:val="24"/>
          <w:szCs w:val="24"/>
        </w:rPr>
        <w:t>D</w:t>
      </w:r>
      <w:r w:rsidR="00696563">
        <w:rPr>
          <w:iCs/>
          <w:sz w:val="24"/>
          <w:szCs w:val="24"/>
        </w:rPr>
        <w:t>)</w:t>
      </w:r>
      <w:r w:rsidR="00601358">
        <w:rPr>
          <w:iCs/>
          <w:sz w:val="24"/>
          <w:szCs w:val="24"/>
        </w:rPr>
        <w:t>.</w:t>
      </w:r>
    </w:p>
    <w:p w14:paraId="099F86C7" w14:textId="77777777" w:rsidR="003912BC" w:rsidRDefault="003912BC" w:rsidP="003F50F4">
      <w:pPr>
        <w:rPr>
          <w:iCs/>
          <w:sz w:val="24"/>
          <w:szCs w:val="24"/>
        </w:rPr>
      </w:pPr>
    </w:p>
    <w:p w14:paraId="48023651" w14:textId="6D9E1191" w:rsidR="00557741" w:rsidRDefault="00585304" w:rsidP="003F50F4">
      <w:pPr>
        <w:rPr>
          <w:iCs/>
          <w:sz w:val="24"/>
          <w:szCs w:val="24"/>
        </w:rPr>
      </w:pPr>
      <w:r>
        <w:rPr>
          <w:iCs/>
          <w:sz w:val="24"/>
          <w:szCs w:val="24"/>
        </w:rPr>
        <w:t>U</w:t>
      </w:r>
      <w:r w:rsidR="003912BC">
        <w:rPr>
          <w:iCs/>
          <w:sz w:val="24"/>
          <w:szCs w:val="24"/>
        </w:rPr>
        <w:t xml:space="preserve">sers </w:t>
      </w:r>
      <w:r w:rsidR="00460CA8">
        <w:rPr>
          <w:iCs/>
          <w:sz w:val="24"/>
          <w:szCs w:val="24"/>
        </w:rPr>
        <w:t xml:space="preserve">who belong to different institution types </w:t>
      </w:r>
      <w:r w:rsidR="003912BC">
        <w:rPr>
          <w:iCs/>
          <w:sz w:val="24"/>
          <w:szCs w:val="24"/>
        </w:rPr>
        <w:t>tend to request different amounts of germplasm (e.g. U.S. non-profit users tend to request more germplasm than do users as a whole, and U.S. unaffiliated users tend to request much lower numbers of germplasm accessions than do users as a whole)</w:t>
      </w:r>
      <w:r>
        <w:rPr>
          <w:iCs/>
          <w:sz w:val="24"/>
          <w:szCs w:val="24"/>
        </w:rPr>
        <w:t>.  The greater the number of germplasm accessions requested</w:t>
      </w:r>
      <w:r w:rsidR="003912BC">
        <w:rPr>
          <w:iCs/>
          <w:sz w:val="24"/>
          <w:szCs w:val="24"/>
        </w:rPr>
        <w:t xml:space="preserve">, </w:t>
      </w:r>
      <w:r>
        <w:rPr>
          <w:iCs/>
          <w:sz w:val="24"/>
          <w:szCs w:val="24"/>
        </w:rPr>
        <w:t xml:space="preserve">the most vested users are in the system.  Experience with the 2000 study </w:t>
      </w:r>
      <w:r w:rsidRPr="00BC0B15">
        <w:rPr>
          <w:iCs/>
          <w:sz w:val="24"/>
          <w:szCs w:val="24"/>
        </w:rPr>
        <w:t>“Demand for Genetic Resources</w:t>
      </w:r>
      <w:r w:rsidRPr="00FC4F6C">
        <w:rPr>
          <w:sz w:val="24"/>
          <w:szCs w:val="24"/>
        </w:rPr>
        <w:t xml:space="preserve"> </w:t>
      </w:r>
      <w:r w:rsidRPr="00BC0B15">
        <w:rPr>
          <w:iCs/>
          <w:sz w:val="24"/>
          <w:szCs w:val="24"/>
        </w:rPr>
        <w:t xml:space="preserve">from the National Plant Germplasm System” </w:t>
      </w:r>
      <w:r>
        <w:rPr>
          <w:iCs/>
          <w:sz w:val="24"/>
          <w:szCs w:val="24"/>
        </w:rPr>
        <w:t xml:space="preserve">found that response rates were highest among U.S. non-profit users, followed by U.S. commercial users, and then unaffiliated individuals.  (Response rates were low among international users.  Delivery to international users was </w:t>
      </w:r>
      <w:r w:rsidR="00E55EA8">
        <w:rPr>
          <w:iCs/>
          <w:sz w:val="24"/>
          <w:szCs w:val="24"/>
        </w:rPr>
        <w:t xml:space="preserve">complicated by problems with </w:t>
      </w:r>
      <w:r>
        <w:rPr>
          <w:iCs/>
          <w:sz w:val="24"/>
          <w:szCs w:val="24"/>
        </w:rPr>
        <w:t xml:space="preserve">timely postal delivery, </w:t>
      </w:r>
      <w:r w:rsidR="00E55EA8">
        <w:rPr>
          <w:iCs/>
          <w:sz w:val="24"/>
          <w:szCs w:val="24"/>
        </w:rPr>
        <w:t>particularly to requestors in developing countries.  We expect an electronic instrument to improve international delivery significantly.)  T</w:t>
      </w:r>
      <w:r w:rsidR="003912BC">
        <w:rPr>
          <w:iCs/>
          <w:sz w:val="24"/>
          <w:szCs w:val="24"/>
        </w:rPr>
        <w:t xml:space="preserve">he expected response rate for the entire universe of </w:t>
      </w:r>
      <w:r w:rsidR="003F50F4">
        <w:rPr>
          <w:iCs/>
          <w:sz w:val="24"/>
          <w:szCs w:val="24"/>
        </w:rPr>
        <w:t>u</w:t>
      </w:r>
      <w:r w:rsidR="003912BC">
        <w:rPr>
          <w:iCs/>
          <w:sz w:val="24"/>
          <w:szCs w:val="24"/>
        </w:rPr>
        <w:t xml:space="preserve">sers, weighted by the amount of germplasm they requested, is </w:t>
      </w:r>
      <w:r w:rsidR="007A75A7">
        <w:rPr>
          <w:iCs/>
          <w:sz w:val="24"/>
          <w:szCs w:val="24"/>
        </w:rPr>
        <w:t>77</w:t>
      </w:r>
      <w:r w:rsidR="008854F5" w:rsidRPr="00E55EA8">
        <w:rPr>
          <w:iCs/>
          <w:sz w:val="24"/>
          <w:szCs w:val="24"/>
        </w:rPr>
        <w:t xml:space="preserve"> percent </w:t>
      </w:r>
      <w:r w:rsidR="007B7883">
        <w:rPr>
          <w:iCs/>
          <w:sz w:val="24"/>
          <w:szCs w:val="24"/>
        </w:rPr>
        <w:t xml:space="preserve">of total demand </w:t>
      </w:r>
      <w:r w:rsidR="008854F5" w:rsidRPr="00E55EA8">
        <w:rPr>
          <w:iCs/>
          <w:sz w:val="24"/>
          <w:szCs w:val="24"/>
        </w:rPr>
        <w:t>for the entire universe and 8</w:t>
      </w:r>
      <w:r w:rsidRPr="003B7144">
        <w:rPr>
          <w:iCs/>
          <w:sz w:val="24"/>
          <w:szCs w:val="24"/>
        </w:rPr>
        <w:t>0</w:t>
      </w:r>
      <w:r w:rsidR="008854F5" w:rsidRPr="00E55EA8">
        <w:rPr>
          <w:iCs/>
          <w:sz w:val="24"/>
          <w:szCs w:val="24"/>
        </w:rPr>
        <w:t xml:space="preserve"> percent </w:t>
      </w:r>
      <w:r w:rsidR="007B7883">
        <w:rPr>
          <w:iCs/>
          <w:sz w:val="24"/>
          <w:szCs w:val="24"/>
        </w:rPr>
        <w:t xml:space="preserve">of total U.S. demand </w:t>
      </w:r>
      <w:r w:rsidR="008854F5" w:rsidRPr="00E55EA8">
        <w:rPr>
          <w:iCs/>
          <w:sz w:val="24"/>
          <w:szCs w:val="24"/>
        </w:rPr>
        <w:t>for U.S. users only.</w:t>
      </w:r>
      <w:r w:rsidR="007B7883">
        <w:rPr>
          <w:iCs/>
          <w:sz w:val="24"/>
          <w:szCs w:val="24"/>
        </w:rPr>
        <w:t xml:space="preserve"> For example, NPGS data for the census participants indicates that U.S. commercial users requested 22 percent of all distributed acquisitions in the U.S. in 2009-2013; nonprofit U.S. users requested 73 percent of all distributed acquisitions; and unaffiliated individuals in the U.S. requested 5 percent of all distributed acquisitions.  Thus, expected response rates of 70 percent for U.S. commercial users, 85 percent for U.S. non-profit users, and 60 percent for unaffiliated U.S. </w:t>
      </w:r>
      <w:r w:rsidR="00B9760B">
        <w:rPr>
          <w:iCs/>
          <w:sz w:val="24"/>
          <w:szCs w:val="24"/>
        </w:rPr>
        <w:t xml:space="preserve">users </w:t>
      </w:r>
      <w:r w:rsidR="007B7883">
        <w:rPr>
          <w:iCs/>
          <w:sz w:val="24"/>
          <w:szCs w:val="24"/>
        </w:rPr>
        <w:t xml:space="preserve">would represent </w:t>
      </w:r>
      <w:r w:rsidR="00440162">
        <w:rPr>
          <w:iCs/>
          <w:sz w:val="24"/>
          <w:szCs w:val="24"/>
        </w:rPr>
        <w:t>(0.7 x 22) + (0.85 x 73) + (0.6 x 5) ≈ 80 percent of total distributed acquisitions in the U.S.</w:t>
      </w:r>
    </w:p>
    <w:p w14:paraId="17EA99D8" w14:textId="77777777" w:rsidR="00E4575C" w:rsidRDefault="00E4575C" w:rsidP="003F50F4">
      <w:pPr>
        <w:rPr>
          <w:iCs/>
          <w:sz w:val="24"/>
          <w:szCs w:val="24"/>
        </w:rPr>
      </w:pPr>
    </w:p>
    <w:p w14:paraId="5978B309" w14:textId="121A1579" w:rsidR="00A4105E" w:rsidRDefault="00E4575C" w:rsidP="00A4105E">
      <w:pPr>
        <w:tabs>
          <w:tab w:val="left" w:pos="0"/>
          <w:tab w:val="left" w:pos="288"/>
          <w:tab w:val="left" w:pos="662"/>
        </w:tabs>
        <w:rPr>
          <w:sz w:val="24"/>
          <w:szCs w:val="24"/>
        </w:rPr>
      </w:pPr>
      <w:r>
        <w:rPr>
          <w:iCs/>
          <w:sz w:val="24"/>
          <w:szCs w:val="24"/>
        </w:rPr>
        <w:t xml:space="preserve">If </w:t>
      </w:r>
      <w:r w:rsidR="005E6B35">
        <w:rPr>
          <w:iCs/>
          <w:sz w:val="24"/>
          <w:szCs w:val="24"/>
        </w:rPr>
        <w:t xml:space="preserve">the </w:t>
      </w:r>
      <w:r>
        <w:rPr>
          <w:iCs/>
          <w:sz w:val="24"/>
          <w:szCs w:val="24"/>
        </w:rPr>
        <w:t>demand-weighted response for U.S. users falls below 80 percent</w:t>
      </w:r>
      <w:r w:rsidR="00A4105E">
        <w:rPr>
          <w:sz w:val="24"/>
        </w:rPr>
        <w:t xml:space="preserve">, a modified stratified sample of 100 non-respondents will be contacted </w:t>
      </w:r>
      <w:r w:rsidR="00152DE8">
        <w:rPr>
          <w:sz w:val="24"/>
        </w:rPr>
        <w:t xml:space="preserve">first by email and then by </w:t>
      </w:r>
      <w:r w:rsidR="00A4105E">
        <w:rPr>
          <w:sz w:val="24"/>
        </w:rPr>
        <w:t>telephone and asked to respond to a smalle</w:t>
      </w:r>
      <w:r w:rsidR="000E0D44">
        <w:rPr>
          <w:sz w:val="24"/>
        </w:rPr>
        <w:t>r set of questions</w:t>
      </w:r>
      <w:r w:rsidR="00A4105E">
        <w:rPr>
          <w:sz w:val="24"/>
        </w:rPr>
        <w:t xml:space="preserve">.  </w:t>
      </w:r>
      <w:r w:rsidR="008B1BAF">
        <w:rPr>
          <w:sz w:val="24"/>
        </w:rPr>
        <w:t xml:space="preserve">Four </w:t>
      </w:r>
      <w:r w:rsidR="00A4105E">
        <w:rPr>
          <w:sz w:val="24"/>
        </w:rPr>
        <w:t xml:space="preserve">strata will be constructed based on classification of </w:t>
      </w:r>
      <w:r w:rsidR="008459BD">
        <w:rPr>
          <w:sz w:val="24"/>
        </w:rPr>
        <w:t xml:space="preserve">U.S. </w:t>
      </w:r>
      <w:r w:rsidR="00A4105E">
        <w:rPr>
          <w:sz w:val="24"/>
        </w:rPr>
        <w:t>NPGS users by institut</w:t>
      </w:r>
      <w:r w:rsidR="00A4105E" w:rsidRPr="00C57897">
        <w:rPr>
          <w:sz w:val="24"/>
          <w:szCs w:val="24"/>
        </w:rPr>
        <w:t>ional type:</w:t>
      </w:r>
      <w:r w:rsidR="00A4105E">
        <w:rPr>
          <w:sz w:val="24"/>
          <w:szCs w:val="24"/>
        </w:rPr>
        <w:t xml:space="preserve"> 1) U.S. commercial companies; 2) U.S. federal agencies; 3) U.S. state agencies, universities, and non-profit organizations; </w:t>
      </w:r>
      <w:r w:rsidR="008B1BAF">
        <w:rPr>
          <w:sz w:val="24"/>
          <w:szCs w:val="24"/>
        </w:rPr>
        <w:t xml:space="preserve">and </w:t>
      </w:r>
      <w:r w:rsidR="00A4105E">
        <w:rPr>
          <w:sz w:val="24"/>
          <w:szCs w:val="24"/>
        </w:rPr>
        <w:t>4) U.S. individuals without stated affiliation</w:t>
      </w:r>
      <w:r w:rsidR="008B1BAF">
        <w:rPr>
          <w:sz w:val="24"/>
          <w:szCs w:val="24"/>
        </w:rPr>
        <w:t xml:space="preserve">s.  </w:t>
      </w:r>
      <w:r w:rsidR="008459BD" w:rsidRPr="00FE5EF3">
        <w:rPr>
          <w:sz w:val="24"/>
          <w:szCs w:val="24"/>
        </w:rPr>
        <w:t xml:space="preserve">The non-response bias study will focus on U.S. users because they receive the majority of the </w:t>
      </w:r>
      <w:r w:rsidR="008459BD">
        <w:rPr>
          <w:sz w:val="24"/>
          <w:szCs w:val="24"/>
        </w:rPr>
        <w:t>samples distributed, m</w:t>
      </w:r>
      <w:r w:rsidR="008459BD" w:rsidRPr="00FE5EF3">
        <w:rPr>
          <w:sz w:val="24"/>
          <w:szCs w:val="24"/>
        </w:rPr>
        <w:t xml:space="preserve">eeting the needs of U.S. users (now and in the future) is the primary policy objective for the </w:t>
      </w:r>
      <w:r w:rsidR="008459BD">
        <w:rPr>
          <w:sz w:val="24"/>
          <w:szCs w:val="24"/>
        </w:rPr>
        <w:t xml:space="preserve">NPGS, and U.S. users are the only component of the planned geospatial analysis.  </w:t>
      </w:r>
      <w:r w:rsidR="00A4105E">
        <w:rPr>
          <w:sz w:val="24"/>
          <w:szCs w:val="24"/>
        </w:rPr>
        <w:t xml:space="preserve">The sample will be allocated to each stratum in proportion to the number of demand-weighted non-responding users in the stratum.  </w:t>
      </w:r>
    </w:p>
    <w:p w14:paraId="06793850" w14:textId="77777777" w:rsidR="00A4105E" w:rsidRDefault="00A4105E" w:rsidP="00A4105E">
      <w:pPr>
        <w:tabs>
          <w:tab w:val="left" w:pos="0"/>
          <w:tab w:val="left" w:pos="288"/>
          <w:tab w:val="left" w:pos="662"/>
        </w:tabs>
        <w:rPr>
          <w:sz w:val="24"/>
          <w:szCs w:val="24"/>
        </w:rPr>
      </w:pPr>
    </w:p>
    <w:p w14:paraId="01717014" w14:textId="5597DAFA" w:rsidR="00E4575C" w:rsidRDefault="00E4575C" w:rsidP="003F50F4">
      <w:pPr>
        <w:rPr>
          <w:iCs/>
          <w:sz w:val="24"/>
          <w:szCs w:val="24"/>
        </w:rPr>
      </w:pPr>
      <w:r>
        <w:rPr>
          <w:b/>
          <w:iCs/>
          <w:sz w:val="24"/>
          <w:szCs w:val="24"/>
        </w:rPr>
        <w:t>Estimated Number of Responses per Respondent:</w:t>
      </w:r>
      <w:r>
        <w:rPr>
          <w:iCs/>
          <w:sz w:val="24"/>
          <w:szCs w:val="24"/>
        </w:rPr>
        <w:t xml:space="preserve">  Each </w:t>
      </w:r>
      <w:r w:rsidR="00B9760B">
        <w:rPr>
          <w:iCs/>
          <w:sz w:val="24"/>
          <w:szCs w:val="24"/>
        </w:rPr>
        <w:t xml:space="preserve">participating </w:t>
      </w:r>
      <w:r>
        <w:rPr>
          <w:iCs/>
          <w:sz w:val="24"/>
          <w:szCs w:val="24"/>
        </w:rPr>
        <w:t xml:space="preserve">NPGS germplasm </w:t>
      </w:r>
      <w:r w:rsidR="004F3383">
        <w:rPr>
          <w:iCs/>
          <w:sz w:val="24"/>
          <w:szCs w:val="24"/>
        </w:rPr>
        <w:t>u</w:t>
      </w:r>
      <w:r>
        <w:rPr>
          <w:iCs/>
          <w:sz w:val="24"/>
          <w:szCs w:val="24"/>
        </w:rPr>
        <w:t xml:space="preserve">ser is expected to respond one time by completing the Census of NPGS Users questionnaire.  A </w:t>
      </w:r>
      <w:r>
        <w:rPr>
          <w:iCs/>
          <w:sz w:val="24"/>
          <w:szCs w:val="24"/>
        </w:rPr>
        <w:lastRenderedPageBreak/>
        <w:t xml:space="preserve">sample of non-responding U.S. users contacted by </w:t>
      </w:r>
      <w:r w:rsidR="00CD101A">
        <w:rPr>
          <w:iCs/>
          <w:sz w:val="24"/>
          <w:szCs w:val="24"/>
        </w:rPr>
        <w:t xml:space="preserve">email or </w:t>
      </w:r>
      <w:r>
        <w:rPr>
          <w:iCs/>
          <w:sz w:val="24"/>
          <w:szCs w:val="24"/>
        </w:rPr>
        <w:t>telephone for follow-up are expected to respond once.</w:t>
      </w:r>
    </w:p>
    <w:p w14:paraId="77E57133" w14:textId="77777777" w:rsidR="00E4575C" w:rsidRDefault="00E4575C" w:rsidP="003F50F4">
      <w:pPr>
        <w:rPr>
          <w:iCs/>
          <w:sz w:val="24"/>
          <w:szCs w:val="24"/>
        </w:rPr>
      </w:pPr>
    </w:p>
    <w:p w14:paraId="3834ABBD" w14:textId="7D945CA4" w:rsidR="00E4575C" w:rsidRDefault="00847F72" w:rsidP="003F50F4">
      <w:pPr>
        <w:rPr>
          <w:iCs/>
          <w:sz w:val="24"/>
          <w:szCs w:val="24"/>
        </w:rPr>
      </w:pPr>
      <w:r>
        <w:rPr>
          <w:b/>
          <w:iCs/>
          <w:sz w:val="24"/>
          <w:szCs w:val="24"/>
        </w:rPr>
        <w:t xml:space="preserve">Estimated Total </w:t>
      </w:r>
      <w:r w:rsidR="00DC17F1">
        <w:rPr>
          <w:b/>
          <w:iCs/>
          <w:sz w:val="24"/>
          <w:szCs w:val="24"/>
        </w:rPr>
        <w:t xml:space="preserve">Annual </w:t>
      </w:r>
      <w:r>
        <w:rPr>
          <w:b/>
          <w:iCs/>
          <w:sz w:val="24"/>
          <w:szCs w:val="24"/>
        </w:rPr>
        <w:t>Responses:</w:t>
      </w:r>
      <w:r>
        <w:rPr>
          <w:iCs/>
          <w:sz w:val="24"/>
          <w:szCs w:val="24"/>
        </w:rPr>
        <w:t xml:space="preserve">  A total of </w:t>
      </w:r>
      <w:r w:rsidR="001F272F">
        <w:rPr>
          <w:iCs/>
          <w:sz w:val="24"/>
          <w:szCs w:val="24"/>
        </w:rPr>
        <w:t>4,36</w:t>
      </w:r>
      <w:r w:rsidR="00437525">
        <w:rPr>
          <w:iCs/>
          <w:sz w:val="24"/>
          <w:szCs w:val="24"/>
        </w:rPr>
        <w:t>6</w:t>
      </w:r>
      <w:r>
        <w:rPr>
          <w:iCs/>
          <w:sz w:val="24"/>
          <w:szCs w:val="24"/>
        </w:rPr>
        <w:t xml:space="preserve"> responses (</w:t>
      </w:r>
      <w:r w:rsidR="001F272F">
        <w:rPr>
          <w:iCs/>
          <w:sz w:val="24"/>
          <w:szCs w:val="24"/>
        </w:rPr>
        <w:t>3,4</w:t>
      </w:r>
      <w:r w:rsidR="00437525">
        <w:rPr>
          <w:iCs/>
          <w:sz w:val="24"/>
          <w:szCs w:val="24"/>
        </w:rPr>
        <w:t>29</w:t>
      </w:r>
      <w:r w:rsidR="00C92572">
        <w:rPr>
          <w:iCs/>
          <w:sz w:val="24"/>
          <w:szCs w:val="24"/>
        </w:rPr>
        <w:t xml:space="preserve"> </w:t>
      </w:r>
      <w:r>
        <w:rPr>
          <w:iCs/>
          <w:sz w:val="24"/>
          <w:szCs w:val="24"/>
        </w:rPr>
        <w:t xml:space="preserve">from the U.S. and </w:t>
      </w:r>
      <w:r w:rsidR="001F272F">
        <w:rPr>
          <w:iCs/>
          <w:sz w:val="24"/>
          <w:szCs w:val="24"/>
        </w:rPr>
        <w:t>937</w:t>
      </w:r>
      <w:r>
        <w:rPr>
          <w:iCs/>
          <w:sz w:val="24"/>
          <w:szCs w:val="24"/>
        </w:rPr>
        <w:t xml:space="preserve"> from other countries) are expected from </w:t>
      </w:r>
      <w:r w:rsidR="003F50F4">
        <w:rPr>
          <w:iCs/>
          <w:sz w:val="24"/>
          <w:szCs w:val="24"/>
        </w:rPr>
        <w:t xml:space="preserve">requestors </w:t>
      </w:r>
      <w:r>
        <w:rPr>
          <w:iCs/>
          <w:sz w:val="24"/>
          <w:szCs w:val="24"/>
        </w:rPr>
        <w:t>who complete the Census of N</w:t>
      </w:r>
      <w:r w:rsidR="00B9760B">
        <w:rPr>
          <w:iCs/>
          <w:sz w:val="24"/>
          <w:szCs w:val="24"/>
        </w:rPr>
        <w:t xml:space="preserve">ational </w:t>
      </w:r>
      <w:r>
        <w:rPr>
          <w:iCs/>
          <w:sz w:val="24"/>
          <w:szCs w:val="24"/>
        </w:rPr>
        <w:t>P</w:t>
      </w:r>
      <w:r w:rsidR="00B9760B">
        <w:rPr>
          <w:iCs/>
          <w:sz w:val="24"/>
          <w:szCs w:val="24"/>
        </w:rPr>
        <w:t xml:space="preserve">lant </w:t>
      </w:r>
      <w:r>
        <w:rPr>
          <w:iCs/>
          <w:sz w:val="24"/>
          <w:szCs w:val="24"/>
        </w:rPr>
        <w:t>G</w:t>
      </w:r>
      <w:r w:rsidR="00B9760B">
        <w:rPr>
          <w:iCs/>
          <w:sz w:val="24"/>
          <w:szCs w:val="24"/>
        </w:rPr>
        <w:t xml:space="preserve">ermplasm </w:t>
      </w:r>
      <w:r>
        <w:rPr>
          <w:iCs/>
          <w:sz w:val="24"/>
          <w:szCs w:val="24"/>
        </w:rPr>
        <w:t>S</w:t>
      </w:r>
      <w:r w:rsidR="00B9760B">
        <w:rPr>
          <w:iCs/>
          <w:sz w:val="24"/>
          <w:szCs w:val="24"/>
        </w:rPr>
        <w:t>ystem</w:t>
      </w:r>
      <w:r>
        <w:rPr>
          <w:iCs/>
          <w:sz w:val="24"/>
          <w:szCs w:val="24"/>
        </w:rPr>
        <w:t xml:space="preserve"> Users</w:t>
      </w:r>
      <w:r w:rsidR="00152DE8">
        <w:rPr>
          <w:iCs/>
          <w:sz w:val="24"/>
          <w:szCs w:val="24"/>
        </w:rPr>
        <w:t xml:space="preserve"> questionnaire.  An additional 97</w:t>
      </w:r>
      <w:r>
        <w:rPr>
          <w:iCs/>
          <w:sz w:val="24"/>
          <w:szCs w:val="24"/>
        </w:rPr>
        <w:t xml:space="preserve"> responses are expected from non-respondents who will be contacted by </w:t>
      </w:r>
      <w:r w:rsidR="00CD101A">
        <w:rPr>
          <w:iCs/>
          <w:sz w:val="24"/>
          <w:szCs w:val="24"/>
        </w:rPr>
        <w:t xml:space="preserve">email or </w:t>
      </w:r>
      <w:r w:rsidR="008B1BAF">
        <w:rPr>
          <w:iCs/>
          <w:sz w:val="24"/>
          <w:szCs w:val="24"/>
        </w:rPr>
        <w:t>tele</w:t>
      </w:r>
      <w:r>
        <w:rPr>
          <w:iCs/>
          <w:sz w:val="24"/>
          <w:szCs w:val="24"/>
        </w:rPr>
        <w:t xml:space="preserve">phone </w:t>
      </w:r>
      <w:r w:rsidR="00460CA8">
        <w:rPr>
          <w:iCs/>
          <w:sz w:val="24"/>
          <w:szCs w:val="24"/>
        </w:rPr>
        <w:t xml:space="preserve">for </w:t>
      </w:r>
      <w:r>
        <w:rPr>
          <w:iCs/>
          <w:sz w:val="24"/>
          <w:szCs w:val="24"/>
        </w:rPr>
        <w:t>an analysis of non-response</w:t>
      </w:r>
      <w:r w:rsidR="00B9760B">
        <w:rPr>
          <w:iCs/>
          <w:sz w:val="24"/>
          <w:szCs w:val="24"/>
        </w:rPr>
        <w:t xml:space="preserve"> bias</w:t>
      </w:r>
      <w:r>
        <w:rPr>
          <w:iCs/>
          <w:sz w:val="24"/>
          <w:szCs w:val="24"/>
        </w:rPr>
        <w:t xml:space="preserve"> </w:t>
      </w:r>
      <w:r w:rsidR="00CD101A">
        <w:rPr>
          <w:sz w:val="24"/>
        </w:rPr>
        <w:t xml:space="preserve">(as per Frey 1996, </w:t>
      </w:r>
      <w:r w:rsidR="00CD101A" w:rsidRPr="000B2FE5">
        <w:rPr>
          <w:i/>
          <w:sz w:val="24"/>
        </w:rPr>
        <w:t>National Plant Breeding Study 1</w:t>
      </w:r>
      <w:r w:rsidR="00CD101A">
        <w:rPr>
          <w:sz w:val="24"/>
        </w:rPr>
        <w:t xml:space="preserve">, </w:t>
      </w:r>
      <w:proofErr w:type="gramStart"/>
      <w:r w:rsidR="00CD101A">
        <w:rPr>
          <w:sz w:val="24"/>
        </w:rPr>
        <w:t>Iowa</w:t>
      </w:r>
      <w:proofErr w:type="gramEnd"/>
      <w:r w:rsidR="00CD101A">
        <w:rPr>
          <w:sz w:val="24"/>
        </w:rPr>
        <w:t xml:space="preserve"> State University).  </w:t>
      </w:r>
      <w:r w:rsidR="00B30B80">
        <w:rPr>
          <w:sz w:val="24"/>
        </w:rPr>
        <w:t xml:space="preserve">Three requestors are not expected to respond to either the electronic or telephone follow-up.  </w:t>
      </w:r>
      <w:r w:rsidR="009F3AB1">
        <w:rPr>
          <w:iCs/>
          <w:sz w:val="24"/>
          <w:szCs w:val="24"/>
        </w:rPr>
        <w:t>Other n</w:t>
      </w:r>
      <w:r>
        <w:rPr>
          <w:iCs/>
          <w:sz w:val="24"/>
          <w:szCs w:val="24"/>
        </w:rPr>
        <w:t xml:space="preserve">on-respondents </w:t>
      </w:r>
      <w:r w:rsidR="00460CA8">
        <w:rPr>
          <w:iCs/>
          <w:sz w:val="24"/>
          <w:szCs w:val="24"/>
        </w:rPr>
        <w:t xml:space="preserve">(who </w:t>
      </w:r>
      <w:r>
        <w:rPr>
          <w:iCs/>
          <w:sz w:val="24"/>
          <w:szCs w:val="24"/>
        </w:rPr>
        <w:t>incur a smaller amount of burden</w:t>
      </w:r>
      <w:r w:rsidR="00460CA8">
        <w:rPr>
          <w:iCs/>
          <w:sz w:val="24"/>
          <w:szCs w:val="24"/>
        </w:rPr>
        <w:t>)</w:t>
      </w:r>
      <w:r>
        <w:rPr>
          <w:iCs/>
          <w:sz w:val="24"/>
          <w:szCs w:val="24"/>
        </w:rPr>
        <w:t xml:space="preserve"> will total </w:t>
      </w:r>
      <w:r w:rsidR="009F3AB1">
        <w:rPr>
          <w:iCs/>
          <w:sz w:val="24"/>
          <w:szCs w:val="24"/>
        </w:rPr>
        <w:t>1</w:t>
      </w:r>
      <w:r w:rsidR="006B3174">
        <w:rPr>
          <w:iCs/>
          <w:sz w:val="24"/>
          <w:szCs w:val="24"/>
        </w:rPr>
        <w:t>,</w:t>
      </w:r>
      <w:r w:rsidR="009F3AB1">
        <w:rPr>
          <w:iCs/>
          <w:sz w:val="24"/>
          <w:szCs w:val="24"/>
        </w:rPr>
        <w:t>54</w:t>
      </w:r>
      <w:r w:rsidR="00437525">
        <w:rPr>
          <w:iCs/>
          <w:sz w:val="24"/>
          <w:szCs w:val="24"/>
        </w:rPr>
        <w:t>3</w:t>
      </w:r>
      <w:r>
        <w:rPr>
          <w:iCs/>
          <w:sz w:val="24"/>
          <w:szCs w:val="24"/>
        </w:rPr>
        <w:t xml:space="preserve"> (total non-respondents minus 100 contacted by </w:t>
      </w:r>
      <w:r w:rsidR="00CD101A">
        <w:rPr>
          <w:iCs/>
          <w:sz w:val="24"/>
          <w:szCs w:val="24"/>
        </w:rPr>
        <w:t xml:space="preserve">email or </w:t>
      </w:r>
      <w:r w:rsidR="000E13BB">
        <w:rPr>
          <w:iCs/>
          <w:sz w:val="24"/>
          <w:szCs w:val="24"/>
        </w:rPr>
        <w:t>telephone</w:t>
      </w:r>
      <w:r>
        <w:rPr>
          <w:iCs/>
          <w:sz w:val="24"/>
          <w:szCs w:val="24"/>
        </w:rPr>
        <w:t>.)</w:t>
      </w:r>
    </w:p>
    <w:p w14:paraId="57AD3A90" w14:textId="77777777" w:rsidR="00847F72" w:rsidRDefault="00847F72" w:rsidP="003F50F4">
      <w:pPr>
        <w:rPr>
          <w:iCs/>
          <w:sz w:val="24"/>
          <w:szCs w:val="24"/>
        </w:rPr>
      </w:pPr>
    </w:p>
    <w:p w14:paraId="2BAC9C67" w14:textId="7A786E9E" w:rsidR="00847F72" w:rsidRDefault="00847F72" w:rsidP="003F50F4">
      <w:pPr>
        <w:rPr>
          <w:iCs/>
          <w:sz w:val="24"/>
          <w:szCs w:val="24"/>
        </w:rPr>
      </w:pPr>
      <w:r>
        <w:rPr>
          <w:b/>
          <w:iCs/>
          <w:sz w:val="24"/>
          <w:szCs w:val="24"/>
        </w:rPr>
        <w:t>Estimated Time per Response</w:t>
      </w:r>
      <w:r w:rsidR="000F5E67">
        <w:rPr>
          <w:b/>
          <w:iCs/>
          <w:sz w:val="24"/>
          <w:szCs w:val="24"/>
        </w:rPr>
        <w:t xml:space="preserve"> and Total Burden</w:t>
      </w:r>
      <w:r>
        <w:rPr>
          <w:b/>
          <w:iCs/>
          <w:sz w:val="24"/>
          <w:szCs w:val="24"/>
        </w:rPr>
        <w:t>:</w:t>
      </w:r>
      <w:r>
        <w:rPr>
          <w:iCs/>
          <w:sz w:val="24"/>
          <w:szCs w:val="24"/>
        </w:rPr>
        <w:t xml:space="preserve">  </w:t>
      </w:r>
      <w:r w:rsidR="000E450C">
        <w:rPr>
          <w:iCs/>
          <w:sz w:val="24"/>
          <w:szCs w:val="24"/>
        </w:rPr>
        <w:t>T</w:t>
      </w:r>
      <w:r>
        <w:rPr>
          <w:iCs/>
          <w:sz w:val="24"/>
          <w:szCs w:val="24"/>
        </w:rPr>
        <w:t xml:space="preserve">he </w:t>
      </w:r>
      <w:r w:rsidR="009F3AB1">
        <w:rPr>
          <w:iCs/>
          <w:sz w:val="24"/>
          <w:szCs w:val="24"/>
        </w:rPr>
        <w:t xml:space="preserve">initial </w:t>
      </w:r>
      <w:r>
        <w:rPr>
          <w:iCs/>
          <w:sz w:val="24"/>
          <w:szCs w:val="24"/>
        </w:rPr>
        <w:t xml:space="preserve">time expected to read the email and complete the Census questionnaire is </w:t>
      </w:r>
      <w:r w:rsidR="009F3AB1">
        <w:rPr>
          <w:iCs/>
          <w:sz w:val="24"/>
          <w:szCs w:val="24"/>
        </w:rPr>
        <w:t>19.8</w:t>
      </w:r>
      <w:r>
        <w:rPr>
          <w:iCs/>
          <w:sz w:val="24"/>
          <w:szCs w:val="24"/>
        </w:rPr>
        <w:t xml:space="preserve"> minutes.  For each non-respon</w:t>
      </w:r>
      <w:r w:rsidR="000E450C">
        <w:rPr>
          <w:iCs/>
          <w:sz w:val="24"/>
          <w:szCs w:val="24"/>
        </w:rPr>
        <w:t>se</w:t>
      </w:r>
      <w:r>
        <w:rPr>
          <w:iCs/>
          <w:sz w:val="24"/>
          <w:szCs w:val="24"/>
        </w:rPr>
        <w:t>, the time expected to read initial and reminder emails is one minute per reminder</w:t>
      </w:r>
      <w:r w:rsidR="000F5E67">
        <w:rPr>
          <w:iCs/>
          <w:sz w:val="24"/>
          <w:szCs w:val="24"/>
        </w:rPr>
        <w:t>.</w:t>
      </w:r>
    </w:p>
    <w:p w14:paraId="17F8D916" w14:textId="77777777" w:rsidR="000F5E67" w:rsidRDefault="000F5E67" w:rsidP="003F50F4">
      <w:pPr>
        <w:rPr>
          <w:iCs/>
          <w:sz w:val="24"/>
          <w:szCs w:val="24"/>
        </w:rPr>
      </w:pPr>
    </w:p>
    <w:p w14:paraId="40ACE746" w14:textId="3E61A6F6" w:rsidR="000F5E67" w:rsidRDefault="000F5E67" w:rsidP="003F50F4">
      <w:pPr>
        <w:rPr>
          <w:iCs/>
          <w:sz w:val="24"/>
          <w:szCs w:val="24"/>
        </w:rPr>
      </w:pPr>
      <w:r>
        <w:rPr>
          <w:iCs/>
          <w:sz w:val="24"/>
          <w:szCs w:val="24"/>
        </w:rPr>
        <w:t xml:space="preserve">Of the total of </w:t>
      </w:r>
      <w:r w:rsidR="009F3AB1">
        <w:rPr>
          <w:iCs/>
          <w:sz w:val="24"/>
          <w:szCs w:val="24"/>
        </w:rPr>
        <w:t>6,009</w:t>
      </w:r>
      <w:r w:rsidR="00A67C77">
        <w:rPr>
          <w:iCs/>
          <w:sz w:val="24"/>
          <w:szCs w:val="24"/>
        </w:rPr>
        <w:t xml:space="preserve"> </w:t>
      </w:r>
      <w:r w:rsidR="004F3383">
        <w:rPr>
          <w:iCs/>
          <w:sz w:val="24"/>
          <w:szCs w:val="24"/>
        </w:rPr>
        <w:t>u</w:t>
      </w:r>
      <w:r>
        <w:rPr>
          <w:iCs/>
          <w:sz w:val="24"/>
          <w:szCs w:val="24"/>
        </w:rPr>
        <w:t xml:space="preserve">sers, </w:t>
      </w:r>
      <w:r w:rsidR="009F3AB1">
        <w:rPr>
          <w:iCs/>
          <w:sz w:val="24"/>
          <w:szCs w:val="24"/>
        </w:rPr>
        <w:t>36</w:t>
      </w:r>
      <w:r w:rsidR="007002A2">
        <w:rPr>
          <w:iCs/>
          <w:sz w:val="24"/>
          <w:szCs w:val="24"/>
        </w:rPr>
        <w:t>.33</w:t>
      </w:r>
      <w:r>
        <w:rPr>
          <w:iCs/>
          <w:sz w:val="24"/>
          <w:szCs w:val="24"/>
        </w:rPr>
        <w:t xml:space="preserve"> percent are estimated to respond to the initial invitation to complete the Census questionnaire, </w:t>
      </w:r>
      <w:r w:rsidR="0011090E">
        <w:rPr>
          <w:iCs/>
          <w:sz w:val="24"/>
          <w:szCs w:val="24"/>
        </w:rPr>
        <w:t>18</w:t>
      </w:r>
      <w:r w:rsidR="007002A2">
        <w:rPr>
          <w:iCs/>
          <w:sz w:val="24"/>
          <w:szCs w:val="24"/>
        </w:rPr>
        <w:t>.16</w:t>
      </w:r>
      <w:r>
        <w:rPr>
          <w:iCs/>
          <w:sz w:val="24"/>
          <w:szCs w:val="24"/>
        </w:rPr>
        <w:t xml:space="preserve"> percent to respond to the first reminder, </w:t>
      </w:r>
      <w:r w:rsidR="0011090E">
        <w:rPr>
          <w:iCs/>
          <w:sz w:val="24"/>
          <w:szCs w:val="24"/>
        </w:rPr>
        <w:t>1</w:t>
      </w:r>
      <w:r w:rsidR="007002A2">
        <w:rPr>
          <w:iCs/>
          <w:sz w:val="24"/>
          <w:szCs w:val="24"/>
        </w:rPr>
        <w:t>3.63</w:t>
      </w:r>
      <w:r>
        <w:rPr>
          <w:iCs/>
          <w:sz w:val="24"/>
          <w:szCs w:val="24"/>
        </w:rPr>
        <w:t xml:space="preserve"> percent to respond to the second reminder, </w:t>
      </w:r>
      <w:r w:rsidR="00F35C6A">
        <w:rPr>
          <w:iCs/>
          <w:sz w:val="24"/>
          <w:szCs w:val="24"/>
        </w:rPr>
        <w:t>and 4.54</w:t>
      </w:r>
      <w:r>
        <w:rPr>
          <w:iCs/>
          <w:sz w:val="24"/>
          <w:szCs w:val="24"/>
        </w:rPr>
        <w:t xml:space="preserve"> percent to the final reminder.  Non-respondents are expected to be about 27 percent of the total</w:t>
      </w:r>
      <w:r w:rsidR="000B2AD5">
        <w:rPr>
          <w:iCs/>
          <w:sz w:val="24"/>
          <w:szCs w:val="24"/>
        </w:rPr>
        <w:t xml:space="preserve"> (attachment </w:t>
      </w:r>
      <w:r w:rsidR="005B38BB">
        <w:rPr>
          <w:iCs/>
          <w:sz w:val="24"/>
          <w:szCs w:val="24"/>
        </w:rPr>
        <w:t>E</w:t>
      </w:r>
      <w:r w:rsidR="000B2AD5">
        <w:rPr>
          <w:iCs/>
          <w:sz w:val="24"/>
          <w:szCs w:val="24"/>
        </w:rPr>
        <w:t>)</w:t>
      </w:r>
      <w:r>
        <w:rPr>
          <w:iCs/>
          <w:sz w:val="24"/>
          <w:szCs w:val="24"/>
        </w:rPr>
        <w:t>.</w:t>
      </w:r>
    </w:p>
    <w:p w14:paraId="443150CE" w14:textId="77777777" w:rsidR="000F5E67" w:rsidRDefault="000F5E67" w:rsidP="003F50F4">
      <w:pPr>
        <w:rPr>
          <w:iCs/>
          <w:sz w:val="24"/>
          <w:szCs w:val="24"/>
        </w:rPr>
      </w:pPr>
    </w:p>
    <w:p w14:paraId="32F5C9A6" w14:textId="4CB0D4F1" w:rsidR="000F5E67" w:rsidRPr="0011090E" w:rsidRDefault="000F5E67" w:rsidP="003F50F4">
      <w:pPr>
        <w:rPr>
          <w:iCs/>
          <w:sz w:val="24"/>
          <w:szCs w:val="24"/>
        </w:rPr>
      </w:pPr>
      <w:r>
        <w:rPr>
          <w:iCs/>
          <w:sz w:val="24"/>
          <w:szCs w:val="24"/>
        </w:rPr>
        <w:t>Users who respond to the initial invitation tot</w:t>
      </w:r>
      <w:r w:rsidRPr="0011090E">
        <w:rPr>
          <w:iCs/>
          <w:sz w:val="24"/>
          <w:szCs w:val="24"/>
        </w:rPr>
        <w:t xml:space="preserve">al </w:t>
      </w:r>
      <w:r w:rsidR="0011090E" w:rsidRPr="003B7144">
        <w:rPr>
          <w:iCs/>
          <w:sz w:val="24"/>
          <w:szCs w:val="24"/>
        </w:rPr>
        <w:t>2,1</w:t>
      </w:r>
      <w:r w:rsidR="008854F5" w:rsidRPr="0011090E">
        <w:rPr>
          <w:iCs/>
          <w:sz w:val="24"/>
          <w:szCs w:val="24"/>
        </w:rPr>
        <w:t>83, with a response burden time of 1</w:t>
      </w:r>
      <w:r w:rsidR="0011090E" w:rsidRPr="003B7144">
        <w:rPr>
          <w:iCs/>
          <w:sz w:val="24"/>
          <w:szCs w:val="24"/>
        </w:rPr>
        <w:t>9.8</w:t>
      </w:r>
      <w:r w:rsidR="008854F5" w:rsidRPr="0011090E">
        <w:rPr>
          <w:iCs/>
          <w:sz w:val="24"/>
          <w:szCs w:val="24"/>
        </w:rPr>
        <w:t xml:space="preserve"> minutes each, giving a total burden of </w:t>
      </w:r>
      <w:r w:rsidR="0011090E" w:rsidRPr="003B7144">
        <w:rPr>
          <w:iCs/>
          <w:sz w:val="24"/>
          <w:szCs w:val="24"/>
        </w:rPr>
        <w:t>720.4</w:t>
      </w:r>
      <w:r w:rsidR="008854F5" w:rsidRPr="0011090E">
        <w:rPr>
          <w:iCs/>
          <w:sz w:val="24"/>
          <w:szCs w:val="24"/>
        </w:rPr>
        <w:t xml:space="preserve"> hours.</w:t>
      </w:r>
    </w:p>
    <w:p w14:paraId="1A45C4D7" w14:textId="77777777" w:rsidR="000F5E67" w:rsidRPr="003B7144" w:rsidRDefault="000F5E67" w:rsidP="003F50F4">
      <w:pPr>
        <w:rPr>
          <w:iCs/>
          <w:sz w:val="24"/>
          <w:szCs w:val="24"/>
          <w:highlight w:val="green"/>
        </w:rPr>
      </w:pPr>
    </w:p>
    <w:p w14:paraId="019D364A" w14:textId="45F34B85" w:rsidR="000F5E67" w:rsidRPr="0011090E" w:rsidRDefault="008854F5" w:rsidP="003F50F4">
      <w:pPr>
        <w:rPr>
          <w:iCs/>
          <w:sz w:val="24"/>
          <w:szCs w:val="24"/>
        </w:rPr>
      </w:pPr>
      <w:r w:rsidRPr="0011090E">
        <w:rPr>
          <w:iCs/>
          <w:sz w:val="24"/>
          <w:szCs w:val="24"/>
        </w:rPr>
        <w:t xml:space="preserve">Users who respond to the first reminder total </w:t>
      </w:r>
      <w:r w:rsidR="0011090E" w:rsidRPr="003B7144">
        <w:rPr>
          <w:iCs/>
          <w:sz w:val="24"/>
          <w:szCs w:val="24"/>
        </w:rPr>
        <w:t>1,091</w:t>
      </w:r>
      <w:r w:rsidRPr="0011090E">
        <w:rPr>
          <w:iCs/>
          <w:sz w:val="24"/>
          <w:szCs w:val="24"/>
        </w:rPr>
        <w:t xml:space="preserve">, with a response burden time of one minute reading the initial invitation plus </w:t>
      </w:r>
      <w:r w:rsidR="0011090E" w:rsidRPr="003B7144">
        <w:rPr>
          <w:iCs/>
          <w:sz w:val="24"/>
          <w:szCs w:val="24"/>
        </w:rPr>
        <w:t>19.8</w:t>
      </w:r>
      <w:r w:rsidRPr="0011090E">
        <w:rPr>
          <w:iCs/>
          <w:sz w:val="24"/>
          <w:szCs w:val="24"/>
        </w:rPr>
        <w:t xml:space="preserve"> minutes reading the first reminder and completing the questionnaire, for a total burden of </w:t>
      </w:r>
      <w:r w:rsidR="0011090E" w:rsidRPr="003B7144">
        <w:rPr>
          <w:iCs/>
          <w:sz w:val="24"/>
          <w:szCs w:val="24"/>
        </w:rPr>
        <w:t>3</w:t>
      </w:r>
      <w:r w:rsidR="00437525">
        <w:rPr>
          <w:iCs/>
          <w:sz w:val="24"/>
          <w:szCs w:val="24"/>
        </w:rPr>
        <w:t>78</w:t>
      </w:r>
      <w:r w:rsidR="0011090E" w:rsidRPr="003B7144">
        <w:rPr>
          <w:iCs/>
          <w:sz w:val="24"/>
          <w:szCs w:val="24"/>
        </w:rPr>
        <w:t>.2</w:t>
      </w:r>
      <w:r w:rsidRPr="0011090E">
        <w:rPr>
          <w:iCs/>
          <w:sz w:val="24"/>
          <w:szCs w:val="24"/>
        </w:rPr>
        <w:t xml:space="preserve"> hours.</w:t>
      </w:r>
    </w:p>
    <w:p w14:paraId="0738619E" w14:textId="77777777" w:rsidR="000F5E67" w:rsidRPr="0011090E" w:rsidRDefault="000F5E67" w:rsidP="003F50F4">
      <w:pPr>
        <w:rPr>
          <w:iCs/>
          <w:sz w:val="24"/>
          <w:szCs w:val="24"/>
        </w:rPr>
      </w:pPr>
    </w:p>
    <w:p w14:paraId="1905AEBD" w14:textId="03EE1758" w:rsidR="000F5E67" w:rsidRPr="0011090E" w:rsidRDefault="008854F5" w:rsidP="003F50F4">
      <w:pPr>
        <w:rPr>
          <w:iCs/>
          <w:sz w:val="24"/>
          <w:szCs w:val="24"/>
        </w:rPr>
      </w:pPr>
      <w:r w:rsidRPr="0011090E">
        <w:rPr>
          <w:iCs/>
          <w:sz w:val="24"/>
          <w:szCs w:val="24"/>
        </w:rPr>
        <w:t xml:space="preserve">Users who respond to the second reminder total </w:t>
      </w:r>
      <w:r w:rsidR="0011090E" w:rsidRPr="003B7144">
        <w:rPr>
          <w:iCs/>
          <w:sz w:val="24"/>
          <w:szCs w:val="24"/>
        </w:rPr>
        <w:t>819</w:t>
      </w:r>
      <w:r w:rsidRPr="0011090E">
        <w:rPr>
          <w:iCs/>
          <w:sz w:val="24"/>
          <w:szCs w:val="24"/>
        </w:rPr>
        <w:t xml:space="preserve">, with a response burden time of one minute reading the initial invitation, one minute reading the first reminder, plus </w:t>
      </w:r>
      <w:r w:rsidR="0011090E" w:rsidRPr="003B7144">
        <w:rPr>
          <w:iCs/>
          <w:sz w:val="24"/>
          <w:szCs w:val="24"/>
        </w:rPr>
        <w:t>19.8</w:t>
      </w:r>
      <w:r w:rsidRPr="0011090E">
        <w:rPr>
          <w:iCs/>
          <w:sz w:val="24"/>
          <w:szCs w:val="24"/>
        </w:rPr>
        <w:t xml:space="preserve"> minutes reading the second reminder and completing the questionnaire, for a total burden of </w:t>
      </w:r>
      <w:r w:rsidR="005E6B35">
        <w:rPr>
          <w:iCs/>
          <w:sz w:val="24"/>
          <w:szCs w:val="24"/>
        </w:rPr>
        <w:t>297.6</w:t>
      </w:r>
      <w:r w:rsidRPr="0011090E">
        <w:rPr>
          <w:iCs/>
          <w:sz w:val="24"/>
          <w:szCs w:val="24"/>
        </w:rPr>
        <w:t xml:space="preserve"> hours.</w:t>
      </w:r>
    </w:p>
    <w:p w14:paraId="0A0D3A74" w14:textId="77777777" w:rsidR="000F5E67" w:rsidRPr="0011090E" w:rsidRDefault="000F5E67" w:rsidP="003F50F4">
      <w:pPr>
        <w:rPr>
          <w:iCs/>
          <w:sz w:val="24"/>
          <w:szCs w:val="24"/>
        </w:rPr>
      </w:pPr>
    </w:p>
    <w:p w14:paraId="38882F4C" w14:textId="756DB8F2" w:rsidR="000F5E67" w:rsidRPr="0011090E" w:rsidRDefault="008854F5" w:rsidP="003F50F4">
      <w:pPr>
        <w:rPr>
          <w:iCs/>
          <w:sz w:val="24"/>
          <w:szCs w:val="24"/>
        </w:rPr>
      </w:pPr>
      <w:r w:rsidRPr="0011090E">
        <w:rPr>
          <w:iCs/>
          <w:sz w:val="24"/>
          <w:szCs w:val="24"/>
        </w:rPr>
        <w:t xml:space="preserve">Users who respond to the third reminder total </w:t>
      </w:r>
      <w:r w:rsidR="0011090E" w:rsidRPr="003B7144">
        <w:rPr>
          <w:iCs/>
          <w:sz w:val="24"/>
          <w:szCs w:val="24"/>
        </w:rPr>
        <w:t>273</w:t>
      </w:r>
      <w:r w:rsidRPr="0011090E">
        <w:rPr>
          <w:iCs/>
          <w:sz w:val="24"/>
          <w:szCs w:val="24"/>
        </w:rPr>
        <w:t xml:space="preserve">, with a response burden time of one minute </w:t>
      </w:r>
      <w:r w:rsidR="006416C6">
        <w:rPr>
          <w:iCs/>
          <w:sz w:val="24"/>
          <w:szCs w:val="24"/>
        </w:rPr>
        <w:t xml:space="preserve">reading </w:t>
      </w:r>
      <w:r w:rsidRPr="0011090E">
        <w:rPr>
          <w:iCs/>
          <w:sz w:val="24"/>
          <w:szCs w:val="24"/>
        </w:rPr>
        <w:t xml:space="preserve">the initial invitation and first and second reminders, plus </w:t>
      </w:r>
      <w:r w:rsidR="0011090E" w:rsidRPr="003B7144">
        <w:rPr>
          <w:iCs/>
          <w:sz w:val="24"/>
          <w:szCs w:val="24"/>
        </w:rPr>
        <w:t>19.8</w:t>
      </w:r>
      <w:r w:rsidRPr="0011090E">
        <w:rPr>
          <w:iCs/>
          <w:sz w:val="24"/>
          <w:szCs w:val="24"/>
        </w:rPr>
        <w:t xml:space="preserve"> minutes reading the final reminder and completing the questionnaire, for a total burden of </w:t>
      </w:r>
      <w:r w:rsidR="00437525">
        <w:rPr>
          <w:iCs/>
          <w:sz w:val="24"/>
          <w:szCs w:val="24"/>
        </w:rPr>
        <w:t>103</w:t>
      </w:r>
      <w:r w:rsidR="0011090E" w:rsidRPr="003B7144">
        <w:rPr>
          <w:iCs/>
          <w:sz w:val="24"/>
          <w:szCs w:val="24"/>
        </w:rPr>
        <w:t>.</w:t>
      </w:r>
      <w:r w:rsidR="005E6B35">
        <w:rPr>
          <w:iCs/>
          <w:sz w:val="24"/>
          <w:szCs w:val="24"/>
        </w:rPr>
        <w:t>7</w:t>
      </w:r>
      <w:r w:rsidRPr="0011090E">
        <w:rPr>
          <w:iCs/>
          <w:sz w:val="24"/>
          <w:szCs w:val="24"/>
        </w:rPr>
        <w:t xml:space="preserve"> hours.</w:t>
      </w:r>
    </w:p>
    <w:p w14:paraId="5B8B4CD0" w14:textId="77777777" w:rsidR="001E01AF" w:rsidRPr="0011090E" w:rsidRDefault="001E01AF" w:rsidP="003F50F4">
      <w:pPr>
        <w:rPr>
          <w:iCs/>
          <w:sz w:val="24"/>
          <w:szCs w:val="24"/>
        </w:rPr>
      </w:pPr>
    </w:p>
    <w:p w14:paraId="0A0EB3C3" w14:textId="16277548" w:rsidR="001E01AF" w:rsidRPr="0011090E" w:rsidRDefault="008854F5" w:rsidP="003F50F4">
      <w:pPr>
        <w:rPr>
          <w:iCs/>
          <w:sz w:val="24"/>
          <w:szCs w:val="24"/>
        </w:rPr>
      </w:pPr>
      <w:r w:rsidRPr="0011090E">
        <w:rPr>
          <w:iCs/>
          <w:sz w:val="24"/>
          <w:szCs w:val="24"/>
        </w:rPr>
        <w:t>Non-respondents total 1,</w:t>
      </w:r>
      <w:r w:rsidR="0011090E" w:rsidRPr="003B7144">
        <w:rPr>
          <w:iCs/>
          <w:sz w:val="24"/>
          <w:szCs w:val="24"/>
        </w:rPr>
        <w:t>64</w:t>
      </w:r>
      <w:r w:rsidR="00437525">
        <w:rPr>
          <w:iCs/>
          <w:sz w:val="24"/>
          <w:szCs w:val="24"/>
        </w:rPr>
        <w:t>3</w:t>
      </w:r>
      <w:r w:rsidRPr="0011090E">
        <w:rPr>
          <w:iCs/>
          <w:sz w:val="24"/>
          <w:szCs w:val="24"/>
        </w:rPr>
        <w:t>.  They face a burden time of one minute each for the initial invitation plus the three reminders, for a total of four minutes.  Their total burden is 1</w:t>
      </w:r>
      <w:r w:rsidR="0011090E" w:rsidRPr="003B7144">
        <w:rPr>
          <w:iCs/>
          <w:sz w:val="24"/>
          <w:szCs w:val="24"/>
        </w:rPr>
        <w:t>09</w:t>
      </w:r>
      <w:r w:rsidRPr="0011090E">
        <w:rPr>
          <w:iCs/>
          <w:sz w:val="24"/>
          <w:szCs w:val="24"/>
        </w:rPr>
        <w:t>.</w:t>
      </w:r>
      <w:r w:rsidR="0011090E" w:rsidRPr="003B7144">
        <w:rPr>
          <w:iCs/>
          <w:sz w:val="24"/>
          <w:szCs w:val="24"/>
        </w:rPr>
        <w:t>5</w:t>
      </w:r>
      <w:r w:rsidRPr="0011090E">
        <w:rPr>
          <w:iCs/>
          <w:sz w:val="24"/>
          <w:szCs w:val="24"/>
        </w:rPr>
        <w:t xml:space="preserve"> hours.</w:t>
      </w:r>
    </w:p>
    <w:p w14:paraId="3ECC3520" w14:textId="77777777" w:rsidR="0011090E" w:rsidRPr="0011090E" w:rsidRDefault="0011090E" w:rsidP="003F50F4">
      <w:pPr>
        <w:rPr>
          <w:iCs/>
          <w:sz w:val="24"/>
          <w:szCs w:val="24"/>
        </w:rPr>
      </w:pPr>
    </w:p>
    <w:p w14:paraId="7112FE67" w14:textId="48EB1EE3" w:rsidR="001E01AF" w:rsidRPr="0011090E" w:rsidRDefault="001E01AF" w:rsidP="003F50F4">
      <w:pPr>
        <w:rPr>
          <w:iCs/>
          <w:sz w:val="24"/>
          <w:szCs w:val="24"/>
        </w:rPr>
      </w:pPr>
      <w:r w:rsidRPr="0011090E">
        <w:rPr>
          <w:iCs/>
          <w:sz w:val="24"/>
          <w:szCs w:val="24"/>
        </w:rPr>
        <w:t xml:space="preserve">The 100 non-respondents selected for </w:t>
      </w:r>
      <w:r w:rsidR="00CD101A">
        <w:rPr>
          <w:iCs/>
          <w:sz w:val="24"/>
          <w:szCs w:val="24"/>
        </w:rPr>
        <w:t xml:space="preserve">email and </w:t>
      </w:r>
      <w:r w:rsidRPr="0011090E">
        <w:rPr>
          <w:iCs/>
          <w:sz w:val="24"/>
          <w:szCs w:val="24"/>
        </w:rPr>
        <w:t xml:space="preserve">telephone follow-up are estimated to face an additional burden of </w:t>
      </w:r>
      <w:r w:rsidR="00DB2575">
        <w:rPr>
          <w:iCs/>
          <w:sz w:val="24"/>
          <w:szCs w:val="24"/>
        </w:rPr>
        <w:t xml:space="preserve">1 minute to read the email invitation to complete the census non-response survey.  Responding to the survey will add 5 minutes </w:t>
      </w:r>
      <w:r w:rsidRPr="0011090E">
        <w:rPr>
          <w:iCs/>
          <w:sz w:val="24"/>
          <w:szCs w:val="24"/>
        </w:rPr>
        <w:t>each</w:t>
      </w:r>
      <w:r w:rsidR="00CD101A">
        <w:rPr>
          <w:iCs/>
          <w:sz w:val="24"/>
          <w:szCs w:val="24"/>
        </w:rPr>
        <w:t xml:space="preserve"> for those </w:t>
      </w:r>
      <w:r w:rsidR="00DB2575">
        <w:rPr>
          <w:iCs/>
          <w:sz w:val="24"/>
          <w:szCs w:val="24"/>
        </w:rPr>
        <w:t xml:space="preserve">97 </w:t>
      </w:r>
      <w:r w:rsidR="00CD101A">
        <w:rPr>
          <w:iCs/>
          <w:sz w:val="24"/>
          <w:szCs w:val="24"/>
        </w:rPr>
        <w:t>who reply</w:t>
      </w:r>
      <w:r w:rsidRPr="0011090E">
        <w:rPr>
          <w:iCs/>
          <w:sz w:val="24"/>
          <w:szCs w:val="24"/>
        </w:rPr>
        <w:t xml:space="preserve">, </w:t>
      </w:r>
      <w:r w:rsidR="00CD101A">
        <w:rPr>
          <w:iCs/>
          <w:sz w:val="24"/>
          <w:szCs w:val="24"/>
        </w:rPr>
        <w:t xml:space="preserve">resulting in </w:t>
      </w:r>
      <w:r w:rsidRPr="0011090E">
        <w:rPr>
          <w:iCs/>
          <w:sz w:val="24"/>
          <w:szCs w:val="24"/>
        </w:rPr>
        <w:t xml:space="preserve">a total burden of </w:t>
      </w:r>
      <w:r w:rsidR="00CD101A">
        <w:rPr>
          <w:iCs/>
          <w:sz w:val="24"/>
          <w:szCs w:val="24"/>
        </w:rPr>
        <w:t>9.</w:t>
      </w:r>
      <w:r w:rsidR="00C85FB5">
        <w:rPr>
          <w:iCs/>
          <w:sz w:val="24"/>
          <w:szCs w:val="24"/>
        </w:rPr>
        <w:t>8</w:t>
      </w:r>
      <w:r w:rsidR="00E658C8">
        <w:rPr>
          <w:iCs/>
          <w:sz w:val="24"/>
          <w:szCs w:val="24"/>
        </w:rPr>
        <w:t xml:space="preserve"> </w:t>
      </w:r>
      <w:r w:rsidR="00E658C8" w:rsidRPr="0011090E">
        <w:rPr>
          <w:iCs/>
          <w:sz w:val="24"/>
          <w:szCs w:val="24"/>
        </w:rPr>
        <w:t>hours</w:t>
      </w:r>
      <w:r w:rsidRPr="0011090E">
        <w:rPr>
          <w:iCs/>
          <w:sz w:val="24"/>
          <w:szCs w:val="24"/>
        </w:rPr>
        <w:t>.</w:t>
      </w:r>
    </w:p>
    <w:p w14:paraId="00B6A8F6" w14:textId="77777777" w:rsidR="001E01AF" w:rsidRPr="0011090E" w:rsidRDefault="001E01AF" w:rsidP="003F50F4">
      <w:pPr>
        <w:rPr>
          <w:iCs/>
          <w:sz w:val="24"/>
          <w:szCs w:val="24"/>
        </w:rPr>
      </w:pPr>
    </w:p>
    <w:p w14:paraId="7A7C9C70" w14:textId="38BCE519" w:rsidR="001E01AF" w:rsidRDefault="001E01AF" w:rsidP="003F50F4">
      <w:pPr>
        <w:rPr>
          <w:iCs/>
          <w:sz w:val="24"/>
          <w:szCs w:val="24"/>
        </w:rPr>
      </w:pPr>
      <w:r w:rsidRPr="0011090E">
        <w:rPr>
          <w:iCs/>
          <w:sz w:val="24"/>
          <w:szCs w:val="24"/>
        </w:rPr>
        <w:t xml:space="preserve">The total burden is thus estimated </w:t>
      </w:r>
      <w:r w:rsidR="00374B44" w:rsidRPr="0011090E">
        <w:rPr>
          <w:iCs/>
          <w:sz w:val="24"/>
          <w:szCs w:val="24"/>
        </w:rPr>
        <w:t>at 1,61</w:t>
      </w:r>
      <w:r w:rsidR="00CD101A">
        <w:rPr>
          <w:iCs/>
          <w:sz w:val="24"/>
          <w:szCs w:val="24"/>
        </w:rPr>
        <w:t>9.</w:t>
      </w:r>
      <w:r w:rsidR="00C85FB5">
        <w:rPr>
          <w:iCs/>
          <w:sz w:val="24"/>
          <w:szCs w:val="24"/>
        </w:rPr>
        <w:t>2</w:t>
      </w:r>
      <w:r w:rsidR="00147ED5">
        <w:rPr>
          <w:iCs/>
          <w:sz w:val="24"/>
          <w:szCs w:val="24"/>
        </w:rPr>
        <w:t xml:space="preserve"> </w:t>
      </w:r>
      <w:r w:rsidR="008854F5" w:rsidRPr="0011090E">
        <w:rPr>
          <w:iCs/>
          <w:sz w:val="24"/>
          <w:szCs w:val="24"/>
        </w:rPr>
        <w:t>hours (</w:t>
      </w:r>
      <w:r w:rsidR="0011090E" w:rsidRPr="003B7144">
        <w:rPr>
          <w:iCs/>
          <w:sz w:val="24"/>
          <w:szCs w:val="24"/>
        </w:rPr>
        <w:t>720.4</w:t>
      </w:r>
      <w:r w:rsidR="008854F5" w:rsidRPr="0011090E">
        <w:rPr>
          <w:iCs/>
          <w:sz w:val="24"/>
          <w:szCs w:val="24"/>
        </w:rPr>
        <w:t xml:space="preserve"> + </w:t>
      </w:r>
      <w:r w:rsidR="0011090E" w:rsidRPr="003B7144">
        <w:rPr>
          <w:iCs/>
          <w:sz w:val="24"/>
          <w:szCs w:val="24"/>
        </w:rPr>
        <w:t>378.2</w:t>
      </w:r>
      <w:r w:rsidR="008854F5" w:rsidRPr="0011090E">
        <w:rPr>
          <w:iCs/>
          <w:sz w:val="24"/>
          <w:szCs w:val="24"/>
        </w:rPr>
        <w:t xml:space="preserve"> +</w:t>
      </w:r>
      <w:r w:rsidR="0011090E" w:rsidRPr="003B7144">
        <w:rPr>
          <w:iCs/>
          <w:sz w:val="24"/>
          <w:szCs w:val="24"/>
        </w:rPr>
        <w:t xml:space="preserve"> 297.6</w:t>
      </w:r>
      <w:r w:rsidR="008854F5" w:rsidRPr="0011090E">
        <w:rPr>
          <w:iCs/>
          <w:sz w:val="24"/>
          <w:szCs w:val="24"/>
        </w:rPr>
        <w:t xml:space="preserve"> + </w:t>
      </w:r>
      <w:r w:rsidR="0011090E" w:rsidRPr="003B7144">
        <w:rPr>
          <w:iCs/>
          <w:sz w:val="24"/>
          <w:szCs w:val="24"/>
        </w:rPr>
        <w:t>103.7</w:t>
      </w:r>
      <w:r w:rsidR="008854F5" w:rsidRPr="0011090E">
        <w:rPr>
          <w:iCs/>
          <w:sz w:val="24"/>
          <w:szCs w:val="24"/>
        </w:rPr>
        <w:t xml:space="preserve"> + 1</w:t>
      </w:r>
      <w:r w:rsidR="0011090E" w:rsidRPr="003B7144">
        <w:rPr>
          <w:iCs/>
          <w:sz w:val="24"/>
          <w:szCs w:val="24"/>
        </w:rPr>
        <w:t>09.5</w:t>
      </w:r>
      <w:r w:rsidR="008854F5" w:rsidRPr="0011090E">
        <w:rPr>
          <w:iCs/>
          <w:sz w:val="24"/>
          <w:szCs w:val="24"/>
        </w:rPr>
        <w:t xml:space="preserve"> + </w:t>
      </w:r>
      <w:r w:rsidR="00CD101A">
        <w:rPr>
          <w:iCs/>
          <w:sz w:val="24"/>
          <w:szCs w:val="24"/>
        </w:rPr>
        <w:t>9.</w:t>
      </w:r>
      <w:r w:rsidR="00C85FB5">
        <w:rPr>
          <w:iCs/>
          <w:sz w:val="24"/>
          <w:szCs w:val="24"/>
        </w:rPr>
        <w:t>8</w:t>
      </w:r>
      <w:r w:rsidR="008854F5" w:rsidRPr="0011090E">
        <w:rPr>
          <w:iCs/>
          <w:sz w:val="24"/>
          <w:szCs w:val="24"/>
        </w:rPr>
        <w:t>)</w:t>
      </w:r>
    </w:p>
    <w:p w14:paraId="198A61F0" w14:textId="77777777" w:rsidR="001E01AF" w:rsidRDefault="001E01AF" w:rsidP="003F50F4">
      <w:pPr>
        <w:rPr>
          <w:iCs/>
          <w:sz w:val="24"/>
          <w:szCs w:val="24"/>
        </w:rPr>
      </w:pPr>
    </w:p>
    <w:p w14:paraId="6CDBECC2" w14:textId="77777777" w:rsidR="007B5390" w:rsidRDefault="001E01AF" w:rsidP="003F50F4">
      <w:pPr>
        <w:rPr>
          <w:iCs/>
          <w:sz w:val="24"/>
          <w:szCs w:val="24"/>
        </w:rPr>
      </w:pPr>
      <w:r>
        <w:rPr>
          <w:b/>
          <w:iCs/>
          <w:sz w:val="24"/>
          <w:szCs w:val="24"/>
        </w:rPr>
        <w:lastRenderedPageBreak/>
        <w:t>Estimated Total Cost Burden:</w:t>
      </w:r>
      <w:r w:rsidR="007B5390">
        <w:rPr>
          <w:b/>
          <w:iCs/>
          <w:sz w:val="24"/>
          <w:szCs w:val="24"/>
        </w:rPr>
        <w:t xml:space="preserve">  </w:t>
      </w:r>
      <w:r w:rsidR="007B5390">
        <w:rPr>
          <w:iCs/>
          <w:sz w:val="24"/>
          <w:szCs w:val="24"/>
        </w:rPr>
        <w:t>The total cost burden is estimated by first estimating U.S. plant breeder salaries and then combining that with the hourly burden estimated above.  This is likely to be an overestimate for two reasons.  First, although the majority of NPGS users are likely to be plant breeders or to represent institutions engaging in plant breeding, the unaffiliated users are likely to have somewhat lower salaries.  Second, plant breeders and other users outside of the U.S. are expected to have somewhat lower salaries than U.S. plant breeders.</w:t>
      </w:r>
    </w:p>
    <w:p w14:paraId="4C16ADA3" w14:textId="77777777" w:rsidR="007B5390" w:rsidRDefault="007B5390" w:rsidP="003F50F4">
      <w:pPr>
        <w:rPr>
          <w:iCs/>
          <w:sz w:val="24"/>
          <w:szCs w:val="24"/>
        </w:rPr>
      </w:pPr>
    </w:p>
    <w:p w14:paraId="28ADB404" w14:textId="17EDD92D" w:rsidR="00EF05AF" w:rsidRDefault="007B5390" w:rsidP="003F50F4">
      <w:pPr>
        <w:rPr>
          <w:iCs/>
          <w:sz w:val="24"/>
          <w:szCs w:val="24"/>
        </w:rPr>
      </w:pPr>
      <w:r>
        <w:rPr>
          <w:iCs/>
          <w:sz w:val="24"/>
          <w:szCs w:val="24"/>
        </w:rPr>
        <w:t>In 2006, Bliss (</w:t>
      </w:r>
      <w:r>
        <w:rPr>
          <w:i/>
          <w:iCs/>
          <w:sz w:val="24"/>
          <w:szCs w:val="24"/>
        </w:rPr>
        <w:t>Horticultural Science</w:t>
      </w:r>
      <w:r>
        <w:rPr>
          <w:iCs/>
          <w:sz w:val="24"/>
          <w:szCs w:val="24"/>
        </w:rPr>
        <w:t xml:space="preserve"> vol. 41 no. 1, pp. 45-47) estimated the average plant breeder salary in the private sector to be about $80,000 annually.  In that same year, the average salary for all university professors in the U.S. was $73,207 (data from the American Association of University Professors (</w:t>
      </w:r>
      <w:hyperlink r:id="rId8" w:history="1">
        <w:r w:rsidRPr="00AE0280">
          <w:rPr>
            <w:rStyle w:val="Hyperlink"/>
            <w:iCs/>
            <w:sz w:val="24"/>
            <w:szCs w:val="24"/>
          </w:rPr>
          <w:t>http://www.aaup.org/our-work/research/annual-report-economic-status-profession</w:t>
        </w:r>
      </w:hyperlink>
      <w:r>
        <w:rPr>
          <w:iCs/>
          <w:sz w:val="24"/>
          <w:szCs w:val="24"/>
        </w:rPr>
        <w:t xml:space="preserve">).  We use this as an estimate of the average salary for plant breeders affiliated </w:t>
      </w:r>
      <w:r w:rsidR="009F584F">
        <w:rPr>
          <w:iCs/>
          <w:sz w:val="24"/>
          <w:szCs w:val="24"/>
        </w:rPr>
        <w:t xml:space="preserve">with universities and other non-profit institutions.  By </w:t>
      </w:r>
      <w:r w:rsidR="00EF05AF">
        <w:rPr>
          <w:iCs/>
          <w:sz w:val="24"/>
          <w:szCs w:val="24"/>
        </w:rPr>
        <w:t>2014</w:t>
      </w:r>
      <w:r w:rsidR="005E6B35">
        <w:rPr>
          <w:iCs/>
          <w:sz w:val="24"/>
          <w:szCs w:val="24"/>
        </w:rPr>
        <w:t>,</w:t>
      </w:r>
      <w:r w:rsidR="009F584F">
        <w:rPr>
          <w:iCs/>
          <w:sz w:val="24"/>
          <w:szCs w:val="24"/>
        </w:rPr>
        <w:t xml:space="preserve"> the American Association of University Professors estimated an annual average salary of </w:t>
      </w:r>
      <w:r w:rsidR="00EF05AF">
        <w:rPr>
          <w:iCs/>
          <w:sz w:val="24"/>
          <w:szCs w:val="24"/>
        </w:rPr>
        <w:t>$87,838</w:t>
      </w:r>
      <w:r w:rsidR="009F584F">
        <w:rPr>
          <w:iCs/>
          <w:sz w:val="24"/>
          <w:szCs w:val="24"/>
        </w:rPr>
        <w:t xml:space="preserve">.  Assuming </w:t>
      </w:r>
      <w:r w:rsidR="006416C6">
        <w:rPr>
          <w:iCs/>
          <w:sz w:val="24"/>
          <w:szCs w:val="24"/>
        </w:rPr>
        <w:t xml:space="preserve">that </w:t>
      </w:r>
      <w:r w:rsidR="009F584F">
        <w:rPr>
          <w:iCs/>
          <w:sz w:val="24"/>
          <w:szCs w:val="24"/>
        </w:rPr>
        <w:t>private sector plant breeding salaries rose by the same proportion lead</w:t>
      </w:r>
      <w:r w:rsidR="005E6B35">
        <w:rPr>
          <w:iCs/>
          <w:sz w:val="24"/>
          <w:szCs w:val="24"/>
        </w:rPr>
        <w:t>s</w:t>
      </w:r>
      <w:r w:rsidR="009F584F">
        <w:rPr>
          <w:iCs/>
          <w:sz w:val="24"/>
          <w:szCs w:val="24"/>
        </w:rPr>
        <w:t xml:space="preserve"> </w:t>
      </w:r>
      <w:r w:rsidR="005E6B35">
        <w:rPr>
          <w:iCs/>
          <w:sz w:val="24"/>
          <w:szCs w:val="24"/>
        </w:rPr>
        <w:t xml:space="preserve">us </w:t>
      </w:r>
      <w:r w:rsidR="009F584F">
        <w:rPr>
          <w:iCs/>
          <w:sz w:val="24"/>
          <w:szCs w:val="24"/>
        </w:rPr>
        <w:t xml:space="preserve">to </w:t>
      </w:r>
      <w:r w:rsidR="005E6B35">
        <w:rPr>
          <w:iCs/>
          <w:sz w:val="24"/>
          <w:szCs w:val="24"/>
        </w:rPr>
        <w:t>estimate</w:t>
      </w:r>
      <w:r w:rsidR="009F584F">
        <w:rPr>
          <w:iCs/>
          <w:sz w:val="24"/>
          <w:szCs w:val="24"/>
        </w:rPr>
        <w:t xml:space="preserve"> </w:t>
      </w:r>
      <w:r w:rsidR="005E6B35">
        <w:rPr>
          <w:iCs/>
          <w:sz w:val="24"/>
          <w:szCs w:val="24"/>
        </w:rPr>
        <w:t xml:space="preserve">an average </w:t>
      </w:r>
      <w:r w:rsidR="00E62FD8">
        <w:rPr>
          <w:iCs/>
          <w:sz w:val="24"/>
          <w:szCs w:val="24"/>
        </w:rPr>
        <w:t>private-</w:t>
      </w:r>
      <w:r w:rsidR="009F584F">
        <w:rPr>
          <w:iCs/>
          <w:sz w:val="24"/>
          <w:szCs w:val="24"/>
        </w:rPr>
        <w:t xml:space="preserve">sector plant breeding annual salary of </w:t>
      </w:r>
      <w:r w:rsidR="00EF05AF">
        <w:rPr>
          <w:iCs/>
          <w:sz w:val="24"/>
          <w:szCs w:val="24"/>
        </w:rPr>
        <w:t>$95,990</w:t>
      </w:r>
    </w:p>
    <w:p w14:paraId="1D101411" w14:textId="2ADFC037" w:rsidR="001E01AF" w:rsidRDefault="009F584F" w:rsidP="003F50F4">
      <w:pPr>
        <w:rPr>
          <w:iCs/>
          <w:sz w:val="24"/>
          <w:szCs w:val="24"/>
        </w:rPr>
      </w:pPr>
      <w:r>
        <w:rPr>
          <w:iCs/>
          <w:sz w:val="24"/>
          <w:szCs w:val="24"/>
        </w:rPr>
        <w:t>.</w:t>
      </w:r>
    </w:p>
    <w:p w14:paraId="5397DF5C" w14:textId="37ED7257" w:rsidR="009F584F" w:rsidRDefault="009F584F" w:rsidP="003F50F4">
      <w:pPr>
        <w:rPr>
          <w:iCs/>
          <w:sz w:val="24"/>
          <w:szCs w:val="24"/>
        </w:rPr>
      </w:pPr>
      <w:r>
        <w:rPr>
          <w:iCs/>
          <w:sz w:val="24"/>
          <w:szCs w:val="24"/>
        </w:rPr>
        <w:t xml:space="preserve">Ignoring the likely lower salaries for unaffiliated users or users outside of the U.S., the overall average annual salary can be estimated by assuming three-quarters of the users are affiliated with </w:t>
      </w:r>
      <w:r w:rsidR="00460CA8">
        <w:rPr>
          <w:iCs/>
          <w:sz w:val="24"/>
          <w:szCs w:val="24"/>
        </w:rPr>
        <w:t>non-profits</w:t>
      </w:r>
      <w:r>
        <w:rPr>
          <w:iCs/>
          <w:sz w:val="24"/>
          <w:szCs w:val="24"/>
        </w:rPr>
        <w:t xml:space="preserve"> and one-quarter are affiliated with private firms.  This results in an estimated </w:t>
      </w:r>
      <w:r w:rsidR="007969AC">
        <w:rPr>
          <w:iCs/>
          <w:sz w:val="24"/>
          <w:szCs w:val="24"/>
        </w:rPr>
        <w:t xml:space="preserve">average </w:t>
      </w:r>
      <w:r>
        <w:rPr>
          <w:iCs/>
          <w:sz w:val="24"/>
          <w:szCs w:val="24"/>
        </w:rPr>
        <w:t xml:space="preserve">annual salary of </w:t>
      </w:r>
      <w:r w:rsidR="00EF05AF">
        <w:rPr>
          <w:iCs/>
          <w:sz w:val="24"/>
          <w:szCs w:val="24"/>
        </w:rPr>
        <w:t>$89,876</w:t>
      </w:r>
      <w:r>
        <w:rPr>
          <w:iCs/>
          <w:sz w:val="24"/>
          <w:szCs w:val="24"/>
        </w:rPr>
        <w:t xml:space="preserve">.  Assuming </w:t>
      </w:r>
      <w:r w:rsidR="00E62FD8">
        <w:rPr>
          <w:iCs/>
          <w:sz w:val="24"/>
          <w:szCs w:val="24"/>
        </w:rPr>
        <w:t xml:space="preserve">that </w:t>
      </w:r>
      <w:r>
        <w:rPr>
          <w:iCs/>
          <w:sz w:val="24"/>
          <w:szCs w:val="24"/>
        </w:rPr>
        <w:t xml:space="preserve">2000 hours </w:t>
      </w:r>
      <w:r w:rsidR="00E62FD8">
        <w:rPr>
          <w:iCs/>
          <w:sz w:val="24"/>
          <w:szCs w:val="24"/>
        </w:rPr>
        <w:t xml:space="preserve">are </w:t>
      </w:r>
      <w:r>
        <w:rPr>
          <w:iCs/>
          <w:sz w:val="24"/>
          <w:szCs w:val="24"/>
        </w:rPr>
        <w:t xml:space="preserve">worked per year would lead to an hourly wage of </w:t>
      </w:r>
      <w:r w:rsidR="00EF05AF">
        <w:rPr>
          <w:iCs/>
          <w:sz w:val="24"/>
          <w:szCs w:val="24"/>
        </w:rPr>
        <w:t>$44.94</w:t>
      </w:r>
      <w:r>
        <w:rPr>
          <w:iCs/>
          <w:sz w:val="24"/>
          <w:szCs w:val="24"/>
        </w:rPr>
        <w:t>.</w:t>
      </w:r>
    </w:p>
    <w:p w14:paraId="0460AB6F" w14:textId="77777777" w:rsidR="009F584F" w:rsidRDefault="009F584F" w:rsidP="003F50F4">
      <w:pPr>
        <w:rPr>
          <w:iCs/>
          <w:sz w:val="24"/>
          <w:szCs w:val="24"/>
        </w:rPr>
      </w:pPr>
    </w:p>
    <w:p w14:paraId="0B9D8117" w14:textId="204065B5" w:rsidR="009F584F" w:rsidRPr="003F50F4" w:rsidRDefault="009F584F" w:rsidP="003F50F4">
      <w:pPr>
        <w:rPr>
          <w:sz w:val="24"/>
          <w:szCs w:val="24"/>
        </w:rPr>
      </w:pPr>
      <w:r>
        <w:rPr>
          <w:iCs/>
          <w:sz w:val="24"/>
          <w:szCs w:val="24"/>
        </w:rPr>
        <w:t xml:space="preserve">Thus, a response burden of </w:t>
      </w:r>
      <w:r w:rsidR="008854F5" w:rsidRPr="0011090E">
        <w:rPr>
          <w:iCs/>
          <w:sz w:val="24"/>
          <w:szCs w:val="24"/>
        </w:rPr>
        <w:t>1,</w:t>
      </w:r>
      <w:r w:rsidR="0011090E">
        <w:rPr>
          <w:iCs/>
          <w:sz w:val="24"/>
          <w:szCs w:val="24"/>
        </w:rPr>
        <w:t>6</w:t>
      </w:r>
      <w:r w:rsidR="007F5606">
        <w:rPr>
          <w:iCs/>
          <w:sz w:val="24"/>
          <w:szCs w:val="24"/>
        </w:rPr>
        <w:t>1</w:t>
      </w:r>
      <w:r w:rsidR="00CD101A">
        <w:rPr>
          <w:iCs/>
          <w:sz w:val="24"/>
          <w:szCs w:val="24"/>
        </w:rPr>
        <w:t>9</w:t>
      </w:r>
      <w:r w:rsidR="007F5606">
        <w:rPr>
          <w:iCs/>
          <w:sz w:val="24"/>
          <w:szCs w:val="24"/>
        </w:rPr>
        <w:t>.</w:t>
      </w:r>
      <w:r w:rsidR="00C85FB5">
        <w:rPr>
          <w:iCs/>
          <w:sz w:val="24"/>
          <w:szCs w:val="24"/>
        </w:rPr>
        <w:t>2</w:t>
      </w:r>
      <w:r>
        <w:rPr>
          <w:iCs/>
          <w:sz w:val="24"/>
          <w:szCs w:val="24"/>
        </w:rPr>
        <w:t xml:space="preserve"> hours at an hourly cost of $44.</w:t>
      </w:r>
      <w:r w:rsidR="00EF05AF">
        <w:rPr>
          <w:iCs/>
          <w:sz w:val="24"/>
          <w:szCs w:val="24"/>
        </w:rPr>
        <w:t>94</w:t>
      </w:r>
      <w:r>
        <w:rPr>
          <w:iCs/>
          <w:sz w:val="24"/>
          <w:szCs w:val="24"/>
        </w:rPr>
        <w:t xml:space="preserve"> results in a total cost </w:t>
      </w:r>
      <w:r w:rsidRPr="0011090E">
        <w:rPr>
          <w:iCs/>
          <w:sz w:val="24"/>
          <w:szCs w:val="24"/>
        </w:rPr>
        <w:t xml:space="preserve">of </w:t>
      </w:r>
      <w:r w:rsidR="00EF05AF">
        <w:rPr>
          <w:iCs/>
          <w:sz w:val="24"/>
          <w:szCs w:val="24"/>
        </w:rPr>
        <w:t>$7</w:t>
      </w:r>
      <w:r w:rsidR="007F5606">
        <w:rPr>
          <w:iCs/>
          <w:sz w:val="24"/>
          <w:szCs w:val="24"/>
        </w:rPr>
        <w:t>2</w:t>
      </w:r>
      <w:r w:rsidR="00EF05AF">
        <w:rPr>
          <w:iCs/>
          <w:sz w:val="24"/>
          <w:szCs w:val="24"/>
        </w:rPr>
        <w:t>,</w:t>
      </w:r>
      <w:r w:rsidR="00CD101A">
        <w:rPr>
          <w:iCs/>
          <w:sz w:val="24"/>
          <w:szCs w:val="24"/>
        </w:rPr>
        <w:t>76</w:t>
      </w:r>
      <w:r w:rsidR="00B30B80">
        <w:rPr>
          <w:iCs/>
          <w:sz w:val="24"/>
          <w:szCs w:val="24"/>
        </w:rPr>
        <w:t>7</w:t>
      </w:r>
      <w:r w:rsidR="008854F5" w:rsidRPr="0011090E">
        <w:rPr>
          <w:iCs/>
          <w:sz w:val="24"/>
          <w:szCs w:val="24"/>
        </w:rPr>
        <w:t>.</w:t>
      </w:r>
    </w:p>
    <w:p w14:paraId="346E18F0" w14:textId="77777777" w:rsidR="00557741" w:rsidRDefault="00557741" w:rsidP="009A3085">
      <w:pPr>
        <w:ind w:left="720" w:hanging="720"/>
        <w:rPr>
          <w:sz w:val="24"/>
          <w:szCs w:val="24"/>
          <w:highlight w:val="yellow"/>
        </w:rPr>
      </w:pPr>
    </w:p>
    <w:p w14:paraId="7EBF70E5" w14:textId="77777777" w:rsidR="00071F56" w:rsidRPr="00460CA8" w:rsidRDefault="00071F56" w:rsidP="009A3085">
      <w:pPr>
        <w:ind w:left="720" w:hanging="720"/>
        <w:rPr>
          <w:b/>
          <w:sz w:val="24"/>
          <w:szCs w:val="24"/>
        </w:rPr>
      </w:pPr>
      <w:r w:rsidRPr="00460CA8">
        <w:rPr>
          <w:b/>
          <w:sz w:val="24"/>
          <w:szCs w:val="24"/>
        </w:rPr>
        <w:t>13.</w:t>
      </w:r>
      <w:r w:rsidRPr="00460CA8">
        <w:rPr>
          <w:b/>
          <w:sz w:val="24"/>
          <w:szCs w:val="24"/>
        </w:rPr>
        <w:tab/>
        <w:t xml:space="preserve">Provide estimates of the total annual cost burden </w:t>
      </w:r>
      <w:r w:rsidR="00CE07AC" w:rsidRPr="00460CA8">
        <w:rPr>
          <w:b/>
          <w:sz w:val="24"/>
          <w:szCs w:val="24"/>
        </w:rPr>
        <w:t>to respondents</w:t>
      </w:r>
      <w:r w:rsidRPr="00460CA8">
        <w:rPr>
          <w:b/>
          <w:sz w:val="24"/>
          <w:szCs w:val="24"/>
        </w:rPr>
        <w:t xml:space="preserve"> or record keepers resulting from the collection of information, (do not include the cost of any hour burden shown in items 12 and 14).  The cost estimates should be split into two components: (a) a total capital and start-up </w:t>
      </w:r>
      <w:r w:rsidR="00CE07AC" w:rsidRPr="00460CA8">
        <w:rPr>
          <w:b/>
          <w:sz w:val="24"/>
          <w:szCs w:val="24"/>
        </w:rPr>
        <w:t>cost component</w:t>
      </w:r>
      <w:r w:rsidRPr="00460CA8">
        <w:rPr>
          <w:b/>
          <w:sz w:val="24"/>
          <w:szCs w:val="24"/>
        </w:rPr>
        <w:t xml:space="preserve"> annualized over its expected useful life; and (b) a total operation and maintenance and purchase of </w:t>
      </w:r>
      <w:r w:rsidR="00CE07AC" w:rsidRPr="00460CA8">
        <w:rPr>
          <w:b/>
          <w:sz w:val="24"/>
          <w:szCs w:val="24"/>
        </w:rPr>
        <w:t>services component</w:t>
      </w:r>
      <w:r w:rsidRPr="00460CA8">
        <w:rPr>
          <w:b/>
          <w:sz w:val="24"/>
          <w:szCs w:val="24"/>
        </w:rPr>
        <w:t>.</w:t>
      </w:r>
    </w:p>
    <w:p w14:paraId="115B0CDC" w14:textId="77777777" w:rsidR="00CE07AC" w:rsidRPr="00460CA8" w:rsidRDefault="00CE07AC" w:rsidP="009A3085">
      <w:pPr>
        <w:ind w:left="720" w:hanging="720"/>
        <w:rPr>
          <w:b/>
          <w:sz w:val="24"/>
          <w:szCs w:val="24"/>
        </w:rPr>
      </w:pPr>
    </w:p>
    <w:p w14:paraId="6D091D93" w14:textId="77777777" w:rsidR="00CE07AC" w:rsidRPr="00460CA8" w:rsidRDefault="00CE07AC" w:rsidP="003F50F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460CA8">
        <w:rPr>
          <w:color w:val="000000"/>
          <w:sz w:val="24"/>
          <w:szCs w:val="24"/>
        </w:rPr>
        <w:t>The census has no capital or start-up costs to respondents, nor any operation, maintenance, or service purchase costs</w:t>
      </w:r>
      <w:r w:rsidRPr="00460CA8">
        <w:rPr>
          <w:color w:val="000000"/>
        </w:rPr>
        <w:t>.</w:t>
      </w:r>
    </w:p>
    <w:p w14:paraId="11C07F73" w14:textId="77777777" w:rsidR="00CE07AC" w:rsidRPr="00460CA8" w:rsidRDefault="00CE07AC" w:rsidP="009A3085">
      <w:pPr>
        <w:ind w:left="720" w:hanging="720"/>
        <w:rPr>
          <w:sz w:val="24"/>
          <w:szCs w:val="24"/>
        </w:rPr>
      </w:pPr>
    </w:p>
    <w:p w14:paraId="20E619C0" w14:textId="77777777" w:rsidR="00071F56" w:rsidRPr="00460CA8" w:rsidRDefault="00071F56" w:rsidP="009A3085">
      <w:pPr>
        <w:rPr>
          <w:b/>
          <w:sz w:val="24"/>
          <w:szCs w:val="24"/>
        </w:rPr>
      </w:pPr>
    </w:p>
    <w:p w14:paraId="36768C5A" w14:textId="77777777" w:rsidR="00071F56" w:rsidRPr="00322DA7" w:rsidRDefault="00071F56" w:rsidP="009A3085">
      <w:pPr>
        <w:ind w:left="720" w:hanging="720"/>
        <w:rPr>
          <w:b/>
          <w:sz w:val="24"/>
          <w:szCs w:val="24"/>
        </w:rPr>
      </w:pPr>
      <w:r w:rsidRPr="00460CA8">
        <w:rPr>
          <w:b/>
          <w:sz w:val="24"/>
          <w:szCs w:val="24"/>
        </w:rPr>
        <w:t>14.</w:t>
      </w:r>
      <w:r w:rsidRPr="00460CA8">
        <w:rPr>
          <w:b/>
          <w:sz w:val="24"/>
          <w:szCs w:val="24"/>
        </w:rPr>
        <w:tab/>
        <w:t>Provide estimates of annualized cost to the Federal government</w:t>
      </w:r>
      <w:r w:rsidRPr="00460CA8">
        <w:rPr>
          <w:sz w:val="24"/>
          <w:szCs w:val="24"/>
        </w:rPr>
        <w:t xml:space="preserve">.  </w:t>
      </w:r>
      <w:r w:rsidRPr="00460CA8">
        <w:rPr>
          <w:b/>
          <w:sz w:val="24"/>
          <w:szCs w:val="24"/>
        </w:rPr>
        <w:t>Also, provide a description of the method used to estimate cost and any other expense that would not have been incurred without this collection of information.</w:t>
      </w:r>
    </w:p>
    <w:p w14:paraId="7CF33BF9" w14:textId="77777777" w:rsidR="00071F56" w:rsidRDefault="00071F56" w:rsidP="009A3085">
      <w:pPr>
        <w:rPr>
          <w:sz w:val="24"/>
          <w:szCs w:val="24"/>
        </w:rPr>
      </w:pPr>
    </w:p>
    <w:p w14:paraId="1A50B326" w14:textId="324BE25E" w:rsidR="00BE6737" w:rsidRDefault="00E62FD8" w:rsidP="009A3085">
      <w:pPr>
        <w:rPr>
          <w:sz w:val="24"/>
          <w:szCs w:val="24"/>
        </w:rPr>
      </w:pPr>
      <w:r>
        <w:rPr>
          <w:sz w:val="24"/>
          <w:szCs w:val="24"/>
        </w:rPr>
        <w:t>The total cost to the Federal g</w:t>
      </w:r>
      <w:r w:rsidR="00921C8B">
        <w:rPr>
          <w:sz w:val="24"/>
          <w:szCs w:val="24"/>
        </w:rPr>
        <w:t>overnment is estimated to be $</w:t>
      </w:r>
      <w:r w:rsidR="00147ED5">
        <w:rPr>
          <w:sz w:val="24"/>
          <w:szCs w:val="24"/>
        </w:rPr>
        <w:t>326,245</w:t>
      </w:r>
      <w:r w:rsidR="00921C8B">
        <w:rPr>
          <w:sz w:val="24"/>
          <w:szCs w:val="24"/>
        </w:rPr>
        <w:t>.  This assumes ERS staff time at 2.</w:t>
      </w:r>
      <w:r w:rsidR="000E5EF7">
        <w:rPr>
          <w:sz w:val="24"/>
          <w:szCs w:val="24"/>
        </w:rPr>
        <w:t>1</w:t>
      </w:r>
      <w:r w:rsidR="00921C8B">
        <w:rPr>
          <w:sz w:val="24"/>
          <w:szCs w:val="24"/>
        </w:rPr>
        <w:t xml:space="preserve"> F</w:t>
      </w:r>
      <w:r w:rsidR="006416C6">
        <w:rPr>
          <w:sz w:val="24"/>
          <w:szCs w:val="24"/>
        </w:rPr>
        <w:t>ulltime equivalent (FTE)</w:t>
      </w:r>
      <w:r w:rsidR="00921C8B">
        <w:rPr>
          <w:sz w:val="24"/>
          <w:szCs w:val="24"/>
        </w:rPr>
        <w:t xml:space="preserve">, </w:t>
      </w:r>
      <w:r w:rsidR="000B2AD5">
        <w:rPr>
          <w:sz w:val="24"/>
          <w:szCs w:val="24"/>
        </w:rPr>
        <w:t>(Grade GS-14, step 5)</w:t>
      </w:r>
      <w:r w:rsidR="00921C8B">
        <w:rPr>
          <w:sz w:val="24"/>
          <w:szCs w:val="24"/>
        </w:rPr>
        <w:t xml:space="preserve">, with time divided as indicated in the table; ERS overhead, $51,250; National Germplasm Resources Laboratory at 0.1 FTE, </w:t>
      </w:r>
      <w:r w:rsidR="00583FAA">
        <w:rPr>
          <w:sz w:val="24"/>
          <w:szCs w:val="24"/>
        </w:rPr>
        <w:t xml:space="preserve">(Grade GS-14, step 5) </w:t>
      </w:r>
      <w:r w:rsidR="00921C8B">
        <w:rPr>
          <w:sz w:val="24"/>
          <w:szCs w:val="24"/>
        </w:rPr>
        <w:t>$</w:t>
      </w:r>
      <w:r w:rsidR="00583FAA">
        <w:rPr>
          <w:sz w:val="24"/>
          <w:szCs w:val="24"/>
        </w:rPr>
        <w:t>12,34</w:t>
      </w:r>
      <w:r w:rsidR="0051271D">
        <w:rPr>
          <w:sz w:val="24"/>
          <w:szCs w:val="24"/>
        </w:rPr>
        <w:t>1</w:t>
      </w:r>
      <w:r w:rsidR="00921C8B">
        <w:rPr>
          <w:sz w:val="24"/>
          <w:szCs w:val="24"/>
        </w:rPr>
        <w:t>; and NGRL overhead, $3</w:t>
      </w:r>
      <w:r w:rsidR="00B82DB5">
        <w:rPr>
          <w:sz w:val="24"/>
          <w:szCs w:val="24"/>
        </w:rPr>
        <w:t>,</w:t>
      </w:r>
      <w:r w:rsidR="00921C8B">
        <w:rPr>
          <w:sz w:val="24"/>
          <w:szCs w:val="24"/>
        </w:rPr>
        <w:t>500.</w:t>
      </w:r>
    </w:p>
    <w:p w14:paraId="24F57DAA" w14:textId="77777777" w:rsidR="00BE6737" w:rsidRDefault="00BE6737" w:rsidP="009A3085">
      <w:pPr>
        <w:rPr>
          <w:sz w:val="24"/>
          <w:szCs w:val="24"/>
        </w:rPr>
      </w:pPr>
    </w:p>
    <w:p w14:paraId="78E2B9D2" w14:textId="77777777" w:rsidR="00BE6737" w:rsidRDefault="00BE6737" w:rsidP="00460CA8">
      <w:pPr>
        <w:jc w:val="center"/>
        <w:rPr>
          <w:sz w:val="24"/>
          <w:szCs w:val="24"/>
        </w:rPr>
      </w:pPr>
      <w:r>
        <w:rPr>
          <w:b/>
          <w:sz w:val="24"/>
          <w:szCs w:val="24"/>
        </w:rPr>
        <w:lastRenderedPageBreak/>
        <w:t xml:space="preserve">Census of Users of the National Plant Germplasm System:  </w:t>
      </w:r>
      <w:r w:rsidR="001463C9">
        <w:rPr>
          <w:b/>
          <w:sz w:val="24"/>
          <w:szCs w:val="24"/>
        </w:rPr>
        <w:t>FTEs from the</w:t>
      </w:r>
      <w:r>
        <w:rPr>
          <w:b/>
          <w:sz w:val="24"/>
          <w:szCs w:val="24"/>
        </w:rPr>
        <w:t xml:space="preserve"> Federal Government</w:t>
      </w:r>
    </w:p>
    <w:p w14:paraId="2CFFB00A" w14:textId="77777777" w:rsidR="00BE6737" w:rsidRDefault="00BE6737" w:rsidP="00BE673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083"/>
        <w:gridCol w:w="1806"/>
        <w:gridCol w:w="1116"/>
      </w:tblGrid>
      <w:tr w:rsidR="00C040AF" w:rsidRPr="00060EF0" w14:paraId="5754B4B6" w14:textId="77777777" w:rsidTr="00C040AF">
        <w:trPr>
          <w:trHeight w:val="431"/>
        </w:trPr>
        <w:tc>
          <w:tcPr>
            <w:tcW w:w="2705" w:type="dxa"/>
            <w:shd w:val="clear" w:color="auto" w:fill="auto"/>
          </w:tcPr>
          <w:p w14:paraId="6811481F" w14:textId="77777777" w:rsidR="00C040AF" w:rsidRPr="00C470CA" w:rsidRDefault="00C040AF" w:rsidP="00BE6737">
            <w:r>
              <w:t>Activity</w:t>
            </w:r>
          </w:p>
        </w:tc>
        <w:tc>
          <w:tcPr>
            <w:tcW w:w="2083" w:type="dxa"/>
            <w:shd w:val="clear" w:color="auto" w:fill="auto"/>
          </w:tcPr>
          <w:p w14:paraId="7A08BAF4" w14:textId="77777777" w:rsidR="00C040AF" w:rsidRPr="00C470CA" w:rsidRDefault="00C040AF" w:rsidP="00BE6737">
            <w:r>
              <w:t>In-house (ERS) FTEs</w:t>
            </w:r>
          </w:p>
        </w:tc>
        <w:tc>
          <w:tcPr>
            <w:tcW w:w="1806" w:type="dxa"/>
          </w:tcPr>
          <w:p w14:paraId="3BF91FD9" w14:textId="77777777" w:rsidR="00C040AF" w:rsidRDefault="00C040AF" w:rsidP="00BE6737">
            <w:r>
              <w:t>In-house (NGRL) FTEs</w:t>
            </w:r>
          </w:p>
        </w:tc>
        <w:tc>
          <w:tcPr>
            <w:tcW w:w="1080" w:type="dxa"/>
          </w:tcPr>
          <w:p w14:paraId="5F478F63" w14:textId="77777777" w:rsidR="00C040AF" w:rsidRDefault="00D66A40" w:rsidP="00BE6737">
            <w:r>
              <w:t>Estimated cost</w:t>
            </w:r>
          </w:p>
        </w:tc>
      </w:tr>
      <w:tr w:rsidR="00C040AF" w:rsidRPr="00060EF0" w14:paraId="6BC26C5A" w14:textId="77777777" w:rsidTr="00C040AF">
        <w:tc>
          <w:tcPr>
            <w:tcW w:w="2705" w:type="dxa"/>
            <w:shd w:val="clear" w:color="auto" w:fill="auto"/>
          </w:tcPr>
          <w:p w14:paraId="67A58B99" w14:textId="77777777" w:rsidR="00C040AF" w:rsidRPr="00C470CA" w:rsidRDefault="00C040AF" w:rsidP="001463C9">
            <w:r>
              <w:t>Development of questionnaire, materials, and documentation</w:t>
            </w:r>
          </w:p>
        </w:tc>
        <w:tc>
          <w:tcPr>
            <w:tcW w:w="2083" w:type="dxa"/>
            <w:shd w:val="clear" w:color="auto" w:fill="auto"/>
            <w:vAlign w:val="center"/>
          </w:tcPr>
          <w:p w14:paraId="54E9527C" w14:textId="77777777" w:rsidR="00C040AF" w:rsidRPr="00C470CA" w:rsidRDefault="00C040AF" w:rsidP="00460CA8">
            <w:pPr>
              <w:tabs>
                <w:tab w:val="decimal" w:pos="1440"/>
              </w:tabs>
            </w:pPr>
            <w:r>
              <w:t>0.6</w:t>
            </w:r>
          </w:p>
        </w:tc>
        <w:tc>
          <w:tcPr>
            <w:tcW w:w="1806" w:type="dxa"/>
          </w:tcPr>
          <w:p w14:paraId="160E3A16" w14:textId="77777777" w:rsidR="00C040AF" w:rsidRPr="00060EF0" w:rsidRDefault="00C040AF" w:rsidP="00BE6737">
            <w:pPr>
              <w:rPr>
                <w:sz w:val="24"/>
                <w:szCs w:val="24"/>
              </w:rPr>
            </w:pPr>
          </w:p>
        </w:tc>
        <w:tc>
          <w:tcPr>
            <w:tcW w:w="1080" w:type="dxa"/>
          </w:tcPr>
          <w:p w14:paraId="3AD72C11" w14:textId="7E271439" w:rsidR="001C59F0" w:rsidRDefault="00583FAA" w:rsidP="0051271D">
            <w:pPr>
              <w:jc w:val="right"/>
              <w:rPr>
                <w:sz w:val="24"/>
                <w:szCs w:val="24"/>
              </w:rPr>
            </w:pPr>
            <w:r>
              <w:rPr>
                <w:sz w:val="24"/>
                <w:szCs w:val="24"/>
              </w:rPr>
              <w:t>74,04</w:t>
            </w:r>
            <w:r w:rsidR="0051271D">
              <w:rPr>
                <w:sz w:val="24"/>
                <w:szCs w:val="24"/>
              </w:rPr>
              <w:t>4</w:t>
            </w:r>
          </w:p>
        </w:tc>
      </w:tr>
      <w:tr w:rsidR="00C040AF" w:rsidRPr="00060EF0" w14:paraId="0A23B3CD" w14:textId="77777777" w:rsidTr="00C040AF">
        <w:tc>
          <w:tcPr>
            <w:tcW w:w="2705" w:type="dxa"/>
            <w:shd w:val="clear" w:color="auto" w:fill="auto"/>
          </w:tcPr>
          <w:p w14:paraId="1CC3B348" w14:textId="77777777" w:rsidR="00C040AF" w:rsidRPr="00C470CA" w:rsidRDefault="00C040AF" w:rsidP="00BE6737">
            <w:r>
              <w:t>Management of data collection</w:t>
            </w:r>
          </w:p>
        </w:tc>
        <w:tc>
          <w:tcPr>
            <w:tcW w:w="2083" w:type="dxa"/>
            <w:shd w:val="clear" w:color="auto" w:fill="auto"/>
            <w:vAlign w:val="center"/>
          </w:tcPr>
          <w:p w14:paraId="1AC18AEE" w14:textId="77777777" w:rsidR="00C040AF" w:rsidRPr="00C470CA" w:rsidRDefault="00C040AF" w:rsidP="00460CA8">
            <w:pPr>
              <w:tabs>
                <w:tab w:val="decimal" w:pos="1440"/>
              </w:tabs>
            </w:pPr>
            <w:r>
              <w:t>0.1</w:t>
            </w:r>
          </w:p>
        </w:tc>
        <w:tc>
          <w:tcPr>
            <w:tcW w:w="1806" w:type="dxa"/>
            <w:vAlign w:val="center"/>
          </w:tcPr>
          <w:p w14:paraId="0DFB81AA" w14:textId="77777777" w:rsidR="00C040AF" w:rsidRDefault="00C040AF" w:rsidP="00460CA8">
            <w:pPr>
              <w:tabs>
                <w:tab w:val="decimal" w:pos="1440"/>
              </w:tabs>
            </w:pPr>
            <w:r>
              <w:t>0.1</w:t>
            </w:r>
          </w:p>
        </w:tc>
        <w:tc>
          <w:tcPr>
            <w:tcW w:w="1080" w:type="dxa"/>
          </w:tcPr>
          <w:p w14:paraId="04AA08E4" w14:textId="3C3FD282" w:rsidR="001C59F0" w:rsidRDefault="00583FAA" w:rsidP="0051271D">
            <w:pPr>
              <w:jc w:val="right"/>
            </w:pPr>
            <w:r>
              <w:rPr>
                <w:sz w:val="24"/>
                <w:szCs w:val="24"/>
              </w:rPr>
              <w:t>24,68</w:t>
            </w:r>
            <w:r w:rsidR="0051271D">
              <w:rPr>
                <w:sz w:val="24"/>
                <w:szCs w:val="24"/>
              </w:rPr>
              <w:t>1</w:t>
            </w:r>
          </w:p>
        </w:tc>
      </w:tr>
      <w:tr w:rsidR="00C040AF" w:rsidRPr="00060EF0" w14:paraId="42754553" w14:textId="77777777" w:rsidTr="00C040AF">
        <w:tc>
          <w:tcPr>
            <w:tcW w:w="2705" w:type="dxa"/>
            <w:shd w:val="clear" w:color="auto" w:fill="auto"/>
          </w:tcPr>
          <w:p w14:paraId="16B56FF4" w14:textId="77777777" w:rsidR="00C040AF" w:rsidRPr="00C470CA" w:rsidRDefault="00C040AF" w:rsidP="00BE6737">
            <w:r>
              <w:t>Follow-up</w:t>
            </w:r>
          </w:p>
        </w:tc>
        <w:tc>
          <w:tcPr>
            <w:tcW w:w="2083" w:type="dxa"/>
            <w:shd w:val="clear" w:color="auto" w:fill="auto"/>
            <w:vAlign w:val="center"/>
          </w:tcPr>
          <w:p w14:paraId="4994AB1F" w14:textId="04200D42" w:rsidR="00C040AF" w:rsidRPr="00460CA8" w:rsidRDefault="00C040AF" w:rsidP="00460CA8">
            <w:pPr>
              <w:tabs>
                <w:tab w:val="decimal" w:pos="1440"/>
              </w:tabs>
            </w:pPr>
            <w:r>
              <w:t>0.1</w:t>
            </w:r>
            <w:r w:rsidR="007F5606">
              <w:t>5</w:t>
            </w:r>
          </w:p>
        </w:tc>
        <w:tc>
          <w:tcPr>
            <w:tcW w:w="1806" w:type="dxa"/>
          </w:tcPr>
          <w:p w14:paraId="6775A90A" w14:textId="77777777" w:rsidR="00C040AF" w:rsidRPr="00060EF0" w:rsidRDefault="00C040AF" w:rsidP="00BE6737">
            <w:pPr>
              <w:rPr>
                <w:sz w:val="24"/>
                <w:szCs w:val="24"/>
              </w:rPr>
            </w:pPr>
          </w:p>
        </w:tc>
        <w:tc>
          <w:tcPr>
            <w:tcW w:w="1080" w:type="dxa"/>
          </w:tcPr>
          <w:p w14:paraId="27E2CA3D" w14:textId="24380352" w:rsidR="001C59F0" w:rsidRDefault="000E5EF7" w:rsidP="000E5EF7">
            <w:pPr>
              <w:jc w:val="right"/>
              <w:rPr>
                <w:sz w:val="24"/>
                <w:szCs w:val="24"/>
              </w:rPr>
            </w:pPr>
            <w:r>
              <w:rPr>
                <w:sz w:val="24"/>
                <w:szCs w:val="24"/>
              </w:rPr>
              <w:t>18,512</w:t>
            </w:r>
          </w:p>
        </w:tc>
      </w:tr>
      <w:tr w:rsidR="00C040AF" w:rsidRPr="00060EF0" w14:paraId="2850CA50" w14:textId="77777777" w:rsidTr="00C040AF">
        <w:tc>
          <w:tcPr>
            <w:tcW w:w="2705" w:type="dxa"/>
            <w:shd w:val="clear" w:color="auto" w:fill="auto"/>
          </w:tcPr>
          <w:p w14:paraId="27F15FB7" w14:textId="77777777" w:rsidR="00C040AF" w:rsidRPr="00C470CA" w:rsidRDefault="00C040AF" w:rsidP="00BE6737">
            <w:r>
              <w:t>Data editing</w:t>
            </w:r>
          </w:p>
        </w:tc>
        <w:tc>
          <w:tcPr>
            <w:tcW w:w="2083" w:type="dxa"/>
            <w:shd w:val="clear" w:color="auto" w:fill="auto"/>
            <w:vAlign w:val="center"/>
          </w:tcPr>
          <w:p w14:paraId="71F1ABCC" w14:textId="77777777" w:rsidR="00C040AF" w:rsidRPr="00460CA8" w:rsidRDefault="00C040AF" w:rsidP="00460CA8">
            <w:pPr>
              <w:tabs>
                <w:tab w:val="decimal" w:pos="1440"/>
              </w:tabs>
            </w:pPr>
            <w:r>
              <w:t>0.1</w:t>
            </w:r>
          </w:p>
        </w:tc>
        <w:tc>
          <w:tcPr>
            <w:tcW w:w="1806" w:type="dxa"/>
          </w:tcPr>
          <w:p w14:paraId="5F58936A" w14:textId="77777777" w:rsidR="00C040AF" w:rsidRPr="00060EF0" w:rsidRDefault="00C040AF" w:rsidP="00BE6737">
            <w:pPr>
              <w:rPr>
                <w:sz w:val="24"/>
                <w:szCs w:val="24"/>
              </w:rPr>
            </w:pPr>
          </w:p>
        </w:tc>
        <w:tc>
          <w:tcPr>
            <w:tcW w:w="1080" w:type="dxa"/>
          </w:tcPr>
          <w:p w14:paraId="641C2F55" w14:textId="59BDC170" w:rsidR="001C59F0" w:rsidRDefault="0051271D" w:rsidP="00583FAA">
            <w:pPr>
              <w:jc w:val="right"/>
              <w:rPr>
                <w:sz w:val="24"/>
                <w:szCs w:val="24"/>
              </w:rPr>
            </w:pPr>
            <w:r>
              <w:rPr>
                <w:sz w:val="24"/>
                <w:szCs w:val="24"/>
              </w:rPr>
              <w:t>12,341</w:t>
            </w:r>
          </w:p>
        </w:tc>
      </w:tr>
      <w:tr w:rsidR="00C040AF" w:rsidRPr="00060EF0" w14:paraId="057FE4A7" w14:textId="77777777" w:rsidTr="00C040AF">
        <w:tc>
          <w:tcPr>
            <w:tcW w:w="2705" w:type="dxa"/>
            <w:shd w:val="clear" w:color="auto" w:fill="auto"/>
          </w:tcPr>
          <w:p w14:paraId="3E6E3142" w14:textId="77777777" w:rsidR="00C040AF" w:rsidRPr="00C470CA" w:rsidRDefault="00C040AF" w:rsidP="00BE6737">
            <w:r>
              <w:t>Analysis</w:t>
            </w:r>
          </w:p>
        </w:tc>
        <w:tc>
          <w:tcPr>
            <w:tcW w:w="2083" w:type="dxa"/>
            <w:shd w:val="clear" w:color="auto" w:fill="auto"/>
            <w:vAlign w:val="center"/>
          </w:tcPr>
          <w:p w14:paraId="246494C8" w14:textId="77777777" w:rsidR="00C040AF" w:rsidRPr="00460CA8" w:rsidRDefault="00C040AF" w:rsidP="00460CA8">
            <w:pPr>
              <w:tabs>
                <w:tab w:val="decimal" w:pos="1440"/>
              </w:tabs>
            </w:pPr>
            <w:r>
              <w:t>0.4</w:t>
            </w:r>
          </w:p>
        </w:tc>
        <w:tc>
          <w:tcPr>
            <w:tcW w:w="1806" w:type="dxa"/>
          </w:tcPr>
          <w:p w14:paraId="41AC9466" w14:textId="77777777" w:rsidR="00C040AF" w:rsidRPr="00060EF0" w:rsidRDefault="00C040AF" w:rsidP="00BE6737">
            <w:pPr>
              <w:rPr>
                <w:sz w:val="24"/>
                <w:szCs w:val="24"/>
              </w:rPr>
            </w:pPr>
          </w:p>
        </w:tc>
        <w:tc>
          <w:tcPr>
            <w:tcW w:w="1080" w:type="dxa"/>
          </w:tcPr>
          <w:p w14:paraId="14C5DB6F" w14:textId="5FB2C1EC" w:rsidR="001C59F0" w:rsidRDefault="0051271D" w:rsidP="003B7144">
            <w:pPr>
              <w:jc w:val="right"/>
              <w:rPr>
                <w:sz w:val="24"/>
                <w:szCs w:val="24"/>
              </w:rPr>
            </w:pPr>
            <w:r>
              <w:rPr>
                <w:sz w:val="24"/>
                <w:szCs w:val="24"/>
              </w:rPr>
              <w:t>49,362</w:t>
            </w:r>
          </w:p>
        </w:tc>
      </w:tr>
      <w:tr w:rsidR="00C040AF" w:rsidRPr="00060EF0" w14:paraId="60588CB7" w14:textId="77777777" w:rsidTr="00C040AF">
        <w:tc>
          <w:tcPr>
            <w:tcW w:w="2705" w:type="dxa"/>
            <w:shd w:val="clear" w:color="auto" w:fill="auto"/>
          </w:tcPr>
          <w:p w14:paraId="16739E68" w14:textId="77777777" w:rsidR="00C040AF" w:rsidRPr="00C470CA" w:rsidRDefault="00C040AF" w:rsidP="00BE6737">
            <w:r>
              <w:t>Publication</w:t>
            </w:r>
          </w:p>
        </w:tc>
        <w:tc>
          <w:tcPr>
            <w:tcW w:w="2083" w:type="dxa"/>
            <w:shd w:val="clear" w:color="auto" w:fill="auto"/>
            <w:vAlign w:val="center"/>
          </w:tcPr>
          <w:p w14:paraId="6C90B70C" w14:textId="77777777" w:rsidR="00C040AF" w:rsidRPr="00460CA8" w:rsidRDefault="00C040AF" w:rsidP="00460CA8">
            <w:pPr>
              <w:tabs>
                <w:tab w:val="decimal" w:pos="1440"/>
              </w:tabs>
            </w:pPr>
            <w:r>
              <w:t>0.75</w:t>
            </w:r>
          </w:p>
        </w:tc>
        <w:tc>
          <w:tcPr>
            <w:tcW w:w="1806" w:type="dxa"/>
          </w:tcPr>
          <w:p w14:paraId="06CB3B34" w14:textId="77777777" w:rsidR="00C040AF" w:rsidRPr="00060EF0" w:rsidRDefault="00C040AF" w:rsidP="00BE6737">
            <w:pPr>
              <w:rPr>
                <w:sz w:val="24"/>
                <w:szCs w:val="24"/>
              </w:rPr>
            </w:pPr>
          </w:p>
        </w:tc>
        <w:tc>
          <w:tcPr>
            <w:tcW w:w="1080" w:type="dxa"/>
          </w:tcPr>
          <w:p w14:paraId="3DAAE679" w14:textId="67C66B93" w:rsidR="001C59F0" w:rsidRDefault="0051271D" w:rsidP="003B7144">
            <w:pPr>
              <w:jc w:val="right"/>
              <w:rPr>
                <w:sz w:val="24"/>
                <w:szCs w:val="24"/>
              </w:rPr>
            </w:pPr>
            <w:r>
              <w:rPr>
                <w:sz w:val="24"/>
                <w:szCs w:val="24"/>
              </w:rPr>
              <w:t>92,555</w:t>
            </w:r>
          </w:p>
        </w:tc>
      </w:tr>
      <w:tr w:rsidR="00C040AF" w:rsidRPr="00060EF0" w14:paraId="10C46817" w14:textId="77777777" w:rsidTr="00C040AF">
        <w:tc>
          <w:tcPr>
            <w:tcW w:w="2705" w:type="dxa"/>
            <w:shd w:val="clear" w:color="auto" w:fill="auto"/>
          </w:tcPr>
          <w:p w14:paraId="401B43BD" w14:textId="77777777" w:rsidR="00C040AF" w:rsidRDefault="00C040AF" w:rsidP="00BE6737">
            <w:r>
              <w:t>Overhead ERS</w:t>
            </w:r>
          </w:p>
        </w:tc>
        <w:tc>
          <w:tcPr>
            <w:tcW w:w="2083" w:type="dxa"/>
            <w:shd w:val="clear" w:color="auto" w:fill="auto"/>
            <w:vAlign w:val="center"/>
          </w:tcPr>
          <w:p w14:paraId="71027BC7" w14:textId="77777777" w:rsidR="00C040AF" w:rsidRDefault="00C040AF" w:rsidP="00460CA8">
            <w:pPr>
              <w:tabs>
                <w:tab w:val="decimal" w:pos="1440"/>
              </w:tabs>
            </w:pPr>
          </w:p>
        </w:tc>
        <w:tc>
          <w:tcPr>
            <w:tcW w:w="1806" w:type="dxa"/>
            <w:vAlign w:val="center"/>
          </w:tcPr>
          <w:p w14:paraId="0753847F" w14:textId="77777777" w:rsidR="00C040AF" w:rsidRDefault="00C040AF" w:rsidP="00460CA8">
            <w:pPr>
              <w:tabs>
                <w:tab w:val="decimal" w:pos="1440"/>
              </w:tabs>
            </w:pPr>
          </w:p>
        </w:tc>
        <w:tc>
          <w:tcPr>
            <w:tcW w:w="1080" w:type="dxa"/>
          </w:tcPr>
          <w:p w14:paraId="2A0EB1B6" w14:textId="77777777" w:rsidR="00C040AF" w:rsidRPr="003B7144" w:rsidRDefault="00C040AF" w:rsidP="003B7144">
            <w:pPr>
              <w:jc w:val="right"/>
              <w:rPr>
                <w:sz w:val="24"/>
                <w:szCs w:val="24"/>
              </w:rPr>
            </w:pPr>
            <w:r w:rsidRPr="003B7144">
              <w:rPr>
                <w:sz w:val="24"/>
                <w:szCs w:val="24"/>
              </w:rPr>
              <w:t>51,250</w:t>
            </w:r>
          </w:p>
        </w:tc>
      </w:tr>
      <w:tr w:rsidR="00C040AF" w:rsidRPr="00060EF0" w14:paraId="04C7C2E8" w14:textId="77777777" w:rsidTr="003B7144">
        <w:tc>
          <w:tcPr>
            <w:tcW w:w="2705" w:type="dxa"/>
            <w:shd w:val="clear" w:color="auto" w:fill="auto"/>
          </w:tcPr>
          <w:p w14:paraId="59D9ED15" w14:textId="77777777" w:rsidR="00C040AF" w:rsidRDefault="00C040AF" w:rsidP="00BE6737">
            <w:r>
              <w:t>Overhead NPGS</w:t>
            </w:r>
          </w:p>
        </w:tc>
        <w:tc>
          <w:tcPr>
            <w:tcW w:w="2083" w:type="dxa"/>
            <w:shd w:val="clear" w:color="auto" w:fill="auto"/>
            <w:vAlign w:val="center"/>
          </w:tcPr>
          <w:p w14:paraId="18691759" w14:textId="77777777" w:rsidR="00C040AF" w:rsidRDefault="00C040AF" w:rsidP="00460CA8">
            <w:pPr>
              <w:tabs>
                <w:tab w:val="decimal" w:pos="1440"/>
              </w:tabs>
            </w:pPr>
          </w:p>
        </w:tc>
        <w:tc>
          <w:tcPr>
            <w:tcW w:w="1806" w:type="dxa"/>
            <w:vAlign w:val="center"/>
          </w:tcPr>
          <w:p w14:paraId="12B16735" w14:textId="77777777" w:rsidR="00C040AF" w:rsidRDefault="00C040AF" w:rsidP="00460CA8">
            <w:pPr>
              <w:tabs>
                <w:tab w:val="decimal" w:pos="1440"/>
              </w:tabs>
            </w:pPr>
          </w:p>
        </w:tc>
        <w:tc>
          <w:tcPr>
            <w:tcW w:w="1080" w:type="dxa"/>
            <w:vAlign w:val="center"/>
          </w:tcPr>
          <w:p w14:paraId="3AD126BC" w14:textId="77777777" w:rsidR="00C040AF" w:rsidRPr="003B7144" w:rsidRDefault="00C040AF" w:rsidP="003B7144">
            <w:pPr>
              <w:jc w:val="right"/>
              <w:rPr>
                <w:sz w:val="24"/>
                <w:szCs w:val="24"/>
              </w:rPr>
            </w:pPr>
            <w:r w:rsidRPr="003B7144">
              <w:rPr>
                <w:sz w:val="24"/>
                <w:szCs w:val="24"/>
              </w:rPr>
              <w:t>3,500</w:t>
            </w:r>
          </w:p>
        </w:tc>
      </w:tr>
      <w:tr w:rsidR="00C040AF" w:rsidRPr="00060EF0" w14:paraId="7F55692E" w14:textId="77777777" w:rsidTr="00C040AF">
        <w:tc>
          <w:tcPr>
            <w:tcW w:w="2705" w:type="dxa"/>
            <w:shd w:val="clear" w:color="auto" w:fill="auto"/>
          </w:tcPr>
          <w:p w14:paraId="7E8CF221" w14:textId="77777777" w:rsidR="00C040AF" w:rsidRPr="00C470CA" w:rsidRDefault="00C040AF" w:rsidP="00BE6737">
            <w:r>
              <w:t>TOTAL</w:t>
            </w:r>
          </w:p>
        </w:tc>
        <w:tc>
          <w:tcPr>
            <w:tcW w:w="2083" w:type="dxa"/>
            <w:shd w:val="clear" w:color="auto" w:fill="auto"/>
            <w:vAlign w:val="center"/>
          </w:tcPr>
          <w:p w14:paraId="0031D082" w14:textId="13E42C18" w:rsidR="00C040AF" w:rsidRPr="00460CA8" w:rsidRDefault="00C040AF" w:rsidP="000E5EF7">
            <w:pPr>
              <w:tabs>
                <w:tab w:val="decimal" w:pos="1440"/>
              </w:tabs>
            </w:pPr>
            <w:r>
              <w:t>2.</w:t>
            </w:r>
            <w:r w:rsidR="000E5EF7">
              <w:t>1</w:t>
            </w:r>
          </w:p>
        </w:tc>
        <w:tc>
          <w:tcPr>
            <w:tcW w:w="1806" w:type="dxa"/>
            <w:vAlign w:val="center"/>
          </w:tcPr>
          <w:p w14:paraId="1218A9BA" w14:textId="77777777" w:rsidR="00C040AF" w:rsidRDefault="00C040AF" w:rsidP="00460CA8">
            <w:pPr>
              <w:tabs>
                <w:tab w:val="decimal" w:pos="1440"/>
              </w:tabs>
            </w:pPr>
            <w:r>
              <w:t>0.1</w:t>
            </w:r>
          </w:p>
        </w:tc>
        <w:tc>
          <w:tcPr>
            <w:tcW w:w="1080" w:type="dxa"/>
          </w:tcPr>
          <w:p w14:paraId="5733F546" w14:textId="4512337F" w:rsidR="00C040AF" w:rsidRPr="003B7144" w:rsidRDefault="00D66A40" w:rsidP="00147ED5">
            <w:pPr>
              <w:jc w:val="right"/>
              <w:rPr>
                <w:sz w:val="24"/>
                <w:szCs w:val="24"/>
              </w:rPr>
            </w:pPr>
            <w:r w:rsidRPr="003B7144">
              <w:rPr>
                <w:sz w:val="24"/>
                <w:szCs w:val="24"/>
              </w:rPr>
              <w:t>$</w:t>
            </w:r>
            <w:r w:rsidR="00147ED5">
              <w:rPr>
                <w:sz w:val="24"/>
                <w:szCs w:val="24"/>
              </w:rPr>
              <w:t>326,245</w:t>
            </w:r>
          </w:p>
        </w:tc>
      </w:tr>
    </w:tbl>
    <w:p w14:paraId="0AB10B91" w14:textId="77777777" w:rsidR="00BE6737" w:rsidRPr="00BE6737" w:rsidRDefault="00BE6737" w:rsidP="00BE6737">
      <w:pPr>
        <w:rPr>
          <w:sz w:val="24"/>
          <w:szCs w:val="24"/>
        </w:rPr>
      </w:pPr>
    </w:p>
    <w:p w14:paraId="451564E9" w14:textId="77777777" w:rsidR="00BE6737" w:rsidRDefault="00BE6737" w:rsidP="009A3085">
      <w:pPr>
        <w:rPr>
          <w:sz w:val="24"/>
          <w:szCs w:val="24"/>
        </w:rPr>
      </w:pPr>
    </w:p>
    <w:p w14:paraId="60CD1110" w14:textId="77777777" w:rsidR="00BE6737" w:rsidRPr="00322DA7" w:rsidRDefault="00BE6737" w:rsidP="009A3085">
      <w:pPr>
        <w:rPr>
          <w:sz w:val="24"/>
          <w:szCs w:val="24"/>
        </w:rPr>
      </w:pPr>
    </w:p>
    <w:p w14:paraId="36148B86" w14:textId="77777777" w:rsidR="00071F56" w:rsidRDefault="00071F56" w:rsidP="009A3085">
      <w:pPr>
        <w:ind w:left="720" w:hanging="720"/>
        <w:rPr>
          <w:b/>
          <w:sz w:val="24"/>
          <w:szCs w:val="24"/>
        </w:rPr>
      </w:pPr>
      <w:r w:rsidRPr="00322DA7">
        <w:rPr>
          <w:b/>
          <w:sz w:val="24"/>
          <w:szCs w:val="24"/>
        </w:rPr>
        <w:t>15.</w:t>
      </w:r>
      <w:r w:rsidRPr="00322DA7">
        <w:rPr>
          <w:b/>
          <w:sz w:val="24"/>
          <w:szCs w:val="24"/>
        </w:rPr>
        <w:tab/>
        <w:t>Explain the reasons for any program changes or adjustments reported in Items 13 or 14 of the OMB Form 83-1.</w:t>
      </w:r>
    </w:p>
    <w:p w14:paraId="4D395F0F" w14:textId="77777777" w:rsidR="00BD0B1B" w:rsidRDefault="00BD0B1B" w:rsidP="009A3085">
      <w:pPr>
        <w:ind w:left="720" w:hanging="720"/>
        <w:rPr>
          <w:b/>
          <w:sz w:val="24"/>
          <w:szCs w:val="24"/>
        </w:rPr>
      </w:pPr>
    </w:p>
    <w:p w14:paraId="2D0091F3" w14:textId="77777777" w:rsidR="00BD0B1B" w:rsidRPr="00BD0B1B" w:rsidRDefault="00BD0B1B" w:rsidP="009A3085">
      <w:pPr>
        <w:ind w:left="720" w:hanging="720"/>
        <w:rPr>
          <w:sz w:val="24"/>
          <w:szCs w:val="24"/>
        </w:rPr>
      </w:pPr>
      <w:r w:rsidRPr="00BD0B1B">
        <w:rPr>
          <w:sz w:val="24"/>
          <w:szCs w:val="24"/>
        </w:rPr>
        <w:t>This is a new collection of information.</w:t>
      </w:r>
    </w:p>
    <w:p w14:paraId="09EBE668" w14:textId="77777777" w:rsidR="00071F56" w:rsidRPr="00322DA7" w:rsidRDefault="00071F56" w:rsidP="009A3085">
      <w:pPr>
        <w:rPr>
          <w:sz w:val="24"/>
          <w:szCs w:val="24"/>
        </w:rPr>
      </w:pPr>
    </w:p>
    <w:p w14:paraId="39F2D011" w14:textId="77777777" w:rsidR="00071F56" w:rsidRDefault="00071F56" w:rsidP="009A3085">
      <w:pPr>
        <w:ind w:left="720" w:hanging="720"/>
        <w:rPr>
          <w:b/>
          <w:sz w:val="24"/>
          <w:szCs w:val="24"/>
        </w:rPr>
      </w:pPr>
      <w:r w:rsidRPr="00322DA7">
        <w:rPr>
          <w:b/>
          <w:sz w:val="24"/>
          <w:szCs w:val="24"/>
        </w:rPr>
        <w:t>16.</w:t>
      </w:r>
      <w:r w:rsidRPr="00322DA7">
        <w:rPr>
          <w:b/>
          <w:sz w:val="24"/>
          <w:szCs w:val="24"/>
        </w:rPr>
        <w:tab/>
        <w:t>For collections of information whose results are planned to be published, outline plans for tabulation and publication.</w:t>
      </w:r>
    </w:p>
    <w:p w14:paraId="3324DD11" w14:textId="77777777" w:rsidR="00B6000E" w:rsidRDefault="00B6000E" w:rsidP="009A3085">
      <w:pPr>
        <w:ind w:left="720" w:hanging="720"/>
        <w:rPr>
          <w:b/>
          <w:sz w:val="24"/>
          <w:szCs w:val="24"/>
        </w:rPr>
      </w:pPr>
    </w:p>
    <w:p w14:paraId="28419431" w14:textId="664E6168" w:rsidR="00B6000E" w:rsidRDefault="006416C6" w:rsidP="00B6000E">
      <w:pPr>
        <w:pStyle w:val="ListParagraph"/>
        <w:numPr>
          <w:ilvl w:val="0"/>
          <w:numId w:val="28"/>
        </w:numPr>
        <w:tabs>
          <w:tab w:val="left" w:pos="0"/>
          <w:tab w:val="left" w:pos="288"/>
          <w:tab w:val="left" w:pos="662"/>
        </w:tabs>
        <w:spacing w:after="80" w:line="276" w:lineRule="auto"/>
        <w:contextualSpacing/>
        <w:rPr>
          <w:sz w:val="24"/>
        </w:rPr>
      </w:pPr>
      <w:r>
        <w:rPr>
          <w:sz w:val="24"/>
        </w:rPr>
        <w:t>Aggregated e</w:t>
      </w:r>
      <w:r w:rsidR="00B6000E">
        <w:rPr>
          <w:sz w:val="24"/>
        </w:rPr>
        <w:t>stimates of NPGS users’ evaluation of their experience with NPGS germplasm distributions, including:</w:t>
      </w:r>
    </w:p>
    <w:p w14:paraId="76DEEC6C" w14:textId="77777777" w:rsidR="00B6000E" w:rsidRDefault="00B6000E" w:rsidP="00B6000E">
      <w:pPr>
        <w:pStyle w:val="ListParagraph"/>
        <w:numPr>
          <w:ilvl w:val="1"/>
          <w:numId w:val="28"/>
        </w:numPr>
        <w:tabs>
          <w:tab w:val="left" w:pos="0"/>
          <w:tab w:val="left" w:pos="288"/>
          <w:tab w:val="left" w:pos="662"/>
        </w:tabs>
        <w:spacing w:after="80" w:line="276" w:lineRule="auto"/>
        <w:contextualSpacing/>
        <w:rPr>
          <w:sz w:val="24"/>
        </w:rPr>
      </w:pPr>
      <w:r>
        <w:rPr>
          <w:sz w:val="24"/>
        </w:rPr>
        <w:t>Usefulness of the germplasm received</w:t>
      </w:r>
    </w:p>
    <w:p w14:paraId="6120D628" w14:textId="77777777" w:rsidR="00B6000E" w:rsidRDefault="00B6000E" w:rsidP="00B6000E">
      <w:pPr>
        <w:pStyle w:val="ListParagraph"/>
        <w:numPr>
          <w:ilvl w:val="1"/>
          <w:numId w:val="28"/>
        </w:numPr>
        <w:tabs>
          <w:tab w:val="left" w:pos="0"/>
          <w:tab w:val="left" w:pos="288"/>
          <w:tab w:val="left" w:pos="662"/>
        </w:tabs>
        <w:spacing w:after="80" w:line="276" w:lineRule="auto"/>
        <w:contextualSpacing/>
        <w:rPr>
          <w:sz w:val="24"/>
        </w:rPr>
      </w:pPr>
      <w:r>
        <w:rPr>
          <w:sz w:val="24"/>
        </w:rPr>
        <w:t>Expected future use of germplasm</w:t>
      </w:r>
    </w:p>
    <w:p w14:paraId="43C49E2A" w14:textId="72B19DC1" w:rsidR="00B6000E" w:rsidRDefault="00B6000E" w:rsidP="00B6000E">
      <w:pPr>
        <w:pStyle w:val="ListParagraph"/>
        <w:numPr>
          <w:ilvl w:val="1"/>
          <w:numId w:val="28"/>
        </w:numPr>
        <w:tabs>
          <w:tab w:val="left" w:pos="0"/>
          <w:tab w:val="left" w:pos="288"/>
          <w:tab w:val="left" w:pos="662"/>
        </w:tabs>
        <w:spacing w:after="80" w:line="276" w:lineRule="auto"/>
        <w:contextualSpacing/>
        <w:rPr>
          <w:sz w:val="24"/>
        </w:rPr>
      </w:pPr>
      <w:r>
        <w:rPr>
          <w:sz w:val="24"/>
        </w:rPr>
        <w:t xml:space="preserve">Most important traits sought in the germplasm received from </w:t>
      </w:r>
      <w:r w:rsidR="00554D0D">
        <w:rPr>
          <w:sz w:val="24"/>
        </w:rPr>
        <w:t xml:space="preserve">the </w:t>
      </w:r>
      <w:r>
        <w:rPr>
          <w:sz w:val="24"/>
        </w:rPr>
        <w:t>NPGS</w:t>
      </w:r>
    </w:p>
    <w:p w14:paraId="68F47EBB" w14:textId="77777777" w:rsidR="00B6000E" w:rsidRDefault="00B6000E" w:rsidP="00B6000E">
      <w:pPr>
        <w:pStyle w:val="ListParagraph"/>
        <w:numPr>
          <w:ilvl w:val="0"/>
          <w:numId w:val="28"/>
        </w:numPr>
        <w:tabs>
          <w:tab w:val="left" w:pos="0"/>
          <w:tab w:val="left" w:pos="288"/>
          <w:tab w:val="left" w:pos="662"/>
        </w:tabs>
        <w:spacing w:after="80" w:line="276" w:lineRule="auto"/>
        <w:contextualSpacing/>
        <w:rPr>
          <w:sz w:val="24"/>
        </w:rPr>
      </w:pPr>
      <w:r>
        <w:rPr>
          <w:sz w:val="24"/>
        </w:rPr>
        <w:t>U.S. maps indicating:</w:t>
      </w:r>
    </w:p>
    <w:p w14:paraId="06AEC519" w14:textId="51CAC55F" w:rsidR="00B6000E" w:rsidRDefault="00B6000E" w:rsidP="00B6000E">
      <w:pPr>
        <w:pStyle w:val="ListParagraph"/>
        <w:numPr>
          <w:ilvl w:val="1"/>
          <w:numId w:val="28"/>
        </w:numPr>
        <w:tabs>
          <w:tab w:val="left" w:pos="0"/>
          <w:tab w:val="left" w:pos="288"/>
          <w:tab w:val="left" w:pos="662"/>
        </w:tabs>
        <w:spacing w:after="80" w:line="276" w:lineRule="auto"/>
        <w:contextualSpacing/>
        <w:rPr>
          <w:sz w:val="24"/>
        </w:rPr>
      </w:pPr>
      <w:r>
        <w:rPr>
          <w:sz w:val="24"/>
        </w:rPr>
        <w:t xml:space="preserve">Geographic distribution of </w:t>
      </w:r>
      <w:r w:rsidR="00E62FD8">
        <w:rPr>
          <w:sz w:val="24"/>
        </w:rPr>
        <w:t xml:space="preserve">the </w:t>
      </w:r>
      <w:r>
        <w:rPr>
          <w:sz w:val="24"/>
        </w:rPr>
        <w:t>relative importance of traits sought in NPGS germplasm, in particular traits that respond to abiotic stress (that is, stresses, such as temperature or rainfall extremes from the environment) and traits that respond to biotic stresses (that is, stresses due to the deleterious effects of pests or pathogens)</w:t>
      </w:r>
    </w:p>
    <w:p w14:paraId="79CBF88A" w14:textId="77777777" w:rsidR="00D806B4" w:rsidRDefault="00D806B4" w:rsidP="009A3085">
      <w:pPr>
        <w:ind w:left="720" w:hanging="720"/>
        <w:rPr>
          <w:b/>
          <w:sz w:val="24"/>
          <w:szCs w:val="24"/>
        </w:rPr>
      </w:pPr>
    </w:p>
    <w:p w14:paraId="210AC9A2" w14:textId="77777777" w:rsidR="00D806B4" w:rsidRDefault="00D806B4" w:rsidP="00D80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rPr>
      </w:pPr>
      <w:r w:rsidRPr="00D806B4">
        <w:rPr>
          <w:color w:val="000000"/>
          <w:sz w:val="24"/>
        </w:rPr>
        <w:t xml:space="preserve">Two ERS products will be </w:t>
      </w:r>
      <w:r w:rsidR="000E450C">
        <w:rPr>
          <w:color w:val="000000"/>
          <w:sz w:val="24"/>
        </w:rPr>
        <w:t xml:space="preserve">publically </w:t>
      </w:r>
      <w:r w:rsidRPr="00D806B4">
        <w:rPr>
          <w:color w:val="000000"/>
          <w:sz w:val="24"/>
        </w:rPr>
        <w:t>available</w:t>
      </w:r>
      <w:r w:rsidR="000E450C">
        <w:rPr>
          <w:color w:val="000000"/>
          <w:sz w:val="24"/>
        </w:rPr>
        <w:t>:</w:t>
      </w:r>
    </w:p>
    <w:p w14:paraId="35E61D4D" w14:textId="77777777" w:rsidR="00D806B4" w:rsidRPr="00D806B4" w:rsidRDefault="00D806B4" w:rsidP="00D80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rPr>
      </w:pPr>
    </w:p>
    <w:p w14:paraId="57FED775" w14:textId="513BF761" w:rsidR="00D806B4" w:rsidRPr="00D806B4" w:rsidRDefault="00D806B4" w:rsidP="00D806B4">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contextualSpacing/>
        <w:rPr>
          <w:rFonts w:eastAsia="Calibri"/>
          <w:color w:val="000000"/>
          <w:sz w:val="24"/>
          <w:szCs w:val="24"/>
        </w:rPr>
      </w:pPr>
      <w:r w:rsidRPr="00D806B4">
        <w:rPr>
          <w:rFonts w:eastAsia="Calibri"/>
          <w:sz w:val="24"/>
          <w:szCs w:val="24"/>
        </w:rPr>
        <w:t>A comprehensive report reviewing demand of genetic resources available from the NPGS, a comparison of results with ERS’ 200</w:t>
      </w:r>
      <w:r>
        <w:rPr>
          <w:rFonts w:eastAsia="Calibri"/>
          <w:sz w:val="24"/>
          <w:szCs w:val="24"/>
        </w:rPr>
        <w:t>0</w:t>
      </w:r>
      <w:r w:rsidRPr="00D806B4">
        <w:rPr>
          <w:rFonts w:eastAsia="Calibri"/>
          <w:sz w:val="24"/>
          <w:szCs w:val="24"/>
        </w:rPr>
        <w:t xml:space="preserve"> study</w:t>
      </w:r>
      <w:r w:rsidR="00CD101A">
        <w:rPr>
          <w:rFonts w:eastAsia="Calibri"/>
          <w:sz w:val="24"/>
          <w:szCs w:val="24"/>
        </w:rPr>
        <w:t xml:space="preserve"> for all users, an estimation of future needs for U.S. users</w:t>
      </w:r>
      <w:r w:rsidRPr="00D806B4">
        <w:rPr>
          <w:rFonts w:eastAsia="Calibri"/>
          <w:sz w:val="24"/>
          <w:szCs w:val="24"/>
        </w:rPr>
        <w:t xml:space="preserve">, and </w:t>
      </w:r>
      <w:r w:rsidR="00CD101A">
        <w:rPr>
          <w:rFonts w:eastAsia="Calibri"/>
          <w:sz w:val="24"/>
          <w:szCs w:val="24"/>
        </w:rPr>
        <w:t xml:space="preserve">the </w:t>
      </w:r>
      <w:r w:rsidRPr="00D806B4">
        <w:rPr>
          <w:rFonts w:eastAsia="Calibri"/>
          <w:sz w:val="24"/>
          <w:szCs w:val="24"/>
        </w:rPr>
        <w:t>expected impacts for research and, in t</w:t>
      </w:r>
      <w:r w:rsidR="000E450C">
        <w:rPr>
          <w:rFonts w:eastAsia="Calibri"/>
          <w:sz w:val="24"/>
          <w:szCs w:val="24"/>
        </w:rPr>
        <w:t>urn</w:t>
      </w:r>
      <w:r w:rsidRPr="00D806B4">
        <w:rPr>
          <w:rFonts w:eastAsia="Calibri"/>
          <w:sz w:val="24"/>
          <w:szCs w:val="24"/>
        </w:rPr>
        <w:t>, agricultural production.  Aggregated data from the study will be given in an appendix.</w:t>
      </w:r>
    </w:p>
    <w:p w14:paraId="669C7E17" w14:textId="77777777" w:rsidR="00D806B4" w:rsidRPr="00D806B4" w:rsidRDefault="00D806B4" w:rsidP="00D806B4">
      <w:pPr>
        <w:numPr>
          <w:ilvl w:val="0"/>
          <w:numId w:val="27"/>
        </w:numPr>
        <w:spacing w:after="200"/>
        <w:contextualSpacing/>
        <w:rPr>
          <w:rFonts w:eastAsia="Calibri"/>
          <w:b/>
          <w:sz w:val="24"/>
          <w:szCs w:val="24"/>
        </w:rPr>
      </w:pPr>
      <w:r w:rsidRPr="00D806B4">
        <w:rPr>
          <w:rFonts w:eastAsia="Calibri"/>
          <w:sz w:val="24"/>
          <w:szCs w:val="24"/>
        </w:rPr>
        <w:lastRenderedPageBreak/>
        <w:t xml:space="preserve">A general interest article published in ERS’ quarterly journal </w:t>
      </w:r>
      <w:r w:rsidRPr="00D806B4">
        <w:rPr>
          <w:rFonts w:eastAsia="Calibri"/>
          <w:i/>
          <w:sz w:val="24"/>
          <w:szCs w:val="24"/>
        </w:rPr>
        <w:t>Amber Waves</w:t>
      </w:r>
      <w:r w:rsidRPr="00D806B4">
        <w:rPr>
          <w:rFonts w:eastAsia="Calibri"/>
          <w:sz w:val="24"/>
          <w:szCs w:val="24"/>
        </w:rPr>
        <w:t>.</w:t>
      </w:r>
    </w:p>
    <w:p w14:paraId="1C9E295A" w14:textId="77777777" w:rsidR="00D806B4" w:rsidRPr="00D806B4" w:rsidRDefault="00D806B4" w:rsidP="00D806B4">
      <w:pPr>
        <w:spacing w:after="200"/>
        <w:ind w:left="2160"/>
        <w:contextualSpacing/>
        <w:rPr>
          <w:rFonts w:eastAsia="Calibri"/>
          <w:b/>
          <w:sz w:val="24"/>
          <w:szCs w:val="24"/>
        </w:rPr>
      </w:pPr>
    </w:p>
    <w:p w14:paraId="7AA511DF" w14:textId="77777777" w:rsidR="00D806B4" w:rsidRPr="00D806B4" w:rsidRDefault="00D806B4" w:rsidP="00D806B4">
      <w:pPr>
        <w:rPr>
          <w:sz w:val="24"/>
          <w:szCs w:val="24"/>
        </w:rPr>
      </w:pPr>
      <w:r w:rsidRPr="00D806B4">
        <w:rPr>
          <w:sz w:val="24"/>
          <w:szCs w:val="24"/>
        </w:rPr>
        <w:t xml:space="preserve">Timeline for the project: </w:t>
      </w:r>
    </w:p>
    <w:p w14:paraId="29AB9059" w14:textId="77777777" w:rsidR="00D806B4" w:rsidRPr="00D806B4" w:rsidRDefault="00D806B4" w:rsidP="00D806B4">
      <w:pPr>
        <w:rPr>
          <w:sz w:val="24"/>
          <w:szCs w:val="24"/>
        </w:rPr>
      </w:pPr>
    </w:p>
    <w:tbl>
      <w:tblPr>
        <w:tblStyle w:val="TableGrid1"/>
        <w:tblW w:w="0" w:type="auto"/>
        <w:tblLook w:val="04A0" w:firstRow="1" w:lastRow="0" w:firstColumn="1" w:lastColumn="0" w:noHBand="0" w:noVBand="1"/>
      </w:tblPr>
      <w:tblGrid>
        <w:gridCol w:w="5673"/>
        <w:gridCol w:w="3677"/>
      </w:tblGrid>
      <w:tr w:rsidR="00D806B4" w:rsidRPr="00D806B4" w14:paraId="48A9FF43" w14:textId="77777777" w:rsidTr="0011090E">
        <w:trPr>
          <w:trHeight w:val="576"/>
        </w:trPr>
        <w:tc>
          <w:tcPr>
            <w:tcW w:w="5820" w:type="dxa"/>
            <w:shd w:val="clear" w:color="auto" w:fill="auto"/>
          </w:tcPr>
          <w:p w14:paraId="35CD7562" w14:textId="77777777" w:rsidR="00D806B4" w:rsidRPr="00D806B4" w:rsidRDefault="00D806B4" w:rsidP="00D806B4">
            <w:pPr>
              <w:spacing w:line="480" w:lineRule="auto"/>
              <w:rPr>
                <w:sz w:val="22"/>
                <w:szCs w:val="22"/>
              </w:rPr>
            </w:pPr>
            <w:r w:rsidRPr="00D806B4">
              <w:rPr>
                <w:sz w:val="22"/>
                <w:szCs w:val="22"/>
              </w:rPr>
              <w:t>ACTIVITY</w:t>
            </w:r>
          </w:p>
        </w:tc>
        <w:tc>
          <w:tcPr>
            <w:tcW w:w="3756" w:type="dxa"/>
            <w:shd w:val="clear" w:color="auto" w:fill="auto"/>
          </w:tcPr>
          <w:p w14:paraId="261CFC48" w14:textId="77777777" w:rsidR="00D806B4" w:rsidRPr="00D806B4" w:rsidRDefault="00D806B4" w:rsidP="00D806B4">
            <w:pPr>
              <w:rPr>
                <w:sz w:val="22"/>
                <w:szCs w:val="22"/>
              </w:rPr>
            </w:pPr>
            <w:r w:rsidRPr="00D806B4">
              <w:rPr>
                <w:sz w:val="22"/>
                <w:szCs w:val="22"/>
              </w:rPr>
              <w:t>CALENDAR COMPLETION DATE</w:t>
            </w:r>
          </w:p>
          <w:p w14:paraId="41071B2A" w14:textId="77777777" w:rsidR="00D806B4" w:rsidRPr="00D806B4" w:rsidRDefault="00D806B4" w:rsidP="00D806B4">
            <w:pPr>
              <w:rPr>
                <w:sz w:val="22"/>
                <w:szCs w:val="22"/>
              </w:rPr>
            </w:pPr>
            <w:r w:rsidRPr="00D806B4">
              <w:rPr>
                <w:sz w:val="22"/>
                <w:szCs w:val="22"/>
              </w:rPr>
              <w:t>(Contingent on OMB approval)</w:t>
            </w:r>
          </w:p>
        </w:tc>
      </w:tr>
      <w:tr w:rsidR="00D806B4" w:rsidRPr="00D806B4" w14:paraId="17880017" w14:textId="77777777" w:rsidTr="0011090E">
        <w:trPr>
          <w:trHeight w:val="576"/>
        </w:trPr>
        <w:tc>
          <w:tcPr>
            <w:tcW w:w="5820" w:type="dxa"/>
            <w:shd w:val="clear" w:color="auto" w:fill="auto"/>
          </w:tcPr>
          <w:p w14:paraId="3CB2817C" w14:textId="22FDF23F" w:rsidR="00D806B4" w:rsidRPr="00D806B4" w:rsidRDefault="00F37F0F" w:rsidP="00D806B4">
            <w:pPr>
              <w:rPr>
                <w:sz w:val="22"/>
                <w:szCs w:val="22"/>
              </w:rPr>
            </w:pPr>
            <w:r>
              <w:rPr>
                <w:sz w:val="22"/>
                <w:szCs w:val="22"/>
              </w:rPr>
              <w:t>Initiate d</w:t>
            </w:r>
            <w:r w:rsidR="00D806B4" w:rsidRPr="00D806B4">
              <w:rPr>
                <w:sz w:val="22"/>
                <w:szCs w:val="22"/>
              </w:rPr>
              <w:t xml:space="preserve">issemination of memo and email invitation from </w:t>
            </w:r>
            <w:r w:rsidR="00554D0D">
              <w:rPr>
                <w:sz w:val="22"/>
                <w:szCs w:val="22"/>
              </w:rPr>
              <w:t xml:space="preserve">the </w:t>
            </w:r>
            <w:r w:rsidR="00D806B4" w:rsidRPr="00D806B4">
              <w:rPr>
                <w:sz w:val="22"/>
                <w:szCs w:val="22"/>
              </w:rPr>
              <w:t>NPGS requesting participation in the Census</w:t>
            </w:r>
          </w:p>
        </w:tc>
        <w:tc>
          <w:tcPr>
            <w:tcW w:w="3756" w:type="dxa"/>
            <w:shd w:val="clear" w:color="auto" w:fill="auto"/>
          </w:tcPr>
          <w:p w14:paraId="271E4B37" w14:textId="77777777" w:rsidR="00D806B4" w:rsidRPr="00D806B4" w:rsidRDefault="00D806B4" w:rsidP="00D806B4">
            <w:pPr>
              <w:rPr>
                <w:sz w:val="22"/>
                <w:szCs w:val="22"/>
              </w:rPr>
            </w:pPr>
            <w:r w:rsidRPr="00D806B4">
              <w:rPr>
                <w:sz w:val="22"/>
                <w:szCs w:val="22"/>
              </w:rPr>
              <w:t>Upon OMB approval</w:t>
            </w:r>
            <w:r w:rsidR="00F37F0F">
              <w:rPr>
                <w:sz w:val="22"/>
                <w:szCs w:val="22"/>
              </w:rPr>
              <w:t xml:space="preserve"> (T)</w:t>
            </w:r>
          </w:p>
          <w:p w14:paraId="5038364D" w14:textId="77777777" w:rsidR="00D806B4" w:rsidRPr="00D806B4" w:rsidRDefault="00D806B4" w:rsidP="00D806B4">
            <w:pPr>
              <w:rPr>
                <w:sz w:val="22"/>
                <w:szCs w:val="22"/>
              </w:rPr>
            </w:pPr>
          </w:p>
        </w:tc>
      </w:tr>
      <w:tr w:rsidR="00D806B4" w:rsidRPr="00D806B4" w14:paraId="7FD48FFF" w14:textId="77777777" w:rsidTr="0011090E">
        <w:trPr>
          <w:trHeight w:val="576"/>
        </w:trPr>
        <w:tc>
          <w:tcPr>
            <w:tcW w:w="5820" w:type="dxa"/>
          </w:tcPr>
          <w:p w14:paraId="57783D35" w14:textId="77777777" w:rsidR="00D806B4" w:rsidRPr="00D806B4" w:rsidRDefault="00D806B4" w:rsidP="00D806B4">
            <w:pPr>
              <w:rPr>
                <w:sz w:val="22"/>
                <w:szCs w:val="22"/>
              </w:rPr>
            </w:pPr>
            <w:r w:rsidRPr="00D806B4">
              <w:rPr>
                <w:sz w:val="22"/>
                <w:szCs w:val="22"/>
              </w:rPr>
              <w:t>Disseminate first email reminder to requestors</w:t>
            </w:r>
          </w:p>
        </w:tc>
        <w:tc>
          <w:tcPr>
            <w:tcW w:w="3756" w:type="dxa"/>
          </w:tcPr>
          <w:p w14:paraId="3AD105B4" w14:textId="77777777" w:rsidR="00D806B4" w:rsidRPr="00D806B4" w:rsidRDefault="00D806B4" w:rsidP="00D806B4">
            <w:pPr>
              <w:rPr>
                <w:sz w:val="22"/>
                <w:szCs w:val="22"/>
              </w:rPr>
            </w:pPr>
            <w:r w:rsidRPr="00D806B4">
              <w:rPr>
                <w:sz w:val="22"/>
                <w:szCs w:val="22"/>
              </w:rPr>
              <w:t>T + 7 days</w:t>
            </w:r>
          </w:p>
        </w:tc>
      </w:tr>
      <w:tr w:rsidR="00D806B4" w:rsidRPr="00D806B4" w14:paraId="1BC6F202" w14:textId="77777777" w:rsidTr="0011090E">
        <w:trPr>
          <w:trHeight w:val="576"/>
        </w:trPr>
        <w:tc>
          <w:tcPr>
            <w:tcW w:w="5820" w:type="dxa"/>
          </w:tcPr>
          <w:p w14:paraId="18A52007" w14:textId="77777777" w:rsidR="00D806B4" w:rsidRPr="00D806B4" w:rsidRDefault="00D806B4" w:rsidP="00D806B4">
            <w:pPr>
              <w:rPr>
                <w:sz w:val="22"/>
                <w:szCs w:val="22"/>
              </w:rPr>
            </w:pPr>
            <w:r w:rsidRPr="00D806B4">
              <w:rPr>
                <w:sz w:val="22"/>
                <w:szCs w:val="22"/>
              </w:rPr>
              <w:t>Disseminate second email reminder to requestors</w:t>
            </w:r>
          </w:p>
        </w:tc>
        <w:tc>
          <w:tcPr>
            <w:tcW w:w="3756" w:type="dxa"/>
          </w:tcPr>
          <w:p w14:paraId="11CA5FB9" w14:textId="77777777" w:rsidR="00D806B4" w:rsidRPr="00D806B4" w:rsidRDefault="00D806B4" w:rsidP="00D806B4">
            <w:pPr>
              <w:rPr>
                <w:sz w:val="22"/>
                <w:szCs w:val="22"/>
              </w:rPr>
            </w:pPr>
            <w:r w:rsidRPr="00D806B4">
              <w:rPr>
                <w:sz w:val="22"/>
                <w:szCs w:val="22"/>
              </w:rPr>
              <w:t>T + 14 days</w:t>
            </w:r>
          </w:p>
        </w:tc>
      </w:tr>
      <w:tr w:rsidR="00D806B4" w:rsidRPr="00D806B4" w14:paraId="73CB584D" w14:textId="77777777" w:rsidTr="0011090E">
        <w:trPr>
          <w:trHeight w:val="576"/>
        </w:trPr>
        <w:tc>
          <w:tcPr>
            <w:tcW w:w="5820" w:type="dxa"/>
          </w:tcPr>
          <w:p w14:paraId="3A3EFA3D" w14:textId="77777777" w:rsidR="00D806B4" w:rsidRPr="00D806B4" w:rsidRDefault="00D806B4" w:rsidP="00D806B4">
            <w:pPr>
              <w:rPr>
                <w:sz w:val="22"/>
                <w:szCs w:val="22"/>
              </w:rPr>
            </w:pPr>
            <w:r w:rsidRPr="00D806B4">
              <w:rPr>
                <w:sz w:val="22"/>
                <w:szCs w:val="22"/>
              </w:rPr>
              <w:t>Disseminate third email reminder to requestors</w:t>
            </w:r>
          </w:p>
        </w:tc>
        <w:tc>
          <w:tcPr>
            <w:tcW w:w="3756" w:type="dxa"/>
          </w:tcPr>
          <w:p w14:paraId="1D12C2E4" w14:textId="77777777" w:rsidR="00D806B4" w:rsidRPr="00D806B4" w:rsidRDefault="00D806B4" w:rsidP="00D806B4">
            <w:pPr>
              <w:rPr>
                <w:sz w:val="22"/>
                <w:szCs w:val="22"/>
              </w:rPr>
            </w:pPr>
            <w:r w:rsidRPr="00D806B4">
              <w:rPr>
                <w:sz w:val="22"/>
                <w:szCs w:val="22"/>
              </w:rPr>
              <w:t>T + 21 days</w:t>
            </w:r>
          </w:p>
        </w:tc>
      </w:tr>
      <w:tr w:rsidR="00D806B4" w:rsidRPr="00D806B4" w14:paraId="6672A4DD" w14:textId="77777777" w:rsidTr="0011090E">
        <w:trPr>
          <w:trHeight w:val="576"/>
        </w:trPr>
        <w:tc>
          <w:tcPr>
            <w:tcW w:w="5820" w:type="dxa"/>
            <w:shd w:val="clear" w:color="auto" w:fill="auto"/>
          </w:tcPr>
          <w:p w14:paraId="5B077A02" w14:textId="77777777" w:rsidR="00D806B4" w:rsidRPr="00D806B4" w:rsidRDefault="00D806B4" w:rsidP="00D806B4">
            <w:pPr>
              <w:rPr>
                <w:sz w:val="22"/>
                <w:szCs w:val="22"/>
              </w:rPr>
            </w:pPr>
            <w:r w:rsidRPr="00D806B4">
              <w:rPr>
                <w:sz w:val="22"/>
                <w:szCs w:val="22"/>
              </w:rPr>
              <w:t>On-line questionnaire closed</w:t>
            </w:r>
          </w:p>
        </w:tc>
        <w:tc>
          <w:tcPr>
            <w:tcW w:w="3756" w:type="dxa"/>
            <w:shd w:val="clear" w:color="auto" w:fill="auto"/>
          </w:tcPr>
          <w:p w14:paraId="48E07844" w14:textId="77777777" w:rsidR="00D806B4" w:rsidRPr="00D806B4" w:rsidRDefault="00D806B4" w:rsidP="00D806B4">
            <w:pPr>
              <w:rPr>
                <w:sz w:val="22"/>
                <w:szCs w:val="22"/>
              </w:rPr>
            </w:pPr>
            <w:r w:rsidRPr="00D806B4">
              <w:rPr>
                <w:sz w:val="22"/>
                <w:szCs w:val="22"/>
              </w:rPr>
              <w:t xml:space="preserve"> T + 1 month</w:t>
            </w:r>
          </w:p>
        </w:tc>
      </w:tr>
      <w:tr w:rsidR="00D806B4" w:rsidRPr="00D806B4" w14:paraId="4835B69A" w14:textId="77777777" w:rsidTr="0011090E">
        <w:trPr>
          <w:trHeight w:val="576"/>
        </w:trPr>
        <w:tc>
          <w:tcPr>
            <w:tcW w:w="5820" w:type="dxa"/>
          </w:tcPr>
          <w:p w14:paraId="572B9C28" w14:textId="77777777" w:rsidR="00D806B4" w:rsidRPr="00D806B4" w:rsidRDefault="00D806B4" w:rsidP="00D806B4">
            <w:pPr>
              <w:rPr>
                <w:sz w:val="22"/>
                <w:szCs w:val="22"/>
              </w:rPr>
            </w:pPr>
            <w:r w:rsidRPr="00D806B4">
              <w:rPr>
                <w:sz w:val="22"/>
                <w:szCs w:val="22"/>
              </w:rPr>
              <w:t>Complete matching responses against list of requestors to identify non-respondents</w:t>
            </w:r>
          </w:p>
        </w:tc>
        <w:tc>
          <w:tcPr>
            <w:tcW w:w="3756" w:type="dxa"/>
          </w:tcPr>
          <w:p w14:paraId="3F129D9F" w14:textId="77777777" w:rsidR="00D806B4" w:rsidRPr="00D806B4" w:rsidRDefault="00D806B4" w:rsidP="00D806B4">
            <w:pPr>
              <w:tabs>
                <w:tab w:val="center" w:pos="1488"/>
              </w:tabs>
              <w:rPr>
                <w:sz w:val="22"/>
                <w:szCs w:val="22"/>
              </w:rPr>
            </w:pPr>
            <w:r w:rsidRPr="00D806B4">
              <w:rPr>
                <w:sz w:val="22"/>
                <w:szCs w:val="22"/>
              </w:rPr>
              <w:t>T + 1.5 months</w:t>
            </w:r>
            <w:r w:rsidRPr="00D806B4">
              <w:rPr>
                <w:sz w:val="22"/>
                <w:szCs w:val="22"/>
              </w:rPr>
              <w:tab/>
            </w:r>
          </w:p>
        </w:tc>
      </w:tr>
      <w:tr w:rsidR="00D806B4" w:rsidRPr="00D806B4" w14:paraId="6ED01C9B" w14:textId="77777777" w:rsidTr="0011090E">
        <w:trPr>
          <w:trHeight w:val="576"/>
        </w:trPr>
        <w:tc>
          <w:tcPr>
            <w:tcW w:w="5820" w:type="dxa"/>
          </w:tcPr>
          <w:p w14:paraId="4FAB039E" w14:textId="77777777" w:rsidR="00D806B4" w:rsidRPr="00D806B4" w:rsidRDefault="00D806B4" w:rsidP="00D806B4">
            <w:pPr>
              <w:rPr>
                <w:sz w:val="22"/>
                <w:szCs w:val="22"/>
              </w:rPr>
            </w:pPr>
            <w:r w:rsidRPr="00D806B4">
              <w:rPr>
                <w:sz w:val="22"/>
                <w:szCs w:val="22"/>
              </w:rPr>
              <w:t>Develop sample of non-respondents and conduct follow-up phone calls to sample</w:t>
            </w:r>
          </w:p>
        </w:tc>
        <w:tc>
          <w:tcPr>
            <w:tcW w:w="3756" w:type="dxa"/>
          </w:tcPr>
          <w:p w14:paraId="6EB69DC9" w14:textId="4E773BF0" w:rsidR="00D806B4" w:rsidRPr="00D806B4" w:rsidRDefault="00D806B4" w:rsidP="00D806B4">
            <w:pPr>
              <w:rPr>
                <w:sz w:val="22"/>
                <w:szCs w:val="22"/>
              </w:rPr>
            </w:pPr>
            <w:r w:rsidRPr="00D806B4">
              <w:rPr>
                <w:sz w:val="22"/>
                <w:szCs w:val="22"/>
              </w:rPr>
              <w:t>T + 2</w:t>
            </w:r>
            <w:r w:rsidR="006366D4">
              <w:rPr>
                <w:sz w:val="22"/>
                <w:szCs w:val="22"/>
              </w:rPr>
              <w:t>.5</w:t>
            </w:r>
            <w:r w:rsidRPr="00D806B4">
              <w:rPr>
                <w:sz w:val="22"/>
                <w:szCs w:val="22"/>
              </w:rPr>
              <w:t xml:space="preserve"> months</w:t>
            </w:r>
          </w:p>
        </w:tc>
      </w:tr>
      <w:tr w:rsidR="00D806B4" w:rsidRPr="00D806B4" w14:paraId="7373DD27" w14:textId="77777777" w:rsidTr="0011090E">
        <w:trPr>
          <w:trHeight w:val="576"/>
        </w:trPr>
        <w:tc>
          <w:tcPr>
            <w:tcW w:w="5820" w:type="dxa"/>
          </w:tcPr>
          <w:p w14:paraId="40E6586D" w14:textId="67FBBD8D" w:rsidR="00D806B4" w:rsidRPr="00D806B4" w:rsidRDefault="00D806B4" w:rsidP="0081335E">
            <w:pPr>
              <w:rPr>
                <w:sz w:val="22"/>
                <w:szCs w:val="22"/>
              </w:rPr>
            </w:pPr>
            <w:r w:rsidRPr="00D806B4">
              <w:rPr>
                <w:sz w:val="22"/>
                <w:szCs w:val="22"/>
              </w:rPr>
              <w:t xml:space="preserve">Complete construction of non-response </w:t>
            </w:r>
            <w:r w:rsidR="006416C6">
              <w:rPr>
                <w:sz w:val="22"/>
                <w:szCs w:val="22"/>
              </w:rPr>
              <w:t xml:space="preserve">bias </w:t>
            </w:r>
            <w:r w:rsidRPr="00D806B4">
              <w:rPr>
                <w:sz w:val="22"/>
                <w:szCs w:val="22"/>
              </w:rPr>
              <w:t>analysis</w:t>
            </w:r>
          </w:p>
        </w:tc>
        <w:tc>
          <w:tcPr>
            <w:tcW w:w="3756" w:type="dxa"/>
          </w:tcPr>
          <w:p w14:paraId="5FDB19A6" w14:textId="6B76FDAE" w:rsidR="00D806B4" w:rsidRPr="00D806B4" w:rsidRDefault="00D806B4" w:rsidP="006366D4">
            <w:pPr>
              <w:rPr>
                <w:sz w:val="22"/>
                <w:szCs w:val="22"/>
              </w:rPr>
            </w:pPr>
            <w:r w:rsidRPr="00D806B4">
              <w:rPr>
                <w:sz w:val="22"/>
                <w:szCs w:val="22"/>
              </w:rPr>
              <w:t xml:space="preserve">T + </w:t>
            </w:r>
            <w:r w:rsidR="006366D4">
              <w:rPr>
                <w:sz w:val="22"/>
                <w:szCs w:val="22"/>
              </w:rPr>
              <w:t>3.5</w:t>
            </w:r>
            <w:r w:rsidRPr="00D806B4">
              <w:rPr>
                <w:sz w:val="22"/>
                <w:szCs w:val="22"/>
              </w:rPr>
              <w:t xml:space="preserve"> months</w:t>
            </w:r>
          </w:p>
        </w:tc>
      </w:tr>
      <w:tr w:rsidR="00D806B4" w:rsidRPr="00D806B4" w14:paraId="7185A51C" w14:textId="77777777" w:rsidTr="0011090E">
        <w:trPr>
          <w:trHeight w:val="576"/>
        </w:trPr>
        <w:tc>
          <w:tcPr>
            <w:tcW w:w="5820" w:type="dxa"/>
            <w:shd w:val="clear" w:color="auto" w:fill="auto"/>
          </w:tcPr>
          <w:p w14:paraId="3EF817EE" w14:textId="77777777" w:rsidR="00D806B4" w:rsidRPr="00D806B4" w:rsidRDefault="00D806B4" w:rsidP="00D806B4">
            <w:pPr>
              <w:rPr>
                <w:sz w:val="22"/>
                <w:szCs w:val="22"/>
              </w:rPr>
            </w:pPr>
            <w:r w:rsidRPr="00D806B4">
              <w:rPr>
                <w:sz w:val="22"/>
                <w:szCs w:val="22"/>
              </w:rPr>
              <w:t>Complete analysis of the data, in consultation with NPGS colleagues</w:t>
            </w:r>
          </w:p>
        </w:tc>
        <w:tc>
          <w:tcPr>
            <w:tcW w:w="3756" w:type="dxa"/>
            <w:shd w:val="clear" w:color="auto" w:fill="auto"/>
          </w:tcPr>
          <w:p w14:paraId="4EBADB8E" w14:textId="4EEEEA6E" w:rsidR="00D806B4" w:rsidRPr="00D806B4" w:rsidRDefault="00D66A40" w:rsidP="008C1C48">
            <w:pPr>
              <w:rPr>
                <w:sz w:val="22"/>
                <w:szCs w:val="22"/>
              </w:rPr>
            </w:pPr>
            <w:r>
              <w:rPr>
                <w:sz w:val="22"/>
                <w:szCs w:val="22"/>
              </w:rPr>
              <w:t xml:space="preserve">T + </w:t>
            </w:r>
            <w:r w:rsidR="006366D4">
              <w:rPr>
                <w:sz w:val="22"/>
                <w:szCs w:val="22"/>
              </w:rPr>
              <w:t>7</w:t>
            </w:r>
            <w:r w:rsidR="00D806B4" w:rsidRPr="00D806B4">
              <w:rPr>
                <w:sz w:val="22"/>
                <w:szCs w:val="22"/>
              </w:rPr>
              <w:t xml:space="preserve"> months</w:t>
            </w:r>
          </w:p>
        </w:tc>
      </w:tr>
      <w:tr w:rsidR="00D806B4" w:rsidRPr="00D806B4" w14:paraId="137566FC" w14:textId="77777777" w:rsidTr="0011090E">
        <w:trPr>
          <w:trHeight w:val="576"/>
        </w:trPr>
        <w:tc>
          <w:tcPr>
            <w:tcW w:w="5820" w:type="dxa"/>
            <w:shd w:val="clear" w:color="auto" w:fill="auto"/>
          </w:tcPr>
          <w:p w14:paraId="2F1C0ACD" w14:textId="77777777" w:rsidR="00D806B4" w:rsidRPr="00D806B4" w:rsidRDefault="00D806B4" w:rsidP="00D806B4">
            <w:pPr>
              <w:rPr>
                <w:sz w:val="22"/>
                <w:szCs w:val="22"/>
              </w:rPr>
            </w:pPr>
            <w:r w:rsidRPr="00D806B4">
              <w:rPr>
                <w:sz w:val="22"/>
                <w:szCs w:val="22"/>
              </w:rPr>
              <w:t>Complete draft of report</w:t>
            </w:r>
          </w:p>
        </w:tc>
        <w:tc>
          <w:tcPr>
            <w:tcW w:w="3756" w:type="dxa"/>
            <w:shd w:val="clear" w:color="auto" w:fill="auto"/>
          </w:tcPr>
          <w:p w14:paraId="61D7160A" w14:textId="3EA45F4B" w:rsidR="00D806B4" w:rsidRPr="00D806B4" w:rsidRDefault="00D806B4" w:rsidP="00D66A40">
            <w:pPr>
              <w:rPr>
                <w:sz w:val="22"/>
                <w:szCs w:val="22"/>
              </w:rPr>
            </w:pPr>
            <w:r w:rsidRPr="00D806B4">
              <w:rPr>
                <w:sz w:val="22"/>
                <w:szCs w:val="22"/>
              </w:rPr>
              <w:t xml:space="preserve">T + </w:t>
            </w:r>
            <w:r w:rsidR="006366D4">
              <w:rPr>
                <w:sz w:val="22"/>
                <w:szCs w:val="22"/>
              </w:rPr>
              <w:t>10</w:t>
            </w:r>
            <w:r w:rsidRPr="00D806B4">
              <w:rPr>
                <w:sz w:val="22"/>
                <w:szCs w:val="22"/>
              </w:rPr>
              <w:t xml:space="preserve"> months</w:t>
            </w:r>
          </w:p>
        </w:tc>
      </w:tr>
      <w:tr w:rsidR="00D806B4" w:rsidRPr="00D806B4" w14:paraId="533E52EF" w14:textId="77777777" w:rsidTr="0011090E">
        <w:trPr>
          <w:trHeight w:val="576"/>
        </w:trPr>
        <w:tc>
          <w:tcPr>
            <w:tcW w:w="5820" w:type="dxa"/>
            <w:shd w:val="clear" w:color="auto" w:fill="auto"/>
          </w:tcPr>
          <w:p w14:paraId="19FC93DC" w14:textId="77777777" w:rsidR="00D806B4" w:rsidRPr="00D806B4" w:rsidRDefault="00F37F0F" w:rsidP="00D806B4">
            <w:pPr>
              <w:rPr>
                <w:sz w:val="22"/>
                <w:szCs w:val="22"/>
              </w:rPr>
            </w:pPr>
            <w:r>
              <w:rPr>
                <w:sz w:val="22"/>
                <w:szCs w:val="22"/>
              </w:rPr>
              <w:t xml:space="preserve">Clear and publish </w:t>
            </w:r>
            <w:r w:rsidR="00D806B4" w:rsidRPr="00D806B4">
              <w:rPr>
                <w:sz w:val="22"/>
                <w:szCs w:val="22"/>
              </w:rPr>
              <w:t xml:space="preserve"> final report</w:t>
            </w:r>
          </w:p>
        </w:tc>
        <w:tc>
          <w:tcPr>
            <w:tcW w:w="3756" w:type="dxa"/>
            <w:shd w:val="clear" w:color="auto" w:fill="auto"/>
          </w:tcPr>
          <w:p w14:paraId="09C12F40" w14:textId="77777777" w:rsidR="00D806B4" w:rsidRPr="00D806B4" w:rsidRDefault="00F37F0F" w:rsidP="00D806B4">
            <w:pPr>
              <w:rPr>
                <w:sz w:val="22"/>
                <w:szCs w:val="22"/>
              </w:rPr>
            </w:pPr>
            <w:r>
              <w:rPr>
                <w:sz w:val="22"/>
                <w:szCs w:val="22"/>
              </w:rPr>
              <w:t>T + 16 months</w:t>
            </w:r>
          </w:p>
        </w:tc>
      </w:tr>
    </w:tbl>
    <w:p w14:paraId="4CFF4309" w14:textId="77777777" w:rsidR="00071F56" w:rsidRPr="00322DA7" w:rsidRDefault="00071F56" w:rsidP="009A3085">
      <w:pPr>
        <w:ind w:left="720"/>
        <w:rPr>
          <w:b/>
          <w:sz w:val="24"/>
          <w:szCs w:val="24"/>
        </w:rPr>
      </w:pPr>
    </w:p>
    <w:p w14:paraId="77BB8469" w14:textId="77777777" w:rsidR="00071F56" w:rsidRDefault="00071F56" w:rsidP="009A3085">
      <w:pPr>
        <w:ind w:left="720" w:hanging="720"/>
        <w:rPr>
          <w:b/>
          <w:sz w:val="24"/>
          <w:szCs w:val="24"/>
        </w:rPr>
      </w:pPr>
      <w:r w:rsidRPr="00322DA7">
        <w:rPr>
          <w:b/>
          <w:sz w:val="24"/>
          <w:szCs w:val="24"/>
        </w:rPr>
        <w:t>17.</w:t>
      </w:r>
      <w:r w:rsidRPr="00322DA7">
        <w:rPr>
          <w:b/>
          <w:sz w:val="24"/>
          <w:szCs w:val="24"/>
        </w:rPr>
        <w:tab/>
        <w:t>If seeking approval to not display the expiration date for OMB approval of the information collection, explain the reasons that display would be inappropriate.</w:t>
      </w:r>
    </w:p>
    <w:p w14:paraId="6FD3AFAB" w14:textId="77777777" w:rsidR="00CE07AC" w:rsidRDefault="00CE07AC" w:rsidP="009A3085">
      <w:pPr>
        <w:ind w:left="720" w:hanging="720"/>
        <w:rPr>
          <w:b/>
          <w:sz w:val="24"/>
          <w:szCs w:val="24"/>
        </w:rPr>
      </w:pPr>
    </w:p>
    <w:p w14:paraId="27073952" w14:textId="5DB5618B" w:rsidR="00CE07AC" w:rsidRPr="00BC0B15" w:rsidRDefault="00CE07AC" w:rsidP="00CE07AC">
      <w:pPr>
        <w:rPr>
          <w:sz w:val="24"/>
          <w:szCs w:val="24"/>
        </w:rPr>
      </w:pPr>
      <w:r w:rsidRPr="00BC0B15">
        <w:rPr>
          <w:sz w:val="24"/>
          <w:szCs w:val="24"/>
        </w:rPr>
        <w:t xml:space="preserve">ERS will display the expiration date for OMB approval of the information collection on </w:t>
      </w:r>
      <w:r w:rsidR="00BD0B1B">
        <w:rPr>
          <w:sz w:val="24"/>
          <w:szCs w:val="24"/>
        </w:rPr>
        <w:t>the instrument</w:t>
      </w:r>
      <w:r w:rsidRPr="00BC0B15">
        <w:rPr>
          <w:sz w:val="24"/>
          <w:szCs w:val="24"/>
        </w:rPr>
        <w:t xml:space="preserve">, together with </w:t>
      </w:r>
      <w:r w:rsidR="002F3330">
        <w:rPr>
          <w:sz w:val="24"/>
          <w:szCs w:val="24"/>
        </w:rPr>
        <w:t>its</w:t>
      </w:r>
      <w:r w:rsidR="002F3330" w:rsidRPr="00BC0B15">
        <w:rPr>
          <w:sz w:val="24"/>
          <w:szCs w:val="24"/>
        </w:rPr>
        <w:t xml:space="preserve"> </w:t>
      </w:r>
      <w:r w:rsidRPr="00BC0B15">
        <w:rPr>
          <w:sz w:val="24"/>
          <w:szCs w:val="24"/>
        </w:rPr>
        <w:t xml:space="preserve">OMB </w:t>
      </w:r>
      <w:r w:rsidR="002F3330">
        <w:rPr>
          <w:sz w:val="24"/>
          <w:szCs w:val="24"/>
        </w:rPr>
        <w:t>control</w:t>
      </w:r>
      <w:r w:rsidRPr="00BC0B15">
        <w:rPr>
          <w:sz w:val="24"/>
          <w:szCs w:val="24"/>
        </w:rPr>
        <w:t xml:space="preserve"> number. </w:t>
      </w:r>
    </w:p>
    <w:p w14:paraId="5B2EBE8D" w14:textId="77777777" w:rsidR="00071F56" w:rsidRPr="00322DA7" w:rsidRDefault="00071F56" w:rsidP="009A3085">
      <w:pPr>
        <w:ind w:left="720"/>
        <w:rPr>
          <w:b/>
          <w:sz w:val="24"/>
          <w:szCs w:val="24"/>
        </w:rPr>
      </w:pPr>
    </w:p>
    <w:p w14:paraId="2B51172B" w14:textId="77777777" w:rsidR="00071F56" w:rsidRDefault="00071F56" w:rsidP="009A3085">
      <w:pPr>
        <w:ind w:left="720" w:hanging="720"/>
        <w:rPr>
          <w:b/>
          <w:sz w:val="24"/>
          <w:szCs w:val="24"/>
        </w:rPr>
      </w:pPr>
      <w:r w:rsidRPr="00322DA7">
        <w:rPr>
          <w:b/>
          <w:sz w:val="24"/>
          <w:szCs w:val="24"/>
        </w:rPr>
        <w:t>18.</w:t>
      </w:r>
      <w:r w:rsidRPr="00322DA7">
        <w:rPr>
          <w:b/>
          <w:sz w:val="24"/>
          <w:szCs w:val="24"/>
        </w:rPr>
        <w:tab/>
        <w:t>Explain each exception to the certification statement identified in Item 19 "Certification for Paperwork Reduction Act."</w:t>
      </w:r>
    </w:p>
    <w:p w14:paraId="60F28E55" w14:textId="77777777" w:rsidR="00CE07AC" w:rsidRDefault="00CE07AC" w:rsidP="009A3085">
      <w:pPr>
        <w:ind w:left="720" w:hanging="720"/>
        <w:rPr>
          <w:b/>
          <w:sz w:val="24"/>
          <w:szCs w:val="24"/>
        </w:rPr>
      </w:pPr>
    </w:p>
    <w:p w14:paraId="59D2905F" w14:textId="1501D822" w:rsidR="00071F56" w:rsidRPr="00291209" w:rsidRDefault="00CE07AC" w:rsidP="00291209">
      <w:pPr>
        <w:rPr>
          <w:b/>
          <w:sz w:val="24"/>
          <w:szCs w:val="24"/>
        </w:rPr>
      </w:pPr>
      <w:r w:rsidRPr="00BC0B15">
        <w:rPr>
          <w:sz w:val="24"/>
          <w:szCs w:val="24"/>
        </w:rPr>
        <w:t>There are no exceptions to the certification.</w:t>
      </w:r>
    </w:p>
    <w:sectPr w:rsidR="00071F56" w:rsidRPr="00291209" w:rsidSect="00374B44">
      <w:footerReference w:type="default" r:id="rId9"/>
      <w:endnotePr>
        <w:numFmt w:val="decimal"/>
      </w:endnotePr>
      <w:type w:val="continuous"/>
      <w:pgSz w:w="12240" w:h="15840"/>
      <w:pgMar w:top="1440" w:right="1440" w:bottom="1440" w:left="1440" w:header="1296" w:footer="100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E2E39" w14:textId="77777777" w:rsidR="00894E1D" w:rsidRDefault="00894E1D">
      <w:r>
        <w:separator/>
      </w:r>
    </w:p>
  </w:endnote>
  <w:endnote w:type="continuationSeparator" w:id="0">
    <w:p w14:paraId="4FDC0BAA" w14:textId="77777777" w:rsidR="00894E1D" w:rsidRDefault="0089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677258"/>
      <w:docPartObj>
        <w:docPartGallery w:val="Page Numbers (Bottom of Page)"/>
        <w:docPartUnique/>
      </w:docPartObj>
    </w:sdtPr>
    <w:sdtEndPr>
      <w:rPr>
        <w:noProof/>
      </w:rPr>
    </w:sdtEndPr>
    <w:sdtContent>
      <w:p w14:paraId="166459A4" w14:textId="132C650B" w:rsidR="00DE3AB1" w:rsidRDefault="00DE3AB1">
        <w:pPr>
          <w:pStyle w:val="Footer"/>
          <w:jc w:val="center"/>
        </w:pPr>
        <w:r>
          <w:fldChar w:fldCharType="begin"/>
        </w:r>
        <w:r>
          <w:instrText xml:space="preserve"> PAGE   \* MERGEFORMAT </w:instrText>
        </w:r>
        <w:r>
          <w:fldChar w:fldCharType="separate"/>
        </w:r>
        <w:r w:rsidR="00517A7D">
          <w:rPr>
            <w:noProof/>
          </w:rPr>
          <w:t>13</w:t>
        </w:r>
        <w:r>
          <w:rPr>
            <w:noProof/>
          </w:rPr>
          <w:fldChar w:fldCharType="end"/>
        </w:r>
      </w:p>
    </w:sdtContent>
  </w:sdt>
  <w:p w14:paraId="3581287D" w14:textId="77777777" w:rsidR="00DE3AB1" w:rsidRDefault="00DE3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C1EA4" w14:textId="77777777" w:rsidR="00894E1D" w:rsidRDefault="00894E1D">
      <w:r>
        <w:separator/>
      </w:r>
    </w:p>
  </w:footnote>
  <w:footnote w:type="continuationSeparator" w:id="0">
    <w:p w14:paraId="79841B76" w14:textId="77777777" w:rsidR="00894E1D" w:rsidRDefault="00894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10D08222"/>
    <w:lvl w:ilvl="0">
      <w:start w:val="1"/>
      <w:numFmt w:val="bullet"/>
      <w:pStyle w:val="indent"/>
      <w:lvlText w:val=""/>
      <w:lvlJc w:val="left"/>
      <w:pPr>
        <w:tabs>
          <w:tab w:val="num" w:pos="360"/>
        </w:tabs>
        <w:ind w:left="360" w:hanging="360"/>
      </w:pPr>
      <w:rPr>
        <w:rFonts w:ascii="Times New Roman" w:hAnsi="Times New Roman" w:hint="default"/>
        <w:sz w:val="24"/>
      </w:rPr>
    </w:lvl>
  </w:abstractNum>
  <w:abstractNum w:abstractNumId="1" w15:restartNumberingAfterBreak="0">
    <w:nsid w:val="021A59E4"/>
    <w:multiLevelType w:val="hybridMultilevel"/>
    <w:tmpl w:val="7B280B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A6445"/>
    <w:multiLevelType w:val="multilevel"/>
    <w:tmpl w:val="D55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15:restartNumberingAfterBreak="0">
    <w:nsid w:val="16770085"/>
    <w:multiLevelType w:val="hybridMultilevel"/>
    <w:tmpl w:val="B1967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11342"/>
    <w:multiLevelType w:val="hybridMultilevel"/>
    <w:tmpl w:val="D98C4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917493"/>
    <w:multiLevelType w:val="hybridMultilevel"/>
    <w:tmpl w:val="8B8C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7046D6"/>
    <w:multiLevelType w:val="hybridMultilevel"/>
    <w:tmpl w:val="2D30DF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D4219"/>
    <w:multiLevelType w:val="hybridMultilevel"/>
    <w:tmpl w:val="D3DC2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247AA"/>
    <w:multiLevelType w:val="hybridMultilevel"/>
    <w:tmpl w:val="070CA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20"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23"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4"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62A1F35"/>
    <w:multiLevelType w:val="multilevel"/>
    <w:tmpl w:val="F2A0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26484F"/>
    <w:multiLevelType w:val="hybridMultilevel"/>
    <w:tmpl w:val="F9E0BAF4"/>
    <w:lvl w:ilvl="0" w:tplc="3358282E">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7B5C08"/>
    <w:multiLevelType w:val="hybridMultilevel"/>
    <w:tmpl w:val="C310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16"/>
  </w:num>
  <w:num w:numId="3">
    <w:abstractNumId w:val="13"/>
  </w:num>
  <w:num w:numId="4">
    <w:abstractNumId w:val="32"/>
  </w:num>
  <w:num w:numId="5">
    <w:abstractNumId w:val="29"/>
  </w:num>
  <w:num w:numId="6">
    <w:abstractNumId w:val="18"/>
  </w:num>
  <w:num w:numId="7">
    <w:abstractNumId w:val="9"/>
  </w:num>
  <w:num w:numId="8">
    <w:abstractNumId w:val="17"/>
  </w:num>
  <w:num w:numId="9">
    <w:abstractNumId w:val="3"/>
  </w:num>
  <w:num w:numId="10">
    <w:abstractNumId w:val="21"/>
  </w:num>
  <w:num w:numId="11">
    <w:abstractNumId w:val="4"/>
  </w:num>
  <w:num w:numId="12">
    <w:abstractNumId w:val="24"/>
  </w:num>
  <w:num w:numId="13">
    <w:abstractNumId w:val="28"/>
  </w:num>
  <w:num w:numId="14">
    <w:abstractNumId w:val="26"/>
  </w:num>
  <w:num w:numId="15">
    <w:abstractNumId w:val="14"/>
  </w:num>
  <w:num w:numId="16">
    <w:abstractNumId w:val="7"/>
  </w:num>
  <w:num w:numId="17">
    <w:abstractNumId w:val="27"/>
  </w:num>
  <w:num w:numId="18">
    <w:abstractNumId w:val="20"/>
  </w:num>
  <w:num w:numId="19">
    <w:abstractNumId w:val="22"/>
  </w:num>
  <w:num w:numId="20">
    <w:abstractNumId w:val="15"/>
  </w:num>
  <w:num w:numId="21">
    <w:abstractNumId w:val="19"/>
  </w:num>
  <w:num w:numId="22">
    <w:abstractNumId w:val="1"/>
  </w:num>
  <w:num w:numId="23">
    <w:abstractNumId w:val="0"/>
  </w:num>
  <w:num w:numId="24">
    <w:abstractNumId w:val="2"/>
  </w:num>
  <w:num w:numId="25">
    <w:abstractNumId w:val="25"/>
  </w:num>
  <w:num w:numId="26">
    <w:abstractNumId w:val="10"/>
  </w:num>
  <w:num w:numId="27">
    <w:abstractNumId w:val="31"/>
  </w:num>
  <w:num w:numId="28">
    <w:abstractNumId w:val="11"/>
  </w:num>
  <w:num w:numId="29">
    <w:abstractNumId w:val="8"/>
  </w:num>
  <w:num w:numId="30">
    <w:abstractNumId w:val="5"/>
  </w:num>
  <w:num w:numId="31">
    <w:abstractNumId w:val="30"/>
  </w:num>
  <w:num w:numId="32">
    <w:abstractNumId w:val="1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09"/>
    <w:rsid w:val="000005F1"/>
    <w:rsid w:val="0001010D"/>
    <w:rsid w:val="00010462"/>
    <w:rsid w:val="00026DDB"/>
    <w:rsid w:val="000318A1"/>
    <w:rsid w:val="000340A6"/>
    <w:rsid w:val="00060EF0"/>
    <w:rsid w:val="000633C5"/>
    <w:rsid w:val="00071F56"/>
    <w:rsid w:val="00081CA5"/>
    <w:rsid w:val="00082F79"/>
    <w:rsid w:val="00083E1F"/>
    <w:rsid w:val="0009509D"/>
    <w:rsid w:val="00096E9C"/>
    <w:rsid w:val="000A2765"/>
    <w:rsid w:val="000A2F8B"/>
    <w:rsid w:val="000B2AD5"/>
    <w:rsid w:val="000D7094"/>
    <w:rsid w:val="000E0D44"/>
    <w:rsid w:val="000E13BB"/>
    <w:rsid w:val="000E450C"/>
    <w:rsid w:val="000E581D"/>
    <w:rsid w:val="000E5EF7"/>
    <w:rsid w:val="000F09FC"/>
    <w:rsid w:val="000F5E67"/>
    <w:rsid w:val="0010604C"/>
    <w:rsid w:val="00107EC9"/>
    <w:rsid w:val="0011090E"/>
    <w:rsid w:val="0011588D"/>
    <w:rsid w:val="001463C9"/>
    <w:rsid w:val="001478F9"/>
    <w:rsid w:val="00147ED5"/>
    <w:rsid w:val="00152DE8"/>
    <w:rsid w:val="00155246"/>
    <w:rsid w:val="001579A4"/>
    <w:rsid w:val="00172EB2"/>
    <w:rsid w:val="00173B94"/>
    <w:rsid w:val="00177022"/>
    <w:rsid w:val="00180A38"/>
    <w:rsid w:val="001834E5"/>
    <w:rsid w:val="001A2E71"/>
    <w:rsid w:val="001B330F"/>
    <w:rsid w:val="001B5C64"/>
    <w:rsid w:val="001C56F6"/>
    <w:rsid w:val="001C59F0"/>
    <w:rsid w:val="001E01AF"/>
    <w:rsid w:val="001E1199"/>
    <w:rsid w:val="001F272F"/>
    <w:rsid w:val="00204D7B"/>
    <w:rsid w:val="0021657E"/>
    <w:rsid w:val="002200EC"/>
    <w:rsid w:val="0022678E"/>
    <w:rsid w:val="00234C0D"/>
    <w:rsid w:val="00253A0D"/>
    <w:rsid w:val="0025439E"/>
    <w:rsid w:val="00257196"/>
    <w:rsid w:val="0026078F"/>
    <w:rsid w:val="00291209"/>
    <w:rsid w:val="002956E5"/>
    <w:rsid w:val="002A1A6B"/>
    <w:rsid w:val="002A25B3"/>
    <w:rsid w:val="002A5124"/>
    <w:rsid w:val="002C4B94"/>
    <w:rsid w:val="002F3330"/>
    <w:rsid w:val="002F7D5E"/>
    <w:rsid w:val="003020B2"/>
    <w:rsid w:val="0030310E"/>
    <w:rsid w:val="0031407C"/>
    <w:rsid w:val="00322DA7"/>
    <w:rsid w:val="00341882"/>
    <w:rsid w:val="003523C3"/>
    <w:rsid w:val="00355707"/>
    <w:rsid w:val="00366748"/>
    <w:rsid w:val="0037231C"/>
    <w:rsid w:val="00374B44"/>
    <w:rsid w:val="003912BC"/>
    <w:rsid w:val="003B320A"/>
    <w:rsid w:val="003B33B6"/>
    <w:rsid w:val="003B5E57"/>
    <w:rsid w:val="003B7144"/>
    <w:rsid w:val="003B7260"/>
    <w:rsid w:val="003B72B9"/>
    <w:rsid w:val="003D04D0"/>
    <w:rsid w:val="003E3783"/>
    <w:rsid w:val="003F50F4"/>
    <w:rsid w:val="003F7981"/>
    <w:rsid w:val="00403C41"/>
    <w:rsid w:val="00420C8D"/>
    <w:rsid w:val="0042302D"/>
    <w:rsid w:val="0042399E"/>
    <w:rsid w:val="00425E5F"/>
    <w:rsid w:val="00431A09"/>
    <w:rsid w:val="00437525"/>
    <w:rsid w:val="00440162"/>
    <w:rsid w:val="004470EA"/>
    <w:rsid w:val="00455F1E"/>
    <w:rsid w:val="00460CA8"/>
    <w:rsid w:val="004705F0"/>
    <w:rsid w:val="004734F2"/>
    <w:rsid w:val="00483B5E"/>
    <w:rsid w:val="00492AB9"/>
    <w:rsid w:val="0049360D"/>
    <w:rsid w:val="004A7188"/>
    <w:rsid w:val="004C6E3F"/>
    <w:rsid w:val="004D223D"/>
    <w:rsid w:val="004F3383"/>
    <w:rsid w:val="00501DAA"/>
    <w:rsid w:val="00511929"/>
    <w:rsid w:val="0051271D"/>
    <w:rsid w:val="00517A7D"/>
    <w:rsid w:val="005377ED"/>
    <w:rsid w:val="00542590"/>
    <w:rsid w:val="00547469"/>
    <w:rsid w:val="00554D0D"/>
    <w:rsid w:val="00557741"/>
    <w:rsid w:val="00557B16"/>
    <w:rsid w:val="005644EA"/>
    <w:rsid w:val="00572934"/>
    <w:rsid w:val="005762CD"/>
    <w:rsid w:val="0058210B"/>
    <w:rsid w:val="00583FAA"/>
    <w:rsid w:val="00585304"/>
    <w:rsid w:val="00587780"/>
    <w:rsid w:val="00595A26"/>
    <w:rsid w:val="00597DFE"/>
    <w:rsid w:val="005B38BB"/>
    <w:rsid w:val="005B4253"/>
    <w:rsid w:val="005B4665"/>
    <w:rsid w:val="005D1326"/>
    <w:rsid w:val="005D2F75"/>
    <w:rsid w:val="005D4C62"/>
    <w:rsid w:val="005E3A81"/>
    <w:rsid w:val="005E413E"/>
    <w:rsid w:val="005E6B35"/>
    <w:rsid w:val="005E7011"/>
    <w:rsid w:val="005F4E9E"/>
    <w:rsid w:val="00601358"/>
    <w:rsid w:val="00601431"/>
    <w:rsid w:val="00601AB0"/>
    <w:rsid w:val="00603DE1"/>
    <w:rsid w:val="00606B58"/>
    <w:rsid w:val="00617AA0"/>
    <w:rsid w:val="00622AE3"/>
    <w:rsid w:val="006366D4"/>
    <w:rsid w:val="006416C6"/>
    <w:rsid w:val="0064335D"/>
    <w:rsid w:val="00643E48"/>
    <w:rsid w:val="00645161"/>
    <w:rsid w:val="0064703E"/>
    <w:rsid w:val="006606EB"/>
    <w:rsid w:val="00677B38"/>
    <w:rsid w:val="006802DA"/>
    <w:rsid w:val="0068685D"/>
    <w:rsid w:val="00696563"/>
    <w:rsid w:val="006978D1"/>
    <w:rsid w:val="006A338D"/>
    <w:rsid w:val="006B3174"/>
    <w:rsid w:val="006B4CB7"/>
    <w:rsid w:val="006C2D93"/>
    <w:rsid w:val="006E601D"/>
    <w:rsid w:val="006F3283"/>
    <w:rsid w:val="007002A2"/>
    <w:rsid w:val="00700CBC"/>
    <w:rsid w:val="007025C8"/>
    <w:rsid w:val="00703413"/>
    <w:rsid w:val="00704F44"/>
    <w:rsid w:val="0070649C"/>
    <w:rsid w:val="0071669B"/>
    <w:rsid w:val="007222A5"/>
    <w:rsid w:val="007622B0"/>
    <w:rsid w:val="00765A8F"/>
    <w:rsid w:val="0077350A"/>
    <w:rsid w:val="00781C14"/>
    <w:rsid w:val="00785C7F"/>
    <w:rsid w:val="00786DA6"/>
    <w:rsid w:val="00787287"/>
    <w:rsid w:val="00793A59"/>
    <w:rsid w:val="00794878"/>
    <w:rsid w:val="007969AC"/>
    <w:rsid w:val="007A75A7"/>
    <w:rsid w:val="007A7644"/>
    <w:rsid w:val="007B5390"/>
    <w:rsid w:val="007B7883"/>
    <w:rsid w:val="007C0134"/>
    <w:rsid w:val="007D449F"/>
    <w:rsid w:val="007E1BC7"/>
    <w:rsid w:val="007F5606"/>
    <w:rsid w:val="00803CE3"/>
    <w:rsid w:val="008055EF"/>
    <w:rsid w:val="0081335E"/>
    <w:rsid w:val="0083291E"/>
    <w:rsid w:val="00834CFC"/>
    <w:rsid w:val="008430FF"/>
    <w:rsid w:val="008459BD"/>
    <w:rsid w:val="00846BD0"/>
    <w:rsid w:val="0084735B"/>
    <w:rsid w:val="00847F72"/>
    <w:rsid w:val="00852280"/>
    <w:rsid w:val="0087225C"/>
    <w:rsid w:val="00880D9F"/>
    <w:rsid w:val="00882B11"/>
    <w:rsid w:val="0088346C"/>
    <w:rsid w:val="008854F5"/>
    <w:rsid w:val="00894E1D"/>
    <w:rsid w:val="008A0F08"/>
    <w:rsid w:val="008A7FED"/>
    <w:rsid w:val="008B1BAF"/>
    <w:rsid w:val="008B3C01"/>
    <w:rsid w:val="008C098F"/>
    <w:rsid w:val="008C1C48"/>
    <w:rsid w:val="008C485A"/>
    <w:rsid w:val="008D11D2"/>
    <w:rsid w:val="008D12FE"/>
    <w:rsid w:val="008D1C54"/>
    <w:rsid w:val="008D5908"/>
    <w:rsid w:val="008E11A7"/>
    <w:rsid w:val="009037FC"/>
    <w:rsid w:val="00914305"/>
    <w:rsid w:val="00921C8B"/>
    <w:rsid w:val="0092269E"/>
    <w:rsid w:val="0092722A"/>
    <w:rsid w:val="009335E7"/>
    <w:rsid w:val="009373F0"/>
    <w:rsid w:val="00945EE8"/>
    <w:rsid w:val="00954028"/>
    <w:rsid w:val="009552B1"/>
    <w:rsid w:val="009637B5"/>
    <w:rsid w:val="009676AB"/>
    <w:rsid w:val="00967F61"/>
    <w:rsid w:val="00974B15"/>
    <w:rsid w:val="00975496"/>
    <w:rsid w:val="00986A48"/>
    <w:rsid w:val="009A0E90"/>
    <w:rsid w:val="009A18B1"/>
    <w:rsid w:val="009A3085"/>
    <w:rsid w:val="009A7F73"/>
    <w:rsid w:val="009B14CF"/>
    <w:rsid w:val="009C3871"/>
    <w:rsid w:val="009C421A"/>
    <w:rsid w:val="009C6979"/>
    <w:rsid w:val="009D0963"/>
    <w:rsid w:val="009D4C27"/>
    <w:rsid w:val="009E4CF1"/>
    <w:rsid w:val="009F3AB1"/>
    <w:rsid w:val="009F584F"/>
    <w:rsid w:val="00A2084B"/>
    <w:rsid w:val="00A241DE"/>
    <w:rsid w:val="00A27E79"/>
    <w:rsid w:val="00A361E8"/>
    <w:rsid w:val="00A4105E"/>
    <w:rsid w:val="00A43780"/>
    <w:rsid w:val="00A658F8"/>
    <w:rsid w:val="00A65929"/>
    <w:rsid w:val="00A67C77"/>
    <w:rsid w:val="00A84868"/>
    <w:rsid w:val="00A93EBB"/>
    <w:rsid w:val="00AB00D1"/>
    <w:rsid w:val="00AB0A09"/>
    <w:rsid w:val="00AC0608"/>
    <w:rsid w:val="00AC63FE"/>
    <w:rsid w:val="00AD768C"/>
    <w:rsid w:val="00AE1FB1"/>
    <w:rsid w:val="00AE37CB"/>
    <w:rsid w:val="00AF3AE3"/>
    <w:rsid w:val="00AF5F23"/>
    <w:rsid w:val="00B04589"/>
    <w:rsid w:val="00B24EBA"/>
    <w:rsid w:val="00B26F34"/>
    <w:rsid w:val="00B30B80"/>
    <w:rsid w:val="00B32B0A"/>
    <w:rsid w:val="00B6000E"/>
    <w:rsid w:val="00B62FE5"/>
    <w:rsid w:val="00B63931"/>
    <w:rsid w:val="00B77FD4"/>
    <w:rsid w:val="00B82DB5"/>
    <w:rsid w:val="00B9079C"/>
    <w:rsid w:val="00B9760B"/>
    <w:rsid w:val="00BB2F40"/>
    <w:rsid w:val="00BB3AC4"/>
    <w:rsid w:val="00BB595F"/>
    <w:rsid w:val="00BC0B15"/>
    <w:rsid w:val="00BC7437"/>
    <w:rsid w:val="00BD0B1B"/>
    <w:rsid w:val="00BD773F"/>
    <w:rsid w:val="00BE6737"/>
    <w:rsid w:val="00BF3D66"/>
    <w:rsid w:val="00BF51CD"/>
    <w:rsid w:val="00C040AF"/>
    <w:rsid w:val="00C05859"/>
    <w:rsid w:val="00C05D24"/>
    <w:rsid w:val="00C07DC0"/>
    <w:rsid w:val="00C07F8E"/>
    <w:rsid w:val="00C234D7"/>
    <w:rsid w:val="00C356DA"/>
    <w:rsid w:val="00C35D21"/>
    <w:rsid w:val="00C40D4D"/>
    <w:rsid w:val="00C470CA"/>
    <w:rsid w:val="00C62D42"/>
    <w:rsid w:val="00C62DAB"/>
    <w:rsid w:val="00C65166"/>
    <w:rsid w:val="00C75274"/>
    <w:rsid w:val="00C85FB5"/>
    <w:rsid w:val="00C868A4"/>
    <w:rsid w:val="00C91FC2"/>
    <w:rsid w:val="00C92572"/>
    <w:rsid w:val="00C97D7E"/>
    <w:rsid w:val="00CB3961"/>
    <w:rsid w:val="00CC1BEE"/>
    <w:rsid w:val="00CD101A"/>
    <w:rsid w:val="00CD1AB0"/>
    <w:rsid w:val="00CD1ECC"/>
    <w:rsid w:val="00CE07AC"/>
    <w:rsid w:val="00CE1B36"/>
    <w:rsid w:val="00CE3D77"/>
    <w:rsid w:val="00CE7D8C"/>
    <w:rsid w:val="00CF4115"/>
    <w:rsid w:val="00D038C3"/>
    <w:rsid w:val="00D0632F"/>
    <w:rsid w:val="00D11A79"/>
    <w:rsid w:val="00D16A7B"/>
    <w:rsid w:val="00D24C2A"/>
    <w:rsid w:val="00D274CD"/>
    <w:rsid w:val="00D3144D"/>
    <w:rsid w:val="00D3717A"/>
    <w:rsid w:val="00D66A40"/>
    <w:rsid w:val="00D720DC"/>
    <w:rsid w:val="00D76A91"/>
    <w:rsid w:val="00D806B4"/>
    <w:rsid w:val="00D94EDD"/>
    <w:rsid w:val="00DA2F37"/>
    <w:rsid w:val="00DB2575"/>
    <w:rsid w:val="00DB3CC6"/>
    <w:rsid w:val="00DC17F1"/>
    <w:rsid w:val="00DC6BE7"/>
    <w:rsid w:val="00DD4778"/>
    <w:rsid w:val="00DE3AB1"/>
    <w:rsid w:val="00E00EC2"/>
    <w:rsid w:val="00E02836"/>
    <w:rsid w:val="00E057F6"/>
    <w:rsid w:val="00E14AC6"/>
    <w:rsid w:val="00E16164"/>
    <w:rsid w:val="00E215CD"/>
    <w:rsid w:val="00E248D1"/>
    <w:rsid w:val="00E252A3"/>
    <w:rsid w:val="00E26AEA"/>
    <w:rsid w:val="00E4575C"/>
    <w:rsid w:val="00E465D2"/>
    <w:rsid w:val="00E50A2C"/>
    <w:rsid w:val="00E55EA8"/>
    <w:rsid w:val="00E56273"/>
    <w:rsid w:val="00E62FD8"/>
    <w:rsid w:val="00E64E88"/>
    <w:rsid w:val="00E658C8"/>
    <w:rsid w:val="00E71E37"/>
    <w:rsid w:val="00E978FA"/>
    <w:rsid w:val="00EA49A9"/>
    <w:rsid w:val="00EA6F3C"/>
    <w:rsid w:val="00ED4E67"/>
    <w:rsid w:val="00EF05AF"/>
    <w:rsid w:val="00EF19F7"/>
    <w:rsid w:val="00F03AC2"/>
    <w:rsid w:val="00F03FAC"/>
    <w:rsid w:val="00F0730A"/>
    <w:rsid w:val="00F07335"/>
    <w:rsid w:val="00F115EC"/>
    <w:rsid w:val="00F20F32"/>
    <w:rsid w:val="00F23C49"/>
    <w:rsid w:val="00F31DB7"/>
    <w:rsid w:val="00F35C6A"/>
    <w:rsid w:val="00F37F0F"/>
    <w:rsid w:val="00F56E59"/>
    <w:rsid w:val="00F62967"/>
    <w:rsid w:val="00F67E16"/>
    <w:rsid w:val="00F72962"/>
    <w:rsid w:val="00F84A14"/>
    <w:rsid w:val="00FA41CE"/>
    <w:rsid w:val="00FC4F6C"/>
    <w:rsid w:val="00FD32CB"/>
    <w:rsid w:val="00FD7AC9"/>
    <w:rsid w:val="00FE2261"/>
    <w:rsid w:val="00FF0B1D"/>
    <w:rsid w:val="00FF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C7A7B"/>
  <w15:docId w15:val="{A250A2E6-1476-490C-A298-96BC215A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781C14"/>
    <w:rPr>
      <w:rFonts w:ascii="Tahoma" w:hAnsi="Tahoma"/>
      <w:sz w:val="16"/>
      <w:szCs w:val="16"/>
      <w:lang w:val="x-none" w:eastAsia="x-none"/>
    </w:rPr>
  </w:style>
  <w:style w:type="character" w:customStyle="1" w:styleId="BalloonTextChar">
    <w:name w:val="Balloon Text Char"/>
    <w:link w:val="BalloonText"/>
    <w:rsid w:val="00781C14"/>
    <w:rPr>
      <w:rFonts w:ascii="Tahoma" w:hAnsi="Tahoma" w:cs="Tahoma"/>
      <w:sz w:val="16"/>
      <w:szCs w:val="16"/>
    </w:rPr>
  </w:style>
  <w:style w:type="paragraph" w:styleId="HTMLPreformatted">
    <w:name w:val="HTML Preformatted"/>
    <w:basedOn w:val="Normal"/>
    <w:link w:val="HTMLPreformattedChar"/>
    <w:uiPriority w:val="99"/>
    <w:unhideWhenUsed/>
    <w:rsid w:val="00557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57B16"/>
    <w:rPr>
      <w:rFonts w:ascii="Courier New" w:hAnsi="Courier New" w:cs="Courier New"/>
    </w:rPr>
  </w:style>
  <w:style w:type="paragraph" w:customStyle="1" w:styleId="indent">
    <w:name w:val="indent"/>
    <w:basedOn w:val="Normal"/>
    <w:rsid w:val="00967F61"/>
    <w:pPr>
      <w:numPr>
        <w:numId w:val="23"/>
      </w:numPr>
      <w:spacing w:before="20" w:after="120" w:line="200" w:lineRule="atLeast"/>
    </w:pPr>
    <w:rPr>
      <w:rFonts w:ascii="Optim" w:hAnsi="Optim"/>
    </w:rPr>
  </w:style>
  <w:style w:type="paragraph" w:styleId="ListParagraph">
    <w:name w:val="List Paragraph"/>
    <w:basedOn w:val="Normal"/>
    <w:uiPriority w:val="34"/>
    <w:qFormat/>
    <w:rsid w:val="008C098F"/>
    <w:pPr>
      <w:ind w:left="720"/>
    </w:pPr>
  </w:style>
  <w:style w:type="character" w:styleId="CommentReference">
    <w:name w:val="annotation reference"/>
    <w:uiPriority w:val="99"/>
    <w:rsid w:val="00FC4F6C"/>
    <w:rPr>
      <w:sz w:val="16"/>
      <w:szCs w:val="16"/>
    </w:rPr>
  </w:style>
  <w:style w:type="paragraph" w:styleId="CommentText">
    <w:name w:val="annotation text"/>
    <w:basedOn w:val="Normal"/>
    <w:link w:val="CommentTextChar"/>
    <w:uiPriority w:val="99"/>
    <w:rsid w:val="00FC4F6C"/>
  </w:style>
  <w:style w:type="character" w:customStyle="1" w:styleId="CommentTextChar">
    <w:name w:val="Comment Text Char"/>
    <w:basedOn w:val="DefaultParagraphFont"/>
    <w:link w:val="CommentText"/>
    <w:uiPriority w:val="99"/>
    <w:rsid w:val="00FC4F6C"/>
  </w:style>
  <w:style w:type="paragraph" w:styleId="CommentSubject">
    <w:name w:val="annotation subject"/>
    <w:basedOn w:val="CommentText"/>
    <w:next w:val="CommentText"/>
    <w:link w:val="CommentSubjectChar"/>
    <w:rsid w:val="00FC4F6C"/>
    <w:rPr>
      <w:b/>
      <w:bCs/>
      <w:lang w:val="x-none" w:eastAsia="x-none"/>
    </w:rPr>
  </w:style>
  <w:style w:type="character" w:customStyle="1" w:styleId="CommentSubjectChar">
    <w:name w:val="Comment Subject Char"/>
    <w:link w:val="CommentSubject"/>
    <w:rsid w:val="00FC4F6C"/>
    <w:rPr>
      <w:b/>
      <w:bCs/>
    </w:rPr>
  </w:style>
  <w:style w:type="paragraph" w:styleId="Revision">
    <w:name w:val="Revision"/>
    <w:hidden/>
    <w:uiPriority w:val="99"/>
    <w:semiHidden/>
    <w:rsid w:val="004705F0"/>
  </w:style>
  <w:style w:type="table" w:styleId="TableGrid">
    <w:name w:val="Table Grid"/>
    <w:basedOn w:val="TableNormal"/>
    <w:rsid w:val="009D0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B5390"/>
    <w:rPr>
      <w:color w:val="0000FF"/>
      <w:u w:val="single"/>
    </w:rPr>
  </w:style>
  <w:style w:type="table" w:customStyle="1" w:styleId="TableGrid1">
    <w:name w:val="Table Grid1"/>
    <w:basedOn w:val="TableNormal"/>
    <w:next w:val="TableGrid"/>
    <w:uiPriority w:val="59"/>
    <w:rsid w:val="00D806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DocParagraph">
    <w:name w:val="Num-Doc Paragraph"/>
    <w:link w:val="Num-DocParagraphChar1"/>
    <w:uiPriority w:val="99"/>
    <w:rsid w:val="00DB3CC6"/>
    <w:pPr>
      <w:spacing w:after="200" w:line="276" w:lineRule="auto"/>
    </w:pPr>
    <w:rPr>
      <w:rFonts w:ascii="Calibri" w:eastAsia="Calibri" w:hAnsi="Calibri" w:cs="Calibri"/>
      <w:sz w:val="22"/>
      <w:szCs w:val="22"/>
    </w:rPr>
  </w:style>
  <w:style w:type="character" w:customStyle="1" w:styleId="Num-DocParagraphChar1">
    <w:name w:val="Num-Doc Paragraph Char1"/>
    <w:basedOn w:val="DefaultParagraphFont"/>
    <w:link w:val="Num-DocParagraph"/>
    <w:uiPriority w:val="99"/>
    <w:rsid w:val="00DB3CC6"/>
    <w:rPr>
      <w:rFonts w:ascii="Calibri" w:eastAsia="Calibri" w:hAnsi="Calibri" w:cs="Calibri"/>
      <w:sz w:val="22"/>
      <w:szCs w:val="22"/>
    </w:rPr>
  </w:style>
  <w:style w:type="character" w:styleId="FollowedHyperlink">
    <w:name w:val="FollowedHyperlink"/>
    <w:basedOn w:val="DefaultParagraphFont"/>
    <w:semiHidden/>
    <w:unhideWhenUsed/>
    <w:rsid w:val="007969AC"/>
    <w:rPr>
      <w:color w:val="800080" w:themeColor="followedHyperlink"/>
      <w:u w:val="single"/>
    </w:rPr>
  </w:style>
  <w:style w:type="paragraph" w:styleId="Header">
    <w:name w:val="header"/>
    <w:basedOn w:val="Normal"/>
    <w:link w:val="HeaderChar"/>
    <w:unhideWhenUsed/>
    <w:rsid w:val="00DE3AB1"/>
    <w:pPr>
      <w:tabs>
        <w:tab w:val="center" w:pos="4680"/>
        <w:tab w:val="right" w:pos="9360"/>
      </w:tabs>
    </w:pPr>
  </w:style>
  <w:style w:type="character" w:customStyle="1" w:styleId="HeaderChar">
    <w:name w:val="Header Char"/>
    <w:basedOn w:val="DefaultParagraphFont"/>
    <w:link w:val="Header"/>
    <w:rsid w:val="00DE3AB1"/>
  </w:style>
  <w:style w:type="paragraph" w:styleId="Footer">
    <w:name w:val="footer"/>
    <w:basedOn w:val="Normal"/>
    <w:link w:val="FooterChar"/>
    <w:uiPriority w:val="99"/>
    <w:unhideWhenUsed/>
    <w:rsid w:val="00DE3AB1"/>
    <w:pPr>
      <w:tabs>
        <w:tab w:val="center" w:pos="4680"/>
        <w:tab w:val="right" w:pos="9360"/>
      </w:tabs>
    </w:pPr>
  </w:style>
  <w:style w:type="character" w:customStyle="1" w:styleId="FooterChar">
    <w:name w:val="Footer Char"/>
    <w:basedOn w:val="DefaultParagraphFont"/>
    <w:link w:val="Footer"/>
    <w:uiPriority w:val="99"/>
    <w:rsid w:val="00DE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918968">
      <w:bodyDiv w:val="1"/>
      <w:marLeft w:val="0"/>
      <w:marRight w:val="0"/>
      <w:marTop w:val="0"/>
      <w:marBottom w:val="0"/>
      <w:divBdr>
        <w:top w:val="none" w:sz="0" w:space="0" w:color="auto"/>
        <w:left w:val="none" w:sz="0" w:space="0" w:color="auto"/>
        <w:bottom w:val="none" w:sz="0" w:space="0" w:color="auto"/>
        <w:right w:val="none" w:sz="0" w:space="0" w:color="auto"/>
      </w:divBdr>
    </w:div>
    <w:div w:id="1754472077">
      <w:bodyDiv w:val="1"/>
      <w:marLeft w:val="0"/>
      <w:marRight w:val="0"/>
      <w:marTop w:val="0"/>
      <w:marBottom w:val="0"/>
      <w:divBdr>
        <w:top w:val="none" w:sz="0" w:space="0" w:color="auto"/>
        <w:left w:val="none" w:sz="0" w:space="0" w:color="auto"/>
        <w:bottom w:val="none" w:sz="0" w:space="0" w:color="auto"/>
        <w:right w:val="none" w:sz="0" w:space="0" w:color="auto"/>
      </w:divBdr>
    </w:div>
    <w:div w:id="19057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up.org/our-work/research/annual-report-economic-status-profess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831BB-672E-4540-97AB-1765044E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4952</Words>
  <Characters>28232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ERS/USDA</Company>
  <LinksUpToDate>false</LinksUpToDate>
  <CharactersWithSpaces>33118</CharactersWithSpaces>
  <SharedDoc>false</SharedDoc>
  <HLinks>
    <vt:vector size="6" baseType="variant">
      <vt:variant>
        <vt:i4>4128877</vt:i4>
      </vt:variant>
      <vt:variant>
        <vt:i4>0</vt:i4>
      </vt:variant>
      <vt:variant>
        <vt:i4>0</vt:i4>
      </vt:variant>
      <vt:variant>
        <vt:i4>5</vt:i4>
      </vt:variant>
      <vt:variant>
        <vt:lpwstr>http://www.aaup.org/our-work/research/annual-report-economic-status-profession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nsternberg</dc:creator>
  <cp:lastModifiedBy>Weidman, Pheny - ERS</cp:lastModifiedBy>
  <cp:revision>6</cp:revision>
  <cp:lastPrinted>2017-03-09T16:52:00Z</cp:lastPrinted>
  <dcterms:created xsi:type="dcterms:W3CDTF">2017-04-17T18:54:00Z</dcterms:created>
  <dcterms:modified xsi:type="dcterms:W3CDTF">2017-04-18T19:53:00Z</dcterms:modified>
</cp:coreProperties>
</file>