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2C" w:rsidRPr="00750ADC" w:rsidRDefault="009E142C" w:rsidP="009E142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Attachment </w:t>
      </w:r>
      <w:r w:rsidR="00BB20C6">
        <w:rPr>
          <w:b/>
          <w:sz w:val="24"/>
          <w:szCs w:val="24"/>
        </w:rPr>
        <w:t>L</w:t>
      </w:r>
    </w:p>
    <w:p w:rsidR="009E142C" w:rsidRPr="00750ADC" w:rsidRDefault="009E142C" w:rsidP="009E142C">
      <w:pPr>
        <w:pStyle w:val="NoSpacing"/>
        <w:jc w:val="center"/>
        <w:rPr>
          <w:b/>
          <w:sz w:val="24"/>
          <w:szCs w:val="24"/>
        </w:rPr>
      </w:pPr>
    </w:p>
    <w:p w:rsidR="009E142C" w:rsidRPr="00750ADC" w:rsidRDefault="009E142C" w:rsidP="009E142C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Department of Commerce</w:t>
      </w:r>
    </w:p>
    <w:p w:rsidR="009E142C" w:rsidRPr="00750ADC" w:rsidRDefault="009E142C" w:rsidP="009E142C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United States Census Bureau</w:t>
      </w:r>
    </w:p>
    <w:p w:rsidR="009E142C" w:rsidRPr="00750ADC" w:rsidRDefault="009E142C" w:rsidP="009E142C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OMB Information Collection Request</w:t>
      </w:r>
    </w:p>
    <w:p w:rsidR="009E142C" w:rsidRPr="00750ADC" w:rsidRDefault="009E142C" w:rsidP="009E142C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2017 Economic Cens</w:t>
      </w:r>
      <w:bookmarkStart w:id="0" w:name="_GoBack"/>
      <w:bookmarkEnd w:id="0"/>
      <w:r w:rsidRPr="00750ADC">
        <w:rPr>
          <w:b/>
          <w:sz w:val="24"/>
          <w:szCs w:val="24"/>
        </w:rPr>
        <w:t>us</w:t>
      </w:r>
    </w:p>
    <w:p w:rsidR="009E142C" w:rsidRDefault="009E142C" w:rsidP="009E142C">
      <w:pPr>
        <w:pStyle w:val="NoSpacing"/>
        <w:jc w:val="center"/>
        <w:rPr>
          <w:b/>
          <w:sz w:val="24"/>
          <w:szCs w:val="24"/>
        </w:rPr>
      </w:pPr>
      <w:r w:rsidRPr="00750ADC">
        <w:rPr>
          <w:b/>
          <w:sz w:val="24"/>
          <w:szCs w:val="24"/>
        </w:rPr>
        <w:t>OMB Control Number 0607-XXXX</w:t>
      </w:r>
    </w:p>
    <w:p w:rsidR="009E142C" w:rsidRDefault="009E142C" w:rsidP="009E142C">
      <w:pPr>
        <w:pStyle w:val="NoSpacing"/>
        <w:jc w:val="center"/>
        <w:rPr>
          <w:b/>
          <w:sz w:val="24"/>
          <w:szCs w:val="24"/>
        </w:rPr>
      </w:pPr>
    </w:p>
    <w:p w:rsidR="009E142C" w:rsidRDefault="00BB20C6" w:rsidP="009E142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Contract Strategies Testing</w:t>
      </w: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5C1786" w:rsidRDefault="005C1786" w:rsidP="009E142C">
      <w:pPr>
        <w:pStyle w:val="NoSpacing"/>
        <w:jc w:val="center"/>
        <w:rPr>
          <w:b/>
          <w:sz w:val="24"/>
          <w:szCs w:val="24"/>
        </w:rPr>
      </w:pPr>
    </w:p>
    <w:p w:rsidR="00281FEE" w:rsidRDefault="007B1B4F"/>
    <w:tbl>
      <w:tblPr>
        <w:tblStyle w:val="MediumShading1-Accent1"/>
        <w:tblW w:w="10015" w:type="dxa"/>
        <w:tblLook w:val="04A0" w:firstRow="1" w:lastRow="0" w:firstColumn="1" w:lastColumn="0" w:noHBand="0" w:noVBand="1"/>
      </w:tblPr>
      <w:tblGrid>
        <w:gridCol w:w="1887"/>
        <w:gridCol w:w="83"/>
        <w:gridCol w:w="3060"/>
        <w:gridCol w:w="2257"/>
        <w:gridCol w:w="90"/>
        <w:gridCol w:w="96"/>
        <w:gridCol w:w="2542"/>
      </w:tblGrid>
      <w:tr w:rsidR="005C1786" w:rsidRPr="009F079C" w:rsidTr="00561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786" w:rsidRPr="007B1B4F" w:rsidRDefault="005C1786" w:rsidP="00561AD5">
            <w:pPr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B1B4F">
              <w:rPr>
                <w:rFonts w:ascii="Times New Roman" w:hAnsi="Times New Roman"/>
                <w:b w:val="0"/>
                <w:color w:val="auto"/>
                <w:szCs w:val="24"/>
              </w:rPr>
              <w:lastRenderedPageBreak/>
              <w:t>Component of the Collection Strategy</w:t>
            </w:r>
          </w:p>
        </w:tc>
        <w:tc>
          <w:tcPr>
            <w:tcW w:w="3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786" w:rsidRPr="007B1B4F" w:rsidRDefault="005C1786" w:rsidP="0056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B1B4F">
              <w:rPr>
                <w:rFonts w:ascii="Times New Roman" w:hAnsi="Times New Roman"/>
                <w:b w:val="0"/>
                <w:color w:val="auto"/>
                <w:szCs w:val="24"/>
              </w:rPr>
              <w:t>Survey Collection and Treatment(s) Tested</w:t>
            </w:r>
          </w:p>
        </w:tc>
        <w:tc>
          <w:tcPr>
            <w:tcW w:w="24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786" w:rsidRPr="007B1B4F" w:rsidRDefault="005C1786" w:rsidP="0056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B1B4F">
              <w:rPr>
                <w:rFonts w:ascii="Times New Roman" w:hAnsi="Times New Roman"/>
                <w:b w:val="0"/>
                <w:color w:val="auto"/>
                <w:szCs w:val="24"/>
              </w:rPr>
              <w:t>Summary of Results</w:t>
            </w:r>
          </w:p>
        </w:tc>
        <w:tc>
          <w:tcPr>
            <w:tcW w:w="25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1786" w:rsidRPr="007B1B4F" w:rsidRDefault="005C1786" w:rsidP="00561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B1B4F">
              <w:rPr>
                <w:rFonts w:ascii="Times New Roman" w:hAnsi="Times New Roman"/>
                <w:b w:val="0"/>
                <w:color w:val="auto"/>
                <w:szCs w:val="24"/>
              </w:rPr>
              <w:t>Implementation Decision</w:t>
            </w:r>
          </w:p>
        </w:tc>
      </w:tr>
      <w:tr w:rsidR="005C1786" w:rsidRPr="009F079C" w:rsidTr="0056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top w:val="double" w:sz="4" w:space="0" w:color="auto"/>
            </w:tcBorders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 xml:space="preserve">Advance notice 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1</w:t>
            </w:r>
          </w:p>
        </w:tc>
        <w:tc>
          <w:tcPr>
            <w:tcW w:w="3143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2012 Economic Census:</w:t>
            </w:r>
          </w:p>
          <w:p w:rsidR="005C1786" w:rsidRPr="009F079C" w:rsidRDefault="005C1786" w:rsidP="00561AD5">
            <w:pPr>
              <w:numPr>
                <w:ilvl w:val="0"/>
                <w:numId w:val="7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Advance letter tested among SUs in industries with historically low response rates.</w:t>
            </w:r>
          </w:p>
          <w:p w:rsidR="005C1786" w:rsidRPr="009F079C" w:rsidRDefault="005C1786" w:rsidP="00561AD5">
            <w:pPr>
              <w:numPr>
                <w:ilvl w:val="0"/>
                <w:numId w:val="7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Advance request to verify contact information tested among MUs with fewer than 1,000 employees.  </w:t>
            </w:r>
          </w:p>
        </w:tc>
        <w:tc>
          <w:tcPr>
            <w:tcW w:w="2443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Differences in check-in rates were not statistically significant for either experiment.</w:t>
            </w:r>
          </w:p>
        </w:tc>
        <w:tc>
          <w:tcPr>
            <w:tcW w:w="2542" w:type="dxa"/>
            <w:tcBorders>
              <w:top w:val="double" w:sz="4" w:space="0" w:color="auto"/>
            </w:tcBorders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No.  However, Account Managers will contact selected large MUs in advance of mailout. (See Section 3 subsection on “Outreach”)</w:t>
            </w:r>
          </w:p>
        </w:tc>
      </w:tr>
      <w:tr w:rsidR="005C1786" w:rsidRPr="009F079C" w:rsidTr="00561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>Full-scale pilot of later mailout and due date</w:t>
            </w:r>
          </w:p>
        </w:tc>
        <w:tc>
          <w:tcPr>
            <w:tcW w:w="3143" w:type="dxa"/>
            <w:gridSpan w:val="2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2015 ASM: </w:t>
            </w:r>
          </w:p>
          <w:p w:rsidR="005C1786" w:rsidRPr="009F079C" w:rsidRDefault="005C1786" w:rsidP="00561AD5">
            <w:pPr>
              <w:numPr>
                <w:ilvl w:val="0"/>
                <w:numId w:val="1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Initial mailout date moved to Late January of year following reference year rather than Late December of reference year.</w:t>
            </w:r>
          </w:p>
          <w:p w:rsidR="005C1786" w:rsidRPr="009F079C" w:rsidRDefault="005C1786" w:rsidP="00561AD5">
            <w:pPr>
              <w:numPr>
                <w:ilvl w:val="0"/>
                <w:numId w:val="1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Selected large MUs were offered a later due date (in May 2016) than SUs and smaller MUs, whose due date was mid-March 2016.  </w:t>
            </w:r>
          </w:p>
        </w:tc>
        <w:tc>
          <w:tcPr>
            <w:tcW w:w="2443" w:type="dxa"/>
            <w:gridSpan w:val="3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May 2016 due date for large MUs resulted in later 2015 ASM responses compared to 2014 ASM reporting. </w:t>
            </w:r>
          </w:p>
        </w:tc>
        <w:tc>
          <w:tcPr>
            <w:tcW w:w="2542" w:type="dxa"/>
            <w:hideMark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Partial implementation, consisting of late January mailout and mid-March due date for all units.</w:t>
            </w:r>
          </w:p>
        </w:tc>
      </w:tr>
      <w:tr w:rsidR="005C1786" w:rsidRPr="009F079C" w:rsidTr="0056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 xml:space="preserve">Due date reminder 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Quarterly Survey of Business Professional &amp; Classification (SQ-CLASS) (reference period = 2014 2</w:t>
            </w:r>
            <w:r w:rsidRPr="009F079C">
              <w:rPr>
                <w:rFonts w:ascii="Times New Roman" w:hAnsi="Times New Roman"/>
                <w:szCs w:val="24"/>
                <w:vertAlign w:val="superscript"/>
              </w:rPr>
              <w:t>nd</w:t>
            </w:r>
            <w:r w:rsidRPr="009F079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F079C">
              <w:rPr>
                <w:rFonts w:ascii="Times New Roman" w:hAnsi="Times New Roman"/>
                <w:szCs w:val="24"/>
              </w:rPr>
              <w:t>qtr</w:t>
            </w:r>
            <w:proofErr w:type="spellEnd"/>
            <w:r w:rsidRPr="009F079C">
              <w:rPr>
                <w:rFonts w:ascii="Times New Roman" w:hAnsi="Times New Roman"/>
                <w:szCs w:val="24"/>
              </w:rPr>
              <w:t>):</w:t>
            </w:r>
          </w:p>
          <w:p w:rsidR="005C1786" w:rsidRPr="009F079C" w:rsidRDefault="005C1786" w:rsidP="00561AD5">
            <w:pPr>
              <w:numPr>
                <w:ilvl w:val="0"/>
                <w:numId w:val="9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Reminder letter mailed 3 weeks prior to survey due date</w:t>
            </w:r>
          </w:p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2014 ARTS:</w:t>
            </w:r>
          </w:p>
          <w:p w:rsidR="005C1786" w:rsidRPr="009F079C" w:rsidRDefault="005C1786" w:rsidP="00561AD5">
            <w:pPr>
              <w:numPr>
                <w:ilvl w:val="0"/>
                <w:numId w:val="10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Reminder letter mailed 2 weeks prior to survey due date</w:t>
            </w:r>
          </w:p>
        </w:tc>
        <w:tc>
          <w:tcPr>
            <w:tcW w:w="2443" w:type="dxa"/>
            <w:gridSpan w:val="3"/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Improved timeliness and statistically significant increase in response maintained through to the end of the collection period.</w:t>
            </w:r>
          </w:p>
        </w:tc>
        <w:tc>
          <w:tcPr>
            <w:tcW w:w="2542" w:type="dxa"/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Yes. Improved check-in rate and increased timeliness of response provides data collection cost savings since fewer cases require more expensive follow-up techniques (e.g., certified mail and telephone follow-up).</w:t>
            </w:r>
          </w:p>
        </w:tc>
      </w:tr>
      <w:tr w:rsidR="005C1786" w:rsidRPr="009F079C" w:rsidTr="00561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 xml:space="preserve">Accelerated follow-up with and without due date reminder 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143" w:type="dxa"/>
            <w:gridSpan w:val="2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2014 ARTS:</w:t>
            </w:r>
          </w:p>
          <w:p w:rsidR="005C1786" w:rsidRPr="009F079C" w:rsidRDefault="005C1786" w:rsidP="00561AD5">
            <w:pPr>
              <w:numPr>
                <w:ilvl w:val="0"/>
                <w:numId w:val="2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1</w:t>
            </w:r>
            <w:r w:rsidRPr="009F079C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Pr="009F079C">
              <w:rPr>
                <w:rFonts w:ascii="Times New Roman" w:hAnsi="Times New Roman"/>
                <w:szCs w:val="24"/>
              </w:rPr>
              <w:t xml:space="preserve"> nonresponse post-due-date follow-up reminder letter mailed 2 weeks earlier than traditional mail follow-up</w:t>
            </w:r>
          </w:p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3" w:type="dxa"/>
            <w:gridSpan w:val="3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Improved timeliness and statistically significant increase in response maintained through to the end of the collection period.</w:t>
            </w:r>
          </w:p>
        </w:tc>
        <w:tc>
          <w:tcPr>
            <w:tcW w:w="2542" w:type="dxa"/>
            <w:hideMark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Yes. Improved check-in rate and increased timeliness of response provides data collection cost savings, reducing number of cases requiring more expensive follow-up (e.g., certified mail and telephone).</w:t>
            </w:r>
          </w:p>
        </w:tc>
      </w:tr>
      <w:tr w:rsidR="005C1786" w:rsidRPr="009F079C" w:rsidTr="0056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lastRenderedPageBreak/>
              <w:t xml:space="preserve">Red ink on envelopes 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2014 AWTS:</w:t>
            </w:r>
          </w:p>
          <w:p w:rsidR="005C1786" w:rsidRPr="009F079C" w:rsidRDefault="005C1786" w:rsidP="00561AD5">
            <w:pPr>
              <w:numPr>
                <w:ilvl w:val="0"/>
                <w:numId w:val="2"/>
              </w:numPr>
              <w:ind w:left="156" w:hanging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Using red ink versus standard black ink for imprinted due date / past due notice on the envelope.  Applied in initial mail and all NR follow-up reminders.</w:t>
            </w:r>
          </w:p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3" w:type="dxa"/>
            <w:gridSpan w:val="3"/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Overall difference in check-in rates not statistically significant. However, statistically significant interaction effects of red ink treatment with selected subgroups:</w:t>
            </w:r>
          </w:p>
          <w:p w:rsidR="005C1786" w:rsidRPr="009F079C" w:rsidRDefault="005C1786" w:rsidP="00561AD5">
            <w:pPr>
              <w:numPr>
                <w:ilvl w:val="0"/>
                <w:numId w:val="2"/>
              </w:numPr>
              <w:ind w:left="262" w:hanging="2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Increased check-in rate among prior nonrespondents compared to prior respondents</w:t>
            </w:r>
          </w:p>
          <w:p w:rsidR="005C1786" w:rsidRPr="009F079C" w:rsidRDefault="005C1786" w:rsidP="00561AD5">
            <w:pPr>
              <w:numPr>
                <w:ilvl w:val="0"/>
                <w:numId w:val="2"/>
              </w:numPr>
              <w:ind w:left="262" w:hanging="2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Increased check-in rate among selected industries</w:t>
            </w:r>
          </w:p>
        </w:tc>
        <w:tc>
          <w:tcPr>
            <w:tcW w:w="2542" w:type="dxa"/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Yes.  Using red ink for imprinted due date / past due notices on envelopes appears to improve response rates among certain subgroups, particularly prior NRs, without reducing response from other subgroups, and it is cost neutral.</w:t>
            </w:r>
          </w:p>
        </w:tc>
      </w:tr>
      <w:tr w:rsidR="005C1786" w:rsidRPr="009F079C" w:rsidTr="00561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 xml:space="preserve">Half-page envelope size 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143" w:type="dxa"/>
            <w:gridSpan w:val="2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2015 ARTS:</w:t>
            </w:r>
          </w:p>
          <w:p w:rsidR="005C1786" w:rsidRPr="009F079C" w:rsidRDefault="005C1786" w:rsidP="00561AD5">
            <w:pPr>
              <w:numPr>
                <w:ilvl w:val="0"/>
                <w:numId w:val="3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Findings from focus groups with past EC respondents suggested that a larger envelope may get respondents’ attention more effectively.  </w:t>
            </w:r>
          </w:p>
          <w:p w:rsidR="005C1786" w:rsidRPr="009F079C" w:rsidRDefault="005C1786" w:rsidP="00561AD5">
            <w:pPr>
              <w:numPr>
                <w:ilvl w:val="0"/>
                <w:numId w:val="3"/>
              </w:numPr>
              <w:ind w:left="156" w:hanging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Half-page-sized envelopes compared with standard letter-sized envelopes used in all mail contacts.</w:t>
            </w:r>
          </w:p>
        </w:tc>
        <w:tc>
          <w:tcPr>
            <w:tcW w:w="2443" w:type="dxa"/>
            <w:gridSpan w:val="3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Some statistically significant results, but of no practical significance:</w:t>
            </w:r>
          </w:p>
          <w:p w:rsidR="005C1786" w:rsidRPr="009F079C" w:rsidRDefault="005C1786" w:rsidP="00561AD5">
            <w:pPr>
              <w:numPr>
                <w:ilvl w:val="0"/>
                <w:numId w:val="5"/>
              </w:numPr>
              <w:ind w:left="165" w:hanging="1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Statistical significance in check-in rates only at due date, but not at close-out of data collection.</w:t>
            </w:r>
          </w:p>
          <w:p w:rsidR="005C1786" w:rsidRPr="009F079C" w:rsidRDefault="005C1786" w:rsidP="00561AD5">
            <w:pPr>
              <w:numPr>
                <w:ilvl w:val="0"/>
                <w:numId w:val="5"/>
              </w:numPr>
              <w:ind w:left="165" w:hanging="1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Statistically significant difference of ½ day, on average, between mail-out and receipt.   </w:t>
            </w:r>
          </w:p>
        </w:tc>
        <w:tc>
          <w:tcPr>
            <w:tcW w:w="2542" w:type="dxa"/>
            <w:hideMark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No.  Differences, if any, in overall or subgroup response of no practical significance.</w:t>
            </w:r>
          </w:p>
        </w:tc>
      </w:tr>
      <w:tr w:rsidR="005C1786" w:rsidRPr="009F079C" w:rsidTr="0056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>Messaging</w:t>
            </w:r>
          </w:p>
        </w:tc>
        <w:tc>
          <w:tcPr>
            <w:tcW w:w="3143" w:type="dxa"/>
            <w:gridSpan w:val="2"/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2014 COS/ASM:</w:t>
            </w:r>
          </w:p>
          <w:p w:rsidR="005C1786" w:rsidRPr="009F079C" w:rsidRDefault="005C1786" w:rsidP="00561AD5">
            <w:pPr>
              <w:numPr>
                <w:ilvl w:val="0"/>
                <w:numId w:val="8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Emphasis on electronic reporting options versus standard messaging in letters</w:t>
            </w:r>
          </w:p>
          <w:p w:rsidR="005C1786" w:rsidRPr="009F079C" w:rsidRDefault="005C1786" w:rsidP="00561AD5">
            <w:pPr>
              <w:numPr>
                <w:ilvl w:val="0"/>
                <w:numId w:val="8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Emphasis on electronic. reporting options explained in letters versus placed in flyers.</w:t>
            </w:r>
          </w:p>
        </w:tc>
        <w:tc>
          <w:tcPr>
            <w:tcW w:w="2443" w:type="dxa"/>
            <w:gridSpan w:val="3"/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General improvement in uptake of electronic mode and decrease in requests for paper forms; statistical significance varies depending on whether cases are in COS only, in both COS and ASM, as well as employment size.</w:t>
            </w:r>
          </w:p>
        </w:tc>
        <w:tc>
          <w:tcPr>
            <w:tcW w:w="2542" w:type="dxa"/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Yes. Electronic reporting will be emphasized in letters, along with mandatory requirement, confidentiality pledges, purpose &amp; uses of data collected, per OMB requirements.</w:t>
            </w:r>
          </w:p>
        </w:tc>
      </w:tr>
      <w:tr w:rsidR="005C1786" w:rsidRPr="009F079C" w:rsidTr="00561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gridSpan w:val="2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lastRenderedPageBreak/>
              <w:t xml:space="preserve">Flyers 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2</w:t>
            </w:r>
          </w:p>
        </w:tc>
        <w:tc>
          <w:tcPr>
            <w:tcW w:w="3060" w:type="dxa"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2015 SAS:</w:t>
            </w:r>
          </w:p>
          <w:p w:rsidR="005C1786" w:rsidRPr="009F079C" w:rsidRDefault="005C1786" w:rsidP="00561AD5">
            <w:pPr>
              <w:numPr>
                <w:ilvl w:val="0"/>
                <w:numId w:val="6"/>
              </w:numPr>
              <w:ind w:left="15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Three treatments consisted of different flyers, each with a different type of motivational message, enclosed with initial and follow-up mailings.</w:t>
            </w:r>
          </w:p>
        </w:tc>
        <w:tc>
          <w:tcPr>
            <w:tcW w:w="2257" w:type="dxa"/>
          </w:tcPr>
          <w:p w:rsidR="005C1786" w:rsidRPr="009F079C" w:rsidRDefault="005C1786" w:rsidP="00561AD5">
            <w:pPr>
              <w:numPr>
                <w:ilvl w:val="0"/>
                <w:numId w:val="6"/>
              </w:numPr>
              <w:ind w:left="113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No statistically significant effect of flyers on check-in rates amongst prior NR or respondents.</w:t>
            </w:r>
          </w:p>
          <w:p w:rsidR="005C1786" w:rsidRPr="009F079C" w:rsidRDefault="005C1786" w:rsidP="00561AD5">
            <w:pPr>
              <w:numPr>
                <w:ilvl w:val="0"/>
                <w:numId w:val="6"/>
              </w:numPr>
              <w:ind w:left="113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Some small statistically significant, but inconsistent, improvements in check-in rates or response times for different flyers amongst different subgroups.</w:t>
            </w:r>
          </w:p>
        </w:tc>
        <w:tc>
          <w:tcPr>
            <w:tcW w:w="2728" w:type="dxa"/>
            <w:gridSpan w:val="3"/>
            <w:hideMark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No.  Including flyers in all mail contacts did not improve overall response.  Mixed results of different flyers with different industry subgroups is inefficient and not cost effective to implement in production.</w:t>
            </w:r>
          </w:p>
        </w:tc>
      </w:tr>
      <w:tr w:rsidR="005C1786" w:rsidRPr="009F079C" w:rsidTr="0056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bottom w:val="single" w:sz="8" w:space="0" w:color="84B3DF" w:themeColor="accent1" w:themeTint="BF"/>
            </w:tcBorders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t xml:space="preserve">Certified mail for targeted subsample of </w:t>
            </w:r>
            <w:r>
              <w:rPr>
                <w:rFonts w:ascii="Times New Roman" w:hAnsi="Times New Roman"/>
                <w:i/>
                <w:szCs w:val="24"/>
              </w:rPr>
              <w:t xml:space="preserve">SU </w:t>
            </w:r>
            <w:r w:rsidRPr="009F079C">
              <w:rPr>
                <w:rFonts w:ascii="Times New Roman" w:hAnsi="Times New Roman"/>
                <w:i/>
                <w:szCs w:val="24"/>
              </w:rPr>
              <w:t>nonrespondents</w:t>
            </w:r>
            <w:r w:rsidRPr="009F079C">
              <w:rPr>
                <w:rFonts w:ascii="Times New Roman" w:hAnsi="Times New Roman"/>
                <w:i/>
                <w:szCs w:val="24"/>
                <w:vertAlign w:val="superscript"/>
              </w:rPr>
              <w:t>3</w:t>
            </w:r>
          </w:p>
        </w:tc>
        <w:tc>
          <w:tcPr>
            <w:tcW w:w="3143" w:type="dxa"/>
            <w:gridSpan w:val="2"/>
            <w:tcBorders>
              <w:bottom w:val="single" w:sz="8" w:space="0" w:color="84B3DF" w:themeColor="accent1" w:themeTint="BF"/>
            </w:tcBorders>
            <w:shd w:val="clear" w:color="auto" w:fill="F2F2F2" w:themeFill="background1" w:themeFillShade="F2"/>
          </w:tcPr>
          <w:p w:rsidR="005C1786" w:rsidRPr="009F079C" w:rsidRDefault="005C1786" w:rsidP="00561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 xml:space="preserve">2015 ASM: </w:t>
            </w:r>
          </w:p>
          <w:p w:rsidR="005C1786" w:rsidRDefault="005C1786" w:rsidP="00561AD5">
            <w:pPr>
              <w:numPr>
                <w:ilvl w:val="0"/>
                <w:numId w:val="4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Compare use of certified mail follow-up amongst a targeted subsample of SU nonrespondents with non-targeted SU NR follow-up using regular 1</w:t>
            </w:r>
            <w:r w:rsidRPr="00E376BC">
              <w:rPr>
                <w:rFonts w:ascii="Times New Roman" w:hAnsi="Times New Roman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Cs w:val="24"/>
              </w:rPr>
              <w:t>-class mail.</w:t>
            </w:r>
          </w:p>
          <w:p w:rsidR="005C1786" w:rsidRPr="009F079C" w:rsidRDefault="005C1786" w:rsidP="00561AD5">
            <w:pPr>
              <w:numPr>
                <w:ilvl w:val="0"/>
                <w:numId w:val="4"/>
              </w:numPr>
              <w:ind w:left="246" w:hanging="2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Compare approach that combines the two approaches (targeted certified plus regular mail for the remainder) with full SU NR follow-up using regular 1</w:t>
            </w:r>
            <w:r w:rsidRPr="00E376BC">
              <w:rPr>
                <w:rFonts w:ascii="Times New Roman" w:hAnsi="Times New Roman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Cs w:val="24"/>
              </w:rPr>
              <w:t>-class mail only.</w:t>
            </w:r>
          </w:p>
        </w:tc>
        <w:tc>
          <w:tcPr>
            <w:tcW w:w="2347" w:type="dxa"/>
            <w:gridSpan w:val="2"/>
            <w:tcBorders>
              <w:bottom w:val="single" w:sz="8" w:space="0" w:color="84B3DF" w:themeColor="accent1" w:themeTint="BF"/>
            </w:tcBorders>
            <w:shd w:val="clear" w:color="auto" w:fill="F2F2F2" w:themeFill="background1" w:themeFillShade="F2"/>
          </w:tcPr>
          <w:p w:rsidR="005C1786" w:rsidRPr="009F079C" w:rsidRDefault="005C1786" w:rsidP="00561AD5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combined approach improved data quality. </w:t>
            </w:r>
          </w:p>
        </w:tc>
        <w:tc>
          <w:tcPr>
            <w:tcW w:w="2638" w:type="dxa"/>
            <w:gridSpan w:val="2"/>
            <w:tcBorders>
              <w:bottom w:val="single" w:sz="8" w:space="0" w:color="84B3DF" w:themeColor="accent1" w:themeTint="BF"/>
            </w:tcBorders>
            <w:shd w:val="clear" w:color="auto" w:fill="F2F2F2" w:themeFill="background1" w:themeFillShade="F2"/>
            <w:hideMark/>
          </w:tcPr>
          <w:p w:rsidR="005C1786" w:rsidRPr="009F079C" w:rsidRDefault="005C1786" w:rsidP="00561AD5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27FB4">
              <w:rPr>
                <w:rFonts w:ascii="Times New Roman" w:hAnsi="Times New Roman"/>
                <w:szCs w:val="24"/>
              </w:rPr>
              <w:t xml:space="preserve">A one-time, targeted certified </w:t>
            </w:r>
            <w:r>
              <w:rPr>
                <w:rFonts w:ascii="Times New Roman" w:hAnsi="Times New Roman"/>
                <w:szCs w:val="24"/>
              </w:rPr>
              <w:t xml:space="preserve">mail </w:t>
            </w:r>
            <w:r w:rsidRPr="00927FB4">
              <w:rPr>
                <w:rFonts w:ascii="Times New Roman" w:hAnsi="Times New Roman"/>
                <w:szCs w:val="24"/>
              </w:rPr>
              <w:t xml:space="preserve">follow-up </w:t>
            </w:r>
            <w:r>
              <w:rPr>
                <w:rFonts w:ascii="Times New Roman" w:hAnsi="Times New Roman"/>
                <w:szCs w:val="24"/>
              </w:rPr>
              <w:t>will be implemented amongst SU NRs f</w:t>
            </w:r>
            <w:r w:rsidRPr="00927FB4">
              <w:rPr>
                <w:rFonts w:ascii="Times New Roman" w:hAnsi="Times New Roman"/>
                <w:szCs w:val="24"/>
              </w:rPr>
              <w:t>or the 2017 Econ C</w:t>
            </w:r>
            <w:r>
              <w:rPr>
                <w:rFonts w:ascii="Times New Roman" w:hAnsi="Times New Roman"/>
                <w:szCs w:val="24"/>
              </w:rPr>
              <w:t>ensus</w:t>
            </w:r>
            <w:r w:rsidRPr="00927FB4">
              <w:rPr>
                <w:rFonts w:ascii="Times New Roman" w:hAnsi="Times New Roman"/>
                <w:szCs w:val="24"/>
              </w:rPr>
              <w:t xml:space="preserve">.  </w:t>
            </w:r>
            <w:r w:rsidRPr="002176BF">
              <w:rPr>
                <w:rFonts w:ascii="Times New Roman" w:hAnsi="Times New Roman"/>
                <w:szCs w:val="24"/>
              </w:rPr>
              <w:t xml:space="preserve">The </w:t>
            </w:r>
            <w:r>
              <w:rPr>
                <w:rFonts w:ascii="Times New Roman" w:hAnsi="Times New Roman"/>
                <w:szCs w:val="24"/>
              </w:rPr>
              <w:t xml:space="preserve">nonresponding </w:t>
            </w:r>
            <w:r w:rsidRPr="002176BF">
              <w:rPr>
                <w:rFonts w:ascii="Times New Roman" w:hAnsi="Times New Roman"/>
                <w:szCs w:val="24"/>
              </w:rPr>
              <w:t xml:space="preserve">SUs not selected to receive a certified follow-up will </w:t>
            </w:r>
            <w:r>
              <w:rPr>
                <w:rFonts w:ascii="Times New Roman" w:hAnsi="Times New Roman"/>
                <w:szCs w:val="24"/>
              </w:rPr>
              <w:t>be sent</w:t>
            </w:r>
            <w:r w:rsidRPr="002176BF">
              <w:rPr>
                <w:rFonts w:ascii="Times New Roman" w:hAnsi="Times New Roman"/>
                <w:szCs w:val="24"/>
              </w:rPr>
              <w:t xml:space="preserve"> follow-up letter</w:t>
            </w:r>
            <w:r>
              <w:rPr>
                <w:rFonts w:ascii="Times New Roman" w:hAnsi="Times New Roman"/>
                <w:szCs w:val="24"/>
              </w:rPr>
              <w:t>s using regular 1</w:t>
            </w:r>
            <w:r w:rsidRPr="00E376BC">
              <w:rPr>
                <w:rFonts w:ascii="Times New Roman" w:hAnsi="Times New Roman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Cs w:val="24"/>
              </w:rPr>
              <w:t>-class mail</w:t>
            </w:r>
            <w:r w:rsidRPr="002176BF">
              <w:rPr>
                <w:rFonts w:ascii="Times New Roman" w:hAnsi="Times New Roman"/>
                <w:szCs w:val="24"/>
              </w:rPr>
              <w:t>. </w:t>
            </w:r>
          </w:p>
        </w:tc>
      </w:tr>
      <w:tr w:rsidR="005C1786" w:rsidRPr="009F079C" w:rsidTr="00561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tcBorders>
              <w:bottom w:val="double" w:sz="4" w:space="0" w:color="auto"/>
            </w:tcBorders>
            <w:hideMark/>
          </w:tcPr>
          <w:p w:rsidR="005C1786" w:rsidRPr="009F079C" w:rsidRDefault="005C1786" w:rsidP="00561AD5">
            <w:pPr>
              <w:rPr>
                <w:rFonts w:ascii="Times New Roman" w:hAnsi="Times New Roman"/>
                <w:i/>
                <w:szCs w:val="24"/>
              </w:rPr>
            </w:pPr>
            <w:r w:rsidRPr="009F079C">
              <w:rPr>
                <w:rFonts w:ascii="Times New Roman" w:hAnsi="Times New Roman"/>
                <w:i/>
                <w:szCs w:val="24"/>
              </w:rPr>
              <w:lastRenderedPageBreak/>
              <w:t>Pressure-sealed envelopes</w:t>
            </w:r>
          </w:p>
        </w:tc>
        <w:tc>
          <w:tcPr>
            <w:tcW w:w="3143" w:type="dxa"/>
            <w:gridSpan w:val="2"/>
            <w:tcBorders>
              <w:bottom w:val="double" w:sz="4" w:space="0" w:color="auto"/>
            </w:tcBorders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2016 SQ-Class, Refile, and ASM:</w:t>
            </w:r>
          </w:p>
          <w:p w:rsidR="005C1786" w:rsidRPr="009F079C" w:rsidRDefault="005C1786" w:rsidP="00561AD5">
            <w:pPr>
              <w:numPr>
                <w:ilvl w:val="0"/>
                <w:numId w:val="4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Proposed use for due-date reminders and NR follow-up mailings. They will not be used for initial mailout / contact.</w:t>
            </w:r>
          </w:p>
          <w:p w:rsidR="005C1786" w:rsidRPr="009F079C" w:rsidRDefault="005C1786" w:rsidP="00561AD5">
            <w:pPr>
              <w:numPr>
                <w:ilvl w:val="0"/>
                <w:numId w:val="4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Using pressure-sealed will reduce time lag between producing mailing lists and mailout, improving ability to remove responding cases prior to mailout.</w:t>
            </w:r>
          </w:p>
          <w:p w:rsidR="005C1786" w:rsidRPr="009F079C" w:rsidRDefault="005C1786" w:rsidP="00561AD5">
            <w:pPr>
              <w:numPr>
                <w:ilvl w:val="0"/>
                <w:numId w:val="4"/>
              </w:numPr>
              <w:ind w:left="246" w:hanging="2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Concern that pressure-sealed envelopes may be perceived as “junk” mail and discarded or ignored, reducing effectiveness of mail contacts.</w:t>
            </w:r>
          </w:p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3" w:type="dxa"/>
            <w:gridSpan w:val="3"/>
            <w:tcBorders>
              <w:bottom w:val="double" w:sz="4" w:space="0" w:color="auto"/>
            </w:tcBorders>
          </w:tcPr>
          <w:p w:rsidR="005C1786" w:rsidRPr="009F079C" w:rsidRDefault="005C1786" w:rsidP="00561AD5">
            <w:pPr>
              <w:ind w:hanging="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TBD</w:t>
            </w:r>
          </w:p>
        </w:tc>
        <w:tc>
          <w:tcPr>
            <w:tcW w:w="2542" w:type="dxa"/>
            <w:tcBorders>
              <w:bottom w:val="double" w:sz="4" w:space="0" w:color="auto"/>
            </w:tcBorders>
            <w:hideMark/>
          </w:tcPr>
          <w:p w:rsidR="005C1786" w:rsidRPr="009F079C" w:rsidRDefault="005C1786" w:rsidP="00561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9F079C">
              <w:rPr>
                <w:rFonts w:ascii="Times New Roman" w:hAnsi="Times New Roman"/>
                <w:szCs w:val="24"/>
              </w:rPr>
              <w:t>TBD, pending results of SQ-Class, Refile, ASM research</w:t>
            </w:r>
          </w:p>
        </w:tc>
      </w:tr>
    </w:tbl>
    <w:p w:rsidR="005C1786" w:rsidRPr="003411C8" w:rsidRDefault="005C1786" w:rsidP="005C1786">
      <w:pPr>
        <w:rPr>
          <w:rFonts w:ascii="Times New Roman" w:hAnsi="Times New Roman"/>
        </w:rPr>
      </w:pPr>
      <w:r w:rsidRPr="003411C8">
        <w:rPr>
          <w:rFonts w:ascii="Times New Roman" w:hAnsi="Times New Roman"/>
          <w:b/>
          <w:vertAlign w:val="superscript"/>
        </w:rPr>
        <w:t>1</w:t>
      </w:r>
      <w:r w:rsidRPr="003411C8">
        <w:rPr>
          <w:rFonts w:ascii="Times New Roman" w:hAnsi="Times New Roman"/>
        </w:rPr>
        <w:t xml:space="preserve"> Marquette, Erica, Michael E. </w:t>
      </w:r>
      <w:proofErr w:type="spellStart"/>
      <w:r w:rsidRPr="003411C8">
        <w:rPr>
          <w:rFonts w:ascii="Times New Roman" w:hAnsi="Times New Roman"/>
        </w:rPr>
        <w:t>Kornbau</w:t>
      </w:r>
      <w:proofErr w:type="spellEnd"/>
      <w:r w:rsidRPr="003411C8">
        <w:rPr>
          <w:rFonts w:ascii="Times New Roman" w:hAnsi="Times New Roman"/>
        </w:rPr>
        <w:t xml:space="preserve">, and </w:t>
      </w:r>
      <w:proofErr w:type="spellStart"/>
      <w:r w:rsidRPr="003411C8">
        <w:rPr>
          <w:rFonts w:ascii="Times New Roman" w:hAnsi="Times New Roman"/>
        </w:rPr>
        <w:t>Junilsa</w:t>
      </w:r>
      <w:proofErr w:type="spellEnd"/>
      <w:r w:rsidRPr="003411C8">
        <w:rPr>
          <w:rFonts w:ascii="Times New Roman" w:hAnsi="Times New Roman"/>
        </w:rPr>
        <w:t xml:space="preserve"> </w:t>
      </w:r>
      <w:proofErr w:type="spellStart"/>
      <w:r w:rsidRPr="003411C8">
        <w:rPr>
          <w:rFonts w:ascii="Times New Roman" w:hAnsi="Times New Roman"/>
        </w:rPr>
        <w:t>Toribio</w:t>
      </w:r>
      <w:proofErr w:type="spellEnd"/>
      <w:r w:rsidRPr="003411C8">
        <w:rPr>
          <w:rFonts w:ascii="Times New Roman" w:hAnsi="Times New Roman"/>
        </w:rPr>
        <w:t xml:space="preserve">. 2015. Testing Contact Strategies to Improve Response in the 2012 Economic Census.  In </w:t>
      </w:r>
      <w:r w:rsidRPr="003411C8">
        <w:rPr>
          <w:rFonts w:ascii="Times New Roman" w:hAnsi="Times New Roman"/>
          <w:i/>
          <w:iCs/>
        </w:rPr>
        <w:t>JSM Proceedings</w:t>
      </w:r>
      <w:r w:rsidRPr="003411C8">
        <w:rPr>
          <w:rFonts w:ascii="Times New Roman" w:hAnsi="Times New Roman"/>
        </w:rPr>
        <w:t xml:space="preserve">, Government Statistics Section. Alexandria, VA: American Statistical Association. 2212-2225.   </w:t>
      </w:r>
    </w:p>
    <w:p w:rsidR="005C1786" w:rsidRPr="003411C8" w:rsidRDefault="005C1786" w:rsidP="005C1786">
      <w:pPr>
        <w:rPr>
          <w:rFonts w:ascii="Times New Roman" w:hAnsi="Times New Roman"/>
        </w:rPr>
      </w:pPr>
      <w:r w:rsidRPr="003411C8">
        <w:rPr>
          <w:rFonts w:ascii="Times New Roman" w:hAnsi="Times New Roman"/>
          <w:b/>
          <w:vertAlign w:val="superscript"/>
        </w:rPr>
        <w:t>2</w:t>
      </w:r>
      <w:r w:rsidRPr="003411C8">
        <w:rPr>
          <w:rFonts w:ascii="Times New Roman" w:hAnsi="Times New Roman"/>
        </w:rPr>
        <w:t xml:space="preserve"> Tuttle, Alfred D. 2016.  Experimenting with Contact Strategies to Aid Adaptive Design in Business Surveys. In JSM Proceedings, forthcoming. Alexandria, VA: American Statistical Association.</w:t>
      </w:r>
    </w:p>
    <w:p w:rsidR="005C1786" w:rsidRPr="003411C8" w:rsidRDefault="005C1786" w:rsidP="005C1786">
      <w:pPr>
        <w:rPr>
          <w:rFonts w:ascii="Times New Roman" w:hAnsi="Times New Roman"/>
        </w:rPr>
      </w:pPr>
      <w:r w:rsidRPr="003411C8">
        <w:rPr>
          <w:rFonts w:ascii="Times New Roman" w:hAnsi="Times New Roman"/>
          <w:b/>
          <w:vertAlign w:val="superscript"/>
        </w:rPr>
        <w:t>3</w:t>
      </w:r>
      <w:r w:rsidRPr="003411C8">
        <w:rPr>
          <w:rFonts w:ascii="Times New Roman" w:hAnsi="Times New Roman"/>
        </w:rPr>
        <w:t xml:space="preserve"> </w:t>
      </w:r>
      <w:proofErr w:type="spellStart"/>
      <w:r w:rsidRPr="003411C8">
        <w:rPr>
          <w:rFonts w:ascii="Times New Roman" w:hAnsi="Times New Roman"/>
        </w:rPr>
        <w:t>Kaputa</w:t>
      </w:r>
      <w:proofErr w:type="spellEnd"/>
      <w:r w:rsidRPr="003411C8">
        <w:rPr>
          <w:rFonts w:ascii="Times New Roman" w:hAnsi="Times New Roman"/>
        </w:rPr>
        <w:t>, et al., 2016 ICES-V</w:t>
      </w:r>
    </w:p>
    <w:p w:rsidR="005C1786" w:rsidRDefault="005C1786"/>
    <w:sectPr w:rsidR="005C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2B8"/>
    <w:multiLevelType w:val="hybridMultilevel"/>
    <w:tmpl w:val="9A90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1992"/>
    <w:multiLevelType w:val="hybridMultilevel"/>
    <w:tmpl w:val="7DF8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3B2C"/>
    <w:multiLevelType w:val="hybridMultilevel"/>
    <w:tmpl w:val="B06C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70668"/>
    <w:multiLevelType w:val="hybridMultilevel"/>
    <w:tmpl w:val="E220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0222"/>
    <w:multiLevelType w:val="hybridMultilevel"/>
    <w:tmpl w:val="1372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2886"/>
    <w:multiLevelType w:val="hybridMultilevel"/>
    <w:tmpl w:val="321C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E32A2"/>
    <w:multiLevelType w:val="hybridMultilevel"/>
    <w:tmpl w:val="5DB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F02D6"/>
    <w:multiLevelType w:val="hybridMultilevel"/>
    <w:tmpl w:val="FFA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51F1"/>
    <w:multiLevelType w:val="hybridMultilevel"/>
    <w:tmpl w:val="D698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34AFB"/>
    <w:multiLevelType w:val="hybridMultilevel"/>
    <w:tmpl w:val="7844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2C"/>
    <w:rsid w:val="000E10B9"/>
    <w:rsid w:val="001C1DD4"/>
    <w:rsid w:val="0022360B"/>
    <w:rsid w:val="003D2F4A"/>
    <w:rsid w:val="005C1786"/>
    <w:rsid w:val="007B1B4F"/>
    <w:rsid w:val="009E142C"/>
    <w:rsid w:val="00B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342F4-DA6D-4F55-A191-69F02AA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8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42C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5C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BCFD6CF</Template>
  <TotalTime>3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Blynda K Metcalf (CENSUS/EWD FED)</dc:creator>
  <cp:keywords/>
  <dc:description/>
  <cp:lastModifiedBy>Blynda K Metcalf (CENSUS/EWD FED)</cp:lastModifiedBy>
  <cp:revision>4</cp:revision>
  <dcterms:created xsi:type="dcterms:W3CDTF">2016-12-20T16:16:00Z</dcterms:created>
  <dcterms:modified xsi:type="dcterms:W3CDTF">2017-01-19T17:04:00Z</dcterms:modified>
</cp:coreProperties>
</file>