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54A" w:rsidRPr="00F05C0E" w:rsidRDefault="00B3454A" w:rsidP="00B042D9">
      <w:pPr>
        <w:pStyle w:val="t1"/>
        <w:tabs>
          <w:tab w:val="left" w:pos="360"/>
          <w:tab w:val="left" w:pos="720"/>
          <w:tab w:val="left" w:pos="2919"/>
          <w:tab w:val="left" w:pos="6865"/>
        </w:tabs>
        <w:jc w:val="center"/>
        <w:rPr>
          <w:u w:val="single"/>
        </w:rPr>
      </w:pPr>
      <w:r w:rsidRPr="00F05C0E">
        <w:rPr>
          <w:u w:val="single"/>
        </w:rPr>
        <w:t>SUPPORTING STATEMENT</w:t>
      </w:r>
      <w:r w:rsidR="007A047D" w:rsidRPr="00F05C0E">
        <w:rPr>
          <w:u w:val="single"/>
        </w:rPr>
        <w:t xml:space="preserve"> – PART A</w:t>
      </w:r>
    </w:p>
    <w:p w:rsidR="005055A3" w:rsidRPr="00F05C0E" w:rsidRDefault="005055A3" w:rsidP="00B042D9">
      <w:pPr>
        <w:pStyle w:val="t1"/>
        <w:tabs>
          <w:tab w:val="left" w:pos="360"/>
          <w:tab w:val="left" w:pos="720"/>
          <w:tab w:val="left" w:pos="2919"/>
          <w:tab w:val="left" w:pos="6865"/>
        </w:tabs>
        <w:jc w:val="center"/>
        <w:rPr>
          <w:u w:val="single"/>
        </w:rPr>
      </w:pPr>
    </w:p>
    <w:p w:rsidR="00D3218B" w:rsidRPr="00F05C0E" w:rsidRDefault="005055A3" w:rsidP="005055A3">
      <w:pPr>
        <w:pStyle w:val="t1"/>
        <w:tabs>
          <w:tab w:val="left" w:pos="360"/>
          <w:tab w:val="left" w:pos="720"/>
          <w:tab w:val="left" w:pos="2919"/>
          <w:tab w:val="left" w:pos="6865"/>
        </w:tabs>
        <w:jc w:val="center"/>
        <w:rPr>
          <w:b/>
          <w:bCs/>
          <w:u w:val="single"/>
        </w:rPr>
      </w:pPr>
      <w:r w:rsidRPr="00F05C0E">
        <w:rPr>
          <w:u w:val="single"/>
        </w:rPr>
        <w:t xml:space="preserve">OMB Control Number </w:t>
      </w:r>
      <w:r w:rsidR="00323753" w:rsidRPr="00F05C0E">
        <w:rPr>
          <w:u w:val="single"/>
        </w:rPr>
        <w:t>0704-0398</w:t>
      </w:r>
      <w:r w:rsidRPr="00F05C0E">
        <w:rPr>
          <w:u w:val="single"/>
        </w:rPr>
        <w:t xml:space="preserve"> </w:t>
      </w:r>
      <w:r w:rsidR="007A047D" w:rsidRPr="00F05C0E">
        <w:rPr>
          <w:b/>
          <w:u w:val="single"/>
        </w:rPr>
        <w:t>–</w:t>
      </w:r>
      <w:r w:rsidRPr="00F05C0E">
        <w:rPr>
          <w:b/>
          <w:bCs/>
          <w:u w:val="single"/>
        </w:rPr>
        <w:t xml:space="preserve"> </w:t>
      </w:r>
    </w:p>
    <w:p w:rsidR="00D3218B" w:rsidRPr="00F05C0E" w:rsidRDefault="007A047D" w:rsidP="005055A3">
      <w:pPr>
        <w:pStyle w:val="t1"/>
        <w:tabs>
          <w:tab w:val="left" w:pos="360"/>
          <w:tab w:val="left" w:pos="720"/>
          <w:tab w:val="left" w:pos="2919"/>
          <w:tab w:val="left" w:pos="6865"/>
        </w:tabs>
        <w:jc w:val="center"/>
        <w:rPr>
          <w:bCs/>
          <w:u w:val="single"/>
        </w:rPr>
      </w:pPr>
      <w:r w:rsidRPr="00F05C0E">
        <w:rPr>
          <w:bCs/>
          <w:u w:val="single"/>
        </w:rPr>
        <w:t>Defense Federal Acquisition Regulation Supplement</w:t>
      </w:r>
      <w:r w:rsidR="00D3218B" w:rsidRPr="00F05C0E">
        <w:rPr>
          <w:bCs/>
          <w:u w:val="single"/>
        </w:rPr>
        <w:t xml:space="preserve"> (DFARS)</w:t>
      </w:r>
    </w:p>
    <w:p w:rsidR="00EF7BC9" w:rsidRPr="00F05C0E" w:rsidRDefault="007A047D" w:rsidP="005055A3">
      <w:pPr>
        <w:pStyle w:val="t1"/>
        <w:tabs>
          <w:tab w:val="left" w:pos="360"/>
          <w:tab w:val="left" w:pos="720"/>
          <w:tab w:val="left" w:pos="2919"/>
          <w:tab w:val="left" w:pos="6865"/>
        </w:tabs>
        <w:jc w:val="center"/>
        <w:rPr>
          <w:u w:val="single"/>
        </w:rPr>
      </w:pPr>
      <w:r w:rsidRPr="00F05C0E">
        <w:rPr>
          <w:bCs/>
          <w:u w:val="single"/>
        </w:rPr>
        <w:t xml:space="preserve">Part 211, </w:t>
      </w:r>
      <w:r w:rsidR="00EF7BC9" w:rsidRPr="00F05C0E">
        <w:rPr>
          <w:u w:val="single"/>
        </w:rPr>
        <w:t>Describing Agency Needs</w:t>
      </w:r>
      <w:r w:rsidR="002878C2">
        <w:rPr>
          <w:u w:val="single"/>
        </w:rPr>
        <w:t>, and Related Clauses at DFARS 252.211</w:t>
      </w:r>
    </w:p>
    <w:p w:rsidR="00B3454A" w:rsidRPr="00F05C0E" w:rsidRDefault="00B3454A" w:rsidP="005E2D82">
      <w:pPr>
        <w:tabs>
          <w:tab w:val="left" w:pos="360"/>
          <w:tab w:val="left" w:pos="2919"/>
          <w:tab w:val="left" w:pos="6865"/>
        </w:tabs>
        <w:rPr>
          <w:bCs/>
        </w:rPr>
      </w:pPr>
    </w:p>
    <w:p w:rsidR="00B3454A" w:rsidRPr="00F05C0E" w:rsidRDefault="003411C6" w:rsidP="005E2D82">
      <w:pPr>
        <w:pStyle w:val="p3"/>
        <w:tabs>
          <w:tab w:val="left" w:pos="360"/>
        </w:tabs>
        <w:ind w:left="583"/>
        <w:rPr>
          <w:bCs/>
        </w:rPr>
      </w:pPr>
      <w:r w:rsidRPr="00F05C0E">
        <w:rPr>
          <w:bCs/>
        </w:rPr>
        <w:t xml:space="preserve">A.  </w:t>
      </w:r>
      <w:r w:rsidR="00B3454A" w:rsidRPr="00F05C0E">
        <w:rPr>
          <w:bCs/>
          <w:u w:val="single"/>
        </w:rPr>
        <w:t>JUSTIFICATION</w:t>
      </w:r>
    </w:p>
    <w:p w:rsidR="00B3454A" w:rsidRPr="00F05C0E" w:rsidRDefault="00B3454A" w:rsidP="005E2D82">
      <w:pPr>
        <w:tabs>
          <w:tab w:val="left" w:pos="360"/>
          <w:tab w:val="left" w:pos="583"/>
        </w:tabs>
        <w:rPr>
          <w:bCs/>
        </w:rPr>
      </w:pPr>
    </w:p>
    <w:p w:rsidR="00E47FE4" w:rsidRPr="00F05C0E" w:rsidRDefault="005055A3" w:rsidP="00E47FE4">
      <w:pPr>
        <w:pStyle w:val="p5"/>
        <w:tabs>
          <w:tab w:val="clear" w:pos="765"/>
          <w:tab w:val="clear" w:pos="1491"/>
          <w:tab w:val="left" w:pos="0"/>
          <w:tab w:val="left" w:pos="360"/>
        </w:tabs>
        <w:ind w:left="0" w:firstLine="0"/>
      </w:pPr>
      <w:r w:rsidRPr="00F05C0E">
        <w:tab/>
        <w:t xml:space="preserve">1. </w:t>
      </w:r>
      <w:r w:rsidR="00E47FE4" w:rsidRPr="00F05C0E">
        <w:t xml:space="preserve">  </w:t>
      </w:r>
      <w:r w:rsidR="00E47FE4" w:rsidRPr="00F05C0E">
        <w:rPr>
          <w:u w:val="single"/>
        </w:rPr>
        <w:t>Need for the Information Collection</w:t>
      </w:r>
    </w:p>
    <w:p w:rsidR="00E47FE4" w:rsidRPr="00F05C0E" w:rsidRDefault="00E47FE4" w:rsidP="00E47FE4">
      <w:pPr>
        <w:pStyle w:val="p5"/>
        <w:tabs>
          <w:tab w:val="clear" w:pos="765"/>
          <w:tab w:val="clear" w:pos="1491"/>
          <w:tab w:val="left" w:pos="0"/>
          <w:tab w:val="left" w:pos="360"/>
        </w:tabs>
        <w:ind w:left="0" w:firstLine="0"/>
      </w:pPr>
    </w:p>
    <w:p w:rsidR="00E47FE4" w:rsidRPr="00F05C0E" w:rsidRDefault="009F623F" w:rsidP="00312A6F">
      <w:pPr>
        <w:pStyle w:val="p5"/>
        <w:tabs>
          <w:tab w:val="clear" w:pos="765"/>
          <w:tab w:val="clear" w:pos="1491"/>
          <w:tab w:val="left" w:pos="0"/>
          <w:tab w:val="left" w:pos="360"/>
        </w:tabs>
        <w:ind w:left="0" w:firstLine="0"/>
      </w:pPr>
      <w:r w:rsidRPr="00F05C0E">
        <w:tab/>
      </w:r>
      <w:r w:rsidRPr="00F05C0E">
        <w:tab/>
      </w:r>
      <w:r w:rsidR="00E47FE4" w:rsidRPr="00F05C0E">
        <w:t xml:space="preserve">This justification supports OMB Control Number 0704-0398. This information collection concerns DFARS </w:t>
      </w:r>
      <w:r w:rsidR="00D3218B" w:rsidRPr="00F05C0E">
        <w:t>p</w:t>
      </w:r>
      <w:r w:rsidR="00E47FE4" w:rsidRPr="00F05C0E">
        <w:t>art 211, Describing Agency Needs,</w:t>
      </w:r>
      <w:r w:rsidR="00904FF2" w:rsidRPr="00F05C0E">
        <w:rPr>
          <w:rStyle w:val="FootnoteReference"/>
        </w:rPr>
        <w:footnoteReference w:id="1"/>
      </w:r>
      <w:r w:rsidR="00E47FE4" w:rsidRPr="00F05C0E">
        <w:t xml:space="preserve"> which prescribes use of the following </w:t>
      </w:r>
      <w:r w:rsidR="002D4CC9">
        <w:t>provisions and clause</w:t>
      </w:r>
      <w:r w:rsidR="00E47FE4" w:rsidRPr="00F05C0E">
        <w:t>:</w:t>
      </w:r>
    </w:p>
    <w:p w:rsidR="00E47FE4" w:rsidRPr="00F05C0E" w:rsidRDefault="00E47FE4" w:rsidP="00E47FE4">
      <w:pPr>
        <w:pStyle w:val="p5"/>
        <w:tabs>
          <w:tab w:val="clear" w:pos="765"/>
          <w:tab w:val="clear" w:pos="1491"/>
          <w:tab w:val="left" w:pos="0"/>
          <w:tab w:val="left" w:pos="360"/>
        </w:tabs>
        <w:ind w:left="720" w:firstLine="0"/>
      </w:pPr>
      <w:r w:rsidRPr="00F05C0E">
        <w:t xml:space="preserve"> </w:t>
      </w:r>
    </w:p>
    <w:p w:rsidR="00E47FE4" w:rsidRPr="00F05C0E" w:rsidRDefault="00E84704" w:rsidP="00312A6F">
      <w:pPr>
        <w:pStyle w:val="p5"/>
        <w:tabs>
          <w:tab w:val="clear" w:pos="765"/>
          <w:tab w:val="clear" w:pos="1491"/>
          <w:tab w:val="left" w:pos="0"/>
          <w:tab w:val="left" w:pos="360"/>
          <w:tab w:val="left" w:pos="720"/>
        </w:tabs>
        <w:ind w:left="0" w:firstLine="360"/>
      </w:pPr>
      <w:r w:rsidRPr="00F05C0E">
        <w:tab/>
        <w:t>a.</w:t>
      </w:r>
      <w:r w:rsidRPr="00F05C0E">
        <w:tab/>
      </w:r>
      <w:r w:rsidR="009F623F" w:rsidRPr="00F05C0E">
        <w:t>DFARS</w:t>
      </w:r>
      <w:r w:rsidR="002D4CC9">
        <w:t xml:space="preserve"> provision</w:t>
      </w:r>
      <w:r w:rsidR="009F623F" w:rsidRPr="00F05C0E">
        <w:t xml:space="preserve"> </w:t>
      </w:r>
      <w:r w:rsidR="00E47FE4" w:rsidRPr="00F05C0E">
        <w:t xml:space="preserve">252.211-7004, Alternate Preservation, Packaging, and </w:t>
      </w:r>
      <w:proofErr w:type="gramStart"/>
      <w:r w:rsidR="00E47FE4" w:rsidRPr="00F05C0E">
        <w:t>Packing</w:t>
      </w:r>
      <w:proofErr w:type="gramEnd"/>
      <w:r w:rsidR="00D3218B" w:rsidRPr="00F05C0E">
        <w:t xml:space="preserve">, which allows potential offerors to propose alternatives to military preservation, packaging, or packing specifications.  Specifically, the offeror may </w:t>
      </w:r>
      <w:r w:rsidR="009F623F" w:rsidRPr="00F05C0E">
        <w:t>include in its offer</w:t>
      </w:r>
      <w:r w:rsidR="00D3218B" w:rsidRPr="00F05C0E">
        <w:t xml:space="preserve"> two </w:t>
      </w:r>
      <w:r w:rsidR="009F623F" w:rsidRPr="00F05C0E">
        <w:t xml:space="preserve">unit prices in the format specified in the clause: </w:t>
      </w:r>
      <w:r w:rsidR="00871C53">
        <w:t xml:space="preserve"> </w:t>
      </w:r>
      <w:r w:rsidR="009F623F" w:rsidRPr="00F05C0E">
        <w:t>one price based on use of the military specifications</w:t>
      </w:r>
      <w:r w:rsidR="00603F0C" w:rsidRPr="00F05C0E">
        <w:t>,</w:t>
      </w:r>
      <w:r w:rsidR="009F623F" w:rsidRPr="00F05C0E">
        <w:t xml:space="preserve"> and another price based on commercial or industry preservation, packaging, or packing of equal or better protection that the military.</w:t>
      </w:r>
    </w:p>
    <w:p w:rsidR="00E47FE4" w:rsidRPr="00F05C0E" w:rsidRDefault="00E47FE4" w:rsidP="00E47FE4">
      <w:pPr>
        <w:pStyle w:val="p5"/>
        <w:tabs>
          <w:tab w:val="clear" w:pos="765"/>
          <w:tab w:val="clear" w:pos="1491"/>
          <w:tab w:val="left" w:pos="0"/>
          <w:tab w:val="left" w:pos="360"/>
        </w:tabs>
        <w:ind w:left="0" w:firstLine="0"/>
      </w:pPr>
    </w:p>
    <w:p w:rsidR="00E47FE4" w:rsidRPr="00F05C0E" w:rsidRDefault="00E47FE4" w:rsidP="001E4F06">
      <w:pPr>
        <w:pStyle w:val="p5"/>
        <w:tabs>
          <w:tab w:val="clear" w:pos="765"/>
          <w:tab w:val="clear" w:pos="1491"/>
          <w:tab w:val="left" w:pos="0"/>
        </w:tabs>
        <w:ind w:left="0" w:firstLine="0"/>
      </w:pPr>
      <w:r w:rsidRPr="00F05C0E">
        <w:tab/>
      </w:r>
      <w:r w:rsidR="00E84704" w:rsidRPr="00F05C0E">
        <w:tab/>
      </w:r>
      <w:proofErr w:type="gramStart"/>
      <w:r w:rsidR="00E84704" w:rsidRPr="00F05C0E">
        <w:t xml:space="preserve">b.  </w:t>
      </w:r>
      <w:r w:rsidR="009F623F" w:rsidRPr="00F05C0E">
        <w:t>DFARS</w:t>
      </w:r>
      <w:proofErr w:type="gramEnd"/>
      <w:r w:rsidR="002D4CC9">
        <w:t xml:space="preserve"> provision </w:t>
      </w:r>
      <w:r w:rsidRPr="00F05C0E">
        <w:t xml:space="preserve">252.211-7005, Substitutions for Military or Federal Specifications and Standards, </w:t>
      </w:r>
      <w:r w:rsidR="009F623F" w:rsidRPr="00F05C0E">
        <w:t xml:space="preserve">which permits offerors to propose Single Process Initiative (SPI) processes as alternatives to military or Federal specifications and standards cited in DoD solicitations for previously developed items.  As defined in the clause, “SPI process” </w:t>
      </w:r>
      <w:r w:rsidR="00904FF2" w:rsidRPr="00F05C0E">
        <w:t>means</w:t>
      </w:r>
      <w:r w:rsidR="009F623F" w:rsidRPr="00F05C0E">
        <w:t xml:space="preserve"> </w:t>
      </w:r>
      <w:r w:rsidR="00904FF2" w:rsidRPr="00F05C0E">
        <w:t xml:space="preserve">a management or </w:t>
      </w:r>
      <w:r w:rsidR="009F623F" w:rsidRPr="00F05C0E">
        <w:t xml:space="preserve">manufacturing process that has been accepted previously by a </w:t>
      </w:r>
      <w:r w:rsidR="00A55FA6" w:rsidRPr="00F05C0E">
        <w:t>DoD</w:t>
      </w:r>
      <w:r w:rsidR="009F623F" w:rsidRPr="00F05C0E">
        <w:t xml:space="preserve"> Management Council for use in lieu of a specific military or Federal specification or standard a</w:t>
      </w:r>
      <w:r w:rsidR="00312A6F">
        <w:t>t</w:t>
      </w:r>
      <w:r w:rsidR="009F623F" w:rsidRPr="00F05C0E">
        <w:t xml:space="preserve"> specific facilities.  When proposing SPI processes, offerors shall </w:t>
      </w:r>
      <w:r w:rsidR="00A55FA6" w:rsidRPr="00F05C0E">
        <w:t>identify</w:t>
      </w:r>
      <w:r w:rsidR="009F623F" w:rsidRPr="00F05C0E">
        <w:t xml:space="preserve"> </w:t>
      </w:r>
      <w:r w:rsidR="00904FF2" w:rsidRPr="00F05C0E">
        <w:t xml:space="preserve">the proposed </w:t>
      </w:r>
      <w:r w:rsidR="00A55FA6" w:rsidRPr="00F05C0E">
        <w:t>SPI process</w:t>
      </w:r>
      <w:r w:rsidR="00904FF2" w:rsidRPr="00F05C0E">
        <w:t>, specific facility to which it will apply, and the specific contract line items</w:t>
      </w:r>
      <w:r w:rsidR="00312A6F">
        <w:t xml:space="preserve"> that </w:t>
      </w:r>
      <w:r w:rsidR="00904FF2" w:rsidRPr="00F05C0E">
        <w:t xml:space="preserve">will be affected. </w:t>
      </w:r>
    </w:p>
    <w:p w:rsidR="00A55FA6" w:rsidRPr="00F05C0E" w:rsidRDefault="00A55FA6" w:rsidP="00A55FA6">
      <w:pPr>
        <w:pStyle w:val="p5"/>
        <w:tabs>
          <w:tab w:val="clear" w:pos="765"/>
          <w:tab w:val="clear" w:pos="1491"/>
          <w:tab w:val="left" w:pos="0"/>
        </w:tabs>
        <w:ind w:left="0" w:firstLine="0"/>
      </w:pPr>
    </w:p>
    <w:p w:rsidR="00766DBD" w:rsidRPr="00F05C0E" w:rsidRDefault="00603F0C" w:rsidP="00312A6F">
      <w:pPr>
        <w:pStyle w:val="p4"/>
        <w:tabs>
          <w:tab w:val="left" w:pos="360"/>
          <w:tab w:val="left" w:pos="720"/>
        </w:tabs>
      </w:pPr>
      <w:r w:rsidRPr="00F05C0E">
        <w:tab/>
      </w:r>
      <w:r w:rsidRPr="00F05C0E">
        <w:tab/>
      </w:r>
      <w:proofErr w:type="gramStart"/>
      <w:r w:rsidR="00642EE1" w:rsidRPr="00F05C0E">
        <w:t>c.  DFARS</w:t>
      </w:r>
      <w:proofErr w:type="gramEnd"/>
      <w:r w:rsidR="00642EE1">
        <w:t xml:space="preserve"> clause</w:t>
      </w:r>
      <w:r w:rsidR="00642EE1" w:rsidRPr="00F05C0E">
        <w:t xml:space="preserve"> 252.211-7007, Reporting of Government-Furnished Property, which requires contractors to report to the</w:t>
      </w:r>
      <w:r w:rsidR="00642EE1">
        <w:t xml:space="preserve"> DoD </w:t>
      </w:r>
      <w:r w:rsidR="00642EE1" w:rsidRPr="00F05C0E">
        <w:t xml:space="preserve">Item Unique Identification (IUID) Registry all serially-managed Government-furnished property (GFP), as well as contractor receipt of non-serially managed items.  </w:t>
      </w:r>
      <w:r w:rsidR="00904FF2" w:rsidRPr="00F05C0E">
        <w:t xml:space="preserve">“Serially managed item” means an item designated by </w:t>
      </w:r>
      <w:proofErr w:type="gramStart"/>
      <w:r w:rsidR="00904FF2" w:rsidRPr="00F05C0E">
        <w:t>DoD</w:t>
      </w:r>
      <w:proofErr w:type="gramEnd"/>
      <w:r w:rsidR="00904FF2" w:rsidRPr="00F05C0E">
        <w:t xml:space="preserve"> to be uniquely tracked, controlled, or managed in maintenance, repair, and/or supply systems by means of its serial number.  The clause provides a list of specific data elements contractors are to report to the IUID registry, as well as procedures for updating the registry.</w:t>
      </w:r>
    </w:p>
    <w:p w:rsidR="00766DBD" w:rsidRPr="00F05C0E" w:rsidRDefault="00766DBD" w:rsidP="00FD43C7">
      <w:pPr>
        <w:tabs>
          <w:tab w:val="left" w:pos="360"/>
        </w:tabs>
        <w:ind w:left="1080"/>
      </w:pPr>
    </w:p>
    <w:p w:rsidR="00140715" w:rsidRPr="00F05C0E" w:rsidRDefault="00FD43C7" w:rsidP="008377FC">
      <w:pPr>
        <w:tabs>
          <w:tab w:val="left" w:pos="360"/>
        </w:tabs>
        <w:spacing w:line="480" w:lineRule="auto"/>
        <w:rPr>
          <w:u w:val="single"/>
        </w:rPr>
      </w:pPr>
      <w:r w:rsidRPr="00F05C0E">
        <w:tab/>
        <w:t xml:space="preserve">2. </w:t>
      </w:r>
      <w:r w:rsidRPr="00F05C0E">
        <w:rPr>
          <w:u w:val="single"/>
        </w:rPr>
        <w:t>Use of the Information</w:t>
      </w:r>
    </w:p>
    <w:p w:rsidR="00E84704" w:rsidRPr="00F05C0E" w:rsidRDefault="00FD43C7" w:rsidP="00FD43C7">
      <w:pPr>
        <w:pStyle w:val="p5"/>
        <w:tabs>
          <w:tab w:val="clear" w:pos="765"/>
          <w:tab w:val="clear" w:pos="1491"/>
          <w:tab w:val="left" w:pos="0"/>
          <w:tab w:val="left" w:pos="360"/>
        </w:tabs>
        <w:ind w:left="0" w:firstLine="0"/>
      </w:pPr>
      <w:r w:rsidRPr="00F05C0E">
        <w:tab/>
      </w:r>
      <w:r w:rsidRPr="00F05C0E">
        <w:tab/>
      </w:r>
      <w:r w:rsidR="00904FF2" w:rsidRPr="00F05C0E">
        <w:t xml:space="preserve">a.   DFARS 252.211-7004 </w:t>
      </w:r>
      <w:r w:rsidR="00FE7F90" w:rsidRPr="00F05C0E">
        <w:t xml:space="preserve">allows offerors to propose alternatives to military preservation, packaging, or packing specifications.  </w:t>
      </w:r>
      <w:proofErr w:type="gramStart"/>
      <w:r w:rsidR="00FE7F90" w:rsidRPr="00F05C0E">
        <w:t>DoD</w:t>
      </w:r>
      <w:proofErr w:type="gramEnd"/>
      <w:r w:rsidR="00FE7F90" w:rsidRPr="00F05C0E">
        <w:t xml:space="preserve"> uses the information to evaluate and award contracts using commercial or industrial preservation, packaging, or packing if the offeror chooses to propose such alternates.</w:t>
      </w:r>
      <w:r w:rsidR="00904FF2" w:rsidRPr="00F05C0E">
        <w:t xml:space="preserve">  </w:t>
      </w:r>
    </w:p>
    <w:p w:rsidR="00FD43C7" w:rsidRPr="00F05C0E" w:rsidRDefault="00E84704" w:rsidP="00FD43C7">
      <w:pPr>
        <w:pStyle w:val="p5"/>
        <w:tabs>
          <w:tab w:val="clear" w:pos="765"/>
          <w:tab w:val="clear" w:pos="1491"/>
          <w:tab w:val="left" w:pos="0"/>
          <w:tab w:val="left" w:pos="360"/>
        </w:tabs>
        <w:ind w:left="0" w:firstLine="0"/>
      </w:pPr>
      <w:r w:rsidRPr="00F05C0E">
        <w:lastRenderedPageBreak/>
        <w:tab/>
      </w:r>
      <w:r w:rsidRPr="00F05C0E">
        <w:tab/>
      </w:r>
      <w:proofErr w:type="gramStart"/>
      <w:r w:rsidRPr="00F05C0E">
        <w:t xml:space="preserve">b.  </w:t>
      </w:r>
      <w:r w:rsidR="00147D59" w:rsidRPr="00F05C0E">
        <w:t>DFARS</w:t>
      </w:r>
      <w:proofErr w:type="gramEnd"/>
      <w:r w:rsidR="00147D59" w:rsidRPr="00F05C0E">
        <w:t xml:space="preserve"> </w:t>
      </w:r>
      <w:r w:rsidRPr="00F05C0E">
        <w:t xml:space="preserve">252.211-7005 </w:t>
      </w:r>
      <w:r w:rsidR="00FE7F90" w:rsidRPr="00F05C0E">
        <w:t xml:space="preserve">encourages offerors to propose SPI processes as alternatives to military or Federal specifications and standards cited in DoD solicitations for previously developed items.  </w:t>
      </w:r>
      <w:proofErr w:type="gramStart"/>
      <w:r w:rsidR="00FE7F90" w:rsidRPr="00F05C0E">
        <w:t>DoD</w:t>
      </w:r>
      <w:proofErr w:type="gramEnd"/>
      <w:r w:rsidR="00FE7F90" w:rsidRPr="00F05C0E">
        <w:t xml:space="preserve"> uses the information to verify Government acceptance of an SPI process as a valid replacement for a military or Federal specification or standard.</w:t>
      </w:r>
    </w:p>
    <w:p w:rsidR="00FD43C7" w:rsidRPr="00F05C0E" w:rsidRDefault="00904FF2" w:rsidP="006C7ED2">
      <w:pPr>
        <w:pStyle w:val="p5"/>
        <w:tabs>
          <w:tab w:val="clear" w:pos="765"/>
          <w:tab w:val="clear" w:pos="1491"/>
          <w:tab w:val="left" w:pos="0"/>
          <w:tab w:val="left" w:pos="3559"/>
        </w:tabs>
        <w:ind w:left="0" w:firstLine="0"/>
      </w:pPr>
      <w:r w:rsidRPr="00F05C0E">
        <w:tab/>
      </w:r>
    </w:p>
    <w:p w:rsidR="0079132B" w:rsidRDefault="00FD43C7" w:rsidP="00312A6F">
      <w:pPr>
        <w:widowControl/>
        <w:tabs>
          <w:tab w:val="left" w:pos="360"/>
        </w:tabs>
        <w:autoSpaceDE/>
        <w:autoSpaceDN/>
        <w:adjustRightInd/>
      </w:pPr>
      <w:r w:rsidRPr="00F05C0E">
        <w:tab/>
      </w:r>
      <w:r w:rsidRPr="00F05C0E">
        <w:tab/>
      </w:r>
      <w:proofErr w:type="gramStart"/>
      <w:r w:rsidR="00E84704" w:rsidRPr="00F05C0E">
        <w:t>c</w:t>
      </w:r>
      <w:r w:rsidR="00904FF2" w:rsidRPr="00F05C0E">
        <w:t>.</w:t>
      </w:r>
      <w:r w:rsidRPr="00F05C0E">
        <w:t xml:space="preserve"> </w:t>
      </w:r>
      <w:r w:rsidR="0045283B" w:rsidRPr="00F05C0E">
        <w:t xml:space="preserve"> </w:t>
      </w:r>
      <w:r w:rsidR="00FE7F90" w:rsidRPr="00F05C0E">
        <w:t>DFARS</w:t>
      </w:r>
      <w:proofErr w:type="gramEnd"/>
      <w:r w:rsidR="00FE7F90" w:rsidRPr="00F05C0E">
        <w:t xml:space="preserve"> 252.211-7007 </w:t>
      </w:r>
      <w:r w:rsidR="00D64BE4" w:rsidRPr="00F05C0E">
        <w:t>strengthen</w:t>
      </w:r>
      <w:r w:rsidR="00FE7F90" w:rsidRPr="00F05C0E">
        <w:t>s</w:t>
      </w:r>
      <w:r w:rsidR="005D36DD" w:rsidRPr="00F05C0E">
        <w:t xml:space="preserve"> </w:t>
      </w:r>
      <w:r w:rsidRPr="00F05C0E">
        <w:t xml:space="preserve">the accountability and </w:t>
      </w:r>
      <w:r w:rsidR="00766DBD" w:rsidRPr="00F05C0E">
        <w:t xml:space="preserve">end-to-end </w:t>
      </w:r>
      <w:r w:rsidRPr="00F05C0E">
        <w:t>t</w:t>
      </w:r>
      <w:r w:rsidR="005D36DD" w:rsidRPr="00F05C0E">
        <w:t>race</w:t>
      </w:r>
      <w:r w:rsidRPr="00F05C0E">
        <w:t>ability</w:t>
      </w:r>
      <w:r w:rsidR="005D36DD" w:rsidRPr="00F05C0E">
        <w:t xml:space="preserve"> </w:t>
      </w:r>
      <w:r w:rsidRPr="00F05C0E">
        <w:t xml:space="preserve">of </w:t>
      </w:r>
      <w:r w:rsidR="0045283B" w:rsidRPr="00F05C0E">
        <w:t>GFP</w:t>
      </w:r>
      <w:r w:rsidR="00FE7F90" w:rsidRPr="00F05C0E">
        <w:t xml:space="preserve"> within DoD</w:t>
      </w:r>
      <w:r w:rsidR="001342F9" w:rsidRPr="00F05C0E">
        <w:t>.</w:t>
      </w:r>
      <w:r w:rsidR="0045283B" w:rsidRPr="00312A6F">
        <w:t xml:space="preserve">  </w:t>
      </w:r>
    </w:p>
    <w:p w:rsidR="0079132B" w:rsidRDefault="0079132B" w:rsidP="00312A6F">
      <w:pPr>
        <w:widowControl/>
        <w:tabs>
          <w:tab w:val="left" w:pos="360"/>
        </w:tabs>
        <w:autoSpaceDE/>
        <w:autoSpaceDN/>
        <w:adjustRightInd/>
      </w:pPr>
    </w:p>
    <w:p w:rsidR="00DE32A7" w:rsidRPr="00F05C0E" w:rsidRDefault="0079132B" w:rsidP="00DE32A7">
      <w:pPr>
        <w:widowControl/>
        <w:tabs>
          <w:tab w:val="left" w:pos="360"/>
        </w:tabs>
        <w:autoSpaceDE/>
        <w:autoSpaceDN/>
        <w:adjustRightInd/>
      </w:pPr>
      <w:r>
        <w:tab/>
      </w:r>
      <w:r>
        <w:tab/>
      </w:r>
      <w:r>
        <w:tab/>
      </w:r>
      <w:proofErr w:type="gramStart"/>
      <w:r>
        <w:t xml:space="preserve">i.  </w:t>
      </w:r>
      <w:r w:rsidR="001342F9" w:rsidRPr="00F05C0E">
        <w:t>Through</w:t>
      </w:r>
      <w:proofErr w:type="gramEnd"/>
      <w:r w:rsidR="001342F9" w:rsidRPr="00F05C0E">
        <w:t xml:space="preserve"> </w:t>
      </w:r>
      <w:r w:rsidR="005D36DD" w:rsidRPr="00F05C0E">
        <w:t xml:space="preserve">electronic notification of </w:t>
      </w:r>
      <w:r w:rsidR="005B3193" w:rsidRPr="00F05C0E">
        <w:t>physical receipt</w:t>
      </w:r>
      <w:r w:rsidR="001342F9" w:rsidRPr="00F05C0E">
        <w:t xml:space="preserve">, the contracting officer is </w:t>
      </w:r>
      <w:r w:rsidR="005B3193" w:rsidRPr="00F05C0E">
        <w:t xml:space="preserve">made </w:t>
      </w:r>
      <w:r w:rsidR="001342F9" w:rsidRPr="00F05C0E">
        <w:t xml:space="preserve">aware </w:t>
      </w:r>
      <w:r w:rsidR="005D36DD" w:rsidRPr="00F05C0E">
        <w:t xml:space="preserve">that </w:t>
      </w:r>
      <w:r w:rsidR="00FA6A75" w:rsidRPr="00F05C0E">
        <w:t>GFP</w:t>
      </w:r>
      <w:r w:rsidR="001342F9" w:rsidRPr="00F05C0E">
        <w:t xml:space="preserve"> has</w:t>
      </w:r>
      <w:r w:rsidR="005D36DD" w:rsidRPr="00F05C0E">
        <w:t xml:space="preserve"> arrived at the contractor’s repair facility. </w:t>
      </w:r>
      <w:r w:rsidR="00766DBD" w:rsidRPr="00F05C0E">
        <w:t xml:space="preserve"> The </w:t>
      </w:r>
      <w:proofErr w:type="gramStart"/>
      <w:r w:rsidR="00766DBD" w:rsidRPr="00F05C0E">
        <w:t>DoD</w:t>
      </w:r>
      <w:proofErr w:type="gramEnd"/>
      <w:r w:rsidR="00766DBD" w:rsidRPr="00F05C0E">
        <w:t xml:space="preserve"> logistics community uses the information as a data source of available DoD equipment.</w:t>
      </w:r>
      <w:r w:rsidR="00403331" w:rsidRPr="00F05C0E">
        <w:t xml:space="preserve">  In addition, the </w:t>
      </w:r>
      <w:proofErr w:type="gramStart"/>
      <w:r w:rsidR="00403331" w:rsidRPr="00F05C0E">
        <w:t>DoD</w:t>
      </w:r>
      <w:proofErr w:type="gramEnd"/>
      <w:r w:rsidR="00403331" w:rsidRPr="00F05C0E">
        <w:t xml:space="preserve"> organization responsible for contract administration </w:t>
      </w:r>
      <w:r w:rsidR="00010C66" w:rsidRPr="00F05C0E">
        <w:t>uses the data to test the adequacy of the contractor’s property management system.</w:t>
      </w:r>
      <w:r w:rsidR="00904FF2" w:rsidRPr="00F05C0E">
        <w:t xml:space="preserve"> </w:t>
      </w:r>
      <w:r w:rsidR="00DE32A7">
        <w:t xml:space="preserve"> </w:t>
      </w:r>
    </w:p>
    <w:p w:rsidR="0079132B" w:rsidRDefault="0079132B" w:rsidP="00312A6F">
      <w:pPr>
        <w:widowControl/>
        <w:tabs>
          <w:tab w:val="left" w:pos="360"/>
        </w:tabs>
        <w:autoSpaceDE/>
        <w:autoSpaceDN/>
        <w:adjustRightInd/>
      </w:pPr>
    </w:p>
    <w:p w:rsidR="00904FF2" w:rsidRPr="00F05C0E" w:rsidRDefault="0079132B" w:rsidP="00312A6F">
      <w:pPr>
        <w:widowControl/>
        <w:tabs>
          <w:tab w:val="left" w:pos="360"/>
        </w:tabs>
        <w:autoSpaceDE/>
        <w:autoSpaceDN/>
        <w:adjustRightInd/>
      </w:pPr>
      <w:r>
        <w:tab/>
      </w:r>
      <w:r>
        <w:tab/>
      </w:r>
      <w:r>
        <w:tab/>
        <w:t xml:space="preserve">ii.  </w:t>
      </w:r>
      <w:r w:rsidRPr="0079132B">
        <w:t xml:space="preserve">DoD has placed increased emphasis on ensuring </w:t>
      </w:r>
      <w:r w:rsidR="00DE32A7">
        <w:t xml:space="preserve">DFARS </w:t>
      </w:r>
      <w:r w:rsidRPr="0079132B">
        <w:t>clause 252.211-7007</w:t>
      </w:r>
      <w:r w:rsidR="00DE32A7">
        <w:t>,</w:t>
      </w:r>
      <w:r w:rsidRPr="0079132B">
        <w:t xml:space="preserve"> </w:t>
      </w:r>
      <w:r w:rsidR="00DE32A7">
        <w:t>as well as</w:t>
      </w:r>
      <w:r w:rsidRPr="0079132B">
        <w:t xml:space="preserve"> other Government property</w:t>
      </w:r>
      <w:r w:rsidR="00DE32A7">
        <w:t>-</w:t>
      </w:r>
      <w:r w:rsidRPr="0079132B">
        <w:t>related FAR and D</w:t>
      </w:r>
      <w:r>
        <w:t>F</w:t>
      </w:r>
      <w:r w:rsidR="00DE32A7">
        <w:t>ARS clauses,</w:t>
      </w:r>
      <w:r w:rsidRPr="0079132B">
        <w:t xml:space="preserve"> are included in DoD contracts involving Government property</w:t>
      </w:r>
      <w:r w:rsidR="00DE32A7">
        <w:t xml:space="preserve"> (r</w:t>
      </w:r>
      <w:r w:rsidRPr="0079132B">
        <w:t>eference: OUSD memorandum dated September 19, 2014, which can be found at http://www.acq.osd.mil/dpap/policy/policyvault/USA005553-14-DPAP.pdf</w:t>
      </w:r>
      <w:r w:rsidR="00DE32A7">
        <w:t>)</w:t>
      </w:r>
      <w:r w:rsidRPr="0079132B">
        <w:t xml:space="preserve">.  </w:t>
      </w:r>
    </w:p>
    <w:p w:rsidR="001342F9" w:rsidRPr="00F05C0E" w:rsidRDefault="001342F9" w:rsidP="001342F9">
      <w:pPr>
        <w:pStyle w:val="p5"/>
        <w:tabs>
          <w:tab w:val="clear" w:pos="765"/>
          <w:tab w:val="clear" w:pos="1491"/>
          <w:tab w:val="left" w:pos="0"/>
          <w:tab w:val="left" w:pos="360"/>
        </w:tabs>
        <w:ind w:left="0" w:firstLine="0"/>
      </w:pPr>
    </w:p>
    <w:p w:rsidR="00D4757A" w:rsidRPr="00F05C0E" w:rsidRDefault="00D4757A" w:rsidP="00D4757A">
      <w:pPr>
        <w:pStyle w:val="p4"/>
        <w:tabs>
          <w:tab w:val="left" w:pos="360"/>
          <w:tab w:val="left" w:pos="450"/>
        </w:tabs>
      </w:pPr>
      <w:r w:rsidRPr="00F05C0E">
        <w:tab/>
      </w:r>
      <w:r w:rsidR="00B3454A" w:rsidRPr="00F05C0E">
        <w:t>3.</w:t>
      </w:r>
      <w:r w:rsidR="00323753" w:rsidRPr="00F05C0E">
        <w:t xml:space="preserve">  </w:t>
      </w:r>
      <w:r w:rsidR="00323753" w:rsidRPr="00F05C0E">
        <w:rPr>
          <w:u w:val="single"/>
        </w:rPr>
        <w:t xml:space="preserve">Use of </w:t>
      </w:r>
      <w:r w:rsidRPr="00F05C0E">
        <w:rPr>
          <w:u w:val="single"/>
        </w:rPr>
        <w:t>Information Technology</w:t>
      </w:r>
    </w:p>
    <w:p w:rsidR="00D4757A" w:rsidRPr="00F05C0E" w:rsidRDefault="00D4757A" w:rsidP="00D4757A">
      <w:pPr>
        <w:pStyle w:val="p4"/>
        <w:tabs>
          <w:tab w:val="left" w:pos="360"/>
          <w:tab w:val="left" w:pos="450"/>
        </w:tabs>
      </w:pPr>
    </w:p>
    <w:p w:rsidR="0045283B" w:rsidRPr="00F05C0E" w:rsidRDefault="00D4757A" w:rsidP="0045283B">
      <w:pPr>
        <w:pStyle w:val="p4"/>
      </w:pPr>
      <w:r w:rsidRPr="00F05C0E">
        <w:tab/>
      </w:r>
      <w:r w:rsidRPr="00F05C0E">
        <w:tab/>
      </w:r>
      <w:r w:rsidR="00B3454A" w:rsidRPr="00F05C0E">
        <w:t xml:space="preserve">Information technology </w:t>
      </w:r>
      <w:r w:rsidRPr="00F05C0E">
        <w:t xml:space="preserve">is used </w:t>
      </w:r>
      <w:r w:rsidR="00B3454A" w:rsidRPr="00F05C0E">
        <w:t>to</w:t>
      </w:r>
      <w:r w:rsidR="0045283B" w:rsidRPr="00F05C0E">
        <w:t xml:space="preserve"> collect the covered information </w:t>
      </w:r>
      <w:r w:rsidR="00E84704" w:rsidRPr="00F05C0E">
        <w:t xml:space="preserve">to the maximum extent </w:t>
      </w:r>
      <w:r w:rsidR="0045283B" w:rsidRPr="00F05C0E">
        <w:t>(100%)</w:t>
      </w:r>
      <w:r w:rsidR="00E84704" w:rsidRPr="00F05C0E">
        <w:t xml:space="preserve"> as follows:</w:t>
      </w:r>
    </w:p>
    <w:p w:rsidR="0045283B" w:rsidRPr="00F05C0E" w:rsidRDefault="0045283B" w:rsidP="0045283B">
      <w:pPr>
        <w:pStyle w:val="p4"/>
      </w:pPr>
    </w:p>
    <w:p w:rsidR="00E84704" w:rsidRPr="00F05C0E" w:rsidRDefault="0045283B" w:rsidP="0045283B">
      <w:pPr>
        <w:pStyle w:val="p4"/>
      </w:pPr>
      <w:r w:rsidRPr="00F05C0E">
        <w:tab/>
      </w:r>
      <w:proofErr w:type="gramStart"/>
      <w:r w:rsidRPr="00F05C0E">
        <w:t>a.  Contracting</w:t>
      </w:r>
      <w:proofErr w:type="gramEnd"/>
      <w:r w:rsidRPr="00F05C0E">
        <w:t xml:space="preserve"> officers may allow for the electronic submission of </w:t>
      </w:r>
      <w:r w:rsidR="00E84704" w:rsidRPr="00F05C0E">
        <w:t>offers</w:t>
      </w:r>
      <w:r w:rsidRPr="00F05C0E">
        <w:t xml:space="preserve">, which will include alternatives </w:t>
      </w:r>
      <w:r w:rsidR="00E84704" w:rsidRPr="00F05C0E">
        <w:t>specifications proposed in accordance with</w:t>
      </w:r>
      <w:r w:rsidRPr="00F05C0E">
        <w:t xml:space="preserve"> DFARS 252.211-7004</w:t>
      </w:r>
      <w:r w:rsidR="00E84704" w:rsidRPr="00F05C0E">
        <w:t>.</w:t>
      </w:r>
      <w:r w:rsidRPr="00F05C0E">
        <w:t xml:space="preserve"> </w:t>
      </w:r>
    </w:p>
    <w:p w:rsidR="00E84704" w:rsidRPr="00F05C0E" w:rsidRDefault="00E84704" w:rsidP="0045283B">
      <w:pPr>
        <w:pStyle w:val="p4"/>
      </w:pPr>
    </w:p>
    <w:p w:rsidR="0045283B" w:rsidRPr="00F05C0E" w:rsidRDefault="00E84704" w:rsidP="0045283B">
      <w:pPr>
        <w:pStyle w:val="p4"/>
      </w:pPr>
      <w:r w:rsidRPr="00F05C0E">
        <w:tab/>
      </w:r>
      <w:proofErr w:type="gramStart"/>
      <w:r w:rsidRPr="00F05C0E">
        <w:t>b.  Contracting</w:t>
      </w:r>
      <w:proofErr w:type="gramEnd"/>
      <w:r w:rsidRPr="00F05C0E">
        <w:t xml:space="preserve"> officers may allow for the electronic submission of offers, which will include SPI processes proposed in accordance with DFARS </w:t>
      </w:r>
      <w:r w:rsidR="0045283B" w:rsidRPr="00F05C0E">
        <w:t xml:space="preserve">252.211-7005.  </w:t>
      </w:r>
    </w:p>
    <w:p w:rsidR="0045283B" w:rsidRPr="00F05C0E" w:rsidRDefault="0045283B" w:rsidP="0045283B">
      <w:pPr>
        <w:pStyle w:val="p4"/>
      </w:pPr>
    </w:p>
    <w:p w:rsidR="0045283B" w:rsidRPr="00F05C0E" w:rsidRDefault="0045283B" w:rsidP="0045283B">
      <w:pPr>
        <w:pStyle w:val="p4"/>
      </w:pPr>
      <w:r w:rsidRPr="00F05C0E">
        <w:tab/>
      </w:r>
      <w:r w:rsidR="00E84704" w:rsidRPr="00F05C0E">
        <w:t>c</w:t>
      </w:r>
      <w:r w:rsidRPr="00F05C0E">
        <w:t>.  As required by DFARS 252.211-7007, contractors report</w:t>
      </w:r>
      <w:r w:rsidR="00915193" w:rsidRPr="00F05C0E">
        <w:t xml:space="preserve"> GFP</w:t>
      </w:r>
      <w:r w:rsidRPr="00F05C0E">
        <w:t xml:space="preserve"> data electronically to the </w:t>
      </w:r>
      <w:r w:rsidR="00642EE1">
        <w:t xml:space="preserve">DoD </w:t>
      </w:r>
      <w:r w:rsidRPr="00F05C0E">
        <w:t xml:space="preserve">IUID Registry, which is the DoD data repository that receives input from both industry and Government sources and provides storage of, and access to, data that identifies and describes tangible Government personal property.  </w:t>
      </w:r>
    </w:p>
    <w:p w:rsidR="00B3454A" w:rsidRPr="00F05C0E" w:rsidRDefault="00B3454A" w:rsidP="0045283B">
      <w:pPr>
        <w:pStyle w:val="p4"/>
      </w:pPr>
    </w:p>
    <w:p w:rsidR="00D4757A" w:rsidRPr="00F05C0E" w:rsidRDefault="00D4757A" w:rsidP="005E2D82">
      <w:pPr>
        <w:pStyle w:val="p4"/>
        <w:tabs>
          <w:tab w:val="left" w:pos="360"/>
        </w:tabs>
      </w:pPr>
      <w:r w:rsidRPr="00F05C0E">
        <w:tab/>
      </w:r>
      <w:r w:rsidR="00323753" w:rsidRPr="00F05C0E">
        <w:t>4.</w:t>
      </w:r>
      <w:r w:rsidR="007C0C1D" w:rsidRPr="00F05C0E">
        <w:t xml:space="preserve">  </w:t>
      </w:r>
      <w:r w:rsidRPr="00F05C0E">
        <w:rPr>
          <w:u w:val="single"/>
        </w:rPr>
        <w:t>Non-d</w:t>
      </w:r>
      <w:r w:rsidR="007C0C1D" w:rsidRPr="00F05C0E">
        <w:rPr>
          <w:u w:val="single"/>
        </w:rPr>
        <w:t>uplication</w:t>
      </w:r>
      <w:r w:rsidRPr="00F05C0E">
        <w:t>.</w:t>
      </w:r>
    </w:p>
    <w:p w:rsidR="00D4757A" w:rsidRPr="00F05C0E" w:rsidRDefault="00D4757A" w:rsidP="005E2D82">
      <w:pPr>
        <w:pStyle w:val="p4"/>
        <w:tabs>
          <w:tab w:val="left" w:pos="360"/>
        </w:tabs>
      </w:pPr>
    </w:p>
    <w:p w:rsidR="00B3454A" w:rsidRPr="00F05C0E" w:rsidRDefault="00D4757A" w:rsidP="005E2D82">
      <w:pPr>
        <w:pStyle w:val="p4"/>
        <w:tabs>
          <w:tab w:val="left" w:pos="360"/>
        </w:tabs>
      </w:pPr>
      <w:r w:rsidRPr="00F05C0E">
        <w:tab/>
      </w:r>
      <w:r w:rsidRPr="00F05C0E">
        <w:tab/>
      </w:r>
      <w:r w:rsidR="00B3454A" w:rsidRPr="00F05C0E">
        <w:t xml:space="preserve">As a matter of policy, </w:t>
      </w:r>
      <w:proofErr w:type="gramStart"/>
      <w:r w:rsidR="00B3454A" w:rsidRPr="00F05C0E">
        <w:t>DoD</w:t>
      </w:r>
      <w:proofErr w:type="gramEnd"/>
      <w:r w:rsidR="00B3454A" w:rsidRPr="00F05C0E">
        <w:t xml:space="preserve"> reviews the DFARS to determine whether adequate language already exists.  This information collection does not duplicate any other requirement.</w:t>
      </w:r>
    </w:p>
    <w:p w:rsidR="00B3454A" w:rsidRPr="00F05C0E" w:rsidRDefault="00B3454A" w:rsidP="005E2D82">
      <w:pPr>
        <w:pStyle w:val="p4"/>
        <w:tabs>
          <w:tab w:val="left" w:pos="360"/>
        </w:tabs>
      </w:pPr>
    </w:p>
    <w:p w:rsidR="00D4757A" w:rsidRPr="00F05C0E" w:rsidRDefault="00D4757A" w:rsidP="00D4757A">
      <w:pPr>
        <w:pStyle w:val="p4"/>
        <w:tabs>
          <w:tab w:val="clear" w:pos="674"/>
          <w:tab w:val="left" w:pos="360"/>
          <w:tab w:val="left" w:pos="540"/>
          <w:tab w:val="left" w:pos="720"/>
        </w:tabs>
      </w:pPr>
      <w:r w:rsidRPr="00F05C0E">
        <w:tab/>
      </w:r>
      <w:r w:rsidR="007C0C1D" w:rsidRPr="00F05C0E">
        <w:t>5.</w:t>
      </w:r>
      <w:r w:rsidRPr="00F05C0E">
        <w:t xml:space="preserve"> </w:t>
      </w:r>
      <w:r w:rsidR="007C0C1D" w:rsidRPr="00F05C0E">
        <w:t xml:space="preserve"> </w:t>
      </w:r>
      <w:r w:rsidRPr="00F05C0E">
        <w:rPr>
          <w:u w:val="single"/>
        </w:rPr>
        <w:t>Burden on S</w:t>
      </w:r>
      <w:r w:rsidR="007C0C1D" w:rsidRPr="00F05C0E">
        <w:rPr>
          <w:u w:val="single"/>
        </w:rPr>
        <w:t>mall Business</w:t>
      </w:r>
      <w:r w:rsidR="007C0C1D" w:rsidRPr="00F05C0E">
        <w:t xml:space="preserve"> </w:t>
      </w:r>
      <w:r w:rsidR="00B3454A" w:rsidRPr="00F05C0E">
        <w:tab/>
      </w:r>
    </w:p>
    <w:p w:rsidR="00D4757A" w:rsidRPr="00F05C0E" w:rsidRDefault="00D4757A" w:rsidP="00D4757A">
      <w:pPr>
        <w:pStyle w:val="p4"/>
        <w:tabs>
          <w:tab w:val="clear" w:pos="674"/>
          <w:tab w:val="left" w:pos="360"/>
          <w:tab w:val="left" w:pos="540"/>
          <w:tab w:val="left" w:pos="720"/>
        </w:tabs>
      </w:pPr>
    </w:p>
    <w:p w:rsidR="004200E5" w:rsidRPr="00F05C0E" w:rsidRDefault="004200E5" w:rsidP="00D4757A">
      <w:pPr>
        <w:pStyle w:val="p4"/>
        <w:tabs>
          <w:tab w:val="clear" w:pos="674"/>
          <w:tab w:val="left" w:pos="360"/>
          <w:tab w:val="left" w:pos="540"/>
          <w:tab w:val="left" w:pos="720"/>
        </w:tabs>
      </w:pPr>
      <w:r w:rsidRPr="00F05C0E">
        <w:tab/>
      </w:r>
      <w:r w:rsidRPr="00F05C0E">
        <w:tab/>
        <w:t>The burden applied to small businesses is the minimum consistent with applicable laws, Executive orders, regulations, and prudent business practices.</w:t>
      </w:r>
    </w:p>
    <w:p w:rsidR="004200E5" w:rsidRPr="00F05C0E" w:rsidRDefault="004200E5" w:rsidP="00D4757A">
      <w:pPr>
        <w:pStyle w:val="p4"/>
        <w:tabs>
          <w:tab w:val="clear" w:pos="674"/>
          <w:tab w:val="left" w:pos="360"/>
          <w:tab w:val="left" w:pos="540"/>
          <w:tab w:val="left" w:pos="720"/>
        </w:tabs>
      </w:pPr>
    </w:p>
    <w:p w:rsidR="00E84704" w:rsidRPr="00F05C0E" w:rsidRDefault="00D4757A" w:rsidP="00AA0F21">
      <w:pPr>
        <w:tabs>
          <w:tab w:val="left" w:pos="360"/>
        </w:tabs>
      </w:pPr>
      <w:r w:rsidRPr="00F05C0E">
        <w:lastRenderedPageBreak/>
        <w:tab/>
      </w:r>
      <w:r w:rsidR="00844F2C" w:rsidRPr="00F05C0E">
        <w:tab/>
      </w:r>
      <w:proofErr w:type="gramStart"/>
      <w:r w:rsidR="00844F2C" w:rsidRPr="00F05C0E">
        <w:t xml:space="preserve">a.  </w:t>
      </w:r>
      <w:r w:rsidR="004200E5" w:rsidRPr="00F05C0E">
        <w:t>The</w:t>
      </w:r>
      <w:proofErr w:type="gramEnd"/>
      <w:r w:rsidR="004200E5" w:rsidRPr="00F05C0E">
        <w:t xml:space="preserve"> collection associated with DFARS 252.211-7004 is not expected to impose a burden on small businesses,</w:t>
      </w:r>
      <w:r w:rsidR="00226D4E" w:rsidRPr="00F05C0E">
        <w:t xml:space="preserve"> </w:t>
      </w:r>
      <w:r w:rsidR="004200E5" w:rsidRPr="00F05C0E">
        <w:t>because only those offerors that wish to propose alternate preservation, packaging, or packing or to use SPI-approved processes in lieu of military or Federal specifications or standards need do so</w:t>
      </w:r>
      <w:r w:rsidR="00B3454A" w:rsidRPr="00F05C0E">
        <w:t>.</w:t>
      </w:r>
      <w:r w:rsidR="00AB6FF0" w:rsidRPr="00F05C0E">
        <w:t xml:space="preserve">  </w:t>
      </w:r>
    </w:p>
    <w:p w:rsidR="00E84704" w:rsidRPr="00F05C0E" w:rsidRDefault="00E84704" w:rsidP="00AA0F21">
      <w:pPr>
        <w:tabs>
          <w:tab w:val="left" w:pos="360"/>
        </w:tabs>
      </w:pPr>
    </w:p>
    <w:p w:rsidR="00B3454A" w:rsidRPr="00F05C0E" w:rsidRDefault="00E84704" w:rsidP="00AA0F21">
      <w:pPr>
        <w:tabs>
          <w:tab w:val="left" w:pos="360"/>
        </w:tabs>
      </w:pPr>
      <w:r w:rsidRPr="00F05C0E">
        <w:tab/>
      </w:r>
      <w:r w:rsidRPr="00F05C0E">
        <w:tab/>
      </w:r>
      <w:proofErr w:type="gramStart"/>
      <w:r w:rsidRPr="00F05C0E">
        <w:t>b.  The</w:t>
      </w:r>
      <w:proofErr w:type="gramEnd"/>
      <w:r w:rsidRPr="00F05C0E">
        <w:t xml:space="preserve"> collection associated with DFARS 252.211-7005 is not expected to impose a significant burden on small businesses, because only those offerors that wish to propose SPI processes, in lieu of military standards and specification at a specific facility, need do so.  </w:t>
      </w:r>
      <w:r w:rsidR="00766DBD" w:rsidRPr="00F05C0E">
        <w:t>F</w:t>
      </w:r>
      <w:r w:rsidR="00AA0F21" w:rsidRPr="00F05C0E">
        <w:t>ew</w:t>
      </w:r>
      <w:r w:rsidR="00AB6FF0" w:rsidRPr="00F05C0E">
        <w:t xml:space="preserve"> </w:t>
      </w:r>
      <w:r w:rsidR="00AA0F21" w:rsidRPr="00F05C0E">
        <w:t xml:space="preserve">contractors </w:t>
      </w:r>
      <w:r w:rsidR="00AB6FF0" w:rsidRPr="00F05C0E">
        <w:t>still participate in formal SPI programs</w:t>
      </w:r>
      <w:r w:rsidR="00AA0F21" w:rsidRPr="00F05C0E">
        <w:t xml:space="preserve"> (</w:t>
      </w:r>
      <w:r w:rsidR="00AB6FF0" w:rsidRPr="00F05C0E">
        <w:t>which are voluntary</w:t>
      </w:r>
      <w:r w:rsidR="00AA0F21" w:rsidRPr="00F05C0E">
        <w:t>).</w:t>
      </w:r>
    </w:p>
    <w:p w:rsidR="00226D4E" w:rsidRPr="00F05C0E" w:rsidRDefault="00226D4E" w:rsidP="00AA0F21">
      <w:pPr>
        <w:tabs>
          <w:tab w:val="left" w:pos="360"/>
        </w:tabs>
      </w:pPr>
    </w:p>
    <w:p w:rsidR="00844F2C" w:rsidRPr="00F05C0E" w:rsidRDefault="00226D4E" w:rsidP="00AA0F21">
      <w:pPr>
        <w:tabs>
          <w:tab w:val="left" w:pos="360"/>
        </w:tabs>
      </w:pPr>
      <w:r w:rsidRPr="00F05C0E">
        <w:tab/>
      </w:r>
      <w:r w:rsidRPr="00F05C0E">
        <w:tab/>
      </w:r>
      <w:proofErr w:type="gramStart"/>
      <w:r w:rsidR="003C2695">
        <w:t>c</w:t>
      </w:r>
      <w:r w:rsidR="00844F2C" w:rsidRPr="00F05C0E">
        <w:t xml:space="preserve">.  </w:t>
      </w:r>
      <w:r w:rsidR="005709FF" w:rsidRPr="00F05C0E">
        <w:rPr>
          <w:rFonts w:cs="Courier New"/>
        </w:rPr>
        <w:t>The</w:t>
      </w:r>
      <w:proofErr w:type="gramEnd"/>
      <w:r w:rsidR="005709FF" w:rsidRPr="00F05C0E">
        <w:rPr>
          <w:rFonts w:cs="Courier New"/>
        </w:rPr>
        <w:t xml:space="preserve"> burden associated with DFARS 252.211-</w:t>
      </w:r>
      <w:r w:rsidR="00DE32A7">
        <w:rPr>
          <w:rFonts w:cs="Courier New"/>
        </w:rPr>
        <w:t xml:space="preserve">7007 imposed on small business </w:t>
      </w:r>
      <w:r w:rsidR="00FA3843">
        <w:rPr>
          <w:rFonts w:cs="Courier New"/>
        </w:rPr>
        <w:t>is necessary</w:t>
      </w:r>
      <w:r w:rsidR="00844F2C" w:rsidRPr="00F05C0E">
        <w:rPr>
          <w:rFonts w:cs="Courier New"/>
        </w:rPr>
        <w:t xml:space="preserve"> to achieve the necessary policy objective of strengthening DoD accountability and end-to-end traceability of GFP.</w:t>
      </w:r>
    </w:p>
    <w:p w:rsidR="00B3454A" w:rsidRPr="00F05C0E" w:rsidRDefault="00B3454A" w:rsidP="005E2D82">
      <w:pPr>
        <w:pStyle w:val="p4"/>
        <w:tabs>
          <w:tab w:val="left" w:pos="360"/>
        </w:tabs>
        <w:ind w:left="870"/>
      </w:pPr>
    </w:p>
    <w:p w:rsidR="00AB6FF0" w:rsidRPr="00F05C0E" w:rsidRDefault="00AB6FF0" w:rsidP="005E2D82">
      <w:pPr>
        <w:pStyle w:val="p4"/>
        <w:tabs>
          <w:tab w:val="left" w:pos="360"/>
        </w:tabs>
      </w:pPr>
      <w:r w:rsidRPr="00F05C0E">
        <w:tab/>
      </w:r>
      <w:r w:rsidR="00B3454A" w:rsidRPr="00F05C0E">
        <w:t>6.</w:t>
      </w:r>
      <w:r w:rsidR="007C0C1D" w:rsidRPr="00F05C0E">
        <w:t xml:space="preserve"> </w:t>
      </w:r>
      <w:r w:rsidR="00B3454A" w:rsidRPr="00F05C0E">
        <w:t xml:space="preserve"> </w:t>
      </w:r>
      <w:r w:rsidRPr="00F05C0E">
        <w:rPr>
          <w:u w:val="single"/>
        </w:rPr>
        <w:t>Less Frequent Collection</w:t>
      </w:r>
      <w:r w:rsidR="007C0C1D" w:rsidRPr="00F05C0E">
        <w:t xml:space="preserve"> </w:t>
      </w:r>
    </w:p>
    <w:p w:rsidR="00AB6FF0" w:rsidRPr="00F05C0E" w:rsidRDefault="00AB6FF0" w:rsidP="005E2D82">
      <w:pPr>
        <w:pStyle w:val="p4"/>
        <w:tabs>
          <w:tab w:val="left" w:pos="360"/>
        </w:tabs>
      </w:pPr>
    </w:p>
    <w:p w:rsidR="00E84704" w:rsidRPr="00F05C0E" w:rsidRDefault="00AB6FF0" w:rsidP="009D5621">
      <w:pPr>
        <w:pStyle w:val="p4"/>
        <w:tabs>
          <w:tab w:val="clear" w:pos="674"/>
          <w:tab w:val="left" w:pos="360"/>
          <w:tab w:val="left" w:pos="720"/>
        </w:tabs>
      </w:pPr>
      <w:r w:rsidRPr="00F05C0E">
        <w:tab/>
      </w:r>
      <w:r w:rsidRPr="00F05C0E">
        <w:tab/>
      </w:r>
      <w:proofErr w:type="gramStart"/>
      <w:r w:rsidR="00940035" w:rsidRPr="00F05C0E">
        <w:t xml:space="preserve">a. </w:t>
      </w:r>
      <w:r w:rsidR="005B3193" w:rsidRPr="00F05C0E">
        <w:t xml:space="preserve"> </w:t>
      </w:r>
      <w:r w:rsidR="00E84704" w:rsidRPr="00F05C0E">
        <w:t>If</w:t>
      </w:r>
      <w:proofErr w:type="gramEnd"/>
      <w:r w:rsidR="00E84704" w:rsidRPr="00F05C0E">
        <w:t xml:space="preserve"> the information required by DFARS 252.211-7004 is not collected, then </w:t>
      </w:r>
      <w:r w:rsidR="00FA3EB0" w:rsidRPr="00F05C0E">
        <w:t>DoD contracting</w:t>
      </w:r>
      <w:r w:rsidR="00B3454A" w:rsidRPr="00F05C0E">
        <w:t xml:space="preserve"> officer</w:t>
      </w:r>
      <w:r w:rsidR="005709FF" w:rsidRPr="00F05C0E">
        <w:t>s</w:t>
      </w:r>
      <w:r w:rsidR="00B3454A" w:rsidRPr="00F05C0E">
        <w:t xml:space="preserve"> </w:t>
      </w:r>
      <w:r w:rsidR="005709FF" w:rsidRPr="00F05C0E">
        <w:t>would be unable to</w:t>
      </w:r>
      <w:r w:rsidR="00B3454A" w:rsidRPr="00F05C0E">
        <w:t xml:space="preserve"> evaluate the suitability of proposed alternate preservation, packaging, or packing, and all offerors would be required to follow the military preservation, packaging, or packing specifications, thus losing any potential cost savings.</w:t>
      </w:r>
      <w:r w:rsidR="00E84704" w:rsidRPr="00F05C0E">
        <w:t xml:space="preserve">  </w:t>
      </w:r>
    </w:p>
    <w:p w:rsidR="00E84704" w:rsidRPr="00F05C0E" w:rsidRDefault="00E84704" w:rsidP="009D5621">
      <w:pPr>
        <w:pStyle w:val="p4"/>
        <w:tabs>
          <w:tab w:val="clear" w:pos="674"/>
          <w:tab w:val="left" w:pos="360"/>
          <w:tab w:val="left" w:pos="720"/>
        </w:tabs>
      </w:pPr>
    </w:p>
    <w:p w:rsidR="009D5621" w:rsidRPr="00F05C0E" w:rsidRDefault="00E84704" w:rsidP="004200E5">
      <w:pPr>
        <w:pStyle w:val="p4"/>
        <w:tabs>
          <w:tab w:val="clear" w:pos="674"/>
          <w:tab w:val="left" w:pos="360"/>
          <w:tab w:val="left" w:pos="720"/>
        </w:tabs>
      </w:pPr>
      <w:r w:rsidRPr="00F05C0E">
        <w:tab/>
      </w:r>
      <w:r w:rsidRPr="00F05C0E">
        <w:tab/>
        <w:t xml:space="preserve">b.  Similarly, if the information required by DFARS 252.211-7005 is not collected, then </w:t>
      </w:r>
      <w:r w:rsidR="004200E5" w:rsidRPr="00F05C0E">
        <w:t xml:space="preserve"> Offerors may not be able to substitute their previously approved SPI processes for military or Federal specifications or standards, and potential cost savings might not be realized</w:t>
      </w:r>
      <w:r w:rsidR="009D5621" w:rsidRPr="00F05C0E">
        <w:t>.</w:t>
      </w:r>
    </w:p>
    <w:p w:rsidR="005709FF" w:rsidRPr="00F05C0E" w:rsidRDefault="005709FF" w:rsidP="009D5621">
      <w:pPr>
        <w:pStyle w:val="p4"/>
        <w:tabs>
          <w:tab w:val="clear" w:pos="674"/>
          <w:tab w:val="left" w:pos="360"/>
          <w:tab w:val="left" w:pos="720"/>
        </w:tabs>
      </w:pPr>
    </w:p>
    <w:p w:rsidR="005709FF" w:rsidRPr="00F05C0E" w:rsidRDefault="005709FF" w:rsidP="009D5621">
      <w:pPr>
        <w:pStyle w:val="p4"/>
        <w:tabs>
          <w:tab w:val="clear" w:pos="674"/>
          <w:tab w:val="left" w:pos="360"/>
          <w:tab w:val="left" w:pos="720"/>
        </w:tabs>
      </w:pPr>
      <w:r w:rsidRPr="00F05C0E">
        <w:tab/>
      </w:r>
      <w:r w:rsidRPr="00F05C0E">
        <w:tab/>
      </w:r>
      <w:proofErr w:type="gramStart"/>
      <w:r w:rsidR="00642EE1" w:rsidRPr="00F05C0E">
        <w:t xml:space="preserve">c. </w:t>
      </w:r>
      <w:r w:rsidR="003B51DB">
        <w:t xml:space="preserve"> </w:t>
      </w:r>
      <w:r w:rsidR="00642EE1" w:rsidRPr="00F05C0E">
        <w:t>If</w:t>
      </w:r>
      <w:proofErr w:type="gramEnd"/>
      <w:r w:rsidR="00E84704" w:rsidRPr="00F05C0E">
        <w:t xml:space="preserve"> the information required by DFARS 252.211-7007 is not collected, then effective</w:t>
      </w:r>
      <w:r w:rsidRPr="00F05C0E">
        <w:t xml:space="preserve"> accountability and management of </w:t>
      </w:r>
      <w:r w:rsidR="00E84704" w:rsidRPr="00F05C0E">
        <w:t>GFP</w:t>
      </w:r>
      <w:r w:rsidRPr="00F05C0E">
        <w:t xml:space="preserve"> would be compromised. </w:t>
      </w:r>
    </w:p>
    <w:p w:rsidR="009D5621" w:rsidRPr="00F05C0E" w:rsidRDefault="009D5621" w:rsidP="005E2D82">
      <w:pPr>
        <w:pStyle w:val="p4"/>
        <w:tabs>
          <w:tab w:val="left" w:pos="360"/>
        </w:tabs>
      </w:pPr>
    </w:p>
    <w:p w:rsidR="009D5621" w:rsidRPr="00F05C0E" w:rsidRDefault="00AB6FF0" w:rsidP="005E2D82">
      <w:pPr>
        <w:pStyle w:val="p4"/>
        <w:tabs>
          <w:tab w:val="left" w:pos="360"/>
        </w:tabs>
      </w:pPr>
      <w:r w:rsidRPr="00F05C0E">
        <w:tab/>
      </w:r>
      <w:r w:rsidR="00B3454A" w:rsidRPr="00F05C0E">
        <w:t>7.</w:t>
      </w:r>
      <w:r w:rsidR="009D5621" w:rsidRPr="00F05C0E">
        <w:t xml:space="preserve">  </w:t>
      </w:r>
      <w:r w:rsidR="009D5621" w:rsidRPr="00F05C0E">
        <w:rPr>
          <w:u w:val="single"/>
        </w:rPr>
        <w:t>Paperwork Reduction Act Guidelines</w:t>
      </w:r>
      <w:r w:rsidR="009D5621" w:rsidRPr="00F05C0E">
        <w:t xml:space="preserve"> </w:t>
      </w:r>
    </w:p>
    <w:p w:rsidR="00844F2C" w:rsidRPr="00F05C0E" w:rsidRDefault="00844F2C" w:rsidP="005E2D82">
      <w:pPr>
        <w:pStyle w:val="p4"/>
        <w:tabs>
          <w:tab w:val="left" w:pos="360"/>
        </w:tabs>
      </w:pPr>
    </w:p>
    <w:p w:rsidR="00B3454A" w:rsidRPr="00F05C0E" w:rsidRDefault="009D5621" w:rsidP="005E2D82">
      <w:pPr>
        <w:pStyle w:val="p4"/>
        <w:tabs>
          <w:tab w:val="left" w:pos="360"/>
        </w:tabs>
      </w:pPr>
      <w:r w:rsidRPr="00F05C0E">
        <w:tab/>
      </w:r>
      <w:r w:rsidRPr="00F05C0E">
        <w:tab/>
      </w:r>
      <w:r w:rsidR="00B3454A" w:rsidRPr="00F05C0E">
        <w:t xml:space="preserve">There are no special circumstances </w:t>
      </w:r>
      <w:r w:rsidRPr="00F05C0E">
        <w:t>for</w:t>
      </w:r>
      <w:r w:rsidR="00B3454A" w:rsidRPr="00F05C0E">
        <w:t xml:space="preserve"> collection</w:t>
      </w:r>
      <w:r w:rsidRPr="00F05C0E">
        <w:t>. Collection of this information is consistent with the guidelines</w:t>
      </w:r>
      <w:r w:rsidR="00B3454A" w:rsidRPr="00F05C0E">
        <w:t xml:space="preserve"> </w:t>
      </w:r>
      <w:r w:rsidRPr="00F05C0E">
        <w:t>at</w:t>
      </w:r>
      <w:r w:rsidR="00B3454A" w:rsidRPr="00F05C0E">
        <w:t xml:space="preserve"> 5 CFR 1320.5(d</w:t>
      </w:r>
      <w:proofErr w:type="gramStart"/>
      <w:r w:rsidR="00B3454A" w:rsidRPr="00F05C0E">
        <w:t>)(</w:t>
      </w:r>
      <w:proofErr w:type="gramEnd"/>
      <w:r w:rsidR="00B3454A" w:rsidRPr="00F05C0E">
        <w:t>2).</w:t>
      </w:r>
    </w:p>
    <w:p w:rsidR="00B3454A" w:rsidRPr="00F05C0E" w:rsidRDefault="00B3454A" w:rsidP="005E2D82">
      <w:pPr>
        <w:tabs>
          <w:tab w:val="left" w:pos="204"/>
          <w:tab w:val="left" w:pos="360"/>
        </w:tabs>
      </w:pPr>
    </w:p>
    <w:p w:rsidR="009D5621" w:rsidRPr="00F05C0E" w:rsidRDefault="00B3454A" w:rsidP="00AB6FF0">
      <w:pPr>
        <w:ind w:firstLine="360"/>
      </w:pPr>
      <w:r w:rsidRPr="00F05C0E">
        <w:t>8.</w:t>
      </w:r>
      <w:r w:rsidR="007C0C1D" w:rsidRPr="00F05C0E">
        <w:t xml:space="preserve">  </w:t>
      </w:r>
      <w:r w:rsidR="009D5621" w:rsidRPr="00312A6F">
        <w:rPr>
          <w:u w:val="single"/>
        </w:rPr>
        <w:t>Consolidation and Public Comments</w:t>
      </w:r>
    </w:p>
    <w:p w:rsidR="009D5621" w:rsidRPr="00F05C0E" w:rsidRDefault="009D5621" w:rsidP="00AB6FF0">
      <w:pPr>
        <w:ind w:firstLine="360"/>
      </w:pPr>
    </w:p>
    <w:p w:rsidR="005E2D82" w:rsidRPr="00F05C0E" w:rsidRDefault="009D5621" w:rsidP="001342F9">
      <w:pPr>
        <w:ind w:firstLine="360"/>
      </w:pPr>
      <w:r w:rsidRPr="00F05C0E">
        <w:tab/>
      </w:r>
      <w:proofErr w:type="gramStart"/>
      <w:r w:rsidR="00844F2C" w:rsidRPr="00F05C0E">
        <w:t xml:space="preserve">a.  </w:t>
      </w:r>
      <w:r w:rsidRPr="00F05C0E">
        <w:t>This</w:t>
      </w:r>
      <w:proofErr w:type="gramEnd"/>
      <w:r w:rsidRPr="00F05C0E">
        <w:t xml:space="preserve"> information collection is </w:t>
      </w:r>
      <w:r w:rsidR="00450496" w:rsidRPr="00F05C0E">
        <w:t>consistent wit</w:t>
      </w:r>
      <w:r w:rsidRPr="00F05C0E">
        <w:t>h the guidelines in 5 CFR 1320.6</w:t>
      </w:r>
      <w:r w:rsidR="00450496" w:rsidRPr="00F05C0E">
        <w:t xml:space="preserve">. </w:t>
      </w:r>
      <w:r w:rsidRPr="00F05C0E">
        <w:t xml:space="preserve"> P</w:t>
      </w:r>
      <w:r w:rsidR="00450496" w:rsidRPr="00F05C0E">
        <w:t xml:space="preserve">ublic comments were solicited in the </w:t>
      </w:r>
      <w:r w:rsidR="00450496" w:rsidRPr="00F05C0E">
        <w:rPr>
          <w:i/>
        </w:rPr>
        <w:t>Federal Register</w:t>
      </w:r>
      <w:r w:rsidR="001342F9" w:rsidRPr="00F05C0E">
        <w:t xml:space="preserve"> on December </w:t>
      </w:r>
      <w:r w:rsidR="00E7490E">
        <w:t>23</w:t>
      </w:r>
      <w:r w:rsidR="001342F9" w:rsidRPr="00F05C0E">
        <w:t>, 2016 (</w:t>
      </w:r>
      <w:hyperlink r:id="rId9" w:history="1">
        <w:r w:rsidR="00E7490E" w:rsidRPr="00871C53">
          <w:rPr>
            <w:rStyle w:val="Hyperlink"/>
          </w:rPr>
          <w:t>81</w:t>
        </w:r>
        <w:r w:rsidR="001342F9" w:rsidRPr="00871C53">
          <w:rPr>
            <w:rStyle w:val="Hyperlink"/>
          </w:rPr>
          <w:t xml:space="preserve"> FR </w:t>
        </w:r>
        <w:r w:rsidR="00E7490E" w:rsidRPr="00871C53">
          <w:rPr>
            <w:rStyle w:val="Hyperlink"/>
          </w:rPr>
          <w:t>94345</w:t>
        </w:r>
      </w:hyperlink>
      <w:r w:rsidR="00E7490E">
        <w:t>).  No</w:t>
      </w:r>
      <w:r w:rsidR="001342F9" w:rsidRPr="00F05C0E">
        <w:t xml:space="preserve"> comment</w:t>
      </w:r>
      <w:r w:rsidR="00766DBD" w:rsidRPr="00F05C0E">
        <w:t>s</w:t>
      </w:r>
      <w:r w:rsidR="001342F9" w:rsidRPr="00F05C0E">
        <w:t xml:space="preserve"> were received in response to this notice.</w:t>
      </w:r>
    </w:p>
    <w:p w:rsidR="00844F2C" w:rsidRPr="00F05C0E" w:rsidRDefault="00844F2C" w:rsidP="001342F9">
      <w:pPr>
        <w:ind w:firstLine="360"/>
      </w:pPr>
    </w:p>
    <w:p w:rsidR="00844F2C" w:rsidRPr="00F05C0E" w:rsidRDefault="00844F2C" w:rsidP="001342F9">
      <w:pPr>
        <w:ind w:firstLine="360"/>
      </w:pPr>
      <w:r w:rsidRPr="00F05C0E">
        <w:tab/>
      </w:r>
      <w:proofErr w:type="gramStart"/>
      <w:r w:rsidRPr="00F05C0E">
        <w:t>b.  Subject</w:t>
      </w:r>
      <w:proofErr w:type="gramEnd"/>
      <w:r w:rsidRPr="00F05C0E">
        <w:t xml:space="preserve"> matter experts </w:t>
      </w:r>
      <w:r w:rsidR="005B3F2E" w:rsidRPr="00F05C0E">
        <w:t xml:space="preserve">at </w:t>
      </w:r>
      <w:r w:rsidR="00836130" w:rsidRPr="00F05C0E">
        <w:t xml:space="preserve">the Defense Contract Management Agency (DCMA) </w:t>
      </w:r>
      <w:r w:rsidR="005B3F2E" w:rsidRPr="00F05C0E">
        <w:t xml:space="preserve">and associated with Defense </w:t>
      </w:r>
      <w:r w:rsidR="0079132B">
        <w:t>packaging p</w:t>
      </w:r>
      <w:r w:rsidR="005B3F2E" w:rsidRPr="00F05C0E">
        <w:t xml:space="preserve">olicy </w:t>
      </w:r>
      <w:r w:rsidRPr="00F05C0E">
        <w:t>were consulted regarding this information collection.</w:t>
      </w:r>
    </w:p>
    <w:p w:rsidR="00844F2C" w:rsidRPr="00F05C0E" w:rsidRDefault="00844F2C" w:rsidP="001342F9">
      <w:pPr>
        <w:ind w:firstLine="360"/>
      </w:pPr>
    </w:p>
    <w:p w:rsidR="00844F2C" w:rsidRPr="00F05C0E" w:rsidRDefault="00844F2C" w:rsidP="001342F9">
      <w:pPr>
        <w:ind w:firstLine="360"/>
      </w:pPr>
      <w:r w:rsidRPr="00F05C0E">
        <w:tab/>
      </w:r>
      <w:proofErr w:type="gramStart"/>
      <w:r w:rsidRPr="00F05C0E">
        <w:t>c.  A</w:t>
      </w:r>
      <w:proofErr w:type="gramEnd"/>
      <w:r w:rsidRPr="00F05C0E">
        <w:t xml:space="preserve"> notice of submission to OMB for clearance of this information collection was published in the Federal Register on </w:t>
      </w:r>
      <w:r w:rsidR="00871C53">
        <w:t>March</w:t>
      </w:r>
      <w:r w:rsidRPr="00F05C0E">
        <w:t xml:space="preserve"> </w:t>
      </w:r>
      <w:r w:rsidR="0028115A">
        <w:t>27</w:t>
      </w:r>
      <w:r w:rsidRPr="00F05C0E">
        <w:t>, 2017 (</w:t>
      </w:r>
      <w:r w:rsidR="0028115A">
        <w:fldChar w:fldCharType="begin"/>
      </w:r>
      <w:r w:rsidR="0028115A">
        <w:instrText xml:space="preserve"> HYPERLINK "https://www.federalregister.gov/documents/2017/03/27/2017-05985/submission-for-omb-review-comment-request" </w:instrText>
      </w:r>
      <w:r w:rsidR="0028115A">
        <w:fldChar w:fldCharType="separate"/>
      </w:r>
      <w:r w:rsidR="0028115A" w:rsidRPr="0028115A">
        <w:rPr>
          <w:rStyle w:val="Hyperlink"/>
        </w:rPr>
        <w:t>82 FR 15192</w:t>
      </w:r>
      <w:r w:rsidR="0028115A">
        <w:fldChar w:fldCharType="end"/>
      </w:r>
      <w:bookmarkStart w:id="0" w:name="_GoBack"/>
      <w:bookmarkEnd w:id="0"/>
      <w:r w:rsidRPr="00F05C0E">
        <w:t>).</w:t>
      </w:r>
    </w:p>
    <w:p w:rsidR="001342F9" w:rsidRDefault="001342F9" w:rsidP="001342F9">
      <w:pPr>
        <w:ind w:firstLine="360"/>
      </w:pPr>
    </w:p>
    <w:p w:rsidR="00871C53" w:rsidRPr="00F05C0E" w:rsidRDefault="00871C53" w:rsidP="001342F9">
      <w:pPr>
        <w:ind w:firstLine="360"/>
      </w:pPr>
    </w:p>
    <w:p w:rsidR="009D5621" w:rsidRPr="00F05C0E" w:rsidRDefault="009D5621" w:rsidP="005E2D82">
      <w:pPr>
        <w:pStyle w:val="p4"/>
        <w:tabs>
          <w:tab w:val="left" w:pos="360"/>
        </w:tabs>
      </w:pPr>
      <w:r w:rsidRPr="00F05C0E">
        <w:lastRenderedPageBreak/>
        <w:tab/>
      </w:r>
      <w:r w:rsidR="00B3454A" w:rsidRPr="00F05C0E">
        <w:t>9.</w:t>
      </w:r>
      <w:r w:rsidR="007C0C1D" w:rsidRPr="00F05C0E">
        <w:t xml:space="preserve">  </w:t>
      </w:r>
      <w:r w:rsidRPr="00F05C0E">
        <w:rPr>
          <w:u w:val="single"/>
        </w:rPr>
        <w:t>Gifts or Pa</w:t>
      </w:r>
      <w:r w:rsidR="007C0C1D" w:rsidRPr="00F05C0E">
        <w:rPr>
          <w:u w:val="single"/>
        </w:rPr>
        <w:t>yment</w:t>
      </w:r>
      <w:r w:rsidR="007C0C1D" w:rsidRPr="00F05C0E">
        <w:t xml:space="preserve">  </w:t>
      </w:r>
    </w:p>
    <w:p w:rsidR="009D5621" w:rsidRPr="00F05C0E" w:rsidRDefault="009D5621" w:rsidP="005E2D82">
      <w:pPr>
        <w:pStyle w:val="p4"/>
        <w:tabs>
          <w:tab w:val="left" w:pos="360"/>
        </w:tabs>
      </w:pPr>
    </w:p>
    <w:p w:rsidR="00B3454A" w:rsidRPr="00F05C0E" w:rsidRDefault="009D5621" w:rsidP="00AA0F21">
      <w:pPr>
        <w:pStyle w:val="p4"/>
        <w:tabs>
          <w:tab w:val="clear" w:pos="674"/>
          <w:tab w:val="left" w:pos="360"/>
          <w:tab w:val="left" w:pos="720"/>
        </w:tabs>
      </w:pPr>
      <w:r w:rsidRPr="00F05C0E">
        <w:tab/>
      </w:r>
      <w:r w:rsidRPr="00F05C0E">
        <w:tab/>
      </w:r>
      <w:proofErr w:type="gramStart"/>
      <w:r w:rsidRPr="00F05C0E">
        <w:t>DoD</w:t>
      </w:r>
      <w:proofErr w:type="gramEnd"/>
      <w:r w:rsidRPr="00F05C0E">
        <w:t xml:space="preserve"> will not provide a payment or gift to respondents under this information collection requirement</w:t>
      </w:r>
      <w:r w:rsidR="00B3454A" w:rsidRPr="00F05C0E">
        <w:t>.</w:t>
      </w:r>
    </w:p>
    <w:p w:rsidR="00B3454A" w:rsidRPr="00F05C0E" w:rsidRDefault="00B3454A" w:rsidP="005E2D82">
      <w:pPr>
        <w:tabs>
          <w:tab w:val="left" w:pos="360"/>
          <w:tab w:val="left" w:pos="674"/>
        </w:tabs>
      </w:pPr>
    </w:p>
    <w:p w:rsidR="00AA0F21" w:rsidRPr="00F05C0E" w:rsidRDefault="009D5621" w:rsidP="005E2D82">
      <w:pPr>
        <w:pStyle w:val="p4"/>
        <w:tabs>
          <w:tab w:val="left" w:pos="360"/>
        </w:tabs>
        <w:rPr>
          <w:u w:val="single"/>
        </w:rPr>
      </w:pPr>
      <w:r w:rsidRPr="00F05C0E">
        <w:tab/>
      </w:r>
      <w:r w:rsidR="00B3454A" w:rsidRPr="00F05C0E">
        <w:t>10.</w:t>
      </w:r>
      <w:r w:rsidR="007C0C1D" w:rsidRPr="00F05C0E">
        <w:t xml:space="preserve">   </w:t>
      </w:r>
      <w:r w:rsidR="007C0C1D" w:rsidRPr="00F05C0E">
        <w:rPr>
          <w:u w:val="single"/>
        </w:rPr>
        <w:t>Confidentiality</w:t>
      </w:r>
    </w:p>
    <w:p w:rsidR="00AA0F21" w:rsidRPr="00F05C0E" w:rsidRDefault="00AA0F21" w:rsidP="005E2D82">
      <w:pPr>
        <w:pStyle w:val="p4"/>
        <w:tabs>
          <w:tab w:val="left" w:pos="360"/>
        </w:tabs>
        <w:rPr>
          <w:u w:val="single"/>
        </w:rPr>
      </w:pPr>
    </w:p>
    <w:p w:rsidR="00937D1F" w:rsidRPr="00F05C0E" w:rsidRDefault="00AA0F21" w:rsidP="00AA0F21">
      <w:pPr>
        <w:pStyle w:val="p4"/>
        <w:tabs>
          <w:tab w:val="clear" w:pos="674"/>
          <w:tab w:val="left" w:pos="360"/>
          <w:tab w:val="left" w:pos="720"/>
        </w:tabs>
      </w:pPr>
      <w:r w:rsidRPr="00F05C0E">
        <w:rPr>
          <w:rFonts w:eastAsia="Courier New"/>
        </w:rPr>
        <w:tab/>
      </w:r>
      <w:r w:rsidRPr="00F05C0E">
        <w:rPr>
          <w:rFonts w:eastAsia="Courier New"/>
        </w:rPr>
        <w:tab/>
      </w:r>
      <w:r w:rsidR="00937D1F" w:rsidRPr="00F05C0E">
        <w:rPr>
          <w:rFonts w:eastAsia="Courier New"/>
        </w:rPr>
        <w:t>This information is disclosed only to the extent consistent with statutory requirements, current regulations, and prudent business practices.  The collection of information doe</w:t>
      </w:r>
      <w:r w:rsidR="005709FF" w:rsidRPr="00F05C0E">
        <w:rPr>
          <w:rFonts w:eastAsia="Courier New"/>
        </w:rPr>
        <w:t>s</w:t>
      </w:r>
      <w:r w:rsidR="00937D1F" w:rsidRPr="00F05C0E">
        <w:rPr>
          <w:rFonts w:eastAsia="Courier New"/>
        </w:rPr>
        <w:t xml:space="preserve"> not include and personally identifiable information; therefore</w:t>
      </w:r>
      <w:r w:rsidR="00766DBD" w:rsidRPr="00F05C0E">
        <w:rPr>
          <w:rFonts w:eastAsia="Courier New"/>
        </w:rPr>
        <w:t>,</w:t>
      </w:r>
      <w:r w:rsidR="00937D1F" w:rsidRPr="00F05C0E">
        <w:rPr>
          <w:rFonts w:eastAsia="Courier New"/>
        </w:rPr>
        <w:t xml:space="preserve"> no Privacy Impact Assessment or Privacy Act System of Records Notice is required</w:t>
      </w:r>
      <w:r w:rsidR="002B1FC8" w:rsidRPr="00F05C0E">
        <w:rPr>
          <w:rFonts w:eastAsia="Courier New"/>
        </w:rPr>
        <w:t>.</w:t>
      </w:r>
    </w:p>
    <w:p w:rsidR="00937D1F" w:rsidRPr="00F05C0E" w:rsidRDefault="00937D1F" w:rsidP="005E2D82">
      <w:pPr>
        <w:pStyle w:val="p4"/>
        <w:tabs>
          <w:tab w:val="left" w:pos="360"/>
        </w:tabs>
      </w:pPr>
    </w:p>
    <w:p w:rsidR="00AA0F21" w:rsidRPr="00F05C0E" w:rsidRDefault="00AA0F21" w:rsidP="005E2D82">
      <w:pPr>
        <w:pStyle w:val="p4"/>
        <w:tabs>
          <w:tab w:val="left" w:pos="360"/>
        </w:tabs>
      </w:pPr>
      <w:r w:rsidRPr="00F05C0E">
        <w:tab/>
      </w:r>
      <w:r w:rsidR="00B3454A" w:rsidRPr="00F05C0E">
        <w:t>11.</w:t>
      </w:r>
      <w:r w:rsidR="007C0C1D" w:rsidRPr="00F05C0E">
        <w:t xml:space="preserve">  </w:t>
      </w:r>
      <w:r w:rsidR="007C0C1D" w:rsidRPr="00F05C0E">
        <w:rPr>
          <w:u w:val="single"/>
        </w:rPr>
        <w:t>Sensitive Questions</w:t>
      </w:r>
      <w:r w:rsidR="007C0C1D" w:rsidRPr="00F05C0E">
        <w:t xml:space="preserve"> </w:t>
      </w:r>
    </w:p>
    <w:p w:rsidR="00AA0F21" w:rsidRPr="00F05C0E" w:rsidRDefault="00AA0F21" w:rsidP="005E2D82">
      <w:pPr>
        <w:pStyle w:val="p4"/>
        <w:tabs>
          <w:tab w:val="left" w:pos="360"/>
        </w:tabs>
      </w:pPr>
    </w:p>
    <w:p w:rsidR="00B3454A" w:rsidRPr="00F05C0E" w:rsidRDefault="00AA0F21" w:rsidP="005E2D82">
      <w:pPr>
        <w:pStyle w:val="p4"/>
        <w:tabs>
          <w:tab w:val="left" w:pos="360"/>
        </w:tabs>
      </w:pPr>
      <w:r w:rsidRPr="00F05C0E">
        <w:tab/>
      </w:r>
      <w:r w:rsidRPr="00F05C0E">
        <w:tab/>
        <w:t xml:space="preserve">  </w:t>
      </w:r>
      <w:r w:rsidR="00B3454A" w:rsidRPr="00F05C0E">
        <w:t>No s</w:t>
      </w:r>
      <w:r w:rsidRPr="00F05C0E">
        <w:t>ensitive questions are involved.</w:t>
      </w:r>
    </w:p>
    <w:p w:rsidR="00B3454A" w:rsidRPr="00F05C0E" w:rsidRDefault="00B3454A" w:rsidP="005E2D82">
      <w:pPr>
        <w:tabs>
          <w:tab w:val="left" w:pos="360"/>
          <w:tab w:val="left" w:pos="674"/>
        </w:tabs>
      </w:pPr>
    </w:p>
    <w:p w:rsidR="00B3454A" w:rsidRPr="00F05C0E" w:rsidRDefault="00AA0F21" w:rsidP="00AA0F21">
      <w:pPr>
        <w:pStyle w:val="p4"/>
        <w:tabs>
          <w:tab w:val="clear" w:pos="674"/>
          <w:tab w:val="left" w:pos="360"/>
          <w:tab w:val="left" w:pos="720"/>
        </w:tabs>
      </w:pPr>
      <w:r w:rsidRPr="00F05C0E">
        <w:tab/>
      </w:r>
      <w:r w:rsidR="00B3454A" w:rsidRPr="00F05C0E">
        <w:t>12.</w:t>
      </w:r>
      <w:r w:rsidR="007C0C1D" w:rsidRPr="00F05C0E">
        <w:t xml:space="preserve">  </w:t>
      </w:r>
      <w:r w:rsidRPr="00F05C0E">
        <w:rPr>
          <w:u w:val="single"/>
        </w:rPr>
        <w:t>Respondent Burden and its Labor Costs</w:t>
      </w:r>
    </w:p>
    <w:p w:rsidR="00B3454A" w:rsidRPr="00F05C0E" w:rsidRDefault="00B3454A" w:rsidP="005E2D82">
      <w:pPr>
        <w:pStyle w:val="p4"/>
        <w:tabs>
          <w:tab w:val="left" w:pos="360"/>
        </w:tabs>
      </w:pPr>
    </w:p>
    <w:p w:rsidR="00242ED0" w:rsidRPr="00F05C0E" w:rsidRDefault="00844F2C" w:rsidP="00242ED0">
      <w:pPr>
        <w:tabs>
          <w:tab w:val="left" w:pos="360"/>
        </w:tabs>
      </w:pPr>
      <w:r w:rsidRPr="00F05C0E">
        <w:tab/>
      </w:r>
      <w:r w:rsidRPr="00F05C0E">
        <w:tab/>
      </w:r>
      <w:proofErr w:type="gramStart"/>
      <w:r w:rsidRPr="00F05C0E">
        <w:t xml:space="preserve">a.  </w:t>
      </w:r>
      <w:r w:rsidR="002812B4" w:rsidRPr="00312A6F">
        <w:rPr>
          <w:u w:val="single"/>
        </w:rPr>
        <w:t>DFARS</w:t>
      </w:r>
      <w:proofErr w:type="gramEnd"/>
      <w:r w:rsidR="002812B4" w:rsidRPr="00312A6F">
        <w:rPr>
          <w:u w:val="single"/>
        </w:rPr>
        <w:t xml:space="preserve"> 252.211-7004</w:t>
      </w:r>
      <w:r w:rsidR="002812B4" w:rsidRPr="00F05C0E">
        <w:t xml:space="preserve">.  </w:t>
      </w:r>
      <w:r w:rsidR="00AA0F21" w:rsidRPr="00F05C0E">
        <w:t xml:space="preserve">The estimated respondent burdens and labor </w:t>
      </w:r>
      <w:r w:rsidR="00642EE1" w:rsidRPr="00F05C0E">
        <w:t>costs are</w:t>
      </w:r>
      <w:r w:rsidR="00AA0F21" w:rsidRPr="00F05C0E">
        <w:t xml:space="preserve"> shown in the table</w:t>
      </w:r>
      <w:r w:rsidR="00F53ED3" w:rsidRPr="00F05C0E">
        <w:t xml:space="preserve"> that follows</w:t>
      </w:r>
      <w:r w:rsidRPr="00F05C0E">
        <w:t xml:space="preserve">.  </w:t>
      </w:r>
      <w:r w:rsidR="00DE32A7">
        <w:t xml:space="preserve">There is no change to the </w:t>
      </w:r>
      <w:r w:rsidR="00FA3843" w:rsidRPr="00F05C0E">
        <w:t>estimate</w:t>
      </w:r>
      <w:r w:rsidR="00DE32A7">
        <w:t xml:space="preserve"> previously provided by DoD subject matter experts of</w:t>
      </w:r>
      <w:r w:rsidR="00FA3843" w:rsidRPr="00F05C0E">
        <w:t xml:space="preserve"> </w:t>
      </w:r>
      <w:r w:rsidR="00F53ED3" w:rsidRPr="00F05C0E">
        <w:t>375 solicitations a year with military preservation, packaging or packing specifications</w:t>
      </w:r>
      <w:r w:rsidR="00625AF0" w:rsidRPr="00F05C0E">
        <w:t>, and 563 responses (</w:t>
      </w:r>
      <w:r w:rsidR="00F53ED3" w:rsidRPr="00F05C0E">
        <w:t>average of 1.5 responses per solicitation</w:t>
      </w:r>
      <w:r w:rsidR="00625AF0" w:rsidRPr="00F05C0E">
        <w:t>)</w:t>
      </w:r>
      <w:r w:rsidR="00FB15B2">
        <w:t xml:space="preserve"> </w:t>
      </w:r>
      <w:r w:rsidR="00F53ED3" w:rsidRPr="00F05C0E">
        <w:t xml:space="preserve">offering alternative packaging, </w:t>
      </w:r>
      <w:r w:rsidR="00625AF0" w:rsidRPr="00F05C0E">
        <w:t>at</w:t>
      </w:r>
      <w:r w:rsidR="00F53ED3" w:rsidRPr="00F05C0E">
        <w:t xml:space="preserve"> 2 hours per response. </w:t>
      </w:r>
      <w:r w:rsidR="005709FF" w:rsidRPr="00F05C0E">
        <w:t xml:space="preserve"> </w:t>
      </w:r>
    </w:p>
    <w:p w:rsidR="00AA0F21" w:rsidRPr="00F05C0E" w:rsidRDefault="00AA0F21" w:rsidP="005E2D82">
      <w:pPr>
        <w:tabs>
          <w:tab w:val="left" w:pos="36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AA0F21" w:rsidRPr="00F05C0E" w:rsidTr="00E8402E">
        <w:trPr>
          <w:trHeight w:val="386"/>
        </w:trPr>
        <w:tc>
          <w:tcPr>
            <w:tcW w:w="9270" w:type="dxa"/>
            <w:gridSpan w:val="2"/>
            <w:shd w:val="clear" w:color="auto" w:fill="auto"/>
            <w:vAlign w:val="center"/>
          </w:tcPr>
          <w:p w:rsidR="00AA0F21" w:rsidRPr="00F05C0E" w:rsidRDefault="00AA0F21" w:rsidP="00AA0F21">
            <w:pPr>
              <w:widowControl/>
              <w:autoSpaceDE/>
              <w:autoSpaceDN/>
              <w:adjustRightInd/>
              <w:spacing w:before="100" w:beforeAutospacing="1" w:after="100" w:afterAutospacing="1" w:line="288" w:lineRule="atLeast"/>
              <w:jc w:val="center"/>
            </w:pPr>
            <w:r w:rsidRPr="00F05C0E">
              <w:t>Estimation of Respondent Burden: 252.211-7004</w:t>
            </w:r>
          </w:p>
        </w:tc>
      </w:tr>
      <w:tr w:rsidR="00AA0F21" w:rsidRPr="00F05C0E" w:rsidTr="00E8402E">
        <w:trPr>
          <w:trHeight w:val="386"/>
        </w:trPr>
        <w:tc>
          <w:tcPr>
            <w:tcW w:w="7020" w:type="dxa"/>
            <w:shd w:val="clear" w:color="auto" w:fill="auto"/>
            <w:vAlign w:val="center"/>
          </w:tcPr>
          <w:p w:rsidR="00AA0F21" w:rsidRPr="00312A6F" w:rsidRDefault="00AA0F21" w:rsidP="001E4F06">
            <w:pPr>
              <w:widowControl/>
              <w:tabs>
                <w:tab w:val="left" w:pos="360"/>
              </w:tabs>
              <w:autoSpaceDE/>
              <w:autoSpaceDN/>
              <w:adjustRightInd/>
            </w:pPr>
            <w:r w:rsidRPr="00312A6F">
              <w:t>Number of respondents</w:t>
            </w:r>
            <w:r w:rsidR="0064065E" w:rsidRPr="00312A6F">
              <w:t xml:space="preserve">    </w:t>
            </w:r>
          </w:p>
        </w:tc>
        <w:tc>
          <w:tcPr>
            <w:tcW w:w="2250" w:type="dxa"/>
            <w:shd w:val="clear" w:color="auto" w:fill="auto"/>
            <w:vAlign w:val="center"/>
          </w:tcPr>
          <w:p w:rsidR="00AA0F21" w:rsidRPr="00312A6F" w:rsidRDefault="00F53ED3" w:rsidP="00AA0F21">
            <w:pPr>
              <w:widowControl/>
              <w:autoSpaceDE/>
              <w:autoSpaceDN/>
              <w:adjustRightInd/>
              <w:jc w:val="right"/>
            </w:pPr>
            <w:r w:rsidRPr="00F05C0E">
              <w:t>375</w:t>
            </w:r>
          </w:p>
        </w:tc>
      </w:tr>
      <w:tr w:rsidR="00AA0F21" w:rsidRPr="00F05C0E" w:rsidTr="00E8402E">
        <w:trPr>
          <w:trHeight w:val="422"/>
        </w:trPr>
        <w:tc>
          <w:tcPr>
            <w:tcW w:w="7020" w:type="dxa"/>
            <w:shd w:val="clear" w:color="auto" w:fill="auto"/>
            <w:vAlign w:val="center"/>
          </w:tcPr>
          <w:p w:rsidR="00AA0F21" w:rsidRPr="00312A6F" w:rsidRDefault="00AA0F21" w:rsidP="00AA0F21">
            <w:pPr>
              <w:widowControl/>
              <w:tabs>
                <w:tab w:val="left" w:pos="360"/>
              </w:tabs>
              <w:autoSpaceDE/>
              <w:autoSpaceDN/>
              <w:adjustRightInd/>
            </w:pPr>
            <w:r w:rsidRPr="00312A6F">
              <w:t xml:space="preserve">Responses per respondent </w:t>
            </w:r>
          </w:p>
        </w:tc>
        <w:tc>
          <w:tcPr>
            <w:tcW w:w="2250" w:type="dxa"/>
            <w:shd w:val="clear" w:color="auto" w:fill="auto"/>
            <w:vAlign w:val="center"/>
          </w:tcPr>
          <w:p w:rsidR="00AA0F21" w:rsidRPr="00312A6F" w:rsidRDefault="00AA0F21" w:rsidP="00AA0F21">
            <w:pPr>
              <w:widowControl/>
              <w:autoSpaceDE/>
              <w:autoSpaceDN/>
              <w:adjustRightInd/>
              <w:contextualSpacing/>
              <w:jc w:val="right"/>
            </w:pPr>
            <w:r w:rsidRPr="00312A6F">
              <w:t>1</w:t>
            </w:r>
            <w:r w:rsidR="00F53ED3" w:rsidRPr="00F05C0E">
              <w:t>.5</w:t>
            </w:r>
          </w:p>
        </w:tc>
      </w:tr>
      <w:tr w:rsidR="00AA0F21" w:rsidRPr="00F05C0E" w:rsidTr="00E8402E">
        <w:trPr>
          <w:trHeight w:val="431"/>
        </w:trPr>
        <w:tc>
          <w:tcPr>
            <w:tcW w:w="7020" w:type="dxa"/>
            <w:shd w:val="clear" w:color="auto" w:fill="auto"/>
            <w:vAlign w:val="center"/>
          </w:tcPr>
          <w:p w:rsidR="00AA0F21" w:rsidRPr="00312A6F" w:rsidRDefault="00AA0F21" w:rsidP="00AA0F21">
            <w:pPr>
              <w:widowControl/>
              <w:tabs>
                <w:tab w:val="left" w:pos="360"/>
              </w:tabs>
              <w:autoSpaceDE/>
              <w:autoSpaceDN/>
              <w:adjustRightInd/>
            </w:pPr>
            <w:r w:rsidRPr="00312A6F">
              <w:t xml:space="preserve">Number of responses </w:t>
            </w:r>
          </w:p>
        </w:tc>
        <w:tc>
          <w:tcPr>
            <w:tcW w:w="2250" w:type="dxa"/>
            <w:shd w:val="clear" w:color="auto" w:fill="auto"/>
            <w:vAlign w:val="center"/>
          </w:tcPr>
          <w:p w:rsidR="00AA0F21" w:rsidRPr="00312A6F" w:rsidRDefault="00F53ED3" w:rsidP="00AA0F21">
            <w:pPr>
              <w:widowControl/>
              <w:autoSpaceDE/>
              <w:autoSpaceDN/>
              <w:adjustRightInd/>
              <w:contextualSpacing/>
              <w:jc w:val="right"/>
            </w:pPr>
            <w:r w:rsidRPr="00F05C0E">
              <w:t>563</w:t>
            </w:r>
          </w:p>
        </w:tc>
      </w:tr>
      <w:tr w:rsidR="00AA0F21" w:rsidRPr="00F05C0E" w:rsidTr="00E8402E">
        <w:trPr>
          <w:trHeight w:val="440"/>
        </w:trPr>
        <w:tc>
          <w:tcPr>
            <w:tcW w:w="7020" w:type="dxa"/>
            <w:shd w:val="clear" w:color="auto" w:fill="auto"/>
            <w:vAlign w:val="center"/>
          </w:tcPr>
          <w:p w:rsidR="00AA0F21" w:rsidRPr="00312A6F" w:rsidRDefault="00AA0F21" w:rsidP="00AA0F21">
            <w:pPr>
              <w:widowControl/>
              <w:tabs>
                <w:tab w:val="left" w:pos="360"/>
              </w:tabs>
              <w:autoSpaceDE/>
              <w:autoSpaceDN/>
              <w:adjustRightInd/>
            </w:pPr>
            <w:r w:rsidRPr="00312A6F">
              <w:t xml:space="preserve">Hours per response </w:t>
            </w:r>
          </w:p>
        </w:tc>
        <w:tc>
          <w:tcPr>
            <w:tcW w:w="2250" w:type="dxa"/>
            <w:shd w:val="clear" w:color="auto" w:fill="auto"/>
            <w:vAlign w:val="center"/>
          </w:tcPr>
          <w:p w:rsidR="00AA0F21" w:rsidRPr="00312A6F" w:rsidRDefault="00F53ED3">
            <w:pPr>
              <w:widowControl/>
              <w:autoSpaceDE/>
              <w:autoSpaceDN/>
              <w:adjustRightInd/>
              <w:contextualSpacing/>
              <w:jc w:val="right"/>
            </w:pPr>
            <w:r w:rsidRPr="00F05C0E">
              <w:t>2</w:t>
            </w:r>
          </w:p>
        </w:tc>
      </w:tr>
      <w:tr w:rsidR="00AA0F21" w:rsidRPr="00F05C0E" w:rsidTr="00E8402E">
        <w:trPr>
          <w:trHeight w:val="449"/>
        </w:trPr>
        <w:tc>
          <w:tcPr>
            <w:tcW w:w="7020" w:type="dxa"/>
            <w:shd w:val="clear" w:color="auto" w:fill="auto"/>
            <w:vAlign w:val="center"/>
          </w:tcPr>
          <w:p w:rsidR="00AA0F21" w:rsidRPr="00312A6F" w:rsidRDefault="00AA0F21" w:rsidP="00AA0F21">
            <w:pPr>
              <w:widowControl/>
              <w:tabs>
                <w:tab w:val="left" w:pos="360"/>
              </w:tabs>
              <w:autoSpaceDE/>
              <w:autoSpaceDN/>
              <w:adjustRightInd/>
            </w:pPr>
            <w:r w:rsidRPr="00312A6F">
              <w:t>Estimated hours (number of responses multiplied hours per response)</w:t>
            </w:r>
          </w:p>
        </w:tc>
        <w:tc>
          <w:tcPr>
            <w:tcW w:w="2250" w:type="dxa"/>
            <w:shd w:val="clear" w:color="auto" w:fill="auto"/>
            <w:vAlign w:val="center"/>
          </w:tcPr>
          <w:p w:rsidR="00AA0F21" w:rsidRPr="00312A6F" w:rsidRDefault="00F53ED3" w:rsidP="00766DBD">
            <w:pPr>
              <w:widowControl/>
              <w:autoSpaceDE/>
              <w:autoSpaceDN/>
              <w:adjustRightInd/>
              <w:contextualSpacing/>
              <w:jc w:val="right"/>
            </w:pPr>
            <w:r w:rsidRPr="00F05C0E">
              <w:t>1,126</w:t>
            </w:r>
          </w:p>
        </w:tc>
      </w:tr>
      <w:tr w:rsidR="00AA0F21" w:rsidRPr="00F05C0E" w:rsidTr="00E8402E">
        <w:trPr>
          <w:trHeight w:val="431"/>
        </w:trPr>
        <w:tc>
          <w:tcPr>
            <w:tcW w:w="7020" w:type="dxa"/>
            <w:shd w:val="clear" w:color="auto" w:fill="auto"/>
            <w:vAlign w:val="center"/>
          </w:tcPr>
          <w:p w:rsidR="00AA0F21" w:rsidRPr="00312A6F" w:rsidRDefault="00AA0F21">
            <w:pPr>
              <w:widowControl/>
              <w:tabs>
                <w:tab w:val="left" w:pos="360"/>
              </w:tabs>
              <w:autoSpaceDE/>
              <w:autoSpaceDN/>
              <w:adjustRightInd/>
            </w:pPr>
            <w:r w:rsidRPr="00312A6F">
              <w:t>Cost per hour (hourly wage)</w:t>
            </w:r>
            <w:r w:rsidR="00766DBD" w:rsidRPr="00312A6F">
              <w:t xml:space="preserve"> </w:t>
            </w:r>
            <w:r w:rsidR="001E4F06" w:rsidRPr="00312A6F">
              <w:t>(</w:t>
            </w:r>
            <w:r w:rsidR="002812B4" w:rsidRPr="00312A6F">
              <w:rPr>
                <w:i/>
              </w:rPr>
              <w:t>Note</w:t>
            </w:r>
            <w:r w:rsidR="001E4F06" w:rsidRPr="00312A6F">
              <w:t>)</w:t>
            </w:r>
          </w:p>
        </w:tc>
        <w:tc>
          <w:tcPr>
            <w:tcW w:w="2250" w:type="dxa"/>
            <w:shd w:val="clear" w:color="auto" w:fill="auto"/>
            <w:vAlign w:val="center"/>
          </w:tcPr>
          <w:p w:rsidR="00AA0F21" w:rsidRPr="00312A6F" w:rsidRDefault="00766DBD">
            <w:pPr>
              <w:widowControl/>
              <w:autoSpaceDE/>
              <w:autoSpaceDN/>
              <w:adjustRightInd/>
              <w:contextualSpacing/>
              <w:jc w:val="right"/>
            </w:pPr>
            <w:r w:rsidRPr="00312A6F">
              <w:t>$</w:t>
            </w:r>
            <w:r w:rsidR="00836130" w:rsidRPr="00312A6F">
              <w:t>32</w:t>
            </w:r>
          </w:p>
        </w:tc>
      </w:tr>
      <w:tr w:rsidR="00AA0F21" w:rsidRPr="00F05C0E" w:rsidTr="00E8402E">
        <w:trPr>
          <w:trHeight w:val="440"/>
        </w:trPr>
        <w:tc>
          <w:tcPr>
            <w:tcW w:w="7020" w:type="dxa"/>
            <w:shd w:val="clear" w:color="auto" w:fill="auto"/>
            <w:vAlign w:val="center"/>
          </w:tcPr>
          <w:p w:rsidR="00AA0F21" w:rsidRPr="00312A6F" w:rsidRDefault="00AA0F21" w:rsidP="00AA0F21">
            <w:pPr>
              <w:widowControl/>
              <w:tabs>
                <w:tab w:val="left" w:pos="360"/>
              </w:tabs>
              <w:autoSpaceDE/>
              <w:autoSpaceDN/>
              <w:adjustRightInd/>
            </w:pPr>
            <w:r w:rsidRPr="00312A6F">
              <w:t>Annual public burden (estimated hours multiplied by cost per hour)</w:t>
            </w:r>
          </w:p>
        </w:tc>
        <w:tc>
          <w:tcPr>
            <w:tcW w:w="2250" w:type="dxa"/>
            <w:shd w:val="clear" w:color="auto" w:fill="auto"/>
            <w:vAlign w:val="center"/>
          </w:tcPr>
          <w:p w:rsidR="00AA0F21" w:rsidRPr="00312A6F" w:rsidRDefault="00836130" w:rsidP="00AA0F21">
            <w:pPr>
              <w:widowControl/>
              <w:autoSpaceDE/>
              <w:autoSpaceDN/>
              <w:adjustRightInd/>
              <w:contextualSpacing/>
              <w:jc w:val="right"/>
            </w:pPr>
            <w:r w:rsidRPr="00F05C0E">
              <w:t>$36,032</w:t>
            </w:r>
          </w:p>
        </w:tc>
      </w:tr>
    </w:tbl>
    <w:p w:rsidR="00836130" w:rsidRPr="00312A6F" w:rsidRDefault="00836130" w:rsidP="00836130">
      <w:pPr>
        <w:pStyle w:val="NormalWeb"/>
        <w:spacing w:before="0" w:beforeAutospacing="0" w:after="0" w:afterAutospacing="0"/>
        <w:rPr>
          <w:rFonts w:eastAsia="+mn-ea"/>
          <w:i/>
        </w:rPr>
      </w:pPr>
      <w:r w:rsidRPr="00F05C0E">
        <w:rPr>
          <w:i/>
        </w:rPr>
        <w:t xml:space="preserve">Note: </w:t>
      </w:r>
      <w:r w:rsidRPr="00312A6F">
        <w:rPr>
          <w:rFonts w:eastAsia="+mn-ea"/>
          <w:i/>
        </w:rPr>
        <w:t xml:space="preserve"> The cost per hour is based on the OPM GS-9, Step 5, base hourly rate for 2016 ($23.25) plus the 36.25% civilian personnel full fringe benefit rate from OMB Memo M-08-13 ($8.43), rounded to the nearest dollar.  </w:t>
      </w:r>
    </w:p>
    <w:p w:rsidR="002812B4" w:rsidRPr="00F05C0E" w:rsidRDefault="002812B4" w:rsidP="005709FF">
      <w:pPr>
        <w:pStyle w:val="NormalWeb"/>
        <w:spacing w:before="0" w:beforeAutospacing="0" w:after="0" w:afterAutospacing="0"/>
        <w:rPr>
          <w:i/>
        </w:rPr>
      </w:pPr>
    </w:p>
    <w:p w:rsidR="002812B4" w:rsidRPr="00F05C0E" w:rsidRDefault="002812B4" w:rsidP="002812B4">
      <w:pPr>
        <w:tabs>
          <w:tab w:val="left" w:pos="360"/>
        </w:tabs>
      </w:pPr>
      <w:r w:rsidRPr="00F05C0E">
        <w:tab/>
      </w:r>
      <w:r w:rsidRPr="00F05C0E">
        <w:tab/>
      </w:r>
      <w:proofErr w:type="gramStart"/>
      <w:r w:rsidRPr="00F05C0E">
        <w:t xml:space="preserve">b.  </w:t>
      </w:r>
      <w:r w:rsidRPr="00312A6F">
        <w:rPr>
          <w:u w:val="single"/>
        </w:rPr>
        <w:t>DFARS</w:t>
      </w:r>
      <w:proofErr w:type="gramEnd"/>
      <w:r w:rsidRPr="00312A6F">
        <w:rPr>
          <w:u w:val="single"/>
        </w:rPr>
        <w:t xml:space="preserve"> 252.211-7005</w:t>
      </w:r>
      <w:r w:rsidRPr="00F05C0E">
        <w:t xml:space="preserve">.  The estimated respondent burdens and labor </w:t>
      </w:r>
      <w:r w:rsidR="00642EE1" w:rsidRPr="00F05C0E">
        <w:t>costs are</w:t>
      </w:r>
      <w:r w:rsidRPr="00F05C0E">
        <w:t xml:space="preserve"> shown in the table</w:t>
      </w:r>
      <w:r w:rsidR="00F53ED3" w:rsidRPr="00F05C0E">
        <w:t xml:space="preserve"> that follows</w:t>
      </w:r>
      <w:r w:rsidRPr="00F05C0E">
        <w:t xml:space="preserve">.  </w:t>
      </w:r>
      <w:bookmarkStart w:id="1" w:name="OLE_LINK3"/>
      <w:r w:rsidR="00DE32A7">
        <w:t xml:space="preserve">There is no change to the </w:t>
      </w:r>
      <w:r w:rsidR="00DE32A7" w:rsidRPr="00F05C0E">
        <w:t>estimate</w:t>
      </w:r>
      <w:r w:rsidR="00DE32A7">
        <w:t xml:space="preserve"> previously provided by </w:t>
      </w:r>
      <w:proofErr w:type="gramStart"/>
      <w:r w:rsidR="00DE32A7">
        <w:t>DoD</w:t>
      </w:r>
      <w:proofErr w:type="gramEnd"/>
      <w:r w:rsidR="00DE32A7">
        <w:t xml:space="preserve"> subject matter experts, which cited that</w:t>
      </w:r>
      <w:bookmarkEnd w:id="1"/>
      <w:r w:rsidR="00F53ED3" w:rsidRPr="00F05C0E">
        <w:t xml:space="preserve"> the number of contractors participating in this program has decreased significantly with the maturation of the program initiative and the introduction of other streamlined p</w:t>
      </w:r>
      <w:r w:rsidR="00836130" w:rsidRPr="00F05C0E">
        <w:t>rocurement methods such as Federal Acquisition Regulation part 12 and DFARS p</w:t>
      </w:r>
      <w:r w:rsidR="00F53ED3" w:rsidRPr="00F05C0E">
        <w:t xml:space="preserve">art 212.  </w:t>
      </w:r>
      <w:proofErr w:type="gramStart"/>
      <w:r w:rsidR="00F53ED3" w:rsidRPr="00F05C0E">
        <w:t>DoD</w:t>
      </w:r>
      <w:proofErr w:type="gramEnd"/>
      <w:r w:rsidR="00F53ED3" w:rsidRPr="00F05C0E">
        <w:t xml:space="preserve"> estimates that only 10 contractors participate in SPI and that each participant will </w:t>
      </w:r>
      <w:r w:rsidR="00F53ED3" w:rsidRPr="00F05C0E">
        <w:lastRenderedPageBreak/>
        <w:t xml:space="preserve">respond to 1 solicitation per year for which SPI processes will be proposed and that each response will take approximately 1 hour. </w:t>
      </w:r>
    </w:p>
    <w:p w:rsidR="005653B7" w:rsidRPr="00F05C0E" w:rsidRDefault="005653B7" w:rsidP="005E2D82">
      <w:pPr>
        <w:pStyle w:val="p4"/>
        <w:tabs>
          <w:tab w:val="left" w:pos="36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5653B7" w:rsidRPr="00F05C0E" w:rsidTr="00E8402E">
        <w:trPr>
          <w:trHeight w:val="386"/>
        </w:trPr>
        <w:tc>
          <w:tcPr>
            <w:tcW w:w="9270" w:type="dxa"/>
            <w:gridSpan w:val="2"/>
            <w:shd w:val="clear" w:color="auto" w:fill="auto"/>
            <w:vAlign w:val="center"/>
          </w:tcPr>
          <w:p w:rsidR="005653B7" w:rsidRPr="00F05C0E" w:rsidRDefault="005653B7" w:rsidP="00E8402E">
            <w:pPr>
              <w:widowControl/>
              <w:autoSpaceDE/>
              <w:autoSpaceDN/>
              <w:adjustRightInd/>
              <w:spacing w:before="100" w:beforeAutospacing="1" w:after="100" w:afterAutospacing="1" w:line="288" w:lineRule="atLeast"/>
              <w:jc w:val="center"/>
            </w:pPr>
            <w:r w:rsidRPr="00F05C0E">
              <w:t>Estimation of Respondent Burden: 252.211-7005</w:t>
            </w:r>
          </w:p>
        </w:tc>
      </w:tr>
      <w:tr w:rsidR="005653B7" w:rsidRPr="00F05C0E" w:rsidTr="00E8402E">
        <w:trPr>
          <w:trHeight w:val="386"/>
        </w:trPr>
        <w:tc>
          <w:tcPr>
            <w:tcW w:w="7020" w:type="dxa"/>
            <w:shd w:val="clear" w:color="auto" w:fill="auto"/>
            <w:vAlign w:val="center"/>
          </w:tcPr>
          <w:p w:rsidR="005653B7" w:rsidRPr="00312A6F" w:rsidRDefault="005653B7" w:rsidP="00E8402E">
            <w:pPr>
              <w:widowControl/>
              <w:tabs>
                <w:tab w:val="left" w:pos="360"/>
              </w:tabs>
              <w:autoSpaceDE/>
              <w:autoSpaceDN/>
              <w:adjustRightInd/>
            </w:pPr>
            <w:r w:rsidRPr="00312A6F">
              <w:t xml:space="preserve">Number of respondents </w:t>
            </w:r>
            <w:r w:rsidR="0006267C" w:rsidRPr="00312A6F">
              <w:t xml:space="preserve">   </w:t>
            </w:r>
          </w:p>
        </w:tc>
        <w:tc>
          <w:tcPr>
            <w:tcW w:w="2250" w:type="dxa"/>
            <w:shd w:val="clear" w:color="auto" w:fill="auto"/>
            <w:vAlign w:val="center"/>
          </w:tcPr>
          <w:p w:rsidR="005653B7" w:rsidRPr="00312A6F" w:rsidRDefault="005653B7" w:rsidP="005653B7">
            <w:pPr>
              <w:widowControl/>
              <w:autoSpaceDE/>
              <w:autoSpaceDN/>
              <w:adjustRightInd/>
              <w:jc w:val="right"/>
            </w:pPr>
            <w:r w:rsidRPr="00312A6F">
              <w:t>10</w:t>
            </w:r>
          </w:p>
        </w:tc>
      </w:tr>
      <w:tr w:rsidR="005653B7" w:rsidRPr="00F05C0E" w:rsidTr="00E8402E">
        <w:trPr>
          <w:trHeight w:val="422"/>
        </w:trPr>
        <w:tc>
          <w:tcPr>
            <w:tcW w:w="7020" w:type="dxa"/>
            <w:shd w:val="clear" w:color="auto" w:fill="auto"/>
            <w:vAlign w:val="center"/>
          </w:tcPr>
          <w:p w:rsidR="005653B7" w:rsidRPr="00312A6F" w:rsidRDefault="005653B7" w:rsidP="00E8402E">
            <w:pPr>
              <w:widowControl/>
              <w:tabs>
                <w:tab w:val="left" w:pos="360"/>
              </w:tabs>
              <w:autoSpaceDE/>
              <w:autoSpaceDN/>
              <w:adjustRightInd/>
            </w:pPr>
            <w:r w:rsidRPr="00312A6F">
              <w:t xml:space="preserve">Responses per respondent </w:t>
            </w:r>
          </w:p>
        </w:tc>
        <w:tc>
          <w:tcPr>
            <w:tcW w:w="2250" w:type="dxa"/>
            <w:shd w:val="clear" w:color="auto" w:fill="auto"/>
            <w:vAlign w:val="center"/>
          </w:tcPr>
          <w:p w:rsidR="005653B7" w:rsidRPr="00312A6F" w:rsidRDefault="005653B7" w:rsidP="00E8402E">
            <w:pPr>
              <w:widowControl/>
              <w:autoSpaceDE/>
              <w:autoSpaceDN/>
              <w:adjustRightInd/>
              <w:contextualSpacing/>
              <w:jc w:val="right"/>
            </w:pPr>
            <w:r w:rsidRPr="00312A6F">
              <w:t>1</w:t>
            </w:r>
          </w:p>
        </w:tc>
      </w:tr>
      <w:tr w:rsidR="005653B7" w:rsidRPr="00F05C0E" w:rsidTr="00E8402E">
        <w:trPr>
          <w:trHeight w:val="431"/>
        </w:trPr>
        <w:tc>
          <w:tcPr>
            <w:tcW w:w="7020" w:type="dxa"/>
            <w:shd w:val="clear" w:color="auto" w:fill="auto"/>
            <w:vAlign w:val="center"/>
          </w:tcPr>
          <w:p w:rsidR="005653B7" w:rsidRPr="00312A6F" w:rsidRDefault="005653B7" w:rsidP="00E8402E">
            <w:pPr>
              <w:widowControl/>
              <w:tabs>
                <w:tab w:val="left" w:pos="360"/>
              </w:tabs>
              <w:autoSpaceDE/>
              <w:autoSpaceDN/>
              <w:adjustRightInd/>
            </w:pPr>
            <w:r w:rsidRPr="00312A6F">
              <w:t xml:space="preserve">Number of responses </w:t>
            </w:r>
          </w:p>
        </w:tc>
        <w:tc>
          <w:tcPr>
            <w:tcW w:w="2250" w:type="dxa"/>
            <w:shd w:val="clear" w:color="auto" w:fill="auto"/>
            <w:vAlign w:val="center"/>
          </w:tcPr>
          <w:p w:rsidR="005653B7" w:rsidRPr="00312A6F" w:rsidRDefault="005653B7" w:rsidP="00E8402E">
            <w:pPr>
              <w:widowControl/>
              <w:autoSpaceDE/>
              <w:autoSpaceDN/>
              <w:adjustRightInd/>
              <w:contextualSpacing/>
              <w:jc w:val="right"/>
            </w:pPr>
            <w:r w:rsidRPr="00312A6F">
              <w:t>10</w:t>
            </w:r>
          </w:p>
        </w:tc>
      </w:tr>
      <w:tr w:rsidR="005653B7" w:rsidRPr="00F05C0E" w:rsidTr="00E8402E">
        <w:trPr>
          <w:trHeight w:val="440"/>
        </w:trPr>
        <w:tc>
          <w:tcPr>
            <w:tcW w:w="7020" w:type="dxa"/>
            <w:shd w:val="clear" w:color="auto" w:fill="auto"/>
            <w:vAlign w:val="center"/>
          </w:tcPr>
          <w:p w:rsidR="005653B7" w:rsidRPr="00312A6F" w:rsidRDefault="005653B7" w:rsidP="00E8402E">
            <w:pPr>
              <w:widowControl/>
              <w:tabs>
                <w:tab w:val="left" w:pos="360"/>
              </w:tabs>
              <w:autoSpaceDE/>
              <w:autoSpaceDN/>
              <w:adjustRightInd/>
            </w:pPr>
            <w:r w:rsidRPr="00312A6F">
              <w:t xml:space="preserve">Hours per response </w:t>
            </w:r>
          </w:p>
        </w:tc>
        <w:tc>
          <w:tcPr>
            <w:tcW w:w="2250" w:type="dxa"/>
            <w:shd w:val="clear" w:color="auto" w:fill="auto"/>
            <w:vAlign w:val="center"/>
          </w:tcPr>
          <w:p w:rsidR="005653B7" w:rsidRPr="00312A6F" w:rsidRDefault="005653B7">
            <w:pPr>
              <w:widowControl/>
              <w:autoSpaceDE/>
              <w:autoSpaceDN/>
              <w:adjustRightInd/>
              <w:contextualSpacing/>
              <w:jc w:val="right"/>
            </w:pPr>
            <w:r w:rsidRPr="00312A6F">
              <w:t>1</w:t>
            </w:r>
          </w:p>
        </w:tc>
      </w:tr>
      <w:tr w:rsidR="005653B7" w:rsidRPr="00F05C0E" w:rsidTr="00E8402E">
        <w:trPr>
          <w:trHeight w:val="449"/>
        </w:trPr>
        <w:tc>
          <w:tcPr>
            <w:tcW w:w="7020" w:type="dxa"/>
            <w:shd w:val="clear" w:color="auto" w:fill="auto"/>
            <w:vAlign w:val="center"/>
          </w:tcPr>
          <w:p w:rsidR="005653B7" w:rsidRPr="00312A6F" w:rsidRDefault="005653B7" w:rsidP="00E8402E">
            <w:pPr>
              <w:widowControl/>
              <w:tabs>
                <w:tab w:val="left" w:pos="360"/>
              </w:tabs>
              <w:autoSpaceDE/>
              <w:autoSpaceDN/>
              <w:adjustRightInd/>
            </w:pPr>
            <w:r w:rsidRPr="00312A6F">
              <w:t>Estimated hours (number of responses multiplied hours per response)</w:t>
            </w:r>
          </w:p>
        </w:tc>
        <w:tc>
          <w:tcPr>
            <w:tcW w:w="2250" w:type="dxa"/>
            <w:shd w:val="clear" w:color="auto" w:fill="auto"/>
            <w:vAlign w:val="center"/>
          </w:tcPr>
          <w:p w:rsidR="005653B7" w:rsidRPr="00312A6F" w:rsidRDefault="005653B7" w:rsidP="00E8402E">
            <w:pPr>
              <w:widowControl/>
              <w:autoSpaceDE/>
              <w:autoSpaceDN/>
              <w:adjustRightInd/>
              <w:contextualSpacing/>
              <w:jc w:val="right"/>
            </w:pPr>
            <w:r w:rsidRPr="00312A6F">
              <w:t>10</w:t>
            </w:r>
          </w:p>
        </w:tc>
      </w:tr>
      <w:tr w:rsidR="005653B7" w:rsidRPr="00F05C0E" w:rsidTr="00E8402E">
        <w:trPr>
          <w:trHeight w:val="431"/>
        </w:trPr>
        <w:tc>
          <w:tcPr>
            <w:tcW w:w="7020" w:type="dxa"/>
            <w:shd w:val="clear" w:color="auto" w:fill="auto"/>
            <w:vAlign w:val="center"/>
          </w:tcPr>
          <w:p w:rsidR="005653B7" w:rsidRPr="00312A6F" w:rsidRDefault="005653B7">
            <w:pPr>
              <w:widowControl/>
              <w:tabs>
                <w:tab w:val="left" w:pos="360"/>
              </w:tabs>
              <w:autoSpaceDE/>
              <w:autoSpaceDN/>
              <w:adjustRightInd/>
            </w:pPr>
            <w:r w:rsidRPr="00312A6F">
              <w:t>Cost per hour (hourly wage)</w:t>
            </w:r>
            <w:r w:rsidR="00915193" w:rsidRPr="00312A6F">
              <w:t xml:space="preserve"> </w:t>
            </w:r>
            <w:r w:rsidR="001E4F06" w:rsidRPr="00312A6F">
              <w:rPr>
                <w:i/>
              </w:rPr>
              <w:t>(</w:t>
            </w:r>
            <w:r w:rsidR="002812B4" w:rsidRPr="00312A6F">
              <w:rPr>
                <w:i/>
              </w:rPr>
              <w:t>Note</w:t>
            </w:r>
            <w:r w:rsidR="001E4F06" w:rsidRPr="00312A6F">
              <w:rPr>
                <w:i/>
              </w:rPr>
              <w:t>)</w:t>
            </w:r>
          </w:p>
        </w:tc>
        <w:tc>
          <w:tcPr>
            <w:tcW w:w="2250" w:type="dxa"/>
            <w:shd w:val="clear" w:color="auto" w:fill="auto"/>
            <w:vAlign w:val="center"/>
          </w:tcPr>
          <w:p w:rsidR="005653B7" w:rsidRPr="00312A6F" w:rsidRDefault="00766DBD">
            <w:pPr>
              <w:widowControl/>
              <w:autoSpaceDE/>
              <w:autoSpaceDN/>
              <w:adjustRightInd/>
              <w:contextualSpacing/>
              <w:jc w:val="right"/>
            </w:pPr>
            <w:r w:rsidRPr="00312A6F">
              <w:t>$</w:t>
            </w:r>
            <w:r w:rsidR="00836130" w:rsidRPr="00312A6F">
              <w:t>32</w:t>
            </w:r>
          </w:p>
        </w:tc>
      </w:tr>
      <w:tr w:rsidR="005653B7" w:rsidRPr="00F05C0E" w:rsidTr="00E8402E">
        <w:trPr>
          <w:trHeight w:val="440"/>
        </w:trPr>
        <w:tc>
          <w:tcPr>
            <w:tcW w:w="7020" w:type="dxa"/>
            <w:shd w:val="clear" w:color="auto" w:fill="auto"/>
            <w:vAlign w:val="center"/>
          </w:tcPr>
          <w:p w:rsidR="005653B7" w:rsidRPr="00312A6F" w:rsidRDefault="005653B7" w:rsidP="00E8402E">
            <w:pPr>
              <w:widowControl/>
              <w:tabs>
                <w:tab w:val="left" w:pos="360"/>
              </w:tabs>
              <w:autoSpaceDE/>
              <w:autoSpaceDN/>
              <w:adjustRightInd/>
            </w:pPr>
            <w:r w:rsidRPr="00312A6F">
              <w:t>Annual public burden (estimated hours multiplied by cost per hour)</w:t>
            </w:r>
          </w:p>
        </w:tc>
        <w:tc>
          <w:tcPr>
            <w:tcW w:w="2250" w:type="dxa"/>
            <w:shd w:val="clear" w:color="auto" w:fill="auto"/>
            <w:vAlign w:val="center"/>
          </w:tcPr>
          <w:p w:rsidR="005653B7" w:rsidRPr="00312A6F" w:rsidRDefault="00766DBD">
            <w:pPr>
              <w:widowControl/>
              <w:autoSpaceDE/>
              <w:autoSpaceDN/>
              <w:adjustRightInd/>
              <w:contextualSpacing/>
              <w:jc w:val="right"/>
            </w:pPr>
            <w:r w:rsidRPr="00312A6F">
              <w:t>$</w:t>
            </w:r>
            <w:r w:rsidR="00836130" w:rsidRPr="00312A6F">
              <w:t>320</w:t>
            </w:r>
          </w:p>
        </w:tc>
      </w:tr>
    </w:tbl>
    <w:p w:rsidR="00836130" w:rsidRPr="00312A6F" w:rsidRDefault="00836130" w:rsidP="00836130">
      <w:pPr>
        <w:pStyle w:val="NormalWeb"/>
        <w:spacing w:before="0" w:beforeAutospacing="0" w:after="0" w:afterAutospacing="0"/>
        <w:rPr>
          <w:rFonts w:eastAsia="+mn-ea"/>
          <w:i/>
        </w:rPr>
      </w:pPr>
      <w:r w:rsidRPr="00F05C0E">
        <w:rPr>
          <w:i/>
        </w:rPr>
        <w:t xml:space="preserve">Note: </w:t>
      </w:r>
      <w:r w:rsidRPr="00312A6F">
        <w:rPr>
          <w:rFonts w:eastAsia="+mn-ea"/>
          <w:i/>
        </w:rPr>
        <w:t xml:space="preserve"> The cost per hour is based on the OPM GS-9, Step 5, base hourly rate for 2016 ($23.25) plus the 36.25% civilian personnel full fringe benefit rate from OMB Memo M-08-13 ($8.43), rounded to the nearest dollar.  </w:t>
      </w:r>
    </w:p>
    <w:p w:rsidR="005709FF" w:rsidRPr="00F05C0E" w:rsidRDefault="005709FF" w:rsidP="005709FF">
      <w:pPr>
        <w:pStyle w:val="NormalWeb"/>
        <w:spacing w:before="0" w:beforeAutospacing="0" w:after="0" w:afterAutospacing="0"/>
        <w:rPr>
          <w:i/>
        </w:rPr>
      </w:pPr>
    </w:p>
    <w:p w:rsidR="00751829" w:rsidRPr="0053505D" w:rsidRDefault="00751829" w:rsidP="00CF0A5D">
      <w:pPr>
        <w:pStyle w:val="NormalWeb"/>
        <w:spacing w:before="0" w:beforeAutospacing="0" w:after="0" w:afterAutospacing="0"/>
      </w:pPr>
      <w:r w:rsidRPr="00F05C0E">
        <w:tab/>
      </w:r>
      <w:r w:rsidR="00915193" w:rsidRPr="00F05C0E">
        <w:tab/>
      </w:r>
      <w:proofErr w:type="gramStart"/>
      <w:r w:rsidR="002812B4" w:rsidRPr="00F05C0E">
        <w:t>c</w:t>
      </w:r>
      <w:r w:rsidRPr="00F05C0E">
        <w:t xml:space="preserve">. </w:t>
      </w:r>
      <w:r w:rsidR="005148A1" w:rsidRPr="00F05C0E">
        <w:t xml:space="preserve"> </w:t>
      </w:r>
      <w:r w:rsidR="002812B4" w:rsidRPr="00312A6F">
        <w:rPr>
          <w:u w:val="single"/>
        </w:rPr>
        <w:t>DFARS</w:t>
      </w:r>
      <w:proofErr w:type="gramEnd"/>
      <w:r w:rsidR="002812B4" w:rsidRPr="00312A6F">
        <w:rPr>
          <w:u w:val="single"/>
        </w:rPr>
        <w:t xml:space="preserve"> 252.211-7007</w:t>
      </w:r>
      <w:r w:rsidR="002812B4" w:rsidRPr="0053505D">
        <w:t xml:space="preserve">.  </w:t>
      </w:r>
      <w:r w:rsidR="00FB15B2">
        <w:t>E</w:t>
      </w:r>
      <w:r w:rsidR="001E4F06" w:rsidRPr="0053505D">
        <w:t xml:space="preserve">stimated respondent burden and labor costs </w:t>
      </w:r>
      <w:r w:rsidR="00C70BEA">
        <w:t xml:space="preserve">were calculated using </w:t>
      </w:r>
      <w:r w:rsidR="003B51DB">
        <w:t xml:space="preserve">transactional </w:t>
      </w:r>
      <w:r w:rsidR="00C70BEA">
        <w:t xml:space="preserve">data contained </w:t>
      </w:r>
      <w:r w:rsidR="00FB15B2">
        <w:t>with</w:t>
      </w:r>
      <w:r w:rsidR="00C70BEA">
        <w:t>in the</w:t>
      </w:r>
      <w:r w:rsidR="00C70BEA" w:rsidRPr="005A2B93">
        <w:t xml:space="preserve"> </w:t>
      </w:r>
      <w:r w:rsidR="00C70BEA">
        <w:t>Invoicing, Receipt, Acceptance, and Property Transfer system (iRAPT)</w:t>
      </w:r>
      <w:r w:rsidR="00271B97">
        <w:t>.</w:t>
      </w:r>
      <w:r w:rsidR="00FB15B2">
        <w:rPr>
          <w:rStyle w:val="FootnoteReference"/>
        </w:rPr>
        <w:footnoteReference w:id="2"/>
      </w:r>
      <w:r w:rsidR="00C70BEA">
        <w:t xml:space="preserve">  These data </w:t>
      </w:r>
      <w:r w:rsidR="005A2B93">
        <w:t>are</w:t>
      </w:r>
      <w:r w:rsidR="002812B4" w:rsidRPr="0053505D">
        <w:t xml:space="preserve"> shown</w:t>
      </w:r>
      <w:r w:rsidR="001E4F06" w:rsidRPr="0053505D">
        <w:t xml:space="preserve"> in the table that follow</w:t>
      </w:r>
      <w:r w:rsidR="00FA3843">
        <w:t>s</w:t>
      </w:r>
      <w:r w:rsidR="001E4F06" w:rsidRPr="0053505D">
        <w:t xml:space="preserve">.  </w:t>
      </w:r>
      <w:r w:rsidR="009F4023">
        <w:t xml:space="preserve">As background, </w:t>
      </w:r>
      <w:r w:rsidR="009F4023" w:rsidRPr="00C70BEA">
        <w:t>iRAPT</w:t>
      </w:r>
      <w:r w:rsidR="009F4023" w:rsidRPr="00C70BEA">
        <w:rPr>
          <w:color w:val="000000"/>
          <w:lang w:val="en"/>
        </w:rPr>
        <w:t xml:space="preserve"> is a secure </w:t>
      </w:r>
      <w:r w:rsidR="009F4023">
        <w:rPr>
          <w:color w:val="000000"/>
          <w:lang w:val="en"/>
        </w:rPr>
        <w:t>w</w:t>
      </w:r>
      <w:r w:rsidR="009F4023" w:rsidRPr="00C70BEA">
        <w:rPr>
          <w:color w:val="000000"/>
          <w:lang w:val="en"/>
        </w:rPr>
        <w:t>eb-based system used for electronic invoicing, receipt and acceptance, and initiation and recording of Government property shipments and receipts.</w:t>
      </w:r>
      <w:r w:rsidR="009F4023">
        <w:rPr>
          <w:color w:val="000000"/>
          <w:lang w:val="en"/>
        </w:rPr>
        <w:t xml:space="preserve">  </w:t>
      </w:r>
    </w:p>
    <w:p w:rsidR="00751829" w:rsidRPr="0053505D" w:rsidRDefault="00751829" w:rsidP="00751829">
      <w:pPr>
        <w:pStyle w:val="NormalWeb"/>
        <w:spacing w:before="0" w:beforeAutospacing="0" w:after="0" w:afterAutospacing="0"/>
      </w:pPr>
    </w:p>
    <w:p w:rsidR="00103EB3" w:rsidRDefault="009F4023" w:rsidP="00103EB3">
      <w:pPr>
        <w:pStyle w:val="NormalWeb"/>
        <w:tabs>
          <w:tab w:val="left" w:pos="360"/>
          <w:tab w:val="left" w:pos="450"/>
          <w:tab w:val="left" w:pos="720"/>
        </w:tabs>
        <w:spacing w:before="0" w:beforeAutospacing="0" w:after="0" w:afterAutospacing="0"/>
      </w:pPr>
      <w:r>
        <w:tab/>
      </w:r>
      <w:r w:rsidR="00103EB3">
        <w:tab/>
      </w:r>
      <w:r w:rsidR="00103EB3">
        <w:tab/>
      </w:r>
      <w:r>
        <w:tab/>
      </w:r>
      <w:r w:rsidR="007701FD" w:rsidRPr="007701FD">
        <w:t>i.</w:t>
      </w:r>
      <w:r w:rsidR="00103EB3" w:rsidRPr="00103EB3">
        <w:rPr>
          <w:i/>
        </w:rPr>
        <w:t xml:space="preserve"> </w:t>
      </w:r>
      <w:r w:rsidR="00103EB3">
        <w:rPr>
          <w:i/>
        </w:rPr>
        <w:t xml:space="preserve">Number of </w:t>
      </w:r>
      <w:r w:rsidR="00103EB3" w:rsidRPr="00074001">
        <w:rPr>
          <w:i/>
        </w:rPr>
        <w:t>Respond</w:t>
      </w:r>
      <w:r w:rsidR="00103EB3" w:rsidRPr="00C70BEA">
        <w:rPr>
          <w:i/>
        </w:rPr>
        <w:t>ents</w:t>
      </w:r>
      <w:r w:rsidR="00103EB3">
        <w:t>:  The number of respondent</w:t>
      </w:r>
      <w:r w:rsidR="00C80D8A">
        <w:t>s</w:t>
      </w:r>
      <w:r w:rsidR="00103EB3">
        <w:t xml:space="preserve"> is based on data contained n iRAPT indicating 256 </w:t>
      </w:r>
      <w:r w:rsidR="00FA3843">
        <w:t>contractors</w:t>
      </w:r>
      <w:r w:rsidR="00103EB3">
        <w:t xml:space="preserve"> (known as distinct locations within iRAPT) </w:t>
      </w:r>
      <w:r w:rsidR="00C80D8A">
        <w:t>in fiscal year 2016, each responsible for adhering to reporting requirements under DFARS 252.211-7007.</w:t>
      </w:r>
    </w:p>
    <w:p w:rsidR="00103EB3" w:rsidRDefault="00103EB3" w:rsidP="009F4023">
      <w:pPr>
        <w:pStyle w:val="NormalWeb"/>
        <w:tabs>
          <w:tab w:val="left" w:pos="360"/>
          <w:tab w:val="left" w:pos="450"/>
          <w:tab w:val="left" w:pos="720"/>
          <w:tab w:val="left" w:pos="1080"/>
          <w:tab w:val="left" w:pos="1620"/>
        </w:tabs>
        <w:spacing w:before="0" w:beforeAutospacing="0" w:after="0" w:afterAutospacing="0"/>
      </w:pPr>
    </w:p>
    <w:p w:rsidR="009F4023" w:rsidRDefault="007701FD" w:rsidP="009F4023">
      <w:pPr>
        <w:pStyle w:val="NormalWeb"/>
        <w:tabs>
          <w:tab w:val="left" w:pos="360"/>
          <w:tab w:val="left" w:pos="450"/>
          <w:tab w:val="left" w:pos="720"/>
          <w:tab w:val="left" w:pos="1080"/>
          <w:tab w:val="left" w:pos="1620"/>
        </w:tabs>
        <w:spacing w:before="0" w:beforeAutospacing="0" w:after="0" w:afterAutospacing="0"/>
      </w:pPr>
      <w:r>
        <w:rPr>
          <w:i/>
        </w:rPr>
        <w:t xml:space="preserve"> </w:t>
      </w:r>
      <w:r w:rsidR="00C80D8A">
        <w:rPr>
          <w:i/>
        </w:rPr>
        <w:tab/>
      </w:r>
      <w:r w:rsidR="00C80D8A">
        <w:rPr>
          <w:i/>
        </w:rPr>
        <w:tab/>
      </w:r>
      <w:r w:rsidR="00C80D8A">
        <w:rPr>
          <w:i/>
        </w:rPr>
        <w:tab/>
      </w:r>
      <w:r w:rsidR="00C80D8A">
        <w:rPr>
          <w:i/>
        </w:rPr>
        <w:tab/>
      </w:r>
      <w:r w:rsidR="00C80D8A" w:rsidRPr="00C80D8A">
        <w:t>ii.</w:t>
      </w:r>
      <w:r w:rsidR="00C80D8A">
        <w:rPr>
          <w:i/>
        </w:rPr>
        <w:t xml:space="preserve"> </w:t>
      </w:r>
      <w:r w:rsidR="009F4023" w:rsidRPr="007701FD">
        <w:rPr>
          <w:i/>
        </w:rPr>
        <w:t>Number of Responses</w:t>
      </w:r>
      <w:r w:rsidR="009F4023">
        <w:t xml:space="preserve">.  </w:t>
      </w:r>
      <w:r w:rsidR="00C80D8A">
        <w:t>The number of responses is based on data</w:t>
      </w:r>
      <w:r w:rsidR="009F4023">
        <w:t xml:space="preserve"> contained in iRAPT</w:t>
      </w:r>
      <w:r w:rsidR="00C80D8A">
        <w:t xml:space="preserve"> indicating that </w:t>
      </w:r>
      <w:proofErr w:type="gramStart"/>
      <w:r w:rsidR="00C80D8A">
        <w:t>DoD</w:t>
      </w:r>
      <w:proofErr w:type="gramEnd"/>
      <w:r w:rsidR="00C80D8A">
        <w:t xml:space="preserve"> initiated </w:t>
      </w:r>
      <w:r w:rsidR="009F4023">
        <w:t xml:space="preserve">approximately 65,000 property transfer </w:t>
      </w:r>
      <w:r w:rsidR="009F4023" w:rsidRPr="005A2B93">
        <w:t xml:space="preserve">transactions (transfers of Government property from </w:t>
      </w:r>
      <w:r w:rsidR="009F4023" w:rsidRPr="00C70BEA">
        <w:t xml:space="preserve">DoD to contractors) in fiscal year 2016. </w:t>
      </w:r>
    </w:p>
    <w:p w:rsidR="009F4023" w:rsidRPr="009F4023" w:rsidRDefault="009F4023" w:rsidP="007701FD">
      <w:pPr>
        <w:pStyle w:val="NormalWeb"/>
        <w:tabs>
          <w:tab w:val="left" w:pos="360"/>
          <w:tab w:val="left" w:pos="450"/>
          <w:tab w:val="left" w:pos="720"/>
        </w:tabs>
        <w:spacing w:before="0" w:beforeAutospacing="0" w:after="0" w:afterAutospacing="0"/>
        <w:ind w:firstLine="990"/>
      </w:pPr>
    </w:p>
    <w:p w:rsidR="008D3D80" w:rsidRDefault="009F4023" w:rsidP="00C80D8A">
      <w:pPr>
        <w:pStyle w:val="NormalWeb"/>
        <w:tabs>
          <w:tab w:val="left" w:pos="360"/>
          <w:tab w:val="left" w:pos="450"/>
          <w:tab w:val="left" w:pos="720"/>
        </w:tabs>
        <w:spacing w:before="0" w:beforeAutospacing="0" w:after="0" w:afterAutospacing="0"/>
        <w:ind w:firstLine="990"/>
      </w:pPr>
      <w:r>
        <w:t xml:space="preserve"> </w:t>
      </w:r>
      <w:r w:rsidR="00B357C5">
        <w:t xml:space="preserve">iii. </w:t>
      </w:r>
      <w:r w:rsidR="00B357C5">
        <w:rPr>
          <w:i/>
        </w:rPr>
        <w:t>Hours per R</w:t>
      </w:r>
      <w:r w:rsidR="00B357C5" w:rsidRPr="00B357C5">
        <w:rPr>
          <w:i/>
        </w:rPr>
        <w:t>esponse</w:t>
      </w:r>
      <w:r w:rsidR="00B357C5">
        <w:rPr>
          <w:i/>
        </w:rPr>
        <w:t xml:space="preserve">:  </w:t>
      </w:r>
      <w:r w:rsidR="00B357C5">
        <w:t xml:space="preserve">According to </w:t>
      </w:r>
      <w:proofErr w:type="gramStart"/>
      <w:r w:rsidR="00C33668">
        <w:t>DoD</w:t>
      </w:r>
      <w:proofErr w:type="gramEnd"/>
      <w:r w:rsidR="00C33668">
        <w:t xml:space="preserve"> </w:t>
      </w:r>
      <w:r w:rsidR="00B357C5">
        <w:t>subject matter experts</w:t>
      </w:r>
      <w:r w:rsidR="00C33668">
        <w:t xml:space="preserve"> experienced in managing iRAPT,</w:t>
      </w:r>
      <w:r w:rsidR="00B357C5">
        <w:t xml:space="preserve"> it takes a </w:t>
      </w:r>
      <w:r w:rsidR="00642EE1">
        <w:t>respondent an</w:t>
      </w:r>
      <w:r w:rsidR="00B357C5">
        <w:t xml:space="preserve"> average of 15 minutes to </w:t>
      </w:r>
      <w:r w:rsidR="00DE32A7">
        <w:t>acknowledge receipt in the IUID Registry of</w:t>
      </w:r>
      <w:r w:rsidR="00B357C5">
        <w:t xml:space="preserve"> an iRAPT driven Government property transaction</w:t>
      </w:r>
      <w:r w:rsidR="001C3C1B">
        <w:t xml:space="preserve">.  </w:t>
      </w:r>
    </w:p>
    <w:p w:rsidR="00242ED0" w:rsidRPr="00F05C0E" w:rsidRDefault="00801613" w:rsidP="00EA4062">
      <w:pPr>
        <w:pStyle w:val="NormalWeb"/>
        <w:tabs>
          <w:tab w:val="left" w:pos="360"/>
          <w:tab w:val="left" w:pos="450"/>
          <w:tab w:val="left" w:pos="720"/>
        </w:tabs>
        <w:spacing w:before="0" w:beforeAutospacing="0" w:after="0" w:afterAutospacing="0"/>
      </w:pPr>
      <w:r>
        <w:tab/>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1A27D4" w:rsidRPr="00F05C0E" w:rsidTr="00E8402E">
        <w:trPr>
          <w:trHeight w:val="386"/>
        </w:trPr>
        <w:tc>
          <w:tcPr>
            <w:tcW w:w="9270" w:type="dxa"/>
            <w:gridSpan w:val="2"/>
            <w:shd w:val="clear" w:color="auto" w:fill="auto"/>
            <w:vAlign w:val="center"/>
          </w:tcPr>
          <w:p w:rsidR="001A27D4" w:rsidRPr="00F05C0E" w:rsidRDefault="001A27D4" w:rsidP="00E8402E">
            <w:pPr>
              <w:widowControl/>
              <w:autoSpaceDE/>
              <w:autoSpaceDN/>
              <w:adjustRightInd/>
              <w:spacing w:before="100" w:beforeAutospacing="1" w:after="100" w:afterAutospacing="1" w:line="288" w:lineRule="atLeast"/>
              <w:jc w:val="center"/>
            </w:pPr>
            <w:r w:rsidRPr="00F05C0E">
              <w:t>Estimation of Respondent Burden: 252.211-7007</w:t>
            </w:r>
          </w:p>
        </w:tc>
      </w:tr>
      <w:tr w:rsidR="00F05C0E" w:rsidRPr="0053505D" w:rsidTr="0053505D">
        <w:trPr>
          <w:trHeight w:val="386"/>
        </w:trPr>
        <w:tc>
          <w:tcPr>
            <w:tcW w:w="7020" w:type="dxa"/>
            <w:shd w:val="clear" w:color="auto" w:fill="auto"/>
            <w:vAlign w:val="center"/>
          </w:tcPr>
          <w:p w:rsidR="001A27D4" w:rsidRPr="00312A6F" w:rsidRDefault="001A27D4" w:rsidP="00CF0A5D">
            <w:pPr>
              <w:widowControl/>
              <w:tabs>
                <w:tab w:val="left" w:pos="360"/>
              </w:tabs>
              <w:autoSpaceDE/>
              <w:autoSpaceDN/>
              <w:adjustRightInd/>
            </w:pPr>
            <w:r w:rsidRPr="00312A6F">
              <w:t xml:space="preserve">Number of respondents </w:t>
            </w:r>
            <w:r w:rsidR="0074766D" w:rsidRPr="00312A6F">
              <w:t xml:space="preserve"> </w:t>
            </w:r>
            <w:r w:rsidR="00410F7B" w:rsidRPr="00312A6F">
              <w:t xml:space="preserve">    </w:t>
            </w:r>
            <w:r w:rsidR="008E52AF" w:rsidRPr="00312A6F">
              <w:t xml:space="preserve">  </w:t>
            </w:r>
          </w:p>
        </w:tc>
        <w:tc>
          <w:tcPr>
            <w:tcW w:w="2250" w:type="dxa"/>
            <w:shd w:val="clear" w:color="auto" w:fill="auto"/>
            <w:vAlign w:val="center"/>
          </w:tcPr>
          <w:p w:rsidR="001A27D4" w:rsidRPr="0053505D" w:rsidRDefault="00377EB6" w:rsidP="0006267C">
            <w:pPr>
              <w:widowControl/>
              <w:autoSpaceDE/>
              <w:autoSpaceDN/>
              <w:adjustRightInd/>
              <w:jc w:val="right"/>
            </w:pPr>
            <w:r>
              <w:t>256</w:t>
            </w:r>
          </w:p>
        </w:tc>
      </w:tr>
      <w:tr w:rsidR="00F05C0E" w:rsidRPr="0053505D" w:rsidTr="0053505D">
        <w:trPr>
          <w:trHeight w:val="422"/>
        </w:trPr>
        <w:tc>
          <w:tcPr>
            <w:tcW w:w="7020" w:type="dxa"/>
            <w:shd w:val="clear" w:color="auto" w:fill="auto"/>
            <w:vAlign w:val="center"/>
          </w:tcPr>
          <w:p w:rsidR="001A27D4" w:rsidRPr="00312A6F" w:rsidRDefault="001A27D4" w:rsidP="00CF0A5D">
            <w:pPr>
              <w:widowControl/>
              <w:tabs>
                <w:tab w:val="left" w:pos="360"/>
              </w:tabs>
              <w:autoSpaceDE/>
              <w:autoSpaceDN/>
              <w:adjustRightInd/>
            </w:pPr>
            <w:r w:rsidRPr="00312A6F">
              <w:t xml:space="preserve">Responses per respondent </w:t>
            </w:r>
            <w:r w:rsidR="008E52AF" w:rsidRPr="00312A6F">
              <w:t xml:space="preserve">  </w:t>
            </w:r>
          </w:p>
        </w:tc>
        <w:tc>
          <w:tcPr>
            <w:tcW w:w="2250" w:type="dxa"/>
            <w:shd w:val="clear" w:color="auto" w:fill="auto"/>
            <w:vAlign w:val="center"/>
          </w:tcPr>
          <w:p w:rsidR="001A27D4" w:rsidRPr="0053505D" w:rsidRDefault="00835980" w:rsidP="009431B7">
            <w:pPr>
              <w:widowControl/>
              <w:autoSpaceDE/>
              <w:autoSpaceDN/>
              <w:adjustRightInd/>
              <w:contextualSpacing/>
              <w:jc w:val="center"/>
            </w:pPr>
            <w:r>
              <w:t xml:space="preserve">             </w:t>
            </w:r>
            <w:r w:rsidR="00377EB6">
              <w:t xml:space="preserve">           </w:t>
            </w:r>
            <w:r w:rsidR="005B5ABC">
              <w:t xml:space="preserve"> </w:t>
            </w:r>
            <w:r w:rsidR="00093C6F">
              <w:t xml:space="preserve">  </w:t>
            </w:r>
            <w:r w:rsidR="00377EB6">
              <w:t xml:space="preserve">254 </w:t>
            </w:r>
            <w:r>
              <w:t xml:space="preserve">              </w:t>
            </w:r>
          </w:p>
        </w:tc>
      </w:tr>
      <w:tr w:rsidR="00F05C0E" w:rsidRPr="0053505D" w:rsidTr="0053505D">
        <w:trPr>
          <w:trHeight w:val="431"/>
        </w:trPr>
        <w:tc>
          <w:tcPr>
            <w:tcW w:w="7020" w:type="dxa"/>
            <w:shd w:val="clear" w:color="auto" w:fill="auto"/>
            <w:vAlign w:val="center"/>
          </w:tcPr>
          <w:p w:rsidR="001A27D4" w:rsidRPr="00312A6F" w:rsidRDefault="001A27D4" w:rsidP="00410F7B">
            <w:pPr>
              <w:widowControl/>
              <w:tabs>
                <w:tab w:val="left" w:pos="360"/>
              </w:tabs>
              <w:autoSpaceDE/>
              <w:autoSpaceDN/>
              <w:adjustRightInd/>
            </w:pPr>
            <w:r w:rsidRPr="00312A6F">
              <w:t xml:space="preserve">Number of responses </w:t>
            </w:r>
            <w:r w:rsidR="0074766D" w:rsidRPr="00312A6F">
              <w:t xml:space="preserve">      </w:t>
            </w:r>
            <w:r w:rsidR="008E52AF" w:rsidRPr="00312A6F">
              <w:t xml:space="preserve">     </w:t>
            </w:r>
          </w:p>
        </w:tc>
        <w:tc>
          <w:tcPr>
            <w:tcW w:w="2250" w:type="dxa"/>
            <w:shd w:val="clear" w:color="auto" w:fill="auto"/>
            <w:vAlign w:val="center"/>
          </w:tcPr>
          <w:p w:rsidR="001A27D4" w:rsidRPr="0053505D" w:rsidRDefault="001D2B84" w:rsidP="00377EB6">
            <w:pPr>
              <w:widowControl/>
              <w:autoSpaceDE/>
              <w:autoSpaceDN/>
              <w:adjustRightInd/>
              <w:contextualSpacing/>
              <w:jc w:val="right"/>
            </w:pPr>
            <w:r>
              <w:t>6</w:t>
            </w:r>
            <w:r w:rsidR="00377EB6">
              <w:t>5</w:t>
            </w:r>
            <w:r>
              <w:t>,000</w:t>
            </w:r>
          </w:p>
        </w:tc>
      </w:tr>
      <w:tr w:rsidR="00F05C0E" w:rsidRPr="0053505D" w:rsidTr="0053505D">
        <w:trPr>
          <w:trHeight w:val="440"/>
        </w:trPr>
        <w:tc>
          <w:tcPr>
            <w:tcW w:w="7020" w:type="dxa"/>
            <w:shd w:val="clear" w:color="auto" w:fill="auto"/>
            <w:vAlign w:val="center"/>
          </w:tcPr>
          <w:p w:rsidR="001A27D4" w:rsidRPr="00312A6F" w:rsidRDefault="001A27D4" w:rsidP="008E52AF">
            <w:pPr>
              <w:widowControl/>
              <w:tabs>
                <w:tab w:val="left" w:pos="360"/>
              </w:tabs>
              <w:autoSpaceDE/>
              <w:autoSpaceDN/>
              <w:adjustRightInd/>
            </w:pPr>
            <w:r w:rsidRPr="00312A6F">
              <w:lastRenderedPageBreak/>
              <w:t xml:space="preserve">Hours per response </w:t>
            </w:r>
            <w:r w:rsidR="00410F7B" w:rsidRPr="00312A6F">
              <w:t xml:space="preserve">    </w:t>
            </w:r>
          </w:p>
        </w:tc>
        <w:tc>
          <w:tcPr>
            <w:tcW w:w="2250" w:type="dxa"/>
            <w:shd w:val="clear" w:color="auto" w:fill="auto"/>
            <w:vAlign w:val="center"/>
          </w:tcPr>
          <w:p w:rsidR="001A27D4" w:rsidRPr="0053505D" w:rsidRDefault="00C33668" w:rsidP="00E8402E">
            <w:pPr>
              <w:widowControl/>
              <w:autoSpaceDE/>
              <w:autoSpaceDN/>
              <w:adjustRightInd/>
              <w:contextualSpacing/>
              <w:jc w:val="right"/>
            </w:pPr>
            <w:r>
              <w:t>0</w:t>
            </w:r>
            <w:r w:rsidR="00283A96">
              <w:t>.25</w:t>
            </w:r>
          </w:p>
        </w:tc>
      </w:tr>
      <w:tr w:rsidR="00F05C0E" w:rsidRPr="0053505D" w:rsidTr="0053505D">
        <w:trPr>
          <w:trHeight w:val="449"/>
        </w:trPr>
        <w:tc>
          <w:tcPr>
            <w:tcW w:w="7020" w:type="dxa"/>
            <w:shd w:val="clear" w:color="auto" w:fill="auto"/>
            <w:vAlign w:val="center"/>
          </w:tcPr>
          <w:p w:rsidR="001A27D4" w:rsidRPr="00312A6F" w:rsidRDefault="001A27D4" w:rsidP="00E8402E">
            <w:pPr>
              <w:widowControl/>
              <w:tabs>
                <w:tab w:val="left" w:pos="360"/>
              </w:tabs>
              <w:autoSpaceDE/>
              <w:autoSpaceDN/>
              <w:adjustRightInd/>
            </w:pPr>
            <w:r w:rsidRPr="00312A6F">
              <w:t>Estimated hours (number of responses multiplied hours per response)</w:t>
            </w:r>
          </w:p>
        </w:tc>
        <w:tc>
          <w:tcPr>
            <w:tcW w:w="2250" w:type="dxa"/>
            <w:shd w:val="clear" w:color="auto" w:fill="auto"/>
            <w:vAlign w:val="center"/>
          </w:tcPr>
          <w:p w:rsidR="001A27D4" w:rsidRPr="0053505D" w:rsidRDefault="00377EB6" w:rsidP="00C2037B">
            <w:pPr>
              <w:widowControl/>
              <w:autoSpaceDE/>
              <w:autoSpaceDN/>
              <w:adjustRightInd/>
              <w:contextualSpacing/>
              <w:jc w:val="right"/>
            </w:pPr>
            <w:r>
              <w:t>16,250</w:t>
            </w:r>
          </w:p>
        </w:tc>
      </w:tr>
      <w:tr w:rsidR="001A27D4" w:rsidRPr="0053505D" w:rsidTr="00E8402E">
        <w:trPr>
          <w:trHeight w:val="431"/>
        </w:trPr>
        <w:tc>
          <w:tcPr>
            <w:tcW w:w="7020" w:type="dxa"/>
            <w:shd w:val="clear" w:color="auto" w:fill="auto"/>
            <w:vAlign w:val="center"/>
          </w:tcPr>
          <w:p w:rsidR="001A27D4" w:rsidRPr="00312A6F" w:rsidRDefault="001A27D4">
            <w:pPr>
              <w:widowControl/>
              <w:tabs>
                <w:tab w:val="left" w:pos="360"/>
              </w:tabs>
              <w:autoSpaceDE/>
              <w:autoSpaceDN/>
              <w:adjustRightInd/>
            </w:pPr>
            <w:r w:rsidRPr="00312A6F">
              <w:t>Cost per hour (hourly wage)</w:t>
            </w:r>
            <w:r w:rsidR="00CF0A5D" w:rsidRPr="00312A6F">
              <w:t xml:space="preserve"> </w:t>
            </w:r>
            <w:r w:rsidR="00CF0A5D" w:rsidRPr="00312A6F">
              <w:rPr>
                <w:i/>
              </w:rPr>
              <w:t>(</w:t>
            </w:r>
            <w:r w:rsidR="00E41CD8" w:rsidRPr="00312A6F">
              <w:rPr>
                <w:i/>
              </w:rPr>
              <w:t>Note</w:t>
            </w:r>
            <w:r w:rsidR="00410F7B" w:rsidRPr="00312A6F">
              <w:rPr>
                <w:i/>
              </w:rPr>
              <w:t>)</w:t>
            </w:r>
          </w:p>
        </w:tc>
        <w:tc>
          <w:tcPr>
            <w:tcW w:w="2250" w:type="dxa"/>
            <w:shd w:val="clear" w:color="auto" w:fill="auto"/>
            <w:vAlign w:val="center"/>
          </w:tcPr>
          <w:p w:rsidR="001A27D4" w:rsidRPr="0053505D" w:rsidRDefault="00836130">
            <w:pPr>
              <w:widowControl/>
              <w:autoSpaceDE/>
              <w:autoSpaceDN/>
              <w:adjustRightInd/>
              <w:contextualSpacing/>
              <w:jc w:val="right"/>
            </w:pPr>
            <w:r w:rsidRPr="0053505D">
              <w:t>$38</w:t>
            </w:r>
          </w:p>
        </w:tc>
      </w:tr>
      <w:tr w:rsidR="00F05C0E" w:rsidRPr="0053505D" w:rsidTr="0053505D">
        <w:trPr>
          <w:trHeight w:val="440"/>
        </w:trPr>
        <w:tc>
          <w:tcPr>
            <w:tcW w:w="7020" w:type="dxa"/>
            <w:shd w:val="clear" w:color="auto" w:fill="auto"/>
            <w:vAlign w:val="center"/>
          </w:tcPr>
          <w:p w:rsidR="001A27D4" w:rsidRPr="00312A6F" w:rsidRDefault="001A27D4" w:rsidP="00E8402E">
            <w:pPr>
              <w:widowControl/>
              <w:tabs>
                <w:tab w:val="left" w:pos="360"/>
              </w:tabs>
              <w:autoSpaceDE/>
              <w:autoSpaceDN/>
              <w:adjustRightInd/>
            </w:pPr>
            <w:r w:rsidRPr="00312A6F">
              <w:t>Annual public burden (estimated hours multiplied by cost per hour)</w:t>
            </w:r>
          </w:p>
        </w:tc>
        <w:tc>
          <w:tcPr>
            <w:tcW w:w="2250" w:type="dxa"/>
            <w:shd w:val="clear" w:color="auto" w:fill="auto"/>
            <w:vAlign w:val="center"/>
          </w:tcPr>
          <w:p w:rsidR="001A27D4" w:rsidRPr="0053505D" w:rsidRDefault="00377EB6">
            <w:pPr>
              <w:widowControl/>
              <w:autoSpaceDE/>
              <w:autoSpaceDN/>
              <w:adjustRightInd/>
              <w:contextualSpacing/>
              <w:jc w:val="right"/>
            </w:pPr>
            <w:r>
              <w:t>$617</w:t>
            </w:r>
            <w:r w:rsidR="005B5ABC">
              <w:t>,5</w:t>
            </w:r>
            <w:r w:rsidR="00835980">
              <w:t>00</w:t>
            </w:r>
          </w:p>
        </w:tc>
      </w:tr>
    </w:tbl>
    <w:p w:rsidR="00836130" w:rsidRPr="00312A6F" w:rsidRDefault="00836130" w:rsidP="00836130">
      <w:pPr>
        <w:pStyle w:val="NormalWeb"/>
        <w:spacing w:before="0" w:beforeAutospacing="0" w:after="0" w:afterAutospacing="0"/>
        <w:rPr>
          <w:rFonts w:eastAsia="+mn-ea"/>
          <w:i/>
        </w:rPr>
      </w:pPr>
      <w:r w:rsidRPr="00F05C0E">
        <w:rPr>
          <w:i/>
        </w:rPr>
        <w:t xml:space="preserve">Note: </w:t>
      </w:r>
      <w:r w:rsidRPr="00312A6F">
        <w:rPr>
          <w:rFonts w:eastAsia="+mn-ea"/>
          <w:i/>
        </w:rPr>
        <w:t xml:space="preserve"> The cost per hour is based on the OPM GS-11, Step 5, base hourly rate for 2016 ($28.14) plus the 36.25% civilian personnel full fringe benefit rate from OMB Memo M-08-13 ($10.20), rounded to the nearest dollar.  </w:t>
      </w:r>
    </w:p>
    <w:p w:rsidR="007B3839" w:rsidRPr="00312A6F" w:rsidRDefault="007B3839" w:rsidP="00A24004">
      <w:pPr>
        <w:pStyle w:val="NormalWeb"/>
        <w:spacing w:before="0" w:beforeAutospacing="0" w:after="0" w:afterAutospacing="0"/>
        <w:rPr>
          <w:i/>
        </w:rPr>
      </w:pPr>
      <w:r w:rsidRPr="00312A6F">
        <w:rPr>
          <w:rFonts w:eastAsia="+mn-ea"/>
          <w:i/>
        </w:rPr>
        <w:t> </w:t>
      </w:r>
    </w:p>
    <w:p w:rsidR="00147D59" w:rsidRPr="00F05C0E" w:rsidRDefault="002812B4" w:rsidP="00312A6F">
      <w:pPr>
        <w:pStyle w:val="NormalWeb"/>
        <w:spacing w:before="0" w:beforeAutospacing="0" w:after="0" w:afterAutospacing="0"/>
        <w:ind w:firstLine="720"/>
      </w:pPr>
      <w:proofErr w:type="gramStart"/>
      <w:r w:rsidRPr="00F05C0E">
        <w:t xml:space="preserve">d.  </w:t>
      </w:r>
      <w:r w:rsidR="00147D59" w:rsidRPr="00312A6F">
        <w:rPr>
          <w:u w:val="single"/>
        </w:rPr>
        <w:t>Total</w:t>
      </w:r>
      <w:proofErr w:type="gramEnd"/>
      <w:r w:rsidR="00147D59" w:rsidRPr="00312A6F">
        <w:rPr>
          <w:u w:val="single"/>
        </w:rPr>
        <w:t xml:space="preserve"> Respondent Burden and Labor Costs</w:t>
      </w:r>
      <w:r w:rsidR="00147D59" w:rsidRPr="00F05C0E">
        <w:t xml:space="preserve">.  The estimated respondent burden and labor costs for </w:t>
      </w:r>
      <w:r w:rsidR="002D4CC9">
        <w:t>the</w:t>
      </w:r>
      <w:r w:rsidR="00147D59" w:rsidRPr="00F05C0E">
        <w:t xml:space="preserve"> DFARS </w:t>
      </w:r>
      <w:r w:rsidR="002D4CC9">
        <w:t xml:space="preserve">provisions and </w:t>
      </w:r>
      <w:r w:rsidR="00147D59" w:rsidRPr="00F05C0E">
        <w:t xml:space="preserve">clause </w:t>
      </w:r>
      <w:r w:rsidR="002D4CC9">
        <w:t>are</w:t>
      </w:r>
      <w:r w:rsidR="00147D59" w:rsidRPr="00F05C0E">
        <w:t xml:space="preserve"> shown in the table that follows. It is calculated by using the sum of the number of respondents, number of responses, and annual public burden for </w:t>
      </w:r>
      <w:r w:rsidR="002D4CC9">
        <w:t>the two provisions and one clause</w:t>
      </w:r>
      <w:r w:rsidR="00147D59" w:rsidRPr="00F05C0E">
        <w:t xml:space="preserve">.  These totals are then used to calculate an approximate number of responses per </w:t>
      </w:r>
      <w:r w:rsidR="001C3C1B">
        <w:t xml:space="preserve">each </w:t>
      </w:r>
      <w:r w:rsidR="00147D59" w:rsidRPr="00F05C0E">
        <w:t xml:space="preserve">respondent and cost per hour. </w:t>
      </w:r>
    </w:p>
    <w:p w:rsidR="002812B4" w:rsidRPr="00F05C0E" w:rsidRDefault="00147D59" w:rsidP="006C7ED2">
      <w:pPr>
        <w:pStyle w:val="NormalWeb"/>
        <w:spacing w:before="0" w:beforeAutospacing="0" w:after="0" w:afterAutospacing="0"/>
        <w:ind w:firstLine="720"/>
      </w:pPr>
      <w:r w:rsidRPr="00F05C0E">
        <w:t xml:space="preserve">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D64BE4" w:rsidRPr="00F05C0E" w:rsidTr="00E8402E">
        <w:trPr>
          <w:trHeight w:val="386"/>
        </w:trPr>
        <w:tc>
          <w:tcPr>
            <w:tcW w:w="9270" w:type="dxa"/>
            <w:gridSpan w:val="2"/>
            <w:shd w:val="clear" w:color="auto" w:fill="auto"/>
            <w:vAlign w:val="center"/>
          </w:tcPr>
          <w:p w:rsidR="00D64BE4" w:rsidRPr="00F05C0E" w:rsidRDefault="00D64BE4">
            <w:pPr>
              <w:widowControl/>
              <w:autoSpaceDE/>
              <w:autoSpaceDN/>
              <w:adjustRightInd/>
              <w:spacing w:before="100" w:beforeAutospacing="1" w:after="100" w:afterAutospacing="1" w:line="288" w:lineRule="atLeast"/>
              <w:jc w:val="center"/>
            </w:pPr>
            <w:r w:rsidRPr="00F05C0E">
              <w:t>Estimation of Respondent Burden:</w:t>
            </w:r>
            <w:r w:rsidR="00E41CD8" w:rsidRPr="00F05C0E">
              <w:t xml:space="preserve"> 0704-0398 TOTAL </w:t>
            </w:r>
          </w:p>
        </w:tc>
      </w:tr>
      <w:tr w:rsidR="00F05C0E" w:rsidRPr="00F05C0E" w:rsidTr="0053505D">
        <w:trPr>
          <w:trHeight w:val="386"/>
        </w:trPr>
        <w:tc>
          <w:tcPr>
            <w:tcW w:w="7020" w:type="dxa"/>
            <w:shd w:val="clear" w:color="auto" w:fill="auto"/>
            <w:vAlign w:val="center"/>
          </w:tcPr>
          <w:p w:rsidR="00D64BE4" w:rsidRPr="00312A6F" w:rsidRDefault="00D64BE4" w:rsidP="00E8402E">
            <w:pPr>
              <w:widowControl/>
              <w:tabs>
                <w:tab w:val="left" w:pos="360"/>
              </w:tabs>
              <w:autoSpaceDE/>
              <w:autoSpaceDN/>
              <w:adjustRightInd/>
            </w:pPr>
            <w:r w:rsidRPr="00312A6F">
              <w:t xml:space="preserve">Number of respondents </w:t>
            </w:r>
            <w:r w:rsidR="0006267C" w:rsidRPr="00312A6F">
              <w:t xml:space="preserve">       </w:t>
            </w:r>
          </w:p>
        </w:tc>
        <w:tc>
          <w:tcPr>
            <w:tcW w:w="2250" w:type="dxa"/>
            <w:shd w:val="clear" w:color="auto" w:fill="auto"/>
            <w:vAlign w:val="center"/>
          </w:tcPr>
          <w:p w:rsidR="00D64BE4" w:rsidRPr="00312A6F" w:rsidRDefault="00377EB6" w:rsidP="005470A9">
            <w:pPr>
              <w:widowControl/>
              <w:autoSpaceDE/>
              <w:autoSpaceDN/>
              <w:adjustRightInd/>
              <w:jc w:val="right"/>
            </w:pPr>
            <w:r>
              <w:t>6</w:t>
            </w:r>
            <w:r w:rsidR="005470A9">
              <w:t>4</w:t>
            </w:r>
            <w:r>
              <w:t>1</w:t>
            </w:r>
          </w:p>
        </w:tc>
      </w:tr>
      <w:tr w:rsidR="00F05C0E" w:rsidRPr="00F05C0E" w:rsidTr="0053505D">
        <w:trPr>
          <w:trHeight w:val="422"/>
        </w:trPr>
        <w:tc>
          <w:tcPr>
            <w:tcW w:w="7020" w:type="dxa"/>
            <w:shd w:val="clear" w:color="auto" w:fill="auto"/>
            <w:vAlign w:val="center"/>
          </w:tcPr>
          <w:p w:rsidR="00D64BE4" w:rsidRPr="00312A6F" w:rsidRDefault="00D64BE4">
            <w:pPr>
              <w:widowControl/>
              <w:tabs>
                <w:tab w:val="left" w:pos="360"/>
              </w:tabs>
              <w:autoSpaceDE/>
              <w:autoSpaceDN/>
              <w:adjustRightInd/>
            </w:pPr>
            <w:r w:rsidRPr="00312A6F">
              <w:t xml:space="preserve">Responses per </w:t>
            </w:r>
            <w:r w:rsidR="00147D59" w:rsidRPr="00312A6F">
              <w:t>respondent (approximately)</w:t>
            </w:r>
          </w:p>
        </w:tc>
        <w:tc>
          <w:tcPr>
            <w:tcW w:w="2250" w:type="dxa"/>
            <w:shd w:val="clear" w:color="auto" w:fill="auto"/>
            <w:vAlign w:val="center"/>
          </w:tcPr>
          <w:p w:rsidR="00D64BE4" w:rsidRPr="00312A6F" w:rsidRDefault="00093C6F" w:rsidP="00093C6F">
            <w:pPr>
              <w:widowControl/>
              <w:autoSpaceDE/>
              <w:autoSpaceDN/>
              <w:adjustRightInd/>
              <w:contextualSpacing/>
              <w:jc w:val="right"/>
            </w:pPr>
            <w:r>
              <w:t>102</w:t>
            </w:r>
          </w:p>
        </w:tc>
      </w:tr>
      <w:tr w:rsidR="00F05C0E" w:rsidRPr="00F05C0E" w:rsidTr="0053505D">
        <w:trPr>
          <w:trHeight w:val="431"/>
        </w:trPr>
        <w:tc>
          <w:tcPr>
            <w:tcW w:w="7020" w:type="dxa"/>
            <w:shd w:val="clear" w:color="auto" w:fill="auto"/>
            <w:vAlign w:val="center"/>
          </w:tcPr>
          <w:p w:rsidR="00D64BE4" w:rsidRPr="00312A6F" w:rsidRDefault="00D64BE4" w:rsidP="00E8402E">
            <w:pPr>
              <w:widowControl/>
              <w:tabs>
                <w:tab w:val="left" w:pos="360"/>
              </w:tabs>
              <w:autoSpaceDE/>
              <w:autoSpaceDN/>
              <w:adjustRightInd/>
            </w:pPr>
            <w:r w:rsidRPr="00312A6F">
              <w:t xml:space="preserve">Number of responses            </w:t>
            </w:r>
          </w:p>
        </w:tc>
        <w:tc>
          <w:tcPr>
            <w:tcW w:w="2250" w:type="dxa"/>
            <w:shd w:val="clear" w:color="auto" w:fill="auto"/>
            <w:vAlign w:val="center"/>
          </w:tcPr>
          <w:p w:rsidR="00D64BE4" w:rsidRPr="00312A6F" w:rsidRDefault="005470A9" w:rsidP="00E8402E">
            <w:pPr>
              <w:widowControl/>
              <w:autoSpaceDE/>
              <w:autoSpaceDN/>
              <w:adjustRightInd/>
              <w:contextualSpacing/>
              <w:jc w:val="right"/>
            </w:pPr>
            <w:r>
              <w:t>65,573</w:t>
            </w:r>
          </w:p>
        </w:tc>
      </w:tr>
      <w:tr w:rsidR="00F05C0E" w:rsidRPr="00F05C0E" w:rsidTr="0053505D">
        <w:trPr>
          <w:trHeight w:val="440"/>
        </w:trPr>
        <w:tc>
          <w:tcPr>
            <w:tcW w:w="7020" w:type="dxa"/>
            <w:shd w:val="clear" w:color="auto" w:fill="auto"/>
            <w:vAlign w:val="center"/>
          </w:tcPr>
          <w:p w:rsidR="00D64BE4" w:rsidRPr="00312A6F" w:rsidRDefault="00D64BE4" w:rsidP="00E8402E">
            <w:pPr>
              <w:widowControl/>
              <w:tabs>
                <w:tab w:val="left" w:pos="360"/>
              </w:tabs>
              <w:autoSpaceDE/>
              <w:autoSpaceDN/>
              <w:adjustRightInd/>
            </w:pPr>
            <w:r w:rsidRPr="00312A6F">
              <w:t xml:space="preserve">Hours per response     </w:t>
            </w:r>
          </w:p>
        </w:tc>
        <w:tc>
          <w:tcPr>
            <w:tcW w:w="2250" w:type="dxa"/>
            <w:shd w:val="clear" w:color="auto" w:fill="auto"/>
            <w:vAlign w:val="center"/>
          </w:tcPr>
          <w:p w:rsidR="00D64BE4" w:rsidRPr="00312A6F" w:rsidRDefault="00093C6F" w:rsidP="00283A96">
            <w:pPr>
              <w:widowControl/>
              <w:autoSpaceDE/>
              <w:autoSpaceDN/>
              <w:adjustRightInd/>
              <w:contextualSpacing/>
              <w:jc w:val="right"/>
            </w:pPr>
            <w:r>
              <w:t>0.27</w:t>
            </w:r>
          </w:p>
        </w:tc>
      </w:tr>
      <w:tr w:rsidR="00F05C0E" w:rsidRPr="00F05C0E" w:rsidTr="0053505D">
        <w:trPr>
          <w:trHeight w:val="431"/>
        </w:trPr>
        <w:tc>
          <w:tcPr>
            <w:tcW w:w="7020" w:type="dxa"/>
            <w:shd w:val="clear" w:color="auto" w:fill="auto"/>
            <w:vAlign w:val="center"/>
          </w:tcPr>
          <w:p w:rsidR="00147D59" w:rsidRPr="00312A6F" w:rsidRDefault="00147D59" w:rsidP="00E8402E">
            <w:pPr>
              <w:widowControl/>
              <w:tabs>
                <w:tab w:val="left" w:pos="360"/>
              </w:tabs>
              <w:autoSpaceDE/>
              <w:autoSpaceDN/>
              <w:adjustRightInd/>
            </w:pPr>
            <w:r w:rsidRPr="00312A6F">
              <w:t>Estimated hours (number of responses multiplied hours per response)</w:t>
            </w:r>
          </w:p>
        </w:tc>
        <w:tc>
          <w:tcPr>
            <w:tcW w:w="2250" w:type="dxa"/>
            <w:shd w:val="clear" w:color="auto" w:fill="auto"/>
            <w:vAlign w:val="center"/>
          </w:tcPr>
          <w:p w:rsidR="00147D59" w:rsidRPr="00F05C0E" w:rsidRDefault="00093C6F" w:rsidP="00E8402E">
            <w:pPr>
              <w:widowControl/>
              <w:autoSpaceDE/>
              <w:autoSpaceDN/>
              <w:adjustRightInd/>
              <w:contextualSpacing/>
              <w:jc w:val="right"/>
            </w:pPr>
            <w:r>
              <w:t>17,386</w:t>
            </w:r>
          </w:p>
        </w:tc>
      </w:tr>
      <w:tr w:rsidR="00F05C0E" w:rsidRPr="00F05C0E" w:rsidTr="0053505D">
        <w:trPr>
          <w:trHeight w:val="431"/>
        </w:trPr>
        <w:tc>
          <w:tcPr>
            <w:tcW w:w="7020" w:type="dxa"/>
            <w:shd w:val="clear" w:color="auto" w:fill="auto"/>
            <w:vAlign w:val="center"/>
          </w:tcPr>
          <w:p w:rsidR="00D64BE4" w:rsidRPr="00312A6F" w:rsidRDefault="00D64BE4">
            <w:pPr>
              <w:widowControl/>
              <w:tabs>
                <w:tab w:val="left" w:pos="360"/>
              </w:tabs>
              <w:autoSpaceDE/>
              <w:autoSpaceDN/>
              <w:adjustRightInd/>
            </w:pPr>
            <w:r w:rsidRPr="00312A6F">
              <w:t>Cost per hour (hourly wage)</w:t>
            </w:r>
            <w:r w:rsidR="00F072C2" w:rsidRPr="00312A6F">
              <w:t xml:space="preserve"> </w:t>
            </w:r>
            <w:r w:rsidR="00E41CD8" w:rsidRPr="00312A6F">
              <w:t>(approximately)</w:t>
            </w:r>
          </w:p>
        </w:tc>
        <w:tc>
          <w:tcPr>
            <w:tcW w:w="2250" w:type="dxa"/>
            <w:shd w:val="clear" w:color="auto" w:fill="auto"/>
            <w:vAlign w:val="center"/>
          </w:tcPr>
          <w:p w:rsidR="00D64BE4" w:rsidRPr="00312A6F" w:rsidRDefault="00093C6F" w:rsidP="00093C6F">
            <w:pPr>
              <w:widowControl/>
              <w:autoSpaceDE/>
              <w:autoSpaceDN/>
              <w:adjustRightInd/>
              <w:contextualSpacing/>
              <w:jc w:val="right"/>
            </w:pPr>
            <w:r>
              <w:t>$38</w:t>
            </w:r>
          </w:p>
        </w:tc>
      </w:tr>
      <w:tr w:rsidR="00F05C0E" w:rsidRPr="00F05C0E" w:rsidTr="0053505D">
        <w:trPr>
          <w:trHeight w:val="440"/>
        </w:trPr>
        <w:tc>
          <w:tcPr>
            <w:tcW w:w="7020" w:type="dxa"/>
            <w:shd w:val="clear" w:color="auto" w:fill="auto"/>
            <w:vAlign w:val="center"/>
          </w:tcPr>
          <w:p w:rsidR="00D64BE4" w:rsidRPr="00312A6F" w:rsidRDefault="00D64BE4">
            <w:pPr>
              <w:widowControl/>
              <w:tabs>
                <w:tab w:val="left" w:pos="360"/>
              </w:tabs>
              <w:autoSpaceDE/>
              <w:autoSpaceDN/>
              <w:adjustRightInd/>
            </w:pPr>
            <w:r w:rsidRPr="00312A6F">
              <w:t xml:space="preserve">Annual public burden </w:t>
            </w:r>
          </w:p>
        </w:tc>
        <w:tc>
          <w:tcPr>
            <w:tcW w:w="2250" w:type="dxa"/>
            <w:shd w:val="clear" w:color="auto" w:fill="auto"/>
            <w:vAlign w:val="center"/>
          </w:tcPr>
          <w:p w:rsidR="00D64BE4" w:rsidRPr="00312A6F" w:rsidRDefault="00093C6F" w:rsidP="00283A96">
            <w:pPr>
              <w:widowControl/>
              <w:autoSpaceDE/>
              <w:autoSpaceDN/>
              <w:adjustRightInd/>
              <w:contextualSpacing/>
              <w:jc w:val="right"/>
            </w:pPr>
            <w:r>
              <w:t>$653,852</w:t>
            </w:r>
          </w:p>
        </w:tc>
      </w:tr>
    </w:tbl>
    <w:p w:rsidR="00417262" w:rsidRDefault="005653B7" w:rsidP="00EC4ABF">
      <w:pPr>
        <w:pStyle w:val="p4"/>
        <w:tabs>
          <w:tab w:val="clear" w:pos="674"/>
          <w:tab w:val="left" w:pos="360"/>
          <w:tab w:val="left" w:pos="720"/>
        </w:tabs>
      </w:pPr>
      <w:r w:rsidRPr="00F05C0E">
        <w:tab/>
      </w:r>
    </w:p>
    <w:p w:rsidR="005653B7" w:rsidRPr="00F05C0E" w:rsidRDefault="00417262" w:rsidP="00EC4ABF">
      <w:pPr>
        <w:pStyle w:val="p4"/>
        <w:tabs>
          <w:tab w:val="clear" w:pos="674"/>
          <w:tab w:val="left" w:pos="360"/>
          <w:tab w:val="left" w:pos="720"/>
        </w:tabs>
      </w:pPr>
      <w:r>
        <w:tab/>
      </w:r>
      <w:r w:rsidR="005653B7" w:rsidRPr="00F05C0E">
        <w:t xml:space="preserve">13. </w:t>
      </w:r>
      <w:r w:rsidR="005653B7" w:rsidRPr="00F05C0E">
        <w:rPr>
          <w:u w:val="single"/>
        </w:rPr>
        <w:t>Respondent Costs Other than Burden Hour Costs</w:t>
      </w:r>
    </w:p>
    <w:p w:rsidR="005653B7" w:rsidRPr="00F05C0E" w:rsidRDefault="005653B7" w:rsidP="005E2D82">
      <w:pPr>
        <w:pStyle w:val="p4"/>
        <w:tabs>
          <w:tab w:val="left" w:pos="360"/>
        </w:tabs>
      </w:pPr>
    </w:p>
    <w:p w:rsidR="005653B7" w:rsidRPr="00F05C0E" w:rsidRDefault="005653B7" w:rsidP="005653B7">
      <w:pPr>
        <w:tabs>
          <w:tab w:val="left" w:pos="737"/>
          <w:tab w:val="decimal" w:pos="5629"/>
        </w:tabs>
      </w:pPr>
      <w:r w:rsidRPr="00F05C0E">
        <w:tab/>
      </w:r>
      <w:r w:rsidRPr="00F05C0E">
        <w:tab/>
      </w:r>
      <w:proofErr w:type="gramStart"/>
      <w:r w:rsidRPr="00F05C0E">
        <w:t>DoD</w:t>
      </w:r>
      <w:proofErr w:type="gramEnd"/>
      <w:r w:rsidRPr="00F05C0E">
        <w:t xml:space="preserve"> does not estimate any annual cost burden apart from the hourly burden in Item 12 above. </w:t>
      </w:r>
    </w:p>
    <w:p w:rsidR="005653B7" w:rsidRPr="00F05C0E" w:rsidRDefault="005653B7" w:rsidP="005653B7">
      <w:pPr>
        <w:tabs>
          <w:tab w:val="left" w:pos="680"/>
        </w:tabs>
      </w:pPr>
    </w:p>
    <w:p w:rsidR="005653B7" w:rsidRPr="00F05C0E" w:rsidRDefault="005653B7" w:rsidP="005653B7">
      <w:pPr>
        <w:tabs>
          <w:tab w:val="left" w:pos="450"/>
          <w:tab w:val="left" w:pos="720"/>
        </w:tabs>
        <w:ind w:firstLine="360"/>
        <w:rPr>
          <w:u w:val="single"/>
        </w:rPr>
      </w:pPr>
      <w:r w:rsidRPr="00F05C0E">
        <w:t xml:space="preserve">14. </w:t>
      </w:r>
      <w:r w:rsidRPr="00F05C0E">
        <w:rPr>
          <w:u w:val="single"/>
        </w:rPr>
        <w:t>Cost to the Government</w:t>
      </w:r>
    </w:p>
    <w:p w:rsidR="005653B7" w:rsidRPr="00F05C0E" w:rsidRDefault="005653B7" w:rsidP="005653B7">
      <w:pPr>
        <w:tabs>
          <w:tab w:val="left" w:pos="680"/>
        </w:tabs>
        <w:rPr>
          <w:u w:val="single"/>
        </w:rPr>
      </w:pPr>
    </w:p>
    <w:p w:rsidR="00331204" w:rsidRDefault="005653B7" w:rsidP="00312A6F">
      <w:pPr>
        <w:tabs>
          <w:tab w:val="left" w:pos="680"/>
        </w:tabs>
      </w:pPr>
      <w:r w:rsidRPr="00F05C0E">
        <w:tab/>
      </w:r>
      <w:proofErr w:type="gramStart"/>
      <w:r w:rsidR="00331204" w:rsidRPr="00F05C0E">
        <w:t xml:space="preserve">a.  </w:t>
      </w:r>
      <w:r w:rsidR="00331204" w:rsidRPr="00312A6F">
        <w:rPr>
          <w:u w:val="single"/>
        </w:rPr>
        <w:t>DFARS</w:t>
      </w:r>
      <w:proofErr w:type="gramEnd"/>
      <w:r w:rsidR="00331204" w:rsidRPr="00312A6F">
        <w:rPr>
          <w:u w:val="single"/>
        </w:rPr>
        <w:t xml:space="preserve"> 252.211-7004 and 252.211-7005</w:t>
      </w:r>
      <w:r w:rsidR="00331204" w:rsidRPr="00F05C0E">
        <w:t xml:space="preserve">.  </w:t>
      </w:r>
      <w:r w:rsidR="00E41CD8" w:rsidRPr="00F05C0E">
        <w:t xml:space="preserve">The estimated </w:t>
      </w:r>
      <w:r w:rsidR="00331204" w:rsidRPr="00F05C0E">
        <w:t xml:space="preserve">annual cost to the </w:t>
      </w:r>
      <w:r w:rsidR="00E41CD8" w:rsidRPr="00F05C0E">
        <w:t xml:space="preserve">Government </w:t>
      </w:r>
      <w:r w:rsidR="00331204" w:rsidRPr="00F05C0E">
        <w:t xml:space="preserve">to review and analyze responses from offerors under these clauses is shown in the following table. </w:t>
      </w:r>
      <w:bookmarkStart w:id="2" w:name="OLE_LINK1"/>
      <w:bookmarkStart w:id="3" w:name="OLE_LINK2"/>
      <w:r w:rsidR="001C3C1B">
        <w:t xml:space="preserve"> </w:t>
      </w:r>
      <w:r w:rsidR="00331204" w:rsidRPr="00F05C0E">
        <w:t xml:space="preserve">It is estimated that a GS-11, step 5, employee will take one hour to review and analyze a response.  </w:t>
      </w:r>
    </w:p>
    <w:bookmarkEnd w:id="2"/>
    <w:bookmarkEnd w:id="3"/>
    <w:p w:rsidR="00331204" w:rsidRPr="00F05C0E" w:rsidRDefault="00331204" w:rsidP="00312A6F">
      <w:pPr>
        <w:tabs>
          <w:tab w:val="left" w:pos="68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331204" w:rsidRPr="00F05C0E" w:rsidTr="00836130">
        <w:trPr>
          <w:trHeight w:val="386"/>
        </w:trPr>
        <w:tc>
          <w:tcPr>
            <w:tcW w:w="9270" w:type="dxa"/>
            <w:gridSpan w:val="2"/>
            <w:shd w:val="clear" w:color="auto" w:fill="auto"/>
            <w:vAlign w:val="center"/>
          </w:tcPr>
          <w:p w:rsidR="00331204" w:rsidRPr="00F05C0E" w:rsidRDefault="00331204">
            <w:pPr>
              <w:widowControl/>
              <w:tabs>
                <w:tab w:val="left" w:pos="360"/>
                <w:tab w:val="left" w:pos="720"/>
                <w:tab w:val="left" w:pos="1080"/>
              </w:tabs>
              <w:autoSpaceDE/>
              <w:autoSpaceDN/>
              <w:adjustRightInd/>
              <w:spacing w:before="100" w:beforeAutospacing="1" w:after="100" w:afterAutospacing="1" w:line="288" w:lineRule="atLeast"/>
              <w:jc w:val="center"/>
            </w:pPr>
            <w:r w:rsidRPr="00F05C0E">
              <w:t>Estimation of Cost to the Government:  252.211-7004 and 252.211-7005</w:t>
            </w:r>
          </w:p>
        </w:tc>
      </w:tr>
      <w:tr w:rsidR="00331204" w:rsidRPr="00F05C0E" w:rsidTr="00836130">
        <w:trPr>
          <w:trHeight w:val="431"/>
        </w:trPr>
        <w:tc>
          <w:tcPr>
            <w:tcW w:w="7020" w:type="dxa"/>
            <w:shd w:val="clear" w:color="auto" w:fill="auto"/>
            <w:vAlign w:val="center"/>
          </w:tcPr>
          <w:p w:rsidR="00331204" w:rsidRPr="00312A6F" w:rsidRDefault="00331204" w:rsidP="00836130">
            <w:pPr>
              <w:widowControl/>
              <w:tabs>
                <w:tab w:val="left" w:pos="360"/>
                <w:tab w:val="left" w:pos="720"/>
                <w:tab w:val="left" w:pos="1080"/>
              </w:tabs>
              <w:autoSpaceDE/>
              <w:autoSpaceDN/>
              <w:adjustRightInd/>
            </w:pPr>
            <w:r w:rsidRPr="00312A6F">
              <w:t xml:space="preserve">Number of responses      </w:t>
            </w:r>
          </w:p>
        </w:tc>
        <w:tc>
          <w:tcPr>
            <w:tcW w:w="2250" w:type="dxa"/>
            <w:shd w:val="clear" w:color="auto" w:fill="auto"/>
            <w:vAlign w:val="center"/>
          </w:tcPr>
          <w:p w:rsidR="00331204" w:rsidRPr="00F05C0E" w:rsidRDefault="00143796">
            <w:pPr>
              <w:widowControl/>
              <w:tabs>
                <w:tab w:val="left" w:pos="360"/>
                <w:tab w:val="left" w:pos="720"/>
                <w:tab w:val="left" w:pos="1080"/>
              </w:tabs>
              <w:autoSpaceDE/>
              <w:autoSpaceDN/>
              <w:adjustRightInd/>
              <w:contextualSpacing/>
              <w:jc w:val="right"/>
            </w:pPr>
            <w:r>
              <w:t>57</w:t>
            </w:r>
            <w:r w:rsidR="00EF4752">
              <w:t>3</w:t>
            </w:r>
          </w:p>
        </w:tc>
      </w:tr>
      <w:tr w:rsidR="00331204" w:rsidRPr="00F05C0E" w:rsidTr="00836130">
        <w:trPr>
          <w:trHeight w:val="440"/>
        </w:trPr>
        <w:tc>
          <w:tcPr>
            <w:tcW w:w="7020" w:type="dxa"/>
            <w:shd w:val="clear" w:color="auto" w:fill="auto"/>
            <w:vAlign w:val="center"/>
          </w:tcPr>
          <w:p w:rsidR="00331204" w:rsidRPr="00312A6F" w:rsidRDefault="00331204" w:rsidP="00836130">
            <w:pPr>
              <w:widowControl/>
              <w:tabs>
                <w:tab w:val="left" w:pos="360"/>
                <w:tab w:val="left" w:pos="720"/>
                <w:tab w:val="left" w:pos="1080"/>
              </w:tabs>
              <w:autoSpaceDE/>
              <w:autoSpaceDN/>
              <w:adjustRightInd/>
            </w:pPr>
            <w:r w:rsidRPr="00312A6F">
              <w:t xml:space="preserve">Hours per response </w:t>
            </w:r>
          </w:p>
        </w:tc>
        <w:tc>
          <w:tcPr>
            <w:tcW w:w="2250" w:type="dxa"/>
            <w:shd w:val="clear" w:color="auto" w:fill="auto"/>
            <w:vAlign w:val="center"/>
          </w:tcPr>
          <w:p w:rsidR="00331204" w:rsidRPr="00F05C0E" w:rsidRDefault="00331204" w:rsidP="00836130">
            <w:pPr>
              <w:widowControl/>
              <w:tabs>
                <w:tab w:val="left" w:pos="360"/>
                <w:tab w:val="left" w:pos="720"/>
                <w:tab w:val="left" w:pos="1080"/>
              </w:tabs>
              <w:autoSpaceDE/>
              <w:autoSpaceDN/>
              <w:adjustRightInd/>
              <w:contextualSpacing/>
              <w:jc w:val="right"/>
            </w:pPr>
            <w:r w:rsidRPr="00F05C0E">
              <w:t>1</w:t>
            </w:r>
          </w:p>
        </w:tc>
      </w:tr>
      <w:tr w:rsidR="00331204" w:rsidRPr="00F05C0E" w:rsidTr="00836130">
        <w:trPr>
          <w:trHeight w:val="449"/>
        </w:trPr>
        <w:tc>
          <w:tcPr>
            <w:tcW w:w="7020" w:type="dxa"/>
            <w:shd w:val="clear" w:color="auto" w:fill="auto"/>
            <w:vAlign w:val="center"/>
          </w:tcPr>
          <w:p w:rsidR="00331204" w:rsidRPr="00312A6F" w:rsidRDefault="00331204" w:rsidP="00836130">
            <w:pPr>
              <w:widowControl/>
              <w:tabs>
                <w:tab w:val="left" w:pos="360"/>
                <w:tab w:val="left" w:pos="720"/>
                <w:tab w:val="left" w:pos="1080"/>
              </w:tabs>
              <w:autoSpaceDE/>
              <w:autoSpaceDN/>
              <w:adjustRightInd/>
            </w:pPr>
            <w:r w:rsidRPr="00312A6F">
              <w:lastRenderedPageBreak/>
              <w:t xml:space="preserve">Estimated hours </w:t>
            </w:r>
          </w:p>
        </w:tc>
        <w:tc>
          <w:tcPr>
            <w:tcW w:w="2250" w:type="dxa"/>
            <w:shd w:val="clear" w:color="auto" w:fill="auto"/>
            <w:vAlign w:val="center"/>
          </w:tcPr>
          <w:p w:rsidR="00331204" w:rsidRPr="00F05C0E" w:rsidRDefault="00143796" w:rsidP="00836130">
            <w:pPr>
              <w:widowControl/>
              <w:tabs>
                <w:tab w:val="left" w:pos="360"/>
                <w:tab w:val="left" w:pos="720"/>
                <w:tab w:val="left" w:pos="1080"/>
              </w:tabs>
              <w:autoSpaceDE/>
              <w:autoSpaceDN/>
              <w:adjustRightInd/>
              <w:contextualSpacing/>
              <w:jc w:val="right"/>
            </w:pPr>
            <w:r>
              <w:t>57</w:t>
            </w:r>
            <w:r w:rsidR="00EF4752">
              <w:t>3</w:t>
            </w:r>
          </w:p>
        </w:tc>
      </w:tr>
      <w:tr w:rsidR="00331204" w:rsidRPr="00F05C0E" w:rsidTr="00836130">
        <w:trPr>
          <w:trHeight w:val="431"/>
        </w:trPr>
        <w:tc>
          <w:tcPr>
            <w:tcW w:w="7020" w:type="dxa"/>
            <w:shd w:val="clear" w:color="auto" w:fill="auto"/>
            <w:vAlign w:val="center"/>
          </w:tcPr>
          <w:p w:rsidR="00331204" w:rsidRPr="00312A6F" w:rsidRDefault="00331204" w:rsidP="00836130">
            <w:pPr>
              <w:widowControl/>
              <w:tabs>
                <w:tab w:val="left" w:pos="360"/>
                <w:tab w:val="left" w:pos="720"/>
                <w:tab w:val="left" w:pos="1080"/>
              </w:tabs>
              <w:autoSpaceDE/>
              <w:autoSpaceDN/>
              <w:adjustRightInd/>
            </w:pPr>
            <w:r w:rsidRPr="00312A6F">
              <w:t>Cost per hour (hourly wage)  (</w:t>
            </w:r>
            <w:r w:rsidRPr="00312A6F">
              <w:rPr>
                <w:i/>
              </w:rPr>
              <w:t>Note)</w:t>
            </w:r>
          </w:p>
        </w:tc>
        <w:tc>
          <w:tcPr>
            <w:tcW w:w="2250" w:type="dxa"/>
            <w:shd w:val="clear" w:color="auto" w:fill="auto"/>
            <w:vAlign w:val="center"/>
          </w:tcPr>
          <w:p w:rsidR="00331204" w:rsidRPr="00F05C0E" w:rsidRDefault="00331204">
            <w:pPr>
              <w:widowControl/>
              <w:tabs>
                <w:tab w:val="left" w:pos="360"/>
                <w:tab w:val="left" w:pos="720"/>
                <w:tab w:val="left" w:pos="1080"/>
              </w:tabs>
              <w:autoSpaceDE/>
              <w:autoSpaceDN/>
              <w:adjustRightInd/>
              <w:contextualSpacing/>
              <w:jc w:val="right"/>
            </w:pPr>
            <w:r w:rsidRPr="00F05C0E">
              <w:t>$</w:t>
            </w:r>
            <w:r w:rsidR="00836130" w:rsidRPr="00F05C0E">
              <w:t>38</w:t>
            </w:r>
          </w:p>
        </w:tc>
      </w:tr>
      <w:tr w:rsidR="00331204" w:rsidRPr="00F05C0E" w:rsidTr="00836130">
        <w:trPr>
          <w:trHeight w:val="440"/>
        </w:trPr>
        <w:tc>
          <w:tcPr>
            <w:tcW w:w="7020" w:type="dxa"/>
            <w:shd w:val="clear" w:color="auto" w:fill="auto"/>
            <w:vAlign w:val="center"/>
          </w:tcPr>
          <w:p w:rsidR="00331204" w:rsidRPr="00312A6F" w:rsidRDefault="00331204" w:rsidP="00836130">
            <w:pPr>
              <w:widowControl/>
              <w:tabs>
                <w:tab w:val="left" w:pos="360"/>
                <w:tab w:val="left" w:pos="720"/>
                <w:tab w:val="left" w:pos="1080"/>
              </w:tabs>
              <w:autoSpaceDE/>
              <w:autoSpaceDN/>
              <w:adjustRightInd/>
            </w:pPr>
            <w:r w:rsidRPr="00312A6F">
              <w:t xml:space="preserve">Cost to Government   </w:t>
            </w:r>
          </w:p>
        </w:tc>
        <w:tc>
          <w:tcPr>
            <w:tcW w:w="2250" w:type="dxa"/>
            <w:shd w:val="clear" w:color="auto" w:fill="auto"/>
            <w:vAlign w:val="center"/>
          </w:tcPr>
          <w:p w:rsidR="00331204" w:rsidRPr="00F05C0E" w:rsidRDefault="00331204">
            <w:pPr>
              <w:widowControl/>
              <w:tabs>
                <w:tab w:val="left" w:pos="360"/>
                <w:tab w:val="left" w:pos="720"/>
                <w:tab w:val="left" w:pos="1080"/>
              </w:tabs>
              <w:autoSpaceDE/>
              <w:autoSpaceDN/>
              <w:adjustRightInd/>
              <w:contextualSpacing/>
              <w:jc w:val="right"/>
            </w:pPr>
            <w:r w:rsidRPr="00F05C0E">
              <w:t>$</w:t>
            </w:r>
            <w:r w:rsidR="00EF4752">
              <w:t>21,774</w:t>
            </w:r>
            <w:r w:rsidRPr="00F05C0E">
              <w:t xml:space="preserve"> </w:t>
            </w:r>
          </w:p>
        </w:tc>
      </w:tr>
    </w:tbl>
    <w:p w:rsidR="00331204" w:rsidRPr="006C7ED2" w:rsidRDefault="00331204" w:rsidP="00331204">
      <w:pPr>
        <w:pStyle w:val="NormalWeb"/>
        <w:spacing w:before="0" w:beforeAutospacing="0" w:after="0" w:afterAutospacing="0"/>
        <w:rPr>
          <w:rFonts w:eastAsia="+mn-ea"/>
        </w:rPr>
      </w:pPr>
      <w:r w:rsidRPr="00F05C0E">
        <w:rPr>
          <w:i/>
        </w:rPr>
        <w:t xml:space="preserve">Note: </w:t>
      </w:r>
      <w:r w:rsidRPr="00312A6F">
        <w:rPr>
          <w:rFonts w:eastAsia="+mn-ea"/>
          <w:i/>
        </w:rPr>
        <w:t xml:space="preserve"> The cost per hour is based on the </w:t>
      </w:r>
      <w:r w:rsidR="00625AF0" w:rsidRPr="00312A6F">
        <w:rPr>
          <w:rFonts w:eastAsia="+mn-ea"/>
          <w:i/>
        </w:rPr>
        <w:t xml:space="preserve">OPM </w:t>
      </w:r>
      <w:r w:rsidRPr="00312A6F">
        <w:rPr>
          <w:rFonts w:eastAsia="+mn-ea"/>
          <w:i/>
        </w:rPr>
        <w:t>GS-11, Step 5</w:t>
      </w:r>
      <w:r w:rsidR="00836130" w:rsidRPr="00312A6F">
        <w:rPr>
          <w:rFonts w:eastAsia="+mn-ea"/>
          <w:i/>
        </w:rPr>
        <w:t>,</w:t>
      </w:r>
      <w:r w:rsidRPr="00312A6F">
        <w:rPr>
          <w:rFonts w:eastAsia="+mn-ea"/>
          <w:i/>
        </w:rPr>
        <w:t xml:space="preserve"> </w:t>
      </w:r>
      <w:r w:rsidR="00625AF0" w:rsidRPr="00312A6F">
        <w:rPr>
          <w:rFonts w:eastAsia="+mn-ea"/>
          <w:i/>
        </w:rPr>
        <w:t xml:space="preserve">base </w:t>
      </w:r>
      <w:r w:rsidRPr="00312A6F">
        <w:rPr>
          <w:rFonts w:eastAsia="+mn-ea"/>
          <w:i/>
        </w:rPr>
        <w:t>hourly rate for 2016</w:t>
      </w:r>
      <w:r w:rsidR="00836130" w:rsidRPr="00312A6F">
        <w:rPr>
          <w:rFonts w:eastAsia="+mn-ea"/>
          <w:i/>
        </w:rPr>
        <w:t xml:space="preserve"> ($28.14)</w:t>
      </w:r>
      <w:r w:rsidRPr="00312A6F">
        <w:rPr>
          <w:rFonts w:eastAsia="+mn-ea"/>
          <w:i/>
        </w:rPr>
        <w:t xml:space="preserve"> plus the 36.25% civilian personnel full fringe benefit rate from OMB Memo M-08-13 (</w:t>
      </w:r>
      <w:r w:rsidR="00836130" w:rsidRPr="00312A6F">
        <w:rPr>
          <w:rFonts w:eastAsia="+mn-ea"/>
          <w:i/>
        </w:rPr>
        <w:t>$10.20</w:t>
      </w:r>
      <w:r w:rsidRPr="00312A6F">
        <w:rPr>
          <w:rFonts w:eastAsia="+mn-ea"/>
          <w:i/>
        </w:rPr>
        <w:t>)</w:t>
      </w:r>
      <w:r w:rsidR="00836130" w:rsidRPr="00312A6F">
        <w:rPr>
          <w:rFonts w:eastAsia="+mn-ea"/>
          <w:i/>
        </w:rPr>
        <w:t>, rounded to the nearest dollar</w:t>
      </w:r>
      <w:r w:rsidR="006C7ED2">
        <w:rPr>
          <w:rFonts w:eastAsia="+mn-ea"/>
          <w:i/>
        </w:rPr>
        <w:t xml:space="preserve">. </w:t>
      </w:r>
    </w:p>
    <w:p w:rsidR="00331204" w:rsidRPr="00F05C0E" w:rsidRDefault="00331204" w:rsidP="00312A6F">
      <w:pPr>
        <w:tabs>
          <w:tab w:val="left" w:pos="680"/>
        </w:tabs>
      </w:pPr>
    </w:p>
    <w:p w:rsidR="00625AF0" w:rsidRPr="00283A96" w:rsidRDefault="00331204" w:rsidP="00625AF0">
      <w:pPr>
        <w:tabs>
          <w:tab w:val="left" w:pos="680"/>
        </w:tabs>
        <w:rPr>
          <w:strike/>
        </w:rPr>
      </w:pPr>
      <w:r w:rsidRPr="00F05C0E">
        <w:tab/>
        <w:t xml:space="preserve">b. </w:t>
      </w:r>
      <w:r w:rsidR="00625AF0" w:rsidRPr="00312A6F">
        <w:rPr>
          <w:u w:val="single"/>
        </w:rPr>
        <w:t>DFARS 252.211-7007</w:t>
      </w:r>
      <w:r w:rsidR="00625AF0" w:rsidRPr="00F05C0E">
        <w:t xml:space="preserve">.  </w:t>
      </w:r>
      <w:r w:rsidR="003C2695" w:rsidRPr="00F05C0E">
        <w:t xml:space="preserve">The estimated annual cost to the Government to review and analyze responses from offerors under these clauses is shown in the following table. </w:t>
      </w:r>
      <w:r w:rsidR="003C2695">
        <w:t xml:space="preserve"> </w:t>
      </w:r>
      <w:r w:rsidR="003C2695" w:rsidRPr="00F05C0E">
        <w:t>It is estimated that a GS-11, step 5, employee will take one hour to review and analyze a response</w:t>
      </w:r>
      <w:r w:rsidR="006C7ED2">
        <w:t>.</w:t>
      </w:r>
    </w:p>
    <w:p w:rsidR="00E41CD8" w:rsidRPr="00F05C0E" w:rsidRDefault="00E41CD8" w:rsidP="00E41CD8">
      <w:pPr>
        <w:pStyle w:val="p4"/>
        <w:tabs>
          <w:tab w:val="left" w:pos="36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E41CD8" w:rsidRPr="00F05C0E" w:rsidTr="00836130">
        <w:trPr>
          <w:trHeight w:val="386"/>
        </w:trPr>
        <w:tc>
          <w:tcPr>
            <w:tcW w:w="9270" w:type="dxa"/>
            <w:gridSpan w:val="2"/>
            <w:shd w:val="clear" w:color="auto" w:fill="auto"/>
            <w:vAlign w:val="center"/>
          </w:tcPr>
          <w:p w:rsidR="00E41CD8" w:rsidRPr="00F05C0E" w:rsidRDefault="00E41CD8">
            <w:pPr>
              <w:widowControl/>
              <w:tabs>
                <w:tab w:val="left" w:pos="360"/>
                <w:tab w:val="left" w:pos="720"/>
                <w:tab w:val="left" w:pos="1080"/>
              </w:tabs>
              <w:autoSpaceDE/>
              <w:autoSpaceDN/>
              <w:adjustRightInd/>
              <w:spacing w:before="100" w:beforeAutospacing="1" w:after="100" w:afterAutospacing="1" w:line="288" w:lineRule="atLeast"/>
              <w:jc w:val="center"/>
            </w:pPr>
            <w:r w:rsidRPr="00F05C0E">
              <w:t>Estimation of Cost to the Government</w:t>
            </w:r>
            <w:r w:rsidR="00F53ED3" w:rsidRPr="00F05C0E">
              <w:t xml:space="preserve">: </w:t>
            </w:r>
            <w:r w:rsidRPr="00F05C0E">
              <w:t xml:space="preserve"> </w:t>
            </w:r>
            <w:r w:rsidR="00331204" w:rsidRPr="00F05C0E">
              <w:t>252.211-7007</w:t>
            </w:r>
          </w:p>
        </w:tc>
      </w:tr>
      <w:tr w:rsidR="00E41CD8" w:rsidRPr="00F05C0E" w:rsidTr="00836130">
        <w:trPr>
          <w:trHeight w:val="431"/>
        </w:trPr>
        <w:tc>
          <w:tcPr>
            <w:tcW w:w="7020" w:type="dxa"/>
            <w:shd w:val="clear" w:color="auto" w:fill="auto"/>
            <w:vAlign w:val="center"/>
          </w:tcPr>
          <w:p w:rsidR="00E41CD8" w:rsidRPr="00312A6F" w:rsidRDefault="00E41CD8" w:rsidP="00836130">
            <w:pPr>
              <w:widowControl/>
              <w:tabs>
                <w:tab w:val="left" w:pos="360"/>
                <w:tab w:val="left" w:pos="720"/>
                <w:tab w:val="left" w:pos="1080"/>
              </w:tabs>
              <w:autoSpaceDE/>
              <w:autoSpaceDN/>
              <w:adjustRightInd/>
            </w:pPr>
            <w:r w:rsidRPr="00312A6F">
              <w:t xml:space="preserve">Number of responses      </w:t>
            </w:r>
          </w:p>
        </w:tc>
        <w:tc>
          <w:tcPr>
            <w:tcW w:w="2250" w:type="dxa"/>
            <w:shd w:val="clear" w:color="auto" w:fill="auto"/>
            <w:vAlign w:val="center"/>
          </w:tcPr>
          <w:p w:rsidR="00E41CD8" w:rsidRPr="00F05C0E" w:rsidRDefault="002D112A">
            <w:pPr>
              <w:widowControl/>
              <w:tabs>
                <w:tab w:val="left" w:pos="360"/>
                <w:tab w:val="left" w:pos="720"/>
                <w:tab w:val="left" w:pos="1080"/>
              </w:tabs>
              <w:autoSpaceDE/>
              <w:autoSpaceDN/>
              <w:adjustRightInd/>
              <w:contextualSpacing/>
              <w:jc w:val="right"/>
            </w:pPr>
            <w:r>
              <w:t>65,000</w:t>
            </w:r>
          </w:p>
        </w:tc>
      </w:tr>
      <w:tr w:rsidR="00E41CD8" w:rsidRPr="00F05C0E" w:rsidTr="00836130">
        <w:trPr>
          <w:trHeight w:val="440"/>
        </w:trPr>
        <w:tc>
          <w:tcPr>
            <w:tcW w:w="7020" w:type="dxa"/>
            <w:shd w:val="clear" w:color="auto" w:fill="auto"/>
            <w:vAlign w:val="center"/>
          </w:tcPr>
          <w:p w:rsidR="00E41CD8" w:rsidRPr="00312A6F" w:rsidRDefault="00E41CD8" w:rsidP="00836130">
            <w:pPr>
              <w:widowControl/>
              <w:tabs>
                <w:tab w:val="left" w:pos="360"/>
                <w:tab w:val="left" w:pos="720"/>
                <w:tab w:val="left" w:pos="1080"/>
              </w:tabs>
              <w:autoSpaceDE/>
              <w:autoSpaceDN/>
              <w:adjustRightInd/>
            </w:pPr>
            <w:r w:rsidRPr="00312A6F">
              <w:t xml:space="preserve">Hours per response </w:t>
            </w:r>
          </w:p>
        </w:tc>
        <w:tc>
          <w:tcPr>
            <w:tcW w:w="2250" w:type="dxa"/>
            <w:shd w:val="clear" w:color="auto" w:fill="auto"/>
            <w:vAlign w:val="center"/>
          </w:tcPr>
          <w:p w:rsidR="00E41CD8" w:rsidRPr="00F05C0E" w:rsidRDefault="00C33668" w:rsidP="002D112A">
            <w:pPr>
              <w:widowControl/>
              <w:tabs>
                <w:tab w:val="left" w:pos="360"/>
                <w:tab w:val="left" w:pos="720"/>
                <w:tab w:val="left" w:pos="1080"/>
              </w:tabs>
              <w:autoSpaceDE/>
              <w:autoSpaceDN/>
              <w:adjustRightInd/>
              <w:contextualSpacing/>
              <w:jc w:val="right"/>
            </w:pPr>
            <w:r>
              <w:t>2</w:t>
            </w:r>
          </w:p>
        </w:tc>
      </w:tr>
      <w:tr w:rsidR="00E41CD8" w:rsidRPr="00F05C0E" w:rsidTr="00836130">
        <w:trPr>
          <w:trHeight w:val="449"/>
        </w:trPr>
        <w:tc>
          <w:tcPr>
            <w:tcW w:w="7020" w:type="dxa"/>
            <w:shd w:val="clear" w:color="auto" w:fill="auto"/>
            <w:vAlign w:val="center"/>
          </w:tcPr>
          <w:p w:rsidR="00E41CD8" w:rsidRPr="00312A6F" w:rsidRDefault="00E41CD8" w:rsidP="00836130">
            <w:pPr>
              <w:widowControl/>
              <w:tabs>
                <w:tab w:val="left" w:pos="360"/>
                <w:tab w:val="left" w:pos="720"/>
                <w:tab w:val="left" w:pos="1080"/>
              </w:tabs>
              <w:autoSpaceDE/>
              <w:autoSpaceDN/>
              <w:adjustRightInd/>
            </w:pPr>
            <w:r w:rsidRPr="00312A6F">
              <w:t xml:space="preserve">Estimated hours </w:t>
            </w:r>
          </w:p>
        </w:tc>
        <w:tc>
          <w:tcPr>
            <w:tcW w:w="2250" w:type="dxa"/>
            <w:shd w:val="clear" w:color="auto" w:fill="auto"/>
            <w:vAlign w:val="center"/>
          </w:tcPr>
          <w:p w:rsidR="00E41CD8" w:rsidRPr="00F05C0E" w:rsidRDefault="00C33668" w:rsidP="002D112A">
            <w:pPr>
              <w:widowControl/>
              <w:tabs>
                <w:tab w:val="left" w:pos="360"/>
                <w:tab w:val="left" w:pos="720"/>
                <w:tab w:val="left" w:pos="1080"/>
              </w:tabs>
              <w:autoSpaceDE/>
              <w:autoSpaceDN/>
              <w:adjustRightInd/>
              <w:contextualSpacing/>
              <w:jc w:val="right"/>
            </w:pPr>
            <w:r>
              <w:t>130,000</w:t>
            </w:r>
          </w:p>
        </w:tc>
      </w:tr>
      <w:tr w:rsidR="00E41CD8" w:rsidRPr="00F05C0E" w:rsidTr="00836130">
        <w:trPr>
          <w:trHeight w:val="431"/>
        </w:trPr>
        <w:tc>
          <w:tcPr>
            <w:tcW w:w="7020" w:type="dxa"/>
            <w:shd w:val="clear" w:color="auto" w:fill="auto"/>
            <w:vAlign w:val="center"/>
          </w:tcPr>
          <w:p w:rsidR="00E41CD8" w:rsidRPr="00312A6F" w:rsidRDefault="00E41CD8">
            <w:pPr>
              <w:widowControl/>
              <w:tabs>
                <w:tab w:val="left" w:pos="360"/>
                <w:tab w:val="left" w:pos="720"/>
                <w:tab w:val="left" w:pos="1080"/>
              </w:tabs>
              <w:autoSpaceDE/>
              <w:autoSpaceDN/>
              <w:adjustRightInd/>
            </w:pPr>
            <w:r w:rsidRPr="00312A6F">
              <w:t>Cost per hour (hourly wage)  (</w:t>
            </w:r>
            <w:r w:rsidRPr="00312A6F">
              <w:rPr>
                <w:i/>
              </w:rPr>
              <w:t>Note)</w:t>
            </w:r>
          </w:p>
        </w:tc>
        <w:tc>
          <w:tcPr>
            <w:tcW w:w="2250" w:type="dxa"/>
            <w:shd w:val="clear" w:color="auto" w:fill="auto"/>
            <w:vAlign w:val="center"/>
          </w:tcPr>
          <w:p w:rsidR="00E41CD8" w:rsidRPr="00F05C0E" w:rsidRDefault="00E41CD8">
            <w:pPr>
              <w:widowControl/>
              <w:tabs>
                <w:tab w:val="left" w:pos="360"/>
                <w:tab w:val="left" w:pos="720"/>
                <w:tab w:val="left" w:pos="1080"/>
              </w:tabs>
              <w:autoSpaceDE/>
              <w:autoSpaceDN/>
              <w:adjustRightInd/>
              <w:contextualSpacing/>
              <w:jc w:val="right"/>
            </w:pPr>
            <w:r w:rsidRPr="00F05C0E">
              <w:t>$</w:t>
            </w:r>
            <w:r w:rsidR="0064321F" w:rsidRPr="00F05C0E">
              <w:t>46</w:t>
            </w:r>
          </w:p>
        </w:tc>
      </w:tr>
      <w:tr w:rsidR="00E41CD8" w:rsidRPr="00F05C0E" w:rsidTr="00836130">
        <w:trPr>
          <w:trHeight w:val="440"/>
        </w:trPr>
        <w:tc>
          <w:tcPr>
            <w:tcW w:w="7020" w:type="dxa"/>
            <w:shd w:val="clear" w:color="auto" w:fill="auto"/>
            <w:vAlign w:val="center"/>
          </w:tcPr>
          <w:p w:rsidR="00E41CD8" w:rsidRPr="00312A6F" w:rsidRDefault="00E41CD8" w:rsidP="00836130">
            <w:pPr>
              <w:widowControl/>
              <w:tabs>
                <w:tab w:val="left" w:pos="360"/>
                <w:tab w:val="left" w:pos="720"/>
                <w:tab w:val="left" w:pos="1080"/>
              </w:tabs>
              <w:autoSpaceDE/>
              <w:autoSpaceDN/>
              <w:adjustRightInd/>
            </w:pPr>
            <w:r w:rsidRPr="00312A6F">
              <w:t xml:space="preserve">Cost to Government   </w:t>
            </w:r>
          </w:p>
        </w:tc>
        <w:tc>
          <w:tcPr>
            <w:tcW w:w="2250" w:type="dxa"/>
            <w:shd w:val="clear" w:color="auto" w:fill="auto"/>
            <w:vAlign w:val="center"/>
          </w:tcPr>
          <w:p w:rsidR="00E41CD8" w:rsidRPr="00F05C0E" w:rsidRDefault="00E41CD8" w:rsidP="00C33668">
            <w:pPr>
              <w:widowControl/>
              <w:tabs>
                <w:tab w:val="left" w:pos="360"/>
                <w:tab w:val="left" w:pos="720"/>
                <w:tab w:val="left" w:pos="1080"/>
              </w:tabs>
              <w:autoSpaceDE/>
              <w:autoSpaceDN/>
              <w:adjustRightInd/>
              <w:contextualSpacing/>
              <w:jc w:val="right"/>
            </w:pPr>
            <w:r w:rsidRPr="00F05C0E">
              <w:t>$</w:t>
            </w:r>
            <w:r w:rsidR="00C33668">
              <w:t>5,980,</w:t>
            </w:r>
            <w:r w:rsidR="002D112A">
              <w:t>000</w:t>
            </w:r>
            <w:r w:rsidRPr="00F05C0E">
              <w:t xml:space="preserve"> </w:t>
            </w:r>
          </w:p>
        </w:tc>
      </w:tr>
    </w:tbl>
    <w:p w:rsidR="003C2695" w:rsidRDefault="005B3F2E" w:rsidP="005B3F2E">
      <w:pPr>
        <w:pStyle w:val="NormalWeb"/>
        <w:spacing w:before="0" w:beforeAutospacing="0" w:after="0" w:afterAutospacing="0"/>
        <w:rPr>
          <w:rFonts w:eastAsia="+mn-ea"/>
          <w:i/>
        </w:rPr>
      </w:pPr>
      <w:r w:rsidRPr="00F05C0E">
        <w:rPr>
          <w:i/>
        </w:rPr>
        <w:t>Note</w:t>
      </w:r>
      <w:r w:rsidRPr="003C2695">
        <w:rPr>
          <w:i/>
        </w:rPr>
        <w:t xml:space="preserve">: </w:t>
      </w:r>
      <w:r w:rsidRPr="003C2695">
        <w:rPr>
          <w:rFonts w:eastAsia="+mn-ea"/>
          <w:i/>
        </w:rPr>
        <w:t xml:space="preserve"> </w:t>
      </w:r>
      <w:r w:rsidR="003C2695" w:rsidRPr="003C2695">
        <w:rPr>
          <w:rFonts w:eastAsia="+mn-ea"/>
          <w:i/>
          <w:color w:val="000000"/>
        </w:rPr>
        <w:t>The cost per hour is based on the Office of Personnel Management(OPM) General Schedule (GS) hourly rate of $33.72 for a GS-12, step 5, employee (for calendar year 2016) plus the 36.25% civilian personnel full fringe benefit rate from OMB memorandum M-08-13 ($33.72 + $12.22 = $45.94, rounded to the nearest dollar).</w:t>
      </w:r>
      <w:r w:rsidR="003C2695" w:rsidRPr="00D67F62">
        <w:rPr>
          <w:rFonts w:eastAsia="+mn-ea"/>
          <w:color w:val="000000"/>
        </w:rPr>
        <w:t xml:space="preserve"> </w:t>
      </w:r>
    </w:p>
    <w:p w:rsidR="003C2695" w:rsidRDefault="003C2695" w:rsidP="005B3F2E">
      <w:pPr>
        <w:pStyle w:val="NormalWeb"/>
        <w:spacing w:before="0" w:beforeAutospacing="0" w:after="0" w:afterAutospacing="0"/>
        <w:rPr>
          <w:rFonts w:eastAsia="+mn-ea"/>
          <w:i/>
        </w:rPr>
      </w:pPr>
    </w:p>
    <w:p w:rsidR="00625AF0" w:rsidRPr="00F05C0E" w:rsidRDefault="00331204" w:rsidP="00312A6F">
      <w:pPr>
        <w:pStyle w:val="p4"/>
        <w:tabs>
          <w:tab w:val="left" w:pos="360"/>
        </w:tabs>
      </w:pPr>
      <w:r w:rsidRPr="00F05C0E">
        <w:tab/>
      </w:r>
      <w:r w:rsidRPr="00F05C0E">
        <w:tab/>
      </w:r>
      <w:proofErr w:type="gramStart"/>
      <w:r w:rsidRPr="00F05C0E">
        <w:t xml:space="preserve">c. </w:t>
      </w:r>
      <w:r w:rsidR="00625AF0" w:rsidRPr="00F05C0E">
        <w:t xml:space="preserve"> </w:t>
      </w:r>
      <w:r w:rsidR="00625AF0" w:rsidRPr="00312A6F">
        <w:rPr>
          <w:u w:val="single"/>
        </w:rPr>
        <w:t>Total</w:t>
      </w:r>
      <w:proofErr w:type="gramEnd"/>
      <w:r w:rsidR="00625AF0" w:rsidRPr="00312A6F">
        <w:rPr>
          <w:u w:val="single"/>
        </w:rPr>
        <w:t xml:space="preserve"> Cost to the Government</w:t>
      </w:r>
      <w:r w:rsidR="00625AF0" w:rsidRPr="00F05C0E">
        <w:t xml:space="preserve">. </w:t>
      </w:r>
      <w:r w:rsidRPr="00F05C0E">
        <w:t xml:space="preserve">The </w:t>
      </w:r>
      <w:r w:rsidR="00625AF0" w:rsidRPr="00F05C0E">
        <w:t xml:space="preserve">total </w:t>
      </w:r>
      <w:r w:rsidRPr="00F05C0E">
        <w:t xml:space="preserve">estimated annual cost to the Government </w:t>
      </w:r>
      <w:r w:rsidR="00625AF0" w:rsidRPr="00F05C0E">
        <w:t xml:space="preserve">for all three DFARS clauses covered by this OMB Control Number is shown in the table that follows. </w:t>
      </w:r>
      <w:r w:rsidR="00C33668">
        <w:t xml:space="preserve"> </w:t>
      </w:r>
      <w:r w:rsidR="00625AF0" w:rsidRPr="00F05C0E">
        <w:t xml:space="preserve">It is calculated by using the sum of the number of responses, estimated hours, and cost to the Government for all three clauses.  These totals are then used to calculate an approximate hours per response and cost per hour. </w:t>
      </w:r>
    </w:p>
    <w:p w:rsidR="00625AF0" w:rsidRPr="00F05C0E" w:rsidRDefault="00625AF0" w:rsidP="00312A6F">
      <w:pPr>
        <w:pStyle w:val="p4"/>
        <w:tabs>
          <w:tab w:val="left" w:pos="360"/>
        </w:tabs>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160"/>
      </w:tblGrid>
      <w:tr w:rsidR="00625AF0" w:rsidRPr="00F05C0E" w:rsidTr="00E30F8B">
        <w:trPr>
          <w:trHeight w:val="386"/>
        </w:trPr>
        <w:tc>
          <w:tcPr>
            <w:tcW w:w="9180" w:type="dxa"/>
            <w:gridSpan w:val="2"/>
            <w:shd w:val="clear" w:color="auto" w:fill="auto"/>
            <w:vAlign w:val="center"/>
          </w:tcPr>
          <w:p w:rsidR="00625AF0" w:rsidRPr="00F05C0E" w:rsidRDefault="00625AF0">
            <w:pPr>
              <w:widowControl/>
              <w:tabs>
                <w:tab w:val="left" w:pos="360"/>
                <w:tab w:val="left" w:pos="720"/>
                <w:tab w:val="left" w:pos="1080"/>
              </w:tabs>
              <w:autoSpaceDE/>
              <w:autoSpaceDN/>
              <w:adjustRightInd/>
              <w:spacing w:before="100" w:beforeAutospacing="1" w:after="100" w:afterAutospacing="1" w:line="288" w:lineRule="atLeast"/>
              <w:jc w:val="center"/>
            </w:pPr>
            <w:r w:rsidRPr="00F05C0E">
              <w:t>Estimation of Cost to the Government:  0704-0398 TOTAL</w:t>
            </w:r>
          </w:p>
        </w:tc>
      </w:tr>
      <w:tr w:rsidR="00625AF0" w:rsidRPr="00F05C0E" w:rsidTr="00E30F8B">
        <w:trPr>
          <w:trHeight w:val="431"/>
        </w:trPr>
        <w:tc>
          <w:tcPr>
            <w:tcW w:w="7020" w:type="dxa"/>
            <w:shd w:val="clear" w:color="auto" w:fill="auto"/>
            <w:vAlign w:val="center"/>
          </w:tcPr>
          <w:p w:rsidR="00625AF0" w:rsidRPr="00312A6F" w:rsidRDefault="00625AF0" w:rsidP="00836130">
            <w:pPr>
              <w:widowControl/>
              <w:tabs>
                <w:tab w:val="left" w:pos="360"/>
                <w:tab w:val="left" w:pos="720"/>
                <w:tab w:val="left" w:pos="1080"/>
              </w:tabs>
              <w:autoSpaceDE/>
              <w:autoSpaceDN/>
              <w:adjustRightInd/>
            </w:pPr>
            <w:r w:rsidRPr="00312A6F">
              <w:t xml:space="preserve">Number of responses      </w:t>
            </w:r>
          </w:p>
        </w:tc>
        <w:tc>
          <w:tcPr>
            <w:tcW w:w="2160" w:type="dxa"/>
            <w:shd w:val="clear" w:color="auto" w:fill="auto"/>
            <w:vAlign w:val="center"/>
          </w:tcPr>
          <w:p w:rsidR="00625AF0" w:rsidRPr="00F05C0E" w:rsidRDefault="00255890" w:rsidP="00836130">
            <w:pPr>
              <w:widowControl/>
              <w:tabs>
                <w:tab w:val="left" w:pos="360"/>
                <w:tab w:val="left" w:pos="720"/>
                <w:tab w:val="left" w:pos="1080"/>
              </w:tabs>
              <w:autoSpaceDE/>
              <w:autoSpaceDN/>
              <w:adjustRightInd/>
              <w:contextualSpacing/>
              <w:jc w:val="right"/>
            </w:pPr>
            <w:r>
              <w:t>65,573</w:t>
            </w:r>
          </w:p>
        </w:tc>
      </w:tr>
      <w:tr w:rsidR="00625AF0" w:rsidRPr="00F05C0E" w:rsidTr="00E30F8B">
        <w:trPr>
          <w:trHeight w:val="440"/>
        </w:trPr>
        <w:tc>
          <w:tcPr>
            <w:tcW w:w="7020" w:type="dxa"/>
            <w:shd w:val="clear" w:color="auto" w:fill="auto"/>
            <w:vAlign w:val="center"/>
          </w:tcPr>
          <w:p w:rsidR="00625AF0" w:rsidRPr="00312A6F" w:rsidRDefault="00625AF0" w:rsidP="00836130">
            <w:pPr>
              <w:widowControl/>
              <w:tabs>
                <w:tab w:val="left" w:pos="360"/>
                <w:tab w:val="left" w:pos="720"/>
                <w:tab w:val="left" w:pos="1080"/>
              </w:tabs>
              <w:autoSpaceDE/>
              <w:autoSpaceDN/>
              <w:adjustRightInd/>
            </w:pPr>
            <w:r w:rsidRPr="00312A6F">
              <w:t>Hours per response (approximately)</w:t>
            </w:r>
          </w:p>
        </w:tc>
        <w:tc>
          <w:tcPr>
            <w:tcW w:w="2160" w:type="dxa"/>
            <w:shd w:val="clear" w:color="auto" w:fill="auto"/>
            <w:vAlign w:val="center"/>
          </w:tcPr>
          <w:p w:rsidR="00625AF0" w:rsidRPr="00F05C0E" w:rsidRDefault="00FA3843" w:rsidP="00836130">
            <w:pPr>
              <w:widowControl/>
              <w:tabs>
                <w:tab w:val="left" w:pos="360"/>
                <w:tab w:val="left" w:pos="720"/>
                <w:tab w:val="left" w:pos="1080"/>
              </w:tabs>
              <w:autoSpaceDE/>
              <w:autoSpaceDN/>
              <w:adjustRightInd/>
              <w:contextualSpacing/>
              <w:jc w:val="right"/>
            </w:pPr>
            <w:r>
              <w:t>2</w:t>
            </w:r>
          </w:p>
        </w:tc>
      </w:tr>
      <w:tr w:rsidR="00625AF0" w:rsidRPr="00F05C0E" w:rsidTr="00E30F8B">
        <w:trPr>
          <w:trHeight w:val="449"/>
        </w:trPr>
        <w:tc>
          <w:tcPr>
            <w:tcW w:w="7020" w:type="dxa"/>
            <w:shd w:val="clear" w:color="auto" w:fill="auto"/>
            <w:vAlign w:val="center"/>
          </w:tcPr>
          <w:p w:rsidR="00625AF0" w:rsidRPr="00312A6F" w:rsidRDefault="00625AF0" w:rsidP="00836130">
            <w:pPr>
              <w:widowControl/>
              <w:tabs>
                <w:tab w:val="left" w:pos="360"/>
                <w:tab w:val="left" w:pos="720"/>
                <w:tab w:val="left" w:pos="1080"/>
              </w:tabs>
              <w:autoSpaceDE/>
              <w:autoSpaceDN/>
              <w:adjustRightInd/>
            </w:pPr>
            <w:r w:rsidRPr="00312A6F">
              <w:t xml:space="preserve">Estimated hours </w:t>
            </w:r>
          </w:p>
        </w:tc>
        <w:tc>
          <w:tcPr>
            <w:tcW w:w="2160" w:type="dxa"/>
            <w:shd w:val="clear" w:color="auto" w:fill="auto"/>
            <w:vAlign w:val="center"/>
          </w:tcPr>
          <w:p w:rsidR="00625AF0" w:rsidRPr="00F05C0E" w:rsidRDefault="00E30F8B" w:rsidP="00836130">
            <w:pPr>
              <w:widowControl/>
              <w:tabs>
                <w:tab w:val="left" w:pos="360"/>
                <w:tab w:val="left" w:pos="720"/>
                <w:tab w:val="left" w:pos="1080"/>
              </w:tabs>
              <w:autoSpaceDE/>
              <w:autoSpaceDN/>
              <w:adjustRightInd/>
              <w:contextualSpacing/>
              <w:jc w:val="right"/>
            </w:pPr>
            <w:r>
              <w:t>130,573</w:t>
            </w:r>
          </w:p>
        </w:tc>
      </w:tr>
      <w:tr w:rsidR="00625AF0" w:rsidRPr="00F05C0E" w:rsidTr="00E30F8B">
        <w:trPr>
          <w:trHeight w:val="431"/>
        </w:trPr>
        <w:tc>
          <w:tcPr>
            <w:tcW w:w="7020" w:type="dxa"/>
            <w:shd w:val="clear" w:color="auto" w:fill="auto"/>
            <w:vAlign w:val="center"/>
          </w:tcPr>
          <w:p w:rsidR="00625AF0" w:rsidRPr="00312A6F" w:rsidRDefault="00625AF0">
            <w:pPr>
              <w:widowControl/>
              <w:tabs>
                <w:tab w:val="left" w:pos="360"/>
                <w:tab w:val="left" w:pos="720"/>
                <w:tab w:val="left" w:pos="1080"/>
              </w:tabs>
              <w:autoSpaceDE/>
              <w:autoSpaceDN/>
              <w:adjustRightInd/>
            </w:pPr>
            <w:r w:rsidRPr="00312A6F">
              <w:t>Cost per hour (hourly wage)  (approximately)</w:t>
            </w:r>
          </w:p>
        </w:tc>
        <w:tc>
          <w:tcPr>
            <w:tcW w:w="2160" w:type="dxa"/>
            <w:shd w:val="clear" w:color="auto" w:fill="auto"/>
            <w:vAlign w:val="center"/>
          </w:tcPr>
          <w:p w:rsidR="00625AF0" w:rsidRPr="00F05C0E" w:rsidRDefault="00E30F8B" w:rsidP="00836130">
            <w:pPr>
              <w:widowControl/>
              <w:tabs>
                <w:tab w:val="left" w:pos="360"/>
                <w:tab w:val="left" w:pos="720"/>
                <w:tab w:val="left" w:pos="1080"/>
              </w:tabs>
              <w:autoSpaceDE/>
              <w:autoSpaceDN/>
              <w:adjustRightInd/>
              <w:contextualSpacing/>
              <w:jc w:val="right"/>
            </w:pPr>
            <w:r>
              <w:t>$46</w:t>
            </w:r>
          </w:p>
        </w:tc>
      </w:tr>
      <w:tr w:rsidR="00625AF0" w:rsidRPr="00F05C0E" w:rsidTr="006140A0">
        <w:trPr>
          <w:trHeight w:val="440"/>
        </w:trPr>
        <w:tc>
          <w:tcPr>
            <w:tcW w:w="7020" w:type="dxa"/>
            <w:shd w:val="clear" w:color="auto" w:fill="auto"/>
            <w:vAlign w:val="center"/>
          </w:tcPr>
          <w:p w:rsidR="00625AF0" w:rsidRPr="00312A6F" w:rsidRDefault="00625AF0" w:rsidP="006140A0">
            <w:pPr>
              <w:widowControl/>
              <w:tabs>
                <w:tab w:val="left" w:pos="360"/>
                <w:tab w:val="left" w:pos="720"/>
                <w:tab w:val="left" w:pos="1080"/>
              </w:tabs>
              <w:autoSpaceDE/>
              <w:autoSpaceDN/>
              <w:adjustRightInd/>
            </w:pPr>
            <w:r w:rsidRPr="00312A6F">
              <w:t xml:space="preserve">Cost to Government   </w:t>
            </w:r>
          </w:p>
        </w:tc>
        <w:tc>
          <w:tcPr>
            <w:tcW w:w="2160" w:type="dxa"/>
            <w:shd w:val="clear" w:color="auto" w:fill="auto"/>
            <w:vAlign w:val="center"/>
          </w:tcPr>
          <w:p w:rsidR="00625AF0" w:rsidRPr="006140A0" w:rsidRDefault="00E30F8B" w:rsidP="00DE32A7">
            <w:pPr>
              <w:jc w:val="right"/>
              <w:rPr>
                <w:color w:val="000000"/>
              </w:rPr>
            </w:pPr>
            <w:r w:rsidRPr="00E30F8B">
              <w:rPr>
                <w:color w:val="000000"/>
              </w:rPr>
              <w:t>$6,001,774</w:t>
            </w:r>
          </w:p>
        </w:tc>
      </w:tr>
    </w:tbl>
    <w:p w:rsidR="003C2695" w:rsidRDefault="005653B7" w:rsidP="005653B7">
      <w:pPr>
        <w:tabs>
          <w:tab w:val="left" w:pos="360"/>
          <w:tab w:val="left" w:pos="680"/>
        </w:tabs>
      </w:pPr>
      <w:r w:rsidRPr="00F05C0E">
        <w:tab/>
      </w:r>
    </w:p>
    <w:p w:rsidR="006C7ED2" w:rsidRDefault="006C7ED2" w:rsidP="005653B7">
      <w:pPr>
        <w:tabs>
          <w:tab w:val="left" w:pos="360"/>
          <w:tab w:val="left" w:pos="680"/>
        </w:tabs>
      </w:pPr>
    </w:p>
    <w:p w:rsidR="006C7ED2" w:rsidRDefault="006C7ED2" w:rsidP="005653B7">
      <w:pPr>
        <w:tabs>
          <w:tab w:val="left" w:pos="360"/>
          <w:tab w:val="left" w:pos="680"/>
        </w:tabs>
      </w:pPr>
    </w:p>
    <w:p w:rsidR="005653B7" w:rsidRPr="00F05C0E" w:rsidRDefault="003C2695" w:rsidP="005653B7">
      <w:pPr>
        <w:tabs>
          <w:tab w:val="left" w:pos="360"/>
          <w:tab w:val="left" w:pos="680"/>
        </w:tabs>
        <w:rPr>
          <w:u w:val="single"/>
        </w:rPr>
      </w:pPr>
      <w:r>
        <w:lastRenderedPageBreak/>
        <w:tab/>
      </w:r>
      <w:r w:rsidR="005653B7" w:rsidRPr="00F05C0E">
        <w:t xml:space="preserve">15. </w:t>
      </w:r>
      <w:r w:rsidR="005653B7" w:rsidRPr="00F05C0E">
        <w:rPr>
          <w:u w:val="single"/>
        </w:rPr>
        <w:t>Reasons for Change in Burden</w:t>
      </w:r>
    </w:p>
    <w:p w:rsidR="005B3F2E" w:rsidRPr="00F05C0E" w:rsidRDefault="005B3F2E" w:rsidP="005653B7">
      <w:pPr>
        <w:tabs>
          <w:tab w:val="left" w:pos="360"/>
          <w:tab w:val="left" w:pos="680"/>
        </w:tabs>
      </w:pPr>
      <w:r w:rsidRPr="00F05C0E">
        <w:rPr>
          <w:u w:val="single"/>
        </w:rPr>
        <w:br/>
      </w:r>
      <w:r w:rsidRPr="00F05C0E">
        <w:tab/>
      </w:r>
      <w:r w:rsidRPr="00F05C0E">
        <w:tab/>
        <w:t>Change</w:t>
      </w:r>
      <w:r w:rsidR="003972BC">
        <w:t xml:space="preserve">s to </w:t>
      </w:r>
      <w:r w:rsidRPr="00F05C0E">
        <w:t>the annual public burden estimates are summarized as follows:</w:t>
      </w:r>
    </w:p>
    <w:p w:rsidR="005B3F2E" w:rsidRPr="00F05C0E" w:rsidRDefault="005B3F2E" w:rsidP="005653B7">
      <w:pPr>
        <w:tabs>
          <w:tab w:val="left" w:pos="360"/>
          <w:tab w:val="left" w:pos="680"/>
        </w:tabs>
      </w:pPr>
    </w:p>
    <w:p w:rsidR="005B3F2E" w:rsidRDefault="005B3F2E" w:rsidP="005653B7">
      <w:pPr>
        <w:tabs>
          <w:tab w:val="left" w:pos="360"/>
          <w:tab w:val="left" w:pos="680"/>
        </w:tabs>
      </w:pPr>
      <w:r w:rsidRPr="00F05C0E">
        <w:tab/>
      </w:r>
      <w:r w:rsidRPr="00F05C0E">
        <w:tab/>
      </w:r>
      <w:proofErr w:type="gramStart"/>
      <w:r w:rsidRPr="00F05C0E">
        <w:t>a.  For</w:t>
      </w:r>
      <w:proofErr w:type="gramEnd"/>
      <w:r w:rsidRPr="00F05C0E">
        <w:t xml:space="preserve"> DFARS 252.211-7004 and 252.211-7005</w:t>
      </w:r>
      <w:r w:rsidR="00F05C0E">
        <w:t xml:space="preserve">, changes in burden </w:t>
      </w:r>
      <w:r w:rsidRPr="00F05C0E">
        <w:t xml:space="preserve">are based on the use of current hourly base rate for calendar year 2016 to calculate </w:t>
      </w:r>
      <w:r w:rsidR="006140A0">
        <w:t xml:space="preserve">the </w:t>
      </w:r>
      <w:r w:rsidRPr="00F05C0E">
        <w:t>cost per hour</w:t>
      </w:r>
      <w:r w:rsidR="006140A0">
        <w:t xml:space="preserve"> for respondents</w:t>
      </w:r>
      <w:r w:rsidRPr="00F05C0E">
        <w:t xml:space="preserve">. </w:t>
      </w:r>
    </w:p>
    <w:p w:rsidR="009431B7" w:rsidRPr="00F05C0E" w:rsidRDefault="009431B7" w:rsidP="005653B7">
      <w:pPr>
        <w:tabs>
          <w:tab w:val="left" w:pos="360"/>
          <w:tab w:val="left" w:pos="680"/>
        </w:tabs>
      </w:pPr>
    </w:p>
    <w:p w:rsidR="00283A96" w:rsidRDefault="005B3F2E" w:rsidP="00801613">
      <w:pPr>
        <w:tabs>
          <w:tab w:val="left" w:pos="360"/>
          <w:tab w:val="left" w:pos="680"/>
        </w:tabs>
      </w:pPr>
      <w:r w:rsidRPr="00F05C0E">
        <w:tab/>
      </w:r>
      <w:r w:rsidRPr="00F05C0E">
        <w:tab/>
      </w:r>
      <w:proofErr w:type="gramStart"/>
      <w:r w:rsidRPr="00F05C0E">
        <w:t xml:space="preserve">b.  </w:t>
      </w:r>
      <w:r w:rsidR="00801613">
        <w:t>For</w:t>
      </w:r>
      <w:proofErr w:type="gramEnd"/>
      <w:r w:rsidR="00801613">
        <w:t xml:space="preserve"> DFARS clause 252.211-7007, </w:t>
      </w:r>
      <w:r w:rsidR="006140A0">
        <w:t>the</w:t>
      </w:r>
      <w:r w:rsidR="00801613">
        <w:t xml:space="preserve"> </w:t>
      </w:r>
      <w:r w:rsidR="006140A0">
        <w:t>previous burden</w:t>
      </w:r>
      <w:r w:rsidR="0079132B">
        <w:t xml:space="preserve"> estimate</w:t>
      </w:r>
      <w:r w:rsidR="006140A0">
        <w:t xml:space="preserve"> relied on DCMA subject matter expert</w:t>
      </w:r>
      <w:r w:rsidR="0079132B">
        <w:t>ise</w:t>
      </w:r>
      <w:r w:rsidR="006140A0">
        <w:t xml:space="preserve"> who estimated that 4,400 contractors </w:t>
      </w:r>
      <w:r w:rsidR="0079132B">
        <w:t xml:space="preserve">may </w:t>
      </w:r>
      <w:r w:rsidR="006140A0">
        <w:t xml:space="preserve">submit reports; however, this number is more closely related to the number of </w:t>
      </w:r>
      <w:r w:rsidR="0079132B">
        <w:t>individual contractor property management systems</w:t>
      </w:r>
      <w:r w:rsidR="00DE32A7">
        <w:t xml:space="preserve"> in existence at the time</w:t>
      </w:r>
      <w:r w:rsidR="006140A0">
        <w:t>, versus the number of</w:t>
      </w:r>
      <w:r w:rsidR="00DE32A7">
        <w:t xml:space="preserve"> instances a</w:t>
      </w:r>
      <w:r w:rsidR="006140A0">
        <w:t xml:space="preserve"> </w:t>
      </w:r>
      <w:r w:rsidR="00DE32A7">
        <w:t xml:space="preserve">unique </w:t>
      </w:r>
      <w:r w:rsidR="006140A0">
        <w:t xml:space="preserve">contractor </w:t>
      </w:r>
      <w:r w:rsidR="00DE32A7">
        <w:t>acknowledges r</w:t>
      </w:r>
      <w:r w:rsidR="006140A0">
        <w:t>eceipt of GFP in the IUID Registry</w:t>
      </w:r>
      <w:r w:rsidR="00DE32A7">
        <w:t xml:space="preserve"> in a twelve-month period</w:t>
      </w:r>
      <w:r w:rsidR="006140A0">
        <w:t xml:space="preserve">. With this </w:t>
      </w:r>
      <w:r w:rsidR="0079132B">
        <w:t>justification</w:t>
      </w:r>
      <w:r w:rsidR="006140A0">
        <w:t xml:space="preserve">, </w:t>
      </w:r>
      <w:proofErr w:type="gramStart"/>
      <w:r w:rsidR="006140A0">
        <w:t>DoD</w:t>
      </w:r>
      <w:proofErr w:type="gramEnd"/>
      <w:r w:rsidR="006140A0">
        <w:t xml:space="preserve"> utilized more accurate data available in iRAPT regarding the number of property transfers</w:t>
      </w:r>
      <w:r w:rsidR="0079132B">
        <w:t xml:space="preserve"> (65,000)</w:t>
      </w:r>
      <w:r w:rsidR="006140A0">
        <w:t xml:space="preserve"> to </w:t>
      </w:r>
      <w:r w:rsidR="0079132B">
        <w:t xml:space="preserve">unique </w:t>
      </w:r>
      <w:r w:rsidR="006140A0">
        <w:t>contractors</w:t>
      </w:r>
      <w:r w:rsidR="0079132B">
        <w:t xml:space="preserve"> (256) in the </w:t>
      </w:r>
      <w:r w:rsidR="00DE32A7">
        <w:t>previous</w:t>
      </w:r>
      <w:r w:rsidR="0079132B">
        <w:t xml:space="preserve"> </w:t>
      </w:r>
      <w:r w:rsidR="006140A0">
        <w:t>fiscal year</w:t>
      </w:r>
      <w:r w:rsidR="00DE32A7">
        <w:t xml:space="preserve"> (2016)</w:t>
      </w:r>
      <w:r w:rsidR="006140A0">
        <w:t xml:space="preserve">, </w:t>
      </w:r>
      <w:r w:rsidR="00DE32A7">
        <w:t>each of which</w:t>
      </w:r>
      <w:r w:rsidR="006140A0">
        <w:t xml:space="preserve"> would necessitate action by the contractor in the IUID Registry in accordance with the clause.</w:t>
      </w:r>
      <w:r w:rsidR="0079132B">
        <w:t xml:space="preserve"> In addition, the hours per response is reduced from 1 hour to 15 minutes based on improvements in automation of Government and contractor property management systems.  This justification also cites the c</w:t>
      </w:r>
      <w:r w:rsidR="0079132B" w:rsidRPr="0079132B">
        <w:t>urrent hourly base rate for calendar year 2016 to calculate the cost per hour for respondents.</w:t>
      </w:r>
    </w:p>
    <w:p w:rsidR="007075B8" w:rsidRPr="00F05C0E" w:rsidRDefault="007075B8" w:rsidP="007075B8">
      <w:pPr>
        <w:pStyle w:val="ListParagraph"/>
        <w:tabs>
          <w:tab w:val="left" w:pos="360"/>
          <w:tab w:val="left" w:pos="680"/>
          <w:tab w:val="left" w:pos="1440"/>
        </w:tabs>
        <w:ind w:left="144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830"/>
        <w:gridCol w:w="1830"/>
        <w:gridCol w:w="1830"/>
      </w:tblGrid>
      <w:tr w:rsidR="00F05C0E" w:rsidRPr="00F05C0E" w:rsidTr="00FC3717">
        <w:trPr>
          <w:trHeight w:val="432"/>
        </w:trPr>
        <w:tc>
          <w:tcPr>
            <w:tcW w:w="9270" w:type="dxa"/>
            <w:gridSpan w:val="4"/>
            <w:shd w:val="clear" w:color="auto" w:fill="auto"/>
            <w:vAlign w:val="center"/>
          </w:tcPr>
          <w:p w:rsidR="005B3F2E" w:rsidRPr="00F05C0E" w:rsidRDefault="005B3F2E" w:rsidP="00312A6F">
            <w:pPr>
              <w:tabs>
                <w:tab w:val="left" w:pos="360"/>
                <w:tab w:val="left" w:pos="720"/>
                <w:tab w:val="left" w:pos="1080"/>
                <w:tab w:val="left" w:pos="1440"/>
              </w:tabs>
              <w:spacing w:line="288" w:lineRule="atLeast"/>
              <w:jc w:val="center"/>
              <w:rPr>
                <w:rFonts w:eastAsia="Calibri"/>
              </w:rPr>
            </w:pPr>
            <w:r w:rsidRPr="00F05C0E">
              <w:rPr>
                <w:rFonts w:eastAsia="Calibri"/>
              </w:rPr>
              <w:t>Change in Burden</w:t>
            </w:r>
            <w:r w:rsidR="006E548F" w:rsidRPr="00F05C0E">
              <w:rPr>
                <w:rFonts w:eastAsia="Calibri"/>
              </w:rPr>
              <w:t>: 2015 to 2016</w:t>
            </w:r>
          </w:p>
        </w:tc>
      </w:tr>
      <w:tr w:rsidR="00F05C0E" w:rsidRPr="00F05C0E" w:rsidTr="005B3F2E">
        <w:trPr>
          <w:trHeight w:val="432"/>
        </w:trPr>
        <w:tc>
          <w:tcPr>
            <w:tcW w:w="3780" w:type="dxa"/>
            <w:shd w:val="clear" w:color="auto" w:fill="auto"/>
            <w:vAlign w:val="center"/>
          </w:tcPr>
          <w:p w:rsidR="00915193" w:rsidRPr="00312A6F" w:rsidRDefault="006E548F">
            <w:pPr>
              <w:tabs>
                <w:tab w:val="left" w:pos="360"/>
                <w:tab w:val="left" w:pos="720"/>
                <w:tab w:val="left" w:pos="1080"/>
                <w:tab w:val="left" w:pos="1440"/>
              </w:tabs>
              <w:spacing w:line="288" w:lineRule="atLeast"/>
              <w:rPr>
                <w:rFonts w:eastAsia="Calibri"/>
              </w:rPr>
            </w:pPr>
            <w:r w:rsidRPr="00F05C0E">
              <w:rPr>
                <w:rFonts w:eastAsia="Calibri"/>
              </w:rPr>
              <w:t>252.211-7007</w:t>
            </w:r>
          </w:p>
        </w:tc>
        <w:tc>
          <w:tcPr>
            <w:tcW w:w="1830" w:type="dxa"/>
            <w:shd w:val="clear" w:color="auto" w:fill="auto"/>
            <w:vAlign w:val="center"/>
          </w:tcPr>
          <w:p w:rsidR="00915193" w:rsidRPr="00312A6F" w:rsidRDefault="00915193" w:rsidP="00836130">
            <w:pPr>
              <w:tabs>
                <w:tab w:val="left" w:pos="360"/>
                <w:tab w:val="left" w:pos="720"/>
                <w:tab w:val="left" w:pos="1080"/>
                <w:tab w:val="left" w:pos="1440"/>
              </w:tabs>
              <w:spacing w:line="288" w:lineRule="atLeast"/>
              <w:jc w:val="right"/>
              <w:rPr>
                <w:rFonts w:eastAsia="Calibri"/>
              </w:rPr>
            </w:pPr>
            <w:r w:rsidRPr="00312A6F">
              <w:rPr>
                <w:rFonts w:eastAsia="Calibri"/>
              </w:rPr>
              <w:t>2015</w:t>
            </w:r>
          </w:p>
        </w:tc>
        <w:tc>
          <w:tcPr>
            <w:tcW w:w="1830" w:type="dxa"/>
            <w:shd w:val="clear" w:color="auto" w:fill="auto"/>
            <w:vAlign w:val="center"/>
          </w:tcPr>
          <w:p w:rsidR="00915193" w:rsidRPr="00312A6F" w:rsidRDefault="00915193" w:rsidP="006D725F">
            <w:pPr>
              <w:tabs>
                <w:tab w:val="left" w:pos="360"/>
                <w:tab w:val="left" w:pos="720"/>
                <w:tab w:val="left" w:pos="1080"/>
                <w:tab w:val="left" w:pos="1440"/>
              </w:tabs>
              <w:spacing w:line="288" w:lineRule="atLeast"/>
              <w:jc w:val="right"/>
              <w:rPr>
                <w:rFonts w:eastAsia="Calibri"/>
              </w:rPr>
            </w:pPr>
            <w:r w:rsidRPr="00312A6F">
              <w:rPr>
                <w:rFonts w:eastAsia="Calibri"/>
              </w:rPr>
              <w:t>201</w:t>
            </w:r>
            <w:r w:rsidR="006D725F">
              <w:rPr>
                <w:rFonts w:eastAsia="Calibri"/>
              </w:rPr>
              <w:t>6</w:t>
            </w:r>
          </w:p>
        </w:tc>
        <w:tc>
          <w:tcPr>
            <w:tcW w:w="1830" w:type="dxa"/>
            <w:shd w:val="clear" w:color="auto" w:fill="auto"/>
            <w:vAlign w:val="center"/>
          </w:tcPr>
          <w:p w:rsidR="00915193" w:rsidRPr="00312A6F" w:rsidRDefault="00915193" w:rsidP="00836130">
            <w:pPr>
              <w:tabs>
                <w:tab w:val="left" w:pos="360"/>
                <w:tab w:val="left" w:pos="720"/>
                <w:tab w:val="left" w:pos="1080"/>
                <w:tab w:val="left" w:pos="1440"/>
              </w:tabs>
              <w:spacing w:line="288" w:lineRule="atLeast"/>
              <w:jc w:val="right"/>
              <w:rPr>
                <w:rFonts w:eastAsia="Calibri"/>
              </w:rPr>
            </w:pPr>
            <w:r w:rsidRPr="00312A6F">
              <w:rPr>
                <w:rFonts w:eastAsia="Calibri"/>
              </w:rPr>
              <w:t>Difference</w:t>
            </w:r>
          </w:p>
        </w:tc>
      </w:tr>
      <w:tr w:rsidR="00F05C0E" w:rsidRPr="00F05C0E" w:rsidTr="0053505D">
        <w:trPr>
          <w:trHeight w:val="432"/>
        </w:trPr>
        <w:tc>
          <w:tcPr>
            <w:tcW w:w="3780" w:type="dxa"/>
            <w:shd w:val="clear" w:color="auto" w:fill="auto"/>
            <w:vAlign w:val="center"/>
          </w:tcPr>
          <w:p w:rsidR="00915193" w:rsidRPr="00312A6F" w:rsidRDefault="00915193" w:rsidP="00836130">
            <w:pPr>
              <w:tabs>
                <w:tab w:val="left" w:pos="360"/>
                <w:tab w:val="left" w:pos="720"/>
                <w:tab w:val="left" w:pos="1080"/>
                <w:tab w:val="left" w:pos="1440"/>
              </w:tabs>
              <w:spacing w:before="100" w:beforeAutospacing="1" w:after="100" w:afterAutospacing="1" w:line="288" w:lineRule="atLeast"/>
              <w:rPr>
                <w:rFonts w:eastAsia="Calibri"/>
              </w:rPr>
            </w:pPr>
            <w:r w:rsidRPr="00312A6F">
              <w:rPr>
                <w:rFonts w:eastAsia="Calibri"/>
              </w:rPr>
              <w:t>Number of respondents</w:t>
            </w:r>
          </w:p>
        </w:tc>
        <w:tc>
          <w:tcPr>
            <w:tcW w:w="1830" w:type="dxa"/>
            <w:shd w:val="clear" w:color="auto" w:fill="auto"/>
            <w:vAlign w:val="center"/>
          </w:tcPr>
          <w:p w:rsidR="00915193" w:rsidRPr="00312A6F" w:rsidRDefault="00915193" w:rsidP="00836130">
            <w:pPr>
              <w:tabs>
                <w:tab w:val="left" w:pos="360"/>
                <w:tab w:val="left" w:pos="720"/>
                <w:tab w:val="left" w:pos="1080"/>
                <w:tab w:val="left" w:pos="1440"/>
              </w:tabs>
              <w:spacing w:before="100" w:beforeAutospacing="1" w:after="100" w:afterAutospacing="1" w:line="288" w:lineRule="atLeast"/>
              <w:jc w:val="right"/>
              <w:rPr>
                <w:rFonts w:eastAsia="Calibri"/>
              </w:rPr>
            </w:pPr>
            <w:r w:rsidRPr="00312A6F">
              <w:rPr>
                <w:rFonts w:eastAsia="Calibri"/>
              </w:rPr>
              <w:t>4,400</w:t>
            </w:r>
          </w:p>
        </w:tc>
        <w:tc>
          <w:tcPr>
            <w:tcW w:w="1830" w:type="dxa"/>
            <w:shd w:val="clear" w:color="auto" w:fill="auto"/>
            <w:vAlign w:val="center"/>
          </w:tcPr>
          <w:p w:rsidR="00915193" w:rsidRPr="00312A6F" w:rsidRDefault="002D112A" w:rsidP="00836130">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256</w:t>
            </w:r>
          </w:p>
        </w:tc>
        <w:tc>
          <w:tcPr>
            <w:tcW w:w="1830" w:type="dxa"/>
            <w:shd w:val="clear" w:color="auto" w:fill="auto"/>
            <w:vAlign w:val="center"/>
          </w:tcPr>
          <w:p w:rsidR="00915193" w:rsidRPr="00312A6F" w:rsidRDefault="002D112A" w:rsidP="00836130">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-4,144</w:t>
            </w:r>
          </w:p>
        </w:tc>
      </w:tr>
      <w:tr w:rsidR="00F05C0E" w:rsidRPr="00F05C0E" w:rsidTr="0053505D">
        <w:trPr>
          <w:trHeight w:val="432"/>
        </w:trPr>
        <w:tc>
          <w:tcPr>
            <w:tcW w:w="3780" w:type="dxa"/>
            <w:shd w:val="clear" w:color="auto" w:fill="auto"/>
            <w:vAlign w:val="center"/>
          </w:tcPr>
          <w:p w:rsidR="00915193" w:rsidRPr="00312A6F" w:rsidRDefault="00915193" w:rsidP="00836130">
            <w:pPr>
              <w:tabs>
                <w:tab w:val="left" w:pos="360"/>
                <w:tab w:val="left" w:pos="720"/>
                <w:tab w:val="left" w:pos="1080"/>
                <w:tab w:val="left" w:pos="1440"/>
              </w:tabs>
              <w:spacing w:before="100" w:beforeAutospacing="1" w:after="100" w:afterAutospacing="1" w:line="288" w:lineRule="atLeast"/>
              <w:rPr>
                <w:rFonts w:eastAsia="Calibri"/>
              </w:rPr>
            </w:pPr>
            <w:r w:rsidRPr="00312A6F">
              <w:rPr>
                <w:rFonts w:eastAsia="Calibri"/>
              </w:rPr>
              <w:t>Responses  per respondent</w:t>
            </w:r>
          </w:p>
        </w:tc>
        <w:tc>
          <w:tcPr>
            <w:tcW w:w="1830" w:type="dxa"/>
            <w:shd w:val="clear" w:color="auto" w:fill="auto"/>
            <w:vAlign w:val="center"/>
          </w:tcPr>
          <w:p w:rsidR="00915193" w:rsidRPr="00312A6F" w:rsidRDefault="00915193" w:rsidP="00836130">
            <w:pPr>
              <w:tabs>
                <w:tab w:val="left" w:pos="360"/>
                <w:tab w:val="left" w:pos="720"/>
                <w:tab w:val="left" w:pos="1080"/>
                <w:tab w:val="left" w:pos="1440"/>
              </w:tabs>
              <w:spacing w:before="100" w:beforeAutospacing="1" w:after="100" w:afterAutospacing="1" w:line="288" w:lineRule="atLeast"/>
              <w:jc w:val="right"/>
              <w:rPr>
                <w:rFonts w:eastAsia="Calibri"/>
              </w:rPr>
            </w:pPr>
            <w:r w:rsidRPr="00312A6F">
              <w:rPr>
                <w:rFonts w:eastAsia="Calibri"/>
              </w:rPr>
              <w:t>5</w:t>
            </w:r>
          </w:p>
        </w:tc>
        <w:tc>
          <w:tcPr>
            <w:tcW w:w="1830" w:type="dxa"/>
            <w:shd w:val="clear" w:color="auto" w:fill="auto"/>
            <w:vAlign w:val="center"/>
          </w:tcPr>
          <w:p w:rsidR="00915193" w:rsidRPr="00312A6F" w:rsidRDefault="002D112A" w:rsidP="00836130">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254</w:t>
            </w:r>
          </w:p>
        </w:tc>
        <w:tc>
          <w:tcPr>
            <w:tcW w:w="1830" w:type="dxa"/>
            <w:shd w:val="clear" w:color="auto" w:fill="auto"/>
            <w:vAlign w:val="center"/>
          </w:tcPr>
          <w:p w:rsidR="00915193" w:rsidRPr="00312A6F" w:rsidRDefault="002D112A" w:rsidP="00836130">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+249</w:t>
            </w:r>
          </w:p>
        </w:tc>
      </w:tr>
      <w:tr w:rsidR="00F05C0E" w:rsidRPr="00F05C0E" w:rsidTr="0053505D">
        <w:trPr>
          <w:trHeight w:val="432"/>
        </w:trPr>
        <w:tc>
          <w:tcPr>
            <w:tcW w:w="3780" w:type="dxa"/>
            <w:shd w:val="clear" w:color="auto" w:fill="auto"/>
            <w:vAlign w:val="center"/>
          </w:tcPr>
          <w:p w:rsidR="00915193" w:rsidRPr="00312A6F" w:rsidRDefault="00915193" w:rsidP="00836130">
            <w:pPr>
              <w:tabs>
                <w:tab w:val="left" w:pos="360"/>
                <w:tab w:val="left" w:pos="720"/>
                <w:tab w:val="left" w:pos="1080"/>
                <w:tab w:val="left" w:pos="1440"/>
              </w:tabs>
              <w:spacing w:before="100" w:beforeAutospacing="1" w:after="100" w:afterAutospacing="1" w:line="288" w:lineRule="atLeast"/>
              <w:rPr>
                <w:rFonts w:eastAsia="Calibri"/>
              </w:rPr>
            </w:pPr>
            <w:r w:rsidRPr="00312A6F">
              <w:rPr>
                <w:rFonts w:eastAsia="Calibri"/>
              </w:rPr>
              <w:t>Total annual responses</w:t>
            </w:r>
          </w:p>
        </w:tc>
        <w:tc>
          <w:tcPr>
            <w:tcW w:w="1830" w:type="dxa"/>
            <w:shd w:val="clear" w:color="auto" w:fill="auto"/>
            <w:vAlign w:val="center"/>
          </w:tcPr>
          <w:p w:rsidR="00915193" w:rsidRPr="00312A6F" w:rsidRDefault="00915193" w:rsidP="00836130">
            <w:pPr>
              <w:tabs>
                <w:tab w:val="left" w:pos="360"/>
                <w:tab w:val="left" w:pos="720"/>
                <w:tab w:val="left" w:pos="1080"/>
                <w:tab w:val="left" w:pos="1440"/>
              </w:tabs>
              <w:spacing w:before="100" w:beforeAutospacing="1" w:after="100" w:afterAutospacing="1" w:line="288" w:lineRule="atLeast"/>
              <w:jc w:val="right"/>
              <w:rPr>
                <w:rFonts w:eastAsia="Calibri"/>
              </w:rPr>
            </w:pPr>
            <w:r w:rsidRPr="00312A6F">
              <w:rPr>
                <w:rFonts w:eastAsia="Calibri"/>
              </w:rPr>
              <w:t>22,000</w:t>
            </w:r>
          </w:p>
        </w:tc>
        <w:tc>
          <w:tcPr>
            <w:tcW w:w="1830" w:type="dxa"/>
            <w:shd w:val="clear" w:color="auto" w:fill="auto"/>
            <w:vAlign w:val="center"/>
          </w:tcPr>
          <w:p w:rsidR="00915193" w:rsidRPr="00312A6F" w:rsidRDefault="002D112A" w:rsidP="00836130">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65,000</w:t>
            </w:r>
          </w:p>
        </w:tc>
        <w:tc>
          <w:tcPr>
            <w:tcW w:w="1830" w:type="dxa"/>
            <w:shd w:val="clear" w:color="auto" w:fill="auto"/>
            <w:vAlign w:val="center"/>
          </w:tcPr>
          <w:p w:rsidR="00915193" w:rsidRPr="00312A6F" w:rsidRDefault="002D112A" w:rsidP="00836130">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+43,000</w:t>
            </w:r>
          </w:p>
        </w:tc>
      </w:tr>
      <w:tr w:rsidR="00F05C0E" w:rsidRPr="00F05C0E" w:rsidTr="0053505D">
        <w:trPr>
          <w:trHeight w:val="432"/>
        </w:trPr>
        <w:tc>
          <w:tcPr>
            <w:tcW w:w="3780" w:type="dxa"/>
            <w:shd w:val="clear" w:color="auto" w:fill="auto"/>
            <w:vAlign w:val="center"/>
          </w:tcPr>
          <w:p w:rsidR="00915193" w:rsidRPr="00312A6F" w:rsidRDefault="00915193" w:rsidP="00836130">
            <w:pPr>
              <w:tabs>
                <w:tab w:val="left" w:pos="360"/>
                <w:tab w:val="left" w:pos="720"/>
                <w:tab w:val="left" w:pos="1080"/>
                <w:tab w:val="left" w:pos="1440"/>
              </w:tabs>
              <w:spacing w:before="100" w:beforeAutospacing="1" w:after="100" w:afterAutospacing="1" w:line="288" w:lineRule="atLeast"/>
              <w:rPr>
                <w:rFonts w:eastAsia="Calibri"/>
              </w:rPr>
            </w:pPr>
            <w:r w:rsidRPr="00312A6F">
              <w:rPr>
                <w:rFonts w:eastAsia="Calibri"/>
              </w:rPr>
              <w:t>Hours per response</w:t>
            </w:r>
          </w:p>
        </w:tc>
        <w:tc>
          <w:tcPr>
            <w:tcW w:w="1830" w:type="dxa"/>
            <w:shd w:val="clear" w:color="auto" w:fill="auto"/>
            <w:vAlign w:val="center"/>
          </w:tcPr>
          <w:p w:rsidR="00915193" w:rsidRPr="00312A6F" w:rsidRDefault="00915193" w:rsidP="00836130">
            <w:pPr>
              <w:tabs>
                <w:tab w:val="left" w:pos="360"/>
                <w:tab w:val="left" w:pos="720"/>
                <w:tab w:val="left" w:pos="1080"/>
                <w:tab w:val="left" w:pos="1440"/>
              </w:tabs>
              <w:spacing w:before="100" w:beforeAutospacing="1" w:after="100" w:afterAutospacing="1" w:line="288" w:lineRule="atLeast"/>
              <w:jc w:val="right"/>
              <w:rPr>
                <w:rFonts w:eastAsia="Calibri"/>
              </w:rPr>
            </w:pPr>
            <w:r w:rsidRPr="00312A6F">
              <w:rPr>
                <w:rFonts w:eastAsia="Calibri"/>
              </w:rPr>
              <w:t>1</w:t>
            </w:r>
          </w:p>
        </w:tc>
        <w:tc>
          <w:tcPr>
            <w:tcW w:w="1830" w:type="dxa"/>
            <w:shd w:val="clear" w:color="auto" w:fill="auto"/>
            <w:vAlign w:val="center"/>
          </w:tcPr>
          <w:p w:rsidR="00915193" w:rsidRPr="00312A6F" w:rsidRDefault="00283A96" w:rsidP="00283A96">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.25</w:t>
            </w:r>
          </w:p>
        </w:tc>
        <w:tc>
          <w:tcPr>
            <w:tcW w:w="1830" w:type="dxa"/>
            <w:shd w:val="clear" w:color="auto" w:fill="auto"/>
            <w:vAlign w:val="center"/>
          </w:tcPr>
          <w:p w:rsidR="00915193" w:rsidRPr="00312A6F" w:rsidRDefault="00E30F8B" w:rsidP="00836130">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-0.7</w:t>
            </w:r>
            <w:r w:rsidR="00283A96">
              <w:rPr>
                <w:rFonts w:eastAsia="Calibri"/>
              </w:rPr>
              <w:t>5</w:t>
            </w:r>
          </w:p>
        </w:tc>
      </w:tr>
      <w:tr w:rsidR="00F05C0E" w:rsidRPr="00F05C0E" w:rsidTr="0053505D">
        <w:trPr>
          <w:trHeight w:val="432"/>
        </w:trPr>
        <w:tc>
          <w:tcPr>
            <w:tcW w:w="3780" w:type="dxa"/>
            <w:shd w:val="clear" w:color="auto" w:fill="auto"/>
            <w:vAlign w:val="center"/>
          </w:tcPr>
          <w:p w:rsidR="00915193" w:rsidRPr="00312A6F" w:rsidRDefault="00915193" w:rsidP="00836130">
            <w:pPr>
              <w:tabs>
                <w:tab w:val="left" w:pos="360"/>
                <w:tab w:val="left" w:pos="720"/>
                <w:tab w:val="left" w:pos="1080"/>
                <w:tab w:val="left" w:pos="1440"/>
              </w:tabs>
              <w:spacing w:before="100" w:beforeAutospacing="1" w:after="100" w:afterAutospacing="1" w:line="288" w:lineRule="atLeast"/>
              <w:rPr>
                <w:rFonts w:eastAsia="Calibri"/>
              </w:rPr>
            </w:pPr>
            <w:r w:rsidRPr="00312A6F">
              <w:rPr>
                <w:rFonts w:eastAsia="Calibri"/>
              </w:rPr>
              <w:t>Total hours</w:t>
            </w:r>
          </w:p>
        </w:tc>
        <w:tc>
          <w:tcPr>
            <w:tcW w:w="1830" w:type="dxa"/>
            <w:shd w:val="clear" w:color="auto" w:fill="auto"/>
            <w:vAlign w:val="center"/>
          </w:tcPr>
          <w:p w:rsidR="00915193" w:rsidRPr="00312A6F" w:rsidRDefault="00915193" w:rsidP="00836130">
            <w:pPr>
              <w:tabs>
                <w:tab w:val="left" w:pos="360"/>
                <w:tab w:val="left" w:pos="720"/>
                <w:tab w:val="left" w:pos="1080"/>
                <w:tab w:val="left" w:pos="1440"/>
              </w:tabs>
              <w:spacing w:before="100" w:beforeAutospacing="1" w:after="100" w:afterAutospacing="1" w:line="288" w:lineRule="atLeast"/>
              <w:jc w:val="right"/>
              <w:rPr>
                <w:rFonts w:eastAsia="Calibri"/>
              </w:rPr>
            </w:pPr>
            <w:r w:rsidRPr="00312A6F">
              <w:rPr>
                <w:rFonts w:eastAsia="Calibri"/>
              </w:rPr>
              <w:t>22,000</w:t>
            </w:r>
          </w:p>
        </w:tc>
        <w:tc>
          <w:tcPr>
            <w:tcW w:w="1830" w:type="dxa"/>
            <w:shd w:val="clear" w:color="auto" w:fill="auto"/>
            <w:vAlign w:val="center"/>
          </w:tcPr>
          <w:p w:rsidR="00915193" w:rsidRPr="00312A6F" w:rsidRDefault="00143796" w:rsidP="00143796">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16,250</w:t>
            </w:r>
          </w:p>
        </w:tc>
        <w:tc>
          <w:tcPr>
            <w:tcW w:w="1830" w:type="dxa"/>
            <w:shd w:val="clear" w:color="auto" w:fill="auto"/>
            <w:vAlign w:val="center"/>
          </w:tcPr>
          <w:p w:rsidR="00915193" w:rsidRPr="00312A6F" w:rsidRDefault="00143796" w:rsidP="00836130">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-5,750</w:t>
            </w:r>
          </w:p>
        </w:tc>
      </w:tr>
      <w:tr w:rsidR="00F05C0E" w:rsidRPr="00F05C0E" w:rsidTr="0053505D">
        <w:trPr>
          <w:trHeight w:val="432"/>
        </w:trPr>
        <w:tc>
          <w:tcPr>
            <w:tcW w:w="3780" w:type="dxa"/>
            <w:shd w:val="clear" w:color="auto" w:fill="auto"/>
            <w:vAlign w:val="center"/>
          </w:tcPr>
          <w:p w:rsidR="00915193" w:rsidRPr="00312A6F" w:rsidRDefault="00915193">
            <w:pPr>
              <w:tabs>
                <w:tab w:val="left" w:pos="360"/>
                <w:tab w:val="left" w:pos="720"/>
                <w:tab w:val="left" w:pos="1080"/>
                <w:tab w:val="left" w:pos="1440"/>
              </w:tabs>
              <w:spacing w:before="100" w:beforeAutospacing="1" w:after="100" w:afterAutospacing="1" w:line="288" w:lineRule="atLeast"/>
              <w:rPr>
                <w:rFonts w:eastAsia="Calibri"/>
              </w:rPr>
            </w:pPr>
            <w:r w:rsidRPr="00312A6F">
              <w:t>Annual public burden</w:t>
            </w:r>
          </w:p>
        </w:tc>
        <w:tc>
          <w:tcPr>
            <w:tcW w:w="1830" w:type="dxa"/>
            <w:shd w:val="clear" w:color="auto" w:fill="auto"/>
            <w:vAlign w:val="center"/>
          </w:tcPr>
          <w:p w:rsidR="00915193" w:rsidRPr="00312A6F" w:rsidRDefault="000C4B09" w:rsidP="00836130">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w:t>
            </w:r>
            <w:r w:rsidR="00915193" w:rsidRPr="00312A6F">
              <w:rPr>
                <w:rFonts w:eastAsia="Calibri"/>
              </w:rPr>
              <w:t>792,000</w:t>
            </w:r>
          </w:p>
        </w:tc>
        <w:tc>
          <w:tcPr>
            <w:tcW w:w="1830" w:type="dxa"/>
            <w:shd w:val="clear" w:color="auto" w:fill="auto"/>
            <w:vAlign w:val="center"/>
          </w:tcPr>
          <w:p w:rsidR="00915193" w:rsidRPr="00312A6F" w:rsidRDefault="0079132B" w:rsidP="00A33279">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w:t>
            </w:r>
            <w:r w:rsidR="002D112A">
              <w:rPr>
                <w:rFonts w:eastAsia="Calibri"/>
              </w:rPr>
              <w:t>617,500</w:t>
            </w:r>
          </w:p>
        </w:tc>
        <w:tc>
          <w:tcPr>
            <w:tcW w:w="1830" w:type="dxa"/>
            <w:shd w:val="clear" w:color="auto" w:fill="auto"/>
            <w:vAlign w:val="center"/>
          </w:tcPr>
          <w:p w:rsidR="00915193" w:rsidRPr="00312A6F" w:rsidRDefault="002D112A" w:rsidP="00A33279">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-$174,500</w:t>
            </w:r>
          </w:p>
        </w:tc>
      </w:tr>
    </w:tbl>
    <w:p w:rsidR="00915193" w:rsidRPr="00F05C0E" w:rsidRDefault="00915193" w:rsidP="00915193">
      <w:pPr>
        <w:pStyle w:val="NormalWeb"/>
        <w:spacing w:before="0" w:beforeAutospacing="0" w:after="0" w:afterAutospacing="0"/>
      </w:pPr>
    </w:p>
    <w:p w:rsidR="006E548F" w:rsidRPr="00F05C0E" w:rsidRDefault="006E548F" w:rsidP="006E548F">
      <w:pPr>
        <w:tabs>
          <w:tab w:val="left" w:pos="360"/>
          <w:tab w:val="left" w:pos="680"/>
        </w:tabs>
      </w:pPr>
      <w:r w:rsidRPr="00F05C0E">
        <w:tab/>
      </w:r>
      <w:r w:rsidRPr="00F05C0E">
        <w:tab/>
      </w:r>
      <w:proofErr w:type="gramStart"/>
      <w:r w:rsidR="00F05C0E">
        <w:t>c</w:t>
      </w:r>
      <w:r w:rsidRPr="00F05C0E">
        <w:t>.  The</w:t>
      </w:r>
      <w:proofErr w:type="gramEnd"/>
      <w:r w:rsidRPr="00F05C0E">
        <w:t xml:space="preserve"> total change in burden </w:t>
      </w:r>
      <w:r w:rsidR="00DE32A7">
        <w:t xml:space="preserve">associated under this </w:t>
      </w:r>
      <w:r w:rsidRPr="00F05C0E">
        <w:t xml:space="preserve">OMB Control Number </w:t>
      </w:r>
      <w:r w:rsidR="00DE32A7">
        <w:t>0704-0398 is in the table that follows.</w:t>
      </w:r>
    </w:p>
    <w:p w:rsidR="006E548F" w:rsidRPr="00F05C0E" w:rsidRDefault="006E548F" w:rsidP="006E548F">
      <w:pPr>
        <w:tabs>
          <w:tab w:val="left" w:pos="360"/>
          <w:tab w:val="left" w:pos="68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830"/>
        <w:gridCol w:w="1830"/>
        <w:gridCol w:w="1830"/>
      </w:tblGrid>
      <w:tr w:rsidR="00F05C0E" w:rsidRPr="00F05C0E" w:rsidTr="0073305C">
        <w:trPr>
          <w:trHeight w:val="432"/>
        </w:trPr>
        <w:tc>
          <w:tcPr>
            <w:tcW w:w="9270" w:type="dxa"/>
            <w:gridSpan w:val="4"/>
            <w:shd w:val="clear" w:color="auto" w:fill="auto"/>
            <w:vAlign w:val="center"/>
          </w:tcPr>
          <w:p w:rsidR="006E548F" w:rsidRPr="00F05C0E" w:rsidRDefault="006E548F" w:rsidP="006D725F">
            <w:pPr>
              <w:tabs>
                <w:tab w:val="left" w:pos="360"/>
                <w:tab w:val="left" w:pos="720"/>
                <w:tab w:val="left" w:pos="1080"/>
                <w:tab w:val="left" w:pos="1440"/>
              </w:tabs>
              <w:spacing w:line="288" w:lineRule="atLeast"/>
              <w:jc w:val="center"/>
              <w:rPr>
                <w:rFonts w:eastAsia="Calibri"/>
              </w:rPr>
            </w:pPr>
            <w:r w:rsidRPr="00F05C0E">
              <w:rPr>
                <w:rFonts w:eastAsia="Calibri"/>
              </w:rPr>
              <w:t>Change in Burden: 2013/2015 to 201</w:t>
            </w:r>
            <w:r w:rsidR="006D725F">
              <w:rPr>
                <w:rFonts w:eastAsia="Calibri"/>
              </w:rPr>
              <w:t>6</w:t>
            </w:r>
          </w:p>
        </w:tc>
      </w:tr>
      <w:tr w:rsidR="00F05C0E" w:rsidRPr="00F05C0E" w:rsidTr="0073305C">
        <w:trPr>
          <w:trHeight w:val="432"/>
        </w:trPr>
        <w:tc>
          <w:tcPr>
            <w:tcW w:w="3780" w:type="dxa"/>
            <w:shd w:val="clear" w:color="auto" w:fill="auto"/>
            <w:vAlign w:val="center"/>
          </w:tcPr>
          <w:p w:rsidR="006E548F" w:rsidRPr="00F05C0E" w:rsidRDefault="006E548F" w:rsidP="0073305C">
            <w:pPr>
              <w:tabs>
                <w:tab w:val="left" w:pos="360"/>
                <w:tab w:val="left" w:pos="720"/>
                <w:tab w:val="left" w:pos="1080"/>
                <w:tab w:val="left" w:pos="1440"/>
              </w:tabs>
              <w:spacing w:line="288" w:lineRule="atLeast"/>
              <w:rPr>
                <w:rFonts w:eastAsia="Calibri"/>
              </w:rPr>
            </w:pPr>
            <w:r w:rsidRPr="00F05C0E">
              <w:rPr>
                <w:rFonts w:eastAsia="Calibri"/>
              </w:rPr>
              <w:t>0704-0398 TOTAL</w:t>
            </w:r>
          </w:p>
        </w:tc>
        <w:tc>
          <w:tcPr>
            <w:tcW w:w="1830" w:type="dxa"/>
            <w:shd w:val="clear" w:color="auto" w:fill="auto"/>
            <w:vAlign w:val="center"/>
          </w:tcPr>
          <w:p w:rsidR="006E548F" w:rsidRPr="00F05C0E" w:rsidRDefault="006E548F" w:rsidP="0073305C">
            <w:pPr>
              <w:tabs>
                <w:tab w:val="left" w:pos="360"/>
                <w:tab w:val="left" w:pos="720"/>
                <w:tab w:val="left" w:pos="1080"/>
                <w:tab w:val="left" w:pos="1440"/>
              </w:tabs>
              <w:spacing w:line="288" w:lineRule="atLeast"/>
              <w:jc w:val="right"/>
              <w:rPr>
                <w:rFonts w:eastAsia="Calibri"/>
              </w:rPr>
            </w:pPr>
            <w:r w:rsidRPr="00F05C0E">
              <w:rPr>
                <w:rFonts w:eastAsia="Calibri"/>
              </w:rPr>
              <w:t>2015</w:t>
            </w:r>
          </w:p>
        </w:tc>
        <w:tc>
          <w:tcPr>
            <w:tcW w:w="1830" w:type="dxa"/>
            <w:shd w:val="clear" w:color="auto" w:fill="auto"/>
            <w:vAlign w:val="center"/>
          </w:tcPr>
          <w:p w:rsidR="006E548F" w:rsidRPr="00F05C0E" w:rsidRDefault="006E548F" w:rsidP="006D725F">
            <w:pPr>
              <w:tabs>
                <w:tab w:val="left" w:pos="360"/>
                <w:tab w:val="left" w:pos="720"/>
                <w:tab w:val="left" w:pos="1080"/>
                <w:tab w:val="left" w:pos="1440"/>
              </w:tabs>
              <w:spacing w:line="288" w:lineRule="atLeast"/>
              <w:jc w:val="right"/>
              <w:rPr>
                <w:rFonts w:eastAsia="Calibri"/>
              </w:rPr>
            </w:pPr>
            <w:r w:rsidRPr="00F05C0E">
              <w:rPr>
                <w:rFonts w:eastAsia="Calibri"/>
              </w:rPr>
              <w:t>201</w:t>
            </w:r>
            <w:r w:rsidR="006D725F">
              <w:rPr>
                <w:rFonts w:eastAsia="Calibri"/>
              </w:rPr>
              <w:t>6</w:t>
            </w:r>
          </w:p>
        </w:tc>
        <w:tc>
          <w:tcPr>
            <w:tcW w:w="1830" w:type="dxa"/>
            <w:shd w:val="clear" w:color="auto" w:fill="auto"/>
            <w:vAlign w:val="center"/>
          </w:tcPr>
          <w:p w:rsidR="006E548F" w:rsidRPr="00F05C0E" w:rsidRDefault="006E548F" w:rsidP="0073305C">
            <w:pPr>
              <w:tabs>
                <w:tab w:val="left" w:pos="360"/>
                <w:tab w:val="left" w:pos="720"/>
                <w:tab w:val="left" w:pos="1080"/>
                <w:tab w:val="left" w:pos="1440"/>
              </w:tabs>
              <w:spacing w:line="288" w:lineRule="atLeast"/>
              <w:jc w:val="right"/>
              <w:rPr>
                <w:rFonts w:eastAsia="Calibri"/>
              </w:rPr>
            </w:pPr>
            <w:r w:rsidRPr="00F05C0E">
              <w:rPr>
                <w:rFonts w:eastAsia="Calibri"/>
              </w:rPr>
              <w:t>Difference</w:t>
            </w:r>
          </w:p>
        </w:tc>
      </w:tr>
      <w:tr w:rsidR="00F05C0E" w:rsidRPr="00F05C0E" w:rsidTr="0053505D">
        <w:trPr>
          <w:trHeight w:val="432"/>
        </w:trPr>
        <w:tc>
          <w:tcPr>
            <w:tcW w:w="3780" w:type="dxa"/>
            <w:shd w:val="clear" w:color="auto" w:fill="auto"/>
            <w:vAlign w:val="center"/>
          </w:tcPr>
          <w:p w:rsidR="006E548F" w:rsidRPr="00F05C0E" w:rsidRDefault="006E548F" w:rsidP="0073305C">
            <w:pPr>
              <w:tabs>
                <w:tab w:val="left" w:pos="360"/>
                <w:tab w:val="left" w:pos="720"/>
                <w:tab w:val="left" w:pos="1080"/>
                <w:tab w:val="left" w:pos="1440"/>
              </w:tabs>
              <w:spacing w:before="100" w:beforeAutospacing="1" w:after="100" w:afterAutospacing="1" w:line="288" w:lineRule="atLeast"/>
              <w:rPr>
                <w:rFonts w:eastAsia="Calibri"/>
              </w:rPr>
            </w:pPr>
            <w:r w:rsidRPr="00F05C0E">
              <w:rPr>
                <w:rFonts w:eastAsia="Calibri"/>
              </w:rPr>
              <w:t>Number of respondents</w:t>
            </w:r>
          </w:p>
        </w:tc>
        <w:tc>
          <w:tcPr>
            <w:tcW w:w="1830" w:type="dxa"/>
            <w:shd w:val="clear" w:color="auto" w:fill="auto"/>
            <w:vAlign w:val="center"/>
          </w:tcPr>
          <w:p w:rsidR="006E548F" w:rsidRPr="00F05C0E" w:rsidRDefault="006E548F" w:rsidP="0073305C">
            <w:pPr>
              <w:tabs>
                <w:tab w:val="left" w:pos="360"/>
                <w:tab w:val="left" w:pos="720"/>
                <w:tab w:val="left" w:pos="1080"/>
                <w:tab w:val="left" w:pos="1440"/>
              </w:tabs>
              <w:spacing w:before="100" w:beforeAutospacing="1" w:after="100" w:afterAutospacing="1" w:line="288" w:lineRule="atLeast"/>
              <w:jc w:val="right"/>
              <w:rPr>
                <w:rFonts w:eastAsia="Calibri"/>
              </w:rPr>
            </w:pPr>
            <w:r w:rsidRPr="00F05C0E">
              <w:rPr>
                <w:rFonts w:eastAsia="Calibri"/>
              </w:rPr>
              <w:t>4,785</w:t>
            </w:r>
          </w:p>
        </w:tc>
        <w:tc>
          <w:tcPr>
            <w:tcW w:w="1830" w:type="dxa"/>
            <w:shd w:val="clear" w:color="auto" w:fill="auto"/>
            <w:vAlign w:val="center"/>
          </w:tcPr>
          <w:p w:rsidR="006E548F" w:rsidRPr="00F05C0E" w:rsidRDefault="00255890" w:rsidP="0073305C">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641</w:t>
            </w:r>
          </w:p>
        </w:tc>
        <w:tc>
          <w:tcPr>
            <w:tcW w:w="1830" w:type="dxa"/>
            <w:shd w:val="clear" w:color="auto" w:fill="auto"/>
            <w:vAlign w:val="center"/>
          </w:tcPr>
          <w:p w:rsidR="006E548F" w:rsidRPr="00F05C0E" w:rsidRDefault="00255890" w:rsidP="0073305C">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-4,144</w:t>
            </w:r>
          </w:p>
        </w:tc>
      </w:tr>
      <w:tr w:rsidR="00F05C0E" w:rsidRPr="00F05C0E" w:rsidTr="0053505D">
        <w:trPr>
          <w:trHeight w:val="432"/>
        </w:trPr>
        <w:tc>
          <w:tcPr>
            <w:tcW w:w="3780" w:type="dxa"/>
            <w:shd w:val="clear" w:color="auto" w:fill="auto"/>
            <w:vAlign w:val="center"/>
          </w:tcPr>
          <w:p w:rsidR="006E548F" w:rsidRPr="00F05C0E" w:rsidRDefault="006E548F" w:rsidP="0073305C">
            <w:pPr>
              <w:tabs>
                <w:tab w:val="left" w:pos="360"/>
                <w:tab w:val="left" w:pos="720"/>
                <w:tab w:val="left" w:pos="1080"/>
                <w:tab w:val="left" w:pos="1440"/>
              </w:tabs>
              <w:spacing w:before="100" w:beforeAutospacing="1" w:after="100" w:afterAutospacing="1" w:line="288" w:lineRule="atLeast"/>
              <w:rPr>
                <w:rFonts w:eastAsia="Calibri"/>
              </w:rPr>
            </w:pPr>
            <w:r w:rsidRPr="00F05C0E">
              <w:rPr>
                <w:rFonts w:eastAsia="Calibri"/>
              </w:rPr>
              <w:t>Total annual responses</w:t>
            </w:r>
          </w:p>
        </w:tc>
        <w:tc>
          <w:tcPr>
            <w:tcW w:w="1830" w:type="dxa"/>
            <w:shd w:val="clear" w:color="auto" w:fill="auto"/>
            <w:vAlign w:val="center"/>
          </w:tcPr>
          <w:p w:rsidR="006E548F" w:rsidRPr="00F05C0E" w:rsidRDefault="006E548F" w:rsidP="0073305C">
            <w:pPr>
              <w:tabs>
                <w:tab w:val="left" w:pos="360"/>
                <w:tab w:val="left" w:pos="720"/>
                <w:tab w:val="left" w:pos="1080"/>
                <w:tab w:val="left" w:pos="1440"/>
              </w:tabs>
              <w:spacing w:before="100" w:beforeAutospacing="1" w:after="100" w:afterAutospacing="1" w:line="288" w:lineRule="atLeast"/>
              <w:jc w:val="right"/>
              <w:rPr>
                <w:rFonts w:eastAsia="Calibri"/>
              </w:rPr>
            </w:pPr>
            <w:r w:rsidRPr="00F05C0E">
              <w:rPr>
                <w:rFonts w:eastAsia="Calibri"/>
              </w:rPr>
              <w:t>22,573</w:t>
            </w:r>
          </w:p>
        </w:tc>
        <w:tc>
          <w:tcPr>
            <w:tcW w:w="1830" w:type="dxa"/>
            <w:shd w:val="clear" w:color="auto" w:fill="auto"/>
            <w:vAlign w:val="center"/>
          </w:tcPr>
          <w:p w:rsidR="006E548F" w:rsidRPr="00F05C0E" w:rsidRDefault="00255890" w:rsidP="00CA4AF8">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65,573</w:t>
            </w:r>
          </w:p>
        </w:tc>
        <w:tc>
          <w:tcPr>
            <w:tcW w:w="1830" w:type="dxa"/>
            <w:shd w:val="clear" w:color="auto" w:fill="auto"/>
            <w:vAlign w:val="center"/>
          </w:tcPr>
          <w:p w:rsidR="006E548F" w:rsidRPr="00F05C0E" w:rsidRDefault="00255890" w:rsidP="0073305C">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+43,000</w:t>
            </w:r>
          </w:p>
        </w:tc>
      </w:tr>
      <w:tr w:rsidR="00F05C0E" w:rsidRPr="00F05C0E" w:rsidTr="0053505D">
        <w:trPr>
          <w:trHeight w:val="432"/>
        </w:trPr>
        <w:tc>
          <w:tcPr>
            <w:tcW w:w="3780" w:type="dxa"/>
            <w:shd w:val="clear" w:color="auto" w:fill="auto"/>
            <w:vAlign w:val="center"/>
          </w:tcPr>
          <w:p w:rsidR="006E548F" w:rsidRPr="00F05C0E" w:rsidRDefault="006E548F">
            <w:pPr>
              <w:tabs>
                <w:tab w:val="left" w:pos="360"/>
                <w:tab w:val="left" w:pos="720"/>
                <w:tab w:val="left" w:pos="1080"/>
                <w:tab w:val="left" w:pos="1440"/>
              </w:tabs>
              <w:spacing w:before="100" w:beforeAutospacing="1" w:after="100" w:afterAutospacing="1" w:line="288" w:lineRule="atLeast"/>
              <w:rPr>
                <w:rFonts w:eastAsia="Calibri"/>
              </w:rPr>
            </w:pPr>
            <w:r w:rsidRPr="00F05C0E">
              <w:rPr>
                <w:rFonts w:eastAsia="Calibri"/>
              </w:rPr>
              <w:t>Total estimated hours</w:t>
            </w:r>
          </w:p>
        </w:tc>
        <w:tc>
          <w:tcPr>
            <w:tcW w:w="1830" w:type="dxa"/>
            <w:shd w:val="clear" w:color="auto" w:fill="auto"/>
            <w:vAlign w:val="center"/>
          </w:tcPr>
          <w:p w:rsidR="006E548F" w:rsidRPr="00F05C0E" w:rsidRDefault="006E548F" w:rsidP="0073305C">
            <w:pPr>
              <w:tabs>
                <w:tab w:val="left" w:pos="360"/>
                <w:tab w:val="left" w:pos="720"/>
                <w:tab w:val="left" w:pos="1080"/>
                <w:tab w:val="left" w:pos="1440"/>
              </w:tabs>
              <w:spacing w:before="100" w:beforeAutospacing="1" w:after="100" w:afterAutospacing="1" w:line="288" w:lineRule="atLeast"/>
              <w:jc w:val="right"/>
              <w:rPr>
                <w:rFonts w:eastAsia="Calibri"/>
              </w:rPr>
            </w:pPr>
            <w:r w:rsidRPr="00F05C0E">
              <w:rPr>
                <w:rFonts w:eastAsia="Calibri"/>
              </w:rPr>
              <w:t>23,136</w:t>
            </w:r>
          </w:p>
        </w:tc>
        <w:tc>
          <w:tcPr>
            <w:tcW w:w="1830" w:type="dxa"/>
            <w:shd w:val="clear" w:color="auto" w:fill="auto"/>
            <w:vAlign w:val="center"/>
          </w:tcPr>
          <w:p w:rsidR="006E548F" w:rsidRPr="00F05C0E" w:rsidRDefault="00093C6F" w:rsidP="0073305C">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17,386</w:t>
            </w:r>
          </w:p>
        </w:tc>
        <w:tc>
          <w:tcPr>
            <w:tcW w:w="1830" w:type="dxa"/>
            <w:shd w:val="clear" w:color="auto" w:fill="auto"/>
            <w:vAlign w:val="center"/>
          </w:tcPr>
          <w:p w:rsidR="006E548F" w:rsidRPr="00F05C0E" w:rsidRDefault="00093C6F" w:rsidP="0073305C">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-5,750</w:t>
            </w:r>
          </w:p>
        </w:tc>
      </w:tr>
      <w:tr w:rsidR="00F05C0E" w:rsidRPr="00F05C0E" w:rsidTr="0053505D">
        <w:trPr>
          <w:trHeight w:val="432"/>
        </w:trPr>
        <w:tc>
          <w:tcPr>
            <w:tcW w:w="3780" w:type="dxa"/>
            <w:shd w:val="clear" w:color="auto" w:fill="auto"/>
            <w:vAlign w:val="center"/>
          </w:tcPr>
          <w:p w:rsidR="006E548F" w:rsidRPr="00F05C0E" w:rsidRDefault="006E548F" w:rsidP="0073305C">
            <w:pPr>
              <w:tabs>
                <w:tab w:val="left" w:pos="360"/>
                <w:tab w:val="left" w:pos="720"/>
                <w:tab w:val="left" w:pos="1080"/>
                <w:tab w:val="left" w:pos="1440"/>
              </w:tabs>
              <w:spacing w:before="100" w:beforeAutospacing="1" w:after="100" w:afterAutospacing="1" w:line="288" w:lineRule="atLeast"/>
              <w:rPr>
                <w:rFonts w:eastAsia="Calibri"/>
              </w:rPr>
            </w:pPr>
            <w:r w:rsidRPr="00312A6F">
              <w:t>Annual public burden</w:t>
            </w:r>
          </w:p>
        </w:tc>
        <w:tc>
          <w:tcPr>
            <w:tcW w:w="1830" w:type="dxa"/>
            <w:shd w:val="clear" w:color="auto" w:fill="auto"/>
            <w:vAlign w:val="center"/>
          </w:tcPr>
          <w:p w:rsidR="006E548F" w:rsidRPr="00F05C0E" w:rsidRDefault="00FD4E1C" w:rsidP="0073305C">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$827,</w:t>
            </w:r>
            <w:r w:rsidR="006E548F" w:rsidRPr="00F05C0E">
              <w:rPr>
                <w:rFonts w:eastAsia="Calibri"/>
              </w:rPr>
              <w:t>216</w:t>
            </w:r>
          </w:p>
        </w:tc>
        <w:tc>
          <w:tcPr>
            <w:tcW w:w="1830" w:type="dxa"/>
            <w:shd w:val="clear" w:color="auto" w:fill="auto"/>
            <w:vAlign w:val="center"/>
          </w:tcPr>
          <w:p w:rsidR="006E548F" w:rsidRPr="00F05C0E" w:rsidRDefault="00375DBE" w:rsidP="00375DBE">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$653,852</w:t>
            </w:r>
          </w:p>
        </w:tc>
        <w:tc>
          <w:tcPr>
            <w:tcW w:w="1830" w:type="dxa"/>
            <w:shd w:val="clear" w:color="auto" w:fill="auto"/>
            <w:vAlign w:val="center"/>
          </w:tcPr>
          <w:p w:rsidR="006E548F" w:rsidRPr="00F05C0E" w:rsidRDefault="00375DBE" w:rsidP="0073305C">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-$173,364</w:t>
            </w:r>
          </w:p>
        </w:tc>
      </w:tr>
    </w:tbl>
    <w:p w:rsidR="006E548F" w:rsidRPr="00F05C0E" w:rsidRDefault="006E548F" w:rsidP="006E548F">
      <w:pPr>
        <w:tabs>
          <w:tab w:val="left" w:pos="360"/>
          <w:tab w:val="left" w:pos="680"/>
        </w:tabs>
      </w:pPr>
    </w:p>
    <w:p w:rsidR="005653B7" w:rsidRPr="00F05C0E" w:rsidRDefault="005653B7" w:rsidP="005653B7">
      <w:pPr>
        <w:widowControl/>
        <w:tabs>
          <w:tab w:val="left" w:pos="360"/>
          <w:tab w:val="left" w:pos="720"/>
          <w:tab w:val="left" w:pos="1080"/>
          <w:tab w:val="left" w:pos="1440"/>
        </w:tabs>
        <w:autoSpaceDE/>
        <w:autoSpaceDN/>
        <w:adjustRightInd/>
        <w:spacing w:after="100" w:afterAutospacing="1" w:line="288" w:lineRule="atLeast"/>
        <w:rPr>
          <w:u w:val="single"/>
        </w:rPr>
      </w:pPr>
      <w:r w:rsidRPr="00F05C0E">
        <w:t xml:space="preserve"> </w:t>
      </w:r>
      <w:r w:rsidRPr="00F05C0E">
        <w:tab/>
        <w:t xml:space="preserve">16. </w:t>
      </w:r>
      <w:r w:rsidRPr="00F05C0E">
        <w:rPr>
          <w:u w:val="single"/>
        </w:rPr>
        <w:t>Publication of Results</w:t>
      </w:r>
    </w:p>
    <w:p w:rsidR="005653B7" w:rsidRPr="00F05C0E" w:rsidRDefault="005653B7" w:rsidP="005653B7">
      <w:pPr>
        <w:widowControl/>
        <w:tabs>
          <w:tab w:val="left" w:pos="360"/>
          <w:tab w:val="left" w:pos="720"/>
          <w:tab w:val="left" w:pos="1080"/>
          <w:tab w:val="left" w:pos="1440"/>
        </w:tabs>
        <w:autoSpaceDE/>
        <w:autoSpaceDN/>
        <w:adjustRightInd/>
        <w:spacing w:before="100" w:beforeAutospacing="1" w:after="100" w:afterAutospacing="1" w:line="288" w:lineRule="atLeast"/>
      </w:pPr>
      <w:r w:rsidRPr="00F05C0E">
        <w:tab/>
      </w:r>
      <w:r w:rsidRPr="00F05C0E">
        <w:tab/>
        <w:t>Results of this collection will not be published.</w:t>
      </w:r>
    </w:p>
    <w:p w:rsidR="005653B7" w:rsidRPr="00F05C0E" w:rsidRDefault="005653B7" w:rsidP="005653B7">
      <w:pPr>
        <w:widowControl/>
        <w:tabs>
          <w:tab w:val="left" w:pos="360"/>
          <w:tab w:val="left" w:pos="720"/>
          <w:tab w:val="left" w:pos="1080"/>
          <w:tab w:val="left" w:pos="1440"/>
        </w:tabs>
        <w:autoSpaceDE/>
        <w:autoSpaceDN/>
        <w:adjustRightInd/>
        <w:spacing w:before="100" w:beforeAutospacing="1" w:after="100" w:afterAutospacing="1" w:line="288" w:lineRule="atLeast"/>
      </w:pPr>
      <w:r w:rsidRPr="00F05C0E">
        <w:tab/>
        <w:t xml:space="preserve">17. </w:t>
      </w:r>
      <w:r w:rsidRPr="00F05C0E">
        <w:rPr>
          <w:u w:val="single"/>
        </w:rPr>
        <w:t>Non-Display of OMB Expiration Date</w:t>
      </w:r>
    </w:p>
    <w:p w:rsidR="005653B7" w:rsidRPr="00F05C0E" w:rsidRDefault="005653B7" w:rsidP="005653B7">
      <w:pPr>
        <w:widowControl/>
        <w:tabs>
          <w:tab w:val="left" w:pos="360"/>
          <w:tab w:val="left" w:pos="720"/>
          <w:tab w:val="left" w:pos="1080"/>
          <w:tab w:val="left" w:pos="1440"/>
        </w:tabs>
        <w:autoSpaceDE/>
        <w:autoSpaceDN/>
        <w:adjustRightInd/>
        <w:spacing w:before="100" w:beforeAutospacing="1" w:after="100" w:afterAutospacing="1" w:line="288" w:lineRule="atLeast"/>
      </w:pPr>
      <w:bookmarkStart w:id="4" w:name="cp473"/>
      <w:r w:rsidRPr="00F05C0E">
        <w:tab/>
      </w:r>
      <w:r w:rsidRPr="00F05C0E">
        <w:tab/>
      </w:r>
      <w:proofErr w:type="gramStart"/>
      <w:r w:rsidRPr="00F05C0E">
        <w:t>DoD</w:t>
      </w:r>
      <w:proofErr w:type="gramEnd"/>
      <w:r w:rsidRPr="00F05C0E">
        <w:t xml:space="preserve"> does not seek approval to not display the expiration dates for OMB approval of the information collection.</w:t>
      </w:r>
    </w:p>
    <w:p w:rsidR="005653B7" w:rsidRPr="00F05C0E" w:rsidRDefault="005653B7" w:rsidP="005653B7">
      <w:pPr>
        <w:widowControl/>
        <w:tabs>
          <w:tab w:val="left" w:pos="360"/>
          <w:tab w:val="left" w:pos="720"/>
          <w:tab w:val="left" w:pos="1080"/>
          <w:tab w:val="left" w:pos="1440"/>
        </w:tabs>
        <w:autoSpaceDE/>
        <w:autoSpaceDN/>
        <w:adjustRightInd/>
        <w:spacing w:before="100" w:beforeAutospacing="1" w:after="100" w:afterAutospacing="1" w:line="288" w:lineRule="atLeast"/>
      </w:pPr>
      <w:r w:rsidRPr="00F05C0E">
        <w:tab/>
        <w:t xml:space="preserve">18.  </w:t>
      </w:r>
      <w:r w:rsidRPr="00F05C0E">
        <w:rPr>
          <w:u w:val="single"/>
        </w:rPr>
        <w:t>Exceptions to "Certification for Paperwork Reduction Submissions"</w:t>
      </w:r>
    </w:p>
    <w:p w:rsidR="005653B7" w:rsidRPr="00F05C0E" w:rsidRDefault="005653B7" w:rsidP="005653B7">
      <w:pPr>
        <w:widowControl/>
        <w:tabs>
          <w:tab w:val="left" w:pos="360"/>
          <w:tab w:val="left" w:pos="720"/>
          <w:tab w:val="left" w:pos="1080"/>
          <w:tab w:val="left" w:pos="1440"/>
        </w:tabs>
        <w:autoSpaceDE/>
        <w:autoSpaceDN/>
        <w:adjustRightInd/>
        <w:spacing w:before="100" w:beforeAutospacing="1" w:after="100" w:afterAutospacing="1" w:line="288" w:lineRule="atLeast"/>
      </w:pPr>
      <w:bookmarkStart w:id="5" w:name="cp474"/>
      <w:bookmarkEnd w:id="4"/>
      <w:r w:rsidRPr="00F05C0E">
        <w:tab/>
      </w:r>
      <w:r w:rsidRPr="00F05C0E">
        <w:tab/>
      </w:r>
      <w:bookmarkEnd w:id="5"/>
      <w:r w:rsidRPr="00F05C0E">
        <w:t>There are no exceptions to the certification accompanying this Paperwork Reduction Act submission.</w:t>
      </w:r>
    </w:p>
    <w:p w:rsidR="005653B7" w:rsidRPr="00F05C0E" w:rsidRDefault="005653B7" w:rsidP="005653B7">
      <w:pPr>
        <w:widowControl/>
        <w:tabs>
          <w:tab w:val="left" w:pos="360"/>
          <w:tab w:val="left" w:pos="720"/>
          <w:tab w:val="left" w:pos="1080"/>
          <w:tab w:val="left" w:pos="1440"/>
        </w:tabs>
        <w:autoSpaceDE/>
        <w:autoSpaceDN/>
        <w:adjustRightInd/>
        <w:spacing w:before="100" w:beforeAutospacing="1" w:after="100" w:afterAutospacing="1" w:line="288" w:lineRule="atLeast"/>
      </w:pPr>
      <w:r w:rsidRPr="00F05C0E">
        <w:rPr>
          <w:rFonts w:cs="Courier New"/>
        </w:rPr>
        <w:t xml:space="preserve">B.  </w:t>
      </w:r>
      <w:r w:rsidRPr="00F05C0E">
        <w:rPr>
          <w:rFonts w:cs="Courier New"/>
          <w:u w:val="single"/>
        </w:rPr>
        <w:t>COLLECTION OF INFORMATION EMPLOYING STATISTICAL METHODS</w:t>
      </w:r>
    </w:p>
    <w:p w:rsidR="005653B7" w:rsidRPr="00F05C0E" w:rsidRDefault="005653B7" w:rsidP="00312A6F">
      <w:pPr>
        <w:widowControl/>
        <w:tabs>
          <w:tab w:val="left" w:pos="360"/>
        </w:tabs>
        <w:autoSpaceDE/>
        <w:autoSpaceDN/>
        <w:adjustRightInd/>
      </w:pPr>
      <w:r w:rsidRPr="00F05C0E">
        <w:rPr>
          <w:rFonts w:cs="Courier New"/>
        </w:rPr>
        <w:tab/>
        <w:t>Statistical methods will not be employed.</w:t>
      </w:r>
    </w:p>
    <w:sectPr w:rsidR="005653B7" w:rsidRPr="00F05C0E" w:rsidSect="00312A6F">
      <w:footerReference w:type="even" r:id="rId10"/>
      <w:footerReference w:type="default" r:id="rId11"/>
      <w:footerReference w:type="first" r:id="rId12"/>
      <w:pgSz w:w="12240" w:h="15840"/>
      <w:pgMar w:top="1440" w:right="1440" w:bottom="1440" w:left="1440" w:header="1440" w:footer="343"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130" w:rsidRDefault="00836130" w:rsidP="00B3454A">
      <w:r>
        <w:separator/>
      </w:r>
    </w:p>
  </w:endnote>
  <w:endnote w:type="continuationSeparator" w:id="0">
    <w:p w:rsidR="00836130" w:rsidRDefault="00836130" w:rsidP="00B3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130" w:rsidRDefault="00836130" w:rsidP="003237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56CC0">
      <w:rPr>
        <w:rStyle w:val="PageNumber"/>
      </w:rPr>
      <w:fldChar w:fldCharType="separate"/>
    </w:r>
    <w:r w:rsidR="00E56CC0">
      <w:rPr>
        <w:rStyle w:val="PageNumber"/>
        <w:noProof/>
      </w:rPr>
      <w:t>9</w:t>
    </w:r>
    <w:r>
      <w:rPr>
        <w:rStyle w:val="PageNumber"/>
      </w:rPr>
      <w:fldChar w:fldCharType="end"/>
    </w:r>
  </w:p>
  <w:p w:rsidR="00836130" w:rsidRDefault="008361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41144"/>
      <w:docPartObj>
        <w:docPartGallery w:val="Page Numbers (Bottom of Page)"/>
        <w:docPartUnique/>
      </w:docPartObj>
    </w:sdtPr>
    <w:sdtEndPr/>
    <w:sdtContent>
      <w:sdt>
        <w:sdtPr>
          <w:id w:val="-1778775831"/>
          <w:docPartObj>
            <w:docPartGallery w:val="Page Numbers (Top of Page)"/>
            <w:docPartUnique/>
          </w:docPartObj>
        </w:sdtPr>
        <w:sdtEndPr/>
        <w:sdtContent>
          <w:p w:rsidR="00836130" w:rsidRDefault="00836130">
            <w:pPr>
              <w:pStyle w:val="Footer"/>
              <w:jc w:val="center"/>
            </w:pPr>
            <w:r>
              <w:t xml:space="preserve">Page </w:t>
            </w:r>
            <w:r>
              <w:rPr>
                <w:b/>
                <w:bCs/>
              </w:rPr>
              <w:fldChar w:fldCharType="begin"/>
            </w:r>
            <w:r>
              <w:rPr>
                <w:b/>
                <w:bCs/>
              </w:rPr>
              <w:instrText xml:space="preserve"> PAGE </w:instrText>
            </w:r>
            <w:r>
              <w:rPr>
                <w:b/>
                <w:bCs/>
              </w:rPr>
              <w:fldChar w:fldCharType="separate"/>
            </w:r>
            <w:r w:rsidR="00E56CC0">
              <w:rPr>
                <w:b/>
                <w:bCs/>
                <w:noProof/>
              </w:rPr>
              <w:t>9</w:t>
            </w:r>
            <w:r>
              <w:rPr>
                <w:b/>
                <w:bCs/>
              </w:rPr>
              <w:fldChar w:fldCharType="end"/>
            </w:r>
            <w:r>
              <w:t xml:space="preserve"> of </w:t>
            </w:r>
            <w:r>
              <w:rPr>
                <w:b/>
                <w:bCs/>
              </w:rPr>
              <w:fldChar w:fldCharType="begin"/>
            </w:r>
            <w:r>
              <w:rPr>
                <w:b/>
                <w:bCs/>
              </w:rPr>
              <w:instrText xml:space="preserve"> NUMPAGES  </w:instrText>
            </w:r>
            <w:r>
              <w:rPr>
                <w:b/>
                <w:bCs/>
              </w:rPr>
              <w:fldChar w:fldCharType="separate"/>
            </w:r>
            <w:r w:rsidR="00E56CC0">
              <w:rPr>
                <w:b/>
                <w:bCs/>
                <w:noProof/>
              </w:rPr>
              <w:t>9</w:t>
            </w:r>
            <w:r>
              <w:rPr>
                <w:b/>
                <w:bCs/>
              </w:rPr>
              <w:fldChar w:fldCharType="end"/>
            </w:r>
          </w:p>
        </w:sdtContent>
      </w:sdt>
    </w:sdtContent>
  </w:sdt>
  <w:p w:rsidR="00836130" w:rsidRDefault="008361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125963"/>
      <w:docPartObj>
        <w:docPartGallery w:val="Page Numbers (Bottom of Page)"/>
        <w:docPartUnique/>
      </w:docPartObj>
    </w:sdtPr>
    <w:sdtEndPr/>
    <w:sdtContent>
      <w:sdt>
        <w:sdtPr>
          <w:id w:val="-1534182336"/>
          <w:docPartObj>
            <w:docPartGallery w:val="Page Numbers (Top of Page)"/>
            <w:docPartUnique/>
          </w:docPartObj>
        </w:sdtPr>
        <w:sdtEndPr/>
        <w:sdtContent>
          <w:p w:rsidR="00836130" w:rsidRDefault="00836130">
            <w:pPr>
              <w:pStyle w:val="Footer"/>
              <w:jc w:val="center"/>
            </w:pPr>
            <w:r>
              <w:t xml:space="preserve">Page </w:t>
            </w:r>
            <w:r>
              <w:rPr>
                <w:b/>
                <w:bCs/>
              </w:rPr>
              <w:fldChar w:fldCharType="begin"/>
            </w:r>
            <w:r>
              <w:rPr>
                <w:b/>
                <w:bCs/>
              </w:rPr>
              <w:instrText xml:space="preserve"> PAGE </w:instrText>
            </w:r>
            <w:r>
              <w:rPr>
                <w:b/>
                <w:bCs/>
              </w:rPr>
              <w:fldChar w:fldCharType="separate"/>
            </w:r>
            <w:r w:rsidR="00E56CC0">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56CC0">
              <w:rPr>
                <w:b/>
                <w:bCs/>
                <w:noProof/>
              </w:rPr>
              <w:t>9</w:t>
            </w:r>
            <w:r>
              <w:rPr>
                <w:b/>
                <w:bCs/>
              </w:rPr>
              <w:fldChar w:fldCharType="end"/>
            </w:r>
          </w:p>
        </w:sdtContent>
      </w:sdt>
    </w:sdtContent>
  </w:sdt>
  <w:p w:rsidR="00836130" w:rsidRDefault="008361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130" w:rsidRDefault="00836130" w:rsidP="00B3454A">
      <w:r>
        <w:separator/>
      </w:r>
    </w:p>
  </w:footnote>
  <w:footnote w:type="continuationSeparator" w:id="0">
    <w:p w:rsidR="00836130" w:rsidRDefault="00836130" w:rsidP="00B3454A">
      <w:r>
        <w:continuationSeparator/>
      </w:r>
    </w:p>
  </w:footnote>
  <w:footnote w:id="1">
    <w:p w:rsidR="00836130" w:rsidRDefault="00836130">
      <w:pPr>
        <w:pStyle w:val="FootnoteText"/>
      </w:pPr>
      <w:r>
        <w:rPr>
          <w:rStyle w:val="FootnoteReference"/>
        </w:rPr>
        <w:footnoteRef/>
      </w:r>
      <w:r>
        <w:t xml:space="preserve"> </w:t>
      </w:r>
      <w:r w:rsidRPr="00904FF2">
        <w:t xml:space="preserve">The information collection associated with the clause at DFARS 252.211-7006, Passive Radio Frequency Identification, </w:t>
      </w:r>
      <w:r w:rsidR="00DE32A7">
        <w:t xml:space="preserve">which is also prescribed in DFARS part 11, </w:t>
      </w:r>
      <w:r w:rsidRPr="00904FF2">
        <w:t>is covered under OMB Control Number 0704-0434.</w:t>
      </w:r>
    </w:p>
  </w:footnote>
  <w:footnote w:id="2">
    <w:p w:rsidR="00FB15B2" w:rsidRPr="00FB15B2" w:rsidRDefault="00FB15B2">
      <w:pPr>
        <w:pStyle w:val="FootnoteText"/>
      </w:pPr>
      <w:r>
        <w:rPr>
          <w:rStyle w:val="FootnoteReference"/>
        </w:rPr>
        <w:footnoteRef/>
      </w:r>
      <w:r>
        <w:t xml:space="preserve"> </w:t>
      </w:r>
      <w:proofErr w:type="gramStart"/>
      <w:r w:rsidRPr="00FB15B2">
        <w:rPr>
          <w:color w:val="000000"/>
          <w:lang w:val="en"/>
        </w:rPr>
        <w:t>iRAPT</w:t>
      </w:r>
      <w:proofErr w:type="gramEnd"/>
      <w:r w:rsidRPr="00FB15B2">
        <w:rPr>
          <w:color w:val="000000"/>
          <w:lang w:val="en"/>
        </w:rPr>
        <w:t xml:space="preserve"> was known as </w:t>
      </w:r>
      <w:r>
        <w:rPr>
          <w:color w:val="000000"/>
          <w:lang w:val="en"/>
        </w:rPr>
        <w:t xml:space="preserve">Wide </w:t>
      </w:r>
      <w:r w:rsidR="00871C53">
        <w:rPr>
          <w:color w:val="000000"/>
          <w:lang w:val="en"/>
        </w:rPr>
        <w:t>A</w:t>
      </w:r>
      <w:r>
        <w:rPr>
          <w:color w:val="000000"/>
          <w:lang w:val="en"/>
        </w:rPr>
        <w:t>rea Work</w:t>
      </w:r>
      <w:r w:rsidR="00DE32A7">
        <w:rPr>
          <w:color w:val="000000"/>
          <w:lang w:val="en"/>
        </w:rPr>
        <w:t>F</w:t>
      </w:r>
      <w:r>
        <w:rPr>
          <w:color w:val="000000"/>
          <w:lang w:val="en"/>
        </w:rPr>
        <w:t>low</w:t>
      </w:r>
      <w:r w:rsidRPr="00FB15B2">
        <w:rPr>
          <w:color w:val="000000"/>
          <w:lang w:val="en"/>
        </w:rPr>
        <w:t xml:space="preserve"> until release 5.6.0 in 2014 when the name was changed to Invoice, Receipt, Acceptance, and Property Transfer</w:t>
      </w:r>
      <w:r>
        <w:rPr>
          <w:color w:val="000000"/>
          <w:lang w:val="en"/>
        </w:rPr>
        <w:t xml:space="preserve"> </w:t>
      </w:r>
      <w:r w:rsidRPr="00FB15B2">
        <w:rPr>
          <w:color w:val="000000"/>
          <w:lang w:val="en"/>
        </w:rPr>
        <w:t>(iRAPT)</w:t>
      </w:r>
      <w:r w:rsidR="00271B97">
        <w:rPr>
          <w:color w:val="000000"/>
          <w:lang w:val="e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442"/>
    <w:multiLevelType w:val="hybridMultilevel"/>
    <w:tmpl w:val="91969644"/>
    <w:lvl w:ilvl="0" w:tplc="5D76F98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F10B1F"/>
    <w:multiLevelType w:val="hybridMultilevel"/>
    <w:tmpl w:val="958EFE26"/>
    <w:lvl w:ilvl="0" w:tplc="CDF26B0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
    <w:nsid w:val="14275263"/>
    <w:multiLevelType w:val="hybridMultilevel"/>
    <w:tmpl w:val="082A78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7646D3"/>
    <w:multiLevelType w:val="hybridMultilevel"/>
    <w:tmpl w:val="AE880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7B5099"/>
    <w:multiLevelType w:val="hybridMultilevel"/>
    <w:tmpl w:val="5D82BB52"/>
    <w:lvl w:ilvl="0" w:tplc="3F7CCA1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F927DA"/>
    <w:multiLevelType w:val="hybridMultilevel"/>
    <w:tmpl w:val="D0FA8C9A"/>
    <w:lvl w:ilvl="0" w:tplc="BE10E536">
      <w:start w:val="4"/>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44D72C1C"/>
    <w:multiLevelType w:val="hybridMultilevel"/>
    <w:tmpl w:val="D5CC6988"/>
    <w:lvl w:ilvl="0" w:tplc="FAAE8E34">
      <w:start w:val="1"/>
      <w:numFmt w:val="lowerLetter"/>
      <w:lvlText w:val="%1."/>
      <w:lvlJc w:val="left"/>
      <w:pPr>
        <w:ind w:left="1260" w:hanging="585"/>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nsid w:val="4A206038"/>
    <w:multiLevelType w:val="hybridMultilevel"/>
    <w:tmpl w:val="CE485E64"/>
    <w:lvl w:ilvl="0" w:tplc="AEF4516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A711CC3"/>
    <w:multiLevelType w:val="hybridMultilevel"/>
    <w:tmpl w:val="BA7CB704"/>
    <w:lvl w:ilvl="0" w:tplc="9CF012EE">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nsid w:val="4BFE14E3"/>
    <w:multiLevelType w:val="hybridMultilevel"/>
    <w:tmpl w:val="A4803E52"/>
    <w:lvl w:ilvl="0" w:tplc="03E853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F06625E"/>
    <w:multiLevelType w:val="hybridMultilevel"/>
    <w:tmpl w:val="274288B0"/>
    <w:lvl w:ilvl="0" w:tplc="8D5C8AE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26D69BD"/>
    <w:multiLevelType w:val="hybridMultilevel"/>
    <w:tmpl w:val="00A8AEEC"/>
    <w:lvl w:ilvl="0" w:tplc="B3F092B0">
      <w:start w:val="1"/>
      <w:numFmt w:val="lowerLetter"/>
      <w:lvlText w:val="%1."/>
      <w:lvlJc w:val="left"/>
      <w:pPr>
        <w:ind w:left="1140"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2">
    <w:nsid w:val="55EA2A4C"/>
    <w:multiLevelType w:val="hybridMultilevel"/>
    <w:tmpl w:val="7FBE23BC"/>
    <w:lvl w:ilvl="0" w:tplc="4F169884">
      <w:start w:val="2"/>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5BFA4B52"/>
    <w:multiLevelType w:val="hybridMultilevel"/>
    <w:tmpl w:val="0F48943C"/>
    <w:lvl w:ilvl="0" w:tplc="309666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7F4531"/>
    <w:multiLevelType w:val="hybridMultilevel"/>
    <w:tmpl w:val="AA9E0474"/>
    <w:lvl w:ilvl="0" w:tplc="29A4C0D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64F67B27"/>
    <w:multiLevelType w:val="hybridMultilevel"/>
    <w:tmpl w:val="4770E8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9500D3"/>
    <w:multiLevelType w:val="hybridMultilevel"/>
    <w:tmpl w:val="B7D26AF8"/>
    <w:lvl w:ilvl="0" w:tplc="354CF1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9035FE2"/>
    <w:multiLevelType w:val="hybridMultilevel"/>
    <w:tmpl w:val="C2A24BD8"/>
    <w:lvl w:ilvl="0" w:tplc="8C4A86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DF634E3"/>
    <w:multiLevelType w:val="hybridMultilevel"/>
    <w:tmpl w:val="77AC7BA6"/>
    <w:lvl w:ilvl="0" w:tplc="5D167D3A">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nsid w:val="771E1631"/>
    <w:multiLevelType w:val="hybridMultilevel"/>
    <w:tmpl w:val="24D2DCA2"/>
    <w:lvl w:ilvl="0" w:tplc="903E357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nsid w:val="7F86077E"/>
    <w:multiLevelType w:val="hybridMultilevel"/>
    <w:tmpl w:val="57C2147C"/>
    <w:lvl w:ilvl="0" w:tplc="726610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6"/>
  </w:num>
  <w:num w:numId="3">
    <w:abstractNumId w:val="1"/>
  </w:num>
  <w:num w:numId="4">
    <w:abstractNumId w:val="6"/>
  </w:num>
  <w:num w:numId="5">
    <w:abstractNumId w:val="3"/>
  </w:num>
  <w:num w:numId="6">
    <w:abstractNumId w:val="20"/>
  </w:num>
  <w:num w:numId="7">
    <w:abstractNumId w:val="2"/>
  </w:num>
  <w:num w:numId="8">
    <w:abstractNumId w:val="14"/>
  </w:num>
  <w:num w:numId="9">
    <w:abstractNumId w:val="15"/>
  </w:num>
  <w:num w:numId="10">
    <w:abstractNumId w:val="19"/>
  </w:num>
  <w:num w:numId="11">
    <w:abstractNumId w:val="13"/>
  </w:num>
  <w:num w:numId="12">
    <w:abstractNumId w:val="8"/>
  </w:num>
  <w:num w:numId="13">
    <w:abstractNumId w:val="5"/>
  </w:num>
  <w:num w:numId="14">
    <w:abstractNumId w:val="4"/>
  </w:num>
  <w:num w:numId="15">
    <w:abstractNumId w:val="12"/>
  </w:num>
  <w:num w:numId="16">
    <w:abstractNumId w:val="17"/>
  </w:num>
  <w:num w:numId="17">
    <w:abstractNumId w:val="10"/>
  </w:num>
  <w:num w:numId="18">
    <w:abstractNumId w:val="7"/>
  </w:num>
  <w:num w:numId="19">
    <w:abstractNumId w:val="0"/>
  </w:num>
  <w:num w:numId="20">
    <w:abstractNumId w:val="1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54A"/>
    <w:rsid w:val="00005C55"/>
    <w:rsid w:val="00010C66"/>
    <w:rsid w:val="00035383"/>
    <w:rsid w:val="0005562C"/>
    <w:rsid w:val="0006267C"/>
    <w:rsid w:val="00074001"/>
    <w:rsid w:val="00093C6F"/>
    <w:rsid w:val="000C4B09"/>
    <w:rsid w:val="000E0167"/>
    <w:rsid w:val="000F4D08"/>
    <w:rsid w:val="00103EB3"/>
    <w:rsid w:val="00112B52"/>
    <w:rsid w:val="001342F9"/>
    <w:rsid w:val="00140715"/>
    <w:rsid w:val="00143796"/>
    <w:rsid w:val="00147D59"/>
    <w:rsid w:val="0015588A"/>
    <w:rsid w:val="00187FD2"/>
    <w:rsid w:val="001916B2"/>
    <w:rsid w:val="001A27D4"/>
    <w:rsid w:val="001B6909"/>
    <w:rsid w:val="001C3C1B"/>
    <w:rsid w:val="001D13F6"/>
    <w:rsid w:val="001D2B84"/>
    <w:rsid w:val="001E4F06"/>
    <w:rsid w:val="001F0344"/>
    <w:rsid w:val="00211236"/>
    <w:rsid w:val="00226D4E"/>
    <w:rsid w:val="00234C0B"/>
    <w:rsid w:val="00242ED0"/>
    <w:rsid w:val="002520B5"/>
    <w:rsid w:val="00255890"/>
    <w:rsid w:val="00257FDA"/>
    <w:rsid w:val="00261E26"/>
    <w:rsid w:val="00271B97"/>
    <w:rsid w:val="00271DD4"/>
    <w:rsid w:val="00280E16"/>
    <w:rsid w:val="0028115A"/>
    <w:rsid w:val="002812B4"/>
    <w:rsid w:val="00283A96"/>
    <w:rsid w:val="002878C2"/>
    <w:rsid w:val="002B1FC8"/>
    <w:rsid w:val="002C3120"/>
    <w:rsid w:val="002D112A"/>
    <w:rsid w:val="002D4CC9"/>
    <w:rsid w:val="00300945"/>
    <w:rsid w:val="00312A6F"/>
    <w:rsid w:val="00316EF3"/>
    <w:rsid w:val="00323753"/>
    <w:rsid w:val="00323D4C"/>
    <w:rsid w:val="00331204"/>
    <w:rsid w:val="00335313"/>
    <w:rsid w:val="003411C6"/>
    <w:rsid w:val="00345ED9"/>
    <w:rsid w:val="00373EED"/>
    <w:rsid w:val="00375DBE"/>
    <w:rsid w:val="00377EB6"/>
    <w:rsid w:val="003818E6"/>
    <w:rsid w:val="00387C09"/>
    <w:rsid w:val="003972BC"/>
    <w:rsid w:val="003A4670"/>
    <w:rsid w:val="003B51DB"/>
    <w:rsid w:val="003C003C"/>
    <w:rsid w:val="003C2695"/>
    <w:rsid w:val="003F2C9B"/>
    <w:rsid w:val="00400E2B"/>
    <w:rsid w:val="00403331"/>
    <w:rsid w:val="00410F7B"/>
    <w:rsid w:val="00417262"/>
    <w:rsid w:val="004200E5"/>
    <w:rsid w:val="0044231D"/>
    <w:rsid w:val="00450496"/>
    <w:rsid w:val="0045283B"/>
    <w:rsid w:val="00487321"/>
    <w:rsid w:val="004A5641"/>
    <w:rsid w:val="004B038A"/>
    <w:rsid w:val="004C0759"/>
    <w:rsid w:val="004C4D0F"/>
    <w:rsid w:val="004D0144"/>
    <w:rsid w:val="004E2433"/>
    <w:rsid w:val="004F399A"/>
    <w:rsid w:val="005055A3"/>
    <w:rsid w:val="00512A52"/>
    <w:rsid w:val="005148A1"/>
    <w:rsid w:val="0052402A"/>
    <w:rsid w:val="0053505D"/>
    <w:rsid w:val="005470A9"/>
    <w:rsid w:val="0056431E"/>
    <w:rsid w:val="005653B7"/>
    <w:rsid w:val="005709FF"/>
    <w:rsid w:val="005A2B93"/>
    <w:rsid w:val="005B3193"/>
    <w:rsid w:val="005B3F2E"/>
    <w:rsid w:val="005B5ABC"/>
    <w:rsid w:val="005D3212"/>
    <w:rsid w:val="005D36DD"/>
    <w:rsid w:val="005E009F"/>
    <w:rsid w:val="005E2D82"/>
    <w:rsid w:val="005F3CAB"/>
    <w:rsid w:val="00603F0C"/>
    <w:rsid w:val="00606B2F"/>
    <w:rsid w:val="0061245A"/>
    <w:rsid w:val="006140A0"/>
    <w:rsid w:val="00616167"/>
    <w:rsid w:val="00625AF0"/>
    <w:rsid w:val="00632964"/>
    <w:rsid w:val="0064065E"/>
    <w:rsid w:val="00642EE1"/>
    <w:rsid w:val="0064321F"/>
    <w:rsid w:val="00653025"/>
    <w:rsid w:val="00653946"/>
    <w:rsid w:val="006648BE"/>
    <w:rsid w:val="006A0C1C"/>
    <w:rsid w:val="006C25E0"/>
    <w:rsid w:val="006C6E19"/>
    <w:rsid w:val="006C7ED2"/>
    <w:rsid w:val="006D0527"/>
    <w:rsid w:val="006D725F"/>
    <w:rsid w:val="006E548F"/>
    <w:rsid w:val="006F5E8F"/>
    <w:rsid w:val="007075B8"/>
    <w:rsid w:val="00722EE4"/>
    <w:rsid w:val="007410E4"/>
    <w:rsid w:val="00743DFF"/>
    <w:rsid w:val="0074766D"/>
    <w:rsid w:val="00751829"/>
    <w:rsid w:val="007615CA"/>
    <w:rsid w:val="0076195C"/>
    <w:rsid w:val="00762756"/>
    <w:rsid w:val="00765BFE"/>
    <w:rsid w:val="00766DBD"/>
    <w:rsid w:val="007701FD"/>
    <w:rsid w:val="0079132B"/>
    <w:rsid w:val="007954B9"/>
    <w:rsid w:val="007A047D"/>
    <w:rsid w:val="007A385D"/>
    <w:rsid w:val="007B3199"/>
    <w:rsid w:val="007B3839"/>
    <w:rsid w:val="007C0C1D"/>
    <w:rsid w:val="007C5F40"/>
    <w:rsid w:val="007F416C"/>
    <w:rsid w:val="00801613"/>
    <w:rsid w:val="00805448"/>
    <w:rsid w:val="00835980"/>
    <w:rsid w:val="00836130"/>
    <w:rsid w:val="008377FC"/>
    <w:rsid w:val="00844F2C"/>
    <w:rsid w:val="008568FE"/>
    <w:rsid w:val="008662C5"/>
    <w:rsid w:val="00871C53"/>
    <w:rsid w:val="00880074"/>
    <w:rsid w:val="0089398B"/>
    <w:rsid w:val="008D3D80"/>
    <w:rsid w:val="008D6E6C"/>
    <w:rsid w:val="008E41A1"/>
    <w:rsid w:val="008E52AF"/>
    <w:rsid w:val="008E5B72"/>
    <w:rsid w:val="008F7D7B"/>
    <w:rsid w:val="00904FF2"/>
    <w:rsid w:val="00915193"/>
    <w:rsid w:val="009222A3"/>
    <w:rsid w:val="009335CC"/>
    <w:rsid w:val="00937D1F"/>
    <w:rsid w:val="00940035"/>
    <w:rsid w:val="009431B7"/>
    <w:rsid w:val="0099522C"/>
    <w:rsid w:val="009D2E59"/>
    <w:rsid w:val="009D5621"/>
    <w:rsid w:val="009E3FCF"/>
    <w:rsid w:val="009E476C"/>
    <w:rsid w:val="009F0ED4"/>
    <w:rsid w:val="009F4023"/>
    <w:rsid w:val="009F623F"/>
    <w:rsid w:val="00A14908"/>
    <w:rsid w:val="00A239FA"/>
    <w:rsid w:val="00A24004"/>
    <w:rsid w:val="00A33279"/>
    <w:rsid w:val="00A55FA6"/>
    <w:rsid w:val="00A63AD7"/>
    <w:rsid w:val="00A90323"/>
    <w:rsid w:val="00A97A1E"/>
    <w:rsid w:val="00AA0F21"/>
    <w:rsid w:val="00AA2841"/>
    <w:rsid w:val="00AB6FF0"/>
    <w:rsid w:val="00B00C6F"/>
    <w:rsid w:val="00B042D9"/>
    <w:rsid w:val="00B3041E"/>
    <w:rsid w:val="00B3050C"/>
    <w:rsid w:val="00B3454A"/>
    <w:rsid w:val="00B357C5"/>
    <w:rsid w:val="00B45AE0"/>
    <w:rsid w:val="00B53FE5"/>
    <w:rsid w:val="00B6011A"/>
    <w:rsid w:val="00B653CF"/>
    <w:rsid w:val="00B85EE8"/>
    <w:rsid w:val="00BA4983"/>
    <w:rsid w:val="00BF2CE8"/>
    <w:rsid w:val="00BF4346"/>
    <w:rsid w:val="00C17B22"/>
    <w:rsid w:val="00C2037B"/>
    <w:rsid w:val="00C3232D"/>
    <w:rsid w:val="00C33668"/>
    <w:rsid w:val="00C46EB5"/>
    <w:rsid w:val="00C52920"/>
    <w:rsid w:val="00C70BEA"/>
    <w:rsid w:val="00C80D8A"/>
    <w:rsid w:val="00C9124B"/>
    <w:rsid w:val="00C9454A"/>
    <w:rsid w:val="00C950C6"/>
    <w:rsid w:val="00CA151E"/>
    <w:rsid w:val="00CA4AF8"/>
    <w:rsid w:val="00CD67F3"/>
    <w:rsid w:val="00CE2E2D"/>
    <w:rsid w:val="00CF0A5D"/>
    <w:rsid w:val="00D113D8"/>
    <w:rsid w:val="00D3218B"/>
    <w:rsid w:val="00D4757A"/>
    <w:rsid w:val="00D64BE4"/>
    <w:rsid w:val="00D75992"/>
    <w:rsid w:val="00D85D5D"/>
    <w:rsid w:val="00DB65EC"/>
    <w:rsid w:val="00DE32A7"/>
    <w:rsid w:val="00DE586B"/>
    <w:rsid w:val="00E01570"/>
    <w:rsid w:val="00E30F8B"/>
    <w:rsid w:val="00E32DC7"/>
    <w:rsid w:val="00E41CD8"/>
    <w:rsid w:val="00E47FE4"/>
    <w:rsid w:val="00E56CC0"/>
    <w:rsid w:val="00E7490E"/>
    <w:rsid w:val="00E83DFC"/>
    <w:rsid w:val="00E8402E"/>
    <w:rsid w:val="00E84704"/>
    <w:rsid w:val="00E95F82"/>
    <w:rsid w:val="00EA2EB1"/>
    <w:rsid w:val="00EA4062"/>
    <w:rsid w:val="00EB0656"/>
    <w:rsid w:val="00EB464F"/>
    <w:rsid w:val="00EC057D"/>
    <w:rsid w:val="00EC4ABF"/>
    <w:rsid w:val="00EF3753"/>
    <w:rsid w:val="00EF4752"/>
    <w:rsid w:val="00EF7BC9"/>
    <w:rsid w:val="00F0185B"/>
    <w:rsid w:val="00F05C0E"/>
    <w:rsid w:val="00F072C2"/>
    <w:rsid w:val="00F1063E"/>
    <w:rsid w:val="00F211FB"/>
    <w:rsid w:val="00F53ED3"/>
    <w:rsid w:val="00FA3843"/>
    <w:rsid w:val="00FA3EB0"/>
    <w:rsid w:val="00FA6A75"/>
    <w:rsid w:val="00FA7CED"/>
    <w:rsid w:val="00FB15B2"/>
    <w:rsid w:val="00FB3742"/>
    <w:rsid w:val="00FD43C7"/>
    <w:rsid w:val="00FD4E1C"/>
    <w:rsid w:val="00FE69A5"/>
    <w:rsid w:val="00FE7F90"/>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54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B3454A"/>
  </w:style>
  <w:style w:type="paragraph" w:customStyle="1" w:styleId="p3">
    <w:name w:val="p3"/>
    <w:basedOn w:val="Normal"/>
    <w:rsid w:val="00B3454A"/>
    <w:pPr>
      <w:tabs>
        <w:tab w:val="left" w:pos="583"/>
      </w:tabs>
      <w:ind w:left="857" w:hanging="583"/>
    </w:pPr>
  </w:style>
  <w:style w:type="paragraph" w:customStyle="1" w:styleId="p4">
    <w:name w:val="p4"/>
    <w:basedOn w:val="Normal"/>
    <w:rsid w:val="00B3454A"/>
    <w:pPr>
      <w:tabs>
        <w:tab w:val="left" w:pos="674"/>
      </w:tabs>
    </w:pPr>
  </w:style>
  <w:style w:type="paragraph" w:customStyle="1" w:styleId="p5">
    <w:name w:val="p5"/>
    <w:basedOn w:val="Normal"/>
    <w:rsid w:val="00B3454A"/>
    <w:pPr>
      <w:tabs>
        <w:tab w:val="left" w:pos="765"/>
        <w:tab w:val="left" w:pos="1491"/>
      </w:tabs>
      <w:ind w:left="1491" w:hanging="726"/>
    </w:pPr>
  </w:style>
  <w:style w:type="paragraph" w:customStyle="1" w:styleId="t7">
    <w:name w:val="t7"/>
    <w:basedOn w:val="Normal"/>
    <w:rsid w:val="00B3454A"/>
  </w:style>
  <w:style w:type="paragraph" w:customStyle="1" w:styleId="p8">
    <w:name w:val="p8"/>
    <w:basedOn w:val="Normal"/>
    <w:rsid w:val="00B3454A"/>
    <w:pPr>
      <w:tabs>
        <w:tab w:val="left" w:pos="204"/>
      </w:tabs>
    </w:pPr>
  </w:style>
  <w:style w:type="paragraph" w:customStyle="1" w:styleId="p10">
    <w:name w:val="p10"/>
    <w:basedOn w:val="Normal"/>
    <w:rsid w:val="00B3454A"/>
    <w:pPr>
      <w:tabs>
        <w:tab w:val="left" w:pos="765"/>
      </w:tabs>
    </w:pPr>
  </w:style>
  <w:style w:type="paragraph" w:customStyle="1" w:styleId="p11">
    <w:name w:val="p11"/>
    <w:basedOn w:val="Normal"/>
    <w:rsid w:val="00B3454A"/>
    <w:pPr>
      <w:tabs>
        <w:tab w:val="left" w:pos="623"/>
      </w:tabs>
      <w:ind w:left="817" w:hanging="623"/>
    </w:pPr>
  </w:style>
  <w:style w:type="paragraph" w:customStyle="1" w:styleId="p12">
    <w:name w:val="p12"/>
    <w:basedOn w:val="Normal"/>
    <w:rsid w:val="00B3454A"/>
    <w:pPr>
      <w:tabs>
        <w:tab w:val="left" w:pos="674"/>
      </w:tabs>
      <w:ind w:left="766"/>
    </w:pPr>
  </w:style>
  <w:style w:type="paragraph" w:customStyle="1" w:styleId="c13">
    <w:name w:val="c13"/>
    <w:basedOn w:val="Normal"/>
    <w:rsid w:val="00B3454A"/>
    <w:pPr>
      <w:jc w:val="center"/>
    </w:pPr>
  </w:style>
  <w:style w:type="paragraph" w:styleId="Footer">
    <w:name w:val="footer"/>
    <w:basedOn w:val="Normal"/>
    <w:link w:val="FooterChar"/>
    <w:uiPriority w:val="99"/>
    <w:rsid w:val="00B3454A"/>
    <w:pPr>
      <w:tabs>
        <w:tab w:val="center" w:pos="4320"/>
        <w:tab w:val="right" w:pos="8640"/>
      </w:tabs>
    </w:pPr>
  </w:style>
  <w:style w:type="character" w:customStyle="1" w:styleId="FooterChar">
    <w:name w:val="Footer Char"/>
    <w:basedOn w:val="DefaultParagraphFont"/>
    <w:link w:val="Footer"/>
    <w:uiPriority w:val="99"/>
    <w:rsid w:val="00B3454A"/>
    <w:rPr>
      <w:rFonts w:ascii="Times New Roman" w:eastAsia="Times New Roman" w:hAnsi="Times New Roman" w:cs="Times New Roman"/>
      <w:sz w:val="24"/>
      <w:szCs w:val="24"/>
    </w:rPr>
  </w:style>
  <w:style w:type="character" w:styleId="PageNumber">
    <w:name w:val="page number"/>
    <w:basedOn w:val="DefaultParagraphFont"/>
    <w:rsid w:val="00B3454A"/>
  </w:style>
  <w:style w:type="character" w:styleId="Hyperlink">
    <w:name w:val="Hyperlink"/>
    <w:rsid w:val="00B3454A"/>
    <w:rPr>
      <w:color w:val="0000FF"/>
      <w:u w:val="single"/>
    </w:rPr>
  </w:style>
  <w:style w:type="paragraph" w:customStyle="1" w:styleId="DFARS">
    <w:name w:val="DFARS"/>
    <w:basedOn w:val="Normal"/>
    <w:rsid w:val="00B3454A"/>
    <w:pPr>
      <w:widowControl/>
      <w:tabs>
        <w:tab w:val="left" w:pos="360"/>
        <w:tab w:val="left" w:pos="810"/>
        <w:tab w:val="left" w:pos="1210"/>
        <w:tab w:val="left" w:pos="1656"/>
        <w:tab w:val="left" w:pos="2131"/>
        <w:tab w:val="left" w:pos="2520"/>
      </w:tabs>
      <w:autoSpaceDE/>
      <w:autoSpaceDN/>
      <w:adjustRightInd/>
      <w:spacing w:line="240" w:lineRule="exact"/>
    </w:pPr>
    <w:rPr>
      <w:rFonts w:ascii="Century Schoolbook" w:hAnsi="Century Schoolbook"/>
      <w:spacing w:val="-5"/>
      <w:kern w:val="20"/>
      <w:szCs w:val="20"/>
    </w:rPr>
  </w:style>
  <w:style w:type="paragraph" w:styleId="FootnoteText">
    <w:name w:val="footnote text"/>
    <w:basedOn w:val="Normal"/>
    <w:link w:val="FootnoteTextChar"/>
    <w:rsid w:val="00B3454A"/>
    <w:rPr>
      <w:sz w:val="20"/>
      <w:szCs w:val="20"/>
    </w:rPr>
  </w:style>
  <w:style w:type="character" w:customStyle="1" w:styleId="FootnoteTextChar">
    <w:name w:val="Footnote Text Char"/>
    <w:basedOn w:val="DefaultParagraphFont"/>
    <w:link w:val="FootnoteText"/>
    <w:rsid w:val="00B3454A"/>
    <w:rPr>
      <w:rFonts w:ascii="Times New Roman" w:eastAsia="Times New Roman" w:hAnsi="Times New Roman" w:cs="Times New Roman"/>
      <w:sz w:val="20"/>
      <w:szCs w:val="20"/>
    </w:rPr>
  </w:style>
  <w:style w:type="character" w:styleId="FootnoteReference">
    <w:name w:val="footnote reference"/>
    <w:rsid w:val="00B3454A"/>
    <w:rPr>
      <w:vertAlign w:val="superscript"/>
    </w:rPr>
  </w:style>
  <w:style w:type="paragraph" w:customStyle="1" w:styleId="c2">
    <w:name w:val="c2"/>
    <w:basedOn w:val="Normal"/>
    <w:rsid w:val="00EF7BC9"/>
    <w:pPr>
      <w:jc w:val="center"/>
    </w:pPr>
  </w:style>
  <w:style w:type="paragraph" w:styleId="Header">
    <w:name w:val="header"/>
    <w:basedOn w:val="Normal"/>
    <w:link w:val="HeaderChar"/>
    <w:uiPriority w:val="99"/>
    <w:unhideWhenUsed/>
    <w:rsid w:val="003411C6"/>
    <w:pPr>
      <w:tabs>
        <w:tab w:val="center" w:pos="4680"/>
        <w:tab w:val="right" w:pos="9360"/>
      </w:tabs>
    </w:pPr>
  </w:style>
  <w:style w:type="character" w:customStyle="1" w:styleId="HeaderChar">
    <w:name w:val="Header Char"/>
    <w:basedOn w:val="DefaultParagraphFont"/>
    <w:link w:val="Header"/>
    <w:uiPriority w:val="99"/>
    <w:rsid w:val="003411C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4983"/>
    <w:rPr>
      <w:rFonts w:ascii="Tahoma" w:hAnsi="Tahoma" w:cs="Tahoma"/>
      <w:sz w:val="16"/>
      <w:szCs w:val="16"/>
    </w:rPr>
  </w:style>
  <w:style w:type="character" w:customStyle="1" w:styleId="BalloonTextChar">
    <w:name w:val="Balloon Text Char"/>
    <w:basedOn w:val="DefaultParagraphFont"/>
    <w:link w:val="BalloonText"/>
    <w:uiPriority w:val="99"/>
    <w:semiHidden/>
    <w:rsid w:val="00BA4983"/>
    <w:rPr>
      <w:rFonts w:ascii="Tahoma" w:eastAsia="Times New Roman" w:hAnsi="Tahoma" w:cs="Tahoma"/>
      <w:sz w:val="16"/>
      <w:szCs w:val="16"/>
    </w:rPr>
  </w:style>
  <w:style w:type="paragraph" w:styleId="NormalWeb">
    <w:name w:val="Normal (Web)"/>
    <w:basedOn w:val="Normal"/>
    <w:unhideWhenUsed/>
    <w:rsid w:val="005709FF"/>
    <w:pPr>
      <w:widowControl/>
      <w:autoSpaceDE/>
      <w:autoSpaceDN/>
      <w:adjustRightInd/>
      <w:spacing w:before="100" w:beforeAutospacing="1" w:after="100" w:afterAutospacing="1"/>
    </w:pPr>
  </w:style>
  <w:style w:type="paragraph" w:styleId="HTMLPreformatted">
    <w:name w:val="HTML Preformatted"/>
    <w:basedOn w:val="Normal"/>
    <w:link w:val="HTMLPreformattedChar"/>
    <w:uiPriority w:val="99"/>
    <w:semiHidden/>
    <w:unhideWhenUsed/>
    <w:rsid w:val="005709F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709FF"/>
    <w:rPr>
      <w:rFonts w:ascii="Consolas" w:eastAsia="Times New Roman" w:hAnsi="Consolas" w:cs="Consolas"/>
      <w:sz w:val="20"/>
      <w:szCs w:val="20"/>
    </w:rPr>
  </w:style>
  <w:style w:type="paragraph" w:styleId="PlainText">
    <w:name w:val="Plain Text"/>
    <w:basedOn w:val="Normal"/>
    <w:link w:val="PlainTextChar"/>
    <w:uiPriority w:val="99"/>
    <w:unhideWhenUsed/>
    <w:rsid w:val="00A24004"/>
    <w:pPr>
      <w:widowControl/>
      <w:autoSpaceDE/>
      <w:autoSpaceDN/>
      <w:adjustRightInd/>
    </w:pPr>
    <w:rPr>
      <w:rFonts w:ascii="Calibri" w:hAnsi="Calibri"/>
      <w:sz w:val="28"/>
      <w:szCs w:val="21"/>
    </w:rPr>
  </w:style>
  <w:style w:type="character" w:customStyle="1" w:styleId="PlainTextChar">
    <w:name w:val="Plain Text Char"/>
    <w:basedOn w:val="DefaultParagraphFont"/>
    <w:link w:val="PlainText"/>
    <w:uiPriority w:val="99"/>
    <w:rsid w:val="00A24004"/>
    <w:rPr>
      <w:rFonts w:ascii="Calibri" w:eastAsia="Times New Roman" w:hAnsi="Calibri" w:cs="Times New Roman"/>
      <w:sz w:val="28"/>
      <w:szCs w:val="21"/>
    </w:rPr>
  </w:style>
  <w:style w:type="paragraph" w:styleId="ListParagraph">
    <w:name w:val="List Paragraph"/>
    <w:basedOn w:val="Normal"/>
    <w:uiPriority w:val="34"/>
    <w:qFormat/>
    <w:rsid w:val="00D64BE4"/>
    <w:pPr>
      <w:ind w:left="720"/>
      <w:contextualSpacing/>
    </w:pPr>
  </w:style>
  <w:style w:type="character" w:styleId="FollowedHyperlink">
    <w:name w:val="FollowedHyperlink"/>
    <w:basedOn w:val="DefaultParagraphFont"/>
    <w:uiPriority w:val="99"/>
    <w:semiHidden/>
    <w:unhideWhenUsed/>
    <w:rsid w:val="00603F0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54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B3454A"/>
  </w:style>
  <w:style w:type="paragraph" w:customStyle="1" w:styleId="p3">
    <w:name w:val="p3"/>
    <w:basedOn w:val="Normal"/>
    <w:rsid w:val="00B3454A"/>
    <w:pPr>
      <w:tabs>
        <w:tab w:val="left" w:pos="583"/>
      </w:tabs>
      <w:ind w:left="857" w:hanging="583"/>
    </w:pPr>
  </w:style>
  <w:style w:type="paragraph" w:customStyle="1" w:styleId="p4">
    <w:name w:val="p4"/>
    <w:basedOn w:val="Normal"/>
    <w:rsid w:val="00B3454A"/>
    <w:pPr>
      <w:tabs>
        <w:tab w:val="left" w:pos="674"/>
      </w:tabs>
    </w:pPr>
  </w:style>
  <w:style w:type="paragraph" w:customStyle="1" w:styleId="p5">
    <w:name w:val="p5"/>
    <w:basedOn w:val="Normal"/>
    <w:rsid w:val="00B3454A"/>
    <w:pPr>
      <w:tabs>
        <w:tab w:val="left" w:pos="765"/>
        <w:tab w:val="left" w:pos="1491"/>
      </w:tabs>
      <w:ind w:left="1491" w:hanging="726"/>
    </w:pPr>
  </w:style>
  <w:style w:type="paragraph" w:customStyle="1" w:styleId="t7">
    <w:name w:val="t7"/>
    <w:basedOn w:val="Normal"/>
    <w:rsid w:val="00B3454A"/>
  </w:style>
  <w:style w:type="paragraph" w:customStyle="1" w:styleId="p8">
    <w:name w:val="p8"/>
    <w:basedOn w:val="Normal"/>
    <w:rsid w:val="00B3454A"/>
    <w:pPr>
      <w:tabs>
        <w:tab w:val="left" w:pos="204"/>
      </w:tabs>
    </w:pPr>
  </w:style>
  <w:style w:type="paragraph" w:customStyle="1" w:styleId="p10">
    <w:name w:val="p10"/>
    <w:basedOn w:val="Normal"/>
    <w:rsid w:val="00B3454A"/>
    <w:pPr>
      <w:tabs>
        <w:tab w:val="left" w:pos="765"/>
      </w:tabs>
    </w:pPr>
  </w:style>
  <w:style w:type="paragraph" w:customStyle="1" w:styleId="p11">
    <w:name w:val="p11"/>
    <w:basedOn w:val="Normal"/>
    <w:rsid w:val="00B3454A"/>
    <w:pPr>
      <w:tabs>
        <w:tab w:val="left" w:pos="623"/>
      </w:tabs>
      <w:ind w:left="817" w:hanging="623"/>
    </w:pPr>
  </w:style>
  <w:style w:type="paragraph" w:customStyle="1" w:styleId="p12">
    <w:name w:val="p12"/>
    <w:basedOn w:val="Normal"/>
    <w:rsid w:val="00B3454A"/>
    <w:pPr>
      <w:tabs>
        <w:tab w:val="left" w:pos="674"/>
      </w:tabs>
      <w:ind w:left="766"/>
    </w:pPr>
  </w:style>
  <w:style w:type="paragraph" w:customStyle="1" w:styleId="c13">
    <w:name w:val="c13"/>
    <w:basedOn w:val="Normal"/>
    <w:rsid w:val="00B3454A"/>
    <w:pPr>
      <w:jc w:val="center"/>
    </w:pPr>
  </w:style>
  <w:style w:type="paragraph" w:styleId="Footer">
    <w:name w:val="footer"/>
    <w:basedOn w:val="Normal"/>
    <w:link w:val="FooterChar"/>
    <w:uiPriority w:val="99"/>
    <w:rsid w:val="00B3454A"/>
    <w:pPr>
      <w:tabs>
        <w:tab w:val="center" w:pos="4320"/>
        <w:tab w:val="right" w:pos="8640"/>
      </w:tabs>
    </w:pPr>
  </w:style>
  <w:style w:type="character" w:customStyle="1" w:styleId="FooterChar">
    <w:name w:val="Footer Char"/>
    <w:basedOn w:val="DefaultParagraphFont"/>
    <w:link w:val="Footer"/>
    <w:uiPriority w:val="99"/>
    <w:rsid w:val="00B3454A"/>
    <w:rPr>
      <w:rFonts w:ascii="Times New Roman" w:eastAsia="Times New Roman" w:hAnsi="Times New Roman" w:cs="Times New Roman"/>
      <w:sz w:val="24"/>
      <w:szCs w:val="24"/>
    </w:rPr>
  </w:style>
  <w:style w:type="character" w:styleId="PageNumber">
    <w:name w:val="page number"/>
    <w:basedOn w:val="DefaultParagraphFont"/>
    <w:rsid w:val="00B3454A"/>
  </w:style>
  <w:style w:type="character" w:styleId="Hyperlink">
    <w:name w:val="Hyperlink"/>
    <w:rsid w:val="00B3454A"/>
    <w:rPr>
      <w:color w:val="0000FF"/>
      <w:u w:val="single"/>
    </w:rPr>
  </w:style>
  <w:style w:type="paragraph" w:customStyle="1" w:styleId="DFARS">
    <w:name w:val="DFARS"/>
    <w:basedOn w:val="Normal"/>
    <w:rsid w:val="00B3454A"/>
    <w:pPr>
      <w:widowControl/>
      <w:tabs>
        <w:tab w:val="left" w:pos="360"/>
        <w:tab w:val="left" w:pos="810"/>
        <w:tab w:val="left" w:pos="1210"/>
        <w:tab w:val="left" w:pos="1656"/>
        <w:tab w:val="left" w:pos="2131"/>
        <w:tab w:val="left" w:pos="2520"/>
      </w:tabs>
      <w:autoSpaceDE/>
      <w:autoSpaceDN/>
      <w:adjustRightInd/>
      <w:spacing w:line="240" w:lineRule="exact"/>
    </w:pPr>
    <w:rPr>
      <w:rFonts w:ascii="Century Schoolbook" w:hAnsi="Century Schoolbook"/>
      <w:spacing w:val="-5"/>
      <w:kern w:val="20"/>
      <w:szCs w:val="20"/>
    </w:rPr>
  </w:style>
  <w:style w:type="paragraph" w:styleId="FootnoteText">
    <w:name w:val="footnote text"/>
    <w:basedOn w:val="Normal"/>
    <w:link w:val="FootnoteTextChar"/>
    <w:rsid w:val="00B3454A"/>
    <w:rPr>
      <w:sz w:val="20"/>
      <w:szCs w:val="20"/>
    </w:rPr>
  </w:style>
  <w:style w:type="character" w:customStyle="1" w:styleId="FootnoteTextChar">
    <w:name w:val="Footnote Text Char"/>
    <w:basedOn w:val="DefaultParagraphFont"/>
    <w:link w:val="FootnoteText"/>
    <w:rsid w:val="00B3454A"/>
    <w:rPr>
      <w:rFonts w:ascii="Times New Roman" w:eastAsia="Times New Roman" w:hAnsi="Times New Roman" w:cs="Times New Roman"/>
      <w:sz w:val="20"/>
      <w:szCs w:val="20"/>
    </w:rPr>
  </w:style>
  <w:style w:type="character" w:styleId="FootnoteReference">
    <w:name w:val="footnote reference"/>
    <w:rsid w:val="00B3454A"/>
    <w:rPr>
      <w:vertAlign w:val="superscript"/>
    </w:rPr>
  </w:style>
  <w:style w:type="paragraph" w:customStyle="1" w:styleId="c2">
    <w:name w:val="c2"/>
    <w:basedOn w:val="Normal"/>
    <w:rsid w:val="00EF7BC9"/>
    <w:pPr>
      <w:jc w:val="center"/>
    </w:pPr>
  </w:style>
  <w:style w:type="paragraph" w:styleId="Header">
    <w:name w:val="header"/>
    <w:basedOn w:val="Normal"/>
    <w:link w:val="HeaderChar"/>
    <w:uiPriority w:val="99"/>
    <w:unhideWhenUsed/>
    <w:rsid w:val="003411C6"/>
    <w:pPr>
      <w:tabs>
        <w:tab w:val="center" w:pos="4680"/>
        <w:tab w:val="right" w:pos="9360"/>
      </w:tabs>
    </w:pPr>
  </w:style>
  <w:style w:type="character" w:customStyle="1" w:styleId="HeaderChar">
    <w:name w:val="Header Char"/>
    <w:basedOn w:val="DefaultParagraphFont"/>
    <w:link w:val="Header"/>
    <w:uiPriority w:val="99"/>
    <w:rsid w:val="003411C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4983"/>
    <w:rPr>
      <w:rFonts w:ascii="Tahoma" w:hAnsi="Tahoma" w:cs="Tahoma"/>
      <w:sz w:val="16"/>
      <w:szCs w:val="16"/>
    </w:rPr>
  </w:style>
  <w:style w:type="character" w:customStyle="1" w:styleId="BalloonTextChar">
    <w:name w:val="Balloon Text Char"/>
    <w:basedOn w:val="DefaultParagraphFont"/>
    <w:link w:val="BalloonText"/>
    <w:uiPriority w:val="99"/>
    <w:semiHidden/>
    <w:rsid w:val="00BA4983"/>
    <w:rPr>
      <w:rFonts w:ascii="Tahoma" w:eastAsia="Times New Roman" w:hAnsi="Tahoma" w:cs="Tahoma"/>
      <w:sz w:val="16"/>
      <w:szCs w:val="16"/>
    </w:rPr>
  </w:style>
  <w:style w:type="paragraph" w:styleId="NormalWeb">
    <w:name w:val="Normal (Web)"/>
    <w:basedOn w:val="Normal"/>
    <w:unhideWhenUsed/>
    <w:rsid w:val="005709FF"/>
    <w:pPr>
      <w:widowControl/>
      <w:autoSpaceDE/>
      <w:autoSpaceDN/>
      <w:adjustRightInd/>
      <w:spacing w:before="100" w:beforeAutospacing="1" w:after="100" w:afterAutospacing="1"/>
    </w:pPr>
  </w:style>
  <w:style w:type="paragraph" w:styleId="HTMLPreformatted">
    <w:name w:val="HTML Preformatted"/>
    <w:basedOn w:val="Normal"/>
    <w:link w:val="HTMLPreformattedChar"/>
    <w:uiPriority w:val="99"/>
    <w:semiHidden/>
    <w:unhideWhenUsed/>
    <w:rsid w:val="005709F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709FF"/>
    <w:rPr>
      <w:rFonts w:ascii="Consolas" w:eastAsia="Times New Roman" w:hAnsi="Consolas" w:cs="Consolas"/>
      <w:sz w:val="20"/>
      <w:szCs w:val="20"/>
    </w:rPr>
  </w:style>
  <w:style w:type="paragraph" w:styleId="PlainText">
    <w:name w:val="Plain Text"/>
    <w:basedOn w:val="Normal"/>
    <w:link w:val="PlainTextChar"/>
    <w:uiPriority w:val="99"/>
    <w:unhideWhenUsed/>
    <w:rsid w:val="00A24004"/>
    <w:pPr>
      <w:widowControl/>
      <w:autoSpaceDE/>
      <w:autoSpaceDN/>
      <w:adjustRightInd/>
    </w:pPr>
    <w:rPr>
      <w:rFonts w:ascii="Calibri" w:hAnsi="Calibri"/>
      <w:sz w:val="28"/>
      <w:szCs w:val="21"/>
    </w:rPr>
  </w:style>
  <w:style w:type="character" w:customStyle="1" w:styleId="PlainTextChar">
    <w:name w:val="Plain Text Char"/>
    <w:basedOn w:val="DefaultParagraphFont"/>
    <w:link w:val="PlainText"/>
    <w:uiPriority w:val="99"/>
    <w:rsid w:val="00A24004"/>
    <w:rPr>
      <w:rFonts w:ascii="Calibri" w:eastAsia="Times New Roman" w:hAnsi="Calibri" w:cs="Times New Roman"/>
      <w:sz w:val="28"/>
      <w:szCs w:val="21"/>
    </w:rPr>
  </w:style>
  <w:style w:type="paragraph" w:styleId="ListParagraph">
    <w:name w:val="List Paragraph"/>
    <w:basedOn w:val="Normal"/>
    <w:uiPriority w:val="34"/>
    <w:qFormat/>
    <w:rsid w:val="00D64BE4"/>
    <w:pPr>
      <w:ind w:left="720"/>
      <w:contextualSpacing/>
    </w:pPr>
  </w:style>
  <w:style w:type="character" w:styleId="FollowedHyperlink">
    <w:name w:val="FollowedHyperlink"/>
    <w:basedOn w:val="DefaultParagraphFont"/>
    <w:uiPriority w:val="99"/>
    <w:semiHidden/>
    <w:unhideWhenUsed/>
    <w:rsid w:val="00603F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38587">
      <w:bodyDiv w:val="1"/>
      <w:marLeft w:val="0"/>
      <w:marRight w:val="0"/>
      <w:marTop w:val="0"/>
      <w:marBottom w:val="0"/>
      <w:divBdr>
        <w:top w:val="none" w:sz="0" w:space="0" w:color="auto"/>
        <w:left w:val="none" w:sz="0" w:space="0" w:color="auto"/>
        <w:bottom w:val="none" w:sz="0" w:space="0" w:color="auto"/>
        <w:right w:val="none" w:sz="0" w:space="0" w:color="auto"/>
      </w:divBdr>
    </w:div>
    <w:div w:id="469714513">
      <w:bodyDiv w:val="1"/>
      <w:marLeft w:val="0"/>
      <w:marRight w:val="0"/>
      <w:marTop w:val="0"/>
      <w:marBottom w:val="0"/>
      <w:divBdr>
        <w:top w:val="none" w:sz="0" w:space="0" w:color="auto"/>
        <w:left w:val="none" w:sz="0" w:space="0" w:color="auto"/>
        <w:bottom w:val="none" w:sz="0" w:space="0" w:color="auto"/>
        <w:right w:val="none" w:sz="0" w:space="0" w:color="auto"/>
      </w:divBdr>
    </w:div>
    <w:div w:id="1413240453">
      <w:bodyDiv w:val="1"/>
      <w:marLeft w:val="0"/>
      <w:marRight w:val="0"/>
      <w:marTop w:val="0"/>
      <w:marBottom w:val="0"/>
      <w:divBdr>
        <w:top w:val="none" w:sz="0" w:space="0" w:color="auto"/>
        <w:left w:val="none" w:sz="0" w:space="0" w:color="auto"/>
        <w:bottom w:val="none" w:sz="0" w:space="0" w:color="auto"/>
        <w:right w:val="none" w:sz="0" w:space="0" w:color="auto"/>
      </w:divBdr>
    </w:div>
    <w:div w:id="1458183744">
      <w:bodyDiv w:val="1"/>
      <w:marLeft w:val="0"/>
      <w:marRight w:val="0"/>
      <w:marTop w:val="30"/>
      <w:marBottom w:val="750"/>
      <w:divBdr>
        <w:top w:val="none" w:sz="0" w:space="0" w:color="auto"/>
        <w:left w:val="none" w:sz="0" w:space="0" w:color="auto"/>
        <w:bottom w:val="none" w:sz="0" w:space="0" w:color="auto"/>
        <w:right w:val="none" w:sz="0" w:space="0" w:color="auto"/>
      </w:divBdr>
      <w:divsChild>
        <w:div w:id="1610115786">
          <w:marLeft w:val="0"/>
          <w:marRight w:val="0"/>
          <w:marTop w:val="0"/>
          <w:marBottom w:val="0"/>
          <w:divBdr>
            <w:top w:val="none" w:sz="0" w:space="0" w:color="auto"/>
            <w:left w:val="none" w:sz="0" w:space="0" w:color="auto"/>
            <w:bottom w:val="none" w:sz="0" w:space="0" w:color="auto"/>
            <w:right w:val="none" w:sz="0" w:space="0" w:color="auto"/>
          </w:divBdr>
          <w:divsChild>
            <w:div w:id="3027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44188">
      <w:bodyDiv w:val="1"/>
      <w:marLeft w:val="0"/>
      <w:marRight w:val="0"/>
      <w:marTop w:val="0"/>
      <w:marBottom w:val="0"/>
      <w:divBdr>
        <w:top w:val="none" w:sz="0" w:space="0" w:color="auto"/>
        <w:left w:val="none" w:sz="0" w:space="0" w:color="auto"/>
        <w:bottom w:val="none" w:sz="0" w:space="0" w:color="auto"/>
        <w:right w:val="none" w:sz="0" w:space="0" w:color="auto"/>
      </w:divBdr>
    </w:div>
    <w:div w:id="1696273759">
      <w:bodyDiv w:val="1"/>
      <w:marLeft w:val="0"/>
      <w:marRight w:val="0"/>
      <w:marTop w:val="0"/>
      <w:marBottom w:val="0"/>
      <w:divBdr>
        <w:top w:val="none" w:sz="0" w:space="0" w:color="auto"/>
        <w:left w:val="none" w:sz="0" w:space="0" w:color="auto"/>
        <w:bottom w:val="none" w:sz="0" w:space="0" w:color="auto"/>
        <w:right w:val="none" w:sz="0" w:space="0" w:color="auto"/>
      </w:divBdr>
    </w:div>
    <w:div w:id="184492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gpo.gov/fdsys/pkg/FR-2016-12-23/pdf/2016-3101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C9815-0CCE-4073-9AC1-22ADAFB7C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2701</Words>
  <Characters>15399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EITSD</dc:creator>
  <cp:lastModifiedBy>Jennifer Hawes</cp:lastModifiedBy>
  <cp:revision>4</cp:revision>
  <cp:lastPrinted>2017-03-28T14:16:00Z</cp:lastPrinted>
  <dcterms:created xsi:type="dcterms:W3CDTF">2017-03-28T14:14:00Z</dcterms:created>
  <dcterms:modified xsi:type="dcterms:W3CDTF">2017-03-28T14:16:00Z</dcterms:modified>
</cp:coreProperties>
</file>