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BFB21" w14:textId="77777777" w:rsidR="00451D48" w:rsidRPr="00955D79" w:rsidRDefault="00451D48" w:rsidP="00451D48">
      <w:pPr>
        <w:pStyle w:val="HeadingA"/>
        <w:tabs>
          <w:tab w:val="clear" w:pos="0"/>
        </w:tabs>
        <w:ind w:left="630"/>
        <w:rPr>
          <w:rFonts w:ascii="Times New Roman" w:hAnsi="Times New Roman" w:cs="Times New Roman"/>
        </w:rPr>
      </w:pPr>
      <w:bookmarkStart w:id="0" w:name="_GoBack"/>
      <w:bookmarkEnd w:id="0"/>
      <w:r w:rsidRPr="00955D79">
        <w:rPr>
          <w:rFonts w:ascii="Times New Roman" w:hAnsi="Times New Roman" w:cs="Times New Roman"/>
        </w:rPr>
        <w:t>B.</w:t>
      </w:r>
      <w:r w:rsidRPr="00955D79">
        <w:rPr>
          <w:rFonts w:ascii="Times New Roman" w:hAnsi="Times New Roman" w:cs="Times New Roman"/>
        </w:rPr>
        <w:tab/>
        <w:t>COLLECTIONS OF INFORMATION EMPLOYING STATISTICAL METHODS</w:t>
      </w:r>
    </w:p>
    <w:p w14:paraId="50FE028B" w14:textId="77777777" w:rsidR="00451D48" w:rsidRPr="00955D79" w:rsidRDefault="00451D48" w:rsidP="00451D48">
      <w:pPr>
        <w:pStyle w:val="Heading1"/>
        <w:tabs>
          <w:tab w:val="clear" w:pos="0"/>
        </w:tabs>
        <w:ind w:left="630"/>
        <w:rPr>
          <w:rFonts w:ascii="Times New Roman" w:hAnsi="Times New Roman" w:cs="Times New Roman"/>
        </w:rPr>
      </w:pPr>
      <w:r w:rsidRPr="00955D79">
        <w:rPr>
          <w:rFonts w:ascii="Times New Roman" w:hAnsi="Times New Roman" w:cs="Times New Roman"/>
        </w:rPr>
        <w:t>1.</w:t>
      </w:r>
      <w:r w:rsidRPr="00955D79">
        <w:rPr>
          <w:rFonts w:ascii="Times New Roman" w:hAnsi="Times New Roman" w:cs="Times New Roman"/>
        </w:rPr>
        <w:tab/>
      </w:r>
      <w:r w:rsidRPr="00955D79">
        <w:rPr>
          <w:rFonts w:ascii="Times New Roman" w:hAnsi="Times New Roman" w:cs="Times New Roman"/>
          <w:u w:val="single"/>
        </w:rPr>
        <w:t>Respondent Universe and Sampling Methods</w:t>
      </w:r>
    </w:p>
    <w:p w14:paraId="3BB47B5E" w14:textId="77777777" w:rsidR="00451D48" w:rsidRPr="00ED3F4B" w:rsidRDefault="00451D48" w:rsidP="00451D48">
      <w:pPr>
        <w:pStyle w:val="BodyText"/>
        <w:tabs>
          <w:tab w:val="left" w:pos="634"/>
        </w:tabs>
        <w:spacing w:after="0"/>
        <w:ind w:left="630" w:hanging="634"/>
      </w:pPr>
      <w:r w:rsidRPr="00ED3F4B">
        <w:tab/>
      </w:r>
      <w:r>
        <w:t>The Contractor will screen a convenience sample of a</w:t>
      </w:r>
      <w:r w:rsidRPr="00942CD7">
        <w:t xml:space="preserve">pproximately </w:t>
      </w:r>
      <w:r>
        <w:t>500</w:t>
      </w:r>
      <w:r w:rsidRPr="00942CD7">
        <w:t xml:space="preserve"> </w:t>
      </w:r>
      <w:r>
        <w:t>individuals</w:t>
      </w:r>
      <w:r w:rsidRPr="00942CD7">
        <w:t xml:space="preserve"> </w:t>
      </w:r>
      <w:r>
        <w:t>to recruit up to 198</w:t>
      </w:r>
      <w:r w:rsidRPr="00942CD7">
        <w:t xml:space="preserve"> </w:t>
      </w:r>
      <w:r>
        <w:t>respondents</w:t>
      </w:r>
      <w:r w:rsidRPr="00942CD7">
        <w:t xml:space="preserve"> across</w:t>
      </w:r>
      <w:r>
        <w:t xml:space="preserve"> </w:t>
      </w:r>
      <w:r w:rsidRPr="00942CD7">
        <w:t>three rounds</w:t>
      </w:r>
      <w:r>
        <w:t xml:space="preserve"> of pretesting </w:t>
      </w:r>
      <w:r w:rsidRPr="00942CD7">
        <w:t>interviews.</w:t>
      </w:r>
      <w:r>
        <w:t xml:space="preserve"> The targeted final sample size for completed pretesting interviews in Round 1 is 60 </w:t>
      </w:r>
      <w:r w:rsidRPr="00261C56">
        <w:t>(</w:t>
      </w:r>
      <w:r>
        <w:t>26</w:t>
      </w:r>
      <w:r w:rsidRPr="00261C56">
        <w:t xml:space="preserve"> English-speaking adolescents</w:t>
      </w:r>
      <w:r>
        <w:t xml:space="preserve"> aged 12-17 and</w:t>
      </w:r>
      <w:r w:rsidRPr="00261C56">
        <w:t xml:space="preserve"> </w:t>
      </w:r>
      <w:r>
        <w:t>34 </w:t>
      </w:r>
      <w:r w:rsidRPr="00261C56">
        <w:t>English-speaking adults)</w:t>
      </w:r>
      <w:r>
        <w:t xml:space="preserve">. The targeted final sample size for completed pretesting interviews in Rounds 2 and 3 is 69 per round </w:t>
      </w:r>
      <w:r w:rsidRPr="00261C56">
        <w:t>(</w:t>
      </w:r>
      <w:r>
        <w:t>26</w:t>
      </w:r>
      <w:r w:rsidRPr="00261C56">
        <w:t xml:space="preserve"> English-speaking adolescents, </w:t>
      </w:r>
      <w:r>
        <w:t>34 </w:t>
      </w:r>
      <w:r w:rsidRPr="00261C56">
        <w:t xml:space="preserve">English-speaking adults, and </w:t>
      </w:r>
      <w:r>
        <w:t>9</w:t>
      </w:r>
      <w:r w:rsidRPr="00261C56">
        <w:t xml:space="preserve"> Spanish-speaking adults)</w:t>
      </w:r>
      <w:r>
        <w:t xml:space="preserve">. </w:t>
      </w:r>
      <w:r w:rsidRPr="00DC6322">
        <w:t>All</w:t>
      </w:r>
      <w:r>
        <w:t xml:space="preserve"> </w:t>
      </w:r>
      <w:r w:rsidRPr="00DC6322">
        <w:t>participants will consist of volunteers who are screened and determined to meet recruitment criteria.</w:t>
      </w:r>
    </w:p>
    <w:p w14:paraId="15ED9C11" w14:textId="77777777" w:rsidR="00451D48" w:rsidRPr="00ED3F4B" w:rsidRDefault="00451D48" w:rsidP="00451D48">
      <w:pPr>
        <w:pStyle w:val="BodyText"/>
        <w:tabs>
          <w:tab w:val="left" w:pos="634"/>
        </w:tabs>
        <w:spacing w:after="0"/>
        <w:ind w:left="630" w:hanging="634"/>
      </w:pPr>
    </w:p>
    <w:p w14:paraId="578906A0" w14:textId="77777777" w:rsidR="00451D48" w:rsidRPr="00ED3F4B" w:rsidRDefault="00451D48" w:rsidP="00451D48">
      <w:pPr>
        <w:pStyle w:val="BodyText"/>
        <w:tabs>
          <w:tab w:val="left" w:pos="634"/>
        </w:tabs>
        <w:spacing w:after="0"/>
        <w:ind w:left="630" w:hanging="634"/>
        <w:rPr>
          <w:b/>
          <w:bCs/>
        </w:rPr>
      </w:pPr>
      <w:r w:rsidRPr="00ED3F4B">
        <w:tab/>
      </w:r>
      <w:r w:rsidRPr="00ED3F4B">
        <w:rPr>
          <w:b/>
          <w:bCs/>
        </w:rPr>
        <w:t>English-Speaking Participants</w:t>
      </w:r>
    </w:p>
    <w:p w14:paraId="3ED008C8" w14:textId="07B53B0F" w:rsidR="00451D48" w:rsidRPr="00ED3F4B" w:rsidRDefault="00451D48" w:rsidP="00451D48">
      <w:pPr>
        <w:pStyle w:val="BodyText"/>
        <w:tabs>
          <w:tab w:val="left" w:pos="634"/>
        </w:tabs>
        <w:spacing w:after="0"/>
        <w:ind w:left="630" w:hanging="634"/>
      </w:pPr>
      <w:r w:rsidRPr="00ED3F4B">
        <w:tab/>
        <w:t>A</w:t>
      </w:r>
      <w:r>
        <w:t>cross the three rounds, a</w:t>
      </w:r>
      <w:r w:rsidRPr="00ED3F4B">
        <w:t xml:space="preserve"> total of </w:t>
      </w:r>
      <w:r>
        <w:t>up to 180</w:t>
      </w:r>
      <w:r w:rsidRPr="00ED3F4B">
        <w:t xml:space="preserve"> </w:t>
      </w:r>
      <w:r>
        <w:t xml:space="preserve">pretesting </w:t>
      </w:r>
      <w:r w:rsidRPr="00ED3F4B">
        <w:t>interviews will be conducted with English-speaking participants in the following geographic areas: Research Triangle Park (RTP), NC; Washington, DC; Baltimore, MD</w:t>
      </w:r>
      <w:r>
        <w:t>;</w:t>
      </w:r>
      <w:r w:rsidRPr="00ED3F4B">
        <w:t xml:space="preserve"> Portland, OR</w:t>
      </w:r>
      <w:r>
        <w:t xml:space="preserve">; Chicago, IL; </w:t>
      </w:r>
      <w:r w:rsidR="009F0882">
        <w:t xml:space="preserve">Greenville, SC; Minneapolis, MN; Atlanta, GA; </w:t>
      </w:r>
      <w:r w:rsidR="00AC670A">
        <w:t xml:space="preserve">Charleston, WV; </w:t>
      </w:r>
      <w:r w:rsidR="002C6E4A">
        <w:t xml:space="preserve">Charleston, SC; </w:t>
      </w:r>
      <w:r>
        <w:t>and Lincoln, NE</w:t>
      </w:r>
      <w:r w:rsidRPr="00ED3F4B">
        <w:t xml:space="preserve">. </w:t>
      </w:r>
      <w:r w:rsidRPr="00ED3F4B">
        <w:tab/>
      </w:r>
    </w:p>
    <w:p w14:paraId="4DEDC6A2" w14:textId="77777777" w:rsidR="00451D48" w:rsidRPr="00933C1F" w:rsidRDefault="00451D48" w:rsidP="00451D48">
      <w:pPr>
        <w:pStyle w:val="BodyText"/>
        <w:tabs>
          <w:tab w:val="left" w:pos="634"/>
        </w:tabs>
        <w:spacing w:after="0"/>
        <w:ind w:left="630" w:hanging="634"/>
      </w:pPr>
    </w:p>
    <w:p w14:paraId="35EA16DC" w14:textId="77777777" w:rsidR="00451D48" w:rsidRPr="00933C1F" w:rsidRDefault="00451D48" w:rsidP="00451D48">
      <w:pPr>
        <w:pStyle w:val="BodyText"/>
        <w:tabs>
          <w:tab w:val="left" w:pos="634"/>
        </w:tabs>
        <w:spacing w:after="0"/>
        <w:ind w:left="630" w:hanging="634"/>
      </w:pPr>
      <w:r w:rsidRPr="00933C1F">
        <w:tab/>
        <w:t xml:space="preserve">The objectives mentioned previously require the </w:t>
      </w:r>
      <w:r>
        <w:t xml:space="preserve">pretest </w:t>
      </w:r>
      <w:r w:rsidRPr="00933C1F">
        <w:t>to include people who match selected characteristics of the target population NSDUH is trying to reach</w:t>
      </w:r>
      <w:r>
        <w:t xml:space="preserve"> based on experiences with substance use, treatment or other factors (e.g., chronic pain or sleep issues)</w:t>
      </w:r>
      <w:r w:rsidRPr="00933C1F">
        <w:t xml:space="preserve">. </w:t>
      </w:r>
      <w:r w:rsidRPr="00B65C48">
        <w:t xml:space="preserve">Table </w:t>
      </w:r>
      <w:r>
        <w:t>4</w:t>
      </w:r>
      <w:r w:rsidRPr="00B65C48">
        <w:t xml:space="preserve"> shows the sample targets for English</w:t>
      </w:r>
      <w:r>
        <w:t>-</w:t>
      </w:r>
      <w:r w:rsidRPr="00B65C48">
        <w:t xml:space="preserve">speaking </w:t>
      </w:r>
      <w:r>
        <w:t xml:space="preserve">adolescent and adult </w:t>
      </w:r>
      <w:r w:rsidRPr="00B65C48">
        <w:t>participants in each round of</w:t>
      </w:r>
      <w:r w:rsidRPr="00933C1F">
        <w:t xml:space="preserve"> interviewing. </w:t>
      </w:r>
    </w:p>
    <w:p w14:paraId="707BBFE0" w14:textId="77777777" w:rsidR="00451D48" w:rsidRPr="00ED3F4B" w:rsidRDefault="00451D48" w:rsidP="00451D48">
      <w:pPr>
        <w:pStyle w:val="BodyText"/>
        <w:tabs>
          <w:tab w:val="left" w:pos="634"/>
        </w:tabs>
        <w:spacing w:after="0"/>
        <w:ind w:left="630" w:hanging="634"/>
      </w:pPr>
    </w:p>
    <w:p w14:paraId="567CD8EE" w14:textId="77777777" w:rsidR="00451D48" w:rsidRPr="00ED3F4B" w:rsidRDefault="00451D48" w:rsidP="00451D48">
      <w:pPr>
        <w:widowControl/>
        <w:tabs>
          <w:tab w:val="left" w:pos="-720"/>
          <w:tab w:val="left" w:pos="1710"/>
        </w:tabs>
        <w:spacing w:after="120"/>
        <w:ind w:left="630" w:hanging="1710"/>
      </w:pPr>
      <w:r w:rsidRPr="00ED3F4B">
        <w:tab/>
      </w:r>
      <w:r w:rsidRPr="00ED3F4B">
        <w:tab/>
      </w:r>
      <w:bookmarkStart w:id="1" w:name="_Hlk526343962"/>
      <w:r w:rsidRPr="00ED3F4B">
        <w:rPr>
          <w:b/>
          <w:bCs/>
        </w:rPr>
        <w:t xml:space="preserve">Table </w:t>
      </w:r>
      <w:r>
        <w:rPr>
          <w:b/>
          <w:bCs/>
        </w:rPr>
        <w:t>4</w:t>
      </w:r>
      <w:r w:rsidRPr="00ED3F4B">
        <w:rPr>
          <w:b/>
          <w:bCs/>
        </w:rPr>
        <w:t>.</w:t>
      </w:r>
      <w:r w:rsidRPr="00ED3F4B">
        <w:rPr>
          <w:b/>
          <w:bCs/>
        </w:rPr>
        <w:tab/>
        <w:t xml:space="preserve">Targeted </w:t>
      </w:r>
      <w:r>
        <w:rPr>
          <w:b/>
          <w:bCs/>
        </w:rPr>
        <w:t xml:space="preserve">Final </w:t>
      </w:r>
      <w:r w:rsidRPr="00ED3F4B">
        <w:rPr>
          <w:b/>
          <w:bCs/>
        </w:rPr>
        <w:t xml:space="preserve">Sample Sizes </w:t>
      </w:r>
      <w:r>
        <w:rPr>
          <w:b/>
          <w:bCs/>
        </w:rPr>
        <w:t>per</w:t>
      </w:r>
      <w:r w:rsidRPr="00ED3F4B">
        <w:rPr>
          <w:b/>
          <w:bCs/>
        </w:rPr>
        <w:t xml:space="preserve"> </w:t>
      </w:r>
      <w:r>
        <w:rPr>
          <w:b/>
          <w:bCs/>
        </w:rPr>
        <w:t xml:space="preserve">Pretesting </w:t>
      </w:r>
      <w:r w:rsidRPr="00ED3F4B">
        <w:rPr>
          <w:b/>
          <w:bCs/>
        </w:rPr>
        <w:t>Interview Round</w:t>
      </w:r>
      <w:r>
        <w:rPr>
          <w:b/>
          <w:bCs/>
        </w:rPr>
        <w:t>,</w:t>
      </w:r>
      <w:r w:rsidRPr="00ED3F4B">
        <w:rPr>
          <w:b/>
          <w:bCs/>
        </w:rPr>
        <w:t xml:space="preserve"> by Age Group and </w:t>
      </w:r>
      <w:r>
        <w:rPr>
          <w:b/>
          <w:bCs/>
        </w:rPr>
        <w:t>Recruitment</w:t>
      </w:r>
      <w:r w:rsidRPr="00ED3F4B">
        <w:rPr>
          <w:b/>
          <w:bCs/>
        </w:rPr>
        <w:t xml:space="preserve"> Type</w:t>
      </w:r>
    </w:p>
    <w:tbl>
      <w:tblPr>
        <w:tblStyle w:val="aNSDUH"/>
        <w:tblW w:w="4528"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6A0" w:firstRow="1" w:lastRow="0" w:firstColumn="1" w:lastColumn="0" w:noHBand="1" w:noVBand="1"/>
      </w:tblPr>
      <w:tblGrid>
        <w:gridCol w:w="4510"/>
        <w:gridCol w:w="1388"/>
        <w:gridCol w:w="1388"/>
        <w:gridCol w:w="1386"/>
      </w:tblGrid>
      <w:tr w:rsidR="00451D48" w:rsidRPr="00A0329D" w14:paraId="351A5048" w14:textId="77777777" w:rsidTr="00A616F1">
        <w:trPr>
          <w:cnfStyle w:val="100000000000" w:firstRow="1" w:lastRow="0" w:firstColumn="0" w:lastColumn="0" w:oddVBand="0" w:evenVBand="0" w:oddHBand="0" w:evenHBand="0" w:firstRowFirstColumn="0" w:firstRowLastColumn="0" w:lastRowFirstColumn="0" w:lastRowLastColumn="0"/>
          <w:trHeight w:val="20"/>
          <w:jc w:val="center"/>
        </w:trPr>
        <w:tc>
          <w:tcPr>
            <w:tcW w:w="2600" w:type="pct"/>
            <w:tcBorders>
              <w:top w:val="single" w:sz="18" w:space="0" w:color="auto"/>
              <w:bottom w:val="single" w:sz="18" w:space="0" w:color="auto"/>
              <w:right w:val="single" w:sz="6" w:space="0" w:color="auto"/>
            </w:tcBorders>
          </w:tcPr>
          <w:p w14:paraId="0E9AF350" w14:textId="77777777" w:rsidR="00451D48" w:rsidRPr="00A0329D" w:rsidRDefault="00451D48" w:rsidP="00A616F1">
            <w:pPr>
              <w:pStyle w:val="TableHeaders"/>
            </w:pPr>
            <w:r w:rsidRPr="00A0329D">
              <w:t xml:space="preserve">Recruitment Criteria </w:t>
            </w:r>
          </w:p>
        </w:tc>
        <w:tc>
          <w:tcPr>
            <w:tcW w:w="800" w:type="pct"/>
            <w:tcBorders>
              <w:top w:val="single" w:sz="18" w:space="0" w:color="auto"/>
              <w:left w:val="single" w:sz="6" w:space="0" w:color="auto"/>
              <w:bottom w:val="single" w:sz="18" w:space="0" w:color="auto"/>
              <w:right w:val="single" w:sz="18" w:space="0" w:color="auto"/>
            </w:tcBorders>
          </w:tcPr>
          <w:p w14:paraId="6974F729" w14:textId="77777777" w:rsidR="00451D48" w:rsidRPr="00A0329D" w:rsidRDefault="00451D48" w:rsidP="00A616F1">
            <w:pPr>
              <w:pStyle w:val="TableHeaders"/>
            </w:pPr>
            <w:r>
              <w:t>Total</w:t>
            </w:r>
          </w:p>
        </w:tc>
        <w:tc>
          <w:tcPr>
            <w:tcW w:w="800" w:type="pct"/>
            <w:tcBorders>
              <w:top w:val="single" w:sz="18" w:space="0" w:color="auto"/>
              <w:left w:val="single" w:sz="6" w:space="0" w:color="auto"/>
              <w:bottom w:val="single" w:sz="18" w:space="0" w:color="auto"/>
              <w:right w:val="single" w:sz="18" w:space="0" w:color="auto"/>
            </w:tcBorders>
          </w:tcPr>
          <w:p w14:paraId="473ADB73" w14:textId="77777777" w:rsidR="00451D48" w:rsidRDefault="00451D48" w:rsidP="00A616F1">
            <w:pPr>
              <w:pStyle w:val="TableHeaders"/>
            </w:pPr>
            <w:r>
              <w:t>12-17</w:t>
            </w:r>
          </w:p>
        </w:tc>
        <w:tc>
          <w:tcPr>
            <w:tcW w:w="799" w:type="pct"/>
            <w:tcBorders>
              <w:top w:val="single" w:sz="18" w:space="0" w:color="auto"/>
              <w:left w:val="single" w:sz="6" w:space="0" w:color="auto"/>
              <w:bottom w:val="single" w:sz="18" w:space="0" w:color="auto"/>
              <w:right w:val="single" w:sz="18" w:space="0" w:color="auto"/>
            </w:tcBorders>
          </w:tcPr>
          <w:p w14:paraId="3801B8C6" w14:textId="77777777" w:rsidR="00451D48" w:rsidRDefault="00451D48" w:rsidP="00A616F1">
            <w:pPr>
              <w:pStyle w:val="TableHeaders"/>
            </w:pPr>
            <w:r>
              <w:t>18+</w:t>
            </w:r>
          </w:p>
        </w:tc>
      </w:tr>
      <w:tr w:rsidR="00451D48" w:rsidRPr="00A0329D" w14:paraId="49DE9F72" w14:textId="77777777" w:rsidTr="00A616F1">
        <w:trPr>
          <w:trHeight w:val="20"/>
          <w:jc w:val="center"/>
        </w:trPr>
        <w:tc>
          <w:tcPr>
            <w:tcW w:w="2600" w:type="pct"/>
            <w:tcBorders>
              <w:top w:val="single" w:sz="6" w:space="0" w:color="auto"/>
              <w:bottom w:val="single" w:sz="6" w:space="0" w:color="auto"/>
              <w:right w:val="single" w:sz="6" w:space="0" w:color="auto"/>
            </w:tcBorders>
          </w:tcPr>
          <w:p w14:paraId="4D86B784" w14:textId="77777777" w:rsidR="00451D48" w:rsidRPr="00B87C76" w:rsidRDefault="00451D48" w:rsidP="00A616F1">
            <w:pPr>
              <w:pStyle w:val="TableText1"/>
            </w:pPr>
            <w:r w:rsidRPr="000D1C55">
              <w:rPr>
                <w:b/>
              </w:rPr>
              <w:t>Vaping</w:t>
            </w:r>
            <w:r>
              <w:rPr>
                <w:b/>
              </w:rPr>
              <w:t xml:space="preserve"> nicotine</w:t>
            </w:r>
            <w:r w:rsidRPr="000D1C55">
              <w:rPr>
                <w:b/>
              </w:rPr>
              <w:t xml:space="preserve"> </w:t>
            </w:r>
          </w:p>
          <w:p w14:paraId="443B293B" w14:textId="77777777" w:rsidR="00451D48" w:rsidRPr="00B87C76" w:rsidRDefault="00451D48" w:rsidP="00A616F1">
            <w:pPr>
              <w:pStyle w:val="TableText1"/>
              <w:ind w:left="720" w:hanging="720"/>
            </w:pPr>
            <w:r>
              <w:rPr>
                <w:i/>
              </w:rPr>
              <w:t xml:space="preserve">   </w:t>
            </w:r>
            <w:r w:rsidRPr="00B87C76">
              <w:t>Vaping nicotine and smoking cigarettes</w:t>
            </w:r>
            <w:r>
              <w:t xml:space="preserve">, past 30 days </w:t>
            </w:r>
          </w:p>
          <w:p w14:paraId="2CA993F4" w14:textId="77777777" w:rsidR="00451D48" w:rsidRPr="00B87C76" w:rsidRDefault="00451D48" w:rsidP="00A616F1">
            <w:pPr>
              <w:pStyle w:val="TableText1"/>
              <w:ind w:left="720" w:hanging="720"/>
            </w:pPr>
            <w:r w:rsidRPr="00B87C76">
              <w:t xml:space="preserve">   Vaping nicotine </w:t>
            </w:r>
            <w:r>
              <w:t>without smoking</w:t>
            </w:r>
            <w:r w:rsidRPr="00B87C76">
              <w:t xml:space="preserve"> cigarettes</w:t>
            </w:r>
            <w:r>
              <w:t>, past 30 days</w:t>
            </w:r>
            <w:r w:rsidRPr="00B87C76">
              <w:t xml:space="preserve"> </w:t>
            </w:r>
            <w:r>
              <w:t xml:space="preserve"> </w:t>
            </w:r>
          </w:p>
          <w:p w14:paraId="009DB11D" w14:textId="77777777" w:rsidR="00451D48" w:rsidRPr="00A0329D" w:rsidRDefault="00451D48" w:rsidP="00A616F1">
            <w:pPr>
              <w:pStyle w:val="TableText1"/>
            </w:pPr>
            <w:r>
              <w:t xml:space="preserve">   </w:t>
            </w:r>
            <w:r w:rsidRPr="00B87C76">
              <w:t xml:space="preserve">Vaping </w:t>
            </w:r>
            <w:r>
              <w:t>just flavors or other substances, past year</w:t>
            </w:r>
          </w:p>
        </w:tc>
        <w:tc>
          <w:tcPr>
            <w:tcW w:w="800" w:type="pct"/>
            <w:tcBorders>
              <w:top w:val="single" w:sz="6" w:space="0" w:color="auto"/>
              <w:left w:val="single" w:sz="6" w:space="0" w:color="auto"/>
              <w:bottom w:val="single" w:sz="6" w:space="0" w:color="auto"/>
              <w:right w:val="single" w:sz="18" w:space="0" w:color="auto"/>
            </w:tcBorders>
          </w:tcPr>
          <w:p w14:paraId="3CA0653A" w14:textId="77777777" w:rsidR="00451D48" w:rsidRDefault="00451D48" w:rsidP="00A616F1">
            <w:pPr>
              <w:jc w:val="center"/>
              <w:rPr>
                <w:b/>
              </w:rPr>
            </w:pPr>
            <w:r w:rsidRPr="00C7439C">
              <w:rPr>
                <w:b/>
              </w:rPr>
              <w:t>12</w:t>
            </w:r>
          </w:p>
          <w:p w14:paraId="705824AE" w14:textId="77777777" w:rsidR="00451D48" w:rsidRDefault="00451D48" w:rsidP="00A616F1">
            <w:pPr>
              <w:jc w:val="center"/>
            </w:pPr>
            <w:r>
              <w:t>4</w:t>
            </w:r>
          </w:p>
          <w:p w14:paraId="00841EE0" w14:textId="77777777" w:rsidR="00451D48" w:rsidRDefault="00451D48" w:rsidP="00A616F1">
            <w:pPr>
              <w:jc w:val="center"/>
            </w:pPr>
            <w:r>
              <w:t>4</w:t>
            </w:r>
          </w:p>
          <w:p w14:paraId="67A12DFF" w14:textId="77777777" w:rsidR="00451D48" w:rsidRDefault="00451D48" w:rsidP="00A616F1">
            <w:pPr>
              <w:jc w:val="center"/>
            </w:pPr>
          </w:p>
          <w:p w14:paraId="2D6E7970" w14:textId="77777777" w:rsidR="00451D48" w:rsidRPr="00A0329D" w:rsidRDefault="00451D48" w:rsidP="00A616F1">
            <w:pPr>
              <w:jc w:val="center"/>
            </w:pPr>
            <w:r>
              <w:t>4</w:t>
            </w:r>
          </w:p>
        </w:tc>
        <w:tc>
          <w:tcPr>
            <w:tcW w:w="800" w:type="pct"/>
            <w:tcBorders>
              <w:top w:val="single" w:sz="6" w:space="0" w:color="auto"/>
              <w:left w:val="single" w:sz="6" w:space="0" w:color="auto"/>
              <w:bottom w:val="single" w:sz="6" w:space="0" w:color="auto"/>
              <w:right w:val="single" w:sz="18" w:space="0" w:color="auto"/>
            </w:tcBorders>
          </w:tcPr>
          <w:p w14:paraId="02358EEA" w14:textId="77777777" w:rsidR="00451D48" w:rsidRPr="00C7439C" w:rsidRDefault="00451D48" w:rsidP="00A616F1">
            <w:pPr>
              <w:jc w:val="center"/>
              <w:rPr>
                <w:b/>
              </w:rPr>
            </w:pPr>
            <w:r>
              <w:rPr>
                <w:b/>
              </w:rPr>
              <w:t>9</w:t>
            </w:r>
          </w:p>
        </w:tc>
        <w:tc>
          <w:tcPr>
            <w:tcW w:w="799" w:type="pct"/>
            <w:tcBorders>
              <w:top w:val="single" w:sz="6" w:space="0" w:color="auto"/>
              <w:left w:val="single" w:sz="6" w:space="0" w:color="auto"/>
              <w:bottom w:val="single" w:sz="6" w:space="0" w:color="auto"/>
              <w:right w:val="single" w:sz="18" w:space="0" w:color="auto"/>
            </w:tcBorders>
          </w:tcPr>
          <w:p w14:paraId="5BB85696" w14:textId="77777777" w:rsidR="00451D48" w:rsidRPr="00C7439C" w:rsidRDefault="00451D48" w:rsidP="00A616F1">
            <w:pPr>
              <w:jc w:val="center"/>
              <w:rPr>
                <w:b/>
              </w:rPr>
            </w:pPr>
            <w:r>
              <w:rPr>
                <w:b/>
              </w:rPr>
              <w:t>3</w:t>
            </w:r>
          </w:p>
        </w:tc>
      </w:tr>
      <w:tr w:rsidR="00451D48" w:rsidRPr="00A0329D" w14:paraId="4A70FC22" w14:textId="77777777" w:rsidTr="00A616F1">
        <w:trPr>
          <w:trHeight w:val="20"/>
          <w:jc w:val="center"/>
        </w:trPr>
        <w:tc>
          <w:tcPr>
            <w:tcW w:w="2600" w:type="pct"/>
            <w:tcBorders>
              <w:top w:val="single" w:sz="6" w:space="0" w:color="auto"/>
              <w:bottom w:val="single" w:sz="6" w:space="0" w:color="auto"/>
              <w:right w:val="single" w:sz="6" w:space="0" w:color="auto"/>
            </w:tcBorders>
          </w:tcPr>
          <w:p w14:paraId="7C97B8EB" w14:textId="77777777" w:rsidR="00451D48" w:rsidRPr="007241CE" w:rsidRDefault="00451D48" w:rsidP="00A616F1">
            <w:pPr>
              <w:pStyle w:val="TableText1"/>
              <w:rPr>
                <w:b/>
              </w:rPr>
            </w:pPr>
            <w:r w:rsidRPr="007241CE">
              <w:rPr>
                <w:b/>
              </w:rPr>
              <w:t xml:space="preserve">Marijuana </w:t>
            </w:r>
          </w:p>
          <w:p w14:paraId="639E0DC6" w14:textId="77777777" w:rsidR="00451D48" w:rsidRPr="007241CE" w:rsidRDefault="00451D48" w:rsidP="00A616F1">
            <w:pPr>
              <w:pStyle w:val="TableText1"/>
            </w:pPr>
            <w:r w:rsidRPr="007241CE">
              <w:t xml:space="preserve">   Edibles, oil, wax, tinctures </w:t>
            </w:r>
          </w:p>
          <w:p w14:paraId="41834F41" w14:textId="77777777" w:rsidR="00451D48" w:rsidRPr="007241CE" w:rsidRDefault="00451D48" w:rsidP="00A616F1">
            <w:pPr>
              <w:pStyle w:val="TableText1"/>
            </w:pPr>
            <w:r w:rsidRPr="007241CE">
              <w:t xml:space="preserve">   Leaves/stems</w:t>
            </w:r>
          </w:p>
          <w:p w14:paraId="658440C9" w14:textId="77777777" w:rsidR="00451D48" w:rsidRPr="007241CE" w:rsidRDefault="00451D48" w:rsidP="00A616F1">
            <w:pPr>
              <w:pStyle w:val="TableText1"/>
            </w:pPr>
            <w:r w:rsidRPr="007241CE">
              <w:t xml:space="preserve">   Legal State</w:t>
            </w:r>
          </w:p>
          <w:p w14:paraId="1DB6467F" w14:textId="77777777" w:rsidR="00451D48" w:rsidRPr="007241CE" w:rsidRDefault="00451D48" w:rsidP="00A616F1">
            <w:pPr>
              <w:pStyle w:val="TableText1"/>
            </w:pPr>
            <w:r w:rsidRPr="007241CE">
              <w:t xml:space="preserve">   Illegal State</w:t>
            </w:r>
          </w:p>
          <w:p w14:paraId="74BB4A0E" w14:textId="77777777" w:rsidR="00451D48" w:rsidRPr="007241CE" w:rsidRDefault="00451D48" w:rsidP="00A616F1">
            <w:pPr>
              <w:pStyle w:val="TableText1"/>
            </w:pPr>
            <w:r w:rsidRPr="007241CE">
              <w:t xml:space="preserve">   Medicinal </w:t>
            </w:r>
          </w:p>
          <w:p w14:paraId="5014E5B5" w14:textId="77777777" w:rsidR="00451D48" w:rsidRPr="007241CE" w:rsidRDefault="00451D48" w:rsidP="00A616F1">
            <w:pPr>
              <w:pStyle w:val="TableText1"/>
              <w:rPr>
                <w:b/>
              </w:rPr>
            </w:pPr>
            <w:r w:rsidRPr="007241CE">
              <w:t xml:space="preserve">   Recreational</w:t>
            </w:r>
          </w:p>
        </w:tc>
        <w:tc>
          <w:tcPr>
            <w:tcW w:w="800" w:type="pct"/>
            <w:tcBorders>
              <w:top w:val="single" w:sz="6" w:space="0" w:color="auto"/>
              <w:left w:val="single" w:sz="6" w:space="0" w:color="auto"/>
              <w:bottom w:val="single" w:sz="6" w:space="0" w:color="auto"/>
              <w:right w:val="single" w:sz="18" w:space="0" w:color="auto"/>
            </w:tcBorders>
          </w:tcPr>
          <w:p w14:paraId="4CBD3CE0" w14:textId="77777777" w:rsidR="00451D48" w:rsidRPr="007241CE" w:rsidRDefault="00451D48" w:rsidP="00A616F1">
            <w:pPr>
              <w:jc w:val="center"/>
              <w:rPr>
                <w:b/>
              </w:rPr>
            </w:pPr>
            <w:r w:rsidRPr="007241CE">
              <w:rPr>
                <w:b/>
              </w:rPr>
              <w:t>8</w:t>
            </w:r>
          </w:p>
          <w:p w14:paraId="12D53B57" w14:textId="77777777" w:rsidR="00451D48" w:rsidRPr="007241CE" w:rsidRDefault="00451D48" w:rsidP="00A616F1">
            <w:pPr>
              <w:jc w:val="center"/>
            </w:pPr>
            <w:r w:rsidRPr="007241CE">
              <w:t>2-6</w:t>
            </w:r>
          </w:p>
          <w:p w14:paraId="1952238B" w14:textId="77777777" w:rsidR="00451D48" w:rsidRPr="007241CE" w:rsidRDefault="00451D48" w:rsidP="00A616F1">
            <w:pPr>
              <w:jc w:val="center"/>
            </w:pPr>
            <w:r w:rsidRPr="007241CE">
              <w:t>2-6</w:t>
            </w:r>
          </w:p>
          <w:p w14:paraId="7F2A420A" w14:textId="77777777" w:rsidR="00451D48" w:rsidRPr="007241CE" w:rsidRDefault="00451D48" w:rsidP="00A616F1">
            <w:pPr>
              <w:jc w:val="center"/>
            </w:pPr>
            <w:r w:rsidRPr="007241CE">
              <w:t>2-6</w:t>
            </w:r>
          </w:p>
          <w:p w14:paraId="133482D4" w14:textId="77777777" w:rsidR="00451D48" w:rsidRPr="007241CE" w:rsidRDefault="00451D48" w:rsidP="00A616F1">
            <w:pPr>
              <w:jc w:val="center"/>
            </w:pPr>
            <w:r w:rsidRPr="007241CE">
              <w:t>2-6</w:t>
            </w:r>
          </w:p>
          <w:p w14:paraId="608BC8F8" w14:textId="77777777" w:rsidR="00451D48" w:rsidRPr="007241CE" w:rsidRDefault="00451D48" w:rsidP="00A616F1">
            <w:pPr>
              <w:jc w:val="center"/>
            </w:pPr>
            <w:r w:rsidRPr="007241CE">
              <w:t>2-6</w:t>
            </w:r>
          </w:p>
          <w:p w14:paraId="6DA9B6A5" w14:textId="77777777" w:rsidR="00451D48" w:rsidRPr="007241CE" w:rsidRDefault="00451D48" w:rsidP="00A616F1">
            <w:pPr>
              <w:jc w:val="center"/>
              <w:rPr>
                <w:b/>
              </w:rPr>
            </w:pPr>
            <w:r w:rsidRPr="007241CE">
              <w:t>2-6</w:t>
            </w:r>
          </w:p>
        </w:tc>
        <w:tc>
          <w:tcPr>
            <w:tcW w:w="800" w:type="pct"/>
            <w:tcBorders>
              <w:top w:val="single" w:sz="6" w:space="0" w:color="auto"/>
              <w:left w:val="single" w:sz="6" w:space="0" w:color="auto"/>
              <w:bottom w:val="single" w:sz="6" w:space="0" w:color="auto"/>
              <w:right w:val="single" w:sz="18" w:space="0" w:color="auto"/>
            </w:tcBorders>
          </w:tcPr>
          <w:p w14:paraId="22D0CF01" w14:textId="77777777" w:rsidR="00451D48" w:rsidRDefault="00451D48" w:rsidP="00A616F1">
            <w:pPr>
              <w:jc w:val="center"/>
              <w:rPr>
                <w:b/>
              </w:rPr>
            </w:pPr>
            <w:r>
              <w:rPr>
                <w:b/>
              </w:rPr>
              <w:t>2</w:t>
            </w:r>
          </w:p>
        </w:tc>
        <w:tc>
          <w:tcPr>
            <w:tcW w:w="799" w:type="pct"/>
            <w:tcBorders>
              <w:top w:val="single" w:sz="6" w:space="0" w:color="auto"/>
              <w:left w:val="single" w:sz="6" w:space="0" w:color="auto"/>
              <w:bottom w:val="single" w:sz="6" w:space="0" w:color="auto"/>
              <w:right w:val="single" w:sz="18" w:space="0" w:color="auto"/>
            </w:tcBorders>
          </w:tcPr>
          <w:p w14:paraId="3FA224F7" w14:textId="77777777" w:rsidR="00451D48" w:rsidRDefault="00451D48" w:rsidP="00A616F1">
            <w:pPr>
              <w:jc w:val="center"/>
              <w:rPr>
                <w:b/>
              </w:rPr>
            </w:pPr>
            <w:r>
              <w:rPr>
                <w:b/>
              </w:rPr>
              <w:t>6</w:t>
            </w:r>
          </w:p>
        </w:tc>
      </w:tr>
      <w:tr w:rsidR="00451D48" w:rsidRPr="00A0329D" w14:paraId="39715EA1" w14:textId="77777777" w:rsidTr="00A616F1">
        <w:trPr>
          <w:trHeight w:val="20"/>
          <w:jc w:val="center"/>
        </w:trPr>
        <w:tc>
          <w:tcPr>
            <w:tcW w:w="2600" w:type="pct"/>
            <w:tcBorders>
              <w:top w:val="single" w:sz="6" w:space="0" w:color="auto"/>
              <w:bottom w:val="single" w:sz="6" w:space="0" w:color="auto"/>
              <w:right w:val="single" w:sz="6" w:space="0" w:color="auto"/>
            </w:tcBorders>
          </w:tcPr>
          <w:p w14:paraId="6B858D79" w14:textId="77777777" w:rsidR="00451D48" w:rsidRPr="000D1C55" w:rsidRDefault="00451D48" w:rsidP="00A616F1">
            <w:pPr>
              <w:pStyle w:val="TableText1"/>
              <w:rPr>
                <w:b/>
              </w:rPr>
            </w:pPr>
            <w:r w:rsidRPr="000D1C55">
              <w:rPr>
                <w:b/>
              </w:rPr>
              <w:t xml:space="preserve">CBD without marijuana </w:t>
            </w:r>
          </w:p>
        </w:tc>
        <w:tc>
          <w:tcPr>
            <w:tcW w:w="800" w:type="pct"/>
            <w:tcBorders>
              <w:top w:val="single" w:sz="6" w:space="0" w:color="auto"/>
              <w:left w:val="single" w:sz="6" w:space="0" w:color="auto"/>
              <w:bottom w:val="single" w:sz="6" w:space="0" w:color="auto"/>
              <w:right w:val="single" w:sz="18" w:space="0" w:color="auto"/>
            </w:tcBorders>
          </w:tcPr>
          <w:p w14:paraId="7D915516" w14:textId="77777777" w:rsidR="00451D48" w:rsidRPr="00C7439C" w:rsidRDefault="00451D48" w:rsidP="00A616F1">
            <w:pPr>
              <w:jc w:val="center"/>
              <w:rPr>
                <w:b/>
              </w:rPr>
            </w:pPr>
            <w:r w:rsidRPr="00C7439C">
              <w:rPr>
                <w:b/>
              </w:rPr>
              <w:t>2</w:t>
            </w:r>
          </w:p>
        </w:tc>
        <w:tc>
          <w:tcPr>
            <w:tcW w:w="800" w:type="pct"/>
            <w:tcBorders>
              <w:top w:val="single" w:sz="6" w:space="0" w:color="auto"/>
              <w:left w:val="single" w:sz="6" w:space="0" w:color="auto"/>
              <w:bottom w:val="single" w:sz="6" w:space="0" w:color="auto"/>
              <w:right w:val="single" w:sz="18" w:space="0" w:color="auto"/>
            </w:tcBorders>
          </w:tcPr>
          <w:p w14:paraId="4B7A3031" w14:textId="77777777" w:rsidR="00451D48" w:rsidRDefault="00451D48" w:rsidP="00A616F1">
            <w:pPr>
              <w:jc w:val="center"/>
              <w:rPr>
                <w:b/>
              </w:rPr>
            </w:pPr>
            <w:r>
              <w:rPr>
                <w:b/>
              </w:rPr>
              <w:t>1</w:t>
            </w:r>
          </w:p>
        </w:tc>
        <w:tc>
          <w:tcPr>
            <w:tcW w:w="799" w:type="pct"/>
            <w:tcBorders>
              <w:top w:val="single" w:sz="6" w:space="0" w:color="auto"/>
              <w:left w:val="single" w:sz="6" w:space="0" w:color="auto"/>
              <w:bottom w:val="single" w:sz="6" w:space="0" w:color="auto"/>
              <w:right w:val="single" w:sz="18" w:space="0" w:color="auto"/>
            </w:tcBorders>
          </w:tcPr>
          <w:p w14:paraId="2997A3BD" w14:textId="77777777" w:rsidR="00451D48" w:rsidRDefault="00451D48" w:rsidP="00A616F1">
            <w:pPr>
              <w:jc w:val="center"/>
              <w:rPr>
                <w:b/>
              </w:rPr>
            </w:pPr>
            <w:r>
              <w:rPr>
                <w:b/>
              </w:rPr>
              <w:t>1</w:t>
            </w:r>
          </w:p>
        </w:tc>
      </w:tr>
      <w:tr w:rsidR="00451D48" w:rsidRPr="00A0329D" w14:paraId="5940FF46" w14:textId="77777777" w:rsidTr="00A616F1">
        <w:trPr>
          <w:trHeight w:val="20"/>
          <w:jc w:val="center"/>
        </w:trPr>
        <w:tc>
          <w:tcPr>
            <w:tcW w:w="2600" w:type="pct"/>
            <w:tcBorders>
              <w:top w:val="single" w:sz="6" w:space="0" w:color="auto"/>
              <w:bottom w:val="single" w:sz="6" w:space="0" w:color="auto"/>
              <w:right w:val="single" w:sz="6" w:space="0" w:color="auto"/>
            </w:tcBorders>
          </w:tcPr>
          <w:p w14:paraId="4D481F94" w14:textId="77777777" w:rsidR="00451D48" w:rsidRDefault="00451D48" w:rsidP="00A616F1">
            <w:pPr>
              <w:pStyle w:val="TableText1"/>
              <w:rPr>
                <w:b/>
              </w:rPr>
            </w:pPr>
            <w:r>
              <w:rPr>
                <w:b/>
              </w:rPr>
              <w:t xml:space="preserve">Past year opioid users </w:t>
            </w:r>
          </w:p>
          <w:p w14:paraId="62F0497B" w14:textId="77777777" w:rsidR="00451D48" w:rsidRPr="00C7439C" w:rsidRDefault="00451D48" w:rsidP="00A616F1">
            <w:pPr>
              <w:pStyle w:val="TableText1"/>
            </w:pPr>
            <w:r w:rsidRPr="00C7439C">
              <w:t xml:space="preserve">   </w:t>
            </w:r>
            <w:r>
              <w:t>Prescription fentanyl</w:t>
            </w:r>
          </w:p>
          <w:p w14:paraId="373FCFEC" w14:textId="77777777" w:rsidR="00451D48" w:rsidRDefault="00451D48" w:rsidP="00A616F1">
            <w:pPr>
              <w:pStyle w:val="TableText1"/>
              <w:rPr>
                <w:b/>
              </w:rPr>
            </w:pPr>
            <w:r>
              <w:t xml:space="preserve">   Heroin, </w:t>
            </w:r>
            <w:r w:rsidRPr="00C7439C">
              <w:t>prescription pain relievers</w:t>
            </w:r>
            <w:r>
              <w:t>, or IMF</w:t>
            </w:r>
          </w:p>
        </w:tc>
        <w:tc>
          <w:tcPr>
            <w:tcW w:w="800" w:type="pct"/>
            <w:tcBorders>
              <w:top w:val="single" w:sz="6" w:space="0" w:color="auto"/>
              <w:left w:val="single" w:sz="6" w:space="0" w:color="auto"/>
              <w:bottom w:val="single" w:sz="6" w:space="0" w:color="auto"/>
              <w:right w:val="single" w:sz="18" w:space="0" w:color="auto"/>
            </w:tcBorders>
          </w:tcPr>
          <w:p w14:paraId="26185B37" w14:textId="77777777" w:rsidR="00451D48" w:rsidRPr="00C7439C" w:rsidRDefault="00451D48" w:rsidP="00A616F1">
            <w:pPr>
              <w:jc w:val="center"/>
              <w:rPr>
                <w:b/>
              </w:rPr>
            </w:pPr>
            <w:r w:rsidRPr="00C7439C">
              <w:rPr>
                <w:b/>
              </w:rPr>
              <w:t>4</w:t>
            </w:r>
          </w:p>
          <w:p w14:paraId="0F701597" w14:textId="77777777" w:rsidR="00451D48" w:rsidRDefault="00451D48" w:rsidP="00A616F1">
            <w:pPr>
              <w:jc w:val="center"/>
            </w:pPr>
            <w:r>
              <w:t>2</w:t>
            </w:r>
          </w:p>
          <w:p w14:paraId="59F8F5B4" w14:textId="77777777" w:rsidR="00451D48" w:rsidRPr="00C7439C" w:rsidRDefault="00451D48" w:rsidP="00A616F1">
            <w:pPr>
              <w:jc w:val="center"/>
              <w:rPr>
                <w:b/>
              </w:rPr>
            </w:pPr>
            <w:r>
              <w:t>2</w:t>
            </w:r>
          </w:p>
        </w:tc>
        <w:tc>
          <w:tcPr>
            <w:tcW w:w="800" w:type="pct"/>
            <w:tcBorders>
              <w:top w:val="single" w:sz="6" w:space="0" w:color="auto"/>
              <w:left w:val="single" w:sz="6" w:space="0" w:color="auto"/>
              <w:bottom w:val="single" w:sz="6" w:space="0" w:color="auto"/>
              <w:right w:val="single" w:sz="18" w:space="0" w:color="auto"/>
            </w:tcBorders>
          </w:tcPr>
          <w:p w14:paraId="3EF6EEE8" w14:textId="77777777" w:rsidR="00451D48" w:rsidRDefault="00451D48" w:rsidP="00A616F1">
            <w:pPr>
              <w:jc w:val="center"/>
              <w:rPr>
                <w:b/>
              </w:rPr>
            </w:pPr>
            <w:r>
              <w:rPr>
                <w:b/>
              </w:rPr>
              <w:t>1</w:t>
            </w:r>
          </w:p>
        </w:tc>
        <w:tc>
          <w:tcPr>
            <w:tcW w:w="799" w:type="pct"/>
            <w:tcBorders>
              <w:top w:val="single" w:sz="6" w:space="0" w:color="auto"/>
              <w:left w:val="single" w:sz="6" w:space="0" w:color="auto"/>
              <w:bottom w:val="single" w:sz="6" w:space="0" w:color="auto"/>
              <w:right w:val="single" w:sz="18" w:space="0" w:color="auto"/>
            </w:tcBorders>
          </w:tcPr>
          <w:p w14:paraId="2237FF11" w14:textId="77777777" w:rsidR="00451D48" w:rsidRDefault="00451D48" w:rsidP="00A616F1">
            <w:pPr>
              <w:jc w:val="center"/>
              <w:rPr>
                <w:b/>
              </w:rPr>
            </w:pPr>
            <w:r>
              <w:rPr>
                <w:b/>
              </w:rPr>
              <w:t>3</w:t>
            </w:r>
          </w:p>
        </w:tc>
      </w:tr>
      <w:tr w:rsidR="00451D48" w:rsidRPr="00A0329D" w14:paraId="5D4061AF" w14:textId="77777777" w:rsidTr="00A616F1">
        <w:trPr>
          <w:trHeight w:val="20"/>
          <w:jc w:val="center"/>
        </w:trPr>
        <w:tc>
          <w:tcPr>
            <w:tcW w:w="2600" w:type="pct"/>
            <w:tcBorders>
              <w:top w:val="single" w:sz="6" w:space="0" w:color="auto"/>
              <w:bottom w:val="single" w:sz="6" w:space="0" w:color="auto"/>
              <w:right w:val="single" w:sz="6" w:space="0" w:color="auto"/>
            </w:tcBorders>
          </w:tcPr>
          <w:p w14:paraId="2D8E00F0" w14:textId="77777777" w:rsidR="00451D48" w:rsidRPr="00C11DB9" w:rsidRDefault="00451D48" w:rsidP="00A616F1">
            <w:pPr>
              <w:pStyle w:val="TableText1"/>
            </w:pPr>
            <w:r>
              <w:rPr>
                <w:b/>
              </w:rPr>
              <w:lastRenderedPageBreak/>
              <w:t>Past year a</w:t>
            </w:r>
            <w:r w:rsidRPr="000D1C55">
              <w:rPr>
                <w:b/>
              </w:rPr>
              <w:t xml:space="preserve">lcohol </w:t>
            </w:r>
            <w:r>
              <w:rPr>
                <w:b/>
              </w:rPr>
              <w:t>t</w:t>
            </w:r>
            <w:r w:rsidRPr="000D1C55">
              <w:rPr>
                <w:b/>
              </w:rPr>
              <w:t>reatment</w:t>
            </w:r>
          </w:p>
          <w:p w14:paraId="3BC6CF3B" w14:textId="77777777" w:rsidR="00451D48" w:rsidRDefault="00451D48" w:rsidP="00A616F1">
            <w:pPr>
              <w:pStyle w:val="TableText-Ind"/>
              <w:ind w:left="0"/>
              <w:rPr>
                <w:i w:val="0"/>
                <w:szCs w:val="20"/>
              </w:rPr>
            </w:pPr>
            <w:r>
              <w:rPr>
                <w:i w:val="0"/>
                <w:szCs w:val="20"/>
              </w:rPr>
              <w:t xml:space="preserve">   MAT or MAT only</w:t>
            </w:r>
          </w:p>
          <w:p w14:paraId="5508CE51" w14:textId="77777777" w:rsidR="00451D48" w:rsidRDefault="00451D48" w:rsidP="00A616F1">
            <w:pPr>
              <w:pStyle w:val="TableText-Ind"/>
              <w:ind w:left="0"/>
              <w:rPr>
                <w:i w:val="0"/>
                <w:szCs w:val="20"/>
              </w:rPr>
            </w:pPr>
            <w:r>
              <w:rPr>
                <w:i w:val="0"/>
                <w:szCs w:val="20"/>
              </w:rPr>
              <w:t xml:space="preserve">   Detox or detox only</w:t>
            </w:r>
          </w:p>
          <w:p w14:paraId="4DDFE8FE" w14:textId="77777777" w:rsidR="00451D48" w:rsidRPr="00FA1868" w:rsidRDefault="00451D48" w:rsidP="00A616F1">
            <w:pPr>
              <w:pStyle w:val="TableText1"/>
              <w:rPr>
                <w:b/>
              </w:rPr>
            </w:pPr>
            <w:r>
              <w:rPr>
                <w:i/>
              </w:rPr>
              <w:t xml:space="preserve">   </w:t>
            </w:r>
            <w:r w:rsidRPr="00FA1868">
              <w:t>Other</w:t>
            </w:r>
          </w:p>
        </w:tc>
        <w:tc>
          <w:tcPr>
            <w:tcW w:w="800" w:type="pct"/>
            <w:tcBorders>
              <w:top w:val="single" w:sz="6" w:space="0" w:color="auto"/>
              <w:left w:val="single" w:sz="6" w:space="0" w:color="auto"/>
              <w:bottom w:val="single" w:sz="6" w:space="0" w:color="auto"/>
              <w:right w:val="single" w:sz="18" w:space="0" w:color="auto"/>
            </w:tcBorders>
          </w:tcPr>
          <w:p w14:paraId="21FA43DF" w14:textId="77777777" w:rsidR="00451D48" w:rsidRDefault="00451D48" w:rsidP="00A616F1">
            <w:pPr>
              <w:jc w:val="center"/>
              <w:rPr>
                <w:b/>
              </w:rPr>
            </w:pPr>
            <w:r w:rsidRPr="00C7439C">
              <w:rPr>
                <w:b/>
              </w:rPr>
              <w:t>4</w:t>
            </w:r>
          </w:p>
          <w:p w14:paraId="190A958F" w14:textId="77777777" w:rsidR="00451D48" w:rsidRDefault="00451D48" w:rsidP="00A616F1">
            <w:pPr>
              <w:jc w:val="center"/>
            </w:pPr>
            <w:r>
              <w:t>1</w:t>
            </w:r>
          </w:p>
          <w:p w14:paraId="461856BB" w14:textId="77777777" w:rsidR="00451D48" w:rsidRDefault="00451D48" w:rsidP="00A616F1">
            <w:pPr>
              <w:jc w:val="center"/>
            </w:pPr>
            <w:r>
              <w:t>1</w:t>
            </w:r>
          </w:p>
          <w:p w14:paraId="2EC41E39" w14:textId="77777777" w:rsidR="00451D48" w:rsidRPr="00FA1868" w:rsidRDefault="00451D48" w:rsidP="00A616F1">
            <w:pPr>
              <w:jc w:val="center"/>
            </w:pPr>
            <w:r>
              <w:t>2</w:t>
            </w:r>
          </w:p>
        </w:tc>
        <w:tc>
          <w:tcPr>
            <w:tcW w:w="800" w:type="pct"/>
            <w:tcBorders>
              <w:top w:val="single" w:sz="6" w:space="0" w:color="auto"/>
              <w:left w:val="single" w:sz="6" w:space="0" w:color="auto"/>
              <w:bottom w:val="single" w:sz="6" w:space="0" w:color="auto"/>
              <w:right w:val="single" w:sz="18" w:space="0" w:color="auto"/>
            </w:tcBorders>
          </w:tcPr>
          <w:p w14:paraId="34C845D4" w14:textId="77777777" w:rsidR="00451D48" w:rsidRPr="00C7439C" w:rsidRDefault="00451D48" w:rsidP="00A616F1">
            <w:pPr>
              <w:jc w:val="center"/>
              <w:rPr>
                <w:b/>
              </w:rPr>
            </w:pPr>
            <w:r>
              <w:rPr>
                <w:b/>
              </w:rPr>
              <w:t>2</w:t>
            </w:r>
          </w:p>
        </w:tc>
        <w:tc>
          <w:tcPr>
            <w:tcW w:w="799" w:type="pct"/>
            <w:tcBorders>
              <w:top w:val="single" w:sz="6" w:space="0" w:color="auto"/>
              <w:left w:val="single" w:sz="6" w:space="0" w:color="auto"/>
              <w:bottom w:val="single" w:sz="6" w:space="0" w:color="auto"/>
              <w:right w:val="single" w:sz="18" w:space="0" w:color="auto"/>
            </w:tcBorders>
          </w:tcPr>
          <w:p w14:paraId="022B96AF" w14:textId="77777777" w:rsidR="00451D48" w:rsidRPr="00C7439C" w:rsidRDefault="00451D48" w:rsidP="00A616F1">
            <w:pPr>
              <w:jc w:val="center"/>
              <w:rPr>
                <w:b/>
              </w:rPr>
            </w:pPr>
            <w:r>
              <w:rPr>
                <w:b/>
              </w:rPr>
              <w:t>2</w:t>
            </w:r>
          </w:p>
        </w:tc>
      </w:tr>
      <w:tr w:rsidR="00451D48" w:rsidRPr="00A0329D" w14:paraId="071A14AC" w14:textId="77777777" w:rsidTr="00A616F1">
        <w:trPr>
          <w:trHeight w:val="219"/>
          <w:jc w:val="center"/>
        </w:trPr>
        <w:tc>
          <w:tcPr>
            <w:tcW w:w="2600" w:type="pct"/>
            <w:tcBorders>
              <w:top w:val="single" w:sz="6" w:space="0" w:color="auto"/>
              <w:bottom w:val="single" w:sz="6" w:space="0" w:color="auto"/>
              <w:right w:val="single" w:sz="6" w:space="0" w:color="auto"/>
            </w:tcBorders>
          </w:tcPr>
          <w:p w14:paraId="09F05391" w14:textId="77777777" w:rsidR="00451D48" w:rsidRDefault="00451D48" w:rsidP="00A616F1">
            <w:pPr>
              <w:pStyle w:val="TableText-Ind"/>
              <w:ind w:left="0"/>
              <w:rPr>
                <w:b/>
                <w:i w:val="0"/>
                <w:szCs w:val="20"/>
              </w:rPr>
            </w:pPr>
            <w:r>
              <w:rPr>
                <w:b/>
                <w:i w:val="0"/>
                <w:szCs w:val="20"/>
              </w:rPr>
              <w:t>Past year d</w:t>
            </w:r>
            <w:r w:rsidRPr="000D1C55">
              <w:rPr>
                <w:b/>
                <w:i w:val="0"/>
                <w:szCs w:val="20"/>
              </w:rPr>
              <w:t xml:space="preserve">rug </w:t>
            </w:r>
            <w:r>
              <w:rPr>
                <w:b/>
                <w:i w:val="0"/>
                <w:szCs w:val="20"/>
              </w:rPr>
              <w:t>t</w:t>
            </w:r>
            <w:r w:rsidRPr="000D1C55">
              <w:rPr>
                <w:b/>
                <w:i w:val="0"/>
                <w:szCs w:val="20"/>
              </w:rPr>
              <w:t xml:space="preserve">reatment </w:t>
            </w:r>
          </w:p>
          <w:p w14:paraId="63C295C0" w14:textId="77777777" w:rsidR="00451D48" w:rsidRDefault="00451D48" w:rsidP="00A616F1">
            <w:pPr>
              <w:pStyle w:val="TableText-Ind"/>
              <w:ind w:left="0"/>
              <w:rPr>
                <w:i w:val="0"/>
                <w:szCs w:val="20"/>
              </w:rPr>
            </w:pPr>
            <w:r>
              <w:rPr>
                <w:b/>
                <w:i w:val="0"/>
                <w:szCs w:val="20"/>
              </w:rPr>
              <w:t xml:space="preserve">   </w:t>
            </w:r>
            <w:r>
              <w:rPr>
                <w:i w:val="0"/>
                <w:szCs w:val="20"/>
              </w:rPr>
              <w:t>MAT or MAT only</w:t>
            </w:r>
          </w:p>
          <w:p w14:paraId="3AF7C9CE" w14:textId="77777777" w:rsidR="00451D48" w:rsidRDefault="00451D48" w:rsidP="00A616F1">
            <w:pPr>
              <w:pStyle w:val="TableText-Ind"/>
              <w:ind w:left="0"/>
              <w:rPr>
                <w:i w:val="0"/>
                <w:szCs w:val="20"/>
              </w:rPr>
            </w:pPr>
            <w:r>
              <w:rPr>
                <w:i w:val="0"/>
                <w:szCs w:val="20"/>
              </w:rPr>
              <w:t xml:space="preserve">   Detox or detox only</w:t>
            </w:r>
          </w:p>
          <w:p w14:paraId="4F05C29F" w14:textId="77777777" w:rsidR="00451D48" w:rsidRPr="00F41324" w:rsidRDefault="00451D48" w:rsidP="00A616F1">
            <w:pPr>
              <w:pStyle w:val="TableText-Ind"/>
              <w:ind w:left="0"/>
              <w:rPr>
                <w:i w:val="0"/>
                <w:szCs w:val="20"/>
              </w:rPr>
            </w:pPr>
            <w:r>
              <w:rPr>
                <w:i w:val="0"/>
                <w:szCs w:val="20"/>
              </w:rPr>
              <w:t xml:space="preserve">   Other</w:t>
            </w:r>
          </w:p>
        </w:tc>
        <w:tc>
          <w:tcPr>
            <w:tcW w:w="800" w:type="pct"/>
            <w:tcBorders>
              <w:top w:val="single" w:sz="6" w:space="0" w:color="auto"/>
              <w:left w:val="single" w:sz="6" w:space="0" w:color="auto"/>
              <w:bottom w:val="single" w:sz="6" w:space="0" w:color="auto"/>
              <w:right w:val="single" w:sz="18" w:space="0" w:color="auto"/>
            </w:tcBorders>
          </w:tcPr>
          <w:p w14:paraId="2B081EFC" w14:textId="77777777" w:rsidR="00451D48" w:rsidRDefault="00451D48" w:rsidP="00A616F1">
            <w:pPr>
              <w:jc w:val="center"/>
              <w:rPr>
                <w:b/>
              </w:rPr>
            </w:pPr>
            <w:r>
              <w:rPr>
                <w:b/>
              </w:rPr>
              <w:t>8</w:t>
            </w:r>
          </w:p>
          <w:p w14:paraId="71997F7D" w14:textId="77777777" w:rsidR="00451D48" w:rsidRDefault="00451D48" w:rsidP="00A616F1">
            <w:pPr>
              <w:jc w:val="center"/>
            </w:pPr>
            <w:r>
              <w:t>2</w:t>
            </w:r>
          </w:p>
          <w:p w14:paraId="28BCC55D" w14:textId="77777777" w:rsidR="00451D48" w:rsidRDefault="00451D48" w:rsidP="00A616F1">
            <w:pPr>
              <w:jc w:val="center"/>
            </w:pPr>
            <w:r>
              <w:t>2</w:t>
            </w:r>
          </w:p>
          <w:p w14:paraId="6CEC4A70" w14:textId="77777777" w:rsidR="00451D48" w:rsidRPr="00F41324" w:rsidRDefault="00451D48" w:rsidP="00A616F1">
            <w:pPr>
              <w:jc w:val="center"/>
            </w:pPr>
            <w:r>
              <w:t>4</w:t>
            </w:r>
          </w:p>
        </w:tc>
        <w:tc>
          <w:tcPr>
            <w:tcW w:w="800" w:type="pct"/>
            <w:tcBorders>
              <w:top w:val="single" w:sz="6" w:space="0" w:color="auto"/>
              <w:left w:val="single" w:sz="6" w:space="0" w:color="auto"/>
              <w:bottom w:val="single" w:sz="6" w:space="0" w:color="auto"/>
              <w:right w:val="single" w:sz="18" w:space="0" w:color="auto"/>
            </w:tcBorders>
          </w:tcPr>
          <w:p w14:paraId="3FF099BB" w14:textId="77777777" w:rsidR="00451D48" w:rsidRDefault="00451D48" w:rsidP="00A616F1">
            <w:pPr>
              <w:jc w:val="center"/>
              <w:rPr>
                <w:b/>
              </w:rPr>
            </w:pPr>
            <w:r>
              <w:rPr>
                <w:b/>
              </w:rPr>
              <w:t>4</w:t>
            </w:r>
          </w:p>
        </w:tc>
        <w:tc>
          <w:tcPr>
            <w:tcW w:w="799" w:type="pct"/>
            <w:tcBorders>
              <w:top w:val="single" w:sz="6" w:space="0" w:color="auto"/>
              <w:left w:val="single" w:sz="6" w:space="0" w:color="auto"/>
              <w:bottom w:val="single" w:sz="6" w:space="0" w:color="auto"/>
              <w:right w:val="single" w:sz="18" w:space="0" w:color="auto"/>
            </w:tcBorders>
          </w:tcPr>
          <w:p w14:paraId="0C467C45" w14:textId="77777777" w:rsidR="00451D48" w:rsidRDefault="00451D48" w:rsidP="00A616F1">
            <w:pPr>
              <w:jc w:val="center"/>
              <w:rPr>
                <w:b/>
              </w:rPr>
            </w:pPr>
            <w:r>
              <w:rPr>
                <w:b/>
              </w:rPr>
              <w:t>4</w:t>
            </w:r>
          </w:p>
        </w:tc>
      </w:tr>
      <w:tr w:rsidR="00451D48" w:rsidRPr="00A0329D" w14:paraId="24913EE6" w14:textId="77777777" w:rsidTr="00A616F1">
        <w:trPr>
          <w:trHeight w:val="20"/>
          <w:jc w:val="center"/>
        </w:trPr>
        <w:tc>
          <w:tcPr>
            <w:tcW w:w="2600" w:type="pct"/>
            <w:tcBorders>
              <w:top w:val="single" w:sz="6" w:space="0" w:color="auto"/>
              <w:bottom w:val="single" w:sz="6" w:space="0" w:color="auto"/>
              <w:right w:val="single" w:sz="6" w:space="0" w:color="auto"/>
            </w:tcBorders>
          </w:tcPr>
          <w:p w14:paraId="0E97C768" w14:textId="77777777" w:rsidR="00451D48" w:rsidRDefault="00451D48" w:rsidP="00A616F1">
            <w:pPr>
              <w:pStyle w:val="TableText1"/>
              <w:rPr>
                <w:b/>
              </w:rPr>
            </w:pPr>
            <w:r>
              <w:rPr>
                <w:b/>
              </w:rPr>
              <w:t>Past year m</w:t>
            </w:r>
            <w:r w:rsidRPr="000D1C55">
              <w:rPr>
                <w:b/>
              </w:rPr>
              <w:t xml:space="preserve">ental </w:t>
            </w:r>
            <w:r>
              <w:rPr>
                <w:b/>
              </w:rPr>
              <w:t>h</w:t>
            </w:r>
            <w:r w:rsidRPr="000D1C55">
              <w:rPr>
                <w:b/>
              </w:rPr>
              <w:t xml:space="preserve">ealth </w:t>
            </w:r>
            <w:r>
              <w:rPr>
                <w:b/>
              </w:rPr>
              <w:t>t</w:t>
            </w:r>
            <w:r w:rsidRPr="000D1C55">
              <w:rPr>
                <w:b/>
              </w:rPr>
              <w:t xml:space="preserve">reatment </w:t>
            </w:r>
          </w:p>
        </w:tc>
        <w:tc>
          <w:tcPr>
            <w:tcW w:w="800" w:type="pct"/>
            <w:tcBorders>
              <w:top w:val="single" w:sz="6" w:space="0" w:color="auto"/>
              <w:left w:val="single" w:sz="6" w:space="0" w:color="auto"/>
              <w:bottom w:val="single" w:sz="6" w:space="0" w:color="auto"/>
              <w:right w:val="single" w:sz="18" w:space="0" w:color="auto"/>
            </w:tcBorders>
          </w:tcPr>
          <w:p w14:paraId="6FC987BE" w14:textId="77777777" w:rsidR="00451D48" w:rsidRPr="00C7439C" w:rsidRDefault="00451D48" w:rsidP="00A616F1">
            <w:pPr>
              <w:jc w:val="center"/>
              <w:rPr>
                <w:b/>
              </w:rPr>
            </w:pPr>
            <w:r>
              <w:rPr>
                <w:b/>
              </w:rPr>
              <w:t>12</w:t>
            </w:r>
          </w:p>
        </w:tc>
        <w:tc>
          <w:tcPr>
            <w:tcW w:w="800" w:type="pct"/>
            <w:tcBorders>
              <w:top w:val="single" w:sz="6" w:space="0" w:color="auto"/>
              <w:left w:val="single" w:sz="6" w:space="0" w:color="auto"/>
              <w:bottom w:val="single" w:sz="6" w:space="0" w:color="auto"/>
              <w:right w:val="single" w:sz="18" w:space="0" w:color="auto"/>
            </w:tcBorders>
          </w:tcPr>
          <w:p w14:paraId="21696F3F" w14:textId="77777777" w:rsidR="00451D48" w:rsidRPr="00C7439C" w:rsidRDefault="00451D48" w:rsidP="00A616F1">
            <w:pPr>
              <w:jc w:val="center"/>
              <w:rPr>
                <w:b/>
              </w:rPr>
            </w:pPr>
            <w:r>
              <w:rPr>
                <w:b/>
              </w:rPr>
              <w:t>6</w:t>
            </w:r>
          </w:p>
        </w:tc>
        <w:tc>
          <w:tcPr>
            <w:tcW w:w="799" w:type="pct"/>
            <w:tcBorders>
              <w:top w:val="single" w:sz="6" w:space="0" w:color="auto"/>
              <w:left w:val="single" w:sz="6" w:space="0" w:color="auto"/>
              <w:bottom w:val="single" w:sz="6" w:space="0" w:color="auto"/>
              <w:right w:val="single" w:sz="18" w:space="0" w:color="auto"/>
            </w:tcBorders>
          </w:tcPr>
          <w:p w14:paraId="64DD9B07" w14:textId="77777777" w:rsidR="00451D48" w:rsidRPr="00C7439C" w:rsidRDefault="00451D48" w:rsidP="00A616F1">
            <w:pPr>
              <w:jc w:val="center"/>
              <w:rPr>
                <w:b/>
              </w:rPr>
            </w:pPr>
            <w:r>
              <w:rPr>
                <w:b/>
              </w:rPr>
              <w:t>6</w:t>
            </w:r>
          </w:p>
        </w:tc>
      </w:tr>
      <w:tr w:rsidR="00451D48" w:rsidRPr="00A0329D" w14:paraId="705589D9" w14:textId="77777777" w:rsidTr="00A616F1">
        <w:trPr>
          <w:trHeight w:val="20"/>
          <w:jc w:val="center"/>
        </w:trPr>
        <w:tc>
          <w:tcPr>
            <w:tcW w:w="2600" w:type="pct"/>
            <w:tcBorders>
              <w:top w:val="single" w:sz="6" w:space="0" w:color="auto"/>
              <w:bottom w:val="single" w:sz="6" w:space="0" w:color="auto"/>
              <w:right w:val="single" w:sz="6" w:space="0" w:color="auto"/>
            </w:tcBorders>
          </w:tcPr>
          <w:p w14:paraId="7326D1D9" w14:textId="77777777" w:rsidR="00451D48" w:rsidRPr="000D1C55" w:rsidRDefault="00451D48" w:rsidP="00A616F1">
            <w:pPr>
              <w:pStyle w:val="TableText1"/>
              <w:rPr>
                <w:b/>
              </w:rPr>
            </w:pPr>
            <w:r>
              <w:rPr>
                <w:b/>
              </w:rPr>
              <w:t>P</w:t>
            </w:r>
            <w:r w:rsidRPr="000D1C55">
              <w:rPr>
                <w:b/>
              </w:rPr>
              <w:t xml:space="preserve">ast year sleep issues </w:t>
            </w:r>
          </w:p>
        </w:tc>
        <w:tc>
          <w:tcPr>
            <w:tcW w:w="800" w:type="pct"/>
            <w:tcBorders>
              <w:top w:val="single" w:sz="6" w:space="0" w:color="auto"/>
              <w:left w:val="single" w:sz="6" w:space="0" w:color="auto"/>
              <w:bottom w:val="single" w:sz="6" w:space="0" w:color="auto"/>
              <w:right w:val="single" w:sz="18" w:space="0" w:color="auto"/>
            </w:tcBorders>
          </w:tcPr>
          <w:p w14:paraId="334D58EF" w14:textId="77777777" w:rsidR="00451D48" w:rsidRPr="00C7439C" w:rsidRDefault="00451D48" w:rsidP="00A616F1">
            <w:pPr>
              <w:jc w:val="center"/>
              <w:rPr>
                <w:b/>
              </w:rPr>
            </w:pPr>
            <w:r>
              <w:rPr>
                <w:b/>
              </w:rPr>
              <w:t>4</w:t>
            </w:r>
          </w:p>
        </w:tc>
        <w:tc>
          <w:tcPr>
            <w:tcW w:w="800" w:type="pct"/>
            <w:tcBorders>
              <w:top w:val="single" w:sz="6" w:space="0" w:color="auto"/>
              <w:left w:val="single" w:sz="6" w:space="0" w:color="auto"/>
              <w:bottom w:val="single" w:sz="6" w:space="0" w:color="auto"/>
              <w:right w:val="single" w:sz="18" w:space="0" w:color="auto"/>
            </w:tcBorders>
          </w:tcPr>
          <w:p w14:paraId="3959A044" w14:textId="77777777" w:rsidR="00451D48" w:rsidRDefault="00451D48" w:rsidP="00A616F1">
            <w:pPr>
              <w:jc w:val="center"/>
              <w:rPr>
                <w:b/>
              </w:rPr>
            </w:pPr>
            <w:r>
              <w:rPr>
                <w:b/>
              </w:rPr>
              <w:t>2</w:t>
            </w:r>
          </w:p>
        </w:tc>
        <w:tc>
          <w:tcPr>
            <w:tcW w:w="799" w:type="pct"/>
            <w:tcBorders>
              <w:top w:val="single" w:sz="6" w:space="0" w:color="auto"/>
              <w:left w:val="single" w:sz="6" w:space="0" w:color="auto"/>
              <w:bottom w:val="single" w:sz="6" w:space="0" w:color="auto"/>
              <w:right w:val="single" w:sz="18" w:space="0" w:color="auto"/>
            </w:tcBorders>
          </w:tcPr>
          <w:p w14:paraId="3E662992" w14:textId="77777777" w:rsidR="00451D48" w:rsidRDefault="00451D48" w:rsidP="00A616F1">
            <w:pPr>
              <w:jc w:val="center"/>
              <w:rPr>
                <w:b/>
              </w:rPr>
            </w:pPr>
            <w:r>
              <w:rPr>
                <w:b/>
              </w:rPr>
              <w:t>2</w:t>
            </w:r>
          </w:p>
        </w:tc>
      </w:tr>
      <w:tr w:rsidR="00451D48" w:rsidRPr="00A0329D" w14:paraId="64875DE3" w14:textId="77777777" w:rsidTr="00A616F1">
        <w:trPr>
          <w:trHeight w:val="20"/>
          <w:jc w:val="center"/>
        </w:trPr>
        <w:tc>
          <w:tcPr>
            <w:tcW w:w="2600" w:type="pct"/>
            <w:tcBorders>
              <w:top w:val="single" w:sz="6" w:space="0" w:color="auto"/>
              <w:bottom w:val="single" w:sz="6" w:space="0" w:color="auto"/>
              <w:right w:val="single" w:sz="6" w:space="0" w:color="auto"/>
            </w:tcBorders>
          </w:tcPr>
          <w:p w14:paraId="1C96326F" w14:textId="77777777" w:rsidR="00451D48" w:rsidRPr="000D1C55" w:rsidRDefault="00451D48" w:rsidP="00A616F1">
            <w:pPr>
              <w:pStyle w:val="TableText1"/>
              <w:rPr>
                <w:b/>
              </w:rPr>
            </w:pPr>
            <w:r w:rsidRPr="000D1C55">
              <w:rPr>
                <w:b/>
              </w:rPr>
              <w:t xml:space="preserve">Past year pain issues </w:t>
            </w:r>
          </w:p>
        </w:tc>
        <w:tc>
          <w:tcPr>
            <w:tcW w:w="800" w:type="pct"/>
            <w:tcBorders>
              <w:top w:val="single" w:sz="6" w:space="0" w:color="auto"/>
              <w:left w:val="single" w:sz="6" w:space="0" w:color="auto"/>
              <w:bottom w:val="single" w:sz="6" w:space="0" w:color="auto"/>
              <w:right w:val="single" w:sz="18" w:space="0" w:color="auto"/>
            </w:tcBorders>
          </w:tcPr>
          <w:p w14:paraId="491995AE" w14:textId="77777777" w:rsidR="00451D48" w:rsidRPr="00C7439C" w:rsidRDefault="00451D48" w:rsidP="00A616F1">
            <w:pPr>
              <w:jc w:val="center"/>
              <w:rPr>
                <w:b/>
              </w:rPr>
            </w:pPr>
            <w:r>
              <w:rPr>
                <w:b/>
              </w:rPr>
              <w:t>4</w:t>
            </w:r>
          </w:p>
        </w:tc>
        <w:tc>
          <w:tcPr>
            <w:tcW w:w="800" w:type="pct"/>
            <w:tcBorders>
              <w:top w:val="single" w:sz="6" w:space="0" w:color="auto"/>
              <w:left w:val="single" w:sz="6" w:space="0" w:color="auto"/>
              <w:bottom w:val="single" w:sz="6" w:space="0" w:color="auto"/>
              <w:right w:val="single" w:sz="18" w:space="0" w:color="auto"/>
            </w:tcBorders>
          </w:tcPr>
          <w:p w14:paraId="75900761" w14:textId="77777777" w:rsidR="00451D48" w:rsidRDefault="00451D48" w:rsidP="00A616F1">
            <w:pPr>
              <w:jc w:val="center"/>
              <w:rPr>
                <w:b/>
              </w:rPr>
            </w:pPr>
            <w:r>
              <w:rPr>
                <w:b/>
              </w:rPr>
              <w:t>0</w:t>
            </w:r>
          </w:p>
        </w:tc>
        <w:tc>
          <w:tcPr>
            <w:tcW w:w="799" w:type="pct"/>
            <w:tcBorders>
              <w:top w:val="single" w:sz="6" w:space="0" w:color="auto"/>
              <w:left w:val="single" w:sz="6" w:space="0" w:color="auto"/>
              <w:bottom w:val="single" w:sz="6" w:space="0" w:color="auto"/>
              <w:right w:val="single" w:sz="18" w:space="0" w:color="auto"/>
            </w:tcBorders>
          </w:tcPr>
          <w:p w14:paraId="317805E8" w14:textId="77777777" w:rsidR="00451D48" w:rsidRDefault="00451D48" w:rsidP="00A616F1">
            <w:pPr>
              <w:jc w:val="center"/>
              <w:rPr>
                <w:b/>
              </w:rPr>
            </w:pPr>
            <w:r>
              <w:rPr>
                <w:b/>
              </w:rPr>
              <w:t>4</w:t>
            </w:r>
          </w:p>
        </w:tc>
      </w:tr>
      <w:tr w:rsidR="00451D48" w:rsidRPr="00A0329D" w14:paraId="3E8A7C39" w14:textId="77777777" w:rsidTr="00A616F1">
        <w:trPr>
          <w:trHeight w:val="20"/>
          <w:jc w:val="center"/>
        </w:trPr>
        <w:tc>
          <w:tcPr>
            <w:tcW w:w="2600" w:type="pct"/>
            <w:tcBorders>
              <w:top w:val="single" w:sz="6" w:space="0" w:color="auto"/>
              <w:bottom w:val="single" w:sz="18" w:space="0" w:color="auto"/>
              <w:right w:val="single" w:sz="6" w:space="0" w:color="auto"/>
            </w:tcBorders>
          </w:tcPr>
          <w:p w14:paraId="3829A7AE" w14:textId="77777777" w:rsidR="00451D48" w:rsidRPr="000D1C55" w:rsidRDefault="00451D48" w:rsidP="00A616F1">
            <w:pPr>
              <w:pStyle w:val="TableText1"/>
              <w:rPr>
                <w:b/>
              </w:rPr>
            </w:pPr>
            <w:r w:rsidRPr="000D1C55">
              <w:rPr>
                <w:b/>
              </w:rPr>
              <w:t xml:space="preserve">Previously Incarcerated </w:t>
            </w:r>
          </w:p>
        </w:tc>
        <w:tc>
          <w:tcPr>
            <w:tcW w:w="800" w:type="pct"/>
            <w:tcBorders>
              <w:top w:val="single" w:sz="6" w:space="0" w:color="auto"/>
              <w:left w:val="single" w:sz="6" w:space="0" w:color="auto"/>
              <w:bottom w:val="single" w:sz="18" w:space="0" w:color="auto"/>
              <w:right w:val="single" w:sz="18" w:space="0" w:color="auto"/>
            </w:tcBorders>
          </w:tcPr>
          <w:p w14:paraId="31128C5D" w14:textId="77777777" w:rsidR="00451D48" w:rsidRPr="00C7439C" w:rsidRDefault="00451D48" w:rsidP="00A616F1">
            <w:pPr>
              <w:jc w:val="center"/>
              <w:rPr>
                <w:b/>
              </w:rPr>
            </w:pPr>
            <w:r>
              <w:rPr>
                <w:b/>
              </w:rPr>
              <w:t>4</w:t>
            </w:r>
          </w:p>
        </w:tc>
        <w:tc>
          <w:tcPr>
            <w:tcW w:w="800" w:type="pct"/>
            <w:tcBorders>
              <w:top w:val="single" w:sz="6" w:space="0" w:color="auto"/>
              <w:left w:val="single" w:sz="6" w:space="0" w:color="auto"/>
              <w:bottom w:val="single" w:sz="18" w:space="0" w:color="auto"/>
              <w:right w:val="single" w:sz="18" w:space="0" w:color="auto"/>
            </w:tcBorders>
          </w:tcPr>
          <w:p w14:paraId="2F9F9092" w14:textId="77777777" w:rsidR="00451D48" w:rsidRDefault="00451D48" w:rsidP="00A616F1">
            <w:pPr>
              <w:jc w:val="center"/>
              <w:rPr>
                <w:b/>
              </w:rPr>
            </w:pPr>
            <w:r>
              <w:rPr>
                <w:b/>
              </w:rPr>
              <w:t>0</w:t>
            </w:r>
          </w:p>
        </w:tc>
        <w:tc>
          <w:tcPr>
            <w:tcW w:w="799" w:type="pct"/>
            <w:tcBorders>
              <w:top w:val="single" w:sz="6" w:space="0" w:color="auto"/>
              <w:left w:val="single" w:sz="6" w:space="0" w:color="auto"/>
              <w:bottom w:val="single" w:sz="18" w:space="0" w:color="auto"/>
              <w:right w:val="single" w:sz="18" w:space="0" w:color="auto"/>
            </w:tcBorders>
          </w:tcPr>
          <w:p w14:paraId="177A0124" w14:textId="77777777" w:rsidR="00451D48" w:rsidRDefault="00451D48" w:rsidP="00A616F1">
            <w:pPr>
              <w:jc w:val="center"/>
              <w:rPr>
                <w:b/>
              </w:rPr>
            </w:pPr>
            <w:r>
              <w:rPr>
                <w:b/>
              </w:rPr>
              <w:t>4</w:t>
            </w:r>
          </w:p>
        </w:tc>
      </w:tr>
      <w:tr w:rsidR="00451D48" w:rsidRPr="00A0329D" w14:paraId="11F33416" w14:textId="77777777" w:rsidTr="00A616F1">
        <w:trPr>
          <w:trHeight w:val="20"/>
          <w:jc w:val="center"/>
        </w:trPr>
        <w:tc>
          <w:tcPr>
            <w:tcW w:w="2600" w:type="pct"/>
            <w:tcBorders>
              <w:top w:val="single" w:sz="18" w:space="0" w:color="auto"/>
              <w:bottom w:val="single" w:sz="18" w:space="0" w:color="auto"/>
              <w:right w:val="single" w:sz="6" w:space="0" w:color="auto"/>
            </w:tcBorders>
          </w:tcPr>
          <w:p w14:paraId="61CC6EBF" w14:textId="77777777" w:rsidR="00451D48" w:rsidRPr="000D1C55" w:rsidRDefault="00451D48" w:rsidP="00A616F1">
            <w:pPr>
              <w:pStyle w:val="TableText1"/>
              <w:rPr>
                <w:b/>
              </w:rPr>
            </w:pPr>
            <w:r w:rsidRPr="000D1C55">
              <w:rPr>
                <w:b/>
              </w:rPr>
              <w:t>Total Criteria</w:t>
            </w:r>
          </w:p>
        </w:tc>
        <w:tc>
          <w:tcPr>
            <w:tcW w:w="800" w:type="pct"/>
            <w:tcBorders>
              <w:top w:val="single" w:sz="18" w:space="0" w:color="auto"/>
              <w:left w:val="single" w:sz="6" w:space="0" w:color="auto"/>
              <w:bottom w:val="single" w:sz="18" w:space="0" w:color="auto"/>
              <w:right w:val="single" w:sz="18" w:space="0" w:color="auto"/>
            </w:tcBorders>
          </w:tcPr>
          <w:p w14:paraId="7AC17FA2" w14:textId="77777777" w:rsidR="00451D48" w:rsidRPr="00A0329D" w:rsidRDefault="00451D48" w:rsidP="00A616F1">
            <w:pPr>
              <w:jc w:val="center"/>
              <w:rPr>
                <w:b/>
              </w:rPr>
            </w:pPr>
            <w:r>
              <w:rPr>
                <w:b/>
              </w:rPr>
              <w:t>62</w:t>
            </w:r>
          </w:p>
        </w:tc>
        <w:tc>
          <w:tcPr>
            <w:tcW w:w="800" w:type="pct"/>
            <w:tcBorders>
              <w:top w:val="single" w:sz="18" w:space="0" w:color="auto"/>
              <w:left w:val="single" w:sz="6" w:space="0" w:color="auto"/>
              <w:bottom w:val="single" w:sz="18" w:space="0" w:color="auto"/>
              <w:right w:val="single" w:sz="18" w:space="0" w:color="auto"/>
            </w:tcBorders>
          </w:tcPr>
          <w:p w14:paraId="6C4A596B" w14:textId="77777777" w:rsidR="00451D48" w:rsidRDefault="00451D48" w:rsidP="00A616F1">
            <w:pPr>
              <w:jc w:val="center"/>
              <w:rPr>
                <w:b/>
              </w:rPr>
            </w:pPr>
            <w:r>
              <w:rPr>
                <w:b/>
              </w:rPr>
              <w:t>27</w:t>
            </w:r>
          </w:p>
        </w:tc>
        <w:tc>
          <w:tcPr>
            <w:tcW w:w="799" w:type="pct"/>
            <w:tcBorders>
              <w:top w:val="single" w:sz="18" w:space="0" w:color="auto"/>
              <w:left w:val="single" w:sz="6" w:space="0" w:color="auto"/>
              <w:bottom w:val="single" w:sz="18" w:space="0" w:color="auto"/>
              <w:right w:val="single" w:sz="18" w:space="0" w:color="auto"/>
            </w:tcBorders>
          </w:tcPr>
          <w:p w14:paraId="7B55498A" w14:textId="77777777" w:rsidR="00451D48" w:rsidRDefault="00451D48" w:rsidP="00A616F1">
            <w:pPr>
              <w:jc w:val="center"/>
              <w:rPr>
                <w:b/>
              </w:rPr>
            </w:pPr>
            <w:r>
              <w:rPr>
                <w:b/>
              </w:rPr>
              <w:t>35</w:t>
            </w:r>
          </w:p>
        </w:tc>
      </w:tr>
      <w:tr w:rsidR="00451D48" w:rsidRPr="00A0329D" w14:paraId="2A49180F" w14:textId="77777777" w:rsidTr="00A616F1">
        <w:trPr>
          <w:trHeight w:val="20"/>
          <w:jc w:val="center"/>
        </w:trPr>
        <w:tc>
          <w:tcPr>
            <w:tcW w:w="2600" w:type="pct"/>
            <w:tcBorders>
              <w:top w:val="single" w:sz="18" w:space="0" w:color="auto"/>
              <w:bottom w:val="single" w:sz="18" w:space="0" w:color="auto"/>
              <w:right w:val="single" w:sz="6" w:space="0" w:color="auto"/>
            </w:tcBorders>
          </w:tcPr>
          <w:p w14:paraId="3A21FAB2" w14:textId="77777777" w:rsidR="00451D48" w:rsidRPr="000D1C55" w:rsidRDefault="00451D48" w:rsidP="00A616F1">
            <w:pPr>
              <w:pStyle w:val="TableText1"/>
              <w:rPr>
                <w:b/>
              </w:rPr>
            </w:pPr>
            <w:r w:rsidRPr="000D1C55">
              <w:rPr>
                <w:b/>
              </w:rPr>
              <w:t xml:space="preserve">Unique Participants </w:t>
            </w:r>
          </w:p>
        </w:tc>
        <w:tc>
          <w:tcPr>
            <w:tcW w:w="800" w:type="pct"/>
            <w:tcBorders>
              <w:top w:val="single" w:sz="18" w:space="0" w:color="auto"/>
              <w:left w:val="single" w:sz="6" w:space="0" w:color="auto"/>
              <w:bottom w:val="single" w:sz="18" w:space="0" w:color="auto"/>
              <w:right w:val="single" w:sz="18" w:space="0" w:color="auto"/>
            </w:tcBorders>
          </w:tcPr>
          <w:p w14:paraId="449B5C2D" w14:textId="77777777" w:rsidR="00451D48" w:rsidRPr="00A0329D" w:rsidRDefault="00451D48" w:rsidP="00A616F1">
            <w:pPr>
              <w:jc w:val="center"/>
              <w:rPr>
                <w:b/>
              </w:rPr>
            </w:pPr>
            <w:r>
              <w:rPr>
                <w:b/>
              </w:rPr>
              <w:t>45-60</w:t>
            </w:r>
          </w:p>
        </w:tc>
        <w:tc>
          <w:tcPr>
            <w:tcW w:w="800" w:type="pct"/>
            <w:tcBorders>
              <w:top w:val="single" w:sz="18" w:space="0" w:color="auto"/>
              <w:left w:val="single" w:sz="6" w:space="0" w:color="auto"/>
              <w:bottom w:val="single" w:sz="18" w:space="0" w:color="auto"/>
              <w:right w:val="single" w:sz="18" w:space="0" w:color="auto"/>
            </w:tcBorders>
          </w:tcPr>
          <w:p w14:paraId="172BF833" w14:textId="77777777" w:rsidR="00451D48" w:rsidRDefault="00451D48" w:rsidP="00A616F1">
            <w:pPr>
              <w:jc w:val="center"/>
              <w:rPr>
                <w:b/>
              </w:rPr>
            </w:pPr>
            <w:r>
              <w:rPr>
                <w:b/>
              </w:rPr>
              <w:t>20-26</w:t>
            </w:r>
          </w:p>
        </w:tc>
        <w:tc>
          <w:tcPr>
            <w:tcW w:w="799" w:type="pct"/>
            <w:tcBorders>
              <w:top w:val="single" w:sz="18" w:space="0" w:color="auto"/>
              <w:left w:val="single" w:sz="6" w:space="0" w:color="auto"/>
              <w:bottom w:val="single" w:sz="18" w:space="0" w:color="auto"/>
              <w:right w:val="single" w:sz="18" w:space="0" w:color="auto"/>
            </w:tcBorders>
          </w:tcPr>
          <w:p w14:paraId="0CDD8BCE" w14:textId="77777777" w:rsidR="00451D48" w:rsidRDefault="00451D48" w:rsidP="00A616F1">
            <w:pPr>
              <w:jc w:val="center"/>
              <w:rPr>
                <w:b/>
              </w:rPr>
            </w:pPr>
            <w:r>
              <w:rPr>
                <w:b/>
              </w:rPr>
              <w:t>25-34</w:t>
            </w:r>
          </w:p>
        </w:tc>
      </w:tr>
    </w:tbl>
    <w:p w14:paraId="512CB018" w14:textId="77777777" w:rsidR="00451D48" w:rsidRPr="00697140" w:rsidRDefault="00451D48" w:rsidP="00451D48">
      <w:pPr>
        <w:pStyle w:val="BodyText"/>
        <w:tabs>
          <w:tab w:val="left" w:pos="634"/>
        </w:tabs>
        <w:spacing w:after="0"/>
        <w:ind w:left="630" w:hanging="634"/>
      </w:pPr>
    </w:p>
    <w:bookmarkEnd w:id="1"/>
    <w:p w14:paraId="3A6C6ED9" w14:textId="77777777" w:rsidR="00451D48" w:rsidRDefault="00451D48" w:rsidP="00451D48">
      <w:pPr>
        <w:pStyle w:val="BodyText"/>
        <w:tabs>
          <w:tab w:val="left" w:pos="634"/>
        </w:tabs>
        <w:spacing w:after="0"/>
        <w:ind w:left="630" w:hanging="634"/>
      </w:pPr>
      <w:r w:rsidRPr="00697140">
        <w:tab/>
      </w:r>
      <w:r w:rsidRPr="00697140">
        <w:rPr>
          <w:b/>
        </w:rPr>
        <w:t>Youth:</w:t>
      </w:r>
      <w:r w:rsidRPr="00697140">
        <w:t xml:space="preserve"> English-speaking participants aged 12 to 17 years old will be recruited </w:t>
      </w:r>
      <w:r>
        <w:t xml:space="preserve">in several ways. Adolescents with a recent history of vaping or past year difficulty sleeping will be recruited directly through flyers posted within vape shops and community organizations such as the YMCA. Youth may also be recruited via school suspension programs and the local juvenile justice system. No other adolescent criteria will be targeted using these ads. These vaping-only adolescents will be directed to complete a brief web recruitment screener. </w:t>
      </w:r>
      <w:r>
        <w:rPr>
          <w:iCs/>
        </w:rPr>
        <w:t xml:space="preserve">The Contractor’s IRB has granted a waiver of consent/permission from parents of adolescents recruited via community ads for vaping or sleep issues so these adolescents may complete this web recruitment screener that </w:t>
      </w:r>
      <w:r w:rsidRPr="000300C0">
        <w:t xml:space="preserve">asks only about vaping nicotine, past year sleep issues and </w:t>
      </w:r>
      <w:r w:rsidRPr="004A7559">
        <w:t>demographics</w:t>
      </w:r>
      <w:r>
        <w:t>. These vaping-only a</w:t>
      </w:r>
      <w:r w:rsidRPr="00933C1F">
        <w:t xml:space="preserve">dolescents will be required to have a parent or guardian accompany them to the </w:t>
      </w:r>
      <w:r>
        <w:t xml:space="preserve">in-person </w:t>
      </w:r>
      <w:r w:rsidRPr="00933C1F">
        <w:t>interview.</w:t>
      </w:r>
    </w:p>
    <w:p w14:paraId="6CE54469" w14:textId="77777777" w:rsidR="00451D48" w:rsidRDefault="00451D48" w:rsidP="00451D48">
      <w:pPr>
        <w:pStyle w:val="BodyText"/>
        <w:tabs>
          <w:tab w:val="left" w:pos="634"/>
        </w:tabs>
        <w:spacing w:after="0"/>
        <w:ind w:left="630" w:hanging="634"/>
      </w:pPr>
    </w:p>
    <w:p w14:paraId="327E5839" w14:textId="46444A80" w:rsidR="00451D48" w:rsidRPr="00826621" w:rsidRDefault="00451D48" w:rsidP="00451D48">
      <w:pPr>
        <w:pStyle w:val="BodyText"/>
        <w:tabs>
          <w:tab w:val="left" w:pos="634"/>
        </w:tabs>
        <w:spacing w:after="0"/>
        <w:ind w:left="630" w:hanging="634"/>
      </w:pPr>
      <w:r>
        <w:tab/>
        <w:t xml:space="preserve">For all criteria other than vaping or sleep issues, adolescents will be recruited in one of four ways. First, from inpatient and </w:t>
      </w:r>
      <w:r w:rsidRPr="00697140">
        <w:t xml:space="preserve">outpatient </w:t>
      </w:r>
      <w:r>
        <w:t>substance use or mental health</w:t>
      </w:r>
      <w:r w:rsidRPr="00697140">
        <w:t xml:space="preserve"> treatment centers</w:t>
      </w:r>
      <w:r>
        <w:t xml:space="preserve"> and support groups</w:t>
      </w:r>
      <w:r w:rsidRPr="00697140">
        <w:t xml:space="preserve"> in the relevant geographic areas surrounding Research Triangle Park, NC</w:t>
      </w:r>
      <w:r>
        <w:t>;</w:t>
      </w:r>
      <w:r w:rsidRPr="00697140">
        <w:t xml:space="preserve"> Washington, DC</w:t>
      </w:r>
      <w:r>
        <w:t>;</w:t>
      </w:r>
      <w:r w:rsidRPr="00697140">
        <w:t xml:space="preserve"> Baltimore, MD</w:t>
      </w:r>
      <w:r>
        <w:t>;</w:t>
      </w:r>
      <w:r w:rsidRPr="00697140">
        <w:t xml:space="preserve"> Portland, OR</w:t>
      </w:r>
      <w:r>
        <w:t xml:space="preserve">; Chicago, IL; </w:t>
      </w:r>
      <w:r w:rsidR="009F0882">
        <w:t xml:space="preserve">Greenville, SC; Minneapolis, MN; Atlanta, GA; </w:t>
      </w:r>
      <w:r w:rsidR="00AC670A">
        <w:t xml:space="preserve">Charleston, WV; </w:t>
      </w:r>
      <w:r w:rsidR="002C6E4A">
        <w:t xml:space="preserve">Charleston, SC; </w:t>
      </w:r>
      <w:r>
        <w:t>and Lincoln, NE</w:t>
      </w:r>
      <w:r w:rsidRPr="00697140">
        <w:t xml:space="preserve">. </w:t>
      </w:r>
      <w:r>
        <w:t>Contractor</w:t>
      </w:r>
      <w:r w:rsidRPr="00697140">
        <w:t xml:space="preserve"> staff will contact the treatment centers via email, telephone or in person. Staff will explain the purpose of the study</w:t>
      </w:r>
      <w:r>
        <w:t xml:space="preserve">, provide a letter of support from CBHSQ explaining the importance of the study (Attachment </w:t>
      </w:r>
      <w:r w:rsidRPr="00A84ED7">
        <w:t>K</w:t>
      </w:r>
      <w:r>
        <w:t>),</w:t>
      </w:r>
      <w:r w:rsidRPr="00697140">
        <w:t xml:space="preserve"> and provide any additional details about NSDUH, SAMHSA or the </w:t>
      </w:r>
      <w:r>
        <w:t xml:space="preserve">pretesting </w:t>
      </w:r>
      <w:r w:rsidRPr="00697140">
        <w:t xml:space="preserve">interviews as requested. </w:t>
      </w:r>
      <w:r>
        <w:t>Contractor</w:t>
      </w:r>
      <w:r w:rsidRPr="00697140">
        <w:t xml:space="preserve"> staff will ask treatment center</w:t>
      </w:r>
      <w:r>
        <w:t xml:space="preserve"> or support</w:t>
      </w:r>
      <w:r w:rsidRPr="00697140">
        <w:t xml:space="preserve"> staff to </w:t>
      </w:r>
      <w:r w:rsidRPr="00826621">
        <w:t>identify adolescents who meet the eligibility criteria (</w:t>
      </w:r>
      <w:r>
        <w:t>based on experiences with substance use, treatment or chronic pain/sleep issues</w:t>
      </w:r>
      <w:r w:rsidRPr="00826621">
        <w:t xml:space="preserve">), and provide these individuals </w:t>
      </w:r>
      <w:r>
        <w:t xml:space="preserve">or their parents </w:t>
      </w:r>
      <w:r w:rsidRPr="00826621">
        <w:t xml:space="preserve">with a copy of the advertisement (Attachment </w:t>
      </w:r>
      <w:r w:rsidRPr="00A84ED7">
        <w:t>A</w:t>
      </w:r>
      <w:r w:rsidRPr="00826621">
        <w:t xml:space="preserve">), which references the $40 incentive. </w:t>
      </w:r>
    </w:p>
    <w:p w14:paraId="340B41B9" w14:textId="77777777" w:rsidR="00451D48" w:rsidRPr="00826621" w:rsidRDefault="00451D48" w:rsidP="00451D48">
      <w:pPr>
        <w:pStyle w:val="BodyText"/>
        <w:tabs>
          <w:tab w:val="left" w:pos="634"/>
        </w:tabs>
        <w:spacing w:after="0"/>
        <w:ind w:left="630" w:hanging="634"/>
        <w:rPr>
          <w:b/>
        </w:rPr>
      </w:pPr>
      <w:r w:rsidRPr="00826621">
        <w:rPr>
          <w:b/>
        </w:rPr>
        <w:tab/>
      </w:r>
    </w:p>
    <w:p w14:paraId="2EE526D5" w14:textId="77777777" w:rsidR="00451D48" w:rsidRDefault="00451D48" w:rsidP="00451D48">
      <w:pPr>
        <w:pStyle w:val="BodyText"/>
        <w:tabs>
          <w:tab w:val="left" w:pos="634"/>
        </w:tabs>
        <w:spacing w:after="0"/>
        <w:ind w:left="630" w:hanging="634"/>
      </w:pPr>
      <w:r w:rsidRPr="00826621">
        <w:tab/>
        <w:t xml:space="preserve">Second, English-speaking adolescents will be recruited </w:t>
      </w:r>
      <w:r>
        <w:t>via</w:t>
      </w:r>
      <w:r w:rsidRPr="00826621">
        <w:t xml:space="preserve"> their parents</w:t>
      </w:r>
      <w:r>
        <w:t xml:space="preserve"> through online ads (e.g., craigslist) and printed flyers distributed to community organizations such as the YMCA, as well as school suspension programs and the local juvenile justice system</w:t>
      </w:r>
      <w:r w:rsidRPr="00826621">
        <w:t xml:space="preserve">. Parents will be </w:t>
      </w:r>
      <w:r>
        <w:t>informed via these</w:t>
      </w:r>
      <w:r w:rsidRPr="00826621">
        <w:t xml:space="preserve"> advertisements</w:t>
      </w:r>
      <w:r>
        <w:t xml:space="preserve"> </w:t>
      </w:r>
      <w:r w:rsidRPr="00826621">
        <w:t>(Attachment A, which references the $40 incentive</w:t>
      </w:r>
      <w:r>
        <w:t>)</w:t>
      </w:r>
      <w:r w:rsidRPr="00826621">
        <w:t xml:space="preserve"> that adolescents with past 12</w:t>
      </w:r>
      <w:r>
        <w:t>-</w:t>
      </w:r>
      <w:r w:rsidRPr="00826621">
        <w:t xml:space="preserve">month substance use </w:t>
      </w:r>
      <w:r>
        <w:t>are needed for a research study.</w:t>
      </w:r>
      <w:r w:rsidRPr="00826621">
        <w:t xml:space="preserve"> </w:t>
      </w:r>
    </w:p>
    <w:p w14:paraId="280F7DF1" w14:textId="77777777" w:rsidR="00451D48" w:rsidRDefault="00451D48" w:rsidP="00451D48">
      <w:pPr>
        <w:pStyle w:val="BodyText"/>
        <w:tabs>
          <w:tab w:val="left" w:pos="634"/>
        </w:tabs>
        <w:spacing w:after="0"/>
        <w:ind w:left="630" w:hanging="634"/>
      </w:pPr>
    </w:p>
    <w:p w14:paraId="755F41BE" w14:textId="77777777" w:rsidR="00451D48" w:rsidRDefault="00451D48" w:rsidP="00451D48">
      <w:pPr>
        <w:pStyle w:val="BodyText"/>
        <w:tabs>
          <w:tab w:val="left" w:pos="634"/>
        </w:tabs>
        <w:spacing w:after="0"/>
        <w:ind w:left="630" w:hanging="634"/>
      </w:pPr>
      <w:r>
        <w:tab/>
        <w:t xml:space="preserve">Third, Contractor staff will work with </w:t>
      </w:r>
      <w:r w:rsidDel="00D46DF0">
        <w:t xml:space="preserve">focus-group facilities </w:t>
      </w:r>
      <w:r>
        <w:t>such as</w:t>
      </w:r>
      <w:r w:rsidRPr="004808AF">
        <w:t xml:space="preserve"> First in Focus, L&amp;E Research </w:t>
      </w:r>
      <w:r>
        <w:t xml:space="preserve">or similar facilities </w:t>
      </w:r>
      <w:r w:rsidDel="00D46DF0">
        <w:t>to post or otherwise disseminate the recruitment ad targeting parents of adolescents to their membership database</w:t>
      </w:r>
      <w:r>
        <w:t>.</w:t>
      </w:r>
    </w:p>
    <w:p w14:paraId="626A02E4" w14:textId="77777777" w:rsidR="00451D48" w:rsidRDefault="00451D48" w:rsidP="00451D48">
      <w:pPr>
        <w:pStyle w:val="BodyText"/>
        <w:tabs>
          <w:tab w:val="left" w:pos="634"/>
        </w:tabs>
        <w:spacing w:after="0"/>
        <w:ind w:left="630" w:hanging="634"/>
      </w:pPr>
    </w:p>
    <w:p w14:paraId="17FDE230" w14:textId="77777777" w:rsidR="00451D48" w:rsidRDefault="00451D48" w:rsidP="00451D48">
      <w:pPr>
        <w:pStyle w:val="BodyText"/>
        <w:tabs>
          <w:tab w:val="left" w:pos="634"/>
        </w:tabs>
        <w:spacing w:after="0"/>
        <w:ind w:left="630" w:hanging="634"/>
      </w:pPr>
      <w:r>
        <w:tab/>
        <w:t>Fourth, adolescents will be recruited via word of mouth by sharing</w:t>
      </w:r>
      <w:r w:rsidRPr="00446F56" w:rsidDel="00D46DF0">
        <w:t xml:space="preserve"> </w:t>
      </w:r>
      <w:r>
        <w:t xml:space="preserve">the </w:t>
      </w:r>
      <w:r w:rsidRPr="00446F56" w:rsidDel="00D46DF0">
        <w:t>recruitment ad</w:t>
      </w:r>
      <w:r>
        <w:t xml:space="preserve"> or</w:t>
      </w:r>
      <w:r w:rsidDel="00D46DF0">
        <w:t xml:space="preserve"> </w:t>
      </w:r>
      <w:r>
        <w:t xml:space="preserve">recruitment </w:t>
      </w:r>
      <w:r w:rsidDel="00D46DF0">
        <w:t>screener</w:t>
      </w:r>
      <w:r>
        <w:t xml:space="preserve"> phone</w:t>
      </w:r>
      <w:r w:rsidDel="00D46DF0">
        <w:t xml:space="preserve"> number</w:t>
      </w:r>
      <w:r w:rsidRPr="00446F56" w:rsidDel="00D46DF0">
        <w:t xml:space="preserve"> with others</w:t>
      </w:r>
      <w:r>
        <w:t>.</w:t>
      </w:r>
    </w:p>
    <w:p w14:paraId="01DAFA7F" w14:textId="77777777" w:rsidR="00451D48" w:rsidRDefault="00451D48" w:rsidP="00451D48">
      <w:pPr>
        <w:pStyle w:val="BodyText"/>
        <w:tabs>
          <w:tab w:val="left" w:pos="634"/>
        </w:tabs>
        <w:spacing w:after="0"/>
        <w:ind w:left="630" w:hanging="634"/>
      </w:pPr>
    </w:p>
    <w:p w14:paraId="48C8904F" w14:textId="77777777" w:rsidR="00451D48" w:rsidRDefault="00451D48" w:rsidP="00451D48">
      <w:pPr>
        <w:pStyle w:val="BodyText"/>
        <w:tabs>
          <w:tab w:val="left" w:pos="634"/>
        </w:tabs>
        <w:spacing w:after="0"/>
        <w:ind w:left="630" w:hanging="634"/>
        <w:rPr>
          <w:rFonts w:ascii="Times New Roman" w:hAnsi="Times New Roman"/>
        </w:rPr>
      </w:pPr>
      <w:r>
        <w:tab/>
      </w:r>
      <w:r w:rsidRPr="00826621">
        <w:tab/>
        <w:t xml:space="preserve">Interested adolescents recruited through </w:t>
      </w:r>
      <w:r>
        <w:t>these last four</w:t>
      </w:r>
      <w:r w:rsidRPr="00826621">
        <w:t xml:space="preserve"> </w:t>
      </w:r>
      <w:r>
        <w:t>methods</w:t>
      </w:r>
      <w:r w:rsidRPr="00826621">
        <w:t xml:space="preserve"> </w:t>
      </w:r>
      <w:r>
        <w:t xml:space="preserve">(excluding the vaping-and sleep issues only population) will be required to </w:t>
      </w:r>
      <w:r w:rsidRPr="00826621">
        <w:t xml:space="preserve">complete a brief telephone </w:t>
      </w:r>
      <w:r>
        <w:t xml:space="preserve">recruitment </w:t>
      </w:r>
      <w:r w:rsidRPr="00826621">
        <w:t>screener to verify eligibility (Attachment C).</w:t>
      </w:r>
      <w:r w:rsidRPr="00697140">
        <w:t xml:space="preserve"> </w:t>
      </w:r>
      <w:r w:rsidRPr="00D926E1">
        <w:t xml:space="preserve">Prior to completing the telephone </w:t>
      </w:r>
      <w:r>
        <w:t xml:space="preserve">recruitment </w:t>
      </w:r>
      <w:r w:rsidRPr="00D926E1">
        <w:t xml:space="preserve">screener with the adolescents, recruiters will obtain consent to complete the screener from a parent or </w:t>
      </w:r>
      <w:r>
        <w:t xml:space="preserve">legal </w:t>
      </w:r>
      <w:r w:rsidRPr="00D926E1">
        <w:t xml:space="preserve">guardian. </w:t>
      </w:r>
      <w:r w:rsidRPr="00D926E1">
        <w:rPr>
          <w:rFonts w:ascii="Times New Roman" w:hAnsi="Times New Roman"/>
        </w:rPr>
        <w:t xml:space="preserve">Because adolescents </w:t>
      </w:r>
      <w:r>
        <w:rPr>
          <w:rFonts w:ascii="Times New Roman" w:hAnsi="Times New Roman"/>
        </w:rPr>
        <w:t xml:space="preserve">recruited for criteria other than vaping and sleep issues </w:t>
      </w:r>
      <w:r w:rsidRPr="00D926E1">
        <w:rPr>
          <w:rFonts w:ascii="Times New Roman" w:hAnsi="Times New Roman"/>
        </w:rPr>
        <w:t>are required to have parental consent to participate</w:t>
      </w:r>
      <w:r>
        <w:rPr>
          <w:rFonts w:ascii="Times New Roman" w:hAnsi="Times New Roman"/>
        </w:rPr>
        <w:t xml:space="preserve"> </w:t>
      </w:r>
      <w:r w:rsidRPr="00D926E1">
        <w:rPr>
          <w:rFonts w:ascii="Times New Roman" w:hAnsi="Times New Roman"/>
        </w:rPr>
        <w:t xml:space="preserve">and must have </w:t>
      </w:r>
      <w:r>
        <w:rPr>
          <w:rFonts w:ascii="Times New Roman" w:hAnsi="Times New Roman"/>
        </w:rPr>
        <w:t>a recent history of substance use or mental health concerns</w:t>
      </w:r>
      <w:r w:rsidRPr="00D926E1">
        <w:rPr>
          <w:rFonts w:ascii="Times New Roman" w:hAnsi="Times New Roman"/>
        </w:rPr>
        <w:t xml:space="preserve">, all adolescents will be recruited through these </w:t>
      </w:r>
      <w:r>
        <w:rPr>
          <w:rFonts w:ascii="Times New Roman" w:hAnsi="Times New Roman"/>
        </w:rPr>
        <w:t>four</w:t>
      </w:r>
      <w:r w:rsidRPr="00D926E1">
        <w:rPr>
          <w:rFonts w:ascii="Times New Roman" w:hAnsi="Times New Roman"/>
        </w:rPr>
        <w:t xml:space="preserve"> avenues to allow access to a population where parents are aware of the youth’s illicit substance use.</w:t>
      </w:r>
    </w:p>
    <w:p w14:paraId="51550D0E" w14:textId="77777777" w:rsidR="00451D48" w:rsidRDefault="00451D48" w:rsidP="00451D48">
      <w:pPr>
        <w:pStyle w:val="BodyText"/>
        <w:tabs>
          <w:tab w:val="left" w:pos="634"/>
        </w:tabs>
        <w:spacing w:after="0"/>
        <w:ind w:left="630" w:hanging="634"/>
        <w:rPr>
          <w:highlight w:val="yellow"/>
        </w:rPr>
      </w:pPr>
    </w:p>
    <w:p w14:paraId="46E2A136" w14:textId="77777777" w:rsidR="00451D48" w:rsidRDefault="00451D48" w:rsidP="00451D48">
      <w:pPr>
        <w:pStyle w:val="BodyText"/>
        <w:tabs>
          <w:tab w:val="left" w:pos="634"/>
        </w:tabs>
        <w:spacing w:after="0"/>
        <w:ind w:left="630" w:hanging="634"/>
      </w:pPr>
      <w:r>
        <w:tab/>
      </w:r>
      <w:r w:rsidRPr="00ED3F4B">
        <w:tab/>
      </w:r>
      <w:r w:rsidRPr="00ED3F4B">
        <w:rPr>
          <w:b/>
        </w:rPr>
        <w:t>Adults:</w:t>
      </w:r>
      <w:r w:rsidRPr="00ED3F4B">
        <w:t xml:space="preserve"> English-speaking adult participants will be recruited in the </w:t>
      </w:r>
      <w:r w:rsidRPr="00826621">
        <w:t>relevant geographic areas</w:t>
      </w:r>
      <w:r w:rsidRPr="00ED3F4B">
        <w:t xml:space="preserve"> </w:t>
      </w:r>
      <w:r>
        <w:t>using four primary methods: 1) advertising in the</w:t>
      </w:r>
      <w:r w:rsidRPr="00826621">
        <w:t xml:space="preserve"> classified sections of internet sites</w:t>
      </w:r>
      <w:r>
        <w:t>; 2) posting or distributing flyers at to inpatient/outpatient substance use and mental health</w:t>
      </w:r>
      <w:r w:rsidRPr="00ED3F4B">
        <w:t xml:space="preserve"> treatment centers</w:t>
      </w:r>
      <w:r>
        <w:t>; 3) posting flyers at vape shops, cannabis dispensaries, or other organizations or businesses in the community; and 4) word of mouth.</w:t>
      </w:r>
    </w:p>
    <w:p w14:paraId="7F4F6742" w14:textId="77777777" w:rsidR="00451D48" w:rsidRDefault="00451D48" w:rsidP="00451D48">
      <w:pPr>
        <w:pStyle w:val="BodyText"/>
        <w:tabs>
          <w:tab w:val="left" w:pos="634"/>
        </w:tabs>
        <w:spacing w:after="0"/>
        <w:ind w:left="630" w:hanging="634"/>
      </w:pPr>
    </w:p>
    <w:p w14:paraId="24395C98" w14:textId="77777777" w:rsidR="00451D48" w:rsidRDefault="00451D48" w:rsidP="00451D48">
      <w:pPr>
        <w:pStyle w:val="BodyText"/>
        <w:tabs>
          <w:tab w:val="left" w:pos="634"/>
        </w:tabs>
        <w:spacing w:after="0"/>
        <w:ind w:left="630" w:hanging="634"/>
      </w:pPr>
      <w:r>
        <w:tab/>
        <w:t>In addition, recently-incarcerated adults will be recruited through probation officers and staff at half-way houses. Contractor s</w:t>
      </w:r>
      <w:r w:rsidRPr="00942CD7">
        <w:t>taff will explain the purpose of the study</w:t>
      </w:r>
      <w:r>
        <w:t xml:space="preserve"> and</w:t>
      </w:r>
      <w:r w:rsidRPr="002E320A">
        <w:t xml:space="preserve"> any additional details about NSDUH or the </w:t>
      </w:r>
      <w:r>
        <w:t xml:space="preserve">pretesting </w:t>
      </w:r>
      <w:r w:rsidRPr="00942CD7">
        <w:t xml:space="preserve">interviews as requested. </w:t>
      </w:r>
      <w:r>
        <w:t>Probation officers/staff will not be informed who participated in the study.</w:t>
      </w:r>
      <w:r w:rsidRPr="00ED3F4B">
        <w:t xml:space="preserve"> </w:t>
      </w:r>
    </w:p>
    <w:p w14:paraId="47A1F262" w14:textId="77777777" w:rsidR="00451D48" w:rsidRDefault="00451D48" w:rsidP="00451D48">
      <w:pPr>
        <w:pStyle w:val="BodyText"/>
        <w:tabs>
          <w:tab w:val="left" w:pos="634"/>
        </w:tabs>
        <w:spacing w:after="0"/>
        <w:ind w:left="630" w:hanging="634"/>
      </w:pPr>
    </w:p>
    <w:p w14:paraId="2ADC782A" w14:textId="77777777" w:rsidR="00451D48" w:rsidRPr="00ED3F4B" w:rsidRDefault="00451D48" w:rsidP="00451D48">
      <w:pPr>
        <w:pStyle w:val="BodyText"/>
        <w:tabs>
          <w:tab w:val="left" w:pos="634"/>
        </w:tabs>
        <w:spacing w:after="0"/>
        <w:ind w:left="630" w:hanging="634"/>
      </w:pPr>
      <w:r>
        <w:tab/>
      </w:r>
      <w:r w:rsidRPr="00ED3F4B">
        <w:t xml:space="preserve">All recruitment advertisements </w:t>
      </w:r>
      <w:r w:rsidRPr="00826621">
        <w:t>(Attachment A)</w:t>
      </w:r>
      <w:r>
        <w:t xml:space="preserve"> </w:t>
      </w:r>
      <w:r w:rsidRPr="00ED3F4B">
        <w:t>reference the $40 incentive.</w:t>
      </w:r>
      <w:r>
        <w:t xml:space="preserve"> </w:t>
      </w:r>
      <w:r w:rsidRPr="00826621">
        <w:tab/>
        <w:t xml:space="preserve">Interested </w:t>
      </w:r>
      <w:r>
        <w:t>adults</w:t>
      </w:r>
      <w:r w:rsidRPr="00826621">
        <w:t xml:space="preserve"> recruited through </w:t>
      </w:r>
      <w:r>
        <w:t xml:space="preserve">these </w:t>
      </w:r>
      <w:r w:rsidRPr="00826621">
        <w:t>route</w:t>
      </w:r>
      <w:r>
        <w:t xml:space="preserve">s will be required to </w:t>
      </w:r>
      <w:r w:rsidRPr="00826621">
        <w:t xml:space="preserve">complete a brief </w:t>
      </w:r>
      <w:r>
        <w:t>web</w:t>
      </w:r>
      <w:r w:rsidRPr="00826621">
        <w:t xml:space="preserve"> </w:t>
      </w:r>
      <w:r>
        <w:t xml:space="preserve">recruitment </w:t>
      </w:r>
      <w:r w:rsidRPr="00826621">
        <w:t xml:space="preserve">screener to verify eligibility (Attachment </w:t>
      </w:r>
      <w:r>
        <w:t>B</w:t>
      </w:r>
      <w:r w:rsidRPr="00826621">
        <w:t>).</w:t>
      </w:r>
      <w:r w:rsidRPr="00697140">
        <w:t xml:space="preserve"> </w:t>
      </w:r>
    </w:p>
    <w:p w14:paraId="66FA9F93" w14:textId="77777777" w:rsidR="00451D48" w:rsidRPr="00ED3F4B" w:rsidRDefault="00451D48" w:rsidP="00451D48">
      <w:pPr>
        <w:pStyle w:val="BodyText"/>
        <w:tabs>
          <w:tab w:val="left" w:pos="634"/>
        </w:tabs>
        <w:spacing w:after="0"/>
        <w:ind w:left="630" w:hanging="634"/>
      </w:pPr>
    </w:p>
    <w:p w14:paraId="37C8ACB6" w14:textId="77777777" w:rsidR="00451D48" w:rsidRPr="00ED3F4B" w:rsidRDefault="00451D48" w:rsidP="00451D48">
      <w:pPr>
        <w:pStyle w:val="BodyText"/>
        <w:tabs>
          <w:tab w:val="left" w:pos="634"/>
        </w:tabs>
        <w:spacing w:after="0"/>
        <w:ind w:left="630"/>
      </w:pPr>
      <w:r w:rsidRPr="00ED3F4B">
        <w:t xml:space="preserve">Individuals who responded to the recruitment in Round 1 or Round 2 but were placed on a waiting list could still be eligible to be interviewed in a subsequent round. They will be rescreened to verify they </w:t>
      </w:r>
      <w:r>
        <w:t xml:space="preserve">meet the </w:t>
      </w:r>
      <w:r w:rsidRPr="00ED3F4B">
        <w:t>past 12</w:t>
      </w:r>
      <w:r>
        <w:t>-</w:t>
      </w:r>
      <w:r w:rsidRPr="00ED3F4B">
        <w:t>month substance use</w:t>
      </w:r>
      <w:r>
        <w:t xml:space="preserve"> criteria</w:t>
      </w:r>
      <w:r w:rsidRPr="00ED3F4B">
        <w:t xml:space="preserve">. </w:t>
      </w:r>
    </w:p>
    <w:p w14:paraId="28968195" w14:textId="77777777" w:rsidR="00451D48" w:rsidRPr="00AE7F7D" w:rsidRDefault="00451D48" w:rsidP="00451D48">
      <w:pPr>
        <w:pStyle w:val="BodyText"/>
        <w:tabs>
          <w:tab w:val="left" w:pos="634"/>
        </w:tabs>
        <w:spacing w:after="0"/>
        <w:ind w:left="630" w:hanging="634"/>
        <w:rPr>
          <w:highlight w:val="yellow"/>
        </w:rPr>
      </w:pPr>
    </w:p>
    <w:p w14:paraId="30F60533" w14:textId="77777777" w:rsidR="00451D48" w:rsidRDefault="00451D48" w:rsidP="00451D48">
      <w:pPr>
        <w:pStyle w:val="BodyText"/>
        <w:tabs>
          <w:tab w:val="left" w:pos="634"/>
        </w:tabs>
        <w:spacing w:after="0"/>
        <w:ind w:left="630" w:hanging="634"/>
        <w:rPr>
          <w:b/>
          <w:bCs/>
        </w:rPr>
      </w:pPr>
      <w:r w:rsidRPr="00ED3F4B">
        <w:tab/>
      </w:r>
      <w:r w:rsidRPr="00ED3F4B">
        <w:tab/>
      </w:r>
      <w:r w:rsidRPr="00ED3F4B">
        <w:rPr>
          <w:b/>
          <w:bCs/>
        </w:rPr>
        <w:t>Spanish-speaking participants</w:t>
      </w:r>
    </w:p>
    <w:p w14:paraId="693247B9" w14:textId="77777777" w:rsidR="00451D48" w:rsidRDefault="00451D48" w:rsidP="00451D48">
      <w:pPr>
        <w:pStyle w:val="BodyText"/>
        <w:tabs>
          <w:tab w:val="left" w:pos="634"/>
        </w:tabs>
        <w:spacing w:after="0"/>
        <w:ind w:left="630" w:hanging="634"/>
        <w:rPr>
          <w:b/>
          <w:bCs/>
        </w:rPr>
      </w:pPr>
      <w:r>
        <w:tab/>
        <w:t>Approximately 30 Spanish-speaking individuals will be screened with the goal of enrolling up to 18 total respondents in Spanish-language pretesting interviews across Rounds 2 and 3. All Spanish-language participants will be 18 or older.</w:t>
      </w:r>
      <w:r w:rsidRPr="003261C6">
        <w:rPr>
          <w:color w:val="auto"/>
          <w:sz w:val="22"/>
          <w:szCs w:val="22"/>
        </w:rPr>
        <w:t xml:space="preserve"> </w:t>
      </w:r>
    </w:p>
    <w:p w14:paraId="48F66803" w14:textId="77777777" w:rsidR="00451D48" w:rsidRPr="00ED3F4B" w:rsidRDefault="00451D48" w:rsidP="00451D48">
      <w:pPr>
        <w:pStyle w:val="BodyText"/>
        <w:tabs>
          <w:tab w:val="left" w:pos="634"/>
        </w:tabs>
        <w:spacing w:after="0"/>
        <w:ind w:left="630" w:hanging="634"/>
        <w:rPr>
          <w:b/>
          <w:bCs/>
        </w:rPr>
      </w:pPr>
    </w:p>
    <w:p w14:paraId="300112D5" w14:textId="77777777" w:rsidR="00451D48" w:rsidRPr="00ED3F4B" w:rsidRDefault="00451D48" w:rsidP="00451D48">
      <w:pPr>
        <w:pStyle w:val="BodyText"/>
        <w:tabs>
          <w:tab w:val="left" w:pos="634"/>
        </w:tabs>
        <w:spacing w:after="0"/>
        <w:ind w:left="630" w:hanging="634"/>
      </w:pPr>
      <w:r w:rsidRPr="00ED3F4B">
        <w:tab/>
        <w:t xml:space="preserve">Spanish-speaking </w:t>
      </w:r>
      <w:r>
        <w:t xml:space="preserve">adult </w:t>
      </w:r>
      <w:r w:rsidRPr="00ED3F4B">
        <w:t xml:space="preserve">participants will be recruited </w:t>
      </w:r>
      <w:r>
        <w:t xml:space="preserve">primarily via </w:t>
      </w:r>
      <w:r w:rsidRPr="00ED3F4B">
        <w:t xml:space="preserve">Hispanic community center organizations and via word of mouth. If these methods fail to produce adequate numbers as described in Table </w:t>
      </w:r>
      <w:r>
        <w:t>4</w:t>
      </w:r>
      <w:r w:rsidRPr="00ED3F4B">
        <w:t xml:space="preserve">, the </w:t>
      </w:r>
      <w:r>
        <w:t>Contractor</w:t>
      </w:r>
      <w:r w:rsidRPr="00ED3F4B">
        <w:t xml:space="preserve"> will place newspaper ads or distribute flyers in other locations (e.g., </w:t>
      </w:r>
      <w:r>
        <w:t xml:space="preserve">treatment centers, </w:t>
      </w:r>
      <w:r w:rsidRPr="00ED3F4B">
        <w:t xml:space="preserve">medical clinics, student unions) after having received appropriate permissions. </w:t>
      </w:r>
      <w:r>
        <w:t>All</w:t>
      </w:r>
      <w:r w:rsidRPr="00ED3F4B">
        <w:t xml:space="preserve"> advertisements</w:t>
      </w:r>
      <w:r>
        <w:t xml:space="preserve"> (printed in Spanish)</w:t>
      </w:r>
      <w:r w:rsidRPr="00ED3F4B">
        <w:t xml:space="preserve"> will reference the $40 incentive for participation.</w:t>
      </w:r>
    </w:p>
    <w:p w14:paraId="343C43C1" w14:textId="77777777" w:rsidR="00451D48" w:rsidRPr="00ED3F4B" w:rsidRDefault="00451D48" w:rsidP="00451D48">
      <w:pPr>
        <w:pStyle w:val="BodyText"/>
        <w:tabs>
          <w:tab w:val="left" w:pos="634"/>
        </w:tabs>
        <w:spacing w:after="0"/>
        <w:ind w:left="630" w:hanging="634"/>
      </w:pPr>
    </w:p>
    <w:p w14:paraId="07001CCE" w14:textId="77777777" w:rsidR="00451D48" w:rsidRPr="00ED3F4B" w:rsidRDefault="00451D48" w:rsidP="00451D48">
      <w:pPr>
        <w:pStyle w:val="BodyText"/>
        <w:tabs>
          <w:tab w:val="left" w:pos="634"/>
        </w:tabs>
        <w:spacing w:after="0"/>
        <w:ind w:left="630" w:hanging="634"/>
      </w:pPr>
      <w:r w:rsidRPr="00ED3F4B">
        <w:tab/>
        <w:t xml:space="preserve">The </w:t>
      </w:r>
      <w:r>
        <w:t>Contractor</w:t>
      </w:r>
      <w:r w:rsidRPr="00ED3F4B">
        <w:t xml:space="preserve"> will conduct </w:t>
      </w:r>
      <w:r>
        <w:t xml:space="preserve">Spanish language </w:t>
      </w:r>
      <w:r w:rsidRPr="00ED3F4B">
        <w:t>interviews in the Research Triangle Park, NC area</w:t>
      </w:r>
      <w:r>
        <w:t>;</w:t>
      </w:r>
      <w:r w:rsidRPr="00ED3F4B">
        <w:t xml:space="preserve"> Miami, FL</w:t>
      </w:r>
      <w:r>
        <w:t>;</w:t>
      </w:r>
      <w:r w:rsidRPr="00ED3F4B">
        <w:t xml:space="preserve"> and Houston, TX. </w:t>
      </w:r>
    </w:p>
    <w:p w14:paraId="2A5DCE93" w14:textId="77777777" w:rsidR="00451D48" w:rsidRPr="00ED3F4B" w:rsidRDefault="00451D48" w:rsidP="00451D48">
      <w:pPr>
        <w:pStyle w:val="BodyText"/>
        <w:tabs>
          <w:tab w:val="left" w:pos="634"/>
        </w:tabs>
        <w:spacing w:after="0"/>
        <w:ind w:left="630" w:hanging="634"/>
      </w:pPr>
    </w:p>
    <w:p w14:paraId="6BCA98AB" w14:textId="77777777" w:rsidR="00451D48" w:rsidRPr="00ED3F4B" w:rsidRDefault="00451D48" w:rsidP="00451D48">
      <w:pPr>
        <w:pStyle w:val="BodyText"/>
        <w:tabs>
          <w:tab w:val="left" w:pos="634"/>
        </w:tabs>
        <w:spacing w:after="0"/>
        <w:ind w:left="630" w:hanging="634"/>
      </w:pPr>
      <w:r w:rsidRPr="00ED3F4B">
        <w:tab/>
        <w:t xml:space="preserve">Spanish-speaking participants </w:t>
      </w:r>
      <w:r>
        <w:t>do not need to meet any specific recruitment</w:t>
      </w:r>
      <w:r w:rsidRPr="00ED3F4B">
        <w:t xml:space="preserve"> criteria</w:t>
      </w:r>
      <w:r>
        <w:t xml:space="preserve">. However, priority will be given to screening respondents who have used alcohol or another substance </w:t>
      </w:r>
      <w:r w:rsidRPr="00ED3F4B">
        <w:t xml:space="preserve">in the past 12 months. </w:t>
      </w:r>
    </w:p>
    <w:p w14:paraId="564FCBF6" w14:textId="77777777" w:rsidR="00451D48" w:rsidRPr="00AE7F7D" w:rsidRDefault="00451D48" w:rsidP="00451D48">
      <w:pPr>
        <w:widowControl/>
        <w:tabs>
          <w:tab w:val="left" w:pos="-720"/>
          <w:tab w:val="left" w:pos="1710"/>
        </w:tabs>
        <w:spacing w:after="120"/>
        <w:ind w:left="630" w:hanging="1710"/>
        <w:rPr>
          <w:rFonts w:ascii="Times New Roman" w:hAnsi="Times New Roman"/>
        </w:rPr>
      </w:pPr>
      <w:r w:rsidRPr="00ED3F4B">
        <w:rPr>
          <w:b/>
          <w:bCs/>
        </w:rPr>
        <w:tab/>
      </w:r>
      <w:r w:rsidRPr="00ED3F4B">
        <w:rPr>
          <w:b/>
          <w:bCs/>
        </w:rPr>
        <w:tab/>
      </w:r>
    </w:p>
    <w:p w14:paraId="4E506F50" w14:textId="77777777" w:rsidR="00451D48" w:rsidRPr="00261C56" w:rsidRDefault="00451D48" w:rsidP="00451D48">
      <w:pPr>
        <w:pStyle w:val="Heading1"/>
        <w:tabs>
          <w:tab w:val="clear" w:pos="0"/>
        </w:tabs>
        <w:ind w:left="630"/>
        <w:rPr>
          <w:rFonts w:ascii="Times New Roman" w:hAnsi="Times New Roman" w:cs="Times New Roman"/>
        </w:rPr>
      </w:pPr>
      <w:r w:rsidRPr="00261C56">
        <w:rPr>
          <w:rFonts w:ascii="Times New Roman" w:hAnsi="Times New Roman" w:cs="Times New Roman"/>
        </w:rPr>
        <w:t>2.</w:t>
      </w:r>
      <w:r w:rsidRPr="00261C56">
        <w:rPr>
          <w:rFonts w:ascii="Times New Roman" w:hAnsi="Times New Roman" w:cs="Times New Roman"/>
        </w:rPr>
        <w:tab/>
      </w:r>
      <w:r w:rsidRPr="00261C56">
        <w:rPr>
          <w:rFonts w:ascii="Times New Roman" w:hAnsi="Times New Roman" w:cs="Times New Roman"/>
          <w:u w:val="single"/>
        </w:rPr>
        <w:t>Information Collection Procedures</w:t>
      </w:r>
    </w:p>
    <w:p w14:paraId="7ECB2CD2" w14:textId="77777777" w:rsidR="00451D48" w:rsidRPr="00AE7F7D" w:rsidRDefault="00451D48" w:rsidP="00451D48">
      <w:pPr>
        <w:pStyle w:val="BodyText"/>
        <w:spacing w:after="0"/>
        <w:ind w:left="630"/>
        <w:rPr>
          <w:highlight w:val="yellow"/>
        </w:rPr>
      </w:pPr>
      <w:r w:rsidRPr="00ED3F4B">
        <w:rPr>
          <w:b/>
        </w:rPr>
        <w:t>Recruitment and Screening:</w:t>
      </w:r>
      <w:r w:rsidRPr="00ED3F4B">
        <w:t xml:space="preserve"> </w:t>
      </w:r>
      <w:r w:rsidRPr="000602C4">
        <w:t>Potential English</w:t>
      </w:r>
      <w:r w:rsidRPr="00826621">
        <w:t xml:space="preserve">-speaking adult participants will complete a web </w:t>
      </w:r>
      <w:r>
        <w:t xml:space="preserve">recruitment </w:t>
      </w:r>
      <w:r w:rsidRPr="00826621">
        <w:t>screener (Attachment B)</w:t>
      </w:r>
      <w:r>
        <w:t xml:space="preserve"> </w:t>
      </w:r>
      <w:r w:rsidRPr="000602C4">
        <w:t xml:space="preserve">to determine </w:t>
      </w:r>
      <w:r>
        <w:t>eligibility. Adults without access to the internet will be provided with the option to complete the recruitment screener via telephone. The recruiter will enter the screening respondent’s responses into the web screener</w:t>
      </w:r>
      <w:r w:rsidRPr="000602C4">
        <w:t xml:space="preserve">. Potential participants will be screened for demographic information (age, sex, race/ethnicity, and education), the presence of any physical limitations that would preclude effective participation, </w:t>
      </w:r>
      <w:r>
        <w:t>as well as the specific recruitment criteria listed in Table 4</w:t>
      </w:r>
      <w:r w:rsidRPr="000602C4">
        <w:t xml:space="preserve">. A recruiter will contact eligible adults to schedule </w:t>
      </w:r>
      <w:r>
        <w:t>the</w:t>
      </w:r>
      <w:r w:rsidRPr="006B3B06">
        <w:t xml:space="preserve"> interview </w:t>
      </w:r>
      <w:r w:rsidRPr="000602C4">
        <w:t xml:space="preserve">at the treatment center (for those recruited there), at one of the </w:t>
      </w:r>
      <w:r>
        <w:t>Contractor</w:t>
      </w:r>
      <w:r w:rsidRPr="000602C4">
        <w:t xml:space="preserve">’s private offices, </w:t>
      </w:r>
      <w:r w:rsidRPr="000602C4">
        <w:rPr>
          <w:rFonts w:ascii="Times New Roman" w:hAnsi="Times New Roman" w:cs="Times New Roman"/>
        </w:rPr>
        <w:t>or another private setting such as a private room in a public library or community center</w:t>
      </w:r>
      <w:r w:rsidRPr="000602C4">
        <w:t xml:space="preserve">. Callers will be notified they will receive $40 </w:t>
      </w:r>
      <w:r>
        <w:t>upon</w:t>
      </w:r>
      <w:r w:rsidRPr="000602C4">
        <w:t xml:space="preserve"> completing the interview. </w:t>
      </w:r>
    </w:p>
    <w:p w14:paraId="53836F8C" w14:textId="77777777" w:rsidR="00451D48" w:rsidRPr="000602C4" w:rsidRDefault="00451D48" w:rsidP="00451D48">
      <w:pPr>
        <w:pStyle w:val="BodyText"/>
        <w:spacing w:after="0"/>
        <w:ind w:left="630"/>
      </w:pPr>
    </w:p>
    <w:p w14:paraId="745B200E" w14:textId="77777777" w:rsidR="00451D48" w:rsidRPr="000602C4" w:rsidRDefault="00451D48" w:rsidP="00451D48">
      <w:pPr>
        <w:pStyle w:val="BodyText"/>
        <w:spacing w:after="0"/>
        <w:ind w:left="630"/>
      </w:pPr>
      <w:r w:rsidRPr="000602C4">
        <w:t xml:space="preserve">Spanish-speaking adults may either complete the </w:t>
      </w:r>
      <w:r>
        <w:t xml:space="preserve">recruitment </w:t>
      </w:r>
      <w:r w:rsidRPr="000602C4">
        <w:t>screening over the telephone</w:t>
      </w:r>
      <w:r>
        <w:t xml:space="preserve"> or in person</w:t>
      </w:r>
      <w:r w:rsidRPr="000602C4">
        <w:t xml:space="preserve">. A recruiter will </w:t>
      </w:r>
      <w:r>
        <w:t>schedule</w:t>
      </w:r>
      <w:r w:rsidRPr="000602C4">
        <w:t xml:space="preserve"> eligible participants </w:t>
      </w:r>
      <w:r>
        <w:t>for</w:t>
      </w:r>
      <w:r w:rsidRPr="000602C4">
        <w:t xml:space="preserve"> </w:t>
      </w:r>
      <w:r>
        <w:t>the</w:t>
      </w:r>
      <w:r w:rsidRPr="000602C4">
        <w:t xml:space="preserve"> interview at the </w:t>
      </w:r>
      <w:r>
        <w:t>Contractor</w:t>
      </w:r>
      <w:r w:rsidRPr="000602C4">
        <w:t xml:space="preserve">’s private offices, </w:t>
      </w:r>
      <w:r w:rsidRPr="000602C4">
        <w:rPr>
          <w:rFonts w:ascii="Times New Roman" w:hAnsi="Times New Roman" w:cs="Times New Roman"/>
        </w:rPr>
        <w:t xml:space="preserve">or another private setting agreed upon by the </w:t>
      </w:r>
      <w:r>
        <w:rPr>
          <w:rFonts w:ascii="Times New Roman" w:hAnsi="Times New Roman" w:cs="Times New Roman"/>
        </w:rPr>
        <w:t xml:space="preserve">pretesting </w:t>
      </w:r>
      <w:r w:rsidRPr="000602C4">
        <w:rPr>
          <w:rFonts w:ascii="Times New Roman" w:hAnsi="Times New Roman" w:cs="Times New Roman"/>
        </w:rPr>
        <w:t xml:space="preserve">interviewer and participant (such as the </w:t>
      </w:r>
      <w:r>
        <w:rPr>
          <w:rFonts w:ascii="Times New Roman" w:hAnsi="Times New Roman" w:cs="Times New Roman"/>
        </w:rPr>
        <w:t>private room in a public library</w:t>
      </w:r>
      <w:r w:rsidRPr="000602C4">
        <w:rPr>
          <w:rFonts w:ascii="Times New Roman" w:hAnsi="Times New Roman" w:cs="Times New Roman"/>
        </w:rPr>
        <w:t>)</w:t>
      </w:r>
      <w:r w:rsidRPr="000602C4">
        <w:t xml:space="preserve">. </w:t>
      </w:r>
      <w:r>
        <w:t>Screening respondents</w:t>
      </w:r>
      <w:r w:rsidRPr="000602C4">
        <w:t xml:space="preserve"> will be notified they will receive $40 </w:t>
      </w:r>
      <w:r>
        <w:t>upon</w:t>
      </w:r>
      <w:r w:rsidRPr="000602C4">
        <w:t xml:space="preserve"> completing the interview.</w:t>
      </w:r>
    </w:p>
    <w:p w14:paraId="66E99CE3" w14:textId="77777777" w:rsidR="00451D48" w:rsidRPr="00AE7F7D" w:rsidRDefault="00451D48" w:rsidP="00451D48">
      <w:pPr>
        <w:pStyle w:val="BodyText"/>
        <w:spacing w:after="0"/>
        <w:ind w:left="630"/>
        <w:rPr>
          <w:highlight w:val="yellow"/>
        </w:rPr>
      </w:pPr>
    </w:p>
    <w:p w14:paraId="2B34AE92" w14:textId="77777777" w:rsidR="00451D48" w:rsidRDefault="00451D48" w:rsidP="00451D48">
      <w:pPr>
        <w:pStyle w:val="BodyText"/>
        <w:spacing w:after="0"/>
        <w:ind w:left="630"/>
      </w:pPr>
      <w:bookmarkStart w:id="2" w:name="_Hlk523408038"/>
      <w:r>
        <w:rPr>
          <w:iCs/>
        </w:rPr>
        <w:t xml:space="preserve">Adolescents who vape or have sleep issues will complete an online recruitment screener to determine eligibility. The online recruitment screener for adolescents </w:t>
      </w:r>
      <w:r w:rsidRPr="000300C0">
        <w:t xml:space="preserve">asks </w:t>
      </w:r>
      <w:r>
        <w:t xml:space="preserve">only </w:t>
      </w:r>
      <w:r w:rsidRPr="000300C0">
        <w:t>about vaping nicotine, past year sleep issues</w:t>
      </w:r>
      <w:r>
        <w:t>,</w:t>
      </w:r>
      <w:r w:rsidRPr="000300C0">
        <w:t xml:space="preserve"> </w:t>
      </w:r>
      <w:r w:rsidRPr="00826621">
        <w:t>the presence of any physical limitations that would preclude effective participation</w:t>
      </w:r>
      <w:r w:rsidRPr="000300C0">
        <w:t xml:space="preserve"> and </w:t>
      </w:r>
      <w:r w:rsidRPr="004A7559">
        <w:t>demographics.</w:t>
      </w:r>
      <w:bookmarkEnd w:id="2"/>
      <w:r w:rsidRPr="004A7559">
        <w:t xml:space="preserve"> </w:t>
      </w:r>
      <w:r>
        <w:rPr>
          <w:iCs/>
        </w:rPr>
        <w:t xml:space="preserve">The Contractor’s IRB granted a waiver for parental permission for those adolescents who vape or have sleep issues to complete the web recruitment screener. </w:t>
      </w:r>
      <w:r w:rsidRPr="004A7559">
        <w:t>T</w:t>
      </w:r>
      <w:r w:rsidRPr="000300C0">
        <w:t xml:space="preserve">he </w:t>
      </w:r>
      <w:r>
        <w:t xml:space="preserve">recruitment </w:t>
      </w:r>
      <w:r w:rsidRPr="000300C0">
        <w:t xml:space="preserve">screener will let </w:t>
      </w:r>
      <w:r>
        <w:t>adolescents</w:t>
      </w:r>
      <w:r w:rsidRPr="000300C0">
        <w:t xml:space="preserve"> know </w:t>
      </w:r>
      <w:r>
        <w:t>whether</w:t>
      </w:r>
      <w:r w:rsidRPr="000300C0">
        <w:t xml:space="preserve"> they are eligible. Eligible adolescents will be informed </w:t>
      </w:r>
      <w:r>
        <w:t xml:space="preserve">that </w:t>
      </w:r>
      <w:r w:rsidRPr="000300C0">
        <w:t xml:space="preserve">parental consent is required to schedule the interview. The </w:t>
      </w:r>
      <w:r>
        <w:t xml:space="preserve">recruitment </w:t>
      </w:r>
      <w:r w:rsidRPr="000300C0">
        <w:t xml:space="preserve">screener will </w:t>
      </w:r>
      <w:r>
        <w:t xml:space="preserve">also </w:t>
      </w:r>
      <w:r w:rsidRPr="000300C0">
        <w:t xml:space="preserve">alert adolescents to what their parents will be told about the interview when called: </w:t>
      </w:r>
      <w:r>
        <w:t xml:space="preserve">“The purpose of the study is to get feedback on how easy or difficult different questions about tobacco and nicotine are to answer. Respondents do not need to have used tobacco or nicotine to participate.” </w:t>
      </w:r>
      <w:r w:rsidRPr="000300C0">
        <w:t>If adolescents choose to participate, they will then be asked to enter the name and phone number for their parent. Eligible participants will also be infor</w:t>
      </w:r>
      <w:r>
        <w:t>m</w:t>
      </w:r>
      <w:r w:rsidRPr="000300C0">
        <w:t>ed that a parent must accompany them to the interview.</w:t>
      </w:r>
      <w:r>
        <w:t xml:space="preserve"> Contractor staff will then contact the parent to </w:t>
      </w:r>
      <w:r w:rsidRPr="006B3B06">
        <w:t xml:space="preserve">schedule for </w:t>
      </w:r>
      <w:r>
        <w:t>the</w:t>
      </w:r>
      <w:r w:rsidRPr="006B3B06">
        <w:t xml:space="preserve"> </w:t>
      </w:r>
      <w:r w:rsidRPr="000602C4">
        <w:t xml:space="preserve">interview to be held at one of the </w:t>
      </w:r>
      <w:r>
        <w:t>Contractor</w:t>
      </w:r>
      <w:r w:rsidRPr="000602C4">
        <w:t xml:space="preserve">’s private offices. Callers will be notified </w:t>
      </w:r>
      <w:r>
        <w:t>the adolescent participant</w:t>
      </w:r>
      <w:r w:rsidRPr="000602C4">
        <w:t xml:space="preserve"> will receive $40 </w:t>
      </w:r>
      <w:r>
        <w:t>upon</w:t>
      </w:r>
      <w:r w:rsidRPr="000602C4">
        <w:t xml:space="preserve"> completing the interview.</w:t>
      </w:r>
    </w:p>
    <w:p w14:paraId="1F19E56B" w14:textId="77777777" w:rsidR="00451D48" w:rsidRDefault="00451D48" w:rsidP="00451D48">
      <w:pPr>
        <w:pStyle w:val="BodyText"/>
        <w:spacing w:after="0"/>
        <w:ind w:left="630"/>
      </w:pPr>
    </w:p>
    <w:p w14:paraId="3F82ED33" w14:textId="77777777" w:rsidR="00451D48" w:rsidRPr="00AE7F7D" w:rsidRDefault="00451D48" w:rsidP="00451D48">
      <w:pPr>
        <w:pStyle w:val="BodyText"/>
        <w:spacing w:after="0"/>
        <w:ind w:left="630"/>
        <w:rPr>
          <w:highlight w:val="yellow"/>
        </w:rPr>
      </w:pPr>
      <w:r>
        <w:t>For all criteria other than vaping or sleep issues, p</w:t>
      </w:r>
      <w:r w:rsidRPr="000602C4">
        <w:t>otential adolescent participants or adults calling for their adolescent child will be directed to call into the study line to verify eligibility rather than complete a web screener. For adolescent callers, the consent of a parent or guardian will be required before the adolescent can be asked any screening questions. Potential participants will be screened for demographic i</w:t>
      </w:r>
      <w:r w:rsidRPr="00826621">
        <w:t>nformation (age, sex, race/ethnicity, and education), and the presence of any physical limitations that would preclude effective participation</w:t>
      </w:r>
      <w:r>
        <w:t>, as well as the recruitment criteria listed in Table 4</w:t>
      </w:r>
      <w:r w:rsidRPr="00826621">
        <w:t>. The</w:t>
      </w:r>
      <w:r w:rsidRPr="000602C4">
        <w:t xml:space="preserve"> recruiter will inform potential participants a parent or guardian must accompany the adolescent to the interview</w:t>
      </w:r>
      <w:r>
        <w:t xml:space="preserve">. </w:t>
      </w:r>
      <w:r w:rsidRPr="000602C4">
        <w:t xml:space="preserve">Eligible adolescent participants will then be </w:t>
      </w:r>
      <w:r w:rsidRPr="006B3B06">
        <w:t xml:space="preserve">scheduled for </w:t>
      </w:r>
      <w:r>
        <w:t xml:space="preserve">the </w:t>
      </w:r>
      <w:r w:rsidRPr="000602C4">
        <w:t xml:space="preserve">interview to be held at the treatment center or at one of the </w:t>
      </w:r>
      <w:r>
        <w:t>Contractor</w:t>
      </w:r>
      <w:r w:rsidRPr="000602C4">
        <w:t xml:space="preserve">’s private offices. Callers will be notified they will receive $40 </w:t>
      </w:r>
      <w:r>
        <w:t>upon</w:t>
      </w:r>
      <w:r w:rsidRPr="000602C4">
        <w:t xml:space="preserve"> completing the interview.</w:t>
      </w:r>
    </w:p>
    <w:p w14:paraId="1CD28144" w14:textId="77777777" w:rsidR="00451D48" w:rsidRPr="00AE7F7D" w:rsidRDefault="00451D48" w:rsidP="00451D48">
      <w:pPr>
        <w:pStyle w:val="BodyText"/>
        <w:spacing w:after="0"/>
        <w:ind w:left="630" w:hanging="630"/>
        <w:rPr>
          <w:highlight w:val="yellow"/>
        </w:rPr>
      </w:pPr>
    </w:p>
    <w:p w14:paraId="52B5C8F8" w14:textId="77777777" w:rsidR="00451D48" w:rsidRPr="000602C4" w:rsidRDefault="00451D48" w:rsidP="00451D48">
      <w:pPr>
        <w:pStyle w:val="BodyText"/>
        <w:spacing w:after="0"/>
        <w:ind w:left="630" w:hanging="630"/>
      </w:pPr>
      <w:r w:rsidRPr="000602C4">
        <w:tab/>
      </w:r>
      <w:r>
        <w:t>A</w:t>
      </w:r>
      <w:r w:rsidRPr="000602C4">
        <w:t>fter the requisite number of participants ha</w:t>
      </w:r>
      <w:r>
        <w:t>ve</w:t>
      </w:r>
      <w:r w:rsidRPr="000602C4">
        <w:t xml:space="preserve"> been recruited</w:t>
      </w:r>
      <w:r>
        <w:t>, p</w:t>
      </w:r>
      <w:r w:rsidRPr="000602C4">
        <w:t xml:space="preserve">otential participants who call the </w:t>
      </w:r>
      <w:r>
        <w:t>Contractor</w:t>
      </w:r>
      <w:r w:rsidRPr="000602C4">
        <w:t xml:space="preserve">’s designated telephone number or complete the </w:t>
      </w:r>
      <w:r>
        <w:t xml:space="preserve">recruitment </w:t>
      </w:r>
      <w:r w:rsidRPr="000602C4">
        <w:t>screener online will be placed on a wait list</w:t>
      </w:r>
      <w:r>
        <w:t>,</w:t>
      </w:r>
      <w:r w:rsidRPr="000602C4">
        <w:t xml:space="preserve"> with their permission, but only for the duration of the</w:t>
      </w:r>
      <w:r>
        <w:t xml:space="preserve"> three rounds of</w:t>
      </w:r>
      <w:r w:rsidRPr="000602C4">
        <w:t xml:space="preserve"> interviewing </w:t>
      </w:r>
      <w:r>
        <w:t>in this pretest</w:t>
      </w:r>
      <w:r w:rsidRPr="000602C4">
        <w:t xml:space="preserve">. </w:t>
      </w:r>
      <w:r>
        <w:t>I</w:t>
      </w:r>
      <w:r w:rsidRPr="000602C4">
        <w:t>ndividuals on th</w:t>
      </w:r>
      <w:r>
        <w:t>is</w:t>
      </w:r>
      <w:r w:rsidRPr="000602C4">
        <w:t xml:space="preserve"> wait list</w:t>
      </w:r>
      <w:r>
        <w:t xml:space="preserve"> </w:t>
      </w:r>
      <w:r w:rsidRPr="000602C4">
        <w:t>may be called to ask if they are available, such as if one or more originally</w:t>
      </w:r>
      <w:r>
        <w:t>-</w:t>
      </w:r>
      <w:r w:rsidRPr="000602C4">
        <w:t>scheduled participants did not arrive for a scheduled interview. Recruitment and contact information will be kept in locked cabinets and via password</w:t>
      </w:r>
      <w:r>
        <w:t>-</w:t>
      </w:r>
      <w:r w:rsidRPr="000602C4">
        <w:t>protected electronic files and not shared except with those who are assigned to complete the interviews.</w:t>
      </w:r>
    </w:p>
    <w:p w14:paraId="22EBC5EF" w14:textId="77777777" w:rsidR="00451D48" w:rsidRPr="00AE7F7D" w:rsidRDefault="00451D48" w:rsidP="00451D48">
      <w:pPr>
        <w:pStyle w:val="BodyText"/>
        <w:spacing w:after="0"/>
        <w:ind w:left="630" w:hanging="630"/>
        <w:rPr>
          <w:highlight w:val="yellow"/>
        </w:rPr>
      </w:pPr>
    </w:p>
    <w:p w14:paraId="4A15349F" w14:textId="77777777" w:rsidR="00451D48" w:rsidRPr="00647777" w:rsidRDefault="00451D48" w:rsidP="00451D48">
      <w:pPr>
        <w:pStyle w:val="BodyText"/>
        <w:spacing w:after="0"/>
        <w:ind w:left="630" w:hanging="630"/>
      </w:pPr>
      <w:r w:rsidRPr="00647777">
        <w:tab/>
      </w:r>
      <w:r w:rsidRPr="00647777">
        <w:rPr>
          <w:b/>
        </w:rPr>
        <w:t>Interview Process:</w:t>
      </w:r>
      <w:r w:rsidRPr="00647777">
        <w:t xml:space="preserve"> </w:t>
      </w:r>
      <w:r>
        <w:t xml:space="preserve">Pretesting </w:t>
      </w:r>
      <w:r w:rsidRPr="00647777">
        <w:t xml:space="preserve">interviews will be conducted by </w:t>
      </w:r>
      <w:r>
        <w:t>Contractor</w:t>
      </w:r>
      <w:r w:rsidRPr="00647777">
        <w:t xml:space="preserve"> staff who are survey methodologists trained in conducting </w:t>
      </w:r>
      <w:r>
        <w:t>cognitive and usability</w:t>
      </w:r>
      <w:r w:rsidRPr="00647777">
        <w:t xml:space="preserve"> interviews. Prior to </w:t>
      </w:r>
      <w:r>
        <w:t>Round 1</w:t>
      </w:r>
      <w:r w:rsidRPr="00647777">
        <w:t>, a</w:t>
      </w:r>
      <w:r>
        <w:t>n</w:t>
      </w:r>
      <w:r w:rsidRPr="00647777">
        <w:t xml:space="preserve"> interviewer training will be held to discuss the goals of the project and train interviewers on the procedures specific to this</w:t>
      </w:r>
      <w:r>
        <w:t xml:space="preserve"> pretest</w:t>
      </w:r>
      <w:r w:rsidRPr="00647777">
        <w:t xml:space="preserve">. </w:t>
      </w:r>
    </w:p>
    <w:p w14:paraId="2A908697" w14:textId="77777777" w:rsidR="00451D48" w:rsidRPr="00AE7F7D" w:rsidRDefault="00451D48" w:rsidP="00451D48">
      <w:pPr>
        <w:pStyle w:val="BodyText"/>
        <w:spacing w:after="0"/>
        <w:ind w:left="630" w:hanging="630"/>
        <w:rPr>
          <w:highlight w:val="yellow"/>
        </w:rPr>
      </w:pPr>
    </w:p>
    <w:p w14:paraId="058805A2" w14:textId="77777777" w:rsidR="00451D48" w:rsidRPr="00826621" w:rsidRDefault="00451D48" w:rsidP="00451D48">
      <w:pPr>
        <w:pStyle w:val="BodyText"/>
        <w:spacing w:after="0"/>
        <w:ind w:left="630"/>
      </w:pPr>
      <w:r w:rsidRPr="00647777">
        <w:t xml:space="preserve">When each participant arrives for </w:t>
      </w:r>
      <w:r>
        <w:t>an</w:t>
      </w:r>
      <w:r w:rsidRPr="00647777">
        <w:t xml:space="preserve"> interview, he or she will be greeted and asked to listen to instructions and informed consent/assent information from the interviewer, and parental permission when ap</w:t>
      </w:r>
      <w:r w:rsidRPr="00826621">
        <w:t xml:space="preserve">plicable (Attachments </w:t>
      </w:r>
      <w:r>
        <w:t>D and E</w:t>
      </w:r>
      <w:r w:rsidRPr="00826621">
        <w:t xml:space="preserve">). All </w:t>
      </w:r>
      <w:r>
        <w:t xml:space="preserve">pretesting </w:t>
      </w:r>
      <w:r w:rsidRPr="00826621">
        <w:t xml:space="preserve">interviews will be audio/screen recorded upon consent of each participant and a subset may be observed by </w:t>
      </w:r>
      <w:r>
        <w:t>authorized project staff (in person or remotely)</w:t>
      </w:r>
      <w:r w:rsidRPr="00826621">
        <w:t xml:space="preserve">, again upon consent of each participant. Participants will have the right to decline to </w:t>
      </w:r>
      <w:r>
        <w:t xml:space="preserve">be </w:t>
      </w:r>
      <w:r w:rsidRPr="00826621">
        <w:t xml:space="preserve">recorded and/or observed without being excluded from participation. </w:t>
      </w:r>
    </w:p>
    <w:p w14:paraId="4E4CC2DC" w14:textId="77777777" w:rsidR="00451D48" w:rsidRPr="00826621" w:rsidRDefault="00451D48" w:rsidP="00451D48">
      <w:pPr>
        <w:pStyle w:val="BodyText"/>
        <w:spacing w:after="0"/>
        <w:ind w:left="630" w:hanging="630"/>
      </w:pPr>
    </w:p>
    <w:p w14:paraId="71DC55CC" w14:textId="77777777" w:rsidR="00451D48" w:rsidRDefault="00451D48" w:rsidP="00451D48">
      <w:pPr>
        <w:pStyle w:val="BodyText"/>
        <w:spacing w:after="0"/>
        <w:ind w:left="630" w:hanging="630"/>
      </w:pPr>
      <w:r w:rsidRPr="00826621">
        <w:tab/>
        <w:t>Before the interview begins, the participant will read the Participant Informed Consent Form (Attachment E). The</w:t>
      </w:r>
      <w:r w:rsidRPr="00647777">
        <w:t xml:space="preserve"> interview will commence after the participant has given his or her </w:t>
      </w:r>
      <w:r>
        <w:t xml:space="preserve">verbal </w:t>
      </w:r>
      <w:r w:rsidRPr="00647777">
        <w:t xml:space="preserve">consent. The interviewer will begin by asking the participant for demographic information (to determine how the interview program should route the participant through questions in the interview) and then will show each respondent how to navigate through the interview program. Participants then will complete a tutorial </w:t>
      </w:r>
      <w:r>
        <w:t>to learn</w:t>
      </w:r>
      <w:r w:rsidRPr="00647777">
        <w:t xml:space="preserve"> how to complete the ACASI portion of the survey. </w:t>
      </w:r>
    </w:p>
    <w:p w14:paraId="2CD4782F" w14:textId="77777777" w:rsidR="00451D48" w:rsidRDefault="00451D48" w:rsidP="00451D48">
      <w:pPr>
        <w:pStyle w:val="BodyText"/>
        <w:spacing w:after="0"/>
        <w:ind w:left="630" w:hanging="630"/>
      </w:pPr>
    </w:p>
    <w:p w14:paraId="6E136D53" w14:textId="77777777" w:rsidR="00451D48" w:rsidRPr="006C4443" w:rsidRDefault="00451D48" w:rsidP="00451D48">
      <w:pPr>
        <w:pStyle w:val="BodyText"/>
        <w:ind w:left="630"/>
      </w:pPr>
      <w:r>
        <w:t>A</w:t>
      </w:r>
      <w:r w:rsidRPr="006C4443">
        <w:t xml:space="preserve">dolescents recruited via online ads or vape shops will only receive the </w:t>
      </w:r>
      <w:r>
        <w:t>c</w:t>
      </w:r>
      <w:r w:rsidRPr="006C4443">
        <w:t xml:space="preserve">ore </w:t>
      </w:r>
      <w:r>
        <w:t>d</w:t>
      </w:r>
      <w:r w:rsidRPr="006C4443">
        <w:t xml:space="preserve">emographics, </w:t>
      </w:r>
      <w:r>
        <w:t>ACASI</w:t>
      </w:r>
      <w:r w:rsidRPr="006C4443">
        <w:t xml:space="preserve"> tutorial, nicotine and sleep modules due to the potential risk of asking sensitive questions to those not already seeking treatment for substance use or mental health issues. </w:t>
      </w:r>
    </w:p>
    <w:p w14:paraId="7A560994" w14:textId="77777777" w:rsidR="00451D48" w:rsidRPr="006C4443" w:rsidRDefault="00451D48" w:rsidP="00451D48">
      <w:pPr>
        <w:pStyle w:val="BodyText"/>
        <w:ind w:left="630"/>
      </w:pPr>
      <w:r w:rsidRPr="006C4443">
        <w:t xml:space="preserve">All other adolescents and adult </w:t>
      </w:r>
      <w:r>
        <w:t>pre</w:t>
      </w:r>
      <w:r w:rsidRPr="006C4443">
        <w:t xml:space="preserve">testing participants will complete a key set of modules including </w:t>
      </w:r>
      <w:r>
        <w:t>c</w:t>
      </w:r>
      <w:r w:rsidRPr="006C4443">
        <w:t xml:space="preserve">ore </w:t>
      </w:r>
      <w:r>
        <w:t>d</w:t>
      </w:r>
      <w:r w:rsidRPr="006C4443">
        <w:t xml:space="preserve">emographics, ACASI tutorial, and the main substance use modules (except for prescription drugs) even if they were not screened as a past year substance user. This will ensure </w:t>
      </w:r>
      <w:r>
        <w:t>pre</w:t>
      </w:r>
      <w:r w:rsidRPr="006C4443">
        <w:t xml:space="preserve">testing participants have an experience like that of NSDUH respondents. To reduce burden, these </w:t>
      </w:r>
      <w:r>
        <w:t xml:space="preserve">pretesting </w:t>
      </w:r>
      <w:r w:rsidRPr="006C4443">
        <w:t>interviews will use abridged versions of the substance use modules, asking about lifetime use, recency, frequency and needle use (if applicable). Age of first use will only be asked for new questions on vaping and marijuana. Although all interview participants will receive these questions, only certain participants will be probed on these modules by the interviewer based on predetermined recruitment criteria</w:t>
      </w:r>
      <w:r>
        <w:t xml:space="preserve">. </w:t>
      </w:r>
      <w:r w:rsidRPr="006C4443">
        <w:t xml:space="preserve">The prescription pain relievers and stimulants modules will only be asked of participants who reported use in the screening questionnaire, due to their administration time and because only the needle use questions are being revised. These participants will be asked the corresponding misuse questions from the main modules and needle use questions (if applicable). </w:t>
      </w:r>
    </w:p>
    <w:p w14:paraId="51BA597E" w14:textId="77777777" w:rsidR="00451D48" w:rsidRPr="00647777" w:rsidRDefault="00451D48" w:rsidP="00451D48">
      <w:pPr>
        <w:pStyle w:val="BodyText"/>
        <w:spacing w:after="0"/>
        <w:ind w:left="630"/>
      </w:pPr>
      <w:r w:rsidRPr="006C4443">
        <w:t xml:space="preserve">The other modules will only be offered to participants eligible as a result of </w:t>
      </w:r>
      <w:r>
        <w:t xml:space="preserve">recruitment </w:t>
      </w:r>
      <w:r w:rsidRPr="006C4443">
        <w:t>screening, as well as a small number of participants who did not screen</w:t>
      </w:r>
      <w:r>
        <w:t xml:space="preserve"> </w:t>
      </w:r>
      <w:r w:rsidRPr="006C4443">
        <w:t>i</w:t>
      </w:r>
      <w:r>
        <w:t>n. Youth suicide and NSSI questions will only be tested with participants who have received treatment for mental health in the past year. A</w:t>
      </w:r>
      <w:r w:rsidRPr="006C4443">
        <w:t>ll</w:t>
      </w:r>
      <w:r>
        <w:t xml:space="preserve"> other</w:t>
      </w:r>
      <w:r w:rsidRPr="006C4443">
        <w:t xml:space="preserve"> modules will be administered to a combination of participants who </w:t>
      </w:r>
      <w:r>
        <w:t>met specific recruitment</w:t>
      </w:r>
      <w:r w:rsidRPr="006C4443">
        <w:t xml:space="preserve"> criteria as well as some who did not. It is important to test the questions with participants who do not meet the criteria to ensure that the questions do not generate false positives.</w:t>
      </w:r>
    </w:p>
    <w:p w14:paraId="750811CF" w14:textId="77777777" w:rsidR="00451D48" w:rsidRPr="00AE7F7D" w:rsidRDefault="00451D48" w:rsidP="00451D48">
      <w:pPr>
        <w:pStyle w:val="BodyText"/>
        <w:spacing w:after="0"/>
        <w:ind w:left="630" w:hanging="630"/>
        <w:rPr>
          <w:highlight w:val="yellow"/>
        </w:rPr>
      </w:pPr>
    </w:p>
    <w:p w14:paraId="51A026A3" w14:textId="77777777" w:rsidR="00451D48" w:rsidRDefault="00451D48" w:rsidP="00451D48">
      <w:pPr>
        <w:pStyle w:val="BodyText"/>
        <w:spacing w:after="0"/>
        <w:ind w:left="630"/>
      </w:pPr>
      <w:r w:rsidRPr="00E85D71">
        <w:rPr>
          <w:rStyle w:val="ablue"/>
          <w:color w:val="auto"/>
        </w:rPr>
        <w:t>Tables 5 and 6</w:t>
      </w:r>
      <w:r w:rsidRPr="00464CF9">
        <w:rPr>
          <w:rStyle w:val="ablue"/>
          <w:color w:val="auto"/>
        </w:rPr>
        <w:t xml:space="preserve"> </w:t>
      </w:r>
      <w:r>
        <w:t xml:space="preserve">list the questionnaire modules that will be evaluated during pretesting and the general recruitment criteria proposed for testing with English-speaking adolescents and adults. Modules will be administered to a mixture of participants who screened in for those particular criteria as well as some who did not. It is important to test the questions with participants who do not meet the criteria to ensure that the questions do not generate false positives. </w:t>
      </w:r>
    </w:p>
    <w:p w14:paraId="07F71F8C" w14:textId="77777777" w:rsidR="00451D48" w:rsidRDefault="00451D48" w:rsidP="00451D48">
      <w:pPr>
        <w:pStyle w:val="BodyText"/>
        <w:spacing w:after="0" w:line="276" w:lineRule="auto"/>
        <w:ind w:left="0"/>
      </w:pPr>
    </w:p>
    <w:p w14:paraId="2E81F9A7" w14:textId="77777777" w:rsidR="00451D48" w:rsidRPr="00E85D71" w:rsidRDefault="00451D48" w:rsidP="00451D48">
      <w:pPr>
        <w:pStyle w:val="BodyText"/>
        <w:spacing w:after="0" w:line="276" w:lineRule="auto"/>
        <w:ind w:left="0"/>
        <w:rPr>
          <w:b/>
        </w:rPr>
      </w:pPr>
      <w:r w:rsidRPr="00E85D71">
        <w:rPr>
          <w:b/>
        </w:rPr>
        <w:t xml:space="preserve">Table 5. </w:t>
      </w:r>
      <w:r>
        <w:rPr>
          <w:b/>
        </w:rPr>
        <w:t xml:space="preserve">     Pret</w:t>
      </w:r>
      <w:r w:rsidRPr="00E85D71">
        <w:rPr>
          <w:b/>
        </w:rPr>
        <w:t xml:space="preserve">esting Modules Administered to All Participants (Except </w:t>
      </w:r>
      <w:r>
        <w:rPr>
          <w:b/>
        </w:rPr>
        <w:t xml:space="preserve">adolescents </w:t>
      </w:r>
      <w:r w:rsidRPr="00E85D71">
        <w:rPr>
          <w:b/>
        </w:rPr>
        <w:t>recruited for vaping or sleep)</w:t>
      </w:r>
    </w:p>
    <w:p w14:paraId="4B53538F" w14:textId="77777777" w:rsidR="00451D48" w:rsidRDefault="00451D48" w:rsidP="00451D48">
      <w:pPr>
        <w:pStyle w:val="BodyText"/>
        <w:spacing w:after="0" w:line="276" w:lineRule="auto"/>
      </w:pPr>
    </w:p>
    <w:tbl>
      <w:tblPr>
        <w:tblStyle w:val="aNSDUH"/>
        <w:tblW w:w="5000" w:type="pct"/>
        <w:jc w:val="center"/>
        <w:tblCellMar>
          <w:left w:w="115" w:type="dxa"/>
          <w:right w:w="115" w:type="dxa"/>
        </w:tblCellMar>
        <w:tblLook w:val="04A0" w:firstRow="1" w:lastRow="0" w:firstColumn="1" w:lastColumn="0" w:noHBand="0" w:noVBand="1"/>
      </w:tblPr>
      <w:tblGrid>
        <w:gridCol w:w="2210"/>
        <w:gridCol w:w="3692"/>
        <w:gridCol w:w="3688"/>
      </w:tblGrid>
      <w:tr w:rsidR="00451D48" w14:paraId="260151DF" w14:textId="77777777" w:rsidTr="00A616F1">
        <w:trPr>
          <w:cnfStyle w:val="100000000000" w:firstRow="1" w:lastRow="0" w:firstColumn="0" w:lastColumn="0" w:oddVBand="0" w:evenVBand="0" w:oddHBand="0" w:evenHBand="0" w:firstRowFirstColumn="0" w:firstRowLastColumn="0" w:lastRowFirstColumn="0" w:lastRowLastColumn="0"/>
          <w:trHeight w:val="314"/>
          <w:tblHeader/>
          <w:jc w:val="center"/>
        </w:trPr>
        <w:tc>
          <w:tcPr>
            <w:tcW w:w="1152" w:type="pct"/>
            <w:vMerge w:val="restart"/>
            <w:vAlign w:val="center"/>
          </w:tcPr>
          <w:p w14:paraId="56B97143" w14:textId="77777777" w:rsidR="00451D48" w:rsidRDefault="00451D48" w:rsidP="00A616F1">
            <w:pPr>
              <w:pStyle w:val="TableHeaders"/>
              <w:spacing w:before="0" w:after="0" w:line="240" w:lineRule="auto"/>
              <w:ind w:left="-144" w:right="-144"/>
            </w:pPr>
            <w:r>
              <w:t>Module</w:t>
            </w:r>
          </w:p>
        </w:tc>
        <w:tc>
          <w:tcPr>
            <w:tcW w:w="3848" w:type="pct"/>
            <w:gridSpan w:val="2"/>
            <w:vAlign w:val="center"/>
          </w:tcPr>
          <w:p w14:paraId="233AE8CA" w14:textId="77777777" w:rsidR="00451D48" w:rsidRDefault="00451D48" w:rsidP="00A616F1">
            <w:pPr>
              <w:pStyle w:val="TableHeaders"/>
              <w:spacing w:before="0" w:after="0" w:line="240" w:lineRule="auto"/>
            </w:pPr>
            <w:r>
              <w:t>Participants that will be probed</w:t>
            </w:r>
          </w:p>
        </w:tc>
      </w:tr>
      <w:tr w:rsidR="00451D48" w14:paraId="3291BF12" w14:textId="77777777" w:rsidTr="00A616F1">
        <w:trPr>
          <w:cnfStyle w:val="100000000000" w:firstRow="1" w:lastRow="0" w:firstColumn="0" w:lastColumn="0" w:oddVBand="0" w:evenVBand="0" w:oddHBand="0" w:evenHBand="0" w:firstRowFirstColumn="0" w:firstRowLastColumn="0" w:lastRowFirstColumn="0" w:lastRowLastColumn="0"/>
          <w:trHeight w:val="251"/>
          <w:tblHeader/>
          <w:jc w:val="center"/>
        </w:trPr>
        <w:tc>
          <w:tcPr>
            <w:tcW w:w="1152" w:type="pct"/>
            <w:vMerge/>
            <w:vAlign w:val="center"/>
          </w:tcPr>
          <w:p w14:paraId="1BAE8C3D" w14:textId="77777777" w:rsidR="00451D48" w:rsidRPr="00834482" w:rsidRDefault="00451D48" w:rsidP="00A616F1">
            <w:pPr>
              <w:pStyle w:val="TableHeaders"/>
              <w:spacing w:before="0" w:after="0" w:line="240" w:lineRule="auto"/>
              <w:ind w:left="-144" w:right="-144"/>
            </w:pPr>
          </w:p>
        </w:tc>
        <w:tc>
          <w:tcPr>
            <w:tcW w:w="1925" w:type="pct"/>
            <w:vAlign w:val="center"/>
          </w:tcPr>
          <w:p w14:paraId="1246CACB" w14:textId="77777777" w:rsidR="00451D48" w:rsidRPr="00834482" w:rsidRDefault="00451D48" w:rsidP="00A616F1">
            <w:pPr>
              <w:pStyle w:val="TableHeaders"/>
              <w:spacing w:before="0" w:after="0" w:line="240" w:lineRule="auto"/>
            </w:pPr>
            <w:r>
              <w:t>Adolescents</w:t>
            </w:r>
          </w:p>
        </w:tc>
        <w:tc>
          <w:tcPr>
            <w:tcW w:w="1923" w:type="pct"/>
            <w:vAlign w:val="center"/>
          </w:tcPr>
          <w:p w14:paraId="40DE7DED" w14:textId="77777777" w:rsidR="00451D48" w:rsidRDefault="00451D48" w:rsidP="00A616F1">
            <w:pPr>
              <w:pStyle w:val="TableHeaders"/>
              <w:spacing w:before="0" w:after="0" w:line="240" w:lineRule="auto"/>
            </w:pPr>
            <w:r>
              <w:t>Adults</w:t>
            </w:r>
          </w:p>
        </w:tc>
      </w:tr>
      <w:tr w:rsidR="00451D48" w14:paraId="3197F004" w14:textId="77777777" w:rsidTr="00A616F1">
        <w:trPr>
          <w:cnfStyle w:val="000000100000" w:firstRow="0" w:lastRow="0" w:firstColumn="0" w:lastColumn="0" w:oddVBand="0" w:evenVBand="0" w:oddHBand="1" w:evenHBand="0" w:firstRowFirstColumn="0" w:firstRowLastColumn="0" w:lastRowFirstColumn="0" w:lastRowLastColumn="0"/>
          <w:trHeight w:val="530"/>
          <w:jc w:val="center"/>
        </w:trPr>
        <w:tc>
          <w:tcPr>
            <w:tcW w:w="1152" w:type="pct"/>
            <w:vAlign w:val="center"/>
          </w:tcPr>
          <w:p w14:paraId="1C5BE471" w14:textId="77777777" w:rsidR="00451D48" w:rsidRDefault="00451D48" w:rsidP="00A616F1">
            <w:pPr>
              <w:pStyle w:val="TableText1"/>
            </w:pPr>
            <w:r>
              <w:t>Core Demographic</w:t>
            </w:r>
          </w:p>
        </w:tc>
        <w:tc>
          <w:tcPr>
            <w:tcW w:w="1925" w:type="pct"/>
          </w:tcPr>
          <w:p w14:paraId="0C5780CC" w14:textId="77777777" w:rsidR="00451D48" w:rsidRDefault="00451D48" w:rsidP="00A616F1">
            <w:pPr>
              <w:pStyle w:val="Tablebullet"/>
              <w:numPr>
                <w:ilvl w:val="0"/>
                <w:numId w:val="9"/>
              </w:numPr>
            </w:pPr>
            <w:r>
              <w:t>No specific criteria (6)</w:t>
            </w:r>
          </w:p>
          <w:p w14:paraId="13F4B900" w14:textId="77777777" w:rsidR="00451D48" w:rsidRDefault="00451D48" w:rsidP="00A616F1">
            <w:pPr>
              <w:pStyle w:val="Tablebullet"/>
              <w:numPr>
                <w:ilvl w:val="0"/>
                <w:numId w:val="0"/>
              </w:numPr>
              <w:ind w:left="360"/>
            </w:pPr>
          </w:p>
        </w:tc>
        <w:tc>
          <w:tcPr>
            <w:tcW w:w="1923" w:type="pct"/>
          </w:tcPr>
          <w:p w14:paraId="2E69F2E4" w14:textId="77777777" w:rsidR="00451D48" w:rsidRDefault="00451D48" w:rsidP="00A616F1">
            <w:pPr>
              <w:pStyle w:val="Tablebullet"/>
              <w:numPr>
                <w:ilvl w:val="0"/>
                <w:numId w:val="9"/>
              </w:numPr>
            </w:pPr>
            <w:r>
              <w:t>No specific criteria (6)</w:t>
            </w:r>
          </w:p>
        </w:tc>
      </w:tr>
      <w:tr w:rsidR="00451D48" w14:paraId="14B431B5" w14:textId="77777777" w:rsidTr="00A616F1">
        <w:trPr>
          <w:trHeight w:val="386"/>
          <w:jc w:val="center"/>
        </w:trPr>
        <w:tc>
          <w:tcPr>
            <w:tcW w:w="1152" w:type="pct"/>
            <w:vAlign w:val="center"/>
          </w:tcPr>
          <w:p w14:paraId="2CDFA577" w14:textId="77777777" w:rsidR="00451D48" w:rsidRDefault="00451D48" w:rsidP="00A616F1">
            <w:pPr>
              <w:pStyle w:val="TableText1"/>
            </w:pPr>
            <w:r>
              <w:t>ACASI</w:t>
            </w:r>
          </w:p>
          <w:p w14:paraId="1ADBA22C" w14:textId="77777777" w:rsidR="00451D48" w:rsidRDefault="00451D48" w:rsidP="00A616F1">
            <w:pPr>
              <w:pStyle w:val="TableText1"/>
            </w:pPr>
            <w:r>
              <w:t>Tutorial</w:t>
            </w:r>
          </w:p>
        </w:tc>
        <w:tc>
          <w:tcPr>
            <w:tcW w:w="1925" w:type="pct"/>
          </w:tcPr>
          <w:p w14:paraId="76E92096" w14:textId="77777777" w:rsidR="00451D48" w:rsidRDefault="00451D48" w:rsidP="00A616F1">
            <w:pPr>
              <w:pStyle w:val="Tablebullet"/>
            </w:pPr>
            <w:r>
              <w:t>None</w:t>
            </w:r>
          </w:p>
        </w:tc>
        <w:tc>
          <w:tcPr>
            <w:tcW w:w="1923" w:type="pct"/>
          </w:tcPr>
          <w:p w14:paraId="689419F1" w14:textId="77777777" w:rsidR="00451D48" w:rsidRDefault="00451D48" w:rsidP="00A616F1">
            <w:pPr>
              <w:pStyle w:val="Tablebullet"/>
            </w:pPr>
            <w:r>
              <w:t>None</w:t>
            </w:r>
          </w:p>
        </w:tc>
      </w:tr>
      <w:tr w:rsidR="00451D48" w14:paraId="2D35F6A3" w14:textId="77777777" w:rsidTr="00A616F1">
        <w:trPr>
          <w:cnfStyle w:val="000000100000" w:firstRow="0" w:lastRow="0" w:firstColumn="0" w:lastColumn="0" w:oddVBand="0" w:evenVBand="0" w:oddHBand="1" w:evenHBand="0" w:firstRowFirstColumn="0" w:firstRowLastColumn="0" w:lastRowFirstColumn="0" w:lastRowLastColumn="0"/>
          <w:trHeight w:val="1331"/>
          <w:jc w:val="center"/>
        </w:trPr>
        <w:tc>
          <w:tcPr>
            <w:tcW w:w="1152" w:type="pct"/>
            <w:vAlign w:val="center"/>
          </w:tcPr>
          <w:p w14:paraId="5FE3A998" w14:textId="77777777" w:rsidR="00451D48" w:rsidRDefault="00451D48" w:rsidP="00A616F1">
            <w:pPr>
              <w:pStyle w:val="TableText1"/>
            </w:pPr>
            <w:r>
              <w:t>Nicotine</w:t>
            </w:r>
          </w:p>
          <w:p w14:paraId="3BEE18F1" w14:textId="77777777" w:rsidR="00451D48" w:rsidRDefault="00451D48" w:rsidP="00A616F1">
            <w:pPr>
              <w:pStyle w:val="TableText1"/>
            </w:pPr>
          </w:p>
        </w:tc>
        <w:tc>
          <w:tcPr>
            <w:tcW w:w="1925" w:type="pct"/>
          </w:tcPr>
          <w:p w14:paraId="383F9E88" w14:textId="77777777" w:rsidR="00451D48" w:rsidRDefault="00451D48" w:rsidP="00A616F1">
            <w:pPr>
              <w:pStyle w:val="Tablebullet"/>
              <w:numPr>
                <w:ilvl w:val="0"/>
                <w:numId w:val="8"/>
              </w:numPr>
              <w:ind w:left="360"/>
            </w:pPr>
            <w:r>
              <w:t>Past 30-day e-cigs (6)</w:t>
            </w:r>
          </w:p>
          <w:p w14:paraId="7BB19E18" w14:textId="77777777" w:rsidR="00451D48" w:rsidRDefault="00451D48" w:rsidP="00A616F1">
            <w:pPr>
              <w:pStyle w:val="Tablebullet"/>
              <w:numPr>
                <w:ilvl w:val="0"/>
                <w:numId w:val="8"/>
              </w:numPr>
              <w:ind w:left="360"/>
            </w:pPr>
            <w:r>
              <w:t>Past 12-month vapers of substances other than nicotine or no past year vape use (3)</w:t>
            </w:r>
          </w:p>
          <w:p w14:paraId="680B04FD" w14:textId="77777777" w:rsidR="00451D48" w:rsidRDefault="00451D48" w:rsidP="00A616F1">
            <w:pPr>
              <w:pStyle w:val="Tablebullet"/>
              <w:numPr>
                <w:ilvl w:val="0"/>
                <w:numId w:val="0"/>
              </w:numPr>
              <w:ind w:left="360" w:hanging="360"/>
            </w:pPr>
          </w:p>
        </w:tc>
        <w:tc>
          <w:tcPr>
            <w:tcW w:w="1923" w:type="pct"/>
          </w:tcPr>
          <w:p w14:paraId="09CB4AEF" w14:textId="77777777" w:rsidR="00451D48" w:rsidRDefault="00451D48" w:rsidP="00A616F1">
            <w:pPr>
              <w:pStyle w:val="Tablebullet"/>
              <w:numPr>
                <w:ilvl w:val="0"/>
                <w:numId w:val="8"/>
              </w:numPr>
              <w:ind w:left="360"/>
            </w:pPr>
            <w:r>
              <w:t>Past 30-day e-cigs (2)</w:t>
            </w:r>
          </w:p>
          <w:p w14:paraId="57067150" w14:textId="77777777" w:rsidR="00451D48" w:rsidRDefault="00451D48" w:rsidP="00A616F1">
            <w:pPr>
              <w:pStyle w:val="Tablebullet"/>
              <w:numPr>
                <w:ilvl w:val="0"/>
                <w:numId w:val="8"/>
              </w:numPr>
              <w:ind w:left="360"/>
            </w:pPr>
            <w:r>
              <w:t>Past 12-month vapers of substances other than nicotine or no past year vape use (1)</w:t>
            </w:r>
          </w:p>
        </w:tc>
      </w:tr>
      <w:tr w:rsidR="00451D48" w14:paraId="0C88A06C" w14:textId="77777777" w:rsidTr="00A616F1">
        <w:trPr>
          <w:trHeight w:val="350"/>
          <w:jc w:val="center"/>
        </w:trPr>
        <w:tc>
          <w:tcPr>
            <w:tcW w:w="1152" w:type="pct"/>
            <w:vAlign w:val="center"/>
          </w:tcPr>
          <w:p w14:paraId="0A438643" w14:textId="77777777" w:rsidR="00451D48" w:rsidRDefault="00451D48" w:rsidP="00A616F1">
            <w:pPr>
              <w:pStyle w:val="TableText1"/>
            </w:pPr>
            <w:r>
              <w:t>Alcohol</w:t>
            </w:r>
          </w:p>
        </w:tc>
        <w:tc>
          <w:tcPr>
            <w:tcW w:w="1925" w:type="pct"/>
          </w:tcPr>
          <w:p w14:paraId="5B8270E9" w14:textId="77777777" w:rsidR="00451D48" w:rsidRDefault="00451D48" w:rsidP="00A616F1">
            <w:pPr>
              <w:pStyle w:val="Tablebullet"/>
              <w:numPr>
                <w:ilvl w:val="0"/>
                <w:numId w:val="10"/>
              </w:numPr>
            </w:pPr>
            <w:r>
              <w:t>No specific criteria (6)</w:t>
            </w:r>
          </w:p>
          <w:p w14:paraId="363279CE" w14:textId="77777777" w:rsidR="00451D48" w:rsidRDefault="00451D48" w:rsidP="00A616F1">
            <w:pPr>
              <w:pStyle w:val="Tablebullet"/>
              <w:numPr>
                <w:ilvl w:val="0"/>
                <w:numId w:val="0"/>
              </w:numPr>
              <w:ind w:left="360"/>
            </w:pPr>
          </w:p>
        </w:tc>
        <w:tc>
          <w:tcPr>
            <w:tcW w:w="1923" w:type="pct"/>
          </w:tcPr>
          <w:p w14:paraId="4977A189" w14:textId="77777777" w:rsidR="00451D48" w:rsidRDefault="00451D48" w:rsidP="00A616F1">
            <w:pPr>
              <w:pStyle w:val="Tablebullet"/>
              <w:numPr>
                <w:ilvl w:val="0"/>
                <w:numId w:val="10"/>
              </w:numPr>
            </w:pPr>
            <w:r>
              <w:t>No specific criteria (6)</w:t>
            </w:r>
          </w:p>
          <w:p w14:paraId="0D7CEC79" w14:textId="77777777" w:rsidR="00451D48" w:rsidRDefault="00451D48" w:rsidP="00A616F1">
            <w:pPr>
              <w:pStyle w:val="Tablebullet"/>
              <w:numPr>
                <w:ilvl w:val="0"/>
                <w:numId w:val="0"/>
              </w:numPr>
              <w:ind w:left="360"/>
            </w:pPr>
          </w:p>
        </w:tc>
      </w:tr>
      <w:tr w:rsidR="00451D48" w14:paraId="679092CB" w14:textId="77777777" w:rsidTr="00A616F1">
        <w:trPr>
          <w:cnfStyle w:val="000000100000" w:firstRow="0" w:lastRow="0" w:firstColumn="0" w:lastColumn="0" w:oddVBand="0" w:evenVBand="0" w:oddHBand="1" w:evenHBand="0" w:firstRowFirstColumn="0" w:firstRowLastColumn="0" w:lastRowFirstColumn="0" w:lastRowLastColumn="0"/>
          <w:trHeight w:val="1134"/>
          <w:jc w:val="center"/>
        </w:trPr>
        <w:tc>
          <w:tcPr>
            <w:tcW w:w="1152" w:type="pct"/>
            <w:vAlign w:val="center"/>
          </w:tcPr>
          <w:p w14:paraId="707F0721" w14:textId="77777777" w:rsidR="00451D48" w:rsidRDefault="00451D48" w:rsidP="00A616F1">
            <w:pPr>
              <w:pStyle w:val="TableText1"/>
            </w:pPr>
            <w:r>
              <w:t>Marijuana</w:t>
            </w:r>
          </w:p>
          <w:p w14:paraId="54416A28" w14:textId="77777777" w:rsidR="00451D48" w:rsidRDefault="00451D48" w:rsidP="00A616F1">
            <w:pPr>
              <w:pStyle w:val="TableText1"/>
            </w:pPr>
          </w:p>
        </w:tc>
        <w:tc>
          <w:tcPr>
            <w:tcW w:w="1925" w:type="pct"/>
          </w:tcPr>
          <w:p w14:paraId="6C927365" w14:textId="77777777" w:rsidR="00451D48" w:rsidRPr="00A7081A" w:rsidRDefault="00451D48" w:rsidP="00A616F1">
            <w:pPr>
              <w:pStyle w:val="Tablebullet"/>
              <w:numPr>
                <w:ilvl w:val="0"/>
                <w:numId w:val="7"/>
              </w:numPr>
            </w:pPr>
            <w:r w:rsidRPr="00A7081A">
              <w:t>Past year marijuana users (2)</w:t>
            </w:r>
          </w:p>
          <w:p w14:paraId="4961D4FD" w14:textId="77777777" w:rsidR="00451D48" w:rsidRPr="00A7081A" w:rsidRDefault="00451D48" w:rsidP="00A616F1">
            <w:pPr>
              <w:pStyle w:val="Tablebullet"/>
              <w:numPr>
                <w:ilvl w:val="0"/>
                <w:numId w:val="7"/>
              </w:numPr>
            </w:pPr>
            <w:r w:rsidRPr="00A7081A">
              <w:t>Past year CBD, if possible (1)</w:t>
            </w:r>
          </w:p>
          <w:p w14:paraId="4934CBF2" w14:textId="77777777" w:rsidR="00451D48" w:rsidRPr="00A7081A" w:rsidRDefault="00451D48" w:rsidP="00A616F1">
            <w:pPr>
              <w:pStyle w:val="Tablebullet"/>
              <w:numPr>
                <w:ilvl w:val="0"/>
                <w:numId w:val="7"/>
              </w:numPr>
            </w:pPr>
            <w:r w:rsidRPr="00A7081A">
              <w:t>No past year marijuana or CBD use (1)</w:t>
            </w:r>
          </w:p>
          <w:p w14:paraId="0980DB2F" w14:textId="77777777" w:rsidR="00451D48" w:rsidRPr="00A7081A" w:rsidRDefault="00451D48" w:rsidP="00A616F1">
            <w:pPr>
              <w:pStyle w:val="Tablebullet"/>
              <w:numPr>
                <w:ilvl w:val="0"/>
                <w:numId w:val="0"/>
              </w:numPr>
            </w:pPr>
          </w:p>
        </w:tc>
        <w:tc>
          <w:tcPr>
            <w:tcW w:w="1923" w:type="pct"/>
          </w:tcPr>
          <w:p w14:paraId="2F654C81" w14:textId="77777777" w:rsidR="00451D48" w:rsidRPr="00A7081A" w:rsidRDefault="00451D48" w:rsidP="00A616F1">
            <w:pPr>
              <w:pStyle w:val="Tablebullet"/>
              <w:numPr>
                <w:ilvl w:val="0"/>
                <w:numId w:val="7"/>
              </w:numPr>
            </w:pPr>
            <w:r w:rsidRPr="00A7081A">
              <w:t>Past year marijuana users (6)</w:t>
            </w:r>
          </w:p>
          <w:p w14:paraId="5C34ADB4" w14:textId="77777777" w:rsidR="00451D48" w:rsidRPr="00A7081A" w:rsidRDefault="00451D48" w:rsidP="00A616F1">
            <w:pPr>
              <w:pStyle w:val="Tablebullet"/>
              <w:numPr>
                <w:ilvl w:val="0"/>
                <w:numId w:val="7"/>
              </w:numPr>
            </w:pPr>
            <w:r w:rsidRPr="00A7081A">
              <w:t>Past year CBD, if possible (1)</w:t>
            </w:r>
          </w:p>
          <w:p w14:paraId="6BF8BF1C" w14:textId="77777777" w:rsidR="00451D48" w:rsidRPr="00A7081A" w:rsidRDefault="00451D48" w:rsidP="00A616F1">
            <w:pPr>
              <w:pStyle w:val="Tablebullet"/>
              <w:numPr>
                <w:ilvl w:val="0"/>
                <w:numId w:val="7"/>
              </w:numPr>
            </w:pPr>
            <w:r w:rsidRPr="00A7081A">
              <w:t>No past year marijuana or CBD use (1)</w:t>
            </w:r>
          </w:p>
          <w:p w14:paraId="40C88484" w14:textId="77777777" w:rsidR="00451D48" w:rsidRPr="00A7081A" w:rsidRDefault="00451D48" w:rsidP="00A616F1">
            <w:pPr>
              <w:pStyle w:val="Tablebullet"/>
              <w:numPr>
                <w:ilvl w:val="0"/>
                <w:numId w:val="0"/>
              </w:numPr>
              <w:ind w:left="360" w:hanging="360"/>
            </w:pPr>
          </w:p>
        </w:tc>
      </w:tr>
      <w:tr w:rsidR="00451D48" w14:paraId="2518D6F4" w14:textId="77777777" w:rsidTr="00A616F1">
        <w:trPr>
          <w:trHeight w:val="422"/>
          <w:jc w:val="center"/>
        </w:trPr>
        <w:tc>
          <w:tcPr>
            <w:tcW w:w="1152" w:type="pct"/>
            <w:vAlign w:val="center"/>
          </w:tcPr>
          <w:p w14:paraId="305C6398" w14:textId="77777777" w:rsidR="00451D48" w:rsidRDefault="00451D48" w:rsidP="00A616F1">
            <w:pPr>
              <w:pStyle w:val="TableText1"/>
            </w:pPr>
            <w:r>
              <w:t>Other Substances Use (e.g., inhalants, hallucinogens, cocaine, heroin, methamphetamine)</w:t>
            </w:r>
          </w:p>
          <w:p w14:paraId="63657CA2" w14:textId="77777777" w:rsidR="00451D48" w:rsidRDefault="00451D48" w:rsidP="00A616F1">
            <w:pPr>
              <w:pStyle w:val="TableText1"/>
            </w:pPr>
          </w:p>
        </w:tc>
        <w:tc>
          <w:tcPr>
            <w:tcW w:w="1925" w:type="pct"/>
          </w:tcPr>
          <w:p w14:paraId="476B3874" w14:textId="77777777" w:rsidR="00451D48" w:rsidRDefault="00451D48" w:rsidP="00A616F1">
            <w:pPr>
              <w:pStyle w:val="Tablebullet"/>
              <w:numPr>
                <w:ilvl w:val="0"/>
                <w:numId w:val="10"/>
              </w:numPr>
            </w:pPr>
            <w:r>
              <w:t>No specific criteria (6)</w:t>
            </w:r>
          </w:p>
          <w:p w14:paraId="77619FAA" w14:textId="77777777" w:rsidR="00451D48" w:rsidRDefault="00451D48" w:rsidP="00A616F1">
            <w:pPr>
              <w:pStyle w:val="Tablebullet"/>
              <w:numPr>
                <w:ilvl w:val="0"/>
                <w:numId w:val="0"/>
              </w:numPr>
              <w:ind w:left="360"/>
            </w:pPr>
          </w:p>
        </w:tc>
        <w:tc>
          <w:tcPr>
            <w:tcW w:w="1923" w:type="pct"/>
          </w:tcPr>
          <w:p w14:paraId="773741AD" w14:textId="77777777" w:rsidR="00451D48" w:rsidRDefault="00451D48" w:rsidP="00A616F1">
            <w:pPr>
              <w:pStyle w:val="Tablebullet"/>
              <w:numPr>
                <w:ilvl w:val="0"/>
                <w:numId w:val="10"/>
              </w:numPr>
            </w:pPr>
            <w:r>
              <w:t>No specific criteria (6)</w:t>
            </w:r>
          </w:p>
          <w:p w14:paraId="1DDF930B" w14:textId="77777777" w:rsidR="00451D48" w:rsidRDefault="00451D48" w:rsidP="00A616F1">
            <w:pPr>
              <w:pStyle w:val="Tablebullet"/>
              <w:numPr>
                <w:ilvl w:val="0"/>
                <w:numId w:val="0"/>
              </w:numPr>
              <w:ind w:left="360" w:hanging="360"/>
            </w:pPr>
          </w:p>
        </w:tc>
      </w:tr>
      <w:tr w:rsidR="00451D48" w:rsidRPr="00250902" w14:paraId="0ECE5267" w14:textId="77777777" w:rsidTr="00A616F1">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548"/>
          <w:jc w:val="center"/>
        </w:trPr>
        <w:tc>
          <w:tcPr>
            <w:tcW w:w="0" w:type="auto"/>
            <w:vAlign w:val="center"/>
          </w:tcPr>
          <w:p w14:paraId="44FB0CD5" w14:textId="77777777" w:rsidR="00451D48" w:rsidRPr="00250902" w:rsidRDefault="00451D48" w:rsidP="00A616F1">
            <w:pPr>
              <w:pStyle w:val="TableText1"/>
            </w:pPr>
            <w:r w:rsidRPr="00250902">
              <w:t>Needle Use</w:t>
            </w:r>
            <w:r w:rsidRPr="00250902">
              <w:br/>
            </w:r>
          </w:p>
        </w:tc>
        <w:tc>
          <w:tcPr>
            <w:tcW w:w="0" w:type="auto"/>
          </w:tcPr>
          <w:p w14:paraId="6E281813" w14:textId="77777777" w:rsidR="00451D48" w:rsidRDefault="00451D48" w:rsidP="00A616F1">
            <w:pPr>
              <w:pStyle w:val="Tablebullet"/>
              <w:numPr>
                <w:ilvl w:val="0"/>
                <w:numId w:val="16"/>
              </w:numPr>
            </w:pPr>
            <w:r w:rsidRPr="00250902">
              <w:t>Lifetime users of needle substances</w:t>
            </w:r>
            <w:r>
              <w:t xml:space="preserve"> (0-4)</w:t>
            </w:r>
          </w:p>
          <w:p w14:paraId="133082CC" w14:textId="77777777" w:rsidR="00451D48" w:rsidRPr="00250902" w:rsidRDefault="00451D48" w:rsidP="00A616F1">
            <w:pPr>
              <w:pStyle w:val="Tablebullet"/>
              <w:numPr>
                <w:ilvl w:val="0"/>
                <w:numId w:val="0"/>
              </w:numPr>
            </w:pPr>
          </w:p>
        </w:tc>
        <w:tc>
          <w:tcPr>
            <w:tcW w:w="0" w:type="auto"/>
          </w:tcPr>
          <w:p w14:paraId="4716832E" w14:textId="77777777" w:rsidR="00451D48" w:rsidRDefault="00451D48" w:rsidP="00A616F1">
            <w:pPr>
              <w:pStyle w:val="Tablebullet"/>
              <w:numPr>
                <w:ilvl w:val="0"/>
                <w:numId w:val="16"/>
              </w:numPr>
            </w:pPr>
            <w:r w:rsidRPr="00250902">
              <w:t>Lifetime users of needle substances</w:t>
            </w:r>
            <w:r>
              <w:t xml:space="preserve"> (0-4)</w:t>
            </w:r>
          </w:p>
          <w:p w14:paraId="45B368F5" w14:textId="77777777" w:rsidR="00451D48" w:rsidRPr="00250902" w:rsidRDefault="00451D48" w:rsidP="00A616F1">
            <w:pPr>
              <w:pStyle w:val="Tablebullet"/>
              <w:numPr>
                <w:ilvl w:val="0"/>
                <w:numId w:val="0"/>
              </w:numPr>
            </w:pPr>
          </w:p>
        </w:tc>
      </w:tr>
    </w:tbl>
    <w:p w14:paraId="1C3BF344" w14:textId="77777777" w:rsidR="00451D48" w:rsidRDefault="00451D48" w:rsidP="00451D48">
      <w:pPr>
        <w:pStyle w:val="BodyText"/>
        <w:spacing w:after="0" w:line="276" w:lineRule="auto"/>
      </w:pPr>
    </w:p>
    <w:p w14:paraId="42F033DF" w14:textId="77777777" w:rsidR="00451D48" w:rsidRPr="00E85D71" w:rsidRDefault="00451D48" w:rsidP="00451D48">
      <w:pPr>
        <w:pStyle w:val="TableTitle0"/>
        <w:rPr>
          <w:sz w:val="24"/>
          <w:szCs w:val="24"/>
        </w:rPr>
      </w:pPr>
      <w:r w:rsidRPr="00E85D71">
        <w:rPr>
          <w:sz w:val="24"/>
          <w:szCs w:val="24"/>
        </w:rPr>
        <w:t>Table 6.</w:t>
      </w:r>
      <w:r w:rsidRPr="00E85D71">
        <w:rPr>
          <w:sz w:val="24"/>
          <w:szCs w:val="24"/>
        </w:rPr>
        <w:tab/>
      </w:r>
      <w:r>
        <w:rPr>
          <w:sz w:val="24"/>
          <w:szCs w:val="24"/>
        </w:rPr>
        <w:t xml:space="preserve">    Pret</w:t>
      </w:r>
      <w:r w:rsidRPr="00E85D71">
        <w:rPr>
          <w:sz w:val="24"/>
          <w:szCs w:val="24"/>
        </w:rPr>
        <w:t>esting Modules Administered to Targeted Participants</w:t>
      </w:r>
    </w:p>
    <w:tbl>
      <w:tblPr>
        <w:tblStyle w:val="aNSDUH"/>
        <w:tblW w:w="0" w:type="auto"/>
        <w:tblCellMar>
          <w:left w:w="115" w:type="dxa"/>
          <w:right w:w="115" w:type="dxa"/>
        </w:tblCellMar>
        <w:tblLook w:val="04A0" w:firstRow="1" w:lastRow="0" w:firstColumn="1" w:lastColumn="0" w:noHBand="0" w:noVBand="1"/>
      </w:tblPr>
      <w:tblGrid>
        <w:gridCol w:w="1810"/>
        <w:gridCol w:w="3828"/>
        <w:gridCol w:w="3952"/>
      </w:tblGrid>
      <w:tr w:rsidR="00451D48" w14:paraId="04185B06" w14:textId="77777777" w:rsidTr="00A616F1">
        <w:trPr>
          <w:cnfStyle w:val="100000000000" w:firstRow="1" w:lastRow="0" w:firstColumn="0" w:lastColumn="0" w:oddVBand="0" w:evenVBand="0" w:oddHBand="0" w:evenHBand="0" w:firstRowFirstColumn="0" w:firstRowLastColumn="0" w:lastRowFirstColumn="0" w:lastRowLastColumn="0"/>
          <w:trHeight w:val="314"/>
          <w:tblHeader/>
        </w:trPr>
        <w:tc>
          <w:tcPr>
            <w:tcW w:w="0" w:type="auto"/>
            <w:vMerge w:val="restart"/>
            <w:vAlign w:val="center"/>
          </w:tcPr>
          <w:p w14:paraId="1402C662" w14:textId="77777777" w:rsidR="00451D48" w:rsidRDefault="00451D48" w:rsidP="00A616F1">
            <w:pPr>
              <w:pStyle w:val="TableHeaders"/>
              <w:spacing w:before="0" w:after="0" w:line="240" w:lineRule="auto"/>
              <w:ind w:left="-144" w:right="-144"/>
            </w:pPr>
            <w:r>
              <w:t>Module</w:t>
            </w:r>
          </w:p>
        </w:tc>
        <w:tc>
          <w:tcPr>
            <w:tcW w:w="0" w:type="auto"/>
            <w:gridSpan w:val="2"/>
            <w:vAlign w:val="center"/>
          </w:tcPr>
          <w:p w14:paraId="4981654F" w14:textId="77777777" w:rsidR="00451D48" w:rsidRDefault="00451D48" w:rsidP="00A616F1">
            <w:pPr>
              <w:pStyle w:val="TableHeaders"/>
              <w:spacing w:before="0" w:after="0" w:line="240" w:lineRule="auto"/>
            </w:pPr>
            <w:r>
              <w:t>Participants that will receive and be probed on</w:t>
            </w:r>
          </w:p>
        </w:tc>
      </w:tr>
      <w:tr w:rsidR="00451D48" w14:paraId="6D114542" w14:textId="77777777" w:rsidTr="00A616F1">
        <w:trPr>
          <w:cnfStyle w:val="100000000000" w:firstRow="1" w:lastRow="0" w:firstColumn="0" w:lastColumn="0" w:oddVBand="0" w:evenVBand="0" w:oddHBand="0" w:evenHBand="0" w:firstRowFirstColumn="0" w:firstRowLastColumn="0" w:lastRowFirstColumn="0" w:lastRowLastColumn="0"/>
          <w:trHeight w:val="251"/>
          <w:tblHeader/>
        </w:trPr>
        <w:tc>
          <w:tcPr>
            <w:tcW w:w="0" w:type="auto"/>
            <w:vMerge/>
            <w:vAlign w:val="center"/>
          </w:tcPr>
          <w:p w14:paraId="3568A80F" w14:textId="77777777" w:rsidR="00451D48" w:rsidRPr="00834482" w:rsidRDefault="00451D48" w:rsidP="00A616F1">
            <w:pPr>
              <w:pStyle w:val="TableHeaders"/>
              <w:spacing w:before="0" w:after="0" w:line="240" w:lineRule="auto"/>
              <w:ind w:left="-144" w:right="-144"/>
            </w:pPr>
          </w:p>
        </w:tc>
        <w:tc>
          <w:tcPr>
            <w:tcW w:w="0" w:type="auto"/>
            <w:vAlign w:val="center"/>
          </w:tcPr>
          <w:p w14:paraId="0B0407BE" w14:textId="77777777" w:rsidR="00451D48" w:rsidRPr="00834482" w:rsidRDefault="00451D48" w:rsidP="00A616F1">
            <w:pPr>
              <w:pStyle w:val="TableHeaders"/>
              <w:spacing w:before="0" w:after="0" w:line="240" w:lineRule="auto"/>
            </w:pPr>
            <w:r>
              <w:t>Adolescents</w:t>
            </w:r>
          </w:p>
        </w:tc>
        <w:tc>
          <w:tcPr>
            <w:tcW w:w="0" w:type="auto"/>
            <w:vAlign w:val="center"/>
          </w:tcPr>
          <w:p w14:paraId="34A9B1A8" w14:textId="77777777" w:rsidR="00451D48" w:rsidRDefault="00451D48" w:rsidP="00A616F1">
            <w:pPr>
              <w:pStyle w:val="TableHeaders"/>
              <w:spacing w:before="0" w:after="0" w:line="240" w:lineRule="auto"/>
            </w:pPr>
            <w:r>
              <w:t>Adults</w:t>
            </w:r>
          </w:p>
        </w:tc>
      </w:tr>
      <w:tr w:rsidR="00451D48" w14:paraId="595ADDB1" w14:textId="77777777" w:rsidTr="00A616F1">
        <w:trPr>
          <w:cnfStyle w:val="000000100000" w:firstRow="0" w:lastRow="0" w:firstColumn="0" w:lastColumn="0" w:oddVBand="0" w:evenVBand="0" w:oddHBand="1" w:evenHBand="0" w:firstRowFirstColumn="0" w:firstRowLastColumn="0" w:lastRowFirstColumn="0" w:lastRowLastColumn="0"/>
          <w:trHeight w:val="467"/>
        </w:trPr>
        <w:tc>
          <w:tcPr>
            <w:tcW w:w="0" w:type="auto"/>
            <w:vAlign w:val="center"/>
          </w:tcPr>
          <w:p w14:paraId="4A9ADCE7" w14:textId="77777777" w:rsidR="00451D48" w:rsidRDefault="00451D48" w:rsidP="00A616F1">
            <w:pPr>
              <w:pStyle w:val="TableText1"/>
            </w:pPr>
            <w:r>
              <w:t>Prescription Drugs</w:t>
            </w:r>
          </w:p>
        </w:tc>
        <w:tc>
          <w:tcPr>
            <w:tcW w:w="0" w:type="auto"/>
          </w:tcPr>
          <w:p w14:paraId="3219615C" w14:textId="77777777" w:rsidR="00451D48" w:rsidRDefault="00451D48" w:rsidP="00A616F1">
            <w:pPr>
              <w:pStyle w:val="Tablebullet"/>
              <w:numPr>
                <w:ilvl w:val="0"/>
                <w:numId w:val="19"/>
              </w:numPr>
            </w:pPr>
            <w:r>
              <w:t>Only participants who report past year prescription drug use on the web/phone recruitment screener</w:t>
            </w:r>
          </w:p>
        </w:tc>
        <w:tc>
          <w:tcPr>
            <w:tcW w:w="0" w:type="auto"/>
          </w:tcPr>
          <w:p w14:paraId="12B8DF4A" w14:textId="77777777" w:rsidR="00451D48" w:rsidRDefault="00451D48" w:rsidP="00A616F1">
            <w:pPr>
              <w:pStyle w:val="Tablebullet"/>
              <w:numPr>
                <w:ilvl w:val="0"/>
                <w:numId w:val="19"/>
              </w:numPr>
            </w:pPr>
            <w:r>
              <w:t>Only participants who report past year prescription drug use on the web/phone recruitment screener</w:t>
            </w:r>
          </w:p>
        </w:tc>
      </w:tr>
      <w:tr w:rsidR="00451D48" w14:paraId="12C4E9F4" w14:textId="77777777" w:rsidTr="00A616F1">
        <w:trPr>
          <w:trHeight w:val="800"/>
        </w:trPr>
        <w:tc>
          <w:tcPr>
            <w:tcW w:w="0" w:type="auto"/>
            <w:vAlign w:val="center"/>
          </w:tcPr>
          <w:p w14:paraId="0DF7B7E7" w14:textId="77777777" w:rsidR="00451D48" w:rsidRDefault="00451D48" w:rsidP="00A616F1">
            <w:pPr>
              <w:pStyle w:val="TableText1"/>
            </w:pPr>
            <w:r>
              <w:t xml:space="preserve">Synthetic Fentanyl </w:t>
            </w:r>
            <w:r>
              <w:br/>
              <w:t>(Special Drugs)</w:t>
            </w:r>
            <w:r>
              <w:br/>
            </w:r>
          </w:p>
        </w:tc>
        <w:tc>
          <w:tcPr>
            <w:tcW w:w="0" w:type="auto"/>
          </w:tcPr>
          <w:p w14:paraId="7356E245" w14:textId="77777777" w:rsidR="00451D48" w:rsidRDefault="00451D48" w:rsidP="00A616F1">
            <w:pPr>
              <w:pStyle w:val="Tablebullet"/>
              <w:numPr>
                <w:ilvl w:val="0"/>
                <w:numId w:val="13"/>
              </w:numPr>
            </w:pPr>
            <w:r>
              <w:t>Past year opioid users (1)</w:t>
            </w:r>
          </w:p>
          <w:p w14:paraId="67336A99" w14:textId="77777777" w:rsidR="00451D48" w:rsidRDefault="00451D48" w:rsidP="00A616F1">
            <w:pPr>
              <w:pStyle w:val="Tablebullet"/>
              <w:numPr>
                <w:ilvl w:val="0"/>
                <w:numId w:val="13"/>
              </w:numPr>
            </w:pPr>
            <w:r>
              <w:t>No past year opioid use (2)</w:t>
            </w:r>
          </w:p>
          <w:p w14:paraId="3A8D6166" w14:textId="77777777" w:rsidR="00451D48" w:rsidRDefault="00451D48" w:rsidP="00A616F1">
            <w:pPr>
              <w:pStyle w:val="Tablebullet"/>
              <w:numPr>
                <w:ilvl w:val="0"/>
                <w:numId w:val="0"/>
              </w:numPr>
              <w:ind w:left="360" w:hanging="360"/>
            </w:pPr>
          </w:p>
        </w:tc>
        <w:tc>
          <w:tcPr>
            <w:tcW w:w="0" w:type="auto"/>
          </w:tcPr>
          <w:p w14:paraId="5CDE5C85" w14:textId="77777777" w:rsidR="00451D48" w:rsidRDefault="00451D48" w:rsidP="00A616F1">
            <w:pPr>
              <w:pStyle w:val="Tablebullet"/>
              <w:numPr>
                <w:ilvl w:val="0"/>
                <w:numId w:val="13"/>
              </w:numPr>
            </w:pPr>
            <w:r>
              <w:t>Past year opioid users (3)</w:t>
            </w:r>
          </w:p>
          <w:p w14:paraId="59904BAF" w14:textId="77777777" w:rsidR="00451D48" w:rsidRDefault="00451D48" w:rsidP="00A616F1">
            <w:pPr>
              <w:pStyle w:val="Tablebullet"/>
              <w:numPr>
                <w:ilvl w:val="0"/>
                <w:numId w:val="13"/>
              </w:numPr>
            </w:pPr>
            <w:r>
              <w:t>No past year opioid use (2)</w:t>
            </w:r>
          </w:p>
          <w:p w14:paraId="0FB44B99" w14:textId="77777777" w:rsidR="00451D48" w:rsidRDefault="00451D48" w:rsidP="00A616F1">
            <w:pPr>
              <w:pStyle w:val="Tablebullet"/>
              <w:numPr>
                <w:ilvl w:val="0"/>
                <w:numId w:val="0"/>
              </w:numPr>
            </w:pPr>
          </w:p>
        </w:tc>
      </w:tr>
      <w:tr w:rsidR="00451D48" w14:paraId="47D0597C" w14:textId="77777777" w:rsidTr="00A616F1">
        <w:trPr>
          <w:cnfStyle w:val="000000100000" w:firstRow="0" w:lastRow="0" w:firstColumn="0" w:lastColumn="0" w:oddVBand="0" w:evenVBand="0" w:oddHBand="1" w:evenHBand="0" w:firstRowFirstColumn="0" w:firstRowLastColumn="0" w:lastRowFirstColumn="0" w:lastRowLastColumn="0"/>
          <w:trHeight w:val="1134"/>
        </w:trPr>
        <w:tc>
          <w:tcPr>
            <w:tcW w:w="0" w:type="auto"/>
            <w:vAlign w:val="center"/>
          </w:tcPr>
          <w:p w14:paraId="274FE00D" w14:textId="77777777" w:rsidR="00451D48" w:rsidRDefault="00451D48" w:rsidP="00A616F1">
            <w:pPr>
              <w:pStyle w:val="TableText1"/>
            </w:pPr>
            <w:r>
              <w:t xml:space="preserve">Synthetic Marijuana &amp; Bath Salts </w:t>
            </w:r>
          </w:p>
          <w:p w14:paraId="3E532538" w14:textId="77777777" w:rsidR="00451D48" w:rsidRDefault="00451D48" w:rsidP="00A616F1">
            <w:pPr>
              <w:pStyle w:val="TableText1"/>
            </w:pPr>
            <w:r>
              <w:t>(Special Drugs)</w:t>
            </w:r>
            <w:r>
              <w:br/>
            </w:r>
          </w:p>
        </w:tc>
        <w:tc>
          <w:tcPr>
            <w:tcW w:w="0" w:type="auto"/>
          </w:tcPr>
          <w:p w14:paraId="16C7AEA9" w14:textId="77777777" w:rsidR="00451D48" w:rsidRDefault="00451D48" w:rsidP="00A616F1">
            <w:pPr>
              <w:pStyle w:val="Tablebullet"/>
              <w:numPr>
                <w:ilvl w:val="0"/>
                <w:numId w:val="14"/>
              </w:numPr>
            </w:pPr>
            <w:r>
              <w:t>Past year marijuana users (2)</w:t>
            </w:r>
          </w:p>
          <w:p w14:paraId="058450A8" w14:textId="77777777" w:rsidR="00451D48" w:rsidRDefault="00451D48" w:rsidP="00A616F1">
            <w:pPr>
              <w:pStyle w:val="Tablebullet"/>
              <w:numPr>
                <w:ilvl w:val="0"/>
                <w:numId w:val="14"/>
              </w:numPr>
            </w:pPr>
            <w:r>
              <w:t>No past year marijuana use (3)</w:t>
            </w:r>
          </w:p>
        </w:tc>
        <w:tc>
          <w:tcPr>
            <w:tcW w:w="0" w:type="auto"/>
          </w:tcPr>
          <w:p w14:paraId="4016E68B" w14:textId="77777777" w:rsidR="00451D48" w:rsidRDefault="00451D48" w:rsidP="00A616F1">
            <w:pPr>
              <w:pStyle w:val="Tablebullet"/>
              <w:numPr>
                <w:ilvl w:val="0"/>
                <w:numId w:val="14"/>
              </w:numPr>
            </w:pPr>
            <w:r>
              <w:t>Past year marijuana users (6)</w:t>
            </w:r>
          </w:p>
          <w:p w14:paraId="49972E19" w14:textId="77777777" w:rsidR="00451D48" w:rsidRDefault="00451D48" w:rsidP="00A616F1">
            <w:pPr>
              <w:pStyle w:val="Tablebullet"/>
              <w:numPr>
                <w:ilvl w:val="0"/>
                <w:numId w:val="14"/>
              </w:numPr>
            </w:pPr>
            <w:r>
              <w:t>No past year marijuana use (3)</w:t>
            </w:r>
          </w:p>
        </w:tc>
      </w:tr>
      <w:tr w:rsidR="00451D48" w14:paraId="4EE49CF1" w14:textId="77777777" w:rsidTr="00A616F1">
        <w:trPr>
          <w:trHeight w:val="872"/>
        </w:trPr>
        <w:tc>
          <w:tcPr>
            <w:tcW w:w="0" w:type="auto"/>
            <w:vAlign w:val="center"/>
          </w:tcPr>
          <w:p w14:paraId="1F05D32C" w14:textId="77777777" w:rsidR="00451D48" w:rsidRDefault="00451D48" w:rsidP="00A616F1">
            <w:pPr>
              <w:pStyle w:val="TableText1"/>
            </w:pPr>
            <w:r>
              <w:t>Vaping Other</w:t>
            </w:r>
          </w:p>
          <w:p w14:paraId="3D8312C1" w14:textId="77777777" w:rsidR="00451D48" w:rsidRDefault="00451D48" w:rsidP="00A616F1">
            <w:pPr>
              <w:pStyle w:val="TableText1"/>
            </w:pPr>
            <w:r>
              <w:t>(Special Drugs)</w:t>
            </w:r>
          </w:p>
        </w:tc>
        <w:tc>
          <w:tcPr>
            <w:tcW w:w="0" w:type="auto"/>
          </w:tcPr>
          <w:p w14:paraId="687352CC" w14:textId="77777777" w:rsidR="00451D48" w:rsidRDefault="00451D48" w:rsidP="00A616F1">
            <w:pPr>
              <w:pStyle w:val="Tablebullet"/>
              <w:numPr>
                <w:ilvl w:val="0"/>
                <w:numId w:val="15"/>
              </w:numPr>
            </w:pPr>
            <w:r w:rsidRPr="0029268E">
              <w:t>Past year</w:t>
            </w:r>
            <w:r>
              <w:t xml:space="preserve"> vapers</w:t>
            </w:r>
            <w:r w:rsidRPr="0029268E">
              <w:t xml:space="preserve"> </w:t>
            </w:r>
            <w:r>
              <w:t>of flavors or other substances (2)</w:t>
            </w:r>
          </w:p>
          <w:p w14:paraId="2B3C5066" w14:textId="77777777" w:rsidR="00451D48" w:rsidRDefault="00451D48" w:rsidP="00A616F1">
            <w:pPr>
              <w:pStyle w:val="Tablebullet"/>
              <w:numPr>
                <w:ilvl w:val="0"/>
                <w:numId w:val="15"/>
              </w:numPr>
            </w:pPr>
            <w:r>
              <w:t>No past year vape use (2)</w:t>
            </w:r>
          </w:p>
          <w:p w14:paraId="43E52F4C" w14:textId="77777777" w:rsidR="00451D48" w:rsidRDefault="00451D48" w:rsidP="00A616F1">
            <w:pPr>
              <w:pStyle w:val="Tablebullet"/>
              <w:numPr>
                <w:ilvl w:val="0"/>
                <w:numId w:val="0"/>
              </w:numPr>
              <w:ind w:left="360" w:hanging="360"/>
            </w:pPr>
          </w:p>
        </w:tc>
        <w:tc>
          <w:tcPr>
            <w:tcW w:w="0" w:type="auto"/>
          </w:tcPr>
          <w:p w14:paraId="4A545312" w14:textId="77777777" w:rsidR="00451D48" w:rsidRDefault="00451D48" w:rsidP="00A616F1">
            <w:pPr>
              <w:pStyle w:val="Tablebullet"/>
              <w:numPr>
                <w:ilvl w:val="0"/>
                <w:numId w:val="15"/>
              </w:numPr>
            </w:pPr>
            <w:r w:rsidRPr="0029268E">
              <w:t>Past year</w:t>
            </w:r>
            <w:r>
              <w:t xml:space="preserve"> vapers</w:t>
            </w:r>
            <w:r w:rsidRPr="0029268E">
              <w:t xml:space="preserve"> </w:t>
            </w:r>
            <w:r>
              <w:t>of flavors or other substances (2)</w:t>
            </w:r>
          </w:p>
          <w:p w14:paraId="2003B8ED" w14:textId="77777777" w:rsidR="00451D48" w:rsidRDefault="00451D48" w:rsidP="00A616F1">
            <w:pPr>
              <w:pStyle w:val="Tablebullet"/>
              <w:numPr>
                <w:ilvl w:val="0"/>
                <w:numId w:val="15"/>
              </w:numPr>
            </w:pPr>
            <w:r>
              <w:t>No past year vape use (2)</w:t>
            </w:r>
          </w:p>
          <w:p w14:paraId="49DA1857" w14:textId="77777777" w:rsidR="00451D48" w:rsidRPr="0029268E" w:rsidRDefault="00451D48" w:rsidP="00A616F1">
            <w:pPr>
              <w:pStyle w:val="Tablebullet"/>
              <w:numPr>
                <w:ilvl w:val="0"/>
                <w:numId w:val="0"/>
              </w:numPr>
            </w:pPr>
          </w:p>
        </w:tc>
      </w:tr>
      <w:tr w:rsidR="00451D48" w14:paraId="2EDCAB14" w14:textId="77777777" w:rsidTr="00A616F1">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647"/>
        </w:trPr>
        <w:tc>
          <w:tcPr>
            <w:tcW w:w="0" w:type="auto"/>
            <w:vAlign w:val="center"/>
          </w:tcPr>
          <w:p w14:paraId="3365B380" w14:textId="77777777" w:rsidR="00451D48" w:rsidRDefault="00451D48" w:rsidP="00A616F1">
            <w:pPr>
              <w:pStyle w:val="TableText1"/>
            </w:pPr>
            <w:r>
              <w:t xml:space="preserve">Alcohol Treatment </w:t>
            </w:r>
          </w:p>
        </w:tc>
        <w:tc>
          <w:tcPr>
            <w:tcW w:w="0" w:type="auto"/>
          </w:tcPr>
          <w:p w14:paraId="5FA40931" w14:textId="77777777" w:rsidR="00451D48" w:rsidRDefault="00451D48" w:rsidP="00A616F1">
            <w:pPr>
              <w:pStyle w:val="Tablebullet"/>
              <w:numPr>
                <w:ilvl w:val="0"/>
                <w:numId w:val="17"/>
              </w:numPr>
            </w:pPr>
            <w:r>
              <w:t xml:space="preserve">Past year alc. Treatment (2) </w:t>
            </w:r>
          </w:p>
          <w:p w14:paraId="330198E2" w14:textId="77777777" w:rsidR="00451D48" w:rsidRDefault="00451D48" w:rsidP="00A616F1">
            <w:pPr>
              <w:pStyle w:val="Tablebullet"/>
              <w:numPr>
                <w:ilvl w:val="0"/>
                <w:numId w:val="17"/>
              </w:numPr>
            </w:pPr>
            <w:r>
              <w:t>Past year drug use, no TX (2)</w:t>
            </w:r>
          </w:p>
          <w:p w14:paraId="5F52E825" w14:textId="77777777" w:rsidR="00451D48" w:rsidRDefault="00451D48" w:rsidP="00A616F1">
            <w:pPr>
              <w:pStyle w:val="Tablebullet"/>
              <w:numPr>
                <w:ilvl w:val="0"/>
                <w:numId w:val="0"/>
              </w:numPr>
            </w:pPr>
          </w:p>
        </w:tc>
        <w:tc>
          <w:tcPr>
            <w:tcW w:w="0" w:type="auto"/>
          </w:tcPr>
          <w:p w14:paraId="0AA0CFAD" w14:textId="77777777" w:rsidR="00451D48" w:rsidRDefault="00451D48" w:rsidP="00A616F1">
            <w:pPr>
              <w:pStyle w:val="Tablebullet"/>
              <w:numPr>
                <w:ilvl w:val="0"/>
                <w:numId w:val="17"/>
              </w:numPr>
            </w:pPr>
            <w:r>
              <w:t xml:space="preserve">Past year alc. Treatment (2) </w:t>
            </w:r>
          </w:p>
          <w:p w14:paraId="564BD977" w14:textId="77777777" w:rsidR="00451D48" w:rsidRDefault="00451D48" w:rsidP="00A616F1">
            <w:pPr>
              <w:pStyle w:val="Tablebullet"/>
              <w:numPr>
                <w:ilvl w:val="0"/>
                <w:numId w:val="17"/>
              </w:numPr>
            </w:pPr>
            <w:r>
              <w:t>Past year drug use, no TX (2)</w:t>
            </w:r>
          </w:p>
          <w:p w14:paraId="36E29E38" w14:textId="77777777" w:rsidR="00451D48" w:rsidRDefault="00451D48" w:rsidP="00A616F1">
            <w:pPr>
              <w:pStyle w:val="Tablebullet"/>
              <w:numPr>
                <w:ilvl w:val="0"/>
                <w:numId w:val="0"/>
              </w:numPr>
            </w:pPr>
          </w:p>
        </w:tc>
      </w:tr>
      <w:tr w:rsidR="00451D48" w14:paraId="180F4363" w14:textId="77777777" w:rsidTr="00A616F1">
        <w:tblPrEx>
          <w:tblCellMar>
            <w:left w:w="108" w:type="dxa"/>
            <w:right w:w="108" w:type="dxa"/>
          </w:tblCellMar>
        </w:tblPrEx>
        <w:trPr>
          <w:trHeight w:val="539"/>
        </w:trPr>
        <w:tc>
          <w:tcPr>
            <w:tcW w:w="0" w:type="auto"/>
            <w:vAlign w:val="center"/>
          </w:tcPr>
          <w:p w14:paraId="629BE4D9" w14:textId="77777777" w:rsidR="00451D48" w:rsidRDefault="00451D48" w:rsidP="00A616F1">
            <w:pPr>
              <w:pStyle w:val="TableText1"/>
            </w:pPr>
            <w:r>
              <w:t xml:space="preserve">Drug Treatment </w:t>
            </w:r>
          </w:p>
        </w:tc>
        <w:tc>
          <w:tcPr>
            <w:tcW w:w="0" w:type="auto"/>
          </w:tcPr>
          <w:p w14:paraId="11A736B8" w14:textId="77777777" w:rsidR="00451D48" w:rsidRDefault="00451D48" w:rsidP="00A616F1">
            <w:pPr>
              <w:pStyle w:val="Tablebullet"/>
              <w:numPr>
                <w:ilvl w:val="0"/>
                <w:numId w:val="18"/>
              </w:numPr>
            </w:pPr>
            <w:r>
              <w:t>Past year drug treatment (4)</w:t>
            </w:r>
          </w:p>
          <w:p w14:paraId="56EAFB2C" w14:textId="77777777" w:rsidR="00451D48" w:rsidRDefault="00451D48" w:rsidP="00A616F1">
            <w:pPr>
              <w:pStyle w:val="Tablebullet"/>
              <w:numPr>
                <w:ilvl w:val="0"/>
                <w:numId w:val="18"/>
              </w:numPr>
            </w:pPr>
            <w:r>
              <w:t>Past year drug use, no TX  (2)</w:t>
            </w:r>
          </w:p>
          <w:p w14:paraId="0FB2A805" w14:textId="77777777" w:rsidR="00451D48" w:rsidRDefault="00451D48" w:rsidP="00A616F1">
            <w:pPr>
              <w:pStyle w:val="Tablebullet"/>
              <w:numPr>
                <w:ilvl w:val="0"/>
                <w:numId w:val="0"/>
              </w:numPr>
            </w:pPr>
          </w:p>
        </w:tc>
        <w:tc>
          <w:tcPr>
            <w:tcW w:w="0" w:type="auto"/>
          </w:tcPr>
          <w:p w14:paraId="53E483E8" w14:textId="77777777" w:rsidR="00451D48" w:rsidRDefault="00451D48" w:rsidP="00A616F1">
            <w:pPr>
              <w:pStyle w:val="Tablebullet"/>
              <w:numPr>
                <w:ilvl w:val="0"/>
                <w:numId w:val="18"/>
              </w:numPr>
            </w:pPr>
            <w:r>
              <w:t>Past year drug treatment (4)</w:t>
            </w:r>
          </w:p>
          <w:p w14:paraId="00A54F0D" w14:textId="77777777" w:rsidR="00451D48" w:rsidRDefault="00451D48" w:rsidP="00A616F1">
            <w:pPr>
              <w:pStyle w:val="Tablebullet"/>
              <w:numPr>
                <w:ilvl w:val="0"/>
                <w:numId w:val="18"/>
              </w:numPr>
            </w:pPr>
            <w:r>
              <w:t>Past year drug use, no TX  (2)</w:t>
            </w:r>
          </w:p>
          <w:p w14:paraId="60D64B2F" w14:textId="77777777" w:rsidR="00451D48" w:rsidRDefault="00451D48" w:rsidP="00A616F1">
            <w:pPr>
              <w:pStyle w:val="Tablebullet"/>
              <w:numPr>
                <w:ilvl w:val="0"/>
                <w:numId w:val="0"/>
              </w:numPr>
            </w:pPr>
          </w:p>
        </w:tc>
      </w:tr>
      <w:tr w:rsidR="00451D48" w14:paraId="7CFF26E8" w14:textId="77777777" w:rsidTr="00A616F1">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620"/>
        </w:trPr>
        <w:tc>
          <w:tcPr>
            <w:tcW w:w="0" w:type="auto"/>
            <w:vAlign w:val="center"/>
          </w:tcPr>
          <w:p w14:paraId="1C98EED4" w14:textId="77777777" w:rsidR="00451D48" w:rsidRDefault="00451D48" w:rsidP="00A616F1">
            <w:pPr>
              <w:pStyle w:val="TableText1"/>
            </w:pPr>
            <w:r>
              <w:t xml:space="preserve">Mental Health Treatment </w:t>
            </w:r>
          </w:p>
        </w:tc>
        <w:tc>
          <w:tcPr>
            <w:tcW w:w="0" w:type="auto"/>
          </w:tcPr>
          <w:p w14:paraId="320F07E5" w14:textId="77777777" w:rsidR="00451D48" w:rsidRDefault="00451D48" w:rsidP="00A616F1">
            <w:pPr>
              <w:pStyle w:val="Tablebullet"/>
              <w:numPr>
                <w:ilvl w:val="0"/>
                <w:numId w:val="18"/>
              </w:numPr>
            </w:pPr>
            <w:r>
              <w:t>Past year mental health treatment (6)</w:t>
            </w:r>
          </w:p>
          <w:p w14:paraId="05AE9D9C" w14:textId="77777777" w:rsidR="00451D48" w:rsidRDefault="00451D48" w:rsidP="00A616F1">
            <w:pPr>
              <w:pStyle w:val="Tablebullet"/>
              <w:numPr>
                <w:ilvl w:val="0"/>
                <w:numId w:val="18"/>
              </w:numPr>
            </w:pPr>
            <w:r>
              <w:t>No past year MH treatment (2)</w:t>
            </w:r>
          </w:p>
          <w:p w14:paraId="16E10CBE" w14:textId="77777777" w:rsidR="00451D48" w:rsidRDefault="00451D48" w:rsidP="00A616F1">
            <w:pPr>
              <w:pStyle w:val="Tablebullet"/>
              <w:numPr>
                <w:ilvl w:val="0"/>
                <w:numId w:val="0"/>
              </w:numPr>
              <w:ind w:left="360" w:hanging="360"/>
            </w:pPr>
          </w:p>
        </w:tc>
        <w:tc>
          <w:tcPr>
            <w:tcW w:w="0" w:type="auto"/>
          </w:tcPr>
          <w:p w14:paraId="52B288CC" w14:textId="77777777" w:rsidR="00451D48" w:rsidRDefault="00451D48" w:rsidP="00A616F1">
            <w:pPr>
              <w:pStyle w:val="Tablebullet"/>
              <w:numPr>
                <w:ilvl w:val="0"/>
                <w:numId w:val="18"/>
              </w:numPr>
            </w:pPr>
            <w:r>
              <w:t>Past year mental health treatment (6)</w:t>
            </w:r>
          </w:p>
          <w:p w14:paraId="2636E7A8" w14:textId="77777777" w:rsidR="00451D48" w:rsidRDefault="00451D48" w:rsidP="00A616F1">
            <w:pPr>
              <w:pStyle w:val="Tablebullet"/>
              <w:numPr>
                <w:ilvl w:val="0"/>
                <w:numId w:val="18"/>
              </w:numPr>
            </w:pPr>
            <w:r>
              <w:t>No past year MH treatment (2)</w:t>
            </w:r>
          </w:p>
          <w:p w14:paraId="2361E0F0" w14:textId="77777777" w:rsidR="00451D48" w:rsidRDefault="00451D48" w:rsidP="00A616F1">
            <w:pPr>
              <w:pStyle w:val="Tablebullet"/>
              <w:numPr>
                <w:ilvl w:val="0"/>
                <w:numId w:val="0"/>
              </w:numPr>
            </w:pPr>
          </w:p>
        </w:tc>
      </w:tr>
      <w:tr w:rsidR="00451D48" w14:paraId="6CC4440F" w14:textId="77777777" w:rsidTr="00A616F1">
        <w:tblPrEx>
          <w:tblCellMar>
            <w:left w:w="108" w:type="dxa"/>
            <w:right w:w="108" w:type="dxa"/>
          </w:tblCellMar>
        </w:tblPrEx>
        <w:trPr>
          <w:trHeight w:val="287"/>
        </w:trPr>
        <w:tc>
          <w:tcPr>
            <w:tcW w:w="0" w:type="auto"/>
            <w:vAlign w:val="center"/>
          </w:tcPr>
          <w:p w14:paraId="63849CAC" w14:textId="77777777" w:rsidR="00451D48" w:rsidRPr="00232D69" w:rsidRDefault="00451D48" w:rsidP="00A616F1">
            <w:pPr>
              <w:pStyle w:val="TableText1"/>
            </w:pPr>
            <w:r w:rsidRPr="00232D69">
              <w:t xml:space="preserve">Youth Suicide </w:t>
            </w:r>
          </w:p>
        </w:tc>
        <w:tc>
          <w:tcPr>
            <w:tcW w:w="0" w:type="auto"/>
          </w:tcPr>
          <w:p w14:paraId="717B5F34" w14:textId="77777777" w:rsidR="00451D48" w:rsidRDefault="00451D48" w:rsidP="00A616F1">
            <w:pPr>
              <w:pStyle w:val="Tablebullet"/>
              <w:numPr>
                <w:ilvl w:val="0"/>
                <w:numId w:val="18"/>
              </w:numPr>
            </w:pPr>
            <w:r>
              <w:t>Past year mental health treatment (6)</w:t>
            </w:r>
          </w:p>
          <w:p w14:paraId="25003D3C" w14:textId="77777777" w:rsidR="00451D48" w:rsidRPr="00232D69" w:rsidRDefault="00451D48" w:rsidP="00A616F1">
            <w:pPr>
              <w:pStyle w:val="Tablebullet"/>
              <w:numPr>
                <w:ilvl w:val="0"/>
                <w:numId w:val="0"/>
              </w:numPr>
              <w:ind w:left="360" w:hanging="360"/>
            </w:pPr>
          </w:p>
        </w:tc>
        <w:tc>
          <w:tcPr>
            <w:tcW w:w="0" w:type="auto"/>
          </w:tcPr>
          <w:p w14:paraId="1539FDA4" w14:textId="77777777" w:rsidR="00451D48" w:rsidRDefault="00451D48" w:rsidP="00A616F1">
            <w:pPr>
              <w:pStyle w:val="Tablebullet"/>
              <w:numPr>
                <w:ilvl w:val="0"/>
                <w:numId w:val="18"/>
              </w:numPr>
            </w:pPr>
            <w:r>
              <w:t>None</w:t>
            </w:r>
          </w:p>
        </w:tc>
      </w:tr>
      <w:tr w:rsidR="00451D48" w14:paraId="5FBED243" w14:textId="77777777" w:rsidTr="00A616F1">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95"/>
        </w:trPr>
        <w:tc>
          <w:tcPr>
            <w:tcW w:w="0" w:type="auto"/>
            <w:vAlign w:val="center"/>
          </w:tcPr>
          <w:p w14:paraId="4073D83A" w14:textId="77777777" w:rsidR="00451D48" w:rsidRDefault="00451D48" w:rsidP="00A616F1">
            <w:pPr>
              <w:pStyle w:val="TableText1"/>
            </w:pPr>
            <w:r>
              <w:t xml:space="preserve">NSSI </w:t>
            </w:r>
          </w:p>
        </w:tc>
        <w:tc>
          <w:tcPr>
            <w:tcW w:w="0" w:type="auto"/>
          </w:tcPr>
          <w:p w14:paraId="373B0EC0" w14:textId="77777777" w:rsidR="00451D48" w:rsidRDefault="00451D48" w:rsidP="00A616F1">
            <w:pPr>
              <w:pStyle w:val="Tablebullet"/>
              <w:numPr>
                <w:ilvl w:val="0"/>
                <w:numId w:val="22"/>
              </w:numPr>
            </w:pPr>
            <w:r>
              <w:t>Past year MH treatment (6)</w:t>
            </w:r>
          </w:p>
        </w:tc>
        <w:tc>
          <w:tcPr>
            <w:tcW w:w="0" w:type="auto"/>
          </w:tcPr>
          <w:p w14:paraId="6FB1A1E1" w14:textId="77777777" w:rsidR="00451D48" w:rsidRDefault="00451D48" w:rsidP="00A616F1">
            <w:pPr>
              <w:pStyle w:val="Tablebullet"/>
              <w:numPr>
                <w:ilvl w:val="0"/>
                <w:numId w:val="11"/>
              </w:numPr>
            </w:pPr>
            <w:r>
              <w:t>Past year MH treatment (6)</w:t>
            </w:r>
          </w:p>
          <w:p w14:paraId="0C9C358B" w14:textId="77777777" w:rsidR="00451D48" w:rsidRDefault="00451D48" w:rsidP="00A616F1">
            <w:pPr>
              <w:pStyle w:val="Tablebullet"/>
              <w:numPr>
                <w:ilvl w:val="0"/>
                <w:numId w:val="11"/>
              </w:numPr>
            </w:pPr>
            <w:r>
              <w:t>No past year MH treatment (4)</w:t>
            </w:r>
          </w:p>
        </w:tc>
      </w:tr>
      <w:tr w:rsidR="00451D48" w14:paraId="7C290BB6" w14:textId="77777777" w:rsidTr="00A616F1">
        <w:tblPrEx>
          <w:tblCellMar>
            <w:left w:w="108" w:type="dxa"/>
            <w:right w:w="108" w:type="dxa"/>
          </w:tblCellMar>
        </w:tblPrEx>
        <w:trPr>
          <w:trHeight w:val="593"/>
        </w:trPr>
        <w:tc>
          <w:tcPr>
            <w:tcW w:w="0" w:type="auto"/>
            <w:vAlign w:val="center"/>
          </w:tcPr>
          <w:p w14:paraId="36953A18" w14:textId="77777777" w:rsidR="00451D48" w:rsidRDefault="00451D48" w:rsidP="00A616F1">
            <w:pPr>
              <w:pStyle w:val="TableText1"/>
            </w:pPr>
            <w:r>
              <w:t xml:space="preserve">Sleep items (Health) </w:t>
            </w:r>
          </w:p>
        </w:tc>
        <w:tc>
          <w:tcPr>
            <w:tcW w:w="0" w:type="auto"/>
          </w:tcPr>
          <w:p w14:paraId="15E277D3" w14:textId="77777777" w:rsidR="00451D48" w:rsidRDefault="00451D48" w:rsidP="00A616F1">
            <w:pPr>
              <w:pStyle w:val="Tablebullet"/>
              <w:numPr>
                <w:ilvl w:val="0"/>
                <w:numId w:val="20"/>
              </w:numPr>
            </w:pPr>
            <w:r w:rsidRPr="00480AF0">
              <w:t xml:space="preserve">Past year </w:t>
            </w:r>
            <w:r>
              <w:t>sleep</w:t>
            </w:r>
            <w:r w:rsidRPr="00480AF0">
              <w:t xml:space="preserve"> issues </w:t>
            </w:r>
            <w:r>
              <w:t>(2)</w:t>
            </w:r>
          </w:p>
          <w:p w14:paraId="2C1B899C" w14:textId="77777777" w:rsidR="00451D48" w:rsidRDefault="00451D48" w:rsidP="00A616F1">
            <w:pPr>
              <w:pStyle w:val="Tablebullet"/>
              <w:numPr>
                <w:ilvl w:val="0"/>
                <w:numId w:val="20"/>
              </w:numPr>
            </w:pPr>
            <w:r>
              <w:t>No past year sleep issues (2)</w:t>
            </w:r>
          </w:p>
        </w:tc>
        <w:tc>
          <w:tcPr>
            <w:tcW w:w="0" w:type="auto"/>
          </w:tcPr>
          <w:p w14:paraId="377AE2BD" w14:textId="77777777" w:rsidR="00451D48" w:rsidRDefault="00451D48" w:rsidP="00A616F1">
            <w:pPr>
              <w:pStyle w:val="Tablebullet"/>
              <w:numPr>
                <w:ilvl w:val="0"/>
                <w:numId w:val="11"/>
              </w:numPr>
            </w:pPr>
            <w:r w:rsidRPr="00480AF0">
              <w:t xml:space="preserve">Past year </w:t>
            </w:r>
            <w:r>
              <w:t>sleep</w:t>
            </w:r>
            <w:r w:rsidRPr="00480AF0">
              <w:t xml:space="preserve"> issues </w:t>
            </w:r>
            <w:r>
              <w:t>(2)</w:t>
            </w:r>
          </w:p>
          <w:p w14:paraId="005947ED" w14:textId="77777777" w:rsidR="00451D48" w:rsidRPr="00480AF0" w:rsidRDefault="00451D48" w:rsidP="00A616F1">
            <w:pPr>
              <w:pStyle w:val="Tablebullet"/>
              <w:numPr>
                <w:ilvl w:val="0"/>
                <w:numId w:val="11"/>
              </w:numPr>
            </w:pPr>
            <w:r>
              <w:t>No past year sleep issues (2)</w:t>
            </w:r>
          </w:p>
        </w:tc>
      </w:tr>
      <w:tr w:rsidR="00451D48" w14:paraId="7A1F1459" w14:textId="77777777" w:rsidTr="00A616F1">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620"/>
        </w:trPr>
        <w:tc>
          <w:tcPr>
            <w:tcW w:w="0" w:type="auto"/>
            <w:vAlign w:val="center"/>
          </w:tcPr>
          <w:p w14:paraId="4DB3434C" w14:textId="77777777" w:rsidR="00451D48" w:rsidRDefault="00451D48" w:rsidP="00A616F1">
            <w:pPr>
              <w:pStyle w:val="TableText1"/>
            </w:pPr>
            <w:r>
              <w:t xml:space="preserve">Pain Items (Health) </w:t>
            </w:r>
          </w:p>
        </w:tc>
        <w:tc>
          <w:tcPr>
            <w:tcW w:w="0" w:type="auto"/>
          </w:tcPr>
          <w:p w14:paraId="71299E56" w14:textId="77777777" w:rsidR="00451D48" w:rsidRDefault="00451D48" w:rsidP="00A616F1">
            <w:pPr>
              <w:pStyle w:val="Tablebullet"/>
              <w:numPr>
                <w:ilvl w:val="0"/>
                <w:numId w:val="12"/>
              </w:numPr>
            </w:pPr>
            <w:r>
              <w:t>None</w:t>
            </w:r>
          </w:p>
        </w:tc>
        <w:tc>
          <w:tcPr>
            <w:tcW w:w="0" w:type="auto"/>
          </w:tcPr>
          <w:p w14:paraId="64AC4060" w14:textId="77777777" w:rsidR="00451D48" w:rsidRDefault="00451D48" w:rsidP="00A616F1">
            <w:pPr>
              <w:pStyle w:val="Tablebullet"/>
              <w:numPr>
                <w:ilvl w:val="0"/>
                <w:numId w:val="12"/>
              </w:numPr>
            </w:pPr>
            <w:r w:rsidRPr="00480AF0">
              <w:t xml:space="preserve">Past year pain issues </w:t>
            </w:r>
            <w:r>
              <w:t>(4)</w:t>
            </w:r>
          </w:p>
          <w:p w14:paraId="3F2E9BE2" w14:textId="77777777" w:rsidR="00451D48" w:rsidRPr="00480AF0" w:rsidRDefault="00451D48" w:rsidP="00A616F1">
            <w:pPr>
              <w:pStyle w:val="Tablebullet"/>
              <w:numPr>
                <w:ilvl w:val="0"/>
                <w:numId w:val="12"/>
              </w:numPr>
            </w:pPr>
            <w:r>
              <w:t>No past year pain issues (4)</w:t>
            </w:r>
          </w:p>
        </w:tc>
      </w:tr>
      <w:tr w:rsidR="00451D48" w14:paraId="40C97693" w14:textId="77777777" w:rsidTr="00A616F1">
        <w:tblPrEx>
          <w:tblCellMar>
            <w:left w:w="108" w:type="dxa"/>
            <w:right w:w="108" w:type="dxa"/>
          </w:tblCellMar>
        </w:tblPrEx>
        <w:trPr>
          <w:trHeight w:val="413"/>
        </w:trPr>
        <w:tc>
          <w:tcPr>
            <w:tcW w:w="0" w:type="auto"/>
            <w:vAlign w:val="center"/>
          </w:tcPr>
          <w:p w14:paraId="155CA614" w14:textId="77777777" w:rsidR="00451D48" w:rsidRDefault="00451D48" w:rsidP="00A616F1">
            <w:pPr>
              <w:pStyle w:val="TableText1"/>
            </w:pPr>
            <w:r>
              <w:t xml:space="preserve">Perceived Risk </w:t>
            </w:r>
          </w:p>
          <w:p w14:paraId="1E5BF79A" w14:textId="77777777" w:rsidR="00451D48" w:rsidRDefault="00451D48" w:rsidP="00A616F1">
            <w:pPr>
              <w:pStyle w:val="TableText1"/>
            </w:pPr>
          </w:p>
        </w:tc>
        <w:tc>
          <w:tcPr>
            <w:tcW w:w="0" w:type="auto"/>
          </w:tcPr>
          <w:p w14:paraId="49369A79" w14:textId="77777777" w:rsidR="00451D48" w:rsidRDefault="00451D48" w:rsidP="00A616F1">
            <w:pPr>
              <w:pStyle w:val="Tablebullet"/>
              <w:numPr>
                <w:ilvl w:val="0"/>
                <w:numId w:val="21"/>
              </w:numPr>
            </w:pPr>
            <w:r>
              <w:t>No specific criteria (3)</w:t>
            </w:r>
          </w:p>
        </w:tc>
        <w:tc>
          <w:tcPr>
            <w:tcW w:w="0" w:type="auto"/>
          </w:tcPr>
          <w:p w14:paraId="4ED0F164" w14:textId="77777777" w:rsidR="00451D48" w:rsidRDefault="00451D48" w:rsidP="00A616F1">
            <w:pPr>
              <w:pStyle w:val="Tablebullet"/>
              <w:numPr>
                <w:ilvl w:val="0"/>
                <w:numId w:val="21"/>
              </w:numPr>
            </w:pPr>
            <w:r>
              <w:t>No specific criteria (3)</w:t>
            </w:r>
          </w:p>
        </w:tc>
      </w:tr>
      <w:tr w:rsidR="00451D48" w14:paraId="6F660F72" w14:textId="77777777" w:rsidTr="00A616F1">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575"/>
        </w:trPr>
        <w:tc>
          <w:tcPr>
            <w:tcW w:w="0" w:type="auto"/>
            <w:vAlign w:val="center"/>
          </w:tcPr>
          <w:p w14:paraId="0BD6B8CD" w14:textId="77777777" w:rsidR="00451D48" w:rsidRDefault="00451D48" w:rsidP="00A616F1">
            <w:pPr>
              <w:pStyle w:val="TableText1"/>
            </w:pPr>
            <w:r>
              <w:t xml:space="preserve">Criminal Justice </w:t>
            </w:r>
          </w:p>
        </w:tc>
        <w:tc>
          <w:tcPr>
            <w:tcW w:w="0" w:type="auto"/>
          </w:tcPr>
          <w:p w14:paraId="477C4A51" w14:textId="77777777" w:rsidR="00451D48" w:rsidRDefault="00451D48" w:rsidP="00A616F1">
            <w:pPr>
              <w:pStyle w:val="Tablebullet"/>
              <w:numPr>
                <w:ilvl w:val="0"/>
                <w:numId w:val="21"/>
              </w:numPr>
            </w:pPr>
            <w:r>
              <w:t>Not previously incarcerated (4)</w:t>
            </w:r>
          </w:p>
          <w:p w14:paraId="063BE7F6" w14:textId="77777777" w:rsidR="00451D48" w:rsidRDefault="00451D48" w:rsidP="00A616F1">
            <w:pPr>
              <w:pStyle w:val="Tablebullet"/>
              <w:numPr>
                <w:ilvl w:val="0"/>
                <w:numId w:val="0"/>
              </w:numPr>
              <w:ind w:left="360" w:hanging="360"/>
            </w:pPr>
          </w:p>
        </w:tc>
        <w:tc>
          <w:tcPr>
            <w:tcW w:w="0" w:type="auto"/>
          </w:tcPr>
          <w:p w14:paraId="433E7660" w14:textId="77777777" w:rsidR="00451D48" w:rsidRDefault="00451D48" w:rsidP="00A616F1">
            <w:pPr>
              <w:pStyle w:val="Tablebullet"/>
              <w:numPr>
                <w:ilvl w:val="0"/>
                <w:numId w:val="21"/>
              </w:numPr>
            </w:pPr>
            <w:r>
              <w:t>Previously incarcerated (4)</w:t>
            </w:r>
          </w:p>
          <w:p w14:paraId="4E500895" w14:textId="77777777" w:rsidR="00451D48" w:rsidRDefault="00451D48" w:rsidP="00A616F1">
            <w:pPr>
              <w:pStyle w:val="Tablebullet"/>
              <w:numPr>
                <w:ilvl w:val="0"/>
                <w:numId w:val="21"/>
              </w:numPr>
            </w:pPr>
            <w:r>
              <w:t>Not previously incarcerated (2)</w:t>
            </w:r>
          </w:p>
        </w:tc>
      </w:tr>
    </w:tbl>
    <w:p w14:paraId="396B8805" w14:textId="77777777" w:rsidR="00451D48" w:rsidRDefault="00451D48" w:rsidP="00451D48">
      <w:pPr>
        <w:pStyle w:val="BodyText"/>
        <w:spacing w:after="0"/>
        <w:ind w:left="630" w:hanging="630"/>
      </w:pPr>
    </w:p>
    <w:p w14:paraId="6D4DE82D" w14:textId="77777777" w:rsidR="00451D48" w:rsidRPr="008260DA" w:rsidRDefault="00451D48" w:rsidP="00451D48">
      <w:pPr>
        <w:pStyle w:val="BodyText"/>
        <w:spacing w:after="0"/>
        <w:ind w:left="630"/>
      </w:pPr>
      <w:r>
        <w:t xml:space="preserve">Pretesting </w:t>
      </w:r>
      <w:r w:rsidRPr="006A297E">
        <w:t xml:space="preserve">interviews will be iterative with changes made to the questionnaire </w:t>
      </w:r>
      <w:r>
        <w:t xml:space="preserve">after each of the first two rounds </w:t>
      </w:r>
      <w:r w:rsidRPr="006A297E">
        <w:t>based on the findings from th</w:t>
      </w:r>
      <w:r>
        <w:t>at</w:t>
      </w:r>
      <w:r w:rsidRPr="006A297E">
        <w:t xml:space="preserve"> previous round. For all rounds, participants will be given the option of having the questions played over the computer’s speakers or turning off the sound and reading the questions aloud. These </w:t>
      </w:r>
      <w:r w:rsidRPr="008260DA">
        <w:t xml:space="preserve">procedures are required so the interviewers </w:t>
      </w:r>
      <w:r>
        <w:t xml:space="preserve">can </w:t>
      </w:r>
      <w:r w:rsidRPr="008260DA">
        <w:t xml:space="preserve">ask probes </w:t>
      </w:r>
      <w:r>
        <w:t xml:space="preserve">to a </w:t>
      </w:r>
      <w:r w:rsidRPr="008260DA">
        <w:t xml:space="preserve">participant after certain questions. Providing participants the option of hearing the questions or reading them allows the </w:t>
      </w:r>
      <w:r>
        <w:t xml:space="preserve">pretesting </w:t>
      </w:r>
      <w:r w:rsidRPr="008260DA">
        <w:t xml:space="preserve">interview process to more closely mimic an actual interview where participants can turn down the volume and read the questions if desired. </w:t>
      </w:r>
    </w:p>
    <w:p w14:paraId="60D107AC" w14:textId="77777777" w:rsidR="00451D48" w:rsidRPr="00AE7F7D" w:rsidRDefault="00451D48" w:rsidP="00451D48">
      <w:pPr>
        <w:pStyle w:val="BodyText"/>
        <w:spacing w:after="0"/>
        <w:ind w:left="630" w:hanging="630"/>
        <w:rPr>
          <w:highlight w:val="yellow"/>
        </w:rPr>
      </w:pPr>
    </w:p>
    <w:p w14:paraId="4E203F1B" w14:textId="77777777" w:rsidR="00451D48" w:rsidRDefault="00451D48" w:rsidP="00451D48">
      <w:pPr>
        <w:widowControl/>
        <w:tabs>
          <w:tab w:val="left" w:pos="630"/>
        </w:tabs>
        <w:ind w:left="630"/>
      </w:pPr>
      <w:r>
        <w:t xml:space="preserve">Respondents will be instructed to “think-aloud” as they complete the survey. </w:t>
      </w:r>
      <w:r w:rsidRPr="00D03DA9">
        <w:t xml:space="preserve">To encourage </w:t>
      </w:r>
      <w:r>
        <w:t>respondents</w:t>
      </w:r>
      <w:r w:rsidRPr="00D03DA9">
        <w:t xml:space="preserve"> to think</w:t>
      </w:r>
      <w:r>
        <w:t>-</w:t>
      </w:r>
      <w:r w:rsidRPr="00D03DA9">
        <w:t xml:space="preserve">aloud, </w:t>
      </w:r>
      <w:r>
        <w:t>interviewers may</w:t>
      </w:r>
      <w:r w:rsidRPr="00D03DA9">
        <w:t xml:space="preserve"> prompt as needed (e.g., </w:t>
      </w:r>
      <w:r>
        <w:t>“</w:t>
      </w:r>
      <w:r w:rsidRPr="00D03DA9">
        <w:t>keep talking,</w:t>
      </w:r>
      <w:r>
        <w:t>”</w:t>
      </w:r>
      <w:r w:rsidRPr="00D03DA9">
        <w:t xml:space="preserve"> </w:t>
      </w:r>
      <w:r>
        <w:t>“</w:t>
      </w:r>
      <w:r w:rsidRPr="00D03DA9">
        <w:t>what are you thinking,</w:t>
      </w:r>
      <w:r>
        <w:t>”</w:t>
      </w:r>
      <w:r w:rsidRPr="00D03DA9">
        <w:t xml:space="preserve"> </w:t>
      </w:r>
      <w:r>
        <w:t>“</w:t>
      </w:r>
      <w:r w:rsidRPr="00D03DA9">
        <w:t>tell me what you’re doing,</w:t>
      </w:r>
      <w:r>
        <w:t>” “</w:t>
      </w:r>
      <w:r w:rsidRPr="00D03DA9">
        <w:t>tell me what you’re looking at,</w:t>
      </w:r>
      <w:r>
        <w:t>”</w:t>
      </w:r>
      <w:r w:rsidRPr="00D03DA9">
        <w:t xml:space="preserve"> </w:t>
      </w:r>
      <w:r>
        <w:t>“</w:t>
      </w:r>
      <w:r w:rsidRPr="00D03DA9">
        <w:t>tell me more about that</w:t>
      </w:r>
      <w:r>
        <w:t>.”</w:t>
      </w:r>
      <w:r w:rsidRPr="00D03DA9">
        <w:t>).</w:t>
      </w:r>
      <w:r>
        <w:t xml:space="preserve"> </w:t>
      </w:r>
      <w:r w:rsidRPr="006A297E">
        <w:t xml:space="preserve">Interviewers will </w:t>
      </w:r>
      <w:r>
        <w:t xml:space="preserve">also </w:t>
      </w:r>
      <w:r w:rsidRPr="006A297E">
        <w:t>be provided with a series of</w:t>
      </w:r>
      <w:r>
        <w:t xml:space="preserve"> </w:t>
      </w:r>
      <w:r w:rsidRPr="006A297E">
        <w:t>probes that will further explore the quality of responses and whether these responses are meeting the researchers’ goals</w:t>
      </w:r>
      <w:r>
        <w:t xml:space="preserve"> (Attachment I)</w:t>
      </w:r>
      <w:r w:rsidRPr="006A297E">
        <w:t xml:space="preserve">. Interviewers are instructed to use the probes as a guideline, but are not required to use all of them, be limited by them, or to read them exactly as written (Beatty 2004). Interviewers may probe based upon the content of the interview and participant responses. </w:t>
      </w:r>
      <w:r w:rsidRPr="008260DA">
        <w:t xml:space="preserve">Interviewers may ask spontaneous probes based upon the content of the interview and participant responses. Spontaneous probes such as, “Can you tell me more about that?” will be used as needed to further assess whether </w:t>
      </w:r>
      <w:r>
        <w:t>potential</w:t>
      </w:r>
      <w:r w:rsidRPr="008260DA">
        <w:t xml:space="preserve"> issues with question comprehension, recall, interpretation, and mapping their answer to the response categories.</w:t>
      </w:r>
      <w:r w:rsidRPr="006A297E">
        <w:t xml:space="preserve"> </w:t>
      </w:r>
    </w:p>
    <w:p w14:paraId="4621BEAF" w14:textId="77777777" w:rsidR="00451D48" w:rsidRDefault="00451D48" w:rsidP="00451D48">
      <w:pPr>
        <w:widowControl/>
        <w:tabs>
          <w:tab w:val="left" w:pos="630"/>
        </w:tabs>
        <w:ind w:left="630"/>
      </w:pPr>
    </w:p>
    <w:p w14:paraId="179D0B2E" w14:textId="77777777" w:rsidR="00451D48" w:rsidRPr="006A297E" w:rsidRDefault="00451D48" w:rsidP="00451D48">
      <w:pPr>
        <w:widowControl/>
        <w:tabs>
          <w:tab w:val="left" w:pos="630"/>
        </w:tabs>
        <w:ind w:left="630"/>
      </w:pPr>
      <w:r>
        <w:t>Interviewers will also make observations regarding usability issues,</w:t>
      </w:r>
      <w:r w:rsidRPr="00D03DA9">
        <w:t xml:space="preserve"> document</w:t>
      </w:r>
      <w:r>
        <w:t>ing</w:t>
      </w:r>
      <w:r w:rsidRPr="00D03DA9">
        <w:t xml:space="preserve"> any errors observed (e.g., the </w:t>
      </w:r>
      <w:r>
        <w:t>respondent</w:t>
      </w:r>
      <w:r w:rsidRPr="00D03DA9">
        <w:t xml:space="preserve">’s think-aloud responses were different than the </w:t>
      </w:r>
      <w:r>
        <w:t>respondent</w:t>
      </w:r>
      <w:r w:rsidRPr="00D03DA9">
        <w:t xml:space="preserve">’s selection, the </w:t>
      </w:r>
      <w:r>
        <w:t>respondent</w:t>
      </w:r>
      <w:r w:rsidRPr="00D03DA9">
        <w:t xml:space="preserve"> accidentally hit the </w:t>
      </w:r>
      <w:r>
        <w:t>back</w:t>
      </w:r>
      <w:r w:rsidRPr="00D03DA9">
        <w:t xml:space="preserve"> button when he or she meant to hit the next button). </w:t>
      </w:r>
      <w:r>
        <w:t>Interviewers will</w:t>
      </w:r>
      <w:r w:rsidRPr="00D03DA9">
        <w:t xml:space="preserve"> also observe how well participants </w:t>
      </w:r>
      <w:r>
        <w:t>are</w:t>
      </w:r>
      <w:r w:rsidRPr="00D03DA9">
        <w:t xml:space="preserve"> able to understand and resolve any errors.</w:t>
      </w:r>
      <w:r>
        <w:t xml:space="preserve"> As needed, interviewers may ask probes to better understand potential usability issues, “When you clicked ‘X,’ tell me what you expected to happen?” or “Tell me what happened there.”</w:t>
      </w:r>
    </w:p>
    <w:p w14:paraId="7EC2A1C0" w14:textId="77777777" w:rsidR="00451D48" w:rsidRPr="00AE7F7D" w:rsidRDefault="00451D48" w:rsidP="00451D48">
      <w:pPr>
        <w:widowControl/>
        <w:tabs>
          <w:tab w:val="left" w:pos="630"/>
        </w:tabs>
        <w:ind w:left="630"/>
        <w:rPr>
          <w:highlight w:val="yellow"/>
        </w:rPr>
      </w:pPr>
    </w:p>
    <w:p w14:paraId="0BC42BE1" w14:textId="77777777" w:rsidR="00451D48" w:rsidRDefault="00451D48" w:rsidP="00451D48">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0"/>
        <w:rPr>
          <w:rFonts w:ascii="Times New Roman" w:hAnsi="Times New Roman"/>
        </w:rPr>
      </w:pPr>
      <w:r w:rsidRPr="00AE7F7D">
        <w:t>After the interview, participants will be thanked</w:t>
      </w:r>
      <w:r>
        <w:t xml:space="preserve"> and</w:t>
      </w:r>
      <w:r w:rsidRPr="00AE7F7D">
        <w:t xml:space="preserve"> given $40 cash</w:t>
      </w:r>
      <w:r>
        <w:t xml:space="preserve"> and</w:t>
      </w:r>
      <w:r w:rsidRPr="00AE7F7D">
        <w:t xml:space="preserve"> a participation receipt form </w:t>
      </w:r>
      <w:r w:rsidRPr="00826621">
        <w:t xml:space="preserve">(Attachment </w:t>
      </w:r>
      <w:r>
        <w:t>G</w:t>
      </w:r>
      <w:r w:rsidRPr="00826621">
        <w:t>).</w:t>
      </w:r>
      <w:r w:rsidRPr="00826621">
        <w:rPr>
          <w:rFonts w:ascii="Times New Roman" w:hAnsi="Times New Roman"/>
        </w:rPr>
        <w:t xml:space="preserve"> </w:t>
      </w:r>
    </w:p>
    <w:p w14:paraId="7FD40437" w14:textId="77777777" w:rsidR="00451D48" w:rsidRPr="003348F1" w:rsidRDefault="00451D48" w:rsidP="00451D48">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0"/>
        <w:rPr>
          <w:rFonts w:ascii="Times New Roman" w:hAnsi="Times New Roman"/>
        </w:rPr>
      </w:pPr>
      <w:r>
        <w:rPr>
          <w:rFonts w:ascii="Times New Roman" w:hAnsi="Times New Roman"/>
        </w:rPr>
        <w:t>At any point, if respondent exhibits</w:t>
      </w:r>
      <w:r w:rsidRPr="003348F1">
        <w:rPr>
          <w:rFonts w:ascii="Times New Roman" w:hAnsi="Times New Roman"/>
        </w:rPr>
        <w:t xml:space="preserve"> signs of distress</w:t>
      </w:r>
      <w:r>
        <w:rPr>
          <w:rFonts w:ascii="Times New Roman" w:hAnsi="Times New Roman"/>
        </w:rPr>
        <w:t>,</w:t>
      </w:r>
      <w:r w:rsidRPr="003348F1">
        <w:rPr>
          <w:rFonts w:ascii="Times New Roman" w:hAnsi="Times New Roman"/>
        </w:rPr>
        <w:t xml:space="preserve"> agitation, or indication of imminent danger of harm to oneself or another based on indirect and direct statements</w:t>
      </w:r>
      <w:r>
        <w:rPr>
          <w:rFonts w:ascii="Times New Roman" w:hAnsi="Times New Roman"/>
        </w:rPr>
        <w:t>,</w:t>
      </w:r>
      <w:r w:rsidRPr="003348F1">
        <w:rPr>
          <w:rFonts w:ascii="Times New Roman" w:hAnsi="Times New Roman"/>
        </w:rPr>
        <w:t xml:space="preserve"> </w:t>
      </w:r>
      <w:r>
        <w:rPr>
          <w:rFonts w:ascii="Times New Roman" w:hAnsi="Times New Roman"/>
        </w:rPr>
        <w:t>the</w:t>
      </w:r>
      <w:r w:rsidRPr="003348F1">
        <w:rPr>
          <w:rFonts w:ascii="Times New Roman" w:hAnsi="Times New Roman"/>
        </w:rPr>
        <w:t xml:space="preserve"> interviewer will follow the </w:t>
      </w:r>
      <w:r>
        <w:rPr>
          <w:rFonts w:ascii="Times New Roman" w:hAnsi="Times New Roman"/>
        </w:rPr>
        <w:t xml:space="preserve">Distressed Respondent Protocol (Attachment J). </w:t>
      </w:r>
    </w:p>
    <w:p w14:paraId="03B2BC01" w14:textId="77777777" w:rsidR="00451D48" w:rsidRPr="00AE7F7D" w:rsidRDefault="00451D48" w:rsidP="00451D48">
      <w:pPr>
        <w:pStyle w:val="Heading1"/>
        <w:tabs>
          <w:tab w:val="clear" w:pos="0"/>
        </w:tabs>
        <w:ind w:left="630"/>
        <w:rPr>
          <w:rFonts w:ascii="Times New Roman" w:hAnsi="Times New Roman" w:cs="Times New Roman"/>
        </w:rPr>
      </w:pPr>
      <w:r w:rsidRPr="00AE7F7D">
        <w:rPr>
          <w:rFonts w:ascii="Times New Roman" w:hAnsi="Times New Roman" w:cs="Times New Roman"/>
        </w:rPr>
        <w:t>3.</w:t>
      </w:r>
      <w:r w:rsidRPr="00AE7F7D">
        <w:rPr>
          <w:rFonts w:ascii="Times New Roman" w:hAnsi="Times New Roman" w:cs="Times New Roman"/>
        </w:rPr>
        <w:tab/>
      </w:r>
      <w:r w:rsidRPr="00AE7F7D">
        <w:rPr>
          <w:rFonts w:ascii="Times New Roman" w:hAnsi="Times New Roman" w:cs="Times New Roman"/>
          <w:u w:val="single"/>
        </w:rPr>
        <w:t>Methods to Maximize Response Rates</w:t>
      </w:r>
      <w:r w:rsidRPr="00AE7F7D">
        <w:rPr>
          <w:rFonts w:ascii="Times New Roman" w:hAnsi="Times New Roman" w:cs="Times New Roman"/>
        </w:rPr>
        <w:t xml:space="preserve"> </w:t>
      </w:r>
    </w:p>
    <w:p w14:paraId="7AE315F3" w14:textId="77777777" w:rsidR="00451D48" w:rsidRPr="00AE7F7D" w:rsidRDefault="00451D48" w:rsidP="00451D48">
      <w:pPr>
        <w:pStyle w:val="BodyText"/>
        <w:ind w:left="630"/>
        <w:rPr>
          <w:rFonts w:ascii="Times New Roman" w:hAnsi="Times New Roman" w:cs="Times New Roman"/>
        </w:rPr>
      </w:pPr>
      <w:r w:rsidRPr="00AE7F7D">
        <w:rPr>
          <w:rFonts w:ascii="Times New Roman" w:hAnsi="Times New Roman" w:cs="Times New Roman"/>
        </w:rPr>
        <w:t xml:space="preserve">To assure the participation of recruited participants, each selected person will receive a reminder telephone call the day before the interview </w:t>
      </w:r>
      <w:r>
        <w:rPr>
          <w:rFonts w:ascii="Times New Roman" w:hAnsi="Times New Roman" w:cs="Times New Roman"/>
        </w:rPr>
        <w:t xml:space="preserve">by Contractor staff </w:t>
      </w:r>
      <w:r w:rsidRPr="00AE7F7D">
        <w:rPr>
          <w:rFonts w:ascii="Times New Roman" w:hAnsi="Times New Roman" w:cs="Times New Roman"/>
        </w:rPr>
        <w:t>with directions to the interview location and an opportunity to ask any questions about the purpose or logistics of the</w:t>
      </w:r>
      <w:r>
        <w:rPr>
          <w:rFonts w:ascii="Times New Roman" w:hAnsi="Times New Roman" w:cs="Times New Roman"/>
        </w:rPr>
        <w:t xml:space="preserve"> pretest</w:t>
      </w:r>
      <w:r w:rsidRPr="00AE7F7D">
        <w:rPr>
          <w:rFonts w:ascii="Times New Roman" w:hAnsi="Times New Roman" w:cs="Times New Roman"/>
        </w:rPr>
        <w:t>. The $40 incentive will also help ensure participation.</w:t>
      </w:r>
    </w:p>
    <w:p w14:paraId="74CE1631" w14:textId="77777777" w:rsidR="00451D48" w:rsidRPr="00AE7F7D" w:rsidRDefault="00451D48" w:rsidP="00451D48">
      <w:pPr>
        <w:pStyle w:val="Heading1"/>
        <w:tabs>
          <w:tab w:val="clear" w:pos="0"/>
        </w:tabs>
        <w:ind w:left="630"/>
        <w:rPr>
          <w:rFonts w:ascii="Times New Roman" w:hAnsi="Times New Roman" w:cs="Times New Roman"/>
        </w:rPr>
      </w:pPr>
      <w:r w:rsidRPr="00AE7F7D">
        <w:rPr>
          <w:rFonts w:ascii="Times New Roman" w:hAnsi="Times New Roman" w:cs="Times New Roman"/>
        </w:rPr>
        <w:t>4.</w:t>
      </w:r>
      <w:r w:rsidRPr="00AE7F7D">
        <w:rPr>
          <w:rFonts w:ascii="Times New Roman" w:hAnsi="Times New Roman" w:cs="Times New Roman"/>
        </w:rPr>
        <w:tab/>
      </w:r>
      <w:r w:rsidRPr="00AE7F7D">
        <w:rPr>
          <w:rFonts w:ascii="Times New Roman" w:hAnsi="Times New Roman" w:cs="Times New Roman"/>
          <w:u w:val="single"/>
        </w:rPr>
        <w:t>Tests of Procedures</w:t>
      </w:r>
    </w:p>
    <w:p w14:paraId="21364D04" w14:textId="77777777" w:rsidR="00451D48" w:rsidRPr="00AE7F7D" w:rsidRDefault="00451D48" w:rsidP="00451D48">
      <w:pPr>
        <w:pStyle w:val="BodyText"/>
        <w:ind w:left="630"/>
        <w:rPr>
          <w:rFonts w:ascii="Times New Roman" w:hAnsi="Times New Roman" w:cs="Times New Roman"/>
        </w:rPr>
      </w:pPr>
      <w:r w:rsidRPr="00AE7F7D">
        <w:t>The activities to be conducted under this approval are in themselves tests of procedures.</w:t>
      </w:r>
      <w:r w:rsidRPr="00AE7F7D">
        <w:rPr>
          <w:rFonts w:ascii="Times New Roman" w:hAnsi="Times New Roman" w:cs="Times New Roman"/>
        </w:rPr>
        <w:t xml:space="preserve"> </w:t>
      </w:r>
    </w:p>
    <w:p w14:paraId="3B3545A1" w14:textId="77777777" w:rsidR="00451D48" w:rsidRPr="00955D79" w:rsidRDefault="00451D48" w:rsidP="00451D48">
      <w:pPr>
        <w:pStyle w:val="Heading1"/>
        <w:tabs>
          <w:tab w:val="clear" w:pos="0"/>
        </w:tabs>
        <w:ind w:left="630"/>
        <w:rPr>
          <w:rFonts w:ascii="Times New Roman" w:hAnsi="Times New Roman" w:cs="Times New Roman"/>
        </w:rPr>
      </w:pPr>
      <w:r w:rsidRPr="00955D79">
        <w:rPr>
          <w:rFonts w:ascii="Times New Roman" w:hAnsi="Times New Roman" w:cs="Times New Roman"/>
        </w:rPr>
        <w:t>5.</w:t>
      </w:r>
      <w:r w:rsidRPr="00955D79">
        <w:rPr>
          <w:rFonts w:ascii="Times New Roman" w:hAnsi="Times New Roman" w:cs="Times New Roman"/>
        </w:rPr>
        <w:tab/>
      </w:r>
      <w:r w:rsidRPr="00955D79">
        <w:rPr>
          <w:rFonts w:ascii="Times New Roman" w:hAnsi="Times New Roman" w:cs="Times New Roman"/>
          <w:u w:val="single"/>
        </w:rPr>
        <w:t>Statistical Consultants</w:t>
      </w:r>
    </w:p>
    <w:p w14:paraId="05BD0DA7" w14:textId="77777777" w:rsidR="00451D48" w:rsidRPr="00955D79" w:rsidRDefault="00451D48" w:rsidP="00451D48">
      <w:pPr>
        <w:pStyle w:val="BodyText"/>
        <w:ind w:left="630"/>
        <w:rPr>
          <w:rFonts w:ascii="Times New Roman" w:hAnsi="Times New Roman"/>
        </w:rPr>
      </w:pPr>
      <w:r w:rsidRPr="00955D79">
        <w:rPr>
          <w:rFonts w:ascii="Times New Roman" w:hAnsi="Times New Roman" w:cs="Times New Roman"/>
        </w:rPr>
        <w:t>The basic NSDUH design was reviewed by statistical experts, both within and outside SAMHSA. Statistical experts reviewing portions of prior NSDUH designs include William Kalsbeek, PhD, University of North Carolina; Robert Groves, PhD, Georgetown University; and Michael Hidiroglou, PhD, Statistics Canada. Monroe Sirken, PhD, National Center for Health Statistics (NCHS) (</w:t>
      </w:r>
      <w:r>
        <w:rPr>
          <w:rFonts w:ascii="Times New Roman" w:hAnsi="Times New Roman" w:cs="Times New Roman"/>
        </w:rPr>
        <w:t>deceased</w:t>
      </w:r>
      <w:r w:rsidRPr="00955D79">
        <w:rPr>
          <w:rFonts w:ascii="Times New Roman" w:hAnsi="Times New Roman" w:cs="Times New Roman"/>
        </w:rPr>
        <w:t xml:space="preserve">); James Massey, PhD, (deceased) also of NCHS; Douglas Wright, CBHSQ, SAMHSA (retired); Joseph Gfroerer, CBHSQ, SAMHSA (retired); and Arthur Hughes, CBHSQ, SAMHSA </w:t>
      </w:r>
      <w:r>
        <w:rPr>
          <w:rFonts w:ascii="Times New Roman" w:hAnsi="Times New Roman" w:cs="Times New Roman"/>
        </w:rPr>
        <w:t xml:space="preserve">(retired) </w:t>
      </w:r>
      <w:r w:rsidRPr="00955D79">
        <w:rPr>
          <w:rFonts w:ascii="Times New Roman" w:hAnsi="Times New Roman" w:cs="Times New Roman"/>
        </w:rPr>
        <w:t xml:space="preserve">were consulted on the 1992 and subsequent survey designs. Peter Tice, CBHSQ, SAMHSA is the Government Project Officer, (240) 276-1254. </w:t>
      </w:r>
      <w:r>
        <w:rPr>
          <w:rFonts w:ascii="Times New Roman" w:hAnsi="Times New Roman" w:cs="Times New Roman"/>
        </w:rPr>
        <w:t>Jonaki Bose</w:t>
      </w:r>
      <w:r w:rsidRPr="00955D79">
        <w:rPr>
          <w:rFonts w:ascii="Times New Roman" w:hAnsi="Times New Roman" w:cs="Times New Roman"/>
        </w:rPr>
        <w:t xml:space="preserve">, </w:t>
      </w:r>
      <w:r>
        <w:rPr>
          <w:rFonts w:ascii="Times New Roman" w:hAnsi="Times New Roman" w:cs="Times New Roman"/>
        </w:rPr>
        <w:t xml:space="preserve">Chief, Population Surveys Branch, </w:t>
      </w:r>
      <w:r w:rsidRPr="00955D79">
        <w:rPr>
          <w:rFonts w:ascii="Times New Roman" w:hAnsi="Times New Roman" w:cs="Times New Roman"/>
        </w:rPr>
        <w:t>CBHSQ, SAMHSA is the primary mathematical statistician responsible for overall project management, (240) 276-12</w:t>
      </w:r>
      <w:r>
        <w:rPr>
          <w:rFonts w:ascii="Times New Roman" w:hAnsi="Times New Roman" w:cs="Times New Roman"/>
        </w:rPr>
        <w:t>57</w:t>
      </w:r>
      <w:r w:rsidRPr="00955D79">
        <w:rPr>
          <w:rFonts w:ascii="Times New Roman" w:hAnsi="Times New Roman" w:cs="Times New Roman"/>
        </w:rPr>
        <w:t>. RTI senior statisticians contributing to the design are Paul Biemer, PhD, James Chromy, PhD</w:t>
      </w:r>
      <w:r>
        <w:rPr>
          <w:rFonts w:ascii="Times New Roman" w:hAnsi="Times New Roman" w:cs="Times New Roman"/>
        </w:rPr>
        <w:t xml:space="preserve"> (retired)</w:t>
      </w:r>
      <w:r w:rsidRPr="00955D79">
        <w:rPr>
          <w:rFonts w:ascii="Times New Roman" w:hAnsi="Times New Roman" w:cs="Times New Roman"/>
        </w:rPr>
        <w:t xml:space="preserve">, </w:t>
      </w:r>
      <w:r>
        <w:rPr>
          <w:rFonts w:ascii="Times New Roman" w:hAnsi="Times New Roman" w:cs="Times New Roman"/>
        </w:rPr>
        <w:t>Ralph Folsom</w:t>
      </w:r>
      <w:r w:rsidRPr="00955D79">
        <w:rPr>
          <w:rFonts w:ascii="Times New Roman" w:hAnsi="Times New Roman" w:cs="Times New Roman"/>
        </w:rPr>
        <w:t>, PhD</w:t>
      </w:r>
      <w:r>
        <w:rPr>
          <w:rFonts w:ascii="Times New Roman" w:hAnsi="Times New Roman" w:cs="Times New Roman"/>
        </w:rPr>
        <w:t xml:space="preserve"> (retired), </w:t>
      </w:r>
      <w:r w:rsidRPr="00955D79">
        <w:rPr>
          <w:rFonts w:ascii="Times New Roman" w:hAnsi="Times New Roman" w:cs="Times New Roman"/>
        </w:rPr>
        <w:t>and Rachel Harter, PhD.</w:t>
      </w:r>
    </w:p>
    <w:p w14:paraId="40C1832E" w14:textId="77777777" w:rsidR="00451D48" w:rsidRPr="00826621" w:rsidRDefault="00451D48" w:rsidP="00451D48">
      <w:pPr>
        <w:pStyle w:val="apptitle"/>
        <w:tabs>
          <w:tab w:val="clear" w:pos="0"/>
        </w:tabs>
        <w:ind w:left="630"/>
        <w:rPr>
          <w:rFonts w:ascii="Times New Roman" w:hAnsi="Times New Roman" w:cs="Times New Roman"/>
        </w:rPr>
      </w:pPr>
      <w:r w:rsidRPr="00826621">
        <w:rPr>
          <w:rFonts w:ascii="Times New Roman" w:hAnsi="Times New Roman" w:cs="Times New Roman"/>
        </w:rPr>
        <w:t>Attachments</w:t>
      </w:r>
    </w:p>
    <w:p w14:paraId="5AD24870" w14:textId="77777777" w:rsidR="00451D48" w:rsidRPr="00826621" w:rsidRDefault="00451D48" w:rsidP="00451D48">
      <w:pPr>
        <w:pStyle w:val="BodyText"/>
        <w:tabs>
          <w:tab w:val="left" w:pos="2880"/>
        </w:tabs>
        <w:ind w:left="2520"/>
        <w:rPr>
          <w:rFonts w:ascii="Times New Roman" w:hAnsi="Times New Roman" w:cs="Times New Roman"/>
        </w:rPr>
      </w:pPr>
    </w:p>
    <w:p w14:paraId="5031CA87"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826621">
        <w:t xml:space="preserve">Attachment A  </w:t>
      </w:r>
      <w:r w:rsidRPr="00826621">
        <w:tab/>
        <w:t>Recruitment Flyers</w:t>
      </w:r>
    </w:p>
    <w:p w14:paraId="21336EB8"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4D2B3BDF"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826621">
        <w:t xml:space="preserve">Attachment B  </w:t>
      </w:r>
      <w:r w:rsidRPr="00826621">
        <w:tab/>
        <w:t>Web Recruitment Screener</w:t>
      </w:r>
      <w:r>
        <w:t>s</w:t>
      </w:r>
    </w:p>
    <w:p w14:paraId="0EA4A83D"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5DD6F7E9"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826621">
        <w:t xml:space="preserve">Attachment C </w:t>
      </w:r>
      <w:r w:rsidRPr="00826621">
        <w:tab/>
        <w:t>Telephone Recruitment Screener</w:t>
      </w:r>
    </w:p>
    <w:p w14:paraId="1AF197FD"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41607F6E"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826621">
        <w:t xml:space="preserve">Attachment D </w:t>
      </w:r>
      <w:r w:rsidRPr="00826621">
        <w:tab/>
        <w:t>Parental Permission Form</w:t>
      </w:r>
      <w:r>
        <w:t>s</w:t>
      </w:r>
    </w:p>
    <w:p w14:paraId="2E05737B"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222C0B54"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826621">
        <w:t xml:space="preserve">Attachment E  </w:t>
      </w:r>
      <w:r w:rsidRPr="00826621">
        <w:tab/>
        <w:t>Participant Informed Consent/Assent Forms</w:t>
      </w:r>
    </w:p>
    <w:p w14:paraId="0EBB6099"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45758135"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826621">
        <w:t xml:space="preserve">Attachment F </w:t>
      </w:r>
      <w:r w:rsidRPr="00826621">
        <w:tab/>
      </w:r>
      <w:r>
        <w:t>Pretesting Introductory Script</w:t>
      </w:r>
      <w:r w:rsidRPr="00826621">
        <w:t xml:space="preserve"> </w:t>
      </w:r>
    </w:p>
    <w:p w14:paraId="47EAADDD"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111CC870" w14:textId="77777777" w:rsidR="00451D48" w:rsidRPr="0082662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826621">
        <w:t xml:space="preserve">Attachment G </w:t>
      </w:r>
      <w:r w:rsidRPr="00826621">
        <w:tab/>
      </w:r>
      <w:r>
        <w:t xml:space="preserve">Pretesting </w:t>
      </w:r>
      <w:r w:rsidRPr="00826621">
        <w:t>Interview Receipt for Participation</w:t>
      </w:r>
    </w:p>
    <w:p w14:paraId="1842194D" w14:textId="77777777" w:rsidR="00451D48" w:rsidRPr="00AE7F7D"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highlight w:val="yellow"/>
        </w:rPr>
      </w:pPr>
    </w:p>
    <w:p w14:paraId="3AD163AF" w14:textId="77777777" w:rsidR="00451D48" w:rsidRPr="00AE7F7D"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highlight w:val="yellow"/>
        </w:rPr>
      </w:pPr>
      <w:r w:rsidRPr="003348F1">
        <w:t>Attachment H</w:t>
      </w:r>
      <w:r w:rsidRPr="003348F1">
        <w:tab/>
        <w:t>Federalwide Assurance</w:t>
      </w:r>
    </w:p>
    <w:p w14:paraId="0DE9F9B5" w14:textId="77777777" w:rsidR="00451D48" w:rsidRPr="00AE7F7D"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color w:val="000000" w:themeColor="text1"/>
          <w:highlight w:val="yellow"/>
        </w:rPr>
      </w:pPr>
    </w:p>
    <w:p w14:paraId="641D5304" w14:textId="77777777" w:rsidR="00451D48"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826621">
        <w:t xml:space="preserve">Attachment I </w:t>
      </w:r>
      <w:r w:rsidRPr="00826621">
        <w:tab/>
      </w:r>
      <w:r>
        <w:t xml:space="preserve">Pretesting </w:t>
      </w:r>
      <w:r w:rsidRPr="00826621">
        <w:t>Interview Survey Questions</w:t>
      </w:r>
    </w:p>
    <w:p w14:paraId="5406BE7B" w14:textId="77777777" w:rsidR="00451D48"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21C66275" w14:textId="77777777" w:rsidR="00451D48"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Attachment J </w:t>
      </w:r>
      <w:r>
        <w:tab/>
        <w:t>Distressed Respondent Protocol</w:t>
      </w:r>
    </w:p>
    <w:p w14:paraId="52BBD9F3" w14:textId="77777777" w:rsidR="00451D48"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0BA52901" w14:textId="77777777" w:rsidR="00451D48" w:rsidRPr="003348F1"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Attachment K</w:t>
      </w:r>
      <w:r>
        <w:tab/>
        <w:t>SAMHSA Letter of Support</w:t>
      </w:r>
    </w:p>
    <w:p w14:paraId="5A22CA27" w14:textId="77777777" w:rsidR="00451D48" w:rsidRPr="00AE7F7D" w:rsidRDefault="00451D48" w:rsidP="00451D48">
      <w:pPr>
        <w:widowControl/>
        <w:autoSpaceDE/>
        <w:autoSpaceDN/>
        <w:adjustRightInd/>
        <w:ind w:left="2520"/>
        <w:rPr>
          <w:rFonts w:ascii="Times New Roman" w:hAnsi="Times New Roman"/>
          <w:b/>
          <w:color w:val="000000" w:themeColor="text1"/>
          <w:highlight w:val="yellow"/>
        </w:rPr>
      </w:pPr>
      <w:r w:rsidRPr="00AE7F7D">
        <w:rPr>
          <w:rFonts w:ascii="Times New Roman" w:hAnsi="Times New Roman"/>
          <w:b/>
          <w:color w:val="000000" w:themeColor="text1"/>
          <w:highlight w:val="yellow"/>
        </w:rPr>
        <w:br w:type="page"/>
      </w:r>
    </w:p>
    <w:p w14:paraId="03B21C41" w14:textId="77777777" w:rsidR="00451D48" w:rsidRPr="00785A7B"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jc w:val="center"/>
        <w:rPr>
          <w:rFonts w:ascii="Times New Roman" w:hAnsi="Times New Roman"/>
          <w:b/>
          <w:color w:val="000000" w:themeColor="text1"/>
          <w:sz w:val="28"/>
          <w:szCs w:val="28"/>
        </w:rPr>
      </w:pPr>
      <w:r w:rsidRPr="00785A7B">
        <w:rPr>
          <w:rFonts w:ascii="Times New Roman" w:hAnsi="Times New Roman"/>
          <w:b/>
          <w:color w:val="000000" w:themeColor="text1"/>
          <w:sz w:val="28"/>
          <w:szCs w:val="28"/>
        </w:rPr>
        <w:t>References</w:t>
      </w:r>
    </w:p>
    <w:p w14:paraId="62F2942C" w14:textId="77777777" w:rsidR="00451D48" w:rsidRPr="00785A7B" w:rsidRDefault="00451D48" w:rsidP="00451D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Times New Roman" w:hAnsi="Times New Roman"/>
          <w:b/>
          <w:color w:val="000000" w:themeColor="text1"/>
        </w:rPr>
      </w:pPr>
    </w:p>
    <w:p w14:paraId="0F2B3C6C" w14:textId="77777777" w:rsidR="00451D48" w:rsidRPr="00785A7B" w:rsidRDefault="00451D48" w:rsidP="00451D48">
      <w:pPr>
        <w:pStyle w:val="BodyText"/>
        <w:ind w:left="630"/>
      </w:pPr>
      <w:r w:rsidRPr="00785A7B">
        <w:t xml:space="preserve">Beatty, P. (2004). The dynamics of cognitive interviewing. In S. Presser, J. Rothgeb, M. Couper, J. Lessler, E. Martin, J. Martin, and E. Singer (Eds.), Methods for Testing and Evaluating Survey Questionnaires (pp. 45-66). </w:t>
      </w:r>
      <w:smartTag w:uri="urn:schemas-microsoft-com:office:smarttags" w:element="place">
        <w:smartTag w:uri="urn:schemas-microsoft-com:office:smarttags" w:element="State">
          <w:r w:rsidRPr="00785A7B">
            <w:t>New York</w:t>
          </w:r>
        </w:smartTag>
      </w:smartTag>
      <w:r w:rsidRPr="00785A7B">
        <w:t>: John Wiley &amp; Sons.</w:t>
      </w:r>
    </w:p>
    <w:p w14:paraId="08B9A5F2" w14:textId="77777777" w:rsidR="00451D48" w:rsidRPr="00785A7B" w:rsidRDefault="00451D48" w:rsidP="00451D48">
      <w:pPr>
        <w:pStyle w:val="BodyText"/>
        <w:ind w:left="0"/>
      </w:pPr>
    </w:p>
    <w:p w14:paraId="551FFCEB" w14:textId="77777777" w:rsidR="00451D48" w:rsidRPr="009D3114" w:rsidRDefault="00451D48" w:rsidP="00451D48">
      <w:pPr>
        <w:pStyle w:val="ReferenceCitation"/>
        <w:ind w:left="630" w:firstLine="0"/>
      </w:pPr>
    </w:p>
    <w:p w14:paraId="03198BC0" w14:textId="77777777" w:rsidR="00197CE5" w:rsidRDefault="00197CE5"/>
    <w:sectPr w:rsidR="00197CE5" w:rsidSect="00451D48">
      <w:footerReference w:type="default" r:id="rId8"/>
      <w:pgSz w:w="12240" w:h="15840"/>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D404C" w14:textId="77777777" w:rsidR="005F2BB8" w:rsidRDefault="009F0882">
      <w:r>
        <w:separator/>
      </w:r>
    </w:p>
  </w:endnote>
  <w:endnote w:type="continuationSeparator" w:id="0">
    <w:p w14:paraId="383B4517" w14:textId="77777777" w:rsidR="005F2BB8" w:rsidRDefault="009F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charset w:val="00"/>
    <w:family w:val="roman"/>
    <w:pitch w:val="variable"/>
    <w:sig w:usb0="800000AF" w:usb1="1000204A" w:usb2="00000000" w:usb3="00000000" w:csb0="00000011" w:csb1="00000000"/>
  </w:font>
  <w:font w:name="Kabel Bk BT">
    <w:altName w:val="Century Gothic"/>
    <w:charset w:val="00"/>
    <w:family w:val="swiss"/>
    <w:pitch w:val="variable"/>
    <w:sig w:usb0="00000001" w:usb1="00000000" w:usb2="00000000" w:usb3="00000000" w:csb0="0000001B"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6B291" w14:textId="20B8BAF5" w:rsidR="00722D18" w:rsidRPr="00223A54" w:rsidRDefault="00451D48" w:rsidP="00223A54">
    <w:pPr>
      <w:pStyle w:val="Footer"/>
      <w:jc w:val="center"/>
    </w:pPr>
    <w:r>
      <w:fldChar w:fldCharType="begin"/>
    </w:r>
    <w:r>
      <w:instrText xml:space="preserve"> PAGE   \* MERGEFORMAT </w:instrText>
    </w:r>
    <w:r>
      <w:fldChar w:fldCharType="separate"/>
    </w:r>
    <w:r w:rsidR="00EF491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60264" w14:textId="77777777" w:rsidR="005F2BB8" w:rsidRDefault="009F0882">
      <w:r>
        <w:separator/>
      </w:r>
    </w:p>
  </w:footnote>
  <w:footnote w:type="continuationSeparator" w:id="0">
    <w:p w14:paraId="01278196" w14:textId="77777777" w:rsidR="005F2BB8" w:rsidRDefault="009F0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8E5"/>
    <w:multiLevelType w:val="hybridMultilevel"/>
    <w:tmpl w:val="AFD62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3143B6"/>
    <w:multiLevelType w:val="hybridMultilevel"/>
    <w:tmpl w:val="050E3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4746F8"/>
    <w:multiLevelType w:val="hybridMultilevel"/>
    <w:tmpl w:val="7F4E3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1A7966"/>
    <w:multiLevelType w:val="hybridMultilevel"/>
    <w:tmpl w:val="0AF2311C"/>
    <w:lvl w:ilvl="0" w:tplc="A420E248">
      <w:start w:val="1"/>
      <w:numFmt w:val="bullet"/>
      <w:pStyle w:val="Tablebullet"/>
      <w:lvlText w:val=""/>
      <w:lvlJc w:val="left"/>
      <w:pPr>
        <w:ind w:left="360" w:hanging="360"/>
      </w:pPr>
      <w:rPr>
        <w:rFonts w:ascii="Symbol" w:hAnsi="Symbol" w:hint="default"/>
        <w:sz w:val="20"/>
      </w:rPr>
    </w:lvl>
    <w:lvl w:ilvl="1" w:tplc="4F04C8E2">
      <w:start w:val="1"/>
      <w:numFmt w:val="bullet"/>
      <w:lvlText w:val="o"/>
      <w:lvlJc w:val="left"/>
      <w:pPr>
        <w:ind w:left="720" w:hanging="360"/>
      </w:pPr>
      <w:rPr>
        <w:rFonts w:ascii="Courier New" w:hAnsi="Courier New" w:hint="default"/>
      </w:rPr>
    </w:lvl>
    <w:lvl w:ilvl="2" w:tplc="7C7C2590">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60AB1"/>
    <w:multiLevelType w:val="hybridMultilevel"/>
    <w:tmpl w:val="A4CA4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CC4C87"/>
    <w:multiLevelType w:val="hybridMultilevel"/>
    <w:tmpl w:val="73C83E04"/>
    <w:lvl w:ilvl="0" w:tplc="AF0A9500">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82DD5"/>
    <w:multiLevelType w:val="hybridMultilevel"/>
    <w:tmpl w:val="8774C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243EDA"/>
    <w:multiLevelType w:val="hybridMultilevel"/>
    <w:tmpl w:val="05C235FC"/>
    <w:lvl w:ilvl="0" w:tplc="6748AF84">
      <w:start w:val="1"/>
      <w:numFmt w:val="bullet"/>
      <w:pStyle w:val="Table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A34DF"/>
    <w:multiLevelType w:val="hybridMultilevel"/>
    <w:tmpl w:val="7FD0F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F182B36"/>
    <w:multiLevelType w:val="hybridMultilevel"/>
    <w:tmpl w:val="D33A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D66DE6"/>
    <w:multiLevelType w:val="hybridMultilevel"/>
    <w:tmpl w:val="43C8A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283CD5"/>
    <w:multiLevelType w:val="hybridMultilevel"/>
    <w:tmpl w:val="085C0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E25C1E"/>
    <w:multiLevelType w:val="hybridMultilevel"/>
    <w:tmpl w:val="AC8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D4500"/>
    <w:multiLevelType w:val="hybridMultilevel"/>
    <w:tmpl w:val="6BC6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16">
    <w:nsid w:val="5C9B72D4"/>
    <w:multiLevelType w:val="hybridMultilevel"/>
    <w:tmpl w:val="E71E2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62A28AD"/>
    <w:multiLevelType w:val="hybridMultilevel"/>
    <w:tmpl w:val="8A6A9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343F3B"/>
    <w:multiLevelType w:val="hybridMultilevel"/>
    <w:tmpl w:val="EFAE8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565949"/>
    <w:multiLevelType w:val="hybridMultilevel"/>
    <w:tmpl w:val="79D8B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9D06166"/>
    <w:multiLevelType w:val="hybridMultilevel"/>
    <w:tmpl w:val="D76AA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DA6FA5"/>
    <w:multiLevelType w:val="hybridMultilevel"/>
    <w:tmpl w:val="0C4A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7"/>
  </w:num>
  <w:num w:numId="4">
    <w:abstractNumId w:val="5"/>
  </w:num>
  <w:num w:numId="5">
    <w:abstractNumId w:val="3"/>
  </w:num>
  <w:num w:numId="6">
    <w:abstractNumId w:val="19"/>
  </w:num>
  <w:num w:numId="7">
    <w:abstractNumId w:val="20"/>
  </w:num>
  <w:num w:numId="8">
    <w:abstractNumId w:val="13"/>
  </w:num>
  <w:num w:numId="9">
    <w:abstractNumId w:val="6"/>
  </w:num>
  <w:num w:numId="10">
    <w:abstractNumId w:val="11"/>
  </w:num>
  <w:num w:numId="11">
    <w:abstractNumId w:val="12"/>
  </w:num>
  <w:num w:numId="12">
    <w:abstractNumId w:val="8"/>
  </w:num>
  <w:num w:numId="13">
    <w:abstractNumId w:val="16"/>
  </w:num>
  <w:num w:numId="14">
    <w:abstractNumId w:val="17"/>
  </w:num>
  <w:num w:numId="15">
    <w:abstractNumId w:val="18"/>
  </w:num>
  <w:num w:numId="16">
    <w:abstractNumId w:val="2"/>
  </w:num>
  <w:num w:numId="17">
    <w:abstractNumId w:val="0"/>
  </w:num>
  <w:num w:numId="18">
    <w:abstractNumId w:val="14"/>
  </w:num>
  <w:num w:numId="19">
    <w:abstractNumId w:val="21"/>
  </w:num>
  <w:num w:numId="20">
    <w:abstractNumId w:val="10"/>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48"/>
    <w:rsid w:val="00190B01"/>
    <w:rsid w:val="00197CE5"/>
    <w:rsid w:val="0028156E"/>
    <w:rsid w:val="002C6E4A"/>
    <w:rsid w:val="00451D48"/>
    <w:rsid w:val="005F2BB8"/>
    <w:rsid w:val="009F0882"/>
    <w:rsid w:val="00AC670A"/>
    <w:rsid w:val="00C16C21"/>
    <w:rsid w:val="00EF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EFD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D48"/>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next w:val="Normal"/>
    <w:link w:val="Heading1Char"/>
    <w:qFormat/>
    <w:rsid w:val="00451D48"/>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paragraph" w:styleId="Heading2">
    <w:name w:val="heading 2"/>
    <w:basedOn w:val="Normal"/>
    <w:next w:val="Normal"/>
    <w:link w:val="Heading2Char"/>
    <w:semiHidden/>
    <w:unhideWhenUsed/>
    <w:qFormat/>
    <w:rsid w:val="00451D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D48"/>
    <w:rPr>
      <w:rFonts w:asciiTheme="majorBidi" w:eastAsia="Times New Roman" w:hAnsiTheme="majorBidi" w:cstheme="majorBidi"/>
      <w:b/>
      <w:color w:val="000000" w:themeColor="text1"/>
      <w:sz w:val="24"/>
      <w:szCs w:val="24"/>
    </w:rPr>
  </w:style>
  <w:style w:type="character" w:customStyle="1" w:styleId="Heading2Char">
    <w:name w:val="Heading 2 Char"/>
    <w:basedOn w:val="DefaultParagraphFont"/>
    <w:link w:val="Heading2"/>
    <w:semiHidden/>
    <w:rsid w:val="00451D48"/>
    <w:rPr>
      <w:rFonts w:asciiTheme="majorHAnsi" w:eastAsiaTheme="majorEastAsia" w:hAnsiTheme="majorHAnsi" w:cstheme="majorBidi"/>
      <w:color w:val="2F5496" w:themeColor="accent1" w:themeShade="BF"/>
      <w:sz w:val="26"/>
      <w:szCs w:val="26"/>
    </w:rPr>
  </w:style>
  <w:style w:type="character" w:styleId="FootnoteReference">
    <w:name w:val="footnote reference"/>
    <w:uiPriority w:val="99"/>
    <w:semiHidden/>
    <w:rsid w:val="00451D48"/>
  </w:style>
  <w:style w:type="paragraph" w:styleId="BodyTextIndent">
    <w:name w:val="Body Text Indent"/>
    <w:basedOn w:val="Normal"/>
    <w:link w:val="BodyTextIndentChar"/>
    <w:rsid w:val="00451D48"/>
    <w:pPr>
      <w:tabs>
        <w:tab w:val="right" w:pos="9936"/>
      </w:tabs>
      <w:spacing w:line="240" w:lineRule="exact"/>
      <w:ind w:left="810"/>
    </w:pPr>
  </w:style>
  <w:style w:type="character" w:customStyle="1" w:styleId="BodyTextIndentChar">
    <w:name w:val="Body Text Indent Char"/>
    <w:basedOn w:val="DefaultParagraphFont"/>
    <w:link w:val="BodyTextIndent"/>
    <w:rsid w:val="00451D48"/>
    <w:rPr>
      <w:rFonts w:ascii="CG Times" w:eastAsia="Times New Roman" w:hAnsi="CG Times" w:cs="Times New Roman"/>
      <w:sz w:val="24"/>
      <w:szCs w:val="24"/>
    </w:rPr>
  </w:style>
  <w:style w:type="paragraph" w:styleId="BodyTextIndent2">
    <w:name w:val="Body Text Indent 2"/>
    <w:basedOn w:val="Normal"/>
    <w:link w:val="BodyTextIndent2Char"/>
    <w:rsid w:val="00451D48"/>
    <w:pPr>
      <w:keepNext/>
      <w:keepLines/>
      <w:tabs>
        <w:tab w:val="left" w:pos="5130"/>
      </w:tabs>
      <w:spacing w:line="240" w:lineRule="exact"/>
      <w:ind w:left="720"/>
    </w:pPr>
  </w:style>
  <w:style w:type="character" w:customStyle="1" w:styleId="BodyTextIndent2Char">
    <w:name w:val="Body Text Indent 2 Char"/>
    <w:basedOn w:val="DefaultParagraphFont"/>
    <w:link w:val="BodyTextIndent2"/>
    <w:rsid w:val="00451D48"/>
    <w:rPr>
      <w:rFonts w:ascii="CG Times" w:eastAsia="Times New Roman" w:hAnsi="CG Times" w:cs="Times New Roman"/>
      <w:sz w:val="24"/>
      <w:szCs w:val="24"/>
    </w:rPr>
  </w:style>
  <w:style w:type="paragraph" w:styleId="BalloonText">
    <w:name w:val="Balloon Text"/>
    <w:basedOn w:val="Normal"/>
    <w:link w:val="BalloonTextChar"/>
    <w:semiHidden/>
    <w:rsid w:val="00451D48"/>
    <w:rPr>
      <w:rFonts w:ascii="Tahoma" w:hAnsi="Tahoma" w:cs="GoudyOlSt BT"/>
      <w:sz w:val="16"/>
      <w:szCs w:val="16"/>
    </w:rPr>
  </w:style>
  <w:style w:type="character" w:customStyle="1" w:styleId="BalloonTextChar">
    <w:name w:val="Balloon Text Char"/>
    <w:basedOn w:val="DefaultParagraphFont"/>
    <w:link w:val="BalloonText"/>
    <w:semiHidden/>
    <w:rsid w:val="00451D48"/>
    <w:rPr>
      <w:rFonts w:ascii="Tahoma" w:eastAsia="Times New Roman" w:hAnsi="Tahoma" w:cs="GoudyOlSt BT"/>
      <w:sz w:val="16"/>
      <w:szCs w:val="16"/>
    </w:rPr>
  </w:style>
  <w:style w:type="character" w:styleId="Hyperlink">
    <w:name w:val="Hyperlink"/>
    <w:basedOn w:val="DefaultParagraphFont"/>
    <w:rsid w:val="00451D48"/>
    <w:rPr>
      <w:rFonts w:ascii="Arial" w:hAnsi="Arial" w:cs="Arial" w:hint="default"/>
      <w:color w:val="005A9C"/>
      <w:u w:val="single"/>
    </w:rPr>
  </w:style>
  <w:style w:type="paragraph" w:styleId="NormalWeb">
    <w:name w:val="Normal (Web)"/>
    <w:basedOn w:val="Normal"/>
    <w:rsid w:val="00451D4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451D48"/>
    <w:rPr>
      <w:color w:val="800080"/>
      <w:u w:val="single"/>
    </w:rPr>
  </w:style>
  <w:style w:type="paragraph" w:styleId="Footer">
    <w:name w:val="footer"/>
    <w:basedOn w:val="Normal"/>
    <w:link w:val="FooterChar"/>
    <w:rsid w:val="00451D48"/>
    <w:pPr>
      <w:tabs>
        <w:tab w:val="center" w:pos="4320"/>
        <w:tab w:val="right" w:pos="8640"/>
      </w:tabs>
    </w:pPr>
  </w:style>
  <w:style w:type="character" w:customStyle="1" w:styleId="FooterChar">
    <w:name w:val="Footer Char"/>
    <w:basedOn w:val="DefaultParagraphFont"/>
    <w:link w:val="Footer"/>
    <w:rsid w:val="00451D48"/>
    <w:rPr>
      <w:rFonts w:ascii="CG Times" w:eastAsia="Times New Roman" w:hAnsi="CG Times" w:cs="Times New Roman"/>
      <w:sz w:val="24"/>
      <w:szCs w:val="24"/>
    </w:rPr>
  </w:style>
  <w:style w:type="character" w:styleId="PageNumber">
    <w:name w:val="page number"/>
    <w:basedOn w:val="DefaultParagraphFont"/>
    <w:rsid w:val="00451D48"/>
  </w:style>
  <w:style w:type="character" w:customStyle="1" w:styleId="EmailStyle24">
    <w:name w:val="EmailStyle24"/>
    <w:basedOn w:val="DefaultParagraphFont"/>
    <w:semiHidden/>
    <w:rsid w:val="00451D48"/>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451D4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451D48"/>
    <w:rPr>
      <w:rFonts w:ascii="CG Times" w:hAnsi="CG Times"/>
      <w:i/>
      <w:noProof w:val="0"/>
      <w:sz w:val="22"/>
      <w:szCs w:val="22"/>
      <w:lang w:val="en-US" w:eastAsia="en-US" w:bidi="ar-SA"/>
    </w:rPr>
  </w:style>
  <w:style w:type="paragraph" w:styleId="BodyText">
    <w:name w:val="Body Text"/>
    <w:basedOn w:val="ListParagraph"/>
    <w:link w:val="BodyTextChar"/>
    <w:rsid w:val="00451D48"/>
    <w:pPr>
      <w:spacing w:after="120"/>
    </w:pPr>
    <w:rPr>
      <w:rFonts w:asciiTheme="majorBidi" w:hAnsiTheme="majorBidi" w:cstheme="majorBidi"/>
      <w:color w:val="000000" w:themeColor="text1"/>
      <w:sz w:val="24"/>
      <w:szCs w:val="24"/>
    </w:rPr>
  </w:style>
  <w:style w:type="character" w:customStyle="1" w:styleId="BodyTextChar">
    <w:name w:val="Body Text Char"/>
    <w:basedOn w:val="DefaultParagraphFont"/>
    <w:link w:val="BodyText"/>
    <w:rsid w:val="00451D48"/>
    <w:rPr>
      <w:rFonts w:asciiTheme="majorBidi" w:hAnsiTheme="majorBidi" w:cstheme="majorBidi"/>
      <w:color w:val="000000" w:themeColor="text1"/>
      <w:sz w:val="24"/>
      <w:szCs w:val="24"/>
    </w:rPr>
  </w:style>
  <w:style w:type="table" w:styleId="TableGrid">
    <w:name w:val="Table Grid"/>
    <w:basedOn w:val="TableNormal"/>
    <w:uiPriority w:val="59"/>
    <w:rsid w:val="00451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451D48"/>
    <w:pPr>
      <w:keepNext/>
      <w:widowControl/>
      <w:numPr>
        <w:numId w:val="1"/>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451D48"/>
    <w:rPr>
      <w:rFonts w:ascii="Times New Roman" w:eastAsia="Times New Roman" w:hAnsi="Times New Roman" w:cs="Times New Roman"/>
      <w:b/>
      <w:bCs/>
      <w:sz w:val="28"/>
      <w:szCs w:val="28"/>
    </w:rPr>
  </w:style>
  <w:style w:type="paragraph" w:styleId="List">
    <w:name w:val="List"/>
    <w:basedOn w:val="Normal"/>
    <w:rsid w:val="00451D48"/>
    <w:pPr>
      <w:ind w:left="360" w:hanging="360"/>
    </w:pPr>
  </w:style>
  <w:style w:type="paragraph" w:styleId="FootnoteText">
    <w:name w:val="footnote text"/>
    <w:basedOn w:val="Normal"/>
    <w:link w:val="FootnoteTextChar"/>
    <w:semiHidden/>
    <w:rsid w:val="00451D48"/>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semiHidden/>
    <w:rsid w:val="00451D48"/>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451D48"/>
    <w:rPr>
      <w:sz w:val="16"/>
      <w:szCs w:val="16"/>
    </w:rPr>
  </w:style>
  <w:style w:type="paragraph" w:styleId="CommentText">
    <w:name w:val="annotation text"/>
    <w:basedOn w:val="Normal"/>
    <w:link w:val="CommentTextChar"/>
    <w:uiPriority w:val="99"/>
    <w:rsid w:val="00451D48"/>
    <w:rPr>
      <w:sz w:val="20"/>
      <w:szCs w:val="20"/>
    </w:rPr>
  </w:style>
  <w:style w:type="character" w:customStyle="1" w:styleId="CommentTextChar">
    <w:name w:val="Comment Text Char"/>
    <w:basedOn w:val="DefaultParagraphFont"/>
    <w:link w:val="CommentText"/>
    <w:uiPriority w:val="99"/>
    <w:rsid w:val="00451D48"/>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451D48"/>
    <w:rPr>
      <w:b/>
      <w:bCs/>
    </w:rPr>
  </w:style>
  <w:style w:type="character" w:customStyle="1" w:styleId="CommentSubjectChar">
    <w:name w:val="Comment Subject Char"/>
    <w:basedOn w:val="CommentTextChar"/>
    <w:link w:val="CommentSubject"/>
    <w:semiHidden/>
    <w:rsid w:val="00451D48"/>
    <w:rPr>
      <w:rFonts w:ascii="CG Times" w:eastAsia="Times New Roman" w:hAnsi="CG Times" w:cs="Times New Roman"/>
      <w:b/>
      <w:bCs/>
      <w:sz w:val="20"/>
      <w:szCs w:val="20"/>
    </w:rPr>
  </w:style>
  <w:style w:type="paragraph" w:styleId="HTMLPreformatted">
    <w:name w:val="HTML Preformatted"/>
    <w:basedOn w:val="Normal"/>
    <w:link w:val="HTMLPreformattedChar"/>
    <w:rsid w:val="00451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451D48"/>
    <w:rPr>
      <w:rFonts w:ascii="Courier New" w:eastAsia="Courier New" w:hAnsi="Courier New" w:cs="Courier New"/>
      <w:sz w:val="20"/>
      <w:szCs w:val="20"/>
    </w:rPr>
  </w:style>
  <w:style w:type="character" w:customStyle="1" w:styleId="voice">
    <w:name w:val="voice"/>
    <w:basedOn w:val="DefaultParagraphFont"/>
    <w:rsid w:val="00451D48"/>
  </w:style>
  <w:style w:type="paragraph" w:styleId="Header">
    <w:name w:val="header"/>
    <w:basedOn w:val="Normal"/>
    <w:link w:val="HeaderChar"/>
    <w:uiPriority w:val="99"/>
    <w:rsid w:val="00451D48"/>
    <w:pPr>
      <w:tabs>
        <w:tab w:val="center" w:pos="4320"/>
        <w:tab w:val="right" w:pos="8640"/>
      </w:tabs>
    </w:pPr>
  </w:style>
  <w:style w:type="character" w:customStyle="1" w:styleId="HeaderChar">
    <w:name w:val="Header Char"/>
    <w:basedOn w:val="DefaultParagraphFont"/>
    <w:link w:val="Header"/>
    <w:uiPriority w:val="99"/>
    <w:rsid w:val="00451D48"/>
    <w:rPr>
      <w:rFonts w:ascii="CG Times" w:eastAsia="Times New Roman" w:hAnsi="CG Times" w:cs="Times New Roman"/>
      <w:sz w:val="24"/>
      <w:szCs w:val="24"/>
    </w:rPr>
  </w:style>
  <w:style w:type="character" w:customStyle="1" w:styleId="smallp21">
    <w:name w:val="smallp21"/>
    <w:basedOn w:val="DefaultParagraphFont"/>
    <w:rsid w:val="00451D48"/>
    <w:rPr>
      <w:i w:val="0"/>
      <w:iCs w:val="0"/>
    </w:rPr>
  </w:style>
  <w:style w:type="character" w:styleId="Emphasis">
    <w:name w:val="Emphasis"/>
    <w:basedOn w:val="DefaultParagraphFont"/>
    <w:uiPriority w:val="20"/>
    <w:qFormat/>
    <w:rsid w:val="00451D48"/>
    <w:rPr>
      <w:i/>
      <w:iCs/>
    </w:rPr>
  </w:style>
  <w:style w:type="character" w:styleId="Strong">
    <w:name w:val="Strong"/>
    <w:basedOn w:val="DefaultParagraphFont"/>
    <w:qFormat/>
    <w:rsid w:val="00451D48"/>
    <w:rPr>
      <w:b/>
      <w:bCs/>
    </w:rPr>
  </w:style>
  <w:style w:type="paragraph" w:customStyle="1" w:styleId="r-pubs-pres">
    <w:name w:val="r-pubs-pres"/>
    <w:basedOn w:val="Normal"/>
    <w:rsid w:val="00451D48"/>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451D48"/>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451D48"/>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451D48"/>
    <w:rPr>
      <w:rFonts w:ascii="Times New Roman" w:eastAsia="Times New Roman" w:hAnsi="Times New Roman" w:cs="Times New Roman"/>
      <w:sz w:val="24"/>
      <w:szCs w:val="24"/>
    </w:rPr>
  </w:style>
  <w:style w:type="paragraph" w:customStyle="1" w:styleId="Default">
    <w:name w:val="Default"/>
    <w:rsid w:val="00451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451D48"/>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451D48"/>
    <w:rPr>
      <w:rFonts w:ascii="Kabel Bk BT" w:eastAsia="Calibri" w:hAnsi="Kabel Bk BT" w:cs="Times New Roman"/>
      <w:sz w:val="24"/>
      <w:szCs w:val="24"/>
    </w:rPr>
  </w:style>
  <w:style w:type="paragraph" w:customStyle="1" w:styleId="ReferenceCitation">
    <w:name w:val="Reference Citation"/>
    <w:basedOn w:val="Normal"/>
    <w:rsid w:val="00451D48"/>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451D48"/>
    <w:pPr>
      <w:spacing w:after="0" w:line="240" w:lineRule="auto"/>
    </w:pPr>
    <w:rPr>
      <w:rFonts w:ascii="CG Times" w:eastAsia="Times New Roman" w:hAnsi="CG Times" w:cs="Times New Roman"/>
      <w:sz w:val="24"/>
      <w:szCs w:val="24"/>
    </w:rPr>
  </w:style>
  <w:style w:type="paragraph" w:styleId="ListParagraph">
    <w:name w:val="List Paragraph"/>
    <w:basedOn w:val="Normal"/>
    <w:uiPriority w:val="34"/>
    <w:qFormat/>
    <w:rsid w:val="00451D48"/>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451D48"/>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451D4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451D4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451D48"/>
    <w:rPr>
      <w:rFonts w:asciiTheme="majorBidi" w:hAnsiTheme="majorBidi" w:cstheme="majorBidi"/>
      <w:color w:val="000000" w:themeColor="text1"/>
      <w:sz w:val="20"/>
    </w:rPr>
  </w:style>
  <w:style w:type="paragraph" w:customStyle="1" w:styleId="TableTitle">
    <w:name w:val="TableTitle"/>
    <w:basedOn w:val="Normal"/>
    <w:qFormat/>
    <w:rsid w:val="00451D48"/>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451D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0">
    <w:name w:val="Heading2"/>
    <w:basedOn w:val="Normal"/>
    <w:qFormat/>
    <w:rsid w:val="00451D4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451D48"/>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451D48"/>
    <w:rPr>
      <w:sz w:val="20"/>
    </w:rPr>
  </w:style>
  <w:style w:type="paragraph" w:customStyle="1" w:styleId="TableBullett">
    <w:name w:val="TableBullett"/>
    <w:basedOn w:val="Tabletext"/>
    <w:qFormat/>
    <w:rsid w:val="00451D48"/>
    <w:pPr>
      <w:numPr>
        <w:numId w:val="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451D48"/>
    <w:pPr>
      <w:numPr>
        <w:numId w:val="2"/>
      </w:numPr>
      <w:ind w:left="1267"/>
    </w:pPr>
  </w:style>
  <w:style w:type="paragraph" w:customStyle="1" w:styleId="NormalCentered">
    <w:name w:val="Normal Centered"/>
    <w:basedOn w:val="Normal"/>
    <w:uiPriority w:val="99"/>
    <w:rsid w:val="00451D48"/>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451D48"/>
    <w:rPr>
      <w:rFonts w:ascii="Times New Roman" w:eastAsia="Times New Roman" w:hAnsi="Times New Roman" w:cs="Times New Roman"/>
      <w:sz w:val="24"/>
      <w:szCs w:val="24"/>
    </w:rPr>
  </w:style>
  <w:style w:type="paragraph" w:styleId="ListBullet">
    <w:name w:val="List Bullet"/>
    <w:basedOn w:val="Normal"/>
    <w:rsid w:val="00451D48"/>
    <w:pPr>
      <w:widowControl/>
      <w:numPr>
        <w:numId w:val="4"/>
      </w:numPr>
      <w:autoSpaceDE/>
      <w:autoSpaceDN/>
      <w:adjustRightInd/>
      <w:spacing w:after="120"/>
    </w:pPr>
    <w:rPr>
      <w:rFonts w:ascii="Times New Roman" w:hAnsi="Times New Roman"/>
    </w:rPr>
  </w:style>
  <w:style w:type="paragraph" w:customStyle="1" w:styleId="Level1">
    <w:name w:val="Level 1"/>
    <w:basedOn w:val="Normal"/>
    <w:uiPriority w:val="99"/>
    <w:rsid w:val="00451D48"/>
    <w:pPr>
      <w:autoSpaceDE/>
      <w:autoSpaceDN/>
      <w:adjustRightInd/>
    </w:pPr>
    <w:rPr>
      <w:rFonts w:ascii="Times New Roman" w:hAnsi="Times New Roman"/>
      <w:szCs w:val="20"/>
    </w:rPr>
  </w:style>
  <w:style w:type="character" w:customStyle="1" w:styleId="volume">
    <w:name w:val="volume"/>
    <w:basedOn w:val="DefaultParagraphFont"/>
    <w:rsid w:val="00451D48"/>
  </w:style>
  <w:style w:type="character" w:customStyle="1" w:styleId="page">
    <w:name w:val="page"/>
    <w:basedOn w:val="DefaultParagraphFont"/>
    <w:rsid w:val="00451D48"/>
  </w:style>
  <w:style w:type="paragraph" w:customStyle="1" w:styleId="a">
    <w:name w:val=""/>
    <w:rsid w:val="00451D48"/>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Title1">
    <w:name w:val="Title1"/>
    <w:basedOn w:val="DefaultParagraphFont"/>
    <w:rsid w:val="00451D48"/>
  </w:style>
  <w:style w:type="character" w:customStyle="1" w:styleId="UnresolvedMention1">
    <w:name w:val="Unresolved Mention1"/>
    <w:basedOn w:val="DefaultParagraphFont"/>
    <w:uiPriority w:val="99"/>
    <w:semiHidden/>
    <w:unhideWhenUsed/>
    <w:rsid w:val="00451D48"/>
    <w:rPr>
      <w:color w:val="808080"/>
      <w:shd w:val="clear" w:color="auto" w:fill="E6E6E6"/>
    </w:rPr>
  </w:style>
  <w:style w:type="paragraph" w:customStyle="1" w:styleId="TableText1">
    <w:name w:val="Table Text"/>
    <w:basedOn w:val="Normal"/>
    <w:qFormat/>
    <w:rsid w:val="00451D48"/>
    <w:pPr>
      <w:widowControl/>
      <w:autoSpaceDE/>
      <w:autoSpaceDN/>
      <w:adjustRightInd/>
    </w:pPr>
    <w:rPr>
      <w:rFonts w:ascii="Times New Roman" w:hAnsi="Times New Roman"/>
      <w:color w:val="000000"/>
      <w:sz w:val="20"/>
      <w:szCs w:val="22"/>
    </w:rPr>
  </w:style>
  <w:style w:type="table" w:customStyle="1" w:styleId="aNSDUH">
    <w:name w:val="aNSDUH"/>
    <w:basedOn w:val="TableNormal"/>
    <w:uiPriority w:val="99"/>
    <w:rsid w:val="00451D48"/>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tblPr/>
      <w:tcPr>
        <w:vAlign w:val="bottom"/>
      </w:tcPr>
    </w:tblStylePr>
    <w:tblStylePr w:type="band1Horz">
      <w:tblPr/>
      <w:tcPr>
        <w:shd w:val="clear" w:color="auto" w:fill="D9D9D9" w:themeFill="background1" w:themeFillShade="D9"/>
      </w:tcPr>
    </w:tblStylePr>
  </w:style>
  <w:style w:type="paragraph" w:customStyle="1" w:styleId="TableText-Ind">
    <w:name w:val="Table Text-Ind"/>
    <w:basedOn w:val="Normal"/>
    <w:qFormat/>
    <w:rsid w:val="00451D48"/>
    <w:pPr>
      <w:widowControl/>
      <w:autoSpaceDE/>
      <w:autoSpaceDN/>
      <w:adjustRightInd/>
      <w:ind w:left="162"/>
    </w:pPr>
    <w:rPr>
      <w:rFonts w:ascii="Times New Roman" w:hAnsi="Times New Roman"/>
      <w:i/>
      <w:sz w:val="20"/>
    </w:rPr>
  </w:style>
  <w:style w:type="character" w:customStyle="1" w:styleId="ablue">
    <w:name w:val="ablue"/>
    <w:basedOn w:val="DefaultParagraphFont"/>
    <w:uiPriority w:val="1"/>
    <w:qFormat/>
    <w:rsid w:val="00451D48"/>
    <w:rPr>
      <w:color w:val="3333FF"/>
    </w:rPr>
  </w:style>
  <w:style w:type="paragraph" w:customStyle="1" w:styleId="TableTitle0">
    <w:name w:val="Table Title"/>
    <w:basedOn w:val="Caption"/>
    <w:rsid w:val="00451D48"/>
    <w:pPr>
      <w:keepNext/>
      <w:keepLines/>
      <w:widowControl/>
      <w:autoSpaceDE/>
      <w:autoSpaceDN/>
      <w:adjustRightInd/>
      <w:spacing w:before="240" w:after="120"/>
      <w:ind w:left="990" w:hanging="990"/>
    </w:pPr>
    <w:rPr>
      <w:rFonts w:ascii="Times New Roman" w:hAnsi="Times New Roman"/>
      <w:b/>
      <w:bCs/>
      <w:i w:val="0"/>
      <w:iCs w:val="0"/>
      <w:color w:val="auto"/>
      <w:sz w:val="22"/>
      <w:szCs w:val="20"/>
    </w:rPr>
  </w:style>
  <w:style w:type="paragraph" w:customStyle="1" w:styleId="Tablebullet">
    <w:name w:val="Table bullet"/>
    <w:basedOn w:val="Normal"/>
    <w:qFormat/>
    <w:rsid w:val="00451D48"/>
    <w:pPr>
      <w:widowControl/>
      <w:numPr>
        <w:numId w:val="5"/>
      </w:numPr>
      <w:autoSpaceDE/>
      <w:autoSpaceDN/>
      <w:adjustRightInd/>
    </w:pPr>
    <w:rPr>
      <w:rFonts w:ascii="Times New Roman" w:hAnsi="Times New Roman"/>
      <w:sz w:val="20"/>
    </w:rPr>
  </w:style>
  <w:style w:type="paragraph" w:styleId="Caption">
    <w:name w:val="caption"/>
    <w:basedOn w:val="Normal"/>
    <w:next w:val="Normal"/>
    <w:semiHidden/>
    <w:unhideWhenUsed/>
    <w:qFormat/>
    <w:rsid w:val="00451D48"/>
    <w:pPr>
      <w:spacing w:after="200"/>
    </w:pPr>
    <w:rPr>
      <w:i/>
      <w:iCs/>
      <w:color w:val="44546A" w:themeColor="text2"/>
      <w:sz w:val="18"/>
      <w:szCs w:val="18"/>
    </w:rPr>
  </w:style>
  <w:style w:type="character" w:customStyle="1" w:styleId="Mention1">
    <w:name w:val="Mention1"/>
    <w:basedOn w:val="DefaultParagraphFont"/>
    <w:uiPriority w:val="99"/>
    <w:semiHidden/>
    <w:unhideWhenUsed/>
    <w:rsid w:val="00451D48"/>
    <w:rPr>
      <w:color w:val="2B579A"/>
      <w:shd w:val="clear" w:color="auto" w:fill="E6E6E6"/>
    </w:rPr>
  </w:style>
  <w:style w:type="table" w:customStyle="1" w:styleId="GridTable1LightAccent6">
    <w:name w:val="Grid Table 1 Light Accent 6"/>
    <w:basedOn w:val="TableNormal"/>
    <w:uiPriority w:val="46"/>
    <w:rsid w:val="00451D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451D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D48"/>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next w:val="Normal"/>
    <w:link w:val="Heading1Char"/>
    <w:qFormat/>
    <w:rsid w:val="00451D48"/>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paragraph" w:styleId="Heading2">
    <w:name w:val="heading 2"/>
    <w:basedOn w:val="Normal"/>
    <w:next w:val="Normal"/>
    <w:link w:val="Heading2Char"/>
    <w:semiHidden/>
    <w:unhideWhenUsed/>
    <w:qFormat/>
    <w:rsid w:val="00451D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D48"/>
    <w:rPr>
      <w:rFonts w:asciiTheme="majorBidi" w:eastAsia="Times New Roman" w:hAnsiTheme="majorBidi" w:cstheme="majorBidi"/>
      <w:b/>
      <w:color w:val="000000" w:themeColor="text1"/>
      <w:sz w:val="24"/>
      <w:szCs w:val="24"/>
    </w:rPr>
  </w:style>
  <w:style w:type="character" w:customStyle="1" w:styleId="Heading2Char">
    <w:name w:val="Heading 2 Char"/>
    <w:basedOn w:val="DefaultParagraphFont"/>
    <w:link w:val="Heading2"/>
    <w:semiHidden/>
    <w:rsid w:val="00451D48"/>
    <w:rPr>
      <w:rFonts w:asciiTheme="majorHAnsi" w:eastAsiaTheme="majorEastAsia" w:hAnsiTheme="majorHAnsi" w:cstheme="majorBidi"/>
      <w:color w:val="2F5496" w:themeColor="accent1" w:themeShade="BF"/>
      <w:sz w:val="26"/>
      <w:szCs w:val="26"/>
    </w:rPr>
  </w:style>
  <w:style w:type="character" w:styleId="FootnoteReference">
    <w:name w:val="footnote reference"/>
    <w:uiPriority w:val="99"/>
    <w:semiHidden/>
    <w:rsid w:val="00451D48"/>
  </w:style>
  <w:style w:type="paragraph" w:styleId="BodyTextIndent">
    <w:name w:val="Body Text Indent"/>
    <w:basedOn w:val="Normal"/>
    <w:link w:val="BodyTextIndentChar"/>
    <w:rsid w:val="00451D48"/>
    <w:pPr>
      <w:tabs>
        <w:tab w:val="right" w:pos="9936"/>
      </w:tabs>
      <w:spacing w:line="240" w:lineRule="exact"/>
      <w:ind w:left="810"/>
    </w:pPr>
  </w:style>
  <w:style w:type="character" w:customStyle="1" w:styleId="BodyTextIndentChar">
    <w:name w:val="Body Text Indent Char"/>
    <w:basedOn w:val="DefaultParagraphFont"/>
    <w:link w:val="BodyTextIndent"/>
    <w:rsid w:val="00451D48"/>
    <w:rPr>
      <w:rFonts w:ascii="CG Times" w:eastAsia="Times New Roman" w:hAnsi="CG Times" w:cs="Times New Roman"/>
      <w:sz w:val="24"/>
      <w:szCs w:val="24"/>
    </w:rPr>
  </w:style>
  <w:style w:type="paragraph" w:styleId="BodyTextIndent2">
    <w:name w:val="Body Text Indent 2"/>
    <w:basedOn w:val="Normal"/>
    <w:link w:val="BodyTextIndent2Char"/>
    <w:rsid w:val="00451D48"/>
    <w:pPr>
      <w:keepNext/>
      <w:keepLines/>
      <w:tabs>
        <w:tab w:val="left" w:pos="5130"/>
      </w:tabs>
      <w:spacing w:line="240" w:lineRule="exact"/>
      <w:ind w:left="720"/>
    </w:pPr>
  </w:style>
  <w:style w:type="character" w:customStyle="1" w:styleId="BodyTextIndent2Char">
    <w:name w:val="Body Text Indent 2 Char"/>
    <w:basedOn w:val="DefaultParagraphFont"/>
    <w:link w:val="BodyTextIndent2"/>
    <w:rsid w:val="00451D48"/>
    <w:rPr>
      <w:rFonts w:ascii="CG Times" w:eastAsia="Times New Roman" w:hAnsi="CG Times" w:cs="Times New Roman"/>
      <w:sz w:val="24"/>
      <w:szCs w:val="24"/>
    </w:rPr>
  </w:style>
  <w:style w:type="paragraph" w:styleId="BalloonText">
    <w:name w:val="Balloon Text"/>
    <w:basedOn w:val="Normal"/>
    <w:link w:val="BalloonTextChar"/>
    <w:semiHidden/>
    <w:rsid w:val="00451D48"/>
    <w:rPr>
      <w:rFonts w:ascii="Tahoma" w:hAnsi="Tahoma" w:cs="GoudyOlSt BT"/>
      <w:sz w:val="16"/>
      <w:szCs w:val="16"/>
    </w:rPr>
  </w:style>
  <w:style w:type="character" w:customStyle="1" w:styleId="BalloonTextChar">
    <w:name w:val="Balloon Text Char"/>
    <w:basedOn w:val="DefaultParagraphFont"/>
    <w:link w:val="BalloonText"/>
    <w:semiHidden/>
    <w:rsid w:val="00451D48"/>
    <w:rPr>
      <w:rFonts w:ascii="Tahoma" w:eastAsia="Times New Roman" w:hAnsi="Tahoma" w:cs="GoudyOlSt BT"/>
      <w:sz w:val="16"/>
      <w:szCs w:val="16"/>
    </w:rPr>
  </w:style>
  <w:style w:type="character" w:styleId="Hyperlink">
    <w:name w:val="Hyperlink"/>
    <w:basedOn w:val="DefaultParagraphFont"/>
    <w:rsid w:val="00451D48"/>
    <w:rPr>
      <w:rFonts w:ascii="Arial" w:hAnsi="Arial" w:cs="Arial" w:hint="default"/>
      <w:color w:val="005A9C"/>
      <w:u w:val="single"/>
    </w:rPr>
  </w:style>
  <w:style w:type="paragraph" w:styleId="NormalWeb">
    <w:name w:val="Normal (Web)"/>
    <w:basedOn w:val="Normal"/>
    <w:rsid w:val="00451D4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451D48"/>
    <w:rPr>
      <w:color w:val="800080"/>
      <w:u w:val="single"/>
    </w:rPr>
  </w:style>
  <w:style w:type="paragraph" w:styleId="Footer">
    <w:name w:val="footer"/>
    <w:basedOn w:val="Normal"/>
    <w:link w:val="FooterChar"/>
    <w:rsid w:val="00451D48"/>
    <w:pPr>
      <w:tabs>
        <w:tab w:val="center" w:pos="4320"/>
        <w:tab w:val="right" w:pos="8640"/>
      </w:tabs>
    </w:pPr>
  </w:style>
  <w:style w:type="character" w:customStyle="1" w:styleId="FooterChar">
    <w:name w:val="Footer Char"/>
    <w:basedOn w:val="DefaultParagraphFont"/>
    <w:link w:val="Footer"/>
    <w:rsid w:val="00451D48"/>
    <w:rPr>
      <w:rFonts w:ascii="CG Times" w:eastAsia="Times New Roman" w:hAnsi="CG Times" w:cs="Times New Roman"/>
      <w:sz w:val="24"/>
      <w:szCs w:val="24"/>
    </w:rPr>
  </w:style>
  <w:style w:type="character" w:styleId="PageNumber">
    <w:name w:val="page number"/>
    <w:basedOn w:val="DefaultParagraphFont"/>
    <w:rsid w:val="00451D48"/>
  </w:style>
  <w:style w:type="character" w:customStyle="1" w:styleId="EmailStyle24">
    <w:name w:val="EmailStyle24"/>
    <w:basedOn w:val="DefaultParagraphFont"/>
    <w:semiHidden/>
    <w:rsid w:val="00451D48"/>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451D4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451D48"/>
    <w:rPr>
      <w:rFonts w:ascii="CG Times" w:hAnsi="CG Times"/>
      <w:i/>
      <w:noProof w:val="0"/>
      <w:sz w:val="22"/>
      <w:szCs w:val="22"/>
      <w:lang w:val="en-US" w:eastAsia="en-US" w:bidi="ar-SA"/>
    </w:rPr>
  </w:style>
  <w:style w:type="paragraph" w:styleId="BodyText">
    <w:name w:val="Body Text"/>
    <w:basedOn w:val="ListParagraph"/>
    <w:link w:val="BodyTextChar"/>
    <w:rsid w:val="00451D48"/>
    <w:pPr>
      <w:spacing w:after="120"/>
    </w:pPr>
    <w:rPr>
      <w:rFonts w:asciiTheme="majorBidi" w:hAnsiTheme="majorBidi" w:cstheme="majorBidi"/>
      <w:color w:val="000000" w:themeColor="text1"/>
      <w:sz w:val="24"/>
      <w:szCs w:val="24"/>
    </w:rPr>
  </w:style>
  <w:style w:type="character" w:customStyle="1" w:styleId="BodyTextChar">
    <w:name w:val="Body Text Char"/>
    <w:basedOn w:val="DefaultParagraphFont"/>
    <w:link w:val="BodyText"/>
    <w:rsid w:val="00451D48"/>
    <w:rPr>
      <w:rFonts w:asciiTheme="majorBidi" w:hAnsiTheme="majorBidi" w:cstheme="majorBidi"/>
      <w:color w:val="000000" w:themeColor="text1"/>
      <w:sz w:val="24"/>
      <w:szCs w:val="24"/>
    </w:rPr>
  </w:style>
  <w:style w:type="table" w:styleId="TableGrid">
    <w:name w:val="Table Grid"/>
    <w:basedOn w:val="TableNormal"/>
    <w:uiPriority w:val="59"/>
    <w:rsid w:val="00451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451D48"/>
    <w:pPr>
      <w:keepNext/>
      <w:widowControl/>
      <w:numPr>
        <w:numId w:val="1"/>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451D48"/>
    <w:rPr>
      <w:rFonts w:ascii="Times New Roman" w:eastAsia="Times New Roman" w:hAnsi="Times New Roman" w:cs="Times New Roman"/>
      <w:b/>
      <w:bCs/>
      <w:sz w:val="28"/>
      <w:szCs w:val="28"/>
    </w:rPr>
  </w:style>
  <w:style w:type="paragraph" w:styleId="List">
    <w:name w:val="List"/>
    <w:basedOn w:val="Normal"/>
    <w:rsid w:val="00451D48"/>
    <w:pPr>
      <w:ind w:left="360" w:hanging="360"/>
    </w:pPr>
  </w:style>
  <w:style w:type="paragraph" w:styleId="FootnoteText">
    <w:name w:val="footnote text"/>
    <w:basedOn w:val="Normal"/>
    <w:link w:val="FootnoteTextChar"/>
    <w:semiHidden/>
    <w:rsid w:val="00451D48"/>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semiHidden/>
    <w:rsid w:val="00451D48"/>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451D48"/>
    <w:rPr>
      <w:sz w:val="16"/>
      <w:szCs w:val="16"/>
    </w:rPr>
  </w:style>
  <w:style w:type="paragraph" w:styleId="CommentText">
    <w:name w:val="annotation text"/>
    <w:basedOn w:val="Normal"/>
    <w:link w:val="CommentTextChar"/>
    <w:uiPriority w:val="99"/>
    <w:rsid w:val="00451D48"/>
    <w:rPr>
      <w:sz w:val="20"/>
      <w:szCs w:val="20"/>
    </w:rPr>
  </w:style>
  <w:style w:type="character" w:customStyle="1" w:styleId="CommentTextChar">
    <w:name w:val="Comment Text Char"/>
    <w:basedOn w:val="DefaultParagraphFont"/>
    <w:link w:val="CommentText"/>
    <w:uiPriority w:val="99"/>
    <w:rsid w:val="00451D48"/>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451D48"/>
    <w:rPr>
      <w:b/>
      <w:bCs/>
    </w:rPr>
  </w:style>
  <w:style w:type="character" w:customStyle="1" w:styleId="CommentSubjectChar">
    <w:name w:val="Comment Subject Char"/>
    <w:basedOn w:val="CommentTextChar"/>
    <w:link w:val="CommentSubject"/>
    <w:semiHidden/>
    <w:rsid w:val="00451D48"/>
    <w:rPr>
      <w:rFonts w:ascii="CG Times" w:eastAsia="Times New Roman" w:hAnsi="CG Times" w:cs="Times New Roman"/>
      <w:b/>
      <w:bCs/>
      <w:sz w:val="20"/>
      <w:szCs w:val="20"/>
    </w:rPr>
  </w:style>
  <w:style w:type="paragraph" w:styleId="HTMLPreformatted">
    <w:name w:val="HTML Preformatted"/>
    <w:basedOn w:val="Normal"/>
    <w:link w:val="HTMLPreformattedChar"/>
    <w:rsid w:val="00451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451D48"/>
    <w:rPr>
      <w:rFonts w:ascii="Courier New" w:eastAsia="Courier New" w:hAnsi="Courier New" w:cs="Courier New"/>
      <w:sz w:val="20"/>
      <w:szCs w:val="20"/>
    </w:rPr>
  </w:style>
  <w:style w:type="character" w:customStyle="1" w:styleId="voice">
    <w:name w:val="voice"/>
    <w:basedOn w:val="DefaultParagraphFont"/>
    <w:rsid w:val="00451D48"/>
  </w:style>
  <w:style w:type="paragraph" w:styleId="Header">
    <w:name w:val="header"/>
    <w:basedOn w:val="Normal"/>
    <w:link w:val="HeaderChar"/>
    <w:uiPriority w:val="99"/>
    <w:rsid w:val="00451D48"/>
    <w:pPr>
      <w:tabs>
        <w:tab w:val="center" w:pos="4320"/>
        <w:tab w:val="right" w:pos="8640"/>
      </w:tabs>
    </w:pPr>
  </w:style>
  <w:style w:type="character" w:customStyle="1" w:styleId="HeaderChar">
    <w:name w:val="Header Char"/>
    <w:basedOn w:val="DefaultParagraphFont"/>
    <w:link w:val="Header"/>
    <w:uiPriority w:val="99"/>
    <w:rsid w:val="00451D48"/>
    <w:rPr>
      <w:rFonts w:ascii="CG Times" w:eastAsia="Times New Roman" w:hAnsi="CG Times" w:cs="Times New Roman"/>
      <w:sz w:val="24"/>
      <w:szCs w:val="24"/>
    </w:rPr>
  </w:style>
  <w:style w:type="character" w:customStyle="1" w:styleId="smallp21">
    <w:name w:val="smallp21"/>
    <w:basedOn w:val="DefaultParagraphFont"/>
    <w:rsid w:val="00451D48"/>
    <w:rPr>
      <w:i w:val="0"/>
      <w:iCs w:val="0"/>
    </w:rPr>
  </w:style>
  <w:style w:type="character" w:styleId="Emphasis">
    <w:name w:val="Emphasis"/>
    <w:basedOn w:val="DefaultParagraphFont"/>
    <w:uiPriority w:val="20"/>
    <w:qFormat/>
    <w:rsid w:val="00451D48"/>
    <w:rPr>
      <w:i/>
      <w:iCs/>
    </w:rPr>
  </w:style>
  <w:style w:type="character" w:styleId="Strong">
    <w:name w:val="Strong"/>
    <w:basedOn w:val="DefaultParagraphFont"/>
    <w:qFormat/>
    <w:rsid w:val="00451D48"/>
    <w:rPr>
      <w:b/>
      <w:bCs/>
    </w:rPr>
  </w:style>
  <w:style w:type="paragraph" w:customStyle="1" w:styleId="r-pubs-pres">
    <w:name w:val="r-pubs-pres"/>
    <w:basedOn w:val="Normal"/>
    <w:rsid w:val="00451D48"/>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451D48"/>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451D48"/>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451D48"/>
    <w:rPr>
      <w:rFonts w:ascii="Times New Roman" w:eastAsia="Times New Roman" w:hAnsi="Times New Roman" w:cs="Times New Roman"/>
      <w:sz w:val="24"/>
      <w:szCs w:val="24"/>
    </w:rPr>
  </w:style>
  <w:style w:type="paragraph" w:customStyle="1" w:styleId="Default">
    <w:name w:val="Default"/>
    <w:rsid w:val="00451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451D48"/>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451D48"/>
    <w:rPr>
      <w:rFonts w:ascii="Kabel Bk BT" w:eastAsia="Calibri" w:hAnsi="Kabel Bk BT" w:cs="Times New Roman"/>
      <w:sz w:val="24"/>
      <w:szCs w:val="24"/>
    </w:rPr>
  </w:style>
  <w:style w:type="paragraph" w:customStyle="1" w:styleId="ReferenceCitation">
    <w:name w:val="Reference Citation"/>
    <w:basedOn w:val="Normal"/>
    <w:rsid w:val="00451D48"/>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451D48"/>
    <w:pPr>
      <w:spacing w:after="0" w:line="240" w:lineRule="auto"/>
    </w:pPr>
    <w:rPr>
      <w:rFonts w:ascii="CG Times" w:eastAsia="Times New Roman" w:hAnsi="CG Times" w:cs="Times New Roman"/>
      <w:sz w:val="24"/>
      <w:szCs w:val="24"/>
    </w:rPr>
  </w:style>
  <w:style w:type="paragraph" w:styleId="ListParagraph">
    <w:name w:val="List Paragraph"/>
    <w:basedOn w:val="Normal"/>
    <w:uiPriority w:val="34"/>
    <w:qFormat/>
    <w:rsid w:val="00451D48"/>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451D48"/>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451D4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451D4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451D48"/>
    <w:rPr>
      <w:rFonts w:asciiTheme="majorBidi" w:hAnsiTheme="majorBidi" w:cstheme="majorBidi"/>
      <w:color w:val="000000" w:themeColor="text1"/>
      <w:sz w:val="20"/>
    </w:rPr>
  </w:style>
  <w:style w:type="paragraph" w:customStyle="1" w:styleId="TableTitle">
    <w:name w:val="TableTitle"/>
    <w:basedOn w:val="Normal"/>
    <w:qFormat/>
    <w:rsid w:val="00451D48"/>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451D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0">
    <w:name w:val="Heading2"/>
    <w:basedOn w:val="Normal"/>
    <w:qFormat/>
    <w:rsid w:val="00451D4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451D48"/>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451D48"/>
    <w:rPr>
      <w:sz w:val="20"/>
    </w:rPr>
  </w:style>
  <w:style w:type="paragraph" w:customStyle="1" w:styleId="TableBullett">
    <w:name w:val="TableBullett"/>
    <w:basedOn w:val="Tabletext"/>
    <w:qFormat/>
    <w:rsid w:val="00451D48"/>
    <w:pPr>
      <w:numPr>
        <w:numId w:val="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451D48"/>
    <w:pPr>
      <w:numPr>
        <w:numId w:val="2"/>
      </w:numPr>
      <w:ind w:left="1267"/>
    </w:pPr>
  </w:style>
  <w:style w:type="paragraph" w:customStyle="1" w:styleId="NormalCentered">
    <w:name w:val="Normal Centered"/>
    <w:basedOn w:val="Normal"/>
    <w:uiPriority w:val="99"/>
    <w:rsid w:val="00451D48"/>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451D48"/>
    <w:rPr>
      <w:rFonts w:ascii="Times New Roman" w:eastAsia="Times New Roman" w:hAnsi="Times New Roman" w:cs="Times New Roman"/>
      <w:sz w:val="24"/>
      <w:szCs w:val="24"/>
    </w:rPr>
  </w:style>
  <w:style w:type="paragraph" w:styleId="ListBullet">
    <w:name w:val="List Bullet"/>
    <w:basedOn w:val="Normal"/>
    <w:rsid w:val="00451D48"/>
    <w:pPr>
      <w:widowControl/>
      <w:numPr>
        <w:numId w:val="4"/>
      </w:numPr>
      <w:autoSpaceDE/>
      <w:autoSpaceDN/>
      <w:adjustRightInd/>
      <w:spacing w:after="120"/>
    </w:pPr>
    <w:rPr>
      <w:rFonts w:ascii="Times New Roman" w:hAnsi="Times New Roman"/>
    </w:rPr>
  </w:style>
  <w:style w:type="paragraph" w:customStyle="1" w:styleId="Level1">
    <w:name w:val="Level 1"/>
    <w:basedOn w:val="Normal"/>
    <w:uiPriority w:val="99"/>
    <w:rsid w:val="00451D48"/>
    <w:pPr>
      <w:autoSpaceDE/>
      <w:autoSpaceDN/>
      <w:adjustRightInd/>
    </w:pPr>
    <w:rPr>
      <w:rFonts w:ascii="Times New Roman" w:hAnsi="Times New Roman"/>
      <w:szCs w:val="20"/>
    </w:rPr>
  </w:style>
  <w:style w:type="character" w:customStyle="1" w:styleId="volume">
    <w:name w:val="volume"/>
    <w:basedOn w:val="DefaultParagraphFont"/>
    <w:rsid w:val="00451D48"/>
  </w:style>
  <w:style w:type="character" w:customStyle="1" w:styleId="page">
    <w:name w:val="page"/>
    <w:basedOn w:val="DefaultParagraphFont"/>
    <w:rsid w:val="00451D48"/>
  </w:style>
  <w:style w:type="paragraph" w:customStyle="1" w:styleId="a">
    <w:name w:val=""/>
    <w:rsid w:val="00451D48"/>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Title1">
    <w:name w:val="Title1"/>
    <w:basedOn w:val="DefaultParagraphFont"/>
    <w:rsid w:val="00451D48"/>
  </w:style>
  <w:style w:type="character" w:customStyle="1" w:styleId="UnresolvedMention1">
    <w:name w:val="Unresolved Mention1"/>
    <w:basedOn w:val="DefaultParagraphFont"/>
    <w:uiPriority w:val="99"/>
    <w:semiHidden/>
    <w:unhideWhenUsed/>
    <w:rsid w:val="00451D48"/>
    <w:rPr>
      <w:color w:val="808080"/>
      <w:shd w:val="clear" w:color="auto" w:fill="E6E6E6"/>
    </w:rPr>
  </w:style>
  <w:style w:type="paragraph" w:customStyle="1" w:styleId="TableText1">
    <w:name w:val="Table Text"/>
    <w:basedOn w:val="Normal"/>
    <w:qFormat/>
    <w:rsid w:val="00451D48"/>
    <w:pPr>
      <w:widowControl/>
      <w:autoSpaceDE/>
      <w:autoSpaceDN/>
      <w:adjustRightInd/>
    </w:pPr>
    <w:rPr>
      <w:rFonts w:ascii="Times New Roman" w:hAnsi="Times New Roman"/>
      <w:color w:val="000000"/>
      <w:sz w:val="20"/>
      <w:szCs w:val="22"/>
    </w:rPr>
  </w:style>
  <w:style w:type="table" w:customStyle="1" w:styleId="aNSDUH">
    <w:name w:val="aNSDUH"/>
    <w:basedOn w:val="TableNormal"/>
    <w:uiPriority w:val="99"/>
    <w:rsid w:val="00451D48"/>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tblPr/>
      <w:tcPr>
        <w:vAlign w:val="bottom"/>
      </w:tcPr>
    </w:tblStylePr>
    <w:tblStylePr w:type="band1Horz">
      <w:tblPr/>
      <w:tcPr>
        <w:shd w:val="clear" w:color="auto" w:fill="D9D9D9" w:themeFill="background1" w:themeFillShade="D9"/>
      </w:tcPr>
    </w:tblStylePr>
  </w:style>
  <w:style w:type="paragraph" w:customStyle="1" w:styleId="TableText-Ind">
    <w:name w:val="Table Text-Ind"/>
    <w:basedOn w:val="Normal"/>
    <w:qFormat/>
    <w:rsid w:val="00451D48"/>
    <w:pPr>
      <w:widowControl/>
      <w:autoSpaceDE/>
      <w:autoSpaceDN/>
      <w:adjustRightInd/>
      <w:ind w:left="162"/>
    </w:pPr>
    <w:rPr>
      <w:rFonts w:ascii="Times New Roman" w:hAnsi="Times New Roman"/>
      <w:i/>
      <w:sz w:val="20"/>
    </w:rPr>
  </w:style>
  <w:style w:type="character" w:customStyle="1" w:styleId="ablue">
    <w:name w:val="ablue"/>
    <w:basedOn w:val="DefaultParagraphFont"/>
    <w:uiPriority w:val="1"/>
    <w:qFormat/>
    <w:rsid w:val="00451D48"/>
    <w:rPr>
      <w:color w:val="3333FF"/>
    </w:rPr>
  </w:style>
  <w:style w:type="paragraph" w:customStyle="1" w:styleId="TableTitle0">
    <w:name w:val="Table Title"/>
    <w:basedOn w:val="Caption"/>
    <w:rsid w:val="00451D48"/>
    <w:pPr>
      <w:keepNext/>
      <w:keepLines/>
      <w:widowControl/>
      <w:autoSpaceDE/>
      <w:autoSpaceDN/>
      <w:adjustRightInd/>
      <w:spacing w:before="240" w:after="120"/>
      <w:ind w:left="990" w:hanging="990"/>
    </w:pPr>
    <w:rPr>
      <w:rFonts w:ascii="Times New Roman" w:hAnsi="Times New Roman"/>
      <w:b/>
      <w:bCs/>
      <w:i w:val="0"/>
      <w:iCs w:val="0"/>
      <w:color w:val="auto"/>
      <w:sz w:val="22"/>
      <w:szCs w:val="20"/>
    </w:rPr>
  </w:style>
  <w:style w:type="paragraph" w:customStyle="1" w:styleId="Tablebullet">
    <w:name w:val="Table bullet"/>
    <w:basedOn w:val="Normal"/>
    <w:qFormat/>
    <w:rsid w:val="00451D48"/>
    <w:pPr>
      <w:widowControl/>
      <w:numPr>
        <w:numId w:val="5"/>
      </w:numPr>
      <w:autoSpaceDE/>
      <w:autoSpaceDN/>
      <w:adjustRightInd/>
    </w:pPr>
    <w:rPr>
      <w:rFonts w:ascii="Times New Roman" w:hAnsi="Times New Roman"/>
      <w:sz w:val="20"/>
    </w:rPr>
  </w:style>
  <w:style w:type="paragraph" w:styleId="Caption">
    <w:name w:val="caption"/>
    <w:basedOn w:val="Normal"/>
    <w:next w:val="Normal"/>
    <w:semiHidden/>
    <w:unhideWhenUsed/>
    <w:qFormat/>
    <w:rsid w:val="00451D48"/>
    <w:pPr>
      <w:spacing w:after="200"/>
    </w:pPr>
    <w:rPr>
      <w:i/>
      <w:iCs/>
      <w:color w:val="44546A" w:themeColor="text2"/>
      <w:sz w:val="18"/>
      <w:szCs w:val="18"/>
    </w:rPr>
  </w:style>
  <w:style w:type="character" w:customStyle="1" w:styleId="Mention1">
    <w:name w:val="Mention1"/>
    <w:basedOn w:val="DefaultParagraphFont"/>
    <w:uiPriority w:val="99"/>
    <w:semiHidden/>
    <w:unhideWhenUsed/>
    <w:rsid w:val="00451D48"/>
    <w:rPr>
      <w:color w:val="2B579A"/>
      <w:shd w:val="clear" w:color="auto" w:fill="E6E6E6"/>
    </w:rPr>
  </w:style>
  <w:style w:type="table" w:customStyle="1" w:styleId="GridTable1LightAccent6">
    <w:name w:val="Grid Table 1 Light Accent 6"/>
    <w:basedOn w:val="TableNormal"/>
    <w:uiPriority w:val="46"/>
    <w:rsid w:val="00451D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451D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Scott</dc:creator>
  <cp:keywords/>
  <dc:description/>
  <cp:lastModifiedBy>SYSTEM</cp:lastModifiedBy>
  <cp:revision>2</cp:revision>
  <dcterms:created xsi:type="dcterms:W3CDTF">2018-11-20T21:26:00Z</dcterms:created>
  <dcterms:modified xsi:type="dcterms:W3CDTF">2018-11-20T21:26:00Z</dcterms:modified>
</cp:coreProperties>
</file>