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36" w:rsidRPr="00816336" w:rsidRDefault="00816336" w:rsidP="00816336">
      <w:pPr>
        <w:spacing w:after="0"/>
        <w:ind w:left="-5" w:right="233"/>
        <w:jc w:val="right"/>
        <w:rPr>
          <w:b/>
          <w:sz w:val="16"/>
          <w:szCs w:val="16"/>
        </w:rPr>
      </w:pPr>
      <w:r w:rsidRPr="00816336">
        <w:rPr>
          <w:b/>
          <w:sz w:val="16"/>
          <w:szCs w:val="16"/>
        </w:rPr>
        <w:t>Expiration Date: XX/XXXX</w:t>
      </w:r>
    </w:p>
    <w:p w:rsidR="00816336" w:rsidRPr="00816336" w:rsidRDefault="00816336">
      <w:pPr>
        <w:spacing w:after="0"/>
        <w:ind w:left="-5" w:right="233"/>
        <w:jc w:val="both"/>
        <w:rPr>
          <w:b/>
          <w:sz w:val="16"/>
          <w:szCs w:val="16"/>
        </w:rPr>
      </w:pPr>
    </w:p>
    <w:p w:rsidR="00AA1513" w:rsidRDefault="0002047C">
      <w:pPr>
        <w:spacing w:after="0"/>
        <w:ind w:left="-5" w:right="233"/>
        <w:jc w:val="both"/>
      </w:pPr>
      <w:r>
        <w:rPr>
          <w:b/>
        </w:rPr>
        <w:t>Appendix A: Data Elements for General Function of an Exchange (Part 155, Subpart C)</w:t>
      </w:r>
      <w:r>
        <w:t xml:space="preserve"> </w:t>
      </w:r>
    </w:p>
    <w:p w:rsidR="00AA1513" w:rsidRDefault="0002047C">
      <w:pPr>
        <w:spacing w:after="0" w:line="259" w:lineRule="auto"/>
        <w:ind w:left="0" w:firstLine="0"/>
      </w:pPr>
      <w:r>
        <w:rPr>
          <w:rFonts w:ascii="Calibri" w:eastAsia="Calibri" w:hAnsi="Calibri" w:cs="Calibri"/>
          <w:sz w:val="26"/>
        </w:rPr>
        <w:t xml:space="preserve"> </w:t>
      </w:r>
    </w:p>
    <w:p w:rsidR="00AA1513" w:rsidRDefault="0002047C">
      <w:r>
        <w:t xml:space="preserve">The data elements for the collections of information included in Part 155, Subpart C– General Function of an Exchange, are as follows: </w:t>
      </w:r>
    </w:p>
    <w:p w:rsidR="00AA1513" w:rsidRDefault="0002047C">
      <w:pPr>
        <w:spacing w:after="0" w:line="259" w:lineRule="auto"/>
        <w:ind w:left="0" w:firstLine="0"/>
      </w:pPr>
      <w:r>
        <w:rPr>
          <w:rFonts w:ascii="Calibri" w:eastAsia="Calibri" w:hAnsi="Calibri" w:cs="Calibri"/>
          <w:sz w:val="28"/>
        </w:rPr>
        <w:t xml:space="preserve"> </w:t>
      </w:r>
      <w:bookmarkStart w:id="0" w:name="_GoBack"/>
      <w:bookmarkEnd w:id="0"/>
    </w:p>
    <w:p w:rsidR="00AA1513" w:rsidRDefault="0002047C">
      <w:pPr>
        <w:spacing w:after="0"/>
        <w:ind w:right="233"/>
        <w:jc w:val="both"/>
      </w:pPr>
      <w:r>
        <w:rPr>
          <w:b/>
        </w:rPr>
        <w:t>Ability of States to Permit Agents and Brokers to Assist Qualified Individuals, Qualified Employers, or Qualified Employees Enrolling in Qualified Health Plans in the Federally- facilitated Exchange (§155.220)</w:t>
      </w:r>
      <w:r>
        <w:t xml:space="preserve"> </w:t>
      </w:r>
    </w:p>
    <w:p w:rsidR="00AA1513" w:rsidRDefault="0002047C">
      <w:pPr>
        <w:spacing w:after="0" w:line="259" w:lineRule="auto"/>
        <w:ind w:left="0" w:firstLine="0"/>
      </w:pPr>
      <w:r>
        <w:rPr>
          <w:rFonts w:ascii="Calibri" w:eastAsia="Calibri" w:hAnsi="Calibri" w:cs="Calibri"/>
          <w:sz w:val="26"/>
        </w:rPr>
        <w:t xml:space="preserve"> </w:t>
      </w:r>
    </w:p>
    <w:p w:rsidR="00AA1513" w:rsidRDefault="0002047C">
      <w:pPr>
        <w:ind w:right="399"/>
      </w:pPr>
      <w:r>
        <w:t xml:space="preserve">Section 155.220(c)(4) requires a Web-broker who permits other agents and brokers to use its Web site to enroll a consumer through the FFE, pursuant to a contractual or other arrangement, to provide to the FFE a list of those agents or brokers who enter into such an arrangement, if requested by HHS.  We assume Web-brokers already have the necessary data to list each of the other agents or brokers accessing their Web site, and the information they provide to HHS will include:  </w:t>
      </w:r>
    </w:p>
    <w:p w:rsidR="00AA1513" w:rsidRDefault="0002047C">
      <w:pPr>
        <w:spacing w:after="0" w:line="259" w:lineRule="auto"/>
        <w:ind w:left="101" w:firstLine="0"/>
      </w:pPr>
      <w:r>
        <w:t xml:space="preserve"> </w:t>
      </w:r>
    </w:p>
    <w:p w:rsidR="00AA1513" w:rsidRDefault="0002047C">
      <w:pPr>
        <w:numPr>
          <w:ilvl w:val="0"/>
          <w:numId w:val="1"/>
        </w:numPr>
        <w:ind w:hanging="242"/>
      </w:pPr>
      <w:r>
        <w:t xml:space="preserve">Other agent’s or broker’s name  </w:t>
      </w:r>
    </w:p>
    <w:p w:rsidR="00AA1513" w:rsidRDefault="0002047C">
      <w:pPr>
        <w:numPr>
          <w:ilvl w:val="0"/>
          <w:numId w:val="1"/>
        </w:numPr>
        <w:ind w:hanging="242"/>
      </w:pPr>
      <w:r>
        <w:t xml:space="preserve">Other agent’s or broker’s address and contact information (address) </w:t>
      </w:r>
    </w:p>
    <w:p w:rsidR="00AA1513" w:rsidRDefault="0002047C">
      <w:pPr>
        <w:numPr>
          <w:ilvl w:val="0"/>
          <w:numId w:val="1"/>
        </w:numPr>
        <w:ind w:hanging="242"/>
      </w:pPr>
      <w:r>
        <w:t xml:space="preserve">Other agent’s or broker’s FFM User ID </w:t>
      </w:r>
    </w:p>
    <w:p w:rsidR="00AA1513" w:rsidRDefault="0002047C">
      <w:pPr>
        <w:numPr>
          <w:ilvl w:val="0"/>
          <w:numId w:val="1"/>
        </w:numPr>
        <w:ind w:hanging="242"/>
      </w:pPr>
      <w:r>
        <w:t xml:space="preserve">Other agent’s or broker’s National Producer Number   </w:t>
      </w:r>
    </w:p>
    <w:p w:rsidR="00AA1513" w:rsidRDefault="0002047C">
      <w:pPr>
        <w:spacing w:after="0" w:line="259" w:lineRule="auto"/>
        <w:ind w:left="101" w:firstLine="0"/>
      </w:pPr>
      <w:r>
        <w:t xml:space="preserve"> </w:t>
      </w:r>
    </w:p>
    <w:p w:rsidR="00AA1513" w:rsidRDefault="0002047C">
      <w:pPr>
        <w:spacing w:after="0" w:line="259" w:lineRule="auto"/>
        <w:ind w:left="101" w:firstLine="0"/>
      </w:pPr>
      <w:r>
        <w:t xml:space="preserve"> </w:t>
      </w:r>
    </w:p>
    <w:p w:rsidR="00AA1513" w:rsidRDefault="0002047C">
      <w:r>
        <w:t xml:space="preserve">Section 155.220(g) describes the process for HHS to terminate and agent’s or broker’s agreement with the Federally-facilitated Exchange for cause.  HHS will notify the agent or broker of the specific finding of noncompliance or pattern of noncompliance. We assume the agent or broker may acknowledge receipt of this notice by providing a written statement that includes the following issuer information: </w:t>
      </w:r>
    </w:p>
    <w:p w:rsidR="00AA1513" w:rsidRDefault="0002047C">
      <w:pPr>
        <w:spacing w:after="0" w:line="259" w:lineRule="auto"/>
        <w:ind w:left="0" w:firstLine="0"/>
      </w:pPr>
      <w:r>
        <w:rPr>
          <w:rFonts w:ascii="Calibri" w:eastAsia="Calibri" w:hAnsi="Calibri" w:cs="Calibri"/>
          <w:sz w:val="26"/>
        </w:rPr>
        <w:t xml:space="preserve"> </w:t>
      </w:r>
    </w:p>
    <w:p w:rsidR="00AA1513" w:rsidRDefault="0002047C">
      <w:pPr>
        <w:numPr>
          <w:ilvl w:val="1"/>
          <w:numId w:val="1"/>
        </w:numPr>
        <w:ind w:hanging="360"/>
      </w:pPr>
      <w:r>
        <w:t xml:space="preserve">Agent or broker name </w:t>
      </w:r>
    </w:p>
    <w:p w:rsidR="00AA1513" w:rsidRDefault="0002047C">
      <w:pPr>
        <w:numPr>
          <w:ilvl w:val="1"/>
          <w:numId w:val="1"/>
        </w:numPr>
        <w:ind w:hanging="360"/>
      </w:pPr>
      <w:r>
        <w:t xml:space="preserve">Agent or broker address </w:t>
      </w:r>
    </w:p>
    <w:p w:rsidR="00AA1513" w:rsidRDefault="0002047C">
      <w:pPr>
        <w:numPr>
          <w:ilvl w:val="1"/>
          <w:numId w:val="1"/>
        </w:numPr>
        <w:ind w:hanging="360"/>
      </w:pPr>
      <w:r>
        <w:t xml:space="preserve">Date of receipt of notice </w:t>
      </w:r>
    </w:p>
    <w:p w:rsidR="00AA1513" w:rsidRDefault="0002047C">
      <w:pPr>
        <w:numPr>
          <w:ilvl w:val="1"/>
          <w:numId w:val="1"/>
        </w:numPr>
        <w:ind w:hanging="360"/>
      </w:pPr>
      <w:r>
        <w:t xml:space="preserve">Date of submission of acknowledgement </w:t>
      </w:r>
    </w:p>
    <w:p w:rsidR="00AA1513" w:rsidRDefault="0002047C">
      <w:pPr>
        <w:numPr>
          <w:ilvl w:val="1"/>
          <w:numId w:val="1"/>
        </w:numPr>
        <w:ind w:hanging="360"/>
      </w:pPr>
      <w:r>
        <w:t xml:space="preserve">Type of notice received </w:t>
      </w:r>
    </w:p>
    <w:p w:rsidR="00AA1513" w:rsidRDefault="0002047C">
      <w:pPr>
        <w:spacing w:after="0" w:line="259" w:lineRule="auto"/>
        <w:ind w:left="0" w:firstLine="0"/>
      </w:pPr>
      <w:r>
        <w:rPr>
          <w:rFonts w:ascii="Calibri" w:eastAsia="Calibri" w:hAnsi="Calibri" w:cs="Calibri"/>
          <w:sz w:val="26"/>
        </w:rPr>
        <w:t xml:space="preserve"> </w:t>
      </w:r>
    </w:p>
    <w:p w:rsidR="00AA1513" w:rsidRDefault="0002047C">
      <w:r>
        <w:t xml:space="preserve">Section 155.220(h) explains how an agent or broker whose agreement has been terminated can request a reconsideration of such action. The agent or broker must submit a written request within 30 calendar days of the date of the written notice from HHS. No information is given as to what the request should contain; it is our assumption that the request needs to contain all the information necessary for the agent or broker to explain their situation and receive a favorable response from the reconsideration entity. This information may include the following: </w:t>
      </w:r>
    </w:p>
    <w:p w:rsidR="00AA1513" w:rsidRDefault="0002047C">
      <w:pPr>
        <w:spacing w:after="0" w:line="259" w:lineRule="auto"/>
        <w:ind w:left="0" w:firstLine="0"/>
      </w:pPr>
      <w:r>
        <w:rPr>
          <w:rFonts w:ascii="Calibri" w:eastAsia="Calibri" w:hAnsi="Calibri" w:cs="Calibri"/>
          <w:sz w:val="26"/>
        </w:rPr>
        <w:t xml:space="preserve"> </w:t>
      </w:r>
    </w:p>
    <w:p w:rsidR="00AA1513" w:rsidRDefault="0002047C">
      <w:pPr>
        <w:numPr>
          <w:ilvl w:val="1"/>
          <w:numId w:val="2"/>
        </w:numPr>
        <w:ind w:hanging="360"/>
      </w:pPr>
      <w:r>
        <w:t xml:space="preserve">Agent or broker name </w:t>
      </w:r>
    </w:p>
    <w:p w:rsidR="00AA1513" w:rsidRDefault="0002047C">
      <w:pPr>
        <w:numPr>
          <w:ilvl w:val="1"/>
          <w:numId w:val="2"/>
        </w:numPr>
        <w:ind w:hanging="360"/>
      </w:pPr>
      <w:r>
        <w:t xml:space="preserve">Agent or broker address </w:t>
      </w:r>
    </w:p>
    <w:p w:rsidR="00AA1513" w:rsidRDefault="0002047C">
      <w:pPr>
        <w:numPr>
          <w:ilvl w:val="1"/>
          <w:numId w:val="2"/>
        </w:numPr>
        <w:ind w:hanging="360"/>
      </w:pPr>
      <w:r>
        <w:lastRenderedPageBreak/>
        <w:t xml:space="preserve">Date of receipt of notice </w:t>
      </w:r>
    </w:p>
    <w:p w:rsidR="00AA1513" w:rsidRDefault="0002047C">
      <w:pPr>
        <w:numPr>
          <w:ilvl w:val="1"/>
          <w:numId w:val="2"/>
        </w:numPr>
        <w:ind w:hanging="360"/>
      </w:pPr>
      <w:r>
        <w:t xml:space="preserve">Date of submission of request </w:t>
      </w:r>
    </w:p>
    <w:p w:rsidR="00AA1513" w:rsidRDefault="0002047C">
      <w:pPr>
        <w:numPr>
          <w:ilvl w:val="1"/>
          <w:numId w:val="2"/>
        </w:numPr>
        <w:ind w:hanging="360"/>
      </w:pPr>
      <w:r>
        <w:t xml:space="preserve">Type of notice received </w:t>
      </w:r>
    </w:p>
    <w:p w:rsidR="00AA1513" w:rsidRDefault="0002047C">
      <w:pPr>
        <w:numPr>
          <w:ilvl w:val="1"/>
          <w:numId w:val="2"/>
        </w:numPr>
        <w:ind w:hanging="360"/>
      </w:pPr>
      <w:r>
        <w:t xml:space="preserve">Evidence to counteract any specific details specified in the notice from HHS that give grounds for terminating the agreement, and explanation for why the agreement should not be terminated </w:t>
      </w:r>
    </w:p>
    <w:p w:rsidR="00AA1513" w:rsidRDefault="0002047C">
      <w:pPr>
        <w:numPr>
          <w:ilvl w:val="1"/>
          <w:numId w:val="2"/>
        </w:numPr>
        <w:ind w:hanging="360"/>
      </w:pPr>
      <w:r>
        <w:t xml:space="preserve">Evidence that shows the agent or broker’s overall financial and regulatory good standing </w:t>
      </w:r>
    </w:p>
    <w:p w:rsidR="00AA1513" w:rsidRDefault="0002047C">
      <w:pPr>
        <w:spacing w:after="0" w:line="259" w:lineRule="auto"/>
        <w:ind w:left="0" w:firstLine="0"/>
      </w:pPr>
      <w:r>
        <w:rPr>
          <w:rFonts w:ascii="Calibri" w:eastAsia="Calibri" w:hAnsi="Calibri" w:cs="Calibri"/>
          <w:sz w:val="22"/>
        </w:rPr>
        <w:t xml:space="preserve"> </w:t>
      </w:r>
    </w:p>
    <w:sectPr w:rsidR="00AA1513">
      <w:pgSz w:w="12240" w:h="15840"/>
      <w:pgMar w:top="1440" w:right="1411"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156B6"/>
    <w:multiLevelType w:val="hybridMultilevel"/>
    <w:tmpl w:val="9D80A78C"/>
    <w:lvl w:ilvl="0" w:tplc="55948B6C">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272DE">
      <w:start w:val="1"/>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6B486">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AFD84">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AB026">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CA184">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2CDA4">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CB57A">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4B6E4">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E65725"/>
    <w:multiLevelType w:val="hybridMultilevel"/>
    <w:tmpl w:val="EE8C340E"/>
    <w:lvl w:ilvl="0" w:tplc="67C21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0A8FE">
      <w:start w:val="1"/>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A64D6">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E0337A">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1448">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C76F2">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819C8">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6E7A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AB696">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13"/>
    <w:rsid w:val="0002047C"/>
    <w:rsid w:val="00816336"/>
    <w:rsid w:val="00AA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83553-D08C-43C9-AF43-A0D4E53F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9" w:lineRule="auto"/>
      <w:ind w:left="11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Rickenbach, Jessica [USA]</dc:creator>
  <cp:keywords/>
  <cp:lastModifiedBy>JAMAA HILL</cp:lastModifiedBy>
  <cp:revision>3</cp:revision>
  <dcterms:created xsi:type="dcterms:W3CDTF">2017-03-08T19:08:00Z</dcterms:created>
  <dcterms:modified xsi:type="dcterms:W3CDTF">2017-03-08T19:19:00Z</dcterms:modified>
</cp:coreProperties>
</file>