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8A17" w14:textId="27A10256" w:rsidR="00BC629D" w:rsidRDefault="00406101" w:rsidP="00406101">
      <w:pPr>
        <w:ind w:left="720"/>
        <w:jc w:val="center"/>
      </w:pPr>
      <w:r>
        <w:t>Justification for Non</w:t>
      </w:r>
      <w:r w:rsidR="00BC629D">
        <w:t>s</w:t>
      </w:r>
      <w:r>
        <w:t xml:space="preserve">ubstantive </w:t>
      </w:r>
      <w:r w:rsidR="00BC629D">
        <w:t>Change</w:t>
      </w:r>
    </w:p>
    <w:p w14:paraId="2F4765F4" w14:textId="77777777" w:rsidR="00BC629D" w:rsidRDefault="00BC629D" w:rsidP="00406101">
      <w:pPr>
        <w:ind w:left="720"/>
        <w:jc w:val="center"/>
      </w:pPr>
      <w:r w:rsidRPr="00BC629D">
        <w:t>Skilled Nursing Facility (SNF) Minimum Data Set (MDS) 3.0 Nursing Home and Swing Bed Prospective Payment System (PPS) Item Sets (NP, NO/SO, NS, NOD, NSD)</w:t>
      </w:r>
    </w:p>
    <w:p w14:paraId="611F140F" w14:textId="3D3CEABE" w:rsidR="00406101" w:rsidRDefault="00BC629D" w:rsidP="00406101">
      <w:pPr>
        <w:ind w:left="720"/>
        <w:jc w:val="center"/>
      </w:pPr>
      <w:r>
        <w:t xml:space="preserve">CMS-10387, </w:t>
      </w:r>
      <w:r w:rsidR="00406101">
        <w:t>OMB 0938-1140</w:t>
      </w:r>
    </w:p>
    <w:p w14:paraId="69D94065" w14:textId="77777777" w:rsidR="006050A5" w:rsidRDefault="006050A5"/>
    <w:p w14:paraId="29E2EA5F" w14:textId="792C85D9" w:rsidR="001B684A" w:rsidRPr="001B684A" w:rsidRDefault="001B684A">
      <w:pPr>
        <w:rPr>
          <w:b/>
        </w:rPr>
      </w:pPr>
      <w:r w:rsidRPr="001B684A">
        <w:rPr>
          <w:b/>
        </w:rPr>
        <w:t>Summary</w:t>
      </w:r>
    </w:p>
    <w:p w14:paraId="014618A8" w14:textId="77777777" w:rsidR="001B684A" w:rsidRDefault="001B684A"/>
    <w:p w14:paraId="518AC99C" w14:textId="223306E9" w:rsidR="00632601" w:rsidRDefault="00632601" w:rsidP="00632601">
      <w:pPr>
        <w:rPr>
          <w:szCs w:val="24"/>
        </w:rPr>
      </w:pPr>
      <w:r>
        <w:rPr>
          <w:szCs w:val="24"/>
        </w:rPr>
        <w:t>The following describes this iteration’s nonsubstantive changes, consisting of two corrections and one adjustment.</w:t>
      </w:r>
      <w:r>
        <w:rPr>
          <w:szCs w:val="24"/>
        </w:rPr>
        <w:t xml:space="preserve"> Correction #1 reintroduces burden that </w:t>
      </w:r>
      <w:proofErr w:type="gramStart"/>
      <w:r>
        <w:rPr>
          <w:szCs w:val="24"/>
        </w:rPr>
        <w:t>was previously approved</w:t>
      </w:r>
      <w:proofErr w:type="gramEnd"/>
      <w:r>
        <w:rPr>
          <w:szCs w:val="24"/>
        </w:rPr>
        <w:t xml:space="preserve"> but was </w:t>
      </w:r>
      <w:proofErr w:type="spellStart"/>
      <w:r>
        <w:rPr>
          <w:szCs w:val="24"/>
        </w:rPr>
        <w:t>inadverantly</w:t>
      </w:r>
      <w:proofErr w:type="spellEnd"/>
      <w:r>
        <w:rPr>
          <w:szCs w:val="24"/>
        </w:rPr>
        <w:t xml:space="preserve"> removed. </w:t>
      </w:r>
      <w:r>
        <w:rPr>
          <w:szCs w:val="24"/>
        </w:rPr>
        <w:t xml:space="preserve">Correction </w:t>
      </w:r>
      <w:r>
        <w:rPr>
          <w:szCs w:val="24"/>
        </w:rPr>
        <w:t xml:space="preserve">#2 addresses </w:t>
      </w:r>
      <w:proofErr w:type="spellStart"/>
      <w:r>
        <w:rPr>
          <w:szCs w:val="24"/>
        </w:rPr>
        <w:t>ROCIS</w:t>
      </w:r>
      <w:proofErr w:type="spellEnd"/>
      <w:r>
        <w:rPr>
          <w:szCs w:val="24"/>
        </w:rPr>
        <w:t xml:space="preserve"> data entry errors. The Adjustment makes a few burden changes that are based on </w:t>
      </w:r>
      <w:proofErr w:type="gramStart"/>
      <w:r>
        <w:rPr>
          <w:szCs w:val="24"/>
        </w:rPr>
        <w:t>more current data</w:t>
      </w:r>
      <w:proofErr w:type="gramEnd"/>
      <w:r>
        <w:rPr>
          <w:szCs w:val="24"/>
        </w:rPr>
        <w:t>.</w:t>
      </w:r>
    </w:p>
    <w:p w14:paraId="687AFEB8" w14:textId="77777777" w:rsidR="00632601" w:rsidRDefault="00632601"/>
    <w:p w14:paraId="41427DA4" w14:textId="242E93A5" w:rsidR="00773016" w:rsidRDefault="00AF5E79">
      <w:r>
        <w:t xml:space="preserve">This request does not revise any requirements, nor does it propose any program changes. </w:t>
      </w:r>
      <w:r w:rsidR="006050A5">
        <w:t xml:space="preserve">Likewise, </w:t>
      </w:r>
      <w:proofErr w:type="gramStart"/>
      <w:r w:rsidR="006050A5">
        <w:t>our per</w:t>
      </w:r>
      <w:proofErr w:type="gramEnd"/>
      <w:r w:rsidR="006050A5">
        <w:t xml:space="preserve"> response burden estimate is unchanged.</w:t>
      </w:r>
    </w:p>
    <w:p w14:paraId="41561314" w14:textId="77777777" w:rsidR="00632601" w:rsidRPr="003C624B" w:rsidRDefault="00632601" w:rsidP="00632601">
      <w:pPr>
        <w:rPr>
          <w:szCs w:val="24"/>
        </w:rPr>
      </w:pPr>
    </w:p>
    <w:p w14:paraId="1E26BEFC" w14:textId="77777777" w:rsidR="00632601" w:rsidRPr="00632601" w:rsidRDefault="00632601" w:rsidP="00632601">
      <w:pPr>
        <w:rPr>
          <w:b/>
        </w:rPr>
      </w:pPr>
      <w:r w:rsidRPr="00632601">
        <w:rPr>
          <w:b/>
        </w:rPr>
        <w:t>Correction #1</w:t>
      </w:r>
    </w:p>
    <w:p w14:paraId="4F797F6B" w14:textId="77777777" w:rsidR="00632601" w:rsidRDefault="00632601" w:rsidP="00632601"/>
    <w:p w14:paraId="031A1CB8" w14:textId="77777777" w:rsidR="00632601" w:rsidRDefault="00632601" w:rsidP="00632601">
      <w:r>
        <w:t xml:space="preserve">Our most recent information collection request (approved on </w:t>
      </w:r>
      <w:r w:rsidRPr="009F76CE">
        <w:t>Feb</w:t>
      </w:r>
      <w:r>
        <w:t xml:space="preserve">ruary </w:t>
      </w:r>
      <w:r w:rsidRPr="009F76CE">
        <w:t>6,</w:t>
      </w:r>
      <w:r>
        <w:t xml:space="preserve"> 2017) had </w:t>
      </w:r>
      <w:r w:rsidRPr="006137F1">
        <w:t>in</w:t>
      </w:r>
      <w:r>
        <w:t xml:space="preserve">advertently </w:t>
      </w:r>
      <w:r w:rsidRPr="006137F1">
        <w:t>exc</w:t>
      </w:r>
      <w:r>
        <w:t>l</w:t>
      </w:r>
      <w:r w:rsidRPr="006137F1">
        <w:t xml:space="preserve">uded </w:t>
      </w:r>
      <w:r>
        <w:t xml:space="preserve">and </w:t>
      </w:r>
      <w:r w:rsidRPr="006137F1">
        <w:t xml:space="preserve">burden that was approved </w:t>
      </w:r>
      <w:r>
        <w:t>o</w:t>
      </w:r>
      <w:r w:rsidRPr="006137F1">
        <w:t>n Jan</w:t>
      </w:r>
      <w:r>
        <w:t>uary 15,</w:t>
      </w:r>
      <w:r w:rsidRPr="006137F1">
        <w:t xml:space="preserve"> 2014. </w:t>
      </w:r>
    </w:p>
    <w:p w14:paraId="1BCC6117" w14:textId="77777777" w:rsidR="00632601" w:rsidRDefault="00632601" w:rsidP="00632601"/>
    <w:p w14:paraId="0AB56336" w14:textId="77777777" w:rsidR="00632601" w:rsidRDefault="00632601" w:rsidP="00632601">
      <w:r>
        <w:t xml:space="preserve">The </w:t>
      </w:r>
      <w:r w:rsidRPr="006137F1">
        <w:t>Jan</w:t>
      </w:r>
      <w:r>
        <w:t xml:space="preserve">uary </w:t>
      </w:r>
      <w:r w:rsidRPr="006137F1">
        <w:t>2014</w:t>
      </w:r>
      <w:r>
        <w:t xml:space="preserve"> information collection request added the </w:t>
      </w:r>
      <w:r w:rsidRPr="00413390">
        <w:t xml:space="preserve">NP, NS, NOD, and </w:t>
      </w:r>
      <w:proofErr w:type="spellStart"/>
      <w:r w:rsidRPr="00413390">
        <w:t>NSD</w:t>
      </w:r>
      <w:proofErr w:type="spellEnd"/>
      <w:r>
        <w:t xml:space="preserve"> assessments. While the </w:t>
      </w:r>
      <w:r w:rsidRPr="009F76CE">
        <w:t>Feb</w:t>
      </w:r>
      <w:r>
        <w:t xml:space="preserve">ruary 2017 request included the all of correct instruments, the Supporting Statement </w:t>
      </w:r>
      <w:proofErr w:type="spellStart"/>
      <w:r>
        <w:t>inadvertantly</w:t>
      </w:r>
      <w:proofErr w:type="spellEnd"/>
      <w:r>
        <w:t xml:space="preserve"> set out text specific to the </w:t>
      </w:r>
      <w:r w:rsidRPr="00413390">
        <w:t>original request</w:t>
      </w:r>
      <w:r>
        <w:t xml:space="preserve">, namely the </w:t>
      </w:r>
      <w:r w:rsidRPr="00413390">
        <w:t xml:space="preserve">NO/SO PPS </w:t>
      </w:r>
      <w:r>
        <w:t xml:space="preserve">assessment. The Supporting </w:t>
      </w:r>
      <w:proofErr w:type="gramStart"/>
      <w:r>
        <w:t>Statement  incorrectly</w:t>
      </w:r>
      <w:proofErr w:type="gramEnd"/>
      <w:r>
        <w:t xml:space="preserve"> omitted the previously approved text related to the </w:t>
      </w:r>
      <w:r w:rsidRPr="00413390">
        <w:t xml:space="preserve">NP, NS, NOD, and </w:t>
      </w:r>
      <w:proofErr w:type="spellStart"/>
      <w:r w:rsidRPr="00413390">
        <w:t>NSD</w:t>
      </w:r>
      <w:proofErr w:type="spellEnd"/>
      <w:r>
        <w:t xml:space="preserve"> assessments.</w:t>
      </w:r>
    </w:p>
    <w:p w14:paraId="6BABCD68" w14:textId="77777777" w:rsidR="00632601" w:rsidRDefault="00632601" w:rsidP="00632601"/>
    <w:p w14:paraId="38F3F0DD" w14:textId="77777777" w:rsidR="00632601" w:rsidRDefault="00632601" w:rsidP="00632601">
      <w:r w:rsidRPr="006137F1">
        <w:t>This nonsubstantive iteration corrects th</w:t>
      </w:r>
      <w:r>
        <w:t xml:space="preserve">ose </w:t>
      </w:r>
      <w:r w:rsidRPr="006137F1">
        <w:t>omission</w:t>
      </w:r>
      <w:r>
        <w:t>s</w:t>
      </w:r>
      <w:r w:rsidRPr="006137F1">
        <w:t xml:space="preserve"> by including the </w:t>
      </w:r>
      <w:r>
        <w:t>previously approved (</w:t>
      </w:r>
      <w:r w:rsidRPr="006137F1">
        <w:t>Jan</w:t>
      </w:r>
      <w:r>
        <w:t>uary</w:t>
      </w:r>
      <w:r w:rsidRPr="006137F1">
        <w:t xml:space="preserve"> 2014</w:t>
      </w:r>
      <w:r>
        <w:t>)</w:t>
      </w:r>
      <w:r w:rsidRPr="006137F1">
        <w:t xml:space="preserve"> burden</w:t>
      </w:r>
      <w:r>
        <w:t xml:space="preserve"> and by adding the previously approved text (also </w:t>
      </w:r>
      <w:r w:rsidRPr="006137F1">
        <w:t>Jan</w:t>
      </w:r>
      <w:r>
        <w:t>uary</w:t>
      </w:r>
      <w:r w:rsidRPr="006137F1">
        <w:t xml:space="preserve"> 2014</w:t>
      </w:r>
      <w:r>
        <w:t xml:space="preserve">) related to the </w:t>
      </w:r>
      <w:r w:rsidRPr="00413390">
        <w:t xml:space="preserve">NP, NS, NOD, and </w:t>
      </w:r>
      <w:proofErr w:type="spellStart"/>
      <w:r w:rsidRPr="00413390">
        <w:t>NSD</w:t>
      </w:r>
      <w:proofErr w:type="spellEnd"/>
      <w:r>
        <w:t xml:space="preserve"> assessments.</w:t>
      </w:r>
    </w:p>
    <w:p w14:paraId="016C1F49" w14:textId="77777777" w:rsidR="00632601" w:rsidRDefault="00632601" w:rsidP="00632601"/>
    <w:p w14:paraId="2BF8F48F" w14:textId="77777777" w:rsidR="00632601" w:rsidRPr="00632601" w:rsidRDefault="00632601" w:rsidP="00632601">
      <w:pPr>
        <w:rPr>
          <w:b/>
        </w:rPr>
      </w:pPr>
      <w:r w:rsidRPr="00632601">
        <w:rPr>
          <w:b/>
        </w:rPr>
        <w:t>Correction #2</w:t>
      </w:r>
    </w:p>
    <w:p w14:paraId="08CADEE8" w14:textId="77777777" w:rsidR="00632601" w:rsidRDefault="00632601" w:rsidP="00632601"/>
    <w:p w14:paraId="69D617CC" w14:textId="77777777" w:rsidR="00632601" w:rsidRDefault="00632601" w:rsidP="00632601">
      <w:r>
        <w:t xml:space="preserve">The February 2017 Supporting Statement’s burden estimates do not match the figures in the </w:t>
      </w:r>
      <w:proofErr w:type="spellStart"/>
      <w:r>
        <w:t>ROCIS</w:t>
      </w:r>
      <w:proofErr w:type="spellEnd"/>
      <w:r>
        <w:t xml:space="preserve"> burden table.</w:t>
      </w:r>
    </w:p>
    <w:p w14:paraId="555BE76E" w14:textId="77777777" w:rsidR="00632601" w:rsidRDefault="00632601" w:rsidP="00632601"/>
    <w:p w14:paraId="41CA41ED" w14:textId="77777777" w:rsidR="00632601" w:rsidRDefault="00632601" w:rsidP="00632601">
      <w:r w:rsidRPr="006137F1">
        <w:t>This nonsubstantive iteration corrects th</w:t>
      </w:r>
      <w:r>
        <w:t xml:space="preserve">e </w:t>
      </w:r>
      <w:proofErr w:type="spellStart"/>
      <w:r>
        <w:t>ROCIS</w:t>
      </w:r>
      <w:proofErr w:type="spellEnd"/>
      <w:r>
        <w:t xml:space="preserve"> table’s data entry errors so they mirror what was in the Supporting Statement.</w:t>
      </w:r>
    </w:p>
    <w:p w14:paraId="074FE835" w14:textId="77777777" w:rsidR="00632601" w:rsidRDefault="00632601" w:rsidP="00632601"/>
    <w:p w14:paraId="1F8BFB31" w14:textId="77777777" w:rsidR="00632601" w:rsidRPr="00632601" w:rsidRDefault="00632601" w:rsidP="00632601">
      <w:pPr>
        <w:rPr>
          <w:b/>
        </w:rPr>
      </w:pPr>
      <w:r w:rsidRPr="00632601">
        <w:rPr>
          <w:b/>
        </w:rPr>
        <w:t>Adjustment</w:t>
      </w:r>
    </w:p>
    <w:p w14:paraId="58305AA5" w14:textId="77777777" w:rsidR="00632601" w:rsidRDefault="00632601" w:rsidP="00632601"/>
    <w:p w14:paraId="52124F98" w14:textId="77777777" w:rsidR="00632601" w:rsidRDefault="00632601" w:rsidP="00632601">
      <w:r w:rsidRPr="00A510E4">
        <w:t xml:space="preserve">Based </w:t>
      </w:r>
      <w:proofErr w:type="gramStart"/>
      <w:r w:rsidRPr="00A510E4">
        <w:t>on more recent data,</w:t>
      </w:r>
      <w:proofErr w:type="gramEnd"/>
      <w:r w:rsidRPr="00A510E4">
        <w:t xml:space="preserve"> this nonsubstantive iteration adjusts</w:t>
      </w:r>
      <w:r>
        <w:t>:</w:t>
      </w:r>
    </w:p>
    <w:p w14:paraId="23846A63" w14:textId="77777777" w:rsidR="00632601" w:rsidRDefault="00632601" w:rsidP="00632601"/>
    <w:p w14:paraId="29F22E95" w14:textId="77777777" w:rsidR="00632601" w:rsidRDefault="00632601" w:rsidP="00632601">
      <w:r>
        <w:t xml:space="preserve">-The number of respondents by </w:t>
      </w:r>
      <w:proofErr w:type="gramStart"/>
      <w:r>
        <w:t>+2</w:t>
      </w:r>
      <w:proofErr w:type="gramEnd"/>
      <w:r>
        <w:t>.</w:t>
      </w:r>
    </w:p>
    <w:p w14:paraId="4AF1E312" w14:textId="77777777" w:rsidR="00632601" w:rsidRDefault="00632601" w:rsidP="00632601">
      <w:r>
        <w:t xml:space="preserve">-The number of responses (per respondent) by </w:t>
      </w:r>
      <w:proofErr w:type="gramStart"/>
      <w:r>
        <w:t>+8</w:t>
      </w:r>
      <w:proofErr w:type="gramEnd"/>
      <w:r>
        <w:t>.</w:t>
      </w:r>
    </w:p>
    <w:p w14:paraId="3CA0F451" w14:textId="77777777" w:rsidR="00632601" w:rsidRDefault="00632601" w:rsidP="00632601">
      <w:r>
        <w:t>-The number of responses (total) by +160,357.</w:t>
      </w:r>
    </w:p>
    <w:p w14:paraId="05C9ABE9" w14:textId="77777777" w:rsidR="00632601" w:rsidRDefault="00632601" w:rsidP="00632601">
      <w:r>
        <w:t xml:space="preserve">-The number of hours (total) by </w:t>
      </w:r>
      <w:r w:rsidRPr="008E3DDF">
        <w:t>-917,808</w:t>
      </w:r>
      <w:r>
        <w:t>.</w:t>
      </w:r>
    </w:p>
    <w:p w14:paraId="3E327855" w14:textId="77777777" w:rsidR="00632601" w:rsidRDefault="00632601"/>
    <w:p w14:paraId="3FC876CF" w14:textId="77777777" w:rsidR="00DB5289" w:rsidRPr="00DB5289" w:rsidRDefault="00DB5289" w:rsidP="00DB5289">
      <w:pPr>
        <w:rPr>
          <w:b/>
        </w:rPr>
      </w:pPr>
      <w:r w:rsidRPr="00DB5289">
        <w:rPr>
          <w:b/>
        </w:rPr>
        <w:t>Summary of Changes</w:t>
      </w:r>
    </w:p>
    <w:p w14:paraId="0882A6CA" w14:textId="77777777" w:rsidR="00DB5289" w:rsidRDefault="00DB5289" w:rsidP="00DB5289">
      <w:pPr>
        <w:widowControl w:val="0"/>
        <w:ind w:left="144"/>
      </w:pPr>
    </w:p>
    <w:p w14:paraId="174540B8" w14:textId="77777777" w:rsidR="00DB5289" w:rsidRDefault="00DB5289" w:rsidP="00DB5289">
      <w:pPr>
        <w:rPr>
          <w:szCs w:val="24"/>
        </w:rPr>
      </w:pPr>
      <w:r>
        <w:rPr>
          <w:szCs w:val="24"/>
        </w:rPr>
        <w:t xml:space="preserve">The following figures reconcile </w:t>
      </w:r>
      <w:proofErr w:type="gramStart"/>
      <w:r>
        <w:rPr>
          <w:szCs w:val="24"/>
        </w:rPr>
        <w:t>this iterations nonsubstantive changes</w:t>
      </w:r>
      <w:proofErr w:type="gramEnd"/>
      <w:r>
        <w:rPr>
          <w:szCs w:val="24"/>
        </w:rPr>
        <w:t xml:space="preserve"> which culminate in our final burden estimates.</w:t>
      </w:r>
    </w:p>
    <w:p w14:paraId="56D08233" w14:textId="77777777" w:rsidR="00DB5289" w:rsidRDefault="00DB5289" w:rsidP="00DB5289">
      <w:pPr>
        <w:widowControl w:val="0"/>
        <w:ind w:left="144"/>
      </w:pPr>
    </w:p>
    <w:tbl>
      <w:tblPr>
        <w:tblW w:w="7740" w:type="dxa"/>
        <w:tblInd w:w="964" w:type="dxa"/>
        <w:tblLook w:val="04A0" w:firstRow="1" w:lastRow="0" w:firstColumn="1" w:lastColumn="0" w:noHBand="0" w:noVBand="1"/>
      </w:tblPr>
      <w:tblGrid>
        <w:gridCol w:w="3515"/>
        <w:gridCol w:w="4225"/>
      </w:tblGrid>
      <w:tr w:rsidR="00DB5289" w:rsidRPr="00DF2CE9" w14:paraId="12C5CD46" w14:textId="77777777" w:rsidTr="00547CBA">
        <w:trPr>
          <w:trHeight w:val="86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B094" w14:textId="77777777" w:rsidR="00DB5289" w:rsidRPr="00DF2CE9" w:rsidRDefault="00DB5289" w:rsidP="00547CBA">
            <w:pPr>
              <w:widowControl w:val="0"/>
              <w:ind w:left="144"/>
              <w:jc w:val="center"/>
              <w:rPr>
                <w:b/>
                <w:bCs/>
                <w:color w:val="000000"/>
                <w:sz w:val="20"/>
              </w:rPr>
            </w:pPr>
            <w:r w:rsidRPr="00DF2CE9">
              <w:rPr>
                <w:b/>
                <w:bCs/>
                <w:color w:val="000000"/>
                <w:sz w:val="20"/>
              </w:rPr>
              <w:t>Respondents</w:t>
            </w:r>
          </w:p>
        </w:tc>
      </w:tr>
      <w:tr w:rsidR="00DB5289" w:rsidRPr="00DF2CE9" w14:paraId="6ED02710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B00D" w14:textId="77777777" w:rsidR="00DB5289" w:rsidRPr="00DF2CE9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sz w:val="20"/>
              </w:rPr>
              <w:t>Jan 15, 2014 (</w:t>
            </w:r>
            <w:r w:rsidRPr="009A301D">
              <w:rPr>
                <w:color w:val="000000"/>
                <w:sz w:val="20"/>
              </w:rPr>
              <w:t>Supporting Statement)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05A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DF2CE9">
              <w:rPr>
                <w:color w:val="000000"/>
                <w:sz w:val="20"/>
              </w:rPr>
              <w:t>15,</w:t>
            </w:r>
            <w:r>
              <w:rPr>
                <w:color w:val="000000"/>
                <w:sz w:val="20"/>
              </w:rPr>
              <w:t>376</w:t>
            </w:r>
          </w:p>
        </w:tc>
      </w:tr>
      <w:tr w:rsidR="00DB5289" w:rsidRPr="00DF2CE9" w14:paraId="5D16CEDB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7DC2" w14:textId="77777777" w:rsidR="00DB5289" w:rsidRPr="00DF2CE9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(Supporting Statement)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5982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DF2CE9">
              <w:rPr>
                <w:color w:val="000000"/>
                <w:sz w:val="20"/>
              </w:rPr>
              <w:t>15,445</w:t>
            </w:r>
          </w:p>
        </w:tc>
      </w:tr>
      <w:tr w:rsidR="00DB5289" w:rsidRPr="00DF2CE9" w14:paraId="04697D47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807F" w14:textId="77777777" w:rsidR="00DB5289" w:rsidRPr="00DF2CE9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#1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7947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n/a</w:t>
            </w:r>
          </w:p>
        </w:tc>
      </w:tr>
      <w:tr w:rsidR="00DB5289" w:rsidRPr="00DF2CE9" w14:paraId="35A5858F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F7B028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0"/>
              </w:rPr>
            </w:pPr>
            <w:r w:rsidRPr="00725B4E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2DE48C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0"/>
              </w:rPr>
            </w:pPr>
            <w:r w:rsidRPr="00DF2CE9">
              <w:rPr>
                <w:i/>
                <w:color w:val="000000"/>
                <w:sz w:val="20"/>
              </w:rPr>
              <w:t>15</w:t>
            </w:r>
            <w:r>
              <w:rPr>
                <w:i/>
                <w:color w:val="000000"/>
                <w:sz w:val="20"/>
              </w:rPr>
              <w:t>,</w:t>
            </w:r>
            <w:r w:rsidRPr="00DF2CE9">
              <w:rPr>
                <w:i/>
                <w:color w:val="000000"/>
                <w:sz w:val="20"/>
              </w:rPr>
              <w:t>445</w:t>
            </w:r>
          </w:p>
        </w:tc>
      </w:tr>
      <w:tr w:rsidR="00DB5289" w:rsidRPr="00DF2CE9" w14:paraId="3661E84C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895B" w14:textId="77777777" w:rsidR="00DB5289" w:rsidRPr="00725B4E" w:rsidRDefault="00DB5289" w:rsidP="00547CBA">
            <w:pPr>
              <w:widowControl w:val="0"/>
              <w:ind w:left="144"/>
              <w:rPr>
                <w:i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</w:t>
            </w:r>
            <w:proofErr w:type="spellStart"/>
            <w:r>
              <w:rPr>
                <w:color w:val="000000"/>
                <w:sz w:val="20"/>
              </w:rPr>
              <w:t>ROCIS</w:t>
            </w:r>
            <w:proofErr w:type="spellEnd"/>
            <w:r>
              <w:rPr>
                <w:color w:val="000000"/>
                <w:sz w:val="20"/>
              </w:rPr>
              <w:t xml:space="preserve"> burden</w:t>
            </w:r>
            <w:r w:rsidRPr="009A301D">
              <w:rPr>
                <w:color w:val="000000"/>
                <w:sz w:val="20"/>
              </w:rPr>
              <w:t>)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40B4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0"/>
              </w:rPr>
            </w:pPr>
            <w:r w:rsidRPr="00DF2CE9">
              <w:rPr>
                <w:color w:val="000000"/>
                <w:sz w:val="20"/>
              </w:rPr>
              <w:t>15,</w:t>
            </w:r>
            <w:r>
              <w:rPr>
                <w:color w:val="000000"/>
                <w:sz w:val="20"/>
              </w:rPr>
              <w:t>421</w:t>
            </w:r>
          </w:p>
        </w:tc>
      </w:tr>
      <w:tr w:rsidR="00DB5289" w:rsidRPr="00DF2CE9" w14:paraId="40EF2F91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197A35" w14:textId="77777777" w:rsidR="00DB5289" w:rsidRPr="00DF2CE9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#2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231DA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DF2CE9">
              <w:rPr>
                <w:color w:val="000000"/>
                <w:sz w:val="20"/>
              </w:rPr>
              <w:t>+</w:t>
            </w:r>
            <w:r>
              <w:rPr>
                <w:color w:val="000000"/>
                <w:sz w:val="20"/>
              </w:rPr>
              <w:t>24 (15,445 – 15,421)</w:t>
            </w:r>
          </w:p>
        </w:tc>
      </w:tr>
      <w:tr w:rsidR="00DB5289" w:rsidRPr="00DF2CE9" w14:paraId="2F3BC081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00B06F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725B4E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7D553C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DF2CE9">
              <w:rPr>
                <w:i/>
                <w:color w:val="000000"/>
                <w:sz w:val="20"/>
              </w:rPr>
              <w:t>15</w:t>
            </w:r>
            <w:r>
              <w:rPr>
                <w:i/>
                <w:color w:val="000000"/>
                <w:sz w:val="20"/>
              </w:rPr>
              <w:t>,</w:t>
            </w:r>
            <w:r w:rsidRPr="00DF2CE9">
              <w:rPr>
                <w:i/>
                <w:color w:val="000000"/>
                <w:sz w:val="20"/>
              </w:rPr>
              <w:t>445</w:t>
            </w:r>
            <w:r>
              <w:rPr>
                <w:i/>
                <w:color w:val="000000"/>
                <w:sz w:val="20"/>
              </w:rPr>
              <w:t xml:space="preserve"> (15,421 + 24)</w:t>
            </w:r>
          </w:p>
        </w:tc>
      </w:tr>
      <w:tr w:rsidR="00DB5289" w:rsidRPr="00DF2CE9" w14:paraId="173D1414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94F" w14:textId="77777777" w:rsidR="00DB5289" w:rsidRPr="00DF2CE9" w:rsidRDefault="00DB5289" w:rsidP="00547CBA">
            <w:pPr>
              <w:widowControl w:val="0"/>
              <w:ind w:left="144"/>
              <w:rPr>
                <w:i/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Adjustment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A60" w14:textId="77777777" w:rsidR="00DB5289" w:rsidRPr="00DF2CE9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+2</w:t>
            </w:r>
          </w:p>
        </w:tc>
      </w:tr>
      <w:tr w:rsidR="00DB5289" w:rsidRPr="00544EA1" w14:paraId="1ADE5062" w14:textId="77777777" w:rsidTr="00547CBA">
        <w:trPr>
          <w:trHeight w:val="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37F685" w14:textId="77777777" w:rsidR="00DB5289" w:rsidRPr="00544EA1" w:rsidRDefault="00DB5289" w:rsidP="00547CBA">
            <w:pPr>
              <w:widowControl w:val="0"/>
              <w:ind w:left="144"/>
              <w:jc w:val="right"/>
              <w:rPr>
                <w:b/>
                <w:color w:val="000000"/>
                <w:sz w:val="20"/>
              </w:rPr>
            </w:pPr>
            <w:r w:rsidRPr="00544EA1">
              <w:rPr>
                <w:b/>
                <w:iCs/>
                <w:color w:val="000000"/>
                <w:sz w:val="20"/>
              </w:rPr>
              <w:t>Final Estimate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F90916" w14:textId="77777777" w:rsidR="00DB5289" w:rsidRPr="00544EA1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544EA1">
              <w:rPr>
                <w:b/>
                <w:iCs/>
                <w:color w:val="000000"/>
                <w:sz w:val="20"/>
              </w:rPr>
              <w:t>15,447</w:t>
            </w:r>
            <w:r>
              <w:rPr>
                <w:b/>
                <w:iCs/>
                <w:color w:val="000000"/>
                <w:sz w:val="20"/>
              </w:rPr>
              <w:t xml:space="preserve"> (15,445 + 2)</w:t>
            </w:r>
          </w:p>
        </w:tc>
      </w:tr>
    </w:tbl>
    <w:p w14:paraId="5DBE8CB4" w14:textId="77777777" w:rsidR="00DB5289" w:rsidRPr="005F70EE" w:rsidRDefault="00DB5289" w:rsidP="00DB5289">
      <w:pPr>
        <w:widowControl w:val="0"/>
        <w:ind w:left="144"/>
      </w:pPr>
    </w:p>
    <w:tbl>
      <w:tblPr>
        <w:tblW w:w="7740" w:type="dxa"/>
        <w:tblInd w:w="1303" w:type="dxa"/>
        <w:tblLook w:val="04A0" w:firstRow="1" w:lastRow="0" w:firstColumn="1" w:lastColumn="0" w:noHBand="0" w:noVBand="1"/>
      </w:tblPr>
      <w:tblGrid>
        <w:gridCol w:w="3515"/>
        <w:gridCol w:w="4225"/>
      </w:tblGrid>
      <w:tr w:rsidR="00DB5289" w:rsidRPr="00725B4E" w14:paraId="1D502230" w14:textId="77777777" w:rsidTr="00547CBA">
        <w:trPr>
          <w:trHeight w:val="80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28ABB5" w14:textId="77777777" w:rsidR="00DB5289" w:rsidRPr="00103DA7" w:rsidRDefault="00DB5289" w:rsidP="00547CBA">
            <w:pPr>
              <w:widowControl w:val="0"/>
              <w:ind w:left="144"/>
              <w:jc w:val="center"/>
              <w:rPr>
                <w:b/>
                <w:iCs/>
                <w:color w:val="000000"/>
                <w:sz w:val="20"/>
              </w:rPr>
            </w:pPr>
            <w:r w:rsidRPr="00103DA7">
              <w:rPr>
                <w:b/>
                <w:iCs/>
                <w:color w:val="000000"/>
                <w:sz w:val="20"/>
              </w:rPr>
              <w:t>Number of Responses (Assessments) Per Facility</w:t>
            </w:r>
          </w:p>
        </w:tc>
      </w:tr>
      <w:tr w:rsidR="00DB5289" w:rsidRPr="009A301D" w14:paraId="75AAFA69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3C406A" w14:textId="77777777" w:rsidR="00DB5289" w:rsidRPr="009A301D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>
              <w:rPr>
                <w:sz w:val="20"/>
              </w:rPr>
              <w:t>Jan</w:t>
            </w:r>
            <w:r w:rsidRPr="009A301D">
              <w:rPr>
                <w:sz w:val="20"/>
              </w:rPr>
              <w:t xml:space="preserve"> 15, 2014 (</w:t>
            </w:r>
            <w:r w:rsidRPr="009A301D">
              <w:rPr>
                <w:color w:val="000000"/>
                <w:sz w:val="20"/>
              </w:rPr>
              <w:t>Supporting Statement)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FE617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416</w:t>
            </w:r>
          </w:p>
        </w:tc>
      </w:tr>
      <w:tr w:rsidR="00DB5289" w:rsidRPr="009A301D" w14:paraId="44A88F87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58A4D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(Supporting Statement)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A78510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45</w:t>
            </w:r>
          </w:p>
        </w:tc>
      </w:tr>
      <w:tr w:rsidR="00DB5289" w:rsidRPr="009A301D" w14:paraId="3AA6D3D2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0A48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36A2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+371</w:t>
            </w:r>
          </w:p>
        </w:tc>
      </w:tr>
      <w:tr w:rsidR="00DB5289" w:rsidRPr="00725B4E" w14:paraId="5A5C963C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18F981" w14:textId="77777777" w:rsidR="00DB5289" w:rsidRPr="00725B4E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 w:rsidRPr="00725B4E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289804" w14:textId="77777777" w:rsidR="00DB5289" w:rsidRPr="00725B4E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 w:rsidRPr="00725B4E">
              <w:rPr>
                <w:i/>
                <w:iCs/>
                <w:color w:val="000000"/>
                <w:sz w:val="20"/>
              </w:rPr>
              <w:t>4</w:t>
            </w:r>
            <w:r>
              <w:rPr>
                <w:i/>
                <w:iCs/>
                <w:color w:val="000000"/>
                <w:sz w:val="20"/>
              </w:rPr>
              <w:t>16 (45 + 371)</w:t>
            </w:r>
          </w:p>
        </w:tc>
      </w:tr>
      <w:tr w:rsidR="00DB5289" w:rsidRPr="00725B4E" w14:paraId="13DC2317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7243" w14:textId="77777777" w:rsidR="00DB5289" w:rsidRPr="00725B4E" w:rsidRDefault="00DB5289" w:rsidP="00547CBA">
            <w:pPr>
              <w:widowControl w:val="0"/>
              <w:ind w:left="144"/>
              <w:rPr>
                <w:i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</w:t>
            </w:r>
            <w:proofErr w:type="spellStart"/>
            <w:r>
              <w:rPr>
                <w:color w:val="000000"/>
                <w:sz w:val="20"/>
              </w:rPr>
              <w:t>ROCIS</w:t>
            </w:r>
            <w:proofErr w:type="spellEnd"/>
            <w:r>
              <w:rPr>
                <w:color w:val="000000"/>
                <w:sz w:val="20"/>
              </w:rPr>
              <w:t xml:space="preserve"> burden</w:t>
            </w:r>
            <w:r w:rsidRPr="009A301D">
              <w:rPr>
                <w:color w:val="000000"/>
                <w:sz w:val="20"/>
              </w:rPr>
              <w:t>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2E7B" w14:textId="77777777" w:rsidR="00DB5289" w:rsidRPr="00725B4E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44</w:t>
            </w:r>
          </w:p>
        </w:tc>
      </w:tr>
      <w:tr w:rsidR="00DB5289" w:rsidRPr="00725B4E" w14:paraId="60833135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ED50" w14:textId="77777777" w:rsidR="00DB5289" w:rsidRPr="009A301D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0C9A" w14:textId="77777777" w:rsidR="00DB5289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+1 (45 – 44)</w:t>
            </w:r>
          </w:p>
        </w:tc>
      </w:tr>
      <w:tr w:rsidR="00DB5289" w:rsidRPr="009A301D" w14:paraId="4D46F205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03A01D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color w:val="000000"/>
                <w:sz w:val="20"/>
              </w:rPr>
            </w:pPr>
            <w:r w:rsidRPr="00725B4E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22348E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725B4E">
              <w:rPr>
                <w:i/>
                <w:iCs/>
                <w:color w:val="000000"/>
                <w:sz w:val="20"/>
              </w:rPr>
              <w:t>4</w:t>
            </w:r>
            <w:r>
              <w:rPr>
                <w:i/>
                <w:iCs/>
                <w:color w:val="000000"/>
                <w:sz w:val="20"/>
              </w:rPr>
              <w:t>17 (416 + 1)</w:t>
            </w:r>
          </w:p>
        </w:tc>
      </w:tr>
      <w:tr w:rsidR="00DB5289" w:rsidRPr="009A301D" w14:paraId="136F5A37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79C4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Adjustment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26C7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+</w:t>
            </w:r>
            <w:r>
              <w:rPr>
                <w:iCs/>
                <w:color w:val="000000"/>
                <w:sz w:val="20"/>
              </w:rPr>
              <w:t>8</w:t>
            </w:r>
          </w:p>
        </w:tc>
      </w:tr>
      <w:tr w:rsidR="00DB5289" w:rsidRPr="009A301D" w14:paraId="13CDB7E4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E4B31E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A301D">
              <w:rPr>
                <w:b/>
                <w:iCs/>
                <w:color w:val="000000"/>
                <w:sz w:val="20"/>
              </w:rPr>
              <w:t>Final Estimate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B85626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A301D">
              <w:rPr>
                <w:b/>
                <w:iCs/>
                <w:color w:val="000000"/>
                <w:sz w:val="20"/>
              </w:rPr>
              <w:t>425</w:t>
            </w:r>
            <w:r>
              <w:rPr>
                <w:b/>
                <w:iCs/>
                <w:color w:val="000000"/>
                <w:sz w:val="20"/>
              </w:rPr>
              <w:t xml:space="preserve"> (417 +8)</w:t>
            </w:r>
          </w:p>
        </w:tc>
      </w:tr>
    </w:tbl>
    <w:p w14:paraId="56144F43" w14:textId="77777777" w:rsidR="00DB5289" w:rsidRDefault="00DB5289" w:rsidP="00DB5289">
      <w:pPr>
        <w:widowControl w:val="0"/>
        <w:ind w:left="144"/>
      </w:pPr>
    </w:p>
    <w:tbl>
      <w:tblPr>
        <w:tblW w:w="7740" w:type="dxa"/>
        <w:tblInd w:w="1303" w:type="dxa"/>
        <w:tblLook w:val="04A0" w:firstRow="1" w:lastRow="0" w:firstColumn="1" w:lastColumn="0" w:noHBand="0" w:noVBand="1"/>
      </w:tblPr>
      <w:tblGrid>
        <w:gridCol w:w="3515"/>
        <w:gridCol w:w="4225"/>
      </w:tblGrid>
      <w:tr w:rsidR="00DB5289" w:rsidRPr="00725B4E" w14:paraId="6013D3C4" w14:textId="77777777" w:rsidTr="00547CBA">
        <w:trPr>
          <w:trHeight w:val="80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1A856" w14:textId="77777777" w:rsidR="00DB5289" w:rsidRPr="00725B4E" w:rsidRDefault="00DB5289" w:rsidP="00547CBA">
            <w:pPr>
              <w:widowControl w:val="0"/>
              <w:ind w:left="144"/>
              <w:jc w:val="center"/>
              <w:rPr>
                <w:b/>
                <w:iCs/>
                <w:color w:val="000000"/>
                <w:sz w:val="20"/>
              </w:rPr>
            </w:pPr>
            <w:r>
              <w:rPr>
                <w:b/>
                <w:iCs/>
                <w:color w:val="000000"/>
                <w:sz w:val="20"/>
              </w:rPr>
              <w:t>Responses (Total)</w:t>
            </w:r>
          </w:p>
        </w:tc>
      </w:tr>
      <w:tr w:rsidR="00DB5289" w:rsidRPr="009A301D" w14:paraId="1B44E4D4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AFEEF3" w14:textId="77777777" w:rsidR="00DB5289" w:rsidRPr="009A301D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sz w:val="20"/>
              </w:rPr>
              <w:t>Jan. 15, 2014 (</w:t>
            </w:r>
            <w:r w:rsidRPr="009A301D">
              <w:rPr>
                <w:color w:val="000000"/>
                <w:sz w:val="20"/>
              </w:rPr>
              <w:t>Supporting Statement)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EDDEF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692C08">
              <w:rPr>
                <w:iCs/>
                <w:color w:val="000000"/>
                <w:sz w:val="20"/>
              </w:rPr>
              <w:t>6,392,971</w:t>
            </w:r>
          </w:p>
        </w:tc>
      </w:tr>
      <w:tr w:rsidR="00DB5289" w:rsidRPr="009A301D" w14:paraId="7CFAC5C5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0B6C09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(Supporting Statement)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C78FF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74076E">
              <w:rPr>
                <w:iCs/>
                <w:color w:val="000000"/>
                <w:sz w:val="20"/>
              </w:rPr>
              <w:t>688,540</w:t>
            </w:r>
          </w:p>
        </w:tc>
      </w:tr>
      <w:tr w:rsidR="00DB5289" w:rsidRPr="009A301D" w14:paraId="155E08EB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20F94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61BB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+</w:t>
            </w:r>
            <w:r>
              <w:rPr>
                <w:iCs/>
                <w:color w:val="000000"/>
                <w:sz w:val="20"/>
              </w:rPr>
              <w:t>5,704,431</w:t>
            </w:r>
          </w:p>
        </w:tc>
      </w:tr>
      <w:tr w:rsidR="00DB5289" w:rsidRPr="00D566E3" w14:paraId="5CB175BC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88EBDF" w14:textId="77777777" w:rsidR="00DB5289" w:rsidRPr="00D566E3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 w:rsidRPr="00D566E3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CDB54F" w14:textId="77777777" w:rsidR="00DB5289" w:rsidRPr="00D566E3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 w:rsidRPr="00D566E3">
              <w:rPr>
                <w:i/>
                <w:iCs/>
                <w:color w:val="000000"/>
                <w:sz w:val="20"/>
              </w:rPr>
              <w:t>6,392,971</w:t>
            </w:r>
          </w:p>
        </w:tc>
      </w:tr>
      <w:tr w:rsidR="00DB5289" w:rsidRPr="00725B4E" w14:paraId="0BC7CEA7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8591" w14:textId="77777777" w:rsidR="00DB5289" w:rsidRPr="00725B4E" w:rsidRDefault="00DB5289" w:rsidP="00547CBA">
            <w:pPr>
              <w:widowControl w:val="0"/>
              <w:ind w:left="144"/>
              <w:rPr>
                <w:i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</w:t>
            </w:r>
            <w:proofErr w:type="spellStart"/>
            <w:r>
              <w:rPr>
                <w:color w:val="000000"/>
                <w:sz w:val="20"/>
              </w:rPr>
              <w:t>ROCIS</w:t>
            </w:r>
            <w:proofErr w:type="spellEnd"/>
            <w:r>
              <w:rPr>
                <w:color w:val="000000"/>
                <w:sz w:val="20"/>
              </w:rPr>
              <w:t xml:space="preserve"> burden</w:t>
            </w:r>
            <w:r w:rsidRPr="009A301D">
              <w:rPr>
                <w:color w:val="000000"/>
                <w:sz w:val="20"/>
              </w:rPr>
              <w:t>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6BE1B" w14:textId="77777777" w:rsidR="00DB5289" w:rsidRPr="00692C08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BF78D2">
              <w:rPr>
                <w:iCs/>
                <w:color w:val="000000"/>
                <w:sz w:val="20"/>
              </w:rPr>
              <w:t>678,524</w:t>
            </w:r>
          </w:p>
        </w:tc>
      </w:tr>
      <w:tr w:rsidR="00DB5289" w:rsidRPr="009A301D" w14:paraId="46A3475F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A307" w14:textId="77777777" w:rsidR="00DB5289" w:rsidRPr="009A301D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0C87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+10,016 (688,540 – 678,524)</w:t>
            </w:r>
          </w:p>
        </w:tc>
      </w:tr>
      <w:tr w:rsidR="00DB5289" w:rsidRPr="00D566E3" w14:paraId="66AF6FAE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F5E76D" w14:textId="77777777" w:rsidR="00DB5289" w:rsidRPr="00D566E3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0"/>
              </w:rPr>
            </w:pPr>
            <w:r w:rsidRPr="00D566E3">
              <w:rPr>
                <w:i/>
                <w:color w:val="000000"/>
                <w:sz w:val="20"/>
              </w:rPr>
              <w:t>Subtotal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BBE0E4" w14:textId="77777777" w:rsidR="00DB5289" w:rsidRPr="00D566E3" w:rsidRDefault="00DB5289" w:rsidP="00547CBA">
            <w:pPr>
              <w:widowControl w:val="0"/>
              <w:ind w:left="144"/>
              <w:jc w:val="right"/>
              <w:rPr>
                <w:i/>
                <w:iCs/>
                <w:color w:val="000000"/>
                <w:sz w:val="20"/>
              </w:rPr>
            </w:pPr>
            <w:r w:rsidRPr="00D566E3">
              <w:rPr>
                <w:i/>
                <w:iCs/>
                <w:color w:val="000000"/>
                <w:sz w:val="20"/>
              </w:rPr>
              <w:t>6,402,987 (6,392,971 + 10,016)</w:t>
            </w:r>
          </w:p>
        </w:tc>
      </w:tr>
      <w:tr w:rsidR="00DB5289" w:rsidRPr="009A301D" w14:paraId="165E8C10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5E51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Adjustment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5026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+</w:t>
            </w:r>
            <w:r>
              <w:rPr>
                <w:iCs/>
                <w:color w:val="000000"/>
                <w:sz w:val="20"/>
              </w:rPr>
              <w:t>160,357</w:t>
            </w:r>
          </w:p>
        </w:tc>
      </w:tr>
      <w:tr w:rsidR="00DB5289" w:rsidRPr="009A301D" w14:paraId="069D03A7" w14:textId="77777777" w:rsidTr="00547CBA">
        <w:trPr>
          <w:trHeight w:val="8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2FF583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A301D">
              <w:rPr>
                <w:b/>
                <w:iCs/>
                <w:color w:val="000000"/>
                <w:sz w:val="20"/>
              </w:rPr>
              <w:t>Final Estimate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EA892A" w14:textId="77777777" w:rsidR="00DB5289" w:rsidRPr="009A301D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AF23DF">
              <w:rPr>
                <w:b/>
                <w:iCs/>
                <w:color w:val="000000"/>
                <w:sz w:val="20"/>
              </w:rPr>
              <w:t>6,563,344</w:t>
            </w:r>
          </w:p>
        </w:tc>
      </w:tr>
    </w:tbl>
    <w:p w14:paraId="50A1C6A7" w14:textId="77777777" w:rsidR="00DB5289" w:rsidRDefault="00DB5289" w:rsidP="00DB5289">
      <w:pPr>
        <w:widowControl w:val="0"/>
        <w:ind w:left="144"/>
      </w:pPr>
    </w:p>
    <w:tbl>
      <w:tblPr>
        <w:tblW w:w="7740" w:type="dxa"/>
        <w:tblInd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90"/>
        <w:gridCol w:w="1142"/>
        <w:gridCol w:w="1438"/>
      </w:tblGrid>
      <w:tr w:rsidR="00DB5289" w:rsidRPr="009A301D" w14:paraId="11632B3C" w14:textId="77777777" w:rsidTr="00547CBA">
        <w:trPr>
          <w:trHeight w:val="80"/>
        </w:trPr>
        <w:tc>
          <w:tcPr>
            <w:tcW w:w="7740" w:type="dxa"/>
            <w:gridSpan w:val="4"/>
            <w:shd w:val="clear" w:color="auto" w:fill="FFFFFF" w:themeFill="background1"/>
            <w:noWrap/>
            <w:vAlign w:val="bottom"/>
          </w:tcPr>
          <w:p w14:paraId="694EDC37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/>
                <w:iCs/>
                <w:color w:val="000000"/>
                <w:sz w:val="20"/>
              </w:rPr>
            </w:pPr>
            <w:r w:rsidRPr="009A301D">
              <w:rPr>
                <w:b/>
                <w:iCs/>
                <w:color w:val="000000"/>
                <w:sz w:val="20"/>
              </w:rPr>
              <w:t>Time Per Response</w:t>
            </w:r>
          </w:p>
        </w:tc>
      </w:tr>
      <w:tr w:rsidR="00DB5289" w:rsidRPr="009A301D" w14:paraId="59AE2F35" w14:textId="77777777" w:rsidTr="00547CBA">
        <w:trPr>
          <w:trHeight w:val="80"/>
        </w:trPr>
        <w:tc>
          <w:tcPr>
            <w:tcW w:w="3870" w:type="dxa"/>
            <w:shd w:val="clear" w:color="auto" w:fill="FFFFFF" w:themeFill="background1"/>
            <w:noWrap/>
            <w:vAlign w:val="bottom"/>
          </w:tcPr>
          <w:p w14:paraId="247E5CF0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sz w:val="20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1EC0293F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Preparation</w:t>
            </w:r>
          </w:p>
        </w:tc>
        <w:tc>
          <w:tcPr>
            <w:tcW w:w="1286" w:type="dxa"/>
            <w:shd w:val="clear" w:color="auto" w:fill="FFFFFF" w:themeFill="background1"/>
            <w:vAlign w:val="bottom"/>
          </w:tcPr>
          <w:p w14:paraId="4CFB295B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Coding</w:t>
            </w:r>
          </w:p>
        </w:tc>
        <w:tc>
          <w:tcPr>
            <w:tcW w:w="1294" w:type="dxa"/>
            <w:shd w:val="clear" w:color="auto" w:fill="FFFFFF" w:themeFill="background1"/>
            <w:vAlign w:val="bottom"/>
          </w:tcPr>
          <w:p w14:paraId="5A6E6F3C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Transmission</w:t>
            </w:r>
          </w:p>
        </w:tc>
      </w:tr>
      <w:tr w:rsidR="00DB5289" w:rsidRPr="009A301D" w14:paraId="69111333" w14:textId="77777777" w:rsidTr="00547CBA">
        <w:trPr>
          <w:trHeight w:val="80"/>
        </w:trPr>
        <w:tc>
          <w:tcPr>
            <w:tcW w:w="3870" w:type="dxa"/>
            <w:shd w:val="clear" w:color="auto" w:fill="FFFFFF" w:themeFill="background1"/>
            <w:noWrap/>
            <w:vAlign w:val="bottom"/>
          </w:tcPr>
          <w:p w14:paraId="0A55D900" w14:textId="77777777" w:rsidR="00DB5289" w:rsidRPr="009A301D" w:rsidRDefault="00DB5289" w:rsidP="00547CBA">
            <w:pPr>
              <w:widowControl w:val="0"/>
              <w:ind w:left="144"/>
              <w:rPr>
                <w:b/>
                <w:iCs/>
                <w:color w:val="000000"/>
                <w:sz w:val="20"/>
              </w:rPr>
            </w:pPr>
            <w:r w:rsidRPr="009A301D">
              <w:rPr>
                <w:sz w:val="20"/>
              </w:rPr>
              <w:t>Jan. 15, 2014 (</w:t>
            </w:r>
            <w:r w:rsidRPr="009A301D">
              <w:rPr>
                <w:color w:val="000000"/>
                <w:sz w:val="20"/>
              </w:rPr>
              <w:t>Supporting Statement)</w:t>
            </w: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1A729930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0.8333</w:t>
            </w:r>
          </w:p>
        </w:tc>
        <w:tc>
          <w:tcPr>
            <w:tcW w:w="1286" w:type="dxa"/>
            <w:shd w:val="clear" w:color="auto" w:fill="FFFFFF" w:themeFill="background1"/>
            <w:vAlign w:val="bottom"/>
          </w:tcPr>
          <w:p w14:paraId="396B8527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0.1667</w:t>
            </w:r>
          </w:p>
        </w:tc>
        <w:tc>
          <w:tcPr>
            <w:tcW w:w="1294" w:type="dxa"/>
            <w:shd w:val="clear" w:color="auto" w:fill="FFFFFF" w:themeFill="background1"/>
            <w:vAlign w:val="bottom"/>
          </w:tcPr>
          <w:p w14:paraId="6CE00447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0.0333</w:t>
            </w:r>
          </w:p>
        </w:tc>
      </w:tr>
      <w:tr w:rsidR="00DB5289" w:rsidRPr="009A301D" w14:paraId="2B308D70" w14:textId="77777777" w:rsidTr="00547CBA">
        <w:trPr>
          <w:trHeight w:val="80"/>
        </w:trPr>
        <w:tc>
          <w:tcPr>
            <w:tcW w:w="3870" w:type="dxa"/>
            <w:shd w:val="clear" w:color="auto" w:fill="FFFFFF" w:themeFill="background1"/>
            <w:noWrap/>
            <w:vAlign w:val="bottom"/>
          </w:tcPr>
          <w:p w14:paraId="4F1A6BA9" w14:textId="77777777" w:rsidR="00DB5289" w:rsidRPr="009A301D" w:rsidRDefault="00DB5289" w:rsidP="00547CBA">
            <w:pPr>
              <w:widowControl w:val="0"/>
              <w:ind w:left="144"/>
              <w:rPr>
                <w:b/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Feb 6, 2017 (Supporting Statement)</w:t>
            </w: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43A10DF5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0.6667</w:t>
            </w:r>
          </w:p>
        </w:tc>
        <w:tc>
          <w:tcPr>
            <w:tcW w:w="1286" w:type="dxa"/>
            <w:shd w:val="clear" w:color="auto" w:fill="FFFFFF" w:themeFill="background1"/>
            <w:vAlign w:val="bottom"/>
          </w:tcPr>
          <w:p w14:paraId="14A1487F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0.1667</w:t>
            </w:r>
          </w:p>
        </w:tc>
        <w:tc>
          <w:tcPr>
            <w:tcW w:w="1294" w:type="dxa"/>
            <w:shd w:val="clear" w:color="auto" w:fill="FFFFFF" w:themeFill="background1"/>
            <w:vAlign w:val="bottom"/>
          </w:tcPr>
          <w:p w14:paraId="0A66F779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0.0167</w:t>
            </w:r>
          </w:p>
        </w:tc>
      </w:tr>
      <w:tr w:rsidR="00DB5289" w:rsidRPr="009A301D" w14:paraId="0F9287BA" w14:textId="77777777" w:rsidTr="00547CBA">
        <w:trPr>
          <w:trHeight w:val="80"/>
        </w:trPr>
        <w:tc>
          <w:tcPr>
            <w:tcW w:w="3870" w:type="dxa"/>
            <w:shd w:val="clear" w:color="auto" w:fill="auto"/>
            <w:noWrap/>
            <w:vAlign w:val="bottom"/>
          </w:tcPr>
          <w:p w14:paraId="00AEC92C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#1</w:t>
            </w:r>
          </w:p>
        </w:tc>
        <w:tc>
          <w:tcPr>
            <w:tcW w:w="1290" w:type="dxa"/>
            <w:shd w:val="clear" w:color="auto" w:fill="auto"/>
            <w:vAlign w:val="bottom"/>
          </w:tcPr>
          <w:p w14:paraId="4C685B66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A873DA8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1554707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</w:tr>
      <w:tr w:rsidR="00DB5289" w:rsidRPr="009A301D" w14:paraId="36F0D4C0" w14:textId="77777777" w:rsidTr="00547CBA">
        <w:trPr>
          <w:trHeight w:val="80"/>
        </w:trPr>
        <w:tc>
          <w:tcPr>
            <w:tcW w:w="3870" w:type="dxa"/>
            <w:shd w:val="clear" w:color="auto" w:fill="auto"/>
            <w:noWrap/>
            <w:vAlign w:val="bottom"/>
          </w:tcPr>
          <w:p w14:paraId="036D962F" w14:textId="77777777" w:rsidR="00DB5289" w:rsidRPr="009A301D" w:rsidRDefault="00DB5289" w:rsidP="00547CBA">
            <w:pPr>
              <w:widowControl w:val="0"/>
              <w:ind w:left="144"/>
              <w:rPr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Correction #2</w:t>
            </w:r>
          </w:p>
        </w:tc>
        <w:tc>
          <w:tcPr>
            <w:tcW w:w="1290" w:type="dxa"/>
            <w:shd w:val="clear" w:color="auto" w:fill="auto"/>
            <w:vAlign w:val="bottom"/>
          </w:tcPr>
          <w:p w14:paraId="1E27319D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0A711C6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461CC8C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</w:tr>
      <w:tr w:rsidR="00DB5289" w:rsidRPr="009A301D" w14:paraId="3AD8C29E" w14:textId="77777777" w:rsidTr="00547CBA">
        <w:trPr>
          <w:trHeight w:val="80"/>
        </w:trPr>
        <w:tc>
          <w:tcPr>
            <w:tcW w:w="3870" w:type="dxa"/>
            <w:shd w:val="clear" w:color="auto" w:fill="auto"/>
            <w:noWrap/>
            <w:vAlign w:val="bottom"/>
          </w:tcPr>
          <w:p w14:paraId="501EA4F0" w14:textId="77777777" w:rsidR="00DB5289" w:rsidRPr="009A301D" w:rsidRDefault="00DB5289" w:rsidP="00547CBA">
            <w:pPr>
              <w:widowControl w:val="0"/>
              <w:ind w:left="144"/>
              <w:rPr>
                <w:iCs/>
                <w:color w:val="000000"/>
                <w:sz w:val="20"/>
              </w:rPr>
            </w:pPr>
            <w:r w:rsidRPr="009A301D">
              <w:rPr>
                <w:color w:val="000000"/>
                <w:sz w:val="20"/>
              </w:rPr>
              <w:t>Adjustment</w:t>
            </w:r>
          </w:p>
        </w:tc>
        <w:tc>
          <w:tcPr>
            <w:tcW w:w="1290" w:type="dxa"/>
            <w:shd w:val="clear" w:color="auto" w:fill="auto"/>
            <w:vAlign w:val="bottom"/>
          </w:tcPr>
          <w:p w14:paraId="42AA6733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b/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E45EB77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b/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B670932" w14:textId="77777777" w:rsidR="00DB5289" w:rsidRPr="009A301D" w:rsidRDefault="00DB5289" w:rsidP="00547CBA">
            <w:pPr>
              <w:widowControl w:val="0"/>
              <w:ind w:left="144"/>
              <w:jc w:val="center"/>
              <w:rPr>
                <w:b/>
                <w:iCs/>
                <w:color w:val="000000"/>
                <w:sz w:val="20"/>
              </w:rPr>
            </w:pPr>
            <w:r w:rsidRPr="009A301D">
              <w:rPr>
                <w:iCs/>
                <w:color w:val="000000"/>
                <w:sz w:val="20"/>
              </w:rPr>
              <w:t>none (n/a)</w:t>
            </w:r>
          </w:p>
        </w:tc>
      </w:tr>
      <w:tr w:rsidR="00DB5289" w:rsidRPr="009F6599" w14:paraId="62081555" w14:textId="77777777" w:rsidTr="00547CBA">
        <w:trPr>
          <w:trHeight w:val="80"/>
        </w:trPr>
        <w:tc>
          <w:tcPr>
            <w:tcW w:w="3870" w:type="dxa"/>
            <w:shd w:val="clear" w:color="auto" w:fill="D9D9D9" w:themeFill="background1" w:themeFillShade="D9"/>
            <w:noWrap/>
            <w:vAlign w:val="bottom"/>
          </w:tcPr>
          <w:p w14:paraId="28AF0031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F6599">
              <w:rPr>
                <w:b/>
                <w:iCs/>
                <w:color w:val="000000"/>
                <w:sz w:val="20"/>
              </w:rPr>
              <w:t>Final Estimate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bottom"/>
          </w:tcPr>
          <w:p w14:paraId="5CA714A4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F6599">
              <w:rPr>
                <w:b/>
                <w:iCs/>
                <w:color w:val="000000"/>
                <w:sz w:val="20"/>
              </w:rPr>
              <w:t>0.6667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bottom"/>
          </w:tcPr>
          <w:p w14:paraId="10CFC44D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F6599">
              <w:rPr>
                <w:b/>
                <w:iCs/>
                <w:color w:val="000000"/>
                <w:sz w:val="20"/>
              </w:rPr>
              <w:t>0.1667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bottom"/>
          </w:tcPr>
          <w:p w14:paraId="0DAA86F5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Cs/>
                <w:color w:val="000000"/>
                <w:sz w:val="20"/>
              </w:rPr>
            </w:pPr>
            <w:r w:rsidRPr="009F6599">
              <w:rPr>
                <w:b/>
                <w:iCs/>
                <w:color w:val="000000"/>
                <w:sz w:val="20"/>
              </w:rPr>
              <w:t>0.0167</w:t>
            </w:r>
          </w:p>
        </w:tc>
      </w:tr>
    </w:tbl>
    <w:p w14:paraId="6B273DC9" w14:textId="77777777" w:rsidR="00DB5289" w:rsidRDefault="00DB5289" w:rsidP="00DB5289">
      <w:pPr>
        <w:widowControl w:val="0"/>
        <w:ind w:left="144"/>
      </w:pPr>
    </w:p>
    <w:tbl>
      <w:tblPr>
        <w:tblW w:w="7740" w:type="dxa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4225"/>
      </w:tblGrid>
      <w:tr w:rsidR="00DB5289" w:rsidRPr="006137F1" w14:paraId="7A51A58F" w14:textId="77777777" w:rsidTr="00547CBA">
        <w:trPr>
          <w:trHeight w:val="86"/>
        </w:trPr>
        <w:tc>
          <w:tcPr>
            <w:tcW w:w="7740" w:type="dxa"/>
            <w:gridSpan w:val="2"/>
            <w:shd w:val="clear" w:color="auto" w:fill="auto"/>
            <w:noWrap/>
            <w:vAlign w:val="center"/>
            <w:hideMark/>
          </w:tcPr>
          <w:p w14:paraId="5B7A350A" w14:textId="77777777" w:rsidR="00DB5289" w:rsidRPr="006137F1" w:rsidRDefault="00DB5289" w:rsidP="00547CBA">
            <w:pPr>
              <w:widowControl w:val="0"/>
              <w:ind w:left="14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Hours (annual)</w:t>
            </w:r>
          </w:p>
        </w:tc>
      </w:tr>
      <w:tr w:rsidR="00DB5289" w:rsidRPr="006137F1" w14:paraId="6052E5B6" w14:textId="77777777" w:rsidTr="00547CBA">
        <w:trPr>
          <w:trHeight w:val="86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2949527E" w14:textId="77777777" w:rsidR="00DB5289" w:rsidRPr="006137F1" w:rsidRDefault="00DB5289" w:rsidP="00547CBA">
            <w:pPr>
              <w:widowControl w:val="0"/>
              <w:ind w:left="144"/>
              <w:rPr>
                <w:color w:val="000000"/>
                <w:sz w:val="22"/>
                <w:szCs w:val="22"/>
              </w:rPr>
            </w:pPr>
            <w:r w:rsidRPr="009A301D">
              <w:rPr>
                <w:sz w:val="20"/>
              </w:rPr>
              <w:t>Jan 15, 2014 (</w:t>
            </w:r>
            <w:r w:rsidRPr="009A301D">
              <w:rPr>
                <w:color w:val="000000"/>
                <w:sz w:val="20"/>
              </w:rPr>
              <w:t>Supporting Statement)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7CEE62D8" w14:textId="77777777" w:rsidR="00DB5289" w:rsidRPr="006137F1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 w:rsidRPr="00E03435">
              <w:rPr>
                <w:color w:val="000000"/>
                <w:sz w:val="22"/>
                <w:szCs w:val="22"/>
              </w:rPr>
              <w:t>6,608,971</w:t>
            </w:r>
          </w:p>
        </w:tc>
      </w:tr>
      <w:tr w:rsidR="00DB5289" w14:paraId="29F80771" w14:textId="77777777" w:rsidTr="00547CBA">
        <w:trPr>
          <w:trHeight w:val="86"/>
        </w:trPr>
        <w:tc>
          <w:tcPr>
            <w:tcW w:w="3515" w:type="dxa"/>
            <w:shd w:val="clear" w:color="auto" w:fill="auto"/>
            <w:noWrap/>
            <w:vAlign w:val="bottom"/>
          </w:tcPr>
          <w:p w14:paraId="67437106" w14:textId="77777777" w:rsidR="00DB5289" w:rsidRPr="006137F1" w:rsidRDefault="00DB5289" w:rsidP="00547CBA">
            <w:pPr>
              <w:widowControl w:val="0"/>
              <w:ind w:left="144"/>
              <w:rPr>
                <w:color w:val="000000"/>
                <w:sz w:val="22"/>
                <w:szCs w:val="22"/>
              </w:rPr>
            </w:pPr>
            <w:r w:rsidRPr="009A301D">
              <w:rPr>
                <w:color w:val="000000"/>
                <w:sz w:val="20"/>
              </w:rPr>
              <w:t>Feb 6, 2017 (Supporting Statement)</w:t>
            </w:r>
          </w:p>
        </w:tc>
        <w:tc>
          <w:tcPr>
            <w:tcW w:w="4225" w:type="dxa"/>
            <w:shd w:val="clear" w:color="auto" w:fill="auto"/>
            <w:noWrap/>
            <w:vAlign w:val="bottom"/>
          </w:tcPr>
          <w:p w14:paraId="2153E154" w14:textId="77777777" w:rsidR="00DB5289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590,841</w:t>
            </w:r>
          </w:p>
        </w:tc>
      </w:tr>
      <w:tr w:rsidR="00DB5289" w14:paraId="2C9FAFC7" w14:textId="77777777" w:rsidTr="00547CBA">
        <w:trPr>
          <w:trHeight w:val="86"/>
        </w:trPr>
        <w:tc>
          <w:tcPr>
            <w:tcW w:w="3515" w:type="dxa"/>
            <w:shd w:val="clear" w:color="auto" w:fill="auto"/>
            <w:noWrap/>
            <w:vAlign w:val="bottom"/>
          </w:tcPr>
          <w:p w14:paraId="2B424F2C" w14:textId="77777777" w:rsidR="00DB5289" w:rsidRDefault="00DB5289" w:rsidP="00547CBA">
            <w:pPr>
              <w:widowControl w:val="0"/>
              <w:ind w:left="144"/>
              <w:rPr>
                <w:color w:val="000000"/>
                <w:sz w:val="22"/>
                <w:szCs w:val="22"/>
              </w:rPr>
            </w:pPr>
            <w:r w:rsidRPr="009A301D">
              <w:rPr>
                <w:color w:val="000000"/>
                <w:sz w:val="20"/>
              </w:rPr>
              <w:t>Correction #1</w:t>
            </w:r>
          </w:p>
        </w:tc>
        <w:tc>
          <w:tcPr>
            <w:tcW w:w="4225" w:type="dxa"/>
            <w:shd w:val="clear" w:color="auto" w:fill="auto"/>
            <w:noWrap/>
            <w:vAlign w:val="bottom"/>
          </w:tcPr>
          <w:p w14:paraId="29E40BA6" w14:textId="77777777" w:rsidR="00DB5289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+6,018,130</w:t>
            </w:r>
          </w:p>
        </w:tc>
      </w:tr>
      <w:tr w:rsidR="00DB5289" w:rsidRPr="00A26506" w14:paraId="372C97FA" w14:textId="77777777" w:rsidTr="00547CBA">
        <w:trPr>
          <w:trHeight w:val="86"/>
        </w:trPr>
        <w:tc>
          <w:tcPr>
            <w:tcW w:w="3515" w:type="dxa"/>
            <w:shd w:val="clear" w:color="auto" w:fill="F2F2F2" w:themeFill="background1" w:themeFillShade="F2"/>
            <w:noWrap/>
            <w:vAlign w:val="bottom"/>
          </w:tcPr>
          <w:p w14:paraId="05274248" w14:textId="77777777" w:rsidR="00DB5289" w:rsidRPr="00A26506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2"/>
                <w:szCs w:val="22"/>
              </w:rPr>
            </w:pPr>
            <w:r w:rsidRPr="00A26506">
              <w:rPr>
                <w:i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4225" w:type="dxa"/>
            <w:shd w:val="clear" w:color="auto" w:fill="F2F2F2" w:themeFill="background1" w:themeFillShade="F2"/>
            <w:noWrap/>
            <w:vAlign w:val="bottom"/>
          </w:tcPr>
          <w:p w14:paraId="4E268797" w14:textId="77777777" w:rsidR="00DB5289" w:rsidRPr="00A26506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2"/>
                <w:szCs w:val="22"/>
              </w:rPr>
            </w:pPr>
            <w:r w:rsidRPr="00A26506">
              <w:rPr>
                <w:i/>
                <w:color w:val="000000"/>
                <w:sz w:val="22"/>
                <w:szCs w:val="22"/>
              </w:rPr>
              <w:t xml:space="preserve">6,608,971 (590,841 + 6,018,130) </w:t>
            </w:r>
          </w:p>
        </w:tc>
      </w:tr>
      <w:tr w:rsidR="00DB5289" w:rsidRPr="00225611" w14:paraId="60F1598D" w14:textId="77777777" w:rsidTr="00547CBA">
        <w:trPr>
          <w:trHeight w:val="86"/>
        </w:trPr>
        <w:tc>
          <w:tcPr>
            <w:tcW w:w="3515" w:type="dxa"/>
            <w:shd w:val="clear" w:color="auto" w:fill="auto"/>
            <w:noWrap/>
            <w:vAlign w:val="bottom"/>
          </w:tcPr>
          <w:p w14:paraId="44CF2FC8" w14:textId="77777777" w:rsidR="00DB5289" w:rsidRPr="00225611" w:rsidRDefault="00DB5289" w:rsidP="00547CBA">
            <w:pPr>
              <w:widowControl w:val="0"/>
              <w:ind w:left="144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Feb 6, 2017 (</w:t>
            </w:r>
            <w:proofErr w:type="spellStart"/>
            <w:r>
              <w:rPr>
                <w:color w:val="000000"/>
                <w:sz w:val="20"/>
              </w:rPr>
              <w:t>ROCIS</w:t>
            </w:r>
            <w:proofErr w:type="spellEnd"/>
            <w:r>
              <w:rPr>
                <w:color w:val="000000"/>
                <w:sz w:val="20"/>
              </w:rPr>
              <w:t xml:space="preserve"> burden)</w:t>
            </w:r>
          </w:p>
        </w:tc>
        <w:tc>
          <w:tcPr>
            <w:tcW w:w="4225" w:type="dxa"/>
            <w:shd w:val="clear" w:color="auto" w:fill="auto"/>
            <w:noWrap/>
            <w:vAlign w:val="bottom"/>
          </w:tcPr>
          <w:p w14:paraId="5B68DCF4" w14:textId="77777777" w:rsidR="00DB5289" w:rsidRPr="00E03435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 w:rsidRPr="001137F0">
              <w:rPr>
                <w:color w:val="000000"/>
                <w:sz w:val="20"/>
              </w:rPr>
              <w:t>701,119</w:t>
            </w:r>
          </w:p>
        </w:tc>
      </w:tr>
      <w:tr w:rsidR="00DB5289" w:rsidRPr="00225611" w14:paraId="590DDC51" w14:textId="77777777" w:rsidTr="00547CBA">
        <w:trPr>
          <w:trHeight w:val="86"/>
        </w:trPr>
        <w:tc>
          <w:tcPr>
            <w:tcW w:w="3515" w:type="dxa"/>
            <w:shd w:val="clear" w:color="auto" w:fill="auto"/>
            <w:noWrap/>
            <w:vAlign w:val="bottom"/>
          </w:tcPr>
          <w:p w14:paraId="2605590E" w14:textId="77777777" w:rsidR="00DB5289" w:rsidRPr="00225611" w:rsidRDefault="00DB5289" w:rsidP="00547CBA">
            <w:pPr>
              <w:widowControl w:val="0"/>
              <w:ind w:left="144"/>
              <w:rPr>
                <w:i/>
                <w:color w:val="000000"/>
                <w:sz w:val="22"/>
                <w:szCs w:val="22"/>
              </w:rPr>
            </w:pPr>
            <w:r w:rsidRPr="009A301D">
              <w:rPr>
                <w:color w:val="000000"/>
                <w:sz w:val="20"/>
              </w:rPr>
              <w:t>Correction #2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25" w:type="dxa"/>
            <w:shd w:val="clear" w:color="auto" w:fill="auto"/>
            <w:noWrap/>
            <w:vAlign w:val="bottom"/>
          </w:tcPr>
          <w:p w14:paraId="363637F7" w14:textId="77777777" w:rsidR="00DB5289" w:rsidRPr="00E03435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-110,278 (590,841 - </w:t>
            </w:r>
            <w:r w:rsidRPr="001144EE">
              <w:rPr>
                <w:color w:val="000000"/>
                <w:sz w:val="22"/>
                <w:szCs w:val="22"/>
              </w:rPr>
              <w:t>701,119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DB5289" w:rsidRPr="00A26506" w14:paraId="61E23097" w14:textId="77777777" w:rsidTr="00547CBA">
        <w:trPr>
          <w:trHeight w:val="86"/>
        </w:trPr>
        <w:tc>
          <w:tcPr>
            <w:tcW w:w="3515" w:type="dxa"/>
            <w:shd w:val="clear" w:color="auto" w:fill="F2F2F2" w:themeFill="background1" w:themeFillShade="F2"/>
            <w:noWrap/>
            <w:vAlign w:val="bottom"/>
          </w:tcPr>
          <w:p w14:paraId="03C9E440" w14:textId="77777777" w:rsidR="00DB5289" w:rsidRPr="00A26506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0"/>
              </w:rPr>
            </w:pPr>
            <w:r w:rsidRPr="00A26506">
              <w:rPr>
                <w:i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4225" w:type="dxa"/>
            <w:shd w:val="clear" w:color="auto" w:fill="F2F2F2" w:themeFill="background1" w:themeFillShade="F2"/>
            <w:noWrap/>
            <w:vAlign w:val="bottom"/>
          </w:tcPr>
          <w:p w14:paraId="73461009" w14:textId="77777777" w:rsidR="00DB5289" w:rsidRPr="00A26506" w:rsidRDefault="00DB5289" w:rsidP="00547CBA">
            <w:pPr>
              <w:widowControl w:val="0"/>
              <w:ind w:left="144"/>
              <w:jc w:val="right"/>
              <w:rPr>
                <w:i/>
                <w:color w:val="000000"/>
                <w:sz w:val="22"/>
                <w:szCs w:val="22"/>
              </w:rPr>
            </w:pPr>
            <w:r w:rsidRPr="00A26506">
              <w:rPr>
                <w:i/>
                <w:color w:val="000000"/>
                <w:sz w:val="22"/>
                <w:szCs w:val="22"/>
              </w:rPr>
              <w:t xml:space="preserve">6,498,693 (6,608,971 – 110,278) </w:t>
            </w:r>
          </w:p>
        </w:tc>
      </w:tr>
      <w:tr w:rsidR="00DB5289" w:rsidRPr="006137F1" w14:paraId="60982A02" w14:textId="77777777" w:rsidTr="00547CBA">
        <w:trPr>
          <w:trHeight w:val="86"/>
        </w:trPr>
        <w:tc>
          <w:tcPr>
            <w:tcW w:w="3515" w:type="dxa"/>
            <w:shd w:val="clear" w:color="auto" w:fill="auto"/>
            <w:vAlign w:val="bottom"/>
            <w:hideMark/>
          </w:tcPr>
          <w:p w14:paraId="3D6EEC7E" w14:textId="77777777" w:rsidR="00DB5289" w:rsidRPr="006137F1" w:rsidRDefault="00DB5289" w:rsidP="00547CBA">
            <w:pPr>
              <w:widowControl w:val="0"/>
              <w:ind w:left="14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Adjustment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63737D3B" w14:textId="77777777" w:rsidR="00DB5289" w:rsidRPr="006137F1" w:rsidRDefault="00DB5289" w:rsidP="00547CBA">
            <w:pPr>
              <w:widowControl w:val="0"/>
              <w:ind w:left="14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-917,808</w:t>
            </w:r>
          </w:p>
        </w:tc>
      </w:tr>
      <w:tr w:rsidR="00DB5289" w:rsidRPr="009F6599" w14:paraId="31F8398D" w14:textId="77777777" w:rsidTr="00547CBA">
        <w:trPr>
          <w:trHeight w:val="86"/>
        </w:trPr>
        <w:tc>
          <w:tcPr>
            <w:tcW w:w="3515" w:type="dxa"/>
            <w:shd w:val="clear" w:color="auto" w:fill="D9D9D9" w:themeFill="background1" w:themeFillShade="D9"/>
            <w:noWrap/>
            <w:vAlign w:val="bottom"/>
            <w:hideMark/>
          </w:tcPr>
          <w:p w14:paraId="489065F1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9F6599">
              <w:rPr>
                <w:b/>
                <w:iCs/>
                <w:color w:val="000000"/>
                <w:sz w:val="20"/>
              </w:rPr>
              <w:t>Final Estimate</w:t>
            </w:r>
            <w:r>
              <w:rPr>
                <w:b/>
                <w:iCs/>
                <w:color w:val="000000"/>
                <w:sz w:val="20"/>
              </w:rPr>
              <w:t>*</w:t>
            </w:r>
          </w:p>
        </w:tc>
        <w:tc>
          <w:tcPr>
            <w:tcW w:w="4225" w:type="dxa"/>
            <w:shd w:val="clear" w:color="auto" w:fill="D9D9D9" w:themeFill="background1" w:themeFillShade="D9"/>
            <w:noWrap/>
            <w:vAlign w:val="bottom"/>
            <w:hideMark/>
          </w:tcPr>
          <w:p w14:paraId="66A3B8DF" w14:textId="77777777" w:rsidR="00DB5289" w:rsidRPr="009F6599" w:rsidRDefault="00DB5289" w:rsidP="00547CBA">
            <w:pPr>
              <w:widowControl w:val="0"/>
              <w:ind w:left="144"/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9F6599">
              <w:rPr>
                <w:b/>
                <w:szCs w:val="24"/>
              </w:rPr>
              <w:t>5,580,885</w:t>
            </w:r>
          </w:p>
        </w:tc>
      </w:tr>
    </w:tbl>
    <w:p w14:paraId="313F2820" w14:textId="77777777" w:rsidR="00632601" w:rsidRDefault="00632601"/>
    <w:p w14:paraId="5EF325E5" w14:textId="02EE922A" w:rsidR="00632601" w:rsidRPr="00DB5289" w:rsidRDefault="00DB5289">
      <w:pPr>
        <w:rPr>
          <w:b/>
        </w:rPr>
      </w:pPr>
      <w:r w:rsidRPr="00DB5289">
        <w:rPr>
          <w:b/>
        </w:rPr>
        <w:t>Collection Instruments and Supplemental Documents</w:t>
      </w:r>
    </w:p>
    <w:p w14:paraId="53E8DC36" w14:textId="77777777" w:rsidR="00632601" w:rsidRDefault="00632601"/>
    <w:p w14:paraId="1E380356" w14:textId="53B293A1" w:rsidR="006C5AFE" w:rsidRDefault="00AF5E79">
      <w:r>
        <w:t>The i</w:t>
      </w:r>
      <w:r w:rsidR="006C5AFE">
        <w:t xml:space="preserve">nformation </w:t>
      </w:r>
      <w:r>
        <w:t>c</w:t>
      </w:r>
      <w:r w:rsidR="006C5AFE">
        <w:t xml:space="preserve">ollection </w:t>
      </w:r>
      <w:r>
        <w:t>d</w:t>
      </w:r>
      <w:r w:rsidR="006C5AFE">
        <w:t xml:space="preserve">ocuments </w:t>
      </w:r>
      <w:r>
        <w:t>i</w:t>
      </w:r>
      <w:r w:rsidR="006C5AFE">
        <w:t xml:space="preserve">ncluded </w:t>
      </w:r>
      <w:r>
        <w:t xml:space="preserve">with </w:t>
      </w:r>
      <w:r w:rsidR="006C5AFE">
        <w:t xml:space="preserve">this </w:t>
      </w:r>
      <w:r>
        <w:t>r</w:t>
      </w:r>
      <w:r w:rsidR="006C5AFE">
        <w:t>equest</w:t>
      </w:r>
      <w:r>
        <w:t xml:space="preserve"> consists of the following:</w:t>
      </w:r>
    </w:p>
    <w:p w14:paraId="65E4BBF4" w14:textId="77777777" w:rsidR="00773016" w:rsidRDefault="00773016"/>
    <w:p w14:paraId="130B64F2" w14:textId="588D42D2" w:rsidR="006C5AFE" w:rsidRDefault="00B83C26">
      <w:r>
        <w:t xml:space="preserve">-Supporting Statement </w:t>
      </w:r>
      <w:proofErr w:type="gramStart"/>
      <w:r>
        <w:t>A</w:t>
      </w:r>
      <w:proofErr w:type="gramEnd"/>
      <w:r>
        <w:t xml:space="preserve"> (Revised)</w:t>
      </w:r>
    </w:p>
    <w:p w14:paraId="66168345" w14:textId="08B6D459" w:rsidR="0068013E" w:rsidRDefault="0068013E">
      <w:r>
        <w:t>-Crosswalk (Removed, not applicable)</w:t>
      </w:r>
      <w:bookmarkStart w:id="0" w:name="_GoBack"/>
      <w:bookmarkEnd w:id="0"/>
    </w:p>
    <w:p w14:paraId="3CA7E6B8" w14:textId="77777777" w:rsidR="006C5AFE" w:rsidRDefault="006C5AFE">
      <w:r>
        <w:t>-</w:t>
      </w:r>
      <w:r w:rsidRPr="006C5AFE">
        <w:t>Nursing Home PPS (NP) Item Se</w:t>
      </w:r>
      <w:r w:rsidR="00760DCF">
        <w:t>t</w:t>
      </w:r>
      <w:r>
        <w:t xml:space="preserve"> (No Changes)</w:t>
      </w:r>
    </w:p>
    <w:p w14:paraId="104B0207" w14:textId="77777777" w:rsidR="006C5AFE" w:rsidRDefault="006C5AFE">
      <w:r>
        <w:t>-</w:t>
      </w:r>
      <w:r w:rsidRPr="006C5AFE">
        <w:t>Nursing Home OMRA-Start of Therapy and Discharge (NSD) Item Set</w:t>
      </w:r>
      <w:r>
        <w:t xml:space="preserve"> (No Changes)</w:t>
      </w:r>
    </w:p>
    <w:p w14:paraId="28999093" w14:textId="77777777" w:rsidR="006C5AFE" w:rsidRDefault="00760DCF">
      <w:r>
        <w:t>-</w:t>
      </w:r>
      <w:r w:rsidRPr="00760DCF">
        <w:t>Nursing Home and Swing Bed OMRA-Start of Therapy (NS/SS) Item Set</w:t>
      </w:r>
      <w:r>
        <w:t xml:space="preserve"> (No Changes)</w:t>
      </w:r>
    </w:p>
    <w:p w14:paraId="264C1C90" w14:textId="77777777" w:rsidR="006C5AFE" w:rsidRDefault="00760DCF">
      <w:r>
        <w:t>-</w:t>
      </w:r>
      <w:r w:rsidR="00F64FCD" w:rsidRPr="00F64FCD">
        <w:t>Nursing Home OMRA-Discharge (NOD) Item Set</w:t>
      </w:r>
      <w:r w:rsidR="00F64FCD">
        <w:t xml:space="preserve"> (No Changes)</w:t>
      </w:r>
    </w:p>
    <w:p w14:paraId="50F08CE3" w14:textId="77777777" w:rsidR="00760DCF" w:rsidRDefault="00F64FCD">
      <w:r>
        <w:t>-</w:t>
      </w:r>
      <w:r w:rsidR="009E652E" w:rsidRPr="009E652E">
        <w:t>Nursing Home and Swing Bed OMRA (NO/SO) Item Set</w:t>
      </w:r>
      <w:r w:rsidR="009E652E">
        <w:t xml:space="preserve"> (No Changes)</w:t>
      </w:r>
    </w:p>
    <w:p w14:paraId="3759D2BB" w14:textId="77777777" w:rsidR="00760DCF" w:rsidRDefault="00760DCF"/>
    <w:sectPr w:rsidR="0076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80"/>
    <w:rsid w:val="00031535"/>
    <w:rsid w:val="000D2C54"/>
    <w:rsid w:val="001B684A"/>
    <w:rsid w:val="001D536A"/>
    <w:rsid w:val="00250480"/>
    <w:rsid w:val="00336A3F"/>
    <w:rsid w:val="00387844"/>
    <w:rsid w:val="00406101"/>
    <w:rsid w:val="00426782"/>
    <w:rsid w:val="00495D90"/>
    <w:rsid w:val="00566846"/>
    <w:rsid w:val="00596AAC"/>
    <w:rsid w:val="005E31D0"/>
    <w:rsid w:val="006050A5"/>
    <w:rsid w:val="00632601"/>
    <w:rsid w:val="00666D3A"/>
    <w:rsid w:val="00667ECC"/>
    <w:rsid w:val="0068013E"/>
    <w:rsid w:val="0068434B"/>
    <w:rsid w:val="006C1EB7"/>
    <w:rsid w:val="006C5AFE"/>
    <w:rsid w:val="006D24B1"/>
    <w:rsid w:val="00760DCF"/>
    <w:rsid w:val="00773016"/>
    <w:rsid w:val="007F56FB"/>
    <w:rsid w:val="008C6CEE"/>
    <w:rsid w:val="009838BC"/>
    <w:rsid w:val="009E652E"/>
    <w:rsid w:val="00A1292A"/>
    <w:rsid w:val="00A44077"/>
    <w:rsid w:val="00A947AF"/>
    <w:rsid w:val="00AF5E79"/>
    <w:rsid w:val="00B83C26"/>
    <w:rsid w:val="00BB06E4"/>
    <w:rsid w:val="00BC629D"/>
    <w:rsid w:val="00BD75B4"/>
    <w:rsid w:val="00CB0482"/>
    <w:rsid w:val="00D62A65"/>
    <w:rsid w:val="00D84989"/>
    <w:rsid w:val="00D87664"/>
    <w:rsid w:val="00DB5289"/>
    <w:rsid w:val="00E86B5A"/>
    <w:rsid w:val="00EB38D8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805C"/>
  <w15:chartTrackingRefBased/>
  <w15:docId w15:val="{C595D680-6D0F-439D-84CD-CE6A7AE4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1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5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5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5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GERSHMAN</dc:creator>
  <cp:keywords/>
  <dc:description/>
  <cp:lastModifiedBy>Mitch Bryman</cp:lastModifiedBy>
  <cp:revision>6</cp:revision>
  <cp:lastPrinted>2017-04-19T17:46:00Z</cp:lastPrinted>
  <dcterms:created xsi:type="dcterms:W3CDTF">2017-04-05T13:18:00Z</dcterms:created>
  <dcterms:modified xsi:type="dcterms:W3CDTF">2017-04-19T18:04:00Z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-1040541050</vt:i4>
  </property>
  <property fmtid="{D5CDD505-2E9C-101B-9397-08002B2CF9AE}" pid="3" name="_NewReviewCycle">
    <vt:lpwstr/>
  </property>
  <property fmtid="{D5CDD505-2E9C-101B-9397-08002B2CF9AE}" pid="4" name="_EmailSubject">
    <vt:lpwstr>Supporting Statement and Justification (CMS-10387, OMB 0938-1140)</vt:lpwstr>
  </property>
  <property fmtid="{D5CDD505-2E9C-101B-9397-08002B2CF9AE}" pid="5" name="_AuthorEmail">
    <vt:lpwstr>Penny.Gershman@cms.hhs.gov</vt:lpwstr>
  </property>
  <property fmtid="{D5CDD505-2E9C-101B-9397-08002B2CF9AE}" pid="6" name="_AuthorEmailDisplayName">
    <vt:lpwstr>Gershman, Penny P.(CMS/CM)</vt:lpwstr>
  </property>
  <property fmtid="{D5CDD505-2E9C-101B-9397-08002B2CF9AE}" pid="7" name="_PreviousAdHocReviewCycleID">
    <vt:i4>-70682369</vt:i4>
  </property>
</Properties>
</file>