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873B21">
        <w:rPr>
          <w:sz w:val="28"/>
        </w:rPr>
        <w:t>0990-</w:t>
      </w:r>
      <w:r w:rsidR="00801ED0">
        <w:rPr>
          <w:sz w:val="28"/>
        </w:rPr>
        <w:t>0459</w:t>
      </w:r>
      <w:r>
        <w:rPr>
          <w:sz w:val="28"/>
        </w:rPr>
        <w:t>)</w:t>
      </w:r>
    </w:p>
    <w:p w:rsidR="00762091" w:rsidRDefault="00762091" w:rsidP="00434E33">
      <w:r>
        <w:rPr>
          <w:b/>
        </w:rPr>
        <w:br/>
      </w:r>
      <w:r w:rsidR="0060017B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3A7A3D8" wp14:editId="5145548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5B210AF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762091" w:rsidRDefault="00762091" w:rsidP="00434E33"/>
    <w:p w:rsidR="00E50293" w:rsidRPr="009239AA" w:rsidRDefault="00762091" w:rsidP="00434E33">
      <w:pPr>
        <w:rPr>
          <w:b/>
        </w:rPr>
      </w:pPr>
      <w:r>
        <w:t>Stakeholder Experience of HHS Regional Service Delivery</w:t>
      </w:r>
    </w:p>
    <w:p w:rsidR="005E714A" w:rsidRDefault="005E714A"/>
    <w:p w:rsidR="00873B21" w:rsidRDefault="00873B21">
      <w:pPr>
        <w:rPr>
          <w:b/>
        </w:rPr>
      </w:pPr>
    </w:p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0AAA"/>
    <w:p w:rsidR="00FC0E9A" w:rsidRPr="00E27CD0" w:rsidRDefault="00762091" w:rsidP="003B6CE4">
      <w:r>
        <w:t>HHS plan</w:t>
      </w:r>
      <w:r w:rsidR="003B6CE4">
        <w:t>s</w:t>
      </w:r>
      <w:r>
        <w:t xml:space="preserve"> to use the data collected under this generic clearance to </w:t>
      </w:r>
      <w:r w:rsidR="00BB4D1C">
        <w:t xml:space="preserve">identify areas for improvement in the delivery of program services </w:t>
      </w:r>
      <w:r w:rsidR="00FC0E9A">
        <w:t xml:space="preserve">through </w:t>
      </w:r>
      <w:r>
        <w:t xml:space="preserve">HHS </w:t>
      </w:r>
      <w:r w:rsidR="003E72A3">
        <w:t xml:space="preserve">regional </w:t>
      </w:r>
      <w:r w:rsidR="00FC0E9A">
        <w:t>operations</w:t>
      </w:r>
      <w:r w:rsidR="00BB4D1C">
        <w:t>.</w:t>
      </w:r>
      <w:r w:rsidR="003E72A3">
        <w:t xml:space="preserve"> </w:t>
      </w:r>
      <w:r w:rsidR="003B6CE4" w:rsidRPr="00687474">
        <w:t xml:space="preserve">The </w:t>
      </w:r>
      <w:r w:rsidR="003B6CE4">
        <w:t>Optimize Regional Performance (</w:t>
      </w:r>
      <w:r w:rsidR="003B6CE4" w:rsidRPr="00687474">
        <w:t>ORP</w:t>
      </w:r>
      <w:r w:rsidR="003B6CE4">
        <w:t>)</w:t>
      </w:r>
      <w:r w:rsidR="003B6CE4" w:rsidRPr="00687474">
        <w:t xml:space="preserve"> Initiative </w:t>
      </w:r>
      <w:r w:rsidR="003B6CE4">
        <w:t xml:space="preserve">is a key part of </w:t>
      </w:r>
      <w:r w:rsidR="003B6CE4">
        <w:rPr>
          <w:rStyle w:val="Emphasis"/>
        </w:rPr>
        <w:t>ReImagine HHS</w:t>
      </w:r>
      <w:r w:rsidR="00FA55CD" w:rsidRPr="00D71A02">
        <w:rPr>
          <w:rStyle w:val="Emphasis"/>
        </w:rPr>
        <w:t>;</w:t>
      </w:r>
      <w:r w:rsidR="00FA55CD" w:rsidRPr="00D71A02">
        <w:t xml:space="preserve"> to effectively and efficiently fulfill HHS mission</w:t>
      </w:r>
      <w:r w:rsidR="003B6CE4" w:rsidRPr="00D71A02">
        <w:t xml:space="preserve"> Department-wide</w:t>
      </w:r>
      <w:r w:rsidR="00FA55CD" w:rsidRPr="00D71A02">
        <w:t>.</w:t>
      </w:r>
      <w:r w:rsidR="003B6CE4" w:rsidRPr="00D71A02">
        <w:t xml:space="preserve"> O</w:t>
      </w:r>
      <w:r w:rsidR="003B6CE4">
        <w:t xml:space="preserve">RP </w:t>
      </w:r>
      <w:r w:rsidR="003B6CE4" w:rsidRPr="00687474">
        <w:t xml:space="preserve">grew from Ideation sessions </w:t>
      </w:r>
      <w:r w:rsidR="003B6CE4">
        <w:t xml:space="preserve">during the early stages of </w:t>
      </w:r>
      <w:r w:rsidR="003B6CE4" w:rsidRPr="004E5A27">
        <w:rPr>
          <w:i/>
        </w:rPr>
        <w:t>ReImagine HHS</w:t>
      </w:r>
      <w:r w:rsidR="003B6CE4" w:rsidRPr="00687474">
        <w:t xml:space="preserve"> where there was widespread interest </w:t>
      </w:r>
      <w:r w:rsidR="003B6CE4">
        <w:t>in</w:t>
      </w:r>
      <w:r w:rsidR="003B6CE4" w:rsidRPr="00687474">
        <w:t xml:space="preserve"> </w:t>
      </w:r>
      <w:r w:rsidR="003B6CE4">
        <w:t>exploring</w:t>
      </w:r>
      <w:r w:rsidR="003B6CE4" w:rsidRPr="00687474">
        <w:t xml:space="preserve"> how the current HHS Regional Model serve</w:t>
      </w:r>
      <w:r w:rsidR="003B6CE4">
        <w:t xml:space="preserve">s HHS as well as its customers. </w:t>
      </w:r>
      <w:r w:rsidR="00BB4D1C" w:rsidRPr="00687474">
        <w:t xml:space="preserve">Among the 12 HHS </w:t>
      </w:r>
      <w:r w:rsidR="00BB4D1C">
        <w:t>Divisions</w:t>
      </w:r>
      <w:r w:rsidR="00BB4D1C" w:rsidRPr="00687474">
        <w:t xml:space="preserve"> that use the </w:t>
      </w:r>
      <w:r w:rsidR="00FC0E9A">
        <w:t>r</w:t>
      </w:r>
      <w:r w:rsidR="00BB4D1C" w:rsidRPr="00687474">
        <w:t xml:space="preserve">egional </w:t>
      </w:r>
      <w:r w:rsidR="00FC0E9A">
        <w:t>m</w:t>
      </w:r>
      <w:r w:rsidR="00BB4D1C" w:rsidRPr="00687474">
        <w:t>odel to deliver vital health and human services to HHS stakeholders, 1/3 of their staff</w:t>
      </w:r>
      <w:r w:rsidR="00BB4D1C">
        <w:t xml:space="preserve"> are distributed across the US, primarily in 10 regional hubs. </w:t>
      </w:r>
      <w:r w:rsidR="00FC0E9A">
        <w:t xml:space="preserve">Specifically HHS will use this information to </w:t>
      </w:r>
      <w:r w:rsidR="00FC0E9A">
        <w:rPr>
          <w:bCs/>
        </w:rPr>
        <w:t>p</w:t>
      </w:r>
      <w:r w:rsidR="00FC0E9A" w:rsidRPr="00FC0E9A">
        <w:rPr>
          <w:bCs/>
        </w:rPr>
        <w:t>rioritiz</w:t>
      </w:r>
      <w:r w:rsidR="00FC0E9A">
        <w:rPr>
          <w:bCs/>
        </w:rPr>
        <w:t>e</w:t>
      </w:r>
      <w:r w:rsidR="00FC0E9A" w:rsidRPr="00FC0E9A">
        <w:rPr>
          <w:bCs/>
        </w:rPr>
        <w:t xml:space="preserve"> regional activities and staff functions </w:t>
      </w:r>
      <w:r w:rsidR="00FC0E9A" w:rsidRPr="00E27CD0">
        <w:t>based on mission as well as leadership and stakeholder needs</w:t>
      </w:r>
      <w:r w:rsidR="00FC0E9A">
        <w:t xml:space="preserve">, </w:t>
      </w:r>
      <w:r w:rsidR="00FC0E9A" w:rsidRPr="00E27CD0">
        <w:t xml:space="preserve">align services with </w:t>
      </w:r>
      <w:r w:rsidR="00FC0E9A">
        <w:t>Division</w:t>
      </w:r>
      <w:r w:rsidR="00FC0E9A" w:rsidRPr="00E27CD0">
        <w:t xml:space="preserve"> priorities</w:t>
      </w:r>
      <w:r w:rsidR="00FC0E9A">
        <w:t>, and improve program management.</w:t>
      </w:r>
      <w:r w:rsidR="003B6CE4">
        <w:br/>
      </w: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B44B4A" w:rsidRDefault="00B44B4A">
      <w:r>
        <w:t>Respondents will be stakeholders of HHS regional programs. These will include:</w:t>
      </w:r>
    </w:p>
    <w:p w:rsidR="00B44B4A" w:rsidRDefault="00B44B4A"/>
    <w:p w:rsidR="00C8488C" w:rsidRDefault="00B44B4A" w:rsidP="000251F9">
      <w:pPr>
        <w:pStyle w:val="ListParagraph"/>
        <w:numPr>
          <w:ilvl w:val="0"/>
          <w:numId w:val="20"/>
        </w:numPr>
      </w:pPr>
      <w:r>
        <w:t>State and local governments, primarily but not exclusively departments of health</w:t>
      </w:r>
    </w:p>
    <w:p w:rsidR="000251F9" w:rsidRDefault="000251F9" w:rsidP="000251F9">
      <w:pPr>
        <w:pStyle w:val="ListParagraph"/>
        <w:numPr>
          <w:ilvl w:val="0"/>
          <w:numId w:val="20"/>
        </w:numPr>
      </w:pPr>
      <w:r>
        <w:t>Non-Governmental Organizations focused on health care, public health and human services</w:t>
      </w:r>
    </w:p>
    <w:p w:rsidR="000251F9" w:rsidRDefault="000251F9" w:rsidP="000251F9">
      <w:pPr>
        <w:pStyle w:val="ListParagraph"/>
        <w:numPr>
          <w:ilvl w:val="0"/>
          <w:numId w:val="20"/>
        </w:numPr>
      </w:pPr>
      <w:r>
        <w:t>Health care delivery organizations including hospitals and clinics</w:t>
      </w:r>
    </w:p>
    <w:p w:rsidR="00B44B4A" w:rsidRDefault="00B44B4A"/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="00762091">
        <w:rPr>
          <w:bCs/>
          <w:sz w:val="24"/>
        </w:rPr>
        <w:t xml:space="preserve"> </w:t>
      </w:r>
      <w:r w:rsidR="00762091">
        <w:rPr>
          <w:bCs/>
          <w:sz w:val="24"/>
        </w:rPr>
        <w:tab/>
        <w:t>[X</w:t>
      </w:r>
      <w:r w:rsidRPr="00F06866">
        <w:rPr>
          <w:bCs/>
          <w:sz w:val="24"/>
        </w:rPr>
        <w:t xml:space="preserve">] </w:t>
      </w:r>
      <w:r w:rsidR="00F06866" w:rsidRPr="00893D7A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lastRenderedPageBreak/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 w:rsidRPr="00D71A02">
        <w:t>Name:_</w:t>
      </w:r>
      <w:r w:rsidR="0071663C" w:rsidRPr="00D71A02">
        <w:t>Michael El-Shammaa</w:t>
      </w:r>
      <w:r w:rsidRPr="00D71A02">
        <w:t>_____________________________________________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762091" w:rsidRPr="000251F9">
        <w:t>X</w:t>
      </w:r>
      <w:r w:rsidR="009239AA" w:rsidRPr="000251F9">
        <w:t>]  No</w:t>
      </w:r>
      <w:r w:rsidR="009239AA">
        <w:t xml:space="preserve">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</w:t>
      </w:r>
      <w:r w:rsidR="000251F9">
        <w:t>d to participants?  [  ] Yes [ X</w:t>
      </w:r>
      <w:r>
        <w:t xml:space="preserve">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918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260"/>
      </w:tblGrid>
      <w:tr w:rsidR="00EF2095" w:rsidTr="009639EF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26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  <w:r w:rsidR="00873B21">
              <w:rPr>
                <w:b/>
              </w:rPr>
              <w:t xml:space="preserve"> hour</w:t>
            </w:r>
          </w:p>
        </w:tc>
      </w:tr>
      <w:tr w:rsidR="00EF2095" w:rsidTr="009639EF">
        <w:trPr>
          <w:trHeight w:val="274"/>
        </w:trPr>
        <w:tc>
          <w:tcPr>
            <w:tcW w:w="5418" w:type="dxa"/>
          </w:tcPr>
          <w:p w:rsidR="006832D9" w:rsidRDefault="00F43641" w:rsidP="00254F62">
            <w:r>
              <w:t>Private Sector</w:t>
            </w:r>
            <w:r w:rsidR="00254F62">
              <w:t xml:space="preserve">, and </w:t>
            </w:r>
            <w:r w:rsidR="00254F62" w:rsidRPr="00254F62">
              <w:t xml:space="preserve">State, </w:t>
            </w:r>
            <w:r w:rsidR="00254F62">
              <w:t>Local, or T</w:t>
            </w:r>
            <w:r w:rsidR="00254F62" w:rsidRPr="00254F62">
              <w:t xml:space="preserve">ribal </w:t>
            </w:r>
            <w:r w:rsidR="00254F62">
              <w:t>G</w:t>
            </w:r>
            <w:r w:rsidR="00254F62" w:rsidRPr="00254F62">
              <w:t>overnments</w:t>
            </w:r>
          </w:p>
        </w:tc>
        <w:tc>
          <w:tcPr>
            <w:tcW w:w="1530" w:type="dxa"/>
          </w:tcPr>
          <w:p w:rsidR="006832D9" w:rsidRDefault="00254F62" w:rsidP="00843796">
            <w:r>
              <w:t>400</w:t>
            </w:r>
          </w:p>
        </w:tc>
        <w:tc>
          <w:tcPr>
            <w:tcW w:w="1710" w:type="dxa"/>
          </w:tcPr>
          <w:p w:rsidR="006832D9" w:rsidRDefault="002561FC" w:rsidP="00843796">
            <w:r>
              <w:t>15</w:t>
            </w:r>
            <w:r w:rsidR="00F43641">
              <w:t xml:space="preserve"> minutes</w:t>
            </w:r>
          </w:p>
        </w:tc>
        <w:tc>
          <w:tcPr>
            <w:tcW w:w="1260" w:type="dxa"/>
          </w:tcPr>
          <w:p w:rsidR="006832D9" w:rsidRDefault="00254F62" w:rsidP="00843796">
            <w:r>
              <w:t>100</w:t>
            </w:r>
            <w:r w:rsidR="00F43641">
              <w:t xml:space="preserve"> hours</w:t>
            </w:r>
          </w:p>
        </w:tc>
      </w:tr>
      <w:tr w:rsidR="00EF2095" w:rsidTr="009639EF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2561FC" w:rsidP="00843796">
            <w:pPr>
              <w:rPr>
                <w:b/>
              </w:rPr>
            </w:pPr>
            <w:r>
              <w:rPr>
                <w:b/>
              </w:rPr>
              <w:t>40</w:t>
            </w:r>
            <w:r w:rsidR="00F43641">
              <w:rPr>
                <w:b/>
              </w:rPr>
              <w:t>0</w:t>
            </w:r>
          </w:p>
        </w:tc>
        <w:tc>
          <w:tcPr>
            <w:tcW w:w="1710" w:type="dxa"/>
          </w:tcPr>
          <w:p w:rsidR="006832D9" w:rsidRDefault="006832D9" w:rsidP="00843796"/>
        </w:tc>
        <w:tc>
          <w:tcPr>
            <w:tcW w:w="1260" w:type="dxa"/>
          </w:tcPr>
          <w:p w:rsidR="006832D9" w:rsidRPr="00F6240A" w:rsidRDefault="009639EF" w:rsidP="00843796">
            <w:pPr>
              <w:rPr>
                <w:b/>
              </w:rPr>
            </w:pPr>
            <w:r>
              <w:rPr>
                <w:b/>
              </w:rPr>
              <w:t>100 hours</w:t>
            </w: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____</w:t>
      </w:r>
      <w:r w:rsidR="009639EF">
        <w:t>?</w:t>
      </w:r>
      <w:r w:rsidR="00C86E91">
        <w:t>________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283066">
        <w:t>X</w:t>
      </w:r>
      <w:r>
        <w:t xml:space="preserve">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283066" w:rsidP="00A403BB">
      <w:r>
        <w:t>We intend to ask the HHS Divisions that use the regional model</w:t>
      </w:r>
      <w:r w:rsidR="002561FC">
        <w:t xml:space="preserve"> to identify their stakeholders</w:t>
      </w:r>
      <w:r>
        <w:t>.</w:t>
      </w:r>
      <w:r w:rsidR="002561FC">
        <w:t xml:space="preserve">  While there are tens of thousands of stakeholders, we are expecting the divisions to identify (with emails) approximately 2,000.  Of the 2,000 stakeholders identified who receive the survey, we </w:t>
      </w:r>
      <w:r w:rsidR="008E0A3B">
        <w:t xml:space="preserve">are </w:t>
      </w:r>
      <w:r w:rsidR="002561FC">
        <w:t>expecting a 20% response rate, for a total of about 400 responses.</w:t>
      </w:r>
    </w:p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lastRenderedPageBreak/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283066">
        <w:t>X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F43641">
        <w:t>X</w:t>
      </w:r>
      <w:r w:rsidR="001B0AAA">
        <w:t xml:space="preserve"> </w:t>
      </w:r>
      <w:r>
        <w:t>] Other, Explain</w:t>
      </w:r>
      <w:r w:rsidR="00283066">
        <w:t xml:space="preserve"> </w:t>
      </w:r>
      <w:r w:rsidR="00F43641">
        <w:t xml:space="preserve">– We might like to follow up with some respondents </w:t>
      </w:r>
      <w:r w:rsidR="002561FC">
        <w:t>for clarification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] Yes [ </w:t>
      </w:r>
      <w:r w:rsidR="002561FC">
        <w:t>X</w:t>
      </w:r>
      <w:r>
        <w:t xml:space="preserve">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60017B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BC9C98A" wp14:editId="374599E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0B40B41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Default="00F24CFC" w:rsidP="008E3E72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9639EF" w:rsidRDefault="009639EF" w:rsidP="008E3E72">
      <w:pPr>
        <w:rPr>
          <w:b/>
        </w:rPr>
      </w:pPr>
    </w:p>
    <w:p w:rsidR="005E714A" w:rsidRDefault="00F24CFC" w:rsidP="008E3E72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  <w:r w:rsidR="00CF2340">
        <w:rPr>
          <w:b/>
        </w:rPr>
        <w:t xml:space="preserve"> </w:t>
      </w:r>
    </w:p>
    <w:p w:rsidR="009639EF" w:rsidRDefault="009639EF" w:rsidP="008E3E72">
      <w:pPr>
        <w:rPr>
          <w:b/>
        </w:rPr>
      </w:pPr>
    </w:p>
    <w:p w:rsidR="00CF2340" w:rsidRPr="00A3037E" w:rsidRDefault="00CF2340" w:rsidP="00CF2340">
      <w:pPr>
        <w:widowControl w:val="0"/>
        <w:tabs>
          <w:tab w:val="left" w:pos="-720"/>
        </w:tabs>
        <w:autoSpaceDE w:val="0"/>
        <w:autoSpaceDN w:val="0"/>
        <w:adjustRightInd w:val="0"/>
        <w:ind w:left="360"/>
      </w:pPr>
    </w:p>
    <w:p w:rsidR="00CF2340" w:rsidRDefault="00CF2340" w:rsidP="00CF2340"/>
    <w:p w:rsidR="009639EF" w:rsidRPr="008E3E72" w:rsidRDefault="009639EF" w:rsidP="008E3E72">
      <w:pPr>
        <w:rPr>
          <w:b/>
        </w:rPr>
      </w:pPr>
    </w:p>
    <w:sectPr w:rsidR="009639EF" w:rsidRPr="008E3E72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AF9" w:rsidRDefault="00AC5AF9">
      <w:r>
        <w:separator/>
      </w:r>
    </w:p>
  </w:endnote>
  <w:endnote w:type="continuationSeparator" w:id="0">
    <w:p w:rsidR="00AC5AF9" w:rsidRDefault="00AC5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9D01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7E6FD1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AF9" w:rsidRDefault="00AC5AF9">
      <w:r>
        <w:separator/>
      </w:r>
    </w:p>
  </w:footnote>
  <w:footnote w:type="continuationSeparator" w:id="0">
    <w:p w:rsidR="00AC5AF9" w:rsidRDefault="00AC5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E65E4"/>
    <w:multiLevelType w:val="hybridMultilevel"/>
    <w:tmpl w:val="555E8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60E79B2"/>
    <w:multiLevelType w:val="hybridMultilevel"/>
    <w:tmpl w:val="F43C4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1C2A1F"/>
    <w:multiLevelType w:val="hybridMultilevel"/>
    <w:tmpl w:val="5F083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2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18"/>
  </w:num>
  <w:num w:numId="4">
    <w:abstractNumId w:val="20"/>
  </w:num>
  <w:num w:numId="5">
    <w:abstractNumId w:val="5"/>
  </w:num>
  <w:num w:numId="6">
    <w:abstractNumId w:val="2"/>
  </w:num>
  <w:num w:numId="7">
    <w:abstractNumId w:val="11"/>
  </w:num>
  <w:num w:numId="8">
    <w:abstractNumId w:val="16"/>
  </w:num>
  <w:num w:numId="9">
    <w:abstractNumId w:val="12"/>
  </w:num>
  <w:num w:numId="10">
    <w:abstractNumId w:val="3"/>
  </w:num>
  <w:num w:numId="11">
    <w:abstractNumId w:val="8"/>
  </w:num>
  <w:num w:numId="12">
    <w:abstractNumId w:val="10"/>
  </w:num>
  <w:num w:numId="13">
    <w:abstractNumId w:val="1"/>
  </w:num>
  <w:num w:numId="14">
    <w:abstractNumId w:val="17"/>
  </w:num>
  <w:num w:numId="15">
    <w:abstractNumId w:val="15"/>
  </w:num>
  <w:num w:numId="16">
    <w:abstractNumId w:val="14"/>
  </w:num>
  <w:num w:numId="17">
    <w:abstractNumId w:val="6"/>
  </w:num>
  <w:num w:numId="18">
    <w:abstractNumId w:val="7"/>
  </w:num>
  <w:num w:numId="19">
    <w:abstractNumId w:val="9"/>
  </w:num>
  <w:num w:numId="20">
    <w:abstractNumId w:val="0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251F9"/>
    <w:rsid w:val="00047A64"/>
    <w:rsid w:val="00067329"/>
    <w:rsid w:val="000B2838"/>
    <w:rsid w:val="000D44CA"/>
    <w:rsid w:val="000E200B"/>
    <w:rsid w:val="000F199F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54F62"/>
    <w:rsid w:val="002561FC"/>
    <w:rsid w:val="00263C3D"/>
    <w:rsid w:val="00274D0B"/>
    <w:rsid w:val="00283066"/>
    <w:rsid w:val="002B3C95"/>
    <w:rsid w:val="002D0B92"/>
    <w:rsid w:val="003B6CE4"/>
    <w:rsid w:val="003D5BBE"/>
    <w:rsid w:val="003E3C61"/>
    <w:rsid w:val="003E72A3"/>
    <w:rsid w:val="003F1C5B"/>
    <w:rsid w:val="00422244"/>
    <w:rsid w:val="00434E33"/>
    <w:rsid w:val="00441434"/>
    <w:rsid w:val="0045264C"/>
    <w:rsid w:val="004876EC"/>
    <w:rsid w:val="004A4ADF"/>
    <w:rsid w:val="004D6E14"/>
    <w:rsid w:val="005009B0"/>
    <w:rsid w:val="005A1006"/>
    <w:rsid w:val="005E714A"/>
    <w:rsid w:val="0060017B"/>
    <w:rsid w:val="006140A0"/>
    <w:rsid w:val="00636621"/>
    <w:rsid w:val="00642B49"/>
    <w:rsid w:val="006832D9"/>
    <w:rsid w:val="0069403B"/>
    <w:rsid w:val="006F3DDE"/>
    <w:rsid w:val="00704678"/>
    <w:rsid w:val="0070633A"/>
    <w:rsid w:val="0071663C"/>
    <w:rsid w:val="007425E7"/>
    <w:rsid w:val="00762091"/>
    <w:rsid w:val="007E6FD1"/>
    <w:rsid w:val="007F34EF"/>
    <w:rsid w:val="00801ED0"/>
    <w:rsid w:val="00802607"/>
    <w:rsid w:val="008101A5"/>
    <w:rsid w:val="00822664"/>
    <w:rsid w:val="00843796"/>
    <w:rsid w:val="00873B21"/>
    <w:rsid w:val="00893D7A"/>
    <w:rsid w:val="00895229"/>
    <w:rsid w:val="008E0A3B"/>
    <w:rsid w:val="008E3E72"/>
    <w:rsid w:val="008F0203"/>
    <w:rsid w:val="008F50D4"/>
    <w:rsid w:val="009239AA"/>
    <w:rsid w:val="00935ADA"/>
    <w:rsid w:val="00946B6C"/>
    <w:rsid w:val="00955A71"/>
    <w:rsid w:val="0096108F"/>
    <w:rsid w:val="009639EF"/>
    <w:rsid w:val="009C13B9"/>
    <w:rsid w:val="009D01A2"/>
    <w:rsid w:val="009F5923"/>
    <w:rsid w:val="00A35DAD"/>
    <w:rsid w:val="00A403BB"/>
    <w:rsid w:val="00A674DF"/>
    <w:rsid w:val="00A83AA6"/>
    <w:rsid w:val="00AC5AF9"/>
    <w:rsid w:val="00AE1809"/>
    <w:rsid w:val="00B44B4A"/>
    <w:rsid w:val="00B80D76"/>
    <w:rsid w:val="00B978D8"/>
    <w:rsid w:val="00BA2105"/>
    <w:rsid w:val="00BA7E06"/>
    <w:rsid w:val="00BB43B5"/>
    <w:rsid w:val="00BB4D1C"/>
    <w:rsid w:val="00BB6219"/>
    <w:rsid w:val="00BD1F0B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F2340"/>
    <w:rsid w:val="00D24698"/>
    <w:rsid w:val="00D6383F"/>
    <w:rsid w:val="00D71A02"/>
    <w:rsid w:val="00DB59D0"/>
    <w:rsid w:val="00DC33D3"/>
    <w:rsid w:val="00DF4394"/>
    <w:rsid w:val="00E26329"/>
    <w:rsid w:val="00E40B50"/>
    <w:rsid w:val="00E50293"/>
    <w:rsid w:val="00E65FFC"/>
    <w:rsid w:val="00E80951"/>
    <w:rsid w:val="00E86CC6"/>
    <w:rsid w:val="00EB56B3"/>
    <w:rsid w:val="00ED6492"/>
    <w:rsid w:val="00EE76DA"/>
    <w:rsid w:val="00EF2095"/>
    <w:rsid w:val="00F06866"/>
    <w:rsid w:val="00F15956"/>
    <w:rsid w:val="00F24CFC"/>
    <w:rsid w:val="00F3170F"/>
    <w:rsid w:val="00F43641"/>
    <w:rsid w:val="00F976B0"/>
    <w:rsid w:val="00FA55CD"/>
    <w:rsid w:val="00FA6DE7"/>
    <w:rsid w:val="00FC0A8E"/>
    <w:rsid w:val="00FC0E9A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nhideWhenUsed/>
    <w:rsid w:val="007F34EF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3B6CE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nhideWhenUsed/>
    <w:rsid w:val="007F34EF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3B6C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2010-10-04T16:59:00Z</cp:lastPrinted>
  <dcterms:created xsi:type="dcterms:W3CDTF">2019-02-12T13:50:00Z</dcterms:created>
  <dcterms:modified xsi:type="dcterms:W3CDTF">2019-02-12T13:50:00Z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