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9E17A" w14:textId="5598EA86" w:rsidR="00DB3F53" w:rsidRDefault="003E0C61" w:rsidP="006E2875">
      <w:pPr>
        <w:pStyle w:val="Header"/>
        <w:jc w:val="right"/>
        <w:rPr>
          <w:sz w:val="28"/>
        </w:rPr>
      </w:pPr>
      <w:bookmarkStart w:id="0" w:name="_GoBack"/>
      <w:bookmarkEnd w:id="0"/>
      <w:r>
        <w:rPr>
          <w:sz w:val="28"/>
        </w:rPr>
        <w:tab/>
      </w:r>
      <w:r w:rsidR="00DB3F53">
        <w:rPr>
          <w:sz w:val="28"/>
        </w:rPr>
        <w:tab/>
      </w:r>
    </w:p>
    <w:p w14:paraId="6CFBE83F" w14:textId="77777777" w:rsidR="002072AF" w:rsidRPr="00E42A47" w:rsidRDefault="002072AF" w:rsidP="002072AF">
      <w:pPr>
        <w:pStyle w:val="Heading2"/>
        <w:tabs>
          <w:tab w:val="left" w:pos="900"/>
        </w:tabs>
        <w:ind w:right="-180"/>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 0990-0459)</w:t>
      </w:r>
    </w:p>
    <w:p w14:paraId="1709AA1B" w14:textId="77777777" w:rsidR="002072AF" w:rsidRPr="00E42A47" w:rsidRDefault="002072AF" w:rsidP="002072AF">
      <w:r>
        <w:rPr>
          <w:b/>
          <w:noProof/>
        </w:rPr>
        <mc:AlternateContent>
          <mc:Choice Requires="wps">
            <w:drawing>
              <wp:anchor distT="0" distB="0" distL="114300" distR="114300" simplePos="0" relativeHeight="251659264" behindDoc="0" locked="0" layoutInCell="0" allowOverlap="1" wp14:anchorId="7CBAA07D" wp14:editId="1EABCC4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66C44D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Pr="00434E33">
        <w:rPr>
          <w:b/>
        </w:rPr>
        <w:t>TITLE OF INFORMATION COLLECTION:</w:t>
      </w:r>
      <w:r>
        <w:t xml:space="preserve">  </w:t>
      </w:r>
    </w:p>
    <w:p w14:paraId="68CF92F7" w14:textId="77777777" w:rsidR="002072AF" w:rsidRDefault="002072AF" w:rsidP="002072AF">
      <w:pPr>
        <w:rPr>
          <w:highlight w:val="yellow"/>
        </w:rPr>
      </w:pPr>
    </w:p>
    <w:p w14:paraId="7E4600AB" w14:textId="77777777" w:rsidR="002072AF" w:rsidRDefault="002072AF" w:rsidP="002072AF">
      <w:r>
        <w:t xml:space="preserve">HHS/ASPA Opioids Strategic Communication Plan and Messaging </w:t>
      </w:r>
    </w:p>
    <w:p w14:paraId="5E949263" w14:textId="77777777" w:rsidR="002072AF" w:rsidRDefault="002072AF" w:rsidP="002072AF">
      <w:pPr>
        <w:rPr>
          <w:b/>
        </w:rPr>
      </w:pPr>
    </w:p>
    <w:p w14:paraId="04C0B9F5" w14:textId="77777777" w:rsidR="002072AF" w:rsidRDefault="002072AF" w:rsidP="002072AF">
      <w:r>
        <w:rPr>
          <w:b/>
        </w:rPr>
        <w:t>PURPOSE</w:t>
      </w:r>
      <w:r w:rsidRPr="009239AA">
        <w:rPr>
          <w:b/>
        </w:rPr>
        <w:t xml:space="preserve">:  </w:t>
      </w:r>
    </w:p>
    <w:p w14:paraId="70AAA53F" w14:textId="2A081465" w:rsidR="002072AF" w:rsidRDefault="002072AF" w:rsidP="002072AF">
      <w:r>
        <w:t xml:space="preserve">The purpose of this project is to gather information to help </w:t>
      </w:r>
      <w:r w:rsidR="009E0061">
        <w:t>inform the development of materials to prevent and reduce prescription opioid misuse</w:t>
      </w:r>
      <w:r>
        <w:t xml:space="preserve"> among young adults. To assist with this effort, we propose reaching out to young adults via focus groups and an online survey to assess their knowledge and attitudes towards prescription opioids, as well as their perceptions towards public health messages design to prevent prescription opioid misuse. The results of the research activities will shed ligh</w:t>
      </w:r>
      <w:r w:rsidR="0033785B">
        <w:t>t on how to strategically craft</w:t>
      </w:r>
      <w:r w:rsidR="009E0061">
        <w:t xml:space="preserve"> communication </w:t>
      </w:r>
      <w:r>
        <w:t>messages</w:t>
      </w:r>
      <w:r w:rsidR="0033785B">
        <w:t xml:space="preserve"> (on preventing </w:t>
      </w:r>
      <w:r w:rsidR="001A4B27">
        <w:t xml:space="preserve">prescription </w:t>
      </w:r>
      <w:r w:rsidR="0033785B">
        <w:t xml:space="preserve">opioid misuse) that </w:t>
      </w:r>
      <w:r w:rsidR="00D022ED">
        <w:t xml:space="preserve">will </w:t>
      </w:r>
      <w:r>
        <w:t>influence a young adult audience</w:t>
      </w:r>
      <w:r w:rsidR="00564D92">
        <w:t>,</w:t>
      </w:r>
      <w:r>
        <w:t xml:space="preserve"> and will help identify the most</w:t>
      </w:r>
      <w:r w:rsidR="0033785B">
        <w:t xml:space="preserve"> promising</w:t>
      </w:r>
      <w:r>
        <w:t xml:space="preserve"> communication channels to deliver these prevention messages. Currently, there is a lack of data and information on how to reach and influence young adults with prevention messages on </w:t>
      </w:r>
      <w:r w:rsidR="00B678E2">
        <w:t xml:space="preserve">prescription </w:t>
      </w:r>
      <w:r>
        <w:t>opioid misuse. This project is designed to help fill this gap.</w:t>
      </w:r>
    </w:p>
    <w:p w14:paraId="07165BBF" w14:textId="77777777" w:rsidR="009E0061" w:rsidRDefault="009E0061" w:rsidP="002072AF">
      <w:pPr>
        <w:pStyle w:val="Header"/>
        <w:tabs>
          <w:tab w:val="clear" w:pos="4320"/>
          <w:tab w:val="clear" w:pos="8640"/>
        </w:tabs>
        <w:rPr>
          <w:b/>
        </w:rPr>
      </w:pPr>
    </w:p>
    <w:p w14:paraId="7FCA74F7" w14:textId="77777777" w:rsidR="009E0061" w:rsidRDefault="009E0061" w:rsidP="002072AF">
      <w:pPr>
        <w:pStyle w:val="Header"/>
        <w:tabs>
          <w:tab w:val="clear" w:pos="4320"/>
          <w:tab w:val="clear" w:pos="8640"/>
        </w:tabs>
        <w:rPr>
          <w:b/>
        </w:rPr>
      </w:pPr>
    </w:p>
    <w:p w14:paraId="0A72707D" w14:textId="77777777" w:rsidR="002072AF" w:rsidRPr="00434E33" w:rsidRDefault="002072AF" w:rsidP="002072AF">
      <w:pPr>
        <w:pStyle w:val="Header"/>
        <w:tabs>
          <w:tab w:val="clear" w:pos="4320"/>
          <w:tab w:val="clear" w:pos="8640"/>
        </w:tabs>
        <w:rPr>
          <w:i/>
          <w:snapToGrid/>
        </w:rPr>
      </w:pPr>
      <w:r w:rsidRPr="00434E33">
        <w:rPr>
          <w:b/>
        </w:rPr>
        <w:t>DESCRIPTION OF RESPONDENTS</w:t>
      </w:r>
      <w:r>
        <w:t xml:space="preserve">: </w:t>
      </w:r>
    </w:p>
    <w:p w14:paraId="6352306B" w14:textId="77777777" w:rsidR="002072AF" w:rsidRPr="000804A8" w:rsidRDefault="002072AF" w:rsidP="002072AF">
      <w:r>
        <w:t xml:space="preserve">Respondents for the survey and focus groups will be young adults, ages 18-25, from across the United States. </w:t>
      </w:r>
    </w:p>
    <w:p w14:paraId="38D62E85" w14:textId="77777777" w:rsidR="002072AF" w:rsidRDefault="002072AF" w:rsidP="002072AF">
      <w:pPr>
        <w:rPr>
          <w:b/>
        </w:rPr>
      </w:pPr>
    </w:p>
    <w:p w14:paraId="0BC37D7C" w14:textId="77777777" w:rsidR="002072AF" w:rsidRPr="00F06866" w:rsidRDefault="002072AF" w:rsidP="002072AF">
      <w:pPr>
        <w:rPr>
          <w:b/>
        </w:rPr>
      </w:pPr>
      <w:r>
        <w:rPr>
          <w:b/>
        </w:rPr>
        <w:t>TYPE OF COLLECTION:</w:t>
      </w:r>
      <w:r>
        <w:t xml:space="preserve"> </w:t>
      </w:r>
    </w:p>
    <w:p w14:paraId="65B1B75D" w14:textId="77777777" w:rsidR="002072AF" w:rsidRPr="00F06866" w:rsidRDefault="002072AF" w:rsidP="002072AF">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14:paraId="6DD46943" w14:textId="77777777" w:rsidR="002072AF" w:rsidRDefault="002072AF" w:rsidP="002072AF">
      <w:pPr>
        <w:pStyle w:val="BodyTextIndent"/>
        <w:tabs>
          <w:tab w:val="left" w:pos="360"/>
        </w:tabs>
        <w:ind w:left="0"/>
        <w:rPr>
          <w:bCs/>
          <w:sz w:val="24"/>
        </w:rPr>
      </w:pPr>
      <w:r>
        <w:rPr>
          <w:bCs/>
          <w:sz w:val="24"/>
        </w:rPr>
        <w:t xml:space="preserve">[ </w:t>
      </w:r>
      <w:r w:rsidRPr="00F06866">
        <w:rPr>
          <w:bCs/>
          <w:sz w:val="24"/>
        </w:rPr>
        <w:t>] Usability</w:t>
      </w:r>
      <w:r>
        <w:rPr>
          <w:bCs/>
          <w:sz w:val="24"/>
        </w:rPr>
        <w:t xml:space="preserve"> Testing (e.g., Website or Software</w:t>
      </w:r>
      <w:r>
        <w:rPr>
          <w:bCs/>
          <w:sz w:val="24"/>
        </w:rPr>
        <w:tab/>
        <w:t>[ ] Small Discussion Group</w:t>
      </w:r>
    </w:p>
    <w:p w14:paraId="08D7208F" w14:textId="77777777" w:rsidR="002072AF" w:rsidRPr="00F06866" w:rsidRDefault="002072AF" w:rsidP="002072AF">
      <w:pPr>
        <w:pStyle w:val="BodyTextIndent"/>
        <w:tabs>
          <w:tab w:val="left" w:pos="360"/>
        </w:tabs>
        <w:ind w:left="0"/>
        <w:rPr>
          <w:bCs/>
          <w:sz w:val="24"/>
        </w:rPr>
      </w:pPr>
      <w:r>
        <w:rPr>
          <w:bCs/>
          <w:sz w:val="24"/>
        </w:rPr>
        <w:t>[</w:t>
      </w:r>
      <w:r w:rsidRPr="00A22B01">
        <w:rPr>
          <w:b/>
          <w:bCs/>
          <w:sz w:val="24"/>
        </w:rPr>
        <w:t>X</w:t>
      </w:r>
      <w:r w:rsidRPr="00F06866">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sidRPr="009D59B9">
        <w:rPr>
          <w:b/>
          <w:bCs/>
          <w:sz w:val="24"/>
        </w:rPr>
        <w:t>X</w:t>
      </w:r>
      <w:r w:rsidRPr="00F06866">
        <w:rPr>
          <w:bCs/>
          <w:sz w:val="24"/>
        </w:rPr>
        <w:t>]</w:t>
      </w:r>
      <w:r>
        <w:rPr>
          <w:bCs/>
          <w:sz w:val="24"/>
        </w:rPr>
        <w:t xml:space="preserve"> Other:</w:t>
      </w:r>
      <w:r w:rsidRPr="00F06866">
        <w:rPr>
          <w:bCs/>
          <w:sz w:val="24"/>
          <w:u w:val="single"/>
        </w:rPr>
        <w:t xml:space="preserve"> </w:t>
      </w:r>
      <w:r>
        <w:rPr>
          <w:bCs/>
          <w:sz w:val="24"/>
          <w:u w:val="single"/>
        </w:rPr>
        <w:t>Online survey</w:t>
      </w:r>
    </w:p>
    <w:p w14:paraId="4008D31C" w14:textId="77777777" w:rsidR="002072AF" w:rsidRDefault="002072AF" w:rsidP="002072AF">
      <w:pPr>
        <w:pStyle w:val="Header"/>
        <w:tabs>
          <w:tab w:val="clear" w:pos="4320"/>
          <w:tab w:val="clear" w:pos="8640"/>
        </w:tabs>
      </w:pPr>
    </w:p>
    <w:p w14:paraId="2D97A5C0" w14:textId="77777777" w:rsidR="002072AF" w:rsidRDefault="002072AF" w:rsidP="002072AF">
      <w:pPr>
        <w:rPr>
          <w:b/>
        </w:rPr>
      </w:pPr>
      <w:r>
        <w:rPr>
          <w:b/>
        </w:rPr>
        <w:t xml:space="preserve">CERTIFICATION: </w:t>
      </w:r>
    </w:p>
    <w:p w14:paraId="2DBE82A7" w14:textId="77777777" w:rsidR="002072AF" w:rsidRPr="009C13B9" w:rsidRDefault="002072AF" w:rsidP="002072AF">
      <w:r>
        <w:t xml:space="preserve">I certify the following to be true: </w:t>
      </w:r>
    </w:p>
    <w:p w14:paraId="00A71A96" w14:textId="77777777" w:rsidR="002072AF" w:rsidRDefault="002072AF" w:rsidP="002072AF">
      <w:pPr>
        <w:pStyle w:val="ListParagraph"/>
        <w:numPr>
          <w:ilvl w:val="0"/>
          <w:numId w:val="1"/>
        </w:numPr>
      </w:pPr>
      <w:r>
        <w:t>The collection is voluntary.</w:t>
      </w:r>
      <w:r w:rsidRPr="00C14CC4">
        <w:t xml:space="preserve"> </w:t>
      </w:r>
    </w:p>
    <w:p w14:paraId="25B39EC5" w14:textId="77777777" w:rsidR="002072AF" w:rsidRDefault="002072AF" w:rsidP="002072AF">
      <w:pPr>
        <w:pStyle w:val="ListParagraph"/>
        <w:numPr>
          <w:ilvl w:val="0"/>
          <w:numId w:val="1"/>
        </w:numPr>
      </w:pPr>
      <w:r>
        <w:t>The</w:t>
      </w:r>
      <w:r w:rsidRPr="00C14CC4">
        <w:t xml:space="preserve"> collection </w:t>
      </w:r>
      <w:r>
        <w:t xml:space="preserve">is </w:t>
      </w:r>
      <w:r w:rsidRPr="00C14CC4">
        <w:t xml:space="preserve">low-burden for respondents and low-cost for the </w:t>
      </w:r>
      <w:r>
        <w:t>f</w:t>
      </w:r>
      <w:r w:rsidRPr="00C14CC4">
        <w:t xml:space="preserve">ederal </w:t>
      </w:r>
      <w:r>
        <w:t>g</w:t>
      </w:r>
      <w:r w:rsidRPr="00C14CC4">
        <w:t>overnment</w:t>
      </w:r>
      <w:r>
        <w:t>.</w:t>
      </w:r>
    </w:p>
    <w:p w14:paraId="76DEC0D5" w14:textId="77777777" w:rsidR="002072AF" w:rsidRDefault="002072AF" w:rsidP="002072AF">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182647">
        <w:t>not</w:t>
      </w:r>
      <w:r w:rsidRPr="00C14CC4">
        <w:t xml:space="preserve"> raise issues of concern to other federal agencies</w:t>
      </w:r>
      <w:r>
        <w:t>.</w:t>
      </w:r>
      <w:r>
        <w:tab/>
      </w:r>
      <w:r>
        <w:tab/>
      </w:r>
      <w:r>
        <w:tab/>
      </w:r>
      <w:r>
        <w:tab/>
      </w:r>
      <w:r>
        <w:tab/>
      </w:r>
      <w:r>
        <w:tab/>
      </w:r>
      <w:r>
        <w:tab/>
      </w:r>
      <w:r>
        <w:tab/>
      </w:r>
      <w:r>
        <w:tab/>
      </w:r>
    </w:p>
    <w:p w14:paraId="5A98ABD8" w14:textId="77777777" w:rsidR="002072AF" w:rsidRDefault="002072AF" w:rsidP="002072AF">
      <w:pPr>
        <w:pStyle w:val="ListParagraph"/>
        <w:numPr>
          <w:ilvl w:val="0"/>
          <w:numId w:val="1"/>
        </w:numPr>
      </w:pPr>
      <w:r>
        <w:t xml:space="preserve">The results are </w:t>
      </w:r>
      <w:r w:rsidRPr="00182647">
        <w:t>not</w:t>
      </w:r>
      <w:r w:rsidRPr="00895229">
        <w:t xml:space="preserve"> </w:t>
      </w:r>
      <w:r>
        <w:t>intended to be</w:t>
      </w:r>
      <w:r w:rsidRPr="00C14CC4">
        <w:t xml:space="preserve"> </w:t>
      </w:r>
      <w:r>
        <w:t>disseminated to the p</w:t>
      </w:r>
      <w:r w:rsidRPr="009C13B9">
        <w:t>ublic</w:t>
      </w:r>
      <w:r>
        <w:t>.</w:t>
      </w:r>
      <w:r>
        <w:tab/>
      </w:r>
      <w:r>
        <w:tab/>
      </w:r>
    </w:p>
    <w:p w14:paraId="2E055476" w14:textId="77777777" w:rsidR="002072AF" w:rsidRDefault="002072AF" w:rsidP="002072AF">
      <w:pPr>
        <w:pStyle w:val="ListParagraph"/>
        <w:numPr>
          <w:ilvl w:val="0"/>
          <w:numId w:val="1"/>
        </w:numPr>
      </w:pPr>
      <w:r>
        <w:t xml:space="preserve">Information gathered will not be used for the purpose of </w:t>
      </w:r>
      <w:r w:rsidRPr="00182647">
        <w:t>substantially</w:t>
      </w:r>
      <w:r>
        <w:t xml:space="preserve"> informing </w:t>
      </w:r>
      <w:r w:rsidRPr="00182647">
        <w:t xml:space="preserve">influential </w:t>
      </w:r>
      <w:r>
        <w:t xml:space="preserve">policy decisions. </w:t>
      </w:r>
    </w:p>
    <w:p w14:paraId="1D86084A" w14:textId="77777777" w:rsidR="002072AF" w:rsidRDefault="002072AF" w:rsidP="002072AF">
      <w:pPr>
        <w:pStyle w:val="ListParagraph"/>
        <w:numPr>
          <w:ilvl w:val="0"/>
          <w:numId w:val="1"/>
        </w:numPr>
      </w:pPr>
      <w:r>
        <w:t>The collection is targeted to the solicitation of opinions from respondents who have experience with the program or may have experience with the program in the future.</w:t>
      </w:r>
    </w:p>
    <w:p w14:paraId="39F8B50F" w14:textId="77777777" w:rsidR="002072AF" w:rsidRDefault="002072AF" w:rsidP="002072AF"/>
    <w:p w14:paraId="0BEFDEB3" w14:textId="272B7CB7" w:rsidR="002072AF" w:rsidRDefault="00B26AB6" w:rsidP="002072AF">
      <w:pPr>
        <w:rPr>
          <w:u w:val="single"/>
        </w:rPr>
      </w:pPr>
      <w:r w:rsidRPr="00923677">
        <w:rPr>
          <w:b/>
          <w:u w:val="single"/>
        </w:rPr>
        <w:t>Name:</w:t>
      </w:r>
      <w:r w:rsidRPr="00923677">
        <w:rPr>
          <w:u w:val="single"/>
        </w:rPr>
        <w:t xml:space="preserve"> Rosanne Hoffman</w:t>
      </w:r>
      <w:r w:rsidR="00A5648A" w:rsidRPr="00923677">
        <w:rPr>
          <w:u w:val="single"/>
        </w:rPr>
        <w:t xml:space="preserve"> (</w:t>
      </w:r>
      <w:r w:rsidR="002072AF" w:rsidRPr="00923677">
        <w:rPr>
          <w:u w:val="single"/>
        </w:rPr>
        <w:t>Project manager’s name)</w:t>
      </w:r>
    </w:p>
    <w:p w14:paraId="4A5C528B" w14:textId="77777777" w:rsidR="003B5617" w:rsidRPr="00923677" w:rsidRDefault="003B5617" w:rsidP="002072AF">
      <w:pPr>
        <w:rPr>
          <w:u w:val="single"/>
        </w:rPr>
      </w:pPr>
    </w:p>
    <w:p w14:paraId="0C3F3918" w14:textId="77777777" w:rsidR="002072AF" w:rsidRDefault="002072AF" w:rsidP="002072AF">
      <w:r>
        <w:t>To assist review, please provide answers to the following questions:</w:t>
      </w:r>
    </w:p>
    <w:p w14:paraId="707E0CCE" w14:textId="77777777" w:rsidR="002072AF" w:rsidRDefault="002072AF" w:rsidP="002072AF">
      <w:pPr>
        <w:pStyle w:val="ListParagraph"/>
        <w:ind w:left="360"/>
      </w:pPr>
    </w:p>
    <w:p w14:paraId="2EBE38CB" w14:textId="77777777" w:rsidR="002072AF" w:rsidRPr="00C86E91" w:rsidRDefault="002072AF" w:rsidP="002072AF">
      <w:pPr>
        <w:rPr>
          <w:b/>
        </w:rPr>
      </w:pPr>
      <w:r w:rsidRPr="00C86E91">
        <w:rPr>
          <w:b/>
        </w:rPr>
        <w:t>Personally Identifiable Information:</w:t>
      </w:r>
    </w:p>
    <w:p w14:paraId="52958442" w14:textId="77777777" w:rsidR="002072AF" w:rsidRDefault="002072AF" w:rsidP="002072AF">
      <w:pPr>
        <w:pStyle w:val="ListParagraph"/>
        <w:numPr>
          <w:ilvl w:val="0"/>
          <w:numId w:val="4"/>
        </w:numPr>
      </w:pPr>
      <w:r>
        <w:t>Is personally identifiable information (PII) collected?  [  ] Yes  [</w:t>
      </w:r>
      <w:r w:rsidRPr="00A22B01">
        <w:rPr>
          <w:b/>
        </w:rPr>
        <w:t>X</w:t>
      </w:r>
      <w:r>
        <w:t xml:space="preserve">]  No </w:t>
      </w:r>
    </w:p>
    <w:p w14:paraId="4CFFC0E0" w14:textId="77777777" w:rsidR="002072AF" w:rsidRDefault="002072AF" w:rsidP="002072AF">
      <w:pPr>
        <w:pStyle w:val="ListParagraph"/>
        <w:numPr>
          <w:ilvl w:val="0"/>
          <w:numId w:val="4"/>
        </w:numPr>
      </w:pPr>
      <w:r>
        <w:t xml:space="preserve">If Yes, is the information that will be collected included in records that are subject to the Privacy Act of 1974?   [  ] Yes [  ] No   </w:t>
      </w:r>
    </w:p>
    <w:p w14:paraId="0A97369B" w14:textId="77777777" w:rsidR="002072AF" w:rsidRDefault="002072AF" w:rsidP="002072AF"/>
    <w:p w14:paraId="66169AFE" w14:textId="77777777" w:rsidR="002072AF" w:rsidRDefault="002072AF" w:rsidP="002072AF">
      <w:pPr>
        <w:pStyle w:val="ListParagraph"/>
        <w:numPr>
          <w:ilvl w:val="0"/>
          <w:numId w:val="4"/>
        </w:numPr>
      </w:pPr>
      <w:r>
        <w:t>If Applicable, has a System or Records Notice been published?  [  ] Yes  [</w:t>
      </w:r>
      <w:r>
        <w:rPr>
          <w:b/>
        </w:rPr>
        <w:t xml:space="preserve"> </w:t>
      </w:r>
      <w:r>
        <w:t xml:space="preserve">] No </w:t>
      </w:r>
    </w:p>
    <w:p w14:paraId="0C44F571" w14:textId="77777777" w:rsidR="002072AF" w:rsidRDefault="002072AF" w:rsidP="002072AF">
      <w:pPr>
        <w:pStyle w:val="ListParagraph"/>
        <w:ind w:left="0"/>
        <w:rPr>
          <w:b/>
        </w:rPr>
      </w:pPr>
    </w:p>
    <w:p w14:paraId="4C88AA7F" w14:textId="77777777" w:rsidR="002072AF" w:rsidRPr="00C86E91" w:rsidRDefault="002072AF" w:rsidP="002072AF">
      <w:pPr>
        <w:pStyle w:val="ListParagraph"/>
        <w:ind w:left="0"/>
        <w:rPr>
          <w:b/>
        </w:rPr>
      </w:pPr>
      <w:r>
        <w:rPr>
          <w:b/>
        </w:rPr>
        <w:t>Gifts or Payments:</w:t>
      </w:r>
    </w:p>
    <w:p w14:paraId="320197B0" w14:textId="0C31A510" w:rsidR="002072AF" w:rsidRDefault="002072AF" w:rsidP="002072AF">
      <w:r>
        <w:lastRenderedPageBreak/>
        <w:t>Is an incentive (e.g., money, reimbursement of expenses or token of appreciation) provided to participants?  [</w:t>
      </w:r>
      <w:r w:rsidR="00204C1C">
        <w:t>X</w:t>
      </w:r>
      <w:r w:rsidR="00564D92">
        <w:t xml:space="preserve"> </w:t>
      </w:r>
      <w:r>
        <w:t xml:space="preserve">] Yes [] No.  </w:t>
      </w:r>
      <w:r w:rsidRPr="00C04ABF">
        <w:t>If Yes, please describe the incentive and provide a justification for the amount.</w:t>
      </w:r>
      <w:r>
        <w:t xml:space="preserve"> </w:t>
      </w:r>
    </w:p>
    <w:p w14:paraId="022514B5" w14:textId="77777777" w:rsidR="002072AF" w:rsidRDefault="002072AF" w:rsidP="002072AF"/>
    <w:p w14:paraId="435BBDDB" w14:textId="410B6B18" w:rsidR="00204C1C" w:rsidRDefault="00204C1C" w:rsidP="00204C1C">
      <w:r>
        <w:t>The focus groups will be conducted online (telephone with internet access). The focus group participants will receive a $</w:t>
      </w:r>
      <w:r w:rsidR="007C7087">
        <w:t xml:space="preserve">25 </w:t>
      </w:r>
      <w:r>
        <w:t>incentive for their participation, which is a standard bare minimum amount based on recommendations from recruiters, for online focus groups with this population. The standard amount of compensation for in-person focus groups with this population is, on average $100—which takes into account factors such as participants travel time and travel expenses. Although travel expenses are not typical for online focus groups, other unknown expenses and usual demands (e.g. time off work, child and dependent care, schedule conflicts) may occur which can be offset with the $</w:t>
      </w:r>
      <w:r w:rsidR="007C7087">
        <w:t xml:space="preserve">25 </w:t>
      </w:r>
      <w:r>
        <w:t xml:space="preserve">incentive. This age group, young adults ages 18-25, tends to have many demands on their time and competing interests, such as work, studies, activities, family responsibilities, and more, all of which will reduce their interest in participating in the study without proper incentive. When we have conducted studies with lower incentives than recommended by recruiters, we tend to have a high no-show rate and slower recruitment times. These factors extend the timing of the </w:t>
      </w:r>
      <w:r w:rsidR="00B50D69">
        <w:t>study and adds significant cost and time to the government</w:t>
      </w:r>
      <w:r>
        <w:t>. As such, the $</w:t>
      </w:r>
      <w:r w:rsidR="007C7087">
        <w:t xml:space="preserve">25 </w:t>
      </w:r>
      <w:r>
        <w:t xml:space="preserve">incentive is an effective means to help ensure a timely and cost-effective completion of the </w:t>
      </w:r>
      <w:r w:rsidR="000F6E42">
        <w:t>survey</w:t>
      </w:r>
      <w:r>
        <w:t>.</w:t>
      </w:r>
    </w:p>
    <w:p w14:paraId="318F5D8A" w14:textId="77777777" w:rsidR="00204C1C" w:rsidRDefault="00204C1C" w:rsidP="00204C1C"/>
    <w:p w14:paraId="5B262DC6" w14:textId="3259CA55" w:rsidR="002072AF" w:rsidRDefault="002072AF" w:rsidP="002072AF"/>
    <w:p w14:paraId="39B3E2FD" w14:textId="4517E205" w:rsidR="00204C1C" w:rsidRDefault="00204C1C" w:rsidP="002072AF"/>
    <w:p w14:paraId="1D59140F" w14:textId="77777777" w:rsidR="002072AF" w:rsidRPr="004325BD" w:rsidRDefault="002072AF" w:rsidP="002072AF">
      <w:pPr>
        <w:rPr>
          <w:i/>
        </w:rPr>
      </w:pPr>
      <w:r>
        <w:rPr>
          <w:b/>
        </w:rPr>
        <w:t>BURDEN HOURS</w:t>
      </w:r>
      <w:r>
        <w:t xml:space="preserve"> </w:t>
      </w:r>
    </w:p>
    <w:tbl>
      <w:tblPr>
        <w:tblStyle w:val="TableGrid"/>
        <w:tblW w:w="10185" w:type="dxa"/>
        <w:tblInd w:w="-5" w:type="dxa"/>
        <w:tblLayout w:type="fixed"/>
        <w:tblLook w:val="01E0" w:firstRow="1" w:lastRow="1" w:firstColumn="1" w:lastColumn="1" w:noHBand="0" w:noVBand="0"/>
      </w:tblPr>
      <w:tblGrid>
        <w:gridCol w:w="2425"/>
        <w:gridCol w:w="2885"/>
        <w:gridCol w:w="1710"/>
        <w:gridCol w:w="1975"/>
        <w:gridCol w:w="1190"/>
      </w:tblGrid>
      <w:tr w:rsidR="00D87EDC" w14:paraId="2E0F8E58" w14:textId="77777777" w:rsidTr="00E24544">
        <w:trPr>
          <w:trHeight w:val="274"/>
        </w:trPr>
        <w:tc>
          <w:tcPr>
            <w:tcW w:w="2425" w:type="dxa"/>
          </w:tcPr>
          <w:p w14:paraId="7D6344C9" w14:textId="77777777" w:rsidR="00D87EDC" w:rsidRPr="00F6240A" w:rsidRDefault="00D87EDC" w:rsidP="00C17EE3">
            <w:pPr>
              <w:rPr>
                <w:b/>
              </w:rPr>
            </w:pPr>
            <w:r>
              <w:rPr>
                <w:b/>
              </w:rPr>
              <w:t xml:space="preserve">Category of Respondent </w:t>
            </w:r>
          </w:p>
        </w:tc>
        <w:tc>
          <w:tcPr>
            <w:tcW w:w="2885" w:type="dxa"/>
          </w:tcPr>
          <w:p w14:paraId="3512BD5E" w14:textId="48D898A1" w:rsidR="00D87EDC" w:rsidRPr="00F6240A" w:rsidRDefault="00D87EDC" w:rsidP="00C17EE3">
            <w:pPr>
              <w:rPr>
                <w:b/>
              </w:rPr>
            </w:pPr>
            <w:r>
              <w:rPr>
                <w:b/>
              </w:rPr>
              <w:t>Form Name</w:t>
            </w:r>
          </w:p>
        </w:tc>
        <w:tc>
          <w:tcPr>
            <w:tcW w:w="1710" w:type="dxa"/>
          </w:tcPr>
          <w:p w14:paraId="6452BBD8" w14:textId="61953B59" w:rsidR="00D87EDC" w:rsidRPr="00F6240A" w:rsidRDefault="00D87EDC" w:rsidP="00C17EE3">
            <w:pPr>
              <w:rPr>
                <w:b/>
              </w:rPr>
            </w:pPr>
            <w:r w:rsidRPr="00F6240A">
              <w:rPr>
                <w:b/>
              </w:rPr>
              <w:t>N</w:t>
            </w:r>
            <w:r>
              <w:rPr>
                <w:b/>
              </w:rPr>
              <w:t>o.</w:t>
            </w:r>
            <w:r w:rsidRPr="00F6240A">
              <w:rPr>
                <w:b/>
              </w:rPr>
              <w:t xml:space="preserve"> of Respondents</w:t>
            </w:r>
          </w:p>
        </w:tc>
        <w:tc>
          <w:tcPr>
            <w:tcW w:w="1975" w:type="dxa"/>
          </w:tcPr>
          <w:p w14:paraId="54FD2BCD" w14:textId="77777777" w:rsidR="00D87EDC" w:rsidRPr="00F6240A" w:rsidRDefault="00D87EDC" w:rsidP="00C17EE3">
            <w:pPr>
              <w:rPr>
                <w:b/>
              </w:rPr>
            </w:pPr>
            <w:r w:rsidRPr="00F6240A">
              <w:rPr>
                <w:b/>
              </w:rPr>
              <w:t>Participation Time</w:t>
            </w:r>
            <w:r>
              <w:rPr>
                <w:b/>
              </w:rPr>
              <w:t xml:space="preserve"> (in hours)</w:t>
            </w:r>
          </w:p>
        </w:tc>
        <w:tc>
          <w:tcPr>
            <w:tcW w:w="1190" w:type="dxa"/>
          </w:tcPr>
          <w:p w14:paraId="0F864B9D" w14:textId="77777777" w:rsidR="00D87EDC" w:rsidRPr="00F6240A" w:rsidRDefault="00D87EDC" w:rsidP="00C17EE3">
            <w:pPr>
              <w:rPr>
                <w:b/>
              </w:rPr>
            </w:pPr>
            <w:r w:rsidRPr="00F6240A">
              <w:rPr>
                <w:b/>
              </w:rPr>
              <w:t>Burden</w:t>
            </w:r>
          </w:p>
        </w:tc>
      </w:tr>
      <w:tr w:rsidR="00D87EDC" w14:paraId="58024F45" w14:textId="77777777" w:rsidTr="00E24544">
        <w:trPr>
          <w:trHeight w:val="1610"/>
        </w:trPr>
        <w:tc>
          <w:tcPr>
            <w:tcW w:w="2425" w:type="dxa"/>
          </w:tcPr>
          <w:p w14:paraId="25D48450" w14:textId="284BB2C8" w:rsidR="00D87EDC" w:rsidRDefault="00D87EDC" w:rsidP="00C17EE3">
            <w:r>
              <w:t xml:space="preserve">Focus group respondents – individuals, 18-25 years old </w:t>
            </w:r>
          </w:p>
        </w:tc>
        <w:tc>
          <w:tcPr>
            <w:tcW w:w="2885" w:type="dxa"/>
          </w:tcPr>
          <w:p w14:paraId="77A3B45B" w14:textId="53126720" w:rsidR="00D87EDC" w:rsidRDefault="0099492B" w:rsidP="00C17EE3">
            <w:r>
              <w:t xml:space="preserve">Appendix D: </w:t>
            </w:r>
            <w:r w:rsidR="00E24544">
              <w:t>Moderator Guide</w:t>
            </w:r>
          </w:p>
        </w:tc>
        <w:tc>
          <w:tcPr>
            <w:tcW w:w="1710" w:type="dxa"/>
          </w:tcPr>
          <w:p w14:paraId="64E4A955" w14:textId="2AF7988A" w:rsidR="00D87EDC" w:rsidRPr="00922126" w:rsidRDefault="00D87EDC" w:rsidP="00C17EE3">
            <w:r>
              <w:t>32</w:t>
            </w:r>
          </w:p>
        </w:tc>
        <w:tc>
          <w:tcPr>
            <w:tcW w:w="1975" w:type="dxa"/>
          </w:tcPr>
          <w:p w14:paraId="33410B87" w14:textId="77777777" w:rsidR="00D87EDC" w:rsidRPr="00922126" w:rsidRDefault="00D87EDC" w:rsidP="00C17EE3">
            <w:r>
              <w:t>1</w:t>
            </w:r>
          </w:p>
        </w:tc>
        <w:tc>
          <w:tcPr>
            <w:tcW w:w="1190" w:type="dxa"/>
          </w:tcPr>
          <w:p w14:paraId="6164183A" w14:textId="77777777" w:rsidR="00D87EDC" w:rsidRPr="00922126" w:rsidRDefault="00D87EDC" w:rsidP="00C17EE3">
            <w:r>
              <w:t>32</w:t>
            </w:r>
          </w:p>
        </w:tc>
      </w:tr>
      <w:tr w:rsidR="00D87EDC" w14:paraId="2A6AF60F" w14:textId="77777777" w:rsidTr="00E24544">
        <w:trPr>
          <w:trHeight w:val="1412"/>
        </w:trPr>
        <w:tc>
          <w:tcPr>
            <w:tcW w:w="2425" w:type="dxa"/>
          </w:tcPr>
          <w:p w14:paraId="6BA800FA" w14:textId="03D4D9F5" w:rsidR="00D87EDC" w:rsidRDefault="00D87EDC" w:rsidP="00C17EE3">
            <w:r>
              <w:t xml:space="preserve">Survey respondents – individuals 18-25 years old </w:t>
            </w:r>
          </w:p>
        </w:tc>
        <w:tc>
          <w:tcPr>
            <w:tcW w:w="2885" w:type="dxa"/>
          </w:tcPr>
          <w:p w14:paraId="7D45FF65" w14:textId="2FF4E2E1" w:rsidR="00D87EDC" w:rsidRDefault="0099492B" w:rsidP="00C17EE3">
            <w:r>
              <w:t xml:space="preserve">Appendix E: </w:t>
            </w:r>
            <w:r w:rsidR="005A75FF">
              <w:t>Feedback Survey</w:t>
            </w:r>
          </w:p>
        </w:tc>
        <w:tc>
          <w:tcPr>
            <w:tcW w:w="1710" w:type="dxa"/>
          </w:tcPr>
          <w:p w14:paraId="273A5AC7" w14:textId="5E4AF92C" w:rsidR="00D87EDC" w:rsidRPr="00922126" w:rsidRDefault="00D87EDC" w:rsidP="00C17EE3">
            <w:r>
              <w:t>1068</w:t>
            </w:r>
          </w:p>
        </w:tc>
        <w:tc>
          <w:tcPr>
            <w:tcW w:w="1975" w:type="dxa"/>
          </w:tcPr>
          <w:p w14:paraId="04B943C3" w14:textId="030C4E3E" w:rsidR="00D87EDC" w:rsidRPr="00922126" w:rsidRDefault="00D87EDC" w:rsidP="000F744A">
            <w:r>
              <w:t xml:space="preserve"> 25/60</w:t>
            </w:r>
          </w:p>
        </w:tc>
        <w:tc>
          <w:tcPr>
            <w:tcW w:w="1190" w:type="dxa"/>
          </w:tcPr>
          <w:p w14:paraId="52693D8C" w14:textId="028FE3CD" w:rsidR="00D87EDC" w:rsidRPr="00922126" w:rsidRDefault="00D87EDC" w:rsidP="00C17EE3">
            <w:r>
              <w:t>445</w:t>
            </w:r>
          </w:p>
        </w:tc>
      </w:tr>
      <w:tr w:rsidR="0079427F" w14:paraId="28D01785" w14:textId="77777777" w:rsidTr="00E24544">
        <w:trPr>
          <w:trHeight w:val="289"/>
        </w:trPr>
        <w:tc>
          <w:tcPr>
            <w:tcW w:w="2425" w:type="dxa"/>
          </w:tcPr>
          <w:p w14:paraId="506819EB" w14:textId="77777777" w:rsidR="00265FBF" w:rsidRDefault="0079427F" w:rsidP="00C17EE3">
            <w:r>
              <w:t xml:space="preserve">Focus Group </w:t>
            </w:r>
          </w:p>
          <w:p w14:paraId="734FF62A" w14:textId="5915B56F" w:rsidR="0079427F" w:rsidRPr="0079427F" w:rsidRDefault="0079427F" w:rsidP="00C17EE3">
            <w:r>
              <w:t>Pre-screen</w:t>
            </w:r>
            <w:r w:rsidR="00265FBF">
              <w:t xml:space="preserve"> - individuals 18-25 years old</w:t>
            </w:r>
          </w:p>
        </w:tc>
        <w:tc>
          <w:tcPr>
            <w:tcW w:w="2885" w:type="dxa"/>
          </w:tcPr>
          <w:p w14:paraId="5DA39022" w14:textId="5EB505F5" w:rsidR="0079427F" w:rsidRPr="0079427F" w:rsidRDefault="0099492B" w:rsidP="00C17EE3">
            <w:r>
              <w:t>Appendix A: Focus Group Scre</w:t>
            </w:r>
            <w:r w:rsidR="003D6BDF">
              <w:t>e</w:t>
            </w:r>
            <w:r>
              <w:t>ner</w:t>
            </w:r>
          </w:p>
          <w:p w14:paraId="3836F000" w14:textId="77777777" w:rsidR="0079427F" w:rsidRPr="0079427F" w:rsidRDefault="0079427F" w:rsidP="0079427F"/>
        </w:tc>
        <w:tc>
          <w:tcPr>
            <w:tcW w:w="1710" w:type="dxa"/>
          </w:tcPr>
          <w:p w14:paraId="66DD5153" w14:textId="5AF2BCBE" w:rsidR="0079427F" w:rsidRPr="0079427F" w:rsidRDefault="0099492B" w:rsidP="00C17EE3">
            <w:r>
              <w:t>32</w:t>
            </w:r>
          </w:p>
        </w:tc>
        <w:tc>
          <w:tcPr>
            <w:tcW w:w="1975" w:type="dxa"/>
          </w:tcPr>
          <w:p w14:paraId="5385C959" w14:textId="7F05DBB3" w:rsidR="0079427F" w:rsidRDefault="0099492B" w:rsidP="00C17EE3">
            <w:r>
              <w:t>2</w:t>
            </w:r>
            <w:r w:rsidR="0079427F">
              <w:t>/60</w:t>
            </w:r>
          </w:p>
        </w:tc>
        <w:tc>
          <w:tcPr>
            <w:tcW w:w="1190" w:type="dxa"/>
          </w:tcPr>
          <w:p w14:paraId="4E8A4043" w14:textId="06627B43" w:rsidR="0079427F" w:rsidRPr="0079427F" w:rsidRDefault="0099492B" w:rsidP="00C17EE3">
            <w:r>
              <w:t>1.06</w:t>
            </w:r>
          </w:p>
        </w:tc>
      </w:tr>
      <w:tr w:rsidR="00D87EDC" w14:paraId="3EA95F14" w14:textId="77777777" w:rsidTr="00E24544">
        <w:trPr>
          <w:trHeight w:val="289"/>
        </w:trPr>
        <w:tc>
          <w:tcPr>
            <w:tcW w:w="2425" w:type="dxa"/>
          </w:tcPr>
          <w:p w14:paraId="646E5AE3" w14:textId="77777777" w:rsidR="00D87EDC" w:rsidRPr="00F6240A" w:rsidRDefault="00D87EDC" w:rsidP="00C17EE3">
            <w:pPr>
              <w:rPr>
                <w:b/>
              </w:rPr>
            </w:pPr>
            <w:r>
              <w:rPr>
                <w:b/>
              </w:rPr>
              <w:t>Totals</w:t>
            </w:r>
          </w:p>
        </w:tc>
        <w:tc>
          <w:tcPr>
            <w:tcW w:w="2885" w:type="dxa"/>
          </w:tcPr>
          <w:p w14:paraId="6DC53BD4" w14:textId="77777777" w:rsidR="00D87EDC" w:rsidRDefault="00D87EDC" w:rsidP="00C17EE3">
            <w:pPr>
              <w:rPr>
                <w:b/>
              </w:rPr>
            </w:pPr>
          </w:p>
        </w:tc>
        <w:tc>
          <w:tcPr>
            <w:tcW w:w="1710" w:type="dxa"/>
          </w:tcPr>
          <w:p w14:paraId="78A1B491" w14:textId="754185F7" w:rsidR="00D87EDC" w:rsidRPr="00F6240A" w:rsidRDefault="003D6BDF" w:rsidP="00C17EE3">
            <w:pPr>
              <w:rPr>
                <w:b/>
              </w:rPr>
            </w:pPr>
            <w:r>
              <w:rPr>
                <w:b/>
              </w:rPr>
              <w:t>1132</w:t>
            </w:r>
          </w:p>
        </w:tc>
        <w:tc>
          <w:tcPr>
            <w:tcW w:w="1975" w:type="dxa"/>
          </w:tcPr>
          <w:p w14:paraId="6E991369" w14:textId="3BFF3E8D" w:rsidR="00D87EDC" w:rsidRDefault="00D87EDC" w:rsidP="00C17EE3"/>
        </w:tc>
        <w:tc>
          <w:tcPr>
            <w:tcW w:w="1190" w:type="dxa"/>
          </w:tcPr>
          <w:p w14:paraId="018AA35A" w14:textId="2389EE77" w:rsidR="00D87EDC" w:rsidRPr="00F6240A" w:rsidRDefault="0099492B" w:rsidP="00C17EE3">
            <w:pPr>
              <w:rPr>
                <w:b/>
              </w:rPr>
            </w:pPr>
            <w:r>
              <w:rPr>
                <w:b/>
              </w:rPr>
              <w:t>478.06</w:t>
            </w:r>
          </w:p>
        </w:tc>
      </w:tr>
    </w:tbl>
    <w:p w14:paraId="02B162A1" w14:textId="77777777" w:rsidR="002072AF" w:rsidRDefault="002072AF" w:rsidP="002072AF"/>
    <w:p w14:paraId="642ABC43" w14:textId="77777777" w:rsidR="00923677" w:rsidRDefault="00923677" w:rsidP="002072AF">
      <w:pPr>
        <w:rPr>
          <w:b/>
        </w:rPr>
      </w:pPr>
    </w:p>
    <w:p w14:paraId="33212512" w14:textId="52D78512" w:rsidR="00923677" w:rsidRDefault="00923677" w:rsidP="002072AF">
      <w:pPr>
        <w:rPr>
          <w:b/>
        </w:rPr>
      </w:pPr>
    </w:p>
    <w:p w14:paraId="6A2169B1" w14:textId="74037B2D" w:rsidR="002072AF" w:rsidRDefault="002072AF" w:rsidP="002072AF">
      <w:pPr>
        <w:rPr>
          <w:b/>
        </w:rPr>
      </w:pPr>
      <w:r w:rsidRPr="00C76CA9">
        <w:rPr>
          <w:b/>
        </w:rPr>
        <w:t>FEDERAL COST:</w:t>
      </w:r>
      <w:r>
        <w:rPr>
          <w:b/>
        </w:rPr>
        <w:t xml:space="preserve">  </w:t>
      </w:r>
      <w:r>
        <w:t>The estimated annual cost to the f</w:t>
      </w:r>
      <w:r w:rsidR="007C7087">
        <w:t>ederal government is $128,750</w:t>
      </w:r>
    </w:p>
    <w:p w14:paraId="5FDE7EC0" w14:textId="7EBF02CA" w:rsidR="002072AF" w:rsidRPr="008D234A" w:rsidRDefault="002072AF" w:rsidP="002072AF">
      <w:pPr>
        <w:rPr>
          <w:bCs/>
        </w:rPr>
      </w:pPr>
    </w:p>
    <w:p w14:paraId="75B16F40" w14:textId="77777777" w:rsidR="002072AF" w:rsidRPr="00182647" w:rsidRDefault="002072AF" w:rsidP="002072AF">
      <w:pPr>
        <w:rPr>
          <w:b/>
        </w:rPr>
      </w:pPr>
      <w:r w:rsidRPr="00182647">
        <w:rPr>
          <w:b/>
          <w:bCs/>
        </w:rPr>
        <w:t>If you are conducting a focus group, survey, or plan to employ statistical methods, please  provide answers to the following questions:</w:t>
      </w:r>
    </w:p>
    <w:p w14:paraId="3305F2D8" w14:textId="77777777" w:rsidR="002072AF" w:rsidRDefault="002072AF" w:rsidP="002072AF">
      <w:pPr>
        <w:rPr>
          <w:b/>
        </w:rPr>
      </w:pPr>
    </w:p>
    <w:p w14:paraId="06422768" w14:textId="77777777" w:rsidR="002072AF" w:rsidRDefault="002072AF" w:rsidP="002072AF">
      <w:pPr>
        <w:rPr>
          <w:b/>
        </w:rPr>
      </w:pPr>
      <w:r>
        <w:rPr>
          <w:b/>
        </w:rPr>
        <w:t>The selection of your targeted respondents</w:t>
      </w:r>
    </w:p>
    <w:p w14:paraId="32EE7994" w14:textId="77777777" w:rsidR="002072AF" w:rsidRDefault="002072AF" w:rsidP="002072AF">
      <w:pPr>
        <w:pStyle w:val="ListParagraph"/>
        <w:numPr>
          <w:ilvl w:val="0"/>
          <w:numId w:val="2"/>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Pr="00010BBA">
        <w:rPr>
          <w:b/>
        </w:rPr>
        <w:t>X</w:t>
      </w:r>
      <w:r>
        <w:t xml:space="preserve"> ] Yes</w:t>
      </w:r>
      <w:r>
        <w:tab/>
        <w:t>[] No</w:t>
      </w:r>
    </w:p>
    <w:p w14:paraId="01BAF078" w14:textId="77777777" w:rsidR="002072AF" w:rsidRDefault="002072AF" w:rsidP="002072AF">
      <w:r w:rsidRPr="00636621">
        <w:t xml:space="preserve">If the answer is </w:t>
      </w:r>
      <w:r>
        <w:t>Y</w:t>
      </w:r>
      <w:r w:rsidRPr="00636621">
        <w:t xml:space="preserve">es, </w:t>
      </w:r>
      <w:r>
        <w:t xml:space="preserve">please provide a description of both below (or attach the sampling plan)?  </w:t>
      </w:r>
    </w:p>
    <w:p w14:paraId="7BA7ECEE" w14:textId="77777777" w:rsidR="002072AF" w:rsidRDefault="002072AF" w:rsidP="002072AF"/>
    <w:p w14:paraId="74394F49" w14:textId="7F9B8EF1" w:rsidR="002072AF" w:rsidRDefault="002072AF" w:rsidP="002072AF">
      <w:r>
        <w:t>The survey will use a non-probability sample, and does not have a detailed sampling plan. We do not expect to perform any high-level inferential or rigorous statistics using the survey data</w:t>
      </w:r>
      <w:r w:rsidR="00564D92">
        <w:t>, and no generalizations will be made</w:t>
      </w:r>
      <w:r w:rsidR="002F3016">
        <w:t xml:space="preserve"> from the results</w:t>
      </w:r>
      <w:r>
        <w:t xml:space="preserve">. However, we do plan to administer the surveys in a manner to ensure that we gather data from respondents across the United States (see Table 1). The focus group participants will also come from across the United States, although no efforts will be made to </w:t>
      </w:r>
      <w:r w:rsidR="00F5441D">
        <w:t>intentionally</w:t>
      </w:r>
      <w:r>
        <w:t xml:space="preserve"> recruit participants from particular regions (given the small</w:t>
      </w:r>
      <w:r w:rsidR="00B50D69">
        <w:t xml:space="preserve"> sample size). </w:t>
      </w:r>
      <w:r>
        <w:t xml:space="preserve"> </w:t>
      </w:r>
    </w:p>
    <w:p w14:paraId="55A398C8" w14:textId="77777777" w:rsidR="002072AF" w:rsidRDefault="002072AF" w:rsidP="002072AF"/>
    <w:p w14:paraId="002914D7" w14:textId="45F49D9C" w:rsidR="002072AF" w:rsidRDefault="002072AF" w:rsidP="002072AF">
      <w:r>
        <w:t>Tab</w:t>
      </w:r>
      <w:r w:rsidR="00B4189D">
        <w:t>le 1. Survey Sampling</w:t>
      </w:r>
      <w:r>
        <w:t xml:space="preserve"> Plan</w:t>
      </w:r>
    </w:p>
    <w:tbl>
      <w:tblPr>
        <w:tblStyle w:val="TableGrid"/>
        <w:tblW w:w="0" w:type="auto"/>
        <w:tblLayout w:type="fixed"/>
        <w:tblLook w:val="04A0" w:firstRow="1" w:lastRow="0" w:firstColumn="1" w:lastColumn="0" w:noHBand="0" w:noVBand="1"/>
      </w:tblPr>
      <w:tblGrid>
        <w:gridCol w:w="1220"/>
        <w:gridCol w:w="2015"/>
        <w:gridCol w:w="2520"/>
        <w:gridCol w:w="3420"/>
      </w:tblGrid>
      <w:tr w:rsidR="002072AF" w:rsidRPr="00CB7C65" w14:paraId="44516CAD" w14:textId="77777777" w:rsidTr="00C17EE3">
        <w:trPr>
          <w:trHeight w:val="350"/>
        </w:trPr>
        <w:tc>
          <w:tcPr>
            <w:tcW w:w="1220" w:type="dxa"/>
            <w:hideMark/>
          </w:tcPr>
          <w:p w14:paraId="431129F6" w14:textId="77777777" w:rsidR="002072AF" w:rsidRPr="00CB7C65" w:rsidRDefault="002072AF" w:rsidP="00C17EE3">
            <w:pPr>
              <w:rPr>
                <w:b/>
                <w:bCs/>
              </w:rPr>
            </w:pPr>
            <w:r w:rsidRPr="00CB7C65">
              <w:rPr>
                <w:b/>
                <w:bCs/>
              </w:rPr>
              <w:t>Region</w:t>
            </w:r>
          </w:p>
        </w:tc>
        <w:tc>
          <w:tcPr>
            <w:tcW w:w="2015" w:type="dxa"/>
            <w:hideMark/>
          </w:tcPr>
          <w:p w14:paraId="0483A281" w14:textId="77777777" w:rsidR="002072AF" w:rsidRPr="00CB7C65" w:rsidRDefault="002072AF" w:rsidP="00C17EE3">
            <w:pPr>
              <w:rPr>
                <w:b/>
                <w:bCs/>
              </w:rPr>
            </w:pPr>
            <w:r w:rsidRPr="00CB7C65">
              <w:rPr>
                <w:b/>
                <w:bCs/>
              </w:rPr>
              <w:t>State</w:t>
            </w:r>
          </w:p>
        </w:tc>
        <w:tc>
          <w:tcPr>
            <w:tcW w:w="2520" w:type="dxa"/>
            <w:hideMark/>
          </w:tcPr>
          <w:p w14:paraId="48FDF273" w14:textId="77777777" w:rsidR="002072AF" w:rsidRPr="00CB7C65" w:rsidRDefault="002072AF" w:rsidP="00C17EE3">
            <w:pPr>
              <w:rPr>
                <w:b/>
                <w:bCs/>
              </w:rPr>
            </w:pPr>
            <w:r w:rsidRPr="00CB7C65">
              <w:rPr>
                <w:b/>
                <w:bCs/>
              </w:rPr>
              <w:t>Total sample state =18</w:t>
            </w:r>
          </w:p>
        </w:tc>
        <w:tc>
          <w:tcPr>
            <w:tcW w:w="3420" w:type="dxa"/>
            <w:hideMark/>
          </w:tcPr>
          <w:p w14:paraId="514AF979" w14:textId="77777777" w:rsidR="002072AF" w:rsidRPr="00CB7C65" w:rsidRDefault="002072AF" w:rsidP="00C17EE3">
            <w:pPr>
              <w:rPr>
                <w:b/>
                <w:bCs/>
              </w:rPr>
            </w:pPr>
            <w:r w:rsidRPr="00CB7C65">
              <w:rPr>
                <w:b/>
                <w:bCs/>
              </w:rPr>
              <w:t>Sample Size per region/State</w:t>
            </w:r>
          </w:p>
        </w:tc>
      </w:tr>
      <w:tr w:rsidR="002072AF" w:rsidRPr="00CB7C65" w14:paraId="57B8EE55" w14:textId="77777777" w:rsidTr="00C17EE3">
        <w:trPr>
          <w:trHeight w:val="242"/>
        </w:trPr>
        <w:tc>
          <w:tcPr>
            <w:tcW w:w="1220" w:type="dxa"/>
            <w:noWrap/>
            <w:hideMark/>
          </w:tcPr>
          <w:p w14:paraId="02C2FAE6" w14:textId="77777777" w:rsidR="002072AF" w:rsidRPr="00CB7C65" w:rsidRDefault="002072AF" w:rsidP="00C17EE3">
            <w:r w:rsidRPr="00CB7C65">
              <w:t xml:space="preserve">Northeast </w:t>
            </w:r>
          </w:p>
        </w:tc>
        <w:tc>
          <w:tcPr>
            <w:tcW w:w="2015" w:type="dxa"/>
            <w:noWrap/>
            <w:hideMark/>
          </w:tcPr>
          <w:p w14:paraId="0D1FF910" w14:textId="77777777" w:rsidR="002072AF" w:rsidRPr="00CB7C65" w:rsidRDefault="002072AF" w:rsidP="00C17EE3">
            <w:r w:rsidRPr="00CB7C65">
              <w:t>Maine</w:t>
            </w:r>
          </w:p>
        </w:tc>
        <w:tc>
          <w:tcPr>
            <w:tcW w:w="2520" w:type="dxa"/>
            <w:noWrap/>
            <w:hideMark/>
          </w:tcPr>
          <w:p w14:paraId="1EA29470" w14:textId="77777777" w:rsidR="002072AF" w:rsidRPr="00CB7C65" w:rsidRDefault="002072AF" w:rsidP="00C17EE3">
            <w:r w:rsidRPr="00CB7C65">
              <w:t> </w:t>
            </w:r>
          </w:p>
        </w:tc>
        <w:tc>
          <w:tcPr>
            <w:tcW w:w="3420" w:type="dxa"/>
            <w:noWrap/>
            <w:hideMark/>
          </w:tcPr>
          <w:p w14:paraId="5E254AF1" w14:textId="77777777" w:rsidR="002072AF" w:rsidRPr="00CB7C65" w:rsidRDefault="002072AF" w:rsidP="00C17EE3">
            <w:r w:rsidRPr="00CB7C65">
              <w:t>22</w:t>
            </w:r>
          </w:p>
        </w:tc>
      </w:tr>
      <w:tr w:rsidR="002072AF" w:rsidRPr="00CB7C65" w14:paraId="76578881" w14:textId="77777777" w:rsidTr="00C17EE3">
        <w:trPr>
          <w:trHeight w:val="288"/>
        </w:trPr>
        <w:tc>
          <w:tcPr>
            <w:tcW w:w="1220" w:type="dxa"/>
            <w:noWrap/>
            <w:hideMark/>
          </w:tcPr>
          <w:p w14:paraId="6C9C0EE3" w14:textId="77777777" w:rsidR="002072AF" w:rsidRPr="00CB7C65" w:rsidRDefault="002072AF" w:rsidP="00C17EE3">
            <w:r w:rsidRPr="00CB7C65">
              <w:t> </w:t>
            </w:r>
          </w:p>
        </w:tc>
        <w:tc>
          <w:tcPr>
            <w:tcW w:w="2015" w:type="dxa"/>
            <w:noWrap/>
            <w:hideMark/>
          </w:tcPr>
          <w:p w14:paraId="39F41CC4" w14:textId="77777777" w:rsidR="002072AF" w:rsidRPr="00CB7C65" w:rsidRDefault="002072AF" w:rsidP="00C17EE3">
            <w:r w:rsidRPr="00CB7C65">
              <w:t>Massachusetts</w:t>
            </w:r>
          </w:p>
        </w:tc>
        <w:tc>
          <w:tcPr>
            <w:tcW w:w="2520" w:type="dxa"/>
            <w:noWrap/>
            <w:hideMark/>
          </w:tcPr>
          <w:p w14:paraId="6500603F" w14:textId="77777777" w:rsidR="002072AF" w:rsidRPr="00CB7C65" w:rsidRDefault="002072AF" w:rsidP="00C17EE3">
            <w:r w:rsidRPr="00CB7C65">
              <w:t> </w:t>
            </w:r>
          </w:p>
        </w:tc>
        <w:tc>
          <w:tcPr>
            <w:tcW w:w="3420" w:type="dxa"/>
            <w:noWrap/>
            <w:hideMark/>
          </w:tcPr>
          <w:p w14:paraId="5A7930F2" w14:textId="77777777" w:rsidR="002072AF" w:rsidRPr="00CB7C65" w:rsidRDefault="002072AF" w:rsidP="00C17EE3">
            <w:r w:rsidRPr="00CB7C65">
              <w:t>143</w:t>
            </w:r>
          </w:p>
        </w:tc>
      </w:tr>
      <w:tr w:rsidR="002072AF" w:rsidRPr="00CB7C65" w14:paraId="46BBA13B" w14:textId="77777777" w:rsidTr="00C17EE3">
        <w:trPr>
          <w:trHeight w:val="288"/>
        </w:trPr>
        <w:tc>
          <w:tcPr>
            <w:tcW w:w="1220" w:type="dxa"/>
            <w:noWrap/>
            <w:hideMark/>
          </w:tcPr>
          <w:p w14:paraId="171CBFD7" w14:textId="77777777" w:rsidR="002072AF" w:rsidRPr="00CB7C65" w:rsidRDefault="002072AF" w:rsidP="00C17EE3">
            <w:r w:rsidRPr="00CB7C65">
              <w:t> </w:t>
            </w:r>
          </w:p>
        </w:tc>
        <w:tc>
          <w:tcPr>
            <w:tcW w:w="2015" w:type="dxa"/>
            <w:noWrap/>
            <w:hideMark/>
          </w:tcPr>
          <w:p w14:paraId="44F86210" w14:textId="77777777" w:rsidR="002072AF" w:rsidRPr="00CB7C65" w:rsidRDefault="002072AF" w:rsidP="00C17EE3">
            <w:r w:rsidRPr="00CB7C65">
              <w:t>New Hampshire</w:t>
            </w:r>
          </w:p>
        </w:tc>
        <w:tc>
          <w:tcPr>
            <w:tcW w:w="2520" w:type="dxa"/>
            <w:noWrap/>
            <w:hideMark/>
          </w:tcPr>
          <w:p w14:paraId="07D6DA2E" w14:textId="77777777" w:rsidR="002072AF" w:rsidRPr="00CB7C65" w:rsidRDefault="002072AF" w:rsidP="00C17EE3">
            <w:r w:rsidRPr="00CB7C65">
              <w:t> </w:t>
            </w:r>
          </w:p>
        </w:tc>
        <w:tc>
          <w:tcPr>
            <w:tcW w:w="3420" w:type="dxa"/>
            <w:noWrap/>
            <w:hideMark/>
          </w:tcPr>
          <w:p w14:paraId="587CCC6F" w14:textId="77777777" w:rsidR="002072AF" w:rsidRPr="00CB7C65" w:rsidRDefault="002072AF" w:rsidP="00C17EE3">
            <w:r w:rsidRPr="00CB7C65">
              <w:t>25</w:t>
            </w:r>
          </w:p>
        </w:tc>
      </w:tr>
      <w:tr w:rsidR="002072AF" w:rsidRPr="00CB7C65" w14:paraId="6BA84B90" w14:textId="77777777" w:rsidTr="00C17EE3">
        <w:trPr>
          <w:trHeight w:val="300"/>
        </w:trPr>
        <w:tc>
          <w:tcPr>
            <w:tcW w:w="1220" w:type="dxa"/>
            <w:noWrap/>
            <w:hideMark/>
          </w:tcPr>
          <w:p w14:paraId="27252548" w14:textId="77777777" w:rsidR="002072AF" w:rsidRPr="00CB7C65" w:rsidRDefault="002072AF" w:rsidP="00C17EE3">
            <w:pPr>
              <w:rPr>
                <w:b/>
                <w:bCs/>
              </w:rPr>
            </w:pPr>
            <w:r w:rsidRPr="00CB7C65">
              <w:rPr>
                <w:b/>
                <w:bCs/>
              </w:rPr>
              <w:t> </w:t>
            </w:r>
          </w:p>
        </w:tc>
        <w:tc>
          <w:tcPr>
            <w:tcW w:w="2015" w:type="dxa"/>
            <w:noWrap/>
            <w:hideMark/>
          </w:tcPr>
          <w:p w14:paraId="5714149F" w14:textId="77777777" w:rsidR="002072AF" w:rsidRPr="00CB7C65" w:rsidRDefault="002072AF" w:rsidP="00C17EE3">
            <w:pPr>
              <w:rPr>
                <w:b/>
                <w:bCs/>
              </w:rPr>
            </w:pPr>
            <w:r w:rsidRPr="00CB7C65">
              <w:rPr>
                <w:b/>
                <w:bCs/>
              </w:rPr>
              <w:t> </w:t>
            </w:r>
          </w:p>
        </w:tc>
        <w:tc>
          <w:tcPr>
            <w:tcW w:w="2520" w:type="dxa"/>
            <w:noWrap/>
            <w:hideMark/>
          </w:tcPr>
          <w:p w14:paraId="3867ECF5" w14:textId="77777777" w:rsidR="002072AF" w:rsidRPr="00CB7C65" w:rsidRDefault="002072AF" w:rsidP="00C17EE3">
            <w:pPr>
              <w:rPr>
                <w:b/>
                <w:bCs/>
              </w:rPr>
            </w:pPr>
            <w:r w:rsidRPr="00CB7C65">
              <w:rPr>
                <w:b/>
                <w:bCs/>
              </w:rPr>
              <w:t>3</w:t>
            </w:r>
          </w:p>
        </w:tc>
        <w:tc>
          <w:tcPr>
            <w:tcW w:w="3420" w:type="dxa"/>
            <w:noWrap/>
            <w:hideMark/>
          </w:tcPr>
          <w:p w14:paraId="05FA3AA4" w14:textId="77777777" w:rsidR="002072AF" w:rsidRPr="00CB7C65" w:rsidRDefault="002072AF" w:rsidP="00C17EE3">
            <w:pPr>
              <w:rPr>
                <w:b/>
                <w:bCs/>
              </w:rPr>
            </w:pPr>
            <w:r w:rsidRPr="00CB7C65">
              <w:rPr>
                <w:b/>
                <w:bCs/>
              </w:rPr>
              <w:t>190</w:t>
            </w:r>
          </w:p>
        </w:tc>
      </w:tr>
      <w:tr w:rsidR="002072AF" w:rsidRPr="00CB7C65" w14:paraId="5DD24436" w14:textId="77777777" w:rsidTr="00C17EE3">
        <w:trPr>
          <w:trHeight w:val="300"/>
        </w:trPr>
        <w:tc>
          <w:tcPr>
            <w:tcW w:w="1220" w:type="dxa"/>
            <w:noWrap/>
            <w:hideMark/>
          </w:tcPr>
          <w:p w14:paraId="3267D70A" w14:textId="77777777" w:rsidR="002072AF" w:rsidRPr="00CB7C65" w:rsidRDefault="002072AF" w:rsidP="00C17EE3">
            <w:r w:rsidRPr="00CB7C65">
              <w:t> </w:t>
            </w:r>
          </w:p>
        </w:tc>
        <w:tc>
          <w:tcPr>
            <w:tcW w:w="2015" w:type="dxa"/>
            <w:noWrap/>
            <w:hideMark/>
          </w:tcPr>
          <w:p w14:paraId="54B15AB2" w14:textId="77777777" w:rsidR="002072AF" w:rsidRPr="00CB7C65" w:rsidRDefault="002072AF" w:rsidP="00C17EE3">
            <w:r w:rsidRPr="00CB7C65">
              <w:t> </w:t>
            </w:r>
          </w:p>
        </w:tc>
        <w:tc>
          <w:tcPr>
            <w:tcW w:w="2520" w:type="dxa"/>
            <w:noWrap/>
            <w:hideMark/>
          </w:tcPr>
          <w:p w14:paraId="32F1441E" w14:textId="77777777" w:rsidR="002072AF" w:rsidRPr="00CB7C65" w:rsidRDefault="002072AF" w:rsidP="00C17EE3">
            <w:r w:rsidRPr="00CB7C65">
              <w:t> </w:t>
            </w:r>
          </w:p>
        </w:tc>
        <w:tc>
          <w:tcPr>
            <w:tcW w:w="3420" w:type="dxa"/>
            <w:noWrap/>
            <w:hideMark/>
          </w:tcPr>
          <w:p w14:paraId="6CCF0A7D" w14:textId="77777777" w:rsidR="002072AF" w:rsidRPr="00CB7C65" w:rsidRDefault="002072AF" w:rsidP="00C17EE3">
            <w:r w:rsidRPr="00CB7C65">
              <w:t> </w:t>
            </w:r>
          </w:p>
        </w:tc>
      </w:tr>
      <w:tr w:rsidR="002072AF" w:rsidRPr="00CB7C65" w14:paraId="54275211" w14:textId="77777777" w:rsidTr="00C17EE3">
        <w:trPr>
          <w:trHeight w:val="288"/>
        </w:trPr>
        <w:tc>
          <w:tcPr>
            <w:tcW w:w="1220" w:type="dxa"/>
            <w:noWrap/>
            <w:hideMark/>
          </w:tcPr>
          <w:p w14:paraId="668FAD8C" w14:textId="77777777" w:rsidR="002072AF" w:rsidRPr="00CB7C65" w:rsidRDefault="002072AF" w:rsidP="00C17EE3">
            <w:r w:rsidRPr="00CB7C65">
              <w:t xml:space="preserve">Midwest </w:t>
            </w:r>
          </w:p>
        </w:tc>
        <w:tc>
          <w:tcPr>
            <w:tcW w:w="2015" w:type="dxa"/>
            <w:noWrap/>
            <w:hideMark/>
          </w:tcPr>
          <w:p w14:paraId="3101BD36" w14:textId="77777777" w:rsidR="002072AF" w:rsidRPr="00CB7C65" w:rsidRDefault="002072AF" w:rsidP="00C17EE3">
            <w:r w:rsidRPr="00CB7C65">
              <w:t>Iowa</w:t>
            </w:r>
          </w:p>
        </w:tc>
        <w:tc>
          <w:tcPr>
            <w:tcW w:w="2520" w:type="dxa"/>
            <w:noWrap/>
            <w:hideMark/>
          </w:tcPr>
          <w:p w14:paraId="2AC482EE" w14:textId="77777777" w:rsidR="002072AF" w:rsidRPr="00CB7C65" w:rsidRDefault="002072AF" w:rsidP="00C17EE3">
            <w:r w:rsidRPr="00CB7C65">
              <w:t> </w:t>
            </w:r>
          </w:p>
        </w:tc>
        <w:tc>
          <w:tcPr>
            <w:tcW w:w="3420" w:type="dxa"/>
            <w:noWrap/>
            <w:hideMark/>
          </w:tcPr>
          <w:p w14:paraId="4FDFB4C9" w14:textId="77777777" w:rsidR="002072AF" w:rsidRPr="00CB7C65" w:rsidRDefault="002072AF" w:rsidP="00C17EE3">
            <w:r w:rsidRPr="00CB7C65">
              <w:t>40</w:t>
            </w:r>
          </w:p>
        </w:tc>
      </w:tr>
      <w:tr w:rsidR="002072AF" w:rsidRPr="00CB7C65" w14:paraId="6E00DA26" w14:textId="77777777" w:rsidTr="00C17EE3">
        <w:trPr>
          <w:trHeight w:val="288"/>
        </w:trPr>
        <w:tc>
          <w:tcPr>
            <w:tcW w:w="1220" w:type="dxa"/>
            <w:noWrap/>
            <w:hideMark/>
          </w:tcPr>
          <w:p w14:paraId="03844838" w14:textId="77777777" w:rsidR="002072AF" w:rsidRPr="00CB7C65" w:rsidRDefault="002072AF" w:rsidP="00C17EE3">
            <w:r w:rsidRPr="00CB7C65">
              <w:t> </w:t>
            </w:r>
          </w:p>
        </w:tc>
        <w:tc>
          <w:tcPr>
            <w:tcW w:w="2015" w:type="dxa"/>
            <w:noWrap/>
            <w:hideMark/>
          </w:tcPr>
          <w:p w14:paraId="04D3515B" w14:textId="77777777" w:rsidR="002072AF" w:rsidRPr="00CB7C65" w:rsidRDefault="002072AF" w:rsidP="00C17EE3">
            <w:r w:rsidRPr="00CB7C65">
              <w:t>Minnesota</w:t>
            </w:r>
          </w:p>
        </w:tc>
        <w:tc>
          <w:tcPr>
            <w:tcW w:w="2520" w:type="dxa"/>
            <w:noWrap/>
            <w:hideMark/>
          </w:tcPr>
          <w:p w14:paraId="39E4CEB3" w14:textId="77777777" w:rsidR="002072AF" w:rsidRPr="00CB7C65" w:rsidRDefault="002072AF" w:rsidP="00C17EE3">
            <w:r w:rsidRPr="00CB7C65">
              <w:t> </w:t>
            </w:r>
          </w:p>
        </w:tc>
        <w:tc>
          <w:tcPr>
            <w:tcW w:w="3420" w:type="dxa"/>
            <w:noWrap/>
            <w:hideMark/>
          </w:tcPr>
          <w:p w14:paraId="19DA7D2D" w14:textId="77777777" w:rsidR="002072AF" w:rsidRPr="00CB7C65" w:rsidRDefault="002072AF" w:rsidP="00C17EE3">
            <w:r w:rsidRPr="00CB7C65">
              <w:t>56</w:t>
            </w:r>
          </w:p>
        </w:tc>
      </w:tr>
      <w:tr w:rsidR="002072AF" w:rsidRPr="00CB7C65" w14:paraId="1AF77464" w14:textId="77777777" w:rsidTr="00C17EE3">
        <w:trPr>
          <w:trHeight w:val="288"/>
        </w:trPr>
        <w:tc>
          <w:tcPr>
            <w:tcW w:w="1220" w:type="dxa"/>
            <w:noWrap/>
            <w:hideMark/>
          </w:tcPr>
          <w:p w14:paraId="31BDC37D" w14:textId="77777777" w:rsidR="002072AF" w:rsidRPr="00CB7C65" w:rsidRDefault="002072AF" w:rsidP="00C17EE3">
            <w:r w:rsidRPr="00CB7C65">
              <w:t> </w:t>
            </w:r>
          </w:p>
        </w:tc>
        <w:tc>
          <w:tcPr>
            <w:tcW w:w="2015" w:type="dxa"/>
            <w:noWrap/>
            <w:hideMark/>
          </w:tcPr>
          <w:p w14:paraId="58016A9A" w14:textId="77777777" w:rsidR="002072AF" w:rsidRPr="00CB7C65" w:rsidRDefault="002072AF" w:rsidP="00C17EE3">
            <w:r w:rsidRPr="00CB7C65">
              <w:t>Missouri</w:t>
            </w:r>
          </w:p>
        </w:tc>
        <w:tc>
          <w:tcPr>
            <w:tcW w:w="2520" w:type="dxa"/>
            <w:noWrap/>
            <w:hideMark/>
          </w:tcPr>
          <w:p w14:paraId="496367C4" w14:textId="77777777" w:rsidR="002072AF" w:rsidRPr="00CB7C65" w:rsidRDefault="002072AF" w:rsidP="00C17EE3">
            <w:r w:rsidRPr="00CB7C65">
              <w:t> </w:t>
            </w:r>
          </w:p>
        </w:tc>
        <w:tc>
          <w:tcPr>
            <w:tcW w:w="3420" w:type="dxa"/>
            <w:noWrap/>
            <w:hideMark/>
          </w:tcPr>
          <w:p w14:paraId="0590B188" w14:textId="77777777" w:rsidR="002072AF" w:rsidRPr="00CB7C65" w:rsidRDefault="002072AF" w:rsidP="00C17EE3">
            <w:r w:rsidRPr="00CB7C65">
              <w:t>70</w:t>
            </w:r>
          </w:p>
        </w:tc>
      </w:tr>
      <w:tr w:rsidR="002072AF" w:rsidRPr="00CB7C65" w14:paraId="448CF8FE" w14:textId="77777777" w:rsidTr="00C17EE3">
        <w:trPr>
          <w:trHeight w:val="288"/>
        </w:trPr>
        <w:tc>
          <w:tcPr>
            <w:tcW w:w="1220" w:type="dxa"/>
            <w:noWrap/>
            <w:hideMark/>
          </w:tcPr>
          <w:p w14:paraId="2238ECD5" w14:textId="77777777" w:rsidR="002072AF" w:rsidRPr="00CB7C65" w:rsidRDefault="002072AF" w:rsidP="00C17EE3">
            <w:r w:rsidRPr="00CB7C65">
              <w:t> </w:t>
            </w:r>
          </w:p>
        </w:tc>
        <w:tc>
          <w:tcPr>
            <w:tcW w:w="2015" w:type="dxa"/>
            <w:noWrap/>
            <w:hideMark/>
          </w:tcPr>
          <w:p w14:paraId="7CE26C4F" w14:textId="77777777" w:rsidR="002072AF" w:rsidRPr="00CB7C65" w:rsidRDefault="002072AF" w:rsidP="00C17EE3">
            <w:r w:rsidRPr="00CB7C65">
              <w:t>Wisconsin</w:t>
            </w:r>
          </w:p>
        </w:tc>
        <w:tc>
          <w:tcPr>
            <w:tcW w:w="2520" w:type="dxa"/>
            <w:noWrap/>
            <w:hideMark/>
          </w:tcPr>
          <w:p w14:paraId="1562171A" w14:textId="77777777" w:rsidR="002072AF" w:rsidRPr="00CB7C65" w:rsidRDefault="002072AF" w:rsidP="00C17EE3">
            <w:r w:rsidRPr="00CB7C65">
              <w:t> </w:t>
            </w:r>
          </w:p>
        </w:tc>
        <w:tc>
          <w:tcPr>
            <w:tcW w:w="3420" w:type="dxa"/>
            <w:noWrap/>
            <w:hideMark/>
          </w:tcPr>
          <w:p w14:paraId="6F1CF26C" w14:textId="77777777" w:rsidR="002072AF" w:rsidRPr="00CB7C65" w:rsidRDefault="002072AF" w:rsidP="00C17EE3">
            <w:r w:rsidRPr="00CB7C65">
              <w:t>66</w:t>
            </w:r>
          </w:p>
        </w:tc>
      </w:tr>
      <w:tr w:rsidR="002072AF" w:rsidRPr="00CB7C65" w14:paraId="21A4F998" w14:textId="77777777" w:rsidTr="00C17EE3">
        <w:trPr>
          <w:trHeight w:val="300"/>
        </w:trPr>
        <w:tc>
          <w:tcPr>
            <w:tcW w:w="1220" w:type="dxa"/>
            <w:noWrap/>
            <w:hideMark/>
          </w:tcPr>
          <w:p w14:paraId="6F390781" w14:textId="77777777" w:rsidR="002072AF" w:rsidRPr="00CB7C65" w:rsidRDefault="002072AF" w:rsidP="00C17EE3">
            <w:pPr>
              <w:rPr>
                <w:b/>
                <w:bCs/>
              </w:rPr>
            </w:pPr>
            <w:r w:rsidRPr="00CB7C65">
              <w:rPr>
                <w:b/>
                <w:bCs/>
              </w:rPr>
              <w:t> </w:t>
            </w:r>
          </w:p>
        </w:tc>
        <w:tc>
          <w:tcPr>
            <w:tcW w:w="2015" w:type="dxa"/>
            <w:noWrap/>
            <w:hideMark/>
          </w:tcPr>
          <w:p w14:paraId="79E1DAE4" w14:textId="77777777" w:rsidR="002072AF" w:rsidRPr="00CB7C65" w:rsidRDefault="002072AF" w:rsidP="00C17EE3">
            <w:pPr>
              <w:rPr>
                <w:b/>
                <w:bCs/>
              </w:rPr>
            </w:pPr>
            <w:r w:rsidRPr="00CB7C65">
              <w:rPr>
                <w:b/>
                <w:bCs/>
              </w:rPr>
              <w:t> </w:t>
            </w:r>
          </w:p>
        </w:tc>
        <w:tc>
          <w:tcPr>
            <w:tcW w:w="2520" w:type="dxa"/>
            <w:noWrap/>
            <w:hideMark/>
          </w:tcPr>
          <w:p w14:paraId="689766EB" w14:textId="77777777" w:rsidR="002072AF" w:rsidRPr="00CB7C65" w:rsidRDefault="002072AF" w:rsidP="00C17EE3">
            <w:pPr>
              <w:rPr>
                <w:b/>
                <w:bCs/>
              </w:rPr>
            </w:pPr>
            <w:r w:rsidRPr="00CB7C65">
              <w:rPr>
                <w:b/>
                <w:bCs/>
              </w:rPr>
              <w:t>4</w:t>
            </w:r>
          </w:p>
        </w:tc>
        <w:tc>
          <w:tcPr>
            <w:tcW w:w="3420" w:type="dxa"/>
            <w:noWrap/>
            <w:hideMark/>
          </w:tcPr>
          <w:p w14:paraId="13543C96" w14:textId="77777777" w:rsidR="002072AF" w:rsidRPr="00CB7C65" w:rsidRDefault="002072AF" w:rsidP="00C17EE3">
            <w:pPr>
              <w:rPr>
                <w:b/>
                <w:bCs/>
              </w:rPr>
            </w:pPr>
            <w:r w:rsidRPr="00CB7C65">
              <w:rPr>
                <w:b/>
                <w:bCs/>
              </w:rPr>
              <w:t>232</w:t>
            </w:r>
          </w:p>
        </w:tc>
      </w:tr>
      <w:tr w:rsidR="002072AF" w:rsidRPr="00CB7C65" w14:paraId="1F3A3138" w14:textId="77777777" w:rsidTr="00C17EE3">
        <w:trPr>
          <w:trHeight w:val="300"/>
        </w:trPr>
        <w:tc>
          <w:tcPr>
            <w:tcW w:w="1220" w:type="dxa"/>
            <w:noWrap/>
            <w:hideMark/>
          </w:tcPr>
          <w:p w14:paraId="51081169" w14:textId="77777777" w:rsidR="002072AF" w:rsidRPr="00CB7C65" w:rsidRDefault="002072AF" w:rsidP="00C17EE3">
            <w:r w:rsidRPr="00CB7C65">
              <w:t> </w:t>
            </w:r>
          </w:p>
        </w:tc>
        <w:tc>
          <w:tcPr>
            <w:tcW w:w="2015" w:type="dxa"/>
            <w:noWrap/>
            <w:hideMark/>
          </w:tcPr>
          <w:p w14:paraId="3D90D724" w14:textId="77777777" w:rsidR="002072AF" w:rsidRPr="00CB7C65" w:rsidRDefault="002072AF" w:rsidP="00C17EE3">
            <w:r w:rsidRPr="00CB7C65">
              <w:t> </w:t>
            </w:r>
          </w:p>
        </w:tc>
        <w:tc>
          <w:tcPr>
            <w:tcW w:w="2520" w:type="dxa"/>
            <w:noWrap/>
            <w:hideMark/>
          </w:tcPr>
          <w:p w14:paraId="789A4C6D" w14:textId="77777777" w:rsidR="002072AF" w:rsidRPr="00CB7C65" w:rsidRDefault="002072AF" w:rsidP="00C17EE3">
            <w:r w:rsidRPr="00CB7C65">
              <w:t> </w:t>
            </w:r>
          </w:p>
        </w:tc>
        <w:tc>
          <w:tcPr>
            <w:tcW w:w="3420" w:type="dxa"/>
            <w:noWrap/>
            <w:hideMark/>
          </w:tcPr>
          <w:p w14:paraId="5272F552" w14:textId="77777777" w:rsidR="002072AF" w:rsidRPr="00CB7C65" w:rsidRDefault="002072AF" w:rsidP="00C17EE3">
            <w:r w:rsidRPr="00CB7C65">
              <w:t> </w:t>
            </w:r>
          </w:p>
        </w:tc>
      </w:tr>
      <w:tr w:rsidR="002072AF" w:rsidRPr="00CB7C65" w14:paraId="42A00256" w14:textId="77777777" w:rsidTr="00C17EE3">
        <w:trPr>
          <w:trHeight w:val="288"/>
        </w:trPr>
        <w:tc>
          <w:tcPr>
            <w:tcW w:w="1220" w:type="dxa"/>
            <w:noWrap/>
            <w:hideMark/>
          </w:tcPr>
          <w:p w14:paraId="167EF070" w14:textId="77777777" w:rsidR="002072AF" w:rsidRPr="00CB7C65" w:rsidRDefault="002072AF" w:rsidP="00C17EE3">
            <w:r w:rsidRPr="00CB7C65">
              <w:t>South</w:t>
            </w:r>
          </w:p>
        </w:tc>
        <w:tc>
          <w:tcPr>
            <w:tcW w:w="2015" w:type="dxa"/>
            <w:noWrap/>
            <w:hideMark/>
          </w:tcPr>
          <w:p w14:paraId="1EDAA9EB" w14:textId="77777777" w:rsidR="002072AF" w:rsidRPr="00CB7C65" w:rsidRDefault="002072AF" w:rsidP="00C17EE3">
            <w:r w:rsidRPr="00CB7C65">
              <w:t>Mississippi</w:t>
            </w:r>
          </w:p>
        </w:tc>
        <w:tc>
          <w:tcPr>
            <w:tcW w:w="2520" w:type="dxa"/>
            <w:noWrap/>
            <w:hideMark/>
          </w:tcPr>
          <w:p w14:paraId="45B55CCF" w14:textId="77777777" w:rsidR="002072AF" w:rsidRPr="00CB7C65" w:rsidRDefault="002072AF" w:rsidP="00C17EE3">
            <w:r w:rsidRPr="00CB7C65">
              <w:t> </w:t>
            </w:r>
          </w:p>
        </w:tc>
        <w:tc>
          <w:tcPr>
            <w:tcW w:w="3420" w:type="dxa"/>
            <w:noWrap/>
            <w:hideMark/>
          </w:tcPr>
          <w:p w14:paraId="59B65321" w14:textId="77777777" w:rsidR="002072AF" w:rsidRPr="00CB7C65" w:rsidRDefault="002072AF" w:rsidP="00C17EE3">
            <w:r w:rsidRPr="00CB7C65">
              <w:t>46</w:t>
            </w:r>
          </w:p>
        </w:tc>
      </w:tr>
      <w:tr w:rsidR="002072AF" w:rsidRPr="00CB7C65" w14:paraId="6C8B8CE7" w14:textId="77777777" w:rsidTr="00C17EE3">
        <w:trPr>
          <w:trHeight w:val="288"/>
        </w:trPr>
        <w:tc>
          <w:tcPr>
            <w:tcW w:w="1220" w:type="dxa"/>
            <w:noWrap/>
            <w:hideMark/>
          </w:tcPr>
          <w:p w14:paraId="0F8685EC" w14:textId="77777777" w:rsidR="002072AF" w:rsidRPr="00CB7C65" w:rsidRDefault="002072AF" w:rsidP="00C17EE3">
            <w:r w:rsidRPr="00CB7C65">
              <w:t> </w:t>
            </w:r>
          </w:p>
        </w:tc>
        <w:tc>
          <w:tcPr>
            <w:tcW w:w="2015" w:type="dxa"/>
            <w:noWrap/>
            <w:hideMark/>
          </w:tcPr>
          <w:p w14:paraId="36CC58B2" w14:textId="77777777" w:rsidR="002072AF" w:rsidRPr="00CB7C65" w:rsidRDefault="002072AF" w:rsidP="00C17EE3">
            <w:r w:rsidRPr="00CB7C65">
              <w:t>Oklahoma</w:t>
            </w:r>
          </w:p>
        </w:tc>
        <w:tc>
          <w:tcPr>
            <w:tcW w:w="2520" w:type="dxa"/>
            <w:noWrap/>
            <w:hideMark/>
          </w:tcPr>
          <w:p w14:paraId="587373B6" w14:textId="77777777" w:rsidR="002072AF" w:rsidRPr="00CB7C65" w:rsidRDefault="002072AF" w:rsidP="00C17EE3">
            <w:r w:rsidRPr="00CB7C65">
              <w:t> </w:t>
            </w:r>
          </w:p>
        </w:tc>
        <w:tc>
          <w:tcPr>
            <w:tcW w:w="3420" w:type="dxa"/>
            <w:noWrap/>
            <w:hideMark/>
          </w:tcPr>
          <w:p w14:paraId="602AFF28" w14:textId="77777777" w:rsidR="002072AF" w:rsidRPr="00CB7C65" w:rsidRDefault="002072AF" w:rsidP="00C17EE3">
            <w:r w:rsidRPr="00CB7C65">
              <w:t>49</w:t>
            </w:r>
          </w:p>
        </w:tc>
      </w:tr>
      <w:tr w:rsidR="002072AF" w:rsidRPr="00CB7C65" w14:paraId="7022180F" w14:textId="77777777" w:rsidTr="00C17EE3">
        <w:trPr>
          <w:trHeight w:val="288"/>
        </w:trPr>
        <w:tc>
          <w:tcPr>
            <w:tcW w:w="1220" w:type="dxa"/>
            <w:noWrap/>
            <w:hideMark/>
          </w:tcPr>
          <w:p w14:paraId="40A95EEC" w14:textId="77777777" w:rsidR="002072AF" w:rsidRPr="00CB7C65" w:rsidRDefault="002072AF" w:rsidP="00C17EE3">
            <w:r w:rsidRPr="00CB7C65">
              <w:t> </w:t>
            </w:r>
          </w:p>
        </w:tc>
        <w:tc>
          <w:tcPr>
            <w:tcW w:w="2015" w:type="dxa"/>
            <w:noWrap/>
            <w:hideMark/>
          </w:tcPr>
          <w:p w14:paraId="3CAB57E1" w14:textId="77777777" w:rsidR="002072AF" w:rsidRPr="00CB7C65" w:rsidRDefault="002072AF" w:rsidP="00C17EE3">
            <w:r w:rsidRPr="00CB7C65">
              <w:t>South Carolina</w:t>
            </w:r>
          </w:p>
        </w:tc>
        <w:tc>
          <w:tcPr>
            <w:tcW w:w="2520" w:type="dxa"/>
            <w:noWrap/>
            <w:hideMark/>
          </w:tcPr>
          <w:p w14:paraId="14572BE8" w14:textId="77777777" w:rsidR="002072AF" w:rsidRPr="00CB7C65" w:rsidRDefault="002072AF" w:rsidP="00C17EE3">
            <w:r w:rsidRPr="00CB7C65">
              <w:t> </w:t>
            </w:r>
          </w:p>
        </w:tc>
        <w:tc>
          <w:tcPr>
            <w:tcW w:w="3420" w:type="dxa"/>
            <w:noWrap/>
            <w:hideMark/>
          </w:tcPr>
          <w:p w14:paraId="6F3C1C99" w14:textId="77777777" w:rsidR="002072AF" w:rsidRPr="00CB7C65" w:rsidRDefault="002072AF" w:rsidP="00C17EE3">
            <w:r w:rsidRPr="00CB7C65">
              <w:t>62</w:t>
            </w:r>
          </w:p>
        </w:tc>
      </w:tr>
      <w:tr w:rsidR="002072AF" w:rsidRPr="00CB7C65" w14:paraId="4997BD71" w14:textId="77777777" w:rsidTr="00C17EE3">
        <w:trPr>
          <w:trHeight w:val="288"/>
        </w:trPr>
        <w:tc>
          <w:tcPr>
            <w:tcW w:w="1220" w:type="dxa"/>
            <w:noWrap/>
            <w:hideMark/>
          </w:tcPr>
          <w:p w14:paraId="6701E8AA" w14:textId="77777777" w:rsidR="002072AF" w:rsidRPr="00CB7C65" w:rsidRDefault="002072AF" w:rsidP="00C17EE3">
            <w:r w:rsidRPr="00CB7C65">
              <w:t> </w:t>
            </w:r>
          </w:p>
        </w:tc>
        <w:tc>
          <w:tcPr>
            <w:tcW w:w="2015" w:type="dxa"/>
            <w:noWrap/>
            <w:hideMark/>
          </w:tcPr>
          <w:p w14:paraId="4F47AD48" w14:textId="77777777" w:rsidR="002072AF" w:rsidRPr="00CB7C65" w:rsidRDefault="002072AF" w:rsidP="00C17EE3">
            <w:r w:rsidRPr="00CB7C65">
              <w:t>Alabama</w:t>
            </w:r>
          </w:p>
        </w:tc>
        <w:tc>
          <w:tcPr>
            <w:tcW w:w="2520" w:type="dxa"/>
            <w:noWrap/>
            <w:hideMark/>
          </w:tcPr>
          <w:p w14:paraId="0BCF6FBD" w14:textId="77777777" w:rsidR="002072AF" w:rsidRPr="00CB7C65" w:rsidRDefault="002072AF" w:rsidP="00C17EE3">
            <w:r w:rsidRPr="00CB7C65">
              <w:t> </w:t>
            </w:r>
          </w:p>
        </w:tc>
        <w:tc>
          <w:tcPr>
            <w:tcW w:w="3420" w:type="dxa"/>
            <w:noWrap/>
            <w:hideMark/>
          </w:tcPr>
          <w:p w14:paraId="2FFE4B33" w14:textId="77777777" w:rsidR="002072AF" w:rsidRPr="00CB7C65" w:rsidRDefault="002072AF" w:rsidP="00C17EE3">
            <w:r w:rsidRPr="00CB7C65">
              <w:t>68</w:t>
            </w:r>
          </w:p>
        </w:tc>
      </w:tr>
      <w:tr w:rsidR="002072AF" w:rsidRPr="00CB7C65" w14:paraId="4A318FEF" w14:textId="77777777" w:rsidTr="00C17EE3">
        <w:trPr>
          <w:trHeight w:val="288"/>
        </w:trPr>
        <w:tc>
          <w:tcPr>
            <w:tcW w:w="1220" w:type="dxa"/>
            <w:noWrap/>
            <w:hideMark/>
          </w:tcPr>
          <w:p w14:paraId="5D4B70B1" w14:textId="77777777" w:rsidR="002072AF" w:rsidRPr="00CB7C65" w:rsidRDefault="002072AF" w:rsidP="00C17EE3">
            <w:r w:rsidRPr="00CB7C65">
              <w:t> </w:t>
            </w:r>
          </w:p>
        </w:tc>
        <w:tc>
          <w:tcPr>
            <w:tcW w:w="2015" w:type="dxa"/>
            <w:noWrap/>
            <w:hideMark/>
          </w:tcPr>
          <w:p w14:paraId="322F0B92" w14:textId="77777777" w:rsidR="002072AF" w:rsidRPr="00CB7C65" w:rsidRDefault="002072AF" w:rsidP="00C17EE3">
            <w:r w:rsidRPr="00CB7C65">
              <w:t>Kentucky</w:t>
            </w:r>
          </w:p>
        </w:tc>
        <w:tc>
          <w:tcPr>
            <w:tcW w:w="2520" w:type="dxa"/>
            <w:noWrap/>
            <w:hideMark/>
          </w:tcPr>
          <w:p w14:paraId="51DBAEA3" w14:textId="77777777" w:rsidR="002072AF" w:rsidRPr="00CB7C65" w:rsidRDefault="002072AF" w:rsidP="00C17EE3">
            <w:r w:rsidRPr="00CB7C65">
              <w:t> </w:t>
            </w:r>
          </w:p>
        </w:tc>
        <w:tc>
          <w:tcPr>
            <w:tcW w:w="3420" w:type="dxa"/>
            <w:noWrap/>
            <w:hideMark/>
          </w:tcPr>
          <w:p w14:paraId="73C791CE" w14:textId="77777777" w:rsidR="002072AF" w:rsidRPr="00CB7C65" w:rsidRDefault="002072AF" w:rsidP="00C17EE3">
            <w:r w:rsidRPr="00CB7C65">
              <w:t>69</w:t>
            </w:r>
          </w:p>
        </w:tc>
      </w:tr>
      <w:tr w:rsidR="002072AF" w:rsidRPr="00CB7C65" w14:paraId="644460C4" w14:textId="77777777" w:rsidTr="00C17EE3">
        <w:trPr>
          <w:trHeight w:val="288"/>
        </w:trPr>
        <w:tc>
          <w:tcPr>
            <w:tcW w:w="1220" w:type="dxa"/>
            <w:noWrap/>
            <w:hideMark/>
          </w:tcPr>
          <w:p w14:paraId="6A6BA6A7" w14:textId="77777777" w:rsidR="002072AF" w:rsidRPr="00CB7C65" w:rsidRDefault="002072AF" w:rsidP="00C17EE3">
            <w:r w:rsidRPr="00CB7C65">
              <w:t> </w:t>
            </w:r>
          </w:p>
        </w:tc>
        <w:tc>
          <w:tcPr>
            <w:tcW w:w="2015" w:type="dxa"/>
            <w:noWrap/>
            <w:hideMark/>
          </w:tcPr>
          <w:p w14:paraId="3EE544E9" w14:textId="77777777" w:rsidR="002072AF" w:rsidRPr="00CB7C65" w:rsidRDefault="002072AF" w:rsidP="00C17EE3">
            <w:r w:rsidRPr="00CB7C65">
              <w:t>Louisiana</w:t>
            </w:r>
          </w:p>
        </w:tc>
        <w:tc>
          <w:tcPr>
            <w:tcW w:w="2520" w:type="dxa"/>
            <w:noWrap/>
            <w:hideMark/>
          </w:tcPr>
          <w:p w14:paraId="7C917C3A" w14:textId="77777777" w:rsidR="002072AF" w:rsidRPr="00CB7C65" w:rsidRDefault="002072AF" w:rsidP="00C17EE3">
            <w:r w:rsidRPr="00CB7C65">
              <w:t> </w:t>
            </w:r>
          </w:p>
        </w:tc>
        <w:tc>
          <w:tcPr>
            <w:tcW w:w="3420" w:type="dxa"/>
            <w:noWrap/>
            <w:hideMark/>
          </w:tcPr>
          <w:p w14:paraId="7457B840" w14:textId="77777777" w:rsidR="002072AF" w:rsidRPr="00CB7C65" w:rsidRDefault="002072AF" w:rsidP="00C17EE3">
            <w:r w:rsidRPr="00CB7C65">
              <w:t>73</w:t>
            </w:r>
          </w:p>
        </w:tc>
      </w:tr>
      <w:tr w:rsidR="002072AF" w:rsidRPr="00CB7C65" w14:paraId="3FBDF11A" w14:textId="77777777" w:rsidTr="00C17EE3">
        <w:trPr>
          <w:trHeight w:val="300"/>
        </w:trPr>
        <w:tc>
          <w:tcPr>
            <w:tcW w:w="1220" w:type="dxa"/>
            <w:noWrap/>
            <w:hideMark/>
          </w:tcPr>
          <w:p w14:paraId="2E41203D" w14:textId="77777777" w:rsidR="002072AF" w:rsidRPr="00CB7C65" w:rsidRDefault="002072AF" w:rsidP="00C17EE3">
            <w:pPr>
              <w:rPr>
                <w:b/>
                <w:bCs/>
              </w:rPr>
            </w:pPr>
            <w:r w:rsidRPr="00CB7C65">
              <w:rPr>
                <w:b/>
                <w:bCs/>
              </w:rPr>
              <w:t> </w:t>
            </w:r>
          </w:p>
        </w:tc>
        <w:tc>
          <w:tcPr>
            <w:tcW w:w="2015" w:type="dxa"/>
            <w:noWrap/>
            <w:hideMark/>
          </w:tcPr>
          <w:p w14:paraId="137E8041" w14:textId="77777777" w:rsidR="002072AF" w:rsidRPr="00CB7C65" w:rsidRDefault="002072AF" w:rsidP="00C17EE3">
            <w:pPr>
              <w:rPr>
                <w:b/>
                <w:bCs/>
              </w:rPr>
            </w:pPr>
            <w:r w:rsidRPr="00CB7C65">
              <w:rPr>
                <w:b/>
                <w:bCs/>
              </w:rPr>
              <w:t> </w:t>
            </w:r>
          </w:p>
        </w:tc>
        <w:tc>
          <w:tcPr>
            <w:tcW w:w="2520" w:type="dxa"/>
            <w:noWrap/>
            <w:hideMark/>
          </w:tcPr>
          <w:p w14:paraId="770B0B03" w14:textId="77777777" w:rsidR="002072AF" w:rsidRPr="00CB7C65" w:rsidRDefault="002072AF" w:rsidP="00C17EE3">
            <w:pPr>
              <w:rPr>
                <w:b/>
                <w:bCs/>
              </w:rPr>
            </w:pPr>
            <w:r w:rsidRPr="00CB7C65">
              <w:rPr>
                <w:b/>
                <w:bCs/>
              </w:rPr>
              <w:t>6</w:t>
            </w:r>
          </w:p>
        </w:tc>
        <w:tc>
          <w:tcPr>
            <w:tcW w:w="3420" w:type="dxa"/>
            <w:noWrap/>
            <w:hideMark/>
          </w:tcPr>
          <w:p w14:paraId="7DB26447" w14:textId="77777777" w:rsidR="002072AF" w:rsidRPr="00CB7C65" w:rsidRDefault="002072AF" w:rsidP="00C17EE3">
            <w:pPr>
              <w:rPr>
                <w:b/>
                <w:bCs/>
              </w:rPr>
            </w:pPr>
            <w:r w:rsidRPr="00CB7C65">
              <w:rPr>
                <w:b/>
                <w:bCs/>
              </w:rPr>
              <w:t>368</w:t>
            </w:r>
          </w:p>
        </w:tc>
      </w:tr>
      <w:tr w:rsidR="002072AF" w:rsidRPr="00CB7C65" w14:paraId="0F1986D8" w14:textId="77777777" w:rsidTr="00C17EE3">
        <w:trPr>
          <w:trHeight w:val="300"/>
        </w:trPr>
        <w:tc>
          <w:tcPr>
            <w:tcW w:w="1220" w:type="dxa"/>
            <w:noWrap/>
            <w:hideMark/>
          </w:tcPr>
          <w:p w14:paraId="74D74F47" w14:textId="77777777" w:rsidR="002072AF" w:rsidRPr="00CB7C65" w:rsidRDefault="002072AF" w:rsidP="00C17EE3">
            <w:r w:rsidRPr="00CB7C65">
              <w:t> </w:t>
            </w:r>
          </w:p>
        </w:tc>
        <w:tc>
          <w:tcPr>
            <w:tcW w:w="2015" w:type="dxa"/>
            <w:noWrap/>
            <w:hideMark/>
          </w:tcPr>
          <w:p w14:paraId="03095906" w14:textId="77777777" w:rsidR="002072AF" w:rsidRPr="00CB7C65" w:rsidRDefault="002072AF" w:rsidP="00C17EE3">
            <w:r w:rsidRPr="00CB7C65">
              <w:t> </w:t>
            </w:r>
          </w:p>
        </w:tc>
        <w:tc>
          <w:tcPr>
            <w:tcW w:w="2520" w:type="dxa"/>
            <w:noWrap/>
            <w:hideMark/>
          </w:tcPr>
          <w:p w14:paraId="18A8E2F8" w14:textId="77777777" w:rsidR="002072AF" w:rsidRPr="00CB7C65" w:rsidRDefault="002072AF" w:rsidP="00C17EE3">
            <w:r w:rsidRPr="00CB7C65">
              <w:t> </w:t>
            </w:r>
          </w:p>
        </w:tc>
        <w:tc>
          <w:tcPr>
            <w:tcW w:w="3420" w:type="dxa"/>
            <w:noWrap/>
            <w:hideMark/>
          </w:tcPr>
          <w:p w14:paraId="221808E2" w14:textId="77777777" w:rsidR="002072AF" w:rsidRPr="00CB7C65" w:rsidRDefault="002072AF" w:rsidP="00C17EE3">
            <w:r w:rsidRPr="00CB7C65">
              <w:t> </w:t>
            </w:r>
          </w:p>
        </w:tc>
      </w:tr>
      <w:tr w:rsidR="002072AF" w:rsidRPr="00CB7C65" w14:paraId="52867576" w14:textId="77777777" w:rsidTr="00C17EE3">
        <w:trPr>
          <w:trHeight w:val="288"/>
        </w:trPr>
        <w:tc>
          <w:tcPr>
            <w:tcW w:w="1220" w:type="dxa"/>
            <w:noWrap/>
            <w:hideMark/>
          </w:tcPr>
          <w:p w14:paraId="6156BD8C" w14:textId="77777777" w:rsidR="002072AF" w:rsidRPr="00CB7C65" w:rsidRDefault="002072AF" w:rsidP="00C17EE3">
            <w:r w:rsidRPr="00CB7C65">
              <w:t>West</w:t>
            </w:r>
          </w:p>
        </w:tc>
        <w:tc>
          <w:tcPr>
            <w:tcW w:w="2015" w:type="dxa"/>
            <w:noWrap/>
            <w:hideMark/>
          </w:tcPr>
          <w:p w14:paraId="57B27CB9" w14:textId="77777777" w:rsidR="002072AF" w:rsidRPr="00CB7C65" w:rsidRDefault="002072AF" w:rsidP="00C17EE3">
            <w:r w:rsidRPr="00CB7C65">
              <w:t>Idaho</w:t>
            </w:r>
          </w:p>
        </w:tc>
        <w:tc>
          <w:tcPr>
            <w:tcW w:w="2520" w:type="dxa"/>
            <w:noWrap/>
            <w:hideMark/>
          </w:tcPr>
          <w:p w14:paraId="7567AF61" w14:textId="77777777" w:rsidR="002072AF" w:rsidRPr="00CB7C65" w:rsidRDefault="002072AF" w:rsidP="00C17EE3">
            <w:r w:rsidRPr="00CB7C65">
              <w:t> </w:t>
            </w:r>
          </w:p>
        </w:tc>
        <w:tc>
          <w:tcPr>
            <w:tcW w:w="3420" w:type="dxa"/>
            <w:noWrap/>
            <w:hideMark/>
          </w:tcPr>
          <w:p w14:paraId="25C004D7" w14:textId="77777777" w:rsidR="002072AF" w:rsidRPr="00CB7C65" w:rsidRDefault="002072AF" w:rsidP="00C17EE3">
            <w:r w:rsidRPr="00CB7C65">
              <w:t>33</w:t>
            </w:r>
          </w:p>
        </w:tc>
      </w:tr>
      <w:tr w:rsidR="002072AF" w:rsidRPr="00CB7C65" w14:paraId="52DE2EB3" w14:textId="77777777" w:rsidTr="00C17EE3">
        <w:trPr>
          <w:trHeight w:val="288"/>
        </w:trPr>
        <w:tc>
          <w:tcPr>
            <w:tcW w:w="1220" w:type="dxa"/>
            <w:noWrap/>
            <w:hideMark/>
          </w:tcPr>
          <w:p w14:paraId="0B55030B" w14:textId="77777777" w:rsidR="002072AF" w:rsidRPr="00CB7C65" w:rsidRDefault="002072AF" w:rsidP="00C17EE3">
            <w:r w:rsidRPr="00CB7C65">
              <w:t> </w:t>
            </w:r>
          </w:p>
        </w:tc>
        <w:tc>
          <w:tcPr>
            <w:tcW w:w="2015" w:type="dxa"/>
            <w:noWrap/>
            <w:hideMark/>
          </w:tcPr>
          <w:p w14:paraId="576261EF" w14:textId="77777777" w:rsidR="002072AF" w:rsidRPr="00CB7C65" w:rsidRDefault="002072AF" w:rsidP="00C17EE3">
            <w:r w:rsidRPr="00CB7C65">
              <w:t>New Mexico</w:t>
            </w:r>
          </w:p>
        </w:tc>
        <w:tc>
          <w:tcPr>
            <w:tcW w:w="2520" w:type="dxa"/>
            <w:noWrap/>
            <w:hideMark/>
          </w:tcPr>
          <w:p w14:paraId="7453FCB7" w14:textId="77777777" w:rsidR="002072AF" w:rsidRPr="00CB7C65" w:rsidRDefault="002072AF" w:rsidP="00C17EE3">
            <w:r w:rsidRPr="00CB7C65">
              <w:t> </w:t>
            </w:r>
          </w:p>
        </w:tc>
        <w:tc>
          <w:tcPr>
            <w:tcW w:w="3420" w:type="dxa"/>
            <w:noWrap/>
            <w:hideMark/>
          </w:tcPr>
          <w:p w14:paraId="5512F217" w14:textId="77777777" w:rsidR="002072AF" w:rsidRPr="00CB7C65" w:rsidRDefault="002072AF" w:rsidP="00C17EE3">
            <w:r w:rsidRPr="00CB7C65">
              <w:t>44</w:t>
            </w:r>
          </w:p>
        </w:tc>
      </w:tr>
      <w:tr w:rsidR="002072AF" w:rsidRPr="00CB7C65" w14:paraId="04EAB6A7" w14:textId="77777777" w:rsidTr="00C17EE3">
        <w:trPr>
          <w:trHeight w:val="288"/>
        </w:trPr>
        <w:tc>
          <w:tcPr>
            <w:tcW w:w="1220" w:type="dxa"/>
            <w:noWrap/>
            <w:hideMark/>
          </w:tcPr>
          <w:p w14:paraId="30B27AC5" w14:textId="77777777" w:rsidR="002072AF" w:rsidRPr="00CB7C65" w:rsidRDefault="002072AF" w:rsidP="00C17EE3">
            <w:r w:rsidRPr="00CB7C65">
              <w:t> </w:t>
            </w:r>
          </w:p>
        </w:tc>
        <w:tc>
          <w:tcPr>
            <w:tcW w:w="2015" w:type="dxa"/>
            <w:noWrap/>
            <w:hideMark/>
          </w:tcPr>
          <w:p w14:paraId="4A1CA711" w14:textId="77777777" w:rsidR="002072AF" w:rsidRPr="00CB7C65" w:rsidRDefault="002072AF" w:rsidP="00C17EE3">
            <w:r w:rsidRPr="00CB7C65">
              <w:t>Nevada</w:t>
            </w:r>
          </w:p>
        </w:tc>
        <w:tc>
          <w:tcPr>
            <w:tcW w:w="2520" w:type="dxa"/>
            <w:noWrap/>
            <w:hideMark/>
          </w:tcPr>
          <w:p w14:paraId="4842064D" w14:textId="77777777" w:rsidR="002072AF" w:rsidRPr="00CB7C65" w:rsidRDefault="002072AF" w:rsidP="00C17EE3">
            <w:r w:rsidRPr="00CB7C65">
              <w:t> </w:t>
            </w:r>
          </w:p>
        </w:tc>
        <w:tc>
          <w:tcPr>
            <w:tcW w:w="3420" w:type="dxa"/>
            <w:noWrap/>
            <w:hideMark/>
          </w:tcPr>
          <w:p w14:paraId="27F88A9F" w14:textId="77777777" w:rsidR="002072AF" w:rsidRPr="00CB7C65" w:rsidRDefault="002072AF" w:rsidP="00C17EE3">
            <w:r w:rsidRPr="00CB7C65">
              <w:t>57</w:t>
            </w:r>
          </w:p>
        </w:tc>
      </w:tr>
      <w:tr w:rsidR="002072AF" w:rsidRPr="00CB7C65" w14:paraId="62DA4DBB" w14:textId="77777777" w:rsidTr="00C17EE3">
        <w:trPr>
          <w:trHeight w:val="288"/>
        </w:trPr>
        <w:tc>
          <w:tcPr>
            <w:tcW w:w="1220" w:type="dxa"/>
            <w:noWrap/>
            <w:hideMark/>
          </w:tcPr>
          <w:p w14:paraId="3B6DE3AF" w14:textId="77777777" w:rsidR="002072AF" w:rsidRPr="00CB7C65" w:rsidRDefault="002072AF" w:rsidP="00C17EE3">
            <w:r w:rsidRPr="00CB7C65">
              <w:t> </w:t>
            </w:r>
          </w:p>
        </w:tc>
        <w:tc>
          <w:tcPr>
            <w:tcW w:w="2015" w:type="dxa"/>
            <w:noWrap/>
            <w:hideMark/>
          </w:tcPr>
          <w:p w14:paraId="01C48134" w14:textId="77777777" w:rsidR="002072AF" w:rsidRPr="00CB7C65" w:rsidRDefault="002072AF" w:rsidP="00C17EE3">
            <w:r w:rsidRPr="00CB7C65">
              <w:t>Oregon</w:t>
            </w:r>
          </w:p>
        </w:tc>
        <w:tc>
          <w:tcPr>
            <w:tcW w:w="2520" w:type="dxa"/>
            <w:noWrap/>
            <w:hideMark/>
          </w:tcPr>
          <w:p w14:paraId="6A9D4616" w14:textId="77777777" w:rsidR="002072AF" w:rsidRPr="00CB7C65" w:rsidRDefault="002072AF" w:rsidP="00C17EE3">
            <w:r w:rsidRPr="00CB7C65">
              <w:t> </w:t>
            </w:r>
          </w:p>
        </w:tc>
        <w:tc>
          <w:tcPr>
            <w:tcW w:w="3420" w:type="dxa"/>
            <w:noWrap/>
            <w:hideMark/>
          </w:tcPr>
          <w:p w14:paraId="2E969B8D" w14:textId="77777777" w:rsidR="002072AF" w:rsidRPr="00CB7C65" w:rsidRDefault="002072AF" w:rsidP="00C17EE3">
            <w:r w:rsidRPr="00CB7C65">
              <w:t>71</w:t>
            </w:r>
          </w:p>
        </w:tc>
      </w:tr>
      <w:tr w:rsidR="002072AF" w:rsidRPr="00CB7C65" w14:paraId="4ED5E803" w14:textId="77777777" w:rsidTr="00C17EE3">
        <w:trPr>
          <w:trHeight w:val="288"/>
        </w:trPr>
        <w:tc>
          <w:tcPr>
            <w:tcW w:w="1220" w:type="dxa"/>
            <w:noWrap/>
            <w:hideMark/>
          </w:tcPr>
          <w:p w14:paraId="6BE4F325" w14:textId="77777777" w:rsidR="002072AF" w:rsidRPr="00CB7C65" w:rsidRDefault="002072AF" w:rsidP="00C17EE3">
            <w:r w:rsidRPr="00CB7C65">
              <w:t> </w:t>
            </w:r>
          </w:p>
        </w:tc>
        <w:tc>
          <w:tcPr>
            <w:tcW w:w="2015" w:type="dxa"/>
            <w:noWrap/>
            <w:hideMark/>
          </w:tcPr>
          <w:p w14:paraId="4950C814" w14:textId="77777777" w:rsidR="002072AF" w:rsidRPr="00CB7C65" w:rsidRDefault="002072AF" w:rsidP="00C17EE3">
            <w:r w:rsidRPr="00CB7C65">
              <w:t>Utah</w:t>
            </w:r>
          </w:p>
        </w:tc>
        <w:tc>
          <w:tcPr>
            <w:tcW w:w="2520" w:type="dxa"/>
            <w:noWrap/>
            <w:hideMark/>
          </w:tcPr>
          <w:p w14:paraId="3B188800" w14:textId="77777777" w:rsidR="002072AF" w:rsidRPr="00CB7C65" w:rsidRDefault="002072AF" w:rsidP="00C17EE3">
            <w:r w:rsidRPr="00CB7C65">
              <w:t> </w:t>
            </w:r>
          </w:p>
        </w:tc>
        <w:tc>
          <w:tcPr>
            <w:tcW w:w="3420" w:type="dxa"/>
            <w:noWrap/>
            <w:hideMark/>
          </w:tcPr>
          <w:p w14:paraId="37262E95" w14:textId="77777777" w:rsidR="002072AF" w:rsidRPr="00CB7C65" w:rsidRDefault="002072AF" w:rsidP="00C17EE3">
            <w:r w:rsidRPr="00CB7C65">
              <w:t>73</w:t>
            </w:r>
          </w:p>
        </w:tc>
      </w:tr>
      <w:tr w:rsidR="002072AF" w:rsidRPr="00CB7C65" w14:paraId="0B32A871" w14:textId="77777777" w:rsidTr="00C17EE3">
        <w:trPr>
          <w:trHeight w:val="300"/>
        </w:trPr>
        <w:tc>
          <w:tcPr>
            <w:tcW w:w="1220" w:type="dxa"/>
            <w:noWrap/>
            <w:hideMark/>
          </w:tcPr>
          <w:p w14:paraId="7F32ABC7" w14:textId="77777777" w:rsidR="002072AF" w:rsidRPr="00CB7C65" w:rsidRDefault="002072AF" w:rsidP="00C17EE3">
            <w:pPr>
              <w:rPr>
                <w:b/>
                <w:bCs/>
              </w:rPr>
            </w:pPr>
            <w:r w:rsidRPr="00CB7C65">
              <w:rPr>
                <w:b/>
                <w:bCs/>
              </w:rPr>
              <w:t> </w:t>
            </w:r>
          </w:p>
        </w:tc>
        <w:tc>
          <w:tcPr>
            <w:tcW w:w="2015" w:type="dxa"/>
            <w:noWrap/>
            <w:hideMark/>
          </w:tcPr>
          <w:p w14:paraId="55F4F8B0" w14:textId="77777777" w:rsidR="002072AF" w:rsidRPr="00CB7C65" w:rsidRDefault="002072AF" w:rsidP="00C17EE3">
            <w:pPr>
              <w:rPr>
                <w:b/>
                <w:bCs/>
              </w:rPr>
            </w:pPr>
            <w:r w:rsidRPr="00CB7C65">
              <w:rPr>
                <w:b/>
                <w:bCs/>
              </w:rPr>
              <w:t> </w:t>
            </w:r>
          </w:p>
        </w:tc>
        <w:tc>
          <w:tcPr>
            <w:tcW w:w="2520" w:type="dxa"/>
            <w:noWrap/>
            <w:hideMark/>
          </w:tcPr>
          <w:p w14:paraId="31F55A78" w14:textId="77777777" w:rsidR="002072AF" w:rsidRPr="00CB7C65" w:rsidRDefault="002072AF" w:rsidP="00C17EE3">
            <w:pPr>
              <w:rPr>
                <w:b/>
                <w:bCs/>
              </w:rPr>
            </w:pPr>
            <w:r w:rsidRPr="00CB7C65">
              <w:rPr>
                <w:b/>
                <w:bCs/>
              </w:rPr>
              <w:t>5</w:t>
            </w:r>
          </w:p>
        </w:tc>
        <w:tc>
          <w:tcPr>
            <w:tcW w:w="3420" w:type="dxa"/>
            <w:noWrap/>
            <w:hideMark/>
          </w:tcPr>
          <w:p w14:paraId="2C9C81F7" w14:textId="77777777" w:rsidR="002072AF" w:rsidRPr="00CB7C65" w:rsidRDefault="002072AF" w:rsidP="00C17EE3">
            <w:pPr>
              <w:rPr>
                <w:b/>
                <w:bCs/>
              </w:rPr>
            </w:pPr>
            <w:r w:rsidRPr="00CB7C65">
              <w:rPr>
                <w:b/>
                <w:bCs/>
              </w:rPr>
              <w:t>278</w:t>
            </w:r>
          </w:p>
        </w:tc>
      </w:tr>
      <w:tr w:rsidR="002072AF" w:rsidRPr="00CB7C65" w14:paraId="6CE6A6CF" w14:textId="77777777" w:rsidTr="00C17EE3">
        <w:trPr>
          <w:trHeight w:val="300"/>
        </w:trPr>
        <w:tc>
          <w:tcPr>
            <w:tcW w:w="1220" w:type="dxa"/>
            <w:noWrap/>
            <w:hideMark/>
          </w:tcPr>
          <w:p w14:paraId="3174A402" w14:textId="77777777" w:rsidR="002072AF" w:rsidRPr="00CB7C65" w:rsidRDefault="002072AF" w:rsidP="00C17EE3">
            <w:pPr>
              <w:rPr>
                <w:b/>
                <w:bCs/>
              </w:rPr>
            </w:pPr>
            <w:r w:rsidRPr="00CB7C65">
              <w:rPr>
                <w:b/>
                <w:bCs/>
              </w:rPr>
              <w:t>Total</w:t>
            </w:r>
          </w:p>
        </w:tc>
        <w:tc>
          <w:tcPr>
            <w:tcW w:w="2015" w:type="dxa"/>
            <w:noWrap/>
            <w:hideMark/>
          </w:tcPr>
          <w:p w14:paraId="62C4B9F7" w14:textId="77777777" w:rsidR="002072AF" w:rsidRPr="00CB7C65" w:rsidRDefault="002072AF" w:rsidP="00C17EE3">
            <w:pPr>
              <w:rPr>
                <w:b/>
                <w:bCs/>
              </w:rPr>
            </w:pPr>
            <w:r w:rsidRPr="00CB7C65">
              <w:rPr>
                <w:b/>
                <w:bCs/>
              </w:rPr>
              <w:t> </w:t>
            </w:r>
          </w:p>
        </w:tc>
        <w:tc>
          <w:tcPr>
            <w:tcW w:w="2520" w:type="dxa"/>
            <w:noWrap/>
            <w:hideMark/>
          </w:tcPr>
          <w:p w14:paraId="301F1F62" w14:textId="77777777" w:rsidR="002072AF" w:rsidRPr="00CB7C65" w:rsidRDefault="002072AF" w:rsidP="00C17EE3">
            <w:pPr>
              <w:rPr>
                <w:b/>
                <w:bCs/>
              </w:rPr>
            </w:pPr>
            <w:r w:rsidRPr="00CB7C65">
              <w:rPr>
                <w:b/>
                <w:bCs/>
              </w:rPr>
              <w:t>18</w:t>
            </w:r>
          </w:p>
        </w:tc>
        <w:tc>
          <w:tcPr>
            <w:tcW w:w="3420" w:type="dxa"/>
            <w:noWrap/>
            <w:hideMark/>
          </w:tcPr>
          <w:p w14:paraId="3503C699" w14:textId="77777777" w:rsidR="002072AF" w:rsidRPr="00CB7C65" w:rsidRDefault="002072AF" w:rsidP="00C17EE3">
            <w:pPr>
              <w:rPr>
                <w:b/>
                <w:bCs/>
              </w:rPr>
            </w:pPr>
            <w:r w:rsidRPr="00CB7C65">
              <w:rPr>
                <w:b/>
                <w:bCs/>
              </w:rPr>
              <w:t>1068</w:t>
            </w:r>
          </w:p>
        </w:tc>
      </w:tr>
    </w:tbl>
    <w:p w14:paraId="679A3B1F" w14:textId="77777777" w:rsidR="002072AF" w:rsidRDefault="002072AF" w:rsidP="002072AF"/>
    <w:p w14:paraId="22DB1212" w14:textId="77777777" w:rsidR="002072AF" w:rsidRDefault="002072AF" w:rsidP="002072AF">
      <w:pPr>
        <w:rPr>
          <w:b/>
        </w:rPr>
      </w:pPr>
      <w:r>
        <w:rPr>
          <w:b/>
        </w:rPr>
        <w:t>Administration of the instrument</w:t>
      </w:r>
    </w:p>
    <w:p w14:paraId="4950EF0A" w14:textId="77777777" w:rsidR="002072AF" w:rsidRDefault="002072AF" w:rsidP="002072AF">
      <w:pPr>
        <w:pStyle w:val="ListParagraph"/>
        <w:numPr>
          <w:ilvl w:val="0"/>
          <w:numId w:val="3"/>
        </w:numPr>
      </w:pPr>
      <w:r>
        <w:t>How will you collect the information? (Check all that apply)</w:t>
      </w:r>
    </w:p>
    <w:p w14:paraId="40EF3CCE" w14:textId="77777777" w:rsidR="002072AF" w:rsidRDefault="002072AF" w:rsidP="002072AF">
      <w:pPr>
        <w:ind w:left="720"/>
      </w:pPr>
      <w:r>
        <w:t>[</w:t>
      </w:r>
      <w:r w:rsidRPr="008A2B30">
        <w:rPr>
          <w:b/>
        </w:rPr>
        <w:t>X</w:t>
      </w:r>
      <w:r>
        <w:t xml:space="preserve">] Web-based or other forms of social media. </w:t>
      </w:r>
    </w:p>
    <w:p w14:paraId="34FC9370" w14:textId="77777777" w:rsidR="002072AF" w:rsidRDefault="002072AF" w:rsidP="002072AF">
      <w:pPr>
        <w:ind w:left="720"/>
      </w:pPr>
      <w:r>
        <w:t>[  ] Telephone.</w:t>
      </w:r>
      <w:r>
        <w:tab/>
      </w:r>
    </w:p>
    <w:p w14:paraId="58B0F90B" w14:textId="77777777" w:rsidR="002072AF" w:rsidRDefault="002072AF" w:rsidP="002072AF">
      <w:pPr>
        <w:ind w:left="720"/>
      </w:pPr>
      <w:r>
        <w:t>[  ] In-person.</w:t>
      </w:r>
      <w:r>
        <w:tab/>
      </w:r>
    </w:p>
    <w:p w14:paraId="184EEE2B" w14:textId="77777777" w:rsidR="002072AF" w:rsidRDefault="002072AF" w:rsidP="002072AF">
      <w:pPr>
        <w:ind w:left="720"/>
      </w:pPr>
      <w:r>
        <w:t xml:space="preserve">[  ] Mail. </w:t>
      </w:r>
    </w:p>
    <w:p w14:paraId="2713B2ED" w14:textId="77777777" w:rsidR="002072AF" w:rsidRDefault="002072AF" w:rsidP="002072AF">
      <w:pPr>
        <w:ind w:left="720"/>
      </w:pPr>
      <w:r>
        <w:t>[  ] Other, explain.</w:t>
      </w:r>
    </w:p>
    <w:p w14:paraId="39C3F6A1" w14:textId="77777777" w:rsidR="002072AF" w:rsidRDefault="002072AF" w:rsidP="002072AF">
      <w:pPr>
        <w:pStyle w:val="ListParagraph"/>
        <w:numPr>
          <w:ilvl w:val="0"/>
          <w:numId w:val="3"/>
        </w:numPr>
      </w:pPr>
      <w:r>
        <w:t>Will interviewers or facilitators be used?  [</w:t>
      </w:r>
      <w:r w:rsidRPr="008A2B30">
        <w:rPr>
          <w:b/>
        </w:rPr>
        <w:t>X</w:t>
      </w:r>
      <w:r>
        <w:t>] Yes [  ] No</w:t>
      </w:r>
    </w:p>
    <w:p w14:paraId="2DD951BC" w14:textId="77777777" w:rsidR="002072AF" w:rsidRDefault="002072AF" w:rsidP="002072AF">
      <w:pPr>
        <w:pStyle w:val="ListParagraph"/>
        <w:ind w:left="360"/>
      </w:pPr>
      <w:r>
        <w:t xml:space="preserve"> </w:t>
      </w:r>
    </w:p>
    <w:p w14:paraId="05216B92" w14:textId="77777777" w:rsidR="002072AF" w:rsidRDefault="002072AF" w:rsidP="002072AF">
      <w:pPr>
        <w:rPr>
          <w:b/>
        </w:rPr>
      </w:pPr>
      <w:r w:rsidRPr="00210A21">
        <w:rPr>
          <w:b/>
        </w:rPr>
        <w:t>Please make sure that all instruments, instructions and scripts are submitted with the request.</w:t>
      </w:r>
    </w:p>
    <w:p w14:paraId="6E288472" w14:textId="77777777" w:rsidR="006C5820" w:rsidRDefault="006C5820"/>
    <w:sectPr w:rsidR="006C5820" w:rsidSect="006E2875">
      <w:pgSz w:w="12240" w:h="15840"/>
      <w:pgMar w:top="720" w:right="1440" w:bottom="28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FA59DF" w14:textId="77777777" w:rsidR="009976E8" w:rsidRDefault="009976E8" w:rsidP="00DE4C39">
      <w:r>
        <w:separator/>
      </w:r>
    </w:p>
  </w:endnote>
  <w:endnote w:type="continuationSeparator" w:id="0">
    <w:p w14:paraId="733F3307" w14:textId="77777777" w:rsidR="009976E8" w:rsidRDefault="009976E8" w:rsidP="00DE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CB8E8B" w14:textId="77777777" w:rsidR="009976E8" w:rsidRDefault="009976E8" w:rsidP="00DE4C39">
      <w:r>
        <w:separator/>
      </w:r>
    </w:p>
  </w:footnote>
  <w:footnote w:type="continuationSeparator" w:id="0">
    <w:p w14:paraId="5C85A5F5" w14:textId="77777777" w:rsidR="009976E8" w:rsidRDefault="009976E8" w:rsidP="00DE4C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3C3"/>
    <w:rsid w:val="00071DA6"/>
    <w:rsid w:val="000E5D4F"/>
    <w:rsid w:val="000F6E42"/>
    <w:rsid w:val="000F744A"/>
    <w:rsid w:val="00117015"/>
    <w:rsid w:val="00130F5F"/>
    <w:rsid w:val="00170AD7"/>
    <w:rsid w:val="00182C06"/>
    <w:rsid w:val="001A4B27"/>
    <w:rsid w:val="001A5839"/>
    <w:rsid w:val="00204C1C"/>
    <w:rsid w:val="00206B25"/>
    <w:rsid w:val="002072AF"/>
    <w:rsid w:val="00265FBF"/>
    <w:rsid w:val="002F3016"/>
    <w:rsid w:val="0033785B"/>
    <w:rsid w:val="003A0A0E"/>
    <w:rsid w:val="003A2B0B"/>
    <w:rsid w:val="003A6285"/>
    <w:rsid w:val="003B5617"/>
    <w:rsid w:val="003D6BDF"/>
    <w:rsid w:val="003E0C61"/>
    <w:rsid w:val="004056D1"/>
    <w:rsid w:val="0041671F"/>
    <w:rsid w:val="004274D0"/>
    <w:rsid w:val="00460104"/>
    <w:rsid w:val="004A4AE8"/>
    <w:rsid w:val="004B1937"/>
    <w:rsid w:val="005353C7"/>
    <w:rsid w:val="00564D92"/>
    <w:rsid w:val="005A75FF"/>
    <w:rsid w:val="005F3FC2"/>
    <w:rsid w:val="006C5820"/>
    <w:rsid w:val="006E2875"/>
    <w:rsid w:val="0072455A"/>
    <w:rsid w:val="00735F00"/>
    <w:rsid w:val="0079427F"/>
    <w:rsid w:val="007C7087"/>
    <w:rsid w:val="00802812"/>
    <w:rsid w:val="00872AB3"/>
    <w:rsid w:val="00884264"/>
    <w:rsid w:val="008A5C09"/>
    <w:rsid w:val="008C1C10"/>
    <w:rsid w:val="008C726E"/>
    <w:rsid w:val="008F498F"/>
    <w:rsid w:val="008F6150"/>
    <w:rsid w:val="00901D19"/>
    <w:rsid w:val="00923677"/>
    <w:rsid w:val="0099492B"/>
    <w:rsid w:val="009976E8"/>
    <w:rsid w:val="009E0061"/>
    <w:rsid w:val="00A060E0"/>
    <w:rsid w:val="00A125BF"/>
    <w:rsid w:val="00A52F00"/>
    <w:rsid w:val="00A5648A"/>
    <w:rsid w:val="00A66E10"/>
    <w:rsid w:val="00AB361F"/>
    <w:rsid w:val="00AD4D28"/>
    <w:rsid w:val="00AF1674"/>
    <w:rsid w:val="00B265A0"/>
    <w:rsid w:val="00B26AB6"/>
    <w:rsid w:val="00B4189D"/>
    <w:rsid w:val="00B50D69"/>
    <w:rsid w:val="00B678E2"/>
    <w:rsid w:val="00B75449"/>
    <w:rsid w:val="00BA1A25"/>
    <w:rsid w:val="00BF3F97"/>
    <w:rsid w:val="00C314BA"/>
    <w:rsid w:val="00C47750"/>
    <w:rsid w:val="00C76CA9"/>
    <w:rsid w:val="00CA78DA"/>
    <w:rsid w:val="00CE0513"/>
    <w:rsid w:val="00CE73B3"/>
    <w:rsid w:val="00D022ED"/>
    <w:rsid w:val="00D16F18"/>
    <w:rsid w:val="00D63B1D"/>
    <w:rsid w:val="00D80679"/>
    <w:rsid w:val="00D87EDC"/>
    <w:rsid w:val="00DB3F53"/>
    <w:rsid w:val="00DE23C3"/>
    <w:rsid w:val="00DE4C39"/>
    <w:rsid w:val="00DE6F44"/>
    <w:rsid w:val="00E24544"/>
    <w:rsid w:val="00E93E3A"/>
    <w:rsid w:val="00ED1A44"/>
    <w:rsid w:val="00F3754F"/>
    <w:rsid w:val="00F37FAD"/>
    <w:rsid w:val="00F50DEA"/>
    <w:rsid w:val="00F5441D"/>
    <w:rsid w:val="00FD3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2F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2A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072AF"/>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072AF"/>
    <w:rPr>
      <w:rFonts w:ascii="Times New Roman" w:eastAsia="Times New Roman" w:hAnsi="Times New Roman" w:cs="Times New Roman"/>
      <w:b/>
      <w:bCs/>
      <w:sz w:val="24"/>
      <w:szCs w:val="24"/>
    </w:rPr>
  </w:style>
  <w:style w:type="paragraph" w:styleId="Header">
    <w:name w:val="header"/>
    <w:basedOn w:val="Normal"/>
    <w:link w:val="HeaderChar"/>
    <w:rsid w:val="002072AF"/>
    <w:pPr>
      <w:widowControl w:val="0"/>
      <w:tabs>
        <w:tab w:val="center" w:pos="4320"/>
        <w:tab w:val="right" w:pos="8640"/>
      </w:tabs>
    </w:pPr>
    <w:rPr>
      <w:snapToGrid w:val="0"/>
    </w:rPr>
  </w:style>
  <w:style w:type="character" w:customStyle="1" w:styleId="HeaderChar">
    <w:name w:val="Header Char"/>
    <w:basedOn w:val="DefaultParagraphFont"/>
    <w:link w:val="Header"/>
    <w:rsid w:val="002072AF"/>
    <w:rPr>
      <w:rFonts w:ascii="Times New Roman" w:eastAsia="Times New Roman" w:hAnsi="Times New Roman" w:cs="Times New Roman"/>
      <w:snapToGrid w:val="0"/>
      <w:sz w:val="24"/>
      <w:szCs w:val="24"/>
    </w:rPr>
  </w:style>
  <w:style w:type="paragraph" w:styleId="BodyTextIndent">
    <w:name w:val="Body Text Indent"/>
    <w:basedOn w:val="Normal"/>
    <w:link w:val="BodyTextIndentChar"/>
    <w:rsid w:val="002072AF"/>
    <w:pPr>
      <w:ind w:left="288"/>
    </w:pPr>
    <w:rPr>
      <w:sz w:val="20"/>
      <w:szCs w:val="20"/>
      <w:lang w:eastAsia="zh-CN"/>
    </w:rPr>
  </w:style>
  <w:style w:type="character" w:customStyle="1" w:styleId="BodyTextIndentChar">
    <w:name w:val="Body Text Indent Char"/>
    <w:basedOn w:val="DefaultParagraphFont"/>
    <w:link w:val="BodyTextIndent"/>
    <w:rsid w:val="002072AF"/>
    <w:rPr>
      <w:rFonts w:ascii="Times New Roman" w:eastAsia="Times New Roman" w:hAnsi="Times New Roman" w:cs="Times New Roman"/>
      <w:sz w:val="20"/>
      <w:szCs w:val="20"/>
      <w:lang w:eastAsia="zh-CN"/>
    </w:rPr>
  </w:style>
  <w:style w:type="paragraph" w:styleId="NormalWeb">
    <w:name w:val="Normal (Web)"/>
    <w:basedOn w:val="Normal"/>
    <w:uiPriority w:val="99"/>
    <w:rsid w:val="002072AF"/>
    <w:pPr>
      <w:spacing w:before="100" w:beforeAutospacing="1" w:after="100" w:afterAutospacing="1"/>
    </w:pPr>
    <w:rPr>
      <w:color w:val="000000"/>
    </w:rPr>
  </w:style>
  <w:style w:type="table" w:styleId="TableGrid">
    <w:name w:val="Table Grid"/>
    <w:basedOn w:val="TableNormal"/>
    <w:rsid w:val="002072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2072AF"/>
    <w:rPr>
      <w:sz w:val="16"/>
      <w:szCs w:val="16"/>
    </w:rPr>
  </w:style>
  <w:style w:type="paragraph" w:styleId="CommentText">
    <w:name w:val="annotation text"/>
    <w:basedOn w:val="Normal"/>
    <w:link w:val="CommentTextChar"/>
    <w:uiPriority w:val="99"/>
    <w:rsid w:val="002072AF"/>
    <w:rPr>
      <w:sz w:val="20"/>
      <w:szCs w:val="20"/>
    </w:rPr>
  </w:style>
  <w:style w:type="character" w:customStyle="1" w:styleId="CommentTextChar">
    <w:name w:val="Comment Text Char"/>
    <w:basedOn w:val="DefaultParagraphFont"/>
    <w:link w:val="CommentText"/>
    <w:uiPriority w:val="99"/>
    <w:rsid w:val="002072AF"/>
    <w:rPr>
      <w:rFonts w:ascii="Times New Roman" w:eastAsia="Times New Roman" w:hAnsi="Times New Roman" w:cs="Times New Roman"/>
      <w:sz w:val="20"/>
      <w:szCs w:val="20"/>
    </w:rPr>
  </w:style>
  <w:style w:type="paragraph" w:styleId="ListParagraph">
    <w:name w:val="List Paragraph"/>
    <w:aliases w:val="Bullet List,FooterText,List Paragraph1,Colorful List - Accent 11,Colorful List - Accent 111,numbered,Paragraphe de liste1,列出段落,列出段落1,Bulletr List Paragraph,List Paragraph2,List Paragraph21,Párrafo de lista1,Parágrafo da Lista1,リスト段落1,Plan"/>
    <w:basedOn w:val="Normal"/>
    <w:link w:val="ListParagraphChar"/>
    <w:uiPriority w:val="34"/>
    <w:qFormat/>
    <w:rsid w:val="002072AF"/>
    <w:pPr>
      <w:ind w:left="720"/>
      <w:contextualSpacing/>
    </w:pPr>
  </w:style>
  <w:style w:type="character" w:customStyle="1" w:styleId="ListParagraphChar">
    <w:name w:val="List Paragraph Char"/>
    <w:aliases w:val="Bullet List Char,FooterText Char,List Paragraph1 Char,Colorful List - Accent 11 Char,Colorful List - Accent 111 Char,numbered Char,Paragraphe de liste1 Char,列出段落 Char,列出段落1 Char,Bulletr List Paragraph Char,List Paragraph2 Char"/>
    <w:basedOn w:val="DefaultParagraphFont"/>
    <w:link w:val="ListParagraph"/>
    <w:uiPriority w:val="34"/>
    <w:locked/>
    <w:rsid w:val="002072A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072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2AF"/>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884264"/>
    <w:rPr>
      <w:b/>
      <w:bCs/>
    </w:rPr>
  </w:style>
  <w:style w:type="character" w:customStyle="1" w:styleId="CommentSubjectChar">
    <w:name w:val="Comment Subject Char"/>
    <w:basedOn w:val="CommentTextChar"/>
    <w:link w:val="CommentSubject"/>
    <w:uiPriority w:val="99"/>
    <w:semiHidden/>
    <w:rsid w:val="00884264"/>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DE4C39"/>
    <w:pPr>
      <w:tabs>
        <w:tab w:val="center" w:pos="4680"/>
        <w:tab w:val="right" w:pos="9360"/>
      </w:tabs>
    </w:pPr>
  </w:style>
  <w:style w:type="character" w:customStyle="1" w:styleId="FooterChar">
    <w:name w:val="Footer Char"/>
    <w:basedOn w:val="DefaultParagraphFont"/>
    <w:link w:val="Footer"/>
    <w:uiPriority w:val="99"/>
    <w:rsid w:val="00DE4C3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2A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072AF"/>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072AF"/>
    <w:rPr>
      <w:rFonts w:ascii="Times New Roman" w:eastAsia="Times New Roman" w:hAnsi="Times New Roman" w:cs="Times New Roman"/>
      <w:b/>
      <w:bCs/>
      <w:sz w:val="24"/>
      <w:szCs w:val="24"/>
    </w:rPr>
  </w:style>
  <w:style w:type="paragraph" w:styleId="Header">
    <w:name w:val="header"/>
    <w:basedOn w:val="Normal"/>
    <w:link w:val="HeaderChar"/>
    <w:rsid w:val="002072AF"/>
    <w:pPr>
      <w:widowControl w:val="0"/>
      <w:tabs>
        <w:tab w:val="center" w:pos="4320"/>
        <w:tab w:val="right" w:pos="8640"/>
      </w:tabs>
    </w:pPr>
    <w:rPr>
      <w:snapToGrid w:val="0"/>
    </w:rPr>
  </w:style>
  <w:style w:type="character" w:customStyle="1" w:styleId="HeaderChar">
    <w:name w:val="Header Char"/>
    <w:basedOn w:val="DefaultParagraphFont"/>
    <w:link w:val="Header"/>
    <w:rsid w:val="002072AF"/>
    <w:rPr>
      <w:rFonts w:ascii="Times New Roman" w:eastAsia="Times New Roman" w:hAnsi="Times New Roman" w:cs="Times New Roman"/>
      <w:snapToGrid w:val="0"/>
      <w:sz w:val="24"/>
      <w:szCs w:val="24"/>
    </w:rPr>
  </w:style>
  <w:style w:type="paragraph" w:styleId="BodyTextIndent">
    <w:name w:val="Body Text Indent"/>
    <w:basedOn w:val="Normal"/>
    <w:link w:val="BodyTextIndentChar"/>
    <w:rsid w:val="002072AF"/>
    <w:pPr>
      <w:ind w:left="288"/>
    </w:pPr>
    <w:rPr>
      <w:sz w:val="20"/>
      <w:szCs w:val="20"/>
      <w:lang w:eastAsia="zh-CN"/>
    </w:rPr>
  </w:style>
  <w:style w:type="character" w:customStyle="1" w:styleId="BodyTextIndentChar">
    <w:name w:val="Body Text Indent Char"/>
    <w:basedOn w:val="DefaultParagraphFont"/>
    <w:link w:val="BodyTextIndent"/>
    <w:rsid w:val="002072AF"/>
    <w:rPr>
      <w:rFonts w:ascii="Times New Roman" w:eastAsia="Times New Roman" w:hAnsi="Times New Roman" w:cs="Times New Roman"/>
      <w:sz w:val="20"/>
      <w:szCs w:val="20"/>
      <w:lang w:eastAsia="zh-CN"/>
    </w:rPr>
  </w:style>
  <w:style w:type="paragraph" w:styleId="NormalWeb">
    <w:name w:val="Normal (Web)"/>
    <w:basedOn w:val="Normal"/>
    <w:uiPriority w:val="99"/>
    <w:rsid w:val="002072AF"/>
    <w:pPr>
      <w:spacing w:before="100" w:beforeAutospacing="1" w:after="100" w:afterAutospacing="1"/>
    </w:pPr>
    <w:rPr>
      <w:color w:val="000000"/>
    </w:rPr>
  </w:style>
  <w:style w:type="table" w:styleId="TableGrid">
    <w:name w:val="Table Grid"/>
    <w:basedOn w:val="TableNormal"/>
    <w:rsid w:val="002072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2072AF"/>
    <w:rPr>
      <w:sz w:val="16"/>
      <w:szCs w:val="16"/>
    </w:rPr>
  </w:style>
  <w:style w:type="paragraph" w:styleId="CommentText">
    <w:name w:val="annotation text"/>
    <w:basedOn w:val="Normal"/>
    <w:link w:val="CommentTextChar"/>
    <w:uiPriority w:val="99"/>
    <w:rsid w:val="002072AF"/>
    <w:rPr>
      <w:sz w:val="20"/>
      <w:szCs w:val="20"/>
    </w:rPr>
  </w:style>
  <w:style w:type="character" w:customStyle="1" w:styleId="CommentTextChar">
    <w:name w:val="Comment Text Char"/>
    <w:basedOn w:val="DefaultParagraphFont"/>
    <w:link w:val="CommentText"/>
    <w:uiPriority w:val="99"/>
    <w:rsid w:val="002072AF"/>
    <w:rPr>
      <w:rFonts w:ascii="Times New Roman" w:eastAsia="Times New Roman" w:hAnsi="Times New Roman" w:cs="Times New Roman"/>
      <w:sz w:val="20"/>
      <w:szCs w:val="20"/>
    </w:rPr>
  </w:style>
  <w:style w:type="paragraph" w:styleId="ListParagraph">
    <w:name w:val="List Paragraph"/>
    <w:aliases w:val="Bullet List,FooterText,List Paragraph1,Colorful List - Accent 11,Colorful List - Accent 111,numbered,Paragraphe de liste1,列出段落,列出段落1,Bulletr List Paragraph,List Paragraph2,List Paragraph21,Párrafo de lista1,Parágrafo da Lista1,リスト段落1,Plan"/>
    <w:basedOn w:val="Normal"/>
    <w:link w:val="ListParagraphChar"/>
    <w:uiPriority w:val="34"/>
    <w:qFormat/>
    <w:rsid w:val="002072AF"/>
    <w:pPr>
      <w:ind w:left="720"/>
      <w:contextualSpacing/>
    </w:pPr>
  </w:style>
  <w:style w:type="character" w:customStyle="1" w:styleId="ListParagraphChar">
    <w:name w:val="List Paragraph Char"/>
    <w:aliases w:val="Bullet List Char,FooterText Char,List Paragraph1 Char,Colorful List - Accent 11 Char,Colorful List - Accent 111 Char,numbered Char,Paragraphe de liste1 Char,列出段落 Char,列出段落1 Char,Bulletr List Paragraph Char,List Paragraph2 Char"/>
    <w:basedOn w:val="DefaultParagraphFont"/>
    <w:link w:val="ListParagraph"/>
    <w:uiPriority w:val="34"/>
    <w:locked/>
    <w:rsid w:val="002072A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072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2AF"/>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884264"/>
    <w:rPr>
      <w:b/>
      <w:bCs/>
    </w:rPr>
  </w:style>
  <w:style w:type="character" w:customStyle="1" w:styleId="CommentSubjectChar">
    <w:name w:val="Comment Subject Char"/>
    <w:basedOn w:val="CommentTextChar"/>
    <w:link w:val="CommentSubject"/>
    <w:uiPriority w:val="99"/>
    <w:semiHidden/>
    <w:rsid w:val="00884264"/>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DE4C39"/>
    <w:pPr>
      <w:tabs>
        <w:tab w:val="center" w:pos="4680"/>
        <w:tab w:val="right" w:pos="9360"/>
      </w:tabs>
    </w:pPr>
  </w:style>
  <w:style w:type="character" w:customStyle="1" w:styleId="FooterChar">
    <w:name w:val="Footer Char"/>
    <w:basedOn w:val="DefaultParagraphFont"/>
    <w:link w:val="Footer"/>
    <w:uiPriority w:val="99"/>
    <w:rsid w:val="00DE4C3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81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6646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Cummings, Hope</dc:creator>
  <cp:keywords/>
  <dc:description/>
  <cp:lastModifiedBy>SYSTEM</cp:lastModifiedBy>
  <cp:revision>2</cp:revision>
  <cp:lastPrinted>2018-03-07T15:35:00Z</cp:lastPrinted>
  <dcterms:created xsi:type="dcterms:W3CDTF">2018-04-19T18:22:00Z</dcterms:created>
  <dcterms:modified xsi:type="dcterms:W3CDTF">2018-04-19T18:22:00Z</dcterms:modified>
</cp:coreProperties>
</file>