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6EF5E" w14:textId="65E40091" w:rsidR="002353FA" w:rsidRDefault="00AB65DA" w:rsidP="002353FA">
      <w:pPr>
        <w:rPr>
          <w:b/>
          <w:bCs/>
        </w:rPr>
      </w:pPr>
      <w:r>
        <w:rPr>
          <w:b/>
          <w:bCs/>
        </w:rPr>
        <w:t>S</w:t>
      </w:r>
      <w:r w:rsidR="005D7D54">
        <w:rPr>
          <w:b/>
          <w:bCs/>
        </w:rPr>
        <w:t xml:space="preserve">SLLEASTL </w:t>
      </w:r>
      <w:r w:rsidR="002353FA">
        <w:rPr>
          <w:b/>
          <w:bCs/>
        </w:rPr>
        <w:t>SUPPORTING STATEMENT</w:t>
      </w:r>
      <w:r w:rsidR="005D7D54">
        <w:rPr>
          <w:b/>
          <w:bCs/>
        </w:rPr>
        <w:t xml:space="preserve"> PART B</w:t>
      </w:r>
    </w:p>
    <w:p w14:paraId="3007E72A" w14:textId="77777777" w:rsidR="00421095" w:rsidRDefault="00421095" w:rsidP="00421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A3C1617" w14:textId="77777777" w:rsidR="00421095" w:rsidRPr="00FC4460" w:rsidRDefault="00421095" w:rsidP="00D649AE">
      <w:pPr>
        <w:pStyle w:val="ListParagraph"/>
        <w:numPr>
          <w:ilvl w:val="0"/>
          <w:numId w:val="5"/>
        </w:numPr>
        <w:ind w:left="360"/>
        <w:contextualSpacing w:val="0"/>
        <w:rPr>
          <w:b/>
        </w:rPr>
      </w:pPr>
      <w:r w:rsidRPr="00FC4460">
        <w:rPr>
          <w:b/>
        </w:rPr>
        <w:t>Universe and Respondent Selection</w:t>
      </w:r>
    </w:p>
    <w:p w14:paraId="65B07810" w14:textId="77777777" w:rsidR="00B00F46" w:rsidRDefault="00B00F46" w:rsidP="00D649AE">
      <w:pPr>
        <w:pStyle w:val="ListParagraph"/>
        <w:ind w:left="360"/>
        <w:contextualSpacing w:val="0"/>
        <w:rPr>
          <w:b/>
          <w:u w:val="single"/>
        </w:rPr>
      </w:pPr>
    </w:p>
    <w:p w14:paraId="4EAD2CB9" w14:textId="730F57B7" w:rsidR="00A95E30" w:rsidRDefault="00464706" w:rsidP="00D649AE">
      <w:pPr>
        <w:rPr>
          <w:color w:val="000000" w:themeColor="text1"/>
        </w:rPr>
      </w:pPr>
      <w:r>
        <w:t xml:space="preserve">The </w:t>
      </w:r>
      <w:r w:rsidR="00AB65DA">
        <w:t>Survey</w:t>
      </w:r>
      <w:r w:rsidRPr="005D7D54">
        <w:rPr>
          <w:color w:val="000000" w:themeColor="text1"/>
        </w:rPr>
        <w:t xml:space="preserve"> of State and Local Law Enforcement Agencies Serving Tribal Lands (</w:t>
      </w:r>
      <w:r w:rsidR="00AB65DA">
        <w:rPr>
          <w:color w:val="000000" w:themeColor="text1"/>
        </w:rPr>
        <w:t>S</w:t>
      </w:r>
      <w:r w:rsidRPr="005D7D54">
        <w:rPr>
          <w:color w:val="000000" w:themeColor="text1"/>
        </w:rPr>
        <w:t xml:space="preserve">SLLEASTL) </w:t>
      </w:r>
      <w:r w:rsidR="006F2769">
        <w:rPr>
          <w:color w:val="000000" w:themeColor="text1"/>
        </w:rPr>
        <w:t xml:space="preserve">intends to </w:t>
      </w:r>
      <w:r w:rsidRPr="005D7D54">
        <w:rPr>
          <w:color w:val="000000" w:themeColor="text1"/>
        </w:rPr>
        <w:t xml:space="preserve">collect data </w:t>
      </w:r>
      <w:r w:rsidR="001D211C">
        <w:rPr>
          <w:color w:val="000000" w:themeColor="text1"/>
        </w:rPr>
        <w:t>from</w:t>
      </w:r>
      <w:r w:rsidR="001D211C" w:rsidRPr="005D7D54">
        <w:rPr>
          <w:color w:val="000000" w:themeColor="text1"/>
        </w:rPr>
        <w:t xml:space="preserve"> </w:t>
      </w:r>
      <w:r w:rsidRPr="005D7D54">
        <w:rPr>
          <w:color w:val="000000" w:themeColor="text1"/>
        </w:rPr>
        <w:t>state and local law enforcement agenc</w:t>
      </w:r>
      <w:r w:rsidR="00290686">
        <w:rPr>
          <w:color w:val="000000" w:themeColor="text1"/>
        </w:rPr>
        <w:t>ies</w:t>
      </w:r>
      <w:r w:rsidRPr="005D7D54">
        <w:rPr>
          <w:color w:val="000000" w:themeColor="text1"/>
        </w:rPr>
        <w:t xml:space="preserve"> </w:t>
      </w:r>
      <w:r w:rsidR="001D211C">
        <w:rPr>
          <w:color w:val="000000" w:themeColor="text1"/>
        </w:rPr>
        <w:t>that are actively working</w:t>
      </w:r>
      <w:r w:rsidR="001D211C" w:rsidRPr="005D7D54">
        <w:rPr>
          <w:color w:val="000000" w:themeColor="text1"/>
        </w:rPr>
        <w:t xml:space="preserve"> </w:t>
      </w:r>
      <w:r w:rsidRPr="005D7D54">
        <w:rPr>
          <w:color w:val="000000" w:themeColor="text1"/>
        </w:rPr>
        <w:t>on tribal lands</w:t>
      </w:r>
      <w:r w:rsidR="00E01E78">
        <w:rPr>
          <w:color w:val="000000" w:themeColor="text1"/>
        </w:rPr>
        <w:t xml:space="preserve"> in states where jurisdiction has been transferred </w:t>
      </w:r>
      <w:r w:rsidR="004C396C">
        <w:rPr>
          <w:color w:val="000000" w:themeColor="text1"/>
        </w:rPr>
        <w:t xml:space="preserve">to the states </w:t>
      </w:r>
      <w:r w:rsidR="00E01E78">
        <w:rPr>
          <w:color w:val="000000" w:themeColor="text1"/>
        </w:rPr>
        <w:t>under Public Law 83-280 (PL-280)</w:t>
      </w:r>
      <w:r w:rsidRPr="005D7D54">
        <w:rPr>
          <w:color w:val="000000" w:themeColor="text1"/>
        </w:rPr>
        <w:t xml:space="preserve">. </w:t>
      </w:r>
      <w:r w:rsidR="00E01E78">
        <w:rPr>
          <w:color w:val="000000" w:themeColor="text1"/>
        </w:rPr>
        <w:t xml:space="preserve">The collection focuses on the sixteen PL-280 states: Alaska, </w:t>
      </w:r>
      <w:r w:rsidR="00E01E78">
        <w:t>Arizona, California, Florida, Idaho, Iowa, Minnesota, Montana, Nebraska, Nevada, North Dakota, Oregon, South Dakota, Utah, Washington, and Wisconsin</w:t>
      </w:r>
      <w:r w:rsidR="00E01E78">
        <w:rPr>
          <w:color w:val="000000" w:themeColor="text1"/>
        </w:rPr>
        <w:t xml:space="preserve">. </w:t>
      </w:r>
      <w:r w:rsidR="00E06C65" w:rsidRPr="00E06C65">
        <w:rPr>
          <w:color w:val="000000" w:themeColor="text1"/>
        </w:rPr>
        <w:t xml:space="preserve">To be </w:t>
      </w:r>
      <w:r w:rsidR="00E06C65">
        <w:rPr>
          <w:color w:val="000000" w:themeColor="text1"/>
        </w:rPr>
        <w:t xml:space="preserve">eligible for the </w:t>
      </w:r>
      <w:r w:rsidR="00BA199B">
        <w:rPr>
          <w:color w:val="000000" w:themeColor="text1"/>
        </w:rPr>
        <w:t>SSLLEASTL</w:t>
      </w:r>
      <w:r w:rsidR="00E06C65" w:rsidRPr="00E06C65">
        <w:rPr>
          <w:color w:val="000000" w:themeColor="text1"/>
        </w:rPr>
        <w:t>, state and local law enforcement agencies must operate in the United States, be publicly funded</w:t>
      </w:r>
      <w:r w:rsidR="00E06C65">
        <w:rPr>
          <w:color w:val="000000" w:themeColor="text1"/>
        </w:rPr>
        <w:t>,</w:t>
      </w:r>
      <w:r w:rsidR="00E06C65" w:rsidRPr="00E06C65">
        <w:rPr>
          <w:color w:val="000000" w:themeColor="text1"/>
        </w:rPr>
        <w:t xml:space="preserve"> employ at least one full-time sworn officer with full general arrest powers</w:t>
      </w:r>
      <w:r w:rsidR="00E06C65">
        <w:rPr>
          <w:color w:val="000000" w:themeColor="text1"/>
        </w:rPr>
        <w:t>, and provide services on tribal lands</w:t>
      </w:r>
      <w:r w:rsidR="00E06C65" w:rsidRPr="00E06C65">
        <w:rPr>
          <w:color w:val="000000" w:themeColor="text1"/>
        </w:rPr>
        <w:t xml:space="preserve">.  Eligible agencies include </w:t>
      </w:r>
      <w:r w:rsidR="00E01E78">
        <w:rPr>
          <w:color w:val="000000" w:themeColor="text1"/>
        </w:rPr>
        <w:t>general purpose agencies</w:t>
      </w:r>
      <w:r w:rsidR="00E06C65" w:rsidRPr="00E06C65">
        <w:rPr>
          <w:color w:val="000000" w:themeColor="text1"/>
        </w:rPr>
        <w:t xml:space="preserve">, </w:t>
      </w:r>
      <w:r w:rsidR="00E06C65">
        <w:rPr>
          <w:color w:val="000000" w:themeColor="text1"/>
        </w:rPr>
        <w:t>such as</w:t>
      </w:r>
      <w:r w:rsidR="00E06C65" w:rsidRPr="00E06C65">
        <w:rPr>
          <w:color w:val="000000" w:themeColor="text1"/>
        </w:rPr>
        <w:t xml:space="preserve"> local police departments, sheriff’s offices, </w:t>
      </w:r>
      <w:r w:rsidR="00E01E78">
        <w:rPr>
          <w:color w:val="000000" w:themeColor="text1"/>
        </w:rPr>
        <w:t xml:space="preserve">and </w:t>
      </w:r>
      <w:r w:rsidR="00E06C65" w:rsidRPr="00E06C65">
        <w:rPr>
          <w:color w:val="000000" w:themeColor="text1"/>
        </w:rPr>
        <w:t>state po</w:t>
      </w:r>
      <w:r w:rsidR="00E01E78">
        <w:rPr>
          <w:color w:val="000000" w:themeColor="text1"/>
        </w:rPr>
        <w:t xml:space="preserve">lice departments. In Alaska, the survey will also collect data from </w:t>
      </w:r>
      <w:r w:rsidR="00D00F49">
        <w:rPr>
          <w:color w:val="000000" w:themeColor="text1"/>
        </w:rPr>
        <w:t xml:space="preserve">regional </w:t>
      </w:r>
      <w:r w:rsidR="008F5026">
        <w:rPr>
          <w:color w:val="000000" w:themeColor="text1"/>
        </w:rPr>
        <w:t>native non-profit coordinating agencies</w:t>
      </w:r>
      <w:r w:rsidR="00D00F49">
        <w:rPr>
          <w:color w:val="000000" w:themeColor="text1"/>
        </w:rPr>
        <w:t xml:space="preserve"> responsible for </w:t>
      </w:r>
      <w:r w:rsidR="001D52B0">
        <w:rPr>
          <w:color w:val="000000" w:themeColor="text1"/>
        </w:rPr>
        <w:t xml:space="preserve">village public safety officers (VPSOs) in their </w:t>
      </w:r>
      <w:r w:rsidR="00D00F49">
        <w:rPr>
          <w:color w:val="000000" w:themeColor="text1"/>
        </w:rPr>
        <w:t>area of the state</w:t>
      </w:r>
      <w:r w:rsidR="00E06C65" w:rsidRPr="00E06C65">
        <w:rPr>
          <w:color w:val="000000" w:themeColor="text1"/>
        </w:rPr>
        <w:t xml:space="preserve">. </w:t>
      </w:r>
    </w:p>
    <w:p w14:paraId="74649642" w14:textId="77777777" w:rsidR="00A95E30" w:rsidRDefault="00A95E30" w:rsidP="00D649AE">
      <w:pPr>
        <w:rPr>
          <w:color w:val="000000" w:themeColor="text1"/>
        </w:rPr>
      </w:pPr>
    </w:p>
    <w:p w14:paraId="6A1BBE2C" w14:textId="2EA4F52D" w:rsidR="005C2DA2" w:rsidRDefault="005C2DA2" w:rsidP="00E01E78">
      <w:pPr>
        <w:rPr>
          <w:color w:val="000000" w:themeColor="text1"/>
        </w:rPr>
      </w:pPr>
      <w:r>
        <w:rPr>
          <w:color w:val="000000" w:themeColor="text1"/>
        </w:rPr>
        <w:t xml:space="preserve">The </w:t>
      </w:r>
      <w:r w:rsidR="00BA199B">
        <w:rPr>
          <w:color w:val="000000" w:themeColor="text1"/>
        </w:rPr>
        <w:t>SSLLEASTL</w:t>
      </w:r>
      <w:r>
        <w:rPr>
          <w:color w:val="000000" w:themeColor="text1"/>
        </w:rPr>
        <w:t xml:space="preserve"> used the universe lists from the 2013 Census of State and Local Law Enforcement Agencies (CSLLEA) to identify the agencies located in counties with tribal lands and counties without tribal lands. Only general purpose law enforcement agencies (state police, county police, </w:t>
      </w:r>
      <w:proofErr w:type="gramStart"/>
      <w:r>
        <w:rPr>
          <w:color w:val="000000" w:themeColor="text1"/>
        </w:rPr>
        <w:t>city</w:t>
      </w:r>
      <w:proofErr w:type="gramEnd"/>
      <w:r>
        <w:rPr>
          <w:color w:val="000000" w:themeColor="text1"/>
        </w:rPr>
        <w:t xml:space="preserve">/local police) are included in this effort.  </w:t>
      </w:r>
      <w:r w:rsidR="00E01E78">
        <w:rPr>
          <w:color w:val="000000" w:themeColor="text1"/>
        </w:rPr>
        <w:t xml:space="preserve">The </w:t>
      </w:r>
      <w:r w:rsidR="005724BA">
        <w:rPr>
          <w:color w:val="000000" w:themeColor="text1"/>
        </w:rPr>
        <w:t>universe is divided into</w:t>
      </w:r>
      <w:r w:rsidR="00E01E78">
        <w:rPr>
          <w:color w:val="000000" w:themeColor="text1"/>
        </w:rPr>
        <w:t xml:space="preserve"> four strata. The first stratum is</w:t>
      </w:r>
      <w:r>
        <w:rPr>
          <w:color w:val="000000" w:themeColor="text1"/>
        </w:rPr>
        <w:t xml:space="preserve"> a census of </w:t>
      </w:r>
      <w:r w:rsidR="00E01E78">
        <w:rPr>
          <w:color w:val="000000" w:themeColor="text1"/>
        </w:rPr>
        <w:t>all sixteen state police agencies. The second stratum is</w:t>
      </w:r>
      <w:r>
        <w:rPr>
          <w:color w:val="000000" w:themeColor="text1"/>
        </w:rPr>
        <w:t xml:space="preserve"> a census of</w:t>
      </w:r>
      <w:r w:rsidR="00E01E78">
        <w:rPr>
          <w:color w:val="000000" w:themeColor="text1"/>
        </w:rPr>
        <w:t xml:space="preserve"> all ten VPSO coordinating agencies in Alaska. The third stratum is </w:t>
      </w:r>
      <w:r>
        <w:rPr>
          <w:color w:val="000000" w:themeColor="text1"/>
        </w:rPr>
        <w:t xml:space="preserve">a census of </w:t>
      </w:r>
      <w:r w:rsidR="005724BA">
        <w:rPr>
          <w:color w:val="000000" w:themeColor="text1"/>
        </w:rPr>
        <w:t>all</w:t>
      </w:r>
      <w:r w:rsidR="00AD42C2">
        <w:rPr>
          <w:color w:val="000000" w:themeColor="text1"/>
        </w:rPr>
        <w:t xml:space="preserve"> 1,215</w:t>
      </w:r>
      <w:r w:rsidR="00290686">
        <w:rPr>
          <w:color w:val="000000" w:themeColor="text1"/>
        </w:rPr>
        <w:t xml:space="preserve"> general purpose agencies in c</w:t>
      </w:r>
      <w:r w:rsidR="00E01E78">
        <w:rPr>
          <w:color w:val="000000" w:themeColor="text1"/>
        </w:rPr>
        <w:t xml:space="preserve">ounties containing tribal lands. The fourth stratum is </w:t>
      </w:r>
      <w:r>
        <w:rPr>
          <w:color w:val="000000" w:themeColor="text1"/>
        </w:rPr>
        <w:t xml:space="preserve">a </w:t>
      </w:r>
      <w:proofErr w:type="gramStart"/>
      <w:r>
        <w:rPr>
          <w:color w:val="000000" w:themeColor="text1"/>
        </w:rPr>
        <w:t>sample</w:t>
      </w:r>
      <w:proofErr w:type="gramEnd"/>
      <w:r>
        <w:rPr>
          <w:color w:val="000000" w:themeColor="text1"/>
        </w:rPr>
        <w:t xml:space="preserve"> of </w:t>
      </w:r>
      <w:r w:rsidR="00AD42C2">
        <w:rPr>
          <w:color w:val="000000" w:themeColor="text1"/>
        </w:rPr>
        <w:t>the 2,151</w:t>
      </w:r>
      <w:r w:rsidR="00E01E78">
        <w:rPr>
          <w:color w:val="000000" w:themeColor="text1"/>
        </w:rPr>
        <w:t xml:space="preserve"> general purpose agencies in the remaining counties without tribal lands.</w:t>
      </w:r>
      <w:r w:rsidR="00A96ACB" w:rsidRPr="00A96ACB">
        <w:rPr>
          <w:color w:val="000000" w:themeColor="text1"/>
        </w:rPr>
        <w:t xml:space="preserve"> </w:t>
      </w:r>
      <w:r w:rsidR="00A96ACB">
        <w:rPr>
          <w:color w:val="000000" w:themeColor="text1"/>
        </w:rPr>
        <w:t>The data collector conducted a power analysis to determine sufficient sample size to be able to generate reliable statistics for the 2,151 agencies in stratum 4</w:t>
      </w:r>
      <w:r w:rsidR="00290686">
        <w:rPr>
          <w:color w:val="000000" w:themeColor="text1"/>
        </w:rPr>
        <w:t xml:space="preserve">. </w:t>
      </w:r>
      <w:r w:rsidR="00A96ACB">
        <w:rPr>
          <w:color w:val="000000" w:themeColor="text1"/>
        </w:rPr>
        <w:t>Using power level of 0.80 and a confidence level of 95%, the data collector concluded that a total of 400 agencies will need to respond from stratum 4 in order to generate reliable estimates</w:t>
      </w:r>
      <w:r w:rsidR="00296C86">
        <w:rPr>
          <w:color w:val="000000" w:themeColor="text1"/>
        </w:rPr>
        <w:t xml:space="preserve"> of proportions</w:t>
      </w:r>
      <w:r w:rsidR="00A96ACB">
        <w:rPr>
          <w:color w:val="000000" w:themeColor="text1"/>
        </w:rPr>
        <w:t xml:space="preserve">. Assuming a response rate of 80%, a final stratum sample size of 500 agencies will be selected from the 2,151 general purpose law enforcement agencies in stratum 4. The general purpose law enforcement agencies will be sorted by state, county and proximity to tribal lands, and then every </w:t>
      </w:r>
      <w:r w:rsidR="00A96ACB" w:rsidRPr="003B1793">
        <w:rPr>
          <w:i/>
          <w:color w:val="000000" w:themeColor="text1"/>
        </w:rPr>
        <w:t>nth</w:t>
      </w:r>
      <w:r w:rsidR="00A96ACB">
        <w:rPr>
          <w:color w:val="000000" w:themeColor="text1"/>
        </w:rPr>
        <w:t xml:space="preserve"> office will be drawn until a sample of 500 is reached. This should ensure that every state is represented in the sampled stratum. The total sample size for the </w:t>
      </w:r>
      <w:r w:rsidR="00BA199B">
        <w:rPr>
          <w:color w:val="000000" w:themeColor="text1"/>
        </w:rPr>
        <w:t>SSLLEASTL</w:t>
      </w:r>
      <w:r w:rsidR="00A96ACB">
        <w:rPr>
          <w:color w:val="000000" w:themeColor="text1"/>
        </w:rPr>
        <w:t xml:space="preserve"> is 1,741 agencies. </w:t>
      </w:r>
      <w:r w:rsidR="009052A4">
        <w:rPr>
          <w:color w:val="000000" w:themeColor="text1"/>
        </w:rPr>
        <w:t>Responding a</w:t>
      </w:r>
      <w:r w:rsidR="00D649AE" w:rsidRPr="00D649AE">
        <w:rPr>
          <w:color w:val="000000" w:themeColor="text1"/>
        </w:rPr>
        <w:t xml:space="preserve">gencies that indicate they do not provide services on tribal lands in the screening questions of the </w:t>
      </w:r>
      <w:r w:rsidR="00BA199B">
        <w:rPr>
          <w:color w:val="000000" w:themeColor="text1"/>
        </w:rPr>
        <w:t>SSLLEASTL</w:t>
      </w:r>
      <w:r w:rsidR="00D649AE" w:rsidRPr="00D649AE">
        <w:rPr>
          <w:color w:val="000000" w:themeColor="text1"/>
        </w:rPr>
        <w:t xml:space="preserve"> will be asked to return the survey (online or via </w:t>
      </w:r>
      <w:r w:rsidR="00053E13">
        <w:rPr>
          <w:color w:val="000000" w:themeColor="text1"/>
        </w:rPr>
        <w:t>prepaid mail) and will be recorded as agencies that do not provide services to tribal lands.</w:t>
      </w:r>
      <w:r w:rsidR="00E06C65" w:rsidRPr="00D649AE">
        <w:rPr>
          <w:color w:val="000000" w:themeColor="text1"/>
        </w:rPr>
        <w:t xml:space="preserve"> </w:t>
      </w:r>
      <w:r w:rsidR="00AD42C2">
        <w:rPr>
          <w:color w:val="000000" w:themeColor="text1"/>
        </w:rPr>
        <w:t xml:space="preserve">Table 1 provides the sampling plan for the </w:t>
      </w:r>
      <w:r w:rsidR="00BA199B">
        <w:rPr>
          <w:color w:val="000000" w:themeColor="text1"/>
        </w:rPr>
        <w:t>SSLLEASTL</w:t>
      </w:r>
      <w:r w:rsidR="00AD42C2">
        <w:rPr>
          <w:color w:val="000000" w:themeColor="text1"/>
        </w:rPr>
        <w:t>.</w:t>
      </w:r>
    </w:p>
    <w:p w14:paraId="532A528F" w14:textId="77777777" w:rsidR="005C2DA2" w:rsidRDefault="005C2DA2">
      <w:pPr>
        <w:spacing w:after="200" w:line="276" w:lineRule="auto"/>
        <w:rPr>
          <w:color w:val="000000" w:themeColor="text1"/>
        </w:rPr>
      </w:pPr>
      <w:r>
        <w:rPr>
          <w:color w:val="000000" w:themeColor="text1"/>
        </w:rPr>
        <w:br w:type="page"/>
      </w:r>
    </w:p>
    <w:tbl>
      <w:tblPr>
        <w:tblW w:w="0" w:type="auto"/>
        <w:tblCellMar>
          <w:left w:w="0" w:type="dxa"/>
          <w:right w:w="0" w:type="dxa"/>
        </w:tblCellMar>
        <w:tblLook w:val="04A0" w:firstRow="1" w:lastRow="0" w:firstColumn="1" w:lastColumn="0" w:noHBand="0" w:noVBand="1"/>
      </w:tblPr>
      <w:tblGrid>
        <w:gridCol w:w="1192"/>
        <w:gridCol w:w="3455"/>
        <w:gridCol w:w="2437"/>
        <w:gridCol w:w="2256"/>
      </w:tblGrid>
      <w:tr w:rsidR="00AD42C2" w14:paraId="74981C92" w14:textId="77777777" w:rsidTr="005C2DA2">
        <w:tc>
          <w:tcPr>
            <w:tcW w:w="934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9CFCB8" w14:textId="1DE2CD3A" w:rsidR="00AD42C2" w:rsidRDefault="00AD42C2" w:rsidP="00AD42C2">
            <w:pPr>
              <w:rPr>
                <w:sz w:val="22"/>
                <w:szCs w:val="22"/>
              </w:rPr>
            </w:pPr>
            <w:r>
              <w:lastRenderedPageBreak/>
              <w:t>Table 1. Sampling plan for Survey of State and Local Law Enforcement Agencies Serving Tribal Lands</w:t>
            </w:r>
          </w:p>
        </w:tc>
      </w:tr>
      <w:tr w:rsidR="00AD42C2" w14:paraId="6684E224" w14:textId="77777777" w:rsidTr="005C2DA2">
        <w:tc>
          <w:tcPr>
            <w:tcW w:w="1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D0574" w14:textId="77777777" w:rsidR="00AD42C2" w:rsidRDefault="00AD42C2">
            <w:r>
              <w:t> </w:t>
            </w:r>
          </w:p>
        </w:tc>
        <w:tc>
          <w:tcPr>
            <w:tcW w:w="3455" w:type="dxa"/>
            <w:tcBorders>
              <w:top w:val="nil"/>
              <w:left w:val="nil"/>
              <w:bottom w:val="single" w:sz="8" w:space="0" w:color="auto"/>
              <w:right w:val="single" w:sz="8" w:space="0" w:color="auto"/>
            </w:tcBorders>
            <w:tcMar>
              <w:top w:w="0" w:type="dxa"/>
              <w:left w:w="108" w:type="dxa"/>
              <w:bottom w:w="0" w:type="dxa"/>
              <w:right w:w="108" w:type="dxa"/>
            </w:tcMar>
            <w:hideMark/>
          </w:tcPr>
          <w:p w14:paraId="5F16E2B8" w14:textId="77777777" w:rsidR="00AD42C2" w:rsidRDefault="00AD42C2">
            <w:r>
              <w:rPr>
                <w:b/>
                <w:bCs/>
              </w:rPr>
              <w:t>Description</w:t>
            </w:r>
          </w:p>
        </w:tc>
        <w:tc>
          <w:tcPr>
            <w:tcW w:w="2437" w:type="dxa"/>
            <w:tcBorders>
              <w:top w:val="nil"/>
              <w:left w:val="nil"/>
              <w:bottom w:val="single" w:sz="8" w:space="0" w:color="auto"/>
              <w:right w:val="single" w:sz="8" w:space="0" w:color="auto"/>
            </w:tcBorders>
            <w:tcMar>
              <w:top w:w="0" w:type="dxa"/>
              <w:left w:w="108" w:type="dxa"/>
              <w:bottom w:w="0" w:type="dxa"/>
              <w:right w:w="108" w:type="dxa"/>
            </w:tcMar>
            <w:hideMark/>
          </w:tcPr>
          <w:p w14:paraId="0C0493CC" w14:textId="77777777" w:rsidR="00AD42C2" w:rsidRDefault="00AD42C2">
            <w:r>
              <w:rPr>
                <w:b/>
                <w:bCs/>
              </w:rPr>
              <w:t>Total number of law enforcement agencies</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14:paraId="26A6C29E" w14:textId="77777777" w:rsidR="00AD42C2" w:rsidRDefault="00AD42C2">
            <w:r>
              <w:rPr>
                <w:b/>
                <w:bCs/>
              </w:rPr>
              <w:t>Number of agencies needed for sample survey</w:t>
            </w:r>
          </w:p>
        </w:tc>
      </w:tr>
      <w:tr w:rsidR="00AD42C2" w14:paraId="6A16704D" w14:textId="77777777" w:rsidTr="005C2DA2">
        <w:tc>
          <w:tcPr>
            <w:tcW w:w="1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E46881" w14:textId="77777777" w:rsidR="00AD42C2" w:rsidRDefault="00AD42C2">
            <w:r>
              <w:t>Stratum 1</w:t>
            </w:r>
          </w:p>
        </w:tc>
        <w:tc>
          <w:tcPr>
            <w:tcW w:w="3455" w:type="dxa"/>
            <w:tcBorders>
              <w:top w:val="nil"/>
              <w:left w:val="nil"/>
              <w:bottom w:val="single" w:sz="8" w:space="0" w:color="auto"/>
              <w:right w:val="single" w:sz="8" w:space="0" w:color="auto"/>
            </w:tcBorders>
            <w:tcMar>
              <w:top w:w="0" w:type="dxa"/>
              <w:left w:w="108" w:type="dxa"/>
              <w:bottom w:w="0" w:type="dxa"/>
              <w:right w:w="108" w:type="dxa"/>
            </w:tcMar>
            <w:hideMark/>
          </w:tcPr>
          <w:p w14:paraId="5F89E624" w14:textId="77777777" w:rsidR="00AD42C2" w:rsidRDefault="00AD42C2">
            <w:r>
              <w:t>Census of all state police agencies</w:t>
            </w:r>
          </w:p>
        </w:tc>
        <w:tc>
          <w:tcPr>
            <w:tcW w:w="2437" w:type="dxa"/>
            <w:tcBorders>
              <w:top w:val="nil"/>
              <w:left w:val="nil"/>
              <w:bottom w:val="single" w:sz="8" w:space="0" w:color="auto"/>
              <w:right w:val="single" w:sz="8" w:space="0" w:color="auto"/>
            </w:tcBorders>
            <w:tcMar>
              <w:top w:w="0" w:type="dxa"/>
              <w:left w:w="108" w:type="dxa"/>
              <w:bottom w:w="0" w:type="dxa"/>
              <w:right w:w="108" w:type="dxa"/>
            </w:tcMar>
            <w:hideMark/>
          </w:tcPr>
          <w:p w14:paraId="484EE5A5" w14:textId="77777777" w:rsidR="00AD42C2" w:rsidRDefault="00AD42C2">
            <w:r>
              <w:t>16</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14:paraId="15CCBA5E" w14:textId="77777777" w:rsidR="00AD42C2" w:rsidRDefault="00AD42C2">
            <w:r>
              <w:t>n/a</w:t>
            </w:r>
          </w:p>
        </w:tc>
      </w:tr>
      <w:tr w:rsidR="00AD42C2" w14:paraId="629EEB46" w14:textId="77777777" w:rsidTr="005C2DA2">
        <w:tc>
          <w:tcPr>
            <w:tcW w:w="1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DF371A" w14:textId="79EBD860" w:rsidR="00AD42C2" w:rsidRDefault="00AD42C2">
            <w:r>
              <w:t>Stratum 2</w:t>
            </w:r>
          </w:p>
        </w:tc>
        <w:tc>
          <w:tcPr>
            <w:tcW w:w="3455" w:type="dxa"/>
            <w:tcBorders>
              <w:top w:val="nil"/>
              <w:left w:val="nil"/>
              <w:bottom w:val="single" w:sz="8" w:space="0" w:color="auto"/>
              <w:right w:val="single" w:sz="8" w:space="0" w:color="auto"/>
            </w:tcBorders>
            <w:tcMar>
              <w:top w:w="0" w:type="dxa"/>
              <w:left w:w="108" w:type="dxa"/>
              <w:bottom w:w="0" w:type="dxa"/>
              <w:right w:w="108" w:type="dxa"/>
            </w:tcMar>
            <w:hideMark/>
          </w:tcPr>
          <w:p w14:paraId="0351C753" w14:textId="77777777" w:rsidR="00AD42C2" w:rsidRDefault="00AD42C2">
            <w:r>
              <w:t>Census of all Alaska VPSO coordinating non-profits</w:t>
            </w:r>
          </w:p>
        </w:tc>
        <w:tc>
          <w:tcPr>
            <w:tcW w:w="2437" w:type="dxa"/>
            <w:tcBorders>
              <w:top w:val="nil"/>
              <w:left w:val="nil"/>
              <w:bottom w:val="single" w:sz="8" w:space="0" w:color="auto"/>
              <w:right w:val="single" w:sz="8" w:space="0" w:color="auto"/>
            </w:tcBorders>
            <w:tcMar>
              <w:top w:w="0" w:type="dxa"/>
              <w:left w:w="108" w:type="dxa"/>
              <w:bottom w:w="0" w:type="dxa"/>
              <w:right w:w="108" w:type="dxa"/>
            </w:tcMar>
            <w:hideMark/>
          </w:tcPr>
          <w:p w14:paraId="73587DC3" w14:textId="77777777" w:rsidR="00AD42C2" w:rsidRDefault="00AD42C2">
            <w:r>
              <w:t>10</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14:paraId="24DD8E0A" w14:textId="77777777" w:rsidR="00AD42C2" w:rsidRDefault="00AD42C2">
            <w:r>
              <w:t>n/a</w:t>
            </w:r>
          </w:p>
        </w:tc>
      </w:tr>
      <w:tr w:rsidR="00AD42C2" w14:paraId="093BE144" w14:textId="77777777" w:rsidTr="005C2DA2">
        <w:tc>
          <w:tcPr>
            <w:tcW w:w="1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4CDE0" w14:textId="019F0AF4" w:rsidR="00AD42C2" w:rsidRDefault="00AD42C2">
            <w:r>
              <w:t>Stratum 3</w:t>
            </w:r>
          </w:p>
        </w:tc>
        <w:tc>
          <w:tcPr>
            <w:tcW w:w="3455" w:type="dxa"/>
            <w:tcBorders>
              <w:top w:val="nil"/>
              <w:left w:val="nil"/>
              <w:bottom w:val="single" w:sz="8" w:space="0" w:color="auto"/>
              <w:right w:val="single" w:sz="8" w:space="0" w:color="auto"/>
            </w:tcBorders>
            <w:tcMar>
              <w:top w:w="0" w:type="dxa"/>
              <w:left w:w="108" w:type="dxa"/>
              <w:bottom w:w="0" w:type="dxa"/>
              <w:right w:w="108" w:type="dxa"/>
            </w:tcMar>
            <w:hideMark/>
          </w:tcPr>
          <w:p w14:paraId="044ABE01" w14:textId="77777777" w:rsidR="00AD42C2" w:rsidRDefault="00AD42C2">
            <w:r>
              <w:t>Census of all general purpose agencies located in counties that contain tribal lands</w:t>
            </w:r>
          </w:p>
        </w:tc>
        <w:tc>
          <w:tcPr>
            <w:tcW w:w="2437" w:type="dxa"/>
            <w:tcBorders>
              <w:top w:val="nil"/>
              <w:left w:val="nil"/>
              <w:bottom w:val="single" w:sz="8" w:space="0" w:color="auto"/>
              <w:right w:val="single" w:sz="8" w:space="0" w:color="auto"/>
            </w:tcBorders>
            <w:tcMar>
              <w:top w:w="0" w:type="dxa"/>
              <w:left w:w="108" w:type="dxa"/>
              <w:bottom w:w="0" w:type="dxa"/>
              <w:right w:w="108" w:type="dxa"/>
            </w:tcMar>
            <w:hideMark/>
          </w:tcPr>
          <w:p w14:paraId="4267E59C" w14:textId="4558AD13" w:rsidR="00AD42C2" w:rsidRDefault="00AD42C2">
            <w:r>
              <w:t>1</w:t>
            </w:r>
            <w:r w:rsidR="00290686">
              <w:t>,</w:t>
            </w:r>
            <w:r>
              <w:t>215</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14:paraId="26E062D2" w14:textId="77777777" w:rsidR="00AD42C2" w:rsidRDefault="00AD42C2">
            <w:r>
              <w:t>n/a</w:t>
            </w:r>
          </w:p>
        </w:tc>
      </w:tr>
      <w:tr w:rsidR="00AD42C2" w14:paraId="48BFE61F" w14:textId="77777777" w:rsidTr="005C2DA2">
        <w:tc>
          <w:tcPr>
            <w:tcW w:w="1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3DB269" w14:textId="715B8990" w:rsidR="00AD42C2" w:rsidRDefault="00AD42C2">
            <w:r>
              <w:t>Stratum 4</w:t>
            </w:r>
          </w:p>
        </w:tc>
        <w:tc>
          <w:tcPr>
            <w:tcW w:w="3455" w:type="dxa"/>
            <w:tcBorders>
              <w:top w:val="nil"/>
              <w:left w:val="nil"/>
              <w:bottom w:val="single" w:sz="8" w:space="0" w:color="auto"/>
              <w:right w:val="single" w:sz="8" w:space="0" w:color="auto"/>
            </w:tcBorders>
            <w:tcMar>
              <w:top w:w="0" w:type="dxa"/>
              <w:left w:w="108" w:type="dxa"/>
              <w:bottom w:w="0" w:type="dxa"/>
              <w:right w:w="108" w:type="dxa"/>
            </w:tcMar>
            <w:hideMark/>
          </w:tcPr>
          <w:p w14:paraId="2EF255A4" w14:textId="77777777" w:rsidR="00AD42C2" w:rsidRDefault="00AD42C2">
            <w:r>
              <w:t>Sample of general purpose agencies located in counties that do not contain tribal lands</w:t>
            </w:r>
          </w:p>
        </w:tc>
        <w:tc>
          <w:tcPr>
            <w:tcW w:w="2437" w:type="dxa"/>
            <w:tcBorders>
              <w:top w:val="nil"/>
              <w:left w:val="nil"/>
              <w:bottom w:val="single" w:sz="8" w:space="0" w:color="auto"/>
              <w:right w:val="single" w:sz="8" w:space="0" w:color="auto"/>
            </w:tcBorders>
            <w:tcMar>
              <w:top w:w="0" w:type="dxa"/>
              <w:left w:w="108" w:type="dxa"/>
              <w:bottom w:w="0" w:type="dxa"/>
              <w:right w:w="108" w:type="dxa"/>
            </w:tcMar>
            <w:hideMark/>
          </w:tcPr>
          <w:p w14:paraId="21CC32D9" w14:textId="75F48572" w:rsidR="00AD42C2" w:rsidRDefault="00AD42C2">
            <w:r>
              <w:t>2</w:t>
            </w:r>
            <w:r w:rsidR="00290686">
              <w:t>,</w:t>
            </w:r>
            <w:r>
              <w:t>151</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14:paraId="31C76023" w14:textId="47A8CC63" w:rsidR="00AD42C2" w:rsidRDefault="00290686">
            <w:r>
              <w:t>5</w:t>
            </w:r>
            <w:r w:rsidR="00AD42C2">
              <w:t>00</w:t>
            </w:r>
          </w:p>
        </w:tc>
      </w:tr>
    </w:tbl>
    <w:p w14:paraId="0065CF0E" w14:textId="77777777" w:rsidR="00AD42C2" w:rsidRPr="00D649AE" w:rsidRDefault="00AD42C2" w:rsidP="00E01E78"/>
    <w:p w14:paraId="32479FBE" w14:textId="77777777" w:rsidR="0046642D" w:rsidRDefault="0046642D" w:rsidP="00D649AE">
      <w:pPr>
        <w:pStyle w:val="SP-SglSpPara"/>
        <w:tabs>
          <w:tab w:val="clear" w:pos="576"/>
          <w:tab w:val="left" w:pos="720"/>
        </w:tabs>
        <w:spacing w:line="240" w:lineRule="auto"/>
        <w:ind w:firstLine="0"/>
        <w:jc w:val="left"/>
        <w:rPr>
          <w:sz w:val="24"/>
          <w:szCs w:val="24"/>
        </w:rPr>
      </w:pPr>
    </w:p>
    <w:p w14:paraId="3DB93364" w14:textId="115CB9EA" w:rsidR="009121A1" w:rsidRPr="00BB2622" w:rsidRDefault="009121A1" w:rsidP="00D649AE">
      <w:pPr>
        <w:pStyle w:val="ListParagraph"/>
        <w:numPr>
          <w:ilvl w:val="0"/>
          <w:numId w:val="5"/>
        </w:numPr>
        <w:ind w:left="360"/>
        <w:contextualSpacing w:val="0"/>
        <w:rPr>
          <w:b/>
        </w:rPr>
      </w:pPr>
      <w:r w:rsidRPr="00BB2622">
        <w:rPr>
          <w:b/>
        </w:rPr>
        <w:t>Procedures for Collection Information</w:t>
      </w:r>
    </w:p>
    <w:p w14:paraId="5E1591F9" w14:textId="77777777" w:rsidR="00B00F46" w:rsidRDefault="00B00F46" w:rsidP="00D649AE">
      <w:pPr>
        <w:pStyle w:val="ListParagraph"/>
        <w:ind w:left="360"/>
        <w:contextualSpacing w:val="0"/>
        <w:rPr>
          <w:b/>
          <w:u w:val="single"/>
        </w:rPr>
      </w:pPr>
    </w:p>
    <w:p w14:paraId="74877437" w14:textId="3025FB86" w:rsidR="00D20AAD" w:rsidRDefault="00411F6E"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Pr>
          <w:color w:val="000000" w:themeColor="text1"/>
        </w:rPr>
        <w:t xml:space="preserve">Data collection for the </w:t>
      </w:r>
      <w:r w:rsidR="00BA199B">
        <w:rPr>
          <w:color w:val="000000" w:themeColor="text1"/>
        </w:rPr>
        <w:t>SSLLEASTL</w:t>
      </w:r>
      <w:r>
        <w:rPr>
          <w:color w:val="000000" w:themeColor="text1"/>
        </w:rPr>
        <w:t xml:space="preserve"> will </w:t>
      </w:r>
      <w:r w:rsidR="00B80372" w:rsidRPr="00B80372">
        <w:rPr>
          <w:color w:val="000000" w:themeColor="text1"/>
        </w:rPr>
        <w:t xml:space="preserve">involve a series of mailings and non-response follow-up activities, emphasizing questionnaire completion via </w:t>
      </w:r>
      <w:r w:rsidR="005840BA">
        <w:rPr>
          <w:color w:val="000000" w:themeColor="text1"/>
        </w:rPr>
        <w:t>the electronic fillable PDF</w:t>
      </w:r>
      <w:r w:rsidR="00BC79BC">
        <w:rPr>
          <w:color w:val="000000" w:themeColor="text1"/>
        </w:rPr>
        <w:t xml:space="preserve"> version of the survey.</w:t>
      </w:r>
      <w:r w:rsidR="00B80372" w:rsidRPr="00B80372">
        <w:rPr>
          <w:color w:val="000000" w:themeColor="text1"/>
        </w:rPr>
        <w:t xml:space="preserve"> </w:t>
      </w:r>
    </w:p>
    <w:p w14:paraId="4130901B" w14:textId="77777777" w:rsidR="00411F6E" w:rsidRPr="00411F6E" w:rsidRDefault="00411F6E"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p>
    <w:p w14:paraId="225542FC" w14:textId="4120FBD9" w:rsidR="00D20AAD" w:rsidRPr="003B6157" w:rsidRDefault="00D20AAD"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themeColor="text1"/>
        </w:rPr>
      </w:pPr>
      <w:r w:rsidRPr="003B6157">
        <w:rPr>
          <w:i/>
          <w:color w:val="000000" w:themeColor="text1"/>
        </w:rPr>
        <w:t>Week One</w:t>
      </w:r>
    </w:p>
    <w:p w14:paraId="209424E5" w14:textId="095E9631" w:rsidR="00CB7146" w:rsidRDefault="00B80372"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sidRPr="00B80372">
        <w:rPr>
          <w:color w:val="000000" w:themeColor="text1"/>
        </w:rPr>
        <w:t xml:space="preserve">In the first week of data collection, </w:t>
      </w:r>
      <w:r w:rsidR="00A96ACB">
        <w:rPr>
          <w:color w:val="000000" w:themeColor="text1"/>
        </w:rPr>
        <w:t>the</w:t>
      </w:r>
      <w:r w:rsidR="00A96ACB" w:rsidRPr="00B80372">
        <w:rPr>
          <w:color w:val="000000" w:themeColor="text1"/>
        </w:rPr>
        <w:t xml:space="preserve"> </w:t>
      </w:r>
      <w:r w:rsidR="00290686">
        <w:rPr>
          <w:color w:val="000000" w:themeColor="text1"/>
        </w:rPr>
        <w:t>1,741</w:t>
      </w:r>
      <w:r w:rsidR="009052A4">
        <w:rPr>
          <w:color w:val="000000" w:themeColor="text1"/>
        </w:rPr>
        <w:t xml:space="preserve"> </w:t>
      </w:r>
      <w:r w:rsidR="00012535">
        <w:rPr>
          <w:color w:val="000000" w:themeColor="text1"/>
        </w:rPr>
        <w:t>agencies</w:t>
      </w:r>
      <w:r w:rsidRPr="00B80372">
        <w:rPr>
          <w:color w:val="000000" w:themeColor="text1"/>
        </w:rPr>
        <w:t xml:space="preserve"> will be mailed </w:t>
      </w:r>
      <w:r w:rsidR="00CD64E2">
        <w:rPr>
          <w:color w:val="000000" w:themeColor="text1"/>
        </w:rPr>
        <w:t>a pre-notification letter</w:t>
      </w:r>
      <w:r w:rsidR="00D11641">
        <w:rPr>
          <w:color w:val="000000" w:themeColor="text1"/>
        </w:rPr>
        <w:t xml:space="preserve"> on BJS letterhead and signed by the BJS </w:t>
      </w:r>
      <w:r w:rsidR="006F2769">
        <w:rPr>
          <w:color w:val="000000" w:themeColor="text1"/>
        </w:rPr>
        <w:t xml:space="preserve">Acting </w:t>
      </w:r>
      <w:r w:rsidR="00D11641">
        <w:rPr>
          <w:color w:val="000000" w:themeColor="text1"/>
        </w:rPr>
        <w:t>Director</w:t>
      </w:r>
      <w:r w:rsidR="00CD64E2">
        <w:rPr>
          <w:color w:val="000000" w:themeColor="text1"/>
        </w:rPr>
        <w:t xml:space="preserve"> (see A</w:t>
      </w:r>
      <w:r w:rsidRPr="00B80372">
        <w:rPr>
          <w:color w:val="000000" w:themeColor="text1"/>
        </w:rPr>
        <w:t xml:space="preserve">ttachment </w:t>
      </w:r>
      <w:r w:rsidR="009052A4">
        <w:rPr>
          <w:color w:val="000000" w:themeColor="text1"/>
        </w:rPr>
        <w:t>1</w:t>
      </w:r>
      <w:r w:rsidRPr="00B80372">
        <w:rPr>
          <w:color w:val="000000" w:themeColor="text1"/>
        </w:rPr>
        <w:t xml:space="preserve">) announcing the start of the </w:t>
      </w:r>
      <w:r w:rsidR="00BA199B">
        <w:rPr>
          <w:color w:val="000000" w:themeColor="text1"/>
        </w:rPr>
        <w:t>SSLLEASTL</w:t>
      </w:r>
      <w:r w:rsidR="00CB7146" w:rsidRPr="00AA0C91">
        <w:rPr>
          <w:color w:val="000000" w:themeColor="text1"/>
        </w:rPr>
        <w:t xml:space="preserve"> </w:t>
      </w:r>
      <w:r w:rsidRPr="00B80372">
        <w:rPr>
          <w:color w:val="000000" w:themeColor="text1"/>
        </w:rPr>
        <w:t>data collection and requesting that the agency begin gathering the necessary data to respond. This letter wi</w:t>
      </w:r>
      <w:r>
        <w:rPr>
          <w:color w:val="000000" w:themeColor="text1"/>
        </w:rPr>
        <w:t xml:space="preserve">ll </w:t>
      </w:r>
      <w:r w:rsidR="00F826AD">
        <w:rPr>
          <w:color w:val="000000" w:themeColor="text1"/>
        </w:rPr>
        <w:t>discuss the dearth of information about services provided by state and local law enforcement agencies on tribal lands, the purpose of the data collection, the type of information to be collected</w:t>
      </w:r>
      <w:r w:rsidR="00BE2042">
        <w:rPr>
          <w:color w:val="000000" w:themeColor="text1"/>
        </w:rPr>
        <w:t>, the benefits to the agency in providing these data</w:t>
      </w:r>
      <w:r w:rsidR="00F826AD">
        <w:rPr>
          <w:color w:val="000000" w:themeColor="text1"/>
        </w:rPr>
        <w:t xml:space="preserve"> and </w:t>
      </w:r>
      <w:r w:rsidR="00BE2042">
        <w:rPr>
          <w:color w:val="000000" w:themeColor="text1"/>
        </w:rPr>
        <w:t xml:space="preserve">the </w:t>
      </w:r>
      <w:r w:rsidR="00F826AD">
        <w:rPr>
          <w:color w:val="000000" w:themeColor="text1"/>
        </w:rPr>
        <w:t>project partners</w:t>
      </w:r>
      <w:r w:rsidRPr="00B80372">
        <w:rPr>
          <w:color w:val="000000" w:themeColor="text1"/>
        </w:rPr>
        <w:t xml:space="preserve">. </w:t>
      </w:r>
      <w:r w:rsidR="00F826AD">
        <w:rPr>
          <w:color w:val="000000" w:themeColor="text1"/>
        </w:rPr>
        <w:t xml:space="preserve">A letter of support from the International Association of Chiefs of Police (IACP) (Attachment </w:t>
      </w:r>
      <w:r w:rsidR="009052A4">
        <w:rPr>
          <w:color w:val="000000" w:themeColor="text1"/>
        </w:rPr>
        <w:t>2</w:t>
      </w:r>
      <w:r w:rsidR="00F826AD">
        <w:rPr>
          <w:color w:val="000000" w:themeColor="text1"/>
        </w:rPr>
        <w:t>) or the National Sheriff’s</w:t>
      </w:r>
      <w:r w:rsidR="00411F6E">
        <w:rPr>
          <w:color w:val="000000" w:themeColor="text1"/>
        </w:rPr>
        <w:t xml:space="preserve"> Association (NSA) (Attachment </w:t>
      </w:r>
      <w:r w:rsidR="009052A4">
        <w:rPr>
          <w:color w:val="000000" w:themeColor="text1"/>
        </w:rPr>
        <w:t>3</w:t>
      </w:r>
      <w:r w:rsidR="00F826AD">
        <w:rPr>
          <w:color w:val="000000" w:themeColor="text1"/>
        </w:rPr>
        <w:t>)</w:t>
      </w:r>
      <w:r w:rsidR="00F826AD" w:rsidRPr="00B80372">
        <w:rPr>
          <w:color w:val="000000" w:themeColor="text1"/>
        </w:rPr>
        <w:t xml:space="preserve"> </w:t>
      </w:r>
      <w:r w:rsidR="00F826AD">
        <w:rPr>
          <w:color w:val="000000" w:themeColor="text1"/>
        </w:rPr>
        <w:t xml:space="preserve">will be included with the pre-notification letter. The NSA letter of support will be included in the packets sent to sheriff’s offices, with the IACP letter of support included in the packets for all </w:t>
      </w:r>
      <w:r w:rsidR="009052A4">
        <w:rPr>
          <w:color w:val="000000" w:themeColor="text1"/>
        </w:rPr>
        <w:t>remaining general purpose</w:t>
      </w:r>
      <w:r w:rsidR="00F826AD">
        <w:rPr>
          <w:color w:val="000000" w:themeColor="text1"/>
        </w:rPr>
        <w:t xml:space="preserve"> law enforcement agencies</w:t>
      </w:r>
      <w:r w:rsidR="009052A4">
        <w:rPr>
          <w:color w:val="000000" w:themeColor="text1"/>
        </w:rPr>
        <w:t>, including the VPSO nonprofit corporations</w:t>
      </w:r>
      <w:r w:rsidR="00F826AD">
        <w:rPr>
          <w:color w:val="000000" w:themeColor="text1"/>
        </w:rPr>
        <w:t>. The</w:t>
      </w:r>
      <w:r w:rsidR="00D11641">
        <w:rPr>
          <w:color w:val="000000" w:themeColor="text1"/>
        </w:rPr>
        <w:t xml:space="preserve"> pre-notification letter will include the </w:t>
      </w:r>
      <w:r w:rsidR="00BA199B">
        <w:rPr>
          <w:color w:val="000000" w:themeColor="text1"/>
        </w:rPr>
        <w:t>SSLLEASTL</w:t>
      </w:r>
      <w:r w:rsidR="00D11641">
        <w:rPr>
          <w:color w:val="000000" w:themeColor="text1"/>
        </w:rPr>
        <w:t xml:space="preserve"> toll-free number and e-mail address so the agencies may contact the data collection agent</w:t>
      </w:r>
      <w:r w:rsidR="00A52DF7">
        <w:rPr>
          <w:color w:val="000000" w:themeColor="text1"/>
        </w:rPr>
        <w:t xml:space="preserve"> with any questions</w:t>
      </w:r>
      <w:r w:rsidR="00D11641">
        <w:rPr>
          <w:color w:val="000000" w:themeColor="text1"/>
        </w:rPr>
        <w:t xml:space="preserve">. </w:t>
      </w:r>
    </w:p>
    <w:p w14:paraId="4E64A838" w14:textId="77777777" w:rsidR="00510DD2" w:rsidRDefault="00510DD2"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color w:val="000000" w:themeColor="text1"/>
        </w:rPr>
      </w:pPr>
    </w:p>
    <w:p w14:paraId="65C56BB7" w14:textId="0CB49D49" w:rsidR="00510DD2" w:rsidRDefault="00510DD2"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Pr>
          <w:color w:val="000000" w:themeColor="text1"/>
        </w:rPr>
        <w:t xml:space="preserve">During the initial phases of data collection, project staff will monitor and respond to e-mails and telephone calls to the project toll-free number and e-mail. When prompting calls begin, the telephone prompters will monitor the project toll-free number. Project staff will </w:t>
      </w:r>
      <w:r w:rsidR="00D125DE">
        <w:rPr>
          <w:color w:val="000000" w:themeColor="text1"/>
        </w:rPr>
        <w:t xml:space="preserve">also </w:t>
      </w:r>
      <w:r>
        <w:rPr>
          <w:color w:val="000000" w:themeColor="text1"/>
        </w:rPr>
        <w:t>continue to monitor and respond to e-mails. All contacts via e-mail and telephone will be documented and reviewed to assess persistent issues that may occur. Any issues will be addressed</w:t>
      </w:r>
      <w:r w:rsidR="00D649AE">
        <w:rPr>
          <w:color w:val="000000" w:themeColor="text1"/>
        </w:rPr>
        <w:t xml:space="preserve"> </w:t>
      </w:r>
      <w:r>
        <w:rPr>
          <w:color w:val="000000" w:themeColor="text1"/>
        </w:rPr>
        <w:t xml:space="preserve">as needed. </w:t>
      </w:r>
    </w:p>
    <w:p w14:paraId="72BF2E32" w14:textId="77777777" w:rsidR="00510DD2" w:rsidRDefault="00510DD2"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color w:val="000000" w:themeColor="text1"/>
        </w:rPr>
      </w:pPr>
    </w:p>
    <w:p w14:paraId="4E06AB22" w14:textId="0A7755BA" w:rsidR="00510DD2" w:rsidRDefault="00510DD2"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Pr>
          <w:color w:val="000000" w:themeColor="text1"/>
        </w:rPr>
        <w:t xml:space="preserve">Staff monitoring the project toll-free number and e-mail will be trained on the purpose and background of the project, eligibility of law enforcement offices, screening questions and the </w:t>
      </w:r>
      <w:r>
        <w:rPr>
          <w:color w:val="000000" w:themeColor="text1"/>
        </w:rPr>
        <w:lastRenderedPageBreak/>
        <w:t xml:space="preserve">survey questions. </w:t>
      </w:r>
    </w:p>
    <w:p w14:paraId="44978B37" w14:textId="77777777" w:rsidR="00CB7146" w:rsidRDefault="00CB7146"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color w:val="000000" w:themeColor="text1"/>
        </w:rPr>
      </w:pPr>
    </w:p>
    <w:p w14:paraId="2D0B9706" w14:textId="3A463B22" w:rsidR="00D20AAD" w:rsidRPr="003B6157" w:rsidRDefault="00D20AAD"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themeColor="text1"/>
        </w:rPr>
      </w:pPr>
      <w:r w:rsidRPr="003B6157">
        <w:rPr>
          <w:i/>
          <w:color w:val="000000" w:themeColor="text1"/>
        </w:rPr>
        <w:t>Week Two</w:t>
      </w:r>
      <w:r w:rsidR="00411F6E">
        <w:rPr>
          <w:i/>
          <w:color w:val="000000" w:themeColor="text1"/>
        </w:rPr>
        <w:t xml:space="preserve"> </w:t>
      </w:r>
    </w:p>
    <w:p w14:paraId="3FC3F479" w14:textId="1BB2C9B7" w:rsidR="00CB7146" w:rsidRDefault="00D20AAD"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Pr>
          <w:color w:val="000000" w:themeColor="text1"/>
        </w:rPr>
        <w:t>A</w:t>
      </w:r>
      <w:r w:rsidR="00F826AD">
        <w:rPr>
          <w:color w:val="000000" w:themeColor="text1"/>
        </w:rPr>
        <w:t>pproximately one week after the pre-notification letter mailing, a</w:t>
      </w:r>
      <w:r w:rsidR="00B80372" w:rsidRPr="00B80372">
        <w:rPr>
          <w:color w:val="000000" w:themeColor="text1"/>
        </w:rPr>
        <w:t xml:space="preserve"> </w:t>
      </w:r>
      <w:r w:rsidR="00CB7146">
        <w:rPr>
          <w:color w:val="000000" w:themeColor="text1"/>
        </w:rPr>
        <w:t>hardcopy survey packet</w:t>
      </w:r>
      <w:r w:rsidR="00B80372" w:rsidRPr="00B80372">
        <w:rPr>
          <w:color w:val="000000" w:themeColor="text1"/>
        </w:rPr>
        <w:t xml:space="preserve"> will be sent to all </w:t>
      </w:r>
      <w:r w:rsidR="00CB7146">
        <w:rPr>
          <w:color w:val="000000" w:themeColor="text1"/>
        </w:rPr>
        <w:t>agencies. This packet</w:t>
      </w:r>
      <w:r w:rsidR="00B80372" w:rsidRPr="00B80372">
        <w:rPr>
          <w:color w:val="000000" w:themeColor="text1"/>
        </w:rPr>
        <w:t xml:space="preserve"> will include a</w:t>
      </w:r>
      <w:r w:rsidR="00CD64E2">
        <w:rPr>
          <w:color w:val="000000" w:themeColor="text1"/>
        </w:rPr>
        <w:t xml:space="preserve"> cover letter </w:t>
      </w:r>
      <w:r w:rsidR="00D11641">
        <w:rPr>
          <w:color w:val="000000" w:themeColor="text1"/>
        </w:rPr>
        <w:t xml:space="preserve">on </w:t>
      </w:r>
      <w:r w:rsidR="0094721E">
        <w:rPr>
          <w:color w:val="000000" w:themeColor="text1"/>
        </w:rPr>
        <w:t>the data collection agent’s</w:t>
      </w:r>
      <w:r w:rsidR="00D11641">
        <w:rPr>
          <w:color w:val="000000" w:themeColor="text1"/>
        </w:rPr>
        <w:t xml:space="preserve"> letterhead and signed by the </w:t>
      </w:r>
      <w:r w:rsidR="0094721E">
        <w:rPr>
          <w:color w:val="000000" w:themeColor="text1"/>
        </w:rPr>
        <w:t>data collection agent’s Project Director</w:t>
      </w:r>
      <w:r w:rsidR="00D11641">
        <w:rPr>
          <w:color w:val="000000" w:themeColor="text1"/>
        </w:rPr>
        <w:t xml:space="preserve"> </w:t>
      </w:r>
      <w:r w:rsidR="00CD64E2">
        <w:rPr>
          <w:color w:val="000000" w:themeColor="text1"/>
        </w:rPr>
        <w:t>(A</w:t>
      </w:r>
      <w:r w:rsidR="00324CA9">
        <w:rPr>
          <w:color w:val="000000" w:themeColor="text1"/>
        </w:rPr>
        <w:t xml:space="preserve">ttachment </w:t>
      </w:r>
      <w:r w:rsidR="009052A4">
        <w:rPr>
          <w:color w:val="000000" w:themeColor="text1"/>
        </w:rPr>
        <w:t>4</w:t>
      </w:r>
      <w:r w:rsidR="00324CA9">
        <w:rPr>
          <w:color w:val="000000" w:themeColor="text1"/>
        </w:rPr>
        <w:t>)</w:t>
      </w:r>
      <w:r w:rsidR="00E93450">
        <w:rPr>
          <w:color w:val="000000" w:themeColor="text1"/>
        </w:rPr>
        <w:t>, a</w:t>
      </w:r>
      <w:r w:rsidR="00B80372" w:rsidRPr="00B80372">
        <w:rPr>
          <w:color w:val="000000" w:themeColor="text1"/>
        </w:rPr>
        <w:t xml:space="preserve"> hardcopy of the </w:t>
      </w:r>
      <w:r w:rsidR="00BA199B">
        <w:rPr>
          <w:color w:val="000000" w:themeColor="text1"/>
        </w:rPr>
        <w:t>SSLLEASTL</w:t>
      </w:r>
      <w:r w:rsidR="00012535" w:rsidRPr="00B80372">
        <w:rPr>
          <w:color w:val="000000" w:themeColor="text1"/>
        </w:rPr>
        <w:t xml:space="preserve"> </w:t>
      </w:r>
      <w:r w:rsidR="00B80372" w:rsidRPr="00B80372">
        <w:rPr>
          <w:color w:val="000000" w:themeColor="text1"/>
        </w:rPr>
        <w:t xml:space="preserve">questionnaire (see </w:t>
      </w:r>
      <w:r w:rsidR="00CD64E2">
        <w:rPr>
          <w:color w:val="000000" w:themeColor="text1"/>
        </w:rPr>
        <w:t>A</w:t>
      </w:r>
      <w:r w:rsidR="00CB7146">
        <w:rPr>
          <w:color w:val="000000" w:themeColor="text1"/>
        </w:rPr>
        <w:t>ttachment</w:t>
      </w:r>
      <w:r w:rsidR="009052A4">
        <w:rPr>
          <w:color w:val="000000" w:themeColor="text1"/>
        </w:rPr>
        <w:t>s</w:t>
      </w:r>
      <w:r w:rsidR="00CB7146">
        <w:rPr>
          <w:color w:val="000000" w:themeColor="text1"/>
        </w:rPr>
        <w:t xml:space="preserve"> </w:t>
      </w:r>
      <w:r w:rsidR="009052A4">
        <w:rPr>
          <w:color w:val="000000" w:themeColor="text1"/>
        </w:rPr>
        <w:t>5 and 6</w:t>
      </w:r>
      <w:r w:rsidR="00B80372" w:rsidRPr="00B80372">
        <w:rPr>
          <w:color w:val="000000" w:themeColor="text1"/>
        </w:rPr>
        <w:t>)</w:t>
      </w:r>
      <w:r w:rsidR="00324CA9">
        <w:rPr>
          <w:color w:val="000000" w:themeColor="text1"/>
        </w:rPr>
        <w:t xml:space="preserve">, </w:t>
      </w:r>
      <w:r w:rsidR="00B80372" w:rsidRPr="00B80372">
        <w:rPr>
          <w:color w:val="000000" w:themeColor="text1"/>
        </w:rPr>
        <w:t xml:space="preserve">and a pre-paid business-reply envelope (BRE). </w:t>
      </w:r>
      <w:r w:rsidR="00CB7146">
        <w:rPr>
          <w:color w:val="000000" w:themeColor="text1"/>
        </w:rPr>
        <w:t>Agencies</w:t>
      </w:r>
      <w:r w:rsidR="00B80372" w:rsidRPr="00B80372">
        <w:rPr>
          <w:color w:val="000000" w:themeColor="text1"/>
        </w:rPr>
        <w:t xml:space="preserve"> will have the option of completing and returning the hardcopy survey or the</w:t>
      </w:r>
      <w:r w:rsidR="00CC17D8">
        <w:rPr>
          <w:color w:val="000000" w:themeColor="text1"/>
        </w:rPr>
        <w:t xml:space="preserve"> fillable</w:t>
      </w:r>
      <w:r w:rsidR="00B80372" w:rsidRPr="00B80372">
        <w:rPr>
          <w:color w:val="000000" w:themeColor="text1"/>
        </w:rPr>
        <w:t xml:space="preserve"> </w:t>
      </w:r>
      <w:r w:rsidR="005840BA">
        <w:rPr>
          <w:color w:val="000000" w:themeColor="text1"/>
        </w:rPr>
        <w:t>PDF</w:t>
      </w:r>
      <w:r w:rsidR="005840BA" w:rsidRPr="00B80372">
        <w:rPr>
          <w:color w:val="000000" w:themeColor="text1"/>
        </w:rPr>
        <w:t xml:space="preserve"> </w:t>
      </w:r>
      <w:r w:rsidR="00B80372" w:rsidRPr="00B80372">
        <w:rPr>
          <w:color w:val="000000" w:themeColor="text1"/>
        </w:rPr>
        <w:t xml:space="preserve">survey. The </w:t>
      </w:r>
      <w:r w:rsidR="00CB7146">
        <w:rPr>
          <w:color w:val="000000" w:themeColor="text1"/>
        </w:rPr>
        <w:t xml:space="preserve">cover </w:t>
      </w:r>
      <w:r w:rsidR="00B80372" w:rsidRPr="00B80372">
        <w:rPr>
          <w:color w:val="000000" w:themeColor="text1"/>
        </w:rPr>
        <w:t xml:space="preserve">letter will include instructions for accessing </w:t>
      </w:r>
      <w:r w:rsidR="00CC17D8">
        <w:rPr>
          <w:color w:val="000000" w:themeColor="text1"/>
        </w:rPr>
        <w:t xml:space="preserve">and downloading </w:t>
      </w:r>
      <w:r w:rsidR="00B80372" w:rsidRPr="00B80372">
        <w:rPr>
          <w:color w:val="000000" w:themeColor="text1"/>
        </w:rPr>
        <w:t xml:space="preserve">the </w:t>
      </w:r>
      <w:r w:rsidR="00CC17D8">
        <w:rPr>
          <w:color w:val="000000" w:themeColor="text1"/>
        </w:rPr>
        <w:t xml:space="preserve">fillable </w:t>
      </w:r>
      <w:r w:rsidR="005840BA">
        <w:rPr>
          <w:color w:val="000000" w:themeColor="text1"/>
        </w:rPr>
        <w:t>PDF</w:t>
      </w:r>
      <w:r w:rsidR="005840BA" w:rsidRPr="00B80372">
        <w:rPr>
          <w:color w:val="000000" w:themeColor="text1"/>
        </w:rPr>
        <w:t xml:space="preserve"> </w:t>
      </w:r>
      <w:r w:rsidR="00CC17D8">
        <w:rPr>
          <w:color w:val="000000" w:themeColor="text1"/>
        </w:rPr>
        <w:t>survey</w:t>
      </w:r>
      <w:r w:rsidR="00CC17D8" w:rsidRPr="00B80372">
        <w:rPr>
          <w:color w:val="000000" w:themeColor="text1"/>
        </w:rPr>
        <w:t xml:space="preserve"> </w:t>
      </w:r>
      <w:r w:rsidR="00B80372" w:rsidRPr="00B80372">
        <w:rPr>
          <w:color w:val="000000" w:themeColor="text1"/>
        </w:rPr>
        <w:t xml:space="preserve">and the agency’s unique PIN. </w:t>
      </w:r>
      <w:r w:rsidR="00CB7146">
        <w:rPr>
          <w:color w:val="000000" w:themeColor="text1"/>
        </w:rPr>
        <w:t xml:space="preserve">All materials will have telephone and e-mail contact information for the data collection agent. </w:t>
      </w:r>
    </w:p>
    <w:p w14:paraId="4396A15D" w14:textId="2FA174E2" w:rsidR="008127EB" w:rsidRPr="008127EB" w:rsidRDefault="008127EB"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p>
    <w:p w14:paraId="757266A1" w14:textId="5C7C7CDC" w:rsidR="00000647" w:rsidRPr="003B6157" w:rsidRDefault="00000647"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themeColor="text1"/>
        </w:rPr>
      </w:pPr>
      <w:r w:rsidRPr="003B6157">
        <w:rPr>
          <w:i/>
          <w:color w:val="000000" w:themeColor="text1"/>
        </w:rPr>
        <w:t xml:space="preserve">Week </w:t>
      </w:r>
      <w:r w:rsidR="00932D4E">
        <w:rPr>
          <w:i/>
          <w:color w:val="000000" w:themeColor="text1"/>
        </w:rPr>
        <w:t>Six</w:t>
      </w:r>
      <w:r w:rsidR="009052A4">
        <w:rPr>
          <w:i/>
          <w:color w:val="000000" w:themeColor="text1"/>
        </w:rPr>
        <w:t xml:space="preserve"> </w:t>
      </w:r>
    </w:p>
    <w:p w14:paraId="41F46102" w14:textId="2373ED8C" w:rsidR="00B80372" w:rsidRDefault="00B80372"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sidRPr="00B80372">
        <w:rPr>
          <w:color w:val="000000" w:themeColor="text1"/>
        </w:rPr>
        <w:t xml:space="preserve">Approximately one month after the survey </w:t>
      </w:r>
      <w:r w:rsidR="00D746AB">
        <w:rPr>
          <w:color w:val="000000" w:themeColor="text1"/>
        </w:rPr>
        <w:t>mailing</w:t>
      </w:r>
      <w:r w:rsidRPr="00B80372">
        <w:rPr>
          <w:color w:val="000000" w:themeColor="text1"/>
        </w:rPr>
        <w:t xml:space="preserve">, </w:t>
      </w:r>
      <w:r w:rsidR="00012535">
        <w:rPr>
          <w:color w:val="000000" w:themeColor="text1"/>
        </w:rPr>
        <w:t>the data collection agent</w:t>
      </w:r>
      <w:r w:rsidRPr="00B80372">
        <w:rPr>
          <w:color w:val="000000" w:themeColor="text1"/>
        </w:rPr>
        <w:t xml:space="preserve"> wil</w:t>
      </w:r>
      <w:r w:rsidR="00CD64E2">
        <w:rPr>
          <w:color w:val="000000" w:themeColor="text1"/>
        </w:rPr>
        <w:t>l send a reminder postcard (see A</w:t>
      </w:r>
      <w:r w:rsidRPr="00B80372">
        <w:rPr>
          <w:color w:val="000000" w:themeColor="text1"/>
        </w:rPr>
        <w:t xml:space="preserve">ttachment </w:t>
      </w:r>
      <w:r w:rsidR="009052A4">
        <w:rPr>
          <w:color w:val="000000" w:themeColor="text1"/>
        </w:rPr>
        <w:t>7</w:t>
      </w:r>
      <w:r w:rsidRPr="00B80372">
        <w:rPr>
          <w:color w:val="000000" w:themeColor="text1"/>
        </w:rPr>
        <w:t>) to all non</w:t>
      </w:r>
      <w:r w:rsidR="00D746AB">
        <w:rPr>
          <w:color w:val="000000" w:themeColor="text1"/>
        </w:rPr>
        <w:t>-responding agencies</w:t>
      </w:r>
      <w:r w:rsidRPr="00B80372">
        <w:rPr>
          <w:color w:val="000000" w:themeColor="text1"/>
        </w:rPr>
        <w:t>. This postcard will continue to encourage non-</w:t>
      </w:r>
      <w:r w:rsidR="00D746AB">
        <w:rPr>
          <w:color w:val="000000" w:themeColor="text1"/>
        </w:rPr>
        <w:t>responding agencies</w:t>
      </w:r>
      <w:r w:rsidRPr="00B80372">
        <w:rPr>
          <w:color w:val="000000" w:themeColor="text1"/>
        </w:rPr>
        <w:t xml:space="preserve"> to comple</w:t>
      </w:r>
      <w:r w:rsidR="00D746AB">
        <w:rPr>
          <w:color w:val="000000" w:themeColor="text1"/>
        </w:rPr>
        <w:t>te the questionnaire as soon as possible</w:t>
      </w:r>
      <w:r w:rsidRPr="00B80372">
        <w:rPr>
          <w:color w:val="000000" w:themeColor="text1"/>
        </w:rPr>
        <w:t xml:space="preserve">. It will contain the </w:t>
      </w:r>
      <w:r w:rsidR="00BA199B">
        <w:rPr>
          <w:color w:val="000000" w:themeColor="text1"/>
        </w:rPr>
        <w:t>SSLLEASTL</w:t>
      </w:r>
      <w:r w:rsidR="00D746AB" w:rsidRPr="00B80372">
        <w:rPr>
          <w:color w:val="000000" w:themeColor="text1"/>
        </w:rPr>
        <w:t xml:space="preserve"> </w:t>
      </w:r>
      <w:r w:rsidRPr="00B80372">
        <w:rPr>
          <w:color w:val="000000" w:themeColor="text1"/>
        </w:rPr>
        <w:t xml:space="preserve">toll-free number and e-mail address so that respondents </w:t>
      </w:r>
      <w:r w:rsidR="00D746AB">
        <w:rPr>
          <w:color w:val="000000" w:themeColor="text1"/>
        </w:rPr>
        <w:t>may</w:t>
      </w:r>
      <w:r w:rsidRPr="00B80372">
        <w:rPr>
          <w:color w:val="000000" w:themeColor="text1"/>
        </w:rPr>
        <w:t xml:space="preserve"> contact </w:t>
      </w:r>
      <w:r w:rsidR="00D746AB">
        <w:rPr>
          <w:color w:val="000000" w:themeColor="text1"/>
        </w:rPr>
        <w:t>the data collection agent</w:t>
      </w:r>
      <w:r w:rsidRPr="00B80372">
        <w:rPr>
          <w:color w:val="000000" w:themeColor="text1"/>
        </w:rPr>
        <w:t xml:space="preserve"> with questions or if they need assistance.</w:t>
      </w:r>
    </w:p>
    <w:p w14:paraId="027EA954" w14:textId="77777777" w:rsidR="008127EB" w:rsidRDefault="008127EB"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p>
    <w:p w14:paraId="412928A5" w14:textId="77FC5D55" w:rsidR="00000647" w:rsidRPr="003B6157" w:rsidRDefault="003B6157"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themeColor="text1"/>
        </w:rPr>
      </w:pPr>
      <w:r w:rsidRPr="003B6157">
        <w:rPr>
          <w:i/>
          <w:color w:val="000000" w:themeColor="text1"/>
        </w:rPr>
        <w:t xml:space="preserve">Week </w:t>
      </w:r>
      <w:r w:rsidR="00932D4E">
        <w:rPr>
          <w:i/>
          <w:color w:val="000000" w:themeColor="text1"/>
        </w:rPr>
        <w:t>Eight</w:t>
      </w:r>
      <w:r w:rsidR="008127EB">
        <w:rPr>
          <w:i/>
          <w:color w:val="000000" w:themeColor="text1"/>
        </w:rPr>
        <w:t xml:space="preserve"> </w:t>
      </w:r>
    </w:p>
    <w:p w14:paraId="710CFB5D" w14:textId="274064B9" w:rsidR="00D746AB" w:rsidRPr="00B80372" w:rsidRDefault="00D746AB"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Pr>
          <w:color w:val="000000" w:themeColor="text1"/>
        </w:rPr>
        <w:t>The data collection agent</w:t>
      </w:r>
      <w:r w:rsidRPr="00B80372">
        <w:rPr>
          <w:color w:val="000000" w:themeColor="text1"/>
        </w:rPr>
        <w:t xml:space="preserve"> will begi</w:t>
      </w:r>
      <w:r>
        <w:rPr>
          <w:color w:val="000000" w:themeColor="text1"/>
        </w:rPr>
        <w:t xml:space="preserve">n </w:t>
      </w:r>
      <w:r w:rsidR="00A96ACB">
        <w:rPr>
          <w:color w:val="000000" w:themeColor="text1"/>
        </w:rPr>
        <w:t xml:space="preserve">calling </w:t>
      </w:r>
      <w:r>
        <w:rPr>
          <w:color w:val="000000" w:themeColor="text1"/>
        </w:rPr>
        <w:t xml:space="preserve">non-responding agencies </w:t>
      </w:r>
      <w:r w:rsidR="008127EB">
        <w:rPr>
          <w:color w:val="000000" w:themeColor="text1"/>
        </w:rPr>
        <w:t xml:space="preserve">approximately </w:t>
      </w:r>
      <w:r w:rsidR="00B22C74">
        <w:rPr>
          <w:color w:val="000000" w:themeColor="text1"/>
        </w:rPr>
        <w:t>two</w:t>
      </w:r>
      <w:r w:rsidRPr="00B80372">
        <w:rPr>
          <w:color w:val="000000" w:themeColor="text1"/>
        </w:rPr>
        <w:t xml:space="preserve"> week</w:t>
      </w:r>
      <w:r w:rsidR="00B22C74">
        <w:rPr>
          <w:color w:val="000000" w:themeColor="text1"/>
        </w:rPr>
        <w:t>s</w:t>
      </w:r>
      <w:r w:rsidRPr="00B80372">
        <w:rPr>
          <w:color w:val="000000" w:themeColor="text1"/>
        </w:rPr>
        <w:t xml:space="preserve"> after the </w:t>
      </w:r>
      <w:r w:rsidR="00B22C74">
        <w:rPr>
          <w:color w:val="000000" w:themeColor="text1"/>
        </w:rPr>
        <w:t>reminder post card mailing</w:t>
      </w:r>
      <w:r w:rsidR="003544FD">
        <w:rPr>
          <w:color w:val="000000" w:themeColor="text1"/>
        </w:rPr>
        <w:t xml:space="preserve"> (</w:t>
      </w:r>
      <w:r w:rsidR="009052A4">
        <w:rPr>
          <w:color w:val="000000" w:themeColor="text1"/>
        </w:rPr>
        <w:t>Attachment 9</w:t>
      </w:r>
      <w:r w:rsidR="0013663B">
        <w:rPr>
          <w:color w:val="000000" w:themeColor="text1"/>
        </w:rPr>
        <w:t>)</w:t>
      </w:r>
      <w:r w:rsidR="00B22C74">
        <w:rPr>
          <w:color w:val="000000" w:themeColor="text1"/>
        </w:rPr>
        <w:t>.</w:t>
      </w:r>
      <w:r w:rsidRPr="00B80372">
        <w:rPr>
          <w:color w:val="000000" w:themeColor="text1"/>
        </w:rPr>
        <w:t xml:space="preserve"> This will serve to verify receipt of materials, answer questions, determine and attempt to resolve potential problems with timely submission, and prompt for questionnaire completion. Data collection specialists </w:t>
      </w:r>
      <w:r w:rsidR="00C16EF8">
        <w:rPr>
          <w:color w:val="000000" w:themeColor="text1"/>
        </w:rPr>
        <w:t>will</w:t>
      </w:r>
      <w:r w:rsidRPr="00B80372">
        <w:rPr>
          <w:color w:val="000000" w:themeColor="text1"/>
        </w:rPr>
        <w:t xml:space="preserve"> also offer to </w:t>
      </w:r>
      <w:r w:rsidR="00A96ACB">
        <w:rPr>
          <w:color w:val="000000" w:themeColor="text1"/>
        </w:rPr>
        <w:t>collect</w:t>
      </w:r>
      <w:r w:rsidR="00A96ACB" w:rsidRPr="00B80372">
        <w:rPr>
          <w:color w:val="000000" w:themeColor="text1"/>
        </w:rPr>
        <w:t xml:space="preserve"> </w:t>
      </w:r>
      <w:r w:rsidRPr="00B80372">
        <w:rPr>
          <w:color w:val="000000" w:themeColor="text1"/>
        </w:rPr>
        <w:t>the survey</w:t>
      </w:r>
      <w:r w:rsidR="00290686">
        <w:rPr>
          <w:color w:val="000000" w:themeColor="text1"/>
        </w:rPr>
        <w:t xml:space="preserve"> </w:t>
      </w:r>
      <w:r w:rsidR="00A96ACB">
        <w:rPr>
          <w:color w:val="000000" w:themeColor="text1"/>
        </w:rPr>
        <w:t>data</w:t>
      </w:r>
      <w:r w:rsidR="00A96ACB" w:rsidRPr="00B80372">
        <w:rPr>
          <w:color w:val="000000" w:themeColor="text1"/>
        </w:rPr>
        <w:t xml:space="preserve"> </w:t>
      </w:r>
      <w:r w:rsidR="00C16EF8">
        <w:rPr>
          <w:color w:val="000000" w:themeColor="text1"/>
        </w:rPr>
        <w:t>by tele</w:t>
      </w:r>
      <w:r w:rsidRPr="00B80372">
        <w:rPr>
          <w:color w:val="000000" w:themeColor="text1"/>
        </w:rPr>
        <w:t xml:space="preserve">phone if the information requested is readily available and the </w:t>
      </w:r>
      <w:r w:rsidR="00C16EF8">
        <w:rPr>
          <w:color w:val="000000" w:themeColor="text1"/>
        </w:rPr>
        <w:t xml:space="preserve">agency is not able to </w:t>
      </w:r>
      <w:r w:rsidRPr="00B80372">
        <w:rPr>
          <w:color w:val="000000" w:themeColor="text1"/>
        </w:rPr>
        <w:t xml:space="preserve">complete the questionnaire. Surveys completed over the </w:t>
      </w:r>
      <w:r w:rsidR="00C16EF8">
        <w:rPr>
          <w:color w:val="000000" w:themeColor="text1"/>
        </w:rPr>
        <w:t>tele</w:t>
      </w:r>
      <w:r w:rsidRPr="00B80372">
        <w:rPr>
          <w:color w:val="000000" w:themeColor="text1"/>
        </w:rPr>
        <w:t xml:space="preserve">phone will be recorded by data collection specialists using the </w:t>
      </w:r>
      <w:r w:rsidR="005840BA">
        <w:rPr>
          <w:color w:val="000000" w:themeColor="text1"/>
        </w:rPr>
        <w:t>fillable PDF</w:t>
      </w:r>
      <w:r w:rsidR="005840BA" w:rsidRPr="00B80372">
        <w:rPr>
          <w:color w:val="000000" w:themeColor="text1"/>
        </w:rPr>
        <w:t xml:space="preserve"> </w:t>
      </w:r>
      <w:r w:rsidRPr="00B80372">
        <w:rPr>
          <w:color w:val="000000" w:themeColor="text1"/>
        </w:rPr>
        <w:t xml:space="preserve">survey. </w:t>
      </w:r>
    </w:p>
    <w:p w14:paraId="573A5195" w14:textId="77777777" w:rsidR="00B80372" w:rsidRPr="003B6157" w:rsidRDefault="00B80372"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color w:val="000000" w:themeColor="text1"/>
          <w:u w:val="single"/>
        </w:rPr>
      </w:pPr>
    </w:p>
    <w:p w14:paraId="75B46DEB" w14:textId="5643F336" w:rsidR="003B6157" w:rsidRPr="003B6157" w:rsidRDefault="003B6157"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themeColor="text1"/>
        </w:rPr>
      </w:pPr>
      <w:r w:rsidRPr="003B6157">
        <w:rPr>
          <w:i/>
          <w:color w:val="000000" w:themeColor="text1"/>
        </w:rPr>
        <w:t xml:space="preserve">Week </w:t>
      </w:r>
      <w:r w:rsidR="0064059A">
        <w:rPr>
          <w:i/>
          <w:color w:val="000000" w:themeColor="text1"/>
        </w:rPr>
        <w:t>Ten</w:t>
      </w:r>
    </w:p>
    <w:p w14:paraId="7358A262" w14:textId="3792041C" w:rsidR="00B80372" w:rsidRPr="00B80372" w:rsidRDefault="003B6157"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Pr>
          <w:color w:val="000000" w:themeColor="text1"/>
        </w:rPr>
        <w:t>T</w:t>
      </w:r>
      <w:r w:rsidR="00D746AB">
        <w:rPr>
          <w:color w:val="000000" w:themeColor="text1"/>
        </w:rPr>
        <w:t>he data collection agent</w:t>
      </w:r>
      <w:r w:rsidR="00B80372" w:rsidRPr="00B80372">
        <w:rPr>
          <w:color w:val="000000" w:themeColor="text1"/>
        </w:rPr>
        <w:t xml:space="preserve"> will mail a </w:t>
      </w:r>
      <w:r w:rsidR="00D746AB">
        <w:rPr>
          <w:color w:val="000000" w:themeColor="text1"/>
        </w:rPr>
        <w:t>replacement</w:t>
      </w:r>
      <w:r w:rsidR="00B80372" w:rsidRPr="00B80372">
        <w:rPr>
          <w:color w:val="000000" w:themeColor="text1"/>
        </w:rPr>
        <w:t xml:space="preserve"> hardcopy survey to those </w:t>
      </w:r>
      <w:r w:rsidR="00D746AB">
        <w:rPr>
          <w:color w:val="000000" w:themeColor="text1"/>
        </w:rPr>
        <w:t>agencies that</w:t>
      </w:r>
      <w:r w:rsidR="00B80372" w:rsidRPr="00B80372">
        <w:rPr>
          <w:color w:val="000000" w:themeColor="text1"/>
        </w:rPr>
        <w:t xml:space="preserve"> </w:t>
      </w:r>
      <w:r w:rsidR="00CC17D8">
        <w:rPr>
          <w:color w:val="000000" w:themeColor="text1"/>
        </w:rPr>
        <w:t>have</w:t>
      </w:r>
      <w:r w:rsidR="00CC17D8" w:rsidRPr="00B80372">
        <w:rPr>
          <w:color w:val="000000" w:themeColor="text1"/>
        </w:rPr>
        <w:t xml:space="preserve"> </w:t>
      </w:r>
      <w:r w:rsidR="00B80372" w:rsidRPr="00B80372">
        <w:rPr>
          <w:color w:val="000000" w:themeColor="text1"/>
        </w:rPr>
        <w:t>not return</w:t>
      </w:r>
      <w:r w:rsidR="00CC17D8">
        <w:rPr>
          <w:color w:val="000000" w:themeColor="text1"/>
        </w:rPr>
        <w:t>ed</w:t>
      </w:r>
      <w:r w:rsidR="00B80372" w:rsidRPr="00B80372">
        <w:rPr>
          <w:color w:val="000000" w:themeColor="text1"/>
        </w:rPr>
        <w:t xml:space="preserve"> a completed survey. The packet will also include a cover letter </w:t>
      </w:r>
      <w:r w:rsidR="00D746AB">
        <w:rPr>
          <w:color w:val="000000" w:themeColor="text1"/>
        </w:rPr>
        <w:t>on BJS letterhead</w:t>
      </w:r>
      <w:r w:rsidR="00B80372" w:rsidRPr="00B80372">
        <w:rPr>
          <w:color w:val="000000" w:themeColor="text1"/>
        </w:rPr>
        <w:t xml:space="preserve"> (see </w:t>
      </w:r>
      <w:r w:rsidR="00CD64E2">
        <w:rPr>
          <w:color w:val="000000" w:themeColor="text1"/>
        </w:rPr>
        <w:t>A</w:t>
      </w:r>
      <w:r w:rsidR="00B80372" w:rsidRPr="00B80372">
        <w:rPr>
          <w:color w:val="000000" w:themeColor="text1"/>
        </w:rPr>
        <w:t xml:space="preserve">ttachment </w:t>
      </w:r>
      <w:r w:rsidR="008127EB">
        <w:rPr>
          <w:color w:val="000000" w:themeColor="text1"/>
        </w:rPr>
        <w:t>1</w:t>
      </w:r>
      <w:r w:rsidR="009052A4">
        <w:rPr>
          <w:color w:val="000000" w:themeColor="text1"/>
        </w:rPr>
        <w:t>0</w:t>
      </w:r>
      <w:r w:rsidR="00B80372" w:rsidRPr="00B80372">
        <w:rPr>
          <w:color w:val="000000" w:themeColor="text1"/>
        </w:rPr>
        <w:t xml:space="preserve">). This letter will convey the importance of the </w:t>
      </w:r>
      <w:r w:rsidR="00D746AB">
        <w:rPr>
          <w:color w:val="000000" w:themeColor="text1"/>
        </w:rPr>
        <w:t>agency’s</w:t>
      </w:r>
      <w:r w:rsidR="00B80372" w:rsidRPr="00B80372">
        <w:rPr>
          <w:color w:val="000000" w:themeColor="text1"/>
        </w:rPr>
        <w:t xml:space="preserve"> participation in the </w:t>
      </w:r>
      <w:r w:rsidR="00BA199B">
        <w:rPr>
          <w:color w:val="000000" w:themeColor="text1"/>
        </w:rPr>
        <w:t>SSLLEASTL</w:t>
      </w:r>
      <w:r w:rsidR="00A52DF7">
        <w:rPr>
          <w:color w:val="000000" w:themeColor="text1"/>
        </w:rPr>
        <w:t>, encourage</w:t>
      </w:r>
      <w:r w:rsidR="00377CF0">
        <w:rPr>
          <w:color w:val="000000" w:themeColor="text1"/>
        </w:rPr>
        <w:t xml:space="preserve"> </w:t>
      </w:r>
      <w:r w:rsidR="00B80372" w:rsidRPr="00B80372">
        <w:rPr>
          <w:color w:val="000000" w:themeColor="text1"/>
        </w:rPr>
        <w:t>timely submission</w:t>
      </w:r>
      <w:r w:rsidR="002C45A8">
        <w:rPr>
          <w:color w:val="000000" w:themeColor="text1"/>
        </w:rPr>
        <w:t>, stress the importance of the information collection for the law enforcement community providing services on tribal lands</w:t>
      </w:r>
      <w:r w:rsidR="00377CF0">
        <w:rPr>
          <w:color w:val="000000" w:themeColor="text1"/>
        </w:rPr>
        <w:t>,</w:t>
      </w:r>
      <w:r w:rsidR="002C45A8">
        <w:rPr>
          <w:color w:val="000000" w:themeColor="text1"/>
        </w:rPr>
        <w:t xml:space="preserve"> and </w:t>
      </w:r>
      <w:r w:rsidR="00377CF0">
        <w:rPr>
          <w:color w:val="000000" w:themeColor="text1"/>
        </w:rPr>
        <w:t xml:space="preserve">will include </w:t>
      </w:r>
      <w:r w:rsidR="002C45A8">
        <w:rPr>
          <w:color w:val="000000" w:themeColor="text1"/>
        </w:rPr>
        <w:t>further endorsement from IACP and NSA</w:t>
      </w:r>
      <w:r w:rsidR="00B80372" w:rsidRPr="00B80372">
        <w:rPr>
          <w:color w:val="000000" w:themeColor="text1"/>
        </w:rPr>
        <w:t xml:space="preserve">. It will include instructions for submitting the completed questionnaire </w:t>
      </w:r>
      <w:r w:rsidR="00D746AB">
        <w:rPr>
          <w:color w:val="000000" w:themeColor="text1"/>
        </w:rPr>
        <w:t>via the</w:t>
      </w:r>
      <w:r w:rsidR="00434B61">
        <w:rPr>
          <w:color w:val="000000" w:themeColor="text1"/>
        </w:rPr>
        <w:t xml:space="preserve"> fillable</w:t>
      </w:r>
      <w:r w:rsidR="00D746AB">
        <w:rPr>
          <w:color w:val="000000" w:themeColor="text1"/>
        </w:rPr>
        <w:t xml:space="preserve"> </w:t>
      </w:r>
      <w:r w:rsidR="005840BA">
        <w:rPr>
          <w:color w:val="000000" w:themeColor="text1"/>
        </w:rPr>
        <w:t>PDF</w:t>
      </w:r>
      <w:r w:rsidR="00D746AB">
        <w:rPr>
          <w:color w:val="000000" w:themeColor="text1"/>
        </w:rPr>
        <w:t xml:space="preserve">, as well as mailing, faxing or e-mailing </w:t>
      </w:r>
      <w:r w:rsidR="00B80372" w:rsidRPr="00B80372">
        <w:rPr>
          <w:color w:val="000000" w:themeColor="text1"/>
        </w:rPr>
        <w:t xml:space="preserve">the completed questionnaire back to </w:t>
      </w:r>
      <w:r w:rsidR="00D746AB">
        <w:rPr>
          <w:color w:val="000000" w:themeColor="text1"/>
        </w:rPr>
        <w:t>the data collection agent</w:t>
      </w:r>
      <w:r w:rsidR="00B80372" w:rsidRPr="00B80372">
        <w:rPr>
          <w:color w:val="000000" w:themeColor="text1"/>
        </w:rPr>
        <w:t>.</w:t>
      </w:r>
    </w:p>
    <w:p w14:paraId="2A5A80F7" w14:textId="77777777" w:rsidR="00B80372" w:rsidRPr="00B80372" w:rsidRDefault="00B80372"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color w:val="000000" w:themeColor="text1"/>
        </w:rPr>
      </w:pPr>
    </w:p>
    <w:p w14:paraId="4CCC045A" w14:textId="07D64DE4" w:rsidR="003B6157" w:rsidRPr="003B6157" w:rsidRDefault="003B6157"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themeColor="text1"/>
        </w:rPr>
      </w:pPr>
      <w:r w:rsidRPr="003B6157">
        <w:rPr>
          <w:i/>
          <w:color w:val="000000" w:themeColor="text1"/>
        </w:rPr>
        <w:t xml:space="preserve">Week </w:t>
      </w:r>
      <w:r w:rsidR="0064059A">
        <w:rPr>
          <w:i/>
          <w:color w:val="000000" w:themeColor="text1"/>
        </w:rPr>
        <w:t>Twelve</w:t>
      </w:r>
    </w:p>
    <w:p w14:paraId="27E51951" w14:textId="6201ABDF" w:rsidR="00D746AB" w:rsidRDefault="003B6157"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Pr>
          <w:color w:val="000000" w:themeColor="text1"/>
        </w:rPr>
        <w:t xml:space="preserve">A </w:t>
      </w:r>
      <w:r w:rsidR="00B80372" w:rsidRPr="00B80372">
        <w:rPr>
          <w:color w:val="000000" w:themeColor="text1"/>
        </w:rPr>
        <w:t xml:space="preserve">reminder letter </w:t>
      </w:r>
      <w:r w:rsidR="00CD64E2">
        <w:rPr>
          <w:color w:val="000000" w:themeColor="text1"/>
        </w:rPr>
        <w:t>(A</w:t>
      </w:r>
      <w:r w:rsidR="00681674">
        <w:rPr>
          <w:color w:val="000000" w:themeColor="text1"/>
        </w:rPr>
        <w:t>ttachment 1</w:t>
      </w:r>
      <w:r w:rsidR="009052A4">
        <w:rPr>
          <w:color w:val="000000" w:themeColor="text1"/>
        </w:rPr>
        <w:t>1</w:t>
      </w:r>
      <w:r w:rsidR="00324CA9">
        <w:rPr>
          <w:color w:val="000000" w:themeColor="text1"/>
        </w:rPr>
        <w:t xml:space="preserve">) </w:t>
      </w:r>
      <w:r w:rsidR="00B80372" w:rsidRPr="00B80372">
        <w:rPr>
          <w:color w:val="000000" w:themeColor="text1"/>
        </w:rPr>
        <w:t xml:space="preserve">will be sent via fax and email to </w:t>
      </w:r>
      <w:r w:rsidR="00D746AB">
        <w:rPr>
          <w:color w:val="000000" w:themeColor="text1"/>
        </w:rPr>
        <w:t>agencies that</w:t>
      </w:r>
      <w:r w:rsidR="00B80372" w:rsidRPr="00B80372">
        <w:rPr>
          <w:color w:val="000000" w:themeColor="text1"/>
        </w:rPr>
        <w:t xml:space="preserve"> have not yet completed the </w:t>
      </w:r>
      <w:r w:rsidR="00BA199B">
        <w:rPr>
          <w:color w:val="000000" w:themeColor="text1"/>
        </w:rPr>
        <w:t>SSLLEASTL</w:t>
      </w:r>
      <w:r w:rsidR="00D746AB" w:rsidRPr="00B80372">
        <w:rPr>
          <w:color w:val="000000" w:themeColor="text1"/>
        </w:rPr>
        <w:t xml:space="preserve"> </w:t>
      </w:r>
      <w:r w:rsidR="00B80372" w:rsidRPr="00B80372">
        <w:rPr>
          <w:color w:val="000000" w:themeColor="text1"/>
        </w:rPr>
        <w:t xml:space="preserve">survey. The </w:t>
      </w:r>
      <w:r w:rsidR="00296C86">
        <w:rPr>
          <w:color w:val="000000" w:themeColor="text1"/>
        </w:rPr>
        <w:t>use of a</w:t>
      </w:r>
      <w:r w:rsidR="00B80372" w:rsidRPr="00B80372">
        <w:rPr>
          <w:color w:val="000000" w:themeColor="text1"/>
        </w:rPr>
        <w:t xml:space="preserve"> fax/e-mail will provide a different form of contact to gain the </w:t>
      </w:r>
      <w:r w:rsidR="00D746AB">
        <w:rPr>
          <w:color w:val="000000" w:themeColor="text1"/>
        </w:rPr>
        <w:t>agency’s</w:t>
      </w:r>
      <w:r w:rsidR="00B80372" w:rsidRPr="00B80372">
        <w:rPr>
          <w:color w:val="000000" w:themeColor="text1"/>
        </w:rPr>
        <w:t xml:space="preserve"> attention, stress the importance of the study, and prompt for return of the questionnaire. The customized e-mail will c</w:t>
      </w:r>
      <w:r w:rsidR="00D746AB">
        <w:rPr>
          <w:color w:val="000000" w:themeColor="text1"/>
        </w:rPr>
        <w:t xml:space="preserve">ontain the </w:t>
      </w:r>
      <w:r w:rsidR="00CC17D8">
        <w:rPr>
          <w:color w:val="000000" w:themeColor="text1"/>
        </w:rPr>
        <w:t>fillable PDF form as an attachment.</w:t>
      </w:r>
      <w:r w:rsidR="00CC17D8" w:rsidRPr="00B80372">
        <w:rPr>
          <w:color w:val="000000" w:themeColor="text1"/>
        </w:rPr>
        <w:t xml:space="preserve"> </w:t>
      </w:r>
    </w:p>
    <w:p w14:paraId="0629BCCF" w14:textId="77777777" w:rsidR="005D7D54" w:rsidRDefault="005D7D54"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p>
    <w:p w14:paraId="15E5D171" w14:textId="4376CD30" w:rsidR="003B6157" w:rsidRPr="003B6157" w:rsidRDefault="003B6157"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themeColor="text1"/>
        </w:rPr>
      </w:pPr>
      <w:r w:rsidRPr="003B6157">
        <w:rPr>
          <w:i/>
          <w:color w:val="000000" w:themeColor="text1"/>
        </w:rPr>
        <w:t xml:space="preserve">Week </w:t>
      </w:r>
      <w:r w:rsidR="0064059A">
        <w:rPr>
          <w:i/>
          <w:color w:val="000000" w:themeColor="text1"/>
        </w:rPr>
        <w:t>Sixteen</w:t>
      </w:r>
    </w:p>
    <w:p w14:paraId="6D1244D7" w14:textId="50096B2A" w:rsidR="00B80372" w:rsidRDefault="00B80372"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sidRPr="00B80372">
        <w:rPr>
          <w:color w:val="000000" w:themeColor="text1"/>
        </w:rPr>
        <w:t>NORC will send all remaining non-</w:t>
      </w:r>
      <w:r w:rsidR="00BF3903">
        <w:rPr>
          <w:color w:val="000000" w:themeColor="text1"/>
        </w:rPr>
        <w:t xml:space="preserve">responding </w:t>
      </w:r>
      <w:r w:rsidR="00D746AB">
        <w:rPr>
          <w:color w:val="000000" w:themeColor="text1"/>
        </w:rPr>
        <w:t>agencies</w:t>
      </w:r>
      <w:r w:rsidRPr="00B80372">
        <w:rPr>
          <w:color w:val="000000" w:themeColor="text1"/>
        </w:rPr>
        <w:t xml:space="preserve"> a second </w:t>
      </w:r>
      <w:r w:rsidR="00D746AB">
        <w:rPr>
          <w:color w:val="000000" w:themeColor="text1"/>
        </w:rPr>
        <w:t xml:space="preserve">replacement </w:t>
      </w:r>
      <w:r w:rsidRPr="00B80372">
        <w:rPr>
          <w:color w:val="000000" w:themeColor="text1"/>
        </w:rPr>
        <w:t xml:space="preserve">hardcopy </w:t>
      </w:r>
      <w:r w:rsidRPr="00B80372">
        <w:rPr>
          <w:color w:val="000000" w:themeColor="text1"/>
        </w:rPr>
        <w:lastRenderedPageBreak/>
        <w:t xml:space="preserve">questionnaire via FedEx, Priority Mail, or other express mail delivery. </w:t>
      </w:r>
      <w:r w:rsidR="00E9025D">
        <w:rPr>
          <w:color w:val="000000" w:themeColor="text1"/>
        </w:rPr>
        <w:t>Based on previous experience collecting data from law enforcement agencies</w:t>
      </w:r>
      <w:r w:rsidR="004C4335">
        <w:rPr>
          <w:color w:val="000000" w:themeColor="text1"/>
        </w:rPr>
        <w:t>,</w:t>
      </w:r>
      <w:r w:rsidR="00E9025D">
        <w:rPr>
          <w:color w:val="000000" w:themeColor="text1"/>
        </w:rPr>
        <w:t xml:space="preserve"> multiple survey mailings are needed to ensure survey response. </w:t>
      </w:r>
      <w:r w:rsidRPr="00B80372">
        <w:rPr>
          <w:color w:val="000000" w:themeColor="text1"/>
        </w:rPr>
        <w:t xml:space="preserve">This package will contain a personalized letter </w:t>
      </w:r>
      <w:r w:rsidR="00C76CE6">
        <w:rPr>
          <w:color w:val="000000" w:themeColor="text1"/>
        </w:rPr>
        <w:t xml:space="preserve">on BJS letterhead </w:t>
      </w:r>
      <w:r w:rsidR="00CD64E2">
        <w:rPr>
          <w:color w:val="000000" w:themeColor="text1"/>
        </w:rPr>
        <w:t>(A</w:t>
      </w:r>
      <w:r w:rsidR="00681674">
        <w:rPr>
          <w:color w:val="000000" w:themeColor="text1"/>
        </w:rPr>
        <w:t>ttachment 1</w:t>
      </w:r>
      <w:r w:rsidR="009052A4">
        <w:rPr>
          <w:color w:val="000000" w:themeColor="text1"/>
        </w:rPr>
        <w:t>2</w:t>
      </w:r>
      <w:r w:rsidR="00681674">
        <w:rPr>
          <w:color w:val="000000" w:themeColor="text1"/>
        </w:rPr>
        <w:t xml:space="preserve">) </w:t>
      </w:r>
      <w:r w:rsidRPr="00B80372">
        <w:rPr>
          <w:color w:val="000000" w:themeColor="text1"/>
        </w:rPr>
        <w:t xml:space="preserve">that urges the </w:t>
      </w:r>
      <w:r w:rsidR="00D746AB">
        <w:rPr>
          <w:color w:val="000000" w:themeColor="text1"/>
        </w:rPr>
        <w:t>agency</w:t>
      </w:r>
      <w:r w:rsidRPr="00B80372">
        <w:rPr>
          <w:color w:val="000000" w:themeColor="text1"/>
        </w:rPr>
        <w:t xml:space="preserve"> to respond, a replacement questionnaire, and a BRE to use when returning the questionnaire via mail. The packaging, mode of delivery and speed by which it is delivered will further stress the importance and urgency for response.</w:t>
      </w:r>
    </w:p>
    <w:p w14:paraId="24A7BA43" w14:textId="77777777" w:rsidR="00B52009" w:rsidRDefault="00B52009"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p>
    <w:p w14:paraId="51A15463" w14:textId="352F2EB6" w:rsidR="00B52009" w:rsidRPr="00B52009" w:rsidRDefault="00B52009"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themeColor="text1"/>
        </w:rPr>
      </w:pPr>
      <w:r>
        <w:rPr>
          <w:i/>
          <w:color w:val="000000" w:themeColor="text1"/>
        </w:rPr>
        <w:t>Week Twenty</w:t>
      </w:r>
    </w:p>
    <w:p w14:paraId="0E0B68BD" w14:textId="0544CE19" w:rsidR="00B80372" w:rsidRDefault="00157FE8"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Pr>
          <w:color w:val="000000" w:themeColor="text1"/>
        </w:rPr>
        <w:t>Near the end of the data collection period</w:t>
      </w:r>
      <w:r w:rsidR="00C95593">
        <w:rPr>
          <w:color w:val="000000" w:themeColor="text1"/>
        </w:rPr>
        <w:t xml:space="preserve"> and only if needed</w:t>
      </w:r>
      <w:r>
        <w:rPr>
          <w:color w:val="000000" w:themeColor="text1"/>
        </w:rPr>
        <w:t xml:space="preserve">, a </w:t>
      </w:r>
      <w:r w:rsidR="001F33BE">
        <w:rPr>
          <w:color w:val="000000" w:themeColor="text1"/>
        </w:rPr>
        <w:t>Limited</w:t>
      </w:r>
      <w:r w:rsidR="001F33BE" w:rsidRPr="00B80372">
        <w:rPr>
          <w:color w:val="000000" w:themeColor="text1"/>
        </w:rPr>
        <w:t xml:space="preserve"> </w:t>
      </w:r>
      <w:r w:rsidR="00B80372" w:rsidRPr="00B80372">
        <w:rPr>
          <w:color w:val="000000" w:themeColor="text1"/>
        </w:rPr>
        <w:t xml:space="preserve">Items Questionnaire will be </w:t>
      </w:r>
      <w:r>
        <w:rPr>
          <w:color w:val="000000" w:themeColor="text1"/>
        </w:rPr>
        <w:t>developed cooperatively with BJS</w:t>
      </w:r>
      <w:r w:rsidR="00B80372" w:rsidRPr="00B80372">
        <w:rPr>
          <w:color w:val="000000" w:themeColor="text1"/>
        </w:rPr>
        <w:t xml:space="preserve">. </w:t>
      </w:r>
      <w:r w:rsidR="001F33BE">
        <w:rPr>
          <w:color w:val="000000" w:themeColor="text1"/>
        </w:rPr>
        <w:t xml:space="preserve">First, the data collector will complete an item response report.  The items with the lowest response rates will be considered for exclusion from the Limited Items Questionnaire.  </w:t>
      </w:r>
      <w:r>
        <w:rPr>
          <w:color w:val="000000" w:themeColor="text1"/>
        </w:rPr>
        <w:t xml:space="preserve">The </w:t>
      </w:r>
      <w:r w:rsidR="001F33BE">
        <w:rPr>
          <w:color w:val="000000" w:themeColor="text1"/>
        </w:rPr>
        <w:t xml:space="preserve">Limited </w:t>
      </w:r>
      <w:r>
        <w:rPr>
          <w:color w:val="000000" w:themeColor="text1"/>
        </w:rPr>
        <w:t xml:space="preserve">Items Questionnaire will be a reduced set of questions deemed most critical for analysis.  </w:t>
      </w:r>
      <w:r w:rsidR="00B52009">
        <w:rPr>
          <w:color w:val="000000" w:themeColor="text1"/>
        </w:rPr>
        <w:t>If necessary, it</w:t>
      </w:r>
      <w:r>
        <w:rPr>
          <w:color w:val="000000" w:themeColor="text1"/>
        </w:rPr>
        <w:t xml:space="preserve"> will be sent to </w:t>
      </w:r>
      <w:r w:rsidR="00D8308C">
        <w:rPr>
          <w:color w:val="000000" w:themeColor="text1"/>
        </w:rPr>
        <w:t xml:space="preserve">those </w:t>
      </w:r>
      <w:r>
        <w:rPr>
          <w:color w:val="000000" w:themeColor="text1"/>
        </w:rPr>
        <w:t xml:space="preserve">agencies that have not completed the full survey. </w:t>
      </w:r>
    </w:p>
    <w:p w14:paraId="6555CBCA" w14:textId="77777777" w:rsidR="00157FE8" w:rsidRDefault="00157FE8" w:rsidP="00B520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p>
    <w:p w14:paraId="77BF26A7" w14:textId="7B3AD6F7" w:rsidR="00B52009" w:rsidRPr="00B52009" w:rsidRDefault="00B52009" w:rsidP="00B520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themeColor="text1"/>
        </w:rPr>
      </w:pPr>
      <w:r>
        <w:rPr>
          <w:i/>
          <w:color w:val="000000" w:themeColor="text1"/>
        </w:rPr>
        <w:t>Week Twenty-four</w:t>
      </w:r>
    </w:p>
    <w:p w14:paraId="3E8EEB9E" w14:textId="6737D827" w:rsidR="00157FE8" w:rsidRDefault="00157FE8"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sidRPr="00B80372">
        <w:rPr>
          <w:color w:val="000000" w:themeColor="text1"/>
        </w:rPr>
        <w:t xml:space="preserve">During the final weeks of data collection, </w:t>
      </w:r>
      <w:r>
        <w:rPr>
          <w:color w:val="000000" w:themeColor="text1"/>
        </w:rPr>
        <w:t>the data collection agent</w:t>
      </w:r>
      <w:r w:rsidRPr="00B80372">
        <w:rPr>
          <w:color w:val="000000" w:themeColor="text1"/>
        </w:rPr>
        <w:t xml:space="preserve"> will mail a postcard or send an e-mail alerting </w:t>
      </w:r>
      <w:r>
        <w:rPr>
          <w:color w:val="000000" w:themeColor="text1"/>
        </w:rPr>
        <w:t>agencies</w:t>
      </w:r>
      <w:r w:rsidRPr="00B80372">
        <w:rPr>
          <w:color w:val="000000" w:themeColor="text1"/>
        </w:rPr>
        <w:t xml:space="preserve"> of the scheduled data collection end date. A last chance contact </w:t>
      </w:r>
      <w:r w:rsidR="00CD64E2">
        <w:rPr>
          <w:color w:val="000000" w:themeColor="text1"/>
        </w:rPr>
        <w:t>(A</w:t>
      </w:r>
      <w:r w:rsidR="00681674">
        <w:rPr>
          <w:color w:val="000000" w:themeColor="text1"/>
        </w:rPr>
        <w:t>ttachment 1</w:t>
      </w:r>
      <w:r w:rsidR="009052A4">
        <w:rPr>
          <w:color w:val="000000" w:themeColor="text1"/>
        </w:rPr>
        <w:t>3</w:t>
      </w:r>
      <w:r w:rsidR="00681674">
        <w:rPr>
          <w:color w:val="000000" w:themeColor="text1"/>
        </w:rPr>
        <w:t xml:space="preserve">) </w:t>
      </w:r>
      <w:r w:rsidRPr="00B80372">
        <w:rPr>
          <w:color w:val="000000" w:themeColor="text1"/>
        </w:rPr>
        <w:t>has been implemen</w:t>
      </w:r>
      <w:r w:rsidR="00C22D8F">
        <w:rPr>
          <w:color w:val="000000" w:themeColor="text1"/>
        </w:rPr>
        <w:t xml:space="preserve">ted on previous studies, and </w:t>
      </w:r>
      <w:r w:rsidRPr="00B80372">
        <w:rPr>
          <w:color w:val="000000" w:themeColor="text1"/>
        </w:rPr>
        <w:t>s</w:t>
      </w:r>
      <w:r w:rsidR="00C22D8F">
        <w:rPr>
          <w:color w:val="000000" w:themeColor="text1"/>
        </w:rPr>
        <w:t>erves to motivate non-responding agencies</w:t>
      </w:r>
      <w:r w:rsidRPr="00B80372">
        <w:rPr>
          <w:color w:val="000000" w:themeColor="text1"/>
        </w:rPr>
        <w:t xml:space="preserve"> who had failed to complete and return the survey. </w:t>
      </w:r>
    </w:p>
    <w:p w14:paraId="29176BEE" w14:textId="77777777" w:rsidR="00C95593" w:rsidRPr="00B80372" w:rsidRDefault="00C95593"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p>
    <w:p w14:paraId="1BF2D6DF" w14:textId="77777777" w:rsidR="00B80372" w:rsidRDefault="00B80372"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themeColor="text1"/>
        </w:rPr>
      </w:pPr>
      <w:r w:rsidRPr="00BB2622">
        <w:rPr>
          <w:i/>
          <w:color w:val="000000" w:themeColor="text1"/>
        </w:rPr>
        <w:t>Verifying and validating the submitted data</w:t>
      </w:r>
    </w:p>
    <w:p w14:paraId="218A5C8B" w14:textId="77777777" w:rsidR="00BB2622" w:rsidRPr="00B52009" w:rsidRDefault="00BB2622"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p>
    <w:p w14:paraId="63AB1F76" w14:textId="58F27D34" w:rsidR="00E25569" w:rsidRDefault="001F33BE" w:rsidP="001F33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Following </w:t>
      </w:r>
      <w:r w:rsidR="00987B1F">
        <w:t xml:space="preserve">OMB’s </w:t>
      </w:r>
      <w:r>
        <w:t>finalization of the survey</w:t>
      </w:r>
      <w:r w:rsidR="008A1C0C">
        <w:t xml:space="preserve"> instrument</w:t>
      </w:r>
      <w:r w:rsidR="00987B1F">
        <w:t>s</w:t>
      </w:r>
      <w:r>
        <w:t xml:space="preserve">, the survey forms will be converted to fillable PDFs. </w:t>
      </w:r>
      <w:r w:rsidR="00987B1F">
        <w:t>Before the forms are distributed to the sampled agencies</w:t>
      </w:r>
      <w:r w:rsidR="008B78B5">
        <w:t xml:space="preserve">, </w:t>
      </w:r>
      <w:r w:rsidR="00D8308C">
        <w:t xml:space="preserve">simulated </w:t>
      </w:r>
      <w:r w:rsidR="008B78B5">
        <w:t>fillable PDF</w:t>
      </w:r>
      <w:r w:rsidR="00987B1F">
        <w:t>s</w:t>
      </w:r>
      <w:r w:rsidR="008B78B5">
        <w:t xml:space="preserve"> </w:t>
      </w:r>
      <w:r w:rsidR="00987B1F">
        <w:t xml:space="preserve">will be created and </w:t>
      </w:r>
      <w:r w:rsidR="008B78B5">
        <w:t>extracted</w:t>
      </w:r>
      <w:r w:rsidR="00E25569">
        <w:t xml:space="preserve"> </w:t>
      </w:r>
      <w:r w:rsidR="00987B1F">
        <w:t>in</w:t>
      </w:r>
      <w:r w:rsidR="00E25569">
        <w:t>to Microsoft Excel</w:t>
      </w:r>
      <w:r w:rsidR="00290686">
        <w:t xml:space="preserve"> to check the accuracy of the extraction</w:t>
      </w:r>
      <w:r w:rsidR="00E25569">
        <w:t xml:space="preserve">. </w:t>
      </w:r>
      <w:r w:rsidR="00A96ACB">
        <w:t xml:space="preserve">Microsoft Excel will be used to check the data quality. Once quality is assured, the data will be extracted from the PDFs directly to SPSS to avoid introducing any error through a multiple-stage extraction process (e.g., avoid possible errors extracting from PDF – Excel – SPSS). </w:t>
      </w:r>
      <w:r w:rsidR="008B78B5">
        <w:t>In order to test the accuracy of the data extraction process,</w:t>
      </w:r>
      <w:r w:rsidR="00987B1F">
        <w:t xml:space="preserve"> data on the </w:t>
      </w:r>
      <w:r w:rsidR="00D8308C">
        <w:t>simulated</w:t>
      </w:r>
      <w:r w:rsidR="008B78B5">
        <w:t xml:space="preserve"> f</w:t>
      </w:r>
      <w:r w:rsidR="00E25569">
        <w:t>illable PDF</w:t>
      </w:r>
      <w:r w:rsidR="008B78B5">
        <w:t>s</w:t>
      </w:r>
      <w:r w:rsidR="00E25569">
        <w:t xml:space="preserve"> </w:t>
      </w:r>
      <w:r w:rsidR="00D8308C">
        <w:t xml:space="preserve">will be </w:t>
      </w:r>
      <w:r>
        <w:t xml:space="preserve">compared to the extracted data to confirm that data in the extracted file exactly </w:t>
      </w:r>
      <w:r w:rsidR="00987B1F">
        <w:t>match</w:t>
      </w:r>
      <w:r w:rsidR="00D8308C">
        <w:t xml:space="preserve"> </w:t>
      </w:r>
      <w:r>
        <w:t>the responses recorded in the fillable PDF</w:t>
      </w:r>
      <w:r w:rsidR="00987B1F">
        <w:t>s</w:t>
      </w:r>
      <w:r>
        <w:t xml:space="preserve">. </w:t>
      </w:r>
    </w:p>
    <w:p w14:paraId="3A289CD3" w14:textId="77777777" w:rsidR="00E25569" w:rsidRDefault="00E25569" w:rsidP="001F33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024BF402" w14:textId="465BD6A9" w:rsidR="001F33BE" w:rsidRPr="00B80372" w:rsidRDefault="00987B1F" w:rsidP="001F33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t xml:space="preserve">Once data begin to be received </w:t>
      </w:r>
      <w:r w:rsidR="00E25569">
        <w:t xml:space="preserve">from respondents, the data collector will </w:t>
      </w:r>
      <w:r>
        <w:t xml:space="preserve">continue to </w:t>
      </w:r>
      <w:r w:rsidR="00E25569">
        <w:t xml:space="preserve">compare </w:t>
      </w:r>
      <w:r w:rsidR="008B78B5">
        <w:t xml:space="preserve">the </w:t>
      </w:r>
      <w:r w:rsidR="00290686">
        <w:t>extracted Excel data</w:t>
      </w:r>
      <w:r w:rsidR="00E25569">
        <w:t xml:space="preserve"> </w:t>
      </w:r>
      <w:r w:rsidR="008B78B5">
        <w:t>to</w:t>
      </w:r>
      <w:r w:rsidR="00E25569">
        <w:t xml:space="preserve"> the PDF surveys. Early surveys will all be checked for accuracy and completeness. </w:t>
      </w:r>
      <w:r w:rsidR="00241593">
        <w:t xml:space="preserve">After </w:t>
      </w:r>
      <w:r w:rsidR="00A96ACB">
        <w:t xml:space="preserve">the data extraction process is checked, the data will be extracted from the PDFs to SPSS. </w:t>
      </w:r>
      <w:r w:rsidR="00E25569">
        <w:t>As data collection progresses, a sample of surveys will be</w:t>
      </w:r>
      <w:r w:rsidR="00A63608">
        <w:t xml:space="preserve"> extracted to Excel and</w:t>
      </w:r>
      <w:r w:rsidR="00E25569">
        <w:t xml:space="preserve"> tested to ensure that later extracts are as accurate and complete as earlier extracts. </w:t>
      </w:r>
      <w:r w:rsidR="001F33BE" w:rsidRPr="00B80372">
        <w:rPr>
          <w:color w:val="000000" w:themeColor="text1"/>
        </w:rPr>
        <w:t xml:space="preserve"> </w:t>
      </w:r>
      <w:r w:rsidR="001F33BE">
        <w:t xml:space="preserve">If needed, revisions will be made to the fillable PDF documents to ensure that data </w:t>
      </w:r>
      <w:r w:rsidR="008A1C0C">
        <w:t xml:space="preserve">are </w:t>
      </w:r>
      <w:r w:rsidR="001F33BE">
        <w:t xml:space="preserve">correctly exported.  Results from these tests will be used to guide data extraction during the data collection stage and quality control procedures. </w:t>
      </w:r>
      <w:r w:rsidR="001F33BE" w:rsidRPr="00B80372">
        <w:rPr>
          <w:color w:val="000000" w:themeColor="text1"/>
        </w:rPr>
        <w:t>The following is a summary of the data quality assurance steps that will be implemented during the data collection and processing period</w:t>
      </w:r>
      <w:r w:rsidR="001F33BE">
        <w:rPr>
          <w:color w:val="000000" w:themeColor="text1"/>
        </w:rPr>
        <w:t xml:space="preserve"> – </w:t>
      </w:r>
    </w:p>
    <w:p w14:paraId="36DCAEB1" w14:textId="77777777" w:rsidR="001F33BE" w:rsidRDefault="001F33BE" w:rsidP="001F33BE"/>
    <w:p w14:paraId="4B269E75" w14:textId="4F37257B" w:rsidR="001F33BE" w:rsidRDefault="001F33BE" w:rsidP="001F33BE">
      <w:r>
        <w:rPr>
          <w:b/>
        </w:rPr>
        <w:t xml:space="preserve">Data review: </w:t>
      </w:r>
      <w:r>
        <w:t xml:space="preserve">As surveys are returned, they will be reviewed for completeness. </w:t>
      </w:r>
      <w:r w:rsidRPr="00B80372">
        <w:rPr>
          <w:color w:val="000000" w:themeColor="text1"/>
        </w:rPr>
        <w:t xml:space="preserve">The data collection agent will aim to reconcile missing or erroneous data through a manual edit of each questionnaire. In collaboration with BJS, the data collection agent will develop a list of manual </w:t>
      </w:r>
      <w:r w:rsidRPr="00B80372">
        <w:rPr>
          <w:color w:val="000000" w:themeColor="text1"/>
        </w:rPr>
        <w:lastRenderedPageBreak/>
        <w:t>edits that can be completed by referring to other data provided by the respondent on the survey instrument. For example, if a screening question was left blank by the respondent but the follow-up questions were completed, a manual edit could be made to indicate the intended positive response to the screening question. Through this process, the number of cases</w:t>
      </w:r>
      <w:r>
        <w:rPr>
          <w:color w:val="000000" w:themeColor="text1"/>
        </w:rPr>
        <w:t>/questions</w:t>
      </w:r>
      <w:r w:rsidRPr="00B80372">
        <w:rPr>
          <w:color w:val="000000" w:themeColor="text1"/>
        </w:rPr>
        <w:t xml:space="preserve"> requiring clarification or retrieval of missing information can be minimized.</w:t>
      </w:r>
      <w:r>
        <w:t xml:space="preserve"> </w:t>
      </w:r>
    </w:p>
    <w:p w14:paraId="2399DD66" w14:textId="77777777" w:rsidR="001F33BE" w:rsidRDefault="001F33BE" w:rsidP="001F33BE"/>
    <w:p w14:paraId="60CF654C" w14:textId="02F93611" w:rsidR="001F33BE" w:rsidRPr="00B80372" w:rsidRDefault="001F33BE" w:rsidP="001F33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sidRPr="008F3F08">
        <w:rPr>
          <w:b/>
          <w:color w:val="000000" w:themeColor="text1"/>
        </w:rPr>
        <w:t>Data retrieval:</w:t>
      </w:r>
      <w:r w:rsidRPr="00B80372">
        <w:rPr>
          <w:color w:val="000000" w:themeColor="text1"/>
        </w:rPr>
        <w:t xml:space="preserve"> When it is determined that additional data are needed because of errors, inconsistencies, or missing data, the data collection agent will contact</w:t>
      </w:r>
      <w:r>
        <w:rPr>
          <w:color w:val="000000" w:themeColor="text1"/>
        </w:rPr>
        <w:t xml:space="preserve"> (Attachment </w:t>
      </w:r>
      <w:r w:rsidR="00830B50">
        <w:rPr>
          <w:color w:val="000000" w:themeColor="text1"/>
        </w:rPr>
        <w:t>1</w:t>
      </w:r>
      <w:r w:rsidR="009052A4">
        <w:rPr>
          <w:color w:val="000000" w:themeColor="text1"/>
        </w:rPr>
        <w:t>4</w:t>
      </w:r>
      <w:r>
        <w:rPr>
          <w:color w:val="000000" w:themeColor="text1"/>
        </w:rPr>
        <w:t>)</w:t>
      </w:r>
      <w:r w:rsidRPr="00B80372">
        <w:rPr>
          <w:color w:val="000000" w:themeColor="text1"/>
        </w:rPr>
        <w:t xml:space="preserve"> the data provider for clarification</w:t>
      </w:r>
      <w:r>
        <w:rPr>
          <w:color w:val="000000" w:themeColor="text1"/>
        </w:rPr>
        <w:t xml:space="preserve"> as soon as possible to the date of submission of the questionnaire</w:t>
      </w:r>
      <w:r w:rsidRPr="00B80372">
        <w:rPr>
          <w:color w:val="000000" w:themeColor="text1"/>
        </w:rPr>
        <w:t>.</w:t>
      </w:r>
      <w:r w:rsidR="00413E28">
        <w:rPr>
          <w:color w:val="000000" w:themeColor="text1"/>
        </w:rPr>
        <w:t xml:space="preserve"> </w:t>
      </w:r>
      <w:r w:rsidRPr="00B80372">
        <w:rPr>
          <w:color w:val="000000" w:themeColor="text1"/>
        </w:rPr>
        <w:t>Throughout the process, the data collection agent will document the questions needing retrieval (e.g. missing or inconsistent data elements), request clarification on the provided information, obtain values for missing data elements and examine any other issues related to the submission.</w:t>
      </w:r>
      <w:r>
        <w:rPr>
          <w:color w:val="000000" w:themeColor="text1"/>
        </w:rPr>
        <w:t xml:space="preserve"> Data retrieval outreach will occur via telephone and e-mail. </w:t>
      </w:r>
    </w:p>
    <w:p w14:paraId="0F6E0D3F" w14:textId="77777777" w:rsidR="001F33BE" w:rsidRPr="00B80372" w:rsidRDefault="001F33BE" w:rsidP="001F33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color w:val="000000" w:themeColor="text1"/>
        </w:rPr>
      </w:pPr>
    </w:p>
    <w:p w14:paraId="0BFEEE4D" w14:textId="4564C3EA" w:rsidR="001F33BE" w:rsidRDefault="001F33BE" w:rsidP="001F33BE">
      <w:r w:rsidRPr="00CB062C">
        <w:rPr>
          <w:b/>
          <w:color w:val="000000" w:themeColor="text1"/>
        </w:rPr>
        <w:t>Data entry:</w:t>
      </w:r>
      <w:r>
        <w:rPr>
          <w:color w:val="000000" w:themeColor="text1"/>
        </w:rPr>
        <w:t xml:space="preserve"> </w:t>
      </w:r>
      <w:r>
        <w:t>Surveys that are completed (i.e. with no errors by the respondent or after retrieval) will be batched and extracted to an Excel file</w:t>
      </w:r>
      <w:r w:rsidR="00A63608">
        <w:t xml:space="preserve"> to be checked for accuracy</w:t>
      </w:r>
      <w:r>
        <w:t xml:space="preserve">. At the beginning of data collection, the data collection agent will perform 100% confirmation of the extracted data for the first 20 forms received using the fillable PDF format. </w:t>
      </w:r>
      <w:r w:rsidR="00A63608">
        <w:t>Once the process is verified, that data will be extracted from the PDFs directly to SPSS.</w:t>
      </w:r>
      <w:r>
        <w:t xml:space="preserve"> As data collection proceeds, the data collector will randomly select 10% of cases from each batch to </w:t>
      </w:r>
      <w:r w:rsidR="00A63608">
        <w:t>compare the responses in the PDF</w:t>
      </w:r>
      <w:r>
        <w:t xml:space="preserve"> to the extracted data</w:t>
      </w:r>
      <w:r w:rsidR="00766C9C">
        <w:t xml:space="preserve"> in Excel</w:t>
      </w:r>
      <w:r>
        <w:t xml:space="preserve">. The identifier PIN for each record will be checked against a master list of PIN numbers for the batch in order to confirm that all expected surveys have been extracted and stored appropriately. </w:t>
      </w:r>
      <w:r w:rsidR="00766C9C">
        <w:t>SPSS and Excel f</w:t>
      </w:r>
      <w:r w:rsidR="00FC2AE7">
        <w:t xml:space="preserve">iles will also be checked to confirm that all variables have been </w:t>
      </w:r>
      <w:r w:rsidR="004C19A6">
        <w:t xml:space="preserve">correctly </w:t>
      </w:r>
      <w:r w:rsidR="00FC2AE7">
        <w:t>exported.</w:t>
      </w:r>
      <w:r>
        <w:t xml:space="preserve"> </w:t>
      </w:r>
    </w:p>
    <w:p w14:paraId="4E08AD3B" w14:textId="77777777" w:rsidR="001F33BE" w:rsidRDefault="001F33BE" w:rsidP="001F33BE"/>
    <w:p w14:paraId="3DEA7F2F" w14:textId="5585A513" w:rsidR="001F33BE" w:rsidRDefault="001F33BE" w:rsidP="001F33BE">
      <w:r>
        <w:t>Following completion of data collection,</w:t>
      </w:r>
      <w:r w:rsidR="002F0109" w:rsidRPr="002F0109">
        <w:t xml:space="preserve"> </w:t>
      </w:r>
      <w:r w:rsidR="002F0109">
        <w:t>all SPSS files extracted from the fillable PDF forms will be merged into one SPSS file. The PIN identifiers will be reviewed to ensure that all expected cases are in this merged file. The assignment of response labels, question text, and other metadata will be applied to the SPSS file</w:t>
      </w:r>
      <w:r>
        <w:t xml:space="preserve">. </w:t>
      </w:r>
      <w:r w:rsidR="002243FE">
        <w:t>The original PDFs</w:t>
      </w:r>
      <w:r w:rsidR="009A4E2A">
        <w:t>, paper surveys</w:t>
      </w:r>
      <w:r w:rsidR="002243FE">
        <w:t>, SPSS extracted data and Excel extracted data (if applicable) will be stored in their original forms and delivered to BJS at the end of the project.</w:t>
      </w:r>
      <w:r>
        <w:t xml:space="preserve"> </w:t>
      </w:r>
    </w:p>
    <w:p w14:paraId="681E043D" w14:textId="77777777" w:rsidR="001F33BE" w:rsidRDefault="001F33BE" w:rsidP="001F33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u w:val="single"/>
        </w:rPr>
      </w:pPr>
    </w:p>
    <w:p w14:paraId="62959404" w14:textId="6D028D5A" w:rsidR="001F33BE" w:rsidRDefault="001F33BE" w:rsidP="001F33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Pr>
          <w:b/>
          <w:color w:val="000000" w:themeColor="text1"/>
        </w:rPr>
        <w:t>Second d</w:t>
      </w:r>
      <w:r w:rsidRPr="00CB062C">
        <w:rPr>
          <w:b/>
          <w:color w:val="000000" w:themeColor="text1"/>
        </w:rPr>
        <w:t>ata review:</w:t>
      </w:r>
      <w:r w:rsidRPr="00B80372">
        <w:rPr>
          <w:color w:val="000000" w:themeColor="text1"/>
        </w:rPr>
        <w:t xml:space="preserve"> Once the data ha</w:t>
      </w:r>
      <w:r>
        <w:rPr>
          <w:color w:val="000000" w:themeColor="text1"/>
        </w:rPr>
        <w:t>ve</w:t>
      </w:r>
      <w:r w:rsidRPr="00B80372">
        <w:rPr>
          <w:color w:val="000000" w:themeColor="text1"/>
        </w:rPr>
        <w:t xml:space="preserve"> been entered into the database,</w:t>
      </w:r>
      <w:r w:rsidR="002F0109" w:rsidRPr="002F0109">
        <w:rPr>
          <w:color w:val="000000" w:themeColor="text1"/>
        </w:rPr>
        <w:t xml:space="preserve"> </w:t>
      </w:r>
      <w:r w:rsidR="002F0109">
        <w:rPr>
          <w:color w:val="000000" w:themeColor="text1"/>
        </w:rPr>
        <w:t>they</w:t>
      </w:r>
      <w:r w:rsidR="002F0109" w:rsidRPr="00B80372">
        <w:rPr>
          <w:color w:val="000000" w:themeColor="text1"/>
        </w:rPr>
        <w:t xml:space="preserve"> will be made available to BJS via </w:t>
      </w:r>
      <w:r w:rsidR="002F0109">
        <w:rPr>
          <w:color w:val="000000" w:themeColor="text1"/>
        </w:rPr>
        <w:t>the DOJ-approved Box JEFS</w:t>
      </w:r>
      <w:r w:rsidR="002F0109" w:rsidRPr="00B80372">
        <w:rPr>
          <w:color w:val="000000" w:themeColor="text1"/>
        </w:rPr>
        <w:t xml:space="preserve"> site</w:t>
      </w:r>
      <w:r w:rsidRPr="00B80372">
        <w:rPr>
          <w:color w:val="000000" w:themeColor="text1"/>
        </w:rPr>
        <w:t xml:space="preserve">. </w:t>
      </w:r>
      <w:r>
        <w:rPr>
          <w:color w:val="000000" w:themeColor="text1"/>
        </w:rPr>
        <w:t>The data collection agent will make data available to BJS on a biweekly basis.</w:t>
      </w:r>
      <w:r w:rsidRPr="00B80372">
        <w:rPr>
          <w:color w:val="000000" w:themeColor="text1"/>
        </w:rPr>
        <w:t xml:space="preserve"> To confirm that editing rules are being followed, the data collection agent will review frequencies for the entered data </w:t>
      </w:r>
      <w:r>
        <w:rPr>
          <w:color w:val="000000" w:themeColor="text1"/>
        </w:rPr>
        <w:t>on a biweekly basis</w:t>
      </w:r>
      <w:r w:rsidRPr="00B80372">
        <w:rPr>
          <w:color w:val="000000" w:themeColor="text1"/>
        </w:rPr>
        <w:t>.</w:t>
      </w:r>
      <w:r>
        <w:rPr>
          <w:color w:val="000000" w:themeColor="text1"/>
        </w:rPr>
        <w:t xml:space="preserve"> </w:t>
      </w:r>
      <w:r w:rsidRPr="00B80372">
        <w:rPr>
          <w:color w:val="000000" w:themeColor="text1"/>
        </w:rPr>
        <w:t>All issues will be investigated and resolved.</w:t>
      </w:r>
    </w:p>
    <w:p w14:paraId="1F5C40F6" w14:textId="77777777" w:rsidR="001F33BE" w:rsidRDefault="001F33BE" w:rsidP="001F33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p>
    <w:p w14:paraId="3134D93C" w14:textId="1976B6A6" w:rsidR="001F33BE" w:rsidRDefault="001F33BE" w:rsidP="001F33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Pr>
          <w:b/>
          <w:color w:val="000000" w:themeColor="text1"/>
        </w:rPr>
        <w:t>Thank you</w:t>
      </w:r>
      <w:r w:rsidR="00380D55">
        <w:rPr>
          <w:b/>
          <w:color w:val="000000" w:themeColor="text1"/>
        </w:rPr>
        <w:t xml:space="preserve"> responses</w:t>
      </w:r>
      <w:r>
        <w:rPr>
          <w:b/>
          <w:color w:val="000000" w:themeColor="text1"/>
        </w:rPr>
        <w:t xml:space="preserve">: </w:t>
      </w:r>
      <w:r>
        <w:rPr>
          <w:color w:val="000000" w:themeColor="text1"/>
        </w:rPr>
        <w:t xml:space="preserve">After verification, the respondent will be </w:t>
      </w:r>
      <w:r w:rsidR="00380D55">
        <w:rPr>
          <w:color w:val="000000" w:themeColor="text1"/>
        </w:rPr>
        <w:t xml:space="preserve">immediately </w:t>
      </w:r>
      <w:r>
        <w:rPr>
          <w:color w:val="000000" w:themeColor="text1"/>
        </w:rPr>
        <w:t xml:space="preserve">sent an e-mail to confirm the receipt of the data and to thank them for their participation (Attachment </w:t>
      </w:r>
      <w:r w:rsidR="00490576">
        <w:rPr>
          <w:color w:val="000000" w:themeColor="text1"/>
        </w:rPr>
        <w:t>1</w:t>
      </w:r>
      <w:r w:rsidR="009052A4">
        <w:rPr>
          <w:color w:val="000000" w:themeColor="text1"/>
        </w:rPr>
        <w:t>5</w:t>
      </w:r>
      <w:r>
        <w:rPr>
          <w:color w:val="000000" w:themeColor="text1"/>
        </w:rPr>
        <w:t xml:space="preserve">). The email serves to thank the respondent, to inform them that their data has been included in the </w:t>
      </w:r>
      <w:r w:rsidR="00E25569">
        <w:rPr>
          <w:color w:val="000000" w:themeColor="text1"/>
        </w:rPr>
        <w:t>SSLEASLTL</w:t>
      </w:r>
      <w:r>
        <w:rPr>
          <w:color w:val="000000" w:themeColor="text1"/>
        </w:rPr>
        <w:t xml:space="preserve">, and to provide estimated publication dates of the report. </w:t>
      </w:r>
      <w:r w:rsidR="009052A4">
        <w:rPr>
          <w:color w:val="000000" w:themeColor="text1"/>
        </w:rPr>
        <w:t xml:space="preserve">In the event the respondent did not provide a valid e-mail address, the thank-you e-mail will be sent via </w:t>
      </w:r>
      <w:r>
        <w:rPr>
          <w:color w:val="000000" w:themeColor="text1"/>
        </w:rPr>
        <w:t xml:space="preserve">standard mail.  </w:t>
      </w:r>
    </w:p>
    <w:p w14:paraId="04EC6C07" w14:textId="364162B7" w:rsidR="00296C86" w:rsidRDefault="00296C86">
      <w:pPr>
        <w:spacing w:after="200" w:line="276" w:lineRule="auto"/>
        <w:rPr>
          <w:color w:val="000000" w:themeColor="text1"/>
        </w:rPr>
      </w:pPr>
      <w:r>
        <w:rPr>
          <w:color w:val="000000" w:themeColor="text1"/>
        </w:rPr>
        <w:br w:type="page"/>
      </w:r>
    </w:p>
    <w:p w14:paraId="65287812" w14:textId="7CF90E99" w:rsidR="00BB2622" w:rsidRDefault="00B80372"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sidRPr="00297375">
        <w:rPr>
          <w:i/>
          <w:color w:val="000000" w:themeColor="text1"/>
        </w:rPr>
        <w:lastRenderedPageBreak/>
        <w:t>Adjusting for Non-Response</w:t>
      </w:r>
      <w:r w:rsidRPr="00B80372">
        <w:rPr>
          <w:color w:val="000000" w:themeColor="text1"/>
        </w:rPr>
        <w:t xml:space="preserve"> </w:t>
      </w:r>
    </w:p>
    <w:p w14:paraId="15F5773F" w14:textId="77777777" w:rsidR="00BB2622" w:rsidRDefault="00BB2622"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p>
    <w:p w14:paraId="7501C8ED" w14:textId="522F5C9F" w:rsidR="00B80372" w:rsidRPr="00B80372" w:rsidRDefault="00B80372"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sidRPr="00B80372">
        <w:rPr>
          <w:color w:val="000000" w:themeColor="text1"/>
        </w:rPr>
        <w:t xml:space="preserve">Although </w:t>
      </w:r>
      <w:r w:rsidR="00297375">
        <w:rPr>
          <w:color w:val="000000" w:themeColor="text1"/>
        </w:rPr>
        <w:t>it is anticipated that</w:t>
      </w:r>
      <w:r w:rsidRPr="00B80372">
        <w:rPr>
          <w:color w:val="000000" w:themeColor="text1"/>
        </w:rPr>
        <w:t xml:space="preserve"> the </w:t>
      </w:r>
      <w:r w:rsidR="00C22D8F">
        <w:rPr>
          <w:color w:val="000000" w:themeColor="text1"/>
        </w:rPr>
        <w:t>steps</w:t>
      </w:r>
      <w:r w:rsidRPr="00B80372">
        <w:rPr>
          <w:color w:val="000000" w:themeColor="text1"/>
        </w:rPr>
        <w:t xml:space="preserve"> mentioned </w:t>
      </w:r>
      <w:r w:rsidR="00C22D8F">
        <w:rPr>
          <w:color w:val="000000" w:themeColor="text1"/>
        </w:rPr>
        <w:t>above</w:t>
      </w:r>
      <w:r w:rsidRPr="00B80372">
        <w:rPr>
          <w:color w:val="000000" w:themeColor="text1"/>
        </w:rPr>
        <w:t xml:space="preserve"> will result in participation from </w:t>
      </w:r>
      <w:r w:rsidR="00297375">
        <w:rPr>
          <w:color w:val="000000" w:themeColor="text1"/>
        </w:rPr>
        <w:t>a</w:t>
      </w:r>
      <w:r w:rsidRPr="00B80372">
        <w:rPr>
          <w:color w:val="000000" w:themeColor="text1"/>
        </w:rPr>
        <w:t xml:space="preserve"> large </w:t>
      </w:r>
      <w:r w:rsidR="00297375">
        <w:rPr>
          <w:color w:val="000000" w:themeColor="text1"/>
        </w:rPr>
        <w:t xml:space="preserve">number of agencies, </w:t>
      </w:r>
      <w:r w:rsidRPr="00B80372">
        <w:rPr>
          <w:color w:val="000000" w:themeColor="text1"/>
        </w:rPr>
        <w:t xml:space="preserve">there will </w:t>
      </w:r>
      <w:r w:rsidR="00297375">
        <w:rPr>
          <w:color w:val="000000" w:themeColor="text1"/>
        </w:rPr>
        <w:t xml:space="preserve">always be a small percentage </w:t>
      </w:r>
      <w:r w:rsidRPr="00B80372">
        <w:rPr>
          <w:color w:val="000000" w:themeColor="text1"/>
        </w:rPr>
        <w:t xml:space="preserve">that </w:t>
      </w:r>
      <w:r w:rsidR="00297375">
        <w:rPr>
          <w:color w:val="000000" w:themeColor="text1"/>
        </w:rPr>
        <w:t>do not complete the survey in a timely manner</w:t>
      </w:r>
      <w:r w:rsidRPr="00B80372">
        <w:rPr>
          <w:color w:val="000000" w:themeColor="text1"/>
        </w:rPr>
        <w:t xml:space="preserve">. For these respondents, </w:t>
      </w:r>
      <w:r w:rsidR="00053E13">
        <w:rPr>
          <w:color w:val="000000" w:themeColor="text1"/>
        </w:rPr>
        <w:t>offering a Limited</w:t>
      </w:r>
      <w:r w:rsidR="00BB2565">
        <w:rPr>
          <w:color w:val="000000" w:themeColor="text1"/>
        </w:rPr>
        <w:t xml:space="preserve"> Item</w:t>
      </w:r>
      <w:r w:rsidR="00053E13">
        <w:rPr>
          <w:color w:val="000000" w:themeColor="text1"/>
        </w:rPr>
        <w:t>s</w:t>
      </w:r>
      <w:r w:rsidR="00BB2565">
        <w:rPr>
          <w:color w:val="000000" w:themeColor="text1"/>
        </w:rPr>
        <w:t xml:space="preserve"> Questionnaire will reduce unit non-response. While</w:t>
      </w:r>
      <w:r w:rsidRPr="00B80372">
        <w:rPr>
          <w:color w:val="000000" w:themeColor="text1"/>
        </w:rPr>
        <w:t xml:space="preserve"> not ideal, reducing the number of items and respondent burden will allow for collection of the most important data items from those respondents who previously could not complete the entire survey because of time and/or reporting constraints</w:t>
      </w:r>
      <w:r w:rsidR="00053E13">
        <w:rPr>
          <w:color w:val="000000" w:themeColor="text1"/>
        </w:rPr>
        <w:t xml:space="preserve"> and provide data to support a nonresponse bias study</w:t>
      </w:r>
      <w:r w:rsidR="00053E13" w:rsidRPr="00B80372">
        <w:rPr>
          <w:color w:val="000000" w:themeColor="text1"/>
        </w:rPr>
        <w:t xml:space="preserve">. </w:t>
      </w:r>
      <w:r w:rsidR="00053E13">
        <w:rPr>
          <w:color w:val="000000" w:themeColor="text1"/>
        </w:rPr>
        <w:t>The data collector will complete an item response rate report.  Questions that are least likely to be answered by respondents will be considered for elimination from the limited item questionnaire.</w:t>
      </w:r>
      <w:r w:rsidRPr="00B80372">
        <w:rPr>
          <w:color w:val="000000" w:themeColor="text1"/>
        </w:rPr>
        <w:t xml:space="preserve"> </w:t>
      </w:r>
    </w:p>
    <w:p w14:paraId="6086257B" w14:textId="77777777" w:rsidR="00B80372" w:rsidRPr="00B80372" w:rsidRDefault="00B80372"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color w:val="000000" w:themeColor="text1"/>
        </w:rPr>
      </w:pPr>
    </w:p>
    <w:p w14:paraId="04A63421" w14:textId="0D3BD7A1" w:rsidR="00053E13" w:rsidRPr="009F6563" w:rsidRDefault="002F0109" w:rsidP="00053E13">
      <w:pPr>
        <w:pStyle w:val="SP-SglSpPara"/>
        <w:tabs>
          <w:tab w:val="left" w:pos="720"/>
        </w:tabs>
        <w:ind w:firstLine="0"/>
        <w:jc w:val="left"/>
        <w:rPr>
          <w:color w:val="000000" w:themeColor="text1"/>
          <w:sz w:val="24"/>
          <w:szCs w:val="24"/>
        </w:rPr>
      </w:pPr>
      <w:r>
        <w:rPr>
          <w:color w:val="000000" w:themeColor="text1"/>
          <w:sz w:val="24"/>
          <w:szCs w:val="24"/>
        </w:rPr>
        <w:t xml:space="preserve">After conducting a nonresponse bias analysis, </w:t>
      </w:r>
      <w:r w:rsidR="00A63608">
        <w:rPr>
          <w:color w:val="000000" w:themeColor="text1"/>
          <w:sz w:val="24"/>
          <w:szCs w:val="24"/>
        </w:rPr>
        <w:t>the data collector will</w:t>
      </w:r>
      <w:r w:rsidR="00B80372" w:rsidRPr="00053E13">
        <w:rPr>
          <w:color w:val="000000" w:themeColor="text1"/>
          <w:sz w:val="24"/>
          <w:szCs w:val="24"/>
        </w:rPr>
        <w:t xml:space="preserve"> employ imputation or weighting adjustments to r</w:t>
      </w:r>
      <w:r w:rsidR="00A63608">
        <w:rPr>
          <w:color w:val="000000" w:themeColor="text1"/>
          <w:sz w:val="24"/>
          <w:szCs w:val="24"/>
        </w:rPr>
        <w:t>educe bias and to provide estimates. W</w:t>
      </w:r>
      <w:r w:rsidR="00B80372" w:rsidRPr="00053E13">
        <w:rPr>
          <w:color w:val="000000" w:themeColor="text1"/>
          <w:sz w:val="24"/>
          <w:szCs w:val="24"/>
        </w:rPr>
        <w:t xml:space="preserve">hile high </w:t>
      </w:r>
      <w:r w:rsidR="00A63608">
        <w:rPr>
          <w:color w:val="000000" w:themeColor="text1"/>
          <w:sz w:val="24"/>
          <w:szCs w:val="24"/>
        </w:rPr>
        <w:t xml:space="preserve">unit and </w:t>
      </w:r>
      <w:r w:rsidR="00B80372" w:rsidRPr="00053E13">
        <w:rPr>
          <w:color w:val="000000" w:themeColor="text1"/>
          <w:sz w:val="24"/>
          <w:szCs w:val="24"/>
        </w:rPr>
        <w:t xml:space="preserve">item response is anticipated, </w:t>
      </w:r>
      <w:r w:rsidR="00BB2565" w:rsidRPr="00053E13">
        <w:rPr>
          <w:color w:val="000000" w:themeColor="text1"/>
          <w:sz w:val="24"/>
          <w:szCs w:val="24"/>
        </w:rPr>
        <w:t>agencies</w:t>
      </w:r>
      <w:r w:rsidR="00B80372" w:rsidRPr="00053E13">
        <w:rPr>
          <w:color w:val="000000" w:themeColor="text1"/>
          <w:sz w:val="24"/>
          <w:szCs w:val="24"/>
        </w:rPr>
        <w:t xml:space="preserve"> may leave items blank due to lack of access to the information or the fact that the data are not being recorded by the law enforcement agency’s records management system</w:t>
      </w:r>
      <w:r w:rsidR="00053E13" w:rsidRPr="00053E13">
        <w:rPr>
          <w:color w:val="000000" w:themeColor="text1"/>
          <w:sz w:val="24"/>
          <w:szCs w:val="24"/>
        </w:rPr>
        <w:t xml:space="preserve">. We anticipate that the inclusion of an “unknown” response option will reduce the item nonresponse; however, “unknown” responses are essentially missing data. </w:t>
      </w:r>
      <w:r>
        <w:rPr>
          <w:color w:val="000000" w:themeColor="text1"/>
          <w:sz w:val="24"/>
          <w:szCs w:val="24"/>
        </w:rPr>
        <w:t>Based on the results of the nonresponse bias analysis, the data collection agent plans to use the hot-deck imputation method for</w:t>
      </w:r>
      <w:r w:rsidR="00EE73F4">
        <w:rPr>
          <w:color w:val="000000" w:themeColor="text1"/>
          <w:sz w:val="24"/>
          <w:szCs w:val="24"/>
        </w:rPr>
        <w:t xml:space="preserve"> </w:t>
      </w:r>
      <w:r w:rsidR="00053E13" w:rsidRPr="00053E13">
        <w:rPr>
          <w:color w:val="000000" w:themeColor="text1"/>
          <w:sz w:val="24"/>
          <w:szCs w:val="24"/>
        </w:rPr>
        <w:t xml:space="preserve">missing or unknown responses to ensure complete, quality data files. </w:t>
      </w:r>
      <w:r>
        <w:rPr>
          <w:color w:val="000000" w:themeColor="text1"/>
          <w:sz w:val="24"/>
          <w:szCs w:val="24"/>
        </w:rPr>
        <w:t>If the nonresponse bias analysis does not support the hot deck method (i.e., the items missing are not missing at random), the data collection agent’s statisticians will work with BJS statisticians to determine the most appropriate methods of imputing the missing data.</w:t>
      </w:r>
      <w:r w:rsidR="00053E13" w:rsidRPr="003D2250">
        <w:rPr>
          <w:color w:val="000000" w:themeColor="text1"/>
          <w:sz w:val="24"/>
          <w:szCs w:val="24"/>
        </w:rPr>
        <w:t xml:space="preserve"> Imputed values will be merged into the data file (and</w:t>
      </w:r>
      <w:r w:rsidRPr="002F0109">
        <w:rPr>
          <w:color w:val="000000" w:themeColor="text1"/>
          <w:sz w:val="24"/>
          <w:szCs w:val="24"/>
        </w:rPr>
        <w:t xml:space="preserve"> </w:t>
      </w:r>
      <w:r>
        <w:rPr>
          <w:color w:val="000000" w:themeColor="text1"/>
          <w:sz w:val="24"/>
          <w:szCs w:val="24"/>
        </w:rPr>
        <w:t>flagged</w:t>
      </w:r>
      <w:r w:rsidR="00053E13" w:rsidRPr="003D2250">
        <w:rPr>
          <w:color w:val="000000" w:themeColor="text1"/>
          <w:sz w:val="24"/>
          <w:szCs w:val="24"/>
        </w:rPr>
        <w:t xml:space="preserve">) prior to delivery to BJS and subsequent archiving. </w:t>
      </w:r>
      <w:r w:rsidR="00053E13" w:rsidRPr="009F6563">
        <w:rPr>
          <w:color w:val="000000" w:themeColor="text1"/>
          <w:sz w:val="24"/>
          <w:szCs w:val="24"/>
        </w:rPr>
        <w:t xml:space="preserve">Traditional non-response weighting adjustments will be used to compensate for unit non-response. </w:t>
      </w:r>
    </w:p>
    <w:p w14:paraId="3782029C" w14:textId="77777777" w:rsidR="00F83656" w:rsidRDefault="00F83656" w:rsidP="00D649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14:paraId="2B3401C1" w14:textId="069665FE" w:rsidR="00C839D7" w:rsidRDefault="009052A4" w:rsidP="00AF0D04">
      <w:pPr>
        <w:pStyle w:val="SP-SglSpPara"/>
        <w:tabs>
          <w:tab w:val="left" w:pos="720"/>
        </w:tabs>
        <w:ind w:firstLine="0"/>
        <w:jc w:val="left"/>
        <w:rPr>
          <w:color w:val="000000" w:themeColor="text1"/>
          <w:sz w:val="24"/>
          <w:szCs w:val="24"/>
        </w:rPr>
      </w:pPr>
      <w:r>
        <w:rPr>
          <w:color w:val="000000" w:themeColor="text1"/>
          <w:sz w:val="24"/>
          <w:szCs w:val="24"/>
        </w:rPr>
        <w:t xml:space="preserve">The final response rate will likely be </w:t>
      </w:r>
      <w:r w:rsidR="00F83656" w:rsidRPr="004E2724">
        <w:rPr>
          <w:color w:val="000000" w:themeColor="text1"/>
          <w:sz w:val="24"/>
          <w:szCs w:val="24"/>
        </w:rPr>
        <w:t>a nonrandom sample of the study population due to differential response rate</w:t>
      </w:r>
      <w:r w:rsidR="002F0109">
        <w:rPr>
          <w:color w:val="000000" w:themeColor="text1"/>
          <w:sz w:val="24"/>
          <w:szCs w:val="24"/>
        </w:rPr>
        <w:t>s</w:t>
      </w:r>
      <w:r w:rsidR="00F83656" w:rsidRPr="004E2724">
        <w:rPr>
          <w:color w:val="000000" w:themeColor="text1"/>
          <w:sz w:val="24"/>
          <w:szCs w:val="24"/>
        </w:rPr>
        <w:t xml:space="preserve"> across subpopulations. Agency characteristics that may affect response include: state vs. local agency, agency size, agency location, </w:t>
      </w:r>
      <w:r w:rsidR="00C839D7">
        <w:rPr>
          <w:color w:val="000000" w:themeColor="text1"/>
          <w:sz w:val="24"/>
          <w:szCs w:val="24"/>
        </w:rPr>
        <w:t xml:space="preserve">agency resources, </w:t>
      </w:r>
      <w:r>
        <w:rPr>
          <w:color w:val="000000" w:themeColor="text1"/>
          <w:sz w:val="24"/>
          <w:szCs w:val="24"/>
        </w:rPr>
        <w:t xml:space="preserve">and </w:t>
      </w:r>
      <w:r w:rsidR="00C839D7">
        <w:rPr>
          <w:color w:val="000000" w:themeColor="text1"/>
          <w:sz w:val="24"/>
          <w:szCs w:val="24"/>
        </w:rPr>
        <w:t>other factors</w:t>
      </w:r>
      <w:r w:rsidR="00F83656" w:rsidRPr="004E2724">
        <w:rPr>
          <w:color w:val="000000" w:themeColor="text1"/>
          <w:sz w:val="24"/>
          <w:szCs w:val="24"/>
        </w:rPr>
        <w:t>.</w:t>
      </w:r>
      <w:r w:rsidR="00C839D7">
        <w:rPr>
          <w:color w:val="000000" w:themeColor="text1"/>
          <w:sz w:val="24"/>
          <w:szCs w:val="24"/>
        </w:rPr>
        <w:t xml:space="preserve"> </w:t>
      </w:r>
      <w:r w:rsidR="00C839D7" w:rsidRPr="00D32CAA">
        <w:rPr>
          <w:color w:val="000000" w:themeColor="text1"/>
          <w:sz w:val="24"/>
          <w:szCs w:val="24"/>
        </w:rPr>
        <w:t>To reduce potential nonresponse bias, NORC proposes to develop an analysis weight for each respondent through a weighting adjustment procedure. The base weight is assumed to be 1 for all sample members</w:t>
      </w:r>
      <w:r w:rsidR="002F0109">
        <w:rPr>
          <w:color w:val="000000" w:themeColor="text1"/>
          <w:sz w:val="24"/>
          <w:szCs w:val="24"/>
        </w:rPr>
        <w:t xml:space="preserve"> where the survey has a 100% response rate</w:t>
      </w:r>
      <w:r w:rsidR="00C839D7" w:rsidRPr="00D32CAA">
        <w:rPr>
          <w:color w:val="000000" w:themeColor="text1"/>
          <w:sz w:val="24"/>
          <w:szCs w:val="24"/>
        </w:rPr>
        <w:t>.</w:t>
      </w:r>
      <w:r w:rsidR="002F0109">
        <w:rPr>
          <w:color w:val="000000" w:themeColor="text1"/>
          <w:sz w:val="24"/>
          <w:szCs w:val="24"/>
        </w:rPr>
        <w:t xml:space="preserve"> As response rates decline, responding agencies will be weighted to be more than 1 based on adjustment cells and non-responding agencies will be weighted as 0.</w:t>
      </w:r>
      <w:r>
        <w:rPr>
          <w:color w:val="000000" w:themeColor="text1"/>
          <w:sz w:val="24"/>
          <w:szCs w:val="24"/>
        </w:rPr>
        <w:t xml:space="preserve"> T</w:t>
      </w:r>
      <w:r w:rsidR="004156BD">
        <w:rPr>
          <w:color w:val="000000" w:themeColor="text1"/>
          <w:sz w:val="24"/>
          <w:szCs w:val="24"/>
        </w:rPr>
        <w:t xml:space="preserve">he </w:t>
      </w:r>
      <w:r w:rsidR="00C839D7" w:rsidRPr="00D32CAA">
        <w:rPr>
          <w:color w:val="000000" w:themeColor="text1"/>
          <w:sz w:val="24"/>
          <w:szCs w:val="24"/>
        </w:rPr>
        <w:t xml:space="preserve">adjustment cells will be defined by </w:t>
      </w:r>
      <w:r w:rsidR="00C839D7">
        <w:rPr>
          <w:color w:val="000000" w:themeColor="text1"/>
          <w:sz w:val="24"/>
          <w:szCs w:val="24"/>
        </w:rPr>
        <w:t xml:space="preserve">agency type, population </w:t>
      </w:r>
      <w:r w:rsidR="00C839D7" w:rsidRPr="00D32CAA">
        <w:rPr>
          <w:color w:val="000000" w:themeColor="text1"/>
          <w:sz w:val="24"/>
          <w:szCs w:val="24"/>
        </w:rPr>
        <w:t xml:space="preserve">size, and possibly other characteristics that are correlated with </w:t>
      </w:r>
      <w:r w:rsidR="004156BD">
        <w:rPr>
          <w:color w:val="000000" w:themeColor="text1"/>
          <w:sz w:val="24"/>
          <w:szCs w:val="24"/>
        </w:rPr>
        <w:t>n</w:t>
      </w:r>
      <w:r w:rsidR="00C839D7" w:rsidRPr="00D32CAA">
        <w:rPr>
          <w:color w:val="000000" w:themeColor="text1"/>
          <w:sz w:val="24"/>
          <w:szCs w:val="24"/>
        </w:rPr>
        <w:t xml:space="preserve">onresponse. Agency </w:t>
      </w:r>
      <w:r w:rsidR="00C839D7">
        <w:rPr>
          <w:color w:val="000000" w:themeColor="text1"/>
          <w:sz w:val="24"/>
          <w:szCs w:val="24"/>
        </w:rPr>
        <w:t xml:space="preserve">type may be defined as state vs. local; </w:t>
      </w:r>
      <w:r w:rsidR="00C839D7" w:rsidRPr="00D32CAA">
        <w:rPr>
          <w:color w:val="000000" w:themeColor="text1"/>
          <w:sz w:val="24"/>
          <w:szCs w:val="24"/>
        </w:rPr>
        <w:t xml:space="preserve">size may be defined by the population size </w:t>
      </w:r>
      <w:r w:rsidR="00E25569">
        <w:rPr>
          <w:color w:val="000000" w:themeColor="text1"/>
          <w:sz w:val="24"/>
          <w:szCs w:val="24"/>
        </w:rPr>
        <w:t xml:space="preserve">served by </w:t>
      </w:r>
      <w:r w:rsidR="00C839D7" w:rsidRPr="00D32CAA">
        <w:rPr>
          <w:color w:val="000000" w:themeColor="text1"/>
          <w:sz w:val="24"/>
          <w:szCs w:val="24"/>
        </w:rPr>
        <w:t xml:space="preserve">the </w:t>
      </w:r>
      <w:r w:rsidR="00E25569">
        <w:rPr>
          <w:color w:val="000000" w:themeColor="text1"/>
          <w:sz w:val="24"/>
          <w:szCs w:val="24"/>
        </w:rPr>
        <w:t>law enforcement agency</w:t>
      </w:r>
      <w:r w:rsidR="008B78B5">
        <w:rPr>
          <w:color w:val="000000" w:themeColor="text1"/>
          <w:sz w:val="24"/>
          <w:szCs w:val="24"/>
        </w:rPr>
        <w:t xml:space="preserve"> or the number of sworn officers in the agency</w:t>
      </w:r>
      <w:r w:rsidR="00C839D7" w:rsidRPr="00D32CAA">
        <w:rPr>
          <w:color w:val="000000" w:themeColor="text1"/>
          <w:sz w:val="24"/>
          <w:szCs w:val="24"/>
        </w:rPr>
        <w:t xml:space="preserve">; </w:t>
      </w:r>
      <w:r w:rsidR="00C839D7">
        <w:rPr>
          <w:color w:val="000000" w:themeColor="text1"/>
          <w:sz w:val="24"/>
          <w:szCs w:val="24"/>
        </w:rPr>
        <w:t xml:space="preserve">and </w:t>
      </w:r>
      <w:r w:rsidR="00C839D7" w:rsidRPr="00D32CAA">
        <w:rPr>
          <w:color w:val="000000" w:themeColor="text1"/>
          <w:sz w:val="24"/>
          <w:szCs w:val="24"/>
        </w:rPr>
        <w:t>location may be defined as urban vs. rural</w:t>
      </w:r>
      <w:r w:rsidR="00C839D7">
        <w:rPr>
          <w:color w:val="000000" w:themeColor="text1"/>
          <w:sz w:val="24"/>
          <w:szCs w:val="24"/>
        </w:rPr>
        <w:t>.</w:t>
      </w:r>
      <w:r w:rsidR="00C839D7" w:rsidRPr="00D32CAA">
        <w:rPr>
          <w:color w:val="000000" w:themeColor="text1"/>
          <w:sz w:val="24"/>
          <w:szCs w:val="24"/>
        </w:rPr>
        <w:t xml:space="preserve"> The final definitions of these variables and the adjustment cells will be determined collaboratively with BJS based on the results of a nonresponse bias analysis. </w:t>
      </w:r>
      <w:r w:rsidR="00C839D7">
        <w:rPr>
          <w:color w:val="000000" w:themeColor="text1"/>
          <w:sz w:val="24"/>
          <w:szCs w:val="24"/>
        </w:rPr>
        <w:t xml:space="preserve">To avoid introducing unnecessary weight variation, we will require that each adjustment cell contain at least 20 cases. </w:t>
      </w:r>
      <w:r w:rsidR="00C839D7" w:rsidRPr="00D32CAA">
        <w:rPr>
          <w:color w:val="000000" w:themeColor="text1"/>
          <w:sz w:val="24"/>
          <w:szCs w:val="24"/>
        </w:rPr>
        <w:t>The final weight</w:t>
      </w:r>
      <w:r w:rsidR="002F0109">
        <w:rPr>
          <w:color w:val="000000" w:themeColor="text1"/>
          <w:sz w:val="24"/>
          <w:szCs w:val="24"/>
        </w:rPr>
        <w:t>s</w:t>
      </w:r>
      <w:r w:rsidR="00C839D7" w:rsidRPr="00D32CAA">
        <w:rPr>
          <w:color w:val="000000" w:themeColor="text1"/>
          <w:sz w:val="24"/>
          <w:szCs w:val="24"/>
        </w:rPr>
        <w:t xml:space="preserve"> may be interpreted as the number of eligible agencies that each responding agency represents in the target population. Therefore, the total weight represents the estimated size of the target population, both overall and by the adjustment cells.</w:t>
      </w:r>
    </w:p>
    <w:p w14:paraId="5E24F994" w14:textId="77777777" w:rsidR="0046642D" w:rsidRDefault="0046642D" w:rsidP="00D649AE">
      <w:pPr>
        <w:pStyle w:val="SP-SglSpPara"/>
        <w:tabs>
          <w:tab w:val="clear" w:pos="576"/>
          <w:tab w:val="left" w:pos="720"/>
        </w:tabs>
        <w:spacing w:line="240" w:lineRule="auto"/>
        <w:ind w:firstLine="0"/>
        <w:jc w:val="left"/>
        <w:rPr>
          <w:color w:val="000000" w:themeColor="text1"/>
          <w:sz w:val="24"/>
          <w:szCs w:val="24"/>
        </w:rPr>
      </w:pPr>
    </w:p>
    <w:p w14:paraId="27521E51" w14:textId="77777777" w:rsidR="002F0109" w:rsidRDefault="002F0109" w:rsidP="00D649AE">
      <w:pPr>
        <w:pStyle w:val="SP-SglSpPara"/>
        <w:tabs>
          <w:tab w:val="clear" w:pos="576"/>
          <w:tab w:val="left" w:pos="720"/>
        </w:tabs>
        <w:spacing w:line="240" w:lineRule="auto"/>
        <w:ind w:firstLine="0"/>
        <w:jc w:val="left"/>
        <w:rPr>
          <w:color w:val="000000" w:themeColor="text1"/>
          <w:sz w:val="24"/>
          <w:szCs w:val="24"/>
        </w:rPr>
      </w:pPr>
    </w:p>
    <w:p w14:paraId="4C4189D0" w14:textId="77777777" w:rsidR="00421095" w:rsidRPr="0046642D" w:rsidRDefault="00421095" w:rsidP="00D649AE">
      <w:pPr>
        <w:pStyle w:val="ListParagraph"/>
        <w:numPr>
          <w:ilvl w:val="0"/>
          <w:numId w:val="5"/>
        </w:numPr>
        <w:ind w:left="360"/>
        <w:contextualSpacing w:val="0"/>
        <w:rPr>
          <w:b/>
        </w:rPr>
      </w:pPr>
      <w:r w:rsidRPr="0046642D">
        <w:rPr>
          <w:b/>
        </w:rPr>
        <w:lastRenderedPageBreak/>
        <w:t>Methods to Maximize Response Rates</w:t>
      </w:r>
    </w:p>
    <w:p w14:paraId="0E73CDD5" w14:textId="77777777" w:rsidR="00B00F46" w:rsidRPr="008D7CC0" w:rsidRDefault="00B00F46" w:rsidP="00D649AE">
      <w:pPr>
        <w:pStyle w:val="ListParagraph"/>
        <w:ind w:left="360"/>
        <w:contextualSpacing w:val="0"/>
        <w:rPr>
          <w:b/>
          <w:u w:val="single"/>
        </w:rPr>
      </w:pPr>
    </w:p>
    <w:p w14:paraId="07682A27" w14:textId="14E774EF" w:rsidR="00B82CDA" w:rsidRDefault="008434A6" w:rsidP="00D649AE">
      <w:r>
        <w:t xml:space="preserve">As a new data collection effort, </w:t>
      </w:r>
      <w:r w:rsidR="00C22D8F">
        <w:t xml:space="preserve">historical response rates for state and local law enforcement agencies serving tribal lands are not available.  </w:t>
      </w:r>
      <w:r w:rsidR="00BC79BC">
        <w:t xml:space="preserve">For the 2004 and 2008 CSLLEA, BJS obtained response rates of over 99%. The </w:t>
      </w:r>
      <w:r w:rsidR="00C22D8F">
        <w:t>response rate for the 2014 CSLLEA</w:t>
      </w:r>
      <w:r w:rsidR="006643CE">
        <w:t xml:space="preserve"> </w:t>
      </w:r>
      <w:r w:rsidR="00C839D7">
        <w:t>was</w:t>
      </w:r>
      <w:r w:rsidR="00BC79BC">
        <w:t xml:space="preserve"> </w:t>
      </w:r>
      <w:r w:rsidR="00C839D7">
        <w:t>80</w:t>
      </w:r>
      <w:r w:rsidR="006643CE">
        <w:t>%</w:t>
      </w:r>
      <w:r w:rsidR="00C22D8F">
        <w:t xml:space="preserve">. </w:t>
      </w:r>
      <w:r w:rsidR="00F02E5D">
        <w:t>BJS expects a response rate of at least 80% for the SSLLEASTL.</w:t>
      </w:r>
    </w:p>
    <w:p w14:paraId="75D62331" w14:textId="77777777" w:rsidR="00C22D8F" w:rsidRDefault="00C22D8F" w:rsidP="00D649AE">
      <w:pPr>
        <w:pStyle w:val="ListParagraph"/>
        <w:ind w:left="360"/>
        <w:contextualSpacing w:val="0"/>
      </w:pPr>
    </w:p>
    <w:p w14:paraId="2F14FB26" w14:textId="0E7DB74A" w:rsidR="00C22D8F" w:rsidRPr="005D7D54" w:rsidRDefault="00C22D8F" w:rsidP="00D649AE">
      <w:pPr>
        <w:rPr>
          <w:color w:val="000000" w:themeColor="text1"/>
        </w:rPr>
      </w:pPr>
      <w:r>
        <w:t>As described in the data collection section, the data collection agent will implement a series of data collection strategies to encourage timely and complete participat</w:t>
      </w:r>
      <w:r w:rsidR="00D02631">
        <w:t>ion</w:t>
      </w:r>
      <w:r>
        <w:t xml:space="preserve">.  Law enforcement agencies will have several modes in which to respond to the </w:t>
      </w:r>
      <w:r w:rsidR="00BA199B">
        <w:rPr>
          <w:color w:val="000000" w:themeColor="text1"/>
        </w:rPr>
        <w:t>SSLLEASTL</w:t>
      </w:r>
      <w:r w:rsidRPr="005D7D54">
        <w:rPr>
          <w:color w:val="000000" w:themeColor="text1"/>
        </w:rPr>
        <w:t xml:space="preserve">, including mail, fax, e-mail, or by telephone. These strategies also incorporate a variety of contacts to encourage response, such as mailing, fax, e-mail and telephone.  </w:t>
      </w:r>
    </w:p>
    <w:p w14:paraId="14EC9D6E" w14:textId="77777777" w:rsidR="00C22D8F" w:rsidRDefault="00C22D8F" w:rsidP="00D649AE">
      <w:pPr>
        <w:pStyle w:val="ListParagraph"/>
        <w:ind w:left="360"/>
        <w:contextualSpacing w:val="0"/>
        <w:rPr>
          <w:color w:val="000000" w:themeColor="text1"/>
        </w:rPr>
      </w:pPr>
    </w:p>
    <w:p w14:paraId="0C8139EC" w14:textId="784ABFE0" w:rsidR="00C22D8F" w:rsidRDefault="00C22D8F" w:rsidP="00D649AE">
      <w:r w:rsidRPr="005D7D54">
        <w:rPr>
          <w:color w:val="000000" w:themeColor="text1"/>
        </w:rPr>
        <w:t xml:space="preserve">A letter of support from </w:t>
      </w:r>
      <w:r>
        <w:t>the International Association of Chiefs of Police (IACP) and the National Sheriffs</w:t>
      </w:r>
      <w:r w:rsidR="007D774F">
        <w:t>’</w:t>
      </w:r>
      <w:r>
        <w:t xml:space="preserve"> Association (NSA) will accompany the initial survey mailing and both organizations will communicate with their membership about the survey</w:t>
      </w:r>
      <w:r w:rsidR="009B229E">
        <w:t>,</w:t>
      </w:r>
      <w:r>
        <w:t xml:space="preserve"> stressing the importance of the data collection and need for the information. </w:t>
      </w:r>
    </w:p>
    <w:p w14:paraId="5173C5C8" w14:textId="77777777" w:rsidR="009B229E" w:rsidRDefault="009B229E" w:rsidP="00D649AE">
      <w:pPr>
        <w:pStyle w:val="ListParagraph"/>
        <w:ind w:left="360"/>
        <w:contextualSpacing w:val="0"/>
      </w:pPr>
    </w:p>
    <w:p w14:paraId="22261AD2" w14:textId="35344477" w:rsidR="00EB1AA6" w:rsidRDefault="00EB1AA6" w:rsidP="00D649AE">
      <w:r>
        <w:t xml:space="preserve">The data collection agent has opted to utilize a ‘fillable’ or interactive PDF document for electronic survey completion in lieu of providing respondents a web survey. The primary reason for pursuing this option is to reduce cost of survey administration and burden on the respondents. During the pilot survey, respondents expressed the desire to complete the survey electronically, but not necessarily while connected to the Internet or online. </w:t>
      </w:r>
      <w:r w:rsidR="00E919E3">
        <w:t>Recent</w:t>
      </w:r>
      <w:r>
        <w:t xml:space="preserve"> administration of the </w:t>
      </w:r>
      <w:r w:rsidR="002F0109">
        <w:t xml:space="preserve">2013 </w:t>
      </w:r>
      <w:r>
        <w:t>CSLLEA found that providing a web</w:t>
      </w:r>
      <w:r w:rsidR="00F02E5D">
        <w:t>-only</w:t>
      </w:r>
      <w:r>
        <w:t xml:space="preserve"> option</w:t>
      </w:r>
      <w:r w:rsidR="002F0109" w:rsidRPr="002F0109">
        <w:t xml:space="preserve"> </w:t>
      </w:r>
      <w:r w:rsidR="002F0109">
        <w:t>increased the amount of time between receipt of the survey and submission of the survey, reducing the initial response rates when compared to the 2008 CSLLEA. Later, the CSLLEA included a web option and a hardcopy option, which increased the response rate</w:t>
      </w:r>
      <w:r w:rsidR="00F02E5D">
        <w:t xml:space="preserve">. </w:t>
      </w:r>
      <w:r>
        <w:t xml:space="preserve">Based on </w:t>
      </w:r>
      <w:r w:rsidR="00F02E5D">
        <w:t xml:space="preserve">the </w:t>
      </w:r>
      <w:r>
        <w:t>sample size for this survey, we expect that the web survey would be minimally used by respondents. Additionally, providing the fillable PDF form allows respondents the flexibility of sharing a partially-completed form with others in their office via email or hard copy, as well as returning the survey electronically or by mail as preferred by the agency.</w:t>
      </w:r>
    </w:p>
    <w:p w14:paraId="3E292B86" w14:textId="77777777" w:rsidR="009B229E" w:rsidRDefault="009B229E" w:rsidP="00D649AE">
      <w:pPr>
        <w:pStyle w:val="ListParagraph"/>
        <w:ind w:left="360"/>
        <w:contextualSpacing w:val="0"/>
      </w:pPr>
    </w:p>
    <w:p w14:paraId="6BEAA60D" w14:textId="313355A9" w:rsidR="00C95593" w:rsidRPr="00B82CDA" w:rsidRDefault="009B229E" w:rsidP="00C95593">
      <w:r>
        <w:t xml:space="preserve">Agencies will be able to contact the data collection agent via e-mail or a toll-free telephone number. </w:t>
      </w:r>
      <w:r w:rsidR="00C95593">
        <w:t xml:space="preserve">This will allow respondents to contact the data collection agent via their preferred methods at no additional cost to them. Further, respondents will be able to email the data collection agent at any time and retrieve the responses when it is most convenient to them.  </w:t>
      </w:r>
    </w:p>
    <w:p w14:paraId="507E4A79" w14:textId="77777777" w:rsidR="00161BC3" w:rsidRDefault="00161BC3" w:rsidP="00D649AE">
      <w:pPr>
        <w:pStyle w:val="Default"/>
        <w:rPr>
          <w:rFonts w:ascii="Times New Roman" w:hAnsi="Times New Roman" w:cs="Times New Roman"/>
          <w:b/>
          <w:color w:val="auto"/>
          <w:u w:val="single"/>
        </w:rPr>
      </w:pPr>
    </w:p>
    <w:p w14:paraId="454CEAE4" w14:textId="370EBF04" w:rsidR="00E24DA3" w:rsidRDefault="0046642D" w:rsidP="00D649AE">
      <w:pPr>
        <w:pStyle w:val="Default"/>
        <w:numPr>
          <w:ilvl w:val="0"/>
          <w:numId w:val="5"/>
        </w:numPr>
        <w:ind w:left="360"/>
        <w:rPr>
          <w:rFonts w:ascii="Times New Roman" w:hAnsi="Times New Roman" w:cs="Times New Roman"/>
          <w:b/>
          <w:color w:val="auto"/>
        </w:rPr>
      </w:pPr>
      <w:r>
        <w:rPr>
          <w:rFonts w:ascii="Times New Roman" w:hAnsi="Times New Roman" w:cs="Times New Roman"/>
          <w:b/>
          <w:color w:val="auto"/>
        </w:rPr>
        <w:t>Testing of procedures</w:t>
      </w:r>
    </w:p>
    <w:p w14:paraId="715077BF" w14:textId="77777777" w:rsidR="0046642D" w:rsidRDefault="0046642D" w:rsidP="00D649AE">
      <w:pPr>
        <w:pStyle w:val="Default"/>
        <w:rPr>
          <w:rFonts w:ascii="Times New Roman" w:hAnsi="Times New Roman" w:cs="Times New Roman"/>
          <w:b/>
          <w:color w:val="auto"/>
        </w:rPr>
      </w:pPr>
    </w:p>
    <w:p w14:paraId="4BC2D432" w14:textId="0C53508B" w:rsidR="0046642D" w:rsidRPr="0046642D" w:rsidRDefault="0046642D" w:rsidP="00D649AE">
      <w:pPr>
        <w:pStyle w:val="Default"/>
        <w:rPr>
          <w:rFonts w:ascii="Times New Roman" w:hAnsi="Times New Roman" w:cs="Times New Roman"/>
          <w:i/>
          <w:color w:val="auto"/>
        </w:rPr>
      </w:pPr>
      <w:r>
        <w:rPr>
          <w:rFonts w:ascii="Times New Roman" w:hAnsi="Times New Roman" w:cs="Times New Roman"/>
          <w:i/>
          <w:color w:val="auto"/>
        </w:rPr>
        <w:t>Pilot test methodology</w:t>
      </w:r>
    </w:p>
    <w:p w14:paraId="1D5B8BCB" w14:textId="108D4C9F" w:rsidR="00DB5046" w:rsidRPr="005D7D54" w:rsidRDefault="004B0EE6" w:rsidP="00D649AE">
      <w:pPr>
        <w:rPr>
          <w:color w:val="000000" w:themeColor="text1"/>
        </w:rPr>
      </w:pPr>
      <w:r>
        <w:t xml:space="preserve">Working with the </w:t>
      </w:r>
      <w:r w:rsidR="00C22D8F">
        <w:t>IACP</w:t>
      </w:r>
      <w:r>
        <w:t xml:space="preserve"> and the </w:t>
      </w:r>
      <w:r w:rsidR="00C22D8F">
        <w:t>NSA</w:t>
      </w:r>
      <w:r>
        <w:t xml:space="preserve">, the data collection agent recruited 9 state and local law enforcement agencies that provide services on tribal lands.  </w:t>
      </w:r>
      <w:r w:rsidR="00716FC9">
        <w:t xml:space="preserve">These agencies were in </w:t>
      </w:r>
      <w:r w:rsidR="00C95593">
        <w:t>Alaska, Arizona, California (2 agencies), Idaho, Montana (did not complete debriefing), Oklahoma (non-responder), Oregon, and Washington</w:t>
      </w:r>
      <w:r w:rsidR="00DB5046">
        <w:t xml:space="preserve">. </w:t>
      </w:r>
      <w:r w:rsidR="00716FC9">
        <w:t xml:space="preserve"> </w:t>
      </w:r>
      <w:r w:rsidR="00C95593">
        <w:t xml:space="preserve">Eight of the nine agencies completed the survey and seven completed the phone debriefing after the pilot survey.  </w:t>
      </w:r>
      <w:r>
        <w:t xml:space="preserve">Each pilot agency was contacted and the </w:t>
      </w:r>
      <w:r w:rsidR="00BA199B">
        <w:rPr>
          <w:color w:val="000000" w:themeColor="text1"/>
        </w:rPr>
        <w:t>SSLLEASTL</w:t>
      </w:r>
      <w:r w:rsidRPr="005D7D54">
        <w:rPr>
          <w:color w:val="000000" w:themeColor="text1"/>
        </w:rPr>
        <w:t xml:space="preserve"> project </w:t>
      </w:r>
      <w:r w:rsidR="00A44EAB" w:rsidRPr="005D7D54">
        <w:rPr>
          <w:color w:val="000000" w:themeColor="text1"/>
        </w:rPr>
        <w:t xml:space="preserve">was </w:t>
      </w:r>
      <w:r w:rsidRPr="005D7D54">
        <w:rPr>
          <w:color w:val="000000" w:themeColor="text1"/>
        </w:rPr>
        <w:t xml:space="preserve">described by telephone and/or e-mail before obtaining agreement that </w:t>
      </w:r>
      <w:r w:rsidRPr="005D7D54">
        <w:rPr>
          <w:color w:val="000000" w:themeColor="text1"/>
        </w:rPr>
        <w:lastRenderedPageBreak/>
        <w:t xml:space="preserve">the agency would participate in the </w:t>
      </w:r>
      <w:r w:rsidR="00BA199B">
        <w:rPr>
          <w:color w:val="000000" w:themeColor="text1"/>
        </w:rPr>
        <w:t>SSLLEASTL</w:t>
      </w:r>
      <w:r w:rsidRPr="005D7D54">
        <w:rPr>
          <w:color w:val="000000" w:themeColor="text1"/>
        </w:rPr>
        <w:t xml:space="preserve"> pilot.  The data collection agent </w:t>
      </w:r>
      <w:r w:rsidR="00DB5046" w:rsidRPr="005D7D54">
        <w:rPr>
          <w:color w:val="000000" w:themeColor="text1"/>
        </w:rPr>
        <w:t xml:space="preserve">then </w:t>
      </w:r>
      <w:r w:rsidRPr="005D7D54">
        <w:rPr>
          <w:color w:val="000000" w:themeColor="text1"/>
        </w:rPr>
        <w:t xml:space="preserve">sent the pilot </w:t>
      </w:r>
      <w:r w:rsidR="00BA199B">
        <w:rPr>
          <w:color w:val="000000" w:themeColor="text1"/>
        </w:rPr>
        <w:t>SSLLEASTL</w:t>
      </w:r>
      <w:r w:rsidRPr="005D7D54">
        <w:rPr>
          <w:color w:val="000000" w:themeColor="text1"/>
        </w:rPr>
        <w:t xml:space="preserve"> survey</w:t>
      </w:r>
      <w:r w:rsidR="008E0E9C" w:rsidRPr="005D7D54">
        <w:rPr>
          <w:color w:val="000000" w:themeColor="text1"/>
        </w:rPr>
        <w:t xml:space="preserve"> </w:t>
      </w:r>
      <w:r w:rsidRPr="005D7D54">
        <w:rPr>
          <w:color w:val="000000" w:themeColor="text1"/>
        </w:rPr>
        <w:t>t</w:t>
      </w:r>
      <w:r w:rsidR="00DB5046" w:rsidRPr="005D7D54">
        <w:rPr>
          <w:color w:val="000000" w:themeColor="text1"/>
        </w:rPr>
        <w:t xml:space="preserve">o each law enforcement agency </w:t>
      </w:r>
      <w:r w:rsidRPr="005D7D54">
        <w:rPr>
          <w:color w:val="000000" w:themeColor="text1"/>
        </w:rPr>
        <w:t>with a cover letter on BJS letterhead</w:t>
      </w:r>
      <w:r w:rsidR="00DB5046" w:rsidRPr="005D7D54">
        <w:rPr>
          <w:color w:val="000000" w:themeColor="text1"/>
        </w:rPr>
        <w:t xml:space="preserve"> (Attachment </w:t>
      </w:r>
      <w:r w:rsidR="004156BD">
        <w:rPr>
          <w:color w:val="000000" w:themeColor="text1"/>
        </w:rPr>
        <w:t>16</w:t>
      </w:r>
      <w:r w:rsidR="00DB5046" w:rsidRPr="005D7D54">
        <w:rPr>
          <w:color w:val="000000" w:themeColor="text1"/>
        </w:rPr>
        <w:t>)</w:t>
      </w:r>
      <w:r w:rsidRPr="005D7D54">
        <w:rPr>
          <w:color w:val="000000" w:themeColor="text1"/>
        </w:rPr>
        <w:t xml:space="preserve"> and a pre-addressed FedEx return label</w:t>
      </w:r>
      <w:r w:rsidR="00DB5046" w:rsidRPr="005D7D54">
        <w:rPr>
          <w:color w:val="000000" w:themeColor="text1"/>
        </w:rPr>
        <w:t>/envelope</w:t>
      </w:r>
      <w:r w:rsidRPr="005D7D54">
        <w:rPr>
          <w:color w:val="000000" w:themeColor="text1"/>
        </w:rPr>
        <w:t>.  Pilot respondents were asked to complete the survey</w:t>
      </w:r>
      <w:r w:rsidR="00DB5046" w:rsidRPr="005D7D54">
        <w:rPr>
          <w:color w:val="000000" w:themeColor="text1"/>
        </w:rPr>
        <w:t xml:space="preserve"> within 4 weeks of the mailing.  The pilot survey also </w:t>
      </w:r>
      <w:r w:rsidRPr="005D7D54">
        <w:rPr>
          <w:color w:val="000000" w:themeColor="text1"/>
        </w:rPr>
        <w:t xml:space="preserve">contained a short series of questions to elicit feedback on the survey.  </w:t>
      </w:r>
    </w:p>
    <w:p w14:paraId="4269454B" w14:textId="77777777" w:rsidR="00DB5046" w:rsidRDefault="00DB5046" w:rsidP="00D649AE">
      <w:pPr>
        <w:pStyle w:val="ListParagraph"/>
        <w:ind w:left="360"/>
        <w:contextualSpacing w:val="0"/>
        <w:rPr>
          <w:color w:val="000000" w:themeColor="text1"/>
        </w:rPr>
      </w:pPr>
    </w:p>
    <w:p w14:paraId="4418D31F" w14:textId="240CEEAE" w:rsidR="00B82CDA" w:rsidRDefault="00DB5046" w:rsidP="00D649AE">
      <w:pPr>
        <w:rPr>
          <w:color w:val="000000" w:themeColor="text1"/>
        </w:rPr>
      </w:pPr>
      <w:r w:rsidRPr="005D7D54">
        <w:rPr>
          <w:color w:val="000000" w:themeColor="text1"/>
        </w:rPr>
        <w:t>The dat</w:t>
      </w:r>
      <w:r w:rsidR="00D02631" w:rsidRPr="005D7D54">
        <w:rPr>
          <w:color w:val="000000" w:themeColor="text1"/>
        </w:rPr>
        <w:t>a</w:t>
      </w:r>
      <w:r w:rsidRPr="005D7D54">
        <w:rPr>
          <w:color w:val="000000" w:themeColor="text1"/>
        </w:rPr>
        <w:t xml:space="preserve"> collection agent made reminder telephone calls and sent reminder e-mails to non-responding agencies to encourage return of the survey and answer questions. </w:t>
      </w:r>
      <w:r w:rsidR="004B0EE6" w:rsidRPr="005D7D54">
        <w:rPr>
          <w:color w:val="000000" w:themeColor="text1"/>
        </w:rPr>
        <w:t xml:space="preserve">As completed surveys were returned to the data collection agent, the data provider was contacted and a debriefing telephone call scheduled.  During the one hour debriefing call, survey questions and </w:t>
      </w:r>
      <w:r w:rsidR="00C839D7">
        <w:rPr>
          <w:color w:val="000000" w:themeColor="text1"/>
        </w:rPr>
        <w:t>response categories</w:t>
      </w:r>
      <w:r w:rsidR="00C839D7" w:rsidRPr="005D7D54">
        <w:rPr>
          <w:color w:val="000000" w:themeColor="text1"/>
        </w:rPr>
        <w:t xml:space="preserve"> </w:t>
      </w:r>
      <w:r w:rsidR="004B0EE6" w:rsidRPr="005D7D54">
        <w:rPr>
          <w:color w:val="000000" w:themeColor="text1"/>
        </w:rPr>
        <w:t>were reviewed for clarity and completeness</w:t>
      </w:r>
      <w:r w:rsidR="00681674" w:rsidRPr="005D7D54">
        <w:rPr>
          <w:color w:val="000000" w:themeColor="text1"/>
        </w:rPr>
        <w:t xml:space="preserve"> (Attachment </w:t>
      </w:r>
      <w:r w:rsidR="004156BD">
        <w:rPr>
          <w:color w:val="000000" w:themeColor="text1"/>
        </w:rPr>
        <w:t>17</w:t>
      </w:r>
      <w:r w:rsidR="00681674" w:rsidRPr="005D7D54">
        <w:rPr>
          <w:color w:val="000000" w:themeColor="text1"/>
        </w:rPr>
        <w:t>)</w:t>
      </w:r>
      <w:r w:rsidR="004B0EE6" w:rsidRPr="005D7D54">
        <w:rPr>
          <w:color w:val="000000" w:themeColor="text1"/>
        </w:rPr>
        <w:t xml:space="preserve">.  Pilot respondents were also asked about the availability of the requested data and burden. </w:t>
      </w:r>
      <w:r w:rsidR="00C839D7">
        <w:rPr>
          <w:color w:val="000000" w:themeColor="text1"/>
        </w:rPr>
        <w:t>The pilot responses culminated in a pilot survey report (Attachment 1</w:t>
      </w:r>
      <w:r w:rsidR="004156BD">
        <w:rPr>
          <w:color w:val="000000" w:themeColor="text1"/>
        </w:rPr>
        <w:t>8</w:t>
      </w:r>
      <w:r w:rsidR="00C839D7">
        <w:rPr>
          <w:color w:val="000000" w:themeColor="text1"/>
        </w:rPr>
        <w:t>).</w:t>
      </w:r>
    </w:p>
    <w:p w14:paraId="4FDE3D63" w14:textId="77777777" w:rsidR="0046642D" w:rsidRDefault="0046642D" w:rsidP="00D649AE">
      <w:pPr>
        <w:rPr>
          <w:color w:val="000000" w:themeColor="text1"/>
        </w:rPr>
      </w:pPr>
    </w:p>
    <w:p w14:paraId="5CE61B0E" w14:textId="02A8E140" w:rsidR="0046642D" w:rsidRPr="0046642D" w:rsidRDefault="0046642D" w:rsidP="00D649AE">
      <w:pPr>
        <w:rPr>
          <w:color w:val="000000" w:themeColor="text1"/>
        </w:rPr>
      </w:pPr>
      <w:r>
        <w:rPr>
          <w:i/>
          <w:color w:val="000000" w:themeColor="text1"/>
        </w:rPr>
        <w:t>Use of pilot feedback</w:t>
      </w:r>
    </w:p>
    <w:p w14:paraId="12CA7596" w14:textId="61535DBC" w:rsidR="004B0EE6" w:rsidRPr="00B82CDA" w:rsidRDefault="004B0EE6" w:rsidP="00D649AE">
      <w:r w:rsidRPr="005D7D54">
        <w:rPr>
          <w:color w:val="000000" w:themeColor="text1"/>
        </w:rPr>
        <w:t xml:space="preserve">Based on </w:t>
      </w:r>
      <w:r w:rsidR="00DB5046" w:rsidRPr="005D7D54">
        <w:rPr>
          <w:color w:val="000000" w:themeColor="text1"/>
        </w:rPr>
        <w:t>feedback from the pilot</w:t>
      </w:r>
      <w:r w:rsidR="006643CE" w:rsidRPr="005D7D54">
        <w:rPr>
          <w:color w:val="000000" w:themeColor="text1"/>
        </w:rPr>
        <w:t xml:space="preserve">, </w:t>
      </w:r>
      <w:r w:rsidR="00C95593">
        <w:rPr>
          <w:color w:val="000000" w:themeColor="text1"/>
        </w:rPr>
        <w:t xml:space="preserve">questions were modified to include an “unknown” option, </w:t>
      </w:r>
      <w:r w:rsidR="002F0109">
        <w:rPr>
          <w:color w:val="000000" w:themeColor="text1"/>
        </w:rPr>
        <w:t xml:space="preserve">allowing </w:t>
      </w:r>
      <w:r w:rsidR="00C95593">
        <w:rPr>
          <w:color w:val="000000" w:themeColor="text1"/>
        </w:rPr>
        <w:t>agencies to provi</w:t>
      </w:r>
      <w:r w:rsidR="00F02E5D">
        <w:rPr>
          <w:color w:val="000000" w:themeColor="text1"/>
        </w:rPr>
        <w:t>de estimates of counts and</w:t>
      </w:r>
      <w:r w:rsidR="00C95593">
        <w:rPr>
          <w:color w:val="000000" w:themeColor="text1"/>
        </w:rPr>
        <w:t xml:space="preserve"> to select calendar year or fiscal year for providing caseload data.  A</w:t>
      </w:r>
      <w:r w:rsidR="006643CE" w:rsidRPr="005D7D54">
        <w:rPr>
          <w:color w:val="000000" w:themeColor="text1"/>
        </w:rPr>
        <w:t xml:space="preserve">gencies will be sent a hardcopy survey as one of the initial mailings and the cover letter accompanying the initial and replacement survey mailings will request that the survey be completed and returned within four weeks.  Pilot agencies indicated that this would be helpful in assigning priority to the survey. A fillable </w:t>
      </w:r>
      <w:r w:rsidR="0095184B" w:rsidRPr="005D7D54">
        <w:rPr>
          <w:color w:val="000000" w:themeColor="text1"/>
        </w:rPr>
        <w:t>PDF</w:t>
      </w:r>
      <w:r w:rsidR="006643CE" w:rsidRPr="005D7D54">
        <w:rPr>
          <w:color w:val="000000" w:themeColor="text1"/>
        </w:rPr>
        <w:t xml:space="preserve"> form will be created to facilitate forwarding of the partially completed survey to agency staff. This will also facilitate saving of the file </w:t>
      </w:r>
      <w:r w:rsidR="001C46F6" w:rsidRPr="005D7D54">
        <w:rPr>
          <w:color w:val="000000" w:themeColor="text1"/>
        </w:rPr>
        <w:t xml:space="preserve">by an agency </w:t>
      </w:r>
      <w:r w:rsidR="006643CE" w:rsidRPr="005D7D54">
        <w:rPr>
          <w:color w:val="000000" w:themeColor="text1"/>
        </w:rPr>
        <w:t>for future reference</w:t>
      </w:r>
      <w:r w:rsidR="00134207" w:rsidRPr="005D7D54">
        <w:rPr>
          <w:color w:val="000000" w:themeColor="text1"/>
        </w:rPr>
        <w:t xml:space="preserve">, </w:t>
      </w:r>
      <w:r w:rsidR="006643CE" w:rsidRPr="005D7D54">
        <w:rPr>
          <w:color w:val="000000" w:themeColor="text1"/>
        </w:rPr>
        <w:t>reduce the need for the age</w:t>
      </w:r>
      <w:r w:rsidR="00134207" w:rsidRPr="005D7D54">
        <w:rPr>
          <w:color w:val="000000" w:themeColor="text1"/>
        </w:rPr>
        <w:t>ncy to print the survey form and will facilitate the submission of the completed form by e-mail.</w:t>
      </w:r>
      <w:r w:rsidR="00274938" w:rsidRPr="005D7D54">
        <w:rPr>
          <w:color w:val="000000" w:themeColor="text1"/>
        </w:rPr>
        <w:t xml:space="preserve"> </w:t>
      </w:r>
    </w:p>
    <w:p w14:paraId="7BBA3D39" w14:textId="04CF40BD" w:rsidR="0007151C" w:rsidRPr="00ED7B60" w:rsidRDefault="0007151C" w:rsidP="00D649AE"/>
    <w:p w14:paraId="4A999B82" w14:textId="77777777" w:rsidR="00421095" w:rsidRPr="0046642D" w:rsidRDefault="00421095" w:rsidP="00D649AE">
      <w:pPr>
        <w:pStyle w:val="ListParagraph"/>
        <w:numPr>
          <w:ilvl w:val="0"/>
          <w:numId w:val="5"/>
        </w:numPr>
        <w:ind w:left="360"/>
        <w:contextualSpacing w:val="0"/>
        <w:rPr>
          <w:b/>
        </w:rPr>
      </w:pPr>
      <w:r w:rsidRPr="0046642D">
        <w:rPr>
          <w:b/>
        </w:rPr>
        <w:t>Contacts for Statistical Aspects and Data Collection</w:t>
      </w:r>
    </w:p>
    <w:p w14:paraId="6CB5CC78" w14:textId="77777777" w:rsidR="00B10FDB" w:rsidRPr="008D7CC0" w:rsidRDefault="00B10FDB" w:rsidP="00D649AE">
      <w:pPr>
        <w:pStyle w:val="ListParagraph"/>
        <w:ind w:left="360"/>
        <w:contextualSpacing w:val="0"/>
        <w:rPr>
          <w:b/>
          <w:u w:val="single"/>
        </w:rPr>
      </w:pPr>
    </w:p>
    <w:p w14:paraId="01EFA02D" w14:textId="6B292206" w:rsidR="00842A7E" w:rsidRDefault="00842A7E" w:rsidP="00D649AE">
      <w:r>
        <w:t>The Bureau of Justice Statistics</w:t>
      </w:r>
      <w:r w:rsidR="00D81CA3">
        <w:t xml:space="preserve">, U. S. Department is the funding agency for the </w:t>
      </w:r>
      <w:r w:rsidR="00BA199B">
        <w:rPr>
          <w:color w:val="000000" w:themeColor="text1"/>
        </w:rPr>
        <w:t>SSLLEASTL</w:t>
      </w:r>
      <w:r w:rsidR="00D81CA3">
        <w:t>.  NORC is the data collection agent</w:t>
      </w:r>
      <w:r>
        <w:t>.</w:t>
      </w:r>
      <w:r w:rsidR="00B82CDA">
        <w:t xml:space="preserve">  </w:t>
      </w:r>
    </w:p>
    <w:p w14:paraId="60E08409" w14:textId="77777777" w:rsidR="00842A7E" w:rsidRDefault="00842A7E" w:rsidP="00D649AE"/>
    <w:p w14:paraId="20363520" w14:textId="26AEFFB7" w:rsidR="00842A7E" w:rsidRPr="00052F2A" w:rsidRDefault="00842A7E" w:rsidP="00D649AE">
      <w:pPr>
        <w:pStyle w:val="ListParagraph"/>
        <w:numPr>
          <w:ilvl w:val="0"/>
          <w:numId w:val="6"/>
        </w:numPr>
        <w:contextualSpacing w:val="0"/>
      </w:pPr>
      <w:r w:rsidRPr="00052F2A">
        <w:t xml:space="preserve">BJS </w:t>
      </w:r>
      <w:r w:rsidR="00B82CDA">
        <w:t>contact</w:t>
      </w:r>
      <w:r w:rsidR="003B6157">
        <w:t>s</w:t>
      </w:r>
      <w:r w:rsidR="00B82CDA">
        <w:t>:</w:t>
      </w:r>
      <w:r w:rsidRPr="00052F2A">
        <w:t xml:space="preserve"> </w:t>
      </w:r>
    </w:p>
    <w:p w14:paraId="65FEBFB5" w14:textId="23D5FCB7" w:rsidR="00842A7E" w:rsidRDefault="00493926" w:rsidP="00D649AE">
      <w:pPr>
        <w:ind w:firstLine="720"/>
      </w:pPr>
      <w:r>
        <w:t>Suzanne</w:t>
      </w:r>
      <w:r w:rsidR="0046642D">
        <w:t xml:space="preserve"> M.</w:t>
      </w:r>
      <w:r>
        <w:t xml:space="preserve"> Strong</w:t>
      </w:r>
    </w:p>
    <w:p w14:paraId="13C800D0" w14:textId="77777777" w:rsidR="00842A7E" w:rsidRDefault="00842A7E" w:rsidP="00D649AE">
      <w:pPr>
        <w:ind w:firstLine="720"/>
      </w:pPr>
      <w:r>
        <w:t xml:space="preserve">U.S. Department of Justice </w:t>
      </w:r>
    </w:p>
    <w:p w14:paraId="7AD3DFC9" w14:textId="77777777" w:rsidR="00842A7E" w:rsidRDefault="00842A7E" w:rsidP="00D649AE">
      <w:pPr>
        <w:ind w:firstLine="720"/>
      </w:pPr>
      <w:r>
        <w:t>Bureau of Justice Statistics</w:t>
      </w:r>
    </w:p>
    <w:p w14:paraId="2D3D1303" w14:textId="77777777" w:rsidR="00842A7E" w:rsidRDefault="00842A7E" w:rsidP="00D649AE">
      <w:pPr>
        <w:ind w:firstLine="720"/>
      </w:pPr>
      <w:r>
        <w:t>810 Seventh Street, N.W.</w:t>
      </w:r>
    </w:p>
    <w:p w14:paraId="1B0F30A2" w14:textId="77777777" w:rsidR="00842A7E" w:rsidRDefault="00842A7E" w:rsidP="00D649AE">
      <w:pPr>
        <w:ind w:firstLine="720"/>
      </w:pPr>
      <w:r>
        <w:t xml:space="preserve">Washington, D.C. 20531 </w:t>
      </w:r>
    </w:p>
    <w:p w14:paraId="0CB3ABC2" w14:textId="17948970" w:rsidR="00493926" w:rsidRDefault="00493926" w:rsidP="00D649AE">
      <w:pPr>
        <w:ind w:firstLine="720"/>
      </w:pPr>
      <w:r w:rsidRPr="004E2724">
        <w:t>Suzanne.M.Strong@usdoj.gov</w:t>
      </w:r>
    </w:p>
    <w:p w14:paraId="2294E8DF" w14:textId="77777777" w:rsidR="003B6157" w:rsidRDefault="003B6157" w:rsidP="00D649AE">
      <w:pPr>
        <w:ind w:firstLine="720"/>
      </w:pPr>
    </w:p>
    <w:p w14:paraId="7A42812C" w14:textId="31057AE0" w:rsidR="003B6157" w:rsidRDefault="003B6157" w:rsidP="00D649AE">
      <w:pPr>
        <w:ind w:firstLine="720"/>
      </w:pPr>
      <w:r>
        <w:t>Howard Snyder</w:t>
      </w:r>
    </w:p>
    <w:p w14:paraId="55B745FB" w14:textId="77777777" w:rsidR="003B6157" w:rsidRDefault="003B6157" w:rsidP="00D649AE">
      <w:pPr>
        <w:ind w:firstLine="720"/>
      </w:pPr>
      <w:r>
        <w:t xml:space="preserve">U.S. Department of Justice </w:t>
      </w:r>
    </w:p>
    <w:p w14:paraId="7304809A" w14:textId="77777777" w:rsidR="003B6157" w:rsidRDefault="003B6157" w:rsidP="00D649AE">
      <w:pPr>
        <w:ind w:firstLine="720"/>
      </w:pPr>
      <w:r>
        <w:t>Bureau of Justice Statistics</w:t>
      </w:r>
    </w:p>
    <w:p w14:paraId="0EC68CA8" w14:textId="77777777" w:rsidR="003B6157" w:rsidRDefault="003B6157" w:rsidP="00D649AE">
      <w:pPr>
        <w:ind w:firstLine="720"/>
      </w:pPr>
      <w:r>
        <w:t>810 Seventh Street, N.W.</w:t>
      </w:r>
    </w:p>
    <w:p w14:paraId="720ED47B" w14:textId="77777777" w:rsidR="003B6157" w:rsidRDefault="003B6157" w:rsidP="00D649AE">
      <w:pPr>
        <w:ind w:firstLine="720"/>
      </w:pPr>
      <w:r>
        <w:t xml:space="preserve">Washington, D.C. 20531 </w:t>
      </w:r>
    </w:p>
    <w:p w14:paraId="64627A94" w14:textId="4B94E61B" w:rsidR="003B6157" w:rsidRDefault="003B6157" w:rsidP="00D649AE">
      <w:pPr>
        <w:ind w:firstLine="720"/>
      </w:pPr>
      <w:r>
        <w:t>Howard.Snyder@usdoj.gov</w:t>
      </w:r>
    </w:p>
    <w:p w14:paraId="3E92D58D" w14:textId="6F8C5E6F" w:rsidR="00296C86" w:rsidRDefault="00296C86">
      <w:pPr>
        <w:spacing w:after="200" w:line="276" w:lineRule="auto"/>
      </w:pPr>
      <w:r>
        <w:br w:type="page"/>
      </w:r>
    </w:p>
    <w:p w14:paraId="22176654" w14:textId="65D2D5F8" w:rsidR="00842A7E" w:rsidRDefault="00296C86" w:rsidP="00D649AE">
      <w:pPr>
        <w:pStyle w:val="ListParagraph"/>
        <w:numPr>
          <w:ilvl w:val="0"/>
          <w:numId w:val="6"/>
        </w:numPr>
        <w:contextualSpacing w:val="0"/>
      </w:pPr>
      <w:r>
        <w:lastRenderedPageBreak/>
        <w:t>N</w:t>
      </w:r>
      <w:r w:rsidR="00B82CDA">
        <w:t>ORC contact:</w:t>
      </w:r>
    </w:p>
    <w:p w14:paraId="5CC25075" w14:textId="77777777" w:rsidR="00842A7E" w:rsidRDefault="00842A7E" w:rsidP="00D649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David </w:t>
      </w:r>
      <w:proofErr w:type="spellStart"/>
      <w:r>
        <w:t>Herda</w:t>
      </w:r>
      <w:proofErr w:type="spellEnd"/>
    </w:p>
    <w:p w14:paraId="259573D8" w14:textId="77777777" w:rsidR="00842A7E" w:rsidRDefault="00842A7E" w:rsidP="00D649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Senior Survey Director II</w:t>
      </w:r>
    </w:p>
    <w:p w14:paraId="7189E90D" w14:textId="77777777" w:rsidR="00842A7E" w:rsidRDefault="00842A7E" w:rsidP="00D649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NORC at the University of Chicago</w:t>
      </w:r>
    </w:p>
    <w:p w14:paraId="52BE91C8" w14:textId="52098E4F" w:rsidR="00842A7E" w:rsidRDefault="00842A7E" w:rsidP="00D649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55 East Monroe Street, </w:t>
      </w:r>
      <w:r w:rsidR="0064059A">
        <w:t>2</w:t>
      </w:r>
      <w:r>
        <w:t>0</w:t>
      </w:r>
      <w:r w:rsidRPr="001A59E9">
        <w:rPr>
          <w:vertAlign w:val="superscript"/>
        </w:rPr>
        <w:t>th</w:t>
      </w:r>
      <w:r>
        <w:t xml:space="preserve"> floor</w:t>
      </w:r>
    </w:p>
    <w:p w14:paraId="73EB7B72" w14:textId="77777777" w:rsidR="00842A7E" w:rsidRDefault="00842A7E" w:rsidP="00D649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Chicago, IL 60603</w:t>
      </w:r>
      <w:r>
        <w:tab/>
      </w:r>
    </w:p>
    <w:p w14:paraId="2BEBC3CB" w14:textId="77777777" w:rsidR="00842A7E" w:rsidRDefault="00842A7E" w:rsidP="00D649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438B3D3" w14:textId="77777777" w:rsidR="000C1D89" w:rsidRPr="000C1D89" w:rsidRDefault="000C1D89" w:rsidP="00D649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18DD56B" w14:textId="59413F96" w:rsidR="008127EB" w:rsidRDefault="004C7B82" w:rsidP="00D649AE">
      <w:pPr>
        <w:rPr>
          <w:b/>
          <w:u w:val="single"/>
        </w:rPr>
      </w:pPr>
      <w:r w:rsidRPr="00B82CDA">
        <w:rPr>
          <w:b/>
          <w:u w:val="single"/>
        </w:rPr>
        <w:t>Attachments:</w:t>
      </w:r>
    </w:p>
    <w:p w14:paraId="49091DA7" w14:textId="5B6D46E8" w:rsidR="00681674" w:rsidRPr="00C839D7" w:rsidRDefault="00681674" w:rsidP="00CB6185">
      <w:pPr>
        <w:spacing w:after="120"/>
      </w:pPr>
      <w:r w:rsidRPr="00C839D7">
        <w:t xml:space="preserve">Attachment </w:t>
      </w:r>
      <w:r w:rsidR="006D3BFD" w:rsidRPr="00C839D7">
        <w:t>0</w:t>
      </w:r>
      <w:r w:rsidRPr="00C839D7">
        <w:t xml:space="preserve">1- </w:t>
      </w:r>
      <w:r w:rsidR="00BA199B">
        <w:t>SSLLEASTL</w:t>
      </w:r>
      <w:r w:rsidR="009F15CD" w:rsidRPr="00C839D7">
        <w:t xml:space="preserve"> -</w:t>
      </w:r>
      <w:r w:rsidR="00240ADD">
        <w:t>16</w:t>
      </w:r>
      <w:r w:rsidR="009F15CD" w:rsidRPr="00C839D7">
        <w:t xml:space="preserve">- </w:t>
      </w:r>
      <w:r w:rsidRPr="00C839D7">
        <w:t>Law Enforcement Pre-notification Letter</w:t>
      </w:r>
    </w:p>
    <w:p w14:paraId="0A0D6886" w14:textId="3DB8E282" w:rsidR="00F826AD" w:rsidRPr="00C839D7" w:rsidRDefault="004156BD" w:rsidP="00CB6185">
      <w:pPr>
        <w:spacing w:after="120"/>
      </w:pPr>
      <w:r>
        <w:t>Attachment 02</w:t>
      </w:r>
      <w:r w:rsidR="00F826AD" w:rsidRPr="00C839D7">
        <w:t xml:space="preserve">- </w:t>
      </w:r>
      <w:r w:rsidR="00BA199B">
        <w:rPr>
          <w:color w:val="000000" w:themeColor="text1"/>
        </w:rPr>
        <w:t>SSLLEASTL</w:t>
      </w:r>
      <w:r w:rsidR="00F826AD" w:rsidRPr="00C839D7">
        <w:t xml:space="preserve"> -</w:t>
      </w:r>
      <w:r w:rsidR="00240ADD">
        <w:t>16</w:t>
      </w:r>
      <w:r w:rsidR="00F826AD" w:rsidRPr="00C839D7">
        <w:t>- Law Enforcement IACP Letter of Support</w:t>
      </w:r>
    </w:p>
    <w:p w14:paraId="3F6F9267" w14:textId="576C79F5" w:rsidR="00F826AD" w:rsidRPr="00C839D7" w:rsidRDefault="004156BD" w:rsidP="00CB6185">
      <w:pPr>
        <w:spacing w:after="120"/>
      </w:pPr>
      <w:r>
        <w:t>Attachment 03</w:t>
      </w:r>
      <w:r w:rsidR="008127EB" w:rsidRPr="00C839D7">
        <w:t>-</w:t>
      </w:r>
      <w:r w:rsidR="00F826AD" w:rsidRPr="00C839D7">
        <w:t xml:space="preserve"> </w:t>
      </w:r>
      <w:r w:rsidR="00BA199B">
        <w:rPr>
          <w:color w:val="000000" w:themeColor="text1"/>
        </w:rPr>
        <w:t>SSLLEASTL</w:t>
      </w:r>
      <w:r w:rsidR="00F826AD" w:rsidRPr="00C839D7">
        <w:t xml:space="preserve"> -</w:t>
      </w:r>
      <w:r w:rsidR="00240ADD">
        <w:t>16</w:t>
      </w:r>
      <w:r w:rsidR="00F826AD" w:rsidRPr="00C839D7">
        <w:t>- Law Enforcement NSA Letter of Support</w:t>
      </w:r>
    </w:p>
    <w:p w14:paraId="4F45B448" w14:textId="57EC02B1" w:rsidR="00681674" w:rsidRPr="00C839D7" w:rsidRDefault="00681674" w:rsidP="00CB6185">
      <w:pPr>
        <w:spacing w:after="120"/>
      </w:pPr>
      <w:r w:rsidRPr="00C839D7">
        <w:t xml:space="preserve">Attachment </w:t>
      </w:r>
      <w:r w:rsidR="006D3BFD" w:rsidRPr="00C839D7">
        <w:t>0</w:t>
      </w:r>
      <w:r w:rsidR="004156BD">
        <w:t>4</w:t>
      </w:r>
      <w:r w:rsidRPr="00C839D7">
        <w:t xml:space="preserve">- </w:t>
      </w:r>
      <w:r w:rsidR="00BA199B">
        <w:rPr>
          <w:color w:val="000000" w:themeColor="text1"/>
        </w:rPr>
        <w:t>SSLLEASTL</w:t>
      </w:r>
      <w:r w:rsidRPr="00C839D7">
        <w:t xml:space="preserve"> -</w:t>
      </w:r>
      <w:r w:rsidR="00240ADD">
        <w:t>16</w:t>
      </w:r>
      <w:r w:rsidRPr="00C839D7">
        <w:t>- Law Enforcement Initial Questionnaire Cover Letter</w:t>
      </w:r>
    </w:p>
    <w:p w14:paraId="402216FB" w14:textId="16059621" w:rsidR="00681674" w:rsidRDefault="00681674" w:rsidP="00CB6185">
      <w:pPr>
        <w:spacing w:after="120"/>
      </w:pPr>
      <w:r w:rsidRPr="00C839D7">
        <w:t xml:space="preserve">Attachment </w:t>
      </w:r>
      <w:r w:rsidR="006D3BFD" w:rsidRPr="00C839D7">
        <w:t>0</w:t>
      </w:r>
      <w:r w:rsidR="004156BD">
        <w:t>5</w:t>
      </w:r>
      <w:r w:rsidRPr="00C839D7">
        <w:t>-</w:t>
      </w:r>
      <w:r w:rsidRPr="00C839D7">
        <w:rPr>
          <w:color w:val="000000" w:themeColor="text1"/>
        </w:rPr>
        <w:t xml:space="preserve"> </w:t>
      </w:r>
      <w:r w:rsidR="00BA199B">
        <w:rPr>
          <w:color w:val="000000" w:themeColor="text1"/>
        </w:rPr>
        <w:t>SSLLEASTL</w:t>
      </w:r>
      <w:r w:rsidR="00240ADD">
        <w:t xml:space="preserve"> -16</w:t>
      </w:r>
      <w:r w:rsidRPr="00C839D7">
        <w:t>- Law Enforcement Questionnaire</w:t>
      </w:r>
      <w:r w:rsidR="004156BD">
        <w:t xml:space="preserve"> for Alaska</w:t>
      </w:r>
    </w:p>
    <w:p w14:paraId="6458ADE4" w14:textId="2FD00A04" w:rsidR="004156BD" w:rsidRPr="00C839D7" w:rsidRDefault="00240ADD" w:rsidP="00CB6185">
      <w:pPr>
        <w:spacing w:after="120"/>
      </w:pPr>
      <w:r>
        <w:t>Attachment 06- S</w:t>
      </w:r>
      <w:r w:rsidR="00C6783E">
        <w:t>S</w:t>
      </w:r>
      <w:bookmarkStart w:id="0" w:name="_GoBack"/>
      <w:bookmarkEnd w:id="0"/>
      <w:r>
        <w:t>LLEASTL -16</w:t>
      </w:r>
      <w:r w:rsidR="004156BD">
        <w:t>- Law Enforcement Questionnaire Remaining PL-280 States</w:t>
      </w:r>
    </w:p>
    <w:p w14:paraId="4BE24435" w14:textId="6622FB80" w:rsidR="00681674" w:rsidRPr="00C839D7" w:rsidRDefault="00681674" w:rsidP="00CB6185">
      <w:pPr>
        <w:spacing w:after="120"/>
      </w:pPr>
      <w:r w:rsidRPr="00C839D7">
        <w:t xml:space="preserve">Attachment </w:t>
      </w:r>
      <w:r w:rsidR="006D3BFD" w:rsidRPr="00C839D7">
        <w:t>0</w:t>
      </w:r>
      <w:r w:rsidR="008127EB" w:rsidRPr="00C839D7">
        <w:t>7</w:t>
      </w:r>
      <w:r w:rsidRPr="00C839D7">
        <w:t xml:space="preserve">- </w:t>
      </w:r>
      <w:r w:rsidR="00BA199B">
        <w:t>SSLLEASTL</w:t>
      </w:r>
      <w:r w:rsidR="00240ADD">
        <w:t xml:space="preserve"> -16</w:t>
      </w:r>
      <w:r w:rsidR="00B301CF" w:rsidRPr="00C839D7">
        <w:t xml:space="preserve">- </w:t>
      </w:r>
      <w:r w:rsidRPr="00C839D7">
        <w:t>Law Enforcement Reminder Postcard Text</w:t>
      </w:r>
    </w:p>
    <w:p w14:paraId="425F908D" w14:textId="03143ADD" w:rsidR="00681674" w:rsidRPr="00C839D7" w:rsidRDefault="00681674" w:rsidP="00CB6185">
      <w:pPr>
        <w:spacing w:after="120"/>
      </w:pPr>
      <w:r w:rsidRPr="00C839D7">
        <w:t xml:space="preserve">Attachment </w:t>
      </w:r>
      <w:r w:rsidR="006D3BFD" w:rsidRPr="00C839D7">
        <w:t>0</w:t>
      </w:r>
      <w:r w:rsidR="004156BD">
        <w:t>8</w:t>
      </w:r>
      <w:r w:rsidRPr="00C839D7">
        <w:t xml:space="preserve">- </w:t>
      </w:r>
      <w:r w:rsidR="00BA199B">
        <w:rPr>
          <w:color w:val="000000" w:themeColor="text1"/>
        </w:rPr>
        <w:t>SSLLEASTL</w:t>
      </w:r>
      <w:r w:rsidRPr="00C839D7">
        <w:t xml:space="preserve"> -</w:t>
      </w:r>
      <w:r w:rsidR="00240ADD">
        <w:t>16</w:t>
      </w:r>
      <w:r w:rsidRPr="00C839D7">
        <w:t>- Law Enforcement Telephone Contacting Script</w:t>
      </w:r>
    </w:p>
    <w:p w14:paraId="67394F41" w14:textId="68C4B349" w:rsidR="00681674" w:rsidRDefault="00681674" w:rsidP="00CB6185">
      <w:pPr>
        <w:spacing w:after="120"/>
      </w:pPr>
      <w:r w:rsidRPr="00C839D7">
        <w:t xml:space="preserve">Attachment </w:t>
      </w:r>
      <w:r w:rsidR="004156BD">
        <w:t>09</w:t>
      </w:r>
      <w:r w:rsidRPr="00C839D7">
        <w:t xml:space="preserve">- </w:t>
      </w:r>
      <w:r w:rsidR="00BA199B">
        <w:rPr>
          <w:color w:val="000000" w:themeColor="text1"/>
        </w:rPr>
        <w:t>SSLLEASTL</w:t>
      </w:r>
      <w:r w:rsidRPr="00C839D7">
        <w:t xml:space="preserve"> -</w:t>
      </w:r>
      <w:r w:rsidR="00240ADD">
        <w:t>16</w:t>
      </w:r>
      <w:r w:rsidRPr="00C839D7">
        <w:t>- Law Enforcement</w:t>
      </w:r>
      <w:r w:rsidRPr="002A592F">
        <w:t xml:space="preserve"> Telephone Voicemail Script</w:t>
      </w:r>
    </w:p>
    <w:p w14:paraId="1CA26F3F" w14:textId="06C1F504" w:rsidR="00681674" w:rsidRDefault="00681674" w:rsidP="00CB6185">
      <w:pPr>
        <w:spacing w:after="120"/>
      </w:pPr>
      <w:r w:rsidRPr="002A592F">
        <w:t>Attachment</w:t>
      </w:r>
      <w:r>
        <w:t xml:space="preserve"> </w:t>
      </w:r>
      <w:r w:rsidR="004156BD">
        <w:t>10</w:t>
      </w:r>
      <w:r w:rsidRPr="002A592F">
        <w:t xml:space="preserve">- </w:t>
      </w:r>
      <w:r w:rsidR="00BA199B">
        <w:rPr>
          <w:color w:val="000000" w:themeColor="text1"/>
        </w:rPr>
        <w:t>SSLLEASTL</w:t>
      </w:r>
      <w:r w:rsidRPr="002A592F">
        <w:t xml:space="preserve"> -</w:t>
      </w:r>
      <w:r w:rsidR="00240ADD">
        <w:t>16</w:t>
      </w:r>
      <w:r w:rsidRPr="002A592F">
        <w:t>- Law Enforcement Replacement Questionnaire Cover Letter</w:t>
      </w:r>
    </w:p>
    <w:p w14:paraId="1E927651" w14:textId="30EAF27E" w:rsidR="00681674" w:rsidRDefault="00681674" w:rsidP="00CB6185">
      <w:pPr>
        <w:spacing w:after="120"/>
      </w:pPr>
      <w:r>
        <w:t>Attachment 1</w:t>
      </w:r>
      <w:r w:rsidR="004156BD">
        <w:t>1</w:t>
      </w:r>
      <w:r w:rsidRPr="002A592F">
        <w:t xml:space="preserve">- </w:t>
      </w:r>
      <w:r w:rsidR="00BA199B">
        <w:rPr>
          <w:color w:val="000000" w:themeColor="text1"/>
        </w:rPr>
        <w:t>SSLLEASTL</w:t>
      </w:r>
      <w:r w:rsidRPr="002A592F">
        <w:t xml:space="preserve"> -</w:t>
      </w:r>
      <w:r w:rsidR="00240ADD">
        <w:t>16</w:t>
      </w:r>
      <w:r w:rsidRPr="002A592F">
        <w:t xml:space="preserve">- Law Enforcement </w:t>
      </w:r>
      <w:r>
        <w:t>Reminder</w:t>
      </w:r>
      <w:r w:rsidRPr="002A592F">
        <w:t xml:space="preserve"> Letter</w:t>
      </w:r>
    </w:p>
    <w:p w14:paraId="4B62FB11" w14:textId="12F49339" w:rsidR="00D649AE" w:rsidRDefault="00681674" w:rsidP="00CB6185">
      <w:pPr>
        <w:spacing w:after="120"/>
      </w:pPr>
      <w:r w:rsidRPr="002A592F">
        <w:t>Attachment</w:t>
      </w:r>
      <w:r>
        <w:t xml:space="preserve"> 1</w:t>
      </w:r>
      <w:r w:rsidR="004156BD">
        <w:t>2</w:t>
      </w:r>
      <w:r w:rsidRPr="002A592F">
        <w:t xml:space="preserve">- </w:t>
      </w:r>
      <w:r w:rsidR="00BA199B">
        <w:rPr>
          <w:color w:val="000000" w:themeColor="text1"/>
        </w:rPr>
        <w:t>SSLLEASTL</w:t>
      </w:r>
      <w:r w:rsidRPr="002A592F">
        <w:t xml:space="preserve"> -</w:t>
      </w:r>
      <w:r w:rsidR="00240ADD">
        <w:t>16</w:t>
      </w:r>
      <w:r w:rsidRPr="002A592F">
        <w:t xml:space="preserve">- Law Enforcement </w:t>
      </w:r>
      <w:r>
        <w:t xml:space="preserve">Second </w:t>
      </w:r>
      <w:r w:rsidRPr="002A592F">
        <w:t xml:space="preserve">Replacement Questionnaire Cover </w:t>
      </w:r>
    </w:p>
    <w:p w14:paraId="73D1BE44" w14:textId="7CA9790C" w:rsidR="00681674" w:rsidRDefault="00CB6185" w:rsidP="00CB6185">
      <w:pPr>
        <w:spacing w:after="120"/>
      </w:pPr>
      <w:r>
        <w:t>L</w:t>
      </w:r>
      <w:r w:rsidR="00681674" w:rsidRPr="002A592F">
        <w:t>etter</w:t>
      </w:r>
    </w:p>
    <w:p w14:paraId="507D236C" w14:textId="3B428E94" w:rsidR="00681674" w:rsidRDefault="00681674" w:rsidP="00CB6185">
      <w:pPr>
        <w:spacing w:after="120"/>
      </w:pPr>
      <w:r w:rsidRPr="002A592F">
        <w:t>Attachment</w:t>
      </w:r>
      <w:r>
        <w:t xml:space="preserve"> 1</w:t>
      </w:r>
      <w:r w:rsidR="004156BD">
        <w:t>3</w:t>
      </w:r>
      <w:r w:rsidRPr="002A592F">
        <w:t xml:space="preserve">- </w:t>
      </w:r>
      <w:r w:rsidR="00BA199B">
        <w:rPr>
          <w:color w:val="000000" w:themeColor="text1"/>
        </w:rPr>
        <w:t>SSLLEASTL</w:t>
      </w:r>
      <w:r w:rsidRPr="002A592F">
        <w:t xml:space="preserve"> -</w:t>
      </w:r>
      <w:r w:rsidR="00240ADD">
        <w:t>16</w:t>
      </w:r>
      <w:r w:rsidRPr="002A592F">
        <w:t xml:space="preserve">- Law Enforcement </w:t>
      </w:r>
      <w:r>
        <w:t>Last Chance Postcard/E-mail</w:t>
      </w:r>
    </w:p>
    <w:p w14:paraId="6BC4D5A7" w14:textId="4691AE62" w:rsidR="00681674" w:rsidRDefault="00681674" w:rsidP="00CB6185">
      <w:pPr>
        <w:spacing w:after="120"/>
      </w:pPr>
      <w:r w:rsidRPr="002A592F">
        <w:t>Attachment 1</w:t>
      </w:r>
      <w:r w:rsidR="004156BD">
        <w:t>4</w:t>
      </w:r>
      <w:r w:rsidRPr="002A592F">
        <w:t xml:space="preserve">- </w:t>
      </w:r>
      <w:r w:rsidR="00BA199B">
        <w:rPr>
          <w:color w:val="000000" w:themeColor="text1"/>
        </w:rPr>
        <w:t>SSLLEASTL</w:t>
      </w:r>
      <w:r w:rsidRPr="002A592F">
        <w:t xml:space="preserve"> -</w:t>
      </w:r>
      <w:r w:rsidR="00240ADD">
        <w:t>16</w:t>
      </w:r>
      <w:r w:rsidRPr="002A592F">
        <w:t>- Law Enforcement Telephone Retrieval Script</w:t>
      </w:r>
    </w:p>
    <w:p w14:paraId="32CC62D1" w14:textId="553A61F8" w:rsidR="00490576" w:rsidRDefault="004156BD" w:rsidP="00CB6185">
      <w:pPr>
        <w:spacing w:after="120"/>
      </w:pPr>
      <w:r>
        <w:t>Attachment 15</w:t>
      </w:r>
      <w:r w:rsidR="00490576">
        <w:t xml:space="preserve">- </w:t>
      </w:r>
      <w:r w:rsidR="00BA199B">
        <w:t>SSLLEASTL</w:t>
      </w:r>
      <w:r w:rsidR="00490576">
        <w:t xml:space="preserve"> -</w:t>
      </w:r>
      <w:r w:rsidR="00240ADD">
        <w:t>16</w:t>
      </w:r>
      <w:r w:rsidR="00490576">
        <w:t xml:space="preserve">- Law Enforcement Thank You </w:t>
      </w:r>
      <w:r>
        <w:t>E-mail</w:t>
      </w:r>
    </w:p>
    <w:p w14:paraId="79454553" w14:textId="4BF905BB" w:rsidR="00681674" w:rsidRDefault="00CB6185" w:rsidP="00CB6185">
      <w:pPr>
        <w:spacing w:after="120"/>
      </w:pPr>
      <w:r>
        <w:t>A</w:t>
      </w:r>
      <w:r w:rsidR="00681674" w:rsidRPr="002A592F">
        <w:t>ttachment 1</w:t>
      </w:r>
      <w:r w:rsidR="004156BD">
        <w:t>6</w:t>
      </w:r>
      <w:r w:rsidR="00681674" w:rsidRPr="002A592F">
        <w:t xml:space="preserve">- </w:t>
      </w:r>
      <w:r w:rsidR="00BA199B">
        <w:rPr>
          <w:color w:val="000000" w:themeColor="text1"/>
        </w:rPr>
        <w:t>SSLLEASTL</w:t>
      </w:r>
      <w:r w:rsidR="00681674" w:rsidRPr="002A592F">
        <w:t xml:space="preserve"> -</w:t>
      </w:r>
      <w:r w:rsidR="00240ADD">
        <w:t>16</w:t>
      </w:r>
      <w:r w:rsidR="00681674" w:rsidRPr="002A592F">
        <w:t>- Law Enforcement Pilot Cover Letter</w:t>
      </w:r>
    </w:p>
    <w:p w14:paraId="7181834D" w14:textId="42736333" w:rsidR="00681674" w:rsidRDefault="00681674" w:rsidP="00CB6185">
      <w:pPr>
        <w:spacing w:after="120"/>
      </w:pPr>
      <w:r w:rsidRPr="002A592F">
        <w:t>Attachment 1</w:t>
      </w:r>
      <w:r w:rsidR="004156BD">
        <w:t>7</w:t>
      </w:r>
      <w:r w:rsidRPr="002A592F">
        <w:t xml:space="preserve">- </w:t>
      </w:r>
      <w:r w:rsidR="00BA199B">
        <w:rPr>
          <w:color w:val="000000" w:themeColor="text1"/>
        </w:rPr>
        <w:t>SSLLEASTL</w:t>
      </w:r>
      <w:r w:rsidRPr="002A592F">
        <w:t xml:space="preserve"> -</w:t>
      </w:r>
      <w:r w:rsidR="00240ADD">
        <w:t>16</w:t>
      </w:r>
      <w:r w:rsidRPr="002A592F">
        <w:t>- Law Enforcement Pilot Debriefing Script</w:t>
      </w:r>
    </w:p>
    <w:p w14:paraId="56FC7FAB" w14:textId="35860D9B" w:rsidR="008E0E9C" w:rsidRPr="002A592F" w:rsidRDefault="00C839D7" w:rsidP="00CB6185">
      <w:pPr>
        <w:spacing w:after="120"/>
      </w:pPr>
      <w:r>
        <w:t>Attachment 1</w:t>
      </w:r>
      <w:r w:rsidR="004156BD">
        <w:t>8</w:t>
      </w:r>
      <w:r>
        <w:t xml:space="preserve">- </w:t>
      </w:r>
      <w:r w:rsidR="00BA199B">
        <w:t>SSLLEASTL</w:t>
      </w:r>
      <w:r>
        <w:t xml:space="preserve"> -</w:t>
      </w:r>
      <w:r w:rsidR="00240ADD">
        <w:t>16</w:t>
      </w:r>
      <w:r>
        <w:t>- Law Enforcement Pilot Survey Report</w:t>
      </w:r>
    </w:p>
    <w:p w14:paraId="70932BA6" w14:textId="40279197" w:rsidR="002A592F" w:rsidRPr="002A592F" w:rsidRDefault="002A592F" w:rsidP="00CB6185">
      <w:pPr>
        <w:spacing w:after="120"/>
      </w:pPr>
    </w:p>
    <w:sectPr w:rsidR="002A592F" w:rsidRPr="002A592F" w:rsidSect="002A780B">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96548" w14:textId="77777777" w:rsidR="00A63608" w:rsidRDefault="00A63608" w:rsidP="00421095">
      <w:r>
        <w:separator/>
      </w:r>
    </w:p>
  </w:endnote>
  <w:endnote w:type="continuationSeparator" w:id="0">
    <w:p w14:paraId="1027323F" w14:textId="77777777" w:rsidR="00A63608" w:rsidRDefault="00A63608" w:rsidP="0042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Book">
    <w:altName w:val="Baskerville Book"/>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499AC" w14:textId="77777777" w:rsidR="00A63608" w:rsidRDefault="00A63608">
    <w:pPr>
      <w:pStyle w:val="Footer"/>
      <w:jc w:val="center"/>
    </w:pPr>
    <w:r>
      <w:fldChar w:fldCharType="begin"/>
    </w:r>
    <w:r>
      <w:instrText xml:space="preserve"> PAGE   \* MERGEFORMAT </w:instrText>
    </w:r>
    <w:r>
      <w:fldChar w:fldCharType="separate"/>
    </w:r>
    <w:r w:rsidR="00C6783E">
      <w:rPr>
        <w:noProof/>
      </w:rPr>
      <w:t>9</w:t>
    </w:r>
    <w:r>
      <w:rPr>
        <w:noProof/>
      </w:rPr>
      <w:fldChar w:fldCharType="end"/>
    </w:r>
  </w:p>
  <w:p w14:paraId="6268322D" w14:textId="77777777" w:rsidR="00A63608" w:rsidRDefault="00A636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E930E" w14:textId="77777777" w:rsidR="00A63608" w:rsidRDefault="00A63608" w:rsidP="00421095">
      <w:r>
        <w:separator/>
      </w:r>
    </w:p>
  </w:footnote>
  <w:footnote w:type="continuationSeparator" w:id="0">
    <w:p w14:paraId="451BEC1F" w14:textId="77777777" w:rsidR="00A63608" w:rsidRDefault="00A63608" w:rsidP="00421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FFE14" w14:textId="77777777" w:rsidR="00A63608" w:rsidRDefault="00A636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02B73"/>
    <w:multiLevelType w:val="hybridMultilevel"/>
    <w:tmpl w:val="4C108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37D37"/>
    <w:multiLevelType w:val="hybridMultilevel"/>
    <w:tmpl w:val="7DD24CB2"/>
    <w:lvl w:ilvl="0" w:tplc="91DE88C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94882"/>
    <w:multiLevelType w:val="hybridMultilevel"/>
    <w:tmpl w:val="E12256C8"/>
    <w:lvl w:ilvl="0" w:tplc="7D6C3ED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D362C"/>
    <w:multiLevelType w:val="hybridMultilevel"/>
    <w:tmpl w:val="00EE099E"/>
    <w:lvl w:ilvl="0" w:tplc="49B8A28A">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F504F2"/>
    <w:multiLevelType w:val="hybridMultilevel"/>
    <w:tmpl w:val="F0AED8DC"/>
    <w:lvl w:ilvl="0" w:tplc="D974F2A2">
      <w:start w:val="8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3C5581"/>
    <w:multiLevelType w:val="hybridMultilevel"/>
    <w:tmpl w:val="2C00869A"/>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62A5B"/>
    <w:multiLevelType w:val="hybridMultilevel"/>
    <w:tmpl w:val="28EE7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C7A24"/>
    <w:multiLevelType w:val="hybridMultilevel"/>
    <w:tmpl w:val="09AED406"/>
    <w:lvl w:ilvl="0" w:tplc="37926BC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C31A7"/>
    <w:multiLevelType w:val="hybridMultilevel"/>
    <w:tmpl w:val="0438503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86643B6"/>
    <w:multiLevelType w:val="hybridMultilevel"/>
    <w:tmpl w:val="61BCBDF2"/>
    <w:lvl w:ilvl="0" w:tplc="C2D4F4D0">
      <w:start w:val="3"/>
      <w:numFmt w:val="bullet"/>
      <w:lvlText w:val="-"/>
      <w:lvlJc w:val="left"/>
      <w:pPr>
        <w:ind w:left="996" w:hanging="360"/>
      </w:pPr>
      <w:rPr>
        <w:rFonts w:ascii="Times New Roman" w:eastAsia="Times New Roman" w:hAnsi="Times New Roman" w:hint="default"/>
      </w:rPr>
    </w:lvl>
    <w:lvl w:ilvl="1" w:tplc="04090003" w:tentative="1">
      <w:start w:val="1"/>
      <w:numFmt w:val="bullet"/>
      <w:lvlText w:val="o"/>
      <w:lvlJc w:val="left"/>
      <w:pPr>
        <w:ind w:left="1716" w:hanging="360"/>
      </w:pPr>
      <w:rPr>
        <w:rFonts w:ascii="Courier New" w:hAnsi="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10" w15:restartNumberingAfterBreak="0">
    <w:nsid w:val="283409FC"/>
    <w:multiLevelType w:val="hybridMultilevel"/>
    <w:tmpl w:val="74A443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89C3548"/>
    <w:multiLevelType w:val="hybridMultilevel"/>
    <w:tmpl w:val="D2663094"/>
    <w:lvl w:ilvl="0" w:tplc="1F9A984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AC050BE"/>
    <w:multiLevelType w:val="hybridMultilevel"/>
    <w:tmpl w:val="A45E5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9F736C"/>
    <w:multiLevelType w:val="hybridMultilevel"/>
    <w:tmpl w:val="BE427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0118A7"/>
    <w:multiLevelType w:val="hybridMultilevel"/>
    <w:tmpl w:val="7BB2C15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7B5D22"/>
    <w:multiLevelType w:val="hybridMultilevel"/>
    <w:tmpl w:val="5D806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61529"/>
    <w:multiLevelType w:val="hybridMultilevel"/>
    <w:tmpl w:val="F26A4D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15:restartNumberingAfterBreak="0">
    <w:nsid w:val="397F016C"/>
    <w:multiLevelType w:val="hybridMultilevel"/>
    <w:tmpl w:val="9C448182"/>
    <w:lvl w:ilvl="0" w:tplc="04090001">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7D1738"/>
    <w:multiLevelType w:val="hybridMultilevel"/>
    <w:tmpl w:val="DA3E1E98"/>
    <w:lvl w:ilvl="0" w:tplc="6616DA4A">
      <w:start w:val="1"/>
      <w:numFmt w:val="decimal"/>
      <w:lvlText w:val="%1)"/>
      <w:lvlJc w:val="left"/>
      <w:pPr>
        <w:ind w:left="1350" w:hanging="360"/>
      </w:pPr>
      <w:rPr>
        <w:rFonts w:hint="default"/>
        <w:sz w:val="18"/>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3A9E71E6"/>
    <w:multiLevelType w:val="hybridMultilevel"/>
    <w:tmpl w:val="BE208B0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E53B9"/>
    <w:multiLevelType w:val="hybridMultilevel"/>
    <w:tmpl w:val="5F7A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F58E1"/>
    <w:multiLevelType w:val="hybridMultilevel"/>
    <w:tmpl w:val="A3406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0B74EB"/>
    <w:multiLevelType w:val="hybridMultilevel"/>
    <w:tmpl w:val="4BE2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FB5D6A"/>
    <w:multiLevelType w:val="hybridMultilevel"/>
    <w:tmpl w:val="2620DC7C"/>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1E1DFB"/>
    <w:multiLevelType w:val="hybridMultilevel"/>
    <w:tmpl w:val="E6B8E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AC5260"/>
    <w:multiLevelType w:val="hybridMultilevel"/>
    <w:tmpl w:val="6618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E2799"/>
    <w:multiLevelType w:val="hybridMultilevel"/>
    <w:tmpl w:val="A6B03F9E"/>
    <w:lvl w:ilvl="0" w:tplc="FE6632C8">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3DB255F"/>
    <w:multiLevelType w:val="hybridMultilevel"/>
    <w:tmpl w:val="E2EE68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57D28AA"/>
    <w:multiLevelType w:val="hybridMultilevel"/>
    <w:tmpl w:val="875AE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6F0A9E"/>
    <w:multiLevelType w:val="hybridMultilevel"/>
    <w:tmpl w:val="526E9554"/>
    <w:lvl w:ilvl="0" w:tplc="7D9074BC">
      <w:start w:val="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1B7937"/>
    <w:multiLevelType w:val="hybridMultilevel"/>
    <w:tmpl w:val="AA1685E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622D4E"/>
    <w:multiLevelType w:val="hybridMultilevel"/>
    <w:tmpl w:val="ACA608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3F4B34"/>
    <w:multiLevelType w:val="hybridMultilevel"/>
    <w:tmpl w:val="BAD047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15:restartNumberingAfterBreak="0">
    <w:nsid w:val="754C2426"/>
    <w:multiLevelType w:val="hybridMultilevel"/>
    <w:tmpl w:val="E498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267165"/>
    <w:multiLevelType w:val="hybridMultilevel"/>
    <w:tmpl w:val="385A45DA"/>
    <w:lvl w:ilvl="0" w:tplc="D70C994A">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35" w15:restartNumberingAfterBreak="0">
    <w:nsid w:val="797D7EB0"/>
    <w:multiLevelType w:val="multilevel"/>
    <w:tmpl w:val="12E89A50"/>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7BE254C8"/>
    <w:multiLevelType w:val="hybridMultilevel"/>
    <w:tmpl w:val="28D4A32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C397045"/>
    <w:multiLevelType w:val="hybridMultilevel"/>
    <w:tmpl w:val="080C284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2"/>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36"/>
  </w:num>
  <w:num w:numId="6">
    <w:abstractNumId w:val="8"/>
  </w:num>
  <w:num w:numId="7">
    <w:abstractNumId w:val="10"/>
  </w:num>
  <w:num w:numId="8">
    <w:abstractNumId w:val="25"/>
  </w:num>
  <w:num w:numId="9">
    <w:abstractNumId w:val="9"/>
  </w:num>
  <w:num w:numId="10">
    <w:abstractNumId w:val="33"/>
  </w:num>
  <w:num w:numId="11">
    <w:abstractNumId w:val="21"/>
  </w:num>
  <w:num w:numId="12">
    <w:abstractNumId w:val="1"/>
  </w:num>
  <w:num w:numId="13">
    <w:abstractNumId w:val="30"/>
  </w:num>
  <w:num w:numId="14">
    <w:abstractNumId w:val="23"/>
  </w:num>
  <w:num w:numId="15">
    <w:abstractNumId w:val="5"/>
  </w:num>
  <w:num w:numId="16">
    <w:abstractNumId w:val="19"/>
  </w:num>
  <w:num w:numId="17">
    <w:abstractNumId w:val="3"/>
  </w:num>
  <w:num w:numId="18">
    <w:abstractNumId w:val="26"/>
  </w:num>
  <w:num w:numId="19">
    <w:abstractNumId w:val="27"/>
  </w:num>
  <w:num w:numId="20">
    <w:abstractNumId w:val="20"/>
  </w:num>
  <w:num w:numId="21">
    <w:abstractNumId w:val="12"/>
  </w:num>
  <w:num w:numId="22">
    <w:abstractNumId w:val="7"/>
  </w:num>
  <w:num w:numId="23">
    <w:abstractNumId w:val="22"/>
  </w:num>
  <w:num w:numId="24">
    <w:abstractNumId w:val="0"/>
  </w:num>
  <w:num w:numId="25">
    <w:abstractNumId w:val="18"/>
  </w:num>
  <w:num w:numId="26">
    <w:abstractNumId w:val="29"/>
  </w:num>
  <w:num w:numId="27">
    <w:abstractNumId w:val="35"/>
  </w:num>
  <w:num w:numId="28">
    <w:abstractNumId w:val="14"/>
  </w:num>
  <w:num w:numId="29">
    <w:abstractNumId w:val="31"/>
  </w:num>
  <w:num w:numId="30">
    <w:abstractNumId w:val="2"/>
  </w:num>
  <w:num w:numId="31">
    <w:abstractNumId w:val="4"/>
  </w:num>
  <w:num w:numId="32">
    <w:abstractNumId w:val="13"/>
  </w:num>
  <w:num w:numId="33">
    <w:abstractNumId w:val="15"/>
  </w:num>
  <w:num w:numId="34">
    <w:abstractNumId w:val="28"/>
  </w:num>
  <w:num w:numId="35">
    <w:abstractNumId w:val="24"/>
  </w:num>
  <w:num w:numId="36">
    <w:abstractNumId w:val="6"/>
  </w:num>
  <w:num w:numId="37">
    <w:abstractNumId w:val="37"/>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095"/>
    <w:rsid w:val="000004FC"/>
    <w:rsid w:val="00000647"/>
    <w:rsid w:val="00006813"/>
    <w:rsid w:val="00006E51"/>
    <w:rsid w:val="000072A7"/>
    <w:rsid w:val="00012535"/>
    <w:rsid w:val="00020E4D"/>
    <w:rsid w:val="00026AB4"/>
    <w:rsid w:val="000273BD"/>
    <w:rsid w:val="00030F7B"/>
    <w:rsid w:val="0004141D"/>
    <w:rsid w:val="00043C71"/>
    <w:rsid w:val="000470C0"/>
    <w:rsid w:val="000475C5"/>
    <w:rsid w:val="00050F5E"/>
    <w:rsid w:val="0005229C"/>
    <w:rsid w:val="00053E13"/>
    <w:rsid w:val="0005674A"/>
    <w:rsid w:val="0006754F"/>
    <w:rsid w:val="0007151C"/>
    <w:rsid w:val="0008010B"/>
    <w:rsid w:val="0009206B"/>
    <w:rsid w:val="00092AD3"/>
    <w:rsid w:val="000A634B"/>
    <w:rsid w:val="000A7F87"/>
    <w:rsid w:val="000B5191"/>
    <w:rsid w:val="000B57BF"/>
    <w:rsid w:val="000C1D89"/>
    <w:rsid w:val="000C68C2"/>
    <w:rsid w:val="000D086B"/>
    <w:rsid w:val="000E54C8"/>
    <w:rsid w:val="000E7A74"/>
    <w:rsid w:val="000F2C49"/>
    <w:rsid w:val="000F3872"/>
    <w:rsid w:val="00100F83"/>
    <w:rsid w:val="001052E4"/>
    <w:rsid w:val="001055AE"/>
    <w:rsid w:val="00111186"/>
    <w:rsid w:val="00113483"/>
    <w:rsid w:val="001338D3"/>
    <w:rsid w:val="00134207"/>
    <w:rsid w:val="0013663B"/>
    <w:rsid w:val="0014217F"/>
    <w:rsid w:val="0015067A"/>
    <w:rsid w:val="0015255F"/>
    <w:rsid w:val="00156A5D"/>
    <w:rsid w:val="00156D1E"/>
    <w:rsid w:val="00157446"/>
    <w:rsid w:val="00157FE8"/>
    <w:rsid w:val="00161BC3"/>
    <w:rsid w:val="00161C0B"/>
    <w:rsid w:val="00161F66"/>
    <w:rsid w:val="0016531D"/>
    <w:rsid w:val="0017272B"/>
    <w:rsid w:val="00191506"/>
    <w:rsid w:val="001957A5"/>
    <w:rsid w:val="001A3899"/>
    <w:rsid w:val="001A3D63"/>
    <w:rsid w:val="001A6451"/>
    <w:rsid w:val="001C0470"/>
    <w:rsid w:val="001C46F6"/>
    <w:rsid w:val="001C57D3"/>
    <w:rsid w:val="001D211C"/>
    <w:rsid w:val="001D52B0"/>
    <w:rsid w:val="001E7C9C"/>
    <w:rsid w:val="001F1525"/>
    <w:rsid w:val="001F33BE"/>
    <w:rsid w:val="0021003D"/>
    <w:rsid w:val="00215A7E"/>
    <w:rsid w:val="00216C4E"/>
    <w:rsid w:val="002205F4"/>
    <w:rsid w:val="00220E67"/>
    <w:rsid w:val="0022303A"/>
    <w:rsid w:val="00224135"/>
    <w:rsid w:val="00224148"/>
    <w:rsid w:val="002243FE"/>
    <w:rsid w:val="002278BA"/>
    <w:rsid w:val="002353FA"/>
    <w:rsid w:val="00240ADD"/>
    <w:rsid w:val="00241593"/>
    <w:rsid w:val="002461A9"/>
    <w:rsid w:val="00246A24"/>
    <w:rsid w:val="00252DF8"/>
    <w:rsid w:val="002535B4"/>
    <w:rsid w:val="002574B2"/>
    <w:rsid w:val="00272ADA"/>
    <w:rsid w:val="0027433B"/>
    <w:rsid w:val="00274938"/>
    <w:rsid w:val="002765C0"/>
    <w:rsid w:val="00277396"/>
    <w:rsid w:val="00286C7A"/>
    <w:rsid w:val="00287111"/>
    <w:rsid w:val="00290686"/>
    <w:rsid w:val="002915E2"/>
    <w:rsid w:val="002928EB"/>
    <w:rsid w:val="0029426C"/>
    <w:rsid w:val="00295BD1"/>
    <w:rsid w:val="00296C86"/>
    <w:rsid w:val="00297375"/>
    <w:rsid w:val="002A0783"/>
    <w:rsid w:val="002A16A2"/>
    <w:rsid w:val="002A592F"/>
    <w:rsid w:val="002A780B"/>
    <w:rsid w:val="002A7D54"/>
    <w:rsid w:val="002B0880"/>
    <w:rsid w:val="002B1FC1"/>
    <w:rsid w:val="002C1EF0"/>
    <w:rsid w:val="002C45A8"/>
    <w:rsid w:val="002D345D"/>
    <w:rsid w:val="002F0109"/>
    <w:rsid w:val="002F5094"/>
    <w:rsid w:val="00305023"/>
    <w:rsid w:val="00320882"/>
    <w:rsid w:val="00323672"/>
    <w:rsid w:val="00324CA9"/>
    <w:rsid w:val="00330106"/>
    <w:rsid w:val="00332951"/>
    <w:rsid w:val="00335DBC"/>
    <w:rsid w:val="00336976"/>
    <w:rsid w:val="0034166F"/>
    <w:rsid w:val="003424CC"/>
    <w:rsid w:val="00345CAA"/>
    <w:rsid w:val="0035341F"/>
    <w:rsid w:val="003544FD"/>
    <w:rsid w:val="003577B6"/>
    <w:rsid w:val="00370A3D"/>
    <w:rsid w:val="003746AF"/>
    <w:rsid w:val="00377CF0"/>
    <w:rsid w:val="00380D55"/>
    <w:rsid w:val="003873E2"/>
    <w:rsid w:val="00391786"/>
    <w:rsid w:val="003A0A55"/>
    <w:rsid w:val="003A1C56"/>
    <w:rsid w:val="003A2279"/>
    <w:rsid w:val="003B33AB"/>
    <w:rsid w:val="003B5BC4"/>
    <w:rsid w:val="003B6157"/>
    <w:rsid w:val="003C6CCC"/>
    <w:rsid w:val="003D03F6"/>
    <w:rsid w:val="003D404F"/>
    <w:rsid w:val="003F0D60"/>
    <w:rsid w:val="003F21BF"/>
    <w:rsid w:val="003F2DFE"/>
    <w:rsid w:val="004059AF"/>
    <w:rsid w:val="00405F9F"/>
    <w:rsid w:val="00411F6E"/>
    <w:rsid w:val="00412722"/>
    <w:rsid w:val="00413E28"/>
    <w:rsid w:val="004156BD"/>
    <w:rsid w:val="00421095"/>
    <w:rsid w:val="00421312"/>
    <w:rsid w:val="00422A17"/>
    <w:rsid w:val="0042474D"/>
    <w:rsid w:val="00426F07"/>
    <w:rsid w:val="00434B61"/>
    <w:rsid w:val="00440716"/>
    <w:rsid w:val="004418C5"/>
    <w:rsid w:val="00445B4E"/>
    <w:rsid w:val="00445ED1"/>
    <w:rsid w:val="0045161A"/>
    <w:rsid w:val="00451B31"/>
    <w:rsid w:val="00456DE8"/>
    <w:rsid w:val="00464706"/>
    <w:rsid w:val="0046642D"/>
    <w:rsid w:val="00470431"/>
    <w:rsid w:val="0047279C"/>
    <w:rsid w:val="004740DF"/>
    <w:rsid w:val="00474327"/>
    <w:rsid w:val="00476094"/>
    <w:rsid w:val="00483EB4"/>
    <w:rsid w:val="004867F3"/>
    <w:rsid w:val="00490576"/>
    <w:rsid w:val="004908E3"/>
    <w:rsid w:val="00493926"/>
    <w:rsid w:val="004A07C7"/>
    <w:rsid w:val="004A30C1"/>
    <w:rsid w:val="004B05D2"/>
    <w:rsid w:val="004B0EE6"/>
    <w:rsid w:val="004B3728"/>
    <w:rsid w:val="004B60A5"/>
    <w:rsid w:val="004C0D8D"/>
    <w:rsid w:val="004C19A6"/>
    <w:rsid w:val="004C396C"/>
    <w:rsid w:val="004C4335"/>
    <w:rsid w:val="004C7B82"/>
    <w:rsid w:val="004D1E33"/>
    <w:rsid w:val="004D44C6"/>
    <w:rsid w:val="004D4A39"/>
    <w:rsid w:val="004E2724"/>
    <w:rsid w:val="004E436D"/>
    <w:rsid w:val="004E6CBE"/>
    <w:rsid w:val="004E7B8F"/>
    <w:rsid w:val="004F2551"/>
    <w:rsid w:val="004F2CF6"/>
    <w:rsid w:val="005041D5"/>
    <w:rsid w:val="00505DFA"/>
    <w:rsid w:val="00507610"/>
    <w:rsid w:val="00507EF9"/>
    <w:rsid w:val="0051089E"/>
    <w:rsid w:val="00510DD2"/>
    <w:rsid w:val="0052426C"/>
    <w:rsid w:val="005260A2"/>
    <w:rsid w:val="00533F69"/>
    <w:rsid w:val="005370D8"/>
    <w:rsid w:val="005373F3"/>
    <w:rsid w:val="00545969"/>
    <w:rsid w:val="0054739F"/>
    <w:rsid w:val="00547739"/>
    <w:rsid w:val="00547C9E"/>
    <w:rsid w:val="00550BF0"/>
    <w:rsid w:val="00555DD4"/>
    <w:rsid w:val="00563F40"/>
    <w:rsid w:val="00564CD1"/>
    <w:rsid w:val="005714F4"/>
    <w:rsid w:val="005724BA"/>
    <w:rsid w:val="00573EDF"/>
    <w:rsid w:val="005741ED"/>
    <w:rsid w:val="005840BA"/>
    <w:rsid w:val="005868A5"/>
    <w:rsid w:val="005877A6"/>
    <w:rsid w:val="005918A1"/>
    <w:rsid w:val="005A36DE"/>
    <w:rsid w:val="005B0037"/>
    <w:rsid w:val="005B298A"/>
    <w:rsid w:val="005C0A65"/>
    <w:rsid w:val="005C2B7C"/>
    <w:rsid w:val="005C2DA2"/>
    <w:rsid w:val="005C6C54"/>
    <w:rsid w:val="005D60D7"/>
    <w:rsid w:val="005D7D54"/>
    <w:rsid w:val="005E3B3E"/>
    <w:rsid w:val="005E48D0"/>
    <w:rsid w:val="00600126"/>
    <w:rsid w:val="006011C2"/>
    <w:rsid w:val="00606A11"/>
    <w:rsid w:val="006146C5"/>
    <w:rsid w:val="00616793"/>
    <w:rsid w:val="0062089A"/>
    <w:rsid w:val="00621B4B"/>
    <w:rsid w:val="006227B2"/>
    <w:rsid w:val="00623749"/>
    <w:rsid w:val="00623CC8"/>
    <w:rsid w:val="00634B4A"/>
    <w:rsid w:val="0063560A"/>
    <w:rsid w:val="00637033"/>
    <w:rsid w:val="0064059A"/>
    <w:rsid w:val="006508CD"/>
    <w:rsid w:val="00656410"/>
    <w:rsid w:val="00656AAD"/>
    <w:rsid w:val="00657FA3"/>
    <w:rsid w:val="0066093C"/>
    <w:rsid w:val="006643CE"/>
    <w:rsid w:val="00673355"/>
    <w:rsid w:val="0067742B"/>
    <w:rsid w:val="00681674"/>
    <w:rsid w:val="00690F07"/>
    <w:rsid w:val="006A6543"/>
    <w:rsid w:val="006A69A0"/>
    <w:rsid w:val="006C7425"/>
    <w:rsid w:val="006D3191"/>
    <w:rsid w:val="006D3BFD"/>
    <w:rsid w:val="006D49F4"/>
    <w:rsid w:val="006D746E"/>
    <w:rsid w:val="006E22EB"/>
    <w:rsid w:val="006E36D3"/>
    <w:rsid w:val="006F2769"/>
    <w:rsid w:val="006F41A3"/>
    <w:rsid w:val="007005F9"/>
    <w:rsid w:val="00716FC9"/>
    <w:rsid w:val="007239A3"/>
    <w:rsid w:val="00733B7A"/>
    <w:rsid w:val="00733EFB"/>
    <w:rsid w:val="007360A5"/>
    <w:rsid w:val="0074529B"/>
    <w:rsid w:val="00747169"/>
    <w:rsid w:val="00752303"/>
    <w:rsid w:val="00753EBE"/>
    <w:rsid w:val="00761390"/>
    <w:rsid w:val="0076189B"/>
    <w:rsid w:val="00761998"/>
    <w:rsid w:val="00766C9C"/>
    <w:rsid w:val="007707F9"/>
    <w:rsid w:val="00775FA0"/>
    <w:rsid w:val="00777995"/>
    <w:rsid w:val="00782FDF"/>
    <w:rsid w:val="00783288"/>
    <w:rsid w:val="0078417B"/>
    <w:rsid w:val="0078505B"/>
    <w:rsid w:val="0079320F"/>
    <w:rsid w:val="00794369"/>
    <w:rsid w:val="007A068D"/>
    <w:rsid w:val="007A7581"/>
    <w:rsid w:val="007B7FE3"/>
    <w:rsid w:val="007C2CEC"/>
    <w:rsid w:val="007D1EFF"/>
    <w:rsid w:val="007D4DA1"/>
    <w:rsid w:val="007D7360"/>
    <w:rsid w:val="007D774F"/>
    <w:rsid w:val="007E3CAC"/>
    <w:rsid w:val="007F45E2"/>
    <w:rsid w:val="008127EB"/>
    <w:rsid w:val="00816257"/>
    <w:rsid w:val="0082164A"/>
    <w:rsid w:val="00830B50"/>
    <w:rsid w:val="00833867"/>
    <w:rsid w:val="008358F0"/>
    <w:rsid w:val="00835AC8"/>
    <w:rsid w:val="00842A7E"/>
    <w:rsid w:val="00842AAE"/>
    <w:rsid w:val="008434A6"/>
    <w:rsid w:val="0086461E"/>
    <w:rsid w:val="00880B4F"/>
    <w:rsid w:val="00882393"/>
    <w:rsid w:val="00882C33"/>
    <w:rsid w:val="0088557D"/>
    <w:rsid w:val="0088606E"/>
    <w:rsid w:val="00895514"/>
    <w:rsid w:val="008A1C0C"/>
    <w:rsid w:val="008A34FF"/>
    <w:rsid w:val="008A5ED9"/>
    <w:rsid w:val="008A68C2"/>
    <w:rsid w:val="008B35D9"/>
    <w:rsid w:val="008B54BF"/>
    <w:rsid w:val="008B77B4"/>
    <w:rsid w:val="008B78B5"/>
    <w:rsid w:val="008C559D"/>
    <w:rsid w:val="008D3544"/>
    <w:rsid w:val="008D408D"/>
    <w:rsid w:val="008D72BE"/>
    <w:rsid w:val="008E0672"/>
    <w:rsid w:val="008E0E9C"/>
    <w:rsid w:val="008E71B3"/>
    <w:rsid w:val="008E7EF8"/>
    <w:rsid w:val="008F5026"/>
    <w:rsid w:val="008F6CA0"/>
    <w:rsid w:val="009016C7"/>
    <w:rsid w:val="00902AAD"/>
    <w:rsid w:val="00904636"/>
    <w:rsid w:val="009052A4"/>
    <w:rsid w:val="0090592D"/>
    <w:rsid w:val="009121A1"/>
    <w:rsid w:val="00916A98"/>
    <w:rsid w:val="00921DC2"/>
    <w:rsid w:val="00925540"/>
    <w:rsid w:val="00925C14"/>
    <w:rsid w:val="00926501"/>
    <w:rsid w:val="009279F5"/>
    <w:rsid w:val="00931E58"/>
    <w:rsid w:val="00932D4E"/>
    <w:rsid w:val="0094721E"/>
    <w:rsid w:val="0095184B"/>
    <w:rsid w:val="009524FB"/>
    <w:rsid w:val="00955F9D"/>
    <w:rsid w:val="00956260"/>
    <w:rsid w:val="00961937"/>
    <w:rsid w:val="00962E5D"/>
    <w:rsid w:val="009661DE"/>
    <w:rsid w:val="009725A7"/>
    <w:rsid w:val="00973447"/>
    <w:rsid w:val="009813E0"/>
    <w:rsid w:val="009816EE"/>
    <w:rsid w:val="00981E57"/>
    <w:rsid w:val="00987B1F"/>
    <w:rsid w:val="00993372"/>
    <w:rsid w:val="009A4E2A"/>
    <w:rsid w:val="009B229E"/>
    <w:rsid w:val="009B29A3"/>
    <w:rsid w:val="009B7DB6"/>
    <w:rsid w:val="009C160F"/>
    <w:rsid w:val="009C22B8"/>
    <w:rsid w:val="009C61A4"/>
    <w:rsid w:val="009D70B8"/>
    <w:rsid w:val="009F15CD"/>
    <w:rsid w:val="009F5719"/>
    <w:rsid w:val="009F7683"/>
    <w:rsid w:val="00A034BE"/>
    <w:rsid w:val="00A03817"/>
    <w:rsid w:val="00A070AB"/>
    <w:rsid w:val="00A26A2B"/>
    <w:rsid w:val="00A2726B"/>
    <w:rsid w:val="00A36DCE"/>
    <w:rsid w:val="00A44EAB"/>
    <w:rsid w:val="00A5121E"/>
    <w:rsid w:val="00A527E2"/>
    <w:rsid w:val="00A52DF7"/>
    <w:rsid w:val="00A57912"/>
    <w:rsid w:val="00A63608"/>
    <w:rsid w:val="00A63D19"/>
    <w:rsid w:val="00A6607A"/>
    <w:rsid w:val="00A73E60"/>
    <w:rsid w:val="00A751D2"/>
    <w:rsid w:val="00A805B1"/>
    <w:rsid w:val="00A95E30"/>
    <w:rsid w:val="00A96285"/>
    <w:rsid w:val="00A96ACB"/>
    <w:rsid w:val="00AA0C91"/>
    <w:rsid w:val="00AB05E7"/>
    <w:rsid w:val="00AB28F7"/>
    <w:rsid w:val="00AB41E1"/>
    <w:rsid w:val="00AB4BBF"/>
    <w:rsid w:val="00AB60DB"/>
    <w:rsid w:val="00AB65DA"/>
    <w:rsid w:val="00AC1030"/>
    <w:rsid w:val="00AC70AA"/>
    <w:rsid w:val="00AD1D1E"/>
    <w:rsid w:val="00AD42C2"/>
    <w:rsid w:val="00AD7CF3"/>
    <w:rsid w:val="00AF0D04"/>
    <w:rsid w:val="00AF166E"/>
    <w:rsid w:val="00AF187C"/>
    <w:rsid w:val="00AF78E6"/>
    <w:rsid w:val="00B00F46"/>
    <w:rsid w:val="00B0573A"/>
    <w:rsid w:val="00B10FDB"/>
    <w:rsid w:val="00B13612"/>
    <w:rsid w:val="00B13F82"/>
    <w:rsid w:val="00B1492E"/>
    <w:rsid w:val="00B15A97"/>
    <w:rsid w:val="00B22C74"/>
    <w:rsid w:val="00B25708"/>
    <w:rsid w:val="00B301CF"/>
    <w:rsid w:val="00B32202"/>
    <w:rsid w:val="00B3277B"/>
    <w:rsid w:val="00B33037"/>
    <w:rsid w:val="00B35175"/>
    <w:rsid w:val="00B52009"/>
    <w:rsid w:val="00B52DE6"/>
    <w:rsid w:val="00B5710F"/>
    <w:rsid w:val="00B609AA"/>
    <w:rsid w:val="00B652EA"/>
    <w:rsid w:val="00B77CB6"/>
    <w:rsid w:val="00B80372"/>
    <w:rsid w:val="00B82CCD"/>
    <w:rsid w:val="00B82CDA"/>
    <w:rsid w:val="00B830CB"/>
    <w:rsid w:val="00BA0128"/>
    <w:rsid w:val="00BA040A"/>
    <w:rsid w:val="00BA199B"/>
    <w:rsid w:val="00BA5EA4"/>
    <w:rsid w:val="00BB2565"/>
    <w:rsid w:val="00BB2622"/>
    <w:rsid w:val="00BB3F01"/>
    <w:rsid w:val="00BB45EF"/>
    <w:rsid w:val="00BC370A"/>
    <w:rsid w:val="00BC79BC"/>
    <w:rsid w:val="00BE1CB4"/>
    <w:rsid w:val="00BE2042"/>
    <w:rsid w:val="00BE5B98"/>
    <w:rsid w:val="00BE6198"/>
    <w:rsid w:val="00BF1583"/>
    <w:rsid w:val="00BF3903"/>
    <w:rsid w:val="00BF6505"/>
    <w:rsid w:val="00BF66E8"/>
    <w:rsid w:val="00C011C2"/>
    <w:rsid w:val="00C05032"/>
    <w:rsid w:val="00C074A5"/>
    <w:rsid w:val="00C14E2D"/>
    <w:rsid w:val="00C16168"/>
    <w:rsid w:val="00C16EF8"/>
    <w:rsid w:val="00C22D8F"/>
    <w:rsid w:val="00C355EC"/>
    <w:rsid w:val="00C41A63"/>
    <w:rsid w:val="00C51448"/>
    <w:rsid w:val="00C54C35"/>
    <w:rsid w:val="00C57DC4"/>
    <w:rsid w:val="00C62317"/>
    <w:rsid w:val="00C62E76"/>
    <w:rsid w:val="00C6783E"/>
    <w:rsid w:val="00C76CE6"/>
    <w:rsid w:val="00C839D7"/>
    <w:rsid w:val="00C87001"/>
    <w:rsid w:val="00C879CA"/>
    <w:rsid w:val="00C9109D"/>
    <w:rsid w:val="00C93FFC"/>
    <w:rsid w:val="00C95593"/>
    <w:rsid w:val="00CA53AD"/>
    <w:rsid w:val="00CB6185"/>
    <w:rsid w:val="00CB7146"/>
    <w:rsid w:val="00CC17D8"/>
    <w:rsid w:val="00CD4E3C"/>
    <w:rsid w:val="00CD5130"/>
    <w:rsid w:val="00CD64E2"/>
    <w:rsid w:val="00CE0855"/>
    <w:rsid w:val="00CE1079"/>
    <w:rsid w:val="00CE35E8"/>
    <w:rsid w:val="00CF1675"/>
    <w:rsid w:val="00CF6F4B"/>
    <w:rsid w:val="00D00F49"/>
    <w:rsid w:val="00D02631"/>
    <w:rsid w:val="00D10CA5"/>
    <w:rsid w:val="00D11641"/>
    <w:rsid w:val="00D125DE"/>
    <w:rsid w:val="00D20AAD"/>
    <w:rsid w:val="00D27EFE"/>
    <w:rsid w:val="00D3159D"/>
    <w:rsid w:val="00D379C3"/>
    <w:rsid w:val="00D429CD"/>
    <w:rsid w:val="00D42D7F"/>
    <w:rsid w:val="00D4597B"/>
    <w:rsid w:val="00D511E4"/>
    <w:rsid w:val="00D649AE"/>
    <w:rsid w:val="00D64F04"/>
    <w:rsid w:val="00D650E6"/>
    <w:rsid w:val="00D70BA1"/>
    <w:rsid w:val="00D720BB"/>
    <w:rsid w:val="00D736CA"/>
    <w:rsid w:val="00D746AB"/>
    <w:rsid w:val="00D74DAD"/>
    <w:rsid w:val="00D77E4B"/>
    <w:rsid w:val="00D81CA3"/>
    <w:rsid w:val="00D82F1D"/>
    <w:rsid w:val="00D8308C"/>
    <w:rsid w:val="00D8451F"/>
    <w:rsid w:val="00DA2EBC"/>
    <w:rsid w:val="00DA6FD6"/>
    <w:rsid w:val="00DA71D6"/>
    <w:rsid w:val="00DB4C76"/>
    <w:rsid w:val="00DB5046"/>
    <w:rsid w:val="00DB78CB"/>
    <w:rsid w:val="00DC60A7"/>
    <w:rsid w:val="00DD067D"/>
    <w:rsid w:val="00DD287C"/>
    <w:rsid w:val="00DD3512"/>
    <w:rsid w:val="00DD4074"/>
    <w:rsid w:val="00DE4B7A"/>
    <w:rsid w:val="00DF3A5E"/>
    <w:rsid w:val="00DF44E4"/>
    <w:rsid w:val="00DF7FC9"/>
    <w:rsid w:val="00E01E78"/>
    <w:rsid w:val="00E02507"/>
    <w:rsid w:val="00E04DB5"/>
    <w:rsid w:val="00E05748"/>
    <w:rsid w:val="00E057FD"/>
    <w:rsid w:val="00E06C65"/>
    <w:rsid w:val="00E10777"/>
    <w:rsid w:val="00E2256A"/>
    <w:rsid w:val="00E22DAC"/>
    <w:rsid w:val="00E24DA3"/>
    <w:rsid w:val="00E25569"/>
    <w:rsid w:val="00E269C5"/>
    <w:rsid w:val="00E27282"/>
    <w:rsid w:val="00E40D16"/>
    <w:rsid w:val="00E43581"/>
    <w:rsid w:val="00E4400B"/>
    <w:rsid w:val="00E44FD0"/>
    <w:rsid w:val="00E46429"/>
    <w:rsid w:val="00E46BD6"/>
    <w:rsid w:val="00E50876"/>
    <w:rsid w:val="00E57DCE"/>
    <w:rsid w:val="00E61B08"/>
    <w:rsid w:val="00E62134"/>
    <w:rsid w:val="00E62E84"/>
    <w:rsid w:val="00E64714"/>
    <w:rsid w:val="00E72220"/>
    <w:rsid w:val="00E7573C"/>
    <w:rsid w:val="00E80E16"/>
    <w:rsid w:val="00E9025D"/>
    <w:rsid w:val="00E91258"/>
    <w:rsid w:val="00E919E3"/>
    <w:rsid w:val="00E93450"/>
    <w:rsid w:val="00E9361C"/>
    <w:rsid w:val="00E93B81"/>
    <w:rsid w:val="00E95BD4"/>
    <w:rsid w:val="00EA00D8"/>
    <w:rsid w:val="00EA1286"/>
    <w:rsid w:val="00EA70F8"/>
    <w:rsid w:val="00EB1AA6"/>
    <w:rsid w:val="00EC55A4"/>
    <w:rsid w:val="00EC7BC6"/>
    <w:rsid w:val="00EC7E6A"/>
    <w:rsid w:val="00ED7B60"/>
    <w:rsid w:val="00EE158F"/>
    <w:rsid w:val="00EE4975"/>
    <w:rsid w:val="00EE6B9C"/>
    <w:rsid w:val="00EE73F4"/>
    <w:rsid w:val="00F00593"/>
    <w:rsid w:val="00F016B4"/>
    <w:rsid w:val="00F02E5D"/>
    <w:rsid w:val="00F06482"/>
    <w:rsid w:val="00F26688"/>
    <w:rsid w:val="00F34E2B"/>
    <w:rsid w:val="00F4014B"/>
    <w:rsid w:val="00F40186"/>
    <w:rsid w:val="00F468B4"/>
    <w:rsid w:val="00F46BA8"/>
    <w:rsid w:val="00F52A58"/>
    <w:rsid w:val="00F55890"/>
    <w:rsid w:val="00F64068"/>
    <w:rsid w:val="00F6478D"/>
    <w:rsid w:val="00F65E33"/>
    <w:rsid w:val="00F71F30"/>
    <w:rsid w:val="00F759AF"/>
    <w:rsid w:val="00F826AD"/>
    <w:rsid w:val="00F83656"/>
    <w:rsid w:val="00F84077"/>
    <w:rsid w:val="00F91324"/>
    <w:rsid w:val="00FA0045"/>
    <w:rsid w:val="00FA4F13"/>
    <w:rsid w:val="00FA7499"/>
    <w:rsid w:val="00FB2C63"/>
    <w:rsid w:val="00FB2F58"/>
    <w:rsid w:val="00FC0A2F"/>
    <w:rsid w:val="00FC2AE7"/>
    <w:rsid w:val="00FC4460"/>
    <w:rsid w:val="00FD2ED5"/>
    <w:rsid w:val="00FE2C95"/>
    <w:rsid w:val="00FE2D51"/>
    <w:rsid w:val="00FE67D0"/>
    <w:rsid w:val="00FF5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A58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F1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30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F00593"/>
    <w:pPr>
      <w:keepNext/>
      <w:keepLines/>
      <w:spacing w:line="360" w:lineRule="auto"/>
      <w:outlineLvl w:val="2"/>
    </w:pPr>
    <w:rPr>
      <w:rFonts w:ascii="Arial" w:eastAsiaTheme="majorEastAsia" w:hAnsi="Arial" w:cstheme="majorBidi"/>
      <w:b/>
      <w:bCs/>
      <w:color w:val="F3901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1095"/>
    <w:rPr>
      <w:rFonts w:cs="Times New Roman"/>
      <w:color w:val="0000FF"/>
      <w:u w:val="single"/>
    </w:rPr>
  </w:style>
  <w:style w:type="paragraph" w:styleId="ListParagraph">
    <w:name w:val="List Paragraph"/>
    <w:basedOn w:val="Normal"/>
    <w:uiPriority w:val="34"/>
    <w:qFormat/>
    <w:rsid w:val="00421095"/>
    <w:pPr>
      <w:ind w:left="720"/>
      <w:contextualSpacing/>
    </w:pPr>
  </w:style>
  <w:style w:type="paragraph" w:styleId="FootnoteText">
    <w:name w:val="footnote text"/>
    <w:basedOn w:val="Normal"/>
    <w:link w:val="FootnoteTextChar"/>
    <w:uiPriority w:val="99"/>
    <w:rsid w:val="00421095"/>
    <w:rPr>
      <w:sz w:val="20"/>
      <w:szCs w:val="20"/>
    </w:rPr>
  </w:style>
  <w:style w:type="character" w:customStyle="1" w:styleId="FootnoteTextChar">
    <w:name w:val="Footnote Text Char"/>
    <w:basedOn w:val="DefaultParagraphFont"/>
    <w:link w:val="FootnoteText"/>
    <w:uiPriority w:val="99"/>
    <w:rsid w:val="00421095"/>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421095"/>
    <w:rPr>
      <w:rFonts w:cs="Times New Roman"/>
      <w:vertAlign w:val="superscript"/>
    </w:rPr>
  </w:style>
  <w:style w:type="paragraph" w:styleId="Header">
    <w:name w:val="header"/>
    <w:basedOn w:val="Normal"/>
    <w:link w:val="HeaderChar"/>
    <w:uiPriority w:val="99"/>
    <w:rsid w:val="00421095"/>
    <w:pPr>
      <w:tabs>
        <w:tab w:val="center" w:pos="4680"/>
        <w:tab w:val="right" w:pos="9360"/>
      </w:tabs>
    </w:pPr>
  </w:style>
  <w:style w:type="character" w:customStyle="1" w:styleId="HeaderChar">
    <w:name w:val="Header Char"/>
    <w:basedOn w:val="DefaultParagraphFont"/>
    <w:link w:val="Header"/>
    <w:uiPriority w:val="99"/>
    <w:rsid w:val="00421095"/>
    <w:rPr>
      <w:rFonts w:ascii="Times New Roman" w:eastAsia="Times New Roman" w:hAnsi="Times New Roman" w:cs="Times New Roman"/>
      <w:sz w:val="24"/>
      <w:szCs w:val="24"/>
    </w:rPr>
  </w:style>
  <w:style w:type="paragraph" w:styleId="Footer">
    <w:name w:val="footer"/>
    <w:basedOn w:val="Normal"/>
    <w:link w:val="FooterChar"/>
    <w:uiPriority w:val="99"/>
    <w:rsid w:val="00421095"/>
    <w:pPr>
      <w:tabs>
        <w:tab w:val="center" w:pos="4680"/>
        <w:tab w:val="right" w:pos="9360"/>
      </w:tabs>
    </w:pPr>
  </w:style>
  <w:style w:type="character" w:customStyle="1" w:styleId="FooterChar">
    <w:name w:val="Footer Char"/>
    <w:basedOn w:val="DefaultParagraphFont"/>
    <w:link w:val="Footer"/>
    <w:uiPriority w:val="99"/>
    <w:rsid w:val="00421095"/>
    <w:rPr>
      <w:rFonts w:ascii="Times New Roman" w:eastAsia="Times New Roman" w:hAnsi="Times New Roman" w:cs="Times New Roman"/>
      <w:sz w:val="24"/>
      <w:szCs w:val="24"/>
    </w:rPr>
  </w:style>
  <w:style w:type="paragraph" w:styleId="NormalWeb">
    <w:name w:val="Normal (Web)"/>
    <w:basedOn w:val="Normal"/>
    <w:uiPriority w:val="99"/>
    <w:rsid w:val="00421095"/>
    <w:pPr>
      <w:spacing w:before="100" w:beforeAutospacing="1" w:after="100" w:afterAutospacing="1"/>
    </w:pPr>
  </w:style>
  <w:style w:type="paragraph" w:styleId="BalloonText">
    <w:name w:val="Balloon Text"/>
    <w:basedOn w:val="Normal"/>
    <w:link w:val="BalloonTextChar"/>
    <w:uiPriority w:val="99"/>
    <w:semiHidden/>
    <w:rsid w:val="00421095"/>
    <w:rPr>
      <w:rFonts w:ascii="Tahoma" w:hAnsi="Tahoma" w:cs="Tahoma"/>
      <w:sz w:val="16"/>
      <w:szCs w:val="16"/>
    </w:rPr>
  </w:style>
  <w:style w:type="character" w:customStyle="1" w:styleId="BalloonTextChar">
    <w:name w:val="Balloon Text Char"/>
    <w:basedOn w:val="DefaultParagraphFont"/>
    <w:link w:val="BalloonText"/>
    <w:uiPriority w:val="99"/>
    <w:semiHidden/>
    <w:rsid w:val="00421095"/>
    <w:rPr>
      <w:rFonts w:ascii="Tahoma" w:eastAsia="Times New Roman" w:hAnsi="Tahoma" w:cs="Tahoma"/>
      <w:sz w:val="16"/>
      <w:szCs w:val="16"/>
    </w:rPr>
  </w:style>
  <w:style w:type="character" w:styleId="CommentReference">
    <w:name w:val="annotation reference"/>
    <w:basedOn w:val="DefaultParagraphFont"/>
    <w:uiPriority w:val="99"/>
    <w:semiHidden/>
    <w:rsid w:val="00421095"/>
    <w:rPr>
      <w:rFonts w:cs="Times New Roman"/>
      <w:sz w:val="16"/>
    </w:rPr>
  </w:style>
  <w:style w:type="paragraph" w:styleId="CommentText">
    <w:name w:val="annotation text"/>
    <w:basedOn w:val="Normal"/>
    <w:link w:val="CommentTextChar"/>
    <w:uiPriority w:val="99"/>
    <w:semiHidden/>
    <w:rsid w:val="00421095"/>
    <w:rPr>
      <w:sz w:val="20"/>
      <w:szCs w:val="20"/>
    </w:rPr>
  </w:style>
  <w:style w:type="character" w:customStyle="1" w:styleId="CommentTextChar">
    <w:name w:val="Comment Text Char"/>
    <w:basedOn w:val="DefaultParagraphFont"/>
    <w:link w:val="CommentText"/>
    <w:uiPriority w:val="99"/>
    <w:semiHidden/>
    <w:rsid w:val="004210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21095"/>
    <w:rPr>
      <w:b/>
      <w:bCs/>
    </w:rPr>
  </w:style>
  <w:style w:type="character" w:customStyle="1" w:styleId="CommentSubjectChar">
    <w:name w:val="Comment Subject Char"/>
    <w:basedOn w:val="CommentTextChar"/>
    <w:link w:val="CommentSubject"/>
    <w:uiPriority w:val="99"/>
    <w:semiHidden/>
    <w:rsid w:val="00421095"/>
    <w:rPr>
      <w:rFonts w:ascii="Times New Roman" w:eastAsia="Times New Roman" w:hAnsi="Times New Roman" w:cs="Times New Roman"/>
      <w:b/>
      <w:bCs/>
      <w:sz w:val="20"/>
      <w:szCs w:val="20"/>
    </w:rPr>
  </w:style>
  <w:style w:type="paragraph" w:customStyle="1" w:styleId="Default">
    <w:name w:val="Default"/>
    <w:rsid w:val="00421095"/>
    <w:pPr>
      <w:autoSpaceDE w:val="0"/>
      <w:autoSpaceDN w:val="0"/>
      <w:adjustRightInd w:val="0"/>
      <w:spacing w:after="0" w:line="240" w:lineRule="auto"/>
    </w:pPr>
    <w:rPr>
      <w:rFonts w:ascii="Calibri" w:eastAsia="Times New Roman" w:hAnsi="Calibri" w:cs="Calibri"/>
      <w:color w:val="000000"/>
      <w:sz w:val="24"/>
      <w:szCs w:val="24"/>
    </w:rPr>
  </w:style>
  <w:style w:type="paragraph" w:styleId="EndnoteText">
    <w:name w:val="endnote text"/>
    <w:basedOn w:val="Normal"/>
    <w:link w:val="EndnoteTextChar"/>
    <w:uiPriority w:val="99"/>
    <w:semiHidden/>
    <w:rsid w:val="00421095"/>
    <w:rPr>
      <w:sz w:val="20"/>
      <w:szCs w:val="20"/>
    </w:rPr>
  </w:style>
  <w:style w:type="character" w:customStyle="1" w:styleId="EndnoteTextChar">
    <w:name w:val="Endnote Text Char"/>
    <w:basedOn w:val="DefaultParagraphFont"/>
    <w:link w:val="EndnoteText"/>
    <w:uiPriority w:val="99"/>
    <w:semiHidden/>
    <w:rsid w:val="004210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421095"/>
    <w:rPr>
      <w:rFonts w:cs="Times New Roman"/>
      <w:vertAlign w:val="superscript"/>
    </w:rPr>
  </w:style>
  <w:style w:type="paragraph" w:customStyle="1" w:styleId="Pa3">
    <w:name w:val="Pa3"/>
    <w:basedOn w:val="Normal"/>
    <w:next w:val="Normal"/>
    <w:uiPriority w:val="99"/>
    <w:rsid w:val="0042109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421095"/>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SP-SglSpParaChar">
    <w:name w:val="SP-Sgl Sp Para Char"/>
    <w:link w:val="SP-SglSpPara"/>
    <w:uiPriority w:val="99"/>
    <w:locked/>
    <w:rsid w:val="00421095"/>
    <w:rPr>
      <w:rFonts w:ascii="Times New Roman" w:eastAsia="Times New Roman" w:hAnsi="Times New Roman" w:cs="Times New Roman"/>
      <w:szCs w:val="20"/>
    </w:rPr>
  </w:style>
  <w:style w:type="table" w:styleId="TableGrid">
    <w:name w:val="Table Grid"/>
    <w:basedOn w:val="TableNormal"/>
    <w:uiPriority w:val="59"/>
    <w:rsid w:val="0042109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99"/>
    <w:qFormat/>
    <w:rsid w:val="00421095"/>
    <w:rPr>
      <w:rFonts w:cs="Times New Roman"/>
      <w:b/>
    </w:rPr>
  </w:style>
  <w:style w:type="character" w:customStyle="1" w:styleId="street-address">
    <w:name w:val="street-address"/>
    <w:basedOn w:val="DefaultParagraphFont"/>
    <w:uiPriority w:val="99"/>
    <w:rsid w:val="00421095"/>
    <w:rPr>
      <w:rFonts w:cs="Times New Roman"/>
    </w:rPr>
  </w:style>
  <w:style w:type="character" w:customStyle="1" w:styleId="locality">
    <w:name w:val="locality"/>
    <w:basedOn w:val="DefaultParagraphFont"/>
    <w:uiPriority w:val="99"/>
    <w:rsid w:val="00421095"/>
    <w:rPr>
      <w:rFonts w:cs="Times New Roman"/>
    </w:rPr>
  </w:style>
  <w:style w:type="character" w:customStyle="1" w:styleId="region">
    <w:name w:val="region"/>
    <w:basedOn w:val="DefaultParagraphFont"/>
    <w:uiPriority w:val="99"/>
    <w:rsid w:val="00421095"/>
    <w:rPr>
      <w:rFonts w:cs="Times New Roman"/>
    </w:rPr>
  </w:style>
  <w:style w:type="character" w:customStyle="1" w:styleId="postal-code">
    <w:name w:val="postal-code"/>
    <w:basedOn w:val="DefaultParagraphFont"/>
    <w:uiPriority w:val="99"/>
    <w:rsid w:val="00421095"/>
    <w:rPr>
      <w:rFonts w:cs="Times New Roman"/>
    </w:rPr>
  </w:style>
  <w:style w:type="paragraph" w:styleId="Revision">
    <w:name w:val="Revision"/>
    <w:hidden/>
    <w:uiPriority w:val="99"/>
    <w:semiHidden/>
    <w:rsid w:val="00421095"/>
    <w:pPr>
      <w:spacing w:after="0" w:line="240" w:lineRule="auto"/>
    </w:pPr>
    <w:rPr>
      <w:rFonts w:ascii="Times New Roman" w:eastAsia="Times New Roman" w:hAnsi="Times New Roman" w:cs="Times New Roman"/>
      <w:sz w:val="24"/>
      <w:szCs w:val="24"/>
    </w:rPr>
  </w:style>
  <w:style w:type="paragraph" w:customStyle="1" w:styleId="Level1">
    <w:name w:val="Level 1"/>
    <w:basedOn w:val="Normal"/>
    <w:uiPriority w:val="99"/>
    <w:rsid w:val="00421095"/>
    <w:pPr>
      <w:widowControl w:val="0"/>
      <w:autoSpaceDE w:val="0"/>
      <w:autoSpaceDN w:val="0"/>
      <w:adjustRightInd w:val="0"/>
      <w:ind w:left="720" w:hanging="720"/>
      <w:outlineLvl w:val="0"/>
    </w:pPr>
  </w:style>
  <w:style w:type="paragraph" w:customStyle="1" w:styleId="headline1">
    <w:name w:val="headline1"/>
    <w:basedOn w:val="Normal"/>
    <w:rsid w:val="00421095"/>
    <w:pPr>
      <w:spacing w:before="100" w:beforeAutospacing="1" w:after="100" w:afterAutospacing="1"/>
    </w:pPr>
    <w:rPr>
      <w:rFonts w:ascii="Arial" w:hAnsi="Arial" w:cs="Arial"/>
      <w:b/>
      <w:bCs/>
      <w:color w:val="000000"/>
      <w:sz w:val="27"/>
      <w:szCs w:val="27"/>
    </w:rPr>
  </w:style>
  <w:style w:type="paragraph" w:styleId="BodyText">
    <w:name w:val="Body Text"/>
    <w:basedOn w:val="Normal"/>
    <w:link w:val="BodyTextChar"/>
    <w:uiPriority w:val="99"/>
    <w:unhideWhenUsed/>
    <w:rsid w:val="00657FA3"/>
    <w:pPr>
      <w:spacing w:after="240" w:line="360" w:lineRule="auto"/>
    </w:pPr>
    <w:rPr>
      <w:rFonts w:eastAsiaTheme="minorEastAsia"/>
      <w:sz w:val="22"/>
    </w:rPr>
  </w:style>
  <w:style w:type="character" w:customStyle="1" w:styleId="BodyTextChar">
    <w:name w:val="Body Text Char"/>
    <w:basedOn w:val="DefaultParagraphFont"/>
    <w:link w:val="BodyText"/>
    <w:uiPriority w:val="99"/>
    <w:rsid w:val="00657FA3"/>
    <w:rPr>
      <w:rFonts w:ascii="Times New Roman" w:eastAsiaTheme="minorEastAsia" w:hAnsi="Times New Roman" w:cs="Times New Roman"/>
      <w:szCs w:val="24"/>
    </w:rPr>
  </w:style>
  <w:style w:type="character" w:customStyle="1" w:styleId="Heading3Char">
    <w:name w:val="Heading 3 Char"/>
    <w:basedOn w:val="DefaultParagraphFont"/>
    <w:link w:val="Heading3"/>
    <w:uiPriority w:val="9"/>
    <w:rsid w:val="00F00593"/>
    <w:rPr>
      <w:rFonts w:ascii="Arial" w:eastAsiaTheme="majorEastAsia" w:hAnsi="Arial" w:cstheme="majorBidi"/>
      <w:b/>
      <w:bCs/>
      <w:color w:val="F3901D"/>
      <w:sz w:val="24"/>
      <w:szCs w:val="24"/>
    </w:rPr>
  </w:style>
  <w:style w:type="character" w:styleId="PlaceholderText">
    <w:name w:val="Placeholder Text"/>
    <w:basedOn w:val="DefaultParagraphFont"/>
    <w:uiPriority w:val="99"/>
    <w:semiHidden/>
    <w:rsid w:val="003A0A55"/>
    <w:rPr>
      <w:color w:val="808080"/>
    </w:rPr>
  </w:style>
  <w:style w:type="character" w:customStyle="1" w:styleId="maintitle">
    <w:name w:val="maintitle"/>
    <w:basedOn w:val="DefaultParagraphFont"/>
    <w:rsid w:val="005373F3"/>
  </w:style>
  <w:style w:type="character" w:customStyle="1" w:styleId="Heading1Char">
    <w:name w:val="Heading 1 Char"/>
    <w:basedOn w:val="DefaultParagraphFont"/>
    <w:link w:val="Heading1"/>
    <w:uiPriority w:val="9"/>
    <w:rsid w:val="00B33037"/>
    <w:rPr>
      <w:rFonts w:asciiTheme="majorHAnsi" w:eastAsiaTheme="majorEastAsia" w:hAnsiTheme="majorHAnsi" w:cstheme="majorBidi"/>
      <w:b/>
      <w:bCs/>
      <w:color w:val="365F91" w:themeColor="accent1" w:themeShade="BF"/>
      <w:sz w:val="28"/>
      <w:szCs w:val="28"/>
    </w:rPr>
  </w:style>
  <w:style w:type="character" w:customStyle="1" w:styleId="BodyTextCharChar">
    <w:name w:val="Body Text Char Char"/>
    <w:rsid w:val="00CF6F4B"/>
    <w:rPr>
      <w:sz w:val="24"/>
      <w:szCs w:val="24"/>
      <w:lang w:val="en-US" w:eastAsia="en-US" w:bidi="ar-SA"/>
    </w:rPr>
  </w:style>
  <w:style w:type="character" w:customStyle="1" w:styleId="NORCInlineLevel3ItalicsNoBold">
    <w:name w:val="NORC Inline Level 3 (Italics No Bold)"/>
    <w:qFormat/>
    <w:rsid w:val="00CF6F4B"/>
    <w:rPr>
      <w:rFonts w:ascii="Arial Narrow" w:hAnsi="Arial Narrow"/>
      <w:b w:val="0"/>
      <w:i/>
      <w:sz w:val="24"/>
    </w:rPr>
  </w:style>
  <w:style w:type="paragraph" w:customStyle="1" w:styleId="H2">
    <w:name w:val="H2"/>
    <w:basedOn w:val="Normal"/>
    <w:next w:val="Normal"/>
    <w:uiPriority w:val="99"/>
    <w:rsid w:val="00B3277B"/>
    <w:pPr>
      <w:keepNext/>
      <w:autoSpaceDE w:val="0"/>
      <w:autoSpaceDN w:val="0"/>
      <w:adjustRightInd w:val="0"/>
      <w:spacing w:before="100" w:after="100"/>
      <w:outlineLvl w:val="2"/>
    </w:pPr>
    <w:rPr>
      <w:rFonts w:eastAsiaTheme="minorHAnsi"/>
      <w:b/>
      <w:bCs/>
      <w:sz w:val="36"/>
      <w:szCs w:val="36"/>
    </w:rPr>
  </w:style>
  <w:style w:type="table" w:customStyle="1" w:styleId="TableGridLight1">
    <w:name w:val="Table Grid Light1"/>
    <w:basedOn w:val="TableNormal"/>
    <w:uiPriority w:val="40"/>
    <w:rsid w:val="0000681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B00F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3945">
      <w:bodyDiv w:val="1"/>
      <w:marLeft w:val="0"/>
      <w:marRight w:val="0"/>
      <w:marTop w:val="0"/>
      <w:marBottom w:val="0"/>
      <w:divBdr>
        <w:top w:val="none" w:sz="0" w:space="0" w:color="auto"/>
        <w:left w:val="none" w:sz="0" w:space="0" w:color="auto"/>
        <w:bottom w:val="none" w:sz="0" w:space="0" w:color="auto"/>
        <w:right w:val="none" w:sz="0" w:space="0" w:color="auto"/>
      </w:divBdr>
    </w:div>
    <w:div w:id="170686997">
      <w:bodyDiv w:val="1"/>
      <w:marLeft w:val="0"/>
      <w:marRight w:val="0"/>
      <w:marTop w:val="0"/>
      <w:marBottom w:val="0"/>
      <w:divBdr>
        <w:top w:val="none" w:sz="0" w:space="0" w:color="auto"/>
        <w:left w:val="none" w:sz="0" w:space="0" w:color="auto"/>
        <w:bottom w:val="none" w:sz="0" w:space="0" w:color="auto"/>
        <w:right w:val="none" w:sz="0" w:space="0" w:color="auto"/>
      </w:divBdr>
      <w:divsChild>
        <w:div w:id="1180243059">
          <w:marLeft w:val="0"/>
          <w:marRight w:val="0"/>
          <w:marTop w:val="0"/>
          <w:marBottom w:val="0"/>
          <w:divBdr>
            <w:top w:val="none" w:sz="0" w:space="0" w:color="auto"/>
            <w:left w:val="none" w:sz="0" w:space="0" w:color="auto"/>
            <w:bottom w:val="none" w:sz="0" w:space="0" w:color="auto"/>
            <w:right w:val="none" w:sz="0" w:space="0" w:color="auto"/>
          </w:divBdr>
          <w:divsChild>
            <w:div w:id="1116291108">
              <w:marLeft w:val="0"/>
              <w:marRight w:val="0"/>
              <w:marTop w:val="0"/>
              <w:marBottom w:val="0"/>
              <w:divBdr>
                <w:top w:val="none" w:sz="0" w:space="0" w:color="auto"/>
                <w:left w:val="none" w:sz="0" w:space="0" w:color="auto"/>
                <w:bottom w:val="none" w:sz="0" w:space="0" w:color="auto"/>
                <w:right w:val="none" w:sz="0" w:space="0" w:color="auto"/>
              </w:divBdr>
              <w:divsChild>
                <w:div w:id="970401589">
                  <w:marLeft w:val="0"/>
                  <w:marRight w:val="0"/>
                  <w:marTop w:val="0"/>
                  <w:marBottom w:val="0"/>
                  <w:divBdr>
                    <w:top w:val="none" w:sz="0" w:space="0" w:color="auto"/>
                    <w:left w:val="none" w:sz="0" w:space="0" w:color="auto"/>
                    <w:bottom w:val="none" w:sz="0" w:space="0" w:color="auto"/>
                    <w:right w:val="none" w:sz="0" w:space="0" w:color="auto"/>
                  </w:divBdr>
                  <w:divsChild>
                    <w:div w:id="429274784">
                      <w:marLeft w:val="0"/>
                      <w:marRight w:val="0"/>
                      <w:marTop w:val="0"/>
                      <w:marBottom w:val="0"/>
                      <w:divBdr>
                        <w:top w:val="none" w:sz="0" w:space="0" w:color="auto"/>
                        <w:left w:val="none" w:sz="0" w:space="0" w:color="auto"/>
                        <w:bottom w:val="none" w:sz="0" w:space="0" w:color="auto"/>
                        <w:right w:val="none" w:sz="0" w:space="0" w:color="auto"/>
                      </w:divBdr>
                      <w:divsChild>
                        <w:div w:id="343441377">
                          <w:marLeft w:val="0"/>
                          <w:marRight w:val="0"/>
                          <w:marTop w:val="0"/>
                          <w:marBottom w:val="0"/>
                          <w:divBdr>
                            <w:top w:val="none" w:sz="0" w:space="0" w:color="auto"/>
                            <w:left w:val="none" w:sz="0" w:space="0" w:color="auto"/>
                            <w:bottom w:val="none" w:sz="0" w:space="0" w:color="auto"/>
                            <w:right w:val="none" w:sz="0" w:space="0" w:color="auto"/>
                          </w:divBdr>
                          <w:divsChild>
                            <w:div w:id="162392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158312">
      <w:bodyDiv w:val="1"/>
      <w:marLeft w:val="750"/>
      <w:marRight w:val="750"/>
      <w:marTop w:val="0"/>
      <w:marBottom w:val="0"/>
      <w:divBdr>
        <w:top w:val="none" w:sz="0" w:space="0" w:color="auto"/>
        <w:left w:val="none" w:sz="0" w:space="0" w:color="auto"/>
        <w:bottom w:val="none" w:sz="0" w:space="0" w:color="auto"/>
        <w:right w:val="none" w:sz="0" w:space="0" w:color="auto"/>
      </w:divBdr>
    </w:div>
    <w:div w:id="479077653">
      <w:bodyDiv w:val="1"/>
      <w:marLeft w:val="0"/>
      <w:marRight w:val="0"/>
      <w:marTop w:val="0"/>
      <w:marBottom w:val="0"/>
      <w:divBdr>
        <w:top w:val="none" w:sz="0" w:space="0" w:color="auto"/>
        <w:left w:val="none" w:sz="0" w:space="0" w:color="auto"/>
        <w:bottom w:val="none" w:sz="0" w:space="0" w:color="auto"/>
        <w:right w:val="none" w:sz="0" w:space="0" w:color="auto"/>
      </w:divBdr>
    </w:div>
    <w:div w:id="619075568">
      <w:bodyDiv w:val="1"/>
      <w:marLeft w:val="0"/>
      <w:marRight w:val="0"/>
      <w:marTop w:val="0"/>
      <w:marBottom w:val="0"/>
      <w:divBdr>
        <w:top w:val="none" w:sz="0" w:space="0" w:color="auto"/>
        <w:left w:val="none" w:sz="0" w:space="0" w:color="auto"/>
        <w:bottom w:val="none" w:sz="0" w:space="0" w:color="auto"/>
        <w:right w:val="none" w:sz="0" w:space="0" w:color="auto"/>
      </w:divBdr>
    </w:div>
    <w:div w:id="650447875">
      <w:bodyDiv w:val="1"/>
      <w:marLeft w:val="0"/>
      <w:marRight w:val="0"/>
      <w:marTop w:val="0"/>
      <w:marBottom w:val="0"/>
      <w:divBdr>
        <w:top w:val="none" w:sz="0" w:space="0" w:color="auto"/>
        <w:left w:val="none" w:sz="0" w:space="0" w:color="auto"/>
        <w:bottom w:val="none" w:sz="0" w:space="0" w:color="auto"/>
        <w:right w:val="none" w:sz="0" w:space="0" w:color="auto"/>
      </w:divBdr>
    </w:div>
    <w:div w:id="706224153">
      <w:bodyDiv w:val="1"/>
      <w:marLeft w:val="0"/>
      <w:marRight w:val="0"/>
      <w:marTop w:val="0"/>
      <w:marBottom w:val="0"/>
      <w:divBdr>
        <w:top w:val="none" w:sz="0" w:space="0" w:color="auto"/>
        <w:left w:val="none" w:sz="0" w:space="0" w:color="auto"/>
        <w:bottom w:val="none" w:sz="0" w:space="0" w:color="auto"/>
        <w:right w:val="none" w:sz="0" w:space="0" w:color="auto"/>
      </w:divBdr>
    </w:div>
    <w:div w:id="1123614810">
      <w:bodyDiv w:val="1"/>
      <w:marLeft w:val="0"/>
      <w:marRight w:val="0"/>
      <w:marTop w:val="0"/>
      <w:marBottom w:val="0"/>
      <w:divBdr>
        <w:top w:val="none" w:sz="0" w:space="0" w:color="auto"/>
        <w:left w:val="none" w:sz="0" w:space="0" w:color="auto"/>
        <w:bottom w:val="none" w:sz="0" w:space="0" w:color="auto"/>
        <w:right w:val="none" w:sz="0" w:space="0" w:color="auto"/>
      </w:divBdr>
    </w:div>
    <w:div w:id="1234705801">
      <w:bodyDiv w:val="1"/>
      <w:marLeft w:val="0"/>
      <w:marRight w:val="0"/>
      <w:marTop w:val="0"/>
      <w:marBottom w:val="0"/>
      <w:divBdr>
        <w:top w:val="none" w:sz="0" w:space="0" w:color="auto"/>
        <w:left w:val="none" w:sz="0" w:space="0" w:color="auto"/>
        <w:bottom w:val="none" w:sz="0" w:space="0" w:color="auto"/>
        <w:right w:val="none" w:sz="0" w:space="0" w:color="auto"/>
      </w:divBdr>
    </w:div>
    <w:div w:id="1308435524">
      <w:bodyDiv w:val="1"/>
      <w:marLeft w:val="0"/>
      <w:marRight w:val="0"/>
      <w:marTop w:val="0"/>
      <w:marBottom w:val="0"/>
      <w:divBdr>
        <w:top w:val="none" w:sz="0" w:space="0" w:color="auto"/>
        <w:left w:val="none" w:sz="0" w:space="0" w:color="auto"/>
        <w:bottom w:val="none" w:sz="0" w:space="0" w:color="auto"/>
        <w:right w:val="none" w:sz="0" w:space="0" w:color="auto"/>
      </w:divBdr>
    </w:div>
    <w:div w:id="1425571233">
      <w:bodyDiv w:val="1"/>
      <w:marLeft w:val="0"/>
      <w:marRight w:val="0"/>
      <w:marTop w:val="0"/>
      <w:marBottom w:val="0"/>
      <w:divBdr>
        <w:top w:val="none" w:sz="0" w:space="0" w:color="auto"/>
        <w:left w:val="none" w:sz="0" w:space="0" w:color="auto"/>
        <w:bottom w:val="none" w:sz="0" w:space="0" w:color="auto"/>
        <w:right w:val="none" w:sz="0" w:space="0" w:color="auto"/>
      </w:divBdr>
    </w:div>
    <w:div w:id="1747606514">
      <w:bodyDiv w:val="1"/>
      <w:marLeft w:val="0"/>
      <w:marRight w:val="0"/>
      <w:marTop w:val="0"/>
      <w:marBottom w:val="0"/>
      <w:divBdr>
        <w:top w:val="none" w:sz="0" w:space="0" w:color="auto"/>
        <w:left w:val="none" w:sz="0" w:space="0" w:color="auto"/>
        <w:bottom w:val="none" w:sz="0" w:space="0" w:color="auto"/>
        <w:right w:val="none" w:sz="0" w:space="0" w:color="auto"/>
      </w:divBdr>
      <w:divsChild>
        <w:div w:id="1081441835">
          <w:marLeft w:val="0"/>
          <w:marRight w:val="0"/>
          <w:marTop w:val="0"/>
          <w:marBottom w:val="0"/>
          <w:divBdr>
            <w:top w:val="none" w:sz="0" w:space="0" w:color="auto"/>
            <w:left w:val="none" w:sz="0" w:space="0" w:color="auto"/>
            <w:bottom w:val="none" w:sz="0" w:space="0" w:color="auto"/>
            <w:right w:val="none" w:sz="0" w:space="0" w:color="auto"/>
          </w:divBdr>
          <w:divsChild>
            <w:div w:id="815684346">
              <w:marLeft w:val="0"/>
              <w:marRight w:val="0"/>
              <w:marTop w:val="0"/>
              <w:marBottom w:val="0"/>
              <w:divBdr>
                <w:top w:val="single" w:sz="6" w:space="0" w:color="CCCCCC"/>
                <w:left w:val="single" w:sz="6" w:space="0" w:color="CCCCCC"/>
                <w:bottom w:val="single" w:sz="2" w:space="0" w:color="CCCCCC"/>
                <w:right w:val="single" w:sz="6" w:space="0" w:color="CCCCCC"/>
              </w:divBdr>
              <w:divsChild>
                <w:div w:id="511534172">
                  <w:marLeft w:val="0"/>
                  <w:marRight w:val="0"/>
                  <w:marTop w:val="0"/>
                  <w:marBottom w:val="0"/>
                  <w:divBdr>
                    <w:top w:val="none" w:sz="0" w:space="0" w:color="auto"/>
                    <w:left w:val="none" w:sz="0" w:space="0" w:color="auto"/>
                    <w:bottom w:val="none" w:sz="0" w:space="0" w:color="auto"/>
                    <w:right w:val="none" w:sz="0" w:space="0" w:color="auto"/>
                  </w:divBdr>
                  <w:divsChild>
                    <w:div w:id="1421412343">
                      <w:marLeft w:val="0"/>
                      <w:marRight w:val="0"/>
                      <w:marTop w:val="0"/>
                      <w:marBottom w:val="0"/>
                      <w:divBdr>
                        <w:top w:val="none" w:sz="0" w:space="0" w:color="auto"/>
                        <w:left w:val="none" w:sz="0" w:space="0" w:color="auto"/>
                        <w:bottom w:val="none" w:sz="0" w:space="0" w:color="auto"/>
                        <w:right w:val="none" w:sz="0" w:space="0" w:color="auto"/>
                      </w:divBdr>
                      <w:divsChild>
                        <w:div w:id="737482892">
                          <w:marLeft w:val="0"/>
                          <w:marRight w:val="0"/>
                          <w:marTop w:val="0"/>
                          <w:marBottom w:val="0"/>
                          <w:divBdr>
                            <w:top w:val="none" w:sz="0" w:space="0" w:color="auto"/>
                            <w:left w:val="none" w:sz="0" w:space="0" w:color="auto"/>
                            <w:bottom w:val="single" w:sz="6" w:space="8" w:color="CCCCCC"/>
                            <w:right w:val="single" w:sz="6" w:space="15" w:color="CCCCCC"/>
                          </w:divBdr>
                          <w:divsChild>
                            <w:div w:id="739985354">
                              <w:marLeft w:val="0"/>
                              <w:marRight w:val="0"/>
                              <w:marTop w:val="0"/>
                              <w:marBottom w:val="0"/>
                              <w:divBdr>
                                <w:top w:val="none" w:sz="0" w:space="0" w:color="auto"/>
                                <w:left w:val="none" w:sz="0" w:space="0" w:color="auto"/>
                                <w:bottom w:val="none" w:sz="0" w:space="0" w:color="auto"/>
                                <w:right w:val="none" w:sz="0" w:space="0" w:color="auto"/>
                              </w:divBdr>
                              <w:divsChild>
                                <w:div w:id="20603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557614">
      <w:bodyDiv w:val="1"/>
      <w:marLeft w:val="0"/>
      <w:marRight w:val="0"/>
      <w:marTop w:val="0"/>
      <w:marBottom w:val="0"/>
      <w:divBdr>
        <w:top w:val="none" w:sz="0" w:space="0" w:color="auto"/>
        <w:left w:val="none" w:sz="0" w:space="0" w:color="auto"/>
        <w:bottom w:val="none" w:sz="0" w:space="0" w:color="auto"/>
        <w:right w:val="none" w:sz="0" w:space="0" w:color="auto"/>
      </w:divBdr>
    </w:div>
    <w:div w:id="1813789383">
      <w:bodyDiv w:val="1"/>
      <w:marLeft w:val="0"/>
      <w:marRight w:val="0"/>
      <w:marTop w:val="0"/>
      <w:marBottom w:val="0"/>
      <w:divBdr>
        <w:top w:val="none" w:sz="0" w:space="0" w:color="auto"/>
        <w:left w:val="none" w:sz="0" w:space="0" w:color="auto"/>
        <w:bottom w:val="none" w:sz="0" w:space="0" w:color="auto"/>
        <w:right w:val="none" w:sz="0" w:space="0" w:color="auto"/>
      </w:divBdr>
    </w:div>
    <w:div w:id="211544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8A335-DA4A-4A41-8F3D-AC727E107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3937</Words>
  <Characters>22442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2017-03-07T18:24:00Z</dcterms:created>
  <dcterms:modified xsi:type="dcterms:W3CDTF">2017-03-07T20:04:00Z</dcterms:modified>
</cp:coreProperties>
</file>