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54550" w14:textId="77777777" w:rsidR="00AE5A8D" w:rsidRPr="00360151" w:rsidRDefault="00AE5A8D" w:rsidP="00AE5A8D">
      <w:pPr>
        <w:keepNext/>
        <w:keepLines/>
        <w:pageBreakBefore/>
        <w:pBdr>
          <w:top w:val="single" w:sz="6" w:space="3" w:color="DA291C"/>
          <w:bottom w:val="single" w:sz="6" w:space="3" w:color="DA291C"/>
        </w:pBdr>
        <w:shd w:val="clear" w:color="auto" w:fill="DA291C"/>
        <w:outlineLvl w:val="0"/>
        <w:rPr>
          <w:rFonts w:ascii="Arial" w:hAnsi="Arial"/>
          <w:b/>
          <w:color w:val="FFFFFF"/>
          <w:kern w:val="28"/>
          <w:sz w:val="28"/>
        </w:rPr>
      </w:pPr>
      <w:bookmarkStart w:id="0" w:name="_Toc473187765"/>
      <w:bookmarkStart w:id="1" w:name="_Toc473650839"/>
      <w:r>
        <w:rPr>
          <w:rFonts w:ascii="Arial" w:hAnsi="Arial"/>
          <w:b/>
          <w:color w:val="FFFFFF"/>
          <w:kern w:val="28"/>
          <w:sz w:val="28"/>
        </w:rPr>
        <w:t>Attachment G</w:t>
      </w:r>
      <w:r w:rsidRPr="00360151">
        <w:rPr>
          <w:rFonts w:ascii="Arial" w:hAnsi="Arial"/>
          <w:b/>
          <w:color w:val="FFFFFF"/>
          <w:kern w:val="28"/>
          <w:sz w:val="28"/>
        </w:rPr>
        <w:t xml:space="preserve">: </w:t>
      </w:r>
      <w:bookmarkEnd w:id="0"/>
      <w:bookmarkEnd w:id="1"/>
      <w:r>
        <w:rPr>
          <w:rFonts w:ascii="Arial" w:hAnsi="Arial"/>
          <w:b/>
          <w:color w:val="FFFFFF"/>
          <w:kern w:val="28"/>
          <w:sz w:val="28"/>
        </w:rPr>
        <w:t>Weighting and Estimation Procedures</w:t>
      </w:r>
    </w:p>
    <w:p w14:paraId="45B0F9E2" w14:textId="77777777" w:rsidR="00AE5A8D" w:rsidRDefault="00AE5A8D" w:rsidP="00AE5A8D">
      <w:pPr>
        <w:pStyle w:val="BodyText"/>
        <w:rPr>
          <w:rFonts w:ascii="Arial" w:hAnsi="Arial" w:cs="Arial"/>
          <w:b/>
          <w:bCs/>
          <w:sz w:val="28"/>
          <w:szCs w:val="28"/>
        </w:rPr>
      </w:pPr>
      <w:r>
        <w:t xml:space="preserve">As introduced </w:t>
      </w:r>
      <w:r w:rsidRPr="0023080B">
        <w:t>in Part B (see Sections B.2.1 and B.2.2), this</w:t>
      </w:r>
      <w:r>
        <w:t xml:space="preserve"> attachment provides greater detail on the weighting and estimation procedures to be used for the Wave 4 FMLA Employee and Employer Surveys. Sections G.1 and G.2 discuss the weighting protocols for the Employee and Employer Surveys, respectively, and Section G.3 explains the variance estimation approach to be used for both surveys. Finally, Section G.4 discusses how to create employee-level estimates using data from the Employer Survey.</w:t>
      </w:r>
    </w:p>
    <w:p w14:paraId="316F3BA1" w14:textId="77777777" w:rsidR="00AE5A8D" w:rsidRPr="00DA62A1" w:rsidRDefault="00AE5A8D" w:rsidP="00AE5A8D">
      <w:pPr>
        <w:pStyle w:val="Heading2"/>
      </w:pPr>
      <w:r>
        <w:t xml:space="preserve">G.1. </w:t>
      </w:r>
      <w:r>
        <w:tab/>
      </w:r>
      <w:r w:rsidRPr="00DA62A1">
        <w:t>Employee Survey: Weighting Protocol</w:t>
      </w:r>
    </w:p>
    <w:p w14:paraId="134F51E1" w14:textId="097DDEA0" w:rsidR="00AE5A8D" w:rsidRPr="004B5B0D" w:rsidRDefault="00AE5A8D" w:rsidP="00AE5A8D">
      <w:pPr>
        <w:pStyle w:val="BodyText"/>
      </w:pPr>
      <w:r w:rsidRPr="004B5B0D">
        <w:t>As discussed in Section B.1.1, the Employee Survey features a national, dual-frame cellular and landline random digit dial (RDD) probability sample design, through which any in</w:t>
      </w:r>
      <w:r>
        <w:t>dividual that has either a cell</w:t>
      </w:r>
      <w:r w:rsidRPr="004B5B0D">
        <w:t>phone or a household landline can be reached</w:t>
      </w:r>
      <w:r>
        <w:t>. The landline and cell</w:t>
      </w:r>
      <w:r w:rsidRPr="004B5B0D">
        <w:t xml:space="preserve">phone sampling frames overlap, as some individuals age 18 years and older have both a residential landline in their household </w:t>
      </w:r>
      <w:r>
        <w:t>and a cell</w:t>
      </w:r>
      <w:r w:rsidRPr="004B5B0D">
        <w:t>phone (dual users). While earlier waves of the</w:t>
      </w:r>
      <w:r>
        <w:t xml:space="preserve"> survey attempted to treat cell</w:t>
      </w:r>
      <w:r w:rsidRPr="004B5B0D">
        <w:t xml:space="preserve">phones as a household device, and identify household members eligible for the survey, the efficiency of the rostering and </w:t>
      </w:r>
      <w:r>
        <w:t>hand</w:t>
      </w:r>
      <w:r w:rsidRPr="004B5B0D">
        <w:t xml:space="preserve">off procedures </w:t>
      </w:r>
      <w:r>
        <w:t>on cell</w:t>
      </w:r>
      <w:r w:rsidRPr="004B5B0D">
        <w:t xml:space="preserve">phones proved to be too low to be practical. Hence, in accordance with current survey industry practices, the Wave 4 FMLA Employee Survey </w:t>
      </w:r>
      <w:r>
        <w:t>will treat cell</w:t>
      </w:r>
      <w:r w:rsidRPr="004B5B0D">
        <w:t>phones as an individual device</w:t>
      </w:r>
      <w:r>
        <w:t xml:space="preserve"> (AAPOR 2010)</w:t>
      </w:r>
      <w:r w:rsidRPr="004B5B0D">
        <w:t>. The weighting procedures described in detail here (see also</w:t>
      </w:r>
      <w:r>
        <w:t xml:space="preserve"> Part B,</w:t>
      </w:r>
      <w:r w:rsidRPr="004B5B0D">
        <w:t xml:space="preserve"> Section B.2.1) account for the overall probability of selection, integration of the two sampling frames, and appropriate </w:t>
      </w:r>
      <w:r>
        <w:t>nonresponse</w:t>
      </w:r>
      <w:r w:rsidRPr="004B5B0D">
        <w:t xml:space="preserve"> and post-stratification ratio adjustments.</w:t>
      </w:r>
      <w:r w:rsidR="00255948">
        <w:t xml:space="preserve"> </w:t>
      </w:r>
    </w:p>
    <w:p w14:paraId="6504D5AA" w14:textId="69882784" w:rsidR="00AE5A8D" w:rsidRPr="004B5B0D" w:rsidRDefault="00AE5A8D" w:rsidP="00AE5A8D">
      <w:pPr>
        <w:pStyle w:val="BodyText"/>
      </w:pPr>
      <w:r w:rsidRPr="004B5B0D">
        <w:t xml:space="preserve">As introduced in </w:t>
      </w:r>
      <w:r>
        <w:t xml:space="preserve">Part B, </w:t>
      </w:r>
      <w:r w:rsidRPr="004B5B0D">
        <w:t>Section B.2.1, the reciprocals of the overall selection probabilities are referred to as “base weights.” These base weights will vary depending on the frame from which an individual is drawn, and some of the frame or survey variables. They are the product of four components:</w:t>
      </w:r>
      <w:r w:rsidR="00255948">
        <w:t xml:space="preserve"> </w:t>
      </w:r>
    </w:p>
    <w:p w14:paraId="0585CC0E" w14:textId="22CAF114" w:rsidR="00AE5A8D" w:rsidRPr="004B5B0D" w:rsidRDefault="00AE5A8D" w:rsidP="00AE5A8D">
      <w:pPr>
        <w:pStyle w:val="BodyText"/>
        <w:numPr>
          <w:ilvl w:val="0"/>
          <w:numId w:val="34"/>
        </w:numPr>
        <w:spacing w:after="120"/>
      </w:pPr>
      <w:r w:rsidRPr="004B5B0D">
        <w:t xml:space="preserve">The inverse of the selection probability of the sample telephone number (varies between the cell frame and the landline frame, and is higher for paid leave states); </w:t>
      </w:r>
    </w:p>
    <w:p w14:paraId="78F1DAC6" w14:textId="3BE2E749" w:rsidR="00AE5A8D" w:rsidRPr="004B5B0D" w:rsidRDefault="00AE5A8D" w:rsidP="00AE5A8D">
      <w:pPr>
        <w:pStyle w:val="BodyText"/>
        <w:numPr>
          <w:ilvl w:val="0"/>
          <w:numId w:val="34"/>
        </w:numPr>
        <w:spacing w:after="120"/>
      </w:pPr>
      <w:r w:rsidRPr="004B5B0D">
        <w:t>An adjustment for the number of voice-use landline numbers in the household (not used for cell-only households) and the number</w:t>
      </w:r>
      <w:r>
        <w:t xml:space="preserve"> of non-business adult-use cell</w:t>
      </w:r>
      <w:r w:rsidRPr="004B5B0D">
        <w:t xml:space="preserve">phones in the household (not used for landline-only households); </w:t>
      </w:r>
    </w:p>
    <w:p w14:paraId="7162C5C7" w14:textId="2A911F1E" w:rsidR="00AE5A8D" w:rsidRPr="004B5B0D" w:rsidRDefault="00AE5A8D" w:rsidP="00AE5A8D">
      <w:pPr>
        <w:pStyle w:val="BodyText"/>
        <w:numPr>
          <w:ilvl w:val="0"/>
          <w:numId w:val="34"/>
        </w:numPr>
        <w:spacing w:after="120"/>
      </w:pPr>
      <w:r>
        <w:t xml:space="preserve">An </w:t>
      </w:r>
      <w:r w:rsidRPr="004B5B0D">
        <w:t xml:space="preserve">oversampling factor for prepaid flag status for cellphones (not used for landline-only households); </w:t>
      </w:r>
      <w:r>
        <w:t>and</w:t>
      </w:r>
    </w:p>
    <w:p w14:paraId="754A5A34" w14:textId="4986036F" w:rsidR="00AE5A8D" w:rsidRPr="004B5B0D" w:rsidRDefault="00AE5A8D" w:rsidP="00AE5A8D">
      <w:pPr>
        <w:pStyle w:val="BodyText"/>
        <w:numPr>
          <w:ilvl w:val="0"/>
          <w:numId w:val="34"/>
        </w:numPr>
      </w:pPr>
      <w:r w:rsidRPr="004B5B0D">
        <w:t>In the case of persons employed at some point in the last 12 months, the inverse of the subsampling rate that is used (for leave-takers, leave-needers, or others).</w:t>
      </w:r>
      <w:r w:rsidR="00255948">
        <w:t xml:space="preserve"> </w:t>
      </w:r>
    </w:p>
    <w:p w14:paraId="407360EC" w14:textId="29252509" w:rsidR="00AE5A8D" w:rsidRPr="004B5B0D" w:rsidRDefault="00AE5A8D" w:rsidP="00AE5A8D">
      <w:pPr>
        <w:pStyle w:val="BodyText"/>
      </w:pPr>
      <w:r w:rsidRPr="004B5B0D">
        <w:t>The fourth component of the base weight consists of two multiplicative factors. In the landline frame, the first factor arises from the classification of all eligible employed adults</w:t>
      </w:r>
      <w:r w:rsidRPr="004B5B0D">
        <w:rPr>
          <w:rStyle w:val="FootnoteReference"/>
          <w:szCs w:val="22"/>
        </w:rPr>
        <w:footnoteReference w:id="1"/>
      </w:r>
      <w:r w:rsidRPr="004B5B0D">
        <w:t xml:space="preserve"> in the household into the three </w:t>
      </w:r>
      <w:r w:rsidRPr="004B5B0D">
        <w:lastRenderedPageBreak/>
        <w:t>“leave groups”: leave-takers, leave-needers, and employed-only.</w:t>
      </w:r>
      <w:r w:rsidRPr="004B5B0D">
        <w:rPr>
          <w:rStyle w:val="FootnoteReference"/>
          <w:szCs w:val="22"/>
        </w:rPr>
        <w:footnoteReference w:id="2"/>
      </w:r>
      <w:r w:rsidRPr="004B5B0D">
        <w:t xml:space="preserve"> Among the groups present in a household (i.e., leave groups containing one or more persons), one group will be selected with a known probability, determined by the group subsampling probability used in the sample replicate from which the telephone number comes. The second factor that enters into the fourth component list</w:t>
      </w:r>
      <w:r w:rsidR="00DC0B10">
        <w:t>ed</w:t>
      </w:r>
      <w:r w:rsidRPr="004B5B0D">
        <w:t xml:space="preserve"> above arises from the random selection of one person from the sampled group. This factor equals one if the sampled group only contains one person. We may decide to put a cap on the maximum value allowed for the number of persons in the sampled group, to avoid extreme design weight values. In the cell frame, a parallel procedure will be used to build the fourth component of the base weight, with subsampling of individuals based on their leave group status.</w:t>
      </w:r>
    </w:p>
    <w:p w14:paraId="255A0418" w14:textId="77777777" w:rsidR="00AE5A8D" w:rsidRPr="004B5B0D" w:rsidRDefault="00AE5A8D" w:rsidP="00AE5A8D">
      <w:pPr>
        <w:pStyle w:val="BodyText"/>
      </w:pPr>
      <w:r w:rsidRPr="004B5B0D">
        <w:t xml:space="preserve">Due to the overlap in the landline and cellular RDD frames, a frame integration weight (or “compositing factor” </w:t>
      </w:r>
      <w:r w:rsidRPr="003215CF">
        <w:rPr>
          <w:rFonts w:ascii="Symbol" w:hAnsi="Symbol"/>
        </w:rPr>
        <w:t></w:t>
      </w:r>
      <w:r w:rsidRPr="004B5B0D">
        <w:t>) is needed to combine the two sample components. Landline-only and cellphone-only cases will be assigned a frame integration weight of one (</w:t>
      </w:r>
      <w:r w:rsidRPr="003215CF">
        <w:rPr>
          <w:rFonts w:ascii="Symbol" w:hAnsi="Symbol"/>
        </w:rPr>
        <w:t></w:t>
      </w:r>
      <w:r w:rsidRPr="004B5B0D">
        <w:t xml:space="preserve">=1). The frame integrated weights of dual users (i.e., persons who can be reached on both a </w:t>
      </w:r>
      <w:r>
        <w:t>landline and cell</w:t>
      </w:r>
      <w:r w:rsidRPr="004B5B0D">
        <w:t xml:space="preserve">phone) will be adjusted for the overlap in the following way: </w:t>
      </w:r>
    </w:p>
    <w:p w14:paraId="095BD5B4" w14:textId="39410F09" w:rsidR="00AE5A8D" w:rsidRPr="00AD6630" w:rsidRDefault="00AE5A8D" w:rsidP="00AE5A8D">
      <w:pPr>
        <w:autoSpaceDE w:val="0"/>
        <w:autoSpaceDN w:val="0"/>
        <w:adjustRightInd w:val="0"/>
        <w:spacing w:before="240" w:line="22" w:lineRule="atLeast"/>
        <w:jc w:val="center"/>
        <w:rPr>
          <w:szCs w:val="22"/>
        </w:rPr>
      </w:pPr>
      <w:r>
        <w:rPr>
          <w:rFonts w:ascii="Cambria Math" w:hAnsi="Cambria Math"/>
          <w:i/>
          <w:noProof/>
          <w:szCs w:val="22"/>
        </w:rPr>
        <mc:AlternateContent>
          <mc:Choice Requires="wps">
            <w:drawing>
              <wp:anchor distT="0" distB="0" distL="114300" distR="114300" simplePos="0" relativeHeight="251659264" behindDoc="0" locked="0" layoutInCell="1" allowOverlap="1" wp14:anchorId="539345AF" wp14:editId="53E52CF4">
                <wp:simplePos x="0" y="0"/>
                <wp:positionH relativeFrom="column">
                  <wp:posOffset>5360083</wp:posOffset>
                </wp:positionH>
                <wp:positionV relativeFrom="paragraph">
                  <wp:posOffset>172085</wp:posOffset>
                </wp:positionV>
                <wp:extent cx="534838" cy="3623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838" cy="362310"/>
                        </a:xfrm>
                        <a:prstGeom prst="rect">
                          <a:avLst/>
                        </a:prstGeom>
                        <a:solidFill>
                          <a:srgbClr val="FFFFFF"/>
                        </a:solidFill>
                        <a:ln w="9525">
                          <a:noFill/>
                          <a:miter lim="800000"/>
                          <a:headEnd/>
                          <a:tailEnd/>
                        </a:ln>
                      </wps:spPr>
                      <wps:txbx>
                        <w:txbxContent>
                          <w:p w14:paraId="02570D96" w14:textId="77777777" w:rsidR="00AE5A8D" w:rsidRPr="004B5B0D" w:rsidRDefault="00AE5A8D" w:rsidP="00AE5A8D">
                            <w:pPr>
                              <w:jc w:val="right"/>
                              <w:rPr>
                                <w:szCs w:val="22"/>
                              </w:rPr>
                            </w:pPr>
                            <w:r w:rsidRPr="004B5B0D">
                              <w:rPr>
                                <w:szCs w:val="22"/>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9345AF" id="_x0000_t202" coordsize="21600,21600" o:spt="202" path="m,l,21600r21600,l21600,xe">
                <v:stroke joinstyle="miter"/>
                <v:path gradientshapeok="t" o:connecttype="rect"/>
              </v:shapetype>
              <v:shape id="Text Box 2" o:spid="_x0000_s1026" type="#_x0000_t202" style="position:absolute;left:0;text-align:left;margin-left:422.05pt;margin-top:13.55pt;width:42.1pt;height:2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" stroked="f">
                <v:textbox>
                  <w:txbxContent>
                    <w:p w14:paraId="02570D96" w14:textId="77777777" w:rsidR="00AE5A8D" w:rsidRPr="004B5B0D" w:rsidRDefault="00AE5A8D" w:rsidP="00AE5A8D">
                      <w:pPr>
                        <w:jc w:val="right"/>
                        <w:rPr>
                          <w:szCs w:val="22"/>
                        </w:rPr>
                      </w:pPr>
                      <w:r w:rsidRPr="004B5B0D">
                        <w:rPr>
                          <w:szCs w:val="22"/>
                        </w:rPr>
                        <w:t>(1)</w:t>
                      </w:r>
                    </w:p>
                  </w:txbxContent>
                </v:textbox>
              </v:shape>
            </w:pict>
          </mc:Fallback>
        </mc:AlternateContent>
      </w:r>
      <m:oMath>
        <m:sSubSup>
          <m:sSubSupPr>
            <m:ctrlPr>
              <w:rPr>
                <w:rFonts w:ascii="Cambria Math" w:hAnsi="Cambria Math"/>
                <w:i/>
                <w:szCs w:val="22"/>
              </w:rPr>
            </m:ctrlPr>
          </m:sSubSupPr>
          <m:e>
            <m:r>
              <w:rPr>
                <w:rFonts w:ascii="Cambria Math" w:hAnsi="Cambria Math"/>
                <w:szCs w:val="22"/>
              </w:rPr>
              <m:t>w</m:t>
            </m:r>
          </m:e>
          <m:sub>
            <m:r>
              <w:rPr>
                <w:rFonts w:ascii="Cambria Math" w:hAnsi="Cambria Math"/>
                <w:szCs w:val="22"/>
              </w:rPr>
              <m:t>i</m:t>
            </m:r>
          </m:sub>
          <m:sup>
            <m:r>
              <m:rPr>
                <m:sty m:val="p"/>
              </m:rPr>
              <w:rPr>
                <w:rFonts w:ascii="Cambria Math" w:hAnsi="Cambria Math"/>
                <w:szCs w:val="22"/>
              </w:rPr>
              <m:t>integ</m:t>
            </m:r>
            <m:ctrlPr>
              <w:rPr>
                <w:rFonts w:ascii="Cambria Math" w:hAnsi="Cambria Math"/>
                <w:szCs w:val="22"/>
              </w:rPr>
            </m:ctrlPr>
          </m:sup>
        </m:sSubSup>
        <m:r>
          <w:rPr>
            <w:rFonts w:ascii="Cambria Math" w:hAnsi="Cambria Math"/>
            <w:szCs w:val="22"/>
          </w:rPr>
          <m:t>=</m:t>
        </m:r>
        <m:d>
          <m:dPr>
            <m:begChr m:val="{"/>
            <m:endChr m:val=""/>
            <m:ctrlPr>
              <w:rPr>
                <w:rFonts w:ascii="Cambria Math" w:hAnsi="Cambria Math"/>
                <w:i/>
                <w:szCs w:val="22"/>
              </w:rPr>
            </m:ctrlPr>
          </m:dPr>
          <m:e>
            <m:m>
              <m:mPr>
                <m:mcs>
                  <m:mc>
                    <m:mcPr>
                      <m:count m:val="1"/>
                      <m:mcJc m:val="center"/>
                    </m:mcPr>
                  </m:mc>
                </m:mcs>
                <m:ctrlPr>
                  <w:rPr>
                    <w:rFonts w:ascii="Cambria Math" w:hAnsi="Cambria Math"/>
                    <w:i/>
                    <w:szCs w:val="22"/>
                  </w:rPr>
                </m:ctrlPr>
              </m:mPr>
              <m:mr>
                <m:e>
                  <m:r>
                    <w:rPr>
                      <w:rFonts w:ascii="Cambria Math" w:hAnsi="Cambria Math"/>
                      <w:szCs w:val="22"/>
                    </w:rPr>
                    <m:t xml:space="preserve">λ </m:t>
                  </m:r>
                  <m:sSubSup>
                    <m:sSubSupPr>
                      <m:ctrlPr>
                        <w:rPr>
                          <w:rFonts w:ascii="Cambria Math" w:hAnsi="Cambria Math"/>
                          <w:i/>
                          <w:szCs w:val="22"/>
                        </w:rPr>
                      </m:ctrlPr>
                    </m:sSubSupPr>
                    <m:e>
                      <m:r>
                        <w:rPr>
                          <w:rFonts w:ascii="Cambria Math" w:hAnsi="Cambria Math"/>
                          <w:szCs w:val="22"/>
                        </w:rPr>
                        <m:t>w</m:t>
                      </m:r>
                    </m:e>
                    <m:sub>
                      <m:r>
                        <w:rPr>
                          <w:rFonts w:ascii="Cambria Math" w:hAnsi="Cambria Math"/>
                          <w:szCs w:val="22"/>
                        </w:rPr>
                        <m:t>i</m:t>
                      </m:r>
                    </m:sub>
                    <m:sup>
                      <m:r>
                        <m:rPr>
                          <m:sty m:val="p"/>
                        </m:rPr>
                        <w:rPr>
                          <w:rFonts w:ascii="Cambria Math" w:hAnsi="Cambria Math"/>
                          <w:szCs w:val="22"/>
                        </w:rPr>
                        <m:t>base</m:t>
                      </m:r>
                    </m:sup>
                  </m:sSubSup>
                  <m:r>
                    <w:rPr>
                      <w:rFonts w:ascii="Cambria Math" w:hAnsi="Cambria Math"/>
                      <w:szCs w:val="22"/>
                    </w:rPr>
                    <m:t xml:space="preserve">, </m:t>
                  </m:r>
                  <m:r>
                    <m:rPr>
                      <m:sty m:val="p"/>
                    </m:rPr>
                    <w:rPr>
                      <w:rFonts w:ascii="Cambria Math" w:hAnsi="Cambria Math"/>
                      <w:szCs w:val="22"/>
                    </w:rPr>
                    <m:t>landline frame</m:t>
                  </m:r>
                </m:e>
              </m:mr>
              <m:mr>
                <m:e>
                  <m:r>
                    <w:rPr>
                      <w:rFonts w:ascii="Cambria Math" w:hAnsi="Cambria Math"/>
                      <w:szCs w:val="22"/>
                    </w:rPr>
                    <m:t xml:space="preserve">(1-λ) </m:t>
                  </m:r>
                  <m:sSubSup>
                    <m:sSubSupPr>
                      <m:ctrlPr>
                        <w:rPr>
                          <w:rFonts w:ascii="Cambria Math" w:hAnsi="Cambria Math"/>
                          <w:i/>
                          <w:szCs w:val="22"/>
                        </w:rPr>
                      </m:ctrlPr>
                    </m:sSubSupPr>
                    <m:e>
                      <m:r>
                        <w:rPr>
                          <w:rFonts w:ascii="Cambria Math" w:hAnsi="Cambria Math"/>
                          <w:szCs w:val="22"/>
                        </w:rPr>
                        <m:t>w</m:t>
                      </m:r>
                    </m:e>
                    <m:sub>
                      <m:r>
                        <w:rPr>
                          <w:rFonts w:ascii="Cambria Math" w:hAnsi="Cambria Math"/>
                          <w:szCs w:val="22"/>
                        </w:rPr>
                        <m:t>i</m:t>
                      </m:r>
                    </m:sub>
                    <m:sup>
                      <m:r>
                        <m:rPr>
                          <m:sty m:val="p"/>
                        </m:rPr>
                        <w:rPr>
                          <w:rFonts w:ascii="Cambria Math" w:hAnsi="Cambria Math"/>
                          <w:szCs w:val="22"/>
                        </w:rPr>
                        <m:t>base</m:t>
                      </m:r>
                    </m:sup>
                  </m:sSubSup>
                  <m:r>
                    <w:rPr>
                      <w:rFonts w:ascii="Cambria Math" w:hAnsi="Cambria Math"/>
                      <w:szCs w:val="22"/>
                    </w:rPr>
                    <m:t xml:space="preserve">, </m:t>
                  </m:r>
                  <m:r>
                    <m:rPr>
                      <m:sty m:val="p"/>
                    </m:rPr>
                    <w:rPr>
                      <w:rFonts w:ascii="Cambria Math" w:hAnsi="Cambria Math"/>
                      <w:szCs w:val="22"/>
                    </w:rPr>
                    <m:t>cell frame</m:t>
                  </m:r>
                </m:e>
              </m:mr>
            </m:m>
          </m:e>
        </m:d>
      </m:oMath>
    </w:p>
    <w:p w14:paraId="23220AB9" w14:textId="29B9DACC" w:rsidR="00AE5A8D" w:rsidRDefault="00DC0B10" w:rsidP="00AE5A8D">
      <w:pPr>
        <w:pStyle w:val="BodyText"/>
      </w:pPr>
      <w:r>
        <w:t>w</w:t>
      </w:r>
      <w:r w:rsidR="00AE5A8D">
        <w:t xml:space="preserve">here </w:t>
      </w:r>
      <w:r w:rsidR="00AE5A8D" w:rsidRPr="008510AE">
        <w:rPr>
          <w:position w:val="-12"/>
        </w:rPr>
        <w:object w:dxaOrig="520" w:dyaOrig="380" w14:anchorId="57DB51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5pt;height:19.6pt" o:ole="">
            <v:imagedata r:id="rId8" o:title=""/>
          </v:shape>
          <o:OLEObject Type="Embed" ProgID="Equation.3" ShapeID="_x0000_i1025" DrawAspect="Content" ObjectID="_1551267697" r:id="rId9"/>
        </w:object>
      </w:r>
      <w:r w:rsidR="00255948">
        <w:t xml:space="preserve"> </w:t>
      </w:r>
      <w:r w:rsidR="00AE5A8D">
        <w:t xml:space="preserve">is the base weight. This frame integration compositing factor </w:t>
      </w:r>
      <w:r w:rsidR="00AE5A8D" w:rsidRPr="004B5B0D">
        <w:rPr>
          <w:rFonts w:ascii="Symbol" w:hAnsi="Symbol"/>
        </w:rPr>
        <w:t></w:t>
      </w:r>
      <w:r w:rsidR="00AE5A8D" w:rsidRPr="004B5B0D">
        <w:rPr>
          <w:rFonts w:ascii="Symbol" w:hAnsi="Symbol"/>
        </w:rPr>
        <w:t></w:t>
      </w:r>
      <w:r w:rsidR="00AE5A8D">
        <w:t xml:space="preserve">will be chosen to minimize the design effect due to unequal weighting (which has the effect of maximizing statistical power). </w:t>
      </w:r>
      <w:r w:rsidR="00AE5A8D" w:rsidRPr="00E31A94">
        <w:t xml:space="preserve">The product of the base weight and the frame integration </w:t>
      </w:r>
      <w:r w:rsidR="00AE5A8D">
        <w:t>compositing factor</w:t>
      </w:r>
      <w:r w:rsidR="00AE5A8D" w:rsidRPr="00E31A94">
        <w:t xml:space="preserve"> </w:t>
      </w:r>
      <w:r w:rsidR="00AE5A8D">
        <w:t xml:space="preserve">is </w:t>
      </w:r>
      <w:r w:rsidR="00AE5A8D" w:rsidRPr="00E31A94">
        <w:t xml:space="preserve">referred to as </w:t>
      </w:r>
      <w:r w:rsidR="00AE5A8D">
        <w:t xml:space="preserve">the </w:t>
      </w:r>
      <w:r w:rsidR="00AE5A8D" w:rsidRPr="00E31A94">
        <w:t>“</w:t>
      </w:r>
      <w:r w:rsidR="00AE5A8D">
        <w:t xml:space="preserve">integration </w:t>
      </w:r>
      <w:r w:rsidR="00AE5A8D" w:rsidRPr="00E31A94">
        <w:t xml:space="preserve">weight” and will be used as the input weight for the </w:t>
      </w:r>
      <w:r w:rsidR="00AE5A8D">
        <w:t>nonresponse</w:t>
      </w:r>
      <w:r w:rsidR="00AE5A8D" w:rsidRPr="00E31A94">
        <w:t xml:space="preserve"> adjustment.</w:t>
      </w:r>
      <w:r w:rsidR="00AE5A8D">
        <w:t xml:space="preserve"> </w:t>
      </w:r>
    </w:p>
    <w:p w14:paraId="6C0214C0" w14:textId="196643D9" w:rsidR="00AE5A8D" w:rsidRDefault="00AE5A8D" w:rsidP="00AE5A8D">
      <w:pPr>
        <w:pStyle w:val="BodyText"/>
      </w:pPr>
      <w:r>
        <w:t xml:space="preserve">The screener nonresponse adjustment (see Part B, Section B.3.1) will </w:t>
      </w:r>
      <w:r w:rsidRPr="007D09F3">
        <w:t xml:space="preserve">need to be calculated at the individual level (for the cell frame) and </w:t>
      </w:r>
      <w:r>
        <w:t xml:space="preserve">at </w:t>
      </w:r>
      <w:r w:rsidRPr="007D09F3">
        <w:t>the household level (for the landline frame) for telephone numbers for</w:t>
      </w:r>
      <w:r>
        <w:t xml:space="preserve"> which no screening interview is conducted. The adjustment cells will be based on region for both the cell and landline samples, and on auxiliary flags such as prepaid status for the cell sample. For the landline cases, the interview nonresponse adjustment will account for persons who have been listed on a household roster and selected for the sample, but an interview was not completed. The person-level interview nonresponse adjustment will be done within specified nonresponse adjustment weighting classes of persons, and these factors will be applied to the design weights adjusted for household nonresponse to compensate for unit nonresponse. The weighting classes will be defined by the age and gender of the sampled person. Interviewers will attempt to collect these variables on all adults on the survey roster. For item nonresponse on the weighting class variables (i.e., age and gender for household rosters on landline), missing data will be filled using model-based imputation methodology (van</w:t>
      </w:r>
      <w:r w:rsidR="009E3655">
        <w:t xml:space="preserve"> </w:t>
      </w:r>
      <w:r>
        <w:t>Buuren 2012).</w:t>
      </w:r>
      <w:r w:rsidR="00255948">
        <w:t xml:space="preserve"> </w:t>
      </w:r>
    </w:p>
    <w:p w14:paraId="26E2F6C6" w14:textId="77777777" w:rsidR="00AE5A8D" w:rsidRPr="00D907D4" w:rsidRDefault="00AE5A8D" w:rsidP="00AE5A8D">
      <w:pPr>
        <w:pStyle w:val="BodyText"/>
      </w:pPr>
      <w:r w:rsidRPr="00D907D4">
        <w:t xml:space="preserve">The </w:t>
      </w:r>
      <w:r>
        <w:t>nonresponse</w:t>
      </w:r>
      <w:r w:rsidRPr="00D907D4">
        <w:t>-adjusted weight,</w:t>
      </w:r>
      <w:r>
        <w:t xml:space="preserve"> </w:t>
      </w:r>
      <w:r w:rsidRPr="00744D0D">
        <w:rPr>
          <w:position w:val="-14"/>
        </w:rPr>
        <w:object w:dxaOrig="360" w:dyaOrig="400" w14:anchorId="13CBD7D0">
          <v:shape id="_x0000_i1026" type="#_x0000_t75" style="width:19pt;height:20.15pt" o:ole="">
            <v:imagedata r:id="rId10" o:title=""/>
          </v:shape>
          <o:OLEObject Type="Embed" ProgID="Equation.3" ShapeID="_x0000_i1026" DrawAspect="Content" ObjectID="_1551267698" r:id="rId11"/>
        </w:object>
      </w:r>
      <w:r>
        <w:t xml:space="preserve">, for the </w:t>
      </w:r>
      <w:r>
        <w:rPr>
          <w:i/>
          <w:iCs/>
        </w:rPr>
        <w:t>i-</w:t>
      </w:r>
      <w:r>
        <w:t xml:space="preserve">th responding eligible person in weighting class </w:t>
      </w:r>
      <w:r w:rsidRPr="00744D0D">
        <w:rPr>
          <w:i/>
        </w:rPr>
        <w:t>g</w:t>
      </w:r>
      <w:r>
        <w:t xml:space="preserve"> </w:t>
      </w:r>
      <w:r w:rsidRPr="00D907D4">
        <w:t>will be computed as</w:t>
      </w:r>
    </w:p>
    <w:p w14:paraId="6C21C87E" w14:textId="77777777" w:rsidR="00AE5A8D" w:rsidRPr="00D907D4" w:rsidRDefault="00AE5A8D" w:rsidP="00AE5A8D">
      <w:pPr>
        <w:autoSpaceDE w:val="0"/>
        <w:autoSpaceDN w:val="0"/>
        <w:adjustRightInd w:val="0"/>
        <w:spacing w:line="22" w:lineRule="atLeast"/>
        <w:jc w:val="center"/>
        <w:rPr>
          <w:szCs w:val="22"/>
        </w:rPr>
      </w:pPr>
    </w:p>
    <w:tbl>
      <w:tblPr>
        <w:tblW w:w="0" w:type="auto"/>
        <w:tblLook w:val="01E0" w:firstRow="1" w:lastRow="1" w:firstColumn="1" w:lastColumn="1" w:noHBand="0" w:noVBand="0"/>
      </w:tblPr>
      <w:tblGrid>
        <w:gridCol w:w="8748"/>
        <w:gridCol w:w="828"/>
      </w:tblGrid>
      <w:tr w:rsidR="00AE5A8D" w:rsidRPr="0079727C" w14:paraId="33AB4C62" w14:textId="77777777" w:rsidTr="00D63BA4">
        <w:tc>
          <w:tcPr>
            <w:tcW w:w="8748" w:type="dxa"/>
            <w:shd w:val="clear" w:color="auto" w:fill="auto"/>
          </w:tcPr>
          <w:p w14:paraId="67157D50" w14:textId="77777777" w:rsidR="00AE5A8D" w:rsidRPr="0079727C" w:rsidRDefault="00AE5A8D" w:rsidP="00D63BA4">
            <w:pPr>
              <w:autoSpaceDE w:val="0"/>
              <w:autoSpaceDN w:val="0"/>
              <w:adjustRightInd w:val="0"/>
              <w:spacing w:line="22" w:lineRule="atLeast"/>
              <w:jc w:val="center"/>
              <w:rPr>
                <w:szCs w:val="22"/>
              </w:rPr>
            </w:pPr>
            <w:r w:rsidRPr="0079727C">
              <w:rPr>
                <w:position w:val="-34"/>
                <w:szCs w:val="22"/>
              </w:rPr>
              <w:object w:dxaOrig="2240" w:dyaOrig="800" w14:anchorId="0E23074E">
                <v:shape id="_x0000_i1027" type="#_x0000_t75" style="width:112.9pt;height:40.9pt" o:ole="">
                  <v:imagedata r:id="rId12" o:title=""/>
                </v:shape>
                <o:OLEObject Type="Embed" ProgID="Equation.3" ShapeID="_x0000_i1027" DrawAspect="Content" ObjectID="_1551267699" r:id="rId13"/>
              </w:object>
            </w:r>
          </w:p>
        </w:tc>
        <w:tc>
          <w:tcPr>
            <w:tcW w:w="828" w:type="dxa"/>
            <w:shd w:val="clear" w:color="auto" w:fill="auto"/>
          </w:tcPr>
          <w:p w14:paraId="3E754380" w14:textId="77777777" w:rsidR="00AE5A8D" w:rsidRPr="0079727C" w:rsidRDefault="00AE5A8D" w:rsidP="00D63BA4">
            <w:pPr>
              <w:autoSpaceDE w:val="0"/>
              <w:autoSpaceDN w:val="0"/>
              <w:adjustRightInd w:val="0"/>
              <w:spacing w:line="22" w:lineRule="atLeast"/>
              <w:jc w:val="center"/>
              <w:rPr>
                <w:szCs w:val="22"/>
              </w:rPr>
            </w:pPr>
            <w:r w:rsidRPr="0079727C">
              <w:rPr>
                <w:szCs w:val="22"/>
              </w:rPr>
              <w:t>(</w:t>
            </w:r>
            <w:r>
              <w:rPr>
                <w:szCs w:val="22"/>
              </w:rPr>
              <w:t>2</w:t>
            </w:r>
            <w:r w:rsidRPr="0079727C">
              <w:rPr>
                <w:szCs w:val="22"/>
              </w:rPr>
              <w:t>)</w:t>
            </w:r>
          </w:p>
        </w:tc>
      </w:tr>
    </w:tbl>
    <w:p w14:paraId="4D9E1EFF" w14:textId="77777777" w:rsidR="00AE5A8D" w:rsidRDefault="00AE5A8D" w:rsidP="00AE5A8D">
      <w:pPr>
        <w:pStyle w:val="BodyText"/>
      </w:pPr>
      <w:r>
        <w:t xml:space="preserve">where </w:t>
      </w:r>
      <w:r w:rsidRPr="00744D0D">
        <w:rPr>
          <w:position w:val="-14"/>
        </w:rPr>
        <w:object w:dxaOrig="360" w:dyaOrig="400" w14:anchorId="70DBEC69">
          <v:shape id="_x0000_i1028" type="#_x0000_t75" style="width:19pt;height:20.15pt" o:ole="">
            <v:imagedata r:id="rId14" o:title=""/>
          </v:shape>
          <o:OLEObject Type="Embed" ProgID="Equation.3" ShapeID="_x0000_i1028" DrawAspect="Content" ObjectID="_1551267700" r:id="rId15"/>
        </w:object>
      </w:r>
      <w:r>
        <w:rPr>
          <w:i/>
          <w:iCs/>
          <w:sz w:val="18"/>
          <w:szCs w:val="18"/>
        </w:rPr>
        <w:t xml:space="preserve"> </w:t>
      </w:r>
      <w:r>
        <w:t xml:space="preserve">is the weight that includes the design weight and the nonresponse adjustment, </w:t>
      </w:r>
      <w:r>
        <w:rPr>
          <w:i/>
          <w:iCs/>
        </w:rPr>
        <w:t>N</w:t>
      </w:r>
      <w:r w:rsidRPr="00744D0D">
        <w:rPr>
          <w:i/>
          <w:iCs/>
          <w:szCs w:val="18"/>
          <w:vertAlign w:val="subscript"/>
        </w:rPr>
        <w:t>Rg</w:t>
      </w:r>
      <w:r>
        <w:rPr>
          <w:i/>
          <w:iCs/>
          <w:sz w:val="18"/>
          <w:szCs w:val="18"/>
        </w:rPr>
        <w:t xml:space="preserve"> </w:t>
      </w:r>
      <w:r>
        <w:t xml:space="preserve">is the weighted sum of eligible responding persons in weighting class </w:t>
      </w:r>
      <w:r>
        <w:rPr>
          <w:i/>
          <w:iCs/>
        </w:rPr>
        <w:t>g</w:t>
      </w:r>
      <w:r>
        <w:t xml:space="preserve">, and </w:t>
      </w:r>
      <w:r w:rsidRPr="00744D0D">
        <w:rPr>
          <w:i/>
          <w:iCs/>
        </w:rPr>
        <w:t>N</w:t>
      </w:r>
      <w:r w:rsidRPr="00744D0D">
        <w:rPr>
          <w:i/>
          <w:iCs/>
          <w:vertAlign w:val="subscript"/>
        </w:rPr>
        <w:t>Ng</w:t>
      </w:r>
      <w:r>
        <w:rPr>
          <w:i/>
          <w:iCs/>
          <w:sz w:val="18"/>
          <w:szCs w:val="18"/>
        </w:rPr>
        <w:t xml:space="preserve"> </w:t>
      </w:r>
      <w:r>
        <w:t xml:space="preserve">is the weighted sum of eligible non-responding persons in weighting class </w:t>
      </w:r>
      <w:r>
        <w:rPr>
          <w:i/>
          <w:iCs/>
        </w:rPr>
        <w:t>g</w:t>
      </w:r>
      <w:r>
        <w:t xml:space="preserve">. </w:t>
      </w:r>
    </w:p>
    <w:p w14:paraId="4617FCD8" w14:textId="77777777" w:rsidR="00AE5A8D" w:rsidRPr="00D907D4" w:rsidRDefault="00AE5A8D" w:rsidP="00AE5A8D">
      <w:pPr>
        <w:pStyle w:val="BodyText"/>
      </w:pPr>
      <w:r w:rsidRPr="00D907D4">
        <w:t xml:space="preserve">To help reduce possible residual </w:t>
      </w:r>
      <w:r>
        <w:t>nonresponse</w:t>
      </w:r>
      <w:r w:rsidRPr="00D907D4">
        <w:t xml:space="preserve"> and non-coverage errors, the final estimation weights will also include a calibration adjustment to reflect the most recent population information available. First, the interview sample who respond to the survey screener will be calibrated to the general population characteristics. The control totals for this calibration step will come from the latest American Community Survey (ACS) and National Health Interview Survey (NHIS) microdata that are available at the time weighting is performed. The ACS data will be used to calibrate the demographic distributions for gender, age, education, race, Hispanic ethnicity, and region, while NHIS data will be used to calibrate the distribution across telephone service groups.</w:t>
      </w:r>
      <w:r w:rsidRPr="00D907D4">
        <w:rPr>
          <w:rStyle w:val="FootnoteReference"/>
          <w:szCs w:val="22"/>
        </w:rPr>
        <w:footnoteReference w:id="3"/>
      </w:r>
    </w:p>
    <w:p w14:paraId="74044D5E" w14:textId="77777777" w:rsidR="00AE5A8D" w:rsidRPr="00D907D4" w:rsidRDefault="00AE5A8D" w:rsidP="00AE5A8D">
      <w:pPr>
        <w:pStyle w:val="BodyText"/>
      </w:pPr>
      <w:r w:rsidRPr="00D907D4">
        <w:t>Second, the sample who respond to the extended survey will be calibrated to the target population for the Employee Survey (adults age 18 and older residing in the U.S. who have been employed in the last 12 months). The control totals for the calibration of the second sample will come from the latest available March Current Population Survey, Annual Social and Economic Supplement (ACS-ASEC).</w:t>
      </w:r>
      <w:r w:rsidRPr="00D907D4">
        <w:rPr>
          <w:rStyle w:val="FootnoteReference"/>
          <w:szCs w:val="22"/>
        </w:rPr>
        <w:footnoteReference w:id="4"/>
      </w:r>
    </w:p>
    <w:p w14:paraId="6418FD37" w14:textId="51993D70" w:rsidR="00AE5A8D" w:rsidRDefault="00AE5A8D" w:rsidP="00AE5A8D">
      <w:pPr>
        <w:pStyle w:val="BodyText"/>
      </w:pPr>
      <w:r>
        <w:t xml:space="preserve">The calibration variables will be constructed using the relevant demographic variables collected </w:t>
      </w:r>
      <w:r w:rsidR="00DC0B10">
        <w:t xml:space="preserve">in </w:t>
      </w:r>
      <w:r>
        <w:t>the Employee Survey. The proposed initial groups are detailed below:</w:t>
      </w:r>
    </w:p>
    <w:p w14:paraId="2DB720BE" w14:textId="77777777" w:rsidR="00AE5A8D" w:rsidRDefault="00AE5A8D" w:rsidP="00AE5A8D">
      <w:pPr>
        <w:pStyle w:val="BodyText"/>
        <w:tabs>
          <w:tab w:val="left" w:pos="2520"/>
        </w:tabs>
        <w:ind w:left="2520" w:hanging="2160"/>
      </w:pPr>
      <w:r>
        <w:t xml:space="preserve">GENDER </w:t>
      </w:r>
      <w:r>
        <w:tab/>
      </w:r>
      <w:r>
        <w:tab/>
        <w:t>1=Male, 2=Female</w:t>
      </w:r>
    </w:p>
    <w:p w14:paraId="656FD2DE" w14:textId="77777777" w:rsidR="00AE5A8D" w:rsidRDefault="00AE5A8D" w:rsidP="00AE5A8D">
      <w:pPr>
        <w:pStyle w:val="BodyText"/>
        <w:tabs>
          <w:tab w:val="left" w:pos="2520"/>
        </w:tabs>
        <w:ind w:left="2520" w:hanging="2160"/>
      </w:pPr>
      <w:r>
        <w:t xml:space="preserve">AGE </w:t>
      </w:r>
      <w:r>
        <w:tab/>
      </w:r>
      <w:r>
        <w:tab/>
      </w:r>
      <w:r>
        <w:tab/>
        <w:t>1=18 to 29, 2=30 to 39, 3=40 to 49, 4=50 to 59, 5=60 and above</w:t>
      </w:r>
    </w:p>
    <w:p w14:paraId="0DF9712F" w14:textId="77777777" w:rsidR="00AE5A8D" w:rsidRDefault="00AE5A8D" w:rsidP="00AE5A8D">
      <w:pPr>
        <w:pStyle w:val="BodyText"/>
        <w:tabs>
          <w:tab w:val="left" w:pos="2520"/>
        </w:tabs>
        <w:ind w:left="2520" w:hanging="2160"/>
      </w:pPr>
      <w:r>
        <w:t xml:space="preserve">EDUCATION </w:t>
      </w:r>
      <w:r>
        <w:tab/>
        <w:t>1=High school graduate/GED or less, 2=Some college or Associate degree, 3=Bachelor’s degree, 4=Master’s, Doctorate, or professional school degree (e.g., MD, DDS, JD)</w:t>
      </w:r>
    </w:p>
    <w:p w14:paraId="3577C615" w14:textId="77777777" w:rsidR="00AE5A8D" w:rsidRDefault="00AE5A8D" w:rsidP="00AE5A8D">
      <w:pPr>
        <w:pStyle w:val="BodyText"/>
        <w:tabs>
          <w:tab w:val="left" w:pos="2520"/>
        </w:tabs>
        <w:ind w:left="2520" w:hanging="2160"/>
      </w:pPr>
      <w:r>
        <w:lastRenderedPageBreak/>
        <w:t xml:space="preserve">RACE_ETHNICITY </w:t>
      </w:r>
      <w:r>
        <w:tab/>
        <w:t>1=White only non-Hispanic, 2=Black only non-Hispanic, 3=Asian only non-Hispanic, 4=Other race or mixed race non-Hispanic, 5=Hispanic</w:t>
      </w:r>
    </w:p>
    <w:p w14:paraId="4EF6DB56" w14:textId="383AFECB" w:rsidR="00AE5A8D" w:rsidRDefault="00AE5A8D" w:rsidP="00AE5A8D">
      <w:pPr>
        <w:pStyle w:val="BodyText"/>
        <w:tabs>
          <w:tab w:val="left" w:pos="2520"/>
        </w:tabs>
        <w:ind w:left="2520" w:hanging="2160"/>
      </w:pPr>
      <w:r>
        <w:t xml:space="preserve">REGION </w:t>
      </w:r>
      <w:r>
        <w:tab/>
        <w:t>1=Northeast, 2=Midwest, 3=South, 4=West</w:t>
      </w:r>
    </w:p>
    <w:p w14:paraId="6F49458F" w14:textId="77777777" w:rsidR="00AE5A8D" w:rsidRDefault="00AE5A8D" w:rsidP="00AE5A8D">
      <w:pPr>
        <w:pStyle w:val="BodyText"/>
        <w:tabs>
          <w:tab w:val="left" w:pos="2520"/>
        </w:tabs>
        <w:ind w:left="2520" w:hanging="2160"/>
      </w:pPr>
      <w:r>
        <w:t>PHONE SERVICE</w:t>
      </w:r>
      <w:r>
        <w:tab/>
        <w:t>1=Cellphone only, 2=Landline only, 3=Dual service</w:t>
      </w:r>
    </w:p>
    <w:p w14:paraId="68FE7E8D" w14:textId="062B3055" w:rsidR="00AE5A8D" w:rsidRDefault="00AE5A8D" w:rsidP="00AE5A8D">
      <w:pPr>
        <w:pStyle w:val="BodyText"/>
      </w:pPr>
      <w:r>
        <w:t>We will fill missing data on these weighting variables using model-based imputation methodology (van Buuren 2012).</w:t>
      </w:r>
      <w:r w:rsidR="00255948">
        <w:t xml:space="preserve"> </w:t>
      </w:r>
      <w:r>
        <w:t>After the calibration groups are created, we will check the distribution of each of these dimensions in the survey dataset. If any of the cells defined above contains less than 5 percent of the unweighted sample, that cell will be considered for collapsing with the most appropriate cell in the given dimension. For example, if less than 5 percent of the respondents are Asian</w:t>
      </w:r>
      <w:r w:rsidR="00D42146">
        <w:t>-</w:t>
      </w:r>
      <w:r>
        <w:t>only non-Hispanic, then this cell could be collapsed with the cell for other race or mixed race non-Hispanic. The purpose of collapsing these cells is to avoid excessively large weight values, which reduce the precision of survey estimates. This procedure also helps to ensure that the raking algorithm (discussed below) will converge and generate a solution.</w:t>
      </w:r>
      <w:r w:rsidR="00255948">
        <w:t xml:space="preserve"> </w:t>
      </w:r>
    </w:p>
    <w:p w14:paraId="0649CDF4" w14:textId="41E9EA3F" w:rsidR="00AE5A8D" w:rsidRDefault="00AE5A8D" w:rsidP="00AE5A8D">
      <w:pPr>
        <w:pStyle w:val="BodyText"/>
      </w:pPr>
      <w:r>
        <w:t>Given that the sample will be calibrated to several variables, we will use the “raking ratio” algorithm to calculate the final weights (Kolenikov 2014). In raking ratio adjustments, weights are iteratively post-stratified one calibration variable at a time, so that the marginal distribution on a given dimension agrees exactly between the sample (e.g., the Employer Survey) and the population (e.g., the ACS). Since performing this adjustment on one variable (e.g., education) is likely to disturb the previously</w:t>
      </w:r>
      <w:r w:rsidR="00D42146">
        <w:t xml:space="preserve"> </w:t>
      </w:r>
      <w:r>
        <w:t>achieved agreement on another variable (e.g., age), the process is repeated iteratively with an expectation of convergence, namely that the weights will stabilize and reflect the population distribution of the underlying variables.</w:t>
      </w:r>
    </w:p>
    <w:p w14:paraId="2B8517A2" w14:textId="18E2EE58" w:rsidR="00AE5A8D" w:rsidRPr="00AC05E9" w:rsidRDefault="00AE5A8D" w:rsidP="00AE5A8D">
      <w:pPr>
        <w:pStyle w:val="Heading2"/>
      </w:pPr>
      <w:r>
        <w:t>G.2.</w:t>
      </w:r>
      <w:r>
        <w:tab/>
      </w:r>
      <w:r w:rsidRPr="00AC05E9">
        <w:t>Employer Survey: Weighting Protocol</w:t>
      </w:r>
    </w:p>
    <w:p w14:paraId="2BE863CA" w14:textId="77777777" w:rsidR="00AE5A8D" w:rsidRDefault="00AE5A8D" w:rsidP="00AE5A8D">
      <w:pPr>
        <w:pStyle w:val="BodyText"/>
      </w:pPr>
      <w:r>
        <w:t xml:space="preserve">As discussed in Part B, Section B.1.2, the Employer Survey sample of worksites will be drawn from the Dun &amp; </w:t>
      </w:r>
      <w:r w:rsidRPr="00627410">
        <w:t>Bradstreet Dun’s Market Identifiers (DMI) file.</w:t>
      </w:r>
      <w:r>
        <w:t xml:space="preserve"> In order to make statistically valid estimates from the survey results, it will be necessary to weight the sample data. As explained in Part B, Section B.2.2, the weight to be applied to each responding worksite is a function of the overall probability of selection, and appropriate nonresponse and post-stratification ratio adjustments. The reciprocals of the overall selection probabilities, which will vary depending on the size of the establishment, are referred to as “base weights.” These weights will produce unbiased estimates if there is no nonresponse in the survey. Since some nonresponse is almost certain, adjustment factors will be calculated within specified nonresponse adjustment weighting classes of establishments, and these factors will be applied to the base weights to compensate for unit nonresponse. The weighting classes will be created with the goal to minimize the bias due to nonresponse. Item nonresponse will be addressed using appropriate imputation methodology. Regression-based imputation is usually appropriate for continuous variables, and hot-deck imputation is often used for categorical variables.</w:t>
      </w:r>
    </w:p>
    <w:p w14:paraId="0D49103B" w14:textId="45CC43A9" w:rsidR="00AE5A8D" w:rsidRDefault="00AE5A8D" w:rsidP="00AE5A8D">
      <w:pPr>
        <w:pStyle w:val="BodyText"/>
      </w:pPr>
      <w:r>
        <w:t>The nonresponse-adjusted weight,</w:t>
      </w:r>
      <w:r w:rsidRPr="00744D0D">
        <w:rPr>
          <w:position w:val="-14"/>
        </w:rPr>
        <w:object w:dxaOrig="360" w:dyaOrig="400" w14:anchorId="40097760">
          <v:shape id="_x0000_i1029" type="#_x0000_t75" style="width:19pt;height:20.15pt" o:ole="">
            <v:imagedata r:id="rId10" o:title=""/>
          </v:shape>
          <o:OLEObject Type="Embed" ProgID="Equation.3" ShapeID="_x0000_i1029" DrawAspect="Content" ObjectID="_1551267701" r:id="rId16"/>
        </w:object>
      </w:r>
      <w:r>
        <w:t xml:space="preserve">, for the </w:t>
      </w:r>
      <w:r>
        <w:rPr>
          <w:i/>
          <w:iCs/>
        </w:rPr>
        <w:t>i-</w:t>
      </w:r>
      <w:r>
        <w:t xml:space="preserve">th responding eligible establishment in weighting class </w:t>
      </w:r>
      <w:r w:rsidRPr="00521183">
        <w:rPr>
          <w:i/>
        </w:rPr>
        <w:t>g</w:t>
      </w:r>
      <w:r>
        <w:t xml:space="preserve"> will be computed following Equation 2 (see Section G.1), where </w:t>
      </w:r>
      <w:r>
        <w:rPr>
          <w:i/>
          <w:iCs/>
        </w:rPr>
        <w:t>N</w:t>
      </w:r>
      <w:r w:rsidRPr="00744D0D">
        <w:rPr>
          <w:i/>
          <w:iCs/>
          <w:szCs w:val="18"/>
          <w:vertAlign w:val="subscript"/>
        </w:rPr>
        <w:t>Rg</w:t>
      </w:r>
      <w:r>
        <w:rPr>
          <w:i/>
          <w:iCs/>
          <w:sz w:val="18"/>
          <w:szCs w:val="18"/>
        </w:rPr>
        <w:t xml:space="preserve"> </w:t>
      </w:r>
      <w:r>
        <w:t>is the weighted sum of eligible responding</w:t>
      </w:r>
      <w:r w:rsidRPr="00521183">
        <w:t xml:space="preserve"> establishments in</w:t>
      </w:r>
      <w:r>
        <w:t xml:space="preserve"> </w:t>
      </w:r>
      <w:r w:rsidRPr="00521183">
        <w:t xml:space="preserve">weighting class </w:t>
      </w:r>
      <w:r w:rsidRPr="00521183">
        <w:rPr>
          <w:i/>
          <w:iCs/>
        </w:rPr>
        <w:t>g</w:t>
      </w:r>
      <w:r w:rsidRPr="00521183">
        <w:t xml:space="preserve">, and </w:t>
      </w:r>
      <w:r>
        <w:rPr>
          <w:i/>
          <w:iCs/>
        </w:rPr>
        <w:t>N</w:t>
      </w:r>
      <w:r w:rsidRPr="00521183">
        <w:rPr>
          <w:i/>
          <w:iCs/>
          <w:vertAlign w:val="subscript"/>
        </w:rPr>
        <w:t>Ng</w:t>
      </w:r>
      <w:r w:rsidRPr="00521183">
        <w:rPr>
          <w:i/>
          <w:iCs/>
        </w:rPr>
        <w:t xml:space="preserve"> </w:t>
      </w:r>
      <w:r w:rsidRPr="00521183">
        <w:t xml:space="preserve">is the weighted sum of </w:t>
      </w:r>
      <w:r>
        <w:t xml:space="preserve">eligible </w:t>
      </w:r>
      <w:r w:rsidRPr="00521183">
        <w:t xml:space="preserve">nonresponding establishments in weighting class </w:t>
      </w:r>
      <w:r w:rsidRPr="00521183">
        <w:rPr>
          <w:i/>
          <w:iCs/>
        </w:rPr>
        <w:t>g</w:t>
      </w:r>
      <w:r w:rsidRPr="00521183">
        <w:t>.</w:t>
      </w:r>
      <w:r>
        <w:t xml:space="preserve"> Sample establishments for whom eligibility status is unknown will be excluded from the above nonresponse adjustment.</w:t>
      </w:r>
    </w:p>
    <w:p w14:paraId="470064BA" w14:textId="484C7CE4" w:rsidR="00AE5A8D" w:rsidRDefault="00AE5A8D" w:rsidP="00AE5A8D">
      <w:pPr>
        <w:pStyle w:val="BodyText"/>
      </w:pPr>
      <w:r w:rsidRPr="00607ADD">
        <w:lastRenderedPageBreak/>
        <w:t xml:space="preserve">To help reduce possible undercoverage errors in the </w:t>
      </w:r>
      <w:r>
        <w:t>DMI</w:t>
      </w:r>
      <w:r w:rsidRPr="00607ADD">
        <w:t xml:space="preserve"> sampling frame and reduce possible </w:t>
      </w:r>
      <w:r>
        <w:t>nonresponse</w:t>
      </w:r>
      <w:r w:rsidRPr="00607ADD">
        <w:t xml:space="preserve"> bias, the final estimation weights will also include a </w:t>
      </w:r>
      <w:r>
        <w:t>calibration</w:t>
      </w:r>
      <w:r w:rsidRPr="00607ADD">
        <w:t xml:space="preserve"> adjustment to reflect the most recent population information available from </w:t>
      </w:r>
      <w:r>
        <w:t>the</w:t>
      </w:r>
      <w:r w:rsidRPr="00607ADD">
        <w:t xml:space="preserve"> Quarterly Census of Employment and Wages (QCEW).</w:t>
      </w:r>
      <w:r w:rsidR="00255948">
        <w:t xml:space="preserve"> </w:t>
      </w:r>
      <w:r>
        <w:t xml:space="preserve">The adjustments will be made using broad classes such as Census Region, paid vs. unpaid leave states, </w:t>
      </w:r>
      <w:r w:rsidRPr="00C93CB9">
        <w:t xml:space="preserve">broad North American Industry Classification System </w:t>
      </w:r>
      <w:r>
        <w:t>[</w:t>
      </w:r>
      <w:r w:rsidRPr="00C93CB9">
        <w:t>NAICS</w:t>
      </w:r>
      <w:r>
        <w:t xml:space="preserve">] category, and size of establishment. These groups will be defined based on analysis of the distributions of these variables in the QCEW data. </w:t>
      </w:r>
    </w:p>
    <w:p w14:paraId="7524FD5F" w14:textId="77777777" w:rsidR="00AE5A8D" w:rsidRDefault="00AE5A8D" w:rsidP="00AE5A8D">
      <w:pPr>
        <w:pStyle w:val="BodyText"/>
      </w:pPr>
      <w:r>
        <w:t>The adjustment cells will be constructed using the relevant variables in the Employer Survey dataset. The proposed initial groups are as follows:</w:t>
      </w:r>
    </w:p>
    <w:p w14:paraId="2719227E" w14:textId="77777777" w:rsidR="00AE5A8D" w:rsidRDefault="00AE5A8D" w:rsidP="00AE5A8D">
      <w:pPr>
        <w:pStyle w:val="BodyText"/>
        <w:tabs>
          <w:tab w:val="left" w:pos="1980"/>
        </w:tabs>
        <w:ind w:left="1980" w:hanging="1620"/>
      </w:pPr>
      <w:r>
        <w:t xml:space="preserve">Geography </w:t>
      </w:r>
      <w:r>
        <w:tab/>
        <w:t>1=Northeast non-paid leave states, 2=Midwest non-paid leave states, 3=South non-paid leave states, 4=West non-paid leave states; 5=Paid leave states</w:t>
      </w:r>
    </w:p>
    <w:p w14:paraId="0A4D14B8" w14:textId="77777777" w:rsidR="00AE5A8D" w:rsidRPr="00D907D4" w:rsidRDefault="00AE5A8D" w:rsidP="00AE5A8D">
      <w:pPr>
        <w:pStyle w:val="BodyText"/>
        <w:tabs>
          <w:tab w:val="left" w:pos="1980"/>
        </w:tabs>
        <w:ind w:left="1980" w:hanging="1620"/>
        <w:rPr>
          <w:i/>
        </w:rPr>
      </w:pPr>
      <w:r w:rsidRPr="00D907D4">
        <w:t>NAICS_SIZE</w:t>
      </w:r>
      <w:r w:rsidRPr="00D907D4">
        <w:tab/>
        <w:t xml:space="preserve">A full cross-classification of the four NAICS groups and the four establishment size groups listed in Exhibit B.4 (see Part B). </w:t>
      </w:r>
    </w:p>
    <w:p w14:paraId="4A207B42" w14:textId="6F570D61" w:rsidR="00AE5A8D" w:rsidRDefault="00AE5A8D" w:rsidP="00AE5A8D">
      <w:pPr>
        <w:pStyle w:val="BodyText"/>
      </w:pPr>
      <w:r>
        <w:t>We will fill missing data on these weighting variables using hot deck imputation methodology. After the post-strata are created but prior to raking, we will check the distribution of all dimensions in the Employer Survey dataset. As described in Section G.1, if any of the cells defined above contains less than 5 percent of the unweighted sample, that cell will be collapsed with the most appropriate cell in the given dimension.</w:t>
      </w:r>
      <w:r w:rsidR="00255948">
        <w:t xml:space="preserve"> </w:t>
      </w:r>
    </w:p>
    <w:p w14:paraId="5B257774" w14:textId="77777777" w:rsidR="00AE5A8D" w:rsidRDefault="00AE5A8D" w:rsidP="00AE5A8D">
      <w:pPr>
        <w:pStyle w:val="BodyText"/>
        <w:rPr>
          <w:szCs w:val="22"/>
        </w:rPr>
      </w:pPr>
      <w:r>
        <w:rPr>
          <w:szCs w:val="22"/>
        </w:rPr>
        <w:t xml:space="preserve">The general approach for making the calibration adjustment will use both the number of establishments and employment as calibration variables using the expansion factors approach of Kolenikov and Hammer (2015). Let </w:t>
      </w:r>
      <m:oMath>
        <m:sSub>
          <m:sSubPr>
            <m:ctrlPr>
              <w:rPr>
                <w:rFonts w:ascii="Cambria Math" w:hAnsi="Cambria Math"/>
                <w:i/>
                <w:szCs w:val="22"/>
              </w:rPr>
            </m:ctrlPr>
          </m:sSubPr>
          <m:e>
            <m:r>
              <w:rPr>
                <w:rFonts w:ascii="Cambria Math" w:hAnsi="Cambria Math"/>
                <w:szCs w:val="22"/>
              </w:rPr>
              <m:t>N</m:t>
            </m:r>
          </m:e>
          <m:sub>
            <m:r>
              <w:rPr>
                <w:rFonts w:ascii="Cambria Math" w:hAnsi="Cambria Math"/>
                <w:szCs w:val="22"/>
              </w:rPr>
              <m:t>g</m:t>
            </m:r>
          </m:sub>
        </m:sSub>
      </m:oMath>
      <w:r>
        <w:rPr>
          <w:szCs w:val="22"/>
        </w:rPr>
        <w:t xml:space="preserve"> denote the total number of establishments in cell </w:t>
      </w:r>
      <m:oMath>
        <m:r>
          <w:rPr>
            <w:rFonts w:ascii="Cambria Math" w:hAnsi="Cambria Math"/>
            <w:szCs w:val="22"/>
          </w:rPr>
          <m:t>g</m:t>
        </m:r>
      </m:oMath>
      <w:r>
        <w:rPr>
          <w:szCs w:val="22"/>
        </w:rPr>
        <w:t xml:space="preserve"> in the population (i.e., the QCEW), </w:t>
      </w:r>
      <m:oMath>
        <m:sSub>
          <m:sSubPr>
            <m:ctrlPr>
              <w:rPr>
                <w:rFonts w:ascii="Cambria Math" w:hAnsi="Cambria Math"/>
                <w:i/>
                <w:szCs w:val="22"/>
              </w:rPr>
            </m:ctrlPr>
          </m:sSubPr>
          <m:e>
            <m:r>
              <w:rPr>
                <w:rFonts w:ascii="Cambria Math" w:hAnsi="Cambria Math"/>
                <w:szCs w:val="22"/>
              </w:rPr>
              <m:t>n</m:t>
            </m:r>
          </m:e>
          <m:sub>
            <m:r>
              <w:rPr>
                <w:rFonts w:ascii="Cambria Math" w:hAnsi="Cambria Math"/>
                <w:szCs w:val="22"/>
              </w:rPr>
              <m:t>g</m:t>
            </m:r>
          </m:sub>
        </m:sSub>
      </m:oMath>
      <w:r>
        <w:rPr>
          <w:szCs w:val="22"/>
        </w:rPr>
        <w:t xml:space="preserve"> denote the total number of responding worksites in cell </w:t>
      </w:r>
      <m:oMath>
        <m:r>
          <w:rPr>
            <w:rFonts w:ascii="Cambria Math" w:hAnsi="Cambria Math"/>
            <w:szCs w:val="22"/>
          </w:rPr>
          <m:t>g</m:t>
        </m:r>
      </m:oMath>
      <w:r>
        <w:rPr>
          <w:szCs w:val="22"/>
        </w:rPr>
        <w:t xml:space="preserve"> in the sample (i.e., the Employer Survey), </w:t>
      </w:r>
      <w:r>
        <w:rPr>
          <w:i/>
          <w:iCs/>
          <w:szCs w:val="22"/>
        </w:rPr>
        <w:t>Y</w:t>
      </w:r>
      <w:r>
        <w:rPr>
          <w:i/>
          <w:iCs/>
          <w:szCs w:val="22"/>
          <w:vertAlign w:val="subscript"/>
        </w:rPr>
        <w:t>g</w:t>
      </w:r>
      <w:r>
        <w:rPr>
          <w:i/>
          <w:iCs/>
          <w:szCs w:val="22"/>
        </w:rPr>
        <w:t xml:space="preserve"> </w:t>
      </w:r>
      <w:r>
        <w:rPr>
          <w:szCs w:val="22"/>
        </w:rPr>
        <w:t xml:space="preserve">denote the aggregate number of employees in cell </w:t>
      </w:r>
      <w:r>
        <w:rPr>
          <w:i/>
          <w:iCs/>
          <w:szCs w:val="22"/>
        </w:rPr>
        <w:t xml:space="preserve">g </w:t>
      </w:r>
      <w:r>
        <w:rPr>
          <w:szCs w:val="22"/>
        </w:rPr>
        <w:t xml:space="preserve">as given in the most recent </w:t>
      </w:r>
      <w:r w:rsidRPr="00EB33E6">
        <w:rPr>
          <w:szCs w:val="22"/>
        </w:rPr>
        <w:t>QCEW</w:t>
      </w:r>
      <w:r>
        <w:rPr>
          <w:szCs w:val="22"/>
        </w:rPr>
        <w:t xml:space="preserve"> data, and let</w:t>
      </w:r>
    </w:p>
    <w:tbl>
      <w:tblPr>
        <w:tblW w:w="0" w:type="auto"/>
        <w:tblLook w:val="01E0" w:firstRow="1" w:lastRow="1" w:firstColumn="1" w:lastColumn="1" w:noHBand="0" w:noVBand="0"/>
      </w:tblPr>
      <w:tblGrid>
        <w:gridCol w:w="8748"/>
        <w:gridCol w:w="828"/>
      </w:tblGrid>
      <w:tr w:rsidR="00AE5A8D" w:rsidRPr="0079727C" w14:paraId="2B83207A" w14:textId="77777777" w:rsidTr="00D63BA4">
        <w:tc>
          <w:tcPr>
            <w:tcW w:w="8748" w:type="dxa"/>
            <w:shd w:val="clear" w:color="auto" w:fill="auto"/>
          </w:tcPr>
          <w:p w14:paraId="47648D3C" w14:textId="77777777" w:rsidR="00AE5A8D" w:rsidRPr="0079727C" w:rsidRDefault="00AE5A8D" w:rsidP="00D63BA4">
            <w:pPr>
              <w:autoSpaceDE w:val="0"/>
              <w:autoSpaceDN w:val="0"/>
              <w:adjustRightInd w:val="0"/>
              <w:spacing w:line="22" w:lineRule="atLeast"/>
              <w:jc w:val="center"/>
              <w:rPr>
                <w:szCs w:val="22"/>
              </w:rPr>
            </w:pPr>
            <w:r w:rsidRPr="0079727C">
              <w:rPr>
                <w:rFonts w:ascii="Symbol" w:hAnsi="Symbol" w:cs="Symbol"/>
                <w:position w:val="-28"/>
                <w:szCs w:val="22"/>
              </w:rPr>
              <w:object w:dxaOrig="1420" w:dyaOrig="720" w14:anchorId="463561D6">
                <v:shape id="_x0000_i1030" type="#_x0000_t75" style="width:71.4pt;height:36.3pt" o:ole="">
                  <v:imagedata r:id="rId17" o:title=""/>
                </v:shape>
                <o:OLEObject Type="Embed" ProgID="Equation.3" ShapeID="_x0000_i1030" DrawAspect="Content" ObjectID="_1551267702" r:id="rId18"/>
              </w:object>
            </w:r>
          </w:p>
        </w:tc>
        <w:tc>
          <w:tcPr>
            <w:tcW w:w="828" w:type="dxa"/>
            <w:shd w:val="clear" w:color="auto" w:fill="auto"/>
          </w:tcPr>
          <w:p w14:paraId="778B0671" w14:textId="77777777" w:rsidR="00AE5A8D" w:rsidRPr="0079727C" w:rsidRDefault="00AE5A8D" w:rsidP="00D63BA4">
            <w:pPr>
              <w:autoSpaceDE w:val="0"/>
              <w:autoSpaceDN w:val="0"/>
              <w:adjustRightInd w:val="0"/>
              <w:spacing w:line="22" w:lineRule="atLeast"/>
              <w:jc w:val="center"/>
              <w:rPr>
                <w:szCs w:val="22"/>
              </w:rPr>
            </w:pPr>
            <w:r w:rsidRPr="0079727C">
              <w:rPr>
                <w:szCs w:val="22"/>
              </w:rPr>
              <w:t>(</w:t>
            </w:r>
            <w:r>
              <w:rPr>
                <w:szCs w:val="22"/>
              </w:rPr>
              <w:t>3</w:t>
            </w:r>
            <w:r w:rsidRPr="0079727C">
              <w:rPr>
                <w:szCs w:val="22"/>
              </w:rPr>
              <w:t>)</w:t>
            </w:r>
          </w:p>
        </w:tc>
      </w:tr>
    </w:tbl>
    <w:p w14:paraId="6081B2DF" w14:textId="77777777" w:rsidR="00AE5A8D" w:rsidRDefault="00AE5A8D" w:rsidP="00AE5A8D">
      <w:pPr>
        <w:pStyle w:val="BodyText"/>
      </w:pPr>
      <w:r>
        <w:t>denote the corresponding estimate from the sample, where</w:t>
      </w:r>
      <w:r w:rsidRPr="003847E8">
        <w:t xml:space="preserve"> </w:t>
      </w:r>
      <w:r w:rsidRPr="00C83145">
        <w:rPr>
          <w:position w:val="-14"/>
        </w:rPr>
        <w:object w:dxaOrig="360" w:dyaOrig="400" w14:anchorId="08F71EEB">
          <v:shape id="_x0000_i1031" type="#_x0000_t75" style="width:19pt;height:20.15pt" o:ole="">
            <v:imagedata r:id="rId19" o:title=""/>
          </v:shape>
          <o:OLEObject Type="Embed" ProgID="Equation.3" ShapeID="_x0000_i1031" DrawAspect="Content" ObjectID="_1551267703" r:id="rId20"/>
        </w:object>
      </w:r>
      <w:r>
        <w:t xml:space="preserve"> is the nonresponse-adjusted weight defined in Equation (2), and </w:t>
      </w:r>
      <w:r>
        <w:rPr>
          <w:i/>
          <w:iCs/>
        </w:rPr>
        <w:t>y</w:t>
      </w:r>
      <w:r>
        <w:rPr>
          <w:i/>
          <w:iCs/>
          <w:vertAlign w:val="subscript"/>
        </w:rPr>
        <w:t>g</w:t>
      </w:r>
      <w:r w:rsidRPr="003847E8">
        <w:rPr>
          <w:i/>
          <w:iCs/>
          <w:vertAlign w:val="subscript"/>
        </w:rPr>
        <w:t>i</w:t>
      </w:r>
      <w:r>
        <w:rPr>
          <w:i/>
          <w:iCs/>
        </w:rPr>
        <w:t xml:space="preserve"> </w:t>
      </w:r>
      <w:r>
        <w:t xml:space="preserve">is the observed number of employees of establishment </w:t>
      </w:r>
      <w:r>
        <w:rPr>
          <w:i/>
          <w:iCs/>
        </w:rPr>
        <w:t xml:space="preserve">i </w:t>
      </w:r>
      <w:r>
        <w:t xml:space="preserve">in cell </w:t>
      </w:r>
      <w:r>
        <w:rPr>
          <w:i/>
          <w:iCs/>
        </w:rPr>
        <w:t>g</w:t>
      </w:r>
      <w:r>
        <w:t xml:space="preserve">. The final weight </w:t>
      </w:r>
      <m:oMath>
        <m:sSubSup>
          <m:sSubSupPr>
            <m:ctrlPr>
              <w:rPr>
                <w:rFonts w:ascii="Cambria Math" w:hAnsi="Cambria Math"/>
                <w:i/>
              </w:rPr>
            </m:ctrlPr>
          </m:sSubSupPr>
          <m:e>
            <m:r>
              <w:rPr>
                <w:rFonts w:ascii="Cambria Math" w:hAnsi="Cambria Math"/>
              </w:rPr>
              <m:t>w</m:t>
            </m:r>
          </m:e>
          <m:sub>
            <m:r>
              <w:rPr>
                <w:rFonts w:ascii="Cambria Math" w:hAnsi="Cambria Math"/>
              </w:rPr>
              <m:t>gi</m:t>
            </m:r>
          </m:sub>
          <m:sup>
            <m:r>
              <m:rPr>
                <m:sty m:val="p"/>
              </m:rPr>
              <w:rPr>
                <w:rFonts w:ascii="Cambria Math" w:hAnsi="Cambria Math"/>
              </w:rPr>
              <m:t>F</m:t>
            </m:r>
          </m:sup>
        </m:sSubSup>
      </m:oMath>
      <w:r>
        <w:t xml:space="preserve"> for establishment </w:t>
      </w:r>
      <w:r>
        <w:rPr>
          <w:i/>
          <w:iCs/>
        </w:rPr>
        <w:t xml:space="preserve">i </w:t>
      </w:r>
      <w:r>
        <w:t xml:space="preserve">in cell </w:t>
      </w:r>
      <w:r>
        <w:rPr>
          <w:i/>
          <w:iCs/>
        </w:rPr>
        <w:t xml:space="preserve">g </w:t>
      </w:r>
      <w:r>
        <w:t>will then be computed to satisfy</w:t>
      </w:r>
    </w:p>
    <w:tbl>
      <w:tblPr>
        <w:tblW w:w="0" w:type="auto"/>
        <w:tblLook w:val="01E0" w:firstRow="1" w:lastRow="1" w:firstColumn="1" w:lastColumn="1" w:noHBand="0" w:noVBand="0"/>
      </w:tblPr>
      <w:tblGrid>
        <w:gridCol w:w="8748"/>
        <w:gridCol w:w="828"/>
      </w:tblGrid>
      <w:tr w:rsidR="00AE5A8D" w:rsidRPr="0079727C" w14:paraId="08D6B1E6" w14:textId="77777777" w:rsidTr="00D63BA4">
        <w:tc>
          <w:tcPr>
            <w:tcW w:w="8748" w:type="dxa"/>
            <w:shd w:val="clear" w:color="auto" w:fill="auto"/>
          </w:tcPr>
          <w:p w14:paraId="3188E25F" w14:textId="6956299C" w:rsidR="00AE5A8D" w:rsidRPr="0079727C" w:rsidRDefault="00BA3766" w:rsidP="00D63BA4">
            <w:pPr>
              <w:autoSpaceDE w:val="0"/>
              <w:autoSpaceDN w:val="0"/>
              <w:adjustRightInd w:val="0"/>
              <w:spacing w:line="22" w:lineRule="atLeast"/>
              <w:jc w:val="center"/>
              <w:rPr>
                <w:szCs w:val="22"/>
              </w:rPr>
            </w:pPr>
            <m:oMathPara>
              <m:oMath>
                <m:nary>
                  <m:naryPr>
                    <m:chr m:val="∑"/>
                    <m:limLoc m:val="undOvr"/>
                    <m:ctrlPr>
                      <w:rPr>
                        <w:rFonts w:ascii="Cambria Math" w:hAnsi="Cambria Math"/>
                        <w:i/>
                        <w:szCs w:val="22"/>
                      </w:rPr>
                    </m:ctrlPr>
                  </m:naryPr>
                  <m:sub>
                    <m:r>
                      <w:rPr>
                        <w:rFonts w:ascii="Cambria Math" w:hAnsi="Cambria Math"/>
                        <w:szCs w:val="22"/>
                      </w:rPr>
                      <m:t>i=1</m:t>
                    </m:r>
                  </m:sub>
                  <m:sup>
                    <m:sSub>
                      <m:sSubPr>
                        <m:ctrlPr>
                          <w:rPr>
                            <w:rFonts w:ascii="Cambria Math" w:hAnsi="Cambria Math"/>
                            <w:i/>
                            <w:szCs w:val="22"/>
                          </w:rPr>
                        </m:ctrlPr>
                      </m:sSubPr>
                      <m:e>
                        <m:r>
                          <w:rPr>
                            <w:rFonts w:ascii="Cambria Math" w:hAnsi="Cambria Math"/>
                            <w:szCs w:val="22"/>
                          </w:rPr>
                          <m:t>n</m:t>
                        </m:r>
                      </m:e>
                      <m:sub>
                        <m:r>
                          <w:rPr>
                            <w:rFonts w:ascii="Cambria Math" w:hAnsi="Cambria Math"/>
                            <w:szCs w:val="22"/>
                          </w:rPr>
                          <m:t>g</m:t>
                        </m:r>
                      </m:sub>
                    </m:sSub>
                  </m:sup>
                  <m:e>
                    <m:sSubSup>
                      <m:sSubSupPr>
                        <m:ctrlPr>
                          <w:rPr>
                            <w:rFonts w:ascii="Cambria Math" w:hAnsi="Cambria Math"/>
                            <w:i/>
                            <w:szCs w:val="22"/>
                          </w:rPr>
                        </m:ctrlPr>
                      </m:sSubSupPr>
                      <m:e>
                        <m:r>
                          <w:rPr>
                            <w:rFonts w:ascii="Cambria Math" w:hAnsi="Cambria Math"/>
                            <w:szCs w:val="22"/>
                          </w:rPr>
                          <m:t>w</m:t>
                        </m:r>
                      </m:e>
                      <m:sub>
                        <m:r>
                          <w:rPr>
                            <w:rFonts w:ascii="Cambria Math" w:hAnsi="Cambria Math"/>
                            <w:szCs w:val="22"/>
                          </w:rPr>
                          <m:t>gi</m:t>
                        </m:r>
                      </m:sub>
                      <m:sup>
                        <m:r>
                          <m:rPr>
                            <m:sty m:val="p"/>
                          </m:rPr>
                          <w:rPr>
                            <w:rFonts w:ascii="Cambria Math" w:hAnsi="Cambria Math"/>
                            <w:szCs w:val="22"/>
                          </w:rPr>
                          <m:t>F</m:t>
                        </m:r>
                      </m:sup>
                    </m:sSubSup>
                  </m:e>
                </m:nary>
                <m:r>
                  <w:rPr>
                    <w:rFonts w:ascii="Cambria Math" w:hAnsi="Cambria Math"/>
                    <w:szCs w:val="22"/>
                  </w:rPr>
                  <m:t>=</m:t>
                </m:r>
                <m:sSub>
                  <m:sSubPr>
                    <m:ctrlPr>
                      <w:rPr>
                        <w:rFonts w:ascii="Cambria Math" w:hAnsi="Cambria Math"/>
                        <w:i/>
                        <w:szCs w:val="22"/>
                      </w:rPr>
                    </m:ctrlPr>
                  </m:sSubPr>
                  <m:e>
                    <m:r>
                      <w:rPr>
                        <w:rFonts w:ascii="Cambria Math" w:hAnsi="Cambria Math"/>
                        <w:szCs w:val="22"/>
                      </w:rPr>
                      <m:t>N</m:t>
                    </m:r>
                  </m:e>
                  <m:sub>
                    <m:r>
                      <w:rPr>
                        <w:rFonts w:ascii="Cambria Math" w:hAnsi="Cambria Math"/>
                        <w:szCs w:val="22"/>
                      </w:rPr>
                      <m:t>g</m:t>
                    </m:r>
                  </m:sub>
                </m:sSub>
                <m:r>
                  <w:rPr>
                    <w:rFonts w:ascii="Cambria Math" w:hAnsi="Cambria Math"/>
                    <w:szCs w:val="22"/>
                  </w:rPr>
                  <m:t xml:space="preserve">; </m:t>
                </m:r>
                <m:nary>
                  <m:naryPr>
                    <m:chr m:val="∑"/>
                    <m:limLoc m:val="undOvr"/>
                    <m:ctrlPr>
                      <w:rPr>
                        <w:rFonts w:ascii="Cambria Math" w:hAnsi="Cambria Math"/>
                        <w:i/>
                        <w:szCs w:val="22"/>
                      </w:rPr>
                    </m:ctrlPr>
                  </m:naryPr>
                  <m:sub>
                    <m:r>
                      <w:rPr>
                        <w:rFonts w:ascii="Cambria Math" w:hAnsi="Cambria Math"/>
                        <w:szCs w:val="22"/>
                      </w:rPr>
                      <m:t>i=1</m:t>
                    </m:r>
                  </m:sub>
                  <m:sup>
                    <m:sSub>
                      <m:sSubPr>
                        <m:ctrlPr>
                          <w:rPr>
                            <w:rFonts w:ascii="Cambria Math" w:hAnsi="Cambria Math"/>
                            <w:i/>
                            <w:szCs w:val="22"/>
                          </w:rPr>
                        </m:ctrlPr>
                      </m:sSubPr>
                      <m:e>
                        <m:r>
                          <w:rPr>
                            <w:rFonts w:ascii="Cambria Math" w:hAnsi="Cambria Math"/>
                            <w:szCs w:val="22"/>
                          </w:rPr>
                          <m:t>n</m:t>
                        </m:r>
                      </m:e>
                      <m:sub>
                        <m:r>
                          <w:rPr>
                            <w:rFonts w:ascii="Cambria Math" w:hAnsi="Cambria Math"/>
                            <w:szCs w:val="22"/>
                          </w:rPr>
                          <m:t>g</m:t>
                        </m:r>
                      </m:sub>
                    </m:sSub>
                  </m:sup>
                  <m:e>
                    <m:sSubSup>
                      <m:sSubSupPr>
                        <m:ctrlPr>
                          <w:rPr>
                            <w:rFonts w:ascii="Cambria Math" w:hAnsi="Cambria Math"/>
                            <w:i/>
                            <w:szCs w:val="22"/>
                          </w:rPr>
                        </m:ctrlPr>
                      </m:sSubSupPr>
                      <m:e>
                        <m:r>
                          <w:rPr>
                            <w:rFonts w:ascii="Cambria Math" w:hAnsi="Cambria Math"/>
                            <w:szCs w:val="22"/>
                          </w:rPr>
                          <m:t>w</m:t>
                        </m:r>
                      </m:e>
                      <m:sub>
                        <m:r>
                          <w:rPr>
                            <w:rFonts w:ascii="Cambria Math" w:hAnsi="Cambria Math"/>
                            <w:szCs w:val="22"/>
                          </w:rPr>
                          <m:t>gi</m:t>
                        </m:r>
                      </m:sub>
                      <m:sup>
                        <m:r>
                          <m:rPr>
                            <m:sty m:val="p"/>
                          </m:rPr>
                          <w:rPr>
                            <w:rFonts w:ascii="Cambria Math" w:hAnsi="Cambria Math"/>
                            <w:szCs w:val="22"/>
                          </w:rPr>
                          <m:t>F</m:t>
                        </m:r>
                      </m:sup>
                    </m:sSubSup>
                    <m:sSub>
                      <m:sSubPr>
                        <m:ctrlPr>
                          <w:rPr>
                            <w:rFonts w:ascii="Cambria Math" w:hAnsi="Cambria Math"/>
                            <w:i/>
                            <w:szCs w:val="22"/>
                          </w:rPr>
                        </m:ctrlPr>
                      </m:sSubPr>
                      <m:e>
                        <m:r>
                          <w:rPr>
                            <w:rFonts w:ascii="Cambria Math" w:hAnsi="Cambria Math"/>
                            <w:szCs w:val="22"/>
                          </w:rPr>
                          <m:t>y</m:t>
                        </m:r>
                      </m:e>
                      <m:sub>
                        <m:r>
                          <w:rPr>
                            <w:rFonts w:ascii="Cambria Math" w:hAnsi="Cambria Math"/>
                            <w:szCs w:val="22"/>
                          </w:rPr>
                          <m:t>gi</m:t>
                        </m:r>
                      </m:sub>
                    </m:sSub>
                  </m:e>
                </m:nary>
                <m:r>
                  <w:rPr>
                    <w:rFonts w:ascii="Cambria Math" w:hAnsi="Cambria Math"/>
                    <w:szCs w:val="22"/>
                  </w:rPr>
                  <m:t>=</m:t>
                </m:r>
                <m:sSub>
                  <m:sSubPr>
                    <m:ctrlPr>
                      <w:rPr>
                        <w:rFonts w:ascii="Cambria Math" w:hAnsi="Cambria Math"/>
                        <w:i/>
                        <w:szCs w:val="22"/>
                      </w:rPr>
                    </m:ctrlPr>
                  </m:sSubPr>
                  <m:e>
                    <m:r>
                      <w:rPr>
                        <w:rFonts w:ascii="Cambria Math" w:hAnsi="Cambria Math"/>
                        <w:szCs w:val="22"/>
                      </w:rPr>
                      <m:t>Y</m:t>
                    </m:r>
                  </m:e>
                  <m:sub>
                    <m:r>
                      <w:rPr>
                        <w:rFonts w:ascii="Cambria Math" w:hAnsi="Cambria Math"/>
                        <w:szCs w:val="22"/>
                      </w:rPr>
                      <m:t>g</m:t>
                    </m:r>
                  </m:sub>
                </m:sSub>
                <m:r>
                  <w:rPr>
                    <w:rFonts w:ascii="Cambria Math" w:hAnsi="Cambria Math"/>
                    <w:szCs w:val="22"/>
                  </w:rPr>
                  <m:t xml:space="preserve"> </m:t>
                </m:r>
              </m:oMath>
            </m:oMathPara>
          </w:p>
        </w:tc>
        <w:tc>
          <w:tcPr>
            <w:tcW w:w="828" w:type="dxa"/>
            <w:shd w:val="clear" w:color="auto" w:fill="auto"/>
          </w:tcPr>
          <w:p w14:paraId="6B612509" w14:textId="77777777" w:rsidR="00AE5A8D" w:rsidRPr="0079727C" w:rsidRDefault="00AE5A8D" w:rsidP="00D63BA4">
            <w:pPr>
              <w:autoSpaceDE w:val="0"/>
              <w:autoSpaceDN w:val="0"/>
              <w:adjustRightInd w:val="0"/>
              <w:spacing w:line="22" w:lineRule="atLeast"/>
              <w:jc w:val="center"/>
              <w:rPr>
                <w:szCs w:val="22"/>
              </w:rPr>
            </w:pPr>
            <w:r w:rsidRPr="0079727C">
              <w:rPr>
                <w:szCs w:val="22"/>
              </w:rPr>
              <w:t>(</w:t>
            </w:r>
            <w:r>
              <w:rPr>
                <w:szCs w:val="22"/>
              </w:rPr>
              <w:t>4</w:t>
            </w:r>
            <w:r w:rsidRPr="0079727C">
              <w:rPr>
                <w:szCs w:val="22"/>
              </w:rPr>
              <w:t>)</w:t>
            </w:r>
          </w:p>
        </w:tc>
      </w:tr>
    </w:tbl>
    <w:p w14:paraId="2F738020" w14:textId="77777777" w:rsidR="00AE5A8D" w:rsidRDefault="00AE5A8D" w:rsidP="00AE5A8D">
      <w:pPr>
        <w:pStyle w:val="BodyText"/>
      </w:pPr>
      <w:r>
        <w:t xml:space="preserve">The adjustment above has the effect of forcing the weighted estimate of the aggregate number of both establishments and employees in a cell to agree with the corresponding QCEW figures. </w:t>
      </w:r>
    </w:p>
    <w:p w14:paraId="7D070E9C" w14:textId="398CBB2A" w:rsidR="00AE5A8D" w:rsidRPr="00AC05E9" w:rsidRDefault="00AE5A8D" w:rsidP="00AE5A8D">
      <w:pPr>
        <w:pStyle w:val="Heading2"/>
      </w:pPr>
      <w:r>
        <w:t xml:space="preserve">G.3: </w:t>
      </w:r>
      <w:r>
        <w:tab/>
      </w:r>
      <w:r w:rsidRPr="00AC05E9">
        <w:t>Variance Estimation</w:t>
      </w:r>
    </w:p>
    <w:p w14:paraId="12C85F5A" w14:textId="77777777" w:rsidR="00AE5A8D" w:rsidRDefault="00AE5A8D" w:rsidP="00AE5A8D">
      <w:pPr>
        <w:pStyle w:val="BodyText"/>
      </w:pPr>
      <w:r>
        <w:t xml:space="preserve">An important advantage of probability sampling methods is that they permit the calculation of the sampling errors (variances) associated with the survey estimates. Thus, with reasonably large samples, they provide an objective way of measuring the </w:t>
      </w:r>
      <w:r w:rsidRPr="00560B11">
        <w:t xml:space="preserve">reliability of the survey results. The sampling errors may </w:t>
      </w:r>
      <w:r w:rsidRPr="00560B11">
        <w:lastRenderedPageBreak/>
        <w:t xml:space="preserve">be calculated directly using analytical variance formulas, or by a replication procedure such as jackknife, balanced repeated replication, or the bootstrap. </w:t>
      </w:r>
    </w:p>
    <w:p w14:paraId="2BFEA9BB" w14:textId="77777777" w:rsidR="00AE5A8D" w:rsidRDefault="00AE5A8D" w:rsidP="00AE5A8D">
      <w:pPr>
        <w:pStyle w:val="BodyText"/>
      </w:pPr>
      <w:r w:rsidRPr="00560B11">
        <w:t>Use of the direct variance estimators is relatively straightforward for simple linear estimates such as the Horvitz-Thompson expansion estimate of a population total.</w:t>
      </w:r>
      <w:r>
        <w:t xml:space="preserve"> However,</w:t>
      </w:r>
      <w:r w:rsidRPr="00560B11">
        <w:t xml:space="preserve"> the </w:t>
      </w:r>
      <w:r>
        <w:t xml:space="preserve">analytical </w:t>
      </w:r>
      <w:r w:rsidRPr="00560B11">
        <w:t>variance formulas can be complex for nonlinear statistics such as ratios (including means) or regression estimates</w:t>
      </w:r>
      <w:r>
        <w:t xml:space="preserve">. They will also be very complex for </w:t>
      </w:r>
      <w:r w:rsidRPr="00560B11">
        <w:t xml:space="preserve">estimates based on </w:t>
      </w:r>
      <w:r>
        <w:t xml:space="preserve">the </w:t>
      </w:r>
      <w:r w:rsidRPr="00560B11">
        <w:t>sample designs</w:t>
      </w:r>
      <w:r>
        <w:t xml:space="preserve"> used for the Wave 4 FMLA surveys</w:t>
      </w:r>
      <w:r w:rsidRPr="00560B11">
        <w:t xml:space="preserve">, which involve stratification, frame integration (for the Employee Survey), nonresponse adjustments, and calibration. </w:t>
      </w:r>
    </w:p>
    <w:p w14:paraId="63C240F3" w14:textId="77777777" w:rsidR="00AE5A8D" w:rsidRDefault="00AE5A8D" w:rsidP="00AE5A8D">
      <w:pPr>
        <w:pStyle w:val="BodyText"/>
      </w:pPr>
      <w:r w:rsidRPr="00560B11">
        <w:t>On the</w:t>
      </w:r>
      <w:r>
        <w:t xml:space="preserve"> other hand, replication methods provide a relatively simple way of estimating variances with such complex sample designs. In addition, the impact of the nonresponse and post-stratification adjustments can be more easily reflected in the variance estimates obtained by replication methods. </w:t>
      </w:r>
    </w:p>
    <w:p w14:paraId="2E429833" w14:textId="355822B3" w:rsidR="00AE5A8D" w:rsidRPr="00C93CB9" w:rsidRDefault="00AE5A8D" w:rsidP="00AE5A8D">
      <w:pPr>
        <w:pStyle w:val="BodyText"/>
      </w:pPr>
      <w:r w:rsidRPr="00C93CB9">
        <w:t>Therefore, for both the Wave 4 Employee and Employer Surveys, we will calculate replicate weights to support variance estimation using the Rao-Wu complex survey rescaling bootstrap (Rao and Wu 1988; Rao, Wu</w:t>
      </w:r>
      <w:r w:rsidR="00D42146">
        <w:t>,</w:t>
      </w:r>
      <w:r w:rsidRPr="00C93CB9">
        <w:t xml:space="preserve"> and Yue 1992; Kolenikov 2010). The bootstrap method is supported in all statistical software packages that have replicate variance estimation implemented, such as SAS, SUDAAN, Stata and R. As with any replication method, rescaling bootstrap involves (1) selecting a number of subsamples (replicates) from the full sample, (2) constructing weights using all the weighting steps discussed above, and (3) computing the statistic of interest for each replicate. The second step will be performed by survey statistics staff as a part of </w:t>
      </w:r>
      <w:r w:rsidR="00D42146">
        <w:t xml:space="preserve">preparing </w:t>
      </w:r>
      <w:r w:rsidRPr="00C93CB9">
        <w:t xml:space="preserve">the final Wave 4 FMLA survey data </w:t>
      </w:r>
      <w:r w:rsidR="009E3655">
        <w:t xml:space="preserve">to be </w:t>
      </w:r>
      <w:r w:rsidRPr="00C93CB9">
        <w:t xml:space="preserve">made publicly available. The third step will be performed by researchers as they analyze the survey data (documentation for the Wave 4 public use file will include sample code). Replicate variance estimation was used in the previous waves of FMLA surveys, and replicate weights were provided with each public dataset. </w:t>
      </w:r>
    </w:p>
    <w:p w14:paraId="4BD5A1E9" w14:textId="77777777" w:rsidR="00AE5A8D" w:rsidRDefault="00AE5A8D" w:rsidP="00AE5A8D">
      <w:pPr>
        <w:pStyle w:val="BodyText"/>
      </w:pPr>
      <w:r>
        <w:t xml:space="preserve">Specifically, let </w:t>
      </w:r>
      <w:r w:rsidRPr="00552EF1">
        <w:rPr>
          <w:position w:val="-6"/>
        </w:rPr>
        <w:object w:dxaOrig="200" w:dyaOrig="340" w14:anchorId="0B69DE7D">
          <v:shape id="_x0000_i1032" type="#_x0000_t75" style="width:8.65pt;height:16.15pt" o:ole="">
            <v:imagedata r:id="rId21" o:title=""/>
          </v:shape>
          <o:OLEObject Type="Embed" ProgID="Equation.3" ShapeID="_x0000_i1032" DrawAspect="Content" ObjectID="_1551267704" r:id="rId22"/>
        </w:object>
      </w:r>
      <w:r>
        <w:t xml:space="preserve"> be any estimate from the survey. For example, if </w:t>
      </w:r>
      <w:r w:rsidRPr="00552EF1">
        <w:rPr>
          <w:position w:val="-6"/>
        </w:rPr>
        <w:object w:dxaOrig="200" w:dyaOrig="340" w14:anchorId="77890EF7">
          <v:shape id="_x0000_i1033" type="#_x0000_t75" style="width:8.65pt;height:16.15pt" o:ole="">
            <v:imagedata r:id="rId23" o:title=""/>
          </v:shape>
          <o:OLEObject Type="Embed" ProgID="Equation.3" ShapeID="_x0000_i1033" DrawAspect="Content" ObjectID="_1551267705" r:id="rId24"/>
        </w:object>
      </w:r>
      <w:r>
        <w:t xml:space="preserve"> is an estimate of the proportion of employees who took family leave in the past year, then </w:t>
      </w:r>
      <w:r w:rsidRPr="00552EF1">
        <w:rPr>
          <w:position w:val="-6"/>
        </w:rPr>
        <w:object w:dxaOrig="200" w:dyaOrig="340" w14:anchorId="6010045A">
          <v:shape id="_x0000_i1034" type="#_x0000_t75" style="width:8.65pt;height:16.15pt" o:ole="">
            <v:imagedata r:id="rId23" o:title=""/>
          </v:shape>
          <o:OLEObject Type="Embed" ProgID="Equation.3" ShapeID="_x0000_i1034" DrawAspect="Content" ObjectID="_1551267706" r:id="rId25"/>
        </w:object>
      </w:r>
      <w:r>
        <w:t xml:space="preserve"> has the following form</w:t>
      </w:r>
    </w:p>
    <w:p w14:paraId="5DB14920" w14:textId="77777777" w:rsidR="00AE5A8D" w:rsidRDefault="00AE5A8D" w:rsidP="00AE5A8D">
      <w:pPr>
        <w:autoSpaceDE w:val="0"/>
        <w:autoSpaceDN w:val="0"/>
        <w:adjustRightInd w:val="0"/>
        <w:spacing w:line="22" w:lineRule="atLeast"/>
        <w:jc w:val="center"/>
        <w:rPr>
          <w:rFonts w:ascii="Symbol" w:hAnsi="Symbol" w:cs="Symbol"/>
          <w:sz w:val="26"/>
          <w:szCs w:val="26"/>
        </w:rPr>
      </w:pPr>
    </w:p>
    <w:tbl>
      <w:tblPr>
        <w:tblW w:w="0" w:type="auto"/>
        <w:tblLook w:val="01E0" w:firstRow="1" w:lastRow="1" w:firstColumn="1" w:lastColumn="1" w:noHBand="0" w:noVBand="0"/>
      </w:tblPr>
      <w:tblGrid>
        <w:gridCol w:w="8748"/>
        <w:gridCol w:w="828"/>
      </w:tblGrid>
      <w:tr w:rsidR="00AE5A8D" w:rsidRPr="0079727C" w14:paraId="3F6857C8" w14:textId="77777777" w:rsidTr="00D63BA4">
        <w:tc>
          <w:tcPr>
            <w:tcW w:w="8748" w:type="dxa"/>
            <w:shd w:val="clear" w:color="auto" w:fill="auto"/>
          </w:tcPr>
          <w:p w14:paraId="754F3686" w14:textId="77777777" w:rsidR="00AE5A8D" w:rsidRPr="0079727C" w:rsidRDefault="00AE5A8D" w:rsidP="00D63BA4">
            <w:pPr>
              <w:autoSpaceDE w:val="0"/>
              <w:autoSpaceDN w:val="0"/>
              <w:adjustRightInd w:val="0"/>
              <w:spacing w:line="22" w:lineRule="atLeast"/>
              <w:jc w:val="center"/>
              <w:rPr>
                <w:szCs w:val="22"/>
              </w:rPr>
            </w:pPr>
            <w:r w:rsidRPr="0079727C">
              <w:rPr>
                <w:position w:val="-60"/>
                <w:szCs w:val="22"/>
              </w:rPr>
              <w:object w:dxaOrig="1280" w:dyaOrig="1320" w14:anchorId="6183DCD1">
                <v:shape id="_x0000_i1035" type="#_x0000_t75" style="width:63.95pt;height:65.65pt" o:ole="">
                  <v:imagedata r:id="rId26" o:title=""/>
                </v:shape>
                <o:OLEObject Type="Embed" ProgID="Equation.3" ShapeID="_x0000_i1035" DrawAspect="Content" ObjectID="_1551267707" r:id="rId27"/>
              </w:object>
            </w:r>
          </w:p>
        </w:tc>
        <w:tc>
          <w:tcPr>
            <w:tcW w:w="828" w:type="dxa"/>
            <w:shd w:val="clear" w:color="auto" w:fill="auto"/>
          </w:tcPr>
          <w:p w14:paraId="7AEBB414" w14:textId="77777777" w:rsidR="00AE5A8D" w:rsidRPr="0079727C" w:rsidRDefault="00AE5A8D" w:rsidP="00D63BA4">
            <w:pPr>
              <w:autoSpaceDE w:val="0"/>
              <w:autoSpaceDN w:val="0"/>
              <w:adjustRightInd w:val="0"/>
              <w:spacing w:line="22" w:lineRule="atLeast"/>
              <w:jc w:val="center"/>
              <w:rPr>
                <w:szCs w:val="22"/>
              </w:rPr>
            </w:pPr>
            <w:r w:rsidRPr="0079727C">
              <w:rPr>
                <w:szCs w:val="22"/>
              </w:rPr>
              <w:t>(</w:t>
            </w:r>
            <w:r>
              <w:rPr>
                <w:szCs w:val="22"/>
              </w:rPr>
              <w:t>5</w:t>
            </w:r>
            <w:r w:rsidRPr="0079727C">
              <w:rPr>
                <w:szCs w:val="22"/>
              </w:rPr>
              <w:t>)</w:t>
            </w:r>
          </w:p>
        </w:tc>
      </w:tr>
    </w:tbl>
    <w:p w14:paraId="20FC5884" w14:textId="45E6B02B" w:rsidR="00AE5A8D" w:rsidRDefault="00AE5A8D" w:rsidP="00AE5A8D">
      <w:pPr>
        <w:autoSpaceDE w:val="0"/>
        <w:autoSpaceDN w:val="0"/>
        <w:adjustRightInd w:val="0"/>
        <w:spacing w:before="240"/>
        <w:rPr>
          <w:szCs w:val="22"/>
        </w:rPr>
      </w:pPr>
      <w:r>
        <w:rPr>
          <w:szCs w:val="22"/>
        </w:rPr>
        <w:t xml:space="preserve">where for each establishment </w:t>
      </w:r>
      <w:r w:rsidRPr="00227703">
        <w:rPr>
          <w:i/>
          <w:szCs w:val="22"/>
        </w:rPr>
        <w:t>i</w:t>
      </w:r>
      <w:r>
        <w:rPr>
          <w:szCs w:val="22"/>
        </w:rPr>
        <w:t xml:space="preserve">, </w:t>
      </w:r>
      <w:r w:rsidRPr="00552EF1">
        <w:rPr>
          <w:position w:val="-12"/>
          <w:szCs w:val="22"/>
        </w:rPr>
        <w:object w:dxaOrig="360" w:dyaOrig="380" w14:anchorId="1ABB1BE3">
          <v:shape id="_x0000_i1036" type="#_x0000_t75" style="width:19pt;height:19.6pt" o:ole="">
            <v:imagedata r:id="rId28" o:title=""/>
          </v:shape>
          <o:OLEObject Type="Embed" ProgID="Equation.3" ShapeID="_x0000_i1036" DrawAspect="Content" ObjectID="_1551267708" r:id="rId29"/>
        </w:object>
      </w:r>
      <w:r>
        <w:rPr>
          <w:szCs w:val="22"/>
        </w:rPr>
        <w:t>is the final estimation weight as defined in Equation (4),</w:t>
      </w:r>
      <w:r w:rsidRPr="00552EF1">
        <w:rPr>
          <w:szCs w:val="22"/>
        </w:rPr>
        <w:t xml:space="preserve"> </w:t>
      </w:r>
      <w:r w:rsidRPr="00552EF1">
        <w:rPr>
          <w:i/>
          <w:szCs w:val="22"/>
        </w:rPr>
        <w:t>y</w:t>
      </w:r>
      <w:r w:rsidRPr="00552EF1">
        <w:rPr>
          <w:i/>
          <w:szCs w:val="22"/>
          <w:vertAlign w:val="subscript"/>
        </w:rPr>
        <w:t>i</w:t>
      </w:r>
      <w:r>
        <w:rPr>
          <w:szCs w:val="22"/>
        </w:rPr>
        <w:t xml:space="preserve"> is </w:t>
      </w:r>
      <w:r w:rsidRPr="00552EF1">
        <w:rPr>
          <w:szCs w:val="22"/>
        </w:rPr>
        <w:t xml:space="preserve">the number of </w:t>
      </w:r>
      <w:r w:rsidRPr="00AE5A8D">
        <w:rPr>
          <w:rStyle w:val="BodyTextChar"/>
        </w:rPr>
        <w:t>employees who took family leave in the past year, and xi is the number of total employees in the establishment. Further, let</w:t>
      </w:r>
      <w:r w:rsidRPr="00AE5A8D">
        <w:rPr>
          <w:rStyle w:val="BodyTextChar"/>
        </w:rPr>
        <w:t></w:t>
      </w:r>
      <w:r w:rsidRPr="00AE5A8D">
        <w:rPr>
          <w:rStyle w:val="BodyTextChar"/>
        </w:rPr>
        <w:object w:dxaOrig="380" w:dyaOrig="420" w14:anchorId="1729A4C4">
          <v:shape id="_x0000_i1037" type="#_x0000_t75" style="width:19.6pt;height:21.3pt" o:ole="">
            <v:imagedata r:id="rId30" o:title=""/>
          </v:shape>
          <o:OLEObject Type="Embed" ProgID="Equation.3" ShapeID="_x0000_i1037" DrawAspect="Content" ObjectID="_1551267709" r:id="rId31"/>
        </w:object>
      </w:r>
      <w:r w:rsidRPr="00AE5A8D">
        <w:rPr>
          <w:rStyle w:val="BodyTextChar"/>
        </w:rPr>
        <w:t>be the corresponding estimate for a given replicate r.</w:t>
      </w:r>
      <w:r w:rsidR="00255948">
        <w:rPr>
          <w:rStyle w:val="BodyTextChar"/>
        </w:rPr>
        <w:t xml:space="preserve"> </w:t>
      </w:r>
      <w:r w:rsidRPr="00AE5A8D">
        <w:rPr>
          <w:rStyle w:val="BodyTextChar"/>
        </w:rPr>
        <w:t>The estimate of the sampling v</w:t>
      </w:r>
      <w:r w:rsidRPr="00552EF1">
        <w:rPr>
          <w:szCs w:val="22"/>
        </w:rPr>
        <w:t xml:space="preserve">ariance of </w:t>
      </w:r>
      <w:r w:rsidRPr="00552EF1">
        <w:rPr>
          <w:position w:val="-6"/>
          <w:szCs w:val="22"/>
        </w:rPr>
        <w:object w:dxaOrig="200" w:dyaOrig="340" w14:anchorId="33A2A9C1">
          <v:shape id="_x0000_i1038" type="#_x0000_t75" style="width:8.65pt;height:16.15pt" o:ole="">
            <v:imagedata r:id="rId21" o:title=""/>
          </v:shape>
          <o:OLEObject Type="Embed" ProgID="Equation.3" ShapeID="_x0000_i1038" DrawAspect="Content" ObjectID="_1551267710" r:id="rId32"/>
        </w:object>
      </w:r>
      <w:r>
        <w:rPr>
          <w:szCs w:val="22"/>
        </w:rPr>
        <w:t xml:space="preserve"> </w:t>
      </w:r>
      <w:r w:rsidRPr="00552EF1">
        <w:rPr>
          <w:szCs w:val="22"/>
        </w:rPr>
        <w:t>can then be computed</w:t>
      </w:r>
      <w:r>
        <w:rPr>
          <w:szCs w:val="22"/>
        </w:rPr>
        <w:t xml:space="preserve"> </w:t>
      </w:r>
      <w:r w:rsidRPr="00552EF1">
        <w:rPr>
          <w:szCs w:val="22"/>
        </w:rPr>
        <w:t>from the formula</w:t>
      </w:r>
    </w:p>
    <w:tbl>
      <w:tblPr>
        <w:tblW w:w="0" w:type="auto"/>
        <w:tblLook w:val="01E0" w:firstRow="1" w:lastRow="1" w:firstColumn="1" w:lastColumn="1" w:noHBand="0" w:noVBand="0"/>
      </w:tblPr>
      <w:tblGrid>
        <w:gridCol w:w="8748"/>
        <w:gridCol w:w="828"/>
      </w:tblGrid>
      <w:tr w:rsidR="00AE5A8D" w:rsidRPr="0079727C" w14:paraId="48DBDE4E" w14:textId="77777777" w:rsidTr="00D63BA4">
        <w:tc>
          <w:tcPr>
            <w:tcW w:w="8748" w:type="dxa"/>
            <w:shd w:val="clear" w:color="auto" w:fill="auto"/>
          </w:tcPr>
          <w:p w14:paraId="0BDC9706" w14:textId="77777777" w:rsidR="00AE5A8D" w:rsidRPr="0079727C" w:rsidRDefault="00BA3766" w:rsidP="00D63BA4">
            <w:pPr>
              <w:autoSpaceDE w:val="0"/>
              <w:autoSpaceDN w:val="0"/>
              <w:adjustRightInd w:val="0"/>
              <w:spacing w:line="22" w:lineRule="atLeast"/>
              <w:jc w:val="center"/>
              <w:rPr>
                <w:szCs w:val="22"/>
              </w:rPr>
            </w:pPr>
            <m:oMathPara>
              <m:oMath>
                <m:acc>
                  <m:accPr>
                    <m:ctrlPr>
                      <w:rPr>
                        <w:rFonts w:ascii="Cambria Math" w:hAnsi="Cambria Math" w:cs="Symbol"/>
                        <w:i/>
                        <w:szCs w:val="22"/>
                      </w:rPr>
                    </m:ctrlPr>
                  </m:accPr>
                  <m:e>
                    <m:r>
                      <w:rPr>
                        <w:rFonts w:ascii="Cambria Math" w:hAnsi="Cambria Math" w:cs="Symbol"/>
                        <w:szCs w:val="22"/>
                      </w:rPr>
                      <m:t>v</m:t>
                    </m:r>
                  </m:e>
                </m:acc>
                <m:d>
                  <m:dPr>
                    <m:begChr m:val="["/>
                    <m:endChr m:val="]"/>
                    <m:ctrlPr>
                      <w:rPr>
                        <w:rFonts w:ascii="Cambria Math" w:hAnsi="Cambria Math" w:cs="Symbol"/>
                        <w:i/>
                        <w:szCs w:val="22"/>
                      </w:rPr>
                    </m:ctrlPr>
                  </m:dPr>
                  <m:e>
                    <m:acc>
                      <m:accPr>
                        <m:ctrlPr>
                          <w:rPr>
                            <w:rFonts w:ascii="Cambria Math" w:hAnsi="Cambria Math" w:cs="Symbol"/>
                            <w:i/>
                            <w:szCs w:val="22"/>
                          </w:rPr>
                        </m:ctrlPr>
                      </m:accPr>
                      <m:e>
                        <m:r>
                          <w:rPr>
                            <w:rFonts w:ascii="Cambria Math" w:hAnsi="Cambria Math" w:cs="Symbol"/>
                            <w:szCs w:val="22"/>
                          </w:rPr>
                          <m:t>θ</m:t>
                        </m:r>
                      </m:e>
                    </m:acc>
                  </m:e>
                </m:d>
                <m:r>
                  <w:rPr>
                    <w:rFonts w:ascii="Cambria Math" w:hAnsi="Cambria Math" w:cs="Symbol"/>
                    <w:szCs w:val="22"/>
                  </w:rPr>
                  <m:t>=</m:t>
                </m:r>
                <m:f>
                  <m:fPr>
                    <m:ctrlPr>
                      <w:rPr>
                        <w:rFonts w:ascii="Cambria Math" w:hAnsi="Cambria Math" w:cs="Symbol"/>
                        <w:i/>
                        <w:szCs w:val="22"/>
                      </w:rPr>
                    </m:ctrlPr>
                  </m:fPr>
                  <m:num>
                    <m:r>
                      <w:rPr>
                        <w:rFonts w:ascii="Cambria Math" w:hAnsi="Cambria Math" w:cs="Symbol"/>
                        <w:szCs w:val="22"/>
                      </w:rPr>
                      <m:t>1</m:t>
                    </m:r>
                  </m:num>
                  <m:den>
                    <m:r>
                      <w:rPr>
                        <w:rFonts w:ascii="Cambria Math" w:hAnsi="Cambria Math" w:cs="Symbol"/>
                        <w:szCs w:val="22"/>
                      </w:rPr>
                      <m:t>R</m:t>
                    </m:r>
                  </m:den>
                </m:f>
                <m:nary>
                  <m:naryPr>
                    <m:chr m:val="∑"/>
                    <m:limLoc m:val="undOvr"/>
                    <m:ctrlPr>
                      <w:rPr>
                        <w:rFonts w:ascii="Cambria Math" w:hAnsi="Cambria Math" w:cs="Symbol"/>
                        <w:i/>
                        <w:szCs w:val="22"/>
                      </w:rPr>
                    </m:ctrlPr>
                  </m:naryPr>
                  <m:sub>
                    <m:r>
                      <w:rPr>
                        <w:rFonts w:ascii="Cambria Math" w:hAnsi="Cambria Math" w:cs="Symbol"/>
                        <w:szCs w:val="22"/>
                      </w:rPr>
                      <m:t>r=1</m:t>
                    </m:r>
                  </m:sub>
                  <m:sup>
                    <m:r>
                      <w:rPr>
                        <w:rFonts w:ascii="Cambria Math" w:hAnsi="Cambria Math" w:cs="Symbol"/>
                        <w:szCs w:val="22"/>
                      </w:rPr>
                      <m:t>R</m:t>
                    </m:r>
                  </m:sup>
                  <m:e>
                    <m:sSup>
                      <m:sSupPr>
                        <m:ctrlPr>
                          <w:rPr>
                            <w:rFonts w:ascii="Cambria Math" w:hAnsi="Cambria Math" w:cs="Symbol"/>
                            <w:i/>
                            <w:szCs w:val="22"/>
                          </w:rPr>
                        </m:ctrlPr>
                      </m:sSupPr>
                      <m:e>
                        <m:d>
                          <m:dPr>
                            <m:ctrlPr>
                              <w:rPr>
                                <w:rFonts w:ascii="Cambria Math" w:hAnsi="Cambria Math" w:cs="Symbol"/>
                                <w:i/>
                                <w:szCs w:val="22"/>
                              </w:rPr>
                            </m:ctrlPr>
                          </m:dPr>
                          <m:e>
                            <m:acc>
                              <m:accPr>
                                <m:ctrlPr>
                                  <w:rPr>
                                    <w:rFonts w:ascii="Cambria Math" w:hAnsi="Cambria Math" w:cs="Symbol"/>
                                    <w:i/>
                                    <w:szCs w:val="22"/>
                                  </w:rPr>
                                </m:ctrlPr>
                              </m:accPr>
                              <m:e>
                                <m:r>
                                  <w:rPr>
                                    <w:rFonts w:ascii="Cambria Math" w:hAnsi="Cambria Math" w:cs="Symbol"/>
                                    <w:szCs w:val="22"/>
                                  </w:rPr>
                                  <m:t>θ</m:t>
                                </m:r>
                              </m:e>
                            </m:acc>
                            <m:r>
                              <w:rPr>
                                <w:rFonts w:ascii="Cambria Math" w:hAnsi="Cambria Math" w:cs="Symbol"/>
                                <w:szCs w:val="22"/>
                              </w:rPr>
                              <m:t>-</m:t>
                            </m:r>
                            <m:sSub>
                              <m:sSubPr>
                                <m:ctrlPr>
                                  <w:rPr>
                                    <w:rFonts w:ascii="Cambria Math" w:hAnsi="Cambria Math" w:cs="Symbol"/>
                                    <w:i/>
                                    <w:szCs w:val="22"/>
                                  </w:rPr>
                                </m:ctrlPr>
                              </m:sSubPr>
                              <m:e>
                                <m:acc>
                                  <m:accPr>
                                    <m:ctrlPr>
                                      <w:rPr>
                                        <w:rFonts w:ascii="Cambria Math" w:hAnsi="Cambria Math" w:cs="Symbol"/>
                                        <w:i/>
                                        <w:szCs w:val="22"/>
                                      </w:rPr>
                                    </m:ctrlPr>
                                  </m:accPr>
                                  <m:e>
                                    <m:r>
                                      <w:rPr>
                                        <w:rFonts w:ascii="Cambria Math" w:hAnsi="Cambria Math" w:cs="Symbol"/>
                                        <w:szCs w:val="22"/>
                                      </w:rPr>
                                      <m:t>θ</m:t>
                                    </m:r>
                                  </m:e>
                                </m:acc>
                              </m:e>
                              <m:sub>
                                <m:r>
                                  <w:rPr>
                                    <w:rFonts w:ascii="Cambria Math" w:hAnsi="Cambria Math" w:cs="Symbol"/>
                                    <w:szCs w:val="22"/>
                                  </w:rPr>
                                  <m:t>(r)</m:t>
                                </m:r>
                              </m:sub>
                            </m:sSub>
                          </m:e>
                        </m:d>
                      </m:e>
                      <m:sup>
                        <m:r>
                          <w:rPr>
                            <w:rFonts w:ascii="Cambria Math" w:hAnsi="Cambria Math" w:cs="Symbol"/>
                            <w:szCs w:val="22"/>
                          </w:rPr>
                          <m:t>2</m:t>
                        </m:r>
                      </m:sup>
                    </m:sSup>
                  </m:e>
                </m:nary>
              </m:oMath>
            </m:oMathPara>
          </w:p>
        </w:tc>
        <w:tc>
          <w:tcPr>
            <w:tcW w:w="828" w:type="dxa"/>
            <w:shd w:val="clear" w:color="auto" w:fill="auto"/>
          </w:tcPr>
          <w:p w14:paraId="289A7734" w14:textId="77777777" w:rsidR="00AE5A8D" w:rsidRPr="0079727C" w:rsidRDefault="00AE5A8D" w:rsidP="00D63BA4">
            <w:pPr>
              <w:autoSpaceDE w:val="0"/>
              <w:autoSpaceDN w:val="0"/>
              <w:adjustRightInd w:val="0"/>
              <w:spacing w:line="22" w:lineRule="atLeast"/>
              <w:jc w:val="center"/>
              <w:rPr>
                <w:szCs w:val="22"/>
              </w:rPr>
            </w:pPr>
            <w:r w:rsidRPr="0079727C">
              <w:rPr>
                <w:szCs w:val="22"/>
              </w:rPr>
              <w:t>(</w:t>
            </w:r>
            <w:r>
              <w:rPr>
                <w:szCs w:val="22"/>
              </w:rPr>
              <w:t>6</w:t>
            </w:r>
            <w:r w:rsidRPr="0079727C">
              <w:rPr>
                <w:szCs w:val="22"/>
              </w:rPr>
              <w:t>)</w:t>
            </w:r>
          </w:p>
        </w:tc>
      </w:tr>
    </w:tbl>
    <w:p w14:paraId="35EC3D10" w14:textId="1137FCE7" w:rsidR="00AE5A8D" w:rsidRDefault="00AE5A8D" w:rsidP="00AE5A8D">
      <w:pPr>
        <w:pStyle w:val="BodyText"/>
      </w:pPr>
      <w:r>
        <w:lastRenderedPageBreak/>
        <w:t xml:space="preserve">where the summation extends over all </w:t>
      </w:r>
      <w:r>
        <w:rPr>
          <w:i/>
          <w:iCs/>
        </w:rPr>
        <w:t xml:space="preserve">R </w:t>
      </w:r>
      <w:r>
        <w:t xml:space="preserve">replicates. The necessary procedures are implemented in statistical packages that support resampling complex variance estimation, namely R, Stata, SAS, and SUDAAN. In the bootstrap replicate variance estimation, samples with replacement are drawn from each sampling stratum repeatedly </w:t>
      </w:r>
      <m:oMath>
        <m:r>
          <w:rPr>
            <w:rFonts w:ascii="Cambria Math" w:hAnsi="Cambria Math"/>
          </w:rPr>
          <m:t>R</m:t>
        </m:r>
      </m:oMath>
      <w:r>
        <w:t xml:space="preserve"> times. This method is more robust than other resampling methods, in that it allows variance estimation for a wider range of statistics compared to the jackknife, and it does not involve arbitrary assignments to pseudo-strata as required by group jackknife. For each of the Wave 4 FMLA surveys</w:t>
      </w:r>
      <w:r w:rsidRPr="0077194F">
        <w:t xml:space="preserve">, we </w:t>
      </w:r>
      <w:r>
        <w:t>propose</w:t>
      </w:r>
      <w:r w:rsidRPr="0077194F">
        <w:t xml:space="preserve"> to create </w:t>
      </w:r>
      <w:r>
        <w:t>500 bootstrap replicates; this is the number customarily used by Statistics Canada in their bootstrap variance estimation procedures</w:t>
      </w:r>
      <w:r w:rsidRPr="0077194F">
        <w:t xml:space="preserve">. </w:t>
      </w:r>
      <w:r>
        <w:t xml:space="preserve">For each of the bootstrap replicates, all of the weighting steps (including nonresponse adjustments, frame integration of the RDD frames in the Employee </w:t>
      </w:r>
      <w:r w:rsidR="00D42146">
        <w:t>S</w:t>
      </w:r>
      <w:r>
        <w:t>urvey, and weight calibration) will be repeated, treating the product of the base weight and the bootstrap frequency as the new base weight. Doing so will ensure that all the improvements in the estimates afforded by the final weights are properly reflected in the standard errors around these estimates.</w:t>
      </w:r>
    </w:p>
    <w:p w14:paraId="42EF69C7" w14:textId="27A7A9B6" w:rsidR="00AE5A8D" w:rsidRPr="00AC05E9" w:rsidRDefault="00AE5A8D" w:rsidP="00AE5A8D">
      <w:pPr>
        <w:pStyle w:val="Heading2"/>
      </w:pPr>
      <w:r>
        <w:t>G.4.</w:t>
      </w:r>
      <w:r>
        <w:tab/>
        <w:t>Producing Employee Level Estimates from the Employer Survey</w:t>
      </w:r>
    </w:p>
    <w:p w14:paraId="75B9BE66" w14:textId="77777777" w:rsidR="00AE5A8D" w:rsidRPr="00D907D4" w:rsidRDefault="00AE5A8D" w:rsidP="00AE5A8D">
      <w:pPr>
        <w:pStyle w:val="BodyText"/>
      </w:pPr>
      <w:r w:rsidRPr="00D907D4">
        <w:t xml:space="preserve">If the sample of </w:t>
      </w:r>
      <w:r w:rsidRPr="00D907D4">
        <w:rPr>
          <w:rFonts w:eastAsia="Calibri"/>
        </w:rPr>
        <w:t>worksites</w:t>
      </w:r>
      <w:r w:rsidRPr="00D907D4">
        <w:t xml:space="preserve"> captured in the Wave 4 Employer Survey is representative of the population that provides employment, then the Employer Survey data on employees can be used to draw inferences on the population of employees (or at least on the part of this population employed at the target establishments). Thus, in addition to constructing the base and replicate weights that can be used to provide inference for the population of employers, for the Wave 4 Employer Survey we will use a method developed in Wave 3 to provide employee-level estimates from the Employer Survey.</w:t>
      </w:r>
      <w:r w:rsidRPr="00D907D4">
        <w:rPr>
          <w:rStyle w:val="FootnoteReference"/>
          <w:szCs w:val="22"/>
        </w:rPr>
        <w:footnoteReference w:id="5"/>
      </w:r>
      <w:r w:rsidRPr="00D907D4">
        <w:t xml:space="preserve"> (See </w:t>
      </w:r>
      <w:r>
        <w:t xml:space="preserve">Part B, </w:t>
      </w:r>
      <w:r w:rsidRPr="00D907D4">
        <w:t>Section B.2.2 on the need to produce both worksite-level and employee-level estimates from the Employer Survey.)</w:t>
      </w:r>
    </w:p>
    <w:p w14:paraId="71CA375A" w14:textId="77777777" w:rsidR="00AE5A8D" w:rsidRPr="004B5B0D" w:rsidRDefault="00AE5A8D" w:rsidP="00AE5A8D">
      <w:pPr>
        <w:pStyle w:val="BodyText"/>
        <w:rPr>
          <w:rFonts w:eastAsia="Calibri"/>
        </w:rPr>
      </w:pPr>
      <w:r w:rsidRPr="004B5B0D">
        <w:rPr>
          <w:rFonts w:eastAsia="Calibri"/>
        </w:rPr>
        <w:t xml:space="preserve">For a worksite </w:t>
      </w:r>
      <w:r w:rsidRPr="004B5B0D">
        <w:rPr>
          <w:rFonts w:eastAsia="Calibri"/>
          <w:i/>
        </w:rPr>
        <w:t>i</w:t>
      </w:r>
      <w:r w:rsidRPr="004B5B0D">
        <w:rPr>
          <w:rFonts w:eastAsia="Calibri"/>
        </w:rPr>
        <w:t xml:space="preserve">, let </w:t>
      </w:r>
      <w:r w:rsidRPr="004B5B0D">
        <w:rPr>
          <w:rFonts w:eastAsia="Calibri"/>
          <w:i/>
        </w:rPr>
        <w:t>e</w:t>
      </w:r>
      <w:r w:rsidRPr="004B5B0D">
        <w:rPr>
          <w:rFonts w:eastAsia="Calibri"/>
          <w:i/>
          <w:vertAlign w:val="subscript"/>
        </w:rPr>
        <w:t>i</w:t>
      </w:r>
      <w:r w:rsidRPr="004B5B0D">
        <w:rPr>
          <w:rFonts w:eastAsia="Calibri"/>
        </w:rPr>
        <w:t xml:space="preserve"> be the number of employees, </w:t>
      </w:r>
      <w:r w:rsidRPr="004B5B0D">
        <w:rPr>
          <w:rFonts w:eastAsia="Calibri"/>
          <w:i/>
        </w:rPr>
        <w:t>w</w:t>
      </w:r>
      <w:r w:rsidRPr="004B5B0D">
        <w:rPr>
          <w:rFonts w:eastAsia="Calibri"/>
          <w:i/>
          <w:vertAlign w:val="subscript"/>
        </w:rPr>
        <w:t>i</w:t>
      </w:r>
      <w:r w:rsidRPr="004B5B0D">
        <w:rPr>
          <w:rFonts w:eastAsia="Calibri"/>
        </w:rPr>
        <w:t xml:space="preserve"> be the sampling weight of the worksite, </w:t>
      </w:r>
      <w:r w:rsidRPr="004B5B0D">
        <w:rPr>
          <w:rFonts w:eastAsia="Calibri"/>
          <w:i/>
        </w:rPr>
        <w:t>z</w:t>
      </w:r>
      <w:r w:rsidRPr="004B5B0D">
        <w:rPr>
          <w:rFonts w:eastAsia="Calibri"/>
          <w:i/>
          <w:vertAlign w:val="subscript"/>
        </w:rPr>
        <w:t>i</w:t>
      </w:r>
      <w:r w:rsidRPr="004B5B0D">
        <w:rPr>
          <w:rFonts w:eastAsia="Calibri"/>
        </w:rPr>
        <w:t xml:space="preserve"> be the worksite-level characteristic of interest (e.g., the number of unionized employees), and </w:t>
      </w:r>
      <w:r w:rsidRPr="004B5B0D">
        <w:rPr>
          <w:rFonts w:eastAsia="Calibri"/>
          <w:i/>
        </w:rPr>
        <w:t>y</w:t>
      </w:r>
      <w:r w:rsidRPr="004B5B0D">
        <w:rPr>
          <w:rFonts w:eastAsia="Calibri"/>
          <w:i/>
          <w:vertAlign w:val="subscript"/>
        </w:rPr>
        <w:t>i</w:t>
      </w:r>
      <w:r w:rsidRPr="004B5B0D">
        <w:rPr>
          <w:rFonts w:eastAsia="Calibri"/>
        </w:rPr>
        <w:t xml:space="preserve"> be the employee-level cha</w:t>
      </w:r>
      <w:r>
        <w:rPr>
          <w:rFonts w:eastAsia="Calibri"/>
        </w:rPr>
        <w:t>racteristic of interest (e.g., the percent</w:t>
      </w:r>
      <w:r w:rsidRPr="004B5B0D">
        <w:rPr>
          <w:rFonts w:eastAsia="Calibri"/>
        </w:rPr>
        <w:t xml:space="preserve"> of unionized employees). Also let </w:t>
      </w:r>
      <w:r w:rsidRPr="003215CF">
        <w:rPr>
          <w:rFonts w:ascii="Symbol" w:eastAsia="Calibri" w:hAnsi="Symbol"/>
        </w:rPr>
        <w:t></w:t>
      </w:r>
      <w:r w:rsidRPr="003215CF">
        <w:rPr>
          <w:rFonts w:ascii="Symbol" w:eastAsia="Calibri" w:hAnsi="Symbol"/>
        </w:rPr>
        <w:t></w:t>
      </w:r>
      <w:r>
        <w:rPr>
          <w:rFonts w:eastAsia="Calibri"/>
        </w:rPr>
        <w:t>be the population</w:t>
      </w:r>
      <w:r w:rsidRPr="004B5B0D">
        <w:rPr>
          <w:rFonts w:eastAsia="Calibri"/>
        </w:rPr>
        <w:t xml:space="preserve"> level of the characteristic of interest, in this case the percentage of unionized employees in the full universe </w:t>
      </w:r>
      <w:r w:rsidRPr="004B5B0D">
        <w:rPr>
          <w:rFonts w:eastAsia="Calibri"/>
          <w:i/>
        </w:rPr>
        <w:t>U</w:t>
      </w:r>
      <w:r w:rsidRPr="004B5B0D">
        <w:rPr>
          <w:rFonts w:eastAsia="Calibri"/>
        </w:rPr>
        <w:t xml:space="preserve">. </w:t>
      </w:r>
    </w:p>
    <w:p w14:paraId="75BA71E7" w14:textId="77777777" w:rsidR="00AE5A8D" w:rsidRPr="004B5B0D" w:rsidRDefault="00AE5A8D" w:rsidP="00AE5A8D">
      <w:pPr>
        <w:pStyle w:val="BodyText"/>
      </w:pPr>
      <w:r w:rsidRPr="004B5B0D">
        <w:rPr>
          <w:rFonts w:eastAsia="Calibri"/>
        </w:rPr>
        <w:t>The population percentage of unionized employees is then</w:t>
      </w:r>
    </w:p>
    <w:p w14:paraId="0CB08EA7" w14:textId="77777777" w:rsidR="00AE5A8D" w:rsidRPr="004B5B0D" w:rsidRDefault="00AE5A8D" w:rsidP="00AE5A8D">
      <w:pPr>
        <w:tabs>
          <w:tab w:val="center" w:pos="4680"/>
          <w:tab w:val="right" w:pos="9360"/>
        </w:tabs>
        <w:spacing w:after="200" w:line="22" w:lineRule="atLeast"/>
        <w:ind w:left="720" w:firstLine="720"/>
        <w:rPr>
          <w:szCs w:val="22"/>
        </w:rPr>
      </w:pPr>
      <w:r w:rsidRPr="00B22407">
        <w:rPr>
          <w:szCs w:val="22"/>
        </w:rPr>
        <w:tab/>
      </w:r>
      <m:oMath>
        <m:r>
          <w:rPr>
            <w:rFonts w:ascii="Cambria Math" w:eastAsia="Calibri" w:hAnsi="Cambria Math"/>
            <w:szCs w:val="22"/>
          </w:rPr>
          <m:t>θ=</m:t>
        </m:r>
        <m:f>
          <m:fPr>
            <m:ctrlPr>
              <w:rPr>
                <w:rFonts w:ascii="Cambria Math" w:eastAsia="Calibri" w:hAnsi="Cambria Math"/>
                <w:i/>
                <w:szCs w:val="22"/>
              </w:rPr>
            </m:ctrlPr>
          </m:fPr>
          <m:num>
            <m:nary>
              <m:naryPr>
                <m:chr m:val="∑"/>
                <m:limLoc m:val="undOvr"/>
                <m:supHide m:val="1"/>
                <m:ctrlPr>
                  <w:rPr>
                    <w:rFonts w:ascii="Cambria Math" w:eastAsia="Calibri" w:hAnsi="Cambria Math"/>
                    <w:i/>
                    <w:szCs w:val="22"/>
                  </w:rPr>
                </m:ctrlPr>
              </m:naryPr>
              <m:sub>
                <m:r>
                  <w:rPr>
                    <w:rFonts w:ascii="Cambria Math" w:eastAsia="Calibri" w:hAnsi="Cambria Math"/>
                    <w:szCs w:val="22"/>
                  </w:rPr>
                  <m:t>i∈U</m:t>
                </m:r>
              </m:sub>
              <m:sup/>
              <m:e>
                <m:sSub>
                  <m:sSubPr>
                    <m:ctrlPr>
                      <w:rPr>
                        <w:rFonts w:ascii="Cambria Math" w:eastAsia="Calibri" w:hAnsi="Cambria Math"/>
                        <w:i/>
                        <w:szCs w:val="22"/>
                      </w:rPr>
                    </m:ctrlPr>
                  </m:sSubPr>
                  <m:e>
                    <m:r>
                      <w:rPr>
                        <w:rFonts w:ascii="Cambria Math" w:eastAsia="Calibri" w:hAnsi="Cambria Math"/>
                        <w:szCs w:val="22"/>
                      </w:rPr>
                      <m:t>z</m:t>
                    </m:r>
                  </m:e>
                  <m:sub>
                    <m:r>
                      <w:rPr>
                        <w:rFonts w:ascii="Cambria Math" w:eastAsia="Calibri" w:hAnsi="Cambria Math"/>
                        <w:szCs w:val="22"/>
                      </w:rPr>
                      <m:t>i</m:t>
                    </m:r>
                  </m:sub>
                </m:sSub>
              </m:e>
            </m:nary>
          </m:num>
          <m:den>
            <m:nary>
              <m:naryPr>
                <m:chr m:val="∑"/>
                <m:limLoc m:val="undOvr"/>
                <m:supHide m:val="1"/>
                <m:ctrlPr>
                  <w:rPr>
                    <w:rFonts w:ascii="Cambria Math" w:eastAsia="Calibri" w:hAnsi="Cambria Math"/>
                    <w:i/>
                    <w:szCs w:val="22"/>
                  </w:rPr>
                </m:ctrlPr>
              </m:naryPr>
              <m:sub>
                <m:r>
                  <w:rPr>
                    <w:rFonts w:ascii="Cambria Math" w:eastAsia="Calibri" w:hAnsi="Cambria Math"/>
                    <w:szCs w:val="22"/>
                  </w:rPr>
                  <m:t>i∈U</m:t>
                </m:r>
              </m:sub>
              <m:sup/>
              <m:e>
                <m:sSub>
                  <m:sSubPr>
                    <m:ctrlPr>
                      <w:rPr>
                        <w:rFonts w:ascii="Cambria Math" w:eastAsia="Calibri" w:hAnsi="Cambria Math"/>
                        <w:i/>
                        <w:szCs w:val="22"/>
                      </w:rPr>
                    </m:ctrlPr>
                  </m:sSubPr>
                  <m:e>
                    <m:r>
                      <w:rPr>
                        <w:rFonts w:ascii="Cambria Math" w:eastAsia="Calibri" w:hAnsi="Cambria Math"/>
                        <w:szCs w:val="22"/>
                      </w:rPr>
                      <m:t>e</m:t>
                    </m:r>
                  </m:e>
                  <m:sub>
                    <m:r>
                      <w:rPr>
                        <w:rFonts w:ascii="Cambria Math" w:eastAsia="Calibri" w:hAnsi="Cambria Math"/>
                        <w:szCs w:val="22"/>
                      </w:rPr>
                      <m:t>i</m:t>
                    </m:r>
                  </m:sub>
                </m:sSub>
              </m:e>
            </m:nary>
          </m:den>
        </m:f>
        <m:r>
          <w:rPr>
            <w:rFonts w:ascii="Cambria Math" w:eastAsia="Calibri" w:hAnsi="Cambria Math"/>
            <w:szCs w:val="22"/>
          </w:rPr>
          <m:t>=</m:t>
        </m:r>
        <m:f>
          <m:fPr>
            <m:ctrlPr>
              <w:rPr>
                <w:rFonts w:ascii="Cambria Math" w:eastAsia="Calibri" w:hAnsi="Cambria Math"/>
                <w:i/>
                <w:szCs w:val="22"/>
              </w:rPr>
            </m:ctrlPr>
          </m:fPr>
          <m:num>
            <m:r>
              <m:rPr>
                <m:sty m:val="p"/>
              </m:rPr>
              <w:rPr>
                <w:rFonts w:ascii="Cambria Math" w:eastAsia="Calibri" w:hAnsi="Cambria Math"/>
                <w:szCs w:val="22"/>
              </w:rPr>
              <m:t>T</m:t>
            </m:r>
            <m:r>
              <w:rPr>
                <w:rFonts w:ascii="Cambria Math" w:eastAsia="Calibri" w:hAnsi="Cambria Math"/>
                <w:szCs w:val="22"/>
              </w:rPr>
              <m:t>[z]</m:t>
            </m:r>
          </m:num>
          <m:den>
            <m:r>
              <m:rPr>
                <m:sty m:val="p"/>
              </m:rPr>
              <w:rPr>
                <w:rFonts w:ascii="Cambria Math" w:eastAsia="Calibri" w:hAnsi="Cambria Math"/>
                <w:szCs w:val="22"/>
              </w:rPr>
              <m:t>T</m:t>
            </m:r>
            <m:r>
              <w:rPr>
                <w:rFonts w:ascii="Cambria Math" w:eastAsia="Calibri" w:hAnsi="Cambria Math"/>
                <w:szCs w:val="22"/>
              </w:rPr>
              <m:t>[e]</m:t>
            </m:r>
          </m:den>
        </m:f>
      </m:oMath>
      <w:r w:rsidRPr="00B22407">
        <w:rPr>
          <w:szCs w:val="22"/>
        </w:rPr>
        <w:tab/>
      </w:r>
      <w:r w:rsidRPr="004B5B0D">
        <w:rPr>
          <w:szCs w:val="22"/>
        </w:rPr>
        <w:t>(7)</w:t>
      </w:r>
    </w:p>
    <w:p w14:paraId="6C5D4726" w14:textId="77777777" w:rsidR="00AE5A8D" w:rsidRPr="004B5B0D" w:rsidRDefault="00AE5A8D" w:rsidP="00AE5A8D">
      <w:pPr>
        <w:tabs>
          <w:tab w:val="center" w:pos="4680"/>
          <w:tab w:val="right" w:pos="9360"/>
        </w:tabs>
        <w:spacing w:after="200" w:line="22" w:lineRule="atLeast"/>
        <w:ind w:left="720" w:firstLine="720"/>
        <w:rPr>
          <w:szCs w:val="22"/>
        </w:rPr>
      </w:pPr>
      <w:r w:rsidRPr="00B22407">
        <w:rPr>
          <w:szCs w:val="22"/>
        </w:rPr>
        <w:tab/>
      </w:r>
      <m:oMath>
        <m:r>
          <m:rPr>
            <m:sty m:val="p"/>
          </m:rPr>
          <w:rPr>
            <w:rFonts w:ascii="Cambria Math" w:hAnsi="Cambria Math"/>
            <w:szCs w:val="22"/>
          </w:rPr>
          <m:t>=</m:t>
        </m:r>
        <m:f>
          <m:fPr>
            <m:ctrlPr>
              <w:rPr>
                <w:rFonts w:ascii="Cambria Math" w:hAnsi="Cambria Math"/>
                <w:szCs w:val="22"/>
              </w:rPr>
            </m:ctrlPr>
          </m:fPr>
          <m:num>
            <m:nary>
              <m:naryPr>
                <m:chr m:val="∑"/>
                <m:limLoc m:val="undOvr"/>
                <m:supHide m:val="1"/>
                <m:ctrlPr>
                  <w:rPr>
                    <w:rFonts w:ascii="Cambria Math" w:hAnsi="Cambria Math"/>
                    <w:szCs w:val="22"/>
                  </w:rPr>
                </m:ctrlPr>
              </m:naryPr>
              <m:sub>
                <m:r>
                  <w:rPr>
                    <w:rFonts w:ascii="Cambria Math" w:hAnsi="Cambria Math"/>
                    <w:szCs w:val="22"/>
                  </w:rPr>
                  <m:t>i</m:t>
                </m:r>
                <m:r>
                  <m:rPr>
                    <m:sty m:val="p"/>
                  </m:rPr>
                  <w:rPr>
                    <w:rFonts w:ascii="Cambria Math" w:hAnsi="Cambria Math"/>
                    <w:szCs w:val="22"/>
                  </w:rPr>
                  <m:t>∈</m:t>
                </m:r>
                <m:r>
                  <w:rPr>
                    <w:rFonts w:ascii="Cambria Math" w:hAnsi="Cambria Math"/>
                    <w:szCs w:val="22"/>
                  </w:rPr>
                  <m:t>U</m:t>
                </m:r>
              </m:sub>
              <m:sup/>
              <m:e>
                <m:sSub>
                  <m:sSubPr>
                    <m:ctrlPr>
                      <w:rPr>
                        <w:rFonts w:ascii="Cambria Math" w:hAnsi="Cambria Math"/>
                        <w:i/>
                        <w:szCs w:val="22"/>
                      </w:rPr>
                    </m:ctrlPr>
                  </m:sSubPr>
                  <m:e>
                    <m:r>
                      <w:rPr>
                        <w:rFonts w:ascii="Cambria Math" w:hAnsi="Cambria Math"/>
                        <w:szCs w:val="22"/>
                      </w:rPr>
                      <m:t>e</m:t>
                    </m:r>
                  </m:e>
                  <m:sub>
                    <m:r>
                      <w:rPr>
                        <w:rFonts w:ascii="Cambria Math" w:hAnsi="Cambria Math"/>
                        <w:szCs w:val="22"/>
                      </w:rPr>
                      <m:t>i</m:t>
                    </m:r>
                  </m:sub>
                </m:sSub>
                <m:sSub>
                  <m:sSubPr>
                    <m:ctrlPr>
                      <w:rPr>
                        <w:rFonts w:ascii="Cambria Math" w:hAnsi="Cambria Math"/>
                        <w:i/>
                        <w:szCs w:val="22"/>
                      </w:rPr>
                    </m:ctrlPr>
                  </m:sSubPr>
                  <m:e>
                    <m:r>
                      <w:rPr>
                        <w:rFonts w:ascii="Cambria Math" w:hAnsi="Cambria Math"/>
                        <w:szCs w:val="22"/>
                      </w:rPr>
                      <m:t>y</m:t>
                    </m:r>
                  </m:e>
                  <m:sub>
                    <m:r>
                      <w:rPr>
                        <w:rFonts w:ascii="Cambria Math" w:hAnsi="Cambria Math"/>
                        <w:szCs w:val="22"/>
                      </w:rPr>
                      <m:t>i</m:t>
                    </m:r>
                  </m:sub>
                </m:sSub>
              </m:e>
            </m:nary>
          </m:num>
          <m:den>
            <m:nary>
              <m:naryPr>
                <m:chr m:val="∑"/>
                <m:limLoc m:val="undOvr"/>
                <m:supHide m:val="1"/>
                <m:ctrlPr>
                  <w:rPr>
                    <w:rFonts w:ascii="Cambria Math" w:hAnsi="Cambria Math"/>
                    <w:szCs w:val="22"/>
                  </w:rPr>
                </m:ctrlPr>
              </m:naryPr>
              <m:sub>
                <m:r>
                  <w:rPr>
                    <w:rFonts w:ascii="Cambria Math" w:hAnsi="Cambria Math"/>
                    <w:szCs w:val="22"/>
                  </w:rPr>
                  <m:t>i</m:t>
                </m:r>
                <m:r>
                  <m:rPr>
                    <m:sty m:val="p"/>
                  </m:rPr>
                  <w:rPr>
                    <w:rFonts w:ascii="Cambria Math" w:hAnsi="Cambria Math"/>
                    <w:szCs w:val="22"/>
                  </w:rPr>
                  <m:t>∈</m:t>
                </m:r>
                <m:r>
                  <w:rPr>
                    <w:rFonts w:ascii="Cambria Math" w:hAnsi="Cambria Math"/>
                    <w:szCs w:val="22"/>
                  </w:rPr>
                  <m:t>U</m:t>
                </m:r>
              </m:sub>
              <m:sup/>
              <m:e>
                <m:sSub>
                  <m:sSubPr>
                    <m:ctrlPr>
                      <w:rPr>
                        <w:rFonts w:ascii="Cambria Math" w:hAnsi="Cambria Math"/>
                        <w:i/>
                        <w:szCs w:val="22"/>
                      </w:rPr>
                    </m:ctrlPr>
                  </m:sSubPr>
                  <m:e>
                    <m:r>
                      <w:rPr>
                        <w:rFonts w:ascii="Cambria Math" w:hAnsi="Cambria Math"/>
                        <w:szCs w:val="22"/>
                      </w:rPr>
                      <m:t>e</m:t>
                    </m:r>
                  </m:e>
                  <m:sub>
                    <m:r>
                      <w:rPr>
                        <w:rFonts w:ascii="Cambria Math" w:hAnsi="Cambria Math"/>
                        <w:szCs w:val="22"/>
                      </w:rPr>
                      <m:t>i</m:t>
                    </m:r>
                  </m:sub>
                </m:sSub>
              </m:e>
            </m:nary>
          </m:den>
        </m:f>
        <m:r>
          <w:rPr>
            <w:rFonts w:ascii="Cambria Math" w:eastAsia="Calibri" w:hAnsi="Cambria Math"/>
            <w:szCs w:val="22"/>
          </w:rPr>
          <m:t>=</m:t>
        </m:r>
        <m:f>
          <m:fPr>
            <m:ctrlPr>
              <w:rPr>
                <w:rFonts w:ascii="Cambria Math" w:eastAsia="Calibri" w:hAnsi="Cambria Math"/>
                <w:i/>
                <w:szCs w:val="22"/>
              </w:rPr>
            </m:ctrlPr>
          </m:fPr>
          <m:num>
            <m:r>
              <m:rPr>
                <m:sty m:val="p"/>
              </m:rPr>
              <w:rPr>
                <w:rFonts w:ascii="Cambria Math" w:eastAsia="Calibri" w:hAnsi="Cambria Math"/>
                <w:szCs w:val="22"/>
              </w:rPr>
              <m:t>T</m:t>
            </m:r>
            <m:r>
              <w:rPr>
                <w:rFonts w:ascii="Cambria Math" w:eastAsia="Calibri" w:hAnsi="Cambria Math"/>
                <w:szCs w:val="22"/>
              </w:rPr>
              <m:t>[ey]</m:t>
            </m:r>
          </m:num>
          <m:den>
            <m:r>
              <m:rPr>
                <m:sty m:val="p"/>
              </m:rPr>
              <w:rPr>
                <w:rFonts w:ascii="Cambria Math" w:eastAsia="Calibri" w:hAnsi="Cambria Math"/>
                <w:szCs w:val="22"/>
              </w:rPr>
              <m:t>T</m:t>
            </m:r>
            <m:r>
              <w:rPr>
                <w:rFonts w:ascii="Cambria Math" w:eastAsia="Calibri" w:hAnsi="Cambria Math"/>
                <w:szCs w:val="22"/>
              </w:rPr>
              <m:t>[e]</m:t>
            </m:r>
          </m:den>
        </m:f>
      </m:oMath>
      <w:r w:rsidRPr="00B22407">
        <w:rPr>
          <w:szCs w:val="22"/>
        </w:rPr>
        <w:tab/>
      </w:r>
      <w:r w:rsidRPr="004B5B0D">
        <w:rPr>
          <w:szCs w:val="22"/>
        </w:rPr>
        <w:t>(8)</w:t>
      </w:r>
    </w:p>
    <w:p w14:paraId="517F7CA2" w14:textId="77777777" w:rsidR="00AE5A8D" w:rsidRPr="004B5B0D" w:rsidRDefault="00AE5A8D" w:rsidP="00AE5A8D">
      <w:pPr>
        <w:pStyle w:val="BodyText"/>
      </w:pPr>
      <w:r w:rsidRPr="004B5B0D">
        <w:t xml:space="preserve">where </w:t>
      </w:r>
      <m:oMath>
        <m:r>
          <m:rPr>
            <m:sty m:val="p"/>
          </m:rPr>
          <w:rPr>
            <w:rFonts w:ascii="Cambria Math" w:eastAsia="Calibri" w:hAnsi="Cambria Math"/>
          </w:rPr>
          <m:t>T</m:t>
        </m:r>
        <m:r>
          <w:rPr>
            <w:rFonts w:ascii="Cambria Math" w:eastAsia="Calibri" w:hAnsi="Cambria Math"/>
          </w:rPr>
          <m:t>[</m:t>
        </m:r>
        <m:r>
          <m:rPr>
            <m:sty m:val="p"/>
          </m:rPr>
          <w:rPr>
            <w:rFonts w:ascii="Cambria Math" w:hAnsi="Cambria Math"/>
          </w:rPr>
          <m:t>⋅</m:t>
        </m:r>
        <m:r>
          <w:rPr>
            <w:rFonts w:ascii="Cambria Math" w:eastAsia="Calibri" w:hAnsi="Cambria Math"/>
          </w:rPr>
          <m:t>]</m:t>
        </m:r>
      </m:oMath>
      <w:r w:rsidRPr="004B5B0D">
        <w:t xml:space="preserve"> denotes the total of a given variable, and note that </w:t>
      </w:r>
      <w:r w:rsidRPr="004B5B0D">
        <w:rPr>
          <w:rFonts w:eastAsia="Calibri"/>
        </w:rPr>
        <w:t xml:space="preserve">in this example, </w:t>
      </w:r>
      <w:r w:rsidRPr="004B5B0D">
        <w:rPr>
          <w:rFonts w:eastAsia="Calibri"/>
          <w:i/>
        </w:rPr>
        <w:t>z</w:t>
      </w:r>
      <w:r w:rsidRPr="004B5B0D">
        <w:rPr>
          <w:rFonts w:eastAsia="Calibri"/>
          <w:i/>
          <w:vertAlign w:val="subscript"/>
        </w:rPr>
        <w:t>i</w:t>
      </w:r>
      <w:r w:rsidRPr="004B5B0D">
        <w:rPr>
          <w:rFonts w:eastAsia="Calibri"/>
        </w:rPr>
        <w:t xml:space="preserve"> = </w:t>
      </w:r>
      <w:r w:rsidRPr="004B5B0D">
        <w:rPr>
          <w:rFonts w:eastAsia="Calibri"/>
          <w:i/>
        </w:rPr>
        <w:t>y</w:t>
      </w:r>
      <w:r w:rsidRPr="004B5B0D">
        <w:rPr>
          <w:rFonts w:eastAsia="Calibri"/>
          <w:i/>
          <w:vertAlign w:val="subscript"/>
        </w:rPr>
        <w:t>i</w:t>
      </w:r>
      <w:r w:rsidRPr="004B5B0D">
        <w:rPr>
          <w:rFonts w:eastAsia="Calibri"/>
        </w:rPr>
        <w:t xml:space="preserve"> </w:t>
      </w:r>
      <w:r w:rsidRPr="004B5B0D">
        <w:rPr>
          <w:rFonts w:eastAsia="Calibri"/>
          <w:i/>
        </w:rPr>
        <w:t>e</w:t>
      </w:r>
      <w:r w:rsidRPr="004B5B0D">
        <w:rPr>
          <w:rFonts w:eastAsia="Calibri"/>
          <w:i/>
          <w:vertAlign w:val="subscript"/>
        </w:rPr>
        <w:t>i</w:t>
      </w:r>
      <w:r w:rsidRPr="004B5B0D">
        <w:rPr>
          <w:rFonts w:eastAsia="Calibri"/>
        </w:rPr>
        <w:t>.</w:t>
      </w:r>
      <w:r w:rsidRPr="004B5B0D">
        <w:t xml:space="preserve"> We can then estimate this population percentage as</w:t>
      </w:r>
    </w:p>
    <w:p w14:paraId="22DD2832" w14:textId="77777777" w:rsidR="00AE5A8D" w:rsidRPr="00B22407" w:rsidRDefault="00AE5A8D" w:rsidP="00AE5A8D">
      <w:pPr>
        <w:tabs>
          <w:tab w:val="center" w:pos="4680"/>
          <w:tab w:val="right" w:pos="9360"/>
        </w:tabs>
        <w:spacing w:after="200" w:line="22" w:lineRule="atLeast"/>
        <w:ind w:left="720" w:firstLine="720"/>
        <w:rPr>
          <w:szCs w:val="22"/>
        </w:rPr>
      </w:pPr>
      <w:r w:rsidRPr="00B22407">
        <w:rPr>
          <w:szCs w:val="22"/>
        </w:rPr>
        <w:tab/>
      </w:r>
      <m:oMath>
        <m:acc>
          <m:accPr>
            <m:ctrlPr>
              <w:rPr>
                <w:rFonts w:ascii="Cambria Math" w:hAnsi="Cambria Math"/>
                <w:i/>
                <w:szCs w:val="22"/>
              </w:rPr>
            </m:ctrlPr>
          </m:accPr>
          <m:e>
            <m:r>
              <w:rPr>
                <w:rFonts w:ascii="Cambria Math" w:hAnsi="Cambria Math"/>
                <w:szCs w:val="22"/>
              </w:rPr>
              <m:t>θ</m:t>
            </m:r>
          </m:e>
        </m:acc>
        <m:r>
          <m:rPr>
            <m:sty m:val="p"/>
          </m:rPr>
          <w:rPr>
            <w:rFonts w:ascii="Cambria Math" w:hAnsi="Cambria Math"/>
            <w:szCs w:val="22"/>
          </w:rPr>
          <m:t>=</m:t>
        </m:r>
        <m:f>
          <m:fPr>
            <m:ctrlPr>
              <w:rPr>
                <w:rFonts w:ascii="Cambria Math" w:hAnsi="Cambria Math"/>
                <w:szCs w:val="22"/>
              </w:rPr>
            </m:ctrlPr>
          </m:fPr>
          <m:num>
            <m:nary>
              <m:naryPr>
                <m:chr m:val="∑"/>
                <m:limLoc m:val="undOvr"/>
                <m:supHide m:val="1"/>
                <m:ctrlPr>
                  <w:rPr>
                    <w:rFonts w:ascii="Cambria Math" w:hAnsi="Cambria Math"/>
                    <w:szCs w:val="22"/>
                  </w:rPr>
                </m:ctrlPr>
              </m:naryPr>
              <m:sub>
                <m:r>
                  <w:rPr>
                    <w:rFonts w:ascii="Cambria Math" w:hAnsi="Cambria Math"/>
                    <w:szCs w:val="22"/>
                  </w:rPr>
                  <m:t>i</m:t>
                </m:r>
                <m:r>
                  <m:rPr>
                    <m:sty m:val="p"/>
                  </m:rPr>
                  <w:rPr>
                    <w:rFonts w:ascii="Cambria Math" w:hAnsi="Cambria Math"/>
                    <w:szCs w:val="22"/>
                  </w:rPr>
                  <m:t>∈</m:t>
                </m:r>
                <m:r>
                  <w:rPr>
                    <w:rFonts w:ascii="Cambria Math" w:hAnsi="Cambria Math"/>
                    <w:szCs w:val="22"/>
                  </w:rPr>
                  <m:t>S</m:t>
                </m:r>
              </m:sub>
              <m:sup/>
              <m:e>
                <m:sSub>
                  <m:sSubPr>
                    <m:ctrlPr>
                      <w:rPr>
                        <w:rFonts w:ascii="Cambria Math" w:hAnsi="Cambria Math"/>
                        <w:i/>
                        <w:szCs w:val="22"/>
                      </w:rPr>
                    </m:ctrlPr>
                  </m:sSubPr>
                  <m:e>
                    <m:r>
                      <w:rPr>
                        <w:rFonts w:ascii="Cambria Math" w:hAnsi="Cambria Math"/>
                        <w:szCs w:val="22"/>
                      </w:rPr>
                      <m:t>w</m:t>
                    </m:r>
                  </m:e>
                  <m:sub>
                    <m:r>
                      <w:rPr>
                        <w:rFonts w:ascii="Cambria Math" w:hAnsi="Cambria Math"/>
                        <w:szCs w:val="22"/>
                      </w:rPr>
                      <m:t>i</m:t>
                    </m:r>
                  </m:sub>
                </m:sSub>
                <m:sSub>
                  <m:sSubPr>
                    <m:ctrlPr>
                      <w:rPr>
                        <w:rFonts w:ascii="Cambria Math" w:hAnsi="Cambria Math"/>
                        <w:i/>
                        <w:szCs w:val="22"/>
                      </w:rPr>
                    </m:ctrlPr>
                  </m:sSubPr>
                  <m:e>
                    <m:r>
                      <w:rPr>
                        <w:rFonts w:ascii="Cambria Math" w:hAnsi="Cambria Math"/>
                        <w:szCs w:val="22"/>
                      </w:rPr>
                      <m:t>z</m:t>
                    </m:r>
                  </m:e>
                  <m:sub>
                    <m:r>
                      <w:rPr>
                        <w:rFonts w:ascii="Cambria Math" w:hAnsi="Cambria Math"/>
                        <w:szCs w:val="22"/>
                      </w:rPr>
                      <m:t>i</m:t>
                    </m:r>
                  </m:sub>
                </m:sSub>
              </m:e>
            </m:nary>
          </m:num>
          <m:den>
            <m:nary>
              <m:naryPr>
                <m:chr m:val="∑"/>
                <m:limLoc m:val="undOvr"/>
                <m:supHide m:val="1"/>
                <m:ctrlPr>
                  <w:rPr>
                    <w:rFonts w:ascii="Cambria Math" w:hAnsi="Cambria Math"/>
                    <w:szCs w:val="22"/>
                  </w:rPr>
                </m:ctrlPr>
              </m:naryPr>
              <m:sub>
                <m:r>
                  <w:rPr>
                    <w:rFonts w:ascii="Cambria Math" w:hAnsi="Cambria Math"/>
                    <w:szCs w:val="22"/>
                  </w:rPr>
                  <m:t>i</m:t>
                </m:r>
                <m:r>
                  <m:rPr>
                    <m:sty m:val="p"/>
                  </m:rPr>
                  <w:rPr>
                    <w:rFonts w:ascii="Cambria Math" w:hAnsi="Cambria Math"/>
                    <w:szCs w:val="22"/>
                  </w:rPr>
                  <m:t>∈</m:t>
                </m:r>
                <m:r>
                  <w:rPr>
                    <w:rFonts w:ascii="Cambria Math" w:hAnsi="Cambria Math"/>
                    <w:szCs w:val="22"/>
                  </w:rPr>
                  <m:t>S</m:t>
                </m:r>
              </m:sub>
              <m:sup/>
              <m:e>
                <m:sSub>
                  <m:sSubPr>
                    <m:ctrlPr>
                      <w:rPr>
                        <w:rFonts w:ascii="Cambria Math" w:hAnsi="Cambria Math"/>
                        <w:i/>
                        <w:szCs w:val="22"/>
                      </w:rPr>
                    </m:ctrlPr>
                  </m:sSubPr>
                  <m:e>
                    <m:r>
                      <w:rPr>
                        <w:rFonts w:ascii="Cambria Math" w:hAnsi="Cambria Math"/>
                        <w:szCs w:val="22"/>
                      </w:rPr>
                      <m:t>w</m:t>
                    </m:r>
                  </m:e>
                  <m:sub>
                    <m:r>
                      <w:rPr>
                        <w:rFonts w:ascii="Cambria Math" w:hAnsi="Cambria Math"/>
                        <w:szCs w:val="22"/>
                      </w:rPr>
                      <m:t>i</m:t>
                    </m:r>
                  </m:sub>
                </m:sSub>
                <m:sSub>
                  <m:sSubPr>
                    <m:ctrlPr>
                      <w:rPr>
                        <w:rFonts w:ascii="Cambria Math" w:hAnsi="Cambria Math"/>
                        <w:i/>
                        <w:szCs w:val="22"/>
                      </w:rPr>
                    </m:ctrlPr>
                  </m:sSubPr>
                  <m:e>
                    <m:r>
                      <w:rPr>
                        <w:rFonts w:ascii="Cambria Math" w:hAnsi="Cambria Math"/>
                        <w:szCs w:val="22"/>
                      </w:rPr>
                      <m:t>e</m:t>
                    </m:r>
                  </m:e>
                  <m:sub>
                    <m:r>
                      <w:rPr>
                        <w:rFonts w:ascii="Cambria Math" w:hAnsi="Cambria Math"/>
                        <w:szCs w:val="22"/>
                      </w:rPr>
                      <m:t>i</m:t>
                    </m:r>
                  </m:sub>
                </m:sSub>
              </m:e>
            </m:nary>
          </m:den>
        </m:f>
        <m:r>
          <w:rPr>
            <w:rFonts w:ascii="Cambria Math" w:eastAsia="Calibri" w:hAnsi="Cambria Math"/>
            <w:szCs w:val="22"/>
          </w:rPr>
          <m:t>=</m:t>
        </m:r>
        <m:f>
          <m:fPr>
            <m:ctrlPr>
              <w:rPr>
                <w:rFonts w:ascii="Cambria Math" w:eastAsia="Calibri" w:hAnsi="Cambria Math"/>
                <w:i/>
                <w:szCs w:val="22"/>
              </w:rPr>
            </m:ctrlPr>
          </m:fPr>
          <m:num>
            <m:r>
              <m:rPr>
                <m:sty m:val="p"/>
              </m:rPr>
              <w:rPr>
                <w:rFonts w:ascii="Cambria Math" w:eastAsia="Calibri" w:hAnsi="Cambria Math"/>
                <w:szCs w:val="22"/>
              </w:rPr>
              <m:t>t</m:t>
            </m:r>
            <m:r>
              <w:rPr>
                <w:rFonts w:ascii="Cambria Math" w:eastAsia="Calibri" w:hAnsi="Cambria Math"/>
                <w:szCs w:val="22"/>
              </w:rPr>
              <m:t>[z]</m:t>
            </m:r>
          </m:num>
          <m:den>
            <m:r>
              <m:rPr>
                <m:sty m:val="p"/>
              </m:rPr>
              <w:rPr>
                <w:rFonts w:ascii="Cambria Math" w:eastAsia="Calibri" w:hAnsi="Cambria Math"/>
                <w:szCs w:val="22"/>
              </w:rPr>
              <m:t>t</m:t>
            </m:r>
            <m:r>
              <w:rPr>
                <w:rFonts w:ascii="Cambria Math" w:eastAsia="Calibri" w:hAnsi="Cambria Math"/>
                <w:szCs w:val="22"/>
              </w:rPr>
              <m:t>[e]</m:t>
            </m:r>
          </m:den>
        </m:f>
      </m:oMath>
      <w:r w:rsidRPr="00B22407">
        <w:rPr>
          <w:szCs w:val="22"/>
        </w:rPr>
        <w:tab/>
      </w:r>
      <w:r w:rsidRPr="004B5B0D">
        <w:rPr>
          <w:szCs w:val="22"/>
        </w:rPr>
        <w:t>(9)</w:t>
      </w:r>
    </w:p>
    <w:p w14:paraId="195BDBBC" w14:textId="77777777" w:rsidR="00AE5A8D" w:rsidRPr="00B22407" w:rsidRDefault="00AE5A8D" w:rsidP="00AE5A8D">
      <w:pPr>
        <w:tabs>
          <w:tab w:val="center" w:pos="4680"/>
          <w:tab w:val="right" w:pos="9360"/>
        </w:tabs>
        <w:spacing w:after="200" w:line="22" w:lineRule="atLeast"/>
        <w:ind w:left="720" w:firstLine="720"/>
        <w:rPr>
          <w:szCs w:val="22"/>
        </w:rPr>
      </w:pPr>
      <w:r w:rsidRPr="00B22407">
        <w:rPr>
          <w:szCs w:val="22"/>
        </w:rPr>
        <w:lastRenderedPageBreak/>
        <w:tab/>
      </w:r>
      <m:oMath>
        <m:r>
          <m:rPr>
            <m:sty m:val="p"/>
          </m:rPr>
          <w:rPr>
            <w:rFonts w:ascii="Cambria Math" w:hAnsi="Cambria Math"/>
            <w:szCs w:val="22"/>
          </w:rPr>
          <m:t>=</m:t>
        </m:r>
        <m:f>
          <m:fPr>
            <m:ctrlPr>
              <w:rPr>
                <w:rFonts w:ascii="Cambria Math" w:hAnsi="Cambria Math"/>
                <w:szCs w:val="22"/>
              </w:rPr>
            </m:ctrlPr>
          </m:fPr>
          <m:num>
            <m:nary>
              <m:naryPr>
                <m:chr m:val="∑"/>
                <m:limLoc m:val="undOvr"/>
                <m:supHide m:val="1"/>
                <m:ctrlPr>
                  <w:rPr>
                    <w:rFonts w:ascii="Cambria Math" w:hAnsi="Cambria Math"/>
                    <w:szCs w:val="22"/>
                  </w:rPr>
                </m:ctrlPr>
              </m:naryPr>
              <m:sub>
                <m:r>
                  <w:rPr>
                    <w:rFonts w:ascii="Cambria Math" w:hAnsi="Cambria Math"/>
                    <w:szCs w:val="22"/>
                  </w:rPr>
                  <m:t>i</m:t>
                </m:r>
                <m:r>
                  <m:rPr>
                    <m:sty m:val="p"/>
                  </m:rPr>
                  <w:rPr>
                    <w:rFonts w:ascii="Cambria Math" w:hAnsi="Cambria Math"/>
                    <w:szCs w:val="22"/>
                  </w:rPr>
                  <m:t>∈</m:t>
                </m:r>
                <m:r>
                  <w:rPr>
                    <w:rFonts w:ascii="Cambria Math" w:hAnsi="Cambria Math"/>
                    <w:szCs w:val="22"/>
                  </w:rPr>
                  <m:t>S</m:t>
                </m:r>
              </m:sub>
              <m:sup/>
              <m:e>
                <m:sSub>
                  <m:sSubPr>
                    <m:ctrlPr>
                      <w:rPr>
                        <w:rFonts w:ascii="Cambria Math" w:hAnsi="Cambria Math"/>
                        <w:i/>
                        <w:szCs w:val="22"/>
                      </w:rPr>
                    </m:ctrlPr>
                  </m:sSubPr>
                  <m:e>
                    <m:r>
                      <w:rPr>
                        <w:rFonts w:ascii="Cambria Math" w:hAnsi="Cambria Math"/>
                        <w:szCs w:val="22"/>
                      </w:rPr>
                      <m:t>w</m:t>
                    </m:r>
                  </m:e>
                  <m:sub>
                    <m:r>
                      <w:rPr>
                        <w:rFonts w:ascii="Cambria Math" w:hAnsi="Cambria Math"/>
                        <w:szCs w:val="22"/>
                      </w:rPr>
                      <m:t>i</m:t>
                    </m:r>
                  </m:sub>
                </m:sSub>
                <m:sSub>
                  <m:sSubPr>
                    <m:ctrlPr>
                      <w:rPr>
                        <w:rFonts w:ascii="Cambria Math" w:hAnsi="Cambria Math"/>
                        <w:i/>
                        <w:szCs w:val="22"/>
                      </w:rPr>
                    </m:ctrlPr>
                  </m:sSubPr>
                  <m:e>
                    <m:r>
                      <w:rPr>
                        <w:rFonts w:ascii="Cambria Math" w:hAnsi="Cambria Math"/>
                        <w:szCs w:val="22"/>
                      </w:rPr>
                      <m:t>e</m:t>
                    </m:r>
                  </m:e>
                  <m:sub>
                    <m:r>
                      <w:rPr>
                        <w:rFonts w:ascii="Cambria Math" w:hAnsi="Cambria Math"/>
                        <w:szCs w:val="22"/>
                      </w:rPr>
                      <m:t>i</m:t>
                    </m:r>
                  </m:sub>
                </m:sSub>
                <m:sSub>
                  <m:sSubPr>
                    <m:ctrlPr>
                      <w:rPr>
                        <w:rFonts w:ascii="Cambria Math" w:hAnsi="Cambria Math"/>
                        <w:i/>
                        <w:szCs w:val="22"/>
                      </w:rPr>
                    </m:ctrlPr>
                  </m:sSubPr>
                  <m:e>
                    <m:r>
                      <w:rPr>
                        <w:rFonts w:ascii="Cambria Math" w:hAnsi="Cambria Math"/>
                        <w:szCs w:val="22"/>
                      </w:rPr>
                      <m:t>y</m:t>
                    </m:r>
                  </m:e>
                  <m:sub>
                    <m:r>
                      <w:rPr>
                        <w:rFonts w:ascii="Cambria Math" w:hAnsi="Cambria Math"/>
                        <w:szCs w:val="22"/>
                      </w:rPr>
                      <m:t>i</m:t>
                    </m:r>
                  </m:sub>
                </m:sSub>
              </m:e>
            </m:nary>
          </m:num>
          <m:den>
            <m:nary>
              <m:naryPr>
                <m:chr m:val="∑"/>
                <m:limLoc m:val="undOvr"/>
                <m:supHide m:val="1"/>
                <m:ctrlPr>
                  <w:rPr>
                    <w:rFonts w:ascii="Cambria Math" w:hAnsi="Cambria Math"/>
                    <w:szCs w:val="22"/>
                  </w:rPr>
                </m:ctrlPr>
              </m:naryPr>
              <m:sub>
                <m:r>
                  <w:rPr>
                    <w:rFonts w:ascii="Cambria Math" w:hAnsi="Cambria Math"/>
                    <w:szCs w:val="22"/>
                  </w:rPr>
                  <m:t>i</m:t>
                </m:r>
                <m:r>
                  <m:rPr>
                    <m:sty m:val="p"/>
                  </m:rPr>
                  <w:rPr>
                    <w:rFonts w:ascii="Cambria Math" w:hAnsi="Cambria Math"/>
                    <w:szCs w:val="22"/>
                  </w:rPr>
                  <m:t>∈</m:t>
                </m:r>
                <m:r>
                  <w:rPr>
                    <w:rFonts w:ascii="Cambria Math" w:hAnsi="Cambria Math"/>
                    <w:szCs w:val="22"/>
                  </w:rPr>
                  <m:t>S</m:t>
                </m:r>
              </m:sub>
              <m:sup/>
              <m:e>
                <m:sSub>
                  <m:sSubPr>
                    <m:ctrlPr>
                      <w:rPr>
                        <w:rFonts w:ascii="Cambria Math" w:hAnsi="Cambria Math"/>
                        <w:i/>
                        <w:szCs w:val="22"/>
                      </w:rPr>
                    </m:ctrlPr>
                  </m:sSubPr>
                  <m:e>
                    <m:r>
                      <w:rPr>
                        <w:rFonts w:ascii="Cambria Math" w:hAnsi="Cambria Math"/>
                        <w:szCs w:val="22"/>
                      </w:rPr>
                      <m:t>w</m:t>
                    </m:r>
                  </m:e>
                  <m:sub>
                    <m:r>
                      <w:rPr>
                        <w:rFonts w:ascii="Cambria Math" w:hAnsi="Cambria Math"/>
                        <w:szCs w:val="22"/>
                      </w:rPr>
                      <m:t>i</m:t>
                    </m:r>
                  </m:sub>
                </m:sSub>
                <m:sSub>
                  <m:sSubPr>
                    <m:ctrlPr>
                      <w:rPr>
                        <w:rFonts w:ascii="Cambria Math" w:hAnsi="Cambria Math"/>
                        <w:i/>
                        <w:szCs w:val="22"/>
                      </w:rPr>
                    </m:ctrlPr>
                  </m:sSubPr>
                  <m:e>
                    <m:r>
                      <w:rPr>
                        <w:rFonts w:ascii="Cambria Math" w:hAnsi="Cambria Math"/>
                        <w:szCs w:val="22"/>
                      </w:rPr>
                      <m:t>e</m:t>
                    </m:r>
                  </m:e>
                  <m:sub>
                    <m:r>
                      <w:rPr>
                        <w:rFonts w:ascii="Cambria Math" w:hAnsi="Cambria Math"/>
                        <w:szCs w:val="22"/>
                      </w:rPr>
                      <m:t>i</m:t>
                    </m:r>
                  </m:sub>
                </m:sSub>
              </m:e>
            </m:nary>
          </m:den>
        </m:f>
        <m:r>
          <w:rPr>
            <w:rFonts w:ascii="Cambria Math" w:eastAsia="Calibri" w:hAnsi="Cambria Math"/>
            <w:szCs w:val="22"/>
          </w:rPr>
          <m:t>=</m:t>
        </m:r>
        <m:f>
          <m:fPr>
            <m:ctrlPr>
              <w:rPr>
                <w:rFonts w:ascii="Cambria Math" w:eastAsia="Calibri" w:hAnsi="Cambria Math"/>
                <w:i/>
                <w:szCs w:val="22"/>
              </w:rPr>
            </m:ctrlPr>
          </m:fPr>
          <m:num>
            <m:r>
              <m:rPr>
                <m:sty m:val="p"/>
              </m:rPr>
              <w:rPr>
                <w:rFonts w:ascii="Cambria Math" w:eastAsia="Calibri" w:hAnsi="Cambria Math"/>
                <w:szCs w:val="22"/>
              </w:rPr>
              <m:t>t</m:t>
            </m:r>
            <m:r>
              <w:rPr>
                <w:rFonts w:ascii="Cambria Math" w:eastAsia="Calibri" w:hAnsi="Cambria Math"/>
                <w:szCs w:val="22"/>
              </w:rPr>
              <m:t>[ey]</m:t>
            </m:r>
          </m:num>
          <m:den>
            <m:r>
              <m:rPr>
                <m:sty m:val="p"/>
              </m:rPr>
              <w:rPr>
                <w:rFonts w:ascii="Cambria Math" w:eastAsia="Calibri" w:hAnsi="Cambria Math"/>
                <w:szCs w:val="22"/>
              </w:rPr>
              <m:t>t</m:t>
            </m:r>
            <m:r>
              <w:rPr>
                <w:rFonts w:ascii="Cambria Math" w:eastAsia="Calibri" w:hAnsi="Cambria Math"/>
                <w:szCs w:val="22"/>
              </w:rPr>
              <m:t>[e]</m:t>
            </m:r>
          </m:den>
        </m:f>
      </m:oMath>
      <w:r w:rsidRPr="00B22407">
        <w:rPr>
          <w:szCs w:val="22"/>
        </w:rPr>
        <w:tab/>
        <w:t>(</w:t>
      </w:r>
      <w:r>
        <w:rPr>
          <w:szCs w:val="22"/>
        </w:rPr>
        <w:t>10</w:t>
      </w:r>
      <w:r w:rsidRPr="00B22407">
        <w:rPr>
          <w:szCs w:val="22"/>
        </w:rPr>
        <w:t>)</w:t>
      </w:r>
    </w:p>
    <w:p w14:paraId="74097F67" w14:textId="77777777" w:rsidR="00AE5A8D" w:rsidRPr="004B5B0D" w:rsidRDefault="00AE5A8D" w:rsidP="00AE5A8D">
      <w:pPr>
        <w:pStyle w:val="BodyText"/>
      </w:pPr>
      <w:r w:rsidRPr="004B5B0D">
        <w:t xml:space="preserve">where </w:t>
      </w:r>
      <m:oMath>
        <m:r>
          <m:rPr>
            <m:sty m:val="p"/>
          </m:rPr>
          <w:rPr>
            <w:rFonts w:ascii="Cambria Math" w:eastAsia="Calibri" w:hAnsi="Cambria Math"/>
          </w:rPr>
          <m:t>t</m:t>
        </m:r>
        <m:r>
          <w:rPr>
            <w:rFonts w:ascii="Cambria Math" w:eastAsia="Calibri" w:hAnsi="Cambria Math"/>
          </w:rPr>
          <m:t>[</m:t>
        </m:r>
        <m:r>
          <m:rPr>
            <m:sty m:val="p"/>
          </m:rPr>
          <w:rPr>
            <w:rFonts w:ascii="Cambria Math" w:hAnsi="Cambria Math"/>
          </w:rPr>
          <m:t>⋅</m:t>
        </m:r>
        <m:r>
          <w:rPr>
            <w:rFonts w:ascii="Cambria Math" w:eastAsia="Calibri" w:hAnsi="Cambria Math"/>
          </w:rPr>
          <m:t>]</m:t>
        </m:r>
      </m:oMath>
      <w:r w:rsidRPr="004B5B0D">
        <w:t xml:space="preserve"> is the </w:t>
      </w:r>
      <w:r w:rsidRPr="004B5B0D">
        <w:rPr>
          <w:i/>
        </w:rPr>
        <w:t>estimate</w:t>
      </w:r>
      <w:r w:rsidRPr="004B5B0D">
        <w:t xml:space="preserve"> of the total of a given variable, and </w:t>
      </w:r>
      <w:r w:rsidRPr="004B5B0D">
        <w:rPr>
          <w:i/>
        </w:rPr>
        <w:t>S</w:t>
      </w:r>
      <w:r w:rsidRPr="004B5B0D">
        <w:t xml:space="preserve"> denotes the sample, in place of the whole universe </w:t>
      </w:r>
      <w:r w:rsidRPr="004B5B0D">
        <w:rPr>
          <w:i/>
        </w:rPr>
        <w:t>U</w:t>
      </w:r>
      <w:r w:rsidRPr="004B5B0D">
        <w:t>.</w:t>
      </w:r>
      <w:r w:rsidRPr="004B5B0D">
        <w:rPr>
          <w:rStyle w:val="FootnoteReference"/>
          <w:szCs w:val="22"/>
        </w:rPr>
        <w:footnoteReference w:id="6"/>
      </w:r>
      <w:r w:rsidRPr="004B5B0D">
        <w:t xml:space="preserve"> </w:t>
      </w:r>
    </w:p>
    <w:p w14:paraId="2B6996E5" w14:textId="4EF9FF0F" w:rsidR="00AE5A8D" w:rsidRPr="004B5B0D" w:rsidRDefault="00AE5A8D" w:rsidP="00AE5A8D">
      <w:pPr>
        <w:pStyle w:val="BodyText"/>
      </w:pPr>
      <w:r w:rsidRPr="004B5B0D">
        <w:t xml:space="preserve">Note that in both Equation (9) and (10), </w:t>
      </w:r>
      <m:oMath>
        <m:acc>
          <m:accPr>
            <m:ctrlPr>
              <w:rPr>
                <w:rFonts w:ascii="Cambria Math" w:hAnsi="Cambria Math"/>
                <w:i/>
              </w:rPr>
            </m:ctrlPr>
          </m:accPr>
          <m:e>
            <m:r>
              <w:rPr>
                <w:rFonts w:ascii="Cambria Math" w:hAnsi="Cambria Math"/>
              </w:rPr>
              <m:t>θ</m:t>
            </m:r>
          </m:e>
        </m:acc>
      </m:oMath>
      <w:r w:rsidRPr="004B5B0D">
        <w:t xml:space="preserve"> is an estimator of a ratio (Lohr 2009; Kor</w:t>
      </w:r>
      <w:r>
        <w:t>n and Graubard</w:t>
      </w:r>
      <w:r w:rsidRPr="004B5B0D">
        <w:t xml:space="preserve"> 1999). The linearization estimator of the sampling variance of</w:t>
      </w:r>
      <w:r w:rsidR="00255948">
        <w:t xml:space="preserve"> </w:t>
      </w:r>
      <m:oMath>
        <m:acc>
          <m:accPr>
            <m:ctrlPr>
              <w:rPr>
                <w:rFonts w:ascii="Cambria Math" w:hAnsi="Cambria Math"/>
                <w:i/>
              </w:rPr>
            </m:ctrlPr>
          </m:accPr>
          <m:e>
            <m:r>
              <w:rPr>
                <w:rFonts w:ascii="Cambria Math" w:hAnsi="Cambria Math"/>
              </w:rPr>
              <m:t>θ</m:t>
            </m:r>
          </m:e>
        </m:acc>
      </m:oMath>
      <w:r w:rsidRPr="004B5B0D">
        <w:t xml:space="preserve"> is therefore given by</w:t>
      </w:r>
    </w:p>
    <w:p w14:paraId="0CCE8811" w14:textId="77777777" w:rsidR="00AE5A8D" w:rsidRPr="004B5B0D" w:rsidRDefault="00AE5A8D" w:rsidP="00AE5A8D">
      <w:pPr>
        <w:tabs>
          <w:tab w:val="center" w:pos="4680"/>
          <w:tab w:val="right" w:pos="9360"/>
        </w:tabs>
        <w:spacing w:after="200" w:line="22" w:lineRule="atLeast"/>
        <w:ind w:left="720" w:firstLine="720"/>
        <w:rPr>
          <w:szCs w:val="22"/>
        </w:rPr>
      </w:pPr>
      <w:r w:rsidRPr="00B22407">
        <w:rPr>
          <w:szCs w:val="22"/>
        </w:rPr>
        <w:tab/>
      </w:r>
      <m:oMath>
        <m:r>
          <m:rPr>
            <m:sty m:val="p"/>
          </m:rPr>
          <w:rPr>
            <w:rFonts w:ascii="Cambria Math" w:hAnsi="Cambria Math"/>
            <w:szCs w:val="22"/>
          </w:rPr>
          <m:t>v[</m:t>
        </m:r>
        <m:acc>
          <m:accPr>
            <m:ctrlPr>
              <w:rPr>
                <w:rFonts w:ascii="Cambria Math" w:hAnsi="Cambria Math"/>
                <w:i/>
                <w:szCs w:val="22"/>
              </w:rPr>
            </m:ctrlPr>
          </m:accPr>
          <m:e>
            <m:r>
              <w:rPr>
                <w:rFonts w:ascii="Cambria Math" w:hAnsi="Cambria Math"/>
                <w:szCs w:val="22"/>
              </w:rPr>
              <m:t>θ</m:t>
            </m:r>
          </m:e>
        </m:acc>
        <m:r>
          <m:rPr>
            <m:sty m:val="p"/>
          </m:rPr>
          <w:rPr>
            <w:rFonts w:ascii="Cambria Math" w:hAnsi="Cambria Math"/>
            <w:szCs w:val="22"/>
          </w:rPr>
          <m:t>]≈</m:t>
        </m:r>
        <m:f>
          <m:fPr>
            <m:ctrlPr>
              <w:rPr>
                <w:rFonts w:ascii="Cambria Math" w:hAnsi="Cambria Math"/>
                <w:szCs w:val="22"/>
              </w:rPr>
            </m:ctrlPr>
          </m:fPr>
          <m:num>
            <m:r>
              <m:rPr>
                <m:sty m:val="p"/>
              </m:rPr>
              <w:rPr>
                <w:rFonts w:ascii="Cambria Math" w:hAnsi="Cambria Math"/>
                <w:szCs w:val="22"/>
              </w:rPr>
              <m:t>1</m:t>
            </m:r>
          </m:num>
          <m:den>
            <m:sSup>
              <m:sSupPr>
                <m:ctrlPr>
                  <w:rPr>
                    <w:rFonts w:ascii="Cambria Math" w:hAnsi="Cambria Math"/>
                    <w:szCs w:val="22"/>
                  </w:rPr>
                </m:ctrlPr>
              </m:sSupPr>
              <m:e>
                <m:d>
                  <m:dPr>
                    <m:ctrlPr>
                      <w:rPr>
                        <w:rFonts w:ascii="Cambria Math" w:hAnsi="Cambria Math"/>
                        <w:szCs w:val="22"/>
                      </w:rPr>
                    </m:ctrlPr>
                  </m:dPr>
                  <m:e>
                    <m:r>
                      <m:rPr>
                        <m:sty m:val="p"/>
                      </m:rPr>
                      <w:rPr>
                        <w:rFonts w:ascii="Cambria Math" w:hAnsi="Cambria Math"/>
                        <w:szCs w:val="22"/>
                      </w:rPr>
                      <m:t>t</m:t>
                    </m:r>
                    <m:d>
                      <m:dPr>
                        <m:begChr m:val="["/>
                        <m:endChr m:val="]"/>
                        <m:ctrlPr>
                          <w:rPr>
                            <w:rFonts w:ascii="Cambria Math" w:hAnsi="Cambria Math"/>
                            <w:szCs w:val="22"/>
                          </w:rPr>
                        </m:ctrlPr>
                      </m:dPr>
                      <m:e>
                        <m:r>
                          <w:rPr>
                            <w:rFonts w:ascii="Cambria Math" w:hAnsi="Cambria Math"/>
                            <w:szCs w:val="22"/>
                          </w:rPr>
                          <m:t>e</m:t>
                        </m:r>
                      </m:e>
                    </m:d>
                  </m:e>
                </m:d>
              </m:e>
              <m:sup>
                <m:r>
                  <m:rPr>
                    <m:sty m:val="p"/>
                  </m:rPr>
                  <w:rPr>
                    <w:rFonts w:ascii="Cambria Math" w:hAnsi="Cambria Math"/>
                    <w:szCs w:val="22"/>
                  </w:rPr>
                  <m:t>2</m:t>
                </m:r>
              </m:sup>
            </m:sSup>
          </m:den>
        </m:f>
        <m:r>
          <m:rPr>
            <m:sty m:val="p"/>
          </m:rPr>
          <w:rPr>
            <w:rFonts w:ascii="Cambria Math" w:hAnsi="Cambria Math"/>
            <w:szCs w:val="22"/>
          </w:rPr>
          <m:t>v[</m:t>
        </m:r>
        <m:sSub>
          <m:sSubPr>
            <m:ctrlPr>
              <w:rPr>
                <w:rFonts w:ascii="Cambria Math" w:hAnsi="Cambria Math"/>
                <w:i/>
                <w:szCs w:val="22"/>
              </w:rPr>
            </m:ctrlPr>
          </m:sSubPr>
          <m:e>
            <m:r>
              <w:rPr>
                <w:rFonts w:ascii="Cambria Math" w:hAnsi="Cambria Math"/>
                <w:szCs w:val="22"/>
              </w:rPr>
              <m:t>z</m:t>
            </m:r>
          </m:e>
          <m:sub>
            <m:r>
              <w:rPr>
                <w:rFonts w:ascii="Cambria Math" w:hAnsi="Cambria Math"/>
                <w:szCs w:val="22"/>
              </w:rPr>
              <m:t>i</m:t>
            </m:r>
          </m:sub>
        </m:sSub>
        <m:r>
          <w:rPr>
            <w:rFonts w:ascii="Cambria Math" w:hAnsi="Cambria Math"/>
            <w:szCs w:val="22"/>
          </w:rPr>
          <m:t>-</m:t>
        </m:r>
        <m:acc>
          <m:accPr>
            <m:ctrlPr>
              <w:rPr>
                <w:rFonts w:ascii="Cambria Math" w:hAnsi="Cambria Math"/>
                <w:i/>
                <w:szCs w:val="22"/>
              </w:rPr>
            </m:ctrlPr>
          </m:accPr>
          <m:e>
            <m:r>
              <w:rPr>
                <w:rFonts w:ascii="Cambria Math" w:hAnsi="Cambria Math"/>
                <w:szCs w:val="22"/>
              </w:rPr>
              <m:t>θ</m:t>
            </m:r>
          </m:e>
        </m:acc>
        <m:sSub>
          <m:sSubPr>
            <m:ctrlPr>
              <w:rPr>
                <w:rFonts w:ascii="Cambria Math" w:hAnsi="Cambria Math"/>
                <w:i/>
                <w:szCs w:val="22"/>
              </w:rPr>
            </m:ctrlPr>
          </m:sSubPr>
          <m:e>
            <m:r>
              <w:rPr>
                <w:rFonts w:ascii="Cambria Math" w:hAnsi="Cambria Math"/>
                <w:szCs w:val="22"/>
              </w:rPr>
              <m:t>e</m:t>
            </m:r>
          </m:e>
          <m:sub>
            <m:r>
              <w:rPr>
                <w:rFonts w:ascii="Cambria Math" w:hAnsi="Cambria Math"/>
                <w:szCs w:val="22"/>
              </w:rPr>
              <m:t>i</m:t>
            </m:r>
          </m:sub>
        </m:sSub>
        <m:r>
          <m:rPr>
            <m:sty m:val="p"/>
          </m:rPr>
          <w:rPr>
            <w:rFonts w:ascii="Cambria Math" w:hAnsi="Cambria Math"/>
            <w:szCs w:val="22"/>
          </w:rPr>
          <m:t>]</m:t>
        </m:r>
      </m:oMath>
      <w:r w:rsidRPr="00B22407">
        <w:rPr>
          <w:szCs w:val="22"/>
        </w:rPr>
        <w:t xml:space="preserve"> </w:t>
      </w:r>
      <w:r w:rsidRPr="00B22407">
        <w:rPr>
          <w:szCs w:val="22"/>
        </w:rPr>
        <w:tab/>
      </w:r>
      <w:r w:rsidRPr="004B5B0D">
        <w:rPr>
          <w:szCs w:val="22"/>
        </w:rPr>
        <w:t>(11)</w:t>
      </w:r>
    </w:p>
    <w:p w14:paraId="6A46A27B" w14:textId="77777777" w:rsidR="00AE5A8D" w:rsidRPr="004B5B0D" w:rsidRDefault="00AE5A8D" w:rsidP="00AE5A8D">
      <w:pPr>
        <w:pStyle w:val="BodyText"/>
      </w:pPr>
      <w:r w:rsidRPr="004B5B0D">
        <w:rPr>
          <w:rFonts w:eastAsia="Calibri"/>
        </w:rPr>
        <w:t xml:space="preserve">where </w:t>
      </w:r>
      <m:oMath>
        <m:r>
          <m:rPr>
            <m:sty m:val="p"/>
          </m:rPr>
          <w:rPr>
            <w:rFonts w:ascii="Cambria Math" w:hAnsi="Cambria Math"/>
          </w:rPr>
          <m:t>v[⋅]</m:t>
        </m:r>
      </m:oMath>
      <w:r w:rsidRPr="004B5B0D">
        <w:t xml:space="preserve"> is an appropriate estimator of the sampling variance </w:t>
      </w:r>
      <w:r w:rsidRPr="004B5B0D">
        <w:rPr>
          <w:rFonts w:eastAsia="Calibri"/>
        </w:rPr>
        <w:t>of the quantity in the brackets (e.g., the bootstrap variance estimator</w:t>
      </w:r>
      <w:r>
        <w:rPr>
          <w:rFonts w:eastAsia="Calibri"/>
        </w:rPr>
        <w:t xml:space="preserve"> discussed in Section G</w:t>
      </w:r>
      <w:r w:rsidRPr="004B5B0D">
        <w:rPr>
          <w:rFonts w:eastAsia="Calibri"/>
        </w:rPr>
        <w:t>.3).</w:t>
      </w:r>
      <w:r w:rsidRPr="004B5B0D">
        <w:rPr>
          <w:rStyle w:val="FootnoteReference"/>
          <w:rFonts w:eastAsia="Calibri"/>
          <w:szCs w:val="22"/>
        </w:rPr>
        <w:footnoteReference w:id="7"/>
      </w:r>
      <w:r w:rsidRPr="004B5B0D">
        <w:rPr>
          <w:rFonts w:eastAsia="Calibri"/>
        </w:rPr>
        <w:t xml:space="preserve"> Commands for computing the</w:t>
      </w:r>
      <w:r w:rsidRPr="00B22407">
        <w:rPr>
          <w:rFonts w:eastAsia="Calibri"/>
        </w:rPr>
        <w:t xml:space="preserve"> point estimates, variances and the design effects for </w:t>
      </w:r>
      <m:oMath>
        <m:acc>
          <m:accPr>
            <m:ctrlPr>
              <w:rPr>
                <w:rFonts w:ascii="Cambria Math" w:hAnsi="Cambria Math"/>
                <w:i/>
              </w:rPr>
            </m:ctrlPr>
          </m:accPr>
          <m:e>
            <m:r>
              <w:rPr>
                <w:rFonts w:ascii="Cambria Math" w:hAnsi="Cambria Math"/>
              </w:rPr>
              <m:t>θ</m:t>
            </m:r>
          </m:e>
        </m:acc>
      </m:oMath>
      <w:r w:rsidRPr="00B22407">
        <w:t xml:space="preserve"> </w:t>
      </w:r>
      <w:r>
        <w:t xml:space="preserve">are </w:t>
      </w:r>
      <w:r w:rsidRPr="00B22407">
        <w:t xml:space="preserve">available in complex </w:t>
      </w:r>
      <w:r w:rsidRPr="005A74A1">
        <w:t>survey software using ratios</w:t>
      </w:r>
      <w:r>
        <w:t xml:space="preserve"> </w:t>
      </w:r>
      <w:r w:rsidRPr="005A74A1">
        <w:t xml:space="preserve">(e.g., </w:t>
      </w:r>
      <w:r w:rsidRPr="004B5B0D">
        <w:t>PROC SURVEYMEANS with RATIO statement in SAS, svy: ratio command in Stata, svyratio() function in R and computed statistic in WesVar). Specific instructions will be provided in the Wave 4 Methodology Report and Public Use File User’s Guide.</w:t>
      </w:r>
    </w:p>
    <w:p w14:paraId="32D42C44" w14:textId="77777777" w:rsidR="00AE5A8D" w:rsidRPr="004B5B0D" w:rsidRDefault="00AE5A8D" w:rsidP="00AE5A8D">
      <w:pPr>
        <w:pStyle w:val="BodyText"/>
      </w:pPr>
      <w:r w:rsidRPr="004B5B0D">
        <w:t>If the information of interest is available only at the individual level, on a per-employee basis (namely as a “</w:t>
      </w:r>
      <w:r w:rsidRPr="004B5B0D">
        <w:rPr>
          <w:i/>
        </w:rPr>
        <w:t>y</w:t>
      </w:r>
      <w:r w:rsidRPr="004B5B0D">
        <w:t>-type” variable in Equations 8 and 10), rather than at the worksite-level (as a “</w:t>
      </w:r>
      <w:r w:rsidRPr="004B5B0D">
        <w:rPr>
          <w:i/>
        </w:rPr>
        <w:t>z</w:t>
      </w:r>
      <w:r w:rsidRPr="004B5B0D">
        <w:t>-type” variable), then to follow the procedure descried above, it must first be scaled up to the worksite level. For instance, a worksite-level variable such as the total number of unionized employees in the worksite must first be created for the analysis.</w:t>
      </w:r>
    </w:p>
    <w:p w14:paraId="10B2EF8B" w14:textId="4BF722F8" w:rsidR="00AE5A8D" w:rsidRPr="004B5B0D" w:rsidRDefault="00AE5A8D" w:rsidP="00AE5A8D">
      <w:pPr>
        <w:pStyle w:val="BodyText"/>
      </w:pPr>
      <w:r w:rsidRPr="004B5B0D">
        <w:t>Alternatively, when using replication variance estimation methods, such as a bootstrap, a computational shortcut can be taken with the individual</w:t>
      </w:r>
      <w:r w:rsidR="00255948">
        <w:t>-</w:t>
      </w:r>
      <w:r w:rsidRPr="004B5B0D">
        <w:t xml:space="preserve">level </w:t>
      </w:r>
      <w:r w:rsidRPr="004B5B0D">
        <w:rPr>
          <w:i/>
        </w:rPr>
        <w:t>y</w:t>
      </w:r>
      <w:r w:rsidRPr="004B5B0D">
        <w:t xml:space="preserve">-type data. As is easily seen from Equation (10), the estimate </w:t>
      </w:r>
      <m:oMath>
        <m:acc>
          <m:accPr>
            <m:ctrlPr>
              <w:rPr>
                <w:rFonts w:ascii="Cambria Math" w:hAnsi="Cambria Math"/>
                <w:i/>
              </w:rPr>
            </m:ctrlPr>
          </m:accPr>
          <m:e>
            <m:r>
              <w:rPr>
                <w:rFonts w:ascii="Cambria Math" w:hAnsi="Cambria Math"/>
              </w:rPr>
              <m:t>θ</m:t>
            </m:r>
          </m:e>
        </m:acc>
      </m:oMath>
      <w:r w:rsidRPr="004B5B0D">
        <w:t xml:space="preserve"> can be thought of as a weighted mean of </w:t>
      </w:r>
      <w:r w:rsidRPr="004B5B0D">
        <w:rPr>
          <w:rFonts w:eastAsia="Calibri"/>
          <w:i/>
        </w:rPr>
        <w:t>y</w:t>
      </w:r>
      <w:r w:rsidRPr="004B5B0D">
        <w:rPr>
          <w:rFonts w:eastAsia="Calibri"/>
          <w:i/>
          <w:vertAlign w:val="subscript"/>
        </w:rPr>
        <w:t>i</w:t>
      </w:r>
      <w:r w:rsidRPr="004B5B0D">
        <w:rPr>
          <w:rFonts w:eastAsia="Calibri"/>
        </w:rPr>
        <w:t>,</w:t>
      </w:r>
      <w:r w:rsidRPr="004B5B0D">
        <w:t xml:space="preserve"> with the weights given by </w:t>
      </w:r>
      <m:oMath>
        <m:sSub>
          <m:sSubPr>
            <m:ctrlPr>
              <w:rPr>
                <w:rFonts w:ascii="Cambria Math" w:hAnsi="Cambria Math"/>
                <w:i/>
              </w:rPr>
            </m:ctrlPr>
          </m:sSubPr>
          <m:e>
            <m:r>
              <w:rPr>
                <w:rFonts w:ascii="Cambria Math" w:hAnsi="Cambria Math"/>
              </w:rPr>
              <m:t>w</m:t>
            </m:r>
          </m:e>
          <m:sub>
            <m:r>
              <w:rPr>
                <w:rFonts w:ascii="Cambria Math" w:hAnsi="Cambria Math"/>
              </w:rPr>
              <m:t>i</m:t>
            </m:r>
          </m:sub>
        </m:sSub>
        <m:sSub>
          <m:sSubPr>
            <m:ctrlPr>
              <w:rPr>
                <w:rFonts w:ascii="Cambria Math" w:hAnsi="Cambria Math"/>
                <w:i/>
              </w:rPr>
            </m:ctrlPr>
          </m:sSubPr>
          <m:e>
            <m:r>
              <w:rPr>
                <w:rFonts w:ascii="Cambria Math" w:hAnsi="Cambria Math"/>
              </w:rPr>
              <m:t>e</m:t>
            </m:r>
          </m:e>
          <m:sub>
            <m:r>
              <w:rPr>
                <w:rFonts w:ascii="Cambria Math" w:hAnsi="Cambria Math"/>
              </w:rPr>
              <m:t>i</m:t>
            </m:r>
          </m:sub>
        </m:sSub>
      </m:oMath>
      <w:r w:rsidRPr="004B5B0D">
        <w:t>. When the replicate values of</w:t>
      </w:r>
      <w:r w:rsidR="00255948">
        <w:t xml:space="preserve"> </w:t>
      </w:r>
      <m:oMath>
        <m:sSup>
          <m:sSupPr>
            <m:ctrlPr>
              <w:rPr>
                <w:rFonts w:ascii="Cambria Math" w:hAnsi="Cambria Math"/>
                <w:i/>
              </w:rPr>
            </m:ctrlPr>
          </m:sSupPr>
          <m:e>
            <m:acc>
              <m:accPr>
                <m:ctrlPr>
                  <w:rPr>
                    <w:rFonts w:ascii="Cambria Math" w:hAnsi="Cambria Math"/>
                    <w:i/>
                  </w:rPr>
                </m:ctrlPr>
              </m:accPr>
              <m:e>
                <m:r>
                  <w:rPr>
                    <w:rFonts w:ascii="Cambria Math" w:hAnsi="Cambria Math"/>
                  </w:rPr>
                  <m:t>θ</m:t>
                </m:r>
              </m:e>
            </m:acc>
          </m:e>
          <m:sup>
            <m:r>
              <w:rPr>
                <w:rFonts w:ascii="Cambria Math" w:hAnsi="Cambria Math"/>
              </w:rPr>
              <m:t>(r)</m:t>
            </m:r>
          </m:sup>
        </m:sSup>
      </m:oMath>
      <w:r w:rsidRPr="004B5B0D">
        <w:t xml:space="preserve"> necessary for variance estimation are being computed, the main weight </w:t>
      </w:r>
      <m:oMath>
        <m:sSub>
          <m:sSubPr>
            <m:ctrlPr>
              <w:rPr>
                <w:rFonts w:ascii="Cambria Math" w:hAnsi="Cambria Math"/>
                <w:i/>
              </w:rPr>
            </m:ctrlPr>
          </m:sSubPr>
          <m:e>
            <m:r>
              <w:rPr>
                <w:rFonts w:ascii="Cambria Math" w:hAnsi="Cambria Math"/>
              </w:rPr>
              <m:t>w</m:t>
            </m:r>
          </m:e>
          <m:sub>
            <m:r>
              <w:rPr>
                <w:rFonts w:ascii="Cambria Math" w:hAnsi="Cambria Math"/>
              </w:rPr>
              <m:t>i</m:t>
            </m:r>
          </m:sub>
        </m:sSub>
      </m:oMath>
      <w:r w:rsidRPr="004B5B0D">
        <w:t xml:space="preserve"> is being replaced by the </w:t>
      </w:r>
      <w:r w:rsidRPr="004B5B0D">
        <w:rPr>
          <w:i/>
        </w:rPr>
        <w:t>r</w:t>
      </w:r>
      <w:r w:rsidRPr="004B5B0D">
        <w:t xml:space="preserve">-th replicate weight </w:t>
      </w:r>
      <m:oMath>
        <m:sSup>
          <m:sSupPr>
            <m:ctrlPr>
              <w:rPr>
                <w:rFonts w:ascii="Cambria Math" w:hAnsi="Cambria Math"/>
                <w:i/>
              </w:rPr>
            </m:ctrlPr>
          </m:sSupPr>
          <m:e>
            <m:sSub>
              <m:sSubPr>
                <m:ctrlPr>
                  <w:rPr>
                    <w:rFonts w:ascii="Cambria Math" w:hAnsi="Cambria Math"/>
                    <w:i/>
                  </w:rPr>
                </m:ctrlPr>
              </m:sSubPr>
              <m:e>
                <m:r>
                  <w:rPr>
                    <w:rFonts w:ascii="Cambria Math" w:hAnsi="Cambria Math"/>
                  </w:rPr>
                  <m:t>w</m:t>
                </m:r>
              </m:e>
              <m:sub>
                <m:r>
                  <w:rPr>
                    <w:rFonts w:ascii="Cambria Math" w:hAnsi="Cambria Math"/>
                  </w:rPr>
                  <m:t>i</m:t>
                </m:r>
              </m:sub>
            </m:sSub>
          </m:e>
          <m:sup>
            <m:r>
              <w:rPr>
                <w:rFonts w:ascii="Cambria Math" w:hAnsi="Cambria Math"/>
              </w:rPr>
              <m:t>(r)</m:t>
            </m:r>
          </m:sup>
        </m:sSup>
      </m:oMath>
      <w:r w:rsidRPr="004B5B0D">
        <w:t xml:space="preserve">. Yet the expression (10) can still be interpreted as the weighted mean, now with the weight given by the product </w:t>
      </w:r>
      <m:oMath>
        <m:sSup>
          <m:sSupPr>
            <m:ctrlPr>
              <w:rPr>
                <w:rFonts w:ascii="Cambria Math" w:hAnsi="Cambria Math"/>
                <w:i/>
              </w:rPr>
            </m:ctrlPr>
          </m:sSupPr>
          <m:e>
            <m:sSub>
              <m:sSubPr>
                <m:ctrlPr>
                  <w:rPr>
                    <w:rFonts w:ascii="Cambria Math" w:hAnsi="Cambria Math"/>
                    <w:i/>
                  </w:rPr>
                </m:ctrlPr>
              </m:sSubPr>
              <m:e>
                <m:r>
                  <w:rPr>
                    <w:rFonts w:ascii="Cambria Math" w:hAnsi="Cambria Math"/>
                  </w:rPr>
                  <m:t>w</m:t>
                </m:r>
              </m:e>
              <m:sub>
                <m:r>
                  <w:rPr>
                    <w:rFonts w:ascii="Cambria Math" w:hAnsi="Cambria Math"/>
                  </w:rPr>
                  <m:t>i</m:t>
                </m:r>
              </m:sub>
            </m:sSub>
          </m:e>
          <m:sup>
            <m:r>
              <w:rPr>
                <w:rFonts w:ascii="Cambria Math" w:hAnsi="Cambria Math"/>
              </w:rPr>
              <m:t>(r)</m:t>
            </m:r>
          </m:sup>
        </m:sSup>
        <m:sSub>
          <m:sSubPr>
            <m:ctrlPr>
              <w:rPr>
                <w:rFonts w:ascii="Cambria Math" w:hAnsi="Cambria Math"/>
                <w:i/>
              </w:rPr>
            </m:ctrlPr>
          </m:sSubPr>
          <m:e>
            <m:r>
              <w:rPr>
                <w:rFonts w:ascii="Cambria Math" w:hAnsi="Cambria Math"/>
              </w:rPr>
              <m:t>e</m:t>
            </m:r>
          </m:e>
          <m:sub>
            <m:r>
              <w:rPr>
                <w:rFonts w:ascii="Cambria Math" w:hAnsi="Cambria Math"/>
              </w:rPr>
              <m:t>i</m:t>
            </m:r>
          </m:sub>
        </m:sSub>
      </m:oMath>
      <w:r w:rsidRPr="004B5B0D">
        <w:t>. Hence, both the main sampling weight and the replicate weights can be multiplied by the number of employees (</w:t>
      </w:r>
      <w:r w:rsidRPr="004B5B0D">
        <w:rPr>
          <w:i/>
        </w:rPr>
        <w:t>e</w:t>
      </w:r>
      <w:r w:rsidRPr="004B5B0D">
        <w:rPr>
          <w:i/>
          <w:vertAlign w:val="subscript"/>
        </w:rPr>
        <w:t>i</w:t>
      </w:r>
      <w:r w:rsidRPr="004B5B0D">
        <w:t xml:space="preserve">), and the statistic of interest and its standard error can be computed as the weighted mean of </w:t>
      </w:r>
      <w:r w:rsidRPr="004B5B0D">
        <w:rPr>
          <w:rFonts w:eastAsia="Calibri"/>
          <w:i/>
        </w:rPr>
        <w:t>y</w:t>
      </w:r>
      <w:r w:rsidRPr="004B5B0D">
        <w:rPr>
          <w:rFonts w:eastAsia="Calibri"/>
          <w:i/>
          <w:vertAlign w:val="subscript"/>
        </w:rPr>
        <w:t>i</w:t>
      </w:r>
      <w:r w:rsidRPr="004B5B0D">
        <w:t xml:space="preserve"> with the doubly</w:t>
      </w:r>
      <w:r w:rsidR="00255948">
        <w:t xml:space="preserve"> </w:t>
      </w:r>
      <w:r w:rsidRPr="004B5B0D">
        <w:t>expanded weight (</w:t>
      </w:r>
      <m:oMath>
        <m:sSub>
          <m:sSubPr>
            <m:ctrlPr>
              <w:rPr>
                <w:rFonts w:ascii="Cambria Math" w:hAnsi="Cambria Math"/>
                <w:i/>
              </w:rPr>
            </m:ctrlPr>
          </m:sSubPr>
          <m:e>
            <m:r>
              <w:rPr>
                <w:rFonts w:ascii="Cambria Math" w:hAnsi="Cambria Math"/>
              </w:rPr>
              <m:t>w</m:t>
            </m:r>
          </m:e>
          <m:sub>
            <m:r>
              <w:rPr>
                <w:rFonts w:ascii="Cambria Math" w:hAnsi="Cambria Math"/>
              </w:rPr>
              <m:t>i</m:t>
            </m:r>
          </m:sub>
        </m:sSub>
        <m:sSub>
          <m:sSubPr>
            <m:ctrlPr>
              <w:rPr>
                <w:rFonts w:ascii="Cambria Math" w:hAnsi="Cambria Math"/>
                <w:i/>
              </w:rPr>
            </m:ctrlPr>
          </m:sSubPr>
          <m:e>
            <m:r>
              <w:rPr>
                <w:rFonts w:ascii="Cambria Math" w:hAnsi="Cambria Math"/>
              </w:rPr>
              <m:t>e</m:t>
            </m:r>
          </m:e>
          <m:sub>
            <m:r>
              <w:rPr>
                <w:rFonts w:ascii="Cambria Math" w:hAnsi="Cambria Math"/>
              </w:rPr>
              <m:t>i</m:t>
            </m:r>
          </m:sub>
        </m:sSub>
      </m:oMath>
      <w:r w:rsidRPr="004B5B0D">
        <w:t xml:space="preserve">), rather than as the ratio </w:t>
      </w:r>
      <m:oMath>
        <m:r>
          <m:rPr>
            <m:sty m:val="p"/>
          </m:rPr>
          <w:rPr>
            <w:rFonts w:ascii="Cambria Math" w:eastAsia="Calibri" w:hAnsi="Cambria Math"/>
          </w:rPr>
          <m:t>t</m:t>
        </m:r>
        <m:d>
          <m:dPr>
            <m:begChr m:val="["/>
            <m:endChr m:val="]"/>
            <m:ctrlPr>
              <w:rPr>
                <w:rFonts w:ascii="Cambria Math" w:eastAsia="Calibri" w:hAnsi="Cambria Math"/>
                <w:i/>
              </w:rPr>
            </m:ctrlPr>
          </m:dPr>
          <m:e>
            <m:r>
              <w:rPr>
                <w:rFonts w:ascii="Cambria Math" w:eastAsia="Calibri" w:hAnsi="Cambria Math"/>
              </w:rPr>
              <m:t>ey</m:t>
            </m:r>
          </m:e>
        </m:d>
        <m:r>
          <w:rPr>
            <w:rFonts w:ascii="Cambria Math" w:eastAsia="Calibri" w:hAnsi="Cambria Math"/>
          </w:rPr>
          <m:t>/</m:t>
        </m:r>
        <m:r>
          <m:rPr>
            <m:sty m:val="p"/>
          </m:rPr>
          <w:rPr>
            <w:rFonts w:ascii="Cambria Math" w:eastAsia="Calibri" w:hAnsi="Cambria Math"/>
          </w:rPr>
          <m:t>t</m:t>
        </m:r>
        <m:r>
          <w:rPr>
            <w:rFonts w:ascii="Cambria Math" w:eastAsia="Calibri" w:hAnsi="Cambria Math"/>
          </w:rPr>
          <m:t>[e]</m:t>
        </m:r>
      </m:oMath>
      <w:r w:rsidRPr="004B5B0D">
        <w:t>. Again, this is easily implemented with complex survey-aware software (svy: mean in Stata; PROC SURVEYMEANS in SAS; svymean in R; mean in WesVar).</w:t>
      </w:r>
    </w:p>
    <w:p w14:paraId="3B9C5BDF" w14:textId="77777777" w:rsidR="00AE5A8D" w:rsidRPr="004B5B0D" w:rsidRDefault="00AE5A8D" w:rsidP="00AE5A8D">
      <w:pPr>
        <w:pStyle w:val="BodyText"/>
      </w:pPr>
      <w:r w:rsidRPr="004B5B0D">
        <w:t xml:space="preserve">The drawback of this computational shortcut is that it gives the wrong design effect. In terms of the equivalent variance expression (11), the variance that needs to be computed is </w:t>
      </w:r>
      <m:oMath>
        <m:r>
          <m:rPr>
            <m:sty m:val="p"/>
          </m:rPr>
          <w:rPr>
            <w:rFonts w:ascii="Cambria Math" w:hAnsi="Cambria Math"/>
          </w:rPr>
          <m:t>v</m:t>
        </m:r>
        <m:d>
          <m:dPr>
            <m:begChr m:val="["/>
            <m:endChr m:val="]"/>
            <m:ctrlPr>
              <w:rPr>
                <w:rFonts w:ascii="Cambria Math" w:hAnsi="Cambria Math"/>
              </w:rPr>
            </m:ctrlPr>
          </m:dPr>
          <m:e>
            <m:acc>
              <m:accPr>
                <m:ctrlPr>
                  <w:rPr>
                    <w:rFonts w:ascii="Cambria Math" w:hAnsi="Cambria Math"/>
                    <w:i/>
                  </w:rPr>
                </m:ctrlPr>
              </m:accPr>
              <m:e>
                <m:r>
                  <w:rPr>
                    <w:rFonts w:ascii="Cambria Math" w:hAnsi="Cambria Math"/>
                  </w:rPr>
                  <m:t>θ</m:t>
                </m:r>
              </m:e>
            </m:acc>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d>
                  <m:dPr>
                    <m:ctrlPr>
                      <w:rPr>
                        <w:rFonts w:ascii="Cambria Math" w:hAnsi="Cambria Math"/>
                      </w:rPr>
                    </m:ctrlPr>
                  </m:dPr>
                  <m:e>
                    <m:r>
                      <m:rPr>
                        <m:sty m:val="p"/>
                      </m:rPr>
                      <w:rPr>
                        <w:rFonts w:ascii="Cambria Math" w:hAnsi="Cambria Math"/>
                      </w:rPr>
                      <m:t>t</m:t>
                    </m:r>
                    <m:d>
                      <m:dPr>
                        <m:begChr m:val="["/>
                        <m:endChr m:val="]"/>
                        <m:ctrlPr>
                          <w:rPr>
                            <w:rFonts w:ascii="Cambria Math" w:hAnsi="Cambria Math"/>
                          </w:rPr>
                        </m:ctrlPr>
                      </m:dPr>
                      <m:e>
                        <m:r>
                          <w:rPr>
                            <w:rFonts w:ascii="Cambria Math" w:hAnsi="Cambria Math"/>
                          </w:rPr>
                          <m:t>e</m:t>
                        </m:r>
                      </m:e>
                    </m:d>
                  </m:e>
                </m:d>
              </m:e>
              <m:sup>
                <m:r>
                  <m:rPr>
                    <m:sty m:val="p"/>
                  </m:rPr>
                  <w:rPr>
                    <w:rFonts w:ascii="Cambria Math" w:hAnsi="Cambria Math"/>
                  </w:rPr>
                  <m:t>2</m:t>
                </m:r>
              </m:sup>
            </m:sSup>
          </m:den>
        </m:f>
        <m:r>
          <m:rPr>
            <m:sty m:val="p"/>
          </m:rPr>
          <w:rPr>
            <w:rFonts w:ascii="Cambria Math" w:hAnsi="Cambria Math"/>
          </w:rPr>
          <m:t>v</m:t>
        </m:r>
        <m:d>
          <m:dPr>
            <m:begChr m:val="["/>
            <m:endChr m:val="]"/>
            <m:ctrlPr>
              <w:rPr>
                <w:rFonts w:ascii="Cambria Math" w:hAnsi="Cambria Math"/>
              </w:rPr>
            </m:ctrlPr>
          </m:dPr>
          <m:e>
            <m:sSub>
              <m:sSubPr>
                <m:ctrlPr>
                  <w:rPr>
                    <w:rFonts w:ascii="Cambria Math" w:hAnsi="Cambria Math"/>
                    <w:i/>
                  </w:rPr>
                </m:ctrlPr>
              </m:sSubPr>
              <m:e>
                <m:r>
                  <w:rPr>
                    <w:rFonts w:ascii="Cambria Math" w:hAnsi="Cambria Math"/>
                  </w:rPr>
                  <m:t>y</m:t>
                </m:r>
              </m:e>
              <m:sub>
                <m:r>
                  <w:rPr>
                    <w:rFonts w:ascii="Cambria Math" w:hAnsi="Cambria Math"/>
                  </w:rPr>
                  <m:t>i</m:t>
                </m:r>
              </m:sub>
            </m:sSub>
            <m:sSub>
              <m:sSubPr>
                <m:ctrlPr>
                  <w:rPr>
                    <w:rFonts w:ascii="Cambria Math" w:hAnsi="Cambria Math"/>
                    <w:i/>
                  </w:rPr>
                </m:ctrlPr>
              </m:sSubPr>
              <m:e>
                <m:r>
                  <w:rPr>
                    <w:rFonts w:ascii="Cambria Math" w:hAnsi="Cambria Math"/>
                  </w:rPr>
                  <m:t>e</m:t>
                </m:r>
              </m:e>
              <m:sub>
                <m:r>
                  <w:rPr>
                    <w:rFonts w:ascii="Cambria Math" w:hAnsi="Cambria Math"/>
                  </w:rPr>
                  <m:t>i</m:t>
                </m:r>
              </m:sub>
            </m:sSub>
            <m:r>
              <w:rPr>
                <w:rFonts w:ascii="Cambria Math" w:hAnsi="Cambria Math"/>
              </w:rPr>
              <m:t>-</m:t>
            </m:r>
            <m:acc>
              <m:accPr>
                <m:ctrlPr>
                  <w:rPr>
                    <w:rFonts w:ascii="Cambria Math" w:hAnsi="Cambria Math"/>
                    <w:i/>
                  </w:rPr>
                </m:ctrlPr>
              </m:accPr>
              <m:e>
                <m:r>
                  <w:rPr>
                    <w:rFonts w:ascii="Cambria Math" w:hAnsi="Cambria Math"/>
                  </w:rPr>
                  <m:t>θ</m:t>
                </m:r>
              </m:e>
            </m:acc>
            <m:sSub>
              <m:sSubPr>
                <m:ctrlPr>
                  <w:rPr>
                    <w:rFonts w:ascii="Cambria Math" w:hAnsi="Cambria Math"/>
                    <w:i/>
                  </w:rPr>
                </m:ctrlPr>
              </m:sSubPr>
              <m:e>
                <m:r>
                  <w:rPr>
                    <w:rFonts w:ascii="Cambria Math" w:hAnsi="Cambria Math"/>
                  </w:rPr>
                  <m:t>e</m:t>
                </m:r>
              </m:e>
              <m:sub>
                <m:r>
                  <w:rPr>
                    <w:rFonts w:ascii="Cambria Math" w:hAnsi="Cambria Math"/>
                  </w:rPr>
                  <m:t>i</m:t>
                </m:r>
              </m:sub>
            </m:sSub>
          </m:e>
        </m:d>
      </m:oMath>
      <w:r w:rsidRPr="004B5B0D">
        <w:t xml:space="preserve">. The shortcut procedure essentially factors out the employment </w:t>
      </w:r>
      <m:oMath>
        <m:sSub>
          <m:sSubPr>
            <m:ctrlPr>
              <w:rPr>
                <w:rFonts w:ascii="Cambria Math" w:hAnsi="Cambria Math"/>
                <w:i/>
              </w:rPr>
            </m:ctrlPr>
          </m:sSubPr>
          <m:e>
            <m:r>
              <w:rPr>
                <w:rFonts w:ascii="Cambria Math" w:hAnsi="Cambria Math"/>
              </w:rPr>
              <m:t>e</m:t>
            </m:r>
          </m:e>
          <m:sub>
            <m:r>
              <w:rPr>
                <w:rFonts w:ascii="Cambria Math" w:hAnsi="Cambria Math"/>
              </w:rPr>
              <m:t>i</m:t>
            </m:r>
          </m:sub>
        </m:sSub>
      </m:oMath>
      <w:r w:rsidRPr="004B5B0D">
        <w:t xml:space="preserve"> from the above procedure. However, when the variance under simple random sampling—which is the denominator of the design </w:t>
      </w:r>
      <w:r w:rsidRPr="004B5B0D">
        <w:lastRenderedPageBreak/>
        <w:t xml:space="preserve">effect—is being computed, the weights are ignored as not applicable, leading to an incorrect expression </w:t>
      </w:r>
      <m:oMath>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d>
                  <m:dPr>
                    <m:ctrlPr>
                      <w:rPr>
                        <w:rFonts w:ascii="Cambria Math" w:hAnsi="Cambria Math"/>
                      </w:rPr>
                    </m:ctrlPr>
                  </m:dPr>
                  <m:e>
                    <m:r>
                      <m:rPr>
                        <m:sty m:val="p"/>
                      </m:rPr>
                      <w:rPr>
                        <w:rFonts w:ascii="Cambria Math" w:hAnsi="Cambria Math"/>
                      </w:rPr>
                      <m:t>t</m:t>
                    </m:r>
                    <m:d>
                      <m:dPr>
                        <m:begChr m:val="["/>
                        <m:endChr m:val="]"/>
                        <m:ctrlPr>
                          <w:rPr>
                            <w:rFonts w:ascii="Cambria Math" w:hAnsi="Cambria Math"/>
                          </w:rPr>
                        </m:ctrlPr>
                      </m:dPr>
                      <m:e>
                        <m:r>
                          <w:rPr>
                            <w:rFonts w:ascii="Cambria Math" w:hAnsi="Cambria Math"/>
                          </w:rPr>
                          <m:t>e</m:t>
                        </m:r>
                      </m:e>
                    </m:d>
                  </m:e>
                </m:d>
              </m:e>
              <m:sup>
                <m:r>
                  <m:rPr>
                    <m:sty m:val="p"/>
                  </m:rPr>
                  <w:rPr>
                    <w:rFonts w:ascii="Cambria Math" w:hAnsi="Cambria Math"/>
                  </w:rPr>
                  <m:t>2</m:t>
                </m:r>
              </m:sup>
            </m:sSup>
          </m:den>
        </m:f>
        <m:r>
          <m:rPr>
            <m:sty m:val="p"/>
          </m:rPr>
          <w:rPr>
            <w:rFonts w:ascii="Cambria Math" w:hAnsi="Cambria Math"/>
          </w:rPr>
          <m:t>v</m:t>
        </m:r>
        <m:d>
          <m:dPr>
            <m:begChr m:val="["/>
            <m:endChr m:val="]"/>
            <m:ctrlPr>
              <w:rPr>
                <w:rFonts w:ascii="Cambria Math" w:hAnsi="Cambria Math"/>
              </w:rPr>
            </m:ctrlPr>
          </m:dPr>
          <m:e>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acc>
              <m:accPr>
                <m:ctrlPr>
                  <w:rPr>
                    <w:rFonts w:ascii="Cambria Math" w:hAnsi="Cambria Math"/>
                    <w:i/>
                  </w:rPr>
                </m:ctrlPr>
              </m:accPr>
              <m:e>
                <m:r>
                  <w:rPr>
                    <w:rFonts w:ascii="Cambria Math" w:hAnsi="Cambria Math"/>
                  </w:rPr>
                  <m:t>θ</m:t>
                </m:r>
              </m:e>
            </m:acc>
          </m:e>
        </m:d>
      </m:oMath>
      <w:r w:rsidRPr="004B5B0D">
        <w:t xml:space="preserve">. </w:t>
      </w:r>
    </w:p>
    <w:p w14:paraId="787D5293" w14:textId="77777777" w:rsidR="00AE5A8D" w:rsidRPr="004B5B0D" w:rsidRDefault="00AE5A8D" w:rsidP="00AE5A8D">
      <w:pPr>
        <w:spacing w:after="200"/>
        <w:rPr>
          <w:szCs w:val="22"/>
        </w:rPr>
      </w:pPr>
      <w:r w:rsidRPr="004B5B0D">
        <w:rPr>
          <w:szCs w:val="22"/>
        </w:rPr>
        <w:t xml:space="preserve">Another way to explain the problem is to note that using the doubly expanded weight </w:t>
      </w:r>
      <m:oMath>
        <m:sSub>
          <m:sSubPr>
            <m:ctrlPr>
              <w:rPr>
                <w:rFonts w:ascii="Cambria Math" w:hAnsi="Cambria Math"/>
                <w:i/>
                <w:szCs w:val="22"/>
              </w:rPr>
            </m:ctrlPr>
          </m:sSubPr>
          <m:e>
            <m:r>
              <w:rPr>
                <w:rFonts w:ascii="Cambria Math" w:hAnsi="Cambria Math"/>
                <w:szCs w:val="22"/>
              </w:rPr>
              <m:t>w</m:t>
            </m:r>
          </m:e>
          <m:sub>
            <m:r>
              <w:rPr>
                <w:rFonts w:ascii="Cambria Math" w:hAnsi="Cambria Math"/>
                <w:szCs w:val="22"/>
              </w:rPr>
              <m:t>i</m:t>
            </m:r>
          </m:sub>
        </m:sSub>
        <m:sSub>
          <m:sSubPr>
            <m:ctrlPr>
              <w:rPr>
                <w:rFonts w:ascii="Cambria Math" w:hAnsi="Cambria Math"/>
                <w:i/>
                <w:szCs w:val="22"/>
              </w:rPr>
            </m:ctrlPr>
          </m:sSubPr>
          <m:e>
            <m:r>
              <w:rPr>
                <w:rFonts w:ascii="Cambria Math" w:hAnsi="Cambria Math"/>
                <w:szCs w:val="22"/>
              </w:rPr>
              <m:t>e</m:t>
            </m:r>
          </m:e>
          <m:sub>
            <m:r>
              <w:rPr>
                <w:rFonts w:ascii="Cambria Math" w:hAnsi="Cambria Math"/>
                <w:szCs w:val="22"/>
              </w:rPr>
              <m:t>i</m:t>
            </m:r>
          </m:sub>
        </m:sSub>
      </m:oMath>
      <w:r w:rsidRPr="004B5B0D">
        <w:rPr>
          <w:szCs w:val="22"/>
        </w:rPr>
        <w:t xml:space="preserve"> implies a sampling design in which one </w:t>
      </w:r>
      <w:r w:rsidRPr="00AE5A8D">
        <w:rPr>
          <w:rStyle w:val="BodyTextChar"/>
        </w:rPr>
        <w:t xml:space="preserve">observation on an employee is taken from each establishment. However, this is an incorrect design specification; a data collection in which a worksite-level variable (number of unionized employees) is being observed should instead be interpreted as a one-stage cluster design, in which all employees of the worksite i are observed, and their characteristic of interest </w:t>
      </w:r>
      <w:r w:rsidRPr="00AE5A8D">
        <w:rPr>
          <w:rStyle w:val="BodyTextChar"/>
          <w:rFonts w:eastAsia="Calibri"/>
        </w:rPr>
        <w:t>yi</w:t>
      </w:r>
      <w:r w:rsidRPr="00AE5A8D">
        <w:rPr>
          <w:rStyle w:val="BodyTextChar"/>
        </w:rPr>
        <w:t xml:space="preserve"> (such as union membership) is measured. For this reason, the use of the doubly expanded weights </w:t>
      </w:r>
      <m:oMath>
        <m:sSub>
          <m:sSubPr>
            <m:ctrlPr>
              <w:rPr>
                <w:rStyle w:val="BodyTextChar"/>
                <w:rFonts w:ascii="Cambria Math" w:hAnsi="Cambria Math"/>
              </w:rPr>
            </m:ctrlPr>
          </m:sSubPr>
          <m:e>
            <m:r>
              <w:rPr>
                <w:rStyle w:val="BodyTextChar"/>
                <w:rFonts w:ascii="Cambria Math" w:hAnsi="Cambria Math"/>
              </w:rPr>
              <m:t>w</m:t>
            </m:r>
          </m:e>
          <m:sub>
            <m:r>
              <w:rPr>
                <w:rStyle w:val="BodyTextChar"/>
                <w:rFonts w:ascii="Cambria Math" w:hAnsi="Cambria Math"/>
              </w:rPr>
              <m:t>i</m:t>
            </m:r>
          </m:sub>
        </m:sSub>
        <m:sSub>
          <m:sSubPr>
            <m:ctrlPr>
              <w:rPr>
                <w:rStyle w:val="BodyTextChar"/>
                <w:rFonts w:ascii="Cambria Math" w:hAnsi="Cambria Math"/>
              </w:rPr>
            </m:ctrlPr>
          </m:sSubPr>
          <m:e>
            <m:r>
              <w:rPr>
                <w:rStyle w:val="BodyTextChar"/>
                <w:rFonts w:ascii="Cambria Math" w:hAnsi="Cambria Math"/>
              </w:rPr>
              <m:t>e</m:t>
            </m:r>
          </m:e>
          <m:sub>
            <m:r>
              <w:rPr>
                <w:rStyle w:val="BodyTextChar"/>
                <w:rFonts w:ascii="Cambria Math" w:hAnsi="Cambria Math"/>
              </w:rPr>
              <m:t>i</m:t>
            </m:r>
          </m:sub>
        </m:sSub>
      </m:oMath>
      <w:r w:rsidRPr="00AE5A8D">
        <w:rPr>
          <w:rStyle w:val="BodyTextChar"/>
        </w:rPr>
        <w:t xml:space="preserve"> and their replicate analogues </w:t>
      </w:r>
      <m:oMath>
        <m:sSubSup>
          <m:sSubSupPr>
            <m:ctrlPr>
              <w:rPr>
                <w:rStyle w:val="BodyTextChar"/>
                <w:rFonts w:ascii="Cambria Math" w:hAnsi="Cambria Math"/>
              </w:rPr>
            </m:ctrlPr>
          </m:sSubSupPr>
          <m:e>
            <m:r>
              <w:rPr>
                <w:rStyle w:val="BodyTextChar"/>
                <w:rFonts w:ascii="Cambria Math" w:hAnsi="Cambria Math"/>
              </w:rPr>
              <m:t>w</m:t>
            </m:r>
          </m:e>
          <m:sub>
            <m:r>
              <w:rPr>
                <w:rStyle w:val="BodyTextChar"/>
                <w:rFonts w:ascii="Cambria Math" w:hAnsi="Cambria Math"/>
              </w:rPr>
              <m:t>i</m:t>
            </m:r>
          </m:sub>
          <m:sup>
            <m:r>
              <w:rPr>
                <w:rStyle w:val="BodyTextChar"/>
                <w:rFonts w:ascii="Cambria Math" w:hAnsi="Cambria Math"/>
              </w:rPr>
              <m:t>(r)</m:t>
            </m:r>
          </m:sup>
        </m:sSubSup>
        <m:sSub>
          <m:sSubPr>
            <m:ctrlPr>
              <w:rPr>
                <w:rStyle w:val="BodyTextChar"/>
                <w:rFonts w:ascii="Cambria Math" w:hAnsi="Cambria Math"/>
              </w:rPr>
            </m:ctrlPr>
          </m:sSubPr>
          <m:e>
            <m:r>
              <w:rPr>
                <w:rStyle w:val="BodyTextChar"/>
                <w:rFonts w:ascii="Cambria Math" w:hAnsi="Cambria Math"/>
              </w:rPr>
              <m:t>e</m:t>
            </m:r>
          </m:e>
          <m:sub>
            <m:r>
              <w:rPr>
                <w:rStyle w:val="BodyTextChar"/>
                <w:rFonts w:ascii="Cambria Math" w:hAnsi="Cambria Math"/>
              </w:rPr>
              <m:t>i</m:t>
            </m:r>
          </m:sub>
        </m:sSub>
      </m:oMath>
      <w:r w:rsidRPr="00AE5A8D">
        <w:rPr>
          <w:rStyle w:val="BodyTextChar"/>
        </w:rPr>
        <w:t xml:space="preserve"> should be treated with caution, and denominators of the design effects may need to be calculated separately by the analyst</w:t>
      </w:r>
      <w:r w:rsidRPr="004B5B0D">
        <w:rPr>
          <w:szCs w:val="22"/>
        </w:rPr>
        <w:t xml:space="preserve"> working with the data, rather than taken from the software defaults. Examples of the problem, as well as specific instructions for correct calculations, will be provided in the Wave 4 Methodology Report and Public Use File User’s Guide.</w:t>
      </w:r>
    </w:p>
    <w:p w14:paraId="7AD5C610" w14:textId="77777777" w:rsidR="00AE5A8D" w:rsidRDefault="00AE5A8D" w:rsidP="00AE5A8D">
      <w:pPr>
        <w:rPr>
          <w:rFonts w:ascii="Arial" w:hAnsi="Arial" w:cs="Arial"/>
          <w:b/>
          <w:bCs/>
          <w:iCs/>
          <w:color w:val="000000" w:themeColor="text1"/>
          <w:szCs w:val="28"/>
        </w:rPr>
      </w:pPr>
      <w:r>
        <w:br w:type="page"/>
      </w:r>
    </w:p>
    <w:p w14:paraId="761C4CF8" w14:textId="77777777" w:rsidR="00AE5A8D" w:rsidRPr="00344632" w:rsidRDefault="00AE5A8D" w:rsidP="00AE5A8D">
      <w:pPr>
        <w:pStyle w:val="Heading2"/>
      </w:pPr>
      <w:r>
        <w:lastRenderedPageBreak/>
        <w:t>References</w:t>
      </w:r>
    </w:p>
    <w:p w14:paraId="36C1BB5B" w14:textId="77777777" w:rsidR="00AE5A8D" w:rsidRDefault="00AE5A8D" w:rsidP="00AE5A8D">
      <w:pPr>
        <w:ind w:left="360" w:hanging="360"/>
        <w:rPr>
          <w:szCs w:val="22"/>
        </w:rPr>
      </w:pPr>
      <w:r w:rsidRPr="00E16C4C">
        <w:rPr>
          <w:szCs w:val="22"/>
        </w:rPr>
        <w:t xml:space="preserve">AAPOR (American Association for Public Opinion Research). 2010. </w:t>
      </w:r>
      <w:r w:rsidRPr="00E16C4C">
        <w:rPr>
          <w:i/>
          <w:szCs w:val="22"/>
        </w:rPr>
        <w:t>New Considerations for Survey Researchers When Planning and Conducting RDD Telephone Surveys in the U.S. with Respondents Reached via Cell Phone Numbers. Final Report of the AAPOR Cell Phone Task Force.</w:t>
      </w:r>
      <w:r w:rsidRPr="00E16C4C">
        <w:rPr>
          <w:szCs w:val="22"/>
        </w:rPr>
        <w:t xml:space="preserve"> Oakbrook Terrace, IL: American Association for Public Opinion Research.</w:t>
      </w:r>
    </w:p>
    <w:p w14:paraId="413D763D" w14:textId="77777777" w:rsidR="00AE5A8D" w:rsidRPr="00C93CB9" w:rsidRDefault="00AE5A8D" w:rsidP="00AE5A8D">
      <w:pPr>
        <w:pStyle w:val="BodyText"/>
        <w:ind w:left="360" w:hanging="360"/>
        <w:rPr>
          <w:szCs w:val="22"/>
        </w:rPr>
      </w:pPr>
      <w:r w:rsidRPr="00C93CB9">
        <w:rPr>
          <w:szCs w:val="22"/>
        </w:rPr>
        <w:t xml:space="preserve">Daley, Kelly, Courtney Kennedy, Marci Schalk, Julie Pacer, Allison Ackermann, Alyssa Pozniak, and Jacob Klerman. 2013. </w:t>
      </w:r>
      <w:r w:rsidRPr="00255948">
        <w:rPr>
          <w:i/>
          <w:szCs w:val="22"/>
        </w:rPr>
        <w:t>Family and Medical Leave in 2012: Methodology Report.</w:t>
      </w:r>
      <w:r w:rsidRPr="00C93CB9">
        <w:rPr>
          <w:szCs w:val="22"/>
        </w:rPr>
        <w:t xml:space="preserve"> Cambridge, MA: Abt Associates. </w:t>
      </w:r>
      <w:hyperlink r:id="rId33" w:history="1">
        <w:r w:rsidRPr="00C93CB9">
          <w:t>http://www.dol.gov/asp/evaluation/fmla/FMLA-Methodology-Report-Appendices.pdf</w:t>
        </w:r>
      </w:hyperlink>
      <w:r w:rsidRPr="00C93CB9">
        <w:rPr>
          <w:szCs w:val="22"/>
        </w:rPr>
        <w:t xml:space="preserve">. </w:t>
      </w:r>
    </w:p>
    <w:p w14:paraId="6DEDD661" w14:textId="77777777" w:rsidR="00AE5A8D" w:rsidRPr="00C93CB9" w:rsidRDefault="00AE5A8D" w:rsidP="00AE5A8D">
      <w:pPr>
        <w:pStyle w:val="BodyText"/>
        <w:ind w:left="360" w:hanging="360"/>
        <w:rPr>
          <w:szCs w:val="22"/>
        </w:rPr>
      </w:pPr>
      <w:r w:rsidRPr="00C93CB9">
        <w:rPr>
          <w:szCs w:val="22"/>
        </w:rPr>
        <w:t>Kolenikov, S</w:t>
      </w:r>
      <w:r>
        <w:rPr>
          <w:szCs w:val="22"/>
        </w:rPr>
        <w:t>tanislav</w:t>
      </w:r>
      <w:r w:rsidRPr="00C93CB9">
        <w:rPr>
          <w:szCs w:val="22"/>
        </w:rPr>
        <w:t xml:space="preserve">. 2010. “Resampling Variance Estimation for Complex Survey Data.” </w:t>
      </w:r>
      <w:r w:rsidRPr="00C93CB9">
        <w:rPr>
          <w:i/>
          <w:iCs/>
        </w:rPr>
        <w:t>The Stata Journal</w:t>
      </w:r>
      <w:r w:rsidRPr="00C93CB9">
        <w:rPr>
          <w:szCs w:val="22"/>
        </w:rPr>
        <w:t xml:space="preserve"> </w:t>
      </w:r>
      <w:r w:rsidRPr="00C93CB9">
        <w:rPr>
          <w:i/>
          <w:iCs/>
        </w:rPr>
        <w:t xml:space="preserve">10 </w:t>
      </w:r>
      <w:r w:rsidRPr="00C93CB9">
        <w:rPr>
          <w:szCs w:val="22"/>
        </w:rPr>
        <w:t>(2): 165-199.</w:t>
      </w:r>
    </w:p>
    <w:p w14:paraId="5846275F" w14:textId="77777777" w:rsidR="00AE5A8D" w:rsidRDefault="00AE5A8D" w:rsidP="00AE5A8D">
      <w:pPr>
        <w:pStyle w:val="BodyText"/>
        <w:ind w:left="360" w:hanging="360"/>
        <w:rPr>
          <w:szCs w:val="22"/>
        </w:rPr>
      </w:pPr>
      <w:r w:rsidRPr="00C93CB9">
        <w:rPr>
          <w:szCs w:val="22"/>
        </w:rPr>
        <w:t>Kolenikov, Stanislav. 2014. “Calibrating Survey Data Using Iterative Proportional Fitting (Raking)”. The Stata Journal 14 (1): 22–59.</w:t>
      </w:r>
    </w:p>
    <w:p w14:paraId="16614327" w14:textId="77777777" w:rsidR="00AE5A8D" w:rsidRPr="00E830B9" w:rsidRDefault="00AE5A8D" w:rsidP="00AE5A8D">
      <w:pPr>
        <w:pStyle w:val="BodyText"/>
        <w:ind w:left="360" w:hanging="360"/>
        <w:rPr>
          <w:szCs w:val="22"/>
        </w:rPr>
      </w:pPr>
      <w:r>
        <w:rPr>
          <w:szCs w:val="22"/>
        </w:rPr>
        <w:t>Kolenikov, Stanislov</w:t>
      </w:r>
      <w:r w:rsidRPr="00E830B9">
        <w:rPr>
          <w:szCs w:val="22"/>
        </w:rPr>
        <w:t xml:space="preserve">, and Hammer, H. 2015. “Simultaneous Raking of Survey Weights at Multiple Levels.” </w:t>
      </w:r>
      <w:r w:rsidRPr="00255948">
        <w:rPr>
          <w:i/>
          <w:szCs w:val="22"/>
        </w:rPr>
        <w:t>Survey Methods: Insights from the Field</w:t>
      </w:r>
      <w:r w:rsidRPr="00C93CB9">
        <w:rPr>
          <w:szCs w:val="22"/>
        </w:rPr>
        <w:t xml:space="preserve">, Special issue: ‘Weighting: Practical Issues and “How to” Approach. </w:t>
      </w:r>
      <w:hyperlink r:id="rId34" w:history="1">
        <w:r w:rsidRPr="00C93CB9">
          <w:t>http://surveyinsights.org/?p=5099</w:t>
        </w:r>
      </w:hyperlink>
    </w:p>
    <w:p w14:paraId="2C59E844" w14:textId="77777777" w:rsidR="00AE5A8D" w:rsidRPr="00E830B9" w:rsidRDefault="00AE5A8D" w:rsidP="00AE5A8D">
      <w:pPr>
        <w:pStyle w:val="BodyText"/>
        <w:ind w:left="360" w:hanging="360"/>
        <w:rPr>
          <w:szCs w:val="22"/>
        </w:rPr>
      </w:pPr>
      <w:r w:rsidRPr="00E830B9">
        <w:rPr>
          <w:szCs w:val="22"/>
        </w:rPr>
        <w:t>Korn, E. L., and Graubar</w:t>
      </w:r>
      <w:r>
        <w:rPr>
          <w:szCs w:val="22"/>
        </w:rPr>
        <w:t>d</w:t>
      </w:r>
      <w:r w:rsidRPr="00E830B9">
        <w:rPr>
          <w:szCs w:val="22"/>
        </w:rPr>
        <w:t xml:space="preserve">, B. I. 1999. </w:t>
      </w:r>
      <w:r w:rsidRPr="00255948">
        <w:rPr>
          <w:i/>
          <w:szCs w:val="22"/>
        </w:rPr>
        <w:t>Analysis of Health Surveys.</w:t>
      </w:r>
      <w:r w:rsidRPr="00E830B9">
        <w:rPr>
          <w:szCs w:val="22"/>
        </w:rPr>
        <w:t xml:space="preserve"> New York: Wiley.</w:t>
      </w:r>
    </w:p>
    <w:p w14:paraId="10303BEB" w14:textId="77777777" w:rsidR="00AE5A8D" w:rsidRPr="00E830B9" w:rsidRDefault="00AE5A8D" w:rsidP="00AE5A8D">
      <w:pPr>
        <w:pStyle w:val="BodyText"/>
        <w:ind w:left="360" w:hanging="360"/>
        <w:rPr>
          <w:szCs w:val="22"/>
        </w:rPr>
      </w:pPr>
      <w:r w:rsidRPr="00E830B9">
        <w:rPr>
          <w:szCs w:val="22"/>
        </w:rPr>
        <w:t xml:space="preserve">Lohr, S. 2009. </w:t>
      </w:r>
      <w:r w:rsidRPr="00255948">
        <w:rPr>
          <w:i/>
          <w:szCs w:val="22"/>
        </w:rPr>
        <w:t>Sampling: Design and Analysis.</w:t>
      </w:r>
      <w:r w:rsidRPr="00E830B9">
        <w:rPr>
          <w:szCs w:val="22"/>
        </w:rPr>
        <w:t xml:space="preserve"> 2</w:t>
      </w:r>
      <w:r w:rsidRPr="00C93CB9">
        <w:rPr>
          <w:szCs w:val="22"/>
        </w:rPr>
        <w:t>nd</w:t>
      </w:r>
      <w:r w:rsidRPr="00E830B9">
        <w:rPr>
          <w:szCs w:val="22"/>
        </w:rPr>
        <w:t xml:space="preserve"> edition. Pacific Grove, CA: Duxbury Press.</w:t>
      </w:r>
    </w:p>
    <w:p w14:paraId="2577573A" w14:textId="1C6F4C7A" w:rsidR="00AE5A8D" w:rsidRPr="00B6167C" w:rsidRDefault="00AE5A8D" w:rsidP="00AE5A8D">
      <w:pPr>
        <w:pStyle w:val="BodyText"/>
        <w:ind w:left="360" w:hanging="360"/>
        <w:rPr>
          <w:szCs w:val="22"/>
        </w:rPr>
      </w:pPr>
      <w:r>
        <w:rPr>
          <w:szCs w:val="22"/>
        </w:rPr>
        <w:t xml:space="preserve">Rao, J. N. K., and C. F. J. Wu. </w:t>
      </w:r>
      <w:r w:rsidRPr="00B6167C">
        <w:rPr>
          <w:szCs w:val="22"/>
        </w:rPr>
        <w:t>19</w:t>
      </w:r>
      <w:r>
        <w:rPr>
          <w:szCs w:val="22"/>
        </w:rPr>
        <w:t>88</w:t>
      </w:r>
      <w:r w:rsidRPr="00B6167C">
        <w:rPr>
          <w:szCs w:val="22"/>
        </w:rPr>
        <w:t xml:space="preserve">. Resampling inference with complex survey data. </w:t>
      </w:r>
      <w:r w:rsidRPr="00C93CB9">
        <w:rPr>
          <w:i/>
          <w:iCs/>
        </w:rPr>
        <w:t>Journal of the American Statistical Association</w:t>
      </w:r>
      <w:r w:rsidR="00255948">
        <w:rPr>
          <w:szCs w:val="22"/>
        </w:rPr>
        <w:t xml:space="preserve"> </w:t>
      </w:r>
      <w:r w:rsidRPr="00C93CB9">
        <w:rPr>
          <w:i/>
          <w:iCs/>
        </w:rPr>
        <w:t xml:space="preserve">83 </w:t>
      </w:r>
      <w:r w:rsidRPr="00B6167C">
        <w:rPr>
          <w:szCs w:val="22"/>
        </w:rPr>
        <w:t>(401)</w:t>
      </w:r>
      <w:r w:rsidR="00255948">
        <w:rPr>
          <w:szCs w:val="22"/>
        </w:rPr>
        <w:t>:</w:t>
      </w:r>
      <w:r w:rsidRPr="00B6167C">
        <w:rPr>
          <w:szCs w:val="22"/>
        </w:rPr>
        <w:t xml:space="preserve"> 231-241.</w:t>
      </w:r>
    </w:p>
    <w:p w14:paraId="6E5A1007" w14:textId="3C2D6DCC" w:rsidR="00AE5A8D" w:rsidRDefault="00AE5A8D" w:rsidP="00AE5A8D">
      <w:pPr>
        <w:pStyle w:val="BodyText"/>
        <w:ind w:left="360" w:hanging="360"/>
        <w:rPr>
          <w:szCs w:val="22"/>
        </w:rPr>
      </w:pPr>
      <w:r w:rsidRPr="00B6167C">
        <w:rPr>
          <w:szCs w:val="22"/>
        </w:rPr>
        <w:t>Rao, J. N. K., C. F. J. Wu, and K. Yue</w:t>
      </w:r>
      <w:r>
        <w:rPr>
          <w:szCs w:val="22"/>
        </w:rPr>
        <w:t xml:space="preserve">. </w:t>
      </w:r>
      <w:r w:rsidRPr="00B6167C">
        <w:rPr>
          <w:szCs w:val="22"/>
        </w:rPr>
        <w:t>19</w:t>
      </w:r>
      <w:r>
        <w:rPr>
          <w:szCs w:val="22"/>
        </w:rPr>
        <w:t>92</w:t>
      </w:r>
      <w:r w:rsidRPr="00B6167C">
        <w:rPr>
          <w:szCs w:val="22"/>
        </w:rPr>
        <w:t xml:space="preserve">. Some recent work on resampling methods for complex surveys. </w:t>
      </w:r>
      <w:r w:rsidRPr="00C93CB9">
        <w:rPr>
          <w:i/>
          <w:iCs/>
        </w:rPr>
        <w:t>Survey Methodology</w:t>
      </w:r>
      <w:r w:rsidRPr="00B6167C">
        <w:rPr>
          <w:szCs w:val="22"/>
        </w:rPr>
        <w:t> </w:t>
      </w:r>
      <w:r w:rsidRPr="00C93CB9">
        <w:rPr>
          <w:i/>
          <w:iCs/>
        </w:rPr>
        <w:t xml:space="preserve">18 </w:t>
      </w:r>
      <w:r w:rsidRPr="00B6167C">
        <w:rPr>
          <w:szCs w:val="22"/>
        </w:rPr>
        <w:t>(2)</w:t>
      </w:r>
      <w:r w:rsidR="00255948">
        <w:rPr>
          <w:szCs w:val="22"/>
        </w:rPr>
        <w:t>:</w:t>
      </w:r>
      <w:r w:rsidRPr="00B6167C">
        <w:rPr>
          <w:szCs w:val="22"/>
        </w:rPr>
        <w:t xml:space="preserve"> 209-217.</w:t>
      </w:r>
    </w:p>
    <w:p w14:paraId="1025D315" w14:textId="77777777" w:rsidR="00AE5A8D" w:rsidRPr="00E830B9" w:rsidRDefault="00AE5A8D" w:rsidP="00AE5A8D">
      <w:pPr>
        <w:pStyle w:val="BodyText"/>
        <w:ind w:left="360" w:hanging="360"/>
        <w:rPr>
          <w:szCs w:val="22"/>
        </w:rPr>
      </w:pPr>
      <w:r>
        <w:rPr>
          <w:szCs w:val="22"/>
        </w:rPr>
        <w:t>van Buuren, Stef. 2012</w:t>
      </w:r>
      <w:r w:rsidRPr="00E830B9">
        <w:rPr>
          <w:szCs w:val="22"/>
        </w:rPr>
        <w:t xml:space="preserve">. </w:t>
      </w:r>
      <w:r w:rsidRPr="002C68B9">
        <w:rPr>
          <w:i/>
          <w:szCs w:val="22"/>
        </w:rPr>
        <w:t>Flexible Imputation of Missing Data</w:t>
      </w:r>
      <w:r w:rsidRPr="00E830B9">
        <w:rPr>
          <w:szCs w:val="22"/>
        </w:rPr>
        <w:t>. Chapman &amp; Hall/CRC.</w:t>
      </w:r>
    </w:p>
    <w:sectPr w:rsidR="00AE5A8D" w:rsidRPr="00E830B9" w:rsidSect="004138AB">
      <w:headerReference w:type="even" r:id="rId35"/>
      <w:headerReference w:type="default" r:id="rId36"/>
      <w:footerReference w:type="even" r:id="rId37"/>
      <w:footerReference w:type="default" r:id="rId38"/>
      <w:headerReference w:type="first" r:id="rId39"/>
      <w:footerReference w:type="first" r:id="rId40"/>
      <w:pgSz w:w="12240" w:h="15840" w:code="1"/>
      <w:pgMar w:top="1440" w:right="1440" w:bottom="1440" w:left="1440" w:header="108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BAFEC" w14:textId="77777777" w:rsidR="001E4F18" w:rsidRDefault="001E4F18" w:rsidP="00D979EA">
      <w:r>
        <w:separator/>
      </w:r>
    </w:p>
  </w:endnote>
  <w:endnote w:type="continuationSeparator" w:id="0">
    <w:p w14:paraId="6A5118E0" w14:textId="77777777" w:rsidR="001E4F18" w:rsidRDefault="001E4F18"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D2039" w14:textId="77777777" w:rsidR="00C854B1" w:rsidRDefault="00C854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8172A" w14:textId="77777777" w:rsidR="001E4F18" w:rsidRPr="0066134E" w:rsidRDefault="001E4F18" w:rsidP="004138AB">
    <w:pPr>
      <w:pStyle w:val="Footer"/>
      <w:tabs>
        <w:tab w:val="clear" w:pos="9000"/>
        <w:tab w:val="right" w:pos="9350"/>
      </w:tabs>
    </w:pPr>
    <w:r w:rsidRPr="00967D7C">
      <w:rPr>
        <w:color w:val="DA291C"/>
      </w:rPr>
      <w:t>Abt Associ</w:t>
    </w:r>
    <w:r>
      <w:rPr>
        <w:color w:val="DA291C"/>
      </w:rPr>
      <w:t xml:space="preserve">ates </w:t>
    </w:r>
    <w:r w:rsidRPr="0066134E">
      <w:tab/>
    </w:r>
    <w:r w:rsidRPr="0066134E">
      <w:rPr>
        <w:rStyle w:val="PageNumber"/>
        <w:b/>
      </w:rPr>
      <w:tab/>
    </w:r>
    <w:r>
      <w:rPr>
        <w:rStyle w:val="PageNumber"/>
        <w:b/>
      </w:rPr>
      <w:t>Supporting Statement: Part A</w:t>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BA3766">
      <w:rPr>
        <w:rStyle w:val="PageNumber"/>
        <w:b/>
        <w:noProof/>
        <w:color w:val="DA291C"/>
      </w:rPr>
      <w:t>1</w:t>
    </w:r>
    <w:r w:rsidRPr="002064D3">
      <w:rPr>
        <w:rStyle w:val="PageNumber"/>
        <w:b/>
        <w:noProof/>
        <w:color w:val="DA291C"/>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4CB50" w14:textId="77777777" w:rsidR="00C854B1" w:rsidRDefault="00C854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DF3F0" w14:textId="77777777" w:rsidR="001E4F18" w:rsidRDefault="001E4F18" w:rsidP="00D979EA">
      <w:r>
        <w:separator/>
      </w:r>
    </w:p>
  </w:footnote>
  <w:footnote w:type="continuationSeparator" w:id="0">
    <w:p w14:paraId="4769AC1C" w14:textId="77777777" w:rsidR="001E4F18" w:rsidRDefault="001E4F18" w:rsidP="00D979EA">
      <w:r>
        <w:continuationSeparator/>
      </w:r>
    </w:p>
  </w:footnote>
  <w:footnote w:id="1">
    <w:p w14:paraId="19FA7970" w14:textId="08146682" w:rsidR="00AE5A8D" w:rsidRDefault="00AE5A8D" w:rsidP="00AE5A8D">
      <w:pPr>
        <w:pStyle w:val="FootnoteText"/>
      </w:pPr>
      <w:r>
        <w:rPr>
          <w:rStyle w:val="FootnoteReference"/>
        </w:rPr>
        <w:footnoteRef/>
      </w:r>
      <w:r>
        <w:t xml:space="preserve"> </w:t>
      </w:r>
      <w:r>
        <w:tab/>
      </w:r>
      <w:r w:rsidRPr="004B5B0D">
        <w:t xml:space="preserve">For the purpose of the Wave 4 Employee Survey, “employed adults” reflect persons 18 years or older who have worked for pay (private or public sector, other than self-employed) in the prior 12 months. On the cell frame, </w:t>
      </w:r>
      <w:bookmarkStart w:id="2" w:name="_GoBack"/>
      <w:bookmarkEnd w:id="2"/>
      <w:r w:rsidR="00BA3766" w:rsidRPr="004B5B0D">
        <w:t>individuals who</w:t>
      </w:r>
      <w:r w:rsidRPr="004B5B0D">
        <w:t xml:space="preserve"> were not employed at any time in the last 12 months, and on the landline frame, households with no individuals employed at any time in the last 12 months, are not a part of the target population. The fourth component of their base weight will therefore be zero.</w:t>
      </w:r>
    </w:p>
  </w:footnote>
  <w:footnote w:id="2">
    <w:p w14:paraId="39118DA3" w14:textId="2ADC4601" w:rsidR="00AE5A8D" w:rsidRDefault="00AE5A8D" w:rsidP="00AE5A8D">
      <w:pPr>
        <w:pStyle w:val="FootnoteText"/>
      </w:pPr>
      <w:r>
        <w:rPr>
          <w:rStyle w:val="FootnoteReference"/>
        </w:rPr>
        <w:footnoteRef/>
      </w:r>
      <w:r>
        <w:t xml:space="preserve"> </w:t>
      </w:r>
      <w:r>
        <w:tab/>
        <w:t>The survey will capture some individuals who have both taken leave in the last 12 months, and needed but not taken leave in those 12 months (termed “dual leave takers”). For subsampling purposes, they will be treated as leave-needers.</w:t>
      </w:r>
    </w:p>
  </w:footnote>
  <w:footnote w:id="3">
    <w:p w14:paraId="75ED974D" w14:textId="59D0FC34" w:rsidR="00AE5A8D" w:rsidRPr="004B5B0D" w:rsidRDefault="00AE5A8D" w:rsidP="00AE5A8D">
      <w:pPr>
        <w:pStyle w:val="FootnoteText"/>
      </w:pPr>
      <w:r w:rsidRPr="004B5B0D">
        <w:rPr>
          <w:rStyle w:val="FootnoteReference"/>
        </w:rPr>
        <w:footnoteRef/>
      </w:r>
      <w:r w:rsidRPr="004B5B0D">
        <w:t xml:space="preserve"> </w:t>
      </w:r>
      <w:r>
        <w:tab/>
      </w:r>
      <w:r w:rsidRPr="004B5B0D">
        <w:t>We will rely on the ACS instead of the CPS to calibrate the sample who respond to the survey screener because the ACS’s much larger sample size provides more accurate estimates. We must rely on the CPS to calibrate the screened sample because the ACS does not ask the employment questions that the Employee Survey screens on.</w:t>
      </w:r>
    </w:p>
  </w:footnote>
  <w:footnote w:id="4">
    <w:p w14:paraId="36D24E8C" w14:textId="676E3F61" w:rsidR="00AE5A8D" w:rsidRPr="007456BE" w:rsidRDefault="00AE5A8D" w:rsidP="00AE5A8D">
      <w:pPr>
        <w:pStyle w:val="FootnoteText"/>
      </w:pPr>
      <w:r w:rsidRPr="004B5B0D">
        <w:rPr>
          <w:rStyle w:val="FootnoteReference"/>
        </w:rPr>
        <w:footnoteRef/>
      </w:r>
      <w:r w:rsidRPr="004B5B0D">
        <w:t xml:space="preserve"> </w:t>
      </w:r>
      <w:r>
        <w:tab/>
      </w:r>
      <w:r w:rsidRPr="004B5B0D">
        <w:t>Specifically, we will use the CPS to estimate the total size of the target population, along with the same demographics distribution listed above (gender, age, etc.). We will compute the population benchmarks from the most up-to-date CPS monthly micro dataset that is publically available. We expect this to be the March 2017 dataset, with a reference period of January 2016 to December 2016; i.e., the 12 months prior to January 2017. Since the Employee Survey will ask about the previous 12 months and have a field period of November 2017 to April 2018, there will be some, but not exact, overlap with the field period of the CPS dataset. Consequently, there will be a slight misalignment between the “last 12 months” used to define the Employee Survey target population and the “last 12 months” for which employment is measured in the CPS dataset. Since the primary focus of the survey is not on short-term changes, we do not expect that the misalignment will be large enough to compromise the validity of the CPS data as control totals for this survey.</w:t>
      </w:r>
    </w:p>
  </w:footnote>
  <w:footnote w:id="5">
    <w:p w14:paraId="3D1C2827" w14:textId="6626810F" w:rsidR="00AE5A8D" w:rsidRPr="00AE5A8D" w:rsidRDefault="00AE5A8D" w:rsidP="00AE5A8D">
      <w:pPr>
        <w:pStyle w:val="FootnoteText"/>
      </w:pPr>
      <w:r w:rsidRPr="004B5B0D">
        <w:rPr>
          <w:rStyle w:val="FootnoteReference"/>
        </w:rPr>
        <w:footnoteRef/>
      </w:r>
      <w:r w:rsidRPr="004B5B0D">
        <w:rPr>
          <w:rStyle w:val="FootnoteReference"/>
        </w:rPr>
        <w:t xml:space="preserve"> </w:t>
      </w:r>
      <w:r>
        <w:tab/>
      </w:r>
      <w:r w:rsidRPr="00AE5A8D">
        <w:rPr>
          <w:rStyle w:val="FootnoteReference"/>
          <w:vertAlign w:val="baseline"/>
        </w:rPr>
        <w:t xml:space="preserve">The method described here is based on Section 2.8 of the Methodology Report for the Wave </w:t>
      </w:r>
      <w:r w:rsidRPr="00AE5A8D">
        <w:t>3 FMLA Surveys (Daley et al. 2013)</w:t>
      </w:r>
      <w:r w:rsidRPr="00AE5A8D">
        <w:rPr>
          <w:rStyle w:val="FootnoteReference"/>
          <w:vertAlign w:val="baseline"/>
        </w:rPr>
        <w:t>.</w:t>
      </w:r>
    </w:p>
  </w:footnote>
  <w:footnote w:id="6">
    <w:p w14:paraId="7C3D2B18" w14:textId="533BF1EA" w:rsidR="00AE5A8D" w:rsidRPr="004B5B0D" w:rsidRDefault="00AE5A8D" w:rsidP="00AE5A8D">
      <w:pPr>
        <w:pStyle w:val="FootnoteText"/>
      </w:pPr>
      <w:r w:rsidRPr="004B5B0D">
        <w:rPr>
          <w:rStyle w:val="FootnoteReference"/>
        </w:rPr>
        <w:footnoteRef/>
      </w:r>
      <w:r w:rsidRPr="004B5B0D">
        <w:t xml:space="preserve"> </w:t>
      </w:r>
      <w:r>
        <w:tab/>
      </w:r>
      <w:r w:rsidRPr="004B5B0D">
        <w:t>Depending on how the question is asked in the Wave 4 Employer Survey, the estimate of interest may have the form of (10) or (11).</w:t>
      </w:r>
    </w:p>
  </w:footnote>
  <w:footnote w:id="7">
    <w:p w14:paraId="51AB2A22" w14:textId="3DBC8E67" w:rsidR="00AE5A8D" w:rsidRDefault="00AE5A8D" w:rsidP="00AE5A8D">
      <w:pPr>
        <w:pStyle w:val="FootnoteText"/>
      </w:pPr>
      <w:r w:rsidRPr="004B5B0D">
        <w:rPr>
          <w:rStyle w:val="FootnoteReference"/>
        </w:rPr>
        <w:footnoteRef/>
      </w:r>
      <w:r w:rsidRPr="004B5B0D">
        <w:t xml:space="preserve"> </w:t>
      </w:r>
      <w:r>
        <w:tab/>
      </w:r>
      <w:r w:rsidRPr="004B5B0D">
        <w:rPr>
          <w:rFonts w:eastAsia="Calibri"/>
        </w:rPr>
        <w:t xml:space="preserve">Alternatively, the delta method for the total estimates </w:t>
      </w:r>
      <m:oMath>
        <m:r>
          <m:rPr>
            <m:sty m:val="p"/>
          </m:rPr>
          <w:rPr>
            <w:rFonts w:ascii="Cambria Math" w:eastAsia="Calibri" w:hAnsi="Cambria Math"/>
          </w:rPr>
          <m:t>t</m:t>
        </m:r>
        <m:r>
          <w:rPr>
            <w:rFonts w:ascii="Cambria Math" w:eastAsia="Calibri" w:hAnsi="Cambria Math"/>
          </w:rPr>
          <m:t>[z]</m:t>
        </m:r>
      </m:oMath>
      <w:r w:rsidRPr="004B5B0D">
        <w:t xml:space="preserve"> and </w:t>
      </w:r>
      <m:oMath>
        <m:r>
          <m:rPr>
            <m:sty m:val="p"/>
          </m:rPr>
          <w:rPr>
            <w:rFonts w:ascii="Cambria Math" w:eastAsia="Calibri" w:hAnsi="Cambria Math"/>
          </w:rPr>
          <m:t>t</m:t>
        </m:r>
        <m:r>
          <w:rPr>
            <w:rFonts w:ascii="Cambria Math" w:eastAsia="Calibri" w:hAnsi="Cambria Math"/>
          </w:rPr>
          <m:t>[e]</m:t>
        </m:r>
      </m:oMath>
      <w:r w:rsidRPr="004B5B0D">
        <w:t xml:space="preserve"> </w:t>
      </w:r>
      <w:r w:rsidRPr="004B5B0D">
        <w:rPr>
          <w:rFonts w:eastAsia="Calibri"/>
        </w:rPr>
        <w:t xml:space="preserve">can be used to obtain </w:t>
      </w:r>
      <m:oMath>
        <m:r>
          <m:rPr>
            <m:sty m:val="p"/>
          </m:rPr>
          <w:rPr>
            <w:rFonts w:ascii="Cambria Math" w:hAnsi="Cambria Math"/>
          </w:rPr>
          <m:t>v[</m:t>
        </m:r>
        <m:acc>
          <m:accPr>
            <m:ctrlPr>
              <w:rPr>
                <w:rFonts w:ascii="Cambria Math" w:hAnsi="Cambria Math"/>
                <w:i/>
              </w:rPr>
            </m:ctrlPr>
          </m:accPr>
          <m:e>
            <m:r>
              <w:rPr>
                <w:rFonts w:ascii="Cambria Math" w:hAnsi="Cambria Math"/>
              </w:rPr>
              <m:t>p</m:t>
            </m:r>
          </m:e>
        </m:acc>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d>
                  <m:dPr>
                    <m:ctrlPr>
                      <w:rPr>
                        <w:rFonts w:ascii="Cambria Math" w:hAnsi="Cambria Math"/>
                      </w:rPr>
                    </m:ctrlPr>
                  </m:dPr>
                  <m:e>
                    <m:r>
                      <m:rPr>
                        <m:sty m:val="p"/>
                      </m:rPr>
                      <w:rPr>
                        <w:rFonts w:ascii="Cambria Math" w:hAnsi="Cambria Math"/>
                      </w:rPr>
                      <m:t>t</m:t>
                    </m:r>
                    <m:d>
                      <m:dPr>
                        <m:begChr m:val="["/>
                        <m:endChr m:val="]"/>
                        <m:ctrlPr>
                          <w:rPr>
                            <w:rFonts w:ascii="Cambria Math" w:hAnsi="Cambria Math"/>
                          </w:rPr>
                        </m:ctrlPr>
                      </m:dPr>
                      <m:e>
                        <m:r>
                          <w:rPr>
                            <w:rFonts w:ascii="Cambria Math" w:hAnsi="Cambria Math"/>
                          </w:rPr>
                          <m:t>e</m:t>
                        </m:r>
                      </m:e>
                    </m:d>
                  </m:e>
                </m:d>
              </m:e>
              <m:sup>
                <m:r>
                  <m:rPr>
                    <m:sty m:val="p"/>
                  </m:rPr>
                  <w:rPr>
                    <w:rFonts w:ascii="Cambria Math" w:hAnsi="Cambria Math"/>
                  </w:rPr>
                  <m:t>2</m:t>
                </m:r>
              </m:sup>
            </m:sSup>
          </m:den>
        </m:f>
        <m:r>
          <m:rPr>
            <m:sty m:val="p"/>
          </m:rPr>
          <w:rPr>
            <w:rFonts w:ascii="Cambria Math" w:hAnsi="Cambria Math"/>
          </w:rPr>
          <m:t>(v</m:t>
        </m:r>
        <m:d>
          <m:dPr>
            <m:begChr m:val="{"/>
            <m:endChr m:val="}"/>
            <m:ctrlPr>
              <w:rPr>
                <w:rFonts w:ascii="Cambria Math" w:hAnsi="Cambria Math"/>
              </w:rPr>
            </m:ctrlPr>
          </m:dPr>
          <m:e>
            <m:r>
              <m:rPr>
                <m:sty m:val="p"/>
              </m:rPr>
              <w:rPr>
                <w:rFonts w:ascii="Cambria Math" w:hAnsi="Cambria Math"/>
              </w:rPr>
              <m:t>t</m:t>
            </m:r>
            <m:d>
              <m:dPr>
                <m:begChr m:val="["/>
                <m:endChr m:val="]"/>
                <m:ctrlPr>
                  <w:rPr>
                    <w:rFonts w:ascii="Cambria Math" w:hAnsi="Cambria Math"/>
                  </w:rPr>
                </m:ctrlPr>
              </m:dPr>
              <m:e>
                <m:r>
                  <w:rPr>
                    <w:rFonts w:ascii="Cambria Math" w:hAnsi="Cambria Math"/>
                  </w:rPr>
                  <m:t>z</m:t>
                </m:r>
              </m:e>
            </m:d>
          </m:e>
        </m:d>
        <m:r>
          <m:rPr>
            <m:sty m:val="p"/>
          </m:rPr>
          <w:rPr>
            <w:rFonts w:ascii="Cambria Math" w:hAnsi="Cambria Math"/>
          </w:rPr>
          <m:t>+</m:t>
        </m:r>
        <m:sSup>
          <m:sSupPr>
            <m:ctrlPr>
              <w:rPr>
                <w:rFonts w:ascii="Cambria Math" w:hAnsi="Cambria Math"/>
              </w:rPr>
            </m:ctrlPr>
          </m:sSupPr>
          <m:e>
            <m:acc>
              <m:accPr>
                <m:ctrlPr>
                  <w:rPr>
                    <w:rFonts w:ascii="Cambria Math" w:hAnsi="Cambria Math"/>
                    <w:i/>
                  </w:rPr>
                </m:ctrlPr>
              </m:accPr>
              <m:e>
                <m:r>
                  <w:rPr>
                    <w:rFonts w:ascii="Cambria Math" w:hAnsi="Cambria Math"/>
                  </w:rPr>
                  <m:t>θ</m:t>
                </m:r>
              </m:e>
            </m:acc>
          </m:e>
          <m:sup>
            <m:r>
              <m:rPr>
                <m:sty m:val="p"/>
              </m:rPr>
              <w:rPr>
                <w:rFonts w:ascii="Cambria Math" w:hAnsi="Cambria Math"/>
              </w:rPr>
              <m:t>2</m:t>
            </m:r>
          </m:sup>
        </m:sSup>
        <m:r>
          <m:rPr>
            <m:sty m:val="p"/>
          </m:rPr>
          <w:rPr>
            <w:rFonts w:ascii="Cambria Math" w:hAnsi="Cambria Math"/>
          </w:rPr>
          <m:t>v</m:t>
        </m:r>
        <m:d>
          <m:dPr>
            <m:begChr m:val="{"/>
            <m:endChr m:val="}"/>
            <m:ctrlPr>
              <w:rPr>
                <w:rFonts w:ascii="Cambria Math" w:hAnsi="Cambria Math"/>
              </w:rPr>
            </m:ctrlPr>
          </m:dPr>
          <m:e>
            <m:r>
              <m:rPr>
                <m:sty m:val="p"/>
              </m:rPr>
              <w:rPr>
                <w:rFonts w:ascii="Cambria Math" w:hAnsi="Cambria Math"/>
              </w:rPr>
              <m:t>t</m:t>
            </m:r>
            <m:d>
              <m:dPr>
                <m:begChr m:val="["/>
                <m:endChr m:val="]"/>
                <m:ctrlPr>
                  <w:rPr>
                    <w:rFonts w:ascii="Cambria Math" w:hAnsi="Cambria Math"/>
                  </w:rPr>
                </m:ctrlPr>
              </m:dPr>
              <m:e>
                <m:r>
                  <w:rPr>
                    <w:rFonts w:ascii="Cambria Math" w:hAnsi="Cambria Math"/>
                  </w:rPr>
                  <m:t>e</m:t>
                </m:r>
              </m:e>
            </m:d>
          </m:e>
        </m:d>
        <m:r>
          <m:rPr>
            <m:sty m:val="p"/>
          </m:rPr>
          <w:rPr>
            <w:rFonts w:ascii="Cambria Math" w:hAnsi="Cambria Math"/>
          </w:rPr>
          <m:t>-2</m:t>
        </m:r>
        <m:acc>
          <m:accPr>
            <m:ctrlPr>
              <w:rPr>
                <w:rFonts w:ascii="Cambria Math" w:hAnsi="Cambria Math"/>
                <w:i/>
              </w:rPr>
            </m:ctrlPr>
          </m:accPr>
          <m:e>
            <m:r>
              <w:rPr>
                <w:rFonts w:ascii="Cambria Math" w:hAnsi="Cambria Math"/>
              </w:rPr>
              <m:t>θ</m:t>
            </m:r>
          </m:e>
        </m:acc>
        <m:r>
          <m:rPr>
            <m:sty m:val="p"/>
          </m:rPr>
          <w:rPr>
            <w:rFonts w:ascii="Cambria Math" w:hAnsi="Cambria Math"/>
          </w:rPr>
          <m:t xml:space="preserve"> cov{t</m:t>
        </m:r>
        <m:d>
          <m:dPr>
            <m:begChr m:val="["/>
            <m:endChr m:val="]"/>
            <m:ctrlPr>
              <w:rPr>
                <w:rFonts w:ascii="Cambria Math" w:hAnsi="Cambria Math"/>
              </w:rPr>
            </m:ctrlPr>
          </m:dPr>
          <m:e>
            <m:r>
              <w:rPr>
                <w:rFonts w:ascii="Cambria Math" w:hAnsi="Cambria Math"/>
              </w:rPr>
              <m:t>z</m:t>
            </m:r>
          </m:e>
        </m:d>
        <m:r>
          <m:rPr>
            <m:sty m:val="p"/>
          </m:rPr>
          <w:rPr>
            <w:rFonts w:ascii="Cambria Math" w:hAnsi="Cambria Math"/>
          </w:rPr>
          <m:t>,t[</m:t>
        </m:r>
        <m:r>
          <w:rPr>
            <w:rFonts w:ascii="Cambria Math" w:hAnsi="Cambria Math"/>
          </w:rPr>
          <m:t>e</m:t>
        </m:r>
        <m:r>
          <m:rPr>
            <m:sty m:val="p"/>
          </m:rPr>
          <w:rPr>
            <w:rFonts w:ascii="Cambria Math" w:hAnsi="Cambria Math"/>
          </w:rPr>
          <m:t>]})</m:t>
        </m:r>
      </m:oMath>
      <w:r w:rsidRPr="004B5B0D">
        <w:t xml:space="preserve"> </w:t>
      </w:r>
      <w:r w:rsidRPr="004B5B0D">
        <w:rPr>
          <w:rFonts w:eastAsia="Calibri"/>
        </w:rPr>
        <w:t>(formula (2.4.7) in Korn</w:t>
      </w:r>
      <w:r>
        <w:rPr>
          <w:rFonts w:eastAsia="Calibri"/>
        </w:rPr>
        <w:t xml:space="preserve"> and Graubard</w:t>
      </w:r>
      <w:r w:rsidRPr="004B5B0D">
        <w:rPr>
          <w:rFonts w:eastAsia="Calibri"/>
        </w:rPr>
        <w:t xml:space="preserve"> 1999).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EF98B" w14:textId="77777777" w:rsidR="00C854B1" w:rsidRDefault="00C854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BAAF2" w14:textId="47308EE0" w:rsidR="00AE5A8D" w:rsidRDefault="00AE5A8D">
    <w:pPr>
      <w:pStyle w:val="Header"/>
    </w:pPr>
    <w:r>
      <w:t>ATTACHMENT 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5EC73" w14:textId="77777777" w:rsidR="00C854B1" w:rsidRDefault="00C854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B5B7C"/>
    <w:multiLevelType w:val="hybridMultilevel"/>
    <w:tmpl w:val="E63C2E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F30634"/>
    <w:multiLevelType w:val="hybridMultilevel"/>
    <w:tmpl w:val="685AB8BE"/>
    <w:lvl w:ilvl="0" w:tplc="D65413E0">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B03D9A"/>
    <w:multiLevelType w:val="hybridMultilevel"/>
    <w:tmpl w:val="D95ADF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C15CB"/>
    <w:multiLevelType w:val="hybridMultilevel"/>
    <w:tmpl w:val="96E8E5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A76CE8"/>
    <w:multiLevelType w:val="hybridMultilevel"/>
    <w:tmpl w:val="82D49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E1810"/>
    <w:multiLevelType w:val="hybridMultilevel"/>
    <w:tmpl w:val="8B8047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452EB6"/>
    <w:multiLevelType w:val="hybridMultilevel"/>
    <w:tmpl w:val="4AF85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7D5C92"/>
    <w:multiLevelType w:val="hybridMultilevel"/>
    <w:tmpl w:val="AD7602FC"/>
    <w:lvl w:ilvl="0" w:tplc="2D0C70A4">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9" w15:restartNumberingAfterBreak="0">
    <w:nsid w:val="299918EB"/>
    <w:multiLevelType w:val="hybridMultilevel"/>
    <w:tmpl w:val="353A5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D52400"/>
    <w:multiLevelType w:val="hybridMultilevel"/>
    <w:tmpl w:val="731EA9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15258C"/>
    <w:multiLevelType w:val="hybridMultilevel"/>
    <w:tmpl w:val="5A340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E404E2"/>
    <w:multiLevelType w:val="hybridMultilevel"/>
    <w:tmpl w:val="2610A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7E3A91"/>
    <w:multiLevelType w:val="hybridMultilevel"/>
    <w:tmpl w:val="AD4CD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EAD33C4"/>
    <w:multiLevelType w:val="multilevel"/>
    <w:tmpl w:val="937C6A54"/>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5" w15:restartNumberingAfterBreak="0">
    <w:nsid w:val="3FE913B5"/>
    <w:multiLevelType w:val="hybridMultilevel"/>
    <w:tmpl w:val="84AAF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B127DC"/>
    <w:multiLevelType w:val="hybridMultilevel"/>
    <w:tmpl w:val="B7E0C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3B2110B"/>
    <w:multiLevelType w:val="multilevel"/>
    <w:tmpl w:val="7F485510"/>
    <w:lvl w:ilvl="0">
      <w:start w:val="1"/>
      <w:numFmt w:val="bullet"/>
      <w:pStyle w:val="Bullets"/>
      <w:lvlText w:val=""/>
      <w:lvlJc w:val="left"/>
      <w:pPr>
        <w:ind w:left="720" w:hanging="360"/>
      </w:pPr>
      <w:rPr>
        <w:rFonts w:ascii="Symbol" w:hAnsi="Symbol" w:hint="default"/>
        <w:color w:val="DA291C"/>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8044D3A"/>
    <w:multiLevelType w:val="hybridMultilevel"/>
    <w:tmpl w:val="A0DEF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8D5F16"/>
    <w:multiLevelType w:val="hybridMultilevel"/>
    <w:tmpl w:val="2698FBC6"/>
    <w:lvl w:ilvl="0" w:tplc="A64C64EA">
      <w:start w:val="1"/>
      <w:numFmt w:val="bullet"/>
      <w:lvlText w:val=""/>
      <w:lvlJc w:val="left"/>
      <w:pPr>
        <w:ind w:left="720" w:hanging="360"/>
      </w:pPr>
      <w:rPr>
        <w:rFonts w:ascii="Symbol" w:hAnsi="Symbol" w:hint="default"/>
        <w:color w:val="DA291C"/>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EA0876"/>
    <w:multiLevelType w:val="hybridMultilevel"/>
    <w:tmpl w:val="B20612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84626A"/>
    <w:multiLevelType w:val="hybridMultilevel"/>
    <w:tmpl w:val="9CAE4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E81BFA"/>
    <w:multiLevelType w:val="hybridMultilevel"/>
    <w:tmpl w:val="0938F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94C6400"/>
    <w:multiLevelType w:val="hybridMultilevel"/>
    <w:tmpl w:val="4718D740"/>
    <w:lvl w:ilvl="0" w:tplc="68260532">
      <w:start w:val="1"/>
      <w:numFmt w:val="bullet"/>
      <w:pStyle w:val="ExhibitBullet1"/>
      <w:lvlText w:val=""/>
      <w:lvlJc w:val="left"/>
      <w:pPr>
        <w:ind w:left="688" w:hanging="360"/>
      </w:pPr>
      <w:rPr>
        <w:rFonts w:ascii="Symbol" w:hAnsi="Symbol" w:hint="default"/>
      </w:rPr>
    </w:lvl>
    <w:lvl w:ilvl="1" w:tplc="04090003">
      <w:start w:val="1"/>
      <w:numFmt w:val="bullet"/>
      <w:lvlText w:val="o"/>
      <w:lvlJc w:val="left"/>
      <w:pPr>
        <w:ind w:left="1408" w:hanging="360"/>
      </w:pPr>
      <w:rPr>
        <w:rFonts w:ascii="Courier New" w:hAnsi="Courier New" w:cs="Courier New" w:hint="default"/>
      </w:rPr>
    </w:lvl>
    <w:lvl w:ilvl="2" w:tplc="04090005" w:tentative="1">
      <w:start w:val="1"/>
      <w:numFmt w:val="bullet"/>
      <w:lvlText w:val=""/>
      <w:lvlJc w:val="left"/>
      <w:pPr>
        <w:ind w:left="2128" w:hanging="360"/>
      </w:pPr>
      <w:rPr>
        <w:rFonts w:ascii="Wingdings" w:hAnsi="Wingdings" w:hint="default"/>
      </w:rPr>
    </w:lvl>
    <w:lvl w:ilvl="3" w:tplc="04090001" w:tentative="1">
      <w:start w:val="1"/>
      <w:numFmt w:val="bullet"/>
      <w:lvlText w:val=""/>
      <w:lvlJc w:val="left"/>
      <w:pPr>
        <w:ind w:left="2848" w:hanging="360"/>
      </w:pPr>
      <w:rPr>
        <w:rFonts w:ascii="Symbol" w:hAnsi="Symbol" w:hint="default"/>
      </w:rPr>
    </w:lvl>
    <w:lvl w:ilvl="4" w:tplc="04090003" w:tentative="1">
      <w:start w:val="1"/>
      <w:numFmt w:val="bullet"/>
      <w:lvlText w:val="o"/>
      <w:lvlJc w:val="left"/>
      <w:pPr>
        <w:ind w:left="3568" w:hanging="360"/>
      </w:pPr>
      <w:rPr>
        <w:rFonts w:ascii="Courier New" w:hAnsi="Courier New" w:cs="Courier New" w:hint="default"/>
      </w:rPr>
    </w:lvl>
    <w:lvl w:ilvl="5" w:tplc="04090005" w:tentative="1">
      <w:start w:val="1"/>
      <w:numFmt w:val="bullet"/>
      <w:lvlText w:val=""/>
      <w:lvlJc w:val="left"/>
      <w:pPr>
        <w:ind w:left="4288" w:hanging="360"/>
      </w:pPr>
      <w:rPr>
        <w:rFonts w:ascii="Wingdings" w:hAnsi="Wingdings" w:hint="default"/>
      </w:rPr>
    </w:lvl>
    <w:lvl w:ilvl="6" w:tplc="04090001" w:tentative="1">
      <w:start w:val="1"/>
      <w:numFmt w:val="bullet"/>
      <w:lvlText w:val=""/>
      <w:lvlJc w:val="left"/>
      <w:pPr>
        <w:ind w:left="5008" w:hanging="360"/>
      </w:pPr>
      <w:rPr>
        <w:rFonts w:ascii="Symbol" w:hAnsi="Symbol" w:hint="default"/>
      </w:rPr>
    </w:lvl>
    <w:lvl w:ilvl="7" w:tplc="04090003" w:tentative="1">
      <w:start w:val="1"/>
      <w:numFmt w:val="bullet"/>
      <w:lvlText w:val="o"/>
      <w:lvlJc w:val="left"/>
      <w:pPr>
        <w:ind w:left="5728" w:hanging="360"/>
      </w:pPr>
      <w:rPr>
        <w:rFonts w:ascii="Courier New" w:hAnsi="Courier New" w:cs="Courier New" w:hint="default"/>
      </w:rPr>
    </w:lvl>
    <w:lvl w:ilvl="8" w:tplc="04090005" w:tentative="1">
      <w:start w:val="1"/>
      <w:numFmt w:val="bullet"/>
      <w:lvlText w:val=""/>
      <w:lvlJc w:val="left"/>
      <w:pPr>
        <w:ind w:left="6448" w:hanging="360"/>
      </w:pPr>
      <w:rPr>
        <w:rFonts w:ascii="Wingdings" w:hAnsi="Wingdings" w:hint="default"/>
      </w:rPr>
    </w:lvl>
  </w:abstractNum>
  <w:abstractNum w:abstractNumId="24" w15:restartNumberingAfterBreak="0">
    <w:nsid w:val="69860DA5"/>
    <w:multiLevelType w:val="hybridMultilevel"/>
    <w:tmpl w:val="1E48F14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A3012CF"/>
    <w:multiLevelType w:val="hybridMultilevel"/>
    <w:tmpl w:val="91B4126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27" w15:restartNumberingAfterBreak="0">
    <w:nsid w:val="7A625516"/>
    <w:multiLevelType w:val="hybridMultilevel"/>
    <w:tmpl w:val="D74292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850356"/>
    <w:multiLevelType w:val="hybridMultilevel"/>
    <w:tmpl w:val="EB907530"/>
    <w:lvl w:ilvl="0" w:tplc="10087FA6">
      <w:start w:val="1"/>
      <w:numFmt w:val="bullet"/>
      <w:lvlText w:val=""/>
      <w:lvlJc w:val="left"/>
      <w:pPr>
        <w:ind w:left="720" w:hanging="360"/>
      </w:pPr>
      <w:rPr>
        <w:rFonts w:ascii="Symbol" w:hAnsi="Symbol" w:hint="default"/>
        <w:color w:val="DA291C"/>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CF753D"/>
    <w:multiLevelType w:val="hybridMultilevel"/>
    <w:tmpl w:val="A1E6A41C"/>
    <w:lvl w:ilvl="0" w:tplc="D37A6BB4">
      <w:start w:val="1"/>
      <w:numFmt w:val="bullet"/>
      <w:pStyle w:val="Bullet2"/>
      <w:lvlText w:val=""/>
      <w:lvlJc w:val="left"/>
      <w:pPr>
        <w:tabs>
          <w:tab w:val="num" w:pos="720"/>
        </w:tabs>
        <w:ind w:left="720" w:hanging="360"/>
      </w:pPr>
      <w:rPr>
        <w:rFonts w:ascii="Symbol" w:hAnsi="Symbol" w:hint="default"/>
        <w:color w:val="0000AC"/>
      </w:rPr>
    </w:lvl>
    <w:lvl w:ilvl="1" w:tplc="4BA8E9B4" w:tentative="1">
      <w:start w:val="1"/>
      <w:numFmt w:val="bullet"/>
      <w:lvlText w:val="o"/>
      <w:lvlJc w:val="left"/>
      <w:pPr>
        <w:tabs>
          <w:tab w:val="num" w:pos="1440"/>
        </w:tabs>
        <w:ind w:left="1440" w:hanging="360"/>
      </w:pPr>
      <w:rPr>
        <w:rFonts w:ascii="Courier New" w:hAnsi="Courier New" w:cs="Courier New" w:hint="default"/>
      </w:rPr>
    </w:lvl>
    <w:lvl w:ilvl="2" w:tplc="4C34C93C" w:tentative="1">
      <w:start w:val="1"/>
      <w:numFmt w:val="bullet"/>
      <w:lvlText w:val=""/>
      <w:lvlJc w:val="left"/>
      <w:pPr>
        <w:tabs>
          <w:tab w:val="num" w:pos="2160"/>
        </w:tabs>
        <w:ind w:left="2160" w:hanging="360"/>
      </w:pPr>
      <w:rPr>
        <w:rFonts w:ascii="Wingdings" w:hAnsi="Wingdings" w:hint="default"/>
      </w:rPr>
    </w:lvl>
    <w:lvl w:ilvl="3" w:tplc="9DE032A8" w:tentative="1">
      <w:start w:val="1"/>
      <w:numFmt w:val="bullet"/>
      <w:lvlText w:val=""/>
      <w:lvlJc w:val="left"/>
      <w:pPr>
        <w:tabs>
          <w:tab w:val="num" w:pos="2880"/>
        </w:tabs>
        <w:ind w:left="2880" w:hanging="360"/>
      </w:pPr>
      <w:rPr>
        <w:rFonts w:ascii="Symbol" w:hAnsi="Symbol" w:hint="default"/>
      </w:rPr>
    </w:lvl>
    <w:lvl w:ilvl="4" w:tplc="C9B60118" w:tentative="1">
      <w:start w:val="1"/>
      <w:numFmt w:val="bullet"/>
      <w:lvlText w:val="o"/>
      <w:lvlJc w:val="left"/>
      <w:pPr>
        <w:tabs>
          <w:tab w:val="num" w:pos="3600"/>
        </w:tabs>
        <w:ind w:left="3600" w:hanging="360"/>
      </w:pPr>
      <w:rPr>
        <w:rFonts w:ascii="Courier New" w:hAnsi="Courier New" w:cs="Courier New" w:hint="default"/>
      </w:rPr>
    </w:lvl>
    <w:lvl w:ilvl="5" w:tplc="780A7874" w:tentative="1">
      <w:start w:val="1"/>
      <w:numFmt w:val="bullet"/>
      <w:lvlText w:val=""/>
      <w:lvlJc w:val="left"/>
      <w:pPr>
        <w:tabs>
          <w:tab w:val="num" w:pos="4320"/>
        </w:tabs>
        <w:ind w:left="4320" w:hanging="360"/>
      </w:pPr>
      <w:rPr>
        <w:rFonts w:ascii="Wingdings" w:hAnsi="Wingdings" w:hint="default"/>
      </w:rPr>
    </w:lvl>
    <w:lvl w:ilvl="6" w:tplc="8D90685C" w:tentative="1">
      <w:start w:val="1"/>
      <w:numFmt w:val="bullet"/>
      <w:lvlText w:val=""/>
      <w:lvlJc w:val="left"/>
      <w:pPr>
        <w:tabs>
          <w:tab w:val="num" w:pos="5040"/>
        </w:tabs>
        <w:ind w:left="5040" w:hanging="360"/>
      </w:pPr>
      <w:rPr>
        <w:rFonts w:ascii="Symbol" w:hAnsi="Symbol" w:hint="default"/>
      </w:rPr>
    </w:lvl>
    <w:lvl w:ilvl="7" w:tplc="2D66F3D0" w:tentative="1">
      <w:start w:val="1"/>
      <w:numFmt w:val="bullet"/>
      <w:lvlText w:val="o"/>
      <w:lvlJc w:val="left"/>
      <w:pPr>
        <w:tabs>
          <w:tab w:val="num" w:pos="5760"/>
        </w:tabs>
        <w:ind w:left="5760" w:hanging="360"/>
      </w:pPr>
      <w:rPr>
        <w:rFonts w:ascii="Courier New" w:hAnsi="Courier New" w:cs="Courier New" w:hint="default"/>
      </w:rPr>
    </w:lvl>
    <w:lvl w:ilvl="8" w:tplc="2FD0BB8E"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6"/>
  </w:num>
  <w:num w:numId="3">
    <w:abstractNumId w:val="17"/>
  </w:num>
  <w:num w:numId="4">
    <w:abstractNumId w:val="29"/>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3"/>
  </w:num>
  <w:num w:numId="12">
    <w:abstractNumId w:val="21"/>
  </w:num>
  <w:num w:numId="13">
    <w:abstractNumId w:val="7"/>
  </w:num>
  <w:num w:numId="14">
    <w:abstractNumId w:val="13"/>
  </w:num>
  <w:num w:numId="15">
    <w:abstractNumId w:val="1"/>
  </w:num>
  <w:num w:numId="16">
    <w:abstractNumId w:val="5"/>
  </w:num>
  <w:num w:numId="17">
    <w:abstractNumId w:val="16"/>
  </w:num>
  <w:num w:numId="18">
    <w:abstractNumId w:val="22"/>
  </w:num>
  <w:num w:numId="19">
    <w:abstractNumId w:val="28"/>
  </w:num>
  <w:num w:numId="20">
    <w:abstractNumId w:val="4"/>
  </w:num>
  <w:num w:numId="21">
    <w:abstractNumId w:val="10"/>
  </w:num>
  <w:num w:numId="22">
    <w:abstractNumId w:val="11"/>
  </w:num>
  <w:num w:numId="23">
    <w:abstractNumId w:val="27"/>
  </w:num>
  <w:num w:numId="24">
    <w:abstractNumId w:val="2"/>
  </w:num>
  <w:num w:numId="25">
    <w:abstractNumId w:val="18"/>
  </w:num>
  <w:num w:numId="26">
    <w:abstractNumId w:val="6"/>
  </w:num>
  <w:num w:numId="27">
    <w:abstractNumId w:val="3"/>
  </w:num>
  <w:num w:numId="28">
    <w:abstractNumId w:val="0"/>
  </w:num>
  <w:num w:numId="29">
    <w:abstractNumId w:val="25"/>
  </w:num>
  <w:num w:numId="30">
    <w:abstractNumId w:val="24"/>
  </w:num>
  <w:num w:numId="31">
    <w:abstractNumId w:val="12"/>
  </w:num>
  <w:num w:numId="32">
    <w:abstractNumId w:val="20"/>
  </w:num>
  <w:num w:numId="33">
    <w:abstractNumId w:val="9"/>
  </w:num>
  <w:num w:numId="34">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activeWritingStyle w:appName="MSWord" w:lang="en-US"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94209">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6A"/>
    <w:rsid w:val="0000041F"/>
    <w:rsid w:val="00001A3F"/>
    <w:rsid w:val="00003A2C"/>
    <w:rsid w:val="00006617"/>
    <w:rsid w:val="00006B3A"/>
    <w:rsid w:val="00010DCB"/>
    <w:rsid w:val="000136F3"/>
    <w:rsid w:val="00016DC9"/>
    <w:rsid w:val="00016E17"/>
    <w:rsid w:val="0002216E"/>
    <w:rsid w:val="000232B4"/>
    <w:rsid w:val="000262A2"/>
    <w:rsid w:val="00026A55"/>
    <w:rsid w:val="000302A4"/>
    <w:rsid w:val="00031040"/>
    <w:rsid w:val="0003111F"/>
    <w:rsid w:val="00035FFF"/>
    <w:rsid w:val="00040E00"/>
    <w:rsid w:val="00046728"/>
    <w:rsid w:val="00047462"/>
    <w:rsid w:val="000505A2"/>
    <w:rsid w:val="000525E0"/>
    <w:rsid w:val="00053346"/>
    <w:rsid w:val="00053EEF"/>
    <w:rsid w:val="000543DC"/>
    <w:rsid w:val="00054FEF"/>
    <w:rsid w:val="00055022"/>
    <w:rsid w:val="0005750B"/>
    <w:rsid w:val="0006045E"/>
    <w:rsid w:val="00060E49"/>
    <w:rsid w:val="0006587B"/>
    <w:rsid w:val="00067FBA"/>
    <w:rsid w:val="00070322"/>
    <w:rsid w:val="00074246"/>
    <w:rsid w:val="00076DB1"/>
    <w:rsid w:val="00082D01"/>
    <w:rsid w:val="00087856"/>
    <w:rsid w:val="00087DCE"/>
    <w:rsid w:val="000902AA"/>
    <w:rsid w:val="00091C6A"/>
    <w:rsid w:val="0009560B"/>
    <w:rsid w:val="00095D40"/>
    <w:rsid w:val="0009620C"/>
    <w:rsid w:val="000A00A2"/>
    <w:rsid w:val="000A1C6D"/>
    <w:rsid w:val="000A3352"/>
    <w:rsid w:val="000A6442"/>
    <w:rsid w:val="000A7D69"/>
    <w:rsid w:val="000B09EC"/>
    <w:rsid w:val="000B1B78"/>
    <w:rsid w:val="000B33D1"/>
    <w:rsid w:val="000B488B"/>
    <w:rsid w:val="000C0A39"/>
    <w:rsid w:val="000C3040"/>
    <w:rsid w:val="000C41F5"/>
    <w:rsid w:val="000D1525"/>
    <w:rsid w:val="000D3467"/>
    <w:rsid w:val="000D35AA"/>
    <w:rsid w:val="000D53F1"/>
    <w:rsid w:val="000D5777"/>
    <w:rsid w:val="000D66E2"/>
    <w:rsid w:val="000D7E1F"/>
    <w:rsid w:val="000E5869"/>
    <w:rsid w:val="000E67FA"/>
    <w:rsid w:val="000E6B75"/>
    <w:rsid w:val="000F4A10"/>
    <w:rsid w:val="000F53F4"/>
    <w:rsid w:val="001034D7"/>
    <w:rsid w:val="00104F2A"/>
    <w:rsid w:val="00105F22"/>
    <w:rsid w:val="00107A04"/>
    <w:rsid w:val="0011170B"/>
    <w:rsid w:val="00114CD2"/>
    <w:rsid w:val="001172BF"/>
    <w:rsid w:val="001178CA"/>
    <w:rsid w:val="00127142"/>
    <w:rsid w:val="001307A5"/>
    <w:rsid w:val="00133465"/>
    <w:rsid w:val="00134801"/>
    <w:rsid w:val="001367D1"/>
    <w:rsid w:val="001417B0"/>
    <w:rsid w:val="001457DF"/>
    <w:rsid w:val="00152153"/>
    <w:rsid w:val="00157D05"/>
    <w:rsid w:val="00157E04"/>
    <w:rsid w:val="00160657"/>
    <w:rsid w:val="00160B87"/>
    <w:rsid w:val="00162E23"/>
    <w:rsid w:val="001645F0"/>
    <w:rsid w:val="00165BB6"/>
    <w:rsid w:val="001677DC"/>
    <w:rsid w:val="00172119"/>
    <w:rsid w:val="00172E7E"/>
    <w:rsid w:val="00177238"/>
    <w:rsid w:val="00182892"/>
    <w:rsid w:val="00186223"/>
    <w:rsid w:val="00187502"/>
    <w:rsid w:val="001A04CE"/>
    <w:rsid w:val="001A0E0A"/>
    <w:rsid w:val="001A23B5"/>
    <w:rsid w:val="001A28D9"/>
    <w:rsid w:val="001A35FA"/>
    <w:rsid w:val="001A403F"/>
    <w:rsid w:val="001A4633"/>
    <w:rsid w:val="001A6B9A"/>
    <w:rsid w:val="001B0BB8"/>
    <w:rsid w:val="001B24C7"/>
    <w:rsid w:val="001B4509"/>
    <w:rsid w:val="001B6E1D"/>
    <w:rsid w:val="001C0891"/>
    <w:rsid w:val="001C10AF"/>
    <w:rsid w:val="001D4FDD"/>
    <w:rsid w:val="001E0709"/>
    <w:rsid w:val="001E2265"/>
    <w:rsid w:val="001E2CF1"/>
    <w:rsid w:val="001E4F18"/>
    <w:rsid w:val="001E71CF"/>
    <w:rsid w:val="001F049B"/>
    <w:rsid w:val="001F3137"/>
    <w:rsid w:val="00200E58"/>
    <w:rsid w:val="00204338"/>
    <w:rsid w:val="0020550F"/>
    <w:rsid w:val="002064D3"/>
    <w:rsid w:val="002106BF"/>
    <w:rsid w:val="00210B2C"/>
    <w:rsid w:val="0021100E"/>
    <w:rsid w:val="002176B8"/>
    <w:rsid w:val="002216AD"/>
    <w:rsid w:val="00221D99"/>
    <w:rsid w:val="00223A9F"/>
    <w:rsid w:val="0022674D"/>
    <w:rsid w:val="00227977"/>
    <w:rsid w:val="00227F17"/>
    <w:rsid w:val="0023449A"/>
    <w:rsid w:val="00235F88"/>
    <w:rsid w:val="00237DF3"/>
    <w:rsid w:val="0024418A"/>
    <w:rsid w:val="00244A3B"/>
    <w:rsid w:val="00250BFE"/>
    <w:rsid w:val="00255948"/>
    <w:rsid w:val="00255975"/>
    <w:rsid w:val="002702F7"/>
    <w:rsid w:val="00272871"/>
    <w:rsid w:val="00273EAA"/>
    <w:rsid w:val="002743C5"/>
    <w:rsid w:val="00274FE6"/>
    <w:rsid w:val="00275D4D"/>
    <w:rsid w:val="00276702"/>
    <w:rsid w:val="0028328D"/>
    <w:rsid w:val="002838F5"/>
    <w:rsid w:val="00285362"/>
    <w:rsid w:val="00285BB6"/>
    <w:rsid w:val="00291995"/>
    <w:rsid w:val="00293468"/>
    <w:rsid w:val="0029491C"/>
    <w:rsid w:val="002A4078"/>
    <w:rsid w:val="002A5CE0"/>
    <w:rsid w:val="002A72A1"/>
    <w:rsid w:val="002B2F3C"/>
    <w:rsid w:val="002B5985"/>
    <w:rsid w:val="002B6D62"/>
    <w:rsid w:val="002C24F7"/>
    <w:rsid w:val="002C32AB"/>
    <w:rsid w:val="002C41F9"/>
    <w:rsid w:val="002C4417"/>
    <w:rsid w:val="002C4495"/>
    <w:rsid w:val="002C5AC8"/>
    <w:rsid w:val="002C76AB"/>
    <w:rsid w:val="002D0FCC"/>
    <w:rsid w:val="002D4536"/>
    <w:rsid w:val="002D5525"/>
    <w:rsid w:val="002D616C"/>
    <w:rsid w:val="002E3973"/>
    <w:rsid w:val="002E4606"/>
    <w:rsid w:val="002E47AE"/>
    <w:rsid w:val="002F48C8"/>
    <w:rsid w:val="002F55CE"/>
    <w:rsid w:val="002F76F5"/>
    <w:rsid w:val="00314A8A"/>
    <w:rsid w:val="00324EC2"/>
    <w:rsid w:val="00325F49"/>
    <w:rsid w:val="003279F2"/>
    <w:rsid w:val="0033116C"/>
    <w:rsid w:val="00332285"/>
    <w:rsid w:val="0033294C"/>
    <w:rsid w:val="00342BA9"/>
    <w:rsid w:val="003454DC"/>
    <w:rsid w:val="003455BC"/>
    <w:rsid w:val="00354503"/>
    <w:rsid w:val="00356BCC"/>
    <w:rsid w:val="003623F0"/>
    <w:rsid w:val="003636DE"/>
    <w:rsid w:val="00370164"/>
    <w:rsid w:val="003711CD"/>
    <w:rsid w:val="00375E80"/>
    <w:rsid w:val="0037640E"/>
    <w:rsid w:val="00380DB1"/>
    <w:rsid w:val="0038224D"/>
    <w:rsid w:val="00383BFC"/>
    <w:rsid w:val="00384611"/>
    <w:rsid w:val="00384CA0"/>
    <w:rsid w:val="003850E0"/>
    <w:rsid w:val="003870BA"/>
    <w:rsid w:val="00395A89"/>
    <w:rsid w:val="003A06E9"/>
    <w:rsid w:val="003A101F"/>
    <w:rsid w:val="003A12CD"/>
    <w:rsid w:val="003A2FA8"/>
    <w:rsid w:val="003A3403"/>
    <w:rsid w:val="003A3703"/>
    <w:rsid w:val="003A3755"/>
    <w:rsid w:val="003A3A83"/>
    <w:rsid w:val="003A67CB"/>
    <w:rsid w:val="003B12BA"/>
    <w:rsid w:val="003B4770"/>
    <w:rsid w:val="003B6441"/>
    <w:rsid w:val="003B6D90"/>
    <w:rsid w:val="003C1335"/>
    <w:rsid w:val="003C20BF"/>
    <w:rsid w:val="003D065C"/>
    <w:rsid w:val="003D5616"/>
    <w:rsid w:val="003D7725"/>
    <w:rsid w:val="003E0653"/>
    <w:rsid w:val="003E63FF"/>
    <w:rsid w:val="003E666B"/>
    <w:rsid w:val="003F0EE7"/>
    <w:rsid w:val="003F1A0C"/>
    <w:rsid w:val="003F3E19"/>
    <w:rsid w:val="00403E1B"/>
    <w:rsid w:val="00404007"/>
    <w:rsid w:val="00404423"/>
    <w:rsid w:val="004058C7"/>
    <w:rsid w:val="00406504"/>
    <w:rsid w:val="004075E4"/>
    <w:rsid w:val="004138AB"/>
    <w:rsid w:val="004207D3"/>
    <w:rsid w:val="00421E33"/>
    <w:rsid w:val="00423092"/>
    <w:rsid w:val="004253E8"/>
    <w:rsid w:val="00427EA9"/>
    <w:rsid w:val="00430998"/>
    <w:rsid w:val="004319BC"/>
    <w:rsid w:val="004350B0"/>
    <w:rsid w:val="00436373"/>
    <w:rsid w:val="00436CE5"/>
    <w:rsid w:val="00440153"/>
    <w:rsid w:val="00441373"/>
    <w:rsid w:val="004462C8"/>
    <w:rsid w:val="00451DB5"/>
    <w:rsid w:val="00453FE3"/>
    <w:rsid w:val="00454BAC"/>
    <w:rsid w:val="004553F9"/>
    <w:rsid w:val="00461F7E"/>
    <w:rsid w:val="0046276F"/>
    <w:rsid w:val="00470AB4"/>
    <w:rsid w:val="00472E16"/>
    <w:rsid w:val="004734DF"/>
    <w:rsid w:val="0048351D"/>
    <w:rsid w:val="00484332"/>
    <w:rsid w:val="00486943"/>
    <w:rsid w:val="00491AFD"/>
    <w:rsid w:val="00492D5E"/>
    <w:rsid w:val="00494529"/>
    <w:rsid w:val="00495B91"/>
    <w:rsid w:val="00496D53"/>
    <w:rsid w:val="004A1D05"/>
    <w:rsid w:val="004A4209"/>
    <w:rsid w:val="004A5408"/>
    <w:rsid w:val="004B0A03"/>
    <w:rsid w:val="004C18DF"/>
    <w:rsid w:val="004C1BBC"/>
    <w:rsid w:val="004C29E5"/>
    <w:rsid w:val="004C2B46"/>
    <w:rsid w:val="004C58B3"/>
    <w:rsid w:val="004D06B0"/>
    <w:rsid w:val="004D37B0"/>
    <w:rsid w:val="004D49EC"/>
    <w:rsid w:val="004D4C6D"/>
    <w:rsid w:val="004E01A4"/>
    <w:rsid w:val="004E03BC"/>
    <w:rsid w:val="004E4032"/>
    <w:rsid w:val="004F0CA9"/>
    <w:rsid w:val="004F33B8"/>
    <w:rsid w:val="004F6171"/>
    <w:rsid w:val="004F6742"/>
    <w:rsid w:val="004F709B"/>
    <w:rsid w:val="004F73E7"/>
    <w:rsid w:val="00503049"/>
    <w:rsid w:val="005036BB"/>
    <w:rsid w:val="00507681"/>
    <w:rsid w:val="005107B7"/>
    <w:rsid w:val="005114D9"/>
    <w:rsid w:val="0051703A"/>
    <w:rsid w:val="00524471"/>
    <w:rsid w:val="00524E16"/>
    <w:rsid w:val="00534B03"/>
    <w:rsid w:val="00534C33"/>
    <w:rsid w:val="00536C6B"/>
    <w:rsid w:val="00536DB4"/>
    <w:rsid w:val="0054025D"/>
    <w:rsid w:val="0055123E"/>
    <w:rsid w:val="00551543"/>
    <w:rsid w:val="00564C72"/>
    <w:rsid w:val="005665B5"/>
    <w:rsid w:val="005722B5"/>
    <w:rsid w:val="00573D5C"/>
    <w:rsid w:val="00574572"/>
    <w:rsid w:val="00581C98"/>
    <w:rsid w:val="00583B50"/>
    <w:rsid w:val="00585A0C"/>
    <w:rsid w:val="00585CA4"/>
    <w:rsid w:val="0058618E"/>
    <w:rsid w:val="00590B85"/>
    <w:rsid w:val="005954FA"/>
    <w:rsid w:val="00597948"/>
    <w:rsid w:val="005A42A1"/>
    <w:rsid w:val="005A76BE"/>
    <w:rsid w:val="005B1AC5"/>
    <w:rsid w:val="005B1E15"/>
    <w:rsid w:val="005B61AF"/>
    <w:rsid w:val="005B6A25"/>
    <w:rsid w:val="005C3413"/>
    <w:rsid w:val="005C4647"/>
    <w:rsid w:val="005D1C2A"/>
    <w:rsid w:val="005D24CE"/>
    <w:rsid w:val="005D3655"/>
    <w:rsid w:val="005D50BF"/>
    <w:rsid w:val="005E0CF2"/>
    <w:rsid w:val="005E20E6"/>
    <w:rsid w:val="005E2AEA"/>
    <w:rsid w:val="005E6B70"/>
    <w:rsid w:val="005E7087"/>
    <w:rsid w:val="005F5773"/>
    <w:rsid w:val="005F6285"/>
    <w:rsid w:val="005F7CA7"/>
    <w:rsid w:val="00604202"/>
    <w:rsid w:val="00605C67"/>
    <w:rsid w:val="00610FFE"/>
    <w:rsid w:val="006122D8"/>
    <w:rsid w:val="0061247A"/>
    <w:rsid w:val="00614E97"/>
    <w:rsid w:val="00614ECD"/>
    <w:rsid w:val="00615938"/>
    <w:rsid w:val="00615BD4"/>
    <w:rsid w:val="00616804"/>
    <w:rsid w:val="00624B5C"/>
    <w:rsid w:val="00626621"/>
    <w:rsid w:val="0063014E"/>
    <w:rsid w:val="00630E74"/>
    <w:rsid w:val="006436EB"/>
    <w:rsid w:val="0064501D"/>
    <w:rsid w:val="0065112D"/>
    <w:rsid w:val="0066134E"/>
    <w:rsid w:val="00666AB3"/>
    <w:rsid w:val="00671272"/>
    <w:rsid w:val="00673F76"/>
    <w:rsid w:val="006814BB"/>
    <w:rsid w:val="006840EB"/>
    <w:rsid w:val="00690528"/>
    <w:rsid w:val="006905D2"/>
    <w:rsid w:val="00691EA2"/>
    <w:rsid w:val="0069342C"/>
    <w:rsid w:val="006958EE"/>
    <w:rsid w:val="00697FDE"/>
    <w:rsid w:val="006A541C"/>
    <w:rsid w:val="006A5B3B"/>
    <w:rsid w:val="006A690F"/>
    <w:rsid w:val="006B1DA6"/>
    <w:rsid w:val="006B3216"/>
    <w:rsid w:val="006B3263"/>
    <w:rsid w:val="006C7A4C"/>
    <w:rsid w:val="006D406B"/>
    <w:rsid w:val="006E0A45"/>
    <w:rsid w:val="006E2845"/>
    <w:rsid w:val="006E2B32"/>
    <w:rsid w:val="006E6F0B"/>
    <w:rsid w:val="006F2B34"/>
    <w:rsid w:val="006F2E4C"/>
    <w:rsid w:val="006F58A2"/>
    <w:rsid w:val="006F732E"/>
    <w:rsid w:val="007057ED"/>
    <w:rsid w:val="0070672F"/>
    <w:rsid w:val="007074BA"/>
    <w:rsid w:val="00707B3A"/>
    <w:rsid w:val="0071050A"/>
    <w:rsid w:val="007105A6"/>
    <w:rsid w:val="0071096A"/>
    <w:rsid w:val="00711944"/>
    <w:rsid w:val="00715417"/>
    <w:rsid w:val="007164A5"/>
    <w:rsid w:val="00726DD4"/>
    <w:rsid w:val="00730F56"/>
    <w:rsid w:val="00731C46"/>
    <w:rsid w:val="0073335C"/>
    <w:rsid w:val="007419B7"/>
    <w:rsid w:val="00743419"/>
    <w:rsid w:val="00743809"/>
    <w:rsid w:val="00744E2C"/>
    <w:rsid w:val="00744EB2"/>
    <w:rsid w:val="00752119"/>
    <w:rsid w:val="00754408"/>
    <w:rsid w:val="00760807"/>
    <w:rsid w:val="00761B44"/>
    <w:rsid w:val="007631C7"/>
    <w:rsid w:val="00763CCC"/>
    <w:rsid w:val="00764E49"/>
    <w:rsid w:val="00770652"/>
    <w:rsid w:val="00773A2F"/>
    <w:rsid w:val="00776B1B"/>
    <w:rsid w:val="00776C72"/>
    <w:rsid w:val="0078258F"/>
    <w:rsid w:val="007846BC"/>
    <w:rsid w:val="007906E8"/>
    <w:rsid w:val="00794B6E"/>
    <w:rsid w:val="00795DD2"/>
    <w:rsid w:val="007969A4"/>
    <w:rsid w:val="007A0114"/>
    <w:rsid w:val="007A4608"/>
    <w:rsid w:val="007B1321"/>
    <w:rsid w:val="007B1904"/>
    <w:rsid w:val="007B2F3F"/>
    <w:rsid w:val="007B3C3B"/>
    <w:rsid w:val="007B523F"/>
    <w:rsid w:val="007C5457"/>
    <w:rsid w:val="007D0A18"/>
    <w:rsid w:val="007D3CF9"/>
    <w:rsid w:val="007D6370"/>
    <w:rsid w:val="007E092F"/>
    <w:rsid w:val="007E0968"/>
    <w:rsid w:val="007E0D76"/>
    <w:rsid w:val="007E5EC0"/>
    <w:rsid w:val="007E7472"/>
    <w:rsid w:val="007E78C1"/>
    <w:rsid w:val="007F100E"/>
    <w:rsid w:val="007F18EC"/>
    <w:rsid w:val="0080098A"/>
    <w:rsid w:val="00801761"/>
    <w:rsid w:val="00810027"/>
    <w:rsid w:val="008111EB"/>
    <w:rsid w:val="00812A11"/>
    <w:rsid w:val="008130C9"/>
    <w:rsid w:val="00813D02"/>
    <w:rsid w:val="00814833"/>
    <w:rsid w:val="008165FC"/>
    <w:rsid w:val="008166B4"/>
    <w:rsid w:val="0082023B"/>
    <w:rsid w:val="0082033D"/>
    <w:rsid w:val="008222AD"/>
    <w:rsid w:val="00822E74"/>
    <w:rsid w:val="0083104D"/>
    <w:rsid w:val="008349AE"/>
    <w:rsid w:val="00835806"/>
    <w:rsid w:val="0083583E"/>
    <w:rsid w:val="00837CF8"/>
    <w:rsid w:val="008435BE"/>
    <w:rsid w:val="00846D77"/>
    <w:rsid w:val="00852480"/>
    <w:rsid w:val="00855D60"/>
    <w:rsid w:val="008565B4"/>
    <w:rsid w:val="00856632"/>
    <w:rsid w:val="00856AC4"/>
    <w:rsid w:val="008571F8"/>
    <w:rsid w:val="00861EDD"/>
    <w:rsid w:val="00863FBA"/>
    <w:rsid w:val="0086598C"/>
    <w:rsid w:val="00867308"/>
    <w:rsid w:val="0087385E"/>
    <w:rsid w:val="00875FB0"/>
    <w:rsid w:val="00887592"/>
    <w:rsid w:val="0088777E"/>
    <w:rsid w:val="008967A9"/>
    <w:rsid w:val="008A40F8"/>
    <w:rsid w:val="008B0543"/>
    <w:rsid w:val="008B1ABF"/>
    <w:rsid w:val="008B58B0"/>
    <w:rsid w:val="008C0888"/>
    <w:rsid w:val="008C3505"/>
    <w:rsid w:val="008C62D8"/>
    <w:rsid w:val="008C7CD6"/>
    <w:rsid w:val="008D21F8"/>
    <w:rsid w:val="008D30EA"/>
    <w:rsid w:val="008D4FDE"/>
    <w:rsid w:val="008D55C8"/>
    <w:rsid w:val="008E20DE"/>
    <w:rsid w:val="008E4E65"/>
    <w:rsid w:val="008E672C"/>
    <w:rsid w:val="008F1770"/>
    <w:rsid w:val="008F5DFA"/>
    <w:rsid w:val="00900B86"/>
    <w:rsid w:val="009013C5"/>
    <w:rsid w:val="00903E97"/>
    <w:rsid w:val="009061A4"/>
    <w:rsid w:val="00906252"/>
    <w:rsid w:val="00910848"/>
    <w:rsid w:val="00912E02"/>
    <w:rsid w:val="0091449F"/>
    <w:rsid w:val="0092153A"/>
    <w:rsid w:val="00922184"/>
    <w:rsid w:val="0092641E"/>
    <w:rsid w:val="00927D16"/>
    <w:rsid w:val="00931325"/>
    <w:rsid w:val="00931E1A"/>
    <w:rsid w:val="00934F45"/>
    <w:rsid w:val="009361D9"/>
    <w:rsid w:val="00941C0B"/>
    <w:rsid w:val="00942024"/>
    <w:rsid w:val="00944550"/>
    <w:rsid w:val="00951534"/>
    <w:rsid w:val="009550AD"/>
    <w:rsid w:val="009565D4"/>
    <w:rsid w:val="00956C74"/>
    <w:rsid w:val="00962303"/>
    <w:rsid w:val="009665A5"/>
    <w:rsid w:val="00967D7C"/>
    <w:rsid w:val="009704AB"/>
    <w:rsid w:val="00972A63"/>
    <w:rsid w:val="00972F13"/>
    <w:rsid w:val="0097318F"/>
    <w:rsid w:val="0097766E"/>
    <w:rsid w:val="009778E3"/>
    <w:rsid w:val="00977D73"/>
    <w:rsid w:val="00980603"/>
    <w:rsid w:val="00980B09"/>
    <w:rsid w:val="00983EDB"/>
    <w:rsid w:val="0099262A"/>
    <w:rsid w:val="0099751A"/>
    <w:rsid w:val="009A05F3"/>
    <w:rsid w:val="009A0CD2"/>
    <w:rsid w:val="009B3D0C"/>
    <w:rsid w:val="009B56DA"/>
    <w:rsid w:val="009C27CD"/>
    <w:rsid w:val="009D13BB"/>
    <w:rsid w:val="009D31B2"/>
    <w:rsid w:val="009D4644"/>
    <w:rsid w:val="009D50EB"/>
    <w:rsid w:val="009D5618"/>
    <w:rsid w:val="009D588E"/>
    <w:rsid w:val="009D7DBE"/>
    <w:rsid w:val="009E03E4"/>
    <w:rsid w:val="009E32F5"/>
    <w:rsid w:val="009E3655"/>
    <w:rsid w:val="009E6279"/>
    <w:rsid w:val="009E747B"/>
    <w:rsid w:val="009F2649"/>
    <w:rsid w:val="009F340F"/>
    <w:rsid w:val="009F704C"/>
    <w:rsid w:val="00A0215D"/>
    <w:rsid w:val="00A029E1"/>
    <w:rsid w:val="00A039B0"/>
    <w:rsid w:val="00A03E6C"/>
    <w:rsid w:val="00A06666"/>
    <w:rsid w:val="00A105E0"/>
    <w:rsid w:val="00A111DD"/>
    <w:rsid w:val="00A161E7"/>
    <w:rsid w:val="00A23345"/>
    <w:rsid w:val="00A25177"/>
    <w:rsid w:val="00A3018B"/>
    <w:rsid w:val="00A3019A"/>
    <w:rsid w:val="00A3128D"/>
    <w:rsid w:val="00A324EA"/>
    <w:rsid w:val="00A33A46"/>
    <w:rsid w:val="00A33B8F"/>
    <w:rsid w:val="00A36383"/>
    <w:rsid w:val="00A45425"/>
    <w:rsid w:val="00A45B43"/>
    <w:rsid w:val="00A4794A"/>
    <w:rsid w:val="00A53338"/>
    <w:rsid w:val="00A533DE"/>
    <w:rsid w:val="00A53E2B"/>
    <w:rsid w:val="00A55969"/>
    <w:rsid w:val="00A707A1"/>
    <w:rsid w:val="00A72D77"/>
    <w:rsid w:val="00A734FC"/>
    <w:rsid w:val="00A80595"/>
    <w:rsid w:val="00A8126D"/>
    <w:rsid w:val="00A817CE"/>
    <w:rsid w:val="00A8234B"/>
    <w:rsid w:val="00A87C1F"/>
    <w:rsid w:val="00A908B5"/>
    <w:rsid w:val="00A928FA"/>
    <w:rsid w:val="00A9422A"/>
    <w:rsid w:val="00AA075C"/>
    <w:rsid w:val="00AA7B0B"/>
    <w:rsid w:val="00AB0393"/>
    <w:rsid w:val="00AB0588"/>
    <w:rsid w:val="00AB167E"/>
    <w:rsid w:val="00AB32CF"/>
    <w:rsid w:val="00AC59EB"/>
    <w:rsid w:val="00AC76CD"/>
    <w:rsid w:val="00AD049D"/>
    <w:rsid w:val="00AD0A26"/>
    <w:rsid w:val="00AD2235"/>
    <w:rsid w:val="00AD2904"/>
    <w:rsid w:val="00AD2DBF"/>
    <w:rsid w:val="00AE5530"/>
    <w:rsid w:val="00AE5A8D"/>
    <w:rsid w:val="00AE78DD"/>
    <w:rsid w:val="00AF0F5D"/>
    <w:rsid w:val="00AF3E11"/>
    <w:rsid w:val="00AF40E9"/>
    <w:rsid w:val="00B02599"/>
    <w:rsid w:val="00B04E14"/>
    <w:rsid w:val="00B14060"/>
    <w:rsid w:val="00B16B3C"/>
    <w:rsid w:val="00B219AF"/>
    <w:rsid w:val="00B223FF"/>
    <w:rsid w:val="00B25EE3"/>
    <w:rsid w:val="00B269D4"/>
    <w:rsid w:val="00B30013"/>
    <w:rsid w:val="00B32590"/>
    <w:rsid w:val="00B3357C"/>
    <w:rsid w:val="00B36114"/>
    <w:rsid w:val="00B40126"/>
    <w:rsid w:val="00B444BB"/>
    <w:rsid w:val="00B518F2"/>
    <w:rsid w:val="00B53740"/>
    <w:rsid w:val="00B55208"/>
    <w:rsid w:val="00B56BBE"/>
    <w:rsid w:val="00B61C4A"/>
    <w:rsid w:val="00B61EC9"/>
    <w:rsid w:val="00B6437C"/>
    <w:rsid w:val="00B64CA5"/>
    <w:rsid w:val="00B679AD"/>
    <w:rsid w:val="00B72FC3"/>
    <w:rsid w:val="00B732BF"/>
    <w:rsid w:val="00B7744A"/>
    <w:rsid w:val="00B778A7"/>
    <w:rsid w:val="00B82D4D"/>
    <w:rsid w:val="00B84108"/>
    <w:rsid w:val="00B85864"/>
    <w:rsid w:val="00B87EE6"/>
    <w:rsid w:val="00B9260A"/>
    <w:rsid w:val="00B93239"/>
    <w:rsid w:val="00B96ABD"/>
    <w:rsid w:val="00BA3766"/>
    <w:rsid w:val="00BB015D"/>
    <w:rsid w:val="00BB0178"/>
    <w:rsid w:val="00BB040D"/>
    <w:rsid w:val="00BB70F8"/>
    <w:rsid w:val="00BC2513"/>
    <w:rsid w:val="00BC301D"/>
    <w:rsid w:val="00BC54B2"/>
    <w:rsid w:val="00BC5E40"/>
    <w:rsid w:val="00BD108C"/>
    <w:rsid w:val="00BE35CB"/>
    <w:rsid w:val="00BF18DC"/>
    <w:rsid w:val="00C01E0F"/>
    <w:rsid w:val="00C02363"/>
    <w:rsid w:val="00C03C25"/>
    <w:rsid w:val="00C03F0C"/>
    <w:rsid w:val="00C04B4F"/>
    <w:rsid w:val="00C13DE2"/>
    <w:rsid w:val="00C14408"/>
    <w:rsid w:val="00C14776"/>
    <w:rsid w:val="00C17CCE"/>
    <w:rsid w:val="00C17F58"/>
    <w:rsid w:val="00C21D3B"/>
    <w:rsid w:val="00C2551C"/>
    <w:rsid w:val="00C2560F"/>
    <w:rsid w:val="00C307E7"/>
    <w:rsid w:val="00C337DA"/>
    <w:rsid w:val="00C33BF7"/>
    <w:rsid w:val="00C34A92"/>
    <w:rsid w:val="00C35374"/>
    <w:rsid w:val="00C35829"/>
    <w:rsid w:val="00C36245"/>
    <w:rsid w:val="00C370A7"/>
    <w:rsid w:val="00C42575"/>
    <w:rsid w:val="00C4490D"/>
    <w:rsid w:val="00C4717C"/>
    <w:rsid w:val="00C50A8A"/>
    <w:rsid w:val="00C51704"/>
    <w:rsid w:val="00C57E90"/>
    <w:rsid w:val="00C62F1C"/>
    <w:rsid w:val="00C6380F"/>
    <w:rsid w:val="00C72320"/>
    <w:rsid w:val="00C728CB"/>
    <w:rsid w:val="00C73070"/>
    <w:rsid w:val="00C73DA3"/>
    <w:rsid w:val="00C744A3"/>
    <w:rsid w:val="00C77DA6"/>
    <w:rsid w:val="00C80640"/>
    <w:rsid w:val="00C81DB5"/>
    <w:rsid w:val="00C842D2"/>
    <w:rsid w:val="00C854B1"/>
    <w:rsid w:val="00C900FF"/>
    <w:rsid w:val="00C9377B"/>
    <w:rsid w:val="00C93D88"/>
    <w:rsid w:val="00C955A8"/>
    <w:rsid w:val="00CA0357"/>
    <w:rsid w:val="00CB3FC8"/>
    <w:rsid w:val="00CB442A"/>
    <w:rsid w:val="00CB588B"/>
    <w:rsid w:val="00CB6F8D"/>
    <w:rsid w:val="00CD1469"/>
    <w:rsid w:val="00CD2213"/>
    <w:rsid w:val="00CD4B2E"/>
    <w:rsid w:val="00CD4DE4"/>
    <w:rsid w:val="00CD596A"/>
    <w:rsid w:val="00CD6527"/>
    <w:rsid w:val="00CD6B3F"/>
    <w:rsid w:val="00CE2A60"/>
    <w:rsid w:val="00CE624A"/>
    <w:rsid w:val="00CF0D47"/>
    <w:rsid w:val="00CF3E63"/>
    <w:rsid w:val="00CF40A2"/>
    <w:rsid w:val="00CF561E"/>
    <w:rsid w:val="00D00360"/>
    <w:rsid w:val="00D012D8"/>
    <w:rsid w:val="00D03219"/>
    <w:rsid w:val="00D106CB"/>
    <w:rsid w:val="00D11B5E"/>
    <w:rsid w:val="00D143BA"/>
    <w:rsid w:val="00D15AF8"/>
    <w:rsid w:val="00D20DD2"/>
    <w:rsid w:val="00D21A9C"/>
    <w:rsid w:val="00D23149"/>
    <w:rsid w:val="00D276A8"/>
    <w:rsid w:val="00D3360F"/>
    <w:rsid w:val="00D34EEE"/>
    <w:rsid w:val="00D3571A"/>
    <w:rsid w:val="00D37BAF"/>
    <w:rsid w:val="00D41AF4"/>
    <w:rsid w:val="00D42146"/>
    <w:rsid w:val="00D45694"/>
    <w:rsid w:val="00D46038"/>
    <w:rsid w:val="00D51B1E"/>
    <w:rsid w:val="00D524A2"/>
    <w:rsid w:val="00D578BC"/>
    <w:rsid w:val="00D62CDD"/>
    <w:rsid w:val="00D64360"/>
    <w:rsid w:val="00D73536"/>
    <w:rsid w:val="00D8169A"/>
    <w:rsid w:val="00D85D70"/>
    <w:rsid w:val="00D87A73"/>
    <w:rsid w:val="00D90E4A"/>
    <w:rsid w:val="00D96598"/>
    <w:rsid w:val="00D979EA"/>
    <w:rsid w:val="00DA02B9"/>
    <w:rsid w:val="00DA03CE"/>
    <w:rsid w:val="00DA17AE"/>
    <w:rsid w:val="00DA26D6"/>
    <w:rsid w:val="00DA42EA"/>
    <w:rsid w:val="00DA62C0"/>
    <w:rsid w:val="00DA7FEA"/>
    <w:rsid w:val="00DB269B"/>
    <w:rsid w:val="00DB276B"/>
    <w:rsid w:val="00DB4840"/>
    <w:rsid w:val="00DB67F8"/>
    <w:rsid w:val="00DB75E5"/>
    <w:rsid w:val="00DC0148"/>
    <w:rsid w:val="00DC02B5"/>
    <w:rsid w:val="00DC0B10"/>
    <w:rsid w:val="00DC15BA"/>
    <w:rsid w:val="00DC21E3"/>
    <w:rsid w:val="00DC2A67"/>
    <w:rsid w:val="00DC32F1"/>
    <w:rsid w:val="00DC47A2"/>
    <w:rsid w:val="00DD1685"/>
    <w:rsid w:val="00DD27D1"/>
    <w:rsid w:val="00DE221A"/>
    <w:rsid w:val="00DE2334"/>
    <w:rsid w:val="00DE5C1E"/>
    <w:rsid w:val="00DF1F29"/>
    <w:rsid w:val="00DF3AE3"/>
    <w:rsid w:val="00DF472C"/>
    <w:rsid w:val="00DF68F0"/>
    <w:rsid w:val="00DF6CDE"/>
    <w:rsid w:val="00E0113D"/>
    <w:rsid w:val="00E02BE5"/>
    <w:rsid w:val="00E039CB"/>
    <w:rsid w:val="00E0746D"/>
    <w:rsid w:val="00E1423B"/>
    <w:rsid w:val="00E17AC5"/>
    <w:rsid w:val="00E317E1"/>
    <w:rsid w:val="00E33231"/>
    <w:rsid w:val="00E41A26"/>
    <w:rsid w:val="00E44A1B"/>
    <w:rsid w:val="00E5049D"/>
    <w:rsid w:val="00E50D1B"/>
    <w:rsid w:val="00E52DDB"/>
    <w:rsid w:val="00E53FA2"/>
    <w:rsid w:val="00E6186E"/>
    <w:rsid w:val="00E72F03"/>
    <w:rsid w:val="00E7429A"/>
    <w:rsid w:val="00E75BD9"/>
    <w:rsid w:val="00E75D89"/>
    <w:rsid w:val="00E7693C"/>
    <w:rsid w:val="00E84434"/>
    <w:rsid w:val="00E90200"/>
    <w:rsid w:val="00E91364"/>
    <w:rsid w:val="00E91B72"/>
    <w:rsid w:val="00E96226"/>
    <w:rsid w:val="00E9781C"/>
    <w:rsid w:val="00EA0512"/>
    <w:rsid w:val="00EB1362"/>
    <w:rsid w:val="00EB1F0B"/>
    <w:rsid w:val="00EB30F5"/>
    <w:rsid w:val="00EB3207"/>
    <w:rsid w:val="00EB5C8B"/>
    <w:rsid w:val="00EC26F4"/>
    <w:rsid w:val="00EC3CC1"/>
    <w:rsid w:val="00EC47CA"/>
    <w:rsid w:val="00EC5821"/>
    <w:rsid w:val="00EC6B60"/>
    <w:rsid w:val="00ED113C"/>
    <w:rsid w:val="00ED263C"/>
    <w:rsid w:val="00ED2A92"/>
    <w:rsid w:val="00ED407E"/>
    <w:rsid w:val="00ED503D"/>
    <w:rsid w:val="00EE11FD"/>
    <w:rsid w:val="00EE1D07"/>
    <w:rsid w:val="00EE2531"/>
    <w:rsid w:val="00EF60E5"/>
    <w:rsid w:val="00F03AFD"/>
    <w:rsid w:val="00F04294"/>
    <w:rsid w:val="00F04D0C"/>
    <w:rsid w:val="00F13235"/>
    <w:rsid w:val="00F14027"/>
    <w:rsid w:val="00F1494E"/>
    <w:rsid w:val="00F1754E"/>
    <w:rsid w:val="00F22A90"/>
    <w:rsid w:val="00F23798"/>
    <w:rsid w:val="00F25F44"/>
    <w:rsid w:val="00F260AC"/>
    <w:rsid w:val="00F26DFB"/>
    <w:rsid w:val="00F27043"/>
    <w:rsid w:val="00F32C54"/>
    <w:rsid w:val="00F32E6E"/>
    <w:rsid w:val="00F33C8A"/>
    <w:rsid w:val="00F4263A"/>
    <w:rsid w:val="00F4531E"/>
    <w:rsid w:val="00F47E96"/>
    <w:rsid w:val="00F50A3A"/>
    <w:rsid w:val="00F523A3"/>
    <w:rsid w:val="00F52854"/>
    <w:rsid w:val="00F60672"/>
    <w:rsid w:val="00F62A1E"/>
    <w:rsid w:val="00F639A9"/>
    <w:rsid w:val="00F64DB9"/>
    <w:rsid w:val="00F65513"/>
    <w:rsid w:val="00F7594B"/>
    <w:rsid w:val="00F8505E"/>
    <w:rsid w:val="00F85399"/>
    <w:rsid w:val="00F86F23"/>
    <w:rsid w:val="00F90076"/>
    <w:rsid w:val="00F90970"/>
    <w:rsid w:val="00F91075"/>
    <w:rsid w:val="00F911FE"/>
    <w:rsid w:val="00F93183"/>
    <w:rsid w:val="00F96559"/>
    <w:rsid w:val="00FA035F"/>
    <w:rsid w:val="00FA4C1D"/>
    <w:rsid w:val="00FA686C"/>
    <w:rsid w:val="00FA6932"/>
    <w:rsid w:val="00FA7A91"/>
    <w:rsid w:val="00FB3972"/>
    <w:rsid w:val="00FB3E5D"/>
    <w:rsid w:val="00FB61A2"/>
    <w:rsid w:val="00FB70DE"/>
    <w:rsid w:val="00FC29EB"/>
    <w:rsid w:val="00FC2BD1"/>
    <w:rsid w:val="00FC63F3"/>
    <w:rsid w:val="00FD17C2"/>
    <w:rsid w:val="00FD365B"/>
    <w:rsid w:val="00FD4006"/>
    <w:rsid w:val="00FD634F"/>
    <w:rsid w:val="00FE0A7C"/>
    <w:rsid w:val="00FE2611"/>
    <w:rsid w:val="00FF00B4"/>
    <w:rsid w:val="00FF2067"/>
    <w:rsid w:val="00FF224D"/>
    <w:rsid w:val="00FF3FFA"/>
    <w:rsid w:val="00FF45D5"/>
    <w:rsid w:val="00FF50F6"/>
    <w:rsid w:val="00FF5A01"/>
    <w:rsid w:val="00FF6542"/>
    <w:rsid w:val="00FF7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colormru v:ext="edit" colors="#e1e1ff,#069,#bad1e8,#afd787,#cde6b4,#d1e8ba,#0000ac"/>
    </o:shapedefaults>
    <o:shapelayout v:ext="edit">
      <o:idmap v:ext="edit" data="1"/>
    </o:shapelayout>
  </w:shapeDefaults>
  <w:decimalSymbol w:val="."/>
  <w:listSeparator w:val=","/>
  <w14:docId w14:val="6CC8E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8CB"/>
    <w:pPr>
      <w:spacing w:after="180" w:line="264" w:lineRule="auto"/>
    </w:pPr>
    <w:rPr>
      <w:sz w:val="22"/>
    </w:rPr>
  </w:style>
  <w:style w:type="paragraph" w:styleId="Heading1">
    <w:name w:val="heading 1"/>
    <w:basedOn w:val="Normal"/>
    <w:next w:val="BodyText"/>
    <w:link w:val="Heading1Char"/>
    <w:qFormat/>
    <w:rsid w:val="00D979EA"/>
    <w:pPr>
      <w:keepNext/>
      <w:keepLines/>
      <w:pageBreakBefore/>
      <w:numPr>
        <w:numId w:val="5"/>
      </w:numPr>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AE5A8D"/>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C728CB"/>
    <w:pPr>
      <w:keepNext/>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5"/>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5"/>
      </w:numPr>
      <w:spacing w:before="60" w:after="60"/>
      <w:outlineLvl w:val="4"/>
    </w:pPr>
    <w:rPr>
      <w:b/>
      <w:i/>
      <w:color w:val="DA291C"/>
    </w:rPr>
  </w:style>
  <w:style w:type="paragraph" w:styleId="Heading6">
    <w:name w:val="heading 6"/>
    <w:basedOn w:val="Normal"/>
    <w:next w:val="Normal"/>
    <w:qFormat/>
    <w:rsid w:val="00495B91"/>
    <w:pPr>
      <w:numPr>
        <w:ilvl w:val="5"/>
        <w:numId w:val="5"/>
      </w:numPr>
      <w:spacing w:before="60" w:after="60"/>
      <w:outlineLvl w:val="5"/>
    </w:pPr>
    <w:rPr>
      <w:b/>
      <w:bCs/>
      <w:szCs w:val="22"/>
    </w:rPr>
  </w:style>
  <w:style w:type="paragraph" w:styleId="Heading7">
    <w:name w:val="heading 7"/>
    <w:basedOn w:val="Normal"/>
    <w:next w:val="Normal"/>
    <w:qFormat/>
    <w:rsid w:val="003A3403"/>
    <w:pPr>
      <w:numPr>
        <w:ilvl w:val="6"/>
        <w:numId w:val="5"/>
      </w:numPr>
      <w:spacing w:before="240" w:after="60"/>
      <w:outlineLvl w:val="6"/>
    </w:pPr>
    <w:rPr>
      <w:sz w:val="24"/>
      <w:szCs w:val="24"/>
    </w:rPr>
  </w:style>
  <w:style w:type="paragraph" w:styleId="Heading8">
    <w:name w:val="heading 8"/>
    <w:basedOn w:val="Normal"/>
    <w:next w:val="Normal"/>
    <w:qFormat/>
    <w:rsid w:val="003A3403"/>
    <w:pPr>
      <w:numPr>
        <w:ilvl w:val="7"/>
        <w:numId w:val="5"/>
      </w:numPr>
      <w:spacing w:before="240" w:after="60"/>
      <w:outlineLvl w:val="7"/>
    </w:pPr>
    <w:rPr>
      <w:i/>
      <w:iCs/>
      <w:sz w:val="24"/>
      <w:szCs w:val="24"/>
    </w:rPr>
  </w:style>
  <w:style w:type="paragraph" w:styleId="Heading9">
    <w:name w:val="heading 9"/>
    <w:basedOn w:val="Normal"/>
    <w:next w:val="Normal"/>
    <w:qFormat/>
    <w:rsid w:val="003A3403"/>
    <w:pPr>
      <w:numPr>
        <w:ilvl w:val="8"/>
        <w:numId w:val="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0C41F5"/>
    <w:pPr>
      <w:spacing w:before="20" w:after="20"/>
      <w:jc w:val="center"/>
    </w:pPr>
    <w:rPr>
      <w:rFonts w:ascii="Arial Narrow" w:hAnsi="Arial Narrow"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C728CB"/>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0C41F5"/>
    <w:pPr>
      <w:tabs>
        <w:tab w:val="left" w:pos="720"/>
        <w:tab w:val="right" w:leader="dot" w:pos="9360"/>
      </w:tabs>
      <w:spacing w:before="240" w:after="60"/>
      <w:ind w:left="720" w:right="360" w:hanging="720"/>
    </w:pPr>
    <w:rPr>
      <w:b/>
      <w:noProof/>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rsid w:val="004138AB"/>
    <w:pPr>
      <w:tabs>
        <w:tab w:val="left" w:pos="1260"/>
        <w:tab w:val="right" w:leader="dot" w:pos="9360"/>
      </w:tabs>
      <w:spacing w:after="0"/>
      <w:ind w:left="1267" w:right="360" w:hanging="547"/>
    </w:pPr>
    <w:rPr>
      <w:noProof/>
    </w:rPr>
  </w:style>
  <w:style w:type="paragraph" w:styleId="TOC3">
    <w:name w:val="toc 3"/>
    <w:basedOn w:val="BodyText"/>
    <w:next w:val="BodyText"/>
    <w:uiPriority w:val="39"/>
    <w:rsid w:val="004138AB"/>
    <w:pPr>
      <w:tabs>
        <w:tab w:val="left" w:pos="1980"/>
        <w:tab w:val="right" w:leader="dot" w:pos="9360"/>
      </w:tabs>
      <w:spacing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paragraph" w:styleId="CommentSubject">
    <w:name w:val="annotation subject"/>
    <w:basedOn w:val="CommentText"/>
    <w:next w:val="CommentText"/>
    <w:link w:val="CommentSubjectChar"/>
    <w:semiHidden/>
    <w:rsid w:val="00D34EEE"/>
    <w:rPr>
      <w:b/>
      <w:bCs/>
    </w:rPr>
  </w:style>
  <w:style w:type="paragraph" w:styleId="BalloonText">
    <w:name w:val="Balloon Text"/>
    <w:basedOn w:val="Normal"/>
    <w:link w:val="BalloonTextChar"/>
    <w:semiHidden/>
    <w:rsid w:val="00D34EEE"/>
    <w:rPr>
      <w:rFonts w:ascii="Tahoma" w:hAnsi="Tahoma" w:cs="Tahoma"/>
      <w:sz w:val="16"/>
      <w:szCs w:val="16"/>
    </w:rPr>
  </w:style>
  <w:style w:type="table" w:styleId="TableGrid">
    <w:name w:val="Table Grid"/>
    <w:basedOn w:val="TableNormal"/>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4"/>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C728CB"/>
    <w:pPr>
      <w:spacing w:before="20" w:after="20"/>
    </w:pPr>
    <w:rPr>
      <w:rFonts w:ascii="Arial Narrow" w:hAnsi="Arial Narrow"/>
    </w:rPr>
  </w:style>
  <w:style w:type="paragraph" w:customStyle="1" w:styleId="ExhibitColumnHeader">
    <w:name w:val="Exhibit Column Header"/>
    <w:basedOn w:val="ExhibitRowHeader"/>
    <w:qFormat/>
    <w:rsid w:val="00A8234B"/>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uiPriority w:val="1"/>
    <w:qFormat/>
    <w:rsid w:val="00AE5530"/>
    <w:rPr>
      <w:sz w:val="22"/>
    </w:r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qFormat/>
    <w:rsid w:val="002D5525"/>
    <w:pPr>
      <w:numPr>
        <w:numId w:val="0"/>
      </w:numPr>
    </w:pPr>
  </w:style>
  <w:style w:type="paragraph" w:customStyle="1" w:styleId="Heading2ES">
    <w:name w:val="Heading 2 ES"/>
    <w:basedOn w:val="Heading2"/>
    <w:qFormat/>
    <w:rsid w:val="002D5525"/>
    <w:pPr>
      <w:outlineLvl w:val="9"/>
    </w:pPr>
  </w:style>
  <w:style w:type="paragraph" w:customStyle="1" w:styleId="Heading3ES">
    <w:name w:val="Heading 3 ES"/>
    <w:basedOn w:val="Heading3"/>
    <w:qFormat/>
    <w:rsid w:val="002D5525"/>
    <w:pPr>
      <w:outlineLvl w:val="9"/>
    </w:pPr>
  </w:style>
  <w:style w:type="paragraph" w:customStyle="1" w:styleId="BodyTextSS">
    <w:name w:val="Body Text SS"/>
    <w:basedOn w:val="BodyText"/>
    <w:qFormat/>
    <w:rsid w:val="00F7594B"/>
    <w:pPr>
      <w:spacing w:after="0"/>
    </w:pPr>
  </w:style>
  <w:style w:type="paragraph" w:customStyle="1" w:styleId="ExhibitBullet1">
    <w:name w:val="Exhibit Bullet1"/>
    <w:basedOn w:val="ListParagraph"/>
    <w:qFormat/>
    <w:rsid w:val="0024418A"/>
    <w:pPr>
      <w:numPr>
        <w:numId w:val="11"/>
      </w:numPr>
      <w:tabs>
        <w:tab w:val="num" w:pos="1080"/>
      </w:tabs>
      <w:spacing w:before="20" w:after="20"/>
      <w:ind w:left="187" w:hanging="187"/>
      <w:contextualSpacing w:val="0"/>
    </w:pPr>
    <w:rPr>
      <w:rFonts w:ascii="Arial Narrow" w:hAnsi="Arial Narrow"/>
      <w:spacing w:val="-4"/>
      <w:sz w:val="20"/>
    </w:rPr>
  </w:style>
  <w:style w:type="paragraph" w:styleId="ListParagraph">
    <w:name w:val="List Paragraph"/>
    <w:basedOn w:val="Normal"/>
    <w:uiPriority w:val="34"/>
    <w:qFormat/>
    <w:rsid w:val="00A3019A"/>
    <w:pPr>
      <w:ind w:left="720"/>
      <w:contextualSpacing/>
    </w:pPr>
  </w:style>
  <w:style w:type="character" w:customStyle="1" w:styleId="BalloonTextChar">
    <w:name w:val="Balloon Text Char"/>
    <w:basedOn w:val="DefaultParagraphFont"/>
    <w:link w:val="BalloonText"/>
    <w:semiHidden/>
    <w:rsid w:val="00507681"/>
    <w:rPr>
      <w:rFonts w:ascii="Tahoma" w:hAnsi="Tahoma" w:cs="Tahoma"/>
      <w:sz w:val="16"/>
      <w:szCs w:val="16"/>
    </w:rPr>
  </w:style>
  <w:style w:type="paragraph" w:styleId="Revision">
    <w:name w:val="Revision"/>
    <w:hidden/>
    <w:uiPriority w:val="99"/>
    <w:semiHidden/>
    <w:rsid w:val="000B1B78"/>
    <w:rPr>
      <w:sz w:val="22"/>
    </w:rPr>
  </w:style>
  <w:style w:type="paragraph" w:styleId="Bibliography">
    <w:name w:val="Bibliography"/>
    <w:basedOn w:val="Normal"/>
    <w:next w:val="Normal"/>
    <w:uiPriority w:val="37"/>
    <w:unhideWhenUsed/>
    <w:rsid w:val="00186223"/>
  </w:style>
  <w:style w:type="character" w:customStyle="1" w:styleId="slug-doi-wrapper">
    <w:name w:val="slug-doi-wrapper"/>
    <w:basedOn w:val="DefaultParagraphFont"/>
    <w:rsid w:val="007C5457"/>
  </w:style>
  <w:style w:type="character" w:customStyle="1" w:styleId="slug-doi">
    <w:name w:val="slug-doi"/>
    <w:basedOn w:val="DefaultParagraphFont"/>
    <w:rsid w:val="007C5457"/>
  </w:style>
  <w:style w:type="character" w:customStyle="1" w:styleId="CommentTextChar">
    <w:name w:val="Comment Text Char"/>
    <w:basedOn w:val="DefaultParagraphFont"/>
    <w:link w:val="CommentText"/>
    <w:uiPriority w:val="99"/>
    <w:semiHidden/>
    <w:rsid w:val="001457DF"/>
  </w:style>
  <w:style w:type="table" w:customStyle="1" w:styleId="TableGridLight1">
    <w:name w:val="Table Grid Light1"/>
    <w:basedOn w:val="TableNormal"/>
    <w:uiPriority w:val="40"/>
    <w:rsid w:val="00A8234B"/>
    <w:tblPr>
      <w:tblBorders>
        <w:top w:val="single" w:sz="4" w:space="0" w:color="799AAD" w:themeColor="background1" w:themeShade="BF"/>
        <w:left w:val="single" w:sz="4" w:space="0" w:color="799AAD" w:themeColor="background1" w:themeShade="BF"/>
        <w:bottom w:val="single" w:sz="4" w:space="0" w:color="799AAD" w:themeColor="background1" w:themeShade="BF"/>
        <w:right w:val="single" w:sz="4" w:space="0" w:color="799AAD" w:themeColor="background1" w:themeShade="BF"/>
        <w:insideH w:val="single" w:sz="4" w:space="0" w:color="799AAD" w:themeColor="background1" w:themeShade="BF"/>
        <w:insideV w:val="single" w:sz="4" w:space="0" w:color="799AAD" w:themeColor="background1" w:themeShade="BF"/>
      </w:tblBorders>
    </w:tblPr>
  </w:style>
  <w:style w:type="table" w:customStyle="1" w:styleId="FMLA-OMB">
    <w:name w:val="FMLA-OMB"/>
    <w:basedOn w:val="TableNormal"/>
    <w:uiPriority w:val="99"/>
    <w:rsid w:val="000C41F5"/>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shd w:val="clear" w:color="auto" w:fill="C3C6A8" w:themeFill="accent4"/>
        <w:vAlign w:val="bottom"/>
      </w:tcPr>
    </w:tblStylePr>
    <w:tblStylePr w:type="band2Horz">
      <w:tblPr/>
      <w:tcPr>
        <w:shd w:val="clear" w:color="auto" w:fill="E7E8E8" w:themeFill="text2" w:themeFillTint="33"/>
      </w:tcPr>
    </w:tblStylePr>
  </w:style>
  <w:style w:type="character" w:customStyle="1" w:styleId="Heading1Char">
    <w:name w:val="Heading 1 Char"/>
    <w:basedOn w:val="DefaultParagraphFont"/>
    <w:link w:val="Heading1"/>
    <w:rsid w:val="00AE5A8D"/>
    <w:rPr>
      <w:rFonts w:ascii="Arial" w:hAnsi="Arial"/>
      <w:b/>
      <w:color w:val="FFFFFF"/>
      <w:kern w:val="28"/>
      <w:sz w:val="28"/>
      <w:shd w:val="clear" w:color="auto" w:fill="DA291C"/>
    </w:rPr>
  </w:style>
  <w:style w:type="character" w:customStyle="1" w:styleId="Heading2Char">
    <w:name w:val="Heading 2 Char"/>
    <w:basedOn w:val="DefaultParagraphFont"/>
    <w:link w:val="Heading2"/>
    <w:rsid w:val="00AE5A8D"/>
    <w:rPr>
      <w:rFonts w:ascii="Arial" w:hAnsi="Arial" w:cs="Arial"/>
      <w:b/>
      <w:bCs/>
      <w:iCs/>
      <w:color w:val="000000" w:themeColor="text1"/>
      <w:sz w:val="24"/>
      <w:szCs w:val="28"/>
      <w:shd w:val="clear" w:color="auto" w:fill="D0D3D4"/>
    </w:rPr>
  </w:style>
  <w:style w:type="paragraph" w:customStyle="1" w:styleId="HTS">
    <w:name w:val="HTS"/>
    <w:basedOn w:val="Normal"/>
    <w:rsid w:val="00AE5A8D"/>
    <w:pPr>
      <w:autoSpaceDE w:val="0"/>
      <w:autoSpaceDN w:val="0"/>
      <w:adjustRightInd w:val="0"/>
      <w:spacing w:after="0" w:line="240" w:lineRule="auto"/>
      <w:jc w:val="both"/>
    </w:pPr>
    <w:rPr>
      <w:rFonts w:ascii="Book Antiqua" w:eastAsia="Arial Unicode MS" w:hAnsi="Book Antiqua"/>
      <w:sz w:val="24"/>
      <w:szCs w:val="24"/>
    </w:rPr>
  </w:style>
  <w:style w:type="character" w:customStyle="1" w:styleId="CommentSubjectChar">
    <w:name w:val="Comment Subject Char"/>
    <w:basedOn w:val="CommentTextChar"/>
    <w:link w:val="CommentSubject"/>
    <w:semiHidden/>
    <w:rsid w:val="00AE5A8D"/>
    <w:rPr>
      <w:b/>
      <w:bCs/>
    </w:rPr>
  </w:style>
  <w:style w:type="character" w:customStyle="1" w:styleId="HeaderChar">
    <w:name w:val="Header Char"/>
    <w:basedOn w:val="DefaultParagraphFont"/>
    <w:link w:val="Header"/>
    <w:rsid w:val="00AE5A8D"/>
    <w:rPr>
      <w:rFonts w:ascii="Arial" w:hAnsi="Arial"/>
      <w:b/>
      <w:color w:val="595959" w:themeColor="text1" w:themeTint="A6"/>
      <w:sz w:val="24"/>
    </w:rPr>
  </w:style>
  <w:style w:type="character" w:styleId="PlaceholderText">
    <w:name w:val="Placeholder Text"/>
    <w:basedOn w:val="DefaultParagraphFont"/>
    <w:uiPriority w:val="99"/>
    <w:semiHidden/>
    <w:rsid w:val="00AE5A8D"/>
    <w:rPr>
      <w:color w:val="808080"/>
    </w:rPr>
  </w:style>
  <w:style w:type="paragraph" w:styleId="NormalWeb">
    <w:name w:val="Normal (Web)"/>
    <w:basedOn w:val="Normal"/>
    <w:uiPriority w:val="99"/>
    <w:unhideWhenUsed/>
    <w:rsid w:val="00AE5A8D"/>
    <w:pPr>
      <w:spacing w:before="100" w:beforeAutospacing="1" w:after="100" w:afterAutospacing="1" w:line="240" w:lineRule="auto"/>
    </w:pPr>
    <w:rPr>
      <w:sz w:val="24"/>
      <w:szCs w:val="24"/>
    </w:rPr>
  </w:style>
  <w:style w:type="character" w:styleId="Emphasis">
    <w:name w:val="Emphasis"/>
    <w:basedOn w:val="DefaultParagraphFont"/>
    <w:uiPriority w:val="20"/>
    <w:qFormat/>
    <w:rsid w:val="00AE5A8D"/>
    <w:rPr>
      <w:i/>
      <w:iCs/>
    </w:rPr>
  </w:style>
  <w:style w:type="paragraph" w:customStyle="1" w:styleId="Default">
    <w:name w:val="Default"/>
    <w:rsid w:val="00AE5A8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66137">
      <w:bodyDiv w:val="1"/>
      <w:marLeft w:val="0"/>
      <w:marRight w:val="0"/>
      <w:marTop w:val="0"/>
      <w:marBottom w:val="0"/>
      <w:divBdr>
        <w:top w:val="none" w:sz="0" w:space="0" w:color="auto"/>
        <w:left w:val="none" w:sz="0" w:space="0" w:color="auto"/>
        <w:bottom w:val="none" w:sz="0" w:space="0" w:color="auto"/>
        <w:right w:val="none" w:sz="0" w:space="0" w:color="auto"/>
      </w:divBdr>
    </w:div>
    <w:div w:id="191455670">
      <w:bodyDiv w:val="1"/>
      <w:marLeft w:val="0"/>
      <w:marRight w:val="0"/>
      <w:marTop w:val="0"/>
      <w:marBottom w:val="0"/>
      <w:divBdr>
        <w:top w:val="none" w:sz="0" w:space="0" w:color="auto"/>
        <w:left w:val="none" w:sz="0" w:space="0" w:color="auto"/>
        <w:bottom w:val="none" w:sz="0" w:space="0" w:color="auto"/>
        <w:right w:val="none" w:sz="0" w:space="0" w:color="auto"/>
      </w:divBdr>
    </w:div>
    <w:div w:id="318580315">
      <w:bodyDiv w:val="1"/>
      <w:marLeft w:val="0"/>
      <w:marRight w:val="0"/>
      <w:marTop w:val="0"/>
      <w:marBottom w:val="0"/>
      <w:divBdr>
        <w:top w:val="none" w:sz="0" w:space="0" w:color="auto"/>
        <w:left w:val="none" w:sz="0" w:space="0" w:color="auto"/>
        <w:bottom w:val="none" w:sz="0" w:space="0" w:color="auto"/>
        <w:right w:val="none" w:sz="0" w:space="0" w:color="auto"/>
      </w:divBdr>
    </w:div>
    <w:div w:id="401416059">
      <w:bodyDiv w:val="1"/>
      <w:marLeft w:val="0"/>
      <w:marRight w:val="0"/>
      <w:marTop w:val="0"/>
      <w:marBottom w:val="0"/>
      <w:divBdr>
        <w:top w:val="none" w:sz="0" w:space="0" w:color="auto"/>
        <w:left w:val="none" w:sz="0" w:space="0" w:color="auto"/>
        <w:bottom w:val="none" w:sz="0" w:space="0" w:color="auto"/>
        <w:right w:val="none" w:sz="0" w:space="0" w:color="auto"/>
      </w:divBdr>
    </w:div>
    <w:div w:id="514735371">
      <w:bodyDiv w:val="1"/>
      <w:marLeft w:val="0"/>
      <w:marRight w:val="0"/>
      <w:marTop w:val="0"/>
      <w:marBottom w:val="0"/>
      <w:divBdr>
        <w:top w:val="none" w:sz="0" w:space="0" w:color="auto"/>
        <w:left w:val="none" w:sz="0" w:space="0" w:color="auto"/>
        <w:bottom w:val="none" w:sz="0" w:space="0" w:color="auto"/>
        <w:right w:val="none" w:sz="0" w:space="0" w:color="auto"/>
      </w:divBdr>
    </w:div>
    <w:div w:id="601035674">
      <w:bodyDiv w:val="1"/>
      <w:marLeft w:val="0"/>
      <w:marRight w:val="0"/>
      <w:marTop w:val="0"/>
      <w:marBottom w:val="0"/>
      <w:divBdr>
        <w:top w:val="none" w:sz="0" w:space="0" w:color="auto"/>
        <w:left w:val="none" w:sz="0" w:space="0" w:color="auto"/>
        <w:bottom w:val="none" w:sz="0" w:space="0" w:color="auto"/>
        <w:right w:val="none" w:sz="0" w:space="0" w:color="auto"/>
      </w:divBdr>
    </w:div>
    <w:div w:id="640961004">
      <w:bodyDiv w:val="1"/>
      <w:marLeft w:val="0"/>
      <w:marRight w:val="0"/>
      <w:marTop w:val="0"/>
      <w:marBottom w:val="0"/>
      <w:divBdr>
        <w:top w:val="none" w:sz="0" w:space="0" w:color="auto"/>
        <w:left w:val="none" w:sz="0" w:space="0" w:color="auto"/>
        <w:bottom w:val="none" w:sz="0" w:space="0" w:color="auto"/>
        <w:right w:val="none" w:sz="0" w:space="0" w:color="auto"/>
      </w:divBdr>
    </w:div>
    <w:div w:id="788864013">
      <w:bodyDiv w:val="1"/>
      <w:marLeft w:val="0"/>
      <w:marRight w:val="0"/>
      <w:marTop w:val="0"/>
      <w:marBottom w:val="0"/>
      <w:divBdr>
        <w:top w:val="none" w:sz="0" w:space="0" w:color="auto"/>
        <w:left w:val="none" w:sz="0" w:space="0" w:color="auto"/>
        <w:bottom w:val="none" w:sz="0" w:space="0" w:color="auto"/>
        <w:right w:val="none" w:sz="0" w:space="0" w:color="auto"/>
      </w:divBdr>
    </w:div>
    <w:div w:id="839852178">
      <w:bodyDiv w:val="1"/>
      <w:marLeft w:val="0"/>
      <w:marRight w:val="0"/>
      <w:marTop w:val="0"/>
      <w:marBottom w:val="0"/>
      <w:divBdr>
        <w:top w:val="none" w:sz="0" w:space="0" w:color="auto"/>
        <w:left w:val="none" w:sz="0" w:space="0" w:color="auto"/>
        <w:bottom w:val="none" w:sz="0" w:space="0" w:color="auto"/>
        <w:right w:val="none" w:sz="0" w:space="0" w:color="auto"/>
      </w:divBdr>
    </w:div>
    <w:div w:id="1066759418">
      <w:bodyDiv w:val="1"/>
      <w:marLeft w:val="0"/>
      <w:marRight w:val="0"/>
      <w:marTop w:val="0"/>
      <w:marBottom w:val="0"/>
      <w:divBdr>
        <w:top w:val="none" w:sz="0" w:space="0" w:color="auto"/>
        <w:left w:val="none" w:sz="0" w:space="0" w:color="auto"/>
        <w:bottom w:val="none" w:sz="0" w:space="0" w:color="auto"/>
        <w:right w:val="none" w:sz="0" w:space="0" w:color="auto"/>
      </w:divBdr>
      <w:divsChild>
        <w:div w:id="828327419">
          <w:marLeft w:val="0"/>
          <w:marRight w:val="0"/>
          <w:marTop w:val="0"/>
          <w:marBottom w:val="0"/>
          <w:divBdr>
            <w:top w:val="none" w:sz="0" w:space="0" w:color="auto"/>
            <w:left w:val="none" w:sz="0" w:space="0" w:color="auto"/>
            <w:bottom w:val="none" w:sz="0" w:space="0" w:color="auto"/>
            <w:right w:val="none" w:sz="0" w:space="0" w:color="auto"/>
          </w:divBdr>
        </w:div>
      </w:divsChild>
    </w:div>
    <w:div w:id="1302686831">
      <w:bodyDiv w:val="1"/>
      <w:marLeft w:val="0"/>
      <w:marRight w:val="0"/>
      <w:marTop w:val="0"/>
      <w:marBottom w:val="0"/>
      <w:divBdr>
        <w:top w:val="none" w:sz="0" w:space="0" w:color="auto"/>
        <w:left w:val="none" w:sz="0" w:space="0" w:color="auto"/>
        <w:bottom w:val="none" w:sz="0" w:space="0" w:color="auto"/>
        <w:right w:val="none" w:sz="0" w:space="0" w:color="auto"/>
      </w:divBdr>
    </w:div>
    <w:div w:id="1381250106">
      <w:bodyDiv w:val="1"/>
      <w:marLeft w:val="0"/>
      <w:marRight w:val="0"/>
      <w:marTop w:val="0"/>
      <w:marBottom w:val="0"/>
      <w:divBdr>
        <w:top w:val="none" w:sz="0" w:space="0" w:color="auto"/>
        <w:left w:val="none" w:sz="0" w:space="0" w:color="auto"/>
        <w:bottom w:val="none" w:sz="0" w:space="0" w:color="auto"/>
        <w:right w:val="none" w:sz="0" w:space="0" w:color="auto"/>
      </w:divBdr>
    </w:div>
    <w:div w:id="1483741784">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84048">
      <w:bodyDiv w:val="1"/>
      <w:marLeft w:val="0"/>
      <w:marRight w:val="0"/>
      <w:marTop w:val="0"/>
      <w:marBottom w:val="0"/>
      <w:divBdr>
        <w:top w:val="none" w:sz="0" w:space="0" w:color="auto"/>
        <w:left w:val="none" w:sz="0" w:space="0" w:color="auto"/>
        <w:bottom w:val="none" w:sz="0" w:space="0" w:color="auto"/>
        <w:right w:val="none" w:sz="0" w:space="0" w:color="auto"/>
      </w:divBdr>
    </w:div>
    <w:div w:id="1741513941">
      <w:bodyDiv w:val="1"/>
      <w:marLeft w:val="0"/>
      <w:marRight w:val="0"/>
      <w:marTop w:val="0"/>
      <w:marBottom w:val="0"/>
      <w:divBdr>
        <w:top w:val="none" w:sz="0" w:space="0" w:color="auto"/>
        <w:left w:val="none" w:sz="0" w:space="0" w:color="auto"/>
        <w:bottom w:val="none" w:sz="0" w:space="0" w:color="auto"/>
        <w:right w:val="none" w:sz="0" w:space="0" w:color="auto"/>
      </w:divBdr>
    </w:div>
    <w:div w:id="1874685328">
      <w:bodyDiv w:val="1"/>
      <w:marLeft w:val="0"/>
      <w:marRight w:val="0"/>
      <w:marTop w:val="0"/>
      <w:marBottom w:val="0"/>
      <w:divBdr>
        <w:top w:val="none" w:sz="0" w:space="0" w:color="auto"/>
        <w:left w:val="none" w:sz="0" w:space="0" w:color="auto"/>
        <w:bottom w:val="none" w:sz="0" w:space="0" w:color="auto"/>
        <w:right w:val="none" w:sz="0" w:space="0" w:color="auto"/>
      </w:divBdr>
    </w:div>
    <w:div w:id="204860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image" Target="media/image9.wmf"/><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hyperlink" Target="http://surveyinsights.org/?p=5099"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oleObject" Target="embeddings/oleObject10.bin"/><Relationship Id="rId33" Type="http://schemas.openxmlformats.org/officeDocument/2006/relationships/hyperlink" Target="http://www.dol.gov/asp/evaluation/fmla/FMLA-Methodology-Report-Appendices.pdf"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2.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A9433-5489-4983-9F89-8EF8DD7E9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3907</Words>
  <Characters>22271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26126</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2017-02-02T16:11:00Z</dcterms:created>
  <dcterms:modified xsi:type="dcterms:W3CDTF">2017-03-17T18:55:00Z</dcterms:modified>
</cp:coreProperties>
</file>