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9DD56" w14:textId="77777777" w:rsidR="00C70DFA" w:rsidRPr="00C72555" w:rsidRDefault="00C70DFA" w:rsidP="00C70DFA">
      <w:pPr>
        <w:pStyle w:val="Heading1ES"/>
      </w:pPr>
      <w:r>
        <w:t>Attachment E: Summary of Public Comments and DOL Responses</w:t>
      </w:r>
    </w:p>
    <w:p w14:paraId="18DCF5AD" w14:textId="53B75EE6" w:rsidR="00C70DFA" w:rsidRPr="00C72555" w:rsidRDefault="00DD1CAB" w:rsidP="00C70DFA">
      <w:pPr>
        <w:pStyle w:val="BodyText"/>
      </w:pPr>
      <w:r w:rsidRPr="00C72555">
        <w:t xml:space="preserve">In accordance with the Paperwork Reduction Act of 1995 (P.L. 104-13) and Office of Management and Budget (OMB) regulations at 5 CFR Part 1320 (60 FR 44978, August 29, 1995), DOL published a notice in the Federal Register announcing the agency’s intention to request an OMB review of this information collection activity. This notice was published on Friday, October 28, 2016, Volume 81, Number 209, pages 75161-75163, and provided a 60 day period for public comment. A copy of this notice is included as Attachment </w:t>
      </w:r>
      <w:r>
        <w:t>D</w:t>
      </w:r>
      <w:r w:rsidRPr="00C72555">
        <w:t>. During the notice and comment period, the government received 13 comments</w:t>
      </w:r>
      <w:r>
        <w:t xml:space="preserve"> from 12 entities</w:t>
      </w:r>
      <w:r w:rsidRPr="00C72555">
        <w:t xml:space="preserve">. The comments included statements of support for the data collection, requests for the survey instruments, </w:t>
      </w:r>
      <w:r>
        <w:t>and</w:t>
      </w:r>
      <w:r w:rsidRPr="00C72555">
        <w:t xml:space="preserve"> substantive comments about the surveys. </w:t>
      </w:r>
      <w:r>
        <w:t>DOL provided the survey instruments to all entities that requested them. Below is a table with a summary of the substantive comments only and DOL’s responses to those comments. For each entity that provided a substantive comment, each point appears in its own row.</w:t>
      </w:r>
    </w:p>
    <w:tbl>
      <w:tblPr>
        <w:tblStyle w:val="FMLA-OMB"/>
        <w:tblW w:w="9360" w:type="dxa"/>
        <w:tblInd w:w="58" w:type="dxa"/>
        <w:tblLayout w:type="fixed"/>
        <w:tblCellMar>
          <w:left w:w="115" w:type="dxa"/>
          <w:right w:w="115" w:type="dxa"/>
        </w:tblCellMar>
        <w:tblLook w:val="00A0" w:firstRow="1" w:lastRow="0" w:firstColumn="1" w:lastColumn="0" w:noHBand="0" w:noVBand="0"/>
      </w:tblPr>
      <w:tblGrid>
        <w:gridCol w:w="1671"/>
        <w:gridCol w:w="3730"/>
        <w:gridCol w:w="3959"/>
      </w:tblGrid>
      <w:tr w:rsidR="00C70DFA" w:rsidRPr="008F431E" w14:paraId="16C999B8" w14:textId="77777777" w:rsidTr="00A96C62">
        <w:trPr>
          <w:cnfStyle w:val="100000000000" w:firstRow="1" w:lastRow="0" w:firstColumn="0" w:lastColumn="0" w:oddVBand="0" w:evenVBand="0" w:oddHBand="0" w:evenHBand="0" w:firstRowFirstColumn="0" w:firstRowLastColumn="0" w:lastRowFirstColumn="0" w:lastRowLastColumn="0"/>
          <w:cantSplit/>
          <w:tblHeader/>
        </w:trPr>
        <w:tc>
          <w:tcPr>
            <w:tcW w:w="1669" w:type="dxa"/>
          </w:tcPr>
          <w:p w14:paraId="254A3E4F" w14:textId="77777777" w:rsidR="00C70DFA" w:rsidRPr="001E3D1D" w:rsidRDefault="00C70DFA" w:rsidP="00C70DFA">
            <w:pPr>
              <w:pStyle w:val="ExhibitColumnHeader"/>
            </w:pPr>
            <w:r w:rsidRPr="001E3D1D">
              <w:t>Comment Submitter</w:t>
            </w:r>
          </w:p>
        </w:tc>
        <w:tc>
          <w:tcPr>
            <w:tcW w:w="3726" w:type="dxa"/>
          </w:tcPr>
          <w:p w14:paraId="2C4525C1" w14:textId="77777777" w:rsidR="00C70DFA" w:rsidRPr="001E3D1D" w:rsidRDefault="00C70DFA" w:rsidP="00C70DFA">
            <w:pPr>
              <w:pStyle w:val="ExhibitColumnHeader"/>
            </w:pPr>
            <w:r w:rsidRPr="001E3D1D">
              <w:t>Comment Summary</w:t>
            </w:r>
          </w:p>
        </w:tc>
        <w:tc>
          <w:tcPr>
            <w:tcW w:w="3955" w:type="dxa"/>
          </w:tcPr>
          <w:p w14:paraId="73C63AC5" w14:textId="77777777" w:rsidR="00C70DFA" w:rsidRPr="001E3D1D" w:rsidRDefault="00C70DFA" w:rsidP="00C70DFA">
            <w:pPr>
              <w:pStyle w:val="ExhibitColumnHeader"/>
            </w:pPr>
            <w:r w:rsidRPr="001E3D1D">
              <w:t>CEO Response</w:t>
            </w:r>
          </w:p>
        </w:tc>
      </w:tr>
      <w:tr w:rsidR="00C70DFA" w:rsidRPr="008F431E" w14:paraId="7391122C" w14:textId="77777777" w:rsidTr="00A96C62">
        <w:trPr>
          <w:cantSplit/>
        </w:trPr>
        <w:tc>
          <w:tcPr>
            <w:tcW w:w="1669" w:type="dxa"/>
            <w:shd w:val="clear" w:color="auto" w:fill="auto"/>
          </w:tcPr>
          <w:p w14:paraId="4F1AEEF3" w14:textId="77777777" w:rsidR="00C70DFA" w:rsidRPr="00623312" w:rsidRDefault="00C70DFA" w:rsidP="00C70DFA">
            <w:pPr>
              <w:pStyle w:val="ExhibitText"/>
            </w:pPr>
            <w:r w:rsidRPr="00623312">
              <w:t>Institute for Child, Youth and Family Policy, The Heller School for Social Policy and Management, Brandeis University</w:t>
            </w:r>
          </w:p>
        </w:tc>
        <w:tc>
          <w:tcPr>
            <w:tcW w:w="3726" w:type="dxa"/>
            <w:shd w:val="clear" w:color="auto" w:fill="auto"/>
          </w:tcPr>
          <w:p w14:paraId="574DC894" w14:textId="3E0FE146" w:rsidR="00C70DFA" w:rsidRPr="00623312" w:rsidRDefault="00C70DFA" w:rsidP="00C70DFA">
            <w:pPr>
              <w:pStyle w:val="ExhibitText"/>
            </w:pPr>
            <w:r w:rsidRPr="00623312">
              <w:t>Submitter suggested that the sample frame be expanded to include the self-employed.</w:t>
            </w:r>
            <w:r>
              <w:t xml:space="preserve"> </w:t>
            </w:r>
          </w:p>
          <w:p w14:paraId="5E14A99C" w14:textId="77777777" w:rsidR="00C70DFA" w:rsidRPr="00623312" w:rsidRDefault="00C70DFA" w:rsidP="00C70DFA">
            <w:pPr>
              <w:pStyle w:val="ExhibitText"/>
            </w:pPr>
          </w:p>
        </w:tc>
        <w:tc>
          <w:tcPr>
            <w:tcW w:w="3955" w:type="dxa"/>
            <w:shd w:val="clear" w:color="auto" w:fill="auto"/>
          </w:tcPr>
          <w:p w14:paraId="255C5763" w14:textId="6DC1BBB4" w:rsidR="00DD1CAB" w:rsidRPr="00DD1CAB" w:rsidRDefault="00DD1CAB" w:rsidP="00DD1CAB">
            <w:pPr>
              <w:pStyle w:val="ExhibitText"/>
            </w:pPr>
            <w:r w:rsidRPr="00DD1CAB">
              <w:t>We appreciate the advice to clearly and consistently define the sample frame in the survey upfront and in all publications related to the survey and will make our best effort to clarify the language in reports and other publications.</w:t>
            </w:r>
          </w:p>
          <w:p w14:paraId="62912976" w14:textId="77777777" w:rsidR="00DD1CAB" w:rsidRPr="00DD1CAB" w:rsidRDefault="00DD1CAB" w:rsidP="00DD1CAB">
            <w:pPr>
              <w:pStyle w:val="ExhibitText"/>
            </w:pPr>
          </w:p>
          <w:p w14:paraId="3DDD72FC" w14:textId="75F06C0E" w:rsidR="00C70DFA" w:rsidRPr="00041F88" w:rsidRDefault="00DD1CAB" w:rsidP="00DD1CAB">
            <w:pPr>
              <w:pStyle w:val="ExhibitText"/>
            </w:pPr>
            <w:r w:rsidRPr="00DD1CAB">
              <w:t>The primary focus of the Employee Survey is leave conditions under the FMLA. Self-employed workers own their own businesses and, unless they are self-employed and incorporated with over 50 employees, the FMLA does not apply. The self-employed set their own employment policies, including eligibility to take leave and the conditions under which they are allowed to take leave.</w:t>
            </w:r>
          </w:p>
        </w:tc>
      </w:tr>
      <w:tr w:rsidR="00C70DFA" w:rsidRPr="008F431E" w14:paraId="4474C2AA"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val="restart"/>
          </w:tcPr>
          <w:p w14:paraId="1F732004" w14:textId="77777777" w:rsidR="00C70DFA" w:rsidRPr="00623312" w:rsidRDefault="00C70DFA" w:rsidP="00C70DFA">
            <w:pPr>
              <w:pStyle w:val="ExhibitText"/>
            </w:pPr>
            <w:r w:rsidRPr="00623312">
              <w:t>Association of American Railroads</w:t>
            </w:r>
          </w:p>
        </w:tc>
        <w:tc>
          <w:tcPr>
            <w:tcW w:w="3726" w:type="dxa"/>
          </w:tcPr>
          <w:p w14:paraId="1EA00103" w14:textId="77777777" w:rsidR="00C70DFA" w:rsidRPr="00623312" w:rsidRDefault="00C70DFA" w:rsidP="00C70DFA">
            <w:pPr>
              <w:pStyle w:val="ExhibitText"/>
            </w:pPr>
            <w:r w:rsidRPr="00623312">
              <w:t>Respondents to the Employer Survey should have the option of providing company-wide data rather than worksite data;</w:t>
            </w:r>
          </w:p>
        </w:tc>
        <w:tc>
          <w:tcPr>
            <w:tcW w:w="3955" w:type="dxa"/>
          </w:tcPr>
          <w:p w14:paraId="509A2470" w14:textId="0CCD585D" w:rsidR="00C70DFA" w:rsidRPr="001E3D1D" w:rsidRDefault="00DD1CAB" w:rsidP="00C70DFA">
            <w:pPr>
              <w:pStyle w:val="ExhibitText"/>
            </w:pPr>
            <w:r w:rsidRPr="00DD1CAB">
              <w:t xml:space="preserve">Previous waves of the survey used a sample design based on worksites. It is important to maintain a consistent reference point among respondents that most coincides with the administration of FMLA. </w:t>
            </w:r>
          </w:p>
        </w:tc>
      </w:tr>
      <w:tr w:rsidR="00C70DFA" w:rsidRPr="008F431E" w14:paraId="6735EDB0" w14:textId="77777777" w:rsidTr="00A96C62">
        <w:trPr>
          <w:cantSplit/>
        </w:trPr>
        <w:tc>
          <w:tcPr>
            <w:tcW w:w="1669" w:type="dxa"/>
            <w:vMerge/>
            <w:shd w:val="clear" w:color="auto" w:fill="E7E8E8" w:themeFill="text2" w:themeFillTint="33"/>
          </w:tcPr>
          <w:p w14:paraId="4E5CD5C3" w14:textId="77777777" w:rsidR="00C70DFA" w:rsidRPr="00623312" w:rsidRDefault="00C70DFA" w:rsidP="00C70DFA">
            <w:pPr>
              <w:pStyle w:val="ExhibitText"/>
            </w:pPr>
          </w:p>
        </w:tc>
        <w:tc>
          <w:tcPr>
            <w:tcW w:w="3726" w:type="dxa"/>
            <w:shd w:val="clear" w:color="auto" w:fill="E7E8E8" w:themeFill="text2" w:themeFillTint="33"/>
          </w:tcPr>
          <w:p w14:paraId="5A818A28" w14:textId="77777777" w:rsidR="00C70DFA" w:rsidRPr="00623312" w:rsidRDefault="00C70DFA" w:rsidP="00C70DFA">
            <w:pPr>
              <w:pStyle w:val="ExhibitText"/>
            </w:pPr>
            <w:r>
              <w:t>T</w:t>
            </w:r>
            <w:r w:rsidRPr="00623312">
              <w:t>he Employer Survey should ask about “general disciplinary action” related to FMLA abuse, rather than the response to the most recent case of FMLA misuse; and</w:t>
            </w:r>
          </w:p>
        </w:tc>
        <w:tc>
          <w:tcPr>
            <w:tcW w:w="3955" w:type="dxa"/>
            <w:shd w:val="clear" w:color="auto" w:fill="E7E8E8" w:themeFill="text2" w:themeFillTint="33"/>
          </w:tcPr>
          <w:p w14:paraId="369E0516" w14:textId="61B96648" w:rsidR="00C70DFA" w:rsidRPr="001E3D1D" w:rsidRDefault="00DD1CAB" w:rsidP="00C70DFA">
            <w:pPr>
              <w:pStyle w:val="ExhibitText"/>
            </w:pPr>
            <w:r w:rsidRPr="00DD1CAB">
              <w:t>While incidence is low, asking about the most recent case of FMLA misuse will provide a random sample of disciplinary action. Using the most recent case of FMLA misuse will provide a random sample of disciplinary action. DOL has considered the additional burden of reporting for both the worksite and general misuse. Pre-testing in previous rounds of questionnaire development indicate that disciplinary action is often tailored to the case, rather than in a general way and may vary by firm size. Nevertheless we have added a general question about disciplinary action related to FMLA use.</w:t>
            </w:r>
          </w:p>
        </w:tc>
      </w:tr>
      <w:tr w:rsidR="00C70DFA" w:rsidRPr="008F431E" w14:paraId="2E2BE2BA"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tcPr>
          <w:p w14:paraId="1AEC6AD5" w14:textId="77777777" w:rsidR="00C70DFA" w:rsidRPr="00623312" w:rsidRDefault="00C70DFA" w:rsidP="00C70DFA">
            <w:pPr>
              <w:pStyle w:val="ExhibitText"/>
            </w:pPr>
          </w:p>
        </w:tc>
        <w:tc>
          <w:tcPr>
            <w:tcW w:w="3726" w:type="dxa"/>
          </w:tcPr>
          <w:p w14:paraId="7ACB2473" w14:textId="46CF59F3" w:rsidR="00C70DFA" w:rsidRPr="00623312" w:rsidRDefault="00C70DFA" w:rsidP="00C70DFA">
            <w:pPr>
              <w:pStyle w:val="ExhibitText"/>
            </w:pPr>
            <w:r>
              <w:t>T</w:t>
            </w:r>
            <w:r w:rsidRPr="00623312">
              <w:t xml:space="preserve">he Employer Survey should include </w:t>
            </w:r>
            <w:r w:rsidR="00683DEF">
              <w:t xml:space="preserve">a </w:t>
            </w:r>
            <w:r w:rsidRPr="00623312">
              <w:t>question about all costs, including overtime and other costs triggered by FMLA usage.</w:t>
            </w:r>
          </w:p>
        </w:tc>
        <w:tc>
          <w:tcPr>
            <w:tcW w:w="3955" w:type="dxa"/>
          </w:tcPr>
          <w:p w14:paraId="5E423D05" w14:textId="77777777" w:rsidR="00C70DFA" w:rsidRPr="004A54F9" w:rsidRDefault="00C70DFA" w:rsidP="00C70DFA">
            <w:pPr>
              <w:pStyle w:val="ExhibitText"/>
            </w:pPr>
            <w:r w:rsidRPr="001E3D1D">
              <w:t xml:space="preserve">Updates to the </w:t>
            </w:r>
            <w:r>
              <w:t>Employer S</w:t>
            </w:r>
            <w:r w:rsidRPr="001E3D1D">
              <w:t xml:space="preserve">urvey have included additional questions about overtime and other costs. </w:t>
            </w:r>
          </w:p>
        </w:tc>
      </w:tr>
      <w:tr w:rsidR="00C70DFA" w:rsidRPr="008F431E" w14:paraId="6B47E3C8" w14:textId="77777777" w:rsidTr="00A96C62">
        <w:trPr>
          <w:cantSplit/>
        </w:trPr>
        <w:tc>
          <w:tcPr>
            <w:tcW w:w="1669" w:type="dxa"/>
            <w:vMerge w:val="restart"/>
            <w:shd w:val="clear" w:color="auto" w:fill="auto"/>
          </w:tcPr>
          <w:p w14:paraId="64A5C15A" w14:textId="77777777" w:rsidR="00C70DFA" w:rsidRPr="00623312" w:rsidRDefault="00C70DFA" w:rsidP="00C70DFA">
            <w:pPr>
              <w:pStyle w:val="ExhibitText"/>
            </w:pPr>
            <w:r w:rsidRPr="00623312">
              <w:t>Airlines for America</w:t>
            </w:r>
          </w:p>
        </w:tc>
        <w:tc>
          <w:tcPr>
            <w:tcW w:w="3726" w:type="dxa"/>
            <w:shd w:val="clear" w:color="auto" w:fill="auto"/>
          </w:tcPr>
          <w:p w14:paraId="45F773FC" w14:textId="10DF9282" w:rsidR="00C70DFA" w:rsidRPr="00623312" w:rsidRDefault="00C70DFA" w:rsidP="00C70DFA">
            <w:pPr>
              <w:pStyle w:val="ExhibitText"/>
            </w:pPr>
            <w:r>
              <w:t>R</w:t>
            </w:r>
            <w:r w:rsidRPr="00623312">
              <w:t xml:space="preserve">espondents to the Employer Survey </w:t>
            </w:r>
            <w:r w:rsidR="00DD1CAB">
              <w:t xml:space="preserve">should </w:t>
            </w:r>
            <w:r w:rsidRPr="00623312">
              <w:t>have the option of providing company-wide</w:t>
            </w:r>
            <w:r>
              <w:t xml:space="preserve"> data rather than worksite data</w:t>
            </w:r>
            <w:r w:rsidR="00DD1CAB">
              <w:t>.</w:t>
            </w:r>
          </w:p>
        </w:tc>
        <w:tc>
          <w:tcPr>
            <w:tcW w:w="3955" w:type="dxa"/>
            <w:shd w:val="clear" w:color="auto" w:fill="auto"/>
          </w:tcPr>
          <w:p w14:paraId="41295FAA" w14:textId="37F4415D" w:rsidR="00C70DFA" w:rsidRPr="001E3D1D" w:rsidRDefault="00DD1CAB" w:rsidP="008640BE">
            <w:pPr>
              <w:pStyle w:val="ExhibitText"/>
            </w:pPr>
            <w:r w:rsidRPr="00DD1CAB">
              <w:t>Previous waves of the survey used a sample design based on worksites. It is important to maintain a consistent reference point among respondents that most coincides with the administration of FMLA.</w:t>
            </w:r>
          </w:p>
        </w:tc>
      </w:tr>
      <w:tr w:rsidR="00C70DFA" w:rsidRPr="008F431E" w14:paraId="0012F556"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shd w:val="clear" w:color="auto" w:fill="auto"/>
          </w:tcPr>
          <w:p w14:paraId="3FFA667E" w14:textId="77777777" w:rsidR="00C70DFA" w:rsidRPr="00623312" w:rsidRDefault="00C70DFA" w:rsidP="00C70DFA">
            <w:pPr>
              <w:pStyle w:val="ExhibitText"/>
            </w:pPr>
          </w:p>
        </w:tc>
        <w:tc>
          <w:tcPr>
            <w:tcW w:w="3726" w:type="dxa"/>
            <w:shd w:val="clear" w:color="auto" w:fill="auto"/>
          </w:tcPr>
          <w:p w14:paraId="043ACCEA" w14:textId="77777777" w:rsidR="00C70DFA" w:rsidRPr="004A54F9" w:rsidRDefault="00C70DFA" w:rsidP="00C70DFA">
            <w:pPr>
              <w:pStyle w:val="ExhibitText"/>
            </w:pPr>
            <w:r w:rsidRPr="004A54F9">
              <w:t>The Employer Survey should have specific question for eligibility of flight crew members (504 hours rather than 1250).</w:t>
            </w:r>
          </w:p>
        </w:tc>
        <w:tc>
          <w:tcPr>
            <w:tcW w:w="3955" w:type="dxa"/>
            <w:shd w:val="clear" w:color="auto" w:fill="auto"/>
          </w:tcPr>
          <w:p w14:paraId="5ED3D804" w14:textId="77777777" w:rsidR="00C70DFA" w:rsidRPr="00E74D6E" w:rsidRDefault="00C70DFA" w:rsidP="00C70DFA">
            <w:pPr>
              <w:pStyle w:val="ExhibitText"/>
            </w:pPr>
            <w:r w:rsidRPr="00E74D6E">
              <w:t xml:space="preserve">This survey is a national probability sample of worksites and is not designed to be tailored to specific industries. </w:t>
            </w:r>
            <w:r>
              <w:t>In addition, sample sizes for any particular industry (e.g., the airline industry) are too small to yield useful information.</w:t>
            </w:r>
          </w:p>
        </w:tc>
      </w:tr>
      <w:tr w:rsidR="00C70DFA" w:rsidRPr="008F431E" w14:paraId="5D9057B5" w14:textId="77777777" w:rsidTr="00A96C62">
        <w:trPr>
          <w:cantSplit/>
        </w:trPr>
        <w:tc>
          <w:tcPr>
            <w:tcW w:w="1669" w:type="dxa"/>
            <w:vMerge/>
            <w:shd w:val="clear" w:color="auto" w:fill="auto"/>
          </w:tcPr>
          <w:p w14:paraId="725A9C96" w14:textId="77777777" w:rsidR="00C70DFA" w:rsidRPr="00623312" w:rsidRDefault="00C70DFA" w:rsidP="00C70DFA">
            <w:pPr>
              <w:pStyle w:val="ExhibitText"/>
            </w:pPr>
          </w:p>
        </w:tc>
        <w:tc>
          <w:tcPr>
            <w:tcW w:w="3726" w:type="dxa"/>
            <w:shd w:val="clear" w:color="auto" w:fill="auto"/>
          </w:tcPr>
          <w:p w14:paraId="1936171D" w14:textId="3E18775E" w:rsidR="00C70DFA" w:rsidRPr="004A54F9" w:rsidRDefault="00C70DFA" w:rsidP="00C70DFA">
            <w:pPr>
              <w:pStyle w:val="ExhibitText"/>
            </w:pPr>
            <w:r w:rsidRPr="004A54F9">
              <w:t>The Employer Survey sho</w:t>
            </w:r>
            <w:r w:rsidR="00DD1CAB">
              <w:t>uld include time increments of one</w:t>
            </w:r>
            <w:r w:rsidRPr="004A54F9">
              <w:t xml:space="preserve"> day.</w:t>
            </w:r>
          </w:p>
        </w:tc>
        <w:tc>
          <w:tcPr>
            <w:tcW w:w="3955" w:type="dxa"/>
            <w:shd w:val="clear" w:color="auto" w:fill="auto"/>
          </w:tcPr>
          <w:p w14:paraId="4B2174F2" w14:textId="46EC12DD" w:rsidR="00C70DFA" w:rsidRPr="00E74D6E" w:rsidRDefault="00090937" w:rsidP="00090937">
            <w:pPr>
              <w:pStyle w:val="ExhibitText"/>
            </w:pPr>
            <w:r>
              <w:t>The question to which this comment refers has been removed fro</w:t>
            </w:r>
            <w:bookmarkStart w:id="0" w:name="_GoBack"/>
            <w:bookmarkEnd w:id="0"/>
            <w:r>
              <w:t xml:space="preserve">m the survey. </w:t>
            </w:r>
          </w:p>
        </w:tc>
      </w:tr>
      <w:tr w:rsidR="00C70DFA" w:rsidRPr="008F431E" w14:paraId="54452361"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shd w:val="clear" w:color="auto" w:fill="auto"/>
          </w:tcPr>
          <w:p w14:paraId="058194E6" w14:textId="77777777" w:rsidR="00C70DFA" w:rsidRPr="00623312" w:rsidRDefault="00C70DFA" w:rsidP="00C70DFA">
            <w:pPr>
              <w:pStyle w:val="ExhibitText"/>
            </w:pPr>
          </w:p>
        </w:tc>
        <w:tc>
          <w:tcPr>
            <w:tcW w:w="3726" w:type="dxa"/>
            <w:shd w:val="clear" w:color="auto" w:fill="auto"/>
          </w:tcPr>
          <w:p w14:paraId="5739DC5F" w14:textId="77777777" w:rsidR="00C70DFA" w:rsidRPr="004A54F9" w:rsidRDefault="00C70DFA" w:rsidP="00C70DFA">
            <w:pPr>
              <w:pStyle w:val="ExhibitText"/>
            </w:pPr>
            <w:r w:rsidRPr="004A54F9">
              <w:t>The Employer Survey should ask about “general disciplinary action” related to FMLA abuse, rather than the response to the most recent case of FMLA misuse.</w:t>
            </w:r>
          </w:p>
        </w:tc>
        <w:tc>
          <w:tcPr>
            <w:tcW w:w="3955" w:type="dxa"/>
            <w:shd w:val="clear" w:color="auto" w:fill="auto"/>
          </w:tcPr>
          <w:p w14:paraId="61C817C7" w14:textId="4D25E7E3" w:rsidR="00C70DFA" w:rsidRPr="001E3D1D" w:rsidRDefault="00DD1CAB" w:rsidP="00C70DFA">
            <w:pPr>
              <w:pStyle w:val="ExhibitText"/>
            </w:pPr>
            <w:r w:rsidRPr="00DD1CAB">
              <w:t>While incidence is low, asking about the most recent case of FMLA misuse will provide a random sample of disciplinary action. Using the most recent case of FMLA misuse will provide a random sample of disciplinary action. DOL has considered the additional burden of reporting for both the worksite and general misuse. Pre-testing in previous rounds of questionnaire development indicate that disciplinary action is often tailored to the case, rather than in a general way and may vary by firm size. Nevertheless we have added a general question about disciplinary action related to FMLA use.</w:t>
            </w:r>
          </w:p>
        </w:tc>
      </w:tr>
      <w:tr w:rsidR="00C70DFA" w:rsidRPr="008F431E" w14:paraId="08C1E2FF" w14:textId="77777777" w:rsidTr="00A96C62">
        <w:trPr>
          <w:cantSplit/>
        </w:trPr>
        <w:tc>
          <w:tcPr>
            <w:tcW w:w="1669" w:type="dxa"/>
            <w:vMerge/>
            <w:shd w:val="clear" w:color="auto" w:fill="auto"/>
          </w:tcPr>
          <w:p w14:paraId="7B6B2444" w14:textId="77777777" w:rsidR="00C70DFA" w:rsidRPr="00623312" w:rsidRDefault="00C70DFA" w:rsidP="00C70DFA">
            <w:pPr>
              <w:pStyle w:val="ExhibitText"/>
            </w:pPr>
          </w:p>
        </w:tc>
        <w:tc>
          <w:tcPr>
            <w:tcW w:w="3726" w:type="dxa"/>
            <w:shd w:val="clear" w:color="auto" w:fill="auto"/>
          </w:tcPr>
          <w:p w14:paraId="585B3159" w14:textId="1BBA9BBE" w:rsidR="00C70DFA" w:rsidRPr="004A54F9" w:rsidRDefault="00C70DFA" w:rsidP="00C70DFA">
            <w:pPr>
              <w:pStyle w:val="ExhibitText"/>
            </w:pPr>
            <w:r w:rsidRPr="004A54F9">
              <w:t xml:space="preserve">The Employer Survey should include </w:t>
            </w:r>
            <w:r w:rsidR="00683DEF">
              <w:t xml:space="preserve">a </w:t>
            </w:r>
            <w:r w:rsidRPr="00683DEF">
              <w:t>question</w:t>
            </w:r>
            <w:r w:rsidRPr="004A54F9">
              <w:t xml:space="preserve"> about all costs, including overtime and other costs triggered by FMLA usage.</w:t>
            </w:r>
          </w:p>
        </w:tc>
        <w:tc>
          <w:tcPr>
            <w:tcW w:w="3955" w:type="dxa"/>
            <w:shd w:val="clear" w:color="auto" w:fill="auto"/>
          </w:tcPr>
          <w:p w14:paraId="1AB0B950" w14:textId="3AE41079" w:rsidR="00C70DFA" w:rsidRPr="001E3D1D" w:rsidRDefault="00C70DFA" w:rsidP="00C70DFA">
            <w:pPr>
              <w:pStyle w:val="ExhibitText"/>
            </w:pPr>
            <w:r w:rsidRPr="001E3D1D">
              <w:t xml:space="preserve">Updates to the </w:t>
            </w:r>
            <w:r>
              <w:t>Employer S</w:t>
            </w:r>
            <w:r w:rsidRPr="001E3D1D">
              <w:t xml:space="preserve">urvey have included additional questions about overtime and other costs. </w:t>
            </w:r>
          </w:p>
        </w:tc>
      </w:tr>
      <w:tr w:rsidR="00C70DFA" w:rsidRPr="008F431E" w14:paraId="4EDE9FD1"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val="restart"/>
          </w:tcPr>
          <w:p w14:paraId="112DF534" w14:textId="77777777" w:rsidR="00C70DFA" w:rsidRPr="00C70DFA" w:rsidRDefault="00C70DFA" w:rsidP="00C70DFA">
            <w:pPr>
              <w:pStyle w:val="ExhibitText"/>
            </w:pPr>
            <w:r w:rsidRPr="00C70DFA">
              <w:t>Equal Employment Advisory Council</w:t>
            </w:r>
          </w:p>
        </w:tc>
        <w:tc>
          <w:tcPr>
            <w:tcW w:w="3726" w:type="dxa"/>
          </w:tcPr>
          <w:p w14:paraId="2B2497F2" w14:textId="77777777" w:rsidR="00C70DFA" w:rsidRPr="004A54F9" w:rsidRDefault="00C70DFA" w:rsidP="00C70DFA">
            <w:pPr>
              <w:pStyle w:val="ExhibitText"/>
            </w:pPr>
            <w:r w:rsidRPr="004A54F9">
              <w:t>The Employer Survey should ask more in-depth questions about use and administration of intermittent leave.</w:t>
            </w:r>
          </w:p>
        </w:tc>
        <w:tc>
          <w:tcPr>
            <w:tcW w:w="3955" w:type="dxa"/>
          </w:tcPr>
          <w:p w14:paraId="35E5E067" w14:textId="3C8BA371" w:rsidR="00C70DFA" w:rsidRPr="001E3D1D" w:rsidRDefault="00C70DFA" w:rsidP="008640BE">
            <w:pPr>
              <w:pStyle w:val="ExhibitText"/>
            </w:pPr>
            <w:r w:rsidRPr="001E3D1D">
              <w:t xml:space="preserve">The selection of survey questions must balance respondent burden and analytic utility. In consideration of all the topics that need to be covered, </w:t>
            </w:r>
            <w:r>
              <w:t>the included</w:t>
            </w:r>
            <w:r w:rsidRPr="001E3D1D">
              <w:t xml:space="preserve"> questions on intermittent leave have been selected as the most informative, given the incidence of intermittent leave</w:t>
            </w:r>
            <w:r w:rsidR="008640BE">
              <w:t>-</w:t>
            </w:r>
            <w:r w:rsidRPr="001E3D1D">
              <w:t>taking.</w:t>
            </w:r>
            <w:r>
              <w:t xml:space="preserve"> Adding more questions related to intermittent leave</w:t>
            </w:r>
            <w:r w:rsidR="008640BE">
              <w:t>-</w:t>
            </w:r>
            <w:r>
              <w:t xml:space="preserve">taking would increase the total survey length and other priority questions would have to be dropped. DOL has determined that the questions on intermittent leave are sufficient for their research questions, given the need to retain other items. </w:t>
            </w:r>
          </w:p>
        </w:tc>
      </w:tr>
      <w:tr w:rsidR="00C70DFA" w:rsidRPr="008F431E" w14:paraId="504C0B3D" w14:textId="77777777" w:rsidTr="00A96C62">
        <w:trPr>
          <w:cantSplit/>
        </w:trPr>
        <w:tc>
          <w:tcPr>
            <w:tcW w:w="1669" w:type="dxa"/>
            <w:vMerge/>
            <w:shd w:val="clear" w:color="auto" w:fill="E7E8E8" w:themeFill="text2" w:themeFillTint="33"/>
          </w:tcPr>
          <w:p w14:paraId="4DA5EAF1" w14:textId="77777777" w:rsidR="00C70DFA" w:rsidRPr="00623312" w:rsidRDefault="00C70DFA" w:rsidP="00C70DFA">
            <w:pPr>
              <w:pStyle w:val="ExhibitText"/>
              <w:rPr>
                <w:b/>
              </w:rPr>
            </w:pPr>
          </w:p>
        </w:tc>
        <w:tc>
          <w:tcPr>
            <w:tcW w:w="3726" w:type="dxa"/>
            <w:shd w:val="clear" w:color="auto" w:fill="E7E8E8" w:themeFill="text2" w:themeFillTint="33"/>
          </w:tcPr>
          <w:p w14:paraId="71330D78" w14:textId="77777777" w:rsidR="00C70DFA" w:rsidRPr="004A54F9" w:rsidRDefault="00C70DFA" w:rsidP="00C70DFA">
            <w:pPr>
              <w:pStyle w:val="ExhibitText"/>
            </w:pPr>
            <w:r w:rsidRPr="004A54F9">
              <w:t>The Employer Survey should ask specific and detailed questions distinguishing between exempt and nonexempt employees.</w:t>
            </w:r>
          </w:p>
        </w:tc>
        <w:tc>
          <w:tcPr>
            <w:tcW w:w="3955" w:type="dxa"/>
            <w:shd w:val="clear" w:color="auto" w:fill="E7E8E8" w:themeFill="text2" w:themeFillTint="33"/>
          </w:tcPr>
          <w:p w14:paraId="4E98A057" w14:textId="77777777" w:rsidR="00C70DFA" w:rsidRPr="00E74D6E" w:rsidRDefault="00C70DFA" w:rsidP="00C70DFA">
            <w:pPr>
              <w:pStyle w:val="ExhibitText"/>
            </w:pPr>
            <w:r w:rsidRPr="00E74D6E">
              <w:t xml:space="preserve">DOL has considered the burden additional detailed questions on exempt and non-exempt employees would entail and has elected not to include additional questions. </w:t>
            </w:r>
          </w:p>
        </w:tc>
      </w:tr>
      <w:tr w:rsidR="00C70DFA" w:rsidRPr="008F431E" w14:paraId="68B40E71"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vMerge/>
          </w:tcPr>
          <w:p w14:paraId="1057F0A4" w14:textId="77777777" w:rsidR="00C70DFA" w:rsidRPr="00623312" w:rsidRDefault="00C70DFA" w:rsidP="00C70DFA">
            <w:pPr>
              <w:pStyle w:val="ExhibitText"/>
              <w:rPr>
                <w:b/>
              </w:rPr>
            </w:pPr>
          </w:p>
        </w:tc>
        <w:tc>
          <w:tcPr>
            <w:tcW w:w="3726" w:type="dxa"/>
          </w:tcPr>
          <w:p w14:paraId="18B77003" w14:textId="77777777" w:rsidR="00C70DFA" w:rsidRPr="004A54F9" w:rsidRDefault="00C70DFA" w:rsidP="00C70DFA">
            <w:pPr>
              <w:pStyle w:val="ExhibitText"/>
            </w:pPr>
            <w:r w:rsidRPr="004A54F9">
              <w:t>The Employer Survey should eliminate any questions that do not address FMLA requirements, such as use of paid leave.</w:t>
            </w:r>
          </w:p>
        </w:tc>
        <w:tc>
          <w:tcPr>
            <w:tcW w:w="3955" w:type="dxa"/>
          </w:tcPr>
          <w:p w14:paraId="394A0BD0" w14:textId="54698B9B" w:rsidR="00C70DFA" w:rsidRPr="001E3D1D" w:rsidRDefault="00C70DFA" w:rsidP="00623E58">
            <w:pPr>
              <w:pStyle w:val="ExhibitText"/>
              <w:spacing w:after="120"/>
            </w:pPr>
            <w:r w:rsidRPr="00DA7D72">
              <w:t>For the most part, the questionnaires only address issues that reflect the requirements, benefits and coverage parameters established under FMLA. However, in both surveys</w:t>
            </w:r>
            <w:r w:rsidR="00623E58">
              <w:t xml:space="preserve"> </w:t>
            </w:r>
            <w:r w:rsidRPr="00DA7D72">
              <w:t>select issues cannot be thoroughly examined with</w:t>
            </w:r>
            <w:r w:rsidR="008640BE">
              <w:t>out</w:t>
            </w:r>
            <w:r w:rsidRPr="00DA7D72">
              <w:t xml:space="preserve"> expanding the scope of the questions to incorporate</w:t>
            </w:r>
            <w:r w:rsidR="008640BE">
              <w:t>,</w:t>
            </w:r>
            <w:r w:rsidRPr="00DA7D72">
              <w:t xml:space="preserve"> for instance, the availability and use of paid leave. Given the growing availability of paid leave since 2012, the current employee instrument must now ackn</w:t>
            </w:r>
            <w:r>
              <w:t xml:space="preserve">owledge its presence in asking </w:t>
            </w:r>
            <w:r w:rsidRPr="00DA7D72">
              <w:t>about the range of available options for addressing medical conditions.</w:t>
            </w:r>
            <w:r>
              <w:t xml:space="preserve"> </w:t>
            </w:r>
            <w:r w:rsidRPr="00DA7D72">
              <w:t>In the same vein, questions asked of employers regarding their use of FMLA and the perceived</w:t>
            </w:r>
            <w:r>
              <w:t xml:space="preserve"> </w:t>
            </w:r>
            <w:r w:rsidR="00623E58">
              <w:t>administrative burden</w:t>
            </w:r>
            <w:r w:rsidRPr="00DA7D72">
              <w:t xml:space="preserve"> must </w:t>
            </w:r>
            <w:r w:rsidRPr="004A54F9">
              <w:t>also account for resources outside of FMLA. Similarly, access to benefits such as paid sick time and disability intersect with the coordination with FMLA.</w:t>
            </w:r>
          </w:p>
        </w:tc>
      </w:tr>
      <w:tr w:rsidR="00C70DFA" w:rsidRPr="008F431E" w14:paraId="69A21361" w14:textId="77777777" w:rsidTr="00A96C62">
        <w:trPr>
          <w:cantSplit/>
        </w:trPr>
        <w:tc>
          <w:tcPr>
            <w:tcW w:w="1669" w:type="dxa"/>
            <w:vMerge/>
            <w:shd w:val="clear" w:color="auto" w:fill="E7E8E8" w:themeFill="text2" w:themeFillTint="33"/>
          </w:tcPr>
          <w:p w14:paraId="5E9AE3C2" w14:textId="77777777" w:rsidR="00C70DFA" w:rsidRPr="00623312" w:rsidRDefault="00C70DFA" w:rsidP="00C70DFA">
            <w:pPr>
              <w:pStyle w:val="ExhibitText"/>
              <w:rPr>
                <w:b/>
              </w:rPr>
            </w:pPr>
          </w:p>
        </w:tc>
        <w:tc>
          <w:tcPr>
            <w:tcW w:w="3726" w:type="dxa"/>
            <w:shd w:val="clear" w:color="auto" w:fill="E7E8E8" w:themeFill="text2" w:themeFillTint="33"/>
          </w:tcPr>
          <w:p w14:paraId="77207A17" w14:textId="77777777" w:rsidR="00C70DFA" w:rsidRPr="004A54F9" w:rsidRDefault="00C70DFA" w:rsidP="00C70DFA">
            <w:pPr>
              <w:pStyle w:val="ExhibitText"/>
            </w:pPr>
            <w:r w:rsidRPr="004A54F9">
              <w:t>The Employer Survey should start with an explanation that the survey is not used for compliance/audit purposes.</w:t>
            </w:r>
          </w:p>
        </w:tc>
        <w:tc>
          <w:tcPr>
            <w:tcW w:w="3955" w:type="dxa"/>
            <w:shd w:val="clear" w:color="auto" w:fill="E7E8E8" w:themeFill="text2" w:themeFillTint="33"/>
          </w:tcPr>
          <w:p w14:paraId="33F8C4C9" w14:textId="701DA6ED" w:rsidR="00C70DFA" w:rsidRPr="001E3D1D" w:rsidRDefault="00C70DFA" w:rsidP="008640BE">
            <w:pPr>
              <w:pStyle w:val="ExhibitText"/>
            </w:pPr>
            <w:r w:rsidRPr="001E3D1D">
              <w:t>Advance letters and recruitment materials that include informed consent will clearly state that the survey will not be used for compliance and auditing purposes.</w:t>
            </w:r>
          </w:p>
        </w:tc>
      </w:tr>
      <w:tr w:rsidR="00C70DFA" w:rsidRPr="008F431E" w14:paraId="79A968D8" w14:textId="77777777" w:rsidTr="00A96C62">
        <w:trPr>
          <w:cnfStyle w:val="000000010000" w:firstRow="0" w:lastRow="0" w:firstColumn="0" w:lastColumn="0" w:oddVBand="0" w:evenVBand="0" w:oddHBand="0" w:evenHBand="1" w:firstRowFirstColumn="0" w:firstRowLastColumn="0" w:lastRowFirstColumn="0" w:lastRowLastColumn="0"/>
          <w:cantSplit/>
        </w:trPr>
        <w:tc>
          <w:tcPr>
            <w:tcW w:w="1669" w:type="dxa"/>
            <w:shd w:val="clear" w:color="auto" w:fill="auto"/>
          </w:tcPr>
          <w:p w14:paraId="09CE7191" w14:textId="77777777" w:rsidR="00C70DFA" w:rsidRPr="00C70DFA" w:rsidRDefault="00C70DFA" w:rsidP="00C70DFA">
            <w:pPr>
              <w:pStyle w:val="ExhibitText"/>
            </w:pPr>
            <w:r w:rsidRPr="00C70DFA">
              <w:t>United Steelworkers</w:t>
            </w:r>
          </w:p>
        </w:tc>
        <w:tc>
          <w:tcPr>
            <w:tcW w:w="3726" w:type="dxa"/>
            <w:shd w:val="clear" w:color="auto" w:fill="auto"/>
          </w:tcPr>
          <w:p w14:paraId="4FE78EC8" w14:textId="77777777" w:rsidR="00C70DFA" w:rsidRPr="00623312" w:rsidRDefault="00C70DFA" w:rsidP="00C70DFA">
            <w:pPr>
              <w:pStyle w:val="ExhibitText"/>
            </w:pPr>
            <w:r w:rsidRPr="00623312">
              <w:t xml:space="preserve">Submitter suggested that the surveys capture utilization, experience, and management of leave. </w:t>
            </w:r>
          </w:p>
        </w:tc>
        <w:tc>
          <w:tcPr>
            <w:tcW w:w="3955" w:type="dxa"/>
            <w:shd w:val="clear" w:color="auto" w:fill="auto"/>
          </w:tcPr>
          <w:p w14:paraId="015D76F6" w14:textId="77777777" w:rsidR="00C70DFA" w:rsidRPr="001E3D1D" w:rsidRDefault="00C70DFA" w:rsidP="00C70DFA">
            <w:pPr>
              <w:pStyle w:val="ExhibitText"/>
            </w:pPr>
            <w:r>
              <w:t xml:space="preserve">The surveys include questions on each of these topics. </w:t>
            </w:r>
          </w:p>
        </w:tc>
      </w:tr>
      <w:tr w:rsidR="00C70DFA" w:rsidRPr="008F431E" w14:paraId="6A5BFA8D" w14:textId="77777777" w:rsidTr="00A96C62">
        <w:trPr>
          <w:cantSplit/>
        </w:trPr>
        <w:tc>
          <w:tcPr>
            <w:tcW w:w="1669" w:type="dxa"/>
          </w:tcPr>
          <w:p w14:paraId="7328307C" w14:textId="77777777" w:rsidR="00C70DFA" w:rsidRPr="00C70DFA" w:rsidRDefault="00C70DFA" w:rsidP="00C70DFA">
            <w:pPr>
              <w:pStyle w:val="ExhibitText"/>
            </w:pPr>
            <w:r w:rsidRPr="00C70DFA">
              <w:t>YMCA of Greater Rochester</w:t>
            </w:r>
          </w:p>
        </w:tc>
        <w:tc>
          <w:tcPr>
            <w:tcW w:w="3726" w:type="dxa"/>
          </w:tcPr>
          <w:p w14:paraId="67D900C0" w14:textId="77777777" w:rsidR="00C70DFA" w:rsidRPr="00623312" w:rsidRDefault="00C70DFA" w:rsidP="00C70DFA">
            <w:pPr>
              <w:pStyle w:val="ExhibitText"/>
            </w:pPr>
            <w:r w:rsidRPr="00623312">
              <w:t>Submitter suggested DOL delay the study to “wait and see how the Trump Administration will address the interplay between FMLA and Paid Family Leave.”</w:t>
            </w:r>
          </w:p>
        </w:tc>
        <w:tc>
          <w:tcPr>
            <w:tcW w:w="3955" w:type="dxa"/>
          </w:tcPr>
          <w:p w14:paraId="0AFEC1C3" w14:textId="18BB80E0" w:rsidR="00C70DFA" w:rsidRPr="001E3D1D" w:rsidRDefault="00C70DFA" w:rsidP="00623E58">
            <w:pPr>
              <w:pStyle w:val="ExhibitText"/>
            </w:pPr>
            <w:r>
              <w:t xml:space="preserve">DOL </w:t>
            </w:r>
            <w:r w:rsidR="00623E58">
              <w:t>is currently following an established contractual schedule.</w:t>
            </w:r>
          </w:p>
        </w:tc>
      </w:tr>
    </w:tbl>
    <w:p w14:paraId="65A7F393" w14:textId="77777777" w:rsidR="00C70DFA" w:rsidRDefault="00C70DFA" w:rsidP="00C70DFA">
      <w:pPr>
        <w:spacing w:after="0"/>
        <w:rPr>
          <w:bCs/>
        </w:rPr>
      </w:pPr>
    </w:p>
    <w:p w14:paraId="4E2274DB" w14:textId="77777777" w:rsidR="00C70DFA" w:rsidRPr="00C70DFA" w:rsidRDefault="00C70DFA" w:rsidP="00C70DFA"/>
    <w:sectPr w:rsidR="00C70DFA" w:rsidRPr="00C70DFA" w:rsidSect="00C70D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BAFEC" w14:textId="77777777" w:rsidR="003703FD" w:rsidRDefault="003703FD" w:rsidP="00D979EA">
      <w:r>
        <w:separator/>
      </w:r>
    </w:p>
  </w:endnote>
  <w:endnote w:type="continuationSeparator" w:id="0">
    <w:p w14:paraId="6A5118E0" w14:textId="77777777" w:rsidR="003703FD" w:rsidRDefault="003703F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4CF33" w14:textId="77777777" w:rsidR="00EE7BB5" w:rsidRDefault="00EE7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172A" w14:textId="6B871D6C" w:rsidR="003703FD" w:rsidRPr="00C70DFA" w:rsidRDefault="003703FD" w:rsidP="004138AB">
    <w:pPr>
      <w:pStyle w:val="Footer"/>
      <w:tabs>
        <w:tab w:val="clear" w:pos="9000"/>
        <w:tab w:val="right" w:pos="9350"/>
      </w:tabs>
      <w:rPr>
        <w:sz w:val="20"/>
      </w:rPr>
    </w:pPr>
    <w:r w:rsidRPr="00C70DFA">
      <w:rPr>
        <w:color w:val="DA291C"/>
        <w:sz w:val="20"/>
      </w:rPr>
      <w:t xml:space="preserve">Abt Associates </w:t>
    </w:r>
    <w:r w:rsidRPr="00C70DFA">
      <w:rPr>
        <w:sz w:val="20"/>
      </w:rPr>
      <w:tab/>
    </w:r>
    <w:r w:rsidRPr="00C70DFA">
      <w:rPr>
        <w:rStyle w:val="PageNumber"/>
        <w:b/>
        <w:sz w:val="20"/>
      </w:rPr>
      <w:tab/>
      <w:t xml:space="preserve">Supporting Statement: </w:t>
    </w:r>
    <w:r w:rsidR="00C70DFA">
      <w:rPr>
        <w:rStyle w:val="PageNumber"/>
        <w:b/>
        <w:sz w:val="20"/>
      </w:rPr>
      <w:t>Attachment E</w:t>
    </w:r>
    <w:r w:rsidRPr="00C70DFA">
      <w:rPr>
        <w:rStyle w:val="PageNumber"/>
        <w:b/>
        <w:sz w:val="20"/>
      </w:rPr>
      <w:t> </w:t>
    </w:r>
    <w:r w:rsidRPr="00C70DFA">
      <w:rPr>
        <w:rStyle w:val="PageNumber"/>
        <w:rFonts w:cs="Arial"/>
        <w:b/>
        <w:sz w:val="20"/>
      </w:rPr>
      <w:t>▌</w:t>
    </w:r>
    <w:r w:rsidRPr="00C70DFA">
      <w:rPr>
        <w:rStyle w:val="PageNumber"/>
        <w:b/>
        <w:sz w:val="20"/>
      </w:rPr>
      <w:t xml:space="preserve">pg. </w:t>
    </w:r>
    <w:r w:rsidRPr="00C70DFA">
      <w:rPr>
        <w:rStyle w:val="PageNumber"/>
        <w:b/>
        <w:color w:val="DA291C"/>
        <w:sz w:val="20"/>
      </w:rPr>
      <w:fldChar w:fldCharType="begin"/>
    </w:r>
    <w:r w:rsidRPr="00C70DFA">
      <w:rPr>
        <w:rStyle w:val="PageNumber"/>
        <w:b/>
        <w:color w:val="DA291C"/>
        <w:sz w:val="20"/>
      </w:rPr>
      <w:instrText xml:space="preserve"> PAGE   \* MERGEFORMAT </w:instrText>
    </w:r>
    <w:r w:rsidRPr="00C70DFA">
      <w:rPr>
        <w:rStyle w:val="PageNumber"/>
        <w:b/>
        <w:color w:val="DA291C"/>
        <w:sz w:val="20"/>
      </w:rPr>
      <w:fldChar w:fldCharType="separate"/>
    </w:r>
    <w:r w:rsidR="00F579AD" w:rsidRPr="00F579AD">
      <w:rPr>
        <w:rStyle w:val="PageNumber"/>
        <w:b/>
        <w:noProof/>
        <w:color w:val="FF0000"/>
        <w:sz w:val="20"/>
      </w:rPr>
      <w:t>1</w:t>
    </w:r>
    <w:r w:rsidRPr="00C70DFA">
      <w:rPr>
        <w:rStyle w:val="PageNumber"/>
        <w:b/>
        <w:noProof/>
        <w:color w:val="DA291C"/>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CA04" w14:textId="77777777" w:rsidR="00EE7BB5" w:rsidRDefault="00EE7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F3F0" w14:textId="77777777" w:rsidR="003703FD" w:rsidRDefault="003703FD" w:rsidP="00493062">
      <w:pPr>
        <w:spacing w:after="60"/>
      </w:pPr>
      <w:r>
        <w:separator/>
      </w:r>
    </w:p>
  </w:footnote>
  <w:footnote w:type="continuationSeparator" w:id="0">
    <w:p w14:paraId="4769AC1C" w14:textId="77777777" w:rsidR="003703FD" w:rsidRDefault="003703F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EEF6" w14:textId="77777777" w:rsidR="00EE7BB5" w:rsidRDefault="00EE7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4E19" w14:textId="5DBE5C98" w:rsidR="00A71DBB" w:rsidRDefault="00A71DBB">
    <w:pPr>
      <w:pStyle w:val="Header"/>
    </w:pPr>
    <w:r>
      <w:t>ATTACHMENT 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D76C" w14:textId="77777777" w:rsidR="00EE7BB5" w:rsidRDefault="00EE7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E1"/>
    <w:multiLevelType w:val="hybridMultilevel"/>
    <w:tmpl w:val="3DC0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0634"/>
    <w:multiLevelType w:val="hybridMultilevel"/>
    <w:tmpl w:val="685AB8BE"/>
    <w:lvl w:ilvl="0" w:tplc="D65413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03D9A"/>
    <w:multiLevelType w:val="hybridMultilevel"/>
    <w:tmpl w:val="D95AD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40353A"/>
    <w:multiLevelType w:val="hybridMultilevel"/>
    <w:tmpl w:val="45E8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76CE8"/>
    <w:multiLevelType w:val="hybridMultilevel"/>
    <w:tmpl w:val="82D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11481"/>
    <w:multiLevelType w:val="hybridMultilevel"/>
    <w:tmpl w:val="B8D6A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5E1810"/>
    <w:multiLevelType w:val="hybridMultilevel"/>
    <w:tmpl w:val="8B80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064E4"/>
    <w:multiLevelType w:val="hybridMultilevel"/>
    <w:tmpl w:val="7CFA1818"/>
    <w:lvl w:ilvl="0" w:tplc="21249B9C">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6F06F6D"/>
    <w:multiLevelType w:val="hybridMultilevel"/>
    <w:tmpl w:val="0D48ED5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D52400"/>
    <w:multiLevelType w:val="hybridMultilevel"/>
    <w:tmpl w:val="731EA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5258C"/>
    <w:multiLevelType w:val="hybridMultilevel"/>
    <w:tmpl w:val="5A34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06ECC"/>
    <w:multiLevelType w:val="hybridMultilevel"/>
    <w:tmpl w:val="B5B0B374"/>
    <w:lvl w:ilvl="0" w:tplc="10087FA6">
      <w:start w:val="1"/>
      <w:numFmt w:val="bullet"/>
      <w:lvlText w:val=""/>
      <w:lvlJc w:val="left"/>
      <w:pPr>
        <w:tabs>
          <w:tab w:val="num" w:pos="1152"/>
        </w:tabs>
        <w:ind w:left="1152" w:hanging="1152"/>
      </w:pPr>
      <w:rPr>
        <w:rFonts w:ascii="Symbol" w:hAnsi="Symbol" w:hint="default"/>
        <w:color w:val="DA291C"/>
        <w:sz w:val="24"/>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86B87"/>
    <w:multiLevelType w:val="hybridMultilevel"/>
    <w:tmpl w:val="B51093CA"/>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7E3A91"/>
    <w:multiLevelType w:val="hybridMultilevel"/>
    <w:tmpl w:val="AD4C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AD33C4"/>
    <w:multiLevelType w:val="multilevel"/>
    <w:tmpl w:val="937C6A54"/>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9166E"/>
    <w:multiLevelType w:val="hybridMultilevel"/>
    <w:tmpl w:val="48B487E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B127DC"/>
    <w:multiLevelType w:val="hybridMultilevel"/>
    <w:tmpl w:val="B7E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B2110B"/>
    <w:multiLevelType w:val="multilevel"/>
    <w:tmpl w:val="7F485510"/>
    <w:lvl w:ilvl="0">
      <w:start w:val="1"/>
      <w:numFmt w:val="bullet"/>
      <w:pStyle w:val="Bullets"/>
      <w:lvlText w:val=""/>
      <w:lvlJc w:val="left"/>
      <w:pPr>
        <w:ind w:left="720" w:hanging="360"/>
      </w:pPr>
      <w:rPr>
        <w:rFonts w:ascii="Symbol" w:hAnsi="Symbol" w:hint="default"/>
        <w:color w:val="DA291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E82ECF"/>
    <w:multiLevelType w:val="hybridMultilevel"/>
    <w:tmpl w:val="D248B3B2"/>
    <w:lvl w:ilvl="0" w:tplc="10087FA6">
      <w:start w:val="1"/>
      <w:numFmt w:val="bullet"/>
      <w:lvlText w:val=""/>
      <w:lvlJc w:val="left"/>
      <w:pPr>
        <w:ind w:left="720" w:hanging="360"/>
      </w:pPr>
      <w:rPr>
        <w:rFonts w:ascii="Symbol" w:hAnsi="Symbol" w:hint="default"/>
        <w:color w:val="DA291C"/>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44D3A"/>
    <w:multiLevelType w:val="hybridMultilevel"/>
    <w:tmpl w:val="A0DE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D5F16"/>
    <w:multiLevelType w:val="hybridMultilevel"/>
    <w:tmpl w:val="2698FBC6"/>
    <w:lvl w:ilvl="0" w:tplc="A64C64EA">
      <w:start w:val="1"/>
      <w:numFmt w:val="bullet"/>
      <w:lvlText w:val=""/>
      <w:lvlJc w:val="left"/>
      <w:pPr>
        <w:ind w:left="720" w:hanging="360"/>
      </w:pPr>
      <w:rPr>
        <w:rFonts w:ascii="Symbol" w:hAnsi="Symbol" w:hint="default"/>
        <w:color w:val="DA291C"/>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C5B67"/>
    <w:multiLevelType w:val="hybridMultilevel"/>
    <w:tmpl w:val="AE940F8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93598"/>
    <w:multiLevelType w:val="hybridMultilevel"/>
    <w:tmpl w:val="6E16DE4C"/>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84626A"/>
    <w:multiLevelType w:val="hybridMultilevel"/>
    <w:tmpl w:val="9C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3382F"/>
    <w:multiLevelType w:val="hybridMultilevel"/>
    <w:tmpl w:val="E29AE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E960A1"/>
    <w:multiLevelType w:val="multilevel"/>
    <w:tmpl w:val="BD0604A6"/>
    <w:lvl w:ilvl="0">
      <w:start w:val="1"/>
      <w:numFmt w:val="bullet"/>
      <w:pStyle w:val="Bullet2"/>
      <w:lvlText w:val=""/>
      <w:lvlJc w:val="left"/>
      <w:pPr>
        <w:tabs>
          <w:tab w:val="num" w:pos="720"/>
        </w:tabs>
        <w:ind w:left="1080" w:hanging="360"/>
      </w:pPr>
      <w:rPr>
        <w:rFonts w:ascii="Symbol" w:hAnsi="Symbol" w:hint="default"/>
        <w:color w:val="0000AC"/>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81BFA"/>
    <w:multiLevelType w:val="hybridMultilevel"/>
    <w:tmpl w:val="0938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4C6400"/>
    <w:multiLevelType w:val="hybridMultilevel"/>
    <w:tmpl w:val="4718D740"/>
    <w:lvl w:ilvl="0" w:tplc="68260532">
      <w:start w:val="1"/>
      <w:numFmt w:val="bullet"/>
      <w:pStyle w:val="ExhibitBullet1"/>
      <w:lvlText w:val=""/>
      <w:lvlJc w:val="left"/>
      <w:pPr>
        <w:ind w:left="688" w:hanging="360"/>
      </w:pPr>
      <w:rPr>
        <w:rFonts w:ascii="Symbol" w:hAnsi="Symbol" w:hint="default"/>
      </w:rPr>
    </w:lvl>
    <w:lvl w:ilvl="1" w:tplc="04090003">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15:restartNumberingAfterBreak="0">
    <w:nsid w:val="77222E95"/>
    <w:multiLevelType w:val="hybridMultilevel"/>
    <w:tmpl w:val="7A520FB6"/>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D6DAE"/>
    <w:multiLevelType w:val="hybridMultilevel"/>
    <w:tmpl w:val="E226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625516"/>
    <w:multiLevelType w:val="hybridMultilevel"/>
    <w:tmpl w:val="D742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50356"/>
    <w:multiLevelType w:val="hybridMultilevel"/>
    <w:tmpl w:val="EB907530"/>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40" w15:restartNumberingAfterBreak="0">
    <w:nsid w:val="7C9709CF"/>
    <w:multiLevelType w:val="hybridMultilevel"/>
    <w:tmpl w:val="0D94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753D"/>
    <w:multiLevelType w:val="hybridMultilevel"/>
    <w:tmpl w:val="8AE05D28"/>
    <w:lvl w:ilvl="0" w:tplc="D37A6BB4">
      <w:start w:val="1"/>
      <w:numFmt w:val="bullet"/>
      <w:lvlText w:val=""/>
      <w:lvlJc w:val="left"/>
      <w:pPr>
        <w:tabs>
          <w:tab w:val="num" w:pos="720"/>
        </w:tabs>
        <w:ind w:left="720" w:hanging="360"/>
      </w:pPr>
      <w:rPr>
        <w:rFonts w:ascii="Symbol" w:hAnsi="Symbol" w:hint="default"/>
        <w:color w:val="0000AC"/>
      </w:rPr>
    </w:lvl>
    <w:lvl w:ilvl="1" w:tplc="4BA8E9B4" w:tentative="1">
      <w:start w:val="1"/>
      <w:numFmt w:val="bullet"/>
      <w:lvlText w:val="o"/>
      <w:lvlJc w:val="left"/>
      <w:pPr>
        <w:tabs>
          <w:tab w:val="num" w:pos="1440"/>
        </w:tabs>
        <w:ind w:left="1440" w:hanging="360"/>
      </w:pPr>
      <w:rPr>
        <w:rFonts w:ascii="Courier New" w:hAnsi="Courier New" w:cs="Courier New" w:hint="default"/>
      </w:rPr>
    </w:lvl>
    <w:lvl w:ilvl="2" w:tplc="4C34C93C" w:tentative="1">
      <w:start w:val="1"/>
      <w:numFmt w:val="bullet"/>
      <w:lvlText w:val=""/>
      <w:lvlJc w:val="left"/>
      <w:pPr>
        <w:tabs>
          <w:tab w:val="num" w:pos="2160"/>
        </w:tabs>
        <w:ind w:left="2160" w:hanging="360"/>
      </w:pPr>
      <w:rPr>
        <w:rFonts w:ascii="Wingdings" w:hAnsi="Wingdings" w:hint="default"/>
      </w:rPr>
    </w:lvl>
    <w:lvl w:ilvl="3" w:tplc="9DE032A8" w:tentative="1">
      <w:start w:val="1"/>
      <w:numFmt w:val="bullet"/>
      <w:lvlText w:val=""/>
      <w:lvlJc w:val="left"/>
      <w:pPr>
        <w:tabs>
          <w:tab w:val="num" w:pos="2880"/>
        </w:tabs>
        <w:ind w:left="2880" w:hanging="360"/>
      </w:pPr>
      <w:rPr>
        <w:rFonts w:ascii="Symbol" w:hAnsi="Symbol" w:hint="default"/>
      </w:rPr>
    </w:lvl>
    <w:lvl w:ilvl="4" w:tplc="C9B60118" w:tentative="1">
      <w:start w:val="1"/>
      <w:numFmt w:val="bullet"/>
      <w:lvlText w:val="o"/>
      <w:lvlJc w:val="left"/>
      <w:pPr>
        <w:tabs>
          <w:tab w:val="num" w:pos="3600"/>
        </w:tabs>
        <w:ind w:left="3600" w:hanging="360"/>
      </w:pPr>
      <w:rPr>
        <w:rFonts w:ascii="Courier New" w:hAnsi="Courier New" w:cs="Courier New" w:hint="default"/>
      </w:rPr>
    </w:lvl>
    <w:lvl w:ilvl="5" w:tplc="780A7874" w:tentative="1">
      <w:start w:val="1"/>
      <w:numFmt w:val="bullet"/>
      <w:lvlText w:val=""/>
      <w:lvlJc w:val="left"/>
      <w:pPr>
        <w:tabs>
          <w:tab w:val="num" w:pos="4320"/>
        </w:tabs>
        <w:ind w:left="4320" w:hanging="360"/>
      </w:pPr>
      <w:rPr>
        <w:rFonts w:ascii="Wingdings" w:hAnsi="Wingdings" w:hint="default"/>
      </w:rPr>
    </w:lvl>
    <w:lvl w:ilvl="6" w:tplc="8D90685C" w:tentative="1">
      <w:start w:val="1"/>
      <w:numFmt w:val="bullet"/>
      <w:lvlText w:val=""/>
      <w:lvlJc w:val="left"/>
      <w:pPr>
        <w:tabs>
          <w:tab w:val="num" w:pos="5040"/>
        </w:tabs>
        <w:ind w:left="5040" w:hanging="360"/>
      </w:pPr>
      <w:rPr>
        <w:rFonts w:ascii="Symbol" w:hAnsi="Symbol" w:hint="default"/>
      </w:rPr>
    </w:lvl>
    <w:lvl w:ilvl="7" w:tplc="2D66F3D0" w:tentative="1">
      <w:start w:val="1"/>
      <w:numFmt w:val="bullet"/>
      <w:lvlText w:val="o"/>
      <w:lvlJc w:val="left"/>
      <w:pPr>
        <w:tabs>
          <w:tab w:val="num" w:pos="5760"/>
        </w:tabs>
        <w:ind w:left="5760" w:hanging="360"/>
      </w:pPr>
      <w:rPr>
        <w:rFonts w:ascii="Courier New" w:hAnsi="Courier New" w:cs="Courier New" w:hint="default"/>
      </w:rPr>
    </w:lvl>
    <w:lvl w:ilvl="8" w:tplc="2FD0BB8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22"/>
  </w:num>
  <w:num w:numId="4">
    <w:abstractNumId w:val="41"/>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3"/>
  </w:num>
  <w:num w:numId="12">
    <w:abstractNumId w:val="29"/>
  </w:num>
  <w:num w:numId="13">
    <w:abstractNumId w:val="9"/>
  </w:num>
  <w:num w:numId="14">
    <w:abstractNumId w:val="17"/>
  </w:num>
  <w:num w:numId="15">
    <w:abstractNumId w:val="1"/>
  </w:num>
  <w:num w:numId="16">
    <w:abstractNumId w:val="7"/>
  </w:num>
  <w:num w:numId="17">
    <w:abstractNumId w:val="21"/>
  </w:num>
  <w:num w:numId="18">
    <w:abstractNumId w:val="32"/>
  </w:num>
  <w:num w:numId="19">
    <w:abstractNumId w:val="38"/>
  </w:num>
  <w:num w:numId="20">
    <w:abstractNumId w:val="5"/>
  </w:num>
  <w:num w:numId="21">
    <w:abstractNumId w:val="13"/>
  </w:num>
  <w:num w:numId="22">
    <w:abstractNumId w:val="14"/>
  </w:num>
  <w:num w:numId="23">
    <w:abstractNumId w:val="37"/>
  </w:num>
  <w:num w:numId="24">
    <w:abstractNumId w:val="2"/>
  </w:num>
  <w:num w:numId="25">
    <w:abstractNumId w:val="25"/>
  </w:num>
  <w:num w:numId="26">
    <w:abstractNumId w:val="39"/>
  </w:num>
  <w:num w:numId="27">
    <w:abstractNumId w:val="19"/>
  </w:num>
  <w:num w:numId="28">
    <w:abstractNumId w:val="10"/>
  </w:num>
  <w:num w:numId="29">
    <w:abstractNumId w:val="3"/>
  </w:num>
  <w:num w:numId="30">
    <w:abstractNumId w:val="8"/>
  </w:num>
  <w:num w:numId="31">
    <w:abstractNumId w:val="20"/>
  </w:num>
  <w:num w:numId="32">
    <w:abstractNumId w:val="24"/>
  </w:num>
  <w:num w:numId="33">
    <w:abstractNumId w:val="36"/>
  </w:num>
  <w:num w:numId="34">
    <w:abstractNumId w:val="6"/>
  </w:num>
  <w:num w:numId="35">
    <w:abstractNumId w:val="30"/>
  </w:num>
  <w:num w:numId="36">
    <w:abstractNumId w:val="0"/>
  </w:num>
  <w:num w:numId="37">
    <w:abstractNumId w:val="4"/>
  </w:num>
  <w:num w:numId="38">
    <w:abstractNumId w:val="15"/>
  </w:num>
  <w:num w:numId="39">
    <w:abstractNumId w:val="35"/>
  </w:num>
  <w:num w:numId="40">
    <w:abstractNumId w:val="23"/>
  </w:num>
  <w:num w:numId="41">
    <w:abstractNumId w:val="12"/>
  </w:num>
  <w:num w:numId="42">
    <w:abstractNumId w:val="27"/>
  </w:num>
  <w:num w:numId="43">
    <w:abstractNumId w:val="28"/>
  </w:num>
  <w:num w:numId="44">
    <w:abstractNumId w:val="16"/>
  </w:num>
  <w:num w:numId="45">
    <w:abstractNumId w:val="40"/>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41F"/>
    <w:rsid w:val="00003A2C"/>
    <w:rsid w:val="00006617"/>
    <w:rsid w:val="00006B3A"/>
    <w:rsid w:val="00010DCB"/>
    <w:rsid w:val="000136F3"/>
    <w:rsid w:val="00016DC9"/>
    <w:rsid w:val="00016E17"/>
    <w:rsid w:val="0002216E"/>
    <w:rsid w:val="000232B4"/>
    <w:rsid w:val="000262A2"/>
    <w:rsid w:val="00026A55"/>
    <w:rsid w:val="000302A4"/>
    <w:rsid w:val="00031040"/>
    <w:rsid w:val="0003111F"/>
    <w:rsid w:val="00035FFF"/>
    <w:rsid w:val="00040E00"/>
    <w:rsid w:val="00046728"/>
    <w:rsid w:val="00047462"/>
    <w:rsid w:val="000505A2"/>
    <w:rsid w:val="000525E0"/>
    <w:rsid w:val="00053346"/>
    <w:rsid w:val="00053EEF"/>
    <w:rsid w:val="000543DC"/>
    <w:rsid w:val="00054FEF"/>
    <w:rsid w:val="00055022"/>
    <w:rsid w:val="0005750B"/>
    <w:rsid w:val="0006045E"/>
    <w:rsid w:val="00060E49"/>
    <w:rsid w:val="0006587B"/>
    <w:rsid w:val="00067FBA"/>
    <w:rsid w:val="00070322"/>
    <w:rsid w:val="00074246"/>
    <w:rsid w:val="00076DB1"/>
    <w:rsid w:val="00082D01"/>
    <w:rsid w:val="00087856"/>
    <w:rsid w:val="00087DCE"/>
    <w:rsid w:val="000902AA"/>
    <w:rsid w:val="00090937"/>
    <w:rsid w:val="00091C6A"/>
    <w:rsid w:val="0009560B"/>
    <w:rsid w:val="00095D40"/>
    <w:rsid w:val="0009620C"/>
    <w:rsid w:val="000A00A2"/>
    <w:rsid w:val="000A1C6D"/>
    <w:rsid w:val="000A3352"/>
    <w:rsid w:val="000A6442"/>
    <w:rsid w:val="000A7D69"/>
    <w:rsid w:val="000B09EC"/>
    <w:rsid w:val="000B1B78"/>
    <w:rsid w:val="000B33D1"/>
    <w:rsid w:val="000B488B"/>
    <w:rsid w:val="000C0A39"/>
    <w:rsid w:val="000C3040"/>
    <w:rsid w:val="000C41F5"/>
    <w:rsid w:val="000D1525"/>
    <w:rsid w:val="000D3467"/>
    <w:rsid w:val="000D35AA"/>
    <w:rsid w:val="000D53F1"/>
    <w:rsid w:val="000D5777"/>
    <w:rsid w:val="000D66E2"/>
    <w:rsid w:val="000D7E1F"/>
    <w:rsid w:val="000E5869"/>
    <w:rsid w:val="000E67FA"/>
    <w:rsid w:val="000E6B75"/>
    <w:rsid w:val="000F4A10"/>
    <w:rsid w:val="000F53F4"/>
    <w:rsid w:val="001034D7"/>
    <w:rsid w:val="00104F2A"/>
    <w:rsid w:val="00107A04"/>
    <w:rsid w:val="0011170B"/>
    <w:rsid w:val="00114CD2"/>
    <w:rsid w:val="001172BF"/>
    <w:rsid w:val="001178CA"/>
    <w:rsid w:val="00127142"/>
    <w:rsid w:val="001307A5"/>
    <w:rsid w:val="00133465"/>
    <w:rsid w:val="00134801"/>
    <w:rsid w:val="001367D1"/>
    <w:rsid w:val="001417B0"/>
    <w:rsid w:val="001457DF"/>
    <w:rsid w:val="00152153"/>
    <w:rsid w:val="00157D05"/>
    <w:rsid w:val="00157E04"/>
    <w:rsid w:val="00160657"/>
    <w:rsid w:val="00160B87"/>
    <w:rsid w:val="00162E23"/>
    <w:rsid w:val="001645F0"/>
    <w:rsid w:val="00165BB6"/>
    <w:rsid w:val="001677DC"/>
    <w:rsid w:val="00172119"/>
    <w:rsid w:val="00172E7E"/>
    <w:rsid w:val="00182892"/>
    <w:rsid w:val="00186223"/>
    <w:rsid w:val="00187502"/>
    <w:rsid w:val="001923A6"/>
    <w:rsid w:val="001A04CE"/>
    <w:rsid w:val="001A0E0A"/>
    <w:rsid w:val="001A23B5"/>
    <w:rsid w:val="001A28D9"/>
    <w:rsid w:val="001A35FA"/>
    <w:rsid w:val="001A403F"/>
    <w:rsid w:val="001A4633"/>
    <w:rsid w:val="001A6B9A"/>
    <w:rsid w:val="001B0BB8"/>
    <w:rsid w:val="001B24C7"/>
    <w:rsid w:val="001B4509"/>
    <w:rsid w:val="001B6E1D"/>
    <w:rsid w:val="001C0891"/>
    <w:rsid w:val="001C10AF"/>
    <w:rsid w:val="001D4FDD"/>
    <w:rsid w:val="001E0709"/>
    <w:rsid w:val="001E2265"/>
    <w:rsid w:val="001E2CF1"/>
    <w:rsid w:val="001E71CF"/>
    <w:rsid w:val="001F049B"/>
    <w:rsid w:val="001F3137"/>
    <w:rsid w:val="00200E58"/>
    <w:rsid w:val="00204338"/>
    <w:rsid w:val="0020550F"/>
    <w:rsid w:val="002064D3"/>
    <w:rsid w:val="002106BF"/>
    <w:rsid w:val="00210B2C"/>
    <w:rsid w:val="0021100E"/>
    <w:rsid w:val="002176B8"/>
    <w:rsid w:val="002216AD"/>
    <w:rsid w:val="00221D99"/>
    <w:rsid w:val="0022332F"/>
    <w:rsid w:val="00223A9F"/>
    <w:rsid w:val="0022674D"/>
    <w:rsid w:val="00227977"/>
    <w:rsid w:val="00227F17"/>
    <w:rsid w:val="0023449A"/>
    <w:rsid w:val="00235F88"/>
    <w:rsid w:val="00237DF3"/>
    <w:rsid w:val="0024418A"/>
    <w:rsid w:val="00244A3B"/>
    <w:rsid w:val="00250BFE"/>
    <w:rsid w:val="00255975"/>
    <w:rsid w:val="002702F7"/>
    <w:rsid w:val="00272871"/>
    <w:rsid w:val="00273EAA"/>
    <w:rsid w:val="002743C5"/>
    <w:rsid w:val="00274FE6"/>
    <w:rsid w:val="00275D4D"/>
    <w:rsid w:val="00276702"/>
    <w:rsid w:val="0028328D"/>
    <w:rsid w:val="002838F5"/>
    <w:rsid w:val="00285362"/>
    <w:rsid w:val="00285BB6"/>
    <w:rsid w:val="00291995"/>
    <w:rsid w:val="00293468"/>
    <w:rsid w:val="0029491C"/>
    <w:rsid w:val="002A4078"/>
    <w:rsid w:val="002A5CE0"/>
    <w:rsid w:val="002A72A1"/>
    <w:rsid w:val="002B2F3C"/>
    <w:rsid w:val="002B5985"/>
    <w:rsid w:val="002B6D62"/>
    <w:rsid w:val="002C24F7"/>
    <w:rsid w:val="002C32AB"/>
    <w:rsid w:val="002C41F9"/>
    <w:rsid w:val="002C4417"/>
    <w:rsid w:val="002C4495"/>
    <w:rsid w:val="002C5AC8"/>
    <w:rsid w:val="002C76AB"/>
    <w:rsid w:val="002D0FCC"/>
    <w:rsid w:val="002D4536"/>
    <w:rsid w:val="002D5525"/>
    <w:rsid w:val="002D616C"/>
    <w:rsid w:val="002E3973"/>
    <w:rsid w:val="002E4606"/>
    <w:rsid w:val="002E532E"/>
    <w:rsid w:val="002F48C8"/>
    <w:rsid w:val="002F55CE"/>
    <w:rsid w:val="002F76F5"/>
    <w:rsid w:val="00314A8A"/>
    <w:rsid w:val="00324EC2"/>
    <w:rsid w:val="00325F49"/>
    <w:rsid w:val="003279F2"/>
    <w:rsid w:val="0033116C"/>
    <w:rsid w:val="0033294C"/>
    <w:rsid w:val="00342BA9"/>
    <w:rsid w:val="003454DC"/>
    <w:rsid w:val="003455BC"/>
    <w:rsid w:val="00353B2D"/>
    <w:rsid w:val="00354503"/>
    <w:rsid w:val="00356BCC"/>
    <w:rsid w:val="00360B3F"/>
    <w:rsid w:val="003623F0"/>
    <w:rsid w:val="003636DE"/>
    <w:rsid w:val="00370164"/>
    <w:rsid w:val="003703FD"/>
    <w:rsid w:val="003711CD"/>
    <w:rsid w:val="00375E80"/>
    <w:rsid w:val="0037640E"/>
    <w:rsid w:val="00380DB1"/>
    <w:rsid w:val="0038224D"/>
    <w:rsid w:val="00383BFC"/>
    <w:rsid w:val="00384611"/>
    <w:rsid w:val="00384CA0"/>
    <w:rsid w:val="003850E0"/>
    <w:rsid w:val="003866D5"/>
    <w:rsid w:val="003870BA"/>
    <w:rsid w:val="00395A89"/>
    <w:rsid w:val="003A06E9"/>
    <w:rsid w:val="003A101F"/>
    <w:rsid w:val="003A12CD"/>
    <w:rsid w:val="003A2FA8"/>
    <w:rsid w:val="003A3403"/>
    <w:rsid w:val="003A3703"/>
    <w:rsid w:val="003A3755"/>
    <w:rsid w:val="003A3A83"/>
    <w:rsid w:val="003A67CB"/>
    <w:rsid w:val="003B12BA"/>
    <w:rsid w:val="003B4770"/>
    <w:rsid w:val="003B6441"/>
    <w:rsid w:val="003B6D90"/>
    <w:rsid w:val="003C1335"/>
    <w:rsid w:val="003C20BF"/>
    <w:rsid w:val="003D065C"/>
    <w:rsid w:val="003D5616"/>
    <w:rsid w:val="003D7725"/>
    <w:rsid w:val="003E0653"/>
    <w:rsid w:val="003E63FF"/>
    <w:rsid w:val="003E666B"/>
    <w:rsid w:val="003F1A0C"/>
    <w:rsid w:val="003F3E19"/>
    <w:rsid w:val="00403E1B"/>
    <w:rsid w:val="00404007"/>
    <w:rsid w:val="00404423"/>
    <w:rsid w:val="004058C7"/>
    <w:rsid w:val="00406504"/>
    <w:rsid w:val="004075E4"/>
    <w:rsid w:val="004138AB"/>
    <w:rsid w:val="0041746B"/>
    <w:rsid w:val="004207D3"/>
    <w:rsid w:val="00421E33"/>
    <w:rsid w:val="00423092"/>
    <w:rsid w:val="004253E8"/>
    <w:rsid w:val="00427EA9"/>
    <w:rsid w:val="00430998"/>
    <w:rsid w:val="004319BC"/>
    <w:rsid w:val="004350B0"/>
    <w:rsid w:val="00436373"/>
    <w:rsid w:val="00436CE5"/>
    <w:rsid w:val="00440153"/>
    <w:rsid w:val="00441373"/>
    <w:rsid w:val="004462C8"/>
    <w:rsid w:val="00451DB5"/>
    <w:rsid w:val="00453FE3"/>
    <w:rsid w:val="00454BAC"/>
    <w:rsid w:val="004553F9"/>
    <w:rsid w:val="00461F7E"/>
    <w:rsid w:val="0046276F"/>
    <w:rsid w:val="00470AB4"/>
    <w:rsid w:val="00472E16"/>
    <w:rsid w:val="004734DF"/>
    <w:rsid w:val="0048351D"/>
    <w:rsid w:val="00484332"/>
    <w:rsid w:val="00486943"/>
    <w:rsid w:val="00491AFD"/>
    <w:rsid w:val="00493062"/>
    <w:rsid w:val="00494529"/>
    <w:rsid w:val="00495B91"/>
    <w:rsid w:val="00496D53"/>
    <w:rsid w:val="004A1D05"/>
    <w:rsid w:val="004A5408"/>
    <w:rsid w:val="004B0A03"/>
    <w:rsid w:val="004C18DF"/>
    <w:rsid w:val="004C1BBC"/>
    <w:rsid w:val="004C29E5"/>
    <w:rsid w:val="004C2B46"/>
    <w:rsid w:val="004D06B0"/>
    <w:rsid w:val="004D37B0"/>
    <w:rsid w:val="004D49EC"/>
    <w:rsid w:val="004D4C6D"/>
    <w:rsid w:val="004E01A4"/>
    <w:rsid w:val="004E03BC"/>
    <w:rsid w:val="004E4032"/>
    <w:rsid w:val="004F0CA9"/>
    <w:rsid w:val="004F33B8"/>
    <w:rsid w:val="004F6171"/>
    <w:rsid w:val="004F6742"/>
    <w:rsid w:val="004F709B"/>
    <w:rsid w:val="004F73E7"/>
    <w:rsid w:val="00503049"/>
    <w:rsid w:val="005036BB"/>
    <w:rsid w:val="00507681"/>
    <w:rsid w:val="005114D9"/>
    <w:rsid w:val="0051703A"/>
    <w:rsid w:val="00524471"/>
    <w:rsid w:val="00524E16"/>
    <w:rsid w:val="00534B03"/>
    <w:rsid w:val="00534C33"/>
    <w:rsid w:val="00536C6B"/>
    <w:rsid w:val="00536DB4"/>
    <w:rsid w:val="0054025D"/>
    <w:rsid w:val="0055123E"/>
    <w:rsid w:val="00551543"/>
    <w:rsid w:val="00564C72"/>
    <w:rsid w:val="005665B5"/>
    <w:rsid w:val="00573D5C"/>
    <w:rsid w:val="00574572"/>
    <w:rsid w:val="00581C98"/>
    <w:rsid w:val="00583B50"/>
    <w:rsid w:val="00585A0C"/>
    <w:rsid w:val="00585CA4"/>
    <w:rsid w:val="0058618E"/>
    <w:rsid w:val="00590B85"/>
    <w:rsid w:val="005954FA"/>
    <w:rsid w:val="00597948"/>
    <w:rsid w:val="005A42A1"/>
    <w:rsid w:val="005A76BE"/>
    <w:rsid w:val="005B1AC5"/>
    <w:rsid w:val="005B61AF"/>
    <w:rsid w:val="005B6A25"/>
    <w:rsid w:val="005C3413"/>
    <w:rsid w:val="005C4647"/>
    <w:rsid w:val="005D1C2A"/>
    <w:rsid w:val="005D24CE"/>
    <w:rsid w:val="005E0CF2"/>
    <w:rsid w:val="005E20E6"/>
    <w:rsid w:val="005E2AEA"/>
    <w:rsid w:val="005E6B70"/>
    <w:rsid w:val="005E7087"/>
    <w:rsid w:val="005F6285"/>
    <w:rsid w:val="005F7CA7"/>
    <w:rsid w:val="00605C67"/>
    <w:rsid w:val="00610FFE"/>
    <w:rsid w:val="006122D8"/>
    <w:rsid w:val="0061247A"/>
    <w:rsid w:val="00614E97"/>
    <w:rsid w:val="00614ECD"/>
    <w:rsid w:val="00615938"/>
    <w:rsid w:val="00615BD4"/>
    <w:rsid w:val="00616804"/>
    <w:rsid w:val="00623E58"/>
    <w:rsid w:val="00624B5C"/>
    <w:rsid w:val="00626621"/>
    <w:rsid w:val="0063014E"/>
    <w:rsid w:val="00630E74"/>
    <w:rsid w:val="0064501D"/>
    <w:rsid w:val="0065112D"/>
    <w:rsid w:val="0066134E"/>
    <w:rsid w:val="00666AB3"/>
    <w:rsid w:val="00671272"/>
    <w:rsid w:val="006814BB"/>
    <w:rsid w:val="00683DEF"/>
    <w:rsid w:val="006840EB"/>
    <w:rsid w:val="00690528"/>
    <w:rsid w:val="006905D2"/>
    <w:rsid w:val="00691EA2"/>
    <w:rsid w:val="0069342C"/>
    <w:rsid w:val="00697FDE"/>
    <w:rsid w:val="006A541C"/>
    <w:rsid w:val="006A5B3B"/>
    <w:rsid w:val="006A690F"/>
    <w:rsid w:val="006B1DA6"/>
    <w:rsid w:val="006B3263"/>
    <w:rsid w:val="006C7A4C"/>
    <w:rsid w:val="006D406B"/>
    <w:rsid w:val="006E0A45"/>
    <w:rsid w:val="006E2845"/>
    <w:rsid w:val="006E2B32"/>
    <w:rsid w:val="006E6F0B"/>
    <w:rsid w:val="006F2B34"/>
    <w:rsid w:val="006F2E4C"/>
    <w:rsid w:val="006F58A2"/>
    <w:rsid w:val="006F732E"/>
    <w:rsid w:val="007057ED"/>
    <w:rsid w:val="0070672F"/>
    <w:rsid w:val="007074BA"/>
    <w:rsid w:val="00707B3A"/>
    <w:rsid w:val="0071050A"/>
    <w:rsid w:val="007105A6"/>
    <w:rsid w:val="0071096A"/>
    <w:rsid w:val="00711944"/>
    <w:rsid w:val="00715417"/>
    <w:rsid w:val="00726DD4"/>
    <w:rsid w:val="00730F56"/>
    <w:rsid w:val="00731C46"/>
    <w:rsid w:val="0073335C"/>
    <w:rsid w:val="007419B7"/>
    <w:rsid w:val="00743419"/>
    <w:rsid w:val="00743809"/>
    <w:rsid w:val="00744E2C"/>
    <w:rsid w:val="00744EB2"/>
    <w:rsid w:val="00752119"/>
    <w:rsid w:val="00754408"/>
    <w:rsid w:val="00760807"/>
    <w:rsid w:val="00761B44"/>
    <w:rsid w:val="007631C7"/>
    <w:rsid w:val="00763CCC"/>
    <w:rsid w:val="00764E49"/>
    <w:rsid w:val="00770652"/>
    <w:rsid w:val="00773A2F"/>
    <w:rsid w:val="00776B1B"/>
    <w:rsid w:val="00776C72"/>
    <w:rsid w:val="0078258F"/>
    <w:rsid w:val="007846BC"/>
    <w:rsid w:val="007906E8"/>
    <w:rsid w:val="00794B6E"/>
    <w:rsid w:val="00795DD2"/>
    <w:rsid w:val="007969A4"/>
    <w:rsid w:val="007A0114"/>
    <w:rsid w:val="007A04CF"/>
    <w:rsid w:val="007A4608"/>
    <w:rsid w:val="007B1321"/>
    <w:rsid w:val="007B1904"/>
    <w:rsid w:val="007B2F3F"/>
    <w:rsid w:val="007B523F"/>
    <w:rsid w:val="007C5457"/>
    <w:rsid w:val="007D0A18"/>
    <w:rsid w:val="007D3CF9"/>
    <w:rsid w:val="007D6370"/>
    <w:rsid w:val="007E092F"/>
    <w:rsid w:val="007E0968"/>
    <w:rsid w:val="007E0D76"/>
    <w:rsid w:val="007E5EC0"/>
    <w:rsid w:val="007E7472"/>
    <w:rsid w:val="007E78C1"/>
    <w:rsid w:val="007F100E"/>
    <w:rsid w:val="007F18EC"/>
    <w:rsid w:val="0080098A"/>
    <w:rsid w:val="00801761"/>
    <w:rsid w:val="00810027"/>
    <w:rsid w:val="008111EB"/>
    <w:rsid w:val="00812A11"/>
    <w:rsid w:val="008130C9"/>
    <w:rsid w:val="00813D02"/>
    <w:rsid w:val="00814833"/>
    <w:rsid w:val="008166B4"/>
    <w:rsid w:val="0082023B"/>
    <w:rsid w:val="0082033D"/>
    <w:rsid w:val="008222AD"/>
    <w:rsid w:val="00822E74"/>
    <w:rsid w:val="00827428"/>
    <w:rsid w:val="0083104D"/>
    <w:rsid w:val="008349AE"/>
    <w:rsid w:val="00835806"/>
    <w:rsid w:val="0083583E"/>
    <w:rsid w:val="008435BE"/>
    <w:rsid w:val="00846D77"/>
    <w:rsid w:val="00852480"/>
    <w:rsid w:val="00855D60"/>
    <w:rsid w:val="008565B4"/>
    <w:rsid w:val="00856632"/>
    <w:rsid w:val="00856AC4"/>
    <w:rsid w:val="008571F8"/>
    <w:rsid w:val="00861EDD"/>
    <w:rsid w:val="00863FBA"/>
    <w:rsid w:val="008640BE"/>
    <w:rsid w:val="0086598C"/>
    <w:rsid w:val="00867308"/>
    <w:rsid w:val="0087385E"/>
    <w:rsid w:val="00887592"/>
    <w:rsid w:val="0088777E"/>
    <w:rsid w:val="008967A9"/>
    <w:rsid w:val="008A40F8"/>
    <w:rsid w:val="008B0543"/>
    <w:rsid w:val="008B58B0"/>
    <w:rsid w:val="008C0888"/>
    <w:rsid w:val="008C3505"/>
    <w:rsid w:val="008C62D8"/>
    <w:rsid w:val="008C7CD6"/>
    <w:rsid w:val="008D21F8"/>
    <w:rsid w:val="008D30EA"/>
    <w:rsid w:val="008D4FDE"/>
    <w:rsid w:val="008D55C8"/>
    <w:rsid w:val="008E20DE"/>
    <w:rsid w:val="008E4E65"/>
    <w:rsid w:val="008E672C"/>
    <w:rsid w:val="008F1770"/>
    <w:rsid w:val="009013C5"/>
    <w:rsid w:val="00903E97"/>
    <w:rsid w:val="009061A4"/>
    <w:rsid w:val="00906252"/>
    <w:rsid w:val="00912E02"/>
    <w:rsid w:val="0091449F"/>
    <w:rsid w:val="0092153A"/>
    <w:rsid w:val="00922184"/>
    <w:rsid w:val="00931325"/>
    <w:rsid w:val="00931E1A"/>
    <w:rsid w:val="00934F45"/>
    <w:rsid w:val="009361D9"/>
    <w:rsid w:val="00942024"/>
    <w:rsid w:val="00944550"/>
    <w:rsid w:val="00951534"/>
    <w:rsid w:val="009550AD"/>
    <w:rsid w:val="009565D4"/>
    <w:rsid w:val="00956C74"/>
    <w:rsid w:val="00962303"/>
    <w:rsid w:val="009665A5"/>
    <w:rsid w:val="00967D7C"/>
    <w:rsid w:val="009704AB"/>
    <w:rsid w:val="00972A63"/>
    <w:rsid w:val="00972F13"/>
    <w:rsid w:val="0097766E"/>
    <w:rsid w:val="009778E3"/>
    <w:rsid w:val="00977D73"/>
    <w:rsid w:val="00980603"/>
    <w:rsid w:val="00980B09"/>
    <w:rsid w:val="00983EDB"/>
    <w:rsid w:val="0099262A"/>
    <w:rsid w:val="0099751A"/>
    <w:rsid w:val="009A05F3"/>
    <w:rsid w:val="009A0CD2"/>
    <w:rsid w:val="009B3D0C"/>
    <w:rsid w:val="009B56DA"/>
    <w:rsid w:val="009C27CD"/>
    <w:rsid w:val="009C4212"/>
    <w:rsid w:val="009D13BB"/>
    <w:rsid w:val="009D31B2"/>
    <w:rsid w:val="009D4644"/>
    <w:rsid w:val="009D50EB"/>
    <w:rsid w:val="009D5618"/>
    <w:rsid w:val="009D588E"/>
    <w:rsid w:val="009D7DBE"/>
    <w:rsid w:val="009E03E4"/>
    <w:rsid w:val="009E32F5"/>
    <w:rsid w:val="009E6279"/>
    <w:rsid w:val="009E747B"/>
    <w:rsid w:val="009F2649"/>
    <w:rsid w:val="009F340F"/>
    <w:rsid w:val="009F704C"/>
    <w:rsid w:val="00A0215D"/>
    <w:rsid w:val="00A029E1"/>
    <w:rsid w:val="00A03E6C"/>
    <w:rsid w:val="00A06666"/>
    <w:rsid w:val="00A105E0"/>
    <w:rsid w:val="00A111DD"/>
    <w:rsid w:val="00A161E7"/>
    <w:rsid w:val="00A23345"/>
    <w:rsid w:val="00A25177"/>
    <w:rsid w:val="00A3018B"/>
    <w:rsid w:val="00A3019A"/>
    <w:rsid w:val="00A3128D"/>
    <w:rsid w:val="00A324EA"/>
    <w:rsid w:val="00A33A46"/>
    <w:rsid w:val="00A33B8F"/>
    <w:rsid w:val="00A36383"/>
    <w:rsid w:val="00A45425"/>
    <w:rsid w:val="00A45B43"/>
    <w:rsid w:val="00A4794A"/>
    <w:rsid w:val="00A53338"/>
    <w:rsid w:val="00A533DE"/>
    <w:rsid w:val="00A53E2B"/>
    <w:rsid w:val="00A55969"/>
    <w:rsid w:val="00A707A1"/>
    <w:rsid w:val="00A71DBB"/>
    <w:rsid w:val="00A734FC"/>
    <w:rsid w:val="00A80595"/>
    <w:rsid w:val="00A817CE"/>
    <w:rsid w:val="00A8234B"/>
    <w:rsid w:val="00A908B5"/>
    <w:rsid w:val="00A928FA"/>
    <w:rsid w:val="00A9422A"/>
    <w:rsid w:val="00A96C62"/>
    <w:rsid w:val="00AA075C"/>
    <w:rsid w:val="00AA7B0B"/>
    <w:rsid w:val="00AB0393"/>
    <w:rsid w:val="00AB0588"/>
    <w:rsid w:val="00AB167E"/>
    <w:rsid w:val="00AB32CF"/>
    <w:rsid w:val="00AC59EB"/>
    <w:rsid w:val="00AC76CD"/>
    <w:rsid w:val="00AD049D"/>
    <w:rsid w:val="00AD0A26"/>
    <w:rsid w:val="00AD2235"/>
    <w:rsid w:val="00AD2904"/>
    <w:rsid w:val="00AD2DBF"/>
    <w:rsid w:val="00AE5530"/>
    <w:rsid w:val="00AE78DD"/>
    <w:rsid w:val="00AF0F5D"/>
    <w:rsid w:val="00AF3E11"/>
    <w:rsid w:val="00AF40E9"/>
    <w:rsid w:val="00B02599"/>
    <w:rsid w:val="00B04E14"/>
    <w:rsid w:val="00B14060"/>
    <w:rsid w:val="00B16B3C"/>
    <w:rsid w:val="00B219AF"/>
    <w:rsid w:val="00B223FF"/>
    <w:rsid w:val="00B25EE3"/>
    <w:rsid w:val="00B269D4"/>
    <w:rsid w:val="00B30013"/>
    <w:rsid w:val="00B32590"/>
    <w:rsid w:val="00B3357C"/>
    <w:rsid w:val="00B36114"/>
    <w:rsid w:val="00B40126"/>
    <w:rsid w:val="00B444BB"/>
    <w:rsid w:val="00B518F2"/>
    <w:rsid w:val="00B53740"/>
    <w:rsid w:val="00B55208"/>
    <w:rsid w:val="00B56BBE"/>
    <w:rsid w:val="00B61C4A"/>
    <w:rsid w:val="00B61EC9"/>
    <w:rsid w:val="00B6437C"/>
    <w:rsid w:val="00B64CA5"/>
    <w:rsid w:val="00B679AD"/>
    <w:rsid w:val="00B72FC3"/>
    <w:rsid w:val="00B732BF"/>
    <w:rsid w:val="00B7744A"/>
    <w:rsid w:val="00B778A7"/>
    <w:rsid w:val="00B82D4D"/>
    <w:rsid w:val="00B84108"/>
    <w:rsid w:val="00B85864"/>
    <w:rsid w:val="00B87EE6"/>
    <w:rsid w:val="00B9260A"/>
    <w:rsid w:val="00B93239"/>
    <w:rsid w:val="00B96ABD"/>
    <w:rsid w:val="00BB015D"/>
    <w:rsid w:val="00BB0178"/>
    <w:rsid w:val="00BB040D"/>
    <w:rsid w:val="00BB70F8"/>
    <w:rsid w:val="00BC2513"/>
    <w:rsid w:val="00BC301D"/>
    <w:rsid w:val="00BC54B2"/>
    <w:rsid w:val="00BC5E40"/>
    <w:rsid w:val="00BD108C"/>
    <w:rsid w:val="00BE35CB"/>
    <w:rsid w:val="00BF18DC"/>
    <w:rsid w:val="00BF5326"/>
    <w:rsid w:val="00C01E0F"/>
    <w:rsid w:val="00C02363"/>
    <w:rsid w:val="00C03C25"/>
    <w:rsid w:val="00C03F0C"/>
    <w:rsid w:val="00C04B4F"/>
    <w:rsid w:val="00C13DE2"/>
    <w:rsid w:val="00C14408"/>
    <w:rsid w:val="00C14776"/>
    <w:rsid w:val="00C17CCE"/>
    <w:rsid w:val="00C17F58"/>
    <w:rsid w:val="00C21D3B"/>
    <w:rsid w:val="00C2551C"/>
    <w:rsid w:val="00C2560F"/>
    <w:rsid w:val="00C307E7"/>
    <w:rsid w:val="00C337DA"/>
    <w:rsid w:val="00C33BF7"/>
    <w:rsid w:val="00C34A92"/>
    <w:rsid w:val="00C35829"/>
    <w:rsid w:val="00C36245"/>
    <w:rsid w:val="00C370A7"/>
    <w:rsid w:val="00C42575"/>
    <w:rsid w:val="00C4490D"/>
    <w:rsid w:val="00C4717C"/>
    <w:rsid w:val="00C50A8A"/>
    <w:rsid w:val="00C57E90"/>
    <w:rsid w:val="00C62F1C"/>
    <w:rsid w:val="00C6380F"/>
    <w:rsid w:val="00C70DFA"/>
    <w:rsid w:val="00C72320"/>
    <w:rsid w:val="00C728CB"/>
    <w:rsid w:val="00C73070"/>
    <w:rsid w:val="00C73DA3"/>
    <w:rsid w:val="00C744A3"/>
    <w:rsid w:val="00C77DA6"/>
    <w:rsid w:val="00C80640"/>
    <w:rsid w:val="00C81DB5"/>
    <w:rsid w:val="00C842D2"/>
    <w:rsid w:val="00C900FF"/>
    <w:rsid w:val="00C9377B"/>
    <w:rsid w:val="00C93D88"/>
    <w:rsid w:val="00CA0357"/>
    <w:rsid w:val="00CB3FC8"/>
    <w:rsid w:val="00CB442A"/>
    <w:rsid w:val="00CB588B"/>
    <w:rsid w:val="00CB6F8D"/>
    <w:rsid w:val="00CD1469"/>
    <w:rsid w:val="00CD2213"/>
    <w:rsid w:val="00CD4B2E"/>
    <w:rsid w:val="00CD4DE4"/>
    <w:rsid w:val="00CD596A"/>
    <w:rsid w:val="00CD6527"/>
    <w:rsid w:val="00CD6B3F"/>
    <w:rsid w:val="00CE2A60"/>
    <w:rsid w:val="00CE624A"/>
    <w:rsid w:val="00CF3E63"/>
    <w:rsid w:val="00CF40A2"/>
    <w:rsid w:val="00CF561E"/>
    <w:rsid w:val="00D00360"/>
    <w:rsid w:val="00D012D8"/>
    <w:rsid w:val="00D03219"/>
    <w:rsid w:val="00D11B5E"/>
    <w:rsid w:val="00D143BA"/>
    <w:rsid w:val="00D20DD2"/>
    <w:rsid w:val="00D21A9C"/>
    <w:rsid w:val="00D23149"/>
    <w:rsid w:val="00D276A8"/>
    <w:rsid w:val="00D3360F"/>
    <w:rsid w:val="00D34EEE"/>
    <w:rsid w:val="00D3571A"/>
    <w:rsid w:val="00D37BAF"/>
    <w:rsid w:val="00D41AF4"/>
    <w:rsid w:val="00D45694"/>
    <w:rsid w:val="00D46038"/>
    <w:rsid w:val="00D51B1E"/>
    <w:rsid w:val="00D524A2"/>
    <w:rsid w:val="00D62CDD"/>
    <w:rsid w:val="00D64360"/>
    <w:rsid w:val="00D73536"/>
    <w:rsid w:val="00D87A73"/>
    <w:rsid w:val="00D90E4A"/>
    <w:rsid w:val="00D96598"/>
    <w:rsid w:val="00D979EA"/>
    <w:rsid w:val="00DA02B9"/>
    <w:rsid w:val="00DA03CE"/>
    <w:rsid w:val="00DA26D6"/>
    <w:rsid w:val="00DA42EA"/>
    <w:rsid w:val="00DA50B7"/>
    <w:rsid w:val="00DA62C0"/>
    <w:rsid w:val="00DA7FEA"/>
    <w:rsid w:val="00DB269B"/>
    <w:rsid w:val="00DB276B"/>
    <w:rsid w:val="00DB4840"/>
    <w:rsid w:val="00DB67F8"/>
    <w:rsid w:val="00DB75E5"/>
    <w:rsid w:val="00DC0148"/>
    <w:rsid w:val="00DC02B5"/>
    <w:rsid w:val="00DC15BA"/>
    <w:rsid w:val="00DC21E3"/>
    <w:rsid w:val="00DC2A67"/>
    <w:rsid w:val="00DC32F1"/>
    <w:rsid w:val="00DC47A2"/>
    <w:rsid w:val="00DD1CAB"/>
    <w:rsid w:val="00DD27D1"/>
    <w:rsid w:val="00DE221A"/>
    <w:rsid w:val="00DE2334"/>
    <w:rsid w:val="00DE5C1E"/>
    <w:rsid w:val="00DF1F29"/>
    <w:rsid w:val="00DF3AE3"/>
    <w:rsid w:val="00DF472C"/>
    <w:rsid w:val="00DF68F0"/>
    <w:rsid w:val="00DF6CDE"/>
    <w:rsid w:val="00E0113D"/>
    <w:rsid w:val="00E039CB"/>
    <w:rsid w:val="00E0746D"/>
    <w:rsid w:val="00E1423B"/>
    <w:rsid w:val="00E317E1"/>
    <w:rsid w:val="00E33231"/>
    <w:rsid w:val="00E41A26"/>
    <w:rsid w:val="00E44A1B"/>
    <w:rsid w:val="00E5049D"/>
    <w:rsid w:val="00E50D1B"/>
    <w:rsid w:val="00E52DDB"/>
    <w:rsid w:val="00E53FA2"/>
    <w:rsid w:val="00E6186E"/>
    <w:rsid w:val="00E72F03"/>
    <w:rsid w:val="00E7429A"/>
    <w:rsid w:val="00E75BD9"/>
    <w:rsid w:val="00E75D89"/>
    <w:rsid w:val="00E7693C"/>
    <w:rsid w:val="00E84434"/>
    <w:rsid w:val="00E90200"/>
    <w:rsid w:val="00E91364"/>
    <w:rsid w:val="00E91B72"/>
    <w:rsid w:val="00E94A96"/>
    <w:rsid w:val="00E96226"/>
    <w:rsid w:val="00E9781C"/>
    <w:rsid w:val="00EA0512"/>
    <w:rsid w:val="00EB1362"/>
    <w:rsid w:val="00EB1F0B"/>
    <w:rsid w:val="00EB30F5"/>
    <w:rsid w:val="00EB3207"/>
    <w:rsid w:val="00EB5C8B"/>
    <w:rsid w:val="00EC26F4"/>
    <w:rsid w:val="00EC3CC1"/>
    <w:rsid w:val="00EC45E0"/>
    <w:rsid w:val="00EC47CA"/>
    <w:rsid w:val="00EC5821"/>
    <w:rsid w:val="00ED113C"/>
    <w:rsid w:val="00ED263C"/>
    <w:rsid w:val="00ED2A92"/>
    <w:rsid w:val="00ED407E"/>
    <w:rsid w:val="00ED503D"/>
    <w:rsid w:val="00EE11FD"/>
    <w:rsid w:val="00EE1D07"/>
    <w:rsid w:val="00EE2531"/>
    <w:rsid w:val="00EE7BB5"/>
    <w:rsid w:val="00EF60E5"/>
    <w:rsid w:val="00EF65EA"/>
    <w:rsid w:val="00F04294"/>
    <w:rsid w:val="00F04D0C"/>
    <w:rsid w:val="00F13235"/>
    <w:rsid w:val="00F14027"/>
    <w:rsid w:val="00F1494E"/>
    <w:rsid w:val="00F1754E"/>
    <w:rsid w:val="00F22A90"/>
    <w:rsid w:val="00F23798"/>
    <w:rsid w:val="00F25F44"/>
    <w:rsid w:val="00F260AC"/>
    <w:rsid w:val="00F26DFB"/>
    <w:rsid w:val="00F27043"/>
    <w:rsid w:val="00F32C54"/>
    <w:rsid w:val="00F32E6E"/>
    <w:rsid w:val="00F33C8A"/>
    <w:rsid w:val="00F4263A"/>
    <w:rsid w:val="00F4531E"/>
    <w:rsid w:val="00F47E96"/>
    <w:rsid w:val="00F50A3A"/>
    <w:rsid w:val="00F523A3"/>
    <w:rsid w:val="00F579AD"/>
    <w:rsid w:val="00F60672"/>
    <w:rsid w:val="00F62A1E"/>
    <w:rsid w:val="00F64DB9"/>
    <w:rsid w:val="00F65513"/>
    <w:rsid w:val="00F7594B"/>
    <w:rsid w:val="00F8505E"/>
    <w:rsid w:val="00F85399"/>
    <w:rsid w:val="00F86F23"/>
    <w:rsid w:val="00F90076"/>
    <w:rsid w:val="00F90970"/>
    <w:rsid w:val="00F91075"/>
    <w:rsid w:val="00F911FE"/>
    <w:rsid w:val="00F93183"/>
    <w:rsid w:val="00F96559"/>
    <w:rsid w:val="00FA035F"/>
    <w:rsid w:val="00FA4C1D"/>
    <w:rsid w:val="00FA686C"/>
    <w:rsid w:val="00FA6932"/>
    <w:rsid w:val="00FA7A91"/>
    <w:rsid w:val="00FB3972"/>
    <w:rsid w:val="00FB61A2"/>
    <w:rsid w:val="00FB70DE"/>
    <w:rsid w:val="00FC2BD1"/>
    <w:rsid w:val="00FC63F3"/>
    <w:rsid w:val="00FD17C2"/>
    <w:rsid w:val="00FD365B"/>
    <w:rsid w:val="00FD4006"/>
    <w:rsid w:val="00FD634F"/>
    <w:rsid w:val="00FE0A7C"/>
    <w:rsid w:val="00FE2611"/>
    <w:rsid w:val="00FF00B4"/>
    <w:rsid w:val="00FF2067"/>
    <w:rsid w:val="00FF224D"/>
    <w:rsid w:val="00FF3FFA"/>
    <w:rsid w:val="00FF45D5"/>
    <w:rsid w:val="00FF50F6"/>
    <w:rsid w:val="00FF5A01"/>
    <w:rsid w:val="00FF6542"/>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e1e1ff,#069,#bad1e8,#afd787,#cde6b4,#d1e8ba,#0000ac"/>
    </o:shapedefaults>
    <o:shapelayout v:ext="edit">
      <o:idmap v:ext="edit" data="1"/>
    </o:shapelayout>
  </w:shapeDefaults>
  <w:decimalSymbol w:val="."/>
  <w:listSeparator w:val=","/>
  <w14:docId w14:val="6CC8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12"/>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DA50B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60B3F"/>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360B3F"/>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360B3F"/>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493062"/>
    <w:pPr>
      <w:spacing w:after="6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9C4212"/>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49306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93062"/>
    <w:pPr>
      <w:spacing w:before="60" w:after="6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A8234B"/>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uiPriority w:val="99"/>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 w:type="character" w:customStyle="1" w:styleId="Heading1Char">
    <w:name w:val="Heading 1 Char"/>
    <w:basedOn w:val="DefaultParagraphFont"/>
    <w:link w:val="Heading1"/>
    <w:rsid w:val="00DA50B7"/>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DA50B7"/>
    <w:rPr>
      <w:b/>
      <w:bCs/>
    </w:rPr>
  </w:style>
  <w:style w:type="character" w:customStyle="1" w:styleId="Heading3Char">
    <w:name w:val="Heading 3 Char"/>
    <w:basedOn w:val="DefaultParagraphFont"/>
    <w:link w:val="Heading3"/>
    <w:rsid w:val="00360B3F"/>
    <w:rPr>
      <w:rFonts w:ascii="Arial" w:hAnsi="Arial"/>
      <w:b/>
      <w:color w:val="DA291C"/>
    </w:rPr>
  </w:style>
  <w:style w:type="paragraph" w:styleId="PlainText">
    <w:name w:val="Plain Text"/>
    <w:basedOn w:val="Normal"/>
    <w:link w:val="PlainTextChar"/>
    <w:uiPriority w:val="99"/>
    <w:unhideWhenUsed/>
    <w:rsid w:val="00DA50B7"/>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A50B7"/>
    <w:rPr>
      <w:rFonts w:ascii="Calibri" w:eastAsiaTheme="minorHAnsi" w:hAnsi="Calibri" w:cstheme="minorBidi"/>
      <w:sz w:val="22"/>
      <w:szCs w:val="21"/>
    </w:rPr>
  </w:style>
  <w:style w:type="character" w:customStyle="1" w:styleId="HeaderChar">
    <w:name w:val="Header Char"/>
    <w:basedOn w:val="DefaultParagraphFont"/>
    <w:link w:val="Header"/>
    <w:rsid w:val="00DA50B7"/>
    <w:rPr>
      <w:rFonts w:ascii="Arial" w:hAnsi="Arial"/>
      <w:b/>
      <w:color w:val="595959" w:themeColor="text1" w:themeTint="A6"/>
      <w:sz w:val="24"/>
    </w:rPr>
  </w:style>
  <w:style w:type="character" w:customStyle="1" w:styleId="FootnoteTextChar1">
    <w:name w:val="Footnote Text Char1"/>
    <w:basedOn w:val="DefaultParagraphFont"/>
    <w:rsid w:val="00DA50B7"/>
    <w:rPr>
      <w:sz w:val="20"/>
      <w:szCs w:val="20"/>
    </w:rPr>
  </w:style>
  <w:style w:type="paragraph" w:customStyle="1" w:styleId="AbtHeadC">
    <w:name w:val="AbtHead C"/>
    <w:basedOn w:val="Normal"/>
    <w:next w:val="BodyText"/>
    <w:rsid w:val="00DA50B7"/>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DA50B7"/>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DA50B7"/>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DA50B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DA50B7"/>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A50B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DA50B7"/>
    <w:pPr>
      <w:spacing w:after="0" w:line="240" w:lineRule="auto"/>
      <w:jc w:val="center"/>
    </w:pPr>
    <w:rPr>
      <w:b/>
      <w:bCs/>
      <w:sz w:val="24"/>
      <w:lang w:val="x-none" w:eastAsia="x-none"/>
    </w:rPr>
  </w:style>
  <w:style w:type="character" w:customStyle="1" w:styleId="TitleChar">
    <w:name w:val="Title Char"/>
    <w:basedOn w:val="DefaultParagraphFont"/>
    <w:link w:val="Title"/>
    <w:rsid w:val="00DA50B7"/>
    <w:rPr>
      <w:b/>
      <w:bCs/>
      <w:sz w:val="24"/>
      <w:lang w:val="x-none" w:eastAsia="x-none"/>
    </w:rPr>
  </w:style>
  <w:style w:type="paragraph" w:customStyle="1" w:styleId="Default">
    <w:name w:val="Default"/>
    <w:rsid w:val="00DA50B7"/>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DA50B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360B3F"/>
    <w:rPr>
      <w:rFonts w:ascii="Arial" w:hAnsi="Arial"/>
      <w:b/>
    </w:rPr>
  </w:style>
  <w:style w:type="paragraph" w:customStyle="1" w:styleId="ListBulleted">
    <w:name w:val="ListBulleted"/>
    <w:qFormat/>
    <w:rsid w:val="00DA50B7"/>
    <w:pPr>
      <w:numPr>
        <w:numId w:val="27"/>
      </w:numPr>
      <w:spacing w:before="120" w:after="120"/>
      <w:contextualSpacing/>
    </w:pPr>
    <w:rPr>
      <w:sz w:val="26"/>
    </w:rPr>
  </w:style>
  <w:style w:type="paragraph" w:customStyle="1" w:styleId="body">
    <w:name w:val="body"/>
    <w:basedOn w:val="BodyText"/>
    <w:rsid w:val="00DA50B7"/>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DA5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DA50B7"/>
    <w:pPr>
      <w:pBdr>
        <w:bottom w:val="single" w:sz="12" w:space="1" w:color="898D8D" w:themeColor="accent2"/>
      </w:pBdr>
      <w:spacing w:after="60" w:line="240" w:lineRule="auto"/>
    </w:pPr>
    <w:rPr>
      <w:rFonts w:cs="Arial"/>
      <w:color w:val="DA291C" w:themeColor="accent1"/>
      <w:sz w:val="24"/>
    </w:rPr>
  </w:style>
  <w:style w:type="character" w:customStyle="1" w:styleId="TaskStyleChar">
    <w:name w:val="Task Style Char"/>
    <w:basedOn w:val="Heading4Char"/>
    <w:link w:val="TaskStyle"/>
    <w:rsid w:val="00DA50B7"/>
    <w:rPr>
      <w:rFonts w:ascii="Arial" w:hAnsi="Arial" w:cs="Arial"/>
      <w:b/>
      <w:color w:val="DA291C" w:themeColor="accent1"/>
      <w:sz w:val="24"/>
    </w:rPr>
  </w:style>
  <w:style w:type="character" w:styleId="FollowedHyperlink">
    <w:name w:val="FollowedHyperlink"/>
    <w:basedOn w:val="DefaultParagraphFont"/>
    <w:rsid w:val="00DA50B7"/>
    <w:rPr>
      <w:color w:val="0070C0" w:themeColor="followedHyperlink"/>
      <w:u w:val="single"/>
    </w:rPr>
  </w:style>
  <w:style w:type="paragraph" w:customStyle="1" w:styleId="ExhibitsourceLast">
    <w:name w:val="Exhibit source Last"/>
    <w:basedOn w:val="ExhibitSource"/>
    <w:qFormat/>
    <w:rsid w:val="00DA50B7"/>
    <w:pPr>
      <w:spacing w:after="240"/>
    </w:pPr>
    <w:rPr>
      <w:rFonts w:ascii="Arial Narrow" w:hAnsi="Arial Narrow"/>
      <w:szCs w:val="18"/>
    </w:rPr>
  </w:style>
  <w:style w:type="paragraph" w:customStyle="1" w:styleId="NormalSS">
    <w:name w:val="NormalSS"/>
    <w:basedOn w:val="Normal"/>
    <w:link w:val="NormalSSChar"/>
    <w:rsid w:val="00DA50B7"/>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DA50B7"/>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DA50B7"/>
    <w:pPr>
      <w:spacing w:before="120" w:after="60"/>
      <w:ind w:firstLine="0"/>
      <w:jc w:val="center"/>
    </w:pPr>
    <w:rPr>
      <w:rFonts w:ascii="Lucida Sans" w:hAnsi="Lucida Sans"/>
      <w:sz w:val="18"/>
    </w:rPr>
  </w:style>
  <w:style w:type="paragraph" w:customStyle="1" w:styleId="TableHeaderLeft">
    <w:name w:val="Table Header Left"/>
    <w:basedOn w:val="NormalSS"/>
    <w:rsid w:val="00DA50B7"/>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DA50B7"/>
    <w:pPr>
      <w:tabs>
        <w:tab w:val="clear" w:pos="432"/>
      </w:tabs>
      <w:spacing w:after="120"/>
      <w:ind w:left="1080" w:hanging="1080"/>
    </w:pPr>
    <w:rPr>
      <w:rFonts w:ascii="Lucida Sans" w:hAnsi="Lucida Sans"/>
      <w:sz w:val="18"/>
    </w:rPr>
  </w:style>
  <w:style w:type="paragraph" w:customStyle="1" w:styleId="BulletBlue">
    <w:name w:val="Bullet_Blue"/>
    <w:basedOn w:val="Normal"/>
    <w:rsid w:val="00DA50B7"/>
    <w:pPr>
      <w:numPr>
        <w:numId w:val="28"/>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DA50B7"/>
    <w:pPr>
      <w:numPr>
        <w:numId w:val="29"/>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DA50B7"/>
    <w:rPr>
      <w:rFonts w:ascii="Garamond" w:hAnsi="Garamond"/>
      <w:sz w:val="24"/>
      <w:szCs w:val="24"/>
    </w:rPr>
  </w:style>
  <w:style w:type="paragraph" w:customStyle="1" w:styleId="Exhibit-R">
    <w:name w:val="Exhibit-R"/>
    <w:basedOn w:val="Normal"/>
    <w:uiPriority w:val="99"/>
    <w:rsid w:val="00DA50B7"/>
    <w:pPr>
      <w:spacing w:after="0"/>
      <w:jc w:val="right"/>
    </w:pPr>
    <w:rPr>
      <w:rFonts w:ascii="Arial" w:eastAsiaTheme="minorHAnsi" w:hAnsi="Arial" w:cs="Arial"/>
      <w:color w:val="1F497D"/>
      <w:sz w:val="18"/>
      <w:szCs w:val="18"/>
    </w:rPr>
  </w:style>
  <w:style w:type="paragraph" w:customStyle="1" w:styleId="Exhibit-Left-Indent">
    <w:name w:val="Exhibit-Left-Indent"/>
    <w:basedOn w:val="Normal"/>
    <w:uiPriority w:val="99"/>
    <w:rsid w:val="00DA50B7"/>
    <w:pPr>
      <w:spacing w:after="0"/>
      <w:ind w:left="144"/>
    </w:pPr>
    <w:rPr>
      <w:rFonts w:ascii="Arial" w:eastAsiaTheme="minorHAnsi" w:hAnsi="Arial" w:cs="Arial"/>
      <w:sz w:val="18"/>
      <w:szCs w:val="18"/>
    </w:rPr>
  </w:style>
  <w:style w:type="paragraph" w:customStyle="1" w:styleId="SL-FlLftSgl">
    <w:name w:val="SL-Fl Lft Sgl"/>
    <w:rsid w:val="00DA50B7"/>
    <w:pPr>
      <w:spacing w:line="240" w:lineRule="atLeast"/>
      <w:jc w:val="both"/>
    </w:pPr>
    <w:rPr>
      <w:sz w:val="22"/>
    </w:rPr>
  </w:style>
  <w:style w:type="paragraph" w:customStyle="1" w:styleId="FMLAText">
    <w:name w:val="FMLA Text"/>
    <w:basedOn w:val="BodyText"/>
    <w:rsid w:val="00DA50B7"/>
    <w:pPr>
      <w:spacing w:after="120" w:line="240" w:lineRule="auto"/>
    </w:pPr>
    <w:rPr>
      <w:sz w:val="24"/>
    </w:rPr>
  </w:style>
  <w:style w:type="character" w:styleId="Emphasis">
    <w:name w:val="Emphasis"/>
    <w:basedOn w:val="DefaultParagraphFont"/>
    <w:uiPriority w:val="20"/>
    <w:qFormat/>
    <w:rsid w:val="00DA5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6137">
      <w:bodyDiv w:val="1"/>
      <w:marLeft w:val="0"/>
      <w:marRight w:val="0"/>
      <w:marTop w:val="0"/>
      <w:marBottom w:val="0"/>
      <w:divBdr>
        <w:top w:val="none" w:sz="0" w:space="0" w:color="auto"/>
        <w:left w:val="none" w:sz="0" w:space="0" w:color="auto"/>
        <w:bottom w:val="none" w:sz="0" w:space="0" w:color="auto"/>
        <w:right w:val="none" w:sz="0" w:space="0" w:color="auto"/>
      </w:divBdr>
    </w:div>
    <w:div w:id="191455670">
      <w:bodyDiv w:val="1"/>
      <w:marLeft w:val="0"/>
      <w:marRight w:val="0"/>
      <w:marTop w:val="0"/>
      <w:marBottom w:val="0"/>
      <w:divBdr>
        <w:top w:val="none" w:sz="0" w:space="0" w:color="auto"/>
        <w:left w:val="none" w:sz="0" w:space="0" w:color="auto"/>
        <w:bottom w:val="none" w:sz="0" w:space="0" w:color="auto"/>
        <w:right w:val="none" w:sz="0" w:space="0" w:color="auto"/>
      </w:divBdr>
    </w:div>
    <w:div w:id="318580315">
      <w:bodyDiv w:val="1"/>
      <w:marLeft w:val="0"/>
      <w:marRight w:val="0"/>
      <w:marTop w:val="0"/>
      <w:marBottom w:val="0"/>
      <w:divBdr>
        <w:top w:val="none" w:sz="0" w:space="0" w:color="auto"/>
        <w:left w:val="none" w:sz="0" w:space="0" w:color="auto"/>
        <w:bottom w:val="none" w:sz="0" w:space="0" w:color="auto"/>
        <w:right w:val="none" w:sz="0" w:space="0" w:color="auto"/>
      </w:divBdr>
    </w:div>
    <w:div w:id="401416059">
      <w:bodyDiv w:val="1"/>
      <w:marLeft w:val="0"/>
      <w:marRight w:val="0"/>
      <w:marTop w:val="0"/>
      <w:marBottom w:val="0"/>
      <w:divBdr>
        <w:top w:val="none" w:sz="0" w:space="0" w:color="auto"/>
        <w:left w:val="none" w:sz="0" w:space="0" w:color="auto"/>
        <w:bottom w:val="none" w:sz="0" w:space="0" w:color="auto"/>
        <w:right w:val="none" w:sz="0" w:space="0" w:color="auto"/>
      </w:divBdr>
    </w:div>
    <w:div w:id="514735371">
      <w:bodyDiv w:val="1"/>
      <w:marLeft w:val="0"/>
      <w:marRight w:val="0"/>
      <w:marTop w:val="0"/>
      <w:marBottom w:val="0"/>
      <w:divBdr>
        <w:top w:val="none" w:sz="0" w:space="0" w:color="auto"/>
        <w:left w:val="none" w:sz="0" w:space="0" w:color="auto"/>
        <w:bottom w:val="none" w:sz="0" w:space="0" w:color="auto"/>
        <w:right w:val="none" w:sz="0" w:space="0" w:color="auto"/>
      </w:divBdr>
    </w:div>
    <w:div w:id="601035674">
      <w:bodyDiv w:val="1"/>
      <w:marLeft w:val="0"/>
      <w:marRight w:val="0"/>
      <w:marTop w:val="0"/>
      <w:marBottom w:val="0"/>
      <w:divBdr>
        <w:top w:val="none" w:sz="0" w:space="0" w:color="auto"/>
        <w:left w:val="none" w:sz="0" w:space="0" w:color="auto"/>
        <w:bottom w:val="none" w:sz="0" w:space="0" w:color="auto"/>
        <w:right w:val="none" w:sz="0" w:space="0" w:color="auto"/>
      </w:divBdr>
    </w:div>
    <w:div w:id="633096316">
      <w:bodyDiv w:val="1"/>
      <w:marLeft w:val="0"/>
      <w:marRight w:val="0"/>
      <w:marTop w:val="0"/>
      <w:marBottom w:val="0"/>
      <w:divBdr>
        <w:top w:val="none" w:sz="0" w:space="0" w:color="auto"/>
        <w:left w:val="none" w:sz="0" w:space="0" w:color="auto"/>
        <w:bottom w:val="none" w:sz="0" w:space="0" w:color="auto"/>
        <w:right w:val="none" w:sz="0" w:space="0" w:color="auto"/>
      </w:divBdr>
    </w:div>
    <w:div w:id="788864013">
      <w:bodyDiv w:val="1"/>
      <w:marLeft w:val="0"/>
      <w:marRight w:val="0"/>
      <w:marTop w:val="0"/>
      <w:marBottom w:val="0"/>
      <w:divBdr>
        <w:top w:val="none" w:sz="0" w:space="0" w:color="auto"/>
        <w:left w:val="none" w:sz="0" w:space="0" w:color="auto"/>
        <w:bottom w:val="none" w:sz="0" w:space="0" w:color="auto"/>
        <w:right w:val="none" w:sz="0" w:space="0" w:color="auto"/>
      </w:divBdr>
    </w:div>
    <w:div w:id="839852178">
      <w:bodyDiv w:val="1"/>
      <w:marLeft w:val="0"/>
      <w:marRight w:val="0"/>
      <w:marTop w:val="0"/>
      <w:marBottom w:val="0"/>
      <w:divBdr>
        <w:top w:val="none" w:sz="0" w:space="0" w:color="auto"/>
        <w:left w:val="none" w:sz="0" w:space="0" w:color="auto"/>
        <w:bottom w:val="none" w:sz="0" w:space="0" w:color="auto"/>
        <w:right w:val="none" w:sz="0" w:space="0" w:color="auto"/>
      </w:divBdr>
    </w:div>
    <w:div w:id="1066759418">
      <w:bodyDiv w:val="1"/>
      <w:marLeft w:val="0"/>
      <w:marRight w:val="0"/>
      <w:marTop w:val="0"/>
      <w:marBottom w:val="0"/>
      <w:divBdr>
        <w:top w:val="none" w:sz="0" w:space="0" w:color="auto"/>
        <w:left w:val="none" w:sz="0" w:space="0" w:color="auto"/>
        <w:bottom w:val="none" w:sz="0" w:space="0" w:color="auto"/>
        <w:right w:val="none" w:sz="0" w:space="0" w:color="auto"/>
      </w:divBdr>
      <w:divsChild>
        <w:div w:id="828327419">
          <w:marLeft w:val="0"/>
          <w:marRight w:val="0"/>
          <w:marTop w:val="0"/>
          <w:marBottom w:val="0"/>
          <w:divBdr>
            <w:top w:val="none" w:sz="0" w:space="0" w:color="auto"/>
            <w:left w:val="none" w:sz="0" w:space="0" w:color="auto"/>
            <w:bottom w:val="none" w:sz="0" w:space="0" w:color="auto"/>
            <w:right w:val="none" w:sz="0" w:space="0" w:color="auto"/>
          </w:divBdr>
        </w:div>
      </w:divsChild>
    </w:div>
    <w:div w:id="1302686831">
      <w:bodyDiv w:val="1"/>
      <w:marLeft w:val="0"/>
      <w:marRight w:val="0"/>
      <w:marTop w:val="0"/>
      <w:marBottom w:val="0"/>
      <w:divBdr>
        <w:top w:val="none" w:sz="0" w:space="0" w:color="auto"/>
        <w:left w:val="none" w:sz="0" w:space="0" w:color="auto"/>
        <w:bottom w:val="none" w:sz="0" w:space="0" w:color="auto"/>
        <w:right w:val="none" w:sz="0" w:space="0" w:color="auto"/>
      </w:divBdr>
    </w:div>
    <w:div w:id="1381250106">
      <w:bodyDiv w:val="1"/>
      <w:marLeft w:val="0"/>
      <w:marRight w:val="0"/>
      <w:marTop w:val="0"/>
      <w:marBottom w:val="0"/>
      <w:divBdr>
        <w:top w:val="none" w:sz="0" w:space="0" w:color="auto"/>
        <w:left w:val="none" w:sz="0" w:space="0" w:color="auto"/>
        <w:bottom w:val="none" w:sz="0" w:space="0" w:color="auto"/>
        <w:right w:val="none" w:sz="0" w:space="0" w:color="auto"/>
      </w:divBdr>
    </w:div>
    <w:div w:id="14837417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4048">
      <w:bodyDiv w:val="1"/>
      <w:marLeft w:val="0"/>
      <w:marRight w:val="0"/>
      <w:marTop w:val="0"/>
      <w:marBottom w:val="0"/>
      <w:divBdr>
        <w:top w:val="none" w:sz="0" w:space="0" w:color="auto"/>
        <w:left w:val="none" w:sz="0" w:space="0" w:color="auto"/>
        <w:bottom w:val="none" w:sz="0" w:space="0" w:color="auto"/>
        <w:right w:val="none" w:sz="0" w:space="0" w:color="auto"/>
      </w:divBdr>
    </w:div>
    <w:div w:id="1741513941">
      <w:bodyDiv w:val="1"/>
      <w:marLeft w:val="0"/>
      <w:marRight w:val="0"/>
      <w:marTop w:val="0"/>
      <w:marBottom w:val="0"/>
      <w:divBdr>
        <w:top w:val="none" w:sz="0" w:space="0" w:color="auto"/>
        <w:left w:val="none" w:sz="0" w:space="0" w:color="auto"/>
        <w:bottom w:val="none" w:sz="0" w:space="0" w:color="auto"/>
        <w:right w:val="none" w:sz="0" w:space="0" w:color="auto"/>
      </w:divBdr>
    </w:div>
    <w:div w:id="1874685328">
      <w:bodyDiv w:val="1"/>
      <w:marLeft w:val="0"/>
      <w:marRight w:val="0"/>
      <w:marTop w:val="0"/>
      <w:marBottom w:val="0"/>
      <w:divBdr>
        <w:top w:val="none" w:sz="0" w:space="0" w:color="auto"/>
        <w:left w:val="none" w:sz="0" w:space="0" w:color="auto"/>
        <w:bottom w:val="none" w:sz="0" w:space="0" w:color="auto"/>
        <w:right w:val="none" w:sz="0" w:space="0" w:color="auto"/>
      </w:divBdr>
    </w:div>
    <w:div w:id="20486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0956-A945-4DD2-9C6B-B313A1EB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2017-02-02T18:36:00Z</dcterms:created>
  <dcterms:modified xsi:type="dcterms:W3CDTF">2017-03-17T19:49:00Z</dcterms:modified>
  <cp:category/>
</cp:coreProperties>
</file>