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E371F" w14:textId="525BBE80" w:rsidR="001E2CF1" w:rsidRPr="00787A69" w:rsidRDefault="001E71CF" w:rsidP="009565D4">
      <w:pPr>
        <w:pStyle w:val="CoverTextRed16pt"/>
        <w:rPr>
          <w:noProof/>
        </w:rPr>
      </w:pPr>
      <w:bookmarkStart w:id="0" w:name="_GoBack"/>
      <w:bookmarkEnd w:id="0"/>
      <w:r w:rsidRPr="00787A69">
        <w:rPr>
          <w:noProof/>
        </w:rPr>
        <w:t>Supporting Statement</w:t>
      </w:r>
      <w:r w:rsidR="0051703A" w:rsidRPr="00787A69">
        <w:rPr>
          <w:noProof/>
        </w:rPr>
        <w:t xml:space="preserve"> for OMB Clearance Request</w:t>
      </w:r>
      <w:r w:rsidRPr="00787A69">
        <w:rPr>
          <w:noProof/>
        </w:rPr>
        <w:t xml:space="preserve"> Part </w:t>
      </w:r>
      <w:r w:rsidR="009778E3" w:rsidRPr="00787A69">
        <w:rPr>
          <w:noProof/>
        </w:rPr>
        <w:t>A</w:t>
      </w:r>
    </w:p>
    <w:p w14:paraId="3E954E58" w14:textId="77777777" w:rsidR="009565D4" w:rsidRPr="00787A69" w:rsidRDefault="009565D4" w:rsidP="009565D4">
      <w:pPr>
        <w:pStyle w:val="CoverText-Address"/>
        <w:rPr>
          <w:noProof/>
        </w:rPr>
      </w:pPr>
    </w:p>
    <w:p w14:paraId="00EB54A6" w14:textId="77777777" w:rsidR="009565D4" w:rsidRPr="00787A69" w:rsidRDefault="009565D4" w:rsidP="009565D4">
      <w:pPr>
        <w:pStyle w:val="CoverText-Address"/>
        <w:rPr>
          <w:noProof/>
        </w:rPr>
      </w:pPr>
    </w:p>
    <w:p w14:paraId="5F1B0D24" w14:textId="77777777" w:rsidR="009565D4" w:rsidRPr="00787A69" w:rsidRDefault="009565D4" w:rsidP="009565D4">
      <w:pPr>
        <w:pStyle w:val="CoverText-Address"/>
        <w:rPr>
          <w:noProof/>
        </w:rPr>
      </w:pPr>
    </w:p>
    <w:p w14:paraId="2BD3F7B2" w14:textId="77777777" w:rsidR="009565D4" w:rsidRPr="00787A69" w:rsidRDefault="009778E3" w:rsidP="009565D4">
      <w:pPr>
        <w:pStyle w:val="CoverTextRed16pt"/>
        <w:rPr>
          <w:noProof/>
        </w:rPr>
      </w:pPr>
      <w:r w:rsidRPr="00787A69">
        <w:rPr>
          <w:noProof/>
        </w:rPr>
        <w:t>Family and Medical Leave Act, Wave 4 Surveys</w:t>
      </w:r>
    </w:p>
    <w:p w14:paraId="7DD22FE4" w14:textId="77777777" w:rsidR="001E2CF1" w:rsidRPr="00787A69" w:rsidRDefault="001E2CF1" w:rsidP="00744E2C">
      <w:pPr>
        <w:pStyle w:val="CoverText-Address"/>
      </w:pPr>
    </w:p>
    <w:p w14:paraId="3DA56F9C" w14:textId="3D63DF24" w:rsidR="00855D60" w:rsidRPr="00787A69" w:rsidRDefault="003207AC" w:rsidP="00855D60">
      <w:pPr>
        <w:pStyle w:val="CoverText-Address"/>
        <w:rPr>
          <w:szCs w:val="22"/>
        </w:rPr>
      </w:pPr>
      <w:r w:rsidRPr="00787A69">
        <w:rPr>
          <w:szCs w:val="22"/>
        </w:rPr>
        <w:t>OMB Control Number 1290-0NEW</w:t>
      </w:r>
    </w:p>
    <w:p w14:paraId="15383A9F" w14:textId="77777777" w:rsidR="009565D4" w:rsidRPr="00787A69" w:rsidRDefault="009565D4" w:rsidP="009565D4">
      <w:pPr>
        <w:pStyle w:val="CoverText-Address"/>
      </w:pPr>
    </w:p>
    <w:p w14:paraId="278D2449" w14:textId="59C76A00" w:rsidR="00D22D36" w:rsidRPr="00787A69" w:rsidRDefault="007F0A8A" w:rsidP="009565D4">
      <w:pPr>
        <w:pStyle w:val="CoverText-Address"/>
      </w:pPr>
      <w:r w:rsidRPr="00787A69">
        <w:t xml:space="preserve">July </w:t>
      </w:r>
      <w:r w:rsidR="004A3AB1" w:rsidRPr="00787A69">
        <w:t>2017</w:t>
      </w:r>
    </w:p>
    <w:p w14:paraId="2530A805" w14:textId="77777777" w:rsidR="005769FC" w:rsidRPr="00787A69" w:rsidRDefault="005769FC" w:rsidP="009565D4">
      <w:pPr>
        <w:pStyle w:val="CoverText-Address"/>
      </w:pPr>
    </w:p>
    <w:p w14:paraId="56AA7D17" w14:textId="77777777" w:rsidR="005769FC" w:rsidRPr="00787A69" w:rsidRDefault="005769FC" w:rsidP="009565D4">
      <w:pPr>
        <w:pStyle w:val="CoverText-Address"/>
      </w:pPr>
    </w:p>
    <w:p w14:paraId="658DBAD0" w14:textId="77777777" w:rsidR="005769FC" w:rsidRPr="00787A69" w:rsidRDefault="005769FC" w:rsidP="009565D4">
      <w:pPr>
        <w:pStyle w:val="CoverText-Address"/>
      </w:pPr>
    </w:p>
    <w:p w14:paraId="0944A724" w14:textId="77777777" w:rsidR="005769FC" w:rsidRPr="00787A69" w:rsidRDefault="005769FC" w:rsidP="009565D4">
      <w:pPr>
        <w:pStyle w:val="CoverText-Address"/>
      </w:pPr>
    </w:p>
    <w:p w14:paraId="29CCC0EF" w14:textId="77777777" w:rsidR="005769FC" w:rsidRPr="00787A69" w:rsidRDefault="005769FC" w:rsidP="009565D4">
      <w:pPr>
        <w:pStyle w:val="CoverText-Address"/>
      </w:pPr>
    </w:p>
    <w:p w14:paraId="2F1254C9" w14:textId="77777777" w:rsidR="005769FC" w:rsidRPr="00787A69" w:rsidRDefault="005769FC" w:rsidP="009565D4">
      <w:pPr>
        <w:pStyle w:val="CoverText-Address"/>
      </w:pPr>
    </w:p>
    <w:p w14:paraId="6D4B7331" w14:textId="77777777" w:rsidR="005769FC" w:rsidRPr="00787A69" w:rsidRDefault="005769FC" w:rsidP="009565D4">
      <w:pPr>
        <w:pStyle w:val="CoverText-Address"/>
      </w:pPr>
    </w:p>
    <w:p w14:paraId="028F0648" w14:textId="77777777" w:rsidR="005769FC" w:rsidRPr="00787A69" w:rsidRDefault="005769FC" w:rsidP="009565D4">
      <w:pPr>
        <w:pStyle w:val="CoverText-Address"/>
      </w:pPr>
    </w:p>
    <w:p w14:paraId="43F0A5CA" w14:textId="77777777" w:rsidR="005769FC" w:rsidRPr="00787A69" w:rsidRDefault="005769FC" w:rsidP="009565D4">
      <w:pPr>
        <w:pStyle w:val="CoverText-Address"/>
      </w:pPr>
    </w:p>
    <w:p w14:paraId="0215019E" w14:textId="77777777" w:rsidR="005769FC" w:rsidRPr="00787A69" w:rsidRDefault="005769FC" w:rsidP="009565D4">
      <w:pPr>
        <w:pStyle w:val="CoverText-Address"/>
      </w:pPr>
    </w:p>
    <w:p w14:paraId="7AEBBC99" w14:textId="77777777" w:rsidR="005769FC" w:rsidRPr="00787A69" w:rsidRDefault="005769FC" w:rsidP="009565D4">
      <w:pPr>
        <w:pStyle w:val="CoverText-Address"/>
      </w:pPr>
    </w:p>
    <w:p w14:paraId="40AF2E3F" w14:textId="77777777" w:rsidR="005769FC" w:rsidRPr="00787A69" w:rsidRDefault="005769FC" w:rsidP="009565D4">
      <w:pPr>
        <w:pStyle w:val="CoverText-Address"/>
      </w:pPr>
    </w:p>
    <w:p w14:paraId="1B8E109D" w14:textId="77777777" w:rsidR="005769FC" w:rsidRPr="00787A69" w:rsidRDefault="005769FC" w:rsidP="009565D4">
      <w:pPr>
        <w:pStyle w:val="CoverText-Address"/>
      </w:pPr>
    </w:p>
    <w:p w14:paraId="342015D3" w14:textId="77777777" w:rsidR="005769FC" w:rsidRPr="00787A69" w:rsidRDefault="005769FC" w:rsidP="009565D4">
      <w:pPr>
        <w:pStyle w:val="CoverText-Address"/>
      </w:pPr>
    </w:p>
    <w:p w14:paraId="4DF221BC" w14:textId="77777777" w:rsidR="005769FC" w:rsidRPr="00787A69" w:rsidRDefault="005769FC" w:rsidP="009565D4">
      <w:pPr>
        <w:pStyle w:val="CoverText-Address"/>
      </w:pPr>
    </w:p>
    <w:p w14:paraId="5D04FA38" w14:textId="77777777" w:rsidR="005769FC" w:rsidRPr="00787A69" w:rsidRDefault="005769FC" w:rsidP="009565D4">
      <w:pPr>
        <w:pStyle w:val="CoverText-Address"/>
      </w:pPr>
    </w:p>
    <w:p w14:paraId="230016C7" w14:textId="77777777" w:rsidR="005769FC" w:rsidRPr="00787A69" w:rsidRDefault="005769FC" w:rsidP="009565D4">
      <w:pPr>
        <w:pStyle w:val="CoverText-Address"/>
      </w:pPr>
    </w:p>
    <w:p w14:paraId="5576A15D" w14:textId="77777777" w:rsidR="005769FC" w:rsidRPr="00787A69" w:rsidRDefault="005769FC" w:rsidP="009565D4">
      <w:pPr>
        <w:pStyle w:val="CoverText-Address"/>
      </w:pPr>
    </w:p>
    <w:p w14:paraId="43195B28" w14:textId="77777777" w:rsidR="005769FC" w:rsidRPr="00787A69" w:rsidRDefault="005769FC" w:rsidP="009565D4">
      <w:pPr>
        <w:pStyle w:val="CoverText-Address"/>
      </w:pPr>
    </w:p>
    <w:p w14:paraId="3ECAD65D" w14:textId="77777777" w:rsidR="005769FC" w:rsidRPr="00787A69" w:rsidRDefault="005769FC" w:rsidP="009565D4">
      <w:pPr>
        <w:pStyle w:val="CoverText-Address"/>
      </w:pPr>
    </w:p>
    <w:p w14:paraId="068E768B" w14:textId="77777777" w:rsidR="005769FC" w:rsidRPr="00787A69" w:rsidRDefault="005769FC" w:rsidP="009565D4">
      <w:pPr>
        <w:pStyle w:val="CoverText-Address"/>
      </w:pPr>
    </w:p>
    <w:p w14:paraId="22667449" w14:textId="77777777" w:rsidR="005769FC" w:rsidRPr="00787A69" w:rsidRDefault="005769FC" w:rsidP="009565D4">
      <w:pPr>
        <w:pStyle w:val="CoverText-Address"/>
      </w:pPr>
    </w:p>
    <w:p w14:paraId="4F87DA6D" w14:textId="77777777" w:rsidR="005769FC" w:rsidRPr="00787A69" w:rsidRDefault="005769FC" w:rsidP="009565D4">
      <w:pPr>
        <w:pStyle w:val="CoverText-Address"/>
      </w:pPr>
    </w:p>
    <w:p w14:paraId="29D3737F" w14:textId="77777777" w:rsidR="005769FC" w:rsidRPr="00787A69" w:rsidRDefault="005769FC" w:rsidP="009565D4">
      <w:pPr>
        <w:pStyle w:val="CoverText-Address"/>
      </w:pPr>
    </w:p>
    <w:p w14:paraId="30029831" w14:textId="77777777" w:rsidR="005769FC" w:rsidRPr="00787A69" w:rsidRDefault="005769FC" w:rsidP="009565D4">
      <w:pPr>
        <w:pStyle w:val="CoverText-Address"/>
      </w:pPr>
    </w:p>
    <w:p w14:paraId="6E956D75" w14:textId="77777777" w:rsidR="005769FC" w:rsidRPr="00787A69" w:rsidRDefault="005769FC" w:rsidP="009565D4">
      <w:pPr>
        <w:pStyle w:val="CoverText-Address"/>
      </w:pPr>
    </w:p>
    <w:p w14:paraId="58E8E1F7" w14:textId="77777777" w:rsidR="009565D4" w:rsidRPr="00787A69" w:rsidRDefault="009565D4" w:rsidP="00744E2C">
      <w:pPr>
        <w:pStyle w:val="CoverText-Address"/>
      </w:pPr>
    </w:p>
    <w:p w14:paraId="690A46BD" w14:textId="77777777" w:rsidR="003D5C64" w:rsidRPr="00787A69" w:rsidRDefault="003D5C64" w:rsidP="00744E2C">
      <w:pPr>
        <w:pStyle w:val="CoverText-Address"/>
      </w:pPr>
    </w:p>
    <w:p w14:paraId="4A48B4CC" w14:textId="77777777" w:rsidR="003D5C64" w:rsidRPr="00787A69" w:rsidRDefault="003D5C64" w:rsidP="00744E2C">
      <w:pPr>
        <w:pStyle w:val="CoverText-Address"/>
      </w:pPr>
    </w:p>
    <w:p w14:paraId="79319C37" w14:textId="77777777" w:rsidR="001E2CF1" w:rsidRPr="00787A69"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15AF8D3C" w14:textId="0171F6FB" w:rsidR="004138AB" w:rsidRPr="00787A69" w:rsidRDefault="004138AB" w:rsidP="004138AB">
      <w:pPr>
        <w:pStyle w:val="TOCHeader"/>
      </w:pPr>
      <w:r w:rsidRPr="00787A69">
        <w:lastRenderedPageBreak/>
        <w:t>Table of Contents</w:t>
      </w:r>
    </w:p>
    <w:p w14:paraId="51C9766F" w14:textId="77777777" w:rsidR="0045617A" w:rsidRPr="00787A69" w:rsidRDefault="00CD2213">
      <w:pPr>
        <w:pStyle w:val="TOC1"/>
        <w:rPr>
          <w:rFonts w:asciiTheme="minorHAnsi" w:eastAsiaTheme="minorEastAsia" w:hAnsiTheme="minorHAnsi" w:cstheme="minorBidi"/>
          <w:b w:val="0"/>
          <w:szCs w:val="22"/>
        </w:rPr>
      </w:pPr>
      <w:r w:rsidRPr="00787A69">
        <w:fldChar w:fldCharType="begin"/>
      </w:r>
      <w:r w:rsidRPr="00787A69">
        <w:instrText xml:space="preserve"> TOC \o "1-3" \h \z \u </w:instrText>
      </w:r>
      <w:r w:rsidRPr="00787A69">
        <w:fldChar w:fldCharType="separate"/>
      </w:r>
      <w:hyperlink w:anchor="_Toc486315506" w:history="1">
        <w:r w:rsidR="0045617A" w:rsidRPr="00787A69">
          <w:rPr>
            <w:rStyle w:val="Hyperlink"/>
          </w:rPr>
          <w:t>Part A: Justification</w:t>
        </w:r>
        <w:r w:rsidR="0045617A" w:rsidRPr="00787A69">
          <w:rPr>
            <w:webHidden/>
          </w:rPr>
          <w:tab/>
        </w:r>
        <w:r w:rsidR="0045617A" w:rsidRPr="00787A69">
          <w:rPr>
            <w:webHidden/>
          </w:rPr>
          <w:fldChar w:fldCharType="begin"/>
        </w:r>
        <w:r w:rsidR="0045617A" w:rsidRPr="00787A69">
          <w:rPr>
            <w:webHidden/>
          </w:rPr>
          <w:instrText xml:space="preserve"> PAGEREF _Toc486315506 \h </w:instrText>
        </w:r>
        <w:r w:rsidR="0045617A" w:rsidRPr="00787A69">
          <w:rPr>
            <w:webHidden/>
          </w:rPr>
        </w:r>
        <w:r w:rsidR="0045617A" w:rsidRPr="00787A69">
          <w:rPr>
            <w:webHidden/>
          </w:rPr>
          <w:fldChar w:fldCharType="separate"/>
        </w:r>
        <w:r w:rsidR="005769FC" w:rsidRPr="00787A69">
          <w:rPr>
            <w:webHidden/>
          </w:rPr>
          <w:t>1</w:t>
        </w:r>
        <w:r w:rsidR="0045617A" w:rsidRPr="00787A69">
          <w:rPr>
            <w:webHidden/>
          </w:rPr>
          <w:fldChar w:fldCharType="end"/>
        </w:r>
      </w:hyperlink>
    </w:p>
    <w:p w14:paraId="38D15585" w14:textId="77777777" w:rsidR="0045617A" w:rsidRPr="00787A69" w:rsidRDefault="000A5E4C">
      <w:pPr>
        <w:pStyle w:val="TOC2"/>
        <w:rPr>
          <w:rFonts w:asciiTheme="minorHAnsi" w:eastAsiaTheme="minorEastAsia" w:hAnsiTheme="minorHAnsi" w:cstheme="minorBidi"/>
          <w:szCs w:val="22"/>
        </w:rPr>
      </w:pPr>
      <w:hyperlink w:anchor="_Toc486315507" w:history="1">
        <w:r w:rsidR="0045617A" w:rsidRPr="00787A69">
          <w:rPr>
            <w:rStyle w:val="Hyperlink"/>
          </w:rPr>
          <w:t xml:space="preserve">A.1. </w:t>
        </w:r>
        <w:r w:rsidR="0045617A" w:rsidRPr="00787A69">
          <w:rPr>
            <w:rFonts w:asciiTheme="minorHAnsi" w:eastAsiaTheme="minorEastAsia" w:hAnsiTheme="minorHAnsi" w:cstheme="minorBidi"/>
            <w:szCs w:val="22"/>
          </w:rPr>
          <w:tab/>
        </w:r>
        <w:r w:rsidR="0045617A" w:rsidRPr="00787A69">
          <w:rPr>
            <w:rStyle w:val="Hyperlink"/>
          </w:rPr>
          <w:t>Necessity for the Data Collection</w:t>
        </w:r>
        <w:r w:rsidR="0045617A" w:rsidRPr="00787A69">
          <w:rPr>
            <w:webHidden/>
          </w:rPr>
          <w:tab/>
        </w:r>
        <w:r w:rsidR="0045617A" w:rsidRPr="00787A69">
          <w:rPr>
            <w:webHidden/>
          </w:rPr>
          <w:fldChar w:fldCharType="begin"/>
        </w:r>
        <w:r w:rsidR="0045617A" w:rsidRPr="00787A69">
          <w:rPr>
            <w:webHidden/>
          </w:rPr>
          <w:instrText xml:space="preserve"> PAGEREF _Toc486315507 \h </w:instrText>
        </w:r>
        <w:r w:rsidR="0045617A" w:rsidRPr="00787A69">
          <w:rPr>
            <w:webHidden/>
          </w:rPr>
        </w:r>
        <w:r w:rsidR="0045617A" w:rsidRPr="00787A69">
          <w:rPr>
            <w:webHidden/>
          </w:rPr>
          <w:fldChar w:fldCharType="separate"/>
        </w:r>
        <w:r w:rsidR="005769FC" w:rsidRPr="00787A69">
          <w:rPr>
            <w:webHidden/>
          </w:rPr>
          <w:t>1</w:t>
        </w:r>
        <w:r w:rsidR="0045617A" w:rsidRPr="00787A69">
          <w:rPr>
            <w:webHidden/>
          </w:rPr>
          <w:fldChar w:fldCharType="end"/>
        </w:r>
      </w:hyperlink>
    </w:p>
    <w:p w14:paraId="51CA96F2" w14:textId="2D12DAF6" w:rsidR="0045617A" w:rsidRPr="00787A69" w:rsidRDefault="000A5E4C">
      <w:pPr>
        <w:pStyle w:val="TOC2"/>
        <w:rPr>
          <w:rFonts w:asciiTheme="minorHAnsi" w:eastAsiaTheme="minorEastAsia" w:hAnsiTheme="minorHAnsi" w:cstheme="minorBidi"/>
          <w:szCs w:val="22"/>
        </w:rPr>
      </w:pPr>
      <w:hyperlink w:anchor="_Toc486315508" w:history="1">
        <w:r w:rsidR="0045617A" w:rsidRPr="00787A69">
          <w:rPr>
            <w:rStyle w:val="Hyperlink"/>
          </w:rPr>
          <w:t xml:space="preserve">A.2. </w:t>
        </w:r>
        <w:r w:rsidR="0045617A" w:rsidRPr="00787A69">
          <w:rPr>
            <w:rFonts w:asciiTheme="minorHAnsi" w:eastAsiaTheme="minorEastAsia" w:hAnsiTheme="minorHAnsi" w:cstheme="minorBidi"/>
            <w:szCs w:val="22"/>
          </w:rPr>
          <w:tab/>
        </w:r>
        <w:r w:rsidR="0045617A" w:rsidRPr="00787A69">
          <w:rPr>
            <w:rStyle w:val="Hyperlink"/>
          </w:rPr>
          <w:t>Purpose of Survey and Data Collection Procedures</w:t>
        </w:r>
        <w:r w:rsidR="0045617A" w:rsidRPr="00787A69">
          <w:rPr>
            <w:webHidden/>
          </w:rPr>
          <w:tab/>
        </w:r>
        <w:r w:rsidR="0045617A" w:rsidRPr="00787A69">
          <w:rPr>
            <w:webHidden/>
          </w:rPr>
          <w:fldChar w:fldCharType="begin"/>
        </w:r>
        <w:r w:rsidR="0045617A" w:rsidRPr="00787A69">
          <w:rPr>
            <w:webHidden/>
          </w:rPr>
          <w:instrText xml:space="preserve"> PAGEREF _Toc486315508 \h </w:instrText>
        </w:r>
        <w:r w:rsidR="0045617A" w:rsidRPr="00787A69">
          <w:rPr>
            <w:webHidden/>
          </w:rPr>
        </w:r>
        <w:r w:rsidR="0045617A" w:rsidRPr="00787A69">
          <w:rPr>
            <w:webHidden/>
          </w:rPr>
          <w:fldChar w:fldCharType="separate"/>
        </w:r>
        <w:r w:rsidR="005769FC" w:rsidRPr="00787A69">
          <w:rPr>
            <w:webHidden/>
          </w:rPr>
          <w:t>2</w:t>
        </w:r>
        <w:r w:rsidR="0045617A" w:rsidRPr="00787A69">
          <w:rPr>
            <w:webHidden/>
          </w:rPr>
          <w:fldChar w:fldCharType="end"/>
        </w:r>
      </w:hyperlink>
    </w:p>
    <w:p w14:paraId="640DB4A1" w14:textId="77777777" w:rsidR="0045617A" w:rsidRPr="00787A69" w:rsidRDefault="000A5E4C">
      <w:pPr>
        <w:pStyle w:val="TOC3"/>
        <w:rPr>
          <w:rFonts w:asciiTheme="minorHAnsi" w:eastAsiaTheme="minorEastAsia" w:hAnsiTheme="minorHAnsi" w:cstheme="minorBidi"/>
          <w:szCs w:val="22"/>
        </w:rPr>
      </w:pPr>
      <w:hyperlink w:anchor="_Toc486315509" w:history="1">
        <w:r w:rsidR="0045617A" w:rsidRPr="00787A69">
          <w:rPr>
            <w:rStyle w:val="Hyperlink"/>
          </w:rPr>
          <w:t>A.2.1</w:t>
        </w:r>
        <w:r w:rsidR="0045617A" w:rsidRPr="00787A69">
          <w:rPr>
            <w:rFonts w:asciiTheme="minorHAnsi" w:eastAsiaTheme="minorEastAsia" w:hAnsiTheme="minorHAnsi" w:cstheme="minorBidi"/>
            <w:szCs w:val="22"/>
          </w:rPr>
          <w:tab/>
        </w:r>
        <w:r w:rsidR="0045617A" w:rsidRPr="00787A69">
          <w:rPr>
            <w:rStyle w:val="Hyperlink"/>
          </w:rPr>
          <w:t>Target Population, Mode of Administration, Survey Content and Objectives</w:t>
        </w:r>
        <w:r w:rsidR="0045617A" w:rsidRPr="00787A69">
          <w:rPr>
            <w:webHidden/>
          </w:rPr>
          <w:tab/>
        </w:r>
        <w:r w:rsidR="0045617A" w:rsidRPr="00787A69">
          <w:rPr>
            <w:webHidden/>
          </w:rPr>
          <w:fldChar w:fldCharType="begin"/>
        </w:r>
        <w:r w:rsidR="0045617A" w:rsidRPr="00787A69">
          <w:rPr>
            <w:webHidden/>
          </w:rPr>
          <w:instrText xml:space="preserve"> PAGEREF _Toc486315509 \h </w:instrText>
        </w:r>
        <w:r w:rsidR="0045617A" w:rsidRPr="00787A69">
          <w:rPr>
            <w:webHidden/>
          </w:rPr>
        </w:r>
        <w:r w:rsidR="0045617A" w:rsidRPr="00787A69">
          <w:rPr>
            <w:webHidden/>
          </w:rPr>
          <w:fldChar w:fldCharType="separate"/>
        </w:r>
        <w:r w:rsidR="005769FC" w:rsidRPr="00787A69">
          <w:rPr>
            <w:webHidden/>
          </w:rPr>
          <w:t>2</w:t>
        </w:r>
        <w:r w:rsidR="0045617A" w:rsidRPr="00787A69">
          <w:rPr>
            <w:webHidden/>
          </w:rPr>
          <w:fldChar w:fldCharType="end"/>
        </w:r>
      </w:hyperlink>
    </w:p>
    <w:p w14:paraId="7CD761D8" w14:textId="77777777" w:rsidR="0045617A" w:rsidRPr="00787A69" w:rsidRDefault="000A5E4C">
      <w:pPr>
        <w:pStyle w:val="TOC3"/>
        <w:rPr>
          <w:rFonts w:asciiTheme="minorHAnsi" w:eastAsiaTheme="minorEastAsia" w:hAnsiTheme="minorHAnsi" w:cstheme="minorBidi"/>
          <w:szCs w:val="22"/>
        </w:rPr>
      </w:pPr>
      <w:hyperlink w:anchor="_Toc486315510" w:history="1">
        <w:r w:rsidR="0045617A" w:rsidRPr="00787A69">
          <w:rPr>
            <w:rStyle w:val="Hyperlink"/>
          </w:rPr>
          <w:t>A.2.2</w:t>
        </w:r>
        <w:r w:rsidR="0045617A" w:rsidRPr="00787A69">
          <w:rPr>
            <w:rFonts w:asciiTheme="minorHAnsi" w:eastAsiaTheme="minorEastAsia" w:hAnsiTheme="minorHAnsi" w:cstheme="minorBidi"/>
            <w:szCs w:val="22"/>
          </w:rPr>
          <w:tab/>
        </w:r>
        <w:r w:rsidR="0045617A" w:rsidRPr="00787A69">
          <w:rPr>
            <w:rStyle w:val="Hyperlink"/>
          </w:rPr>
          <w:t>How the Survey Findings Will Be Used</w:t>
        </w:r>
        <w:r w:rsidR="0045617A" w:rsidRPr="00787A69">
          <w:rPr>
            <w:webHidden/>
          </w:rPr>
          <w:tab/>
        </w:r>
        <w:r w:rsidR="0045617A" w:rsidRPr="00787A69">
          <w:rPr>
            <w:webHidden/>
          </w:rPr>
          <w:fldChar w:fldCharType="begin"/>
        </w:r>
        <w:r w:rsidR="0045617A" w:rsidRPr="00787A69">
          <w:rPr>
            <w:webHidden/>
          </w:rPr>
          <w:instrText xml:space="preserve"> PAGEREF _Toc486315510 \h </w:instrText>
        </w:r>
        <w:r w:rsidR="0045617A" w:rsidRPr="00787A69">
          <w:rPr>
            <w:webHidden/>
          </w:rPr>
        </w:r>
        <w:r w:rsidR="0045617A" w:rsidRPr="00787A69">
          <w:rPr>
            <w:webHidden/>
          </w:rPr>
          <w:fldChar w:fldCharType="separate"/>
        </w:r>
        <w:r w:rsidR="005769FC" w:rsidRPr="00787A69">
          <w:rPr>
            <w:webHidden/>
          </w:rPr>
          <w:t>9</w:t>
        </w:r>
        <w:r w:rsidR="0045617A" w:rsidRPr="00787A69">
          <w:rPr>
            <w:webHidden/>
          </w:rPr>
          <w:fldChar w:fldCharType="end"/>
        </w:r>
      </w:hyperlink>
    </w:p>
    <w:p w14:paraId="6DD1A81B" w14:textId="77777777" w:rsidR="0045617A" w:rsidRPr="00787A69" w:rsidRDefault="000A5E4C">
      <w:pPr>
        <w:pStyle w:val="TOC2"/>
        <w:rPr>
          <w:rFonts w:asciiTheme="minorHAnsi" w:eastAsiaTheme="minorEastAsia" w:hAnsiTheme="minorHAnsi" w:cstheme="minorBidi"/>
          <w:szCs w:val="22"/>
        </w:rPr>
      </w:pPr>
      <w:hyperlink w:anchor="_Toc486315511" w:history="1">
        <w:r w:rsidR="0045617A" w:rsidRPr="00787A69">
          <w:rPr>
            <w:rStyle w:val="Hyperlink"/>
          </w:rPr>
          <w:t xml:space="preserve">A.3. </w:t>
        </w:r>
        <w:r w:rsidR="0045617A" w:rsidRPr="00787A69">
          <w:rPr>
            <w:rFonts w:asciiTheme="minorHAnsi" w:eastAsiaTheme="minorEastAsia" w:hAnsiTheme="minorHAnsi" w:cstheme="minorBidi"/>
            <w:szCs w:val="22"/>
          </w:rPr>
          <w:tab/>
        </w:r>
        <w:r w:rsidR="0045617A" w:rsidRPr="00787A69">
          <w:rPr>
            <w:rStyle w:val="Hyperlink"/>
          </w:rPr>
          <w:t>Improved Information Technology to Reduce Burden</w:t>
        </w:r>
        <w:r w:rsidR="0045617A" w:rsidRPr="00787A69">
          <w:rPr>
            <w:webHidden/>
          </w:rPr>
          <w:tab/>
        </w:r>
        <w:r w:rsidR="0045617A" w:rsidRPr="00787A69">
          <w:rPr>
            <w:webHidden/>
          </w:rPr>
          <w:fldChar w:fldCharType="begin"/>
        </w:r>
        <w:r w:rsidR="0045617A" w:rsidRPr="00787A69">
          <w:rPr>
            <w:webHidden/>
          </w:rPr>
          <w:instrText xml:space="preserve"> PAGEREF _Toc486315511 \h </w:instrText>
        </w:r>
        <w:r w:rsidR="0045617A" w:rsidRPr="00787A69">
          <w:rPr>
            <w:webHidden/>
          </w:rPr>
        </w:r>
        <w:r w:rsidR="0045617A" w:rsidRPr="00787A69">
          <w:rPr>
            <w:webHidden/>
          </w:rPr>
          <w:fldChar w:fldCharType="separate"/>
        </w:r>
        <w:r w:rsidR="005769FC" w:rsidRPr="00787A69">
          <w:rPr>
            <w:webHidden/>
          </w:rPr>
          <w:t>9</w:t>
        </w:r>
        <w:r w:rsidR="0045617A" w:rsidRPr="00787A69">
          <w:rPr>
            <w:webHidden/>
          </w:rPr>
          <w:fldChar w:fldCharType="end"/>
        </w:r>
      </w:hyperlink>
    </w:p>
    <w:p w14:paraId="1F2B11C4" w14:textId="77777777" w:rsidR="0045617A" w:rsidRPr="00787A69" w:rsidRDefault="000A5E4C">
      <w:pPr>
        <w:pStyle w:val="TOC3"/>
        <w:rPr>
          <w:rFonts w:asciiTheme="minorHAnsi" w:eastAsiaTheme="minorEastAsia" w:hAnsiTheme="minorHAnsi" w:cstheme="minorBidi"/>
          <w:szCs w:val="22"/>
        </w:rPr>
      </w:pPr>
      <w:hyperlink w:anchor="_Toc486315512" w:history="1">
        <w:r w:rsidR="0045617A" w:rsidRPr="00787A69">
          <w:rPr>
            <w:rStyle w:val="Hyperlink"/>
          </w:rPr>
          <w:t>A.3.1</w:t>
        </w:r>
        <w:r w:rsidR="0045617A" w:rsidRPr="00787A69">
          <w:rPr>
            <w:rFonts w:asciiTheme="minorHAnsi" w:eastAsiaTheme="minorEastAsia" w:hAnsiTheme="minorHAnsi" w:cstheme="minorBidi"/>
            <w:szCs w:val="22"/>
          </w:rPr>
          <w:tab/>
        </w:r>
        <w:r w:rsidR="0045617A" w:rsidRPr="00787A69">
          <w:rPr>
            <w:rStyle w:val="Hyperlink"/>
          </w:rPr>
          <w:t>Employee Survey</w:t>
        </w:r>
        <w:r w:rsidR="0045617A" w:rsidRPr="00787A69">
          <w:rPr>
            <w:webHidden/>
          </w:rPr>
          <w:tab/>
        </w:r>
        <w:r w:rsidR="0045617A" w:rsidRPr="00787A69">
          <w:rPr>
            <w:webHidden/>
          </w:rPr>
          <w:fldChar w:fldCharType="begin"/>
        </w:r>
        <w:r w:rsidR="0045617A" w:rsidRPr="00787A69">
          <w:rPr>
            <w:webHidden/>
          </w:rPr>
          <w:instrText xml:space="preserve"> PAGEREF _Toc486315512 \h </w:instrText>
        </w:r>
        <w:r w:rsidR="0045617A" w:rsidRPr="00787A69">
          <w:rPr>
            <w:webHidden/>
          </w:rPr>
        </w:r>
        <w:r w:rsidR="0045617A" w:rsidRPr="00787A69">
          <w:rPr>
            <w:webHidden/>
          </w:rPr>
          <w:fldChar w:fldCharType="separate"/>
        </w:r>
        <w:r w:rsidR="005769FC" w:rsidRPr="00787A69">
          <w:rPr>
            <w:webHidden/>
          </w:rPr>
          <w:t>9</w:t>
        </w:r>
        <w:r w:rsidR="0045617A" w:rsidRPr="00787A69">
          <w:rPr>
            <w:webHidden/>
          </w:rPr>
          <w:fldChar w:fldCharType="end"/>
        </w:r>
      </w:hyperlink>
    </w:p>
    <w:p w14:paraId="52554CB7" w14:textId="77777777" w:rsidR="0045617A" w:rsidRPr="00787A69" w:rsidRDefault="000A5E4C">
      <w:pPr>
        <w:pStyle w:val="TOC3"/>
        <w:rPr>
          <w:rFonts w:asciiTheme="minorHAnsi" w:eastAsiaTheme="minorEastAsia" w:hAnsiTheme="minorHAnsi" w:cstheme="minorBidi"/>
          <w:szCs w:val="22"/>
        </w:rPr>
      </w:pPr>
      <w:hyperlink w:anchor="_Toc486315513" w:history="1">
        <w:r w:rsidR="0045617A" w:rsidRPr="00787A69">
          <w:rPr>
            <w:rStyle w:val="Hyperlink"/>
          </w:rPr>
          <w:t>A.3.2</w:t>
        </w:r>
        <w:r w:rsidR="0045617A" w:rsidRPr="00787A69">
          <w:rPr>
            <w:rFonts w:asciiTheme="minorHAnsi" w:eastAsiaTheme="minorEastAsia" w:hAnsiTheme="minorHAnsi" w:cstheme="minorBidi"/>
            <w:szCs w:val="22"/>
          </w:rPr>
          <w:tab/>
        </w:r>
        <w:r w:rsidR="0045617A" w:rsidRPr="00787A69">
          <w:rPr>
            <w:rStyle w:val="Hyperlink"/>
          </w:rPr>
          <w:t>Employer Survey</w:t>
        </w:r>
        <w:r w:rsidR="0045617A" w:rsidRPr="00787A69">
          <w:rPr>
            <w:webHidden/>
          </w:rPr>
          <w:tab/>
        </w:r>
        <w:r w:rsidR="0045617A" w:rsidRPr="00787A69">
          <w:rPr>
            <w:webHidden/>
          </w:rPr>
          <w:fldChar w:fldCharType="begin"/>
        </w:r>
        <w:r w:rsidR="0045617A" w:rsidRPr="00787A69">
          <w:rPr>
            <w:webHidden/>
          </w:rPr>
          <w:instrText xml:space="preserve"> PAGEREF _Toc486315513 \h </w:instrText>
        </w:r>
        <w:r w:rsidR="0045617A" w:rsidRPr="00787A69">
          <w:rPr>
            <w:webHidden/>
          </w:rPr>
        </w:r>
        <w:r w:rsidR="0045617A" w:rsidRPr="00787A69">
          <w:rPr>
            <w:webHidden/>
          </w:rPr>
          <w:fldChar w:fldCharType="separate"/>
        </w:r>
        <w:r w:rsidR="005769FC" w:rsidRPr="00787A69">
          <w:rPr>
            <w:webHidden/>
          </w:rPr>
          <w:t>9</w:t>
        </w:r>
        <w:r w:rsidR="0045617A" w:rsidRPr="00787A69">
          <w:rPr>
            <w:webHidden/>
          </w:rPr>
          <w:fldChar w:fldCharType="end"/>
        </w:r>
      </w:hyperlink>
    </w:p>
    <w:p w14:paraId="2D6CF162" w14:textId="77777777" w:rsidR="0045617A" w:rsidRPr="00787A69" w:rsidRDefault="000A5E4C">
      <w:pPr>
        <w:pStyle w:val="TOC2"/>
        <w:rPr>
          <w:rFonts w:asciiTheme="minorHAnsi" w:eastAsiaTheme="minorEastAsia" w:hAnsiTheme="minorHAnsi" w:cstheme="minorBidi"/>
          <w:szCs w:val="22"/>
        </w:rPr>
      </w:pPr>
      <w:hyperlink w:anchor="_Toc486315514" w:history="1">
        <w:r w:rsidR="0045617A" w:rsidRPr="00787A69">
          <w:rPr>
            <w:rStyle w:val="Hyperlink"/>
          </w:rPr>
          <w:t xml:space="preserve">A.4. </w:t>
        </w:r>
        <w:r w:rsidR="0045617A" w:rsidRPr="00787A69">
          <w:rPr>
            <w:rFonts w:asciiTheme="minorHAnsi" w:eastAsiaTheme="minorEastAsia" w:hAnsiTheme="minorHAnsi" w:cstheme="minorBidi"/>
            <w:szCs w:val="22"/>
          </w:rPr>
          <w:tab/>
        </w:r>
        <w:r w:rsidR="0045617A" w:rsidRPr="00787A69">
          <w:rPr>
            <w:rStyle w:val="Hyperlink"/>
          </w:rPr>
          <w:t>Efforts to Identify Duplication</w:t>
        </w:r>
        <w:r w:rsidR="0045617A" w:rsidRPr="00787A69">
          <w:rPr>
            <w:webHidden/>
          </w:rPr>
          <w:tab/>
        </w:r>
        <w:r w:rsidR="0045617A" w:rsidRPr="00787A69">
          <w:rPr>
            <w:webHidden/>
          </w:rPr>
          <w:fldChar w:fldCharType="begin"/>
        </w:r>
        <w:r w:rsidR="0045617A" w:rsidRPr="00787A69">
          <w:rPr>
            <w:webHidden/>
          </w:rPr>
          <w:instrText xml:space="preserve"> PAGEREF _Toc486315514 \h </w:instrText>
        </w:r>
        <w:r w:rsidR="0045617A" w:rsidRPr="00787A69">
          <w:rPr>
            <w:webHidden/>
          </w:rPr>
        </w:r>
        <w:r w:rsidR="0045617A" w:rsidRPr="00787A69">
          <w:rPr>
            <w:webHidden/>
          </w:rPr>
          <w:fldChar w:fldCharType="separate"/>
        </w:r>
        <w:r w:rsidR="005769FC" w:rsidRPr="00787A69">
          <w:rPr>
            <w:webHidden/>
          </w:rPr>
          <w:t>10</w:t>
        </w:r>
        <w:r w:rsidR="0045617A" w:rsidRPr="00787A69">
          <w:rPr>
            <w:webHidden/>
          </w:rPr>
          <w:fldChar w:fldCharType="end"/>
        </w:r>
      </w:hyperlink>
    </w:p>
    <w:p w14:paraId="4774FB77" w14:textId="77777777" w:rsidR="0045617A" w:rsidRPr="00787A69" w:rsidRDefault="000A5E4C">
      <w:pPr>
        <w:pStyle w:val="TOC3"/>
        <w:rPr>
          <w:rFonts w:asciiTheme="minorHAnsi" w:eastAsiaTheme="minorEastAsia" w:hAnsiTheme="minorHAnsi" w:cstheme="minorBidi"/>
          <w:szCs w:val="22"/>
        </w:rPr>
      </w:pPr>
      <w:hyperlink w:anchor="_Toc486315515" w:history="1">
        <w:r w:rsidR="0045617A" w:rsidRPr="00787A69">
          <w:rPr>
            <w:rStyle w:val="Hyperlink"/>
          </w:rPr>
          <w:t>A.4.1</w:t>
        </w:r>
        <w:r w:rsidR="0045617A" w:rsidRPr="00787A69">
          <w:rPr>
            <w:rFonts w:asciiTheme="minorHAnsi" w:eastAsiaTheme="minorEastAsia" w:hAnsiTheme="minorHAnsi" w:cstheme="minorBidi"/>
            <w:szCs w:val="22"/>
          </w:rPr>
          <w:tab/>
        </w:r>
        <w:r w:rsidR="0045617A" w:rsidRPr="00787A69">
          <w:rPr>
            <w:rStyle w:val="Hyperlink"/>
          </w:rPr>
          <w:t>Employee Survey</w:t>
        </w:r>
        <w:r w:rsidR="0045617A" w:rsidRPr="00787A69">
          <w:rPr>
            <w:webHidden/>
          </w:rPr>
          <w:tab/>
        </w:r>
        <w:r w:rsidR="0045617A" w:rsidRPr="00787A69">
          <w:rPr>
            <w:webHidden/>
          </w:rPr>
          <w:fldChar w:fldCharType="begin"/>
        </w:r>
        <w:r w:rsidR="0045617A" w:rsidRPr="00787A69">
          <w:rPr>
            <w:webHidden/>
          </w:rPr>
          <w:instrText xml:space="preserve"> PAGEREF _Toc486315515 \h </w:instrText>
        </w:r>
        <w:r w:rsidR="0045617A" w:rsidRPr="00787A69">
          <w:rPr>
            <w:webHidden/>
          </w:rPr>
        </w:r>
        <w:r w:rsidR="0045617A" w:rsidRPr="00787A69">
          <w:rPr>
            <w:webHidden/>
          </w:rPr>
          <w:fldChar w:fldCharType="separate"/>
        </w:r>
        <w:r w:rsidR="005769FC" w:rsidRPr="00787A69">
          <w:rPr>
            <w:webHidden/>
          </w:rPr>
          <w:t>10</w:t>
        </w:r>
        <w:r w:rsidR="0045617A" w:rsidRPr="00787A69">
          <w:rPr>
            <w:webHidden/>
          </w:rPr>
          <w:fldChar w:fldCharType="end"/>
        </w:r>
      </w:hyperlink>
    </w:p>
    <w:p w14:paraId="6DDFED47" w14:textId="77777777" w:rsidR="0045617A" w:rsidRPr="00787A69" w:rsidRDefault="000A5E4C">
      <w:pPr>
        <w:pStyle w:val="TOC3"/>
        <w:rPr>
          <w:rFonts w:asciiTheme="minorHAnsi" w:eastAsiaTheme="minorEastAsia" w:hAnsiTheme="minorHAnsi" w:cstheme="minorBidi"/>
          <w:szCs w:val="22"/>
        </w:rPr>
      </w:pPr>
      <w:hyperlink w:anchor="_Toc486315516" w:history="1">
        <w:r w:rsidR="0045617A" w:rsidRPr="00787A69">
          <w:rPr>
            <w:rStyle w:val="Hyperlink"/>
          </w:rPr>
          <w:t>A.4.2</w:t>
        </w:r>
        <w:r w:rsidR="0045617A" w:rsidRPr="00787A69">
          <w:rPr>
            <w:rFonts w:asciiTheme="minorHAnsi" w:eastAsiaTheme="minorEastAsia" w:hAnsiTheme="minorHAnsi" w:cstheme="minorBidi"/>
            <w:szCs w:val="22"/>
          </w:rPr>
          <w:tab/>
        </w:r>
        <w:r w:rsidR="0045617A" w:rsidRPr="00787A69">
          <w:rPr>
            <w:rStyle w:val="Hyperlink"/>
          </w:rPr>
          <w:t>Employer Survey</w:t>
        </w:r>
        <w:r w:rsidR="0045617A" w:rsidRPr="00787A69">
          <w:rPr>
            <w:webHidden/>
          </w:rPr>
          <w:tab/>
        </w:r>
        <w:r w:rsidR="0045617A" w:rsidRPr="00787A69">
          <w:rPr>
            <w:webHidden/>
          </w:rPr>
          <w:fldChar w:fldCharType="begin"/>
        </w:r>
        <w:r w:rsidR="0045617A" w:rsidRPr="00787A69">
          <w:rPr>
            <w:webHidden/>
          </w:rPr>
          <w:instrText xml:space="preserve"> PAGEREF _Toc486315516 \h </w:instrText>
        </w:r>
        <w:r w:rsidR="0045617A" w:rsidRPr="00787A69">
          <w:rPr>
            <w:webHidden/>
          </w:rPr>
        </w:r>
        <w:r w:rsidR="0045617A" w:rsidRPr="00787A69">
          <w:rPr>
            <w:webHidden/>
          </w:rPr>
          <w:fldChar w:fldCharType="separate"/>
        </w:r>
        <w:r w:rsidR="005769FC" w:rsidRPr="00787A69">
          <w:rPr>
            <w:webHidden/>
          </w:rPr>
          <w:t>10</w:t>
        </w:r>
        <w:r w:rsidR="0045617A" w:rsidRPr="00787A69">
          <w:rPr>
            <w:webHidden/>
          </w:rPr>
          <w:fldChar w:fldCharType="end"/>
        </w:r>
      </w:hyperlink>
    </w:p>
    <w:p w14:paraId="429EAFF5" w14:textId="77777777" w:rsidR="0045617A" w:rsidRPr="00787A69" w:rsidRDefault="000A5E4C">
      <w:pPr>
        <w:pStyle w:val="TOC2"/>
        <w:rPr>
          <w:rFonts w:asciiTheme="minorHAnsi" w:eastAsiaTheme="minorEastAsia" w:hAnsiTheme="minorHAnsi" w:cstheme="minorBidi"/>
          <w:szCs w:val="22"/>
        </w:rPr>
      </w:pPr>
      <w:hyperlink w:anchor="_Toc486315517" w:history="1">
        <w:r w:rsidR="0045617A" w:rsidRPr="00787A69">
          <w:rPr>
            <w:rStyle w:val="Hyperlink"/>
          </w:rPr>
          <w:t xml:space="preserve">A.5. </w:t>
        </w:r>
        <w:r w:rsidR="0045617A" w:rsidRPr="00787A69">
          <w:rPr>
            <w:rFonts w:asciiTheme="minorHAnsi" w:eastAsiaTheme="minorEastAsia" w:hAnsiTheme="minorHAnsi" w:cstheme="minorBidi"/>
            <w:szCs w:val="22"/>
          </w:rPr>
          <w:tab/>
        </w:r>
        <w:r w:rsidR="0045617A" w:rsidRPr="00787A69">
          <w:rPr>
            <w:rStyle w:val="Hyperlink"/>
          </w:rPr>
          <w:t>Involvement of Small Organizations</w:t>
        </w:r>
        <w:r w:rsidR="0045617A" w:rsidRPr="00787A69">
          <w:rPr>
            <w:webHidden/>
          </w:rPr>
          <w:tab/>
        </w:r>
        <w:r w:rsidR="0045617A" w:rsidRPr="00787A69">
          <w:rPr>
            <w:webHidden/>
          </w:rPr>
          <w:fldChar w:fldCharType="begin"/>
        </w:r>
        <w:r w:rsidR="0045617A" w:rsidRPr="00787A69">
          <w:rPr>
            <w:webHidden/>
          </w:rPr>
          <w:instrText xml:space="preserve"> PAGEREF _Toc486315517 \h </w:instrText>
        </w:r>
        <w:r w:rsidR="0045617A" w:rsidRPr="00787A69">
          <w:rPr>
            <w:webHidden/>
          </w:rPr>
        </w:r>
        <w:r w:rsidR="0045617A" w:rsidRPr="00787A69">
          <w:rPr>
            <w:webHidden/>
          </w:rPr>
          <w:fldChar w:fldCharType="separate"/>
        </w:r>
        <w:r w:rsidR="005769FC" w:rsidRPr="00787A69">
          <w:rPr>
            <w:webHidden/>
          </w:rPr>
          <w:t>10</w:t>
        </w:r>
        <w:r w:rsidR="0045617A" w:rsidRPr="00787A69">
          <w:rPr>
            <w:webHidden/>
          </w:rPr>
          <w:fldChar w:fldCharType="end"/>
        </w:r>
      </w:hyperlink>
    </w:p>
    <w:p w14:paraId="5CD12AE2" w14:textId="77777777" w:rsidR="0045617A" w:rsidRPr="00787A69" w:rsidRDefault="000A5E4C">
      <w:pPr>
        <w:pStyle w:val="TOC3"/>
        <w:rPr>
          <w:rFonts w:asciiTheme="minorHAnsi" w:eastAsiaTheme="minorEastAsia" w:hAnsiTheme="minorHAnsi" w:cstheme="minorBidi"/>
          <w:szCs w:val="22"/>
        </w:rPr>
      </w:pPr>
      <w:hyperlink w:anchor="_Toc486315518" w:history="1">
        <w:r w:rsidR="0045617A" w:rsidRPr="00787A69">
          <w:rPr>
            <w:rStyle w:val="Hyperlink"/>
          </w:rPr>
          <w:t>A.5.1</w:t>
        </w:r>
        <w:r w:rsidR="0045617A" w:rsidRPr="00787A69">
          <w:rPr>
            <w:rFonts w:asciiTheme="minorHAnsi" w:eastAsiaTheme="minorEastAsia" w:hAnsiTheme="minorHAnsi" w:cstheme="minorBidi"/>
            <w:szCs w:val="22"/>
          </w:rPr>
          <w:tab/>
        </w:r>
        <w:r w:rsidR="0045617A" w:rsidRPr="00787A69">
          <w:rPr>
            <w:rStyle w:val="Hyperlink"/>
          </w:rPr>
          <w:t>Employee Survey</w:t>
        </w:r>
        <w:r w:rsidR="0045617A" w:rsidRPr="00787A69">
          <w:rPr>
            <w:webHidden/>
          </w:rPr>
          <w:tab/>
        </w:r>
        <w:r w:rsidR="0045617A" w:rsidRPr="00787A69">
          <w:rPr>
            <w:webHidden/>
          </w:rPr>
          <w:fldChar w:fldCharType="begin"/>
        </w:r>
        <w:r w:rsidR="0045617A" w:rsidRPr="00787A69">
          <w:rPr>
            <w:webHidden/>
          </w:rPr>
          <w:instrText xml:space="preserve"> PAGEREF _Toc486315518 \h </w:instrText>
        </w:r>
        <w:r w:rsidR="0045617A" w:rsidRPr="00787A69">
          <w:rPr>
            <w:webHidden/>
          </w:rPr>
        </w:r>
        <w:r w:rsidR="0045617A" w:rsidRPr="00787A69">
          <w:rPr>
            <w:webHidden/>
          </w:rPr>
          <w:fldChar w:fldCharType="separate"/>
        </w:r>
        <w:r w:rsidR="005769FC" w:rsidRPr="00787A69">
          <w:rPr>
            <w:webHidden/>
          </w:rPr>
          <w:t>10</w:t>
        </w:r>
        <w:r w:rsidR="0045617A" w:rsidRPr="00787A69">
          <w:rPr>
            <w:webHidden/>
          </w:rPr>
          <w:fldChar w:fldCharType="end"/>
        </w:r>
      </w:hyperlink>
    </w:p>
    <w:p w14:paraId="5F671AFB" w14:textId="77777777" w:rsidR="0045617A" w:rsidRPr="00787A69" w:rsidRDefault="000A5E4C">
      <w:pPr>
        <w:pStyle w:val="TOC3"/>
        <w:rPr>
          <w:rFonts w:asciiTheme="minorHAnsi" w:eastAsiaTheme="minorEastAsia" w:hAnsiTheme="minorHAnsi" w:cstheme="minorBidi"/>
          <w:szCs w:val="22"/>
        </w:rPr>
      </w:pPr>
      <w:hyperlink w:anchor="_Toc486315519" w:history="1">
        <w:r w:rsidR="0045617A" w:rsidRPr="00787A69">
          <w:rPr>
            <w:rStyle w:val="Hyperlink"/>
          </w:rPr>
          <w:t>A.5.2</w:t>
        </w:r>
        <w:r w:rsidR="0045617A" w:rsidRPr="00787A69">
          <w:rPr>
            <w:rFonts w:asciiTheme="minorHAnsi" w:eastAsiaTheme="minorEastAsia" w:hAnsiTheme="minorHAnsi" w:cstheme="minorBidi"/>
            <w:szCs w:val="22"/>
          </w:rPr>
          <w:tab/>
        </w:r>
        <w:r w:rsidR="0045617A" w:rsidRPr="00787A69">
          <w:rPr>
            <w:rStyle w:val="Hyperlink"/>
          </w:rPr>
          <w:t>Employer Survey</w:t>
        </w:r>
        <w:r w:rsidR="0045617A" w:rsidRPr="00787A69">
          <w:rPr>
            <w:webHidden/>
          </w:rPr>
          <w:tab/>
        </w:r>
        <w:r w:rsidR="0045617A" w:rsidRPr="00787A69">
          <w:rPr>
            <w:webHidden/>
          </w:rPr>
          <w:fldChar w:fldCharType="begin"/>
        </w:r>
        <w:r w:rsidR="0045617A" w:rsidRPr="00787A69">
          <w:rPr>
            <w:webHidden/>
          </w:rPr>
          <w:instrText xml:space="preserve"> PAGEREF _Toc486315519 \h </w:instrText>
        </w:r>
        <w:r w:rsidR="0045617A" w:rsidRPr="00787A69">
          <w:rPr>
            <w:webHidden/>
          </w:rPr>
        </w:r>
        <w:r w:rsidR="0045617A" w:rsidRPr="00787A69">
          <w:rPr>
            <w:webHidden/>
          </w:rPr>
          <w:fldChar w:fldCharType="separate"/>
        </w:r>
        <w:r w:rsidR="005769FC" w:rsidRPr="00787A69">
          <w:rPr>
            <w:webHidden/>
          </w:rPr>
          <w:t>10</w:t>
        </w:r>
        <w:r w:rsidR="0045617A" w:rsidRPr="00787A69">
          <w:rPr>
            <w:webHidden/>
          </w:rPr>
          <w:fldChar w:fldCharType="end"/>
        </w:r>
      </w:hyperlink>
    </w:p>
    <w:p w14:paraId="11830B31" w14:textId="77777777" w:rsidR="0045617A" w:rsidRPr="00787A69" w:rsidRDefault="000A5E4C">
      <w:pPr>
        <w:pStyle w:val="TOC2"/>
        <w:rPr>
          <w:rFonts w:asciiTheme="minorHAnsi" w:eastAsiaTheme="minorEastAsia" w:hAnsiTheme="minorHAnsi" w:cstheme="minorBidi"/>
          <w:szCs w:val="22"/>
        </w:rPr>
      </w:pPr>
      <w:hyperlink w:anchor="_Toc486315520" w:history="1">
        <w:r w:rsidR="0045617A" w:rsidRPr="00787A69">
          <w:rPr>
            <w:rStyle w:val="Hyperlink"/>
          </w:rPr>
          <w:t>A.6.</w:t>
        </w:r>
        <w:r w:rsidR="0045617A" w:rsidRPr="00787A69">
          <w:rPr>
            <w:rFonts w:asciiTheme="minorHAnsi" w:eastAsiaTheme="minorEastAsia" w:hAnsiTheme="minorHAnsi" w:cstheme="minorBidi"/>
            <w:szCs w:val="22"/>
          </w:rPr>
          <w:tab/>
        </w:r>
        <w:r w:rsidR="0045617A" w:rsidRPr="00787A69">
          <w:rPr>
            <w:rStyle w:val="Hyperlink"/>
          </w:rPr>
          <w:t>Consequences of less Frequent Data Collection</w:t>
        </w:r>
        <w:r w:rsidR="0045617A" w:rsidRPr="00787A69">
          <w:rPr>
            <w:webHidden/>
          </w:rPr>
          <w:tab/>
        </w:r>
        <w:r w:rsidR="0045617A" w:rsidRPr="00787A69">
          <w:rPr>
            <w:webHidden/>
          </w:rPr>
          <w:fldChar w:fldCharType="begin"/>
        </w:r>
        <w:r w:rsidR="0045617A" w:rsidRPr="00787A69">
          <w:rPr>
            <w:webHidden/>
          </w:rPr>
          <w:instrText xml:space="preserve"> PAGEREF _Toc486315520 \h </w:instrText>
        </w:r>
        <w:r w:rsidR="0045617A" w:rsidRPr="00787A69">
          <w:rPr>
            <w:webHidden/>
          </w:rPr>
        </w:r>
        <w:r w:rsidR="0045617A" w:rsidRPr="00787A69">
          <w:rPr>
            <w:webHidden/>
          </w:rPr>
          <w:fldChar w:fldCharType="separate"/>
        </w:r>
        <w:r w:rsidR="005769FC" w:rsidRPr="00787A69">
          <w:rPr>
            <w:webHidden/>
          </w:rPr>
          <w:t>10</w:t>
        </w:r>
        <w:r w:rsidR="0045617A" w:rsidRPr="00787A69">
          <w:rPr>
            <w:webHidden/>
          </w:rPr>
          <w:fldChar w:fldCharType="end"/>
        </w:r>
      </w:hyperlink>
    </w:p>
    <w:p w14:paraId="6B5121E0" w14:textId="4766DFD7" w:rsidR="0045617A" w:rsidRPr="00787A69" w:rsidRDefault="000A5E4C">
      <w:pPr>
        <w:pStyle w:val="TOC2"/>
        <w:rPr>
          <w:rFonts w:asciiTheme="minorHAnsi" w:eastAsiaTheme="minorEastAsia" w:hAnsiTheme="minorHAnsi" w:cstheme="minorBidi"/>
          <w:szCs w:val="22"/>
        </w:rPr>
      </w:pPr>
      <w:hyperlink w:anchor="_Toc486315521" w:history="1">
        <w:r w:rsidR="0045617A" w:rsidRPr="00787A69">
          <w:rPr>
            <w:rStyle w:val="Hyperlink"/>
          </w:rPr>
          <w:t>A.7.</w:t>
        </w:r>
        <w:r w:rsidR="0045617A" w:rsidRPr="00787A69">
          <w:rPr>
            <w:rFonts w:asciiTheme="minorHAnsi" w:eastAsiaTheme="minorEastAsia" w:hAnsiTheme="minorHAnsi" w:cstheme="minorBidi"/>
            <w:szCs w:val="22"/>
          </w:rPr>
          <w:tab/>
        </w:r>
        <w:r w:rsidR="0045617A" w:rsidRPr="00787A69">
          <w:rPr>
            <w:rStyle w:val="Hyperlink"/>
          </w:rPr>
          <w:t>Special Circumstances</w:t>
        </w:r>
        <w:r w:rsidR="0045617A" w:rsidRPr="00787A69">
          <w:rPr>
            <w:webHidden/>
          </w:rPr>
          <w:tab/>
        </w:r>
        <w:r w:rsidR="0045617A" w:rsidRPr="00787A69">
          <w:rPr>
            <w:webHidden/>
          </w:rPr>
          <w:fldChar w:fldCharType="begin"/>
        </w:r>
        <w:r w:rsidR="0045617A" w:rsidRPr="00787A69">
          <w:rPr>
            <w:webHidden/>
          </w:rPr>
          <w:instrText xml:space="preserve"> PAGEREF _Toc486315521 \h </w:instrText>
        </w:r>
        <w:r w:rsidR="0045617A" w:rsidRPr="00787A69">
          <w:rPr>
            <w:webHidden/>
          </w:rPr>
        </w:r>
        <w:r w:rsidR="0045617A" w:rsidRPr="00787A69">
          <w:rPr>
            <w:webHidden/>
          </w:rPr>
          <w:fldChar w:fldCharType="separate"/>
        </w:r>
        <w:r w:rsidR="005769FC" w:rsidRPr="00787A69">
          <w:rPr>
            <w:webHidden/>
          </w:rPr>
          <w:t>11</w:t>
        </w:r>
        <w:r w:rsidR="0045617A" w:rsidRPr="00787A69">
          <w:rPr>
            <w:webHidden/>
          </w:rPr>
          <w:fldChar w:fldCharType="end"/>
        </w:r>
      </w:hyperlink>
    </w:p>
    <w:p w14:paraId="228D8EBB" w14:textId="77777777" w:rsidR="0045617A" w:rsidRPr="00787A69" w:rsidRDefault="000A5E4C">
      <w:pPr>
        <w:pStyle w:val="TOC2"/>
        <w:rPr>
          <w:rFonts w:asciiTheme="minorHAnsi" w:eastAsiaTheme="minorEastAsia" w:hAnsiTheme="minorHAnsi" w:cstheme="minorBidi"/>
          <w:szCs w:val="22"/>
        </w:rPr>
      </w:pPr>
      <w:hyperlink w:anchor="_Toc486315522" w:history="1">
        <w:r w:rsidR="0045617A" w:rsidRPr="00787A69">
          <w:rPr>
            <w:rStyle w:val="Hyperlink"/>
          </w:rPr>
          <w:t>A.8.</w:t>
        </w:r>
        <w:r w:rsidR="0045617A" w:rsidRPr="00787A69">
          <w:rPr>
            <w:rFonts w:asciiTheme="minorHAnsi" w:eastAsiaTheme="minorEastAsia" w:hAnsiTheme="minorHAnsi" w:cstheme="minorBidi"/>
            <w:szCs w:val="22"/>
          </w:rPr>
          <w:tab/>
        </w:r>
        <w:r w:rsidR="0045617A" w:rsidRPr="00787A69">
          <w:rPr>
            <w:rStyle w:val="Hyperlink"/>
          </w:rPr>
          <w:t>Federal Register Notice and Consultation</w:t>
        </w:r>
        <w:r w:rsidR="0045617A" w:rsidRPr="00787A69">
          <w:rPr>
            <w:webHidden/>
          </w:rPr>
          <w:tab/>
        </w:r>
        <w:r w:rsidR="0045617A" w:rsidRPr="00787A69">
          <w:rPr>
            <w:webHidden/>
          </w:rPr>
          <w:fldChar w:fldCharType="begin"/>
        </w:r>
        <w:r w:rsidR="0045617A" w:rsidRPr="00787A69">
          <w:rPr>
            <w:webHidden/>
          </w:rPr>
          <w:instrText xml:space="preserve"> PAGEREF _Toc486315522 \h </w:instrText>
        </w:r>
        <w:r w:rsidR="0045617A" w:rsidRPr="00787A69">
          <w:rPr>
            <w:webHidden/>
          </w:rPr>
        </w:r>
        <w:r w:rsidR="0045617A" w:rsidRPr="00787A69">
          <w:rPr>
            <w:webHidden/>
          </w:rPr>
          <w:fldChar w:fldCharType="separate"/>
        </w:r>
        <w:r w:rsidR="005769FC" w:rsidRPr="00787A69">
          <w:rPr>
            <w:webHidden/>
          </w:rPr>
          <w:t>11</w:t>
        </w:r>
        <w:r w:rsidR="0045617A" w:rsidRPr="00787A69">
          <w:rPr>
            <w:webHidden/>
          </w:rPr>
          <w:fldChar w:fldCharType="end"/>
        </w:r>
      </w:hyperlink>
    </w:p>
    <w:p w14:paraId="2BA95541" w14:textId="77777777" w:rsidR="0045617A" w:rsidRPr="00787A69" w:rsidRDefault="000A5E4C">
      <w:pPr>
        <w:pStyle w:val="TOC3"/>
        <w:rPr>
          <w:rFonts w:asciiTheme="minorHAnsi" w:eastAsiaTheme="minorEastAsia" w:hAnsiTheme="minorHAnsi" w:cstheme="minorBidi"/>
          <w:szCs w:val="22"/>
        </w:rPr>
      </w:pPr>
      <w:hyperlink w:anchor="_Toc486315523" w:history="1">
        <w:r w:rsidR="0045617A" w:rsidRPr="00787A69">
          <w:rPr>
            <w:rStyle w:val="Hyperlink"/>
          </w:rPr>
          <w:t>A.8.1</w:t>
        </w:r>
        <w:r w:rsidR="0045617A" w:rsidRPr="00787A69">
          <w:rPr>
            <w:rFonts w:asciiTheme="minorHAnsi" w:eastAsiaTheme="minorEastAsia" w:hAnsiTheme="minorHAnsi" w:cstheme="minorBidi"/>
            <w:szCs w:val="22"/>
          </w:rPr>
          <w:tab/>
        </w:r>
        <w:r w:rsidR="0045617A" w:rsidRPr="00787A69">
          <w:rPr>
            <w:rStyle w:val="Hyperlink"/>
          </w:rPr>
          <w:t>Federal Register Notice and Comments</w:t>
        </w:r>
        <w:r w:rsidR="0045617A" w:rsidRPr="00787A69">
          <w:rPr>
            <w:webHidden/>
          </w:rPr>
          <w:tab/>
        </w:r>
        <w:r w:rsidR="0045617A" w:rsidRPr="00787A69">
          <w:rPr>
            <w:webHidden/>
          </w:rPr>
          <w:fldChar w:fldCharType="begin"/>
        </w:r>
        <w:r w:rsidR="0045617A" w:rsidRPr="00787A69">
          <w:rPr>
            <w:webHidden/>
          </w:rPr>
          <w:instrText xml:space="preserve"> PAGEREF _Toc486315523 \h </w:instrText>
        </w:r>
        <w:r w:rsidR="0045617A" w:rsidRPr="00787A69">
          <w:rPr>
            <w:webHidden/>
          </w:rPr>
        </w:r>
        <w:r w:rsidR="0045617A" w:rsidRPr="00787A69">
          <w:rPr>
            <w:webHidden/>
          </w:rPr>
          <w:fldChar w:fldCharType="separate"/>
        </w:r>
        <w:r w:rsidR="005769FC" w:rsidRPr="00787A69">
          <w:rPr>
            <w:webHidden/>
          </w:rPr>
          <w:t>11</w:t>
        </w:r>
        <w:r w:rsidR="0045617A" w:rsidRPr="00787A69">
          <w:rPr>
            <w:webHidden/>
          </w:rPr>
          <w:fldChar w:fldCharType="end"/>
        </w:r>
      </w:hyperlink>
    </w:p>
    <w:p w14:paraId="1A3876BB" w14:textId="77777777" w:rsidR="0045617A" w:rsidRPr="00787A69" w:rsidRDefault="000A5E4C">
      <w:pPr>
        <w:pStyle w:val="TOC3"/>
        <w:rPr>
          <w:rFonts w:asciiTheme="minorHAnsi" w:eastAsiaTheme="minorEastAsia" w:hAnsiTheme="minorHAnsi" w:cstheme="minorBidi"/>
          <w:szCs w:val="22"/>
        </w:rPr>
      </w:pPr>
      <w:hyperlink w:anchor="_Toc486315524" w:history="1">
        <w:r w:rsidR="0045617A" w:rsidRPr="00787A69">
          <w:rPr>
            <w:rStyle w:val="Hyperlink"/>
          </w:rPr>
          <w:t>A.8.2</w:t>
        </w:r>
        <w:r w:rsidR="0045617A" w:rsidRPr="00787A69">
          <w:rPr>
            <w:rFonts w:asciiTheme="minorHAnsi" w:eastAsiaTheme="minorEastAsia" w:hAnsiTheme="minorHAnsi" w:cstheme="minorBidi"/>
            <w:szCs w:val="22"/>
          </w:rPr>
          <w:tab/>
        </w:r>
        <w:r w:rsidR="0045617A" w:rsidRPr="00787A69">
          <w:rPr>
            <w:rStyle w:val="Hyperlink"/>
          </w:rPr>
          <w:t>Consultation with Experts</w:t>
        </w:r>
        <w:r w:rsidR="0045617A" w:rsidRPr="00787A69">
          <w:rPr>
            <w:webHidden/>
          </w:rPr>
          <w:tab/>
        </w:r>
        <w:r w:rsidR="0045617A" w:rsidRPr="00787A69">
          <w:rPr>
            <w:webHidden/>
          </w:rPr>
          <w:fldChar w:fldCharType="begin"/>
        </w:r>
        <w:r w:rsidR="0045617A" w:rsidRPr="00787A69">
          <w:rPr>
            <w:webHidden/>
          </w:rPr>
          <w:instrText xml:space="preserve"> PAGEREF _Toc486315524 \h </w:instrText>
        </w:r>
        <w:r w:rsidR="0045617A" w:rsidRPr="00787A69">
          <w:rPr>
            <w:webHidden/>
          </w:rPr>
        </w:r>
        <w:r w:rsidR="0045617A" w:rsidRPr="00787A69">
          <w:rPr>
            <w:webHidden/>
          </w:rPr>
          <w:fldChar w:fldCharType="separate"/>
        </w:r>
        <w:r w:rsidR="005769FC" w:rsidRPr="00787A69">
          <w:rPr>
            <w:webHidden/>
          </w:rPr>
          <w:t>11</w:t>
        </w:r>
        <w:r w:rsidR="0045617A" w:rsidRPr="00787A69">
          <w:rPr>
            <w:webHidden/>
          </w:rPr>
          <w:fldChar w:fldCharType="end"/>
        </w:r>
      </w:hyperlink>
    </w:p>
    <w:p w14:paraId="032FAECA" w14:textId="50A61817" w:rsidR="0045617A" w:rsidRPr="00787A69" w:rsidRDefault="000A5E4C">
      <w:pPr>
        <w:pStyle w:val="TOC2"/>
        <w:rPr>
          <w:rFonts w:asciiTheme="minorHAnsi" w:eastAsiaTheme="minorEastAsia" w:hAnsiTheme="minorHAnsi" w:cstheme="minorBidi"/>
          <w:szCs w:val="22"/>
        </w:rPr>
      </w:pPr>
      <w:hyperlink w:anchor="_Toc486315525" w:history="1">
        <w:r w:rsidR="0045617A" w:rsidRPr="00787A69">
          <w:rPr>
            <w:rStyle w:val="Hyperlink"/>
          </w:rPr>
          <w:t>A.9.</w:t>
        </w:r>
        <w:r w:rsidR="0045617A" w:rsidRPr="00787A69">
          <w:rPr>
            <w:rFonts w:asciiTheme="minorHAnsi" w:eastAsiaTheme="minorEastAsia" w:hAnsiTheme="minorHAnsi" w:cstheme="minorBidi"/>
            <w:szCs w:val="22"/>
          </w:rPr>
          <w:tab/>
        </w:r>
        <w:r w:rsidR="0045617A" w:rsidRPr="00787A69">
          <w:rPr>
            <w:rStyle w:val="Hyperlink"/>
          </w:rPr>
          <w:t>Incentives of Respondents</w:t>
        </w:r>
        <w:r w:rsidR="0045617A" w:rsidRPr="00787A69">
          <w:rPr>
            <w:webHidden/>
          </w:rPr>
          <w:tab/>
        </w:r>
        <w:r w:rsidR="0045617A" w:rsidRPr="00787A69">
          <w:rPr>
            <w:webHidden/>
          </w:rPr>
          <w:fldChar w:fldCharType="begin"/>
        </w:r>
        <w:r w:rsidR="0045617A" w:rsidRPr="00787A69">
          <w:rPr>
            <w:webHidden/>
          </w:rPr>
          <w:instrText xml:space="preserve"> PAGEREF _Toc486315525 \h </w:instrText>
        </w:r>
        <w:r w:rsidR="0045617A" w:rsidRPr="00787A69">
          <w:rPr>
            <w:webHidden/>
          </w:rPr>
        </w:r>
        <w:r w:rsidR="0045617A" w:rsidRPr="00787A69">
          <w:rPr>
            <w:webHidden/>
          </w:rPr>
          <w:fldChar w:fldCharType="separate"/>
        </w:r>
        <w:r w:rsidR="005769FC" w:rsidRPr="00787A69">
          <w:rPr>
            <w:webHidden/>
          </w:rPr>
          <w:t>12</w:t>
        </w:r>
        <w:r w:rsidR="0045617A" w:rsidRPr="00787A69">
          <w:rPr>
            <w:webHidden/>
          </w:rPr>
          <w:fldChar w:fldCharType="end"/>
        </w:r>
      </w:hyperlink>
    </w:p>
    <w:p w14:paraId="57514077" w14:textId="77777777" w:rsidR="0045617A" w:rsidRPr="00787A69" w:rsidRDefault="000A5E4C">
      <w:pPr>
        <w:pStyle w:val="TOC3"/>
        <w:rPr>
          <w:rFonts w:asciiTheme="minorHAnsi" w:eastAsiaTheme="minorEastAsia" w:hAnsiTheme="minorHAnsi" w:cstheme="minorBidi"/>
          <w:szCs w:val="22"/>
        </w:rPr>
      </w:pPr>
      <w:hyperlink w:anchor="_Toc486315526" w:history="1">
        <w:r w:rsidR="0045617A" w:rsidRPr="00787A69">
          <w:rPr>
            <w:rStyle w:val="Hyperlink"/>
          </w:rPr>
          <w:t>A.9.1</w:t>
        </w:r>
        <w:r w:rsidR="0045617A" w:rsidRPr="00787A69">
          <w:rPr>
            <w:rFonts w:asciiTheme="minorHAnsi" w:eastAsiaTheme="minorEastAsia" w:hAnsiTheme="minorHAnsi" w:cstheme="minorBidi"/>
            <w:szCs w:val="22"/>
          </w:rPr>
          <w:tab/>
        </w:r>
        <w:r w:rsidR="0045617A" w:rsidRPr="00787A69">
          <w:rPr>
            <w:rStyle w:val="Hyperlink"/>
          </w:rPr>
          <w:t>Employee Survey</w:t>
        </w:r>
        <w:r w:rsidR="0045617A" w:rsidRPr="00787A69">
          <w:rPr>
            <w:webHidden/>
          </w:rPr>
          <w:tab/>
        </w:r>
        <w:r w:rsidR="0045617A" w:rsidRPr="00787A69">
          <w:rPr>
            <w:webHidden/>
          </w:rPr>
          <w:fldChar w:fldCharType="begin"/>
        </w:r>
        <w:r w:rsidR="0045617A" w:rsidRPr="00787A69">
          <w:rPr>
            <w:webHidden/>
          </w:rPr>
          <w:instrText xml:space="preserve"> PAGEREF _Toc486315526 \h </w:instrText>
        </w:r>
        <w:r w:rsidR="0045617A" w:rsidRPr="00787A69">
          <w:rPr>
            <w:webHidden/>
          </w:rPr>
        </w:r>
        <w:r w:rsidR="0045617A" w:rsidRPr="00787A69">
          <w:rPr>
            <w:webHidden/>
          </w:rPr>
          <w:fldChar w:fldCharType="separate"/>
        </w:r>
        <w:r w:rsidR="005769FC" w:rsidRPr="00787A69">
          <w:rPr>
            <w:webHidden/>
          </w:rPr>
          <w:t>12</w:t>
        </w:r>
        <w:r w:rsidR="0045617A" w:rsidRPr="00787A69">
          <w:rPr>
            <w:webHidden/>
          </w:rPr>
          <w:fldChar w:fldCharType="end"/>
        </w:r>
      </w:hyperlink>
    </w:p>
    <w:p w14:paraId="63230134" w14:textId="77777777" w:rsidR="0045617A" w:rsidRPr="00787A69" w:rsidRDefault="000A5E4C">
      <w:pPr>
        <w:pStyle w:val="TOC3"/>
        <w:rPr>
          <w:rFonts w:asciiTheme="minorHAnsi" w:eastAsiaTheme="minorEastAsia" w:hAnsiTheme="minorHAnsi" w:cstheme="minorBidi"/>
          <w:szCs w:val="22"/>
        </w:rPr>
      </w:pPr>
      <w:hyperlink w:anchor="_Toc486315527" w:history="1">
        <w:r w:rsidR="0045617A" w:rsidRPr="00787A69">
          <w:rPr>
            <w:rStyle w:val="Hyperlink"/>
          </w:rPr>
          <w:t>A.9.2</w:t>
        </w:r>
        <w:r w:rsidR="0045617A" w:rsidRPr="00787A69">
          <w:rPr>
            <w:rFonts w:asciiTheme="minorHAnsi" w:eastAsiaTheme="minorEastAsia" w:hAnsiTheme="minorHAnsi" w:cstheme="minorBidi"/>
            <w:szCs w:val="22"/>
          </w:rPr>
          <w:tab/>
        </w:r>
        <w:r w:rsidR="0045617A" w:rsidRPr="00787A69">
          <w:rPr>
            <w:rStyle w:val="Hyperlink"/>
          </w:rPr>
          <w:t>Employer Survey</w:t>
        </w:r>
        <w:r w:rsidR="0045617A" w:rsidRPr="00787A69">
          <w:rPr>
            <w:webHidden/>
          </w:rPr>
          <w:tab/>
        </w:r>
        <w:r w:rsidR="0045617A" w:rsidRPr="00787A69">
          <w:rPr>
            <w:webHidden/>
          </w:rPr>
          <w:fldChar w:fldCharType="begin"/>
        </w:r>
        <w:r w:rsidR="0045617A" w:rsidRPr="00787A69">
          <w:rPr>
            <w:webHidden/>
          </w:rPr>
          <w:instrText xml:space="preserve"> PAGEREF _Toc486315527 \h </w:instrText>
        </w:r>
        <w:r w:rsidR="0045617A" w:rsidRPr="00787A69">
          <w:rPr>
            <w:webHidden/>
          </w:rPr>
        </w:r>
        <w:r w:rsidR="0045617A" w:rsidRPr="00787A69">
          <w:rPr>
            <w:webHidden/>
          </w:rPr>
          <w:fldChar w:fldCharType="separate"/>
        </w:r>
        <w:r w:rsidR="005769FC" w:rsidRPr="00787A69">
          <w:rPr>
            <w:webHidden/>
          </w:rPr>
          <w:t>13</w:t>
        </w:r>
        <w:r w:rsidR="0045617A" w:rsidRPr="00787A69">
          <w:rPr>
            <w:webHidden/>
          </w:rPr>
          <w:fldChar w:fldCharType="end"/>
        </w:r>
      </w:hyperlink>
    </w:p>
    <w:p w14:paraId="50F20EEB" w14:textId="77777777" w:rsidR="0045617A" w:rsidRPr="00787A69" w:rsidRDefault="000A5E4C">
      <w:pPr>
        <w:pStyle w:val="TOC2"/>
        <w:rPr>
          <w:rFonts w:asciiTheme="minorHAnsi" w:eastAsiaTheme="minorEastAsia" w:hAnsiTheme="minorHAnsi" w:cstheme="minorBidi"/>
          <w:szCs w:val="22"/>
        </w:rPr>
      </w:pPr>
      <w:hyperlink w:anchor="_Toc486315528" w:history="1">
        <w:r w:rsidR="0045617A" w:rsidRPr="00787A69">
          <w:rPr>
            <w:rStyle w:val="Hyperlink"/>
          </w:rPr>
          <w:t>A.10.</w:t>
        </w:r>
        <w:r w:rsidR="0045617A" w:rsidRPr="00787A69">
          <w:rPr>
            <w:rFonts w:asciiTheme="minorHAnsi" w:eastAsiaTheme="minorEastAsia" w:hAnsiTheme="minorHAnsi" w:cstheme="minorBidi"/>
            <w:szCs w:val="22"/>
          </w:rPr>
          <w:tab/>
        </w:r>
        <w:r w:rsidR="0045617A" w:rsidRPr="00787A69">
          <w:rPr>
            <w:rStyle w:val="Hyperlink"/>
          </w:rPr>
          <w:t>Privacy of Respondents</w:t>
        </w:r>
        <w:r w:rsidR="0045617A" w:rsidRPr="00787A69">
          <w:rPr>
            <w:webHidden/>
          </w:rPr>
          <w:tab/>
        </w:r>
        <w:r w:rsidR="0045617A" w:rsidRPr="00787A69">
          <w:rPr>
            <w:webHidden/>
          </w:rPr>
          <w:fldChar w:fldCharType="begin"/>
        </w:r>
        <w:r w:rsidR="0045617A" w:rsidRPr="00787A69">
          <w:rPr>
            <w:webHidden/>
          </w:rPr>
          <w:instrText xml:space="preserve"> PAGEREF _Toc486315528 \h </w:instrText>
        </w:r>
        <w:r w:rsidR="0045617A" w:rsidRPr="00787A69">
          <w:rPr>
            <w:webHidden/>
          </w:rPr>
        </w:r>
        <w:r w:rsidR="0045617A" w:rsidRPr="00787A69">
          <w:rPr>
            <w:webHidden/>
          </w:rPr>
          <w:fldChar w:fldCharType="separate"/>
        </w:r>
        <w:r w:rsidR="005769FC" w:rsidRPr="00787A69">
          <w:rPr>
            <w:webHidden/>
          </w:rPr>
          <w:t>13</w:t>
        </w:r>
        <w:r w:rsidR="0045617A" w:rsidRPr="00787A69">
          <w:rPr>
            <w:webHidden/>
          </w:rPr>
          <w:fldChar w:fldCharType="end"/>
        </w:r>
      </w:hyperlink>
    </w:p>
    <w:p w14:paraId="71331DD7" w14:textId="77777777" w:rsidR="0045617A" w:rsidRPr="00787A69" w:rsidRDefault="000A5E4C">
      <w:pPr>
        <w:pStyle w:val="TOC2"/>
        <w:tabs>
          <w:tab w:val="left" w:pos="1987"/>
        </w:tabs>
        <w:rPr>
          <w:rFonts w:asciiTheme="minorHAnsi" w:eastAsiaTheme="minorEastAsia" w:hAnsiTheme="minorHAnsi" w:cstheme="minorBidi"/>
          <w:szCs w:val="22"/>
        </w:rPr>
      </w:pPr>
      <w:hyperlink w:anchor="_Toc486315529" w:history="1">
        <w:r w:rsidR="0045617A" w:rsidRPr="00787A69">
          <w:rPr>
            <w:rStyle w:val="Hyperlink"/>
          </w:rPr>
          <w:t xml:space="preserve">A.11. </w:t>
        </w:r>
        <w:r w:rsidR="0045617A" w:rsidRPr="00787A69">
          <w:rPr>
            <w:rFonts w:asciiTheme="minorHAnsi" w:eastAsiaTheme="minorEastAsia" w:hAnsiTheme="minorHAnsi" w:cstheme="minorBidi"/>
            <w:szCs w:val="22"/>
          </w:rPr>
          <w:tab/>
        </w:r>
        <w:r w:rsidR="0045617A" w:rsidRPr="00787A69">
          <w:rPr>
            <w:rStyle w:val="Hyperlink"/>
          </w:rPr>
          <w:t>Sensitive Questions</w:t>
        </w:r>
        <w:r w:rsidR="0045617A" w:rsidRPr="00787A69">
          <w:rPr>
            <w:webHidden/>
          </w:rPr>
          <w:tab/>
        </w:r>
        <w:r w:rsidR="0045617A" w:rsidRPr="00787A69">
          <w:rPr>
            <w:webHidden/>
          </w:rPr>
          <w:fldChar w:fldCharType="begin"/>
        </w:r>
        <w:r w:rsidR="0045617A" w:rsidRPr="00787A69">
          <w:rPr>
            <w:webHidden/>
          </w:rPr>
          <w:instrText xml:space="preserve"> PAGEREF _Toc486315529 \h </w:instrText>
        </w:r>
        <w:r w:rsidR="0045617A" w:rsidRPr="00787A69">
          <w:rPr>
            <w:webHidden/>
          </w:rPr>
        </w:r>
        <w:r w:rsidR="0045617A" w:rsidRPr="00787A69">
          <w:rPr>
            <w:webHidden/>
          </w:rPr>
          <w:fldChar w:fldCharType="separate"/>
        </w:r>
        <w:r w:rsidR="005769FC" w:rsidRPr="00787A69">
          <w:rPr>
            <w:webHidden/>
          </w:rPr>
          <w:t>14</w:t>
        </w:r>
        <w:r w:rsidR="0045617A" w:rsidRPr="00787A69">
          <w:rPr>
            <w:webHidden/>
          </w:rPr>
          <w:fldChar w:fldCharType="end"/>
        </w:r>
      </w:hyperlink>
    </w:p>
    <w:p w14:paraId="510CC474" w14:textId="0EF71428" w:rsidR="0045617A" w:rsidRPr="00787A69" w:rsidRDefault="000A5E4C">
      <w:pPr>
        <w:pStyle w:val="TOC3"/>
        <w:rPr>
          <w:rFonts w:asciiTheme="minorHAnsi" w:eastAsiaTheme="minorEastAsia" w:hAnsiTheme="minorHAnsi" w:cstheme="minorBidi"/>
          <w:szCs w:val="22"/>
        </w:rPr>
      </w:pPr>
      <w:hyperlink w:anchor="_Toc486315530" w:history="1">
        <w:r w:rsidR="0045617A" w:rsidRPr="00787A69">
          <w:rPr>
            <w:rStyle w:val="Hyperlink"/>
          </w:rPr>
          <w:t>A.11.1</w:t>
        </w:r>
        <w:r w:rsidR="0045617A" w:rsidRPr="00787A69">
          <w:rPr>
            <w:rFonts w:asciiTheme="minorHAnsi" w:eastAsiaTheme="minorEastAsia" w:hAnsiTheme="minorHAnsi" w:cstheme="minorBidi"/>
            <w:szCs w:val="22"/>
          </w:rPr>
          <w:tab/>
        </w:r>
        <w:r w:rsidR="0045617A" w:rsidRPr="00787A69">
          <w:rPr>
            <w:rStyle w:val="Hyperlink"/>
          </w:rPr>
          <w:t>Employee Survey</w:t>
        </w:r>
        <w:r w:rsidR="0045617A" w:rsidRPr="00787A69">
          <w:rPr>
            <w:webHidden/>
          </w:rPr>
          <w:tab/>
        </w:r>
        <w:r w:rsidR="0045617A" w:rsidRPr="00787A69">
          <w:rPr>
            <w:webHidden/>
          </w:rPr>
          <w:fldChar w:fldCharType="begin"/>
        </w:r>
        <w:r w:rsidR="0045617A" w:rsidRPr="00787A69">
          <w:rPr>
            <w:webHidden/>
          </w:rPr>
          <w:instrText xml:space="preserve"> PAGEREF _Toc486315530 \h </w:instrText>
        </w:r>
        <w:r w:rsidR="0045617A" w:rsidRPr="00787A69">
          <w:rPr>
            <w:webHidden/>
          </w:rPr>
        </w:r>
        <w:r w:rsidR="0045617A" w:rsidRPr="00787A69">
          <w:rPr>
            <w:webHidden/>
          </w:rPr>
          <w:fldChar w:fldCharType="separate"/>
        </w:r>
        <w:r w:rsidR="005769FC" w:rsidRPr="00787A69">
          <w:rPr>
            <w:webHidden/>
          </w:rPr>
          <w:t>15</w:t>
        </w:r>
        <w:r w:rsidR="0045617A" w:rsidRPr="00787A69">
          <w:rPr>
            <w:webHidden/>
          </w:rPr>
          <w:fldChar w:fldCharType="end"/>
        </w:r>
      </w:hyperlink>
    </w:p>
    <w:p w14:paraId="71D98003" w14:textId="37CD084A" w:rsidR="0045617A" w:rsidRPr="00787A69" w:rsidRDefault="000A5E4C">
      <w:pPr>
        <w:pStyle w:val="TOC3"/>
        <w:rPr>
          <w:rFonts w:asciiTheme="minorHAnsi" w:eastAsiaTheme="minorEastAsia" w:hAnsiTheme="minorHAnsi" w:cstheme="minorBidi"/>
          <w:szCs w:val="22"/>
        </w:rPr>
      </w:pPr>
      <w:hyperlink w:anchor="_Toc486315531" w:history="1">
        <w:r w:rsidR="0045617A" w:rsidRPr="00787A69">
          <w:rPr>
            <w:rStyle w:val="Hyperlink"/>
          </w:rPr>
          <w:t>A.11.2</w:t>
        </w:r>
        <w:r w:rsidR="0045617A" w:rsidRPr="00787A69">
          <w:rPr>
            <w:rFonts w:asciiTheme="minorHAnsi" w:eastAsiaTheme="minorEastAsia" w:hAnsiTheme="minorHAnsi" w:cstheme="minorBidi"/>
            <w:szCs w:val="22"/>
          </w:rPr>
          <w:tab/>
        </w:r>
        <w:r w:rsidR="0045617A" w:rsidRPr="00787A69">
          <w:rPr>
            <w:rStyle w:val="Hyperlink"/>
          </w:rPr>
          <w:t>Employer Survey</w:t>
        </w:r>
        <w:r w:rsidR="0045617A" w:rsidRPr="00787A69">
          <w:rPr>
            <w:webHidden/>
          </w:rPr>
          <w:tab/>
        </w:r>
        <w:r w:rsidR="0045617A" w:rsidRPr="00787A69">
          <w:rPr>
            <w:webHidden/>
          </w:rPr>
          <w:fldChar w:fldCharType="begin"/>
        </w:r>
        <w:r w:rsidR="0045617A" w:rsidRPr="00787A69">
          <w:rPr>
            <w:webHidden/>
          </w:rPr>
          <w:instrText xml:space="preserve"> PAGEREF _Toc486315531 \h </w:instrText>
        </w:r>
        <w:r w:rsidR="0045617A" w:rsidRPr="00787A69">
          <w:rPr>
            <w:webHidden/>
          </w:rPr>
        </w:r>
        <w:r w:rsidR="0045617A" w:rsidRPr="00787A69">
          <w:rPr>
            <w:webHidden/>
          </w:rPr>
          <w:fldChar w:fldCharType="separate"/>
        </w:r>
        <w:r w:rsidR="005769FC" w:rsidRPr="00787A69">
          <w:rPr>
            <w:webHidden/>
          </w:rPr>
          <w:t>16</w:t>
        </w:r>
        <w:r w:rsidR="0045617A" w:rsidRPr="00787A69">
          <w:rPr>
            <w:webHidden/>
          </w:rPr>
          <w:fldChar w:fldCharType="end"/>
        </w:r>
      </w:hyperlink>
    </w:p>
    <w:p w14:paraId="4010E62E" w14:textId="4FC3DCD8" w:rsidR="0045617A" w:rsidRPr="00787A69" w:rsidRDefault="000A5E4C">
      <w:pPr>
        <w:pStyle w:val="TOC2"/>
        <w:tabs>
          <w:tab w:val="left" w:pos="1987"/>
        </w:tabs>
        <w:rPr>
          <w:rFonts w:asciiTheme="minorHAnsi" w:eastAsiaTheme="minorEastAsia" w:hAnsiTheme="minorHAnsi" w:cstheme="minorBidi"/>
          <w:szCs w:val="22"/>
        </w:rPr>
      </w:pPr>
      <w:hyperlink w:anchor="_Toc486315532" w:history="1">
        <w:r w:rsidR="0045617A" w:rsidRPr="00787A69">
          <w:rPr>
            <w:rStyle w:val="Hyperlink"/>
          </w:rPr>
          <w:t xml:space="preserve">A.12. </w:t>
        </w:r>
        <w:r w:rsidR="0045617A" w:rsidRPr="00787A69">
          <w:rPr>
            <w:rFonts w:asciiTheme="minorHAnsi" w:eastAsiaTheme="minorEastAsia" w:hAnsiTheme="minorHAnsi" w:cstheme="minorBidi"/>
            <w:szCs w:val="22"/>
          </w:rPr>
          <w:tab/>
        </w:r>
        <w:r w:rsidR="0045617A" w:rsidRPr="00787A69">
          <w:rPr>
            <w:rStyle w:val="Hyperlink"/>
          </w:rPr>
          <w:t>Estimation of Information Collection Burden</w:t>
        </w:r>
        <w:r w:rsidR="0045617A" w:rsidRPr="00787A69">
          <w:rPr>
            <w:webHidden/>
          </w:rPr>
          <w:tab/>
        </w:r>
        <w:r w:rsidR="0045617A" w:rsidRPr="00787A69">
          <w:rPr>
            <w:webHidden/>
          </w:rPr>
          <w:fldChar w:fldCharType="begin"/>
        </w:r>
        <w:r w:rsidR="0045617A" w:rsidRPr="00787A69">
          <w:rPr>
            <w:webHidden/>
          </w:rPr>
          <w:instrText xml:space="preserve"> PAGEREF _Toc486315532 \h </w:instrText>
        </w:r>
        <w:r w:rsidR="0045617A" w:rsidRPr="00787A69">
          <w:rPr>
            <w:webHidden/>
          </w:rPr>
        </w:r>
        <w:r w:rsidR="0045617A" w:rsidRPr="00787A69">
          <w:rPr>
            <w:webHidden/>
          </w:rPr>
          <w:fldChar w:fldCharType="separate"/>
        </w:r>
        <w:r w:rsidR="005769FC" w:rsidRPr="00787A69">
          <w:rPr>
            <w:webHidden/>
          </w:rPr>
          <w:t>16</w:t>
        </w:r>
        <w:r w:rsidR="0045617A" w:rsidRPr="00787A69">
          <w:rPr>
            <w:webHidden/>
          </w:rPr>
          <w:fldChar w:fldCharType="end"/>
        </w:r>
      </w:hyperlink>
    </w:p>
    <w:p w14:paraId="635B4C8C" w14:textId="27FC1BC5" w:rsidR="0045617A" w:rsidRPr="00787A69" w:rsidRDefault="000A5E4C">
      <w:pPr>
        <w:pStyle w:val="TOC2"/>
        <w:tabs>
          <w:tab w:val="left" w:pos="1987"/>
        </w:tabs>
        <w:rPr>
          <w:rFonts w:asciiTheme="minorHAnsi" w:eastAsiaTheme="minorEastAsia" w:hAnsiTheme="minorHAnsi" w:cstheme="minorBidi"/>
          <w:szCs w:val="22"/>
        </w:rPr>
      </w:pPr>
      <w:hyperlink w:anchor="_Toc486315533" w:history="1">
        <w:r w:rsidR="0045617A" w:rsidRPr="00787A69">
          <w:rPr>
            <w:rStyle w:val="Hyperlink"/>
          </w:rPr>
          <w:t xml:space="preserve">A.13. </w:t>
        </w:r>
        <w:r w:rsidR="0045617A" w:rsidRPr="00787A69">
          <w:rPr>
            <w:rFonts w:asciiTheme="minorHAnsi" w:eastAsiaTheme="minorEastAsia" w:hAnsiTheme="minorHAnsi" w:cstheme="minorBidi"/>
            <w:szCs w:val="22"/>
          </w:rPr>
          <w:tab/>
        </w:r>
        <w:r w:rsidR="0045617A" w:rsidRPr="00787A69">
          <w:rPr>
            <w:rStyle w:val="Hyperlink"/>
          </w:rPr>
          <w:t>Cost Burden to Respondents of Record Keepers</w:t>
        </w:r>
        <w:r w:rsidR="0045617A" w:rsidRPr="00787A69">
          <w:rPr>
            <w:webHidden/>
          </w:rPr>
          <w:tab/>
        </w:r>
        <w:r w:rsidR="0045617A" w:rsidRPr="00787A69">
          <w:rPr>
            <w:webHidden/>
          </w:rPr>
          <w:fldChar w:fldCharType="begin"/>
        </w:r>
        <w:r w:rsidR="0045617A" w:rsidRPr="00787A69">
          <w:rPr>
            <w:webHidden/>
          </w:rPr>
          <w:instrText xml:space="preserve"> PAGEREF _Toc486315533 \h </w:instrText>
        </w:r>
        <w:r w:rsidR="0045617A" w:rsidRPr="00787A69">
          <w:rPr>
            <w:webHidden/>
          </w:rPr>
        </w:r>
        <w:r w:rsidR="0045617A" w:rsidRPr="00787A69">
          <w:rPr>
            <w:webHidden/>
          </w:rPr>
          <w:fldChar w:fldCharType="separate"/>
        </w:r>
        <w:r w:rsidR="005769FC" w:rsidRPr="00787A69">
          <w:rPr>
            <w:webHidden/>
          </w:rPr>
          <w:t>18</w:t>
        </w:r>
        <w:r w:rsidR="0045617A" w:rsidRPr="00787A69">
          <w:rPr>
            <w:webHidden/>
          </w:rPr>
          <w:fldChar w:fldCharType="end"/>
        </w:r>
      </w:hyperlink>
    </w:p>
    <w:p w14:paraId="40948EE5" w14:textId="0DC20B1E" w:rsidR="0045617A" w:rsidRPr="00787A69" w:rsidRDefault="000A5E4C">
      <w:pPr>
        <w:pStyle w:val="TOC2"/>
        <w:tabs>
          <w:tab w:val="left" w:pos="1987"/>
        </w:tabs>
        <w:rPr>
          <w:rFonts w:asciiTheme="minorHAnsi" w:eastAsiaTheme="minorEastAsia" w:hAnsiTheme="minorHAnsi" w:cstheme="minorBidi"/>
          <w:szCs w:val="22"/>
        </w:rPr>
      </w:pPr>
      <w:hyperlink w:anchor="_Toc486315534" w:history="1">
        <w:r w:rsidR="0045617A" w:rsidRPr="00787A69">
          <w:rPr>
            <w:rStyle w:val="Hyperlink"/>
          </w:rPr>
          <w:t xml:space="preserve">A.14. </w:t>
        </w:r>
        <w:r w:rsidR="0045617A" w:rsidRPr="00787A69">
          <w:rPr>
            <w:rFonts w:asciiTheme="minorHAnsi" w:eastAsiaTheme="minorEastAsia" w:hAnsiTheme="minorHAnsi" w:cstheme="minorBidi"/>
            <w:szCs w:val="22"/>
          </w:rPr>
          <w:tab/>
        </w:r>
        <w:r w:rsidR="0045617A" w:rsidRPr="00787A69">
          <w:rPr>
            <w:rStyle w:val="Hyperlink"/>
          </w:rPr>
          <w:t>Estimate of Cost to the Federal Government</w:t>
        </w:r>
        <w:r w:rsidR="0045617A" w:rsidRPr="00787A69">
          <w:rPr>
            <w:webHidden/>
          </w:rPr>
          <w:tab/>
        </w:r>
        <w:r w:rsidR="0045617A" w:rsidRPr="00787A69">
          <w:rPr>
            <w:webHidden/>
          </w:rPr>
          <w:fldChar w:fldCharType="begin"/>
        </w:r>
        <w:r w:rsidR="0045617A" w:rsidRPr="00787A69">
          <w:rPr>
            <w:webHidden/>
          </w:rPr>
          <w:instrText xml:space="preserve"> PAGEREF _Toc486315534 \h </w:instrText>
        </w:r>
        <w:r w:rsidR="0045617A" w:rsidRPr="00787A69">
          <w:rPr>
            <w:webHidden/>
          </w:rPr>
        </w:r>
        <w:r w:rsidR="0045617A" w:rsidRPr="00787A69">
          <w:rPr>
            <w:webHidden/>
          </w:rPr>
          <w:fldChar w:fldCharType="separate"/>
        </w:r>
        <w:r w:rsidR="005769FC" w:rsidRPr="00787A69">
          <w:rPr>
            <w:webHidden/>
          </w:rPr>
          <w:t>18</w:t>
        </w:r>
        <w:r w:rsidR="0045617A" w:rsidRPr="00787A69">
          <w:rPr>
            <w:webHidden/>
          </w:rPr>
          <w:fldChar w:fldCharType="end"/>
        </w:r>
      </w:hyperlink>
    </w:p>
    <w:p w14:paraId="1E3AC095" w14:textId="68313A5D" w:rsidR="0045617A" w:rsidRPr="00787A69" w:rsidRDefault="000A5E4C">
      <w:pPr>
        <w:pStyle w:val="TOC2"/>
        <w:tabs>
          <w:tab w:val="left" w:pos="1987"/>
        </w:tabs>
        <w:rPr>
          <w:rFonts w:asciiTheme="minorHAnsi" w:eastAsiaTheme="minorEastAsia" w:hAnsiTheme="minorHAnsi" w:cstheme="minorBidi"/>
          <w:szCs w:val="22"/>
        </w:rPr>
      </w:pPr>
      <w:hyperlink w:anchor="_Toc486315535" w:history="1">
        <w:r w:rsidR="0045617A" w:rsidRPr="00787A69">
          <w:rPr>
            <w:rStyle w:val="Hyperlink"/>
          </w:rPr>
          <w:t xml:space="preserve">A1.5. </w:t>
        </w:r>
        <w:r w:rsidR="0045617A" w:rsidRPr="00787A69">
          <w:rPr>
            <w:rFonts w:asciiTheme="minorHAnsi" w:eastAsiaTheme="minorEastAsia" w:hAnsiTheme="minorHAnsi" w:cstheme="minorBidi"/>
            <w:szCs w:val="22"/>
          </w:rPr>
          <w:tab/>
        </w:r>
        <w:r w:rsidR="0045617A" w:rsidRPr="00787A69">
          <w:rPr>
            <w:rStyle w:val="Hyperlink"/>
          </w:rPr>
          <w:t>Change in Burden</w:t>
        </w:r>
        <w:r w:rsidR="0045617A" w:rsidRPr="00787A69">
          <w:rPr>
            <w:webHidden/>
          </w:rPr>
          <w:tab/>
        </w:r>
        <w:r w:rsidR="0045617A" w:rsidRPr="00787A69">
          <w:rPr>
            <w:webHidden/>
          </w:rPr>
          <w:fldChar w:fldCharType="begin"/>
        </w:r>
        <w:r w:rsidR="0045617A" w:rsidRPr="00787A69">
          <w:rPr>
            <w:webHidden/>
          </w:rPr>
          <w:instrText xml:space="preserve"> PAGEREF _Toc486315535 \h </w:instrText>
        </w:r>
        <w:r w:rsidR="0045617A" w:rsidRPr="00787A69">
          <w:rPr>
            <w:webHidden/>
          </w:rPr>
        </w:r>
        <w:r w:rsidR="0045617A" w:rsidRPr="00787A69">
          <w:rPr>
            <w:webHidden/>
          </w:rPr>
          <w:fldChar w:fldCharType="separate"/>
        </w:r>
        <w:r w:rsidR="005769FC" w:rsidRPr="00787A69">
          <w:rPr>
            <w:webHidden/>
          </w:rPr>
          <w:t>19</w:t>
        </w:r>
        <w:r w:rsidR="0045617A" w:rsidRPr="00787A69">
          <w:rPr>
            <w:webHidden/>
          </w:rPr>
          <w:fldChar w:fldCharType="end"/>
        </w:r>
      </w:hyperlink>
    </w:p>
    <w:p w14:paraId="4EFAE25A" w14:textId="4398F207" w:rsidR="0045617A" w:rsidRPr="00787A69" w:rsidRDefault="000A5E4C">
      <w:pPr>
        <w:pStyle w:val="TOC2"/>
        <w:tabs>
          <w:tab w:val="left" w:pos="1987"/>
        </w:tabs>
        <w:rPr>
          <w:rFonts w:asciiTheme="minorHAnsi" w:eastAsiaTheme="minorEastAsia" w:hAnsiTheme="minorHAnsi" w:cstheme="minorBidi"/>
          <w:szCs w:val="22"/>
        </w:rPr>
      </w:pPr>
      <w:hyperlink w:anchor="_Toc486315536" w:history="1">
        <w:r w:rsidR="0045617A" w:rsidRPr="00787A69">
          <w:rPr>
            <w:rStyle w:val="Hyperlink"/>
          </w:rPr>
          <w:t xml:space="preserve">A.16. </w:t>
        </w:r>
        <w:r w:rsidR="0045617A" w:rsidRPr="00787A69">
          <w:rPr>
            <w:rFonts w:asciiTheme="minorHAnsi" w:eastAsiaTheme="minorEastAsia" w:hAnsiTheme="minorHAnsi" w:cstheme="minorBidi"/>
            <w:szCs w:val="22"/>
          </w:rPr>
          <w:tab/>
        </w:r>
        <w:r w:rsidR="0045617A" w:rsidRPr="00787A69">
          <w:rPr>
            <w:rStyle w:val="Hyperlink"/>
          </w:rPr>
          <w:t>Plan and Time Schedule for Information Collection, Tabulation and Publication</w:t>
        </w:r>
        <w:r w:rsidR="0045617A" w:rsidRPr="00787A69">
          <w:rPr>
            <w:webHidden/>
          </w:rPr>
          <w:tab/>
        </w:r>
        <w:r w:rsidR="0045617A" w:rsidRPr="00787A69">
          <w:rPr>
            <w:webHidden/>
          </w:rPr>
          <w:fldChar w:fldCharType="begin"/>
        </w:r>
        <w:r w:rsidR="0045617A" w:rsidRPr="00787A69">
          <w:rPr>
            <w:webHidden/>
          </w:rPr>
          <w:instrText xml:space="preserve"> PAGEREF _Toc486315536 \h </w:instrText>
        </w:r>
        <w:r w:rsidR="0045617A" w:rsidRPr="00787A69">
          <w:rPr>
            <w:webHidden/>
          </w:rPr>
        </w:r>
        <w:r w:rsidR="0045617A" w:rsidRPr="00787A69">
          <w:rPr>
            <w:webHidden/>
          </w:rPr>
          <w:fldChar w:fldCharType="separate"/>
        </w:r>
        <w:r w:rsidR="005769FC" w:rsidRPr="00787A69">
          <w:rPr>
            <w:webHidden/>
          </w:rPr>
          <w:t>19</w:t>
        </w:r>
        <w:r w:rsidR="0045617A" w:rsidRPr="00787A69">
          <w:rPr>
            <w:webHidden/>
          </w:rPr>
          <w:fldChar w:fldCharType="end"/>
        </w:r>
      </w:hyperlink>
    </w:p>
    <w:p w14:paraId="09CA88D1" w14:textId="5D89D420" w:rsidR="0045617A" w:rsidRPr="00787A69" w:rsidRDefault="000A5E4C">
      <w:pPr>
        <w:pStyle w:val="TOC3"/>
        <w:rPr>
          <w:rFonts w:asciiTheme="minorHAnsi" w:eastAsiaTheme="minorEastAsia" w:hAnsiTheme="minorHAnsi" w:cstheme="minorBidi"/>
          <w:szCs w:val="22"/>
        </w:rPr>
      </w:pPr>
      <w:hyperlink w:anchor="_Toc486315537" w:history="1">
        <w:r w:rsidR="0045617A" w:rsidRPr="00787A69">
          <w:rPr>
            <w:rStyle w:val="Hyperlink"/>
          </w:rPr>
          <w:t>A.16.1</w:t>
        </w:r>
        <w:r w:rsidR="0045617A" w:rsidRPr="00787A69">
          <w:rPr>
            <w:rFonts w:asciiTheme="minorHAnsi" w:eastAsiaTheme="minorEastAsia" w:hAnsiTheme="minorHAnsi" w:cstheme="minorBidi"/>
            <w:szCs w:val="22"/>
          </w:rPr>
          <w:tab/>
        </w:r>
        <w:r w:rsidR="0045617A" w:rsidRPr="00787A69">
          <w:rPr>
            <w:rStyle w:val="Hyperlink"/>
          </w:rPr>
          <w:t>Employee Survey</w:t>
        </w:r>
        <w:r w:rsidR="0045617A" w:rsidRPr="00787A69">
          <w:rPr>
            <w:webHidden/>
          </w:rPr>
          <w:tab/>
        </w:r>
        <w:r w:rsidR="0045617A" w:rsidRPr="00787A69">
          <w:rPr>
            <w:webHidden/>
          </w:rPr>
          <w:fldChar w:fldCharType="begin"/>
        </w:r>
        <w:r w:rsidR="0045617A" w:rsidRPr="00787A69">
          <w:rPr>
            <w:webHidden/>
          </w:rPr>
          <w:instrText xml:space="preserve"> PAGEREF _Toc486315537 \h </w:instrText>
        </w:r>
        <w:r w:rsidR="0045617A" w:rsidRPr="00787A69">
          <w:rPr>
            <w:webHidden/>
          </w:rPr>
        </w:r>
        <w:r w:rsidR="0045617A" w:rsidRPr="00787A69">
          <w:rPr>
            <w:webHidden/>
          </w:rPr>
          <w:fldChar w:fldCharType="separate"/>
        </w:r>
        <w:r w:rsidR="005769FC" w:rsidRPr="00787A69">
          <w:rPr>
            <w:webHidden/>
          </w:rPr>
          <w:t>19</w:t>
        </w:r>
        <w:r w:rsidR="0045617A" w:rsidRPr="00787A69">
          <w:rPr>
            <w:webHidden/>
          </w:rPr>
          <w:fldChar w:fldCharType="end"/>
        </w:r>
      </w:hyperlink>
    </w:p>
    <w:p w14:paraId="39EF5F8A" w14:textId="0B9BCAD0" w:rsidR="0045617A" w:rsidRPr="00787A69" w:rsidRDefault="000A5E4C">
      <w:pPr>
        <w:pStyle w:val="TOC3"/>
        <w:rPr>
          <w:rFonts w:asciiTheme="minorHAnsi" w:eastAsiaTheme="minorEastAsia" w:hAnsiTheme="minorHAnsi" w:cstheme="minorBidi"/>
          <w:szCs w:val="22"/>
        </w:rPr>
      </w:pPr>
      <w:hyperlink w:anchor="_Toc486315538" w:history="1">
        <w:r w:rsidR="0045617A" w:rsidRPr="00787A69">
          <w:rPr>
            <w:rStyle w:val="Hyperlink"/>
          </w:rPr>
          <w:t>A.16.2</w:t>
        </w:r>
        <w:r w:rsidR="0045617A" w:rsidRPr="00787A69">
          <w:rPr>
            <w:rFonts w:asciiTheme="minorHAnsi" w:eastAsiaTheme="minorEastAsia" w:hAnsiTheme="minorHAnsi" w:cstheme="minorBidi"/>
            <w:szCs w:val="22"/>
          </w:rPr>
          <w:tab/>
        </w:r>
        <w:r w:rsidR="0045617A" w:rsidRPr="00787A69">
          <w:rPr>
            <w:rStyle w:val="Hyperlink"/>
          </w:rPr>
          <w:t>Employer Survey</w:t>
        </w:r>
        <w:r w:rsidR="0045617A" w:rsidRPr="00787A69">
          <w:rPr>
            <w:webHidden/>
          </w:rPr>
          <w:tab/>
        </w:r>
        <w:r w:rsidR="0045617A" w:rsidRPr="00787A69">
          <w:rPr>
            <w:webHidden/>
          </w:rPr>
          <w:fldChar w:fldCharType="begin"/>
        </w:r>
        <w:r w:rsidR="0045617A" w:rsidRPr="00787A69">
          <w:rPr>
            <w:webHidden/>
          </w:rPr>
          <w:instrText xml:space="preserve"> PAGEREF _Toc486315538 \h </w:instrText>
        </w:r>
        <w:r w:rsidR="0045617A" w:rsidRPr="00787A69">
          <w:rPr>
            <w:webHidden/>
          </w:rPr>
        </w:r>
        <w:r w:rsidR="0045617A" w:rsidRPr="00787A69">
          <w:rPr>
            <w:webHidden/>
          </w:rPr>
          <w:fldChar w:fldCharType="separate"/>
        </w:r>
        <w:r w:rsidR="005769FC" w:rsidRPr="00787A69">
          <w:rPr>
            <w:webHidden/>
          </w:rPr>
          <w:t>19</w:t>
        </w:r>
        <w:r w:rsidR="0045617A" w:rsidRPr="00787A69">
          <w:rPr>
            <w:webHidden/>
          </w:rPr>
          <w:fldChar w:fldCharType="end"/>
        </w:r>
      </w:hyperlink>
    </w:p>
    <w:p w14:paraId="2F311204" w14:textId="72C03259" w:rsidR="0045617A" w:rsidRPr="00787A69" w:rsidRDefault="000A5E4C">
      <w:pPr>
        <w:pStyle w:val="TOC3"/>
        <w:rPr>
          <w:rFonts w:asciiTheme="minorHAnsi" w:eastAsiaTheme="minorEastAsia" w:hAnsiTheme="minorHAnsi" w:cstheme="minorBidi"/>
          <w:szCs w:val="22"/>
        </w:rPr>
      </w:pPr>
      <w:hyperlink w:anchor="_Toc486315539" w:history="1">
        <w:r w:rsidR="0045617A" w:rsidRPr="00787A69">
          <w:rPr>
            <w:rStyle w:val="Hyperlink"/>
          </w:rPr>
          <w:t>A.16.3</w:t>
        </w:r>
        <w:r w:rsidR="0045617A" w:rsidRPr="00787A69">
          <w:rPr>
            <w:rFonts w:asciiTheme="minorHAnsi" w:eastAsiaTheme="minorEastAsia" w:hAnsiTheme="minorHAnsi" w:cstheme="minorBidi"/>
            <w:szCs w:val="22"/>
          </w:rPr>
          <w:tab/>
        </w:r>
        <w:r w:rsidR="0045617A" w:rsidRPr="00787A69">
          <w:rPr>
            <w:rStyle w:val="Hyperlink"/>
          </w:rPr>
          <w:t>Timeline</w:t>
        </w:r>
        <w:r w:rsidR="0045617A" w:rsidRPr="00787A69">
          <w:rPr>
            <w:webHidden/>
          </w:rPr>
          <w:tab/>
        </w:r>
        <w:r w:rsidR="0045617A" w:rsidRPr="00787A69">
          <w:rPr>
            <w:webHidden/>
          </w:rPr>
          <w:fldChar w:fldCharType="begin"/>
        </w:r>
        <w:r w:rsidR="0045617A" w:rsidRPr="00787A69">
          <w:rPr>
            <w:webHidden/>
          </w:rPr>
          <w:instrText xml:space="preserve"> PAGEREF _Toc486315539 \h </w:instrText>
        </w:r>
        <w:r w:rsidR="0045617A" w:rsidRPr="00787A69">
          <w:rPr>
            <w:webHidden/>
          </w:rPr>
        </w:r>
        <w:r w:rsidR="0045617A" w:rsidRPr="00787A69">
          <w:rPr>
            <w:webHidden/>
          </w:rPr>
          <w:fldChar w:fldCharType="separate"/>
        </w:r>
        <w:r w:rsidR="005769FC" w:rsidRPr="00787A69">
          <w:rPr>
            <w:webHidden/>
          </w:rPr>
          <w:t>20</w:t>
        </w:r>
        <w:r w:rsidR="0045617A" w:rsidRPr="00787A69">
          <w:rPr>
            <w:webHidden/>
          </w:rPr>
          <w:fldChar w:fldCharType="end"/>
        </w:r>
      </w:hyperlink>
    </w:p>
    <w:p w14:paraId="088CF7FA" w14:textId="525887A7" w:rsidR="0045617A" w:rsidRPr="00787A69" w:rsidRDefault="000A5E4C">
      <w:pPr>
        <w:pStyle w:val="TOC2"/>
        <w:rPr>
          <w:rFonts w:asciiTheme="minorHAnsi" w:eastAsiaTheme="minorEastAsia" w:hAnsiTheme="minorHAnsi" w:cstheme="minorBidi"/>
          <w:szCs w:val="22"/>
        </w:rPr>
      </w:pPr>
      <w:hyperlink w:anchor="_Toc486315540" w:history="1">
        <w:r w:rsidR="0045617A" w:rsidRPr="00787A69">
          <w:rPr>
            <w:rStyle w:val="Hyperlink"/>
          </w:rPr>
          <w:t>A.17.</w:t>
        </w:r>
        <w:r w:rsidR="0045617A" w:rsidRPr="00787A69">
          <w:rPr>
            <w:rFonts w:asciiTheme="minorHAnsi" w:eastAsiaTheme="minorEastAsia" w:hAnsiTheme="minorHAnsi" w:cstheme="minorBidi"/>
            <w:szCs w:val="22"/>
          </w:rPr>
          <w:tab/>
        </w:r>
        <w:r w:rsidR="0045617A" w:rsidRPr="00787A69">
          <w:rPr>
            <w:rStyle w:val="Hyperlink"/>
          </w:rPr>
          <w:t>Reasons Not to Display OMB Expiration Date</w:t>
        </w:r>
        <w:r w:rsidR="0045617A" w:rsidRPr="00787A69">
          <w:rPr>
            <w:webHidden/>
          </w:rPr>
          <w:tab/>
        </w:r>
        <w:r w:rsidR="0045617A" w:rsidRPr="00787A69">
          <w:rPr>
            <w:webHidden/>
          </w:rPr>
          <w:fldChar w:fldCharType="begin"/>
        </w:r>
        <w:r w:rsidR="0045617A" w:rsidRPr="00787A69">
          <w:rPr>
            <w:webHidden/>
          </w:rPr>
          <w:instrText xml:space="preserve"> PAGEREF _Toc486315540 \h </w:instrText>
        </w:r>
        <w:r w:rsidR="0045617A" w:rsidRPr="00787A69">
          <w:rPr>
            <w:webHidden/>
          </w:rPr>
        </w:r>
        <w:r w:rsidR="0045617A" w:rsidRPr="00787A69">
          <w:rPr>
            <w:webHidden/>
          </w:rPr>
          <w:fldChar w:fldCharType="separate"/>
        </w:r>
        <w:r w:rsidR="005769FC" w:rsidRPr="00787A69">
          <w:rPr>
            <w:webHidden/>
          </w:rPr>
          <w:t>20</w:t>
        </w:r>
        <w:r w:rsidR="0045617A" w:rsidRPr="00787A69">
          <w:rPr>
            <w:webHidden/>
          </w:rPr>
          <w:fldChar w:fldCharType="end"/>
        </w:r>
      </w:hyperlink>
    </w:p>
    <w:p w14:paraId="2311E11A" w14:textId="2958ED4F" w:rsidR="0045617A" w:rsidRPr="00787A69" w:rsidRDefault="000A5E4C">
      <w:pPr>
        <w:pStyle w:val="TOC2"/>
        <w:rPr>
          <w:rFonts w:asciiTheme="minorHAnsi" w:eastAsiaTheme="minorEastAsia" w:hAnsiTheme="minorHAnsi" w:cstheme="minorBidi"/>
          <w:szCs w:val="22"/>
        </w:rPr>
      </w:pPr>
      <w:hyperlink w:anchor="_Toc486315541" w:history="1">
        <w:r w:rsidR="0045617A" w:rsidRPr="00787A69">
          <w:rPr>
            <w:rStyle w:val="Hyperlink"/>
          </w:rPr>
          <w:t>A.18.</w:t>
        </w:r>
        <w:r w:rsidR="0045617A" w:rsidRPr="00787A69">
          <w:rPr>
            <w:rFonts w:asciiTheme="minorHAnsi" w:eastAsiaTheme="minorEastAsia" w:hAnsiTheme="minorHAnsi" w:cstheme="minorBidi"/>
            <w:szCs w:val="22"/>
          </w:rPr>
          <w:tab/>
        </w:r>
        <w:r w:rsidR="0045617A" w:rsidRPr="00787A69">
          <w:rPr>
            <w:rStyle w:val="Hyperlink"/>
          </w:rPr>
          <w:t>Exceptions of Certification for Paperwork Reduction Act Submissions</w:t>
        </w:r>
        <w:r w:rsidR="0045617A" w:rsidRPr="00787A69">
          <w:rPr>
            <w:webHidden/>
          </w:rPr>
          <w:tab/>
        </w:r>
        <w:r w:rsidR="0045617A" w:rsidRPr="00787A69">
          <w:rPr>
            <w:webHidden/>
          </w:rPr>
          <w:fldChar w:fldCharType="begin"/>
        </w:r>
        <w:r w:rsidR="0045617A" w:rsidRPr="00787A69">
          <w:rPr>
            <w:webHidden/>
          </w:rPr>
          <w:instrText xml:space="preserve"> PAGEREF _Toc486315541 \h </w:instrText>
        </w:r>
        <w:r w:rsidR="0045617A" w:rsidRPr="00787A69">
          <w:rPr>
            <w:webHidden/>
          </w:rPr>
        </w:r>
        <w:r w:rsidR="0045617A" w:rsidRPr="00787A69">
          <w:rPr>
            <w:webHidden/>
          </w:rPr>
          <w:fldChar w:fldCharType="separate"/>
        </w:r>
        <w:r w:rsidR="005769FC" w:rsidRPr="00787A69">
          <w:rPr>
            <w:webHidden/>
          </w:rPr>
          <w:t>20</w:t>
        </w:r>
        <w:r w:rsidR="0045617A" w:rsidRPr="00787A69">
          <w:rPr>
            <w:webHidden/>
          </w:rPr>
          <w:fldChar w:fldCharType="end"/>
        </w:r>
      </w:hyperlink>
    </w:p>
    <w:p w14:paraId="7FF56D85" w14:textId="5394A8CB" w:rsidR="0045617A" w:rsidRPr="00787A69" w:rsidRDefault="000A5E4C">
      <w:pPr>
        <w:pStyle w:val="TOC2"/>
        <w:rPr>
          <w:rFonts w:asciiTheme="minorHAnsi" w:eastAsiaTheme="minorEastAsia" w:hAnsiTheme="minorHAnsi" w:cstheme="minorBidi"/>
          <w:szCs w:val="22"/>
        </w:rPr>
      </w:pPr>
      <w:hyperlink w:anchor="_Toc486315542" w:history="1">
        <w:r w:rsidR="0045617A" w:rsidRPr="00787A69">
          <w:rPr>
            <w:rStyle w:val="Hyperlink"/>
          </w:rPr>
          <w:t>References</w:t>
        </w:r>
        <w:r w:rsidR="0045617A" w:rsidRPr="00787A69">
          <w:rPr>
            <w:webHidden/>
          </w:rPr>
          <w:tab/>
        </w:r>
        <w:r w:rsidR="0045617A" w:rsidRPr="00787A69">
          <w:rPr>
            <w:webHidden/>
          </w:rPr>
          <w:fldChar w:fldCharType="begin"/>
        </w:r>
        <w:r w:rsidR="0045617A" w:rsidRPr="00787A69">
          <w:rPr>
            <w:webHidden/>
          </w:rPr>
          <w:instrText xml:space="preserve"> PAGEREF _Toc486315542 \h </w:instrText>
        </w:r>
        <w:r w:rsidR="0045617A" w:rsidRPr="00787A69">
          <w:rPr>
            <w:webHidden/>
          </w:rPr>
        </w:r>
        <w:r w:rsidR="0045617A" w:rsidRPr="00787A69">
          <w:rPr>
            <w:webHidden/>
          </w:rPr>
          <w:fldChar w:fldCharType="separate"/>
        </w:r>
        <w:r w:rsidR="005769FC" w:rsidRPr="00787A69">
          <w:rPr>
            <w:webHidden/>
          </w:rPr>
          <w:t>21</w:t>
        </w:r>
        <w:r w:rsidR="0045617A" w:rsidRPr="00787A69">
          <w:rPr>
            <w:webHidden/>
          </w:rPr>
          <w:fldChar w:fldCharType="end"/>
        </w:r>
      </w:hyperlink>
    </w:p>
    <w:p w14:paraId="07EFCFCE" w14:textId="77777777" w:rsidR="002D5525" w:rsidRPr="00787A69" w:rsidRDefault="00CD2213" w:rsidP="00D979EA">
      <w:pPr>
        <w:pStyle w:val="BodyText"/>
        <w:sectPr w:rsidR="002D5525" w:rsidRPr="00787A69" w:rsidSect="00AC6D84">
          <w:headerReference w:type="default" r:id="rId9"/>
          <w:footerReference w:type="default" r:id="rId10"/>
          <w:pgSz w:w="12240" w:h="15840" w:code="1"/>
          <w:pgMar w:top="1440" w:right="1440" w:bottom="1440" w:left="1440" w:header="1080" w:footer="720" w:gutter="0"/>
          <w:pgNumType w:fmt="lowerRoman" w:start="1"/>
          <w:cols w:space="720"/>
          <w:titlePg/>
          <w:docGrid w:linePitch="299"/>
        </w:sectPr>
      </w:pPr>
      <w:r w:rsidRPr="00787A69">
        <w:rPr>
          <w:b/>
          <w:noProof/>
        </w:rPr>
        <w:fldChar w:fldCharType="end"/>
      </w:r>
    </w:p>
    <w:p w14:paraId="1603D6EC" w14:textId="3F3A3C70" w:rsidR="00A324EA" w:rsidRPr="00787A69" w:rsidRDefault="001E71CF" w:rsidP="004138AB">
      <w:pPr>
        <w:pStyle w:val="TOCHeader"/>
      </w:pPr>
      <w:r w:rsidRPr="00787A69">
        <w:lastRenderedPageBreak/>
        <w:t xml:space="preserve">List of </w:t>
      </w:r>
      <w:r w:rsidR="00C50A8A" w:rsidRPr="00787A69">
        <w:t>Attachments</w:t>
      </w:r>
    </w:p>
    <w:p w14:paraId="1E6435D1" w14:textId="4B20C22C" w:rsidR="00404007" w:rsidRPr="00787A69" w:rsidRDefault="00D85D70" w:rsidP="004A1D05">
      <w:pPr>
        <w:pStyle w:val="BodyText"/>
      </w:pPr>
      <w:r w:rsidRPr="00787A69">
        <w:t xml:space="preserve">Attachment </w:t>
      </w:r>
      <w:r w:rsidR="00931E1A" w:rsidRPr="00787A69">
        <w:t>A</w:t>
      </w:r>
      <w:r w:rsidR="00404007" w:rsidRPr="00787A69">
        <w:t>:</w:t>
      </w:r>
      <w:r w:rsidR="00404007" w:rsidRPr="00787A69">
        <w:tab/>
      </w:r>
      <w:r w:rsidR="00B36114" w:rsidRPr="00787A69">
        <w:t>Employee Survey</w:t>
      </w:r>
    </w:p>
    <w:p w14:paraId="057148BA" w14:textId="42C5EC93" w:rsidR="00404007" w:rsidRPr="00787A69" w:rsidRDefault="00D85D70" w:rsidP="004A1D05">
      <w:pPr>
        <w:pStyle w:val="BodyText"/>
      </w:pPr>
      <w:r w:rsidRPr="00787A69">
        <w:t>Attachment</w:t>
      </w:r>
      <w:r w:rsidR="00931E1A" w:rsidRPr="00787A69">
        <w:t xml:space="preserve"> B</w:t>
      </w:r>
      <w:r w:rsidR="00404007" w:rsidRPr="00787A69">
        <w:t>:</w:t>
      </w:r>
      <w:r w:rsidR="00404007" w:rsidRPr="00787A69">
        <w:tab/>
      </w:r>
      <w:r w:rsidR="00B36114" w:rsidRPr="00787A69">
        <w:t>Employer Survey</w:t>
      </w:r>
    </w:p>
    <w:p w14:paraId="3FBA5CD4" w14:textId="3E118E08" w:rsidR="000D3467" w:rsidRPr="00787A69" w:rsidRDefault="00D85D70" w:rsidP="004A1D05">
      <w:pPr>
        <w:pStyle w:val="BodyText"/>
      </w:pPr>
      <w:r w:rsidRPr="00787A69">
        <w:t>Attachment</w:t>
      </w:r>
      <w:r w:rsidR="00931E1A" w:rsidRPr="00787A69">
        <w:t xml:space="preserve"> C</w:t>
      </w:r>
      <w:r w:rsidR="000D3467" w:rsidRPr="00787A69">
        <w:t xml:space="preserve">: </w:t>
      </w:r>
      <w:r w:rsidR="000D3467" w:rsidRPr="00787A69">
        <w:tab/>
        <w:t>Advance Letter</w:t>
      </w:r>
      <w:r w:rsidR="00590B85" w:rsidRPr="00787A69">
        <w:t xml:space="preserve"> for the Employer Survey</w:t>
      </w:r>
    </w:p>
    <w:p w14:paraId="4A9F0A85" w14:textId="625BF786" w:rsidR="000D3467" w:rsidRPr="00787A69" w:rsidRDefault="00D85D70" w:rsidP="004A1D05">
      <w:pPr>
        <w:pStyle w:val="BodyText"/>
      </w:pPr>
      <w:r w:rsidRPr="00787A69">
        <w:t>Attachment</w:t>
      </w:r>
      <w:r w:rsidR="00931E1A" w:rsidRPr="00787A69">
        <w:t xml:space="preserve"> D</w:t>
      </w:r>
      <w:r w:rsidR="000D3467" w:rsidRPr="00787A69">
        <w:t>:</w:t>
      </w:r>
      <w:r w:rsidR="000D3467" w:rsidRPr="00787A69">
        <w:tab/>
      </w:r>
      <w:r w:rsidR="007446CB" w:rsidRPr="00787A69">
        <w:t xml:space="preserve">60-Day </w:t>
      </w:r>
      <w:r w:rsidR="000D3467" w:rsidRPr="00787A69">
        <w:t>Federal Register Notice</w:t>
      </w:r>
    </w:p>
    <w:p w14:paraId="36E6AD9C" w14:textId="282BD0C0" w:rsidR="000D3467" w:rsidRPr="00787A69" w:rsidRDefault="00D85D70" w:rsidP="004A1D05">
      <w:pPr>
        <w:pStyle w:val="BodyText"/>
      </w:pPr>
      <w:r w:rsidRPr="00787A69">
        <w:t>Attachment</w:t>
      </w:r>
      <w:r w:rsidR="00931E1A" w:rsidRPr="00787A69">
        <w:t xml:space="preserve"> E</w:t>
      </w:r>
      <w:r w:rsidR="000D3467" w:rsidRPr="00787A69">
        <w:t>:</w:t>
      </w:r>
      <w:r w:rsidR="000D3467" w:rsidRPr="00787A69">
        <w:tab/>
      </w:r>
      <w:r w:rsidR="004A1D05" w:rsidRPr="00787A69">
        <w:t>Summary of Public Comments and DOL</w:t>
      </w:r>
      <w:r w:rsidR="000D3467" w:rsidRPr="00787A69">
        <w:t xml:space="preserve"> Response</w:t>
      </w:r>
    </w:p>
    <w:p w14:paraId="65FFCB14" w14:textId="33F424A7" w:rsidR="00404007" w:rsidRPr="00787A69" w:rsidRDefault="00D85D70" w:rsidP="004A1D05">
      <w:pPr>
        <w:pStyle w:val="BodyText"/>
      </w:pPr>
      <w:r w:rsidRPr="00787A69">
        <w:t>Attachment</w:t>
      </w:r>
      <w:r w:rsidR="00931E1A" w:rsidRPr="00787A69">
        <w:t xml:space="preserve"> F</w:t>
      </w:r>
      <w:r w:rsidR="00404007" w:rsidRPr="00787A69">
        <w:t>:</w:t>
      </w:r>
      <w:r w:rsidR="00404007" w:rsidRPr="00787A69">
        <w:tab/>
      </w:r>
      <w:r w:rsidR="00B36114" w:rsidRPr="00787A69">
        <w:t>Privacy Statement</w:t>
      </w:r>
    </w:p>
    <w:p w14:paraId="78DA562F" w14:textId="2FD40DAC" w:rsidR="00D85D70" w:rsidRPr="00787A69" w:rsidRDefault="00D85D70" w:rsidP="004A1D05">
      <w:pPr>
        <w:pStyle w:val="BodyText"/>
      </w:pPr>
      <w:r w:rsidRPr="00787A69">
        <w:t>Attachment G:</w:t>
      </w:r>
      <w:r w:rsidR="00673F76" w:rsidRPr="00787A69">
        <w:t xml:space="preserve"> </w:t>
      </w:r>
      <w:r w:rsidRPr="00787A69">
        <w:t>Weighting and Estimation Procedures</w:t>
      </w:r>
    </w:p>
    <w:p w14:paraId="7D3F67BA" w14:textId="047B4921" w:rsidR="0045617A" w:rsidRPr="00787A69" w:rsidRDefault="0045617A" w:rsidP="004A1D05">
      <w:pPr>
        <w:pStyle w:val="BodyText"/>
      </w:pPr>
      <w:r w:rsidRPr="00787A69">
        <w:t>Attachment H:  IRB Approval Letter</w:t>
      </w:r>
    </w:p>
    <w:p w14:paraId="69216C2C" w14:textId="77777777" w:rsidR="00453FE3" w:rsidRPr="00787A69" w:rsidRDefault="00453FE3" w:rsidP="00453FE3">
      <w:pPr>
        <w:pStyle w:val="BodyText"/>
      </w:pPr>
    </w:p>
    <w:p w14:paraId="423FB398" w14:textId="77777777" w:rsidR="002D5525" w:rsidRPr="00787A69" w:rsidRDefault="002D5525" w:rsidP="00D979EA">
      <w:pPr>
        <w:pStyle w:val="BodyText"/>
      </w:pPr>
    </w:p>
    <w:p w14:paraId="20D99F5E" w14:textId="77777777" w:rsidR="002D5525" w:rsidRPr="00787A69" w:rsidRDefault="002D5525" w:rsidP="00D979EA">
      <w:pPr>
        <w:pStyle w:val="BodyText"/>
      </w:pPr>
    </w:p>
    <w:p w14:paraId="57C3A81F" w14:textId="77777777" w:rsidR="006B1DA6" w:rsidRPr="00787A69" w:rsidRDefault="006B1DA6" w:rsidP="00D979EA">
      <w:pPr>
        <w:pStyle w:val="BodyText"/>
        <w:sectPr w:rsidR="006B1DA6" w:rsidRPr="00787A69" w:rsidSect="000C41F5">
          <w:pgSz w:w="12240" w:h="15840" w:code="1"/>
          <w:pgMar w:top="1440" w:right="1440" w:bottom="1440" w:left="1440" w:header="1080" w:footer="720" w:gutter="0"/>
          <w:pgNumType w:fmt="lowerRoman"/>
          <w:cols w:space="720"/>
          <w:docGrid w:linePitch="299"/>
        </w:sectPr>
      </w:pPr>
    </w:p>
    <w:p w14:paraId="08159857" w14:textId="4E3CE891" w:rsidR="007B1904" w:rsidRPr="00787A69" w:rsidRDefault="00C2551C" w:rsidP="00C728CB">
      <w:pPr>
        <w:pStyle w:val="Heading1ES"/>
      </w:pPr>
      <w:bookmarkStart w:id="1" w:name="_Toc486315506"/>
      <w:r w:rsidRPr="00787A69">
        <w:t xml:space="preserve">Part A: </w:t>
      </w:r>
      <w:r w:rsidR="001E71CF" w:rsidRPr="00787A69">
        <w:t>Justification</w:t>
      </w:r>
      <w:bookmarkEnd w:id="1"/>
    </w:p>
    <w:p w14:paraId="3F81E45F" w14:textId="28407EFC" w:rsidR="007B1904" w:rsidRPr="00787A69" w:rsidRDefault="001E71CF" w:rsidP="001E71CF">
      <w:pPr>
        <w:pStyle w:val="Heading2"/>
        <w:numPr>
          <w:ilvl w:val="0"/>
          <w:numId w:val="0"/>
        </w:numPr>
      </w:pPr>
      <w:bookmarkStart w:id="2" w:name="_Toc486315507"/>
      <w:r w:rsidRPr="00787A69">
        <w:t>A</w:t>
      </w:r>
      <w:r w:rsidR="00A72D77" w:rsidRPr="00787A69">
        <w:t>.</w:t>
      </w:r>
      <w:r w:rsidRPr="00787A69">
        <w:t xml:space="preserve">1. </w:t>
      </w:r>
      <w:r w:rsidR="0024418A" w:rsidRPr="00787A69">
        <w:tab/>
      </w:r>
      <w:r w:rsidRPr="00787A69">
        <w:t>Necessity for the Data Collection</w:t>
      </w:r>
      <w:bookmarkEnd w:id="2"/>
    </w:p>
    <w:p w14:paraId="7522F523" w14:textId="77777777" w:rsidR="00F90970" w:rsidRPr="00787A69" w:rsidRDefault="003D7725" w:rsidP="003D7725">
      <w:pPr>
        <w:pStyle w:val="BodyText"/>
        <w:rPr>
          <w:rFonts w:eastAsiaTheme="minorHAnsi"/>
          <w:szCs w:val="22"/>
        </w:rPr>
      </w:pPr>
      <w:r w:rsidRPr="00787A69">
        <w:t xml:space="preserve">As required under the Paperwork Reduction Act (PRA), the Chief Evaluation Office (CEO) at the U.S. Department of Labor (DOL) is seeking approval from the Office of Management and Budget (OMB) for a study of the federal Family and Medical Leave Act (FMLA). Consistent with its commitment to tracking and analyzing user feedback, DOL periodically conducts surveys of employees and employers who are covered by the provisions of the FMLA. </w:t>
      </w:r>
      <w:r w:rsidR="00275D4D" w:rsidRPr="00787A69">
        <w:rPr>
          <w:rFonts w:eastAsiaTheme="minorHAnsi"/>
          <w:szCs w:val="22"/>
        </w:rPr>
        <w:t>S</w:t>
      </w:r>
      <w:r w:rsidRPr="00787A69">
        <w:rPr>
          <w:rFonts w:eastAsiaTheme="minorHAnsi"/>
          <w:szCs w:val="22"/>
        </w:rPr>
        <w:t>urveys were conducted in 1996 (DOL 1996</w:t>
      </w:r>
      <w:r w:rsidR="00F90970" w:rsidRPr="00787A69">
        <w:rPr>
          <w:rFonts w:eastAsiaTheme="minorHAnsi"/>
          <w:szCs w:val="22"/>
        </w:rPr>
        <w:t xml:space="preserve">), </w:t>
      </w:r>
      <w:r w:rsidRPr="00787A69">
        <w:rPr>
          <w:rFonts w:eastAsiaTheme="minorHAnsi"/>
          <w:szCs w:val="22"/>
        </w:rPr>
        <w:t>2000 (Cantor et al. 2001)</w:t>
      </w:r>
      <w:r w:rsidR="00F90970" w:rsidRPr="00787A69">
        <w:rPr>
          <w:rFonts w:eastAsiaTheme="minorHAnsi"/>
          <w:szCs w:val="22"/>
        </w:rPr>
        <w:t>, and again in 2012</w:t>
      </w:r>
      <w:r w:rsidR="00356BCC" w:rsidRPr="00787A69">
        <w:rPr>
          <w:rFonts w:eastAsiaTheme="minorHAnsi"/>
          <w:szCs w:val="22"/>
        </w:rPr>
        <w:t xml:space="preserve"> (Klerman, Daley, and Pozniak 2013)</w:t>
      </w:r>
      <w:r w:rsidR="00F90970" w:rsidRPr="00787A69">
        <w:rPr>
          <w:rFonts w:eastAsiaTheme="minorHAnsi"/>
          <w:szCs w:val="22"/>
        </w:rPr>
        <w:t xml:space="preserve">. </w:t>
      </w:r>
      <w:r w:rsidR="00C03F0C" w:rsidRPr="00787A69">
        <w:rPr>
          <w:rFonts w:eastAsiaTheme="minorHAnsi"/>
          <w:szCs w:val="22"/>
        </w:rPr>
        <w:t>DOL has contracted with Abt Associates</w:t>
      </w:r>
      <w:r w:rsidR="00E44A1B" w:rsidRPr="00787A69">
        <w:rPr>
          <w:rFonts w:eastAsiaTheme="minorHAnsi"/>
          <w:szCs w:val="22"/>
        </w:rPr>
        <w:t xml:space="preserve"> Inc</w:t>
      </w:r>
      <w:r w:rsidR="00536C6B" w:rsidRPr="00787A69">
        <w:rPr>
          <w:rFonts w:eastAsiaTheme="minorHAnsi"/>
          <w:szCs w:val="22"/>
        </w:rPr>
        <w:t>.</w:t>
      </w:r>
      <w:r w:rsidR="00731C46" w:rsidRPr="00787A69">
        <w:rPr>
          <w:rFonts w:eastAsiaTheme="minorHAnsi"/>
          <w:szCs w:val="22"/>
        </w:rPr>
        <w:t xml:space="preserve"> (in partnership with Abt SRBI</w:t>
      </w:r>
      <w:r w:rsidR="003454DC" w:rsidRPr="00787A69">
        <w:rPr>
          <w:rStyle w:val="FootnoteReference"/>
          <w:rFonts w:eastAsiaTheme="minorHAnsi"/>
          <w:szCs w:val="22"/>
        </w:rPr>
        <w:footnoteReference w:id="1"/>
      </w:r>
      <w:r w:rsidR="00731C46" w:rsidRPr="00787A69">
        <w:rPr>
          <w:rFonts w:eastAsiaTheme="minorHAnsi"/>
          <w:szCs w:val="22"/>
        </w:rPr>
        <w:t>)</w:t>
      </w:r>
      <w:r w:rsidR="00C03F0C" w:rsidRPr="00787A69">
        <w:rPr>
          <w:rFonts w:eastAsiaTheme="minorHAnsi"/>
          <w:szCs w:val="22"/>
        </w:rPr>
        <w:t xml:space="preserve"> to conduct a fourth “</w:t>
      </w:r>
      <w:r w:rsidR="00272871" w:rsidRPr="00787A69">
        <w:rPr>
          <w:rFonts w:eastAsiaTheme="minorHAnsi"/>
          <w:szCs w:val="22"/>
        </w:rPr>
        <w:t>wave” of Employee and Employer S</w:t>
      </w:r>
      <w:r w:rsidR="00C03F0C" w:rsidRPr="00787A69">
        <w:rPr>
          <w:rFonts w:eastAsiaTheme="minorHAnsi"/>
          <w:szCs w:val="22"/>
        </w:rPr>
        <w:t xml:space="preserve">urveys. </w:t>
      </w:r>
    </w:p>
    <w:p w14:paraId="59233DBE" w14:textId="77777777" w:rsidR="00F90970" w:rsidRPr="00787A69" w:rsidRDefault="00047462" w:rsidP="00451DB5">
      <w:pPr>
        <w:pStyle w:val="BodyText"/>
        <w:spacing w:line="276" w:lineRule="auto"/>
        <w:rPr>
          <w:rFonts w:eastAsiaTheme="minorHAnsi"/>
          <w:szCs w:val="22"/>
        </w:rPr>
      </w:pPr>
      <w:r w:rsidRPr="00787A69">
        <w:rPr>
          <w:rFonts w:eastAsiaTheme="minorHAnsi"/>
          <w:szCs w:val="22"/>
        </w:rPr>
        <w:t xml:space="preserve">Since 2012, </w:t>
      </w:r>
      <w:r w:rsidR="00F90970" w:rsidRPr="00787A69">
        <w:rPr>
          <w:rFonts w:eastAsiaTheme="minorHAnsi"/>
          <w:szCs w:val="22"/>
        </w:rPr>
        <w:t>both the labor market and</w:t>
      </w:r>
      <w:r w:rsidRPr="00787A69">
        <w:rPr>
          <w:rFonts w:eastAsiaTheme="minorHAnsi"/>
          <w:szCs w:val="22"/>
        </w:rPr>
        <w:t xml:space="preserve"> the</w:t>
      </w:r>
      <w:r w:rsidR="00F90970" w:rsidRPr="00787A69">
        <w:rPr>
          <w:rFonts w:eastAsiaTheme="minorHAnsi"/>
          <w:szCs w:val="22"/>
        </w:rPr>
        <w:t xml:space="preserve"> policy context in which the FMLA operates have continued to evolve. </w:t>
      </w:r>
      <w:r w:rsidRPr="00787A69">
        <w:rPr>
          <w:rFonts w:eastAsiaTheme="minorHAnsi"/>
          <w:szCs w:val="22"/>
        </w:rPr>
        <w:t>In particular, as</w:t>
      </w:r>
      <w:r w:rsidR="00F90970" w:rsidRPr="00787A69">
        <w:rPr>
          <w:rFonts w:eastAsiaTheme="minorHAnsi"/>
          <w:szCs w:val="22"/>
        </w:rPr>
        <w:t xml:space="preserve"> of December 2016, </w:t>
      </w:r>
      <w:r w:rsidRPr="00787A69">
        <w:rPr>
          <w:rFonts w:eastAsiaTheme="minorHAnsi"/>
          <w:szCs w:val="22"/>
        </w:rPr>
        <w:t>building on the FMLA</w:t>
      </w:r>
      <w:r w:rsidR="00536C6B" w:rsidRPr="00787A69">
        <w:rPr>
          <w:rFonts w:eastAsiaTheme="minorHAnsi"/>
          <w:szCs w:val="22"/>
        </w:rPr>
        <w:t>,</w:t>
      </w:r>
      <w:r w:rsidRPr="00787A69">
        <w:rPr>
          <w:rFonts w:eastAsiaTheme="minorHAnsi"/>
          <w:szCs w:val="22"/>
        </w:rPr>
        <w:t xml:space="preserve"> </w:t>
      </w:r>
      <w:r w:rsidR="00F90970" w:rsidRPr="00787A69">
        <w:rPr>
          <w:rFonts w:eastAsiaTheme="minorHAnsi"/>
          <w:szCs w:val="22"/>
        </w:rPr>
        <w:t xml:space="preserve">43 states, counties, and cities have implemented </w:t>
      </w:r>
      <w:r w:rsidR="00536C6B" w:rsidRPr="00787A69">
        <w:rPr>
          <w:rFonts w:eastAsiaTheme="minorHAnsi"/>
          <w:szCs w:val="22"/>
        </w:rPr>
        <w:t>one or more paid leave policies</w:t>
      </w:r>
      <w:r w:rsidR="00F90970" w:rsidRPr="00787A69">
        <w:rPr>
          <w:rFonts w:eastAsiaTheme="minorHAnsi"/>
          <w:szCs w:val="22"/>
        </w:rPr>
        <w:t xml:space="preserve">. </w:t>
      </w:r>
    </w:p>
    <w:p w14:paraId="38048FF2" w14:textId="556B70E2" w:rsidR="003D7725" w:rsidRPr="00787A69" w:rsidRDefault="00F90970" w:rsidP="003D7725">
      <w:pPr>
        <w:pStyle w:val="BodyText"/>
        <w:rPr>
          <w:rFonts w:eastAsiaTheme="minorHAnsi"/>
          <w:szCs w:val="22"/>
        </w:rPr>
      </w:pPr>
      <w:r w:rsidRPr="00787A69">
        <w:rPr>
          <w:rFonts w:eastAsiaTheme="minorHAnsi"/>
          <w:szCs w:val="22"/>
        </w:rPr>
        <w:t>This</w:t>
      </w:r>
      <w:r w:rsidR="00A25177" w:rsidRPr="00787A69">
        <w:rPr>
          <w:rFonts w:eastAsiaTheme="minorHAnsi"/>
          <w:szCs w:val="22"/>
        </w:rPr>
        <w:t xml:space="preserve"> information collection request covers a </w:t>
      </w:r>
      <w:r w:rsidR="00275D4D" w:rsidRPr="00787A69">
        <w:rPr>
          <w:rFonts w:eastAsiaTheme="minorHAnsi"/>
          <w:szCs w:val="22"/>
        </w:rPr>
        <w:t xml:space="preserve">fourth </w:t>
      </w:r>
      <w:r w:rsidR="00451DB5" w:rsidRPr="00787A69">
        <w:rPr>
          <w:rFonts w:eastAsiaTheme="minorHAnsi"/>
          <w:szCs w:val="22"/>
        </w:rPr>
        <w:t>“</w:t>
      </w:r>
      <w:r w:rsidR="00275D4D" w:rsidRPr="00787A69">
        <w:rPr>
          <w:rFonts w:eastAsiaTheme="minorHAnsi"/>
          <w:szCs w:val="22"/>
        </w:rPr>
        <w:t>wave</w:t>
      </w:r>
      <w:r w:rsidR="00451DB5" w:rsidRPr="00787A69">
        <w:rPr>
          <w:rFonts w:eastAsiaTheme="minorHAnsi"/>
          <w:szCs w:val="22"/>
        </w:rPr>
        <w:t>”</w:t>
      </w:r>
      <w:r w:rsidR="00275D4D" w:rsidRPr="00787A69">
        <w:rPr>
          <w:rFonts w:eastAsiaTheme="minorHAnsi"/>
          <w:szCs w:val="22"/>
        </w:rPr>
        <w:t xml:space="preserve"> of </w:t>
      </w:r>
      <w:r w:rsidRPr="00787A69">
        <w:rPr>
          <w:rFonts w:eastAsiaTheme="minorHAnsi"/>
          <w:szCs w:val="22"/>
        </w:rPr>
        <w:t xml:space="preserve">nationally representative </w:t>
      </w:r>
      <w:r w:rsidR="00A25177" w:rsidRPr="00787A69">
        <w:rPr>
          <w:rFonts w:eastAsiaTheme="minorHAnsi"/>
          <w:szCs w:val="22"/>
        </w:rPr>
        <w:t xml:space="preserve">surveys </w:t>
      </w:r>
      <w:r w:rsidRPr="00787A69">
        <w:rPr>
          <w:rFonts w:eastAsiaTheme="minorHAnsi"/>
          <w:szCs w:val="22"/>
        </w:rPr>
        <w:t xml:space="preserve">of employees and employers </w:t>
      </w:r>
      <w:r w:rsidR="00A25177" w:rsidRPr="00787A69">
        <w:rPr>
          <w:rFonts w:eastAsiaTheme="minorHAnsi"/>
          <w:szCs w:val="22"/>
        </w:rPr>
        <w:t xml:space="preserve">that </w:t>
      </w:r>
      <w:r w:rsidR="00275D4D" w:rsidRPr="00787A69">
        <w:rPr>
          <w:rFonts w:eastAsiaTheme="minorHAnsi"/>
          <w:szCs w:val="22"/>
        </w:rPr>
        <w:t xml:space="preserve">will update and expand </w:t>
      </w:r>
      <w:r w:rsidR="00451DB5" w:rsidRPr="00787A69">
        <w:rPr>
          <w:rFonts w:eastAsiaTheme="minorHAnsi"/>
          <w:szCs w:val="22"/>
        </w:rPr>
        <w:t xml:space="preserve">upon </w:t>
      </w:r>
      <w:r w:rsidRPr="00787A69">
        <w:rPr>
          <w:rFonts w:eastAsiaTheme="minorHAnsi"/>
          <w:szCs w:val="22"/>
        </w:rPr>
        <w:t xml:space="preserve">the </w:t>
      </w:r>
      <w:r w:rsidR="00A25177" w:rsidRPr="00787A69">
        <w:rPr>
          <w:rFonts w:eastAsiaTheme="minorHAnsi"/>
          <w:szCs w:val="22"/>
        </w:rPr>
        <w:t>knowledge gained</w:t>
      </w:r>
      <w:r w:rsidR="00275D4D" w:rsidRPr="00787A69">
        <w:rPr>
          <w:rFonts w:eastAsiaTheme="minorHAnsi"/>
          <w:szCs w:val="22"/>
        </w:rPr>
        <w:t xml:space="preserve"> from prior s</w:t>
      </w:r>
      <w:r w:rsidR="00A25177" w:rsidRPr="00787A69">
        <w:rPr>
          <w:rFonts w:eastAsiaTheme="minorHAnsi"/>
          <w:szCs w:val="22"/>
        </w:rPr>
        <w:t>tudies</w:t>
      </w:r>
      <w:r w:rsidR="00451DB5" w:rsidRPr="00787A69">
        <w:rPr>
          <w:rFonts w:eastAsiaTheme="minorHAnsi"/>
          <w:szCs w:val="22"/>
        </w:rPr>
        <w:t xml:space="preserve"> in the current policy landscape</w:t>
      </w:r>
      <w:r w:rsidR="00A25177" w:rsidRPr="00787A69">
        <w:rPr>
          <w:rFonts w:eastAsiaTheme="minorHAnsi"/>
          <w:szCs w:val="22"/>
        </w:rPr>
        <w:t>.</w:t>
      </w:r>
      <w:r w:rsidR="00451DB5" w:rsidRPr="00787A69">
        <w:rPr>
          <w:rFonts w:eastAsiaTheme="minorHAnsi"/>
          <w:szCs w:val="22"/>
        </w:rPr>
        <w:t xml:space="preserve"> </w:t>
      </w:r>
      <w:r w:rsidR="00A25177" w:rsidRPr="00787A69">
        <w:rPr>
          <w:rFonts w:eastAsiaTheme="minorHAnsi"/>
          <w:szCs w:val="22"/>
        </w:rPr>
        <w:t>Specifically, the surveys will help DOL understand current workplace policies and practices related to family and medical leave</w:t>
      </w:r>
      <w:r w:rsidR="00626621" w:rsidRPr="00787A69">
        <w:rPr>
          <w:rFonts w:eastAsiaTheme="minorHAnsi"/>
          <w:szCs w:val="22"/>
        </w:rPr>
        <w:t>, allow</w:t>
      </w:r>
      <w:r w:rsidR="00451DB5" w:rsidRPr="00787A69">
        <w:rPr>
          <w:rFonts w:eastAsiaTheme="minorHAnsi"/>
          <w:szCs w:val="22"/>
        </w:rPr>
        <w:t>ing</w:t>
      </w:r>
      <w:r w:rsidR="00626621" w:rsidRPr="00787A69">
        <w:rPr>
          <w:rFonts w:eastAsiaTheme="minorHAnsi"/>
          <w:szCs w:val="22"/>
        </w:rPr>
        <w:t xml:space="preserve"> the Department to determine how those policies affect the work-life balance of workers and the productivity and workflow of employers. The study will also enable the Wage and Hour Division (WHD) at DOL to shape future regulatory options, craft interpretive guidance (such as plain-language fact sheets), develop compliance programs (employer outreach and investigation policies), and establish regulatory priorities based on sound, current data, rather than outdated or anecdotal information. Finally, the study will provide a data set by which WHD can evaluate the effect of a range of FMLA activities</w:t>
      </w:r>
      <w:r w:rsidR="00C2551C" w:rsidRPr="00787A69">
        <w:rPr>
          <w:rFonts w:eastAsiaTheme="minorHAnsi"/>
          <w:szCs w:val="22"/>
        </w:rPr>
        <w:t>—</w:t>
      </w:r>
      <w:r w:rsidR="00626621" w:rsidRPr="00787A69">
        <w:rPr>
          <w:rFonts w:eastAsiaTheme="minorHAnsi"/>
          <w:szCs w:val="22"/>
        </w:rPr>
        <w:t>regulatory, educational, investigative, and legal</w:t>
      </w:r>
      <w:r w:rsidR="00C2551C" w:rsidRPr="00787A69">
        <w:rPr>
          <w:rFonts w:eastAsiaTheme="minorHAnsi"/>
          <w:szCs w:val="22"/>
        </w:rPr>
        <w:t>—</w:t>
      </w:r>
      <w:r w:rsidR="00626621" w:rsidRPr="00787A69">
        <w:rPr>
          <w:rFonts w:eastAsiaTheme="minorHAnsi"/>
          <w:szCs w:val="22"/>
        </w:rPr>
        <w:t xml:space="preserve">on employer compliance. </w:t>
      </w:r>
    </w:p>
    <w:p w14:paraId="472C8FAA" w14:textId="77777777" w:rsidR="007B0940" w:rsidRPr="00787A69" w:rsidRDefault="007B0940" w:rsidP="007B0940">
      <w:pPr>
        <w:spacing w:line="276" w:lineRule="auto"/>
        <w:contextualSpacing/>
        <w:rPr>
          <w:szCs w:val="24"/>
        </w:rPr>
      </w:pPr>
      <w:r w:rsidRPr="00787A69">
        <w:rPr>
          <w:color w:val="000000"/>
          <w:szCs w:val="24"/>
        </w:rPr>
        <w:t xml:space="preserve">CEO undertakes a learning agenda process each year to identify Departmental priorities for program evaluations.  This evaluation was prioritized as part of that process in FY 2016.  </w:t>
      </w:r>
      <w:r w:rsidRPr="00787A69">
        <w:rPr>
          <w:szCs w:val="24"/>
        </w:rPr>
        <w:t>Division H, Title I, section 107 of Public Law 114-113, the “Consolidated Appropriations Act, 2016” authorizes the Secretary of Labor to reserve not more than 0.75 percent from special budget accounts for transfer to and use by the Department’s Chief Evaluation Office (CEO) for departmental program evaluation. Further, 29 USC 3224a (1), authorizes the Secretary of Labor to conduct ongoing evaluation of programs and activities to improve the management and effectiveness of these programs.</w:t>
      </w:r>
    </w:p>
    <w:p w14:paraId="4D65D117" w14:textId="5F67B2BA" w:rsidR="001E71CF" w:rsidRPr="00787A69" w:rsidRDefault="001E71CF" w:rsidP="00C337DA">
      <w:pPr>
        <w:pStyle w:val="Heading2"/>
        <w:numPr>
          <w:ilvl w:val="0"/>
          <w:numId w:val="0"/>
        </w:numPr>
      </w:pPr>
      <w:bookmarkStart w:id="3" w:name="_Toc486315508"/>
      <w:r w:rsidRPr="00787A69">
        <w:t>A</w:t>
      </w:r>
      <w:r w:rsidR="00A72D77" w:rsidRPr="00787A69">
        <w:t>.</w:t>
      </w:r>
      <w:r w:rsidRPr="00787A69">
        <w:t xml:space="preserve">2. </w:t>
      </w:r>
      <w:r w:rsidR="0024418A" w:rsidRPr="00787A69">
        <w:tab/>
      </w:r>
      <w:r w:rsidRPr="00787A69">
        <w:t>Purpose of Survey</w:t>
      </w:r>
      <w:r w:rsidR="00C337DA" w:rsidRPr="00787A69">
        <w:t xml:space="preserve"> and Data Collection Procedures</w:t>
      </w:r>
      <w:bookmarkEnd w:id="3"/>
    </w:p>
    <w:p w14:paraId="56134542" w14:textId="77777777" w:rsidR="0071096A" w:rsidRPr="00787A69" w:rsidRDefault="0071096A" w:rsidP="00C337DA">
      <w:pPr>
        <w:pStyle w:val="BodyText"/>
        <w:rPr>
          <w:szCs w:val="22"/>
        </w:rPr>
      </w:pPr>
      <w:r w:rsidRPr="00787A69">
        <w:rPr>
          <w:szCs w:val="22"/>
        </w:rPr>
        <w:t xml:space="preserve">DOL’s Chief Evaluation Office requests clearance to administer two surveys: </w:t>
      </w:r>
    </w:p>
    <w:p w14:paraId="3C54D004" w14:textId="77777777" w:rsidR="0071096A" w:rsidRPr="00787A69" w:rsidRDefault="0071096A" w:rsidP="00C728CB">
      <w:pPr>
        <w:pStyle w:val="Bullets"/>
      </w:pPr>
      <w:r w:rsidRPr="00787A69">
        <w:t xml:space="preserve">A survey of employees that primarily examines leave usage patterns and unmet needs; and </w:t>
      </w:r>
    </w:p>
    <w:p w14:paraId="1CBCF788" w14:textId="77777777" w:rsidR="0071096A" w:rsidRPr="00787A69" w:rsidRDefault="0071096A" w:rsidP="00C728CB">
      <w:pPr>
        <w:pStyle w:val="BulletsLast"/>
      </w:pPr>
      <w:r w:rsidRPr="00787A69">
        <w:t xml:space="preserve">A survey of employers that examines their leave policies, as well as their experiences with and perceptions of the FMLA. </w:t>
      </w:r>
    </w:p>
    <w:p w14:paraId="3C7090ED" w14:textId="77777777" w:rsidR="00AC76CD" w:rsidRPr="00787A69" w:rsidRDefault="00FF78F4" w:rsidP="00C337DA">
      <w:pPr>
        <w:pStyle w:val="BodyText"/>
        <w:rPr>
          <w:szCs w:val="22"/>
        </w:rPr>
      </w:pPr>
      <w:r w:rsidRPr="00787A69">
        <w:rPr>
          <w:szCs w:val="22"/>
        </w:rPr>
        <w:t xml:space="preserve">These </w:t>
      </w:r>
      <w:r w:rsidR="00697FDE" w:rsidRPr="00787A69">
        <w:rPr>
          <w:szCs w:val="22"/>
        </w:rPr>
        <w:t>surveys are based on the 2012, W</w:t>
      </w:r>
      <w:r w:rsidRPr="00787A69">
        <w:rPr>
          <w:szCs w:val="22"/>
        </w:rPr>
        <w:t xml:space="preserve">ave 3 FMLA surveys. </w:t>
      </w:r>
      <w:r w:rsidR="00DB67F8" w:rsidRPr="00787A69">
        <w:rPr>
          <w:szCs w:val="22"/>
        </w:rPr>
        <w:t xml:space="preserve">However, the instruments in this information collection request have been revised (with the input of substantive and methodological experts) to reflect changes in the external environment, build on past data collection experience, and </w:t>
      </w:r>
      <w:r w:rsidR="006F732E" w:rsidRPr="00787A69">
        <w:rPr>
          <w:szCs w:val="22"/>
        </w:rPr>
        <w:t>improve our understanding of the FMLA and leave-taking behavior and needs</w:t>
      </w:r>
      <w:r w:rsidR="00DB67F8" w:rsidRPr="00787A69">
        <w:rPr>
          <w:szCs w:val="22"/>
        </w:rPr>
        <w:t xml:space="preserve">. </w:t>
      </w:r>
    </w:p>
    <w:p w14:paraId="4574B43B" w14:textId="517CC69A" w:rsidR="00F60672" w:rsidRPr="00787A69" w:rsidRDefault="00C77DA6" w:rsidP="00C337DA">
      <w:pPr>
        <w:pStyle w:val="BodyText"/>
        <w:rPr>
          <w:szCs w:val="22"/>
        </w:rPr>
      </w:pPr>
      <w:r w:rsidRPr="00787A69">
        <w:rPr>
          <w:szCs w:val="22"/>
        </w:rPr>
        <w:t xml:space="preserve">As part of the questionnaire updating process, </w:t>
      </w:r>
      <w:r w:rsidR="00C74929" w:rsidRPr="00787A69">
        <w:rPr>
          <w:szCs w:val="22"/>
        </w:rPr>
        <w:t>the</w:t>
      </w:r>
      <w:r w:rsidR="004C4B70" w:rsidRPr="00787A69">
        <w:rPr>
          <w:szCs w:val="22"/>
        </w:rPr>
        <w:t xml:space="preserve"> contractor </w:t>
      </w:r>
      <w:r w:rsidR="00AC76CD" w:rsidRPr="00787A69">
        <w:rPr>
          <w:szCs w:val="22"/>
        </w:rPr>
        <w:t>solicited input from various sources.</w:t>
      </w:r>
      <w:r w:rsidR="005D1C2A" w:rsidRPr="00787A69">
        <w:rPr>
          <w:szCs w:val="22"/>
        </w:rPr>
        <w:t xml:space="preserve"> </w:t>
      </w:r>
      <w:r w:rsidR="00AC76CD" w:rsidRPr="00787A69">
        <w:rPr>
          <w:szCs w:val="22"/>
        </w:rPr>
        <w:t xml:space="preserve">First, the </w:t>
      </w:r>
      <w:r w:rsidR="004C4B70" w:rsidRPr="00787A69">
        <w:rPr>
          <w:szCs w:val="22"/>
        </w:rPr>
        <w:t xml:space="preserve"> contractor’s</w:t>
      </w:r>
      <w:r w:rsidR="00AC76CD" w:rsidRPr="00787A69">
        <w:rPr>
          <w:szCs w:val="22"/>
        </w:rPr>
        <w:t xml:space="preserve"> team </w:t>
      </w:r>
      <w:r w:rsidRPr="00787A69">
        <w:rPr>
          <w:szCs w:val="22"/>
        </w:rPr>
        <w:t>conducted several listening sessions and in-depth interviews with numerous stakeholders</w:t>
      </w:r>
      <w:r w:rsidR="00FF78F4" w:rsidRPr="00787A69">
        <w:rPr>
          <w:szCs w:val="22"/>
        </w:rPr>
        <w:t xml:space="preserve">, including </w:t>
      </w:r>
      <w:r w:rsidR="00AA075C" w:rsidRPr="00787A69">
        <w:rPr>
          <w:szCs w:val="22"/>
        </w:rPr>
        <w:t xml:space="preserve">DOL staff, scholars who study the FMLA, policy </w:t>
      </w:r>
      <w:r w:rsidR="00EB3207" w:rsidRPr="00787A69">
        <w:rPr>
          <w:szCs w:val="22"/>
        </w:rPr>
        <w:t xml:space="preserve">and advocacy </w:t>
      </w:r>
      <w:r w:rsidR="00AA075C" w:rsidRPr="00787A69">
        <w:rPr>
          <w:szCs w:val="22"/>
        </w:rPr>
        <w:t>profes</w:t>
      </w:r>
      <w:r w:rsidR="00F911FE" w:rsidRPr="00787A69">
        <w:rPr>
          <w:szCs w:val="22"/>
        </w:rPr>
        <w:t>sionals working in the area of family and medical l</w:t>
      </w:r>
      <w:r w:rsidR="00AA075C" w:rsidRPr="00787A69">
        <w:rPr>
          <w:szCs w:val="22"/>
        </w:rPr>
        <w:t>eave</w:t>
      </w:r>
      <w:r w:rsidR="00F911FE" w:rsidRPr="00787A69">
        <w:rPr>
          <w:szCs w:val="22"/>
        </w:rPr>
        <w:t>,</w:t>
      </w:r>
      <w:r w:rsidR="00AA075C" w:rsidRPr="00787A69">
        <w:rPr>
          <w:szCs w:val="22"/>
        </w:rPr>
        <w:t xml:space="preserve"> and </w:t>
      </w:r>
      <w:r w:rsidR="00FF78F4" w:rsidRPr="00787A69">
        <w:rPr>
          <w:szCs w:val="22"/>
        </w:rPr>
        <w:t>e</w:t>
      </w:r>
      <w:r w:rsidR="00AA075C" w:rsidRPr="00787A69">
        <w:rPr>
          <w:szCs w:val="22"/>
        </w:rPr>
        <w:t xml:space="preserve">mployers </w:t>
      </w:r>
      <w:r w:rsidR="00F911FE" w:rsidRPr="00787A69">
        <w:rPr>
          <w:szCs w:val="22"/>
        </w:rPr>
        <w:t xml:space="preserve">and third-party administrators </w:t>
      </w:r>
      <w:r w:rsidR="00AA075C" w:rsidRPr="00787A69">
        <w:rPr>
          <w:szCs w:val="22"/>
        </w:rPr>
        <w:t xml:space="preserve">who administer FMLA. </w:t>
      </w:r>
      <w:r w:rsidR="00AC76CD" w:rsidRPr="00787A69">
        <w:rPr>
          <w:szCs w:val="22"/>
        </w:rPr>
        <w:t>Second, t</w:t>
      </w:r>
      <w:r w:rsidR="00074246" w:rsidRPr="00787A69">
        <w:rPr>
          <w:szCs w:val="22"/>
        </w:rPr>
        <w:t xml:space="preserve">he </w:t>
      </w:r>
      <w:r w:rsidR="004C4B70" w:rsidRPr="00787A69">
        <w:rPr>
          <w:szCs w:val="22"/>
        </w:rPr>
        <w:t xml:space="preserve"> contractor’s</w:t>
      </w:r>
      <w:r w:rsidR="00074246" w:rsidRPr="00787A69">
        <w:rPr>
          <w:szCs w:val="22"/>
        </w:rPr>
        <w:t xml:space="preserve"> team </w:t>
      </w:r>
      <w:r w:rsidR="00AA075C" w:rsidRPr="00787A69">
        <w:rPr>
          <w:szCs w:val="22"/>
        </w:rPr>
        <w:t xml:space="preserve">also consulted with </w:t>
      </w:r>
      <w:r w:rsidR="00074246" w:rsidRPr="00787A69">
        <w:rPr>
          <w:szCs w:val="22"/>
        </w:rPr>
        <w:t xml:space="preserve">the study’s </w:t>
      </w:r>
      <w:r w:rsidR="00AA075C" w:rsidRPr="00787A69">
        <w:rPr>
          <w:szCs w:val="22"/>
        </w:rPr>
        <w:t>Technic</w:t>
      </w:r>
      <w:r w:rsidR="001A28D9" w:rsidRPr="00787A69">
        <w:rPr>
          <w:szCs w:val="22"/>
        </w:rPr>
        <w:t xml:space="preserve">al Working Group </w:t>
      </w:r>
      <w:r w:rsidR="00CD5757" w:rsidRPr="00787A69">
        <w:rPr>
          <w:szCs w:val="22"/>
        </w:rPr>
        <w:t xml:space="preserve">(TWG) </w:t>
      </w:r>
      <w:r w:rsidR="001A28D9" w:rsidRPr="00787A69">
        <w:rPr>
          <w:szCs w:val="22"/>
        </w:rPr>
        <w:t>(see S</w:t>
      </w:r>
      <w:r w:rsidR="000262A2" w:rsidRPr="00787A69">
        <w:rPr>
          <w:szCs w:val="22"/>
        </w:rPr>
        <w:t>ection A</w:t>
      </w:r>
      <w:r w:rsidR="00AA075C" w:rsidRPr="00787A69">
        <w:rPr>
          <w:szCs w:val="22"/>
        </w:rPr>
        <w:t>8 below</w:t>
      </w:r>
      <w:r w:rsidR="00FF78F4" w:rsidRPr="00787A69">
        <w:rPr>
          <w:szCs w:val="22"/>
        </w:rPr>
        <w:t xml:space="preserve"> for a list of TWG members</w:t>
      </w:r>
      <w:r w:rsidR="00AA075C" w:rsidRPr="00787A69">
        <w:rPr>
          <w:szCs w:val="22"/>
        </w:rPr>
        <w:t>)</w:t>
      </w:r>
      <w:r w:rsidR="000E67FA" w:rsidRPr="00787A69">
        <w:rPr>
          <w:szCs w:val="22"/>
        </w:rPr>
        <w:t>.</w:t>
      </w:r>
      <w:r w:rsidR="00AA075C" w:rsidRPr="00787A69">
        <w:rPr>
          <w:szCs w:val="22"/>
        </w:rPr>
        <w:t xml:space="preserve"> Feedback from these informative sessions </w:t>
      </w:r>
      <w:r w:rsidR="00697FDE" w:rsidRPr="00787A69">
        <w:rPr>
          <w:szCs w:val="22"/>
        </w:rPr>
        <w:t>has been incorporated into the W</w:t>
      </w:r>
      <w:r w:rsidR="00C03C25" w:rsidRPr="00787A69">
        <w:rPr>
          <w:szCs w:val="22"/>
        </w:rPr>
        <w:t xml:space="preserve">ave </w:t>
      </w:r>
      <w:r w:rsidR="00697FDE" w:rsidRPr="00787A69">
        <w:rPr>
          <w:szCs w:val="22"/>
        </w:rPr>
        <w:t>4</w:t>
      </w:r>
      <w:r w:rsidR="00AA075C" w:rsidRPr="00787A69">
        <w:rPr>
          <w:szCs w:val="22"/>
        </w:rPr>
        <w:t xml:space="preserve"> survey</w:t>
      </w:r>
      <w:r w:rsidR="003A06E9" w:rsidRPr="00787A69">
        <w:rPr>
          <w:szCs w:val="22"/>
        </w:rPr>
        <w:t>s</w:t>
      </w:r>
      <w:r w:rsidR="00AA075C" w:rsidRPr="00787A69">
        <w:rPr>
          <w:szCs w:val="22"/>
        </w:rPr>
        <w:t xml:space="preserve">. </w:t>
      </w:r>
      <w:r w:rsidR="0071096A" w:rsidRPr="00787A69">
        <w:rPr>
          <w:szCs w:val="22"/>
        </w:rPr>
        <w:t xml:space="preserve">The </w:t>
      </w:r>
      <w:r w:rsidR="007F18EC" w:rsidRPr="00787A69">
        <w:rPr>
          <w:szCs w:val="22"/>
        </w:rPr>
        <w:t xml:space="preserve">content, sample, and administration of the </w:t>
      </w:r>
      <w:r w:rsidR="00272871" w:rsidRPr="00787A69">
        <w:rPr>
          <w:szCs w:val="22"/>
        </w:rPr>
        <w:t>Employee and Employer S</w:t>
      </w:r>
      <w:r w:rsidR="0071096A" w:rsidRPr="00787A69">
        <w:rPr>
          <w:szCs w:val="22"/>
        </w:rPr>
        <w:t>urveys are described in detail below</w:t>
      </w:r>
      <w:r w:rsidR="007F18EC" w:rsidRPr="00787A69">
        <w:rPr>
          <w:szCs w:val="22"/>
        </w:rPr>
        <w:t>.</w:t>
      </w:r>
    </w:p>
    <w:p w14:paraId="293316FF" w14:textId="147903BD" w:rsidR="0071096A" w:rsidRPr="00787A69" w:rsidRDefault="00A72D77" w:rsidP="00C728CB">
      <w:pPr>
        <w:pStyle w:val="Heading3"/>
      </w:pPr>
      <w:bookmarkStart w:id="4" w:name="_Toc486315509"/>
      <w:r w:rsidRPr="00787A69">
        <w:t>A.2.1</w:t>
      </w:r>
      <w:r w:rsidR="00673F76" w:rsidRPr="00787A69">
        <w:tab/>
      </w:r>
      <w:r w:rsidR="00810027" w:rsidRPr="00787A69">
        <w:t>Target Population,</w:t>
      </w:r>
      <w:r w:rsidR="00E44A1B" w:rsidRPr="00787A69">
        <w:t xml:space="preserve"> </w:t>
      </w:r>
      <w:r w:rsidR="00810027" w:rsidRPr="00787A69">
        <w:t>Mode of Administration, Survey Content and Objectives</w:t>
      </w:r>
      <w:bookmarkEnd w:id="4"/>
    </w:p>
    <w:p w14:paraId="28060D21" w14:textId="4723B811" w:rsidR="009D31B2" w:rsidRPr="00787A69" w:rsidRDefault="009D31B2" w:rsidP="009D31B2">
      <w:r w:rsidRPr="00787A69">
        <w:t>The following section describes the target population for each survey, as well as the method by which the surveys will be administered. It then describes the content of each survey and how that aligns with the survey objectives. This information is provided first for the Employee Survey and then for the Employer Survey.</w:t>
      </w:r>
      <w:r w:rsidR="005D1C2A" w:rsidRPr="00787A69">
        <w:t xml:space="preserve"> </w:t>
      </w:r>
    </w:p>
    <w:p w14:paraId="0B327253" w14:textId="77777777" w:rsidR="00DB4840" w:rsidRPr="00787A69" w:rsidRDefault="009D7DBE" w:rsidP="004F73E7">
      <w:pPr>
        <w:pStyle w:val="Heading4"/>
      </w:pPr>
      <w:r w:rsidRPr="00787A69">
        <w:t xml:space="preserve">Objectives and Design of the </w:t>
      </w:r>
      <w:r w:rsidR="00DB4840" w:rsidRPr="00787A69">
        <w:t>Employee Survey</w:t>
      </w:r>
    </w:p>
    <w:p w14:paraId="29588AA2" w14:textId="382ED869" w:rsidR="00DC2A67" w:rsidRPr="00787A69" w:rsidRDefault="009D31B2" w:rsidP="00DC2A67">
      <w:pPr>
        <w:pStyle w:val="BodyText"/>
        <w:rPr>
          <w:szCs w:val="22"/>
        </w:rPr>
      </w:pPr>
      <w:r w:rsidRPr="00787A69">
        <w:rPr>
          <w:szCs w:val="22"/>
        </w:rPr>
        <w:t>The Employee S</w:t>
      </w:r>
      <w:r w:rsidR="00AB0393" w:rsidRPr="00787A69">
        <w:rPr>
          <w:szCs w:val="22"/>
        </w:rPr>
        <w:t xml:space="preserve">urvey </w:t>
      </w:r>
      <w:r w:rsidR="00DB75E5" w:rsidRPr="00787A69">
        <w:rPr>
          <w:szCs w:val="22"/>
        </w:rPr>
        <w:t>(</w:t>
      </w:r>
      <w:r w:rsidR="00D8169A" w:rsidRPr="00787A69">
        <w:rPr>
          <w:szCs w:val="22"/>
        </w:rPr>
        <w:t xml:space="preserve">Attachment </w:t>
      </w:r>
      <w:r w:rsidR="00DB75E5" w:rsidRPr="00787A69">
        <w:rPr>
          <w:szCs w:val="22"/>
        </w:rPr>
        <w:t xml:space="preserve">A) </w:t>
      </w:r>
      <w:r w:rsidR="00666AB3" w:rsidRPr="00787A69">
        <w:rPr>
          <w:szCs w:val="22"/>
        </w:rPr>
        <w:t xml:space="preserve">will examine the need for and use of leave among employees. </w:t>
      </w:r>
      <w:r w:rsidR="00DC2A67" w:rsidRPr="00787A69">
        <w:rPr>
          <w:szCs w:val="22"/>
        </w:rPr>
        <w:t xml:space="preserve">The survey will be conducted by </w:t>
      </w:r>
      <w:r w:rsidR="00C2551C" w:rsidRPr="00787A69">
        <w:rPr>
          <w:szCs w:val="22"/>
        </w:rPr>
        <w:t>computer</w:t>
      </w:r>
      <w:r w:rsidR="00A908B5" w:rsidRPr="00787A69">
        <w:rPr>
          <w:szCs w:val="22"/>
        </w:rPr>
        <w:t>-</w:t>
      </w:r>
      <w:r w:rsidR="00C2551C" w:rsidRPr="00787A69">
        <w:rPr>
          <w:szCs w:val="22"/>
        </w:rPr>
        <w:t xml:space="preserve">assisted telephone interview </w:t>
      </w:r>
      <w:r w:rsidR="00DC2A67" w:rsidRPr="00787A69">
        <w:rPr>
          <w:szCs w:val="22"/>
        </w:rPr>
        <w:t xml:space="preserve">(CATI) in both English and Spanish. The target number of completed interviews is 4,000. The target population </w:t>
      </w:r>
      <w:r w:rsidR="00AC76CD" w:rsidRPr="00787A69">
        <w:rPr>
          <w:szCs w:val="22"/>
        </w:rPr>
        <w:t xml:space="preserve">for </w:t>
      </w:r>
      <w:r w:rsidR="00DC2A67" w:rsidRPr="00787A69">
        <w:rPr>
          <w:szCs w:val="22"/>
        </w:rPr>
        <w:t>the Employee Survey will be individuals aged 18 or older who live in the United States, have a telephone (landline or cellular), and have been employed for pay (private or public sector) in the 12 months prior to the interview. Employed workers will be sc</w:t>
      </w:r>
      <w:r w:rsidR="00172E7E" w:rsidRPr="00787A69">
        <w:rPr>
          <w:szCs w:val="22"/>
        </w:rPr>
        <w:t xml:space="preserve">reened into the survey using a </w:t>
      </w:r>
      <w:r w:rsidR="00DC2A67" w:rsidRPr="00787A69">
        <w:rPr>
          <w:szCs w:val="22"/>
        </w:rPr>
        <w:t xml:space="preserve">question adapted from the Current Population Survey: “in the past 12 months were you employed by government, by a private company, a nonprofit organization, or were you self-employed?” Respondents who say that they were employed by government, a private company, or a nonprofit organization are classified as wage and salary workers </w:t>
      </w:r>
      <w:r w:rsidR="00C2551C" w:rsidRPr="00787A69">
        <w:rPr>
          <w:szCs w:val="22"/>
        </w:rPr>
        <w:t xml:space="preserve">and </w:t>
      </w:r>
      <w:r w:rsidR="00DC2A67" w:rsidRPr="00787A69">
        <w:rPr>
          <w:szCs w:val="22"/>
        </w:rPr>
        <w:t xml:space="preserve">are included in the survey. Those who report that they </w:t>
      </w:r>
      <w:r w:rsidR="00C2551C" w:rsidRPr="00787A69">
        <w:rPr>
          <w:szCs w:val="22"/>
        </w:rPr>
        <w:t>we</w:t>
      </w:r>
      <w:r w:rsidR="00DC2A67" w:rsidRPr="00787A69">
        <w:rPr>
          <w:szCs w:val="22"/>
        </w:rPr>
        <w:t xml:space="preserve">re self-employed are not included in the survey. </w:t>
      </w:r>
    </w:p>
    <w:p w14:paraId="44CB3055" w14:textId="6BD3B2FD" w:rsidR="00DC2A67" w:rsidRPr="00787A69" w:rsidRDefault="009D31B2" w:rsidP="00773A2F">
      <w:pPr>
        <w:pStyle w:val="BodyText"/>
        <w:rPr>
          <w:szCs w:val="22"/>
        </w:rPr>
      </w:pPr>
      <w:r w:rsidRPr="00787A69">
        <w:rPr>
          <w:szCs w:val="22"/>
        </w:rPr>
        <w:t>The proposed Employee S</w:t>
      </w:r>
      <w:r w:rsidR="00DC2A67" w:rsidRPr="00787A69">
        <w:rPr>
          <w:szCs w:val="22"/>
        </w:rPr>
        <w:t xml:space="preserve">urvey is also designed to yield representative samples of major demographic groups defined by race, ethnicity, age, gender, and income. Consistent with the 1995, 2000, and 2012 waves of this survey, leave-takers (employees who took leave) and leave-needers (employees who needed leave but did not take one) will be oversampled to achieve reliable subsample estimates. New to the current wave, low-wage workers and employees working in a state with a paid family and medical leave statute will also be oversampled. </w:t>
      </w:r>
    </w:p>
    <w:p w14:paraId="420A11A8" w14:textId="050006EC" w:rsidR="00AC76CD" w:rsidRPr="00787A69" w:rsidRDefault="00F60672" w:rsidP="00035FFF">
      <w:pPr>
        <w:pStyle w:val="BodyText"/>
        <w:rPr>
          <w:szCs w:val="22"/>
        </w:rPr>
      </w:pPr>
      <w:r w:rsidRPr="00787A69">
        <w:rPr>
          <w:szCs w:val="22"/>
        </w:rPr>
        <w:t xml:space="preserve">The survey will gather information </w:t>
      </w:r>
      <w:r w:rsidR="004E4032" w:rsidRPr="00787A69">
        <w:rPr>
          <w:szCs w:val="22"/>
        </w:rPr>
        <w:t xml:space="preserve">across seven different domains: </w:t>
      </w:r>
      <w:r w:rsidR="00C2551C" w:rsidRPr="00787A69">
        <w:rPr>
          <w:szCs w:val="22"/>
        </w:rPr>
        <w:t xml:space="preserve">(1) respondent characteristics, </w:t>
      </w:r>
      <w:r w:rsidR="00AC76CD" w:rsidRPr="00787A69">
        <w:rPr>
          <w:szCs w:val="22"/>
        </w:rPr>
        <w:t>(</w:t>
      </w:r>
      <w:r w:rsidR="00C2551C" w:rsidRPr="00787A69">
        <w:rPr>
          <w:szCs w:val="22"/>
        </w:rPr>
        <w:t>2</w:t>
      </w:r>
      <w:r w:rsidR="00AC76CD" w:rsidRPr="00787A69">
        <w:rPr>
          <w:szCs w:val="22"/>
        </w:rPr>
        <w:t xml:space="preserve">) </w:t>
      </w:r>
      <w:r w:rsidR="00624B5C" w:rsidRPr="00787A69">
        <w:rPr>
          <w:szCs w:val="22"/>
        </w:rPr>
        <w:t>FMLA coverage</w:t>
      </w:r>
      <w:r w:rsidR="00C2551C" w:rsidRPr="00787A69">
        <w:rPr>
          <w:szCs w:val="22"/>
        </w:rPr>
        <w:t xml:space="preserve"> and </w:t>
      </w:r>
      <w:r w:rsidR="00624B5C" w:rsidRPr="00787A69">
        <w:rPr>
          <w:szCs w:val="22"/>
        </w:rPr>
        <w:t xml:space="preserve">eligibility, </w:t>
      </w:r>
      <w:r w:rsidR="00AC76CD" w:rsidRPr="00787A69">
        <w:rPr>
          <w:szCs w:val="22"/>
        </w:rPr>
        <w:t>(</w:t>
      </w:r>
      <w:r w:rsidR="00C2551C" w:rsidRPr="00787A69">
        <w:rPr>
          <w:szCs w:val="22"/>
        </w:rPr>
        <w:t>3</w:t>
      </w:r>
      <w:r w:rsidR="00AC76CD" w:rsidRPr="00787A69">
        <w:rPr>
          <w:szCs w:val="22"/>
        </w:rPr>
        <w:t xml:space="preserve">) </w:t>
      </w:r>
      <w:r w:rsidR="00D524A2" w:rsidRPr="00787A69">
        <w:rPr>
          <w:szCs w:val="22"/>
        </w:rPr>
        <w:t>leave benefits</w:t>
      </w:r>
      <w:r w:rsidR="00C2551C" w:rsidRPr="00787A69">
        <w:rPr>
          <w:szCs w:val="22"/>
        </w:rPr>
        <w:t>, (4)</w:t>
      </w:r>
      <w:r w:rsidR="005D1C2A" w:rsidRPr="00787A69">
        <w:rPr>
          <w:szCs w:val="22"/>
        </w:rPr>
        <w:t xml:space="preserve"> </w:t>
      </w:r>
      <w:r w:rsidR="00624B5C" w:rsidRPr="00787A69">
        <w:rPr>
          <w:szCs w:val="22"/>
        </w:rPr>
        <w:t xml:space="preserve">leave usage, </w:t>
      </w:r>
      <w:r w:rsidR="00AC76CD" w:rsidRPr="00787A69">
        <w:rPr>
          <w:szCs w:val="22"/>
        </w:rPr>
        <w:t>(</w:t>
      </w:r>
      <w:r w:rsidR="00C2551C" w:rsidRPr="00787A69">
        <w:rPr>
          <w:szCs w:val="22"/>
        </w:rPr>
        <w:t>5</w:t>
      </w:r>
      <w:r w:rsidR="00AC76CD" w:rsidRPr="00787A69">
        <w:rPr>
          <w:szCs w:val="22"/>
        </w:rPr>
        <w:t xml:space="preserve">) </w:t>
      </w:r>
      <w:r w:rsidR="00624B5C" w:rsidRPr="00787A69">
        <w:rPr>
          <w:szCs w:val="22"/>
        </w:rPr>
        <w:t xml:space="preserve">leave experience, </w:t>
      </w:r>
      <w:r w:rsidR="00AC76CD" w:rsidRPr="00787A69">
        <w:rPr>
          <w:szCs w:val="22"/>
        </w:rPr>
        <w:t>(</w:t>
      </w:r>
      <w:r w:rsidR="00C2551C" w:rsidRPr="00787A69">
        <w:rPr>
          <w:szCs w:val="22"/>
        </w:rPr>
        <w:t>6</w:t>
      </w:r>
      <w:r w:rsidR="00AC76CD" w:rsidRPr="00787A69">
        <w:rPr>
          <w:szCs w:val="22"/>
        </w:rPr>
        <w:t xml:space="preserve">) </w:t>
      </w:r>
      <w:r w:rsidR="00624B5C" w:rsidRPr="00787A69">
        <w:rPr>
          <w:szCs w:val="22"/>
        </w:rPr>
        <w:t xml:space="preserve">the decision not to use FMLA benefits, </w:t>
      </w:r>
      <w:r w:rsidR="00C2551C" w:rsidRPr="00787A69">
        <w:rPr>
          <w:szCs w:val="22"/>
        </w:rPr>
        <w:t xml:space="preserve">and </w:t>
      </w:r>
      <w:r w:rsidR="00AC76CD" w:rsidRPr="00787A69">
        <w:rPr>
          <w:szCs w:val="22"/>
        </w:rPr>
        <w:t>(</w:t>
      </w:r>
      <w:r w:rsidR="00C2551C" w:rsidRPr="00787A69">
        <w:rPr>
          <w:szCs w:val="22"/>
        </w:rPr>
        <w:t>7</w:t>
      </w:r>
      <w:r w:rsidR="00AC76CD" w:rsidRPr="00787A69">
        <w:rPr>
          <w:szCs w:val="22"/>
        </w:rPr>
        <w:t xml:space="preserve">) </w:t>
      </w:r>
      <w:r w:rsidR="00624B5C" w:rsidRPr="00787A69">
        <w:rPr>
          <w:szCs w:val="22"/>
        </w:rPr>
        <w:t>leave requirements and practices</w:t>
      </w:r>
      <w:r w:rsidRPr="00787A69">
        <w:rPr>
          <w:szCs w:val="22"/>
        </w:rPr>
        <w:t xml:space="preserve">. </w:t>
      </w:r>
      <w:r w:rsidR="00624B5C" w:rsidRPr="00787A69">
        <w:rPr>
          <w:szCs w:val="22"/>
        </w:rPr>
        <w:t>Exhibit 1, below, describes the rationale for including each domain (and the</w:t>
      </w:r>
      <w:r w:rsidR="00272871" w:rsidRPr="00787A69">
        <w:rPr>
          <w:szCs w:val="22"/>
        </w:rPr>
        <w:t>ir subdomains) in the Employee S</w:t>
      </w:r>
      <w:r w:rsidR="00624B5C" w:rsidRPr="00787A69">
        <w:rPr>
          <w:szCs w:val="22"/>
        </w:rPr>
        <w:t>urvey</w:t>
      </w:r>
      <w:r w:rsidR="00AC76CD" w:rsidRPr="00787A69">
        <w:rPr>
          <w:szCs w:val="22"/>
        </w:rPr>
        <w:t xml:space="preserve"> for each section of the survey (“Survey Section”).</w:t>
      </w:r>
    </w:p>
    <w:p w14:paraId="17543FA3" w14:textId="4348EF68" w:rsidR="00AC76CD" w:rsidRPr="00787A69" w:rsidRDefault="00AC76CD" w:rsidP="00035FFF">
      <w:pPr>
        <w:pStyle w:val="BodyText"/>
        <w:rPr>
          <w:szCs w:val="22"/>
        </w:rPr>
      </w:pPr>
      <w:r w:rsidRPr="00787A69">
        <w:rPr>
          <w:szCs w:val="22"/>
        </w:rPr>
        <w:t xml:space="preserve">The </w:t>
      </w:r>
      <w:r w:rsidR="00C93D88" w:rsidRPr="00787A69">
        <w:rPr>
          <w:szCs w:val="22"/>
        </w:rPr>
        <w:t xml:space="preserve">Employee Survey </w:t>
      </w:r>
      <w:r w:rsidRPr="00787A69">
        <w:rPr>
          <w:szCs w:val="22"/>
        </w:rPr>
        <w:t>has</w:t>
      </w:r>
      <w:r w:rsidR="00C93D88" w:rsidRPr="00787A69">
        <w:rPr>
          <w:szCs w:val="22"/>
        </w:rPr>
        <w:t xml:space="preserve"> four different types of target respondents: those who participate in the interview screening, those who are selected to complete the survey after screening (referred to as “all respondents” in the table), l</w:t>
      </w:r>
      <w:r w:rsidR="00491AFD" w:rsidRPr="00787A69">
        <w:rPr>
          <w:szCs w:val="22"/>
        </w:rPr>
        <w:t>eave-</w:t>
      </w:r>
      <w:r w:rsidR="00C93D88" w:rsidRPr="00787A69">
        <w:rPr>
          <w:szCs w:val="22"/>
        </w:rPr>
        <w:t>takers</w:t>
      </w:r>
      <w:r w:rsidR="00035FFF" w:rsidRPr="00787A69">
        <w:rPr>
          <w:szCs w:val="22"/>
        </w:rPr>
        <w:t xml:space="preserve"> (employees who took leave for a covered reason during the screening period)</w:t>
      </w:r>
      <w:r w:rsidR="00491AFD" w:rsidRPr="00787A69">
        <w:rPr>
          <w:szCs w:val="22"/>
        </w:rPr>
        <w:t>, and leave-</w:t>
      </w:r>
      <w:r w:rsidR="00C93D88" w:rsidRPr="00787A69">
        <w:rPr>
          <w:szCs w:val="22"/>
        </w:rPr>
        <w:t>needers</w:t>
      </w:r>
      <w:r w:rsidR="00035FFF" w:rsidRPr="00787A69">
        <w:rPr>
          <w:szCs w:val="22"/>
        </w:rPr>
        <w:t xml:space="preserve"> (employees who needed to take leave for a covered family or medical reason, but did not). </w:t>
      </w:r>
      <w:r w:rsidR="000D1525" w:rsidRPr="00787A69">
        <w:rPr>
          <w:szCs w:val="22"/>
        </w:rPr>
        <w:t>Exhibit 1 also indicates</w:t>
      </w:r>
      <w:r w:rsidRPr="00787A69">
        <w:rPr>
          <w:szCs w:val="22"/>
        </w:rPr>
        <w:t xml:space="preserve"> the target respondents for each section.</w:t>
      </w:r>
    </w:p>
    <w:p w14:paraId="161A0F62" w14:textId="77777777" w:rsidR="00172E7E" w:rsidRPr="00787A69" w:rsidRDefault="00624B5C" w:rsidP="00035FFF">
      <w:pPr>
        <w:pStyle w:val="BodyText"/>
        <w:rPr>
          <w:szCs w:val="22"/>
        </w:rPr>
      </w:pPr>
      <w:r w:rsidRPr="00787A69">
        <w:rPr>
          <w:szCs w:val="22"/>
        </w:rPr>
        <w:t xml:space="preserve">In addition to </w:t>
      </w:r>
      <w:r w:rsidR="004F0CA9" w:rsidRPr="00787A69">
        <w:rPr>
          <w:szCs w:val="22"/>
        </w:rPr>
        <w:t xml:space="preserve">the domain specific rationales </w:t>
      </w:r>
      <w:r w:rsidRPr="00787A69">
        <w:rPr>
          <w:szCs w:val="22"/>
        </w:rPr>
        <w:t>listed below, s</w:t>
      </w:r>
      <w:r w:rsidR="004075E4" w:rsidRPr="00787A69">
        <w:rPr>
          <w:szCs w:val="22"/>
        </w:rPr>
        <w:t>everal survey questions have been included in the survey to maintain compar</w:t>
      </w:r>
      <w:r w:rsidR="00272871" w:rsidRPr="00787A69">
        <w:rPr>
          <w:szCs w:val="22"/>
        </w:rPr>
        <w:t>ability with the 2012 Employee S</w:t>
      </w:r>
      <w:r w:rsidR="004075E4" w:rsidRPr="00787A69">
        <w:rPr>
          <w:szCs w:val="22"/>
        </w:rPr>
        <w:t xml:space="preserve">urvey. For additional detail about comparability, see </w:t>
      </w:r>
      <w:r w:rsidR="001A28D9" w:rsidRPr="00787A69">
        <w:rPr>
          <w:szCs w:val="22"/>
        </w:rPr>
        <w:t>S</w:t>
      </w:r>
      <w:r w:rsidR="009D4644" w:rsidRPr="00787A69">
        <w:rPr>
          <w:szCs w:val="22"/>
        </w:rPr>
        <w:t>ection B.2.1</w:t>
      </w:r>
      <w:r w:rsidR="004075E4" w:rsidRPr="00787A69">
        <w:rPr>
          <w:szCs w:val="22"/>
        </w:rPr>
        <w:t>.</w:t>
      </w:r>
    </w:p>
    <w:p w14:paraId="00CCDACD" w14:textId="77777777" w:rsidR="004D37B0" w:rsidRPr="00787A69" w:rsidRDefault="004D37B0" w:rsidP="002E3973">
      <w:pPr>
        <w:pStyle w:val="BodyText"/>
        <w:spacing w:after="120"/>
        <w:rPr>
          <w:rFonts w:ascii="Arial" w:hAnsi="Arial" w:cs="Arial"/>
          <w:b/>
          <w:szCs w:val="22"/>
        </w:rPr>
        <w:sectPr w:rsidR="004D37B0" w:rsidRPr="00787A69" w:rsidSect="000C41F5">
          <w:headerReference w:type="default" r:id="rId11"/>
          <w:pgSz w:w="12240" w:h="15840" w:code="1"/>
          <w:pgMar w:top="1440" w:right="1440" w:bottom="1440" w:left="1440" w:header="1080" w:footer="720" w:gutter="0"/>
          <w:pgNumType w:start="1"/>
          <w:cols w:space="720"/>
          <w:docGrid w:linePitch="299"/>
        </w:sectPr>
      </w:pPr>
    </w:p>
    <w:p w14:paraId="4DF2A6CA" w14:textId="77777777" w:rsidR="002E3973" w:rsidRPr="00787A69" w:rsidRDefault="002E3973" w:rsidP="00C728CB">
      <w:pPr>
        <w:pStyle w:val="Caption"/>
      </w:pPr>
      <w:r w:rsidRPr="00787A69">
        <w:t>Exhibit 1. Employee Survey</w:t>
      </w:r>
      <w:r w:rsidR="009665A5" w:rsidRPr="00787A69">
        <w:t xml:space="preserve"> Content and Objectives</w:t>
      </w:r>
    </w:p>
    <w:tbl>
      <w:tblPr>
        <w:tblStyle w:val="FMLA-OMB"/>
        <w:tblW w:w="14390" w:type="dxa"/>
        <w:tblInd w:w="58" w:type="dxa"/>
        <w:tblLayout w:type="fixed"/>
        <w:tblCellMar>
          <w:left w:w="115" w:type="dxa"/>
          <w:right w:w="115" w:type="dxa"/>
        </w:tblCellMar>
        <w:tblLook w:val="04A0" w:firstRow="1" w:lastRow="0" w:firstColumn="1" w:lastColumn="0" w:noHBand="0" w:noVBand="1"/>
      </w:tblPr>
      <w:tblGrid>
        <w:gridCol w:w="1807"/>
        <w:gridCol w:w="3949"/>
        <w:gridCol w:w="2981"/>
        <w:gridCol w:w="2970"/>
        <w:gridCol w:w="2683"/>
      </w:tblGrid>
      <w:tr w:rsidR="00A8234B" w:rsidRPr="00787A69" w14:paraId="6C61E0D3" w14:textId="77777777" w:rsidTr="00A8234B">
        <w:trPr>
          <w:cnfStyle w:val="100000000000" w:firstRow="1" w:lastRow="0" w:firstColumn="0" w:lastColumn="0" w:oddVBand="0" w:evenVBand="0" w:oddHBand="0" w:evenHBand="0" w:firstRowFirstColumn="0" w:firstRowLastColumn="0" w:lastRowFirstColumn="0" w:lastRowLastColumn="0"/>
          <w:cantSplit/>
          <w:tblHeader/>
        </w:trPr>
        <w:tc>
          <w:tcPr>
            <w:tcW w:w="1807" w:type="dxa"/>
          </w:tcPr>
          <w:p w14:paraId="718A185B" w14:textId="6DC34383" w:rsidR="00A8234B" w:rsidRPr="00787A69" w:rsidRDefault="00A8234B" w:rsidP="00A8234B">
            <w:pPr>
              <w:pStyle w:val="ExhibitColumnHeader"/>
            </w:pPr>
            <w:r w:rsidRPr="00787A69">
              <w:t>Domain</w:t>
            </w:r>
          </w:p>
        </w:tc>
        <w:tc>
          <w:tcPr>
            <w:tcW w:w="3949" w:type="dxa"/>
          </w:tcPr>
          <w:p w14:paraId="59D547DA" w14:textId="7701F5CB" w:rsidR="00A8234B" w:rsidRPr="00787A69" w:rsidRDefault="00A8234B" w:rsidP="00A8234B">
            <w:pPr>
              <w:pStyle w:val="ExhibitColumnHeader"/>
            </w:pPr>
            <w:r w:rsidRPr="00787A69">
              <w:t>Rationale</w:t>
            </w:r>
          </w:p>
        </w:tc>
        <w:tc>
          <w:tcPr>
            <w:tcW w:w="2981" w:type="dxa"/>
          </w:tcPr>
          <w:p w14:paraId="66326C81" w14:textId="213F5AAB" w:rsidR="00A8234B" w:rsidRPr="00787A69" w:rsidRDefault="00A8234B" w:rsidP="00A8234B">
            <w:pPr>
              <w:pStyle w:val="ExhibitColumnHeader"/>
            </w:pPr>
            <w:r w:rsidRPr="00787A69">
              <w:t>Subdomain</w:t>
            </w:r>
          </w:p>
        </w:tc>
        <w:tc>
          <w:tcPr>
            <w:tcW w:w="2970" w:type="dxa"/>
          </w:tcPr>
          <w:p w14:paraId="377989CC" w14:textId="7AF11B6B" w:rsidR="00A8234B" w:rsidRPr="00787A69" w:rsidRDefault="00A8234B" w:rsidP="00A8234B">
            <w:pPr>
              <w:pStyle w:val="ExhibitColumnHeader"/>
            </w:pPr>
            <w:r w:rsidRPr="00787A69">
              <w:t>Survey Section</w:t>
            </w:r>
            <w:r w:rsidR="00D8169A" w:rsidRPr="00787A69">
              <w:rPr>
                <w:rStyle w:val="FootnoteReference"/>
              </w:rPr>
              <w:footnoteReference w:id="2"/>
            </w:r>
          </w:p>
        </w:tc>
        <w:tc>
          <w:tcPr>
            <w:tcW w:w="2683" w:type="dxa"/>
          </w:tcPr>
          <w:p w14:paraId="4CA83764" w14:textId="31437138" w:rsidR="00A8234B" w:rsidRPr="00787A69" w:rsidRDefault="00A8234B" w:rsidP="00A8234B">
            <w:pPr>
              <w:pStyle w:val="ExhibitColumnHeader"/>
            </w:pPr>
            <w:r w:rsidRPr="00787A69">
              <w:t>Survey Question</w:t>
            </w:r>
          </w:p>
        </w:tc>
      </w:tr>
      <w:tr w:rsidR="00A8234B" w:rsidRPr="00787A69" w14:paraId="6BAD1987" w14:textId="77777777" w:rsidTr="00A8234B">
        <w:trPr>
          <w:cantSplit/>
        </w:trPr>
        <w:tc>
          <w:tcPr>
            <w:tcW w:w="1807" w:type="dxa"/>
          </w:tcPr>
          <w:p w14:paraId="01FAF545" w14:textId="41BC87F3" w:rsidR="00A8234B" w:rsidRPr="00787A69" w:rsidRDefault="00D8169A" w:rsidP="00A8234B">
            <w:pPr>
              <w:pStyle w:val="ExhibitText"/>
            </w:pPr>
            <w:r w:rsidRPr="00787A69">
              <w:t xml:space="preserve">Respondent </w:t>
            </w:r>
            <w:r w:rsidR="00A8234B" w:rsidRPr="00787A69">
              <w:t>Characteristics</w:t>
            </w:r>
          </w:p>
        </w:tc>
        <w:tc>
          <w:tcPr>
            <w:tcW w:w="3949" w:type="dxa"/>
          </w:tcPr>
          <w:p w14:paraId="139FF9DD" w14:textId="61F5343B" w:rsidR="00A8234B" w:rsidRPr="00787A69" w:rsidRDefault="00A8234B" w:rsidP="00A8234B">
            <w:pPr>
              <w:pStyle w:val="ExhibitText"/>
            </w:pPr>
            <w:r w:rsidRPr="00787A69">
              <w:t>To facilitate understanding of how FMLA coverage, use (and non-use), need, and experiences vary by employee characteristics.</w:t>
            </w:r>
          </w:p>
        </w:tc>
        <w:tc>
          <w:tcPr>
            <w:tcW w:w="2981" w:type="dxa"/>
          </w:tcPr>
          <w:p w14:paraId="4E82DE4A" w14:textId="0A02469A" w:rsidR="00A908B5" w:rsidRPr="00787A69" w:rsidRDefault="00A8234B" w:rsidP="00A908B5">
            <w:pPr>
              <w:pStyle w:val="ExhibitBullet1"/>
            </w:pPr>
            <w:r w:rsidRPr="00787A69">
              <w:t>Demographics</w:t>
            </w:r>
          </w:p>
          <w:p w14:paraId="0D9695D3" w14:textId="145B3F77" w:rsidR="00A908B5" w:rsidRPr="00787A69" w:rsidRDefault="00A8234B" w:rsidP="00A908B5">
            <w:pPr>
              <w:pStyle w:val="ExhibitBullet1"/>
            </w:pPr>
            <w:r w:rsidRPr="00787A69">
              <w:t>Employment</w:t>
            </w:r>
          </w:p>
          <w:p w14:paraId="7B4143B0" w14:textId="16E1AF6D" w:rsidR="00A8234B" w:rsidRPr="00787A69" w:rsidRDefault="00A8234B" w:rsidP="00A908B5">
            <w:pPr>
              <w:pStyle w:val="ExhibitBullet1"/>
            </w:pPr>
            <w:r w:rsidRPr="00787A69">
              <w:t>Family Size and Structure</w:t>
            </w:r>
          </w:p>
        </w:tc>
        <w:tc>
          <w:tcPr>
            <w:tcW w:w="2970" w:type="dxa"/>
          </w:tcPr>
          <w:p w14:paraId="64FE8A6E" w14:textId="154DBFBB" w:rsidR="00A908B5" w:rsidRPr="00787A69" w:rsidRDefault="00F03AFD" w:rsidP="00A908B5">
            <w:pPr>
              <w:pStyle w:val="ExhibitBullet1"/>
            </w:pPr>
            <w:r w:rsidRPr="00787A69">
              <w:t>Sections S &amp; T: Screener</w:t>
            </w:r>
          </w:p>
          <w:p w14:paraId="14118271" w14:textId="0211379D" w:rsidR="00A908B5" w:rsidRPr="00787A69" w:rsidRDefault="00F03AFD" w:rsidP="00A908B5">
            <w:pPr>
              <w:pStyle w:val="ExhibitBullet1"/>
            </w:pPr>
            <w:r w:rsidRPr="00787A69">
              <w:t xml:space="preserve">Section E: </w:t>
            </w:r>
            <w:r w:rsidR="00A8234B" w:rsidRPr="00787A69">
              <w:t>Employment (All respondents)</w:t>
            </w:r>
          </w:p>
          <w:p w14:paraId="11CEB4D2" w14:textId="34EE9EE4" w:rsidR="00A8234B" w:rsidRPr="00787A69" w:rsidRDefault="00F03AFD" w:rsidP="00A908B5">
            <w:pPr>
              <w:pStyle w:val="ExhibitBullet1"/>
            </w:pPr>
            <w:r w:rsidRPr="00787A69">
              <w:t xml:space="preserve">Section D: </w:t>
            </w:r>
            <w:r w:rsidR="00A8234B" w:rsidRPr="00787A69">
              <w:t xml:space="preserve">Demographics (All </w:t>
            </w:r>
            <w:r w:rsidR="00C2551C" w:rsidRPr="00787A69">
              <w:t>r</w:t>
            </w:r>
            <w:r w:rsidR="00A8234B" w:rsidRPr="00787A69">
              <w:t>espondents)</w:t>
            </w:r>
          </w:p>
        </w:tc>
        <w:tc>
          <w:tcPr>
            <w:tcW w:w="2683" w:type="dxa"/>
          </w:tcPr>
          <w:p w14:paraId="41FB95C2" w14:textId="318DCF22" w:rsidR="00A8234B" w:rsidRPr="00787A69" w:rsidRDefault="00760786" w:rsidP="00760786">
            <w:pPr>
              <w:pStyle w:val="ExhibitText"/>
            </w:pPr>
            <w:r w:rsidRPr="00787A69">
              <w:t>S1</w:t>
            </w:r>
            <w:r w:rsidR="00A8234B" w:rsidRPr="00787A69">
              <w:t>-10,</w:t>
            </w:r>
            <w:r w:rsidRPr="00787A69">
              <w:t xml:space="preserve"> T1-6</w:t>
            </w:r>
            <w:r w:rsidR="00A8234B" w:rsidRPr="00787A69">
              <w:t xml:space="preserve"> S13, E</w:t>
            </w:r>
            <w:r w:rsidRPr="00787A69">
              <w:t>0</w:t>
            </w:r>
            <w:r w:rsidR="00A8234B" w:rsidRPr="00787A69">
              <w:t>, E9-10, E15-17, D</w:t>
            </w:r>
            <w:r w:rsidR="001E37C1" w:rsidRPr="00787A69">
              <w:t>2</w:t>
            </w:r>
            <w:r w:rsidR="00A8234B" w:rsidRPr="00787A69">
              <w:t>-11, ZIP</w:t>
            </w:r>
          </w:p>
        </w:tc>
      </w:tr>
      <w:tr w:rsidR="00A8234B" w:rsidRPr="00787A69" w14:paraId="412EBD61" w14:textId="77777777" w:rsidTr="00A8234B">
        <w:trPr>
          <w:cnfStyle w:val="000000010000" w:firstRow="0" w:lastRow="0" w:firstColumn="0" w:lastColumn="0" w:oddVBand="0" w:evenVBand="0" w:oddHBand="0" w:evenHBand="1" w:firstRowFirstColumn="0" w:firstRowLastColumn="0" w:lastRowFirstColumn="0" w:lastRowLastColumn="0"/>
          <w:cantSplit/>
        </w:trPr>
        <w:tc>
          <w:tcPr>
            <w:tcW w:w="1807" w:type="dxa"/>
          </w:tcPr>
          <w:p w14:paraId="31D23951" w14:textId="78B841A0" w:rsidR="00A8234B" w:rsidRPr="00787A69" w:rsidRDefault="00D8169A" w:rsidP="00A8234B">
            <w:pPr>
              <w:pStyle w:val="ExhibitText"/>
            </w:pPr>
            <w:r w:rsidRPr="00787A69">
              <w:t xml:space="preserve">FMLA </w:t>
            </w:r>
            <w:r w:rsidR="00A8234B" w:rsidRPr="00787A69">
              <w:t>Coverage &amp; Eligibility</w:t>
            </w:r>
          </w:p>
        </w:tc>
        <w:tc>
          <w:tcPr>
            <w:tcW w:w="3949" w:type="dxa"/>
          </w:tcPr>
          <w:p w14:paraId="68EDB99B" w14:textId="626F5F45" w:rsidR="00A8234B" w:rsidRPr="00787A69" w:rsidRDefault="00A8234B" w:rsidP="00A8234B">
            <w:pPr>
              <w:pStyle w:val="ExhibitText"/>
            </w:pPr>
            <w:r w:rsidRPr="00787A69">
              <w:t>To document current levels of FMLA worksite coverage and employee eligibility. Also, employees’ awareness and familiarity with the law, as well as how they learn about the FMLA.</w:t>
            </w:r>
          </w:p>
        </w:tc>
        <w:tc>
          <w:tcPr>
            <w:tcW w:w="2981" w:type="dxa"/>
          </w:tcPr>
          <w:p w14:paraId="7EC5F2C7" w14:textId="6CFA1B50" w:rsidR="00A908B5" w:rsidRPr="00787A69" w:rsidRDefault="00A8234B" w:rsidP="00A908B5">
            <w:pPr>
              <w:pStyle w:val="ExhibitBullet1"/>
            </w:pPr>
            <w:r w:rsidRPr="00787A69">
              <w:t>Worksite Coverage Criteria</w:t>
            </w:r>
          </w:p>
          <w:p w14:paraId="0AFFB24F" w14:textId="51F6BF74" w:rsidR="00A908B5" w:rsidRPr="00787A69" w:rsidRDefault="00A8234B" w:rsidP="00A908B5">
            <w:pPr>
              <w:pStyle w:val="ExhibitBullet1"/>
            </w:pPr>
            <w:r w:rsidRPr="00787A69">
              <w:t>Employee Eligibility Criteria</w:t>
            </w:r>
          </w:p>
          <w:p w14:paraId="0E68377A" w14:textId="021B947E" w:rsidR="00A908B5" w:rsidRPr="00787A69" w:rsidRDefault="00A8234B" w:rsidP="00A908B5">
            <w:pPr>
              <w:pStyle w:val="ExhibitBullet1"/>
            </w:pPr>
            <w:r w:rsidRPr="00787A69">
              <w:t>Awareness and Familiarity</w:t>
            </w:r>
          </w:p>
          <w:p w14:paraId="02F65FB5" w14:textId="65A6CD4E" w:rsidR="00A8234B" w:rsidRPr="00787A69" w:rsidRDefault="00A8234B" w:rsidP="00A908B5">
            <w:pPr>
              <w:pStyle w:val="ExhibitBullet1"/>
            </w:pPr>
            <w:r w:rsidRPr="00787A69">
              <w:t>Learning about the FMLA</w:t>
            </w:r>
          </w:p>
        </w:tc>
        <w:tc>
          <w:tcPr>
            <w:tcW w:w="2970" w:type="dxa"/>
          </w:tcPr>
          <w:p w14:paraId="40C2418D" w14:textId="41526AF8" w:rsidR="00A8234B" w:rsidRPr="00787A69" w:rsidRDefault="00F03AFD" w:rsidP="00A908B5">
            <w:pPr>
              <w:pStyle w:val="ExhibitBullet1"/>
            </w:pPr>
            <w:r w:rsidRPr="00787A69">
              <w:t xml:space="preserve">Section E: </w:t>
            </w:r>
            <w:r w:rsidR="00A8234B" w:rsidRPr="00787A69">
              <w:t>Employment (All respondents)</w:t>
            </w:r>
          </w:p>
        </w:tc>
        <w:tc>
          <w:tcPr>
            <w:tcW w:w="2683" w:type="dxa"/>
          </w:tcPr>
          <w:p w14:paraId="77598ACC" w14:textId="23EC4EC7" w:rsidR="00A8234B" w:rsidRPr="00787A69" w:rsidRDefault="00A8234B" w:rsidP="00760786">
            <w:pPr>
              <w:pStyle w:val="ExhibitText"/>
            </w:pPr>
            <w:r w:rsidRPr="00787A69">
              <w:t>E2-</w:t>
            </w:r>
            <w:r w:rsidR="00760786" w:rsidRPr="00787A69">
              <w:t>6</w:t>
            </w:r>
            <w:r w:rsidRPr="00787A69">
              <w:t>, E11-12</w:t>
            </w:r>
          </w:p>
        </w:tc>
      </w:tr>
      <w:tr w:rsidR="00A8234B" w:rsidRPr="00787A69" w14:paraId="446926DD" w14:textId="77777777" w:rsidTr="00A8234B">
        <w:trPr>
          <w:cantSplit/>
        </w:trPr>
        <w:tc>
          <w:tcPr>
            <w:tcW w:w="1807" w:type="dxa"/>
          </w:tcPr>
          <w:p w14:paraId="476953AF" w14:textId="1104B2DF" w:rsidR="00A8234B" w:rsidRPr="00787A69" w:rsidRDefault="00A8234B" w:rsidP="00A8234B">
            <w:pPr>
              <w:pStyle w:val="ExhibitText"/>
            </w:pPr>
            <w:r w:rsidRPr="00787A69">
              <w:t>Leave Benefits</w:t>
            </w:r>
          </w:p>
        </w:tc>
        <w:tc>
          <w:tcPr>
            <w:tcW w:w="3949" w:type="dxa"/>
          </w:tcPr>
          <w:p w14:paraId="2EBC329F" w14:textId="7C4ECC88" w:rsidR="00A8234B" w:rsidRPr="00787A69" w:rsidRDefault="00A8234B" w:rsidP="00A8234B">
            <w:pPr>
              <w:pStyle w:val="ExhibitText"/>
            </w:pPr>
            <w:r w:rsidRPr="00787A69">
              <w:t>To provide information in the Employee Survey on the types of paid and unpaid benefits available to employees during leave, the breadth of those benefits, and whether those benefits vary by type of employee.</w:t>
            </w:r>
          </w:p>
        </w:tc>
        <w:tc>
          <w:tcPr>
            <w:tcW w:w="2981" w:type="dxa"/>
          </w:tcPr>
          <w:p w14:paraId="4F24EE54" w14:textId="771C66F5" w:rsidR="00A908B5" w:rsidRPr="00787A69" w:rsidRDefault="00A8234B" w:rsidP="00A908B5">
            <w:pPr>
              <w:pStyle w:val="ExhibitBullet1"/>
            </w:pPr>
            <w:r w:rsidRPr="00787A69">
              <w:t>Employer-Provided Benefits</w:t>
            </w:r>
          </w:p>
          <w:p w14:paraId="04EED3A2" w14:textId="76096E18" w:rsidR="00A8234B" w:rsidRPr="00787A69" w:rsidRDefault="00A8234B" w:rsidP="00A908B5">
            <w:pPr>
              <w:pStyle w:val="ExhibitBullet1"/>
            </w:pPr>
            <w:r w:rsidRPr="00787A69">
              <w:t>Other Applicable Leave Benefits</w:t>
            </w:r>
          </w:p>
        </w:tc>
        <w:tc>
          <w:tcPr>
            <w:tcW w:w="2970" w:type="dxa"/>
          </w:tcPr>
          <w:p w14:paraId="5939A778" w14:textId="69D15503" w:rsidR="00A8234B" w:rsidRPr="00787A69" w:rsidRDefault="00F03AFD" w:rsidP="00A908B5">
            <w:pPr>
              <w:pStyle w:val="ExhibitBullet1"/>
            </w:pPr>
            <w:r w:rsidRPr="00787A69">
              <w:t xml:space="preserve">Section E: </w:t>
            </w:r>
            <w:r w:rsidR="00A8234B" w:rsidRPr="00787A69">
              <w:t>Employment (All respondents)</w:t>
            </w:r>
          </w:p>
        </w:tc>
        <w:tc>
          <w:tcPr>
            <w:tcW w:w="2683" w:type="dxa"/>
          </w:tcPr>
          <w:p w14:paraId="13DA9A96" w14:textId="1D78B911" w:rsidR="00A8234B" w:rsidRPr="00787A69" w:rsidRDefault="00A8234B" w:rsidP="00A8234B">
            <w:pPr>
              <w:pStyle w:val="ExhibitText"/>
            </w:pPr>
            <w:r w:rsidRPr="00787A69">
              <w:t>E7-8</w:t>
            </w:r>
          </w:p>
        </w:tc>
      </w:tr>
      <w:tr w:rsidR="00A8234B" w:rsidRPr="00787A69" w14:paraId="2EBCDB9E" w14:textId="77777777" w:rsidTr="00A8234B">
        <w:trPr>
          <w:cnfStyle w:val="000000010000" w:firstRow="0" w:lastRow="0" w:firstColumn="0" w:lastColumn="0" w:oddVBand="0" w:evenVBand="0" w:oddHBand="0" w:evenHBand="1" w:firstRowFirstColumn="0" w:firstRowLastColumn="0" w:lastRowFirstColumn="0" w:lastRowLastColumn="0"/>
          <w:cantSplit/>
        </w:trPr>
        <w:tc>
          <w:tcPr>
            <w:tcW w:w="1807" w:type="dxa"/>
          </w:tcPr>
          <w:p w14:paraId="616D5456" w14:textId="1E4218CA" w:rsidR="00A8234B" w:rsidRPr="00787A69" w:rsidRDefault="00A8234B" w:rsidP="00A8234B">
            <w:pPr>
              <w:pStyle w:val="ExhibitText"/>
            </w:pPr>
            <w:r w:rsidRPr="00787A69">
              <w:t>Leave Usage</w:t>
            </w:r>
          </w:p>
        </w:tc>
        <w:tc>
          <w:tcPr>
            <w:tcW w:w="3949" w:type="dxa"/>
          </w:tcPr>
          <w:p w14:paraId="3A493F35" w14:textId="68BDC670" w:rsidR="00A8234B" w:rsidRPr="00787A69" w:rsidRDefault="00A8234B" w:rsidP="00A8234B">
            <w:pPr>
              <w:pStyle w:val="ExhibitText"/>
            </w:pPr>
            <w:r w:rsidRPr="00787A69">
              <w:t>To better understand leave usage from the employee perspectives. That is, how often, how long, and for what reasons employees take family and medical leave. This domain also covers how employers process FMLA requests, when they deny requests, and their perceptions about the frequency of FMLA misuse.</w:t>
            </w:r>
          </w:p>
        </w:tc>
        <w:tc>
          <w:tcPr>
            <w:tcW w:w="2981" w:type="dxa"/>
          </w:tcPr>
          <w:p w14:paraId="56D7F065" w14:textId="17A6C643" w:rsidR="00A908B5" w:rsidRPr="00787A69" w:rsidRDefault="00A8234B" w:rsidP="00A908B5">
            <w:pPr>
              <w:pStyle w:val="ExhibitBullet1"/>
            </w:pPr>
            <w:r w:rsidRPr="00787A69">
              <w:t>Frequency</w:t>
            </w:r>
          </w:p>
          <w:p w14:paraId="352E3167" w14:textId="7410A91E" w:rsidR="00A908B5" w:rsidRPr="00787A69" w:rsidRDefault="00A8234B" w:rsidP="00A908B5">
            <w:pPr>
              <w:pStyle w:val="ExhibitBullet1"/>
            </w:pPr>
            <w:r w:rsidRPr="00787A69">
              <w:t>Qualifying Reason/Type</w:t>
            </w:r>
          </w:p>
          <w:p w14:paraId="270AB789" w14:textId="53729459" w:rsidR="00A8234B" w:rsidRPr="00787A69" w:rsidRDefault="00A8234B" w:rsidP="00A908B5">
            <w:pPr>
              <w:pStyle w:val="ExhibitBullet1"/>
            </w:pPr>
            <w:r w:rsidRPr="00787A69">
              <w:t>Length/Spells</w:t>
            </w:r>
          </w:p>
        </w:tc>
        <w:tc>
          <w:tcPr>
            <w:tcW w:w="2970" w:type="dxa"/>
          </w:tcPr>
          <w:p w14:paraId="1EB74383" w14:textId="25BB4438" w:rsidR="00F03AFD" w:rsidRPr="00787A69" w:rsidRDefault="00F03AFD" w:rsidP="00A908B5">
            <w:pPr>
              <w:pStyle w:val="ExhibitBullet1"/>
            </w:pPr>
            <w:r w:rsidRPr="00787A69">
              <w:t>Sections S &amp; T: Screener</w:t>
            </w:r>
          </w:p>
          <w:p w14:paraId="1C34D6D6" w14:textId="77777777" w:rsidR="00F03AFD" w:rsidRPr="00787A69" w:rsidRDefault="00F03AFD" w:rsidP="00A908B5">
            <w:pPr>
              <w:pStyle w:val="ExhibitBullet1"/>
            </w:pPr>
            <w:r w:rsidRPr="00787A69">
              <w:t>Section A: Leave-takers</w:t>
            </w:r>
          </w:p>
          <w:p w14:paraId="612FD018" w14:textId="2C041607" w:rsidR="00A8234B" w:rsidRPr="00787A69" w:rsidRDefault="00F03AFD" w:rsidP="00F03AFD">
            <w:pPr>
              <w:pStyle w:val="ExhibitBullet1"/>
            </w:pPr>
            <w:r w:rsidRPr="00787A69">
              <w:t>Section C: Employed-only</w:t>
            </w:r>
          </w:p>
        </w:tc>
        <w:tc>
          <w:tcPr>
            <w:tcW w:w="2683" w:type="dxa"/>
          </w:tcPr>
          <w:p w14:paraId="024F13F2" w14:textId="5F3BCA4B" w:rsidR="00A8234B" w:rsidRPr="00787A69" w:rsidRDefault="00A8234B" w:rsidP="00A8234B">
            <w:pPr>
              <w:pStyle w:val="ExhibitText"/>
            </w:pPr>
            <w:r w:rsidRPr="00787A69">
              <w:t>S11a-b, A1-20a, C1</w:t>
            </w:r>
          </w:p>
        </w:tc>
      </w:tr>
      <w:tr w:rsidR="00A8234B" w:rsidRPr="00787A69" w14:paraId="6F3906B6" w14:textId="77777777" w:rsidTr="00A8234B">
        <w:trPr>
          <w:cantSplit/>
        </w:trPr>
        <w:tc>
          <w:tcPr>
            <w:tcW w:w="1807" w:type="dxa"/>
          </w:tcPr>
          <w:p w14:paraId="2C64ECA2" w14:textId="73DF6CAE" w:rsidR="00A8234B" w:rsidRPr="00787A69" w:rsidRDefault="00A8234B" w:rsidP="00A8234B">
            <w:pPr>
              <w:pStyle w:val="ExhibitText"/>
            </w:pPr>
            <w:r w:rsidRPr="00787A69">
              <w:t>Leave Experience</w:t>
            </w:r>
          </w:p>
        </w:tc>
        <w:tc>
          <w:tcPr>
            <w:tcW w:w="3949" w:type="dxa"/>
          </w:tcPr>
          <w:p w14:paraId="36D6CCF5" w14:textId="570DC518" w:rsidR="00A8234B" w:rsidRPr="00787A69" w:rsidRDefault="00A8234B" w:rsidP="00A8234B">
            <w:pPr>
              <w:pStyle w:val="ExhibitText"/>
            </w:pPr>
            <w:r w:rsidRPr="00787A69">
              <w:t>To provide information on employees’ financing of leave-taking and their transition back into the workplace, and on how employers accommodate their employees’ need for leave.</w:t>
            </w:r>
          </w:p>
        </w:tc>
        <w:tc>
          <w:tcPr>
            <w:tcW w:w="2981" w:type="dxa"/>
          </w:tcPr>
          <w:p w14:paraId="482A06AC" w14:textId="3E34C741" w:rsidR="00A908B5" w:rsidRPr="00787A69" w:rsidRDefault="00A8234B" w:rsidP="00A908B5">
            <w:pPr>
              <w:pStyle w:val="ExhibitBullet1"/>
            </w:pPr>
            <w:r w:rsidRPr="00787A69">
              <w:t>Financial Security</w:t>
            </w:r>
          </w:p>
          <w:p w14:paraId="0F4ECE8D" w14:textId="09CCDCE9" w:rsidR="00A908B5" w:rsidRPr="00787A69" w:rsidRDefault="00A8234B" w:rsidP="00A908B5">
            <w:pPr>
              <w:pStyle w:val="ExhibitBullet1"/>
            </w:pPr>
            <w:r w:rsidRPr="00787A69">
              <w:t>Pay and Benefits</w:t>
            </w:r>
          </w:p>
          <w:p w14:paraId="5D56B76F" w14:textId="13439763" w:rsidR="00A908B5" w:rsidRPr="00787A69" w:rsidRDefault="00A8234B" w:rsidP="00A908B5">
            <w:pPr>
              <w:pStyle w:val="ExhibitBullet1"/>
            </w:pPr>
            <w:r w:rsidRPr="00787A69">
              <w:t>During-Leave Employment</w:t>
            </w:r>
          </w:p>
          <w:p w14:paraId="69819F21" w14:textId="464F0D26" w:rsidR="00A8234B" w:rsidRPr="00787A69" w:rsidRDefault="00A8234B" w:rsidP="00A908B5">
            <w:pPr>
              <w:pStyle w:val="ExhibitBullet1"/>
            </w:pPr>
            <w:r w:rsidRPr="00787A69">
              <w:t>Transition Back to Work</w:t>
            </w:r>
          </w:p>
        </w:tc>
        <w:tc>
          <w:tcPr>
            <w:tcW w:w="2970" w:type="dxa"/>
          </w:tcPr>
          <w:p w14:paraId="7BAE418E" w14:textId="77777777" w:rsidR="00A8234B" w:rsidRPr="00787A69" w:rsidRDefault="00F03AFD" w:rsidP="00A908B5">
            <w:pPr>
              <w:pStyle w:val="ExhibitBullet1"/>
            </w:pPr>
            <w:r w:rsidRPr="00787A69">
              <w:t xml:space="preserve">Section A: </w:t>
            </w:r>
            <w:r w:rsidR="00491AFD" w:rsidRPr="00787A69">
              <w:t>Leave-t</w:t>
            </w:r>
            <w:r w:rsidR="00A8234B" w:rsidRPr="00787A69">
              <w:t>akers</w:t>
            </w:r>
          </w:p>
          <w:p w14:paraId="2CC2A3CF" w14:textId="6715EC34" w:rsidR="00F03AFD" w:rsidRPr="00787A69" w:rsidRDefault="00F03AFD" w:rsidP="00A908B5">
            <w:pPr>
              <w:pStyle w:val="ExhibitBullet1"/>
            </w:pPr>
            <w:r w:rsidRPr="00787A69">
              <w:t>Section E: Employment (All respondents)</w:t>
            </w:r>
          </w:p>
        </w:tc>
        <w:tc>
          <w:tcPr>
            <w:tcW w:w="2683" w:type="dxa"/>
          </w:tcPr>
          <w:p w14:paraId="4213087A" w14:textId="3B96FC83" w:rsidR="00A8234B" w:rsidRPr="00787A69" w:rsidRDefault="00A8234B" w:rsidP="00760786">
            <w:pPr>
              <w:pStyle w:val="ExhibitText"/>
            </w:pPr>
            <w:r w:rsidRPr="00787A69">
              <w:t xml:space="preserve">A23a-g, A43-59, A62-64, E5-6 </w:t>
            </w:r>
          </w:p>
        </w:tc>
      </w:tr>
      <w:tr w:rsidR="00A8234B" w:rsidRPr="00787A69" w14:paraId="74AFC888" w14:textId="77777777" w:rsidTr="00A8234B">
        <w:trPr>
          <w:cnfStyle w:val="000000010000" w:firstRow="0" w:lastRow="0" w:firstColumn="0" w:lastColumn="0" w:oddVBand="0" w:evenVBand="0" w:oddHBand="0" w:evenHBand="1" w:firstRowFirstColumn="0" w:firstRowLastColumn="0" w:lastRowFirstColumn="0" w:lastRowLastColumn="0"/>
          <w:cantSplit/>
        </w:trPr>
        <w:tc>
          <w:tcPr>
            <w:tcW w:w="1807" w:type="dxa"/>
          </w:tcPr>
          <w:p w14:paraId="57AFE2E4" w14:textId="16ACFDFF" w:rsidR="00A8234B" w:rsidRPr="00787A69" w:rsidRDefault="00A8234B" w:rsidP="00A8234B">
            <w:pPr>
              <w:pStyle w:val="ExhibitText"/>
            </w:pPr>
            <w:r w:rsidRPr="00787A69">
              <w:t>Decision to Not Use FMLA Benefits</w:t>
            </w:r>
          </w:p>
        </w:tc>
        <w:tc>
          <w:tcPr>
            <w:tcW w:w="3949" w:type="dxa"/>
          </w:tcPr>
          <w:p w14:paraId="11A039B8" w14:textId="0598EB65" w:rsidR="00A8234B" w:rsidRPr="00787A69" w:rsidRDefault="00A8234B" w:rsidP="00A8234B">
            <w:pPr>
              <w:pStyle w:val="ExhibitText"/>
            </w:pPr>
            <w:r w:rsidRPr="00787A69">
              <w:t>To understand the circumstances of those who needed but did not take leave, including reasons the leave was needed and reasons why it was not taken</w:t>
            </w:r>
          </w:p>
        </w:tc>
        <w:tc>
          <w:tcPr>
            <w:tcW w:w="2981" w:type="dxa"/>
          </w:tcPr>
          <w:p w14:paraId="62C810B6" w14:textId="2313620C" w:rsidR="00A908B5" w:rsidRPr="00787A69" w:rsidRDefault="00A8234B" w:rsidP="00A908B5">
            <w:pPr>
              <w:pStyle w:val="ExhibitBullet1"/>
            </w:pPr>
            <w:r w:rsidRPr="00787A69">
              <w:t>Frequency</w:t>
            </w:r>
          </w:p>
          <w:p w14:paraId="30360BD5" w14:textId="39A518DD" w:rsidR="00A908B5" w:rsidRPr="00787A69" w:rsidRDefault="00A8234B" w:rsidP="00A908B5">
            <w:pPr>
              <w:pStyle w:val="ExhibitBullet1"/>
            </w:pPr>
            <w:r w:rsidRPr="00787A69">
              <w:t>Reasons</w:t>
            </w:r>
          </w:p>
          <w:p w14:paraId="4AD31492" w14:textId="568B274E" w:rsidR="00A8234B" w:rsidRPr="00787A69" w:rsidRDefault="00A8234B" w:rsidP="00A908B5">
            <w:pPr>
              <w:pStyle w:val="ExhibitBullet1"/>
            </w:pPr>
            <w:r w:rsidRPr="00787A69">
              <w:t>Outcomes</w:t>
            </w:r>
          </w:p>
        </w:tc>
        <w:tc>
          <w:tcPr>
            <w:tcW w:w="2970" w:type="dxa"/>
          </w:tcPr>
          <w:p w14:paraId="4F137E40" w14:textId="4559879F" w:rsidR="00F03AFD" w:rsidRPr="00787A69" w:rsidRDefault="00F03AFD" w:rsidP="00A908B5">
            <w:pPr>
              <w:pStyle w:val="ExhibitBullet1"/>
            </w:pPr>
            <w:r w:rsidRPr="00787A69">
              <w:t>Section S &amp; T: Screener</w:t>
            </w:r>
          </w:p>
          <w:p w14:paraId="1EC8FEE1" w14:textId="16B4A725" w:rsidR="00A8234B" w:rsidRPr="00787A69" w:rsidRDefault="00F03AFD" w:rsidP="00A908B5">
            <w:pPr>
              <w:pStyle w:val="ExhibitBullet1"/>
            </w:pPr>
            <w:r w:rsidRPr="00787A69">
              <w:t xml:space="preserve">Section B: </w:t>
            </w:r>
            <w:r w:rsidR="00491AFD" w:rsidRPr="00787A69">
              <w:t>Leave-n</w:t>
            </w:r>
            <w:r w:rsidR="00A8234B" w:rsidRPr="00787A69">
              <w:t>eeders</w:t>
            </w:r>
          </w:p>
        </w:tc>
        <w:tc>
          <w:tcPr>
            <w:tcW w:w="2683" w:type="dxa"/>
          </w:tcPr>
          <w:p w14:paraId="1FE6CF6A" w14:textId="2A620DB9" w:rsidR="00A8234B" w:rsidRPr="00787A69" w:rsidRDefault="00A8234B" w:rsidP="00A8234B">
            <w:pPr>
              <w:pStyle w:val="ExhibitText"/>
            </w:pPr>
            <w:r w:rsidRPr="00787A69">
              <w:t xml:space="preserve">S12a-b, B1-20 </w:t>
            </w:r>
          </w:p>
        </w:tc>
      </w:tr>
      <w:tr w:rsidR="00A8234B" w:rsidRPr="00787A69" w14:paraId="0C2923A7" w14:textId="77777777" w:rsidTr="00A8234B">
        <w:trPr>
          <w:cantSplit/>
        </w:trPr>
        <w:tc>
          <w:tcPr>
            <w:tcW w:w="1807" w:type="dxa"/>
          </w:tcPr>
          <w:p w14:paraId="26FD51D8" w14:textId="0DB79A19" w:rsidR="00A8234B" w:rsidRPr="00787A69" w:rsidRDefault="00A8234B" w:rsidP="00C2551C">
            <w:pPr>
              <w:pStyle w:val="ExhibitText"/>
            </w:pPr>
            <w:r w:rsidRPr="00787A69">
              <w:t xml:space="preserve">Leave Requirements </w:t>
            </w:r>
            <w:r w:rsidR="00C2551C" w:rsidRPr="00787A69">
              <w:t>and</w:t>
            </w:r>
            <w:r w:rsidRPr="00787A69">
              <w:t xml:space="preserve"> Practices</w:t>
            </w:r>
          </w:p>
        </w:tc>
        <w:tc>
          <w:tcPr>
            <w:tcW w:w="3949" w:type="dxa"/>
          </w:tcPr>
          <w:p w14:paraId="5F398071" w14:textId="18EE10F8" w:rsidR="00A8234B" w:rsidRPr="00787A69" w:rsidRDefault="00A8234B" w:rsidP="00A8234B">
            <w:pPr>
              <w:pStyle w:val="ExhibitText"/>
            </w:pPr>
            <w:r w:rsidRPr="00787A69">
              <w:t>To determine the length of notice employees give to employers before taking leave (both according to company policy and in practice), and examine the process of obtaining medical certification and clearance to return to work.</w:t>
            </w:r>
          </w:p>
        </w:tc>
        <w:tc>
          <w:tcPr>
            <w:tcW w:w="2981" w:type="dxa"/>
          </w:tcPr>
          <w:p w14:paraId="2470AB92" w14:textId="579F7351" w:rsidR="00A908B5" w:rsidRPr="00787A69" w:rsidRDefault="00A8234B" w:rsidP="00A908B5">
            <w:pPr>
              <w:pStyle w:val="ExhibitBullet1"/>
            </w:pPr>
            <w:r w:rsidRPr="00787A69">
              <w:t>Notification</w:t>
            </w:r>
          </w:p>
          <w:p w14:paraId="1172B491" w14:textId="1B17DA25" w:rsidR="00A908B5" w:rsidRPr="00787A69" w:rsidRDefault="00A8234B" w:rsidP="00A908B5">
            <w:pPr>
              <w:pStyle w:val="ExhibitBullet1"/>
            </w:pPr>
            <w:r w:rsidRPr="00787A69">
              <w:t>Medical Certification</w:t>
            </w:r>
          </w:p>
          <w:p w14:paraId="3C015900" w14:textId="000DC7B9" w:rsidR="00A8234B" w:rsidRPr="00787A69" w:rsidRDefault="00A8234B" w:rsidP="00A908B5">
            <w:pPr>
              <w:pStyle w:val="ExhibitBullet1"/>
            </w:pPr>
            <w:r w:rsidRPr="00787A69">
              <w:t>Post Leave</w:t>
            </w:r>
          </w:p>
        </w:tc>
        <w:tc>
          <w:tcPr>
            <w:tcW w:w="2970" w:type="dxa"/>
          </w:tcPr>
          <w:p w14:paraId="1AC028B3" w14:textId="2B7CFBC0" w:rsidR="00A8234B" w:rsidRPr="00787A69" w:rsidRDefault="00F03AFD" w:rsidP="00A908B5">
            <w:pPr>
              <w:pStyle w:val="ExhibitBullet1"/>
            </w:pPr>
            <w:r w:rsidRPr="00787A69">
              <w:t xml:space="preserve">Section A: </w:t>
            </w:r>
            <w:r w:rsidR="00491AFD" w:rsidRPr="00787A69">
              <w:t>Leave-t</w:t>
            </w:r>
            <w:r w:rsidR="00A8234B" w:rsidRPr="00787A69">
              <w:t>akers</w:t>
            </w:r>
          </w:p>
        </w:tc>
        <w:tc>
          <w:tcPr>
            <w:tcW w:w="2683" w:type="dxa"/>
          </w:tcPr>
          <w:p w14:paraId="58E60A61" w14:textId="0EB54DC6" w:rsidR="00A8234B" w:rsidRPr="00787A69" w:rsidRDefault="00A8234B" w:rsidP="00760786">
            <w:pPr>
              <w:pStyle w:val="ExhibitText"/>
            </w:pPr>
            <w:r w:rsidRPr="00787A69">
              <w:t>A26</w:t>
            </w:r>
            <w:r w:rsidR="00760786" w:rsidRPr="00787A69">
              <w:t>-</w:t>
            </w:r>
            <w:r w:rsidRPr="00787A69">
              <w:t>42, A60</w:t>
            </w:r>
          </w:p>
        </w:tc>
      </w:tr>
    </w:tbl>
    <w:p w14:paraId="6535DA64" w14:textId="77777777" w:rsidR="004D37B0" w:rsidRPr="00787A69" w:rsidRDefault="004D37B0" w:rsidP="00615BD4">
      <w:pPr>
        <w:pStyle w:val="BodyText"/>
        <w:sectPr w:rsidR="004D37B0" w:rsidRPr="00787A69" w:rsidSect="004138AB">
          <w:footerReference w:type="default" r:id="rId12"/>
          <w:pgSz w:w="15840" w:h="12240" w:orient="landscape" w:code="1"/>
          <w:pgMar w:top="1440" w:right="720" w:bottom="1440" w:left="720" w:header="1080" w:footer="720" w:gutter="0"/>
          <w:cols w:space="720"/>
          <w:docGrid w:linePitch="299"/>
        </w:sectPr>
      </w:pPr>
    </w:p>
    <w:p w14:paraId="5E081787" w14:textId="7D18909C" w:rsidR="00615BD4" w:rsidRPr="00787A69" w:rsidRDefault="003850E0" w:rsidP="00615BD4">
      <w:pPr>
        <w:pStyle w:val="BodyText"/>
        <w:rPr>
          <w:szCs w:val="22"/>
        </w:rPr>
      </w:pPr>
      <w:r w:rsidRPr="00787A69">
        <w:t xml:space="preserve">A detailed description of </w:t>
      </w:r>
      <w:r w:rsidR="00615BD4" w:rsidRPr="00787A69">
        <w:t>the respondent universe</w:t>
      </w:r>
      <w:r w:rsidR="00C2551C" w:rsidRPr="00787A69">
        <w:t>,</w:t>
      </w:r>
      <w:r w:rsidR="00615BD4" w:rsidRPr="00787A69">
        <w:t xml:space="preserve"> sampling methods, </w:t>
      </w:r>
      <w:r w:rsidR="00C2551C" w:rsidRPr="00787A69">
        <w:t xml:space="preserve">and </w:t>
      </w:r>
      <w:r w:rsidR="00615BD4" w:rsidRPr="00787A69">
        <w:t xml:space="preserve">data collection procedures, as well as </w:t>
      </w:r>
      <w:r w:rsidR="008435BE" w:rsidRPr="00787A69">
        <w:t xml:space="preserve">discussion of </w:t>
      </w:r>
      <w:r w:rsidR="00615BD4" w:rsidRPr="00787A69">
        <w:t>efforts to maximize response rates for the Employee Survey</w:t>
      </w:r>
      <w:r w:rsidR="00C2551C" w:rsidRPr="00787A69">
        <w:t>,</w:t>
      </w:r>
      <w:r w:rsidR="00615BD4" w:rsidRPr="00787A69">
        <w:t xml:space="preserve"> can be found in Part B. </w:t>
      </w:r>
    </w:p>
    <w:p w14:paraId="777B70C7" w14:textId="77777777" w:rsidR="0071096A" w:rsidRPr="00787A69" w:rsidRDefault="009D7DBE" w:rsidP="004F73E7">
      <w:pPr>
        <w:pStyle w:val="Heading4"/>
      </w:pPr>
      <w:r w:rsidRPr="00787A69">
        <w:t xml:space="preserve">Objective and Design of the </w:t>
      </w:r>
      <w:r w:rsidR="0071096A" w:rsidRPr="00787A69">
        <w:t>Employer Survey</w:t>
      </w:r>
      <w:r w:rsidR="00810027" w:rsidRPr="00787A69">
        <w:t xml:space="preserve"> </w:t>
      </w:r>
    </w:p>
    <w:p w14:paraId="55A28138" w14:textId="58F8D99E" w:rsidR="00AC76CD" w:rsidRPr="00787A69" w:rsidRDefault="00F60672" w:rsidP="00E44A1B">
      <w:pPr>
        <w:pStyle w:val="BodyText"/>
        <w:rPr>
          <w:szCs w:val="22"/>
        </w:rPr>
      </w:pPr>
      <w:r w:rsidRPr="00787A69">
        <w:rPr>
          <w:szCs w:val="22"/>
        </w:rPr>
        <w:t xml:space="preserve">The Employer </w:t>
      </w:r>
      <w:r w:rsidR="008435BE" w:rsidRPr="00787A69">
        <w:rPr>
          <w:szCs w:val="22"/>
        </w:rPr>
        <w:t xml:space="preserve">Survey </w:t>
      </w:r>
      <w:r w:rsidR="00DB75E5" w:rsidRPr="00787A69">
        <w:rPr>
          <w:szCs w:val="22"/>
        </w:rPr>
        <w:t>(</w:t>
      </w:r>
      <w:r w:rsidR="00D8169A" w:rsidRPr="00787A69">
        <w:rPr>
          <w:szCs w:val="22"/>
        </w:rPr>
        <w:t xml:space="preserve">Attachment </w:t>
      </w:r>
      <w:r w:rsidR="00DB75E5" w:rsidRPr="00787A69">
        <w:rPr>
          <w:szCs w:val="22"/>
        </w:rPr>
        <w:t xml:space="preserve">B) </w:t>
      </w:r>
      <w:r w:rsidRPr="00787A69">
        <w:rPr>
          <w:szCs w:val="22"/>
        </w:rPr>
        <w:t>will explore human resource</w:t>
      </w:r>
      <w:r w:rsidR="002D0FCC" w:rsidRPr="00787A69">
        <w:rPr>
          <w:szCs w:val="22"/>
        </w:rPr>
        <w:t xml:space="preserve">/benefits administrator </w:t>
      </w:r>
      <w:r w:rsidRPr="00787A69">
        <w:rPr>
          <w:szCs w:val="22"/>
        </w:rPr>
        <w:t xml:space="preserve">experience with and perception of implementing FMLA leave by employees at their worksite. </w:t>
      </w:r>
      <w:r w:rsidR="00E44A1B" w:rsidRPr="00787A69">
        <w:rPr>
          <w:szCs w:val="22"/>
        </w:rPr>
        <w:t xml:space="preserve">The survey will be conducted using a sequential multi-mode (web and CATI) methodology. The target number of completed </w:t>
      </w:r>
      <w:r w:rsidR="000A6442" w:rsidRPr="00787A69">
        <w:rPr>
          <w:szCs w:val="22"/>
        </w:rPr>
        <w:t xml:space="preserve">surveys </w:t>
      </w:r>
      <w:r w:rsidR="00E44A1B" w:rsidRPr="00787A69">
        <w:rPr>
          <w:szCs w:val="22"/>
        </w:rPr>
        <w:t>is 2,000</w:t>
      </w:r>
      <w:r w:rsidR="00D524A2" w:rsidRPr="00787A69">
        <w:rPr>
          <w:szCs w:val="22"/>
        </w:rPr>
        <w:t>.</w:t>
      </w:r>
      <w:r w:rsidR="00AC76CD" w:rsidRPr="00787A69">
        <w:rPr>
          <w:szCs w:val="22"/>
        </w:rPr>
        <w:t xml:space="preserve"> This sample</w:t>
      </w:r>
      <w:r w:rsidR="00E44A1B" w:rsidRPr="00787A69">
        <w:rPr>
          <w:szCs w:val="22"/>
        </w:rPr>
        <w:t xml:space="preserve"> will support nationally representative estimates of results in the aggregate</w:t>
      </w:r>
      <w:r w:rsidR="00AC76CD" w:rsidRPr="00787A69">
        <w:rPr>
          <w:szCs w:val="22"/>
        </w:rPr>
        <w:t>,</w:t>
      </w:r>
      <w:r w:rsidR="00E44A1B" w:rsidRPr="00787A69">
        <w:rPr>
          <w:szCs w:val="22"/>
        </w:rPr>
        <w:t xml:space="preserve"> as well as </w:t>
      </w:r>
      <w:r w:rsidR="00AC76CD" w:rsidRPr="00787A69">
        <w:rPr>
          <w:szCs w:val="22"/>
        </w:rPr>
        <w:t xml:space="preserve">estimates </w:t>
      </w:r>
      <w:r w:rsidR="00E44A1B" w:rsidRPr="00787A69">
        <w:rPr>
          <w:szCs w:val="22"/>
        </w:rPr>
        <w:t xml:space="preserve">by major industry and employer size. </w:t>
      </w:r>
    </w:p>
    <w:p w14:paraId="56443628" w14:textId="3270A257" w:rsidR="00E44A1B" w:rsidRPr="00787A69" w:rsidRDefault="00E44A1B" w:rsidP="00E44A1B">
      <w:pPr>
        <w:pStyle w:val="BodyText"/>
        <w:rPr>
          <w:szCs w:val="22"/>
        </w:rPr>
      </w:pPr>
      <w:r w:rsidRPr="00787A69">
        <w:rPr>
          <w:szCs w:val="22"/>
        </w:rPr>
        <w:t>The targ</w:t>
      </w:r>
      <w:r w:rsidR="00272871" w:rsidRPr="00787A69">
        <w:rPr>
          <w:szCs w:val="22"/>
        </w:rPr>
        <w:t>et population for the Employer S</w:t>
      </w:r>
      <w:r w:rsidRPr="00787A69">
        <w:rPr>
          <w:szCs w:val="22"/>
        </w:rPr>
        <w:t>urvey is U.S. private-sector business worksites</w:t>
      </w:r>
      <w:r w:rsidR="00C2551C" w:rsidRPr="00787A69">
        <w:rPr>
          <w:szCs w:val="22"/>
        </w:rPr>
        <w:t>,</w:t>
      </w:r>
      <w:r w:rsidR="00D524A2" w:rsidRPr="00787A69">
        <w:rPr>
          <w:rStyle w:val="FootnoteReference"/>
          <w:szCs w:val="22"/>
        </w:rPr>
        <w:footnoteReference w:id="3"/>
      </w:r>
      <w:r w:rsidRPr="00787A69">
        <w:rPr>
          <w:szCs w:val="22"/>
        </w:rPr>
        <w:t xml:space="preserve"> excluding self-employed persons without employees and also excluding government and quasi-government units (federal, state, and local governments; public educational institutions; and post offices). This univ</w:t>
      </w:r>
      <w:r w:rsidR="00272871" w:rsidRPr="00787A69">
        <w:rPr>
          <w:szCs w:val="22"/>
        </w:rPr>
        <w:t xml:space="preserve">erse differs from </w:t>
      </w:r>
      <w:r w:rsidR="00C2551C" w:rsidRPr="00787A69">
        <w:rPr>
          <w:szCs w:val="22"/>
        </w:rPr>
        <w:t xml:space="preserve">that of </w:t>
      </w:r>
      <w:r w:rsidR="00272871" w:rsidRPr="00787A69">
        <w:rPr>
          <w:szCs w:val="22"/>
        </w:rPr>
        <w:t>the Employee S</w:t>
      </w:r>
      <w:r w:rsidRPr="00787A69">
        <w:rPr>
          <w:szCs w:val="22"/>
        </w:rPr>
        <w:t>urvey, which includes both private- and public-sector employees. As in 2012, the Dun &amp; Bradstreet Dun’s Market Identifiers (DMI) file will serve as the s</w:t>
      </w:r>
      <w:r w:rsidR="00272871" w:rsidRPr="00787A69">
        <w:rPr>
          <w:szCs w:val="22"/>
        </w:rPr>
        <w:t>ampling frame for the Employer S</w:t>
      </w:r>
      <w:r w:rsidRPr="00787A69">
        <w:rPr>
          <w:szCs w:val="22"/>
        </w:rPr>
        <w:t>urvey.</w:t>
      </w:r>
    </w:p>
    <w:p w14:paraId="11DE7D31" w14:textId="6851FBDA" w:rsidR="009665A5" w:rsidRPr="00787A69" w:rsidRDefault="00272871" w:rsidP="002E3973">
      <w:pPr>
        <w:pStyle w:val="BodyText"/>
        <w:spacing w:after="120"/>
        <w:rPr>
          <w:szCs w:val="22"/>
        </w:rPr>
      </w:pPr>
      <w:r w:rsidRPr="00787A69">
        <w:rPr>
          <w:szCs w:val="22"/>
        </w:rPr>
        <w:t>As with the Employee Survey, the Employer S</w:t>
      </w:r>
      <w:r w:rsidR="00690528" w:rsidRPr="00787A69">
        <w:rPr>
          <w:szCs w:val="22"/>
        </w:rPr>
        <w:t xml:space="preserve">urvey collects information across seven domains: </w:t>
      </w:r>
      <w:r w:rsidR="00A908B5" w:rsidRPr="00787A69">
        <w:rPr>
          <w:szCs w:val="22"/>
        </w:rPr>
        <w:t xml:space="preserve">(1) worksite and firm characteristics, </w:t>
      </w:r>
      <w:r w:rsidR="00AC76CD" w:rsidRPr="00787A69">
        <w:rPr>
          <w:szCs w:val="22"/>
        </w:rPr>
        <w:t>(</w:t>
      </w:r>
      <w:r w:rsidR="00A908B5" w:rsidRPr="00787A69">
        <w:rPr>
          <w:szCs w:val="22"/>
        </w:rPr>
        <w:t>2</w:t>
      </w:r>
      <w:r w:rsidR="00AC76CD" w:rsidRPr="00787A69">
        <w:rPr>
          <w:szCs w:val="22"/>
        </w:rPr>
        <w:t xml:space="preserve">) </w:t>
      </w:r>
      <w:r w:rsidR="00690528" w:rsidRPr="00787A69">
        <w:rPr>
          <w:szCs w:val="22"/>
        </w:rPr>
        <w:t>FMLA coverage</w:t>
      </w:r>
      <w:r w:rsidR="00A908B5" w:rsidRPr="00787A69">
        <w:rPr>
          <w:szCs w:val="22"/>
        </w:rPr>
        <w:t xml:space="preserve"> and </w:t>
      </w:r>
      <w:r w:rsidR="00690528" w:rsidRPr="00787A69">
        <w:rPr>
          <w:szCs w:val="22"/>
        </w:rPr>
        <w:t xml:space="preserve">eligibility, </w:t>
      </w:r>
      <w:r w:rsidR="00AC76CD" w:rsidRPr="00787A69">
        <w:rPr>
          <w:szCs w:val="22"/>
        </w:rPr>
        <w:t>(</w:t>
      </w:r>
      <w:r w:rsidR="00A908B5" w:rsidRPr="00787A69">
        <w:rPr>
          <w:szCs w:val="22"/>
        </w:rPr>
        <w:t>3</w:t>
      </w:r>
      <w:r w:rsidR="00AC76CD" w:rsidRPr="00787A69">
        <w:rPr>
          <w:szCs w:val="22"/>
        </w:rPr>
        <w:t xml:space="preserve">) </w:t>
      </w:r>
      <w:r w:rsidR="00690528" w:rsidRPr="00787A69">
        <w:rPr>
          <w:szCs w:val="22"/>
        </w:rPr>
        <w:t xml:space="preserve">leave benefits, </w:t>
      </w:r>
      <w:r w:rsidR="00AC76CD" w:rsidRPr="00787A69">
        <w:rPr>
          <w:szCs w:val="22"/>
        </w:rPr>
        <w:t>(</w:t>
      </w:r>
      <w:r w:rsidR="00A908B5" w:rsidRPr="00787A69">
        <w:rPr>
          <w:szCs w:val="22"/>
        </w:rPr>
        <w:t>4</w:t>
      </w:r>
      <w:r w:rsidR="00AC76CD" w:rsidRPr="00787A69">
        <w:rPr>
          <w:szCs w:val="22"/>
        </w:rPr>
        <w:t xml:space="preserve">) </w:t>
      </w:r>
      <w:r w:rsidR="00690528" w:rsidRPr="00787A69">
        <w:rPr>
          <w:szCs w:val="22"/>
        </w:rPr>
        <w:t xml:space="preserve">leave usage, </w:t>
      </w:r>
      <w:r w:rsidR="00AC76CD" w:rsidRPr="00787A69">
        <w:rPr>
          <w:szCs w:val="22"/>
        </w:rPr>
        <w:t>(</w:t>
      </w:r>
      <w:r w:rsidR="00A908B5" w:rsidRPr="00787A69">
        <w:rPr>
          <w:szCs w:val="22"/>
        </w:rPr>
        <w:t>5</w:t>
      </w:r>
      <w:r w:rsidR="00AC76CD" w:rsidRPr="00787A69">
        <w:rPr>
          <w:szCs w:val="22"/>
        </w:rPr>
        <w:t xml:space="preserve">) </w:t>
      </w:r>
      <w:r w:rsidR="00690528" w:rsidRPr="00787A69">
        <w:rPr>
          <w:szCs w:val="22"/>
        </w:rPr>
        <w:t xml:space="preserve">leave experience, </w:t>
      </w:r>
      <w:r w:rsidR="00AC76CD" w:rsidRPr="00787A69">
        <w:rPr>
          <w:szCs w:val="22"/>
        </w:rPr>
        <w:t>(</w:t>
      </w:r>
      <w:r w:rsidR="00A908B5" w:rsidRPr="00787A69">
        <w:rPr>
          <w:szCs w:val="22"/>
        </w:rPr>
        <w:t>6</w:t>
      </w:r>
      <w:r w:rsidR="00AC76CD" w:rsidRPr="00787A69">
        <w:rPr>
          <w:szCs w:val="22"/>
        </w:rPr>
        <w:t xml:space="preserve">) </w:t>
      </w:r>
      <w:r w:rsidR="00690528" w:rsidRPr="00787A69">
        <w:rPr>
          <w:szCs w:val="22"/>
        </w:rPr>
        <w:t xml:space="preserve">leave requirements and practices, </w:t>
      </w:r>
      <w:r w:rsidR="00A908B5" w:rsidRPr="00787A69">
        <w:rPr>
          <w:szCs w:val="22"/>
        </w:rPr>
        <w:t xml:space="preserve">and (7) </w:t>
      </w:r>
      <w:r w:rsidR="00690528" w:rsidRPr="00787A69">
        <w:rPr>
          <w:szCs w:val="22"/>
        </w:rPr>
        <w:t>perceptions of the FMLA</w:t>
      </w:r>
      <w:r w:rsidR="00AB0393" w:rsidRPr="00787A69">
        <w:rPr>
          <w:szCs w:val="22"/>
        </w:rPr>
        <w:t>. Exhibit 2, below, describes the rationale for collecting information across these domains (and subdomains) and the target respondents for each section of the survey (“Survey Section”).</w:t>
      </w:r>
    </w:p>
    <w:p w14:paraId="1F75806B" w14:textId="77777777" w:rsidR="00614ECD" w:rsidRPr="00787A69" w:rsidRDefault="00614ECD" w:rsidP="002E3973">
      <w:pPr>
        <w:pStyle w:val="BodyText"/>
        <w:spacing w:after="120"/>
        <w:rPr>
          <w:rFonts w:ascii="Arial" w:hAnsi="Arial" w:cs="Arial"/>
          <w:b/>
          <w:szCs w:val="22"/>
        </w:rPr>
        <w:sectPr w:rsidR="00614ECD" w:rsidRPr="00787A69" w:rsidSect="004138AB">
          <w:footerReference w:type="default" r:id="rId13"/>
          <w:pgSz w:w="12240" w:h="15840" w:code="1"/>
          <w:pgMar w:top="1440" w:right="1440" w:bottom="1440" w:left="1440" w:header="1080" w:footer="720" w:gutter="0"/>
          <w:cols w:space="720"/>
          <w:docGrid w:linePitch="299"/>
        </w:sectPr>
      </w:pPr>
    </w:p>
    <w:p w14:paraId="79CC4483" w14:textId="77777777" w:rsidR="002E3973" w:rsidRPr="00787A69" w:rsidRDefault="002E3973" w:rsidP="002E3973">
      <w:pPr>
        <w:pStyle w:val="BodyText"/>
        <w:spacing w:after="120"/>
        <w:rPr>
          <w:rFonts w:ascii="Arial" w:hAnsi="Arial" w:cs="Arial"/>
          <w:b/>
          <w:szCs w:val="22"/>
        </w:rPr>
      </w:pPr>
      <w:r w:rsidRPr="00787A69">
        <w:rPr>
          <w:rFonts w:ascii="Arial" w:hAnsi="Arial" w:cs="Arial"/>
          <w:b/>
          <w:szCs w:val="22"/>
        </w:rPr>
        <w:t>Exhibit 2. Employer Survey</w:t>
      </w:r>
      <w:r w:rsidR="009665A5" w:rsidRPr="00787A69">
        <w:rPr>
          <w:rFonts w:ascii="Arial" w:hAnsi="Arial" w:cs="Arial"/>
          <w:b/>
          <w:szCs w:val="22"/>
        </w:rPr>
        <w:t xml:space="preserve"> Content and Objectives</w:t>
      </w:r>
    </w:p>
    <w:tbl>
      <w:tblPr>
        <w:tblStyle w:val="FMLA-OMB"/>
        <w:tblW w:w="14390" w:type="dxa"/>
        <w:tblInd w:w="58" w:type="dxa"/>
        <w:tblLayout w:type="fixed"/>
        <w:tblCellMar>
          <w:left w:w="115" w:type="dxa"/>
          <w:right w:w="115" w:type="dxa"/>
        </w:tblCellMar>
        <w:tblLook w:val="04A0" w:firstRow="1" w:lastRow="0" w:firstColumn="1" w:lastColumn="0" w:noHBand="0" w:noVBand="1"/>
      </w:tblPr>
      <w:tblGrid>
        <w:gridCol w:w="1807"/>
        <w:gridCol w:w="3949"/>
        <w:gridCol w:w="2981"/>
        <w:gridCol w:w="2970"/>
        <w:gridCol w:w="2683"/>
      </w:tblGrid>
      <w:tr w:rsidR="000C41F5" w:rsidRPr="00787A69" w14:paraId="43977D1A" w14:textId="77777777" w:rsidTr="00C2551C">
        <w:trPr>
          <w:cnfStyle w:val="100000000000" w:firstRow="1" w:lastRow="0" w:firstColumn="0" w:lastColumn="0" w:oddVBand="0" w:evenVBand="0" w:oddHBand="0" w:evenHBand="0" w:firstRowFirstColumn="0" w:firstRowLastColumn="0" w:lastRowFirstColumn="0" w:lastRowLastColumn="0"/>
          <w:cantSplit/>
          <w:tblHeader/>
        </w:trPr>
        <w:tc>
          <w:tcPr>
            <w:tcW w:w="1807" w:type="dxa"/>
          </w:tcPr>
          <w:p w14:paraId="2AE4ED89" w14:textId="77777777" w:rsidR="000C41F5" w:rsidRPr="00787A69" w:rsidRDefault="000C41F5" w:rsidP="00C2551C">
            <w:pPr>
              <w:pStyle w:val="ExhibitColumnHeader"/>
            </w:pPr>
            <w:r w:rsidRPr="00787A69">
              <w:t>Domain</w:t>
            </w:r>
          </w:p>
        </w:tc>
        <w:tc>
          <w:tcPr>
            <w:tcW w:w="3949" w:type="dxa"/>
          </w:tcPr>
          <w:p w14:paraId="2B796F12" w14:textId="77777777" w:rsidR="000C41F5" w:rsidRPr="00787A69" w:rsidRDefault="000C41F5" w:rsidP="00C2551C">
            <w:pPr>
              <w:pStyle w:val="ExhibitColumnHeader"/>
            </w:pPr>
            <w:r w:rsidRPr="00787A69">
              <w:t>Rationale</w:t>
            </w:r>
          </w:p>
        </w:tc>
        <w:tc>
          <w:tcPr>
            <w:tcW w:w="2981" w:type="dxa"/>
          </w:tcPr>
          <w:p w14:paraId="6CA6D842" w14:textId="77777777" w:rsidR="000C41F5" w:rsidRPr="00787A69" w:rsidRDefault="000C41F5" w:rsidP="00C2551C">
            <w:pPr>
              <w:pStyle w:val="ExhibitColumnHeader"/>
            </w:pPr>
            <w:r w:rsidRPr="00787A69">
              <w:t>Subdomain</w:t>
            </w:r>
          </w:p>
        </w:tc>
        <w:tc>
          <w:tcPr>
            <w:tcW w:w="2970" w:type="dxa"/>
          </w:tcPr>
          <w:p w14:paraId="57C34A32" w14:textId="7595D801" w:rsidR="000C41F5" w:rsidRPr="00787A69" w:rsidRDefault="000C41F5" w:rsidP="00C2551C">
            <w:pPr>
              <w:pStyle w:val="ExhibitColumnHeader"/>
            </w:pPr>
            <w:r w:rsidRPr="00787A69">
              <w:t>Survey Section</w:t>
            </w:r>
            <w:r w:rsidR="00D8169A" w:rsidRPr="00787A69">
              <w:rPr>
                <w:rStyle w:val="FootnoteReference"/>
              </w:rPr>
              <w:footnoteReference w:id="4"/>
            </w:r>
          </w:p>
        </w:tc>
        <w:tc>
          <w:tcPr>
            <w:tcW w:w="2683" w:type="dxa"/>
          </w:tcPr>
          <w:p w14:paraId="7A02417E" w14:textId="77777777" w:rsidR="000C41F5" w:rsidRPr="00787A69" w:rsidRDefault="000C41F5" w:rsidP="00C2551C">
            <w:pPr>
              <w:pStyle w:val="ExhibitColumnHeader"/>
            </w:pPr>
            <w:r w:rsidRPr="00787A69">
              <w:t>Survey Question</w:t>
            </w:r>
          </w:p>
        </w:tc>
      </w:tr>
      <w:tr w:rsidR="000C41F5" w:rsidRPr="00787A69" w14:paraId="187150B0" w14:textId="77777777" w:rsidTr="00C2551C">
        <w:trPr>
          <w:cantSplit/>
        </w:trPr>
        <w:tc>
          <w:tcPr>
            <w:tcW w:w="1807" w:type="dxa"/>
          </w:tcPr>
          <w:p w14:paraId="25A731E1" w14:textId="619FB7EE" w:rsidR="000C41F5" w:rsidRPr="00787A69" w:rsidRDefault="00D8169A" w:rsidP="000C41F5">
            <w:pPr>
              <w:pStyle w:val="ExhibitText"/>
            </w:pPr>
            <w:r w:rsidRPr="00787A69">
              <w:rPr>
                <w:szCs w:val="22"/>
              </w:rPr>
              <w:t>Worksite and Firm Characteristics</w:t>
            </w:r>
          </w:p>
        </w:tc>
        <w:tc>
          <w:tcPr>
            <w:tcW w:w="3949" w:type="dxa"/>
          </w:tcPr>
          <w:p w14:paraId="1A3139A4" w14:textId="52773B02" w:rsidR="000C41F5" w:rsidRPr="00787A69" w:rsidRDefault="000C41F5" w:rsidP="000C41F5">
            <w:pPr>
              <w:pStyle w:val="ExhibitText"/>
            </w:pPr>
            <w:r w:rsidRPr="00787A69">
              <w:rPr>
                <w:szCs w:val="22"/>
              </w:rPr>
              <w:t>To facilitate understanding of how FMLA coverage, use (and non-use), need, and experiences vary by employer characteristics.</w:t>
            </w:r>
          </w:p>
        </w:tc>
        <w:tc>
          <w:tcPr>
            <w:tcW w:w="2981" w:type="dxa"/>
          </w:tcPr>
          <w:p w14:paraId="0C623192" w14:textId="2C37DAD9" w:rsidR="00A908B5" w:rsidRPr="00787A69" w:rsidRDefault="000C41F5" w:rsidP="00A908B5">
            <w:pPr>
              <w:pStyle w:val="ExhibitBullet1"/>
            </w:pPr>
            <w:r w:rsidRPr="00787A69">
              <w:t>Firm/Organization Characteristics</w:t>
            </w:r>
          </w:p>
          <w:p w14:paraId="6D7D0531" w14:textId="30EA089F" w:rsidR="000C41F5" w:rsidRPr="00787A69" w:rsidRDefault="000C41F5" w:rsidP="00A908B5">
            <w:pPr>
              <w:pStyle w:val="ExhibitBullet1"/>
            </w:pPr>
            <w:r w:rsidRPr="00787A69">
              <w:t>Workforce Composition</w:t>
            </w:r>
          </w:p>
        </w:tc>
        <w:tc>
          <w:tcPr>
            <w:tcW w:w="2970" w:type="dxa"/>
          </w:tcPr>
          <w:p w14:paraId="703D26FA" w14:textId="53C5AAE4" w:rsidR="000C41F5" w:rsidRPr="00787A69" w:rsidRDefault="000C41F5" w:rsidP="00A908B5">
            <w:pPr>
              <w:pStyle w:val="ExhibitBullet1"/>
            </w:pPr>
            <w:r w:rsidRPr="00787A69">
              <w:t xml:space="preserve">Background Information about the Establishment's Employees (All </w:t>
            </w:r>
            <w:r w:rsidR="00DD1685" w:rsidRPr="00787A69">
              <w:t>W</w:t>
            </w:r>
            <w:r w:rsidRPr="00787A69">
              <w:t>orksites)</w:t>
            </w:r>
          </w:p>
        </w:tc>
        <w:tc>
          <w:tcPr>
            <w:tcW w:w="2683" w:type="dxa"/>
          </w:tcPr>
          <w:p w14:paraId="750D4086" w14:textId="05786082" w:rsidR="000C41F5" w:rsidRPr="00787A69" w:rsidRDefault="000C41F5" w:rsidP="000C41F5">
            <w:pPr>
              <w:pStyle w:val="ExhibitText"/>
            </w:pPr>
            <w:r w:rsidRPr="00787A69">
              <w:rPr>
                <w:szCs w:val="22"/>
              </w:rPr>
              <w:t>Q1-1.2, Q4-7</w:t>
            </w:r>
            <w:r w:rsidR="0063663F" w:rsidRPr="00787A69">
              <w:rPr>
                <w:szCs w:val="22"/>
              </w:rPr>
              <w:t>, Q14-14a</w:t>
            </w:r>
            <w:r w:rsidRPr="00787A69">
              <w:rPr>
                <w:szCs w:val="22"/>
              </w:rPr>
              <w:t xml:space="preserve"> </w:t>
            </w:r>
          </w:p>
        </w:tc>
      </w:tr>
      <w:tr w:rsidR="000C41F5" w:rsidRPr="00787A69" w14:paraId="61C96443" w14:textId="77777777" w:rsidTr="00C2551C">
        <w:trPr>
          <w:cnfStyle w:val="000000010000" w:firstRow="0" w:lastRow="0" w:firstColumn="0" w:lastColumn="0" w:oddVBand="0" w:evenVBand="0" w:oddHBand="0" w:evenHBand="1" w:firstRowFirstColumn="0" w:firstRowLastColumn="0" w:lastRowFirstColumn="0" w:lastRowLastColumn="0"/>
          <w:cantSplit/>
        </w:trPr>
        <w:tc>
          <w:tcPr>
            <w:tcW w:w="1807" w:type="dxa"/>
          </w:tcPr>
          <w:p w14:paraId="5D204FA9" w14:textId="0618448C" w:rsidR="000C41F5" w:rsidRPr="00787A69" w:rsidRDefault="000C41F5" w:rsidP="000C41F5">
            <w:pPr>
              <w:pStyle w:val="ExhibitText"/>
              <w:rPr>
                <w:szCs w:val="22"/>
              </w:rPr>
            </w:pPr>
            <w:r w:rsidRPr="00787A69">
              <w:rPr>
                <w:szCs w:val="22"/>
              </w:rPr>
              <w:t>FMLA Coverage &amp; Eligibility</w:t>
            </w:r>
          </w:p>
        </w:tc>
        <w:tc>
          <w:tcPr>
            <w:tcW w:w="3949" w:type="dxa"/>
          </w:tcPr>
          <w:p w14:paraId="3B9CF510" w14:textId="6C0A590B" w:rsidR="000C41F5" w:rsidRPr="00787A69" w:rsidRDefault="000C41F5" w:rsidP="000C41F5">
            <w:pPr>
              <w:pStyle w:val="ExhibitText"/>
              <w:rPr>
                <w:szCs w:val="22"/>
              </w:rPr>
            </w:pPr>
            <w:r w:rsidRPr="00787A69">
              <w:rPr>
                <w:szCs w:val="22"/>
              </w:rPr>
              <w:t xml:space="preserve">To document current levels of FMLA worksite coverage and employee eligibility. Also, employers' awareness and familiarity with the law, as well as how they learn about the FMLA. </w:t>
            </w:r>
          </w:p>
        </w:tc>
        <w:tc>
          <w:tcPr>
            <w:tcW w:w="2981" w:type="dxa"/>
          </w:tcPr>
          <w:p w14:paraId="2E146A5C" w14:textId="75D38BF3" w:rsidR="00A908B5" w:rsidRPr="00787A69" w:rsidRDefault="000C41F5" w:rsidP="00A908B5">
            <w:pPr>
              <w:pStyle w:val="ExhibitBullet1"/>
            </w:pPr>
            <w:r w:rsidRPr="00787A69">
              <w:t xml:space="preserve">Worksite </w:t>
            </w:r>
            <w:r w:rsidR="00A908B5" w:rsidRPr="00787A69">
              <w:t>Coverage Criteria</w:t>
            </w:r>
          </w:p>
          <w:p w14:paraId="6041075D" w14:textId="4FACD04E" w:rsidR="00A908B5" w:rsidRPr="00787A69" w:rsidRDefault="000C41F5" w:rsidP="00A908B5">
            <w:pPr>
              <w:pStyle w:val="ExhibitBullet1"/>
            </w:pPr>
            <w:r w:rsidRPr="00787A69">
              <w:t>Employee Eligibility Criteria</w:t>
            </w:r>
          </w:p>
          <w:p w14:paraId="39C4609D" w14:textId="33C010E3" w:rsidR="00A908B5" w:rsidRPr="00787A69" w:rsidRDefault="000C41F5" w:rsidP="00A908B5">
            <w:pPr>
              <w:pStyle w:val="ExhibitBullet1"/>
            </w:pPr>
            <w:r w:rsidRPr="00787A69">
              <w:t>Awareness and Familiarity</w:t>
            </w:r>
          </w:p>
          <w:p w14:paraId="0F724B85" w14:textId="59FF30FD" w:rsidR="000C41F5" w:rsidRPr="00787A69" w:rsidRDefault="000C41F5" w:rsidP="00A908B5">
            <w:pPr>
              <w:pStyle w:val="ExhibitBullet1"/>
            </w:pPr>
            <w:r w:rsidRPr="00787A69">
              <w:t>Learning about the FMLA</w:t>
            </w:r>
          </w:p>
        </w:tc>
        <w:tc>
          <w:tcPr>
            <w:tcW w:w="2970" w:type="dxa"/>
          </w:tcPr>
          <w:p w14:paraId="3DBB3B1B" w14:textId="6139C47E" w:rsidR="00A908B5" w:rsidRPr="00787A69" w:rsidRDefault="000C41F5" w:rsidP="00A908B5">
            <w:pPr>
              <w:pStyle w:val="ExhibitBullet1"/>
            </w:pPr>
            <w:r w:rsidRPr="00787A69">
              <w:t xml:space="preserve">Background Information about the Establishment's Employees (All </w:t>
            </w:r>
            <w:r w:rsidR="00DD1685" w:rsidRPr="00787A69">
              <w:t>W</w:t>
            </w:r>
            <w:r w:rsidRPr="00787A69">
              <w:t>orksites)</w:t>
            </w:r>
          </w:p>
          <w:p w14:paraId="2EC7E597" w14:textId="0034038C" w:rsidR="000C41F5" w:rsidRPr="00787A69" w:rsidRDefault="000C41F5" w:rsidP="00DD1685">
            <w:pPr>
              <w:pStyle w:val="ExhibitBullet1"/>
            </w:pPr>
            <w:r w:rsidRPr="00787A69">
              <w:t xml:space="preserve">Implementation of FMLA - Covered </w:t>
            </w:r>
            <w:r w:rsidR="00DD1685" w:rsidRPr="00787A69">
              <w:t>Worksites</w:t>
            </w:r>
          </w:p>
        </w:tc>
        <w:tc>
          <w:tcPr>
            <w:tcW w:w="2683" w:type="dxa"/>
          </w:tcPr>
          <w:p w14:paraId="45BF9524" w14:textId="5C75570E" w:rsidR="000C41F5" w:rsidRPr="00787A69" w:rsidRDefault="000C41F5" w:rsidP="0063663F">
            <w:pPr>
              <w:pStyle w:val="ExhibitText"/>
              <w:rPr>
                <w:szCs w:val="22"/>
              </w:rPr>
            </w:pPr>
            <w:r w:rsidRPr="00787A69">
              <w:rPr>
                <w:szCs w:val="22"/>
              </w:rPr>
              <w:t>Q2-3.1, Q8-</w:t>
            </w:r>
            <w:r w:rsidR="0063663F" w:rsidRPr="00787A69">
              <w:rPr>
                <w:szCs w:val="22"/>
              </w:rPr>
              <w:t>10</w:t>
            </w:r>
            <w:r w:rsidRPr="00787A69">
              <w:rPr>
                <w:szCs w:val="22"/>
              </w:rPr>
              <w:t>, Q17, Q47</w:t>
            </w:r>
          </w:p>
        </w:tc>
      </w:tr>
      <w:tr w:rsidR="000C41F5" w:rsidRPr="00787A69" w14:paraId="24133C70" w14:textId="77777777" w:rsidTr="00C2551C">
        <w:trPr>
          <w:cantSplit/>
        </w:trPr>
        <w:tc>
          <w:tcPr>
            <w:tcW w:w="1807" w:type="dxa"/>
          </w:tcPr>
          <w:p w14:paraId="1E318861" w14:textId="11024C96" w:rsidR="000C41F5" w:rsidRPr="00787A69" w:rsidRDefault="000C41F5" w:rsidP="000C41F5">
            <w:pPr>
              <w:pStyle w:val="ExhibitText"/>
              <w:rPr>
                <w:szCs w:val="22"/>
              </w:rPr>
            </w:pPr>
            <w:r w:rsidRPr="00787A69">
              <w:rPr>
                <w:szCs w:val="22"/>
              </w:rPr>
              <w:t>Leave Benefits</w:t>
            </w:r>
          </w:p>
        </w:tc>
        <w:tc>
          <w:tcPr>
            <w:tcW w:w="3949" w:type="dxa"/>
          </w:tcPr>
          <w:p w14:paraId="6D49A0BE" w14:textId="2040DD4D" w:rsidR="000C41F5" w:rsidRPr="00787A69" w:rsidRDefault="000C41F5" w:rsidP="000C41F5">
            <w:pPr>
              <w:pStyle w:val="ExhibitText"/>
              <w:rPr>
                <w:szCs w:val="22"/>
              </w:rPr>
            </w:pPr>
            <w:r w:rsidRPr="00787A69">
              <w:rPr>
                <w:szCs w:val="22"/>
              </w:rPr>
              <w:t>To provide information in the Employer Survey on the types of paid and unpaid benefits available to employees during leave, the breadth of those benefits, and whether those benefits vary by type of employee.</w:t>
            </w:r>
          </w:p>
        </w:tc>
        <w:tc>
          <w:tcPr>
            <w:tcW w:w="2981" w:type="dxa"/>
          </w:tcPr>
          <w:p w14:paraId="52D74D01" w14:textId="497408C3" w:rsidR="00A908B5" w:rsidRPr="00787A69" w:rsidRDefault="000C41F5" w:rsidP="00A908B5">
            <w:pPr>
              <w:pStyle w:val="ExhibitBullet1"/>
            </w:pPr>
            <w:r w:rsidRPr="00787A69">
              <w:t>Employer-Provided Benefits</w:t>
            </w:r>
          </w:p>
          <w:p w14:paraId="3CA87902" w14:textId="73769F66" w:rsidR="000C41F5" w:rsidRPr="00787A69" w:rsidRDefault="000C41F5" w:rsidP="00A908B5">
            <w:pPr>
              <w:pStyle w:val="ExhibitBullet1"/>
            </w:pPr>
            <w:r w:rsidRPr="00787A69">
              <w:t>Breadth of Benefits</w:t>
            </w:r>
          </w:p>
        </w:tc>
        <w:tc>
          <w:tcPr>
            <w:tcW w:w="2970" w:type="dxa"/>
          </w:tcPr>
          <w:p w14:paraId="28B2032B" w14:textId="03810D57" w:rsidR="00A908B5" w:rsidRPr="00787A69" w:rsidRDefault="000C41F5" w:rsidP="00A908B5">
            <w:pPr>
              <w:pStyle w:val="ExhibitBullet1"/>
            </w:pPr>
            <w:r w:rsidRPr="00787A69">
              <w:t>Background Information about the Establishment's Employees (All Worksites)</w:t>
            </w:r>
          </w:p>
          <w:p w14:paraId="26370F6E" w14:textId="42CF9F10" w:rsidR="000C41F5" w:rsidRPr="00787A69" w:rsidRDefault="000C41F5" w:rsidP="00A908B5">
            <w:pPr>
              <w:pStyle w:val="ExhibitBullet1"/>
            </w:pPr>
            <w:r w:rsidRPr="00787A69">
              <w:t xml:space="preserve">Implementation of FMLA </w:t>
            </w:r>
            <w:r w:rsidR="00A908B5" w:rsidRPr="00787A69">
              <w:t>(</w:t>
            </w:r>
            <w:r w:rsidRPr="00787A69">
              <w:t xml:space="preserve">Covered </w:t>
            </w:r>
            <w:r w:rsidR="00DD1685" w:rsidRPr="00787A69">
              <w:t>Worksites</w:t>
            </w:r>
            <w:r w:rsidR="00A908B5" w:rsidRPr="00787A69">
              <w:t>)</w:t>
            </w:r>
          </w:p>
        </w:tc>
        <w:tc>
          <w:tcPr>
            <w:tcW w:w="2683" w:type="dxa"/>
          </w:tcPr>
          <w:p w14:paraId="2957B04D" w14:textId="0A6A78F9" w:rsidR="000C41F5" w:rsidRPr="00787A69" w:rsidRDefault="000C41F5" w:rsidP="00C37703">
            <w:pPr>
              <w:pStyle w:val="ExhibitText"/>
              <w:rPr>
                <w:szCs w:val="22"/>
              </w:rPr>
            </w:pPr>
            <w:r w:rsidRPr="00787A69">
              <w:rPr>
                <w:szCs w:val="22"/>
              </w:rPr>
              <w:t>Q1</w:t>
            </w:r>
            <w:r w:rsidR="0063663F" w:rsidRPr="00787A69">
              <w:rPr>
                <w:szCs w:val="22"/>
              </w:rPr>
              <w:t>1</w:t>
            </w:r>
            <w:r w:rsidRPr="00787A69">
              <w:rPr>
                <w:szCs w:val="22"/>
              </w:rPr>
              <w:t>-11.</w:t>
            </w:r>
            <w:r w:rsidR="0063663F" w:rsidRPr="00787A69">
              <w:rPr>
                <w:szCs w:val="22"/>
              </w:rPr>
              <w:t>3</w:t>
            </w:r>
            <w:r w:rsidRPr="00787A69">
              <w:rPr>
                <w:szCs w:val="22"/>
              </w:rPr>
              <w:t>, Q16_A-H, Q16X_1, Q16X_4, Q44D</w:t>
            </w:r>
          </w:p>
        </w:tc>
      </w:tr>
      <w:tr w:rsidR="000C41F5" w:rsidRPr="00787A69" w14:paraId="29A24C9D" w14:textId="77777777" w:rsidTr="00C2551C">
        <w:trPr>
          <w:cnfStyle w:val="000000010000" w:firstRow="0" w:lastRow="0" w:firstColumn="0" w:lastColumn="0" w:oddVBand="0" w:evenVBand="0" w:oddHBand="0" w:evenHBand="1" w:firstRowFirstColumn="0" w:firstRowLastColumn="0" w:lastRowFirstColumn="0" w:lastRowLastColumn="0"/>
          <w:cantSplit/>
        </w:trPr>
        <w:tc>
          <w:tcPr>
            <w:tcW w:w="1807" w:type="dxa"/>
          </w:tcPr>
          <w:p w14:paraId="7CD59A23" w14:textId="5261EFB0" w:rsidR="000C41F5" w:rsidRPr="00787A69" w:rsidRDefault="000C41F5" w:rsidP="000C41F5">
            <w:pPr>
              <w:pStyle w:val="ExhibitText"/>
              <w:rPr>
                <w:szCs w:val="22"/>
              </w:rPr>
            </w:pPr>
            <w:r w:rsidRPr="00787A69">
              <w:rPr>
                <w:szCs w:val="22"/>
              </w:rPr>
              <w:t>Leave Usage</w:t>
            </w:r>
          </w:p>
        </w:tc>
        <w:tc>
          <w:tcPr>
            <w:tcW w:w="3949" w:type="dxa"/>
          </w:tcPr>
          <w:p w14:paraId="298732B8" w14:textId="123505D0" w:rsidR="000C41F5" w:rsidRPr="00787A69" w:rsidRDefault="000C41F5" w:rsidP="000C41F5">
            <w:pPr>
              <w:pStyle w:val="ExhibitText"/>
              <w:rPr>
                <w:szCs w:val="22"/>
              </w:rPr>
            </w:pPr>
            <w:r w:rsidRPr="00787A69">
              <w:rPr>
                <w:szCs w:val="22"/>
              </w:rPr>
              <w:t>To better understand leave usage from the employer perspectives. That is, how often, how long, and for what reasons employees take family and medical leave. This domain also covers how employers process FMLA requests, when they deny requests, and their perceptions about the frequency of FMLA misuse.</w:t>
            </w:r>
          </w:p>
        </w:tc>
        <w:tc>
          <w:tcPr>
            <w:tcW w:w="2981" w:type="dxa"/>
          </w:tcPr>
          <w:p w14:paraId="5030605D" w14:textId="262E137D" w:rsidR="00A908B5" w:rsidRPr="00787A69" w:rsidRDefault="000C41F5" w:rsidP="00A908B5">
            <w:pPr>
              <w:pStyle w:val="ExhibitBullet1"/>
            </w:pPr>
            <w:r w:rsidRPr="00787A69">
              <w:t>Frequency</w:t>
            </w:r>
          </w:p>
          <w:p w14:paraId="6AED9E28" w14:textId="50AE73B5" w:rsidR="00A908B5" w:rsidRPr="00787A69" w:rsidRDefault="000C41F5" w:rsidP="00A908B5">
            <w:pPr>
              <w:pStyle w:val="ExhibitBullet1"/>
            </w:pPr>
            <w:r w:rsidRPr="00787A69">
              <w:t>Qualifying Reason/Type</w:t>
            </w:r>
          </w:p>
          <w:p w14:paraId="38D96496" w14:textId="4F99C3AA" w:rsidR="00A908B5" w:rsidRPr="00787A69" w:rsidRDefault="000C41F5" w:rsidP="00A908B5">
            <w:pPr>
              <w:pStyle w:val="ExhibitBullet1"/>
            </w:pPr>
            <w:r w:rsidRPr="00787A69">
              <w:t>Length/Spells</w:t>
            </w:r>
          </w:p>
          <w:p w14:paraId="06F4924E" w14:textId="58F43396" w:rsidR="00A908B5" w:rsidRPr="00787A69" w:rsidRDefault="000C41F5" w:rsidP="00A908B5">
            <w:pPr>
              <w:pStyle w:val="ExhibitBullet1"/>
            </w:pPr>
            <w:r w:rsidRPr="00787A69">
              <w:t>Oversight/Approval</w:t>
            </w:r>
          </w:p>
          <w:p w14:paraId="42B17604" w14:textId="172CABFF" w:rsidR="000C41F5" w:rsidRPr="00787A69" w:rsidRDefault="000C41F5" w:rsidP="00A908B5">
            <w:pPr>
              <w:pStyle w:val="ExhibitBullet1"/>
            </w:pPr>
            <w:r w:rsidRPr="00787A69">
              <w:t>Perceived Misuse</w:t>
            </w:r>
          </w:p>
        </w:tc>
        <w:tc>
          <w:tcPr>
            <w:tcW w:w="2970" w:type="dxa"/>
          </w:tcPr>
          <w:p w14:paraId="6F9D7C92" w14:textId="2B6BF1BD" w:rsidR="00A908B5" w:rsidRPr="00787A69" w:rsidRDefault="000C41F5" w:rsidP="00A908B5">
            <w:pPr>
              <w:pStyle w:val="ExhibitBullet1"/>
            </w:pPr>
            <w:r w:rsidRPr="00787A69">
              <w:t>Use of FMLA by Employees at this Covered Location</w:t>
            </w:r>
          </w:p>
          <w:p w14:paraId="07C0DCC3" w14:textId="3215F5FD" w:rsidR="00A908B5" w:rsidRPr="00787A69" w:rsidRDefault="000C41F5" w:rsidP="00A908B5">
            <w:pPr>
              <w:pStyle w:val="ExhibitBullet1"/>
            </w:pPr>
            <w:r w:rsidRPr="00787A69">
              <w:t xml:space="preserve">FMLA Non-Covered </w:t>
            </w:r>
            <w:r w:rsidR="00DD1685" w:rsidRPr="00787A69">
              <w:t>Worksites</w:t>
            </w:r>
          </w:p>
          <w:p w14:paraId="2D0941A2" w14:textId="0F8AC833" w:rsidR="000C41F5" w:rsidRPr="00787A69" w:rsidRDefault="000C41F5" w:rsidP="00C35374">
            <w:pPr>
              <w:pStyle w:val="ExhibitBullet1"/>
            </w:pPr>
            <w:r w:rsidRPr="00787A69">
              <w:t xml:space="preserve">All </w:t>
            </w:r>
            <w:r w:rsidR="00C35374" w:rsidRPr="00787A69">
              <w:t xml:space="preserve">Worksites </w:t>
            </w:r>
            <w:r w:rsidRPr="00787A69">
              <w:t>FMLA Covered and Non-Covered</w:t>
            </w:r>
          </w:p>
        </w:tc>
        <w:tc>
          <w:tcPr>
            <w:tcW w:w="2683" w:type="dxa"/>
          </w:tcPr>
          <w:p w14:paraId="5727B6F2" w14:textId="31AFA79F" w:rsidR="000C41F5" w:rsidRPr="00787A69" w:rsidRDefault="000C41F5" w:rsidP="0063663F">
            <w:pPr>
              <w:pStyle w:val="ExhibitText"/>
              <w:rPr>
                <w:szCs w:val="22"/>
              </w:rPr>
            </w:pPr>
            <w:r w:rsidRPr="00787A69">
              <w:rPr>
                <w:szCs w:val="22"/>
              </w:rPr>
              <w:t>Q18-22, Q27-28, Q40-43, Q58-60, Q68</w:t>
            </w:r>
          </w:p>
        </w:tc>
      </w:tr>
      <w:tr w:rsidR="000C41F5" w:rsidRPr="00787A69" w14:paraId="78D4A024" w14:textId="77777777" w:rsidTr="00C2551C">
        <w:trPr>
          <w:cantSplit/>
        </w:trPr>
        <w:tc>
          <w:tcPr>
            <w:tcW w:w="1807" w:type="dxa"/>
          </w:tcPr>
          <w:p w14:paraId="6C2A2274" w14:textId="10106D75" w:rsidR="000C41F5" w:rsidRPr="00787A69" w:rsidRDefault="000C41F5" w:rsidP="000C41F5">
            <w:pPr>
              <w:pStyle w:val="ExhibitText"/>
              <w:rPr>
                <w:szCs w:val="22"/>
              </w:rPr>
            </w:pPr>
            <w:r w:rsidRPr="00787A69">
              <w:rPr>
                <w:szCs w:val="22"/>
              </w:rPr>
              <w:t>Leave Experience</w:t>
            </w:r>
          </w:p>
        </w:tc>
        <w:tc>
          <w:tcPr>
            <w:tcW w:w="3949" w:type="dxa"/>
          </w:tcPr>
          <w:p w14:paraId="2778A9B0" w14:textId="6143D607" w:rsidR="000C41F5" w:rsidRPr="00787A69" w:rsidRDefault="000C41F5" w:rsidP="000C41F5">
            <w:pPr>
              <w:pStyle w:val="ExhibitText"/>
              <w:rPr>
                <w:szCs w:val="22"/>
              </w:rPr>
            </w:pPr>
            <w:r w:rsidRPr="00787A69">
              <w:rPr>
                <w:szCs w:val="22"/>
              </w:rPr>
              <w:t>To provide information on employees’ financing of leave-taking and their transition back into the workplace, as well as how employers accommodate their employees’ need for leave.</w:t>
            </w:r>
          </w:p>
        </w:tc>
        <w:tc>
          <w:tcPr>
            <w:tcW w:w="2981" w:type="dxa"/>
          </w:tcPr>
          <w:p w14:paraId="0CE1D1BA" w14:textId="281A30EC" w:rsidR="00A908B5" w:rsidRPr="00787A69" w:rsidRDefault="000C41F5" w:rsidP="00A908B5">
            <w:pPr>
              <w:pStyle w:val="ExhibitBullet1"/>
            </w:pPr>
            <w:r w:rsidRPr="00787A69">
              <w:t>Pay and Benefits</w:t>
            </w:r>
          </w:p>
          <w:p w14:paraId="4E37787A" w14:textId="0FD398E4" w:rsidR="00A908B5" w:rsidRPr="00787A69" w:rsidRDefault="000C41F5" w:rsidP="00A908B5">
            <w:pPr>
              <w:pStyle w:val="ExhibitBullet1"/>
            </w:pPr>
            <w:r w:rsidRPr="00787A69">
              <w:t>During-Leave Employment</w:t>
            </w:r>
          </w:p>
          <w:p w14:paraId="5B128DFE" w14:textId="0276B10D" w:rsidR="000C41F5" w:rsidRPr="00787A69" w:rsidRDefault="000C41F5" w:rsidP="00A908B5">
            <w:pPr>
              <w:pStyle w:val="ExhibitBullet1"/>
            </w:pPr>
            <w:r w:rsidRPr="00787A69">
              <w:t>Transition Back to Work</w:t>
            </w:r>
          </w:p>
        </w:tc>
        <w:tc>
          <w:tcPr>
            <w:tcW w:w="2970" w:type="dxa"/>
          </w:tcPr>
          <w:p w14:paraId="4115CB18" w14:textId="439D1D6C" w:rsidR="00A908B5" w:rsidRPr="00787A69" w:rsidRDefault="000C41F5" w:rsidP="00A908B5">
            <w:pPr>
              <w:pStyle w:val="ExhibitBullet1"/>
            </w:pPr>
            <w:r w:rsidRPr="00787A69">
              <w:t>Background Information about the Establishment's Employees (All worksites)</w:t>
            </w:r>
          </w:p>
          <w:p w14:paraId="7C1D2B56" w14:textId="25475E63" w:rsidR="00A908B5" w:rsidRPr="00787A69" w:rsidRDefault="000C41F5" w:rsidP="00A908B5">
            <w:pPr>
              <w:pStyle w:val="ExhibitBullet1"/>
            </w:pPr>
            <w:r w:rsidRPr="00787A69">
              <w:t xml:space="preserve">Implementation of FMLA </w:t>
            </w:r>
            <w:r w:rsidR="00A908B5" w:rsidRPr="00787A69">
              <w:t>(</w:t>
            </w:r>
            <w:r w:rsidRPr="00787A69">
              <w:t xml:space="preserve">Covered </w:t>
            </w:r>
            <w:r w:rsidR="00A908B5" w:rsidRPr="00787A69">
              <w:t>e</w:t>
            </w:r>
            <w:r w:rsidRPr="00787A69">
              <w:t>mployers</w:t>
            </w:r>
            <w:r w:rsidR="00A908B5" w:rsidRPr="00787A69">
              <w:t>)</w:t>
            </w:r>
          </w:p>
          <w:p w14:paraId="0614775C" w14:textId="3DFCD282" w:rsidR="00A908B5" w:rsidRPr="00787A69" w:rsidRDefault="000C41F5" w:rsidP="00A908B5">
            <w:pPr>
              <w:pStyle w:val="ExhibitBullet1"/>
            </w:pPr>
            <w:r w:rsidRPr="00787A69">
              <w:t>Use of FMLA by Employees at this Covered Location</w:t>
            </w:r>
          </w:p>
          <w:p w14:paraId="71DE26EE" w14:textId="23AAD8FA" w:rsidR="000C41F5" w:rsidRPr="00787A69" w:rsidRDefault="000C41F5" w:rsidP="00A908B5">
            <w:pPr>
              <w:pStyle w:val="ExhibitBullet1"/>
            </w:pPr>
            <w:r w:rsidRPr="00787A69">
              <w:t>All Employers FMLA Covered and Non-Covered</w:t>
            </w:r>
          </w:p>
        </w:tc>
        <w:tc>
          <w:tcPr>
            <w:tcW w:w="2683" w:type="dxa"/>
          </w:tcPr>
          <w:p w14:paraId="72887A9C" w14:textId="340EF578" w:rsidR="000C41F5" w:rsidRPr="00787A69" w:rsidRDefault="000C41F5" w:rsidP="0063663F">
            <w:pPr>
              <w:pStyle w:val="ExhibitText"/>
              <w:rPr>
                <w:szCs w:val="22"/>
              </w:rPr>
            </w:pPr>
            <w:r w:rsidRPr="00787A69">
              <w:rPr>
                <w:szCs w:val="22"/>
              </w:rPr>
              <w:t xml:space="preserve">Q16X_5, </w:t>
            </w:r>
            <w:r w:rsidR="0063663F" w:rsidRPr="00787A69">
              <w:rPr>
                <w:szCs w:val="22"/>
              </w:rPr>
              <w:t>Q57_1-3</w:t>
            </w:r>
            <w:r w:rsidRPr="00787A69">
              <w:rPr>
                <w:szCs w:val="22"/>
              </w:rPr>
              <w:t>, Q23-24, Q44C, Q61</w:t>
            </w:r>
            <w:r w:rsidR="00C37703" w:rsidRPr="00787A69">
              <w:rPr>
                <w:szCs w:val="22"/>
              </w:rPr>
              <w:t>X-bX</w:t>
            </w:r>
          </w:p>
        </w:tc>
      </w:tr>
      <w:tr w:rsidR="000C41F5" w:rsidRPr="00787A69" w14:paraId="5ECE275A" w14:textId="77777777" w:rsidTr="00C2551C">
        <w:trPr>
          <w:cnfStyle w:val="000000010000" w:firstRow="0" w:lastRow="0" w:firstColumn="0" w:lastColumn="0" w:oddVBand="0" w:evenVBand="0" w:oddHBand="0" w:evenHBand="1" w:firstRowFirstColumn="0" w:firstRowLastColumn="0" w:lastRowFirstColumn="0" w:lastRowLastColumn="0"/>
          <w:cantSplit/>
        </w:trPr>
        <w:tc>
          <w:tcPr>
            <w:tcW w:w="1807" w:type="dxa"/>
          </w:tcPr>
          <w:p w14:paraId="67666882" w14:textId="27249733" w:rsidR="000C41F5" w:rsidRPr="00787A69" w:rsidRDefault="000C41F5" w:rsidP="00A908B5">
            <w:pPr>
              <w:pStyle w:val="ExhibitText"/>
              <w:rPr>
                <w:szCs w:val="22"/>
              </w:rPr>
            </w:pPr>
            <w:r w:rsidRPr="00787A69">
              <w:rPr>
                <w:szCs w:val="22"/>
              </w:rPr>
              <w:t xml:space="preserve">Leave Requirements </w:t>
            </w:r>
            <w:r w:rsidR="00A908B5" w:rsidRPr="00787A69">
              <w:rPr>
                <w:szCs w:val="22"/>
              </w:rPr>
              <w:t>and</w:t>
            </w:r>
            <w:r w:rsidRPr="00787A69">
              <w:rPr>
                <w:szCs w:val="22"/>
              </w:rPr>
              <w:t xml:space="preserve"> Practices</w:t>
            </w:r>
          </w:p>
        </w:tc>
        <w:tc>
          <w:tcPr>
            <w:tcW w:w="3949" w:type="dxa"/>
          </w:tcPr>
          <w:p w14:paraId="5EC43D82" w14:textId="1885B1CA" w:rsidR="000C41F5" w:rsidRPr="00787A69" w:rsidRDefault="000C41F5" w:rsidP="000C41F5">
            <w:pPr>
              <w:pStyle w:val="ExhibitText"/>
              <w:rPr>
                <w:szCs w:val="22"/>
              </w:rPr>
            </w:pPr>
            <w:r w:rsidRPr="00787A69">
              <w:rPr>
                <w:szCs w:val="22"/>
              </w:rPr>
              <w:t>To determine the length of notice employees give to employers before taking leave (both according to company policy and in practice), and examine the process of obtaining medical certification and clearance to return to work.</w:t>
            </w:r>
          </w:p>
        </w:tc>
        <w:tc>
          <w:tcPr>
            <w:tcW w:w="2981" w:type="dxa"/>
          </w:tcPr>
          <w:p w14:paraId="5A33B44D" w14:textId="41C94E6D" w:rsidR="00A908B5" w:rsidRPr="00787A69" w:rsidRDefault="000C41F5" w:rsidP="00A908B5">
            <w:pPr>
              <w:pStyle w:val="ExhibitBullet1"/>
            </w:pPr>
            <w:r w:rsidRPr="00787A69">
              <w:t>Notification</w:t>
            </w:r>
          </w:p>
          <w:p w14:paraId="0C98CA70" w14:textId="62D28FB3" w:rsidR="00A908B5" w:rsidRPr="00787A69" w:rsidRDefault="000C41F5" w:rsidP="00A908B5">
            <w:pPr>
              <w:pStyle w:val="ExhibitBullet1"/>
            </w:pPr>
            <w:r w:rsidRPr="00787A69">
              <w:t>Medical Certification</w:t>
            </w:r>
          </w:p>
          <w:p w14:paraId="29788EDA" w14:textId="5C024A81" w:rsidR="000C41F5" w:rsidRPr="00787A69" w:rsidRDefault="000C41F5" w:rsidP="00A908B5">
            <w:pPr>
              <w:pStyle w:val="ExhibitBullet1"/>
            </w:pPr>
            <w:r w:rsidRPr="00787A69">
              <w:t>Post Leave</w:t>
            </w:r>
          </w:p>
        </w:tc>
        <w:tc>
          <w:tcPr>
            <w:tcW w:w="2970" w:type="dxa"/>
          </w:tcPr>
          <w:p w14:paraId="5C9AE3B5" w14:textId="42DFB9A4" w:rsidR="00A908B5" w:rsidRPr="00787A69" w:rsidRDefault="000C41F5" w:rsidP="00A908B5">
            <w:pPr>
              <w:pStyle w:val="ExhibitBullet1"/>
            </w:pPr>
            <w:r w:rsidRPr="00787A69">
              <w:t>Background Information about the Establishment's Employees (All worksites)</w:t>
            </w:r>
          </w:p>
          <w:p w14:paraId="3D1E795C" w14:textId="1BE1ACD6" w:rsidR="00A908B5" w:rsidRPr="00787A69" w:rsidRDefault="000C41F5" w:rsidP="00A908B5">
            <w:pPr>
              <w:pStyle w:val="ExhibitBullet1"/>
            </w:pPr>
            <w:r w:rsidRPr="00787A69">
              <w:t>Use of FMLA by Employees at this Covered Location</w:t>
            </w:r>
          </w:p>
          <w:p w14:paraId="110D06E2" w14:textId="73F690AF" w:rsidR="000C41F5" w:rsidRPr="00787A69" w:rsidRDefault="000C41F5" w:rsidP="00A908B5">
            <w:pPr>
              <w:pStyle w:val="ExhibitBullet1"/>
            </w:pPr>
            <w:r w:rsidRPr="00787A69">
              <w:t xml:space="preserve">Implementation of FMLA </w:t>
            </w:r>
            <w:r w:rsidR="00A908B5" w:rsidRPr="00787A69">
              <w:t>(</w:t>
            </w:r>
            <w:r w:rsidRPr="00787A69">
              <w:t xml:space="preserve">Covered </w:t>
            </w:r>
            <w:r w:rsidR="00A908B5" w:rsidRPr="00787A69">
              <w:t>e</w:t>
            </w:r>
            <w:r w:rsidRPr="00787A69">
              <w:t>mployers</w:t>
            </w:r>
            <w:r w:rsidR="00A908B5" w:rsidRPr="00787A69">
              <w:t>)</w:t>
            </w:r>
          </w:p>
        </w:tc>
        <w:tc>
          <w:tcPr>
            <w:tcW w:w="2683" w:type="dxa"/>
          </w:tcPr>
          <w:p w14:paraId="3BCDBCBB" w14:textId="17081F3B" w:rsidR="000C41F5" w:rsidRPr="00787A69" w:rsidRDefault="000C41F5" w:rsidP="000C41F5">
            <w:pPr>
              <w:pStyle w:val="ExhibitText"/>
              <w:rPr>
                <w:szCs w:val="22"/>
              </w:rPr>
            </w:pPr>
            <w:r w:rsidRPr="00787A69">
              <w:rPr>
                <w:szCs w:val="22"/>
              </w:rPr>
              <w:t>Q15</w:t>
            </w:r>
            <w:r w:rsidR="0063663F" w:rsidRPr="00787A69">
              <w:rPr>
                <w:szCs w:val="22"/>
              </w:rPr>
              <w:t>-15a</w:t>
            </w:r>
            <w:r w:rsidRPr="00787A69">
              <w:rPr>
                <w:szCs w:val="22"/>
              </w:rPr>
              <w:t>, Q16X_2-3, Q25-26</w:t>
            </w:r>
            <w:r w:rsidR="0063663F" w:rsidRPr="00787A69">
              <w:rPr>
                <w:szCs w:val="22"/>
              </w:rPr>
              <w:t>a</w:t>
            </w:r>
            <w:r w:rsidRPr="00787A69">
              <w:rPr>
                <w:szCs w:val="22"/>
              </w:rPr>
              <w:t>, Q34-39, Q44A-B, Q48</w:t>
            </w:r>
            <w:r w:rsidR="0063663F" w:rsidRPr="00787A69">
              <w:rPr>
                <w:szCs w:val="22"/>
              </w:rPr>
              <w:t>-48a</w:t>
            </w:r>
          </w:p>
        </w:tc>
      </w:tr>
      <w:tr w:rsidR="000C41F5" w:rsidRPr="00787A69" w14:paraId="7A215D9C" w14:textId="77777777" w:rsidTr="00C2551C">
        <w:trPr>
          <w:cantSplit/>
        </w:trPr>
        <w:tc>
          <w:tcPr>
            <w:tcW w:w="1807" w:type="dxa"/>
          </w:tcPr>
          <w:p w14:paraId="24492ACD" w14:textId="6D11265A" w:rsidR="000C41F5" w:rsidRPr="00787A69" w:rsidRDefault="000C41F5" w:rsidP="000C41F5">
            <w:pPr>
              <w:pStyle w:val="ExhibitText"/>
              <w:rPr>
                <w:szCs w:val="22"/>
              </w:rPr>
            </w:pPr>
            <w:r w:rsidRPr="00787A69">
              <w:rPr>
                <w:szCs w:val="22"/>
              </w:rPr>
              <w:t>Perceptions of the FMLA</w:t>
            </w:r>
          </w:p>
        </w:tc>
        <w:tc>
          <w:tcPr>
            <w:tcW w:w="3949" w:type="dxa"/>
          </w:tcPr>
          <w:p w14:paraId="25FBC9AC" w14:textId="45F92E20" w:rsidR="000C41F5" w:rsidRPr="00787A69" w:rsidRDefault="000C41F5" w:rsidP="000C41F5">
            <w:pPr>
              <w:pStyle w:val="ExhibitText"/>
              <w:rPr>
                <w:szCs w:val="22"/>
              </w:rPr>
            </w:pPr>
            <w:r w:rsidRPr="00787A69">
              <w:rPr>
                <w:szCs w:val="22"/>
              </w:rPr>
              <w:t>To provide information on the perceived impact on employers of their employees taking leave under the FMLA.</w:t>
            </w:r>
          </w:p>
        </w:tc>
        <w:tc>
          <w:tcPr>
            <w:tcW w:w="2981" w:type="dxa"/>
          </w:tcPr>
          <w:p w14:paraId="552299C2" w14:textId="55198BE0" w:rsidR="00A908B5" w:rsidRPr="00787A69" w:rsidRDefault="000C41F5" w:rsidP="00A908B5">
            <w:pPr>
              <w:pStyle w:val="ExhibitBullet1"/>
            </w:pPr>
            <w:r w:rsidRPr="00787A69">
              <w:t>Costs</w:t>
            </w:r>
          </w:p>
          <w:p w14:paraId="2B71916D" w14:textId="5017E56B" w:rsidR="00A908B5" w:rsidRPr="00787A69" w:rsidRDefault="000C41F5" w:rsidP="00A908B5">
            <w:pPr>
              <w:pStyle w:val="ExhibitBullet1"/>
            </w:pPr>
            <w:r w:rsidRPr="00787A69">
              <w:t>Administration/Compliance</w:t>
            </w:r>
          </w:p>
          <w:p w14:paraId="3EE4D64B" w14:textId="22D920A6" w:rsidR="00A908B5" w:rsidRPr="00787A69" w:rsidRDefault="000C41F5" w:rsidP="00A908B5">
            <w:pPr>
              <w:pStyle w:val="ExhibitBullet1"/>
            </w:pPr>
            <w:r w:rsidRPr="00787A69">
              <w:t>Ease of Accom</w:t>
            </w:r>
            <w:r w:rsidR="00A908B5" w:rsidRPr="00787A69">
              <w:t>m</w:t>
            </w:r>
            <w:r w:rsidR="00491AFD" w:rsidRPr="00787A69">
              <w:t>odating Leave-t</w:t>
            </w:r>
            <w:r w:rsidRPr="00787A69">
              <w:t>akers</w:t>
            </w:r>
          </w:p>
          <w:p w14:paraId="4774A519" w14:textId="0D6A0D11" w:rsidR="000C41F5" w:rsidRPr="00787A69" w:rsidRDefault="000C41F5" w:rsidP="00A908B5">
            <w:pPr>
              <w:pStyle w:val="ExhibitBullet1"/>
            </w:pPr>
            <w:r w:rsidRPr="00787A69">
              <w:t>Effects</w:t>
            </w:r>
          </w:p>
        </w:tc>
        <w:tc>
          <w:tcPr>
            <w:tcW w:w="2970" w:type="dxa"/>
          </w:tcPr>
          <w:p w14:paraId="6BFDD0F6" w14:textId="0540CEFD" w:rsidR="00A908B5" w:rsidRPr="00787A69" w:rsidRDefault="000C41F5" w:rsidP="00A908B5">
            <w:pPr>
              <w:pStyle w:val="ExhibitBullet1"/>
            </w:pPr>
            <w:r w:rsidRPr="00787A69">
              <w:t xml:space="preserve">Implementation of FMLA </w:t>
            </w:r>
            <w:r w:rsidR="00A908B5" w:rsidRPr="00787A69">
              <w:t>(</w:t>
            </w:r>
            <w:r w:rsidRPr="00787A69">
              <w:t xml:space="preserve">Covered </w:t>
            </w:r>
            <w:r w:rsidR="00A908B5" w:rsidRPr="00787A69">
              <w:t>e</w:t>
            </w:r>
            <w:r w:rsidRPr="00787A69">
              <w:t>mployers</w:t>
            </w:r>
            <w:r w:rsidR="00A908B5" w:rsidRPr="00787A69">
              <w:t>)</w:t>
            </w:r>
          </w:p>
          <w:p w14:paraId="60EE9336" w14:textId="31B8EDD1" w:rsidR="000C41F5" w:rsidRPr="00787A69" w:rsidRDefault="000C41F5" w:rsidP="00A908B5">
            <w:pPr>
              <w:pStyle w:val="ExhibitBullet1"/>
            </w:pPr>
            <w:r w:rsidRPr="00787A69">
              <w:t>All Employers FMLA Covered and Non-Covered</w:t>
            </w:r>
          </w:p>
        </w:tc>
        <w:tc>
          <w:tcPr>
            <w:tcW w:w="2683" w:type="dxa"/>
          </w:tcPr>
          <w:p w14:paraId="3B92645F" w14:textId="75EF7E1E" w:rsidR="000C41F5" w:rsidRPr="00787A69" w:rsidRDefault="000C41F5" w:rsidP="000C41F5">
            <w:pPr>
              <w:pStyle w:val="ExhibitText"/>
              <w:rPr>
                <w:szCs w:val="22"/>
              </w:rPr>
            </w:pPr>
            <w:r w:rsidRPr="00787A69">
              <w:rPr>
                <w:szCs w:val="22"/>
              </w:rPr>
              <w:t>Q49-56, Q67A-E</w:t>
            </w:r>
          </w:p>
        </w:tc>
      </w:tr>
    </w:tbl>
    <w:p w14:paraId="0976CA91" w14:textId="77777777" w:rsidR="002E3973" w:rsidRPr="00787A69" w:rsidRDefault="002E3973" w:rsidP="00F60672">
      <w:pPr>
        <w:pStyle w:val="BodyText"/>
        <w:rPr>
          <w:szCs w:val="22"/>
        </w:rPr>
      </w:pPr>
    </w:p>
    <w:p w14:paraId="2D45DEEA" w14:textId="77777777" w:rsidR="00614ECD" w:rsidRPr="00787A69" w:rsidRDefault="00614ECD" w:rsidP="00610FFE">
      <w:pPr>
        <w:pStyle w:val="BodyText"/>
        <w:sectPr w:rsidR="00614ECD" w:rsidRPr="00787A69" w:rsidSect="004138AB">
          <w:footerReference w:type="default" r:id="rId14"/>
          <w:pgSz w:w="15840" w:h="12240" w:orient="landscape" w:code="1"/>
          <w:pgMar w:top="1440" w:right="720" w:bottom="1440" w:left="720" w:header="1080" w:footer="720" w:gutter="0"/>
          <w:cols w:space="720"/>
          <w:docGrid w:linePitch="299"/>
        </w:sectPr>
      </w:pPr>
    </w:p>
    <w:p w14:paraId="6C85805C" w14:textId="225173EA" w:rsidR="00610FFE" w:rsidRPr="00787A69" w:rsidRDefault="007F18EC" w:rsidP="00610FFE">
      <w:pPr>
        <w:pStyle w:val="BodyText"/>
      </w:pPr>
      <w:r w:rsidRPr="00787A69">
        <w:t>Additional information about the respondent universe</w:t>
      </w:r>
      <w:r w:rsidR="00A908B5" w:rsidRPr="00787A69">
        <w:t>,</w:t>
      </w:r>
      <w:r w:rsidRPr="00787A69">
        <w:t xml:space="preserve"> sampling methods, </w:t>
      </w:r>
      <w:r w:rsidR="00A908B5" w:rsidRPr="00787A69">
        <w:t xml:space="preserve">and </w:t>
      </w:r>
      <w:r w:rsidRPr="00787A69">
        <w:t xml:space="preserve">data collection procedures, </w:t>
      </w:r>
      <w:r w:rsidR="00615BD4" w:rsidRPr="00787A69">
        <w:t>as well as</w:t>
      </w:r>
      <w:r w:rsidRPr="00787A69">
        <w:t xml:space="preserve"> efforts to maximize response rates</w:t>
      </w:r>
      <w:r w:rsidR="00615BD4" w:rsidRPr="00787A69">
        <w:t xml:space="preserve"> for the Employer Survey</w:t>
      </w:r>
      <w:r w:rsidR="00A908B5" w:rsidRPr="00787A69">
        <w:t>,</w:t>
      </w:r>
      <w:r w:rsidR="00615BD4" w:rsidRPr="00787A69">
        <w:t xml:space="preserve"> can be found</w:t>
      </w:r>
      <w:r w:rsidRPr="00787A69">
        <w:t xml:space="preserve"> in Part B. </w:t>
      </w:r>
    </w:p>
    <w:p w14:paraId="589A42F4" w14:textId="7BB2DDEB" w:rsidR="00610FFE" w:rsidRPr="00787A69" w:rsidRDefault="00673F76" w:rsidP="000C41F5">
      <w:pPr>
        <w:pStyle w:val="Heading3"/>
      </w:pPr>
      <w:bookmarkStart w:id="5" w:name="_Toc486315510"/>
      <w:r w:rsidRPr="00787A69">
        <w:t>A.2.2</w:t>
      </w:r>
      <w:r w:rsidRPr="00787A69">
        <w:tab/>
      </w:r>
      <w:r w:rsidR="00A029E1" w:rsidRPr="00787A69">
        <w:t>How the Survey Findings Will Be Used</w:t>
      </w:r>
      <w:bookmarkEnd w:id="5"/>
    </w:p>
    <w:p w14:paraId="31077C75" w14:textId="21FD1C43" w:rsidR="00A029E1" w:rsidRPr="00787A69" w:rsidRDefault="00A029E1" w:rsidP="00610FFE">
      <w:pPr>
        <w:pStyle w:val="BodyText"/>
        <w:rPr>
          <w:szCs w:val="22"/>
        </w:rPr>
      </w:pPr>
      <w:r w:rsidRPr="00787A69">
        <w:rPr>
          <w:szCs w:val="22"/>
        </w:rPr>
        <w:t xml:space="preserve">DOL’s contractor will compile an analytical research report on the results of these surveys. </w:t>
      </w:r>
      <w:r w:rsidR="002E4606" w:rsidRPr="00787A69">
        <w:rPr>
          <w:szCs w:val="22"/>
        </w:rPr>
        <w:t xml:space="preserve">We anticipate that information will be used by policy makers and researchers both inside and outside of government to analyze the current state of family and medical leave as well as make comparisons with 2012. The results will be primarily descriptive in nature since the study cannot </w:t>
      </w:r>
      <w:r w:rsidR="00610FFE" w:rsidRPr="00787A69">
        <w:rPr>
          <w:szCs w:val="22"/>
        </w:rPr>
        <w:t>provide evidence of causal effects of FMLA.</w:t>
      </w:r>
      <w:r w:rsidR="00F04D0C" w:rsidRPr="00787A69">
        <w:rPr>
          <w:szCs w:val="22"/>
        </w:rPr>
        <w:t xml:space="preserve"> </w:t>
      </w:r>
      <w:r w:rsidR="002E4606" w:rsidRPr="00787A69">
        <w:rPr>
          <w:szCs w:val="22"/>
        </w:rPr>
        <w:t xml:space="preserve">To the extent feasible however, </w:t>
      </w:r>
      <w:r w:rsidR="00610FFE" w:rsidRPr="00787A69">
        <w:rPr>
          <w:szCs w:val="22"/>
        </w:rPr>
        <w:t xml:space="preserve">regression-adjusted comparisons will be reported for some outcomes to provide results that are “closer to </w:t>
      </w:r>
      <w:r w:rsidR="00A908B5" w:rsidRPr="00787A69">
        <w:rPr>
          <w:szCs w:val="22"/>
        </w:rPr>
        <w:t>causal.</w:t>
      </w:r>
      <w:r w:rsidR="00610FFE" w:rsidRPr="00787A69">
        <w:rPr>
          <w:szCs w:val="22"/>
        </w:rPr>
        <w:t>”</w:t>
      </w:r>
    </w:p>
    <w:p w14:paraId="009A9D77" w14:textId="15D67588" w:rsidR="00C337DA" w:rsidRPr="00787A69" w:rsidRDefault="00C337DA" w:rsidP="00C337DA">
      <w:pPr>
        <w:pStyle w:val="Heading2"/>
        <w:numPr>
          <w:ilvl w:val="0"/>
          <w:numId w:val="0"/>
        </w:numPr>
        <w:ind w:left="720" w:hanging="720"/>
      </w:pPr>
      <w:bookmarkStart w:id="6" w:name="_Toc486315511"/>
      <w:r w:rsidRPr="00787A69">
        <w:t>A</w:t>
      </w:r>
      <w:r w:rsidR="00A72D77" w:rsidRPr="00787A69">
        <w:t>.</w:t>
      </w:r>
      <w:r w:rsidRPr="00787A69">
        <w:t xml:space="preserve">3. </w:t>
      </w:r>
      <w:r w:rsidR="0024418A" w:rsidRPr="00787A69">
        <w:tab/>
      </w:r>
      <w:r w:rsidRPr="00787A69">
        <w:t>Improved Information Technology to Reduce Burden</w:t>
      </w:r>
      <w:bookmarkEnd w:id="6"/>
    </w:p>
    <w:p w14:paraId="46978AE3" w14:textId="26F3137F" w:rsidR="00325F49" w:rsidRPr="00787A69" w:rsidRDefault="000B488B" w:rsidP="001A6B9A">
      <w:pPr>
        <w:pStyle w:val="BodyText"/>
      </w:pPr>
      <w:r w:rsidRPr="00787A69">
        <w:t>The use of electronic technology potentially provides the opportunity to facilitate the administration and completion of the survey instruments</w:t>
      </w:r>
      <w:r w:rsidR="00A908B5" w:rsidRPr="00787A69">
        <w:t>,</w:t>
      </w:r>
      <w:r w:rsidRPr="00787A69">
        <w:t xml:space="preserve"> ultimately leading to a reduction in respondent burden.</w:t>
      </w:r>
      <w:r w:rsidR="00C33BF7" w:rsidRPr="00787A69">
        <w:t xml:space="preserve"> </w:t>
      </w:r>
      <w:r w:rsidR="00325F49" w:rsidRPr="00787A69">
        <w:t xml:space="preserve">This section discusses </w:t>
      </w:r>
      <w:r w:rsidR="001A6B9A" w:rsidRPr="00787A69">
        <w:t>th</w:t>
      </w:r>
      <w:r w:rsidRPr="00787A69">
        <w:t xml:space="preserve">is issue </w:t>
      </w:r>
      <w:r w:rsidR="00325F49" w:rsidRPr="00787A69">
        <w:t>first for the Employee Su</w:t>
      </w:r>
      <w:r w:rsidR="001A6B9A" w:rsidRPr="00787A69">
        <w:t>rvey and then for the Employer S</w:t>
      </w:r>
      <w:r w:rsidR="00325F49" w:rsidRPr="00787A69">
        <w:t>urvey.</w:t>
      </w:r>
    </w:p>
    <w:p w14:paraId="3EB80A32" w14:textId="4FB64B33" w:rsidR="00C337DA" w:rsidRPr="00787A69" w:rsidRDefault="00A72D77" w:rsidP="00C728CB">
      <w:pPr>
        <w:pStyle w:val="Heading3"/>
      </w:pPr>
      <w:bookmarkStart w:id="7" w:name="_Toc486315512"/>
      <w:r w:rsidRPr="00787A69">
        <w:t>A.3.1</w:t>
      </w:r>
      <w:r w:rsidR="00673F76" w:rsidRPr="00787A69">
        <w:tab/>
      </w:r>
      <w:r w:rsidR="00BB015D" w:rsidRPr="00787A69">
        <w:t>Employee Survey</w:t>
      </w:r>
      <w:bookmarkEnd w:id="7"/>
    </w:p>
    <w:p w14:paraId="356BFC67" w14:textId="47600658" w:rsidR="00BB015D" w:rsidRPr="00787A69" w:rsidRDefault="005A42A1" w:rsidP="00BB015D">
      <w:pPr>
        <w:pStyle w:val="BodyText"/>
      </w:pPr>
      <w:r w:rsidRPr="00787A69">
        <w:t>The study team</w:t>
      </w:r>
      <w:r w:rsidR="001B24C7" w:rsidRPr="00787A69">
        <w:t xml:space="preserve"> will field the E</w:t>
      </w:r>
      <w:r w:rsidR="00BB015D" w:rsidRPr="00787A69">
        <w:t xml:space="preserve">mployee </w:t>
      </w:r>
      <w:r w:rsidR="007419B7" w:rsidRPr="00787A69">
        <w:t>S</w:t>
      </w:r>
      <w:r w:rsidR="00BB015D" w:rsidRPr="00787A69">
        <w:t>urvey using computer</w:t>
      </w:r>
      <w:r w:rsidR="00A908B5" w:rsidRPr="00787A69">
        <w:t>-</w:t>
      </w:r>
      <w:r w:rsidR="00BB015D" w:rsidRPr="00787A69">
        <w:t xml:space="preserve">assisted telephone interview (CATI) </w:t>
      </w:r>
      <w:r w:rsidR="00325F49" w:rsidRPr="00787A69">
        <w:t>methods</w:t>
      </w:r>
      <w:r w:rsidR="00BB015D" w:rsidRPr="00787A69">
        <w:t xml:space="preserve">. </w:t>
      </w:r>
      <w:r w:rsidR="00DA62C0" w:rsidRPr="00787A69">
        <w:t>The study team has taken several steps to m</w:t>
      </w:r>
      <w:r w:rsidR="007419B7" w:rsidRPr="00787A69">
        <w:t xml:space="preserve">inimize burden on respondents. Respondents </w:t>
      </w:r>
      <w:r w:rsidR="00DA62C0" w:rsidRPr="00787A69">
        <w:t xml:space="preserve">will be allowed to </w:t>
      </w:r>
      <w:r w:rsidR="00BB015D" w:rsidRPr="00787A69">
        <w:t>provide the informatio</w:t>
      </w:r>
      <w:r w:rsidR="00581C98" w:rsidRPr="00787A69">
        <w:t xml:space="preserve">n in a short telephone survey. </w:t>
      </w:r>
      <w:r w:rsidR="00A87C1F" w:rsidRPr="00787A69">
        <w:t xml:space="preserve">In addition, respondents </w:t>
      </w:r>
      <w:r w:rsidR="00BB015D" w:rsidRPr="00787A69">
        <w:t>will be offered the opportunity to conduct the survey at a</w:t>
      </w:r>
      <w:r w:rsidR="00581C98" w:rsidRPr="00787A69">
        <w:t xml:space="preserve"> time most convenient to them</w:t>
      </w:r>
      <w:r w:rsidR="00A908B5" w:rsidRPr="00787A69">
        <w:t xml:space="preserve">, and given </w:t>
      </w:r>
      <w:r w:rsidR="00BB015D" w:rsidRPr="00787A69">
        <w:t xml:space="preserve">a toll-free number to </w:t>
      </w:r>
      <w:r w:rsidR="00A908B5" w:rsidRPr="00787A69">
        <w:t xml:space="preserve">call to </w:t>
      </w:r>
      <w:r w:rsidR="00BB015D" w:rsidRPr="00787A69">
        <w:t xml:space="preserve">schedule or conduct </w:t>
      </w:r>
      <w:r w:rsidR="00A908B5" w:rsidRPr="00787A69">
        <w:t>it.</w:t>
      </w:r>
      <w:r w:rsidR="001B24C7" w:rsidRPr="00787A69">
        <w:t xml:space="preserve"> </w:t>
      </w:r>
      <w:r w:rsidR="00BB015D" w:rsidRPr="00787A69">
        <w:t>Following standard survey protocol, respondents will be informed that they may cho</w:t>
      </w:r>
      <w:r w:rsidR="00A908B5" w:rsidRPr="00787A69">
        <w:t>o</w:t>
      </w:r>
      <w:r w:rsidR="00BB015D" w:rsidRPr="00787A69">
        <w:t>se not to answer any question and that they m</w:t>
      </w:r>
      <w:r w:rsidR="001B24C7" w:rsidRPr="00787A69">
        <w:t xml:space="preserve">ay end the survey at any time. </w:t>
      </w:r>
      <w:r w:rsidR="00BB015D" w:rsidRPr="00787A69">
        <w:t>Further</w:t>
      </w:r>
      <w:r w:rsidR="00A87C1F" w:rsidRPr="00787A69">
        <w:t>more</w:t>
      </w:r>
      <w:r w:rsidR="00BB015D" w:rsidRPr="00787A69">
        <w:t>, respondent</w:t>
      </w:r>
      <w:r w:rsidR="00D21A9C" w:rsidRPr="00787A69">
        <w:t>s</w:t>
      </w:r>
      <w:r w:rsidR="00BB015D" w:rsidRPr="00787A69">
        <w:t xml:space="preserve"> will be offered the opportunity to begin the survey in one session and</w:t>
      </w:r>
      <w:r w:rsidR="001B24C7" w:rsidRPr="00787A69">
        <w:t xml:space="preserve"> finish it in another session. </w:t>
      </w:r>
    </w:p>
    <w:p w14:paraId="0ABEC5E6" w14:textId="14B3F0CF" w:rsidR="00BB015D" w:rsidRPr="00787A69" w:rsidRDefault="00A72D77" w:rsidP="00C728CB">
      <w:pPr>
        <w:pStyle w:val="Heading3"/>
      </w:pPr>
      <w:bookmarkStart w:id="8" w:name="_Toc486315513"/>
      <w:r w:rsidRPr="00787A69">
        <w:t>A.3.2</w:t>
      </w:r>
      <w:r w:rsidR="00673F76" w:rsidRPr="00787A69">
        <w:tab/>
      </w:r>
      <w:r w:rsidR="00BB015D" w:rsidRPr="00787A69">
        <w:t>Employer Survey</w:t>
      </w:r>
      <w:bookmarkEnd w:id="8"/>
    </w:p>
    <w:p w14:paraId="53BAD129" w14:textId="77777777" w:rsidR="00ED113C" w:rsidRPr="00787A69" w:rsidRDefault="001B24C7" w:rsidP="00ED113C">
      <w:pPr>
        <w:pStyle w:val="BodyText"/>
      </w:pPr>
      <w:r w:rsidRPr="00787A69">
        <w:t>The Employer</w:t>
      </w:r>
      <w:r w:rsidR="007419B7" w:rsidRPr="00787A69">
        <w:t xml:space="preserve"> S</w:t>
      </w:r>
      <w:r w:rsidR="00BB015D" w:rsidRPr="00787A69">
        <w:t>urvey will use a combination of internet admin</w:t>
      </w:r>
      <w:r w:rsidR="00581C98" w:rsidRPr="00787A69">
        <w:t xml:space="preserve">istration and CATI </w:t>
      </w:r>
      <w:r w:rsidR="00325F49" w:rsidRPr="00787A69">
        <w:t>methods</w:t>
      </w:r>
      <w:r w:rsidR="00581C98" w:rsidRPr="00787A69">
        <w:t xml:space="preserve">. </w:t>
      </w:r>
      <w:r w:rsidR="00ED113C" w:rsidRPr="00787A69">
        <w:t xml:space="preserve">The study team has attempted to minimize the burden on respondents by allowing them to provide the information either through the internet or over the phone. </w:t>
      </w:r>
    </w:p>
    <w:p w14:paraId="40F6EC1C" w14:textId="38FDBB0E" w:rsidR="0086598C" w:rsidRPr="00787A69" w:rsidRDefault="00187502" w:rsidP="00BB015D">
      <w:pPr>
        <w:pStyle w:val="BodyText"/>
      </w:pPr>
      <w:r w:rsidRPr="00787A69">
        <w:t>To determine the eligibility of a worksite and the name and contact information of the person who is the most appropriate to complete the survey questionnaire given the nature of the information re</w:t>
      </w:r>
      <w:r w:rsidR="000262A2" w:rsidRPr="00787A69">
        <w:t xml:space="preserve">quested (the “key informant”), the study team </w:t>
      </w:r>
      <w:r w:rsidRPr="00787A69">
        <w:t>will first call each worksite and conduct a short telephone screener survey</w:t>
      </w:r>
      <w:r w:rsidR="000262A2" w:rsidRPr="00787A69">
        <w:t xml:space="preserve"> (see </w:t>
      </w:r>
      <w:r w:rsidR="00A87C1F" w:rsidRPr="00787A69">
        <w:t xml:space="preserve">Attachment </w:t>
      </w:r>
      <w:r w:rsidR="00DB75E5" w:rsidRPr="00787A69">
        <w:t>B)</w:t>
      </w:r>
      <w:r w:rsidRPr="00787A69">
        <w:t xml:space="preserve">. </w:t>
      </w:r>
      <w:r w:rsidR="00B53740" w:rsidRPr="00787A69">
        <w:t>Once the appropriate employer respondent has been identified (and prior to actual survey administration)</w:t>
      </w:r>
      <w:r w:rsidR="00A908B5" w:rsidRPr="00787A69">
        <w:t>,</w:t>
      </w:r>
      <w:r w:rsidR="00B53740" w:rsidRPr="00787A69">
        <w:t xml:space="preserve"> </w:t>
      </w:r>
      <w:r w:rsidR="005A42A1" w:rsidRPr="00787A69">
        <w:t xml:space="preserve">the study team </w:t>
      </w:r>
      <w:r w:rsidR="004E03BC" w:rsidRPr="00787A69">
        <w:t>will</w:t>
      </w:r>
      <w:r w:rsidR="00325F49" w:rsidRPr="00787A69">
        <w:t xml:space="preserve"> give that key respondent the option of receiving an informational packet by email or mail. The </w:t>
      </w:r>
      <w:r w:rsidR="00DB4840" w:rsidRPr="00787A69">
        <w:t xml:space="preserve">informational </w:t>
      </w:r>
      <w:r w:rsidR="00325F49" w:rsidRPr="00787A69">
        <w:t xml:space="preserve">packet </w:t>
      </w:r>
      <w:r w:rsidR="004E03BC" w:rsidRPr="00787A69">
        <w:t xml:space="preserve">explains </w:t>
      </w:r>
      <w:r w:rsidR="00B53740" w:rsidRPr="00787A69">
        <w:t xml:space="preserve">the survey and </w:t>
      </w:r>
      <w:r w:rsidR="00FA7A91" w:rsidRPr="00787A69">
        <w:t>p</w:t>
      </w:r>
      <w:r w:rsidR="00325F49" w:rsidRPr="00787A69">
        <w:t xml:space="preserve">rovides a list of </w:t>
      </w:r>
      <w:r w:rsidR="00491AFD" w:rsidRPr="00787A69">
        <w:t>information about leave-</w:t>
      </w:r>
      <w:r w:rsidR="00B53740" w:rsidRPr="00787A69">
        <w:t xml:space="preserve">takers that the employer </w:t>
      </w:r>
      <w:r w:rsidR="00325F49" w:rsidRPr="00787A69">
        <w:t>should</w:t>
      </w:r>
      <w:r w:rsidR="00B53740" w:rsidRPr="00787A69">
        <w:t xml:space="preserve"> gather prior to the telephone interview (</w:t>
      </w:r>
      <w:r w:rsidR="00A87C1F" w:rsidRPr="00787A69">
        <w:t xml:space="preserve">Attachment </w:t>
      </w:r>
      <w:r w:rsidR="00DB75E5" w:rsidRPr="00787A69">
        <w:t>C</w:t>
      </w:r>
      <w:r w:rsidR="00B53740" w:rsidRPr="00787A69">
        <w:t xml:space="preserve">). </w:t>
      </w:r>
      <w:r w:rsidR="005A42A1" w:rsidRPr="00787A69">
        <w:t>If the study team is</w:t>
      </w:r>
      <w:r w:rsidR="00C842D2" w:rsidRPr="00787A69">
        <w:t xml:space="preserve"> not able to reach </w:t>
      </w:r>
      <w:r w:rsidR="00FA7A91" w:rsidRPr="00787A69">
        <w:t xml:space="preserve">the </w:t>
      </w:r>
      <w:r w:rsidR="00C842D2" w:rsidRPr="00787A69">
        <w:t xml:space="preserve">identified respondent on the telephone, </w:t>
      </w:r>
      <w:r w:rsidR="005A42A1" w:rsidRPr="00787A69">
        <w:t>it</w:t>
      </w:r>
      <w:r w:rsidR="00C842D2" w:rsidRPr="00787A69">
        <w:t xml:space="preserve"> will mail </w:t>
      </w:r>
      <w:r w:rsidR="00325F49" w:rsidRPr="00787A69">
        <w:t xml:space="preserve">(not email) </w:t>
      </w:r>
      <w:r w:rsidR="00C842D2" w:rsidRPr="00787A69">
        <w:t xml:space="preserve">the materials. </w:t>
      </w:r>
      <w:r w:rsidR="00325F49" w:rsidRPr="00787A69">
        <w:t xml:space="preserve">For those who request email, that </w:t>
      </w:r>
      <w:r w:rsidRPr="00787A69">
        <w:t xml:space="preserve">email will also contain a secure link to take the respondent directly to his/her own landing page to log into the survey. </w:t>
      </w:r>
      <w:r w:rsidR="005E7087" w:rsidRPr="00787A69">
        <w:t>During the telephone screener, i</w:t>
      </w:r>
      <w:r w:rsidRPr="00787A69">
        <w:t xml:space="preserve">nterviewers will </w:t>
      </w:r>
      <w:r w:rsidR="00C842D2" w:rsidRPr="00787A69">
        <w:t xml:space="preserve">first </w:t>
      </w:r>
      <w:r w:rsidRPr="00787A69">
        <w:t xml:space="preserve">walk </w:t>
      </w:r>
      <w:r w:rsidR="00C842D2" w:rsidRPr="00787A69">
        <w:t xml:space="preserve">respondents </w:t>
      </w:r>
      <w:r w:rsidRPr="00787A69">
        <w:t>through how to access the web-based survey on their own.</w:t>
      </w:r>
      <w:r w:rsidR="00C842D2" w:rsidRPr="00787A69">
        <w:t xml:space="preserve"> If they are unwilling or </w:t>
      </w:r>
      <w:r w:rsidR="002743C5" w:rsidRPr="00787A69">
        <w:t>un</w:t>
      </w:r>
      <w:r w:rsidR="00C842D2" w:rsidRPr="00787A69">
        <w:t xml:space="preserve">able to do the survey on the internet, </w:t>
      </w:r>
      <w:r w:rsidR="005A42A1" w:rsidRPr="00787A69">
        <w:t>the study team</w:t>
      </w:r>
      <w:r w:rsidR="00C842D2" w:rsidRPr="00787A69">
        <w:t xml:space="preserve"> will offer the option to complete the survey on the telephone. </w:t>
      </w:r>
    </w:p>
    <w:p w14:paraId="586180EF" w14:textId="67555056" w:rsidR="00C337DA" w:rsidRPr="00787A69" w:rsidRDefault="00C337DA" w:rsidP="00980603">
      <w:pPr>
        <w:pStyle w:val="Heading2"/>
        <w:numPr>
          <w:ilvl w:val="0"/>
          <w:numId w:val="0"/>
        </w:numPr>
      </w:pPr>
      <w:bookmarkStart w:id="9" w:name="_Toc486315514"/>
      <w:r w:rsidRPr="00787A69">
        <w:t>A</w:t>
      </w:r>
      <w:r w:rsidR="00A72D77" w:rsidRPr="00787A69">
        <w:t>.</w:t>
      </w:r>
      <w:r w:rsidRPr="00787A69">
        <w:t xml:space="preserve">4. </w:t>
      </w:r>
      <w:r w:rsidR="0024418A" w:rsidRPr="00787A69">
        <w:tab/>
      </w:r>
      <w:r w:rsidRPr="00787A69">
        <w:t>Efforts to Identify Duplication</w:t>
      </w:r>
      <w:bookmarkEnd w:id="9"/>
    </w:p>
    <w:p w14:paraId="2F9C474A" w14:textId="4D645080" w:rsidR="00C337DA" w:rsidRPr="00787A69" w:rsidRDefault="00A72D77" w:rsidP="00C728CB">
      <w:pPr>
        <w:pStyle w:val="Heading3"/>
      </w:pPr>
      <w:bookmarkStart w:id="10" w:name="_Toc486315515"/>
      <w:r w:rsidRPr="00787A69">
        <w:t>A.4.1</w:t>
      </w:r>
      <w:r w:rsidR="00673F76" w:rsidRPr="00787A69">
        <w:tab/>
      </w:r>
      <w:r w:rsidR="00691EA2" w:rsidRPr="00787A69">
        <w:t>Employee Survey</w:t>
      </w:r>
      <w:bookmarkEnd w:id="10"/>
    </w:p>
    <w:p w14:paraId="19679C08" w14:textId="60220A86" w:rsidR="00691EA2" w:rsidRPr="00787A69" w:rsidRDefault="005A42A1" w:rsidP="00691EA2">
      <w:pPr>
        <w:pStyle w:val="BodyText"/>
      </w:pPr>
      <w:r w:rsidRPr="00787A69">
        <w:t>The study team has</w:t>
      </w:r>
      <w:r w:rsidR="00691EA2" w:rsidRPr="00787A69">
        <w:t xml:space="preserve"> designed the survey to provide comparison data for the FMLA Employee Survey conducted by the DOL Commission on Family and Medical Leave in 1995 and by the Department in 2000</w:t>
      </w:r>
      <w:r w:rsidR="00BC2513" w:rsidRPr="00787A69">
        <w:t xml:space="preserve"> and 2012</w:t>
      </w:r>
      <w:r w:rsidR="00770652" w:rsidRPr="00787A69">
        <w:t xml:space="preserve">. </w:t>
      </w:r>
      <w:r w:rsidR="00691EA2" w:rsidRPr="00787A69">
        <w:t xml:space="preserve">There are no other surveys of a large, random sample of </w:t>
      </w:r>
      <w:r w:rsidR="00C77DA6" w:rsidRPr="00787A69">
        <w:t xml:space="preserve">individuals or households </w:t>
      </w:r>
      <w:r w:rsidR="00691EA2" w:rsidRPr="00787A69">
        <w:t>that asked questions specifically related to the required topics regarding family and medical leave.</w:t>
      </w:r>
    </w:p>
    <w:p w14:paraId="36D99096" w14:textId="0B93E7B3" w:rsidR="00691EA2" w:rsidRPr="00787A69" w:rsidRDefault="00A72D77" w:rsidP="00C728CB">
      <w:pPr>
        <w:pStyle w:val="Heading3"/>
      </w:pPr>
      <w:bookmarkStart w:id="11" w:name="_Toc486315516"/>
      <w:r w:rsidRPr="00787A69">
        <w:t>A.4.2</w:t>
      </w:r>
      <w:r w:rsidR="00673F76" w:rsidRPr="00787A69">
        <w:tab/>
      </w:r>
      <w:r w:rsidR="00691EA2" w:rsidRPr="00787A69">
        <w:t>Employer Survey</w:t>
      </w:r>
      <w:bookmarkEnd w:id="11"/>
    </w:p>
    <w:p w14:paraId="538C8E60" w14:textId="6B677169" w:rsidR="00691EA2" w:rsidRPr="00787A69" w:rsidRDefault="005A42A1" w:rsidP="00691EA2">
      <w:pPr>
        <w:pStyle w:val="BodyText"/>
      </w:pPr>
      <w:r w:rsidRPr="00787A69">
        <w:t>The study team has</w:t>
      </w:r>
      <w:r w:rsidR="00691EA2" w:rsidRPr="00787A69">
        <w:t xml:space="preserve"> designed the survey to provide comparison data for the FMLA Employer Survey conducted by the DOL Commission on Family and Medical Leave in 1995 and by the Department in 2000</w:t>
      </w:r>
      <w:r w:rsidR="00BC2513" w:rsidRPr="00787A69">
        <w:t xml:space="preserve"> and 2012</w:t>
      </w:r>
      <w:r w:rsidR="00770652" w:rsidRPr="00787A69">
        <w:t xml:space="preserve">. </w:t>
      </w:r>
      <w:r w:rsidR="00691EA2" w:rsidRPr="00787A69">
        <w:t>There are no other surveys of a large, random sample of businesses of diverse sizes that ask questions specifically related to the required topics regarding family and medical leave.</w:t>
      </w:r>
    </w:p>
    <w:p w14:paraId="523EE871" w14:textId="4EF7DC97" w:rsidR="00C337DA" w:rsidRPr="00787A69" w:rsidRDefault="00C337DA" w:rsidP="00C337DA">
      <w:pPr>
        <w:pStyle w:val="Heading2"/>
        <w:numPr>
          <w:ilvl w:val="0"/>
          <w:numId w:val="0"/>
        </w:numPr>
        <w:ind w:left="720" w:hanging="720"/>
      </w:pPr>
      <w:bookmarkStart w:id="12" w:name="_Toc486315517"/>
      <w:r w:rsidRPr="00787A69">
        <w:t>A</w:t>
      </w:r>
      <w:r w:rsidR="00A72D77" w:rsidRPr="00787A69">
        <w:t>.</w:t>
      </w:r>
      <w:r w:rsidRPr="00787A69">
        <w:t xml:space="preserve">5. </w:t>
      </w:r>
      <w:r w:rsidR="0024418A" w:rsidRPr="00787A69">
        <w:tab/>
      </w:r>
      <w:r w:rsidRPr="00787A69">
        <w:t>Involvement of Small Organizations</w:t>
      </w:r>
      <w:bookmarkEnd w:id="12"/>
    </w:p>
    <w:p w14:paraId="526822A6" w14:textId="5DF56447" w:rsidR="00C337DA" w:rsidRPr="00787A69" w:rsidRDefault="00A72D77" w:rsidP="00C728CB">
      <w:pPr>
        <w:pStyle w:val="Heading3"/>
      </w:pPr>
      <w:bookmarkStart w:id="13" w:name="_Toc486315518"/>
      <w:r w:rsidRPr="00787A69">
        <w:t>A.5.1</w:t>
      </w:r>
      <w:r w:rsidR="00673F76" w:rsidRPr="00787A69">
        <w:tab/>
      </w:r>
      <w:r w:rsidR="004F6171" w:rsidRPr="00787A69">
        <w:t>Employee Survey</w:t>
      </w:r>
      <w:bookmarkEnd w:id="13"/>
    </w:p>
    <w:p w14:paraId="00060DDB" w14:textId="77777777" w:rsidR="004F6171" w:rsidRPr="00787A69" w:rsidRDefault="004F6171" w:rsidP="004F6171">
      <w:pPr>
        <w:pStyle w:val="BodyText"/>
      </w:pPr>
      <w:r w:rsidRPr="00787A69">
        <w:t xml:space="preserve">The </w:t>
      </w:r>
      <w:r w:rsidR="009361D9" w:rsidRPr="00787A69">
        <w:t>CATI</w:t>
      </w:r>
      <w:r w:rsidRPr="00787A69">
        <w:t xml:space="preserve"> technique </w:t>
      </w:r>
      <w:r w:rsidR="00272871" w:rsidRPr="00787A69">
        <w:t>is being used for the Employee S</w:t>
      </w:r>
      <w:r w:rsidRPr="00787A69">
        <w:t>urvey to minimize burden on leave taking and l</w:t>
      </w:r>
      <w:r w:rsidR="00E9781C" w:rsidRPr="00787A69">
        <w:t xml:space="preserve">eave needing employees. </w:t>
      </w:r>
      <w:r w:rsidRPr="00787A69">
        <w:t>Small businesses and other small entities are not involved.</w:t>
      </w:r>
    </w:p>
    <w:p w14:paraId="034E2BFB" w14:textId="7F081F80" w:rsidR="004F6171" w:rsidRPr="00787A69" w:rsidRDefault="00673F76" w:rsidP="00C728CB">
      <w:pPr>
        <w:pStyle w:val="Heading3"/>
      </w:pPr>
      <w:bookmarkStart w:id="14" w:name="_Toc486315519"/>
      <w:r w:rsidRPr="00787A69">
        <w:t>A.5.2</w:t>
      </w:r>
      <w:r w:rsidRPr="00787A69">
        <w:tab/>
      </w:r>
      <w:r w:rsidR="004F6171" w:rsidRPr="00787A69">
        <w:t>Employer Survey</w:t>
      </w:r>
      <w:bookmarkEnd w:id="14"/>
    </w:p>
    <w:p w14:paraId="68F9F01C" w14:textId="3D6543E4" w:rsidR="00551543" w:rsidRPr="00787A69" w:rsidRDefault="004F6171" w:rsidP="004F6171">
      <w:pPr>
        <w:pStyle w:val="BodyText"/>
      </w:pPr>
      <w:r w:rsidRPr="00787A69">
        <w:t>About one-third</w:t>
      </w:r>
      <w:r w:rsidR="00272871" w:rsidRPr="00787A69">
        <w:t xml:space="preserve"> of the Employer S</w:t>
      </w:r>
      <w:r w:rsidRPr="00787A69">
        <w:t>urvey respondents are expected to represent small businesses.</w:t>
      </w:r>
      <w:r w:rsidR="005D1C2A" w:rsidRPr="00787A69">
        <w:t xml:space="preserve"> </w:t>
      </w:r>
      <w:r w:rsidRPr="00787A69">
        <w:t>According to the Small Business Association, the Office of Advocacy defines a small business as an independent enterprise ha</w:t>
      </w:r>
      <w:r w:rsidR="00E9781C" w:rsidRPr="00787A69">
        <w:t xml:space="preserve">ving fewer than 500 employees. </w:t>
      </w:r>
      <w:r w:rsidRPr="00787A69">
        <w:t xml:space="preserve">The data collection procedures have been designed to minimize the burden on those </w:t>
      </w:r>
      <w:r w:rsidR="00551543" w:rsidRPr="00787A69">
        <w:t xml:space="preserve">small employers </w:t>
      </w:r>
      <w:r w:rsidRPr="00787A69">
        <w:t xml:space="preserve">as well as representatives from larger organizations through the </w:t>
      </w:r>
      <w:r w:rsidR="00E9781C" w:rsidRPr="00787A69">
        <w:t xml:space="preserve">following: </w:t>
      </w:r>
    </w:p>
    <w:p w14:paraId="577D44F2" w14:textId="199A6C93" w:rsidR="00551543" w:rsidRPr="00787A69" w:rsidRDefault="004F6171" w:rsidP="00BC5E40">
      <w:pPr>
        <w:pStyle w:val="BodyText"/>
        <w:numPr>
          <w:ilvl w:val="0"/>
          <w:numId w:val="23"/>
        </w:numPr>
      </w:pPr>
      <w:r w:rsidRPr="00787A69">
        <w:t>The advance letter and accompanying materials (</w:t>
      </w:r>
      <w:r w:rsidR="005107B7" w:rsidRPr="00787A69">
        <w:t xml:space="preserve">Attachment </w:t>
      </w:r>
      <w:r w:rsidR="00DB75E5" w:rsidRPr="00787A69">
        <w:t>C</w:t>
      </w:r>
      <w:r w:rsidRPr="00787A69">
        <w:t>) inform the respondents that survey questions may require them to consult administrative records in order to accur</w:t>
      </w:r>
      <w:r w:rsidR="00E9781C" w:rsidRPr="00787A69">
        <w:t xml:space="preserve">ately complete the instrument. </w:t>
      </w:r>
      <w:r w:rsidRPr="00787A69">
        <w:t xml:space="preserve">Being notified in advance will minimize the need to pause in completing the survey in order </w:t>
      </w:r>
      <w:r w:rsidR="00E9781C" w:rsidRPr="00787A69">
        <w:t xml:space="preserve">to consult the proper records. </w:t>
      </w:r>
    </w:p>
    <w:p w14:paraId="7BCAD951" w14:textId="13408D4D" w:rsidR="00551543" w:rsidRPr="00787A69" w:rsidRDefault="00272871" w:rsidP="00BC5E40">
      <w:pPr>
        <w:pStyle w:val="BodyText"/>
        <w:numPr>
          <w:ilvl w:val="0"/>
          <w:numId w:val="23"/>
        </w:numPr>
      </w:pPr>
      <w:r w:rsidRPr="00787A69">
        <w:t>The Employer S</w:t>
      </w:r>
      <w:r w:rsidR="004F6171" w:rsidRPr="00787A69">
        <w:t xml:space="preserve">urvey seeks information about a </w:t>
      </w:r>
      <w:r w:rsidR="0009560B" w:rsidRPr="00787A69">
        <w:t>12-</w:t>
      </w:r>
      <w:r w:rsidR="004F6171" w:rsidRPr="00787A69">
        <w:t xml:space="preserve">month period, and allows employer respondents to select the </w:t>
      </w:r>
      <w:r w:rsidR="0009560B" w:rsidRPr="00787A69">
        <w:t>12-</w:t>
      </w:r>
      <w:r w:rsidR="004F6171" w:rsidRPr="00787A69">
        <w:t>month pe</w:t>
      </w:r>
      <w:r w:rsidR="00E9781C" w:rsidRPr="00787A69">
        <w:t xml:space="preserve">riod most convenient for them. </w:t>
      </w:r>
    </w:p>
    <w:p w14:paraId="2FFFFDB9" w14:textId="26B16E4D" w:rsidR="004F6171" w:rsidRPr="00787A69" w:rsidRDefault="004F6171" w:rsidP="00BC5E40">
      <w:pPr>
        <w:pStyle w:val="BodyText"/>
        <w:numPr>
          <w:ilvl w:val="0"/>
          <w:numId w:val="23"/>
        </w:numPr>
      </w:pPr>
      <w:r w:rsidRPr="00787A69">
        <w:t>The internet survey will further enhance this opportunity in so far as respondent</w:t>
      </w:r>
      <w:r w:rsidR="0009560B" w:rsidRPr="00787A69">
        <w:t>s</w:t>
      </w:r>
      <w:r w:rsidRPr="00787A69">
        <w:t xml:space="preserve"> may end any given session on the survey and return to their previous answers </w:t>
      </w:r>
      <w:r w:rsidR="00E9781C" w:rsidRPr="00787A69">
        <w:t xml:space="preserve">at their discretion. </w:t>
      </w:r>
      <w:r w:rsidRPr="00787A69">
        <w:t>This will allow respondent</w:t>
      </w:r>
      <w:r w:rsidR="0009560B" w:rsidRPr="00787A69">
        <w:t>s</w:t>
      </w:r>
      <w:r w:rsidRPr="00787A69">
        <w:t xml:space="preserve"> to complete the survey at a time and </w:t>
      </w:r>
      <w:r w:rsidR="00E9781C" w:rsidRPr="00787A69">
        <w:t>place most convenient to them.</w:t>
      </w:r>
    </w:p>
    <w:p w14:paraId="0AB58172" w14:textId="06577F46" w:rsidR="00C337DA" w:rsidRPr="00787A69" w:rsidRDefault="0024418A" w:rsidP="00C337DA">
      <w:pPr>
        <w:pStyle w:val="Heading2"/>
        <w:numPr>
          <w:ilvl w:val="0"/>
          <w:numId w:val="0"/>
        </w:numPr>
        <w:ind w:left="720" w:hanging="720"/>
      </w:pPr>
      <w:bookmarkStart w:id="15" w:name="_Toc486315520"/>
      <w:r w:rsidRPr="00787A69">
        <w:t>A</w:t>
      </w:r>
      <w:r w:rsidR="00A72D77" w:rsidRPr="00787A69">
        <w:t>.</w:t>
      </w:r>
      <w:r w:rsidRPr="00787A69">
        <w:t>6.</w:t>
      </w:r>
      <w:r w:rsidRPr="00787A69">
        <w:tab/>
      </w:r>
      <w:r w:rsidR="00C337DA" w:rsidRPr="00787A69">
        <w:t>Consequences of less Frequent Data Collection</w:t>
      </w:r>
      <w:bookmarkEnd w:id="15"/>
    </w:p>
    <w:p w14:paraId="7033A0B8" w14:textId="77777777" w:rsidR="00C337DA" w:rsidRPr="00787A69" w:rsidRDefault="00E9781C" w:rsidP="00C337DA">
      <w:pPr>
        <w:pStyle w:val="BodyText"/>
      </w:pPr>
      <w:r w:rsidRPr="00787A69">
        <w:t>This is a one-</w:t>
      </w:r>
      <w:r w:rsidR="006F58A2" w:rsidRPr="00787A69">
        <w:t>time collection.</w:t>
      </w:r>
    </w:p>
    <w:p w14:paraId="07A9966D" w14:textId="65BA4E35" w:rsidR="00C337DA" w:rsidRPr="00787A69" w:rsidRDefault="0024418A" w:rsidP="00C337DA">
      <w:pPr>
        <w:pStyle w:val="Heading2"/>
        <w:numPr>
          <w:ilvl w:val="0"/>
          <w:numId w:val="0"/>
        </w:numPr>
        <w:ind w:left="720" w:hanging="720"/>
      </w:pPr>
      <w:bookmarkStart w:id="16" w:name="_Toc486315521"/>
      <w:r w:rsidRPr="00787A69">
        <w:t>A</w:t>
      </w:r>
      <w:r w:rsidR="00A72D77" w:rsidRPr="00787A69">
        <w:t>.</w:t>
      </w:r>
      <w:r w:rsidRPr="00787A69">
        <w:t>7.</w:t>
      </w:r>
      <w:r w:rsidRPr="00787A69">
        <w:tab/>
      </w:r>
      <w:r w:rsidR="00C337DA" w:rsidRPr="00787A69">
        <w:t>Special Circumstances</w:t>
      </w:r>
      <w:bookmarkEnd w:id="16"/>
    </w:p>
    <w:p w14:paraId="0FFC9683" w14:textId="77777777" w:rsidR="00C337DA" w:rsidRPr="00787A69" w:rsidRDefault="00934F45" w:rsidP="00C337DA">
      <w:pPr>
        <w:pStyle w:val="BodyText"/>
      </w:pPr>
      <w:r w:rsidRPr="00787A69">
        <w:rPr>
          <w:szCs w:val="22"/>
        </w:rPr>
        <w:t>There are no special circumstances for the proposed data collection efforts.</w:t>
      </w:r>
    </w:p>
    <w:p w14:paraId="6826DAEE" w14:textId="375746C8" w:rsidR="00C337DA" w:rsidRPr="00787A69" w:rsidRDefault="0024418A" w:rsidP="00C337DA">
      <w:pPr>
        <w:pStyle w:val="Heading2"/>
        <w:numPr>
          <w:ilvl w:val="0"/>
          <w:numId w:val="0"/>
        </w:numPr>
        <w:ind w:left="720" w:hanging="720"/>
      </w:pPr>
      <w:bookmarkStart w:id="17" w:name="_Toc486315522"/>
      <w:r w:rsidRPr="00787A69">
        <w:t>A</w:t>
      </w:r>
      <w:r w:rsidR="00A72D77" w:rsidRPr="00787A69">
        <w:t>.</w:t>
      </w:r>
      <w:r w:rsidRPr="00787A69">
        <w:t>8.</w:t>
      </w:r>
      <w:r w:rsidRPr="00787A69">
        <w:tab/>
      </w:r>
      <w:r w:rsidR="00C337DA" w:rsidRPr="00787A69">
        <w:t>Federal Register Notice and Consultation</w:t>
      </w:r>
      <w:bookmarkEnd w:id="17"/>
    </w:p>
    <w:p w14:paraId="35A9D745" w14:textId="2DA5D863" w:rsidR="00F7594B" w:rsidRPr="00787A69" w:rsidRDefault="00A72D77" w:rsidP="00C728CB">
      <w:pPr>
        <w:pStyle w:val="Heading3"/>
      </w:pPr>
      <w:bookmarkStart w:id="18" w:name="_Toc486315523"/>
      <w:r w:rsidRPr="00787A69">
        <w:t>A.8.1</w:t>
      </w:r>
      <w:r w:rsidR="00673F76" w:rsidRPr="00787A69">
        <w:tab/>
      </w:r>
      <w:r w:rsidR="00F7594B" w:rsidRPr="00787A69">
        <w:t>Federal Register Notice and Comments</w:t>
      </w:r>
      <w:bookmarkEnd w:id="18"/>
    </w:p>
    <w:p w14:paraId="4FB440BE" w14:textId="5FCEF223" w:rsidR="00F7594B" w:rsidRPr="00787A69" w:rsidRDefault="00F7594B" w:rsidP="00F7594B">
      <w:pPr>
        <w:pStyle w:val="BodyText"/>
      </w:pPr>
      <w:r w:rsidRPr="00787A69">
        <w:t xml:space="preserve">In accordance with the Paperwork Reduction Act of 1995 (P.L. 104-13) and Office of Management and Budget (OMB) regulations at 5 CFR Part 1320 (60 FR 44978, August 29, 1995), DOL published a notice in the Federal Register announcing the agency’s intention to request an OMB review of this information collection activity. This notice was published on Friday, October 28, 2016, </w:t>
      </w:r>
      <w:r w:rsidR="0009560B" w:rsidRPr="00787A69">
        <w:t xml:space="preserve">in </w:t>
      </w:r>
      <w:r w:rsidRPr="00787A69">
        <w:t>Volume 81, Number 209, pages 75161</w:t>
      </w:r>
      <w:r w:rsidR="0009560B" w:rsidRPr="00787A69">
        <w:t>–</w:t>
      </w:r>
      <w:r w:rsidRPr="00787A69">
        <w:t>75163, and provided a 60</w:t>
      </w:r>
      <w:r w:rsidR="0009560B" w:rsidRPr="00787A69">
        <w:t>-</w:t>
      </w:r>
      <w:r w:rsidR="00583B50" w:rsidRPr="00787A69">
        <w:t xml:space="preserve">day period for public comment. </w:t>
      </w:r>
      <w:r w:rsidRPr="00787A69">
        <w:t>A copy of this notic</w:t>
      </w:r>
      <w:r w:rsidR="00583B50" w:rsidRPr="00787A69">
        <w:t xml:space="preserve">e is included </w:t>
      </w:r>
      <w:r w:rsidR="00E52DDB" w:rsidRPr="00787A69">
        <w:t xml:space="preserve">as </w:t>
      </w:r>
      <w:r w:rsidR="005107B7" w:rsidRPr="00787A69">
        <w:t xml:space="preserve">Attachment </w:t>
      </w:r>
      <w:r w:rsidR="00931E1A" w:rsidRPr="00787A69">
        <w:t>D</w:t>
      </w:r>
      <w:r w:rsidR="00583B50" w:rsidRPr="00787A69">
        <w:t xml:space="preserve">. </w:t>
      </w:r>
      <w:r w:rsidRPr="00787A69">
        <w:t xml:space="preserve">During the notice and comment period, the government </w:t>
      </w:r>
      <w:r w:rsidR="00E52DDB" w:rsidRPr="00787A69">
        <w:t xml:space="preserve">received </w:t>
      </w:r>
      <w:r w:rsidR="008967A9" w:rsidRPr="00787A69">
        <w:t>13</w:t>
      </w:r>
      <w:r w:rsidR="00E52DDB" w:rsidRPr="00787A69">
        <w:t xml:space="preserve"> comments</w:t>
      </w:r>
      <w:r w:rsidR="00492D5E" w:rsidRPr="00787A69">
        <w:t xml:space="preserve"> from 12 entities</w:t>
      </w:r>
      <w:r w:rsidR="00E52DDB" w:rsidRPr="00787A69">
        <w:t xml:space="preserve">. </w:t>
      </w:r>
      <w:r w:rsidR="008967A9" w:rsidRPr="00787A69">
        <w:t xml:space="preserve">The comments included statements of support for the data collection, requests for the </w:t>
      </w:r>
      <w:r w:rsidR="00C72320" w:rsidRPr="00787A69">
        <w:t>survey instruments, and</w:t>
      </w:r>
      <w:r w:rsidR="008967A9" w:rsidRPr="00787A69">
        <w:t xml:space="preserve"> substantive comments about the surveys</w:t>
      </w:r>
      <w:r w:rsidR="00E52DDB" w:rsidRPr="00787A69">
        <w:t xml:space="preserve">. </w:t>
      </w:r>
      <w:r w:rsidR="00492D5E" w:rsidRPr="00787A69">
        <w:t xml:space="preserve">DOL provided the survey instruments to all entities that requested them. </w:t>
      </w:r>
      <w:r w:rsidR="00E52DDB" w:rsidRPr="00787A69">
        <w:t xml:space="preserve">See </w:t>
      </w:r>
      <w:r w:rsidR="005107B7" w:rsidRPr="00787A69">
        <w:t xml:space="preserve">Attachment </w:t>
      </w:r>
      <w:r w:rsidR="00931E1A" w:rsidRPr="00787A69">
        <w:t>E</w:t>
      </w:r>
      <w:r w:rsidR="00E52DDB" w:rsidRPr="00787A69">
        <w:t xml:space="preserve"> for a full discussion of the </w:t>
      </w:r>
      <w:r w:rsidR="00492D5E" w:rsidRPr="00787A69">
        <w:t xml:space="preserve">substantive </w:t>
      </w:r>
      <w:r w:rsidR="00E52DDB" w:rsidRPr="00787A69">
        <w:t xml:space="preserve">comments and our responses. </w:t>
      </w:r>
    </w:p>
    <w:p w14:paraId="51248839" w14:textId="3B441CA9" w:rsidR="00F7594B" w:rsidRPr="00787A69" w:rsidRDefault="00A72D77" w:rsidP="00C728CB">
      <w:pPr>
        <w:pStyle w:val="Heading3"/>
      </w:pPr>
      <w:bookmarkStart w:id="19" w:name="_Toc486315524"/>
      <w:r w:rsidRPr="00787A69">
        <w:t>A.8.2</w:t>
      </w:r>
      <w:r w:rsidR="00673F76" w:rsidRPr="00787A69">
        <w:tab/>
      </w:r>
      <w:r w:rsidR="00F7594B" w:rsidRPr="00787A69">
        <w:t>Consultation with Experts</w:t>
      </w:r>
      <w:bookmarkEnd w:id="19"/>
      <w:r w:rsidR="00F7594B" w:rsidRPr="00787A69">
        <w:t xml:space="preserve"> </w:t>
      </w:r>
    </w:p>
    <w:p w14:paraId="018ACC53" w14:textId="77777777" w:rsidR="00406504" w:rsidRPr="00787A69" w:rsidRDefault="00406504" w:rsidP="00406504">
      <w:pPr>
        <w:pStyle w:val="BodyText"/>
      </w:pPr>
      <w:r w:rsidRPr="00787A69">
        <w:t>The following people were consulted in developing the design, the data collection plan, and the forms for which clearance is requested.</w:t>
      </w:r>
    </w:p>
    <w:p w14:paraId="44CD48EB" w14:textId="77777777" w:rsidR="00406504" w:rsidRPr="00787A69" w:rsidRDefault="00406504" w:rsidP="00406504">
      <w:pPr>
        <w:pStyle w:val="BodyText"/>
        <w:rPr>
          <w:b/>
          <w:i/>
        </w:rPr>
      </w:pPr>
      <w:r w:rsidRPr="00787A69">
        <w:rPr>
          <w:b/>
          <w:i/>
        </w:rPr>
        <w:t>Abt Associates</w:t>
      </w:r>
    </w:p>
    <w:p w14:paraId="30599174" w14:textId="33F71D65" w:rsidR="00931E1A" w:rsidRPr="00787A69" w:rsidRDefault="00931E1A" w:rsidP="00406504">
      <w:pPr>
        <w:pStyle w:val="BodyTextSS"/>
      </w:pPr>
      <w:r w:rsidRPr="00787A69">
        <w:t>Ms. Radha Roy</w:t>
      </w:r>
      <w:r w:rsidRPr="00787A69">
        <w:tab/>
      </w:r>
      <w:r w:rsidRPr="00787A69">
        <w:tab/>
      </w:r>
      <w:r w:rsidRPr="00787A69">
        <w:tab/>
        <w:t>(301) 347-5722</w:t>
      </w:r>
    </w:p>
    <w:p w14:paraId="12734521" w14:textId="77777777" w:rsidR="00BC301D" w:rsidRPr="00787A69" w:rsidRDefault="008B58B0" w:rsidP="00406504">
      <w:pPr>
        <w:pStyle w:val="BodyTextSS"/>
      </w:pPr>
      <w:r w:rsidRPr="00787A69">
        <w:t xml:space="preserve">Mr. </w:t>
      </w:r>
      <w:r w:rsidR="00BC301D" w:rsidRPr="00787A69">
        <w:t>Glen Schneider</w:t>
      </w:r>
      <w:r w:rsidR="00BC301D" w:rsidRPr="00787A69">
        <w:tab/>
      </w:r>
      <w:r w:rsidR="00BC301D" w:rsidRPr="00787A69">
        <w:tab/>
        <w:t>(617) 349-2471</w:t>
      </w:r>
    </w:p>
    <w:p w14:paraId="6B2FB530" w14:textId="77777777" w:rsidR="00583B50" w:rsidRPr="00787A69" w:rsidRDefault="00406504" w:rsidP="00583B50">
      <w:pPr>
        <w:pStyle w:val="BodyText"/>
        <w:spacing w:after="0" w:line="240" w:lineRule="auto"/>
      </w:pPr>
      <w:r w:rsidRPr="00787A69">
        <w:t xml:space="preserve">Dr. </w:t>
      </w:r>
      <w:r w:rsidR="00583B50" w:rsidRPr="00787A69">
        <w:t>Jane Leber Herr</w:t>
      </w:r>
      <w:r w:rsidR="00583B50" w:rsidRPr="00787A69">
        <w:tab/>
      </w:r>
      <w:r w:rsidR="00583B50" w:rsidRPr="00787A69">
        <w:tab/>
        <w:t>(617) 520-3042</w:t>
      </w:r>
    </w:p>
    <w:p w14:paraId="2046E71A" w14:textId="77777777" w:rsidR="0087385E" w:rsidRPr="00787A69" w:rsidRDefault="0087385E" w:rsidP="00583B50">
      <w:pPr>
        <w:pStyle w:val="BodyText"/>
        <w:spacing w:after="0" w:line="240" w:lineRule="auto"/>
      </w:pPr>
      <w:r w:rsidRPr="00787A69">
        <w:t>Mr. Jacob Klerman</w:t>
      </w:r>
      <w:r w:rsidRPr="00787A69">
        <w:tab/>
      </w:r>
      <w:r w:rsidRPr="00787A69">
        <w:tab/>
        <w:t>(617) 520-2613</w:t>
      </w:r>
    </w:p>
    <w:p w14:paraId="5B1CA33D" w14:textId="77777777" w:rsidR="00AE78DD" w:rsidRPr="00787A69" w:rsidRDefault="00127142" w:rsidP="00406504">
      <w:pPr>
        <w:pStyle w:val="BodyText"/>
      </w:pPr>
      <w:r w:rsidRPr="00787A69">
        <w:t>Dr. Kelly Daley</w:t>
      </w:r>
      <w:r w:rsidRPr="00787A69">
        <w:tab/>
      </w:r>
      <w:r w:rsidRPr="00787A69">
        <w:tab/>
      </w:r>
      <w:r w:rsidR="0087385E" w:rsidRPr="00787A69">
        <w:tab/>
      </w:r>
      <w:r w:rsidRPr="00787A69">
        <w:t>(312) 529-9703</w:t>
      </w:r>
    </w:p>
    <w:p w14:paraId="74AF5058" w14:textId="77777777" w:rsidR="00CE2A60" w:rsidRPr="00787A69" w:rsidRDefault="005A42A1" w:rsidP="007B2F3F">
      <w:pPr>
        <w:pStyle w:val="BodyText"/>
      </w:pPr>
      <w:r w:rsidRPr="00787A69">
        <w:t>Abt Associates</w:t>
      </w:r>
      <w:r w:rsidR="00406504" w:rsidRPr="00787A69">
        <w:t xml:space="preserve"> </w:t>
      </w:r>
      <w:r w:rsidR="007B2F3F" w:rsidRPr="00787A69">
        <w:t>assembled</w:t>
      </w:r>
      <w:r w:rsidR="00406504" w:rsidRPr="00787A69">
        <w:t xml:space="preserve"> a technical working group consisting of </w:t>
      </w:r>
      <w:r w:rsidR="007B2F3F" w:rsidRPr="00787A69">
        <w:t>five</w:t>
      </w:r>
      <w:r w:rsidR="00406504" w:rsidRPr="00787A69">
        <w:t xml:space="preserve"> experts</w:t>
      </w:r>
      <w:r w:rsidR="007B2F3F" w:rsidRPr="00787A69">
        <w:t xml:space="preserve"> </w:t>
      </w:r>
      <w:r w:rsidR="00C4717C" w:rsidRPr="00787A69">
        <w:t>in the following areas: (1) studies of the federal Family and Medical Leave Act (2) workforce and work-family policies (3) survey methodology, and (4) human resources administration and employment law</w:t>
      </w:r>
      <w:r w:rsidR="007B2F3F" w:rsidRPr="00787A69">
        <w:t xml:space="preserve">. </w:t>
      </w:r>
      <w:r w:rsidR="00C4717C" w:rsidRPr="00787A69">
        <w:t>These experts have reviewed and</w:t>
      </w:r>
      <w:r w:rsidR="00272871" w:rsidRPr="00787A69">
        <w:t xml:space="preserve"> commented on the Employee and Employer S</w:t>
      </w:r>
      <w:r w:rsidR="00C4717C" w:rsidRPr="00787A69">
        <w:t xml:space="preserve">urveys and will review the study findings. </w:t>
      </w:r>
      <w:r w:rsidR="000262A2" w:rsidRPr="00787A69">
        <w:t xml:space="preserve">Due to her </w:t>
      </w:r>
      <w:r w:rsidR="0037640E" w:rsidRPr="00787A69">
        <w:t>particular</w:t>
      </w:r>
      <w:r w:rsidR="000262A2" w:rsidRPr="00787A69">
        <w:t xml:space="preserve"> expertise, Dr. Jolene Smyth will also review the study design. </w:t>
      </w:r>
    </w:p>
    <w:p w14:paraId="04AA4379" w14:textId="77777777" w:rsidR="00CE2A60" w:rsidRPr="00787A69" w:rsidRDefault="00CE2A60" w:rsidP="007B2F3F">
      <w:pPr>
        <w:pStyle w:val="BodyText"/>
      </w:pPr>
      <w:r w:rsidRPr="00787A69">
        <w:rPr>
          <w:b/>
          <w:i/>
        </w:rPr>
        <w:t>TWG Members</w:t>
      </w:r>
    </w:p>
    <w:p w14:paraId="12EB240B" w14:textId="69138911" w:rsidR="00CE2A60" w:rsidRPr="00787A69" w:rsidRDefault="00C4717C" w:rsidP="00CE2A60">
      <w:pPr>
        <w:pStyle w:val="BodyText"/>
        <w:spacing w:after="0"/>
      </w:pPr>
      <w:r w:rsidRPr="00787A69">
        <w:t>Dr. Ann Bookman</w:t>
      </w:r>
      <w:r w:rsidRPr="00787A69">
        <w:tab/>
      </w:r>
      <w:r w:rsidRPr="00787A69">
        <w:tab/>
      </w:r>
      <w:r w:rsidR="005D1C2A" w:rsidRPr="00787A69">
        <w:t xml:space="preserve"> </w:t>
      </w:r>
      <w:r w:rsidR="00CE2A60" w:rsidRPr="00787A69">
        <w:t>University of Massachusetts Boston</w:t>
      </w:r>
    </w:p>
    <w:p w14:paraId="61D27E7B" w14:textId="27E64CB5" w:rsidR="00CE2A60" w:rsidRPr="00787A69" w:rsidRDefault="00C4717C" w:rsidP="00CE2A60">
      <w:pPr>
        <w:pStyle w:val="BodyText"/>
        <w:spacing w:after="0"/>
      </w:pPr>
      <w:r w:rsidRPr="00787A69">
        <w:t>Dr. Christopher Ruhm</w:t>
      </w:r>
      <w:r w:rsidR="005D1C2A" w:rsidRPr="00787A69">
        <w:t xml:space="preserve"> </w:t>
      </w:r>
      <w:r w:rsidRPr="00787A69">
        <w:tab/>
      </w:r>
      <w:r w:rsidR="005D1C2A" w:rsidRPr="00787A69">
        <w:t xml:space="preserve"> </w:t>
      </w:r>
      <w:r w:rsidR="00CE2A60" w:rsidRPr="00787A69">
        <w:t>University of Virginia</w:t>
      </w:r>
    </w:p>
    <w:p w14:paraId="634B0F45" w14:textId="74D4C22A" w:rsidR="00CE2A60" w:rsidRPr="00787A69" w:rsidRDefault="00C4717C" w:rsidP="00CE2A60">
      <w:pPr>
        <w:pStyle w:val="BodyText"/>
        <w:spacing w:after="0"/>
      </w:pPr>
      <w:r w:rsidRPr="00787A69">
        <w:t>Dr. Jolene Smyth</w:t>
      </w:r>
      <w:r w:rsidRPr="00787A69">
        <w:tab/>
      </w:r>
      <w:r w:rsidRPr="00787A69">
        <w:tab/>
      </w:r>
      <w:r w:rsidR="005D1C2A" w:rsidRPr="00787A69">
        <w:t xml:space="preserve"> </w:t>
      </w:r>
      <w:r w:rsidR="00CE2A60" w:rsidRPr="00787A69">
        <w:t>University of Nebraska-Lincoln</w:t>
      </w:r>
    </w:p>
    <w:p w14:paraId="5195BB0F" w14:textId="59BFDAAA" w:rsidR="00CE2A60" w:rsidRPr="00787A69" w:rsidRDefault="00C4717C" w:rsidP="00CE2A60">
      <w:pPr>
        <w:pStyle w:val="BodyText"/>
        <w:spacing w:after="0"/>
      </w:pPr>
      <w:r w:rsidRPr="00787A69">
        <w:t>Dr. Jane Waldfogel</w:t>
      </w:r>
      <w:r w:rsidRPr="00787A69">
        <w:tab/>
      </w:r>
      <w:r w:rsidRPr="00787A69">
        <w:tab/>
      </w:r>
      <w:r w:rsidR="005D1C2A" w:rsidRPr="00787A69">
        <w:t xml:space="preserve"> </w:t>
      </w:r>
      <w:r w:rsidR="00CE2A60" w:rsidRPr="00787A69">
        <w:t>Columbia University</w:t>
      </w:r>
    </w:p>
    <w:p w14:paraId="783604FD" w14:textId="6DECC299" w:rsidR="00F7594B" w:rsidRPr="00787A69" w:rsidRDefault="00C4717C" w:rsidP="0009560B">
      <w:pPr>
        <w:pStyle w:val="BodyText"/>
      </w:pPr>
      <w:r w:rsidRPr="00787A69">
        <w:t>Ms. Christine Walters</w:t>
      </w:r>
      <w:r w:rsidRPr="00787A69">
        <w:tab/>
      </w:r>
      <w:r w:rsidR="005D1C2A" w:rsidRPr="00787A69">
        <w:t xml:space="preserve"> </w:t>
      </w:r>
      <w:r w:rsidR="00CE2A60" w:rsidRPr="00787A69">
        <w:t>FiveL Company</w:t>
      </w:r>
    </w:p>
    <w:p w14:paraId="497B7DF0" w14:textId="7CF5ABD9" w:rsidR="00E52DDB" w:rsidRPr="00787A69" w:rsidRDefault="00E52DDB" w:rsidP="00E52DDB">
      <w:pPr>
        <w:pStyle w:val="BodyText"/>
      </w:pPr>
      <w:r w:rsidRPr="00787A69">
        <w:t xml:space="preserve">The surveys </w:t>
      </w:r>
      <w:r w:rsidR="00551543" w:rsidRPr="00787A69">
        <w:t>will update results from</w:t>
      </w:r>
      <w:r w:rsidRPr="00787A69">
        <w:t xml:space="preserve"> </w:t>
      </w:r>
      <w:r w:rsidR="0009560B" w:rsidRPr="00787A69">
        <w:t xml:space="preserve">the </w:t>
      </w:r>
      <w:r w:rsidRPr="00787A69">
        <w:t>three previous surveys conducted on this topic</w:t>
      </w:r>
      <w:r w:rsidR="0009560B" w:rsidRPr="00787A69">
        <w:t xml:space="preserve"> </w:t>
      </w:r>
      <w:r w:rsidRPr="00787A69">
        <w:t xml:space="preserve">in 1995, 2000, and 2012. Many of the items in the </w:t>
      </w:r>
      <w:r w:rsidR="00272871" w:rsidRPr="00787A69">
        <w:t>Employee and Employer S</w:t>
      </w:r>
      <w:r w:rsidRPr="00787A69">
        <w:t xml:space="preserve">urveys are from the previously approved 2012 FMLA </w:t>
      </w:r>
      <w:r w:rsidR="009F340F" w:rsidRPr="00787A69">
        <w:t>E</w:t>
      </w:r>
      <w:r w:rsidR="0091449F" w:rsidRPr="00787A69">
        <w:t xml:space="preserve">mployer and </w:t>
      </w:r>
      <w:r w:rsidR="009F340F" w:rsidRPr="00787A69">
        <w:t>E</w:t>
      </w:r>
      <w:r w:rsidR="00272871" w:rsidRPr="00787A69">
        <w:t>mployee S</w:t>
      </w:r>
      <w:r w:rsidR="0091449F" w:rsidRPr="00787A69">
        <w:t>urveys</w:t>
      </w:r>
      <w:r w:rsidRPr="00787A69">
        <w:t xml:space="preserve"> (OMB No. 1235-0026).</w:t>
      </w:r>
      <w:r w:rsidR="005D1C2A" w:rsidRPr="00787A69">
        <w:t xml:space="preserve"> </w:t>
      </w:r>
    </w:p>
    <w:p w14:paraId="219B2BDE" w14:textId="51CE25F8" w:rsidR="00C337DA" w:rsidRPr="00787A69" w:rsidRDefault="00C337DA" w:rsidP="00C337DA">
      <w:pPr>
        <w:pStyle w:val="Heading2"/>
        <w:numPr>
          <w:ilvl w:val="0"/>
          <w:numId w:val="0"/>
        </w:numPr>
        <w:ind w:left="720" w:hanging="720"/>
      </w:pPr>
      <w:bookmarkStart w:id="20" w:name="_Toc486315525"/>
      <w:r w:rsidRPr="00787A69">
        <w:t>A</w:t>
      </w:r>
      <w:r w:rsidR="00A72D77" w:rsidRPr="00787A69">
        <w:t>.</w:t>
      </w:r>
      <w:r w:rsidR="0024418A" w:rsidRPr="00787A69">
        <w:t>9.</w:t>
      </w:r>
      <w:r w:rsidR="0024418A" w:rsidRPr="00787A69">
        <w:tab/>
      </w:r>
      <w:r w:rsidR="007A4608" w:rsidRPr="00787A69">
        <w:t>Incentives</w:t>
      </w:r>
      <w:r w:rsidRPr="00787A69">
        <w:t xml:space="preserve"> of Respondents</w:t>
      </w:r>
      <w:bookmarkEnd w:id="20"/>
    </w:p>
    <w:p w14:paraId="58EEA8A8" w14:textId="77777777" w:rsidR="00551543" w:rsidRPr="00787A69" w:rsidRDefault="00551543" w:rsidP="00BC5E40">
      <w:pPr>
        <w:pStyle w:val="BodyText"/>
        <w:rPr>
          <w:noProof/>
        </w:rPr>
      </w:pPr>
      <w:r w:rsidRPr="00787A69">
        <w:rPr>
          <w:noProof/>
        </w:rPr>
        <w:t>This section discusses incentives for respondents, first</w:t>
      </w:r>
      <w:r w:rsidR="00BC5E40" w:rsidRPr="00787A69">
        <w:rPr>
          <w:noProof/>
        </w:rPr>
        <w:t xml:space="preserve"> for the Employee Survey and the</w:t>
      </w:r>
      <w:r w:rsidRPr="00787A69">
        <w:rPr>
          <w:noProof/>
        </w:rPr>
        <w:t>n for the Employer Survey.</w:t>
      </w:r>
    </w:p>
    <w:p w14:paraId="56C91A09" w14:textId="7376B12A" w:rsidR="006905D2" w:rsidRPr="00787A69" w:rsidRDefault="00A72D77" w:rsidP="00C728CB">
      <w:pPr>
        <w:pStyle w:val="Heading3"/>
      </w:pPr>
      <w:bookmarkStart w:id="21" w:name="_Toc486315526"/>
      <w:r w:rsidRPr="00787A69">
        <w:t>A.9.1</w:t>
      </w:r>
      <w:r w:rsidR="00673F76" w:rsidRPr="00787A69">
        <w:tab/>
      </w:r>
      <w:r w:rsidR="006905D2" w:rsidRPr="00787A69">
        <w:t>Employee Survey</w:t>
      </w:r>
      <w:bookmarkEnd w:id="21"/>
    </w:p>
    <w:p w14:paraId="7BF89F69" w14:textId="2F6ADFAD" w:rsidR="0092153A" w:rsidRPr="00787A69" w:rsidRDefault="00910848" w:rsidP="00C337DA">
      <w:pPr>
        <w:pStyle w:val="BodyText"/>
        <w:rPr>
          <w:szCs w:val="22"/>
        </w:rPr>
      </w:pPr>
      <w:r w:rsidRPr="00787A69">
        <w:rPr>
          <w:noProof/>
          <w:szCs w:val="22"/>
        </w:rPr>
        <w:t>In order to cover extenuating costs (e.g.,</w:t>
      </w:r>
      <w:r w:rsidR="00673F76" w:rsidRPr="00787A69">
        <w:rPr>
          <w:noProof/>
          <w:szCs w:val="22"/>
        </w:rPr>
        <w:t xml:space="preserve"> </w:t>
      </w:r>
      <w:r w:rsidRPr="00787A69">
        <w:rPr>
          <w:noProof/>
          <w:szCs w:val="22"/>
        </w:rPr>
        <w:t>per minute phone charges)</w:t>
      </w:r>
      <w:r w:rsidR="00CF69DC" w:rsidRPr="00787A69">
        <w:rPr>
          <w:noProof/>
          <w:szCs w:val="22"/>
        </w:rPr>
        <w:t>,</w:t>
      </w:r>
      <w:r w:rsidRPr="00787A69">
        <w:rPr>
          <w:noProof/>
          <w:szCs w:val="22"/>
        </w:rPr>
        <w:t xml:space="preserve"> p</w:t>
      </w:r>
      <w:r w:rsidR="005036BB" w:rsidRPr="00787A69">
        <w:rPr>
          <w:noProof/>
          <w:szCs w:val="22"/>
        </w:rPr>
        <w:t xml:space="preserve">articipants completing the </w:t>
      </w:r>
      <w:r w:rsidR="006E6F0B" w:rsidRPr="00787A69">
        <w:rPr>
          <w:noProof/>
          <w:szCs w:val="22"/>
        </w:rPr>
        <w:t>E</w:t>
      </w:r>
      <w:r w:rsidR="00272871" w:rsidRPr="00787A69">
        <w:rPr>
          <w:noProof/>
          <w:szCs w:val="22"/>
        </w:rPr>
        <w:t>mployee S</w:t>
      </w:r>
      <w:r w:rsidR="005036BB" w:rsidRPr="00787A69">
        <w:rPr>
          <w:noProof/>
          <w:szCs w:val="22"/>
        </w:rPr>
        <w:t>urvey</w:t>
      </w:r>
      <w:r w:rsidR="00157D05" w:rsidRPr="00787A69">
        <w:rPr>
          <w:noProof/>
          <w:szCs w:val="22"/>
        </w:rPr>
        <w:t xml:space="preserve"> on a </w:t>
      </w:r>
      <w:r w:rsidR="00673F76" w:rsidRPr="00787A69">
        <w:rPr>
          <w:noProof/>
          <w:szCs w:val="22"/>
        </w:rPr>
        <w:t>cellphone</w:t>
      </w:r>
      <w:r w:rsidR="00157D05" w:rsidRPr="00787A69">
        <w:rPr>
          <w:noProof/>
          <w:szCs w:val="22"/>
        </w:rPr>
        <w:t xml:space="preserve"> will be issued</w:t>
      </w:r>
      <w:r w:rsidR="005036BB" w:rsidRPr="00787A69">
        <w:rPr>
          <w:noProof/>
          <w:szCs w:val="22"/>
        </w:rPr>
        <w:t xml:space="preserve"> $</w:t>
      </w:r>
      <w:r w:rsidR="006E6F0B" w:rsidRPr="00787A69">
        <w:rPr>
          <w:noProof/>
          <w:szCs w:val="22"/>
        </w:rPr>
        <w:t>15</w:t>
      </w:r>
      <w:r w:rsidR="005036BB" w:rsidRPr="00787A69">
        <w:rPr>
          <w:noProof/>
          <w:szCs w:val="22"/>
        </w:rPr>
        <w:t xml:space="preserve"> </w:t>
      </w:r>
      <w:r w:rsidR="006E6F0B" w:rsidRPr="00787A69">
        <w:rPr>
          <w:noProof/>
          <w:szCs w:val="22"/>
        </w:rPr>
        <w:t>as a token of appreciation for their participation</w:t>
      </w:r>
      <w:r w:rsidR="005036BB" w:rsidRPr="00787A69">
        <w:rPr>
          <w:noProof/>
          <w:szCs w:val="22"/>
        </w:rPr>
        <w:t xml:space="preserve">. </w:t>
      </w:r>
      <w:r w:rsidR="003C1335" w:rsidRPr="00787A69">
        <w:rPr>
          <w:szCs w:val="22"/>
        </w:rPr>
        <w:t xml:space="preserve">The ultimate objective of offering incentive payments is to improve our estimates by reducing nonresponse bias. </w:t>
      </w:r>
      <w:r w:rsidR="00016DC9" w:rsidRPr="00787A69">
        <w:rPr>
          <w:szCs w:val="22"/>
        </w:rPr>
        <w:t xml:space="preserve">In accordance with OMB guidance, incentives are most appropriately used in </w:t>
      </w:r>
      <w:r w:rsidR="0009560B" w:rsidRPr="00787A69">
        <w:rPr>
          <w:szCs w:val="22"/>
        </w:rPr>
        <w:t>f</w:t>
      </w:r>
      <w:r w:rsidR="00016DC9" w:rsidRPr="00787A69">
        <w:rPr>
          <w:szCs w:val="22"/>
        </w:rPr>
        <w:t xml:space="preserve">ederal statistical surveys </w:t>
      </w:r>
      <w:r w:rsidR="00016DC9" w:rsidRPr="00787A69">
        <w:rPr>
          <w:bCs/>
          <w:szCs w:val="22"/>
        </w:rPr>
        <w:t xml:space="preserve">to reduce </w:t>
      </w:r>
      <w:r w:rsidR="00C2551C" w:rsidRPr="00787A69">
        <w:rPr>
          <w:bCs/>
          <w:szCs w:val="22"/>
        </w:rPr>
        <w:t>non</w:t>
      </w:r>
      <w:r w:rsidR="00016DC9" w:rsidRPr="00787A69">
        <w:rPr>
          <w:bCs/>
          <w:szCs w:val="22"/>
        </w:rPr>
        <w:t>response bias.</w:t>
      </w:r>
      <w:r w:rsidR="00D15AF8" w:rsidRPr="00787A69">
        <w:rPr>
          <w:rStyle w:val="FootnoteReference"/>
          <w:bCs/>
          <w:szCs w:val="22"/>
        </w:rPr>
        <w:footnoteReference w:id="5"/>
      </w:r>
      <w:r w:rsidR="00016DC9" w:rsidRPr="00787A69">
        <w:rPr>
          <w:bCs/>
          <w:szCs w:val="22"/>
        </w:rPr>
        <w:t xml:space="preserve"> The incidence of taking leave or needing to take leave </w:t>
      </w:r>
      <w:r w:rsidR="000302A4" w:rsidRPr="00787A69">
        <w:rPr>
          <w:bCs/>
          <w:szCs w:val="22"/>
        </w:rPr>
        <w:t>is</w:t>
      </w:r>
      <w:r w:rsidR="00016DC9" w:rsidRPr="00787A69">
        <w:rPr>
          <w:bCs/>
          <w:szCs w:val="22"/>
        </w:rPr>
        <w:t xml:space="preserve"> relatively rare and the</w:t>
      </w:r>
      <w:r w:rsidR="00016DC9" w:rsidRPr="00787A69">
        <w:rPr>
          <w:b/>
          <w:bCs/>
          <w:szCs w:val="22"/>
        </w:rPr>
        <w:t xml:space="preserve"> </w:t>
      </w:r>
      <w:r w:rsidR="00016DC9" w:rsidRPr="00787A69">
        <w:rPr>
          <w:szCs w:val="22"/>
        </w:rPr>
        <w:t>failure to include these hard to find participants could jeopardize the quality of the survey data.</w:t>
      </w:r>
      <w:r w:rsidR="00DE14D8" w:rsidRPr="00787A69">
        <w:rPr>
          <w:szCs w:val="22"/>
        </w:rPr>
        <w:t xml:space="preserve"> Furthermore, the incentive will improve our estimates for low-wage workers, a group </w:t>
      </w:r>
      <w:r w:rsidR="00DE14D8" w:rsidRPr="00787A69">
        <w:rPr>
          <w:noProof/>
          <w:szCs w:val="22"/>
        </w:rPr>
        <w:t>that is traditionally difficult to reach and survey, and also a group that is of special interest to DOL</w:t>
      </w:r>
      <w:r w:rsidR="00DE14D8" w:rsidRPr="00787A69">
        <w:rPr>
          <w:szCs w:val="22"/>
        </w:rPr>
        <w:t xml:space="preserve">. </w:t>
      </w:r>
      <w:r w:rsidR="00E37677" w:rsidRPr="00787A69">
        <w:rPr>
          <w:szCs w:val="22"/>
        </w:rPr>
        <w:t xml:space="preserve">The study team plans to oversample low-wage workers by oversampling prepaid cellphones </w:t>
      </w:r>
      <w:r w:rsidR="00E37677" w:rsidRPr="00787A69">
        <w:rPr>
          <w:noProof/>
          <w:szCs w:val="22"/>
        </w:rPr>
        <w:t>(see Part B, Section B.1.1 for more information)</w:t>
      </w:r>
      <w:r w:rsidR="00E37677" w:rsidRPr="00787A69">
        <w:rPr>
          <w:szCs w:val="22"/>
        </w:rPr>
        <w:t xml:space="preserve">. The $15 incentive will cover the costs of per minute phone charges </w:t>
      </w:r>
      <w:r w:rsidR="007A6A23" w:rsidRPr="00787A69">
        <w:rPr>
          <w:szCs w:val="22"/>
        </w:rPr>
        <w:t xml:space="preserve">incurred by these individuals and their propensity to use pre-paid cell phones. </w:t>
      </w:r>
    </w:p>
    <w:p w14:paraId="0C087EAD" w14:textId="742A91FA" w:rsidR="003C1335" w:rsidRPr="00787A69" w:rsidRDefault="00272871" w:rsidP="003C1335">
      <w:pPr>
        <w:pStyle w:val="BodyText"/>
      </w:pPr>
      <w:r w:rsidRPr="00787A69">
        <w:t>The Employee S</w:t>
      </w:r>
      <w:r w:rsidR="003C1335" w:rsidRPr="00787A69">
        <w:t>urvey features both a screener and an extended interview. In theory, incentives could be offered at one or both stages. The research literature and the survey sample design indicate that extended interview incentives would be cost effective for this survey while screener incentives would not (</w:t>
      </w:r>
      <w:r w:rsidR="008165FC" w:rsidRPr="00787A69">
        <w:t>O’Hare and Frederick</w:t>
      </w:r>
      <w:r w:rsidR="003C1335" w:rsidRPr="00787A69">
        <w:t xml:space="preserve"> 2003; Cantor et al. 1998</w:t>
      </w:r>
      <w:r w:rsidR="0009560B" w:rsidRPr="00787A69">
        <w:t>, 2007</w:t>
      </w:r>
      <w:r w:rsidR="003C1335" w:rsidRPr="00787A69">
        <w:t xml:space="preserve">; Singer et al. 2000). A related issue is whether incentives should be </w:t>
      </w:r>
      <w:r w:rsidR="00673F76" w:rsidRPr="00787A69">
        <w:t>prepaid</w:t>
      </w:r>
      <w:r w:rsidR="003C1335" w:rsidRPr="00787A69">
        <w:t xml:space="preserve"> or post-paid (“promised”). </w:t>
      </w:r>
      <w:r w:rsidR="00D106CB" w:rsidRPr="00787A69">
        <w:t xml:space="preserve">Based on the prominence of </w:t>
      </w:r>
      <w:r w:rsidR="00673F76" w:rsidRPr="00787A69">
        <w:t>cellphone</w:t>
      </w:r>
      <w:r w:rsidR="00D106CB" w:rsidRPr="00787A69">
        <w:t>s and</w:t>
      </w:r>
      <w:r w:rsidR="003C1335" w:rsidRPr="00787A69">
        <w:t xml:space="preserve"> unlisted landlines</w:t>
      </w:r>
      <w:r w:rsidR="00D106CB" w:rsidRPr="00787A69">
        <w:t xml:space="preserve"> in the sample</w:t>
      </w:r>
      <w:r w:rsidR="003C1335" w:rsidRPr="00787A69">
        <w:t xml:space="preserve">, </w:t>
      </w:r>
      <w:r w:rsidR="00D106CB" w:rsidRPr="00787A69">
        <w:t xml:space="preserve">we estimate that </w:t>
      </w:r>
      <w:r w:rsidR="003C1335" w:rsidRPr="00787A69">
        <w:t>fewer than half of the numbers sampled for the survey (about 40</w:t>
      </w:r>
      <w:r w:rsidR="00673F76" w:rsidRPr="00787A69">
        <w:t xml:space="preserve"> percent</w:t>
      </w:r>
      <w:r w:rsidR="003C1335" w:rsidRPr="00787A69">
        <w:t xml:space="preserve">) could be matched to an address. This makes </w:t>
      </w:r>
      <w:r w:rsidR="00673F76" w:rsidRPr="00787A69">
        <w:t>prepaid</w:t>
      </w:r>
      <w:r w:rsidR="003C1335" w:rsidRPr="00787A69">
        <w:t xml:space="preserve"> incentives a </w:t>
      </w:r>
      <w:r w:rsidR="00B56BBE" w:rsidRPr="00787A69">
        <w:t>moot issue</w:t>
      </w:r>
      <w:r w:rsidR="003C1335" w:rsidRPr="00787A69">
        <w:t xml:space="preserve">. The interview incentives, thus, will need to be post-paid. </w:t>
      </w:r>
      <w:r w:rsidR="00D62CDD" w:rsidRPr="00787A69">
        <w:t xml:space="preserve">Respondents will be notified at the beginning of the survey that they will receive the incentive after completion of the survey. </w:t>
      </w:r>
      <w:r w:rsidR="00016DC9" w:rsidRPr="00787A69">
        <w:t>Respondents to the su</w:t>
      </w:r>
      <w:r w:rsidR="00CD1469" w:rsidRPr="00787A69">
        <w:t xml:space="preserve">rvey who provide their address </w:t>
      </w:r>
      <w:r w:rsidR="00016DC9" w:rsidRPr="00787A69">
        <w:t>will receive a check for the incentive amount within three weeks of completing the telephone survey.</w:t>
      </w:r>
    </w:p>
    <w:p w14:paraId="3CF06C51" w14:textId="7F1EB690" w:rsidR="003C1335" w:rsidRPr="00787A69" w:rsidRDefault="003C1335" w:rsidP="003C1335">
      <w:pPr>
        <w:pStyle w:val="BodyText"/>
      </w:pPr>
      <w:r w:rsidRPr="00787A69">
        <w:t xml:space="preserve">A </w:t>
      </w:r>
      <w:r w:rsidR="00C2551C" w:rsidRPr="00787A69">
        <w:t>non</w:t>
      </w:r>
      <w:r w:rsidRPr="00787A69">
        <w:t xml:space="preserve">response follow-up survey (NRFU), </w:t>
      </w:r>
      <w:r w:rsidR="002D616C" w:rsidRPr="00787A69">
        <w:t xml:space="preserve">which </w:t>
      </w:r>
      <w:r w:rsidR="005A42A1" w:rsidRPr="00787A69">
        <w:t>the study team</w:t>
      </w:r>
      <w:r w:rsidRPr="00787A69">
        <w:t xml:space="preserve"> will use to evaluate </w:t>
      </w:r>
      <w:r w:rsidR="00C2551C" w:rsidRPr="00787A69">
        <w:t>non</w:t>
      </w:r>
      <w:r w:rsidRPr="00787A69">
        <w:t>re</w:t>
      </w:r>
      <w:r w:rsidR="00272871" w:rsidRPr="00787A69">
        <w:t>sponse in the Employee S</w:t>
      </w:r>
      <w:r w:rsidRPr="00787A69">
        <w:t xml:space="preserve">urvey, will include incentive payments. The NRFU will collect information on employees who fail to respond to the survey and provide insight into whether the nonrespondents differ from the respondents on the characteristics of interest (e.g., family and medical leave). Specifically, interviewers will call back a subsample (n=1,200) of households that declined the original survey and attempt to recruit an eligible employee to complete a shortened interview with a $40 incentive. </w:t>
      </w:r>
      <w:r w:rsidR="00016DC9" w:rsidRPr="00787A69">
        <w:t>Respondents to the NRFU who provide their address will be mailed a check for $40 within three weeks of completing the NRFU survey.</w:t>
      </w:r>
    </w:p>
    <w:p w14:paraId="6E78457A" w14:textId="0631E94C" w:rsidR="003C1335" w:rsidRPr="00787A69" w:rsidRDefault="003C1335" w:rsidP="003C1335">
      <w:pPr>
        <w:pStyle w:val="BodyText"/>
      </w:pPr>
      <w:r w:rsidRPr="00787A69">
        <w:t>Incentives are a common feature in NRFU surveys because, by definition, the NRFU sample did not cooperate with the original survey, and so a major change in the recruitment protocol is required to elicit cooperation.</w:t>
      </w:r>
      <w:r w:rsidR="005D1C2A" w:rsidRPr="00787A69">
        <w:t xml:space="preserve"> </w:t>
      </w:r>
      <w:r w:rsidRPr="00787A69">
        <w:t xml:space="preserve">Zimowski and colleagues (1997) noted in their report to the Federal Highway Administration (FHWA-PL-98-029) that large monetary incentives (e.g., $20 to $50) are a common element of NRFU </w:t>
      </w:r>
      <w:r w:rsidR="009F340F" w:rsidRPr="00787A69">
        <w:t xml:space="preserve">designs for household surveys. </w:t>
      </w:r>
      <w:r w:rsidRPr="00787A69">
        <w:t xml:space="preserve">For example, Peytchev et al. (2009) documented how a $20 incentive was used in a successful NRFU to the National Intimate Partner and Sexual Violence Survey for the Centers for Disease Control and Prevention. </w:t>
      </w:r>
      <w:r w:rsidR="0077393D" w:rsidRPr="00787A69">
        <w:t xml:space="preserve">As part of the 2012, Wave 3 FMLA surveys, </w:t>
      </w:r>
      <w:r w:rsidR="00964FB0" w:rsidRPr="00787A69">
        <w:t>the contractor</w:t>
      </w:r>
      <w:r w:rsidR="0077393D" w:rsidRPr="00787A69">
        <w:t xml:space="preserve"> offered a $20 incentive to respondents of the NRFU survey and achieved a response rate of 23 percent. </w:t>
      </w:r>
      <w:r w:rsidR="005074A6" w:rsidRPr="00787A69">
        <w:t>More recently, in the Worker Classification Knowledge Survey</w:t>
      </w:r>
      <w:r w:rsidR="002A1C6A" w:rsidRPr="00787A69">
        <w:t xml:space="preserve"> project for DOL</w:t>
      </w:r>
      <w:r w:rsidR="005074A6" w:rsidRPr="00787A69">
        <w:t>, respondents were offered $20 as remuneration for completing a NRFU</w:t>
      </w:r>
      <w:r w:rsidR="002A1C6A" w:rsidRPr="00787A69">
        <w:t>,</w:t>
      </w:r>
      <w:r w:rsidR="005074A6" w:rsidRPr="00787A69">
        <w:t xml:space="preserve"> and the response rate was just seven percent</w:t>
      </w:r>
      <w:r w:rsidR="002A1C6A" w:rsidRPr="00787A69">
        <w:t xml:space="preserve"> (Daley et al. 2016)</w:t>
      </w:r>
      <w:r w:rsidR="005074A6" w:rsidRPr="00787A69">
        <w:t xml:space="preserve">. </w:t>
      </w:r>
      <w:r w:rsidR="007A6A23" w:rsidRPr="00787A69">
        <w:t>To improve on this recent experience</w:t>
      </w:r>
      <w:r w:rsidR="00397FE0" w:rsidRPr="00787A69">
        <w:t>,</w:t>
      </w:r>
      <w:r w:rsidR="007A6A23" w:rsidRPr="00787A69">
        <w:t xml:space="preserve"> the </w:t>
      </w:r>
      <w:r w:rsidR="005074A6" w:rsidRPr="00787A69">
        <w:t xml:space="preserve">Wave 4 FMLA NRFU </w:t>
      </w:r>
      <w:r w:rsidR="007A6A23" w:rsidRPr="00787A69">
        <w:t xml:space="preserve">study team </w:t>
      </w:r>
      <w:r w:rsidR="0077393D" w:rsidRPr="00787A69">
        <w:t>has increased the amount of the incentive from $20 to $40</w:t>
      </w:r>
      <w:r w:rsidR="00695B0F" w:rsidRPr="00787A69">
        <w:t>.</w:t>
      </w:r>
      <w:r w:rsidR="0077393D" w:rsidRPr="00787A69">
        <w:t xml:space="preserve"> </w:t>
      </w:r>
    </w:p>
    <w:p w14:paraId="170E424C" w14:textId="54FBF366" w:rsidR="006905D2" w:rsidRPr="00787A69" w:rsidRDefault="00A72D77" w:rsidP="00C728CB">
      <w:pPr>
        <w:pStyle w:val="Heading3"/>
      </w:pPr>
      <w:bookmarkStart w:id="22" w:name="_Toc486315527"/>
      <w:r w:rsidRPr="00787A69">
        <w:t>A.9.2</w:t>
      </w:r>
      <w:r w:rsidR="00673F76" w:rsidRPr="00787A69">
        <w:tab/>
      </w:r>
      <w:r w:rsidR="006905D2" w:rsidRPr="00787A69">
        <w:t>Employer Survey</w:t>
      </w:r>
      <w:bookmarkEnd w:id="22"/>
    </w:p>
    <w:p w14:paraId="19122385" w14:textId="3A40ED80" w:rsidR="003A67CB" w:rsidRPr="00787A69" w:rsidRDefault="00B64CA5" w:rsidP="00C337DA">
      <w:pPr>
        <w:pStyle w:val="BodyText"/>
      </w:pPr>
      <w:r w:rsidRPr="00787A69">
        <w:t>No payments or incentives will be pro</w:t>
      </w:r>
      <w:r w:rsidR="00272871" w:rsidRPr="00787A69">
        <w:t>vided for participation in the Employer S</w:t>
      </w:r>
      <w:r w:rsidRPr="00787A69">
        <w:t>urvey.</w:t>
      </w:r>
    </w:p>
    <w:p w14:paraId="67E96AD9" w14:textId="73BCBB2B" w:rsidR="00C337DA" w:rsidRPr="00787A69" w:rsidRDefault="0024418A" w:rsidP="00C337DA">
      <w:pPr>
        <w:pStyle w:val="Heading2"/>
        <w:numPr>
          <w:ilvl w:val="0"/>
          <w:numId w:val="0"/>
        </w:numPr>
        <w:ind w:left="720" w:hanging="720"/>
      </w:pPr>
      <w:bookmarkStart w:id="23" w:name="_Toc486315528"/>
      <w:r w:rsidRPr="00787A69">
        <w:t>A</w:t>
      </w:r>
      <w:r w:rsidR="00A72D77" w:rsidRPr="00787A69">
        <w:t>.</w:t>
      </w:r>
      <w:r w:rsidRPr="00787A69">
        <w:t>10.</w:t>
      </w:r>
      <w:r w:rsidRPr="00787A69">
        <w:tab/>
      </w:r>
      <w:r w:rsidR="007A4608" w:rsidRPr="00787A69">
        <w:t>Privacy</w:t>
      </w:r>
      <w:r w:rsidR="00C337DA" w:rsidRPr="00787A69">
        <w:t xml:space="preserve"> of Respondents</w:t>
      </w:r>
      <w:bookmarkEnd w:id="23"/>
      <w:r w:rsidR="00C337DA" w:rsidRPr="00787A69">
        <w:t xml:space="preserve"> </w:t>
      </w:r>
    </w:p>
    <w:p w14:paraId="00B4F641" w14:textId="33843370" w:rsidR="004B0A03" w:rsidRPr="00787A69" w:rsidRDefault="004B0A03" w:rsidP="004B0A03">
      <w:pPr>
        <w:spacing w:line="240" w:lineRule="auto"/>
        <w:rPr>
          <w:szCs w:val="22"/>
        </w:rPr>
      </w:pPr>
      <w:r w:rsidRPr="00787A69">
        <w:rPr>
          <w:szCs w:val="22"/>
        </w:rPr>
        <w:t>Verbal assurance of privacy will be provided to all respondent</w:t>
      </w:r>
      <w:r w:rsidR="00272871" w:rsidRPr="00787A69">
        <w:rPr>
          <w:szCs w:val="22"/>
        </w:rPr>
        <w:t>s of the Employee and Employer S</w:t>
      </w:r>
      <w:r w:rsidRPr="00787A69">
        <w:rPr>
          <w:szCs w:val="22"/>
        </w:rPr>
        <w:t xml:space="preserve">urveys. </w:t>
      </w:r>
      <w:r w:rsidR="0064501D" w:rsidRPr="00787A69">
        <w:rPr>
          <w:szCs w:val="22"/>
        </w:rPr>
        <w:t xml:space="preserve">Respondents who elect to take the </w:t>
      </w:r>
      <w:r w:rsidR="00272871" w:rsidRPr="00787A69">
        <w:rPr>
          <w:szCs w:val="22"/>
        </w:rPr>
        <w:t>online version of the Employer S</w:t>
      </w:r>
      <w:r w:rsidR="0064501D" w:rsidRPr="00787A69">
        <w:rPr>
          <w:szCs w:val="22"/>
        </w:rPr>
        <w:t xml:space="preserve">urvey will receive written assurance of privacy. All participants will be informed that their participation is voluntary and they may skip any questions they do not wish to answer, their responses will be kept private, and the risks are minimal. </w:t>
      </w:r>
      <w:r w:rsidRPr="00787A69">
        <w:rPr>
          <w:szCs w:val="22"/>
        </w:rPr>
        <w:t>The exact statement indicating the privacy of respondents’ answers is attached (</w:t>
      </w:r>
      <w:r w:rsidR="00604202" w:rsidRPr="00787A69">
        <w:rPr>
          <w:szCs w:val="22"/>
        </w:rPr>
        <w:t xml:space="preserve">Attachment </w:t>
      </w:r>
      <w:r w:rsidR="00931E1A" w:rsidRPr="00787A69">
        <w:rPr>
          <w:szCs w:val="22"/>
        </w:rPr>
        <w:t>F</w:t>
      </w:r>
      <w:r w:rsidRPr="00787A69">
        <w:rPr>
          <w:szCs w:val="22"/>
        </w:rPr>
        <w:t xml:space="preserve">). </w:t>
      </w:r>
    </w:p>
    <w:p w14:paraId="3957D2E9" w14:textId="43CFA981" w:rsidR="004B0A03" w:rsidRPr="00787A69" w:rsidRDefault="00DD380C" w:rsidP="004B0A03">
      <w:pPr>
        <w:spacing w:line="240" w:lineRule="auto"/>
        <w:rPr>
          <w:szCs w:val="22"/>
        </w:rPr>
      </w:pPr>
      <w:r w:rsidRPr="00787A69">
        <w:rPr>
          <w:szCs w:val="22"/>
        </w:rPr>
        <w:t>The contractor</w:t>
      </w:r>
      <w:r w:rsidR="004B0A03" w:rsidRPr="00787A69">
        <w:rPr>
          <w:szCs w:val="22"/>
        </w:rPr>
        <w:t xml:space="preserve"> has obtained approval from its IRB</w:t>
      </w:r>
      <w:r w:rsidR="0045617A" w:rsidRPr="00787A69">
        <w:rPr>
          <w:szCs w:val="22"/>
        </w:rPr>
        <w:t xml:space="preserve"> (Attachment H)</w:t>
      </w:r>
      <w:r w:rsidR="004B0A03" w:rsidRPr="00787A69">
        <w:rPr>
          <w:szCs w:val="22"/>
        </w:rPr>
        <w:t xml:space="preserve">. All staff working on the study will have completed basic human protections as well as project-specific IRB training. </w:t>
      </w:r>
    </w:p>
    <w:p w14:paraId="1CDA44D3" w14:textId="5FFEE343" w:rsidR="007A4608" w:rsidRPr="00787A69" w:rsidRDefault="001457DF" w:rsidP="00507681">
      <w:pPr>
        <w:spacing w:line="240" w:lineRule="auto"/>
        <w:rPr>
          <w:szCs w:val="22"/>
        </w:rPr>
      </w:pPr>
      <w:r w:rsidRPr="00787A69">
        <w:rPr>
          <w:szCs w:val="22"/>
        </w:rPr>
        <w:t xml:space="preserve">Prior to </w:t>
      </w:r>
      <w:r w:rsidR="00A161E7" w:rsidRPr="00787A69">
        <w:rPr>
          <w:szCs w:val="22"/>
        </w:rPr>
        <w:t xml:space="preserve">the analysis of the collected survey </w:t>
      </w:r>
      <w:r w:rsidRPr="00787A69">
        <w:rPr>
          <w:szCs w:val="22"/>
        </w:rPr>
        <w:t>data</w:t>
      </w:r>
      <w:r w:rsidR="004C4B70" w:rsidRPr="00787A69">
        <w:rPr>
          <w:szCs w:val="22"/>
        </w:rPr>
        <w:t>,</w:t>
      </w:r>
      <w:r w:rsidRPr="00787A69">
        <w:rPr>
          <w:szCs w:val="22"/>
        </w:rPr>
        <w:t xml:space="preserve"> </w:t>
      </w:r>
      <w:r w:rsidR="00DD380C" w:rsidRPr="00787A69">
        <w:rPr>
          <w:szCs w:val="22"/>
        </w:rPr>
        <w:t xml:space="preserve">the contractor </w:t>
      </w:r>
      <w:r w:rsidR="007A4608" w:rsidRPr="00787A69">
        <w:rPr>
          <w:szCs w:val="22"/>
        </w:rPr>
        <w:t xml:space="preserve"> </w:t>
      </w:r>
      <w:r w:rsidRPr="00787A69">
        <w:rPr>
          <w:szCs w:val="22"/>
        </w:rPr>
        <w:t xml:space="preserve">will </w:t>
      </w:r>
      <w:r w:rsidR="00A161E7" w:rsidRPr="00787A69">
        <w:rPr>
          <w:szCs w:val="22"/>
        </w:rPr>
        <w:t>assign generic study identifiers</w:t>
      </w:r>
      <w:r w:rsidR="00C2551C" w:rsidRPr="00787A69">
        <w:rPr>
          <w:szCs w:val="22"/>
        </w:rPr>
        <w:t>—</w:t>
      </w:r>
      <w:r w:rsidR="00A161E7" w:rsidRPr="00787A69">
        <w:rPr>
          <w:szCs w:val="22"/>
        </w:rPr>
        <w:t>not based on PII</w:t>
      </w:r>
      <w:r w:rsidR="00C2551C" w:rsidRPr="00787A69">
        <w:rPr>
          <w:szCs w:val="22"/>
        </w:rPr>
        <w:t>—</w:t>
      </w:r>
      <w:r w:rsidR="00A161E7" w:rsidRPr="00787A69">
        <w:rPr>
          <w:szCs w:val="22"/>
        </w:rPr>
        <w:t xml:space="preserve">for each study participant to link participant data. </w:t>
      </w:r>
      <w:r w:rsidR="004C4B70" w:rsidRPr="00787A69">
        <w:rPr>
          <w:szCs w:val="22"/>
        </w:rPr>
        <w:t>The contractor</w:t>
      </w:r>
      <w:r w:rsidR="00A161E7" w:rsidRPr="00787A69">
        <w:rPr>
          <w:szCs w:val="22"/>
        </w:rPr>
        <w:t xml:space="preserve"> will then </w:t>
      </w:r>
      <w:r w:rsidR="007A4608" w:rsidRPr="00787A69">
        <w:rPr>
          <w:szCs w:val="22"/>
        </w:rPr>
        <w:t xml:space="preserve">remove </w:t>
      </w:r>
      <w:r w:rsidR="00A161E7" w:rsidRPr="00787A69">
        <w:rPr>
          <w:szCs w:val="22"/>
        </w:rPr>
        <w:t xml:space="preserve">personal </w:t>
      </w:r>
      <w:r w:rsidR="007A4608" w:rsidRPr="00787A69">
        <w:rPr>
          <w:szCs w:val="22"/>
        </w:rPr>
        <w:t>identifiers (e.g., name of company, name of</w:t>
      </w:r>
      <w:r w:rsidR="00A161E7" w:rsidRPr="00787A69">
        <w:rPr>
          <w:szCs w:val="22"/>
        </w:rPr>
        <w:t xml:space="preserve"> employee</w:t>
      </w:r>
      <w:r w:rsidR="007A4608" w:rsidRPr="00787A69">
        <w:rPr>
          <w:szCs w:val="22"/>
        </w:rPr>
        <w:t>)</w:t>
      </w:r>
      <w:r w:rsidR="000A6442" w:rsidRPr="00787A69">
        <w:rPr>
          <w:szCs w:val="22"/>
        </w:rPr>
        <w:t>. As a result, this analysis file (and the Public Use File which will be derived from it) will not include information that will allow direct linking</w:t>
      </w:r>
      <w:r w:rsidR="007A4608" w:rsidRPr="00787A69">
        <w:rPr>
          <w:szCs w:val="22"/>
        </w:rPr>
        <w:t xml:space="preserve"> to a sp</w:t>
      </w:r>
      <w:r w:rsidR="00507681" w:rsidRPr="00787A69">
        <w:rPr>
          <w:szCs w:val="22"/>
        </w:rPr>
        <w:t xml:space="preserve">ecific individual or employer. </w:t>
      </w:r>
      <w:r w:rsidR="00A161E7" w:rsidRPr="00787A69">
        <w:rPr>
          <w:szCs w:val="22"/>
        </w:rPr>
        <w:t xml:space="preserve">Thus </w:t>
      </w:r>
      <w:r w:rsidR="00165BB6" w:rsidRPr="00787A69">
        <w:rPr>
          <w:szCs w:val="22"/>
        </w:rPr>
        <w:t xml:space="preserve">external </w:t>
      </w:r>
      <w:r w:rsidR="00A161E7" w:rsidRPr="00787A69">
        <w:rPr>
          <w:szCs w:val="22"/>
        </w:rPr>
        <w:t xml:space="preserve">analysts will never see or be able to access these individual-level identifiers. </w:t>
      </w:r>
      <w:r w:rsidR="000A6442" w:rsidRPr="00787A69">
        <w:rPr>
          <w:szCs w:val="22"/>
        </w:rPr>
        <w:t xml:space="preserve">Reverse identification (not from </w:t>
      </w:r>
      <w:r w:rsidR="00EC26F4" w:rsidRPr="00787A69">
        <w:rPr>
          <w:szCs w:val="22"/>
        </w:rPr>
        <w:t xml:space="preserve">identifiers) remains possible. </w:t>
      </w:r>
      <w:r w:rsidR="000A6442" w:rsidRPr="00787A69">
        <w:rPr>
          <w:szCs w:val="22"/>
        </w:rPr>
        <w:t>Later in this section, we discuss the additional steps we will take to prevent reverse identification from variables other than identifiers.</w:t>
      </w:r>
    </w:p>
    <w:p w14:paraId="7C8F05AD" w14:textId="5ED5E05B" w:rsidR="007A4608" w:rsidRPr="00787A69" w:rsidRDefault="007A4608" w:rsidP="00507681">
      <w:pPr>
        <w:spacing w:line="240" w:lineRule="auto"/>
        <w:rPr>
          <w:szCs w:val="22"/>
        </w:rPr>
      </w:pPr>
      <w:r w:rsidRPr="00787A69">
        <w:rPr>
          <w:szCs w:val="22"/>
        </w:rPr>
        <w:t xml:space="preserve">The survey data will be stored on an </w:t>
      </w:r>
      <w:r w:rsidR="004C4B70" w:rsidRPr="00787A69">
        <w:rPr>
          <w:szCs w:val="22"/>
        </w:rPr>
        <w:t>contractor’s</w:t>
      </w:r>
      <w:r w:rsidRPr="00787A69">
        <w:rPr>
          <w:szCs w:val="22"/>
        </w:rPr>
        <w:t xml:space="preserve"> computer that is protected by a firewall</w:t>
      </w:r>
      <w:r w:rsidR="00165BB6" w:rsidRPr="00787A69">
        <w:rPr>
          <w:szCs w:val="22"/>
        </w:rPr>
        <w:t xml:space="preserve"> which </w:t>
      </w:r>
      <w:r w:rsidRPr="00787A69">
        <w:rPr>
          <w:szCs w:val="22"/>
        </w:rPr>
        <w:t>monitors and evaluates all attempted connections from the Internet</w:t>
      </w:r>
      <w:r w:rsidR="00507681" w:rsidRPr="00787A69">
        <w:rPr>
          <w:szCs w:val="22"/>
        </w:rPr>
        <w:t xml:space="preserve">. </w:t>
      </w:r>
      <w:r w:rsidRPr="00787A69">
        <w:rPr>
          <w:szCs w:val="22"/>
        </w:rPr>
        <w:t>Private information on e</w:t>
      </w:r>
      <w:r w:rsidR="00630E74" w:rsidRPr="00787A69">
        <w:rPr>
          <w:szCs w:val="22"/>
        </w:rPr>
        <w:t>ach survey respondent (</w:t>
      </w:r>
      <w:r w:rsidR="0009560B" w:rsidRPr="00787A69">
        <w:rPr>
          <w:szCs w:val="22"/>
        </w:rPr>
        <w:t>e.g.</w:t>
      </w:r>
      <w:r w:rsidR="00630E74" w:rsidRPr="00787A69">
        <w:rPr>
          <w:szCs w:val="22"/>
        </w:rPr>
        <w:t xml:space="preserve">., name, </w:t>
      </w:r>
      <w:r w:rsidRPr="00787A69">
        <w:rPr>
          <w:szCs w:val="22"/>
        </w:rPr>
        <w:t>telephone number</w:t>
      </w:r>
      <w:r w:rsidR="00630E74" w:rsidRPr="00787A69">
        <w:rPr>
          <w:szCs w:val="22"/>
        </w:rPr>
        <w:t>, and for those who elect to receive an incentive, mailing address)</w:t>
      </w:r>
      <w:r w:rsidRPr="00787A69">
        <w:rPr>
          <w:szCs w:val="22"/>
        </w:rPr>
        <w:t xml:space="preserve"> will be maintained in a file </w:t>
      </w:r>
      <w:r w:rsidR="001457DF" w:rsidRPr="00787A69">
        <w:rPr>
          <w:szCs w:val="22"/>
        </w:rPr>
        <w:t xml:space="preserve">separate </w:t>
      </w:r>
      <w:r w:rsidRPr="00787A69">
        <w:rPr>
          <w:szCs w:val="22"/>
        </w:rPr>
        <w:t>from the survey data</w:t>
      </w:r>
      <w:r w:rsidR="001457DF" w:rsidRPr="00787A69">
        <w:rPr>
          <w:szCs w:val="22"/>
        </w:rPr>
        <w:t>.</w:t>
      </w:r>
      <w:r w:rsidR="00AB167E" w:rsidRPr="00787A69">
        <w:rPr>
          <w:szCs w:val="22"/>
        </w:rPr>
        <w:t xml:space="preserve"> </w:t>
      </w:r>
      <w:r w:rsidR="004C4B70" w:rsidRPr="00787A69">
        <w:rPr>
          <w:szCs w:val="22"/>
        </w:rPr>
        <w:t>The contractor</w:t>
      </w:r>
      <w:r w:rsidR="00AB167E" w:rsidRPr="00787A69">
        <w:rPr>
          <w:szCs w:val="22"/>
        </w:rPr>
        <w:t xml:space="preserve"> uses a LAN and WAN network infrastructure to facilitate computer</w:t>
      </w:r>
      <w:r w:rsidR="00A908B5" w:rsidRPr="00787A69">
        <w:rPr>
          <w:szCs w:val="22"/>
        </w:rPr>
        <w:t>-</w:t>
      </w:r>
      <w:r w:rsidR="00AB167E" w:rsidRPr="00787A69">
        <w:rPr>
          <w:szCs w:val="22"/>
        </w:rPr>
        <w:t xml:space="preserve">assisted telephone interviewing. Access to the LAN and WAN are restricted by IP address. Access to the WAN is restricted by IP address, firewalls, and security rules on </w:t>
      </w:r>
      <w:r w:rsidR="004C4B70" w:rsidRPr="00787A69">
        <w:rPr>
          <w:szCs w:val="22"/>
        </w:rPr>
        <w:t>the contractor</w:t>
      </w:r>
      <w:r w:rsidR="00D578BC" w:rsidRPr="00787A69">
        <w:rPr>
          <w:szCs w:val="22"/>
        </w:rPr>
        <w:t xml:space="preserve">’s </w:t>
      </w:r>
      <w:r w:rsidR="00AB167E" w:rsidRPr="00787A69">
        <w:rPr>
          <w:szCs w:val="22"/>
        </w:rPr>
        <w:t>routers. All servers’ access is restricted by username and password authenticatio</w:t>
      </w:r>
      <w:r w:rsidR="00616804" w:rsidRPr="00787A69">
        <w:rPr>
          <w:szCs w:val="22"/>
        </w:rPr>
        <w:t xml:space="preserve">n. </w:t>
      </w:r>
      <w:r w:rsidR="00D578BC" w:rsidRPr="00787A69">
        <w:rPr>
          <w:szCs w:val="22"/>
        </w:rPr>
        <w:t xml:space="preserve">The </w:t>
      </w:r>
      <w:r w:rsidR="00AB167E" w:rsidRPr="00787A69">
        <w:rPr>
          <w:szCs w:val="22"/>
        </w:rPr>
        <w:t xml:space="preserve">perimeter is secured by an active IPS (Intrusion </w:t>
      </w:r>
      <w:r w:rsidR="00616804" w:rsidRPr="00787A69">
        <w:rPr>
          <w:szCs w:val="22"/>
        </w:rPr>
        <w:t>Prevention System) with state</w:t>
      </w:r>
      <w:r w:rsidR="00AB167E" w:rsidRPr="00787A69">
        <w:rPr>
          <w:szCs w:val="22"/>
        </w:rPr>
        <w:t xml:space="preserve"> packet inspection</w:t>
      </w:r>
      <w:r w:rsidR="0009560B" w:rsidRPr="00787A69">
        <w:rPr>
          <w:szCs w:val="22"/>
        </w:rPr>
        <w:t xml:space="preserve">. </w:t>
      </w:r>
      <w:r w:rsidRPr="00787A69">
        <w:rPr>
          <w:szCs w:val="22"/>
        </w:rPr>
        <w:t>Once the survey is completed, all private data on each respondent will be destroyed</w:t>
      </w:r>
      <w:r w:rsidR="00507681" w:rsidRPr="00787A69">
        <w:rPr>
          <w:szCs w:val="22"/>
        </w:rPr>
        <w:t xml:space="preserve">. </w:t>
      </w:r>
      <w:r w:rsidRPr="00787A69">
        <w:rPr>
          <w:szCs w:val="22"/>
        </w:rPr>
        <w:t>Any data used for analysis by the contractor or the Department wil</w:t>
      </w:r>
      <w:r w:rsidR="00507681" w:rsidRPr="00787A69">
        <w:rPr>
          <w:szCs w:val="22"/>
        </w:rPr>
        <w:t xml:space="preserve">l be completely de-identified. </w:t>
      </w:r>
      <w:r w:rsidRPr="00787A69">
        <w:rPr>
          <w:szCs w:val="22"/>
        </w:rPr>
        <w:t>The entire database will be encrypted so that any data stored will be further protected</w:t>
      </w:r>
      <w:r w:rsidR="00507681" w:rsidRPr="00787A69">
        <w:rPr>
          <w:szCs w:val="22"/>
        </w:rPr>
        <w:t xml:space="preserve">. </w:t>
      </w:r>
      <w:r w:rsidRPr="00787A69">
        <w:rPr>
          <w:szCs w:val="22"/>
        </w:rPr>
        <w:t>Finally, access to data with identifying information will be limited to contractor staff directly working on the survey</w:t>
      </w:r>
      <w:r w:rsidR="00616804" w:rsidRPr="00787A69">
        <w:rPr>
          <w:szCs w:val="22"/>
        </w:rPr>
        <w:t xml:space="preserve">. </w:t>
      </w:r>
      <w:r w:rsidR="001457DF" w:rsidRPr="00787A69">
        <w:rPr>
          <w:szCs w:val="22"/>
        </w:rPr>
        <w:t>Those doing analysis will not have access to the identifying information.</w:t>
      </w:r>
    </w:p>
    <w:p w14:paraId="15D9B270" w14:textId="5ED87A8C" w:rsidR="00C337DA" w:rsidRPr="00787A69" w:rsidRDefault="007A4608" w:rsidP="00507681">
      <w:pPr>
        <w:spacing w:line="240" w:lineRule="auto"/>
        <w:rPr>
          <w:szCs w:val="22"/>
        </w:rPr>
      </w:pPr>
      <w:r w:rsidRPr="00787A69">
        <w:rPr>
          <w:szCs w:val="22"/>
        </w:rPr>
        <w:t>All analyses, summaries or briefings will be presented at the aggregate level</w:t>
      </w:r>
      <w:r w:rsidR="001457DF" w:rsidRPr="00787A69">
        <w:rPr>
          <w:szCs w:val="22"/>
        </w:rPr>
        <w:t>.</w:t>
      </w:r>
      <w:r w:rsidR="005D1C2A" w:rsidRPr="00787A69">
        <w:rPr>
          <w:szCs w:val="22"/>
        </w:rPr>
        <w:t xml:space="preserve"> </w:t>
      </w:r>
      <w:r w:rsidR="001457DF" w:rsidRPr="00787A69">
        <w:rPr>
          <w:szCs w:val="22"/>
        </w:rPr>
        <w:t xml:space="preserve">As a result, </w:t>
      </w:r>
      <w:r w:rsidRPr="00787A69">
        <w:rPr>
          <w:szCs w:val="22"/>
        </w:rPr>
        <w:t>it will not be possible to link specific responses to individual respondents in any way</w:t>
      </w:r>
      <w:r w:rsidR="00507681" w:rsidRPr="00787A69">
        <w:rPr>
          <w:szCs w:val="22"/>
        </w:rPr>
        <w:t xml:space="preserve">. </w:t>
      </w:r>
      <w:r w:rsidRPr="00787A69">
        <w:rPr>
          <w:szCs w:val="22"/>
        </w:rPr>
        <w:t xml:space="preserve">The database delivered to DOL </w:t>
      </w:r>
      <w:r w:rsidR="002D616C" w:rsidRPr="00787A69">
        <w:rPr>
          <w:szCs w:val="22"/>
        </w:rPr>
        <w:t xml:space="preserve">and subsequently available for public use </w:t>
      </w:r>
      <w:r w:rsidRPr="00787A69">
        <w:rPr>
          <w:szCs w:val="22"/>
        </w:rPr>
        <w:t>will not include any identifying information such as names, addresses, telephone numbers, or social security numbers, nor any other information that might support reverse identification of respondents.</w:t>
      </w:r>
    </w:p>
    <w:p w14:paraId="5B9F3E70" w14:textId="56FD5537" w:rsidR="00A161E7" w:rsidRPr="00787A69" w:rsidRDefault="003A3A83" w:rsidP="003A3A83">
      <w:pPr>
        <w:spacing w:line="240" w:lineRule="auto"/>
        <w:rPr>
          <w:szCs w:val="22"/>
        </w:rPr>
      </w:pPr>
      <w:r w:rsidRPr="00787A69">
        <w:rPr>
          <w:szCs w:val="22"/>
        </w:rPr>
        <w:t>Publi</w:t>
      </w:r>
      <w:r w:rsidR="00272871" w:rsidRPr="00787A69">
        <w:rPr>
          <w:szCs w:val="22"/>
        </w:rPr>
        <w:t>c use files (PUF</w:t>
      </w:r>
      <w:r w:rsidR="0009560B" w:rsidRPr="00787A69">
        <w:rPr>
          <w:szCs w:val="22"/>
        </w:rPr>
        <w:t>s</w:t>
      </w:r>
      <w:r w:rsidR="00272871" w:rsidRPr="00787A69">
        <w:rPr>
          <w:szCs w:val="22"/>
        </w:rPr>
        <w:t>) for both the Employee Survey and Employer S</w:t>
      </w:r>
      <w:r w:rsidRPr="00787A69">
        <w:rPr>
          <w:szCs w:val="22"/>
        </w:rPr>
        <w:t xml:space="preserve">urvey will be made available after completion of the data collection. Following standard </w:t>
      </w:r>
      <w:r w:rsidR="00B2686F" w:rsidRPr="00787A69">
        <w:rPr>
          <w:szCs w:val="22"/>
        </w:rPr>
        <w:t xml:space="preserve">privacy </w:t>
      </w:r>
      <w:r w:rsidRPr="00787A69">
        <w:rPr>
          <w:szCs w:val="22"/>
        </w:rPr>
        <w:t>p</w:t>
      </w:r>
      <w:r w:rsidR="005A42A1" w:rsidRPr="00787A69">
        <w:rPr>
          <w:szCs w:val="22"/>
        </w:rPr>
        <w:t>rotocols, in the Wave 4 files the study team</w:t>
      </w:r>
      <w:r w:rsidRPr="00787A69">
        <w:rPr>
          <w:szCs w:val="22"/>
        </w:rPr>
        <w:t xml:space="preserve"> will coarsen the data to protect respondent privacy, while still providing sufficient information to allow other researchers using the P</w:t>
      </w:r>
      <w:r w:rsidR="0009560B" w:rsidRPr="00787A69">
        <w:rPr>
          <w:szCs w:val="22"/>
        </w:rPr>
        <w:t xml:space="preserve">UFs </w:t>
      </w:r>
      <w:r w:rsidRPr="00787A69">
        <w:rPr>
          <w:szCs w:val="22"/>
        </w:rPr>
        <w:t xml:space="preserve">to replicate the analyses presented in the </w:t>
      </w:r>
      <w:r w:rsidRPr="00787A69">
        <w:rPr>
          <w:i/>
          <w:szCs w:val="22"/>
        </w:rPr>
        <w:t>Final Report</w:t>
      </w:r>
      <w:r w:rsidR="005A42A1" w:rsidRPr="00787A69">
        <w:rPr>
          <w:szCs w:val="22"/>
        </w:rPr>
        <w:t xml:space="preserve">. </w:t>
      </w:r>
      <w:r w:rsidR="00A161E7" w:rsidRPr="00787A69">
        <w:rPr>
          <w:szCs w:val="22"/>
        </w:rPr>
        <w:t>In particular, the study team will review the final data for rare responses in both survey data</w:t>
      </w:r>
      <w:r w:rsidR="00D578BC" w:rsidRPr="00787A69">
        <w:rPr>
          <w:szCs w:val="22"/>
        </w:rPr>
        <w:t xml:space="preserve"> </w:t>
      </w:r>
      <w:r w:rsidR="00A161E7" w:rsidRPr="00787A69">
        <w:rPr>
          <w:szCs w:val="22"/>
        </w:rPr>
        <w:t xml:space="preserve">sets. As necessary, the study team will re-code so that no single response category or combination of closely related response categories has an unweighted frequency below five. For other rare responses, or for combinations of responses that may susceptible to re-identification, </w:t>
      </w:r>
      <w:r w:rsidR="004C4B70" w:rsidRPr="00787A69">
        <w:rPr>
          <w:szCs w:val="22"/>
        </w:rPr>
        <w:t xml:space="preserve">the contractor </w:t>
      </w:r>
      <w:r w:rsidR="00A161E7" w:rsidRPr="00787A69">
        <w:rPr>
          <w:szCs w:val="22"/>
        </w:rPr>
        <w:t xml:space="preserve">will coarsen the data by some combination of suppression, rounding, top-coding, bottom-coding, or collapsing response groups as needed so that no identifying values are released in the PUFs. However, for some variables of special interest, </w:t>
      </w:r>
      <w:r w:rsidR="004C4B70" w:rsidRPr="00787A69">
        <w:rPr>
          <w:szCs w:val="22"/>
        </w:rPr>
        <w:t xml:space="preserve">the contractor </w:t>
      </w:r>
      <w:r w:rsidR="00A161E7" w:rsidRPr="00787A69">
        <w:rPr>
          <w:szCs w:val="22"/>
        </w:rPr>
        <w:t>may instead maintain privacy by using an alternative approach, such as data swapping.</w:t>
      </w:r>
    </w:p>
    <w:p w14:paraId="2E737801" w14:textId="55CB20B9" w:rsidR="00D97947" w:rsidRPr="00787A69" w:rsidRDefault="005A42A1" w:rsidP="003A3A83">
      <w:pPr>
        <w:spacing w:line="240" w:lineRule="auto"/>
        <w:rPr>
          <w:szCs w:val="22"/>
        </w:rPr>
      </w:pPr>
      <w:r w:rsidRPr="00787A69">
        <w:rPr>
          <w:szCs w:val="22"/>
        </w:rPr>
        <w:t>The study team</w:t>
      </w:r>
      <w:r w:rsidR="003A3A83" w:rsidRPr="00787A69">
        <w:rPr>
          <w:szCs w:val="22"/>
        </w:rPr>
        <w:t xml:space="preserve"> also will prepare and deliver tables that describe how to use and access the files, each variable, any editing strategies employed, the data source, the sample and population represented, and information such as frequencies, means, and any additional information agreed on with DOL</w:t>
      </w:r>
      <w:r w:rsidR="00A161E7" w:rsidRPr="00787A69">
        <w:rPr>
          <w:szCs w:val="22"/>
        </w:rPr>
        <w:t xml:space="preserve">. </w:t>
      </w:r>
      <w:r w:rsidR="001457DF" w:rsidRPr="00787A69">
        <w:rPr>
          <w:szCs w:val="22"/>
        </w:rPr>
        <w:t xml:space="preserve">The </w:t>
      </w:r>
      <w:r w:rsidR="003A3A83" w:rsidRPr="00787A69">
        <w:rPr>
          <w:szCs w:val="22"/>
        </w:rPr>
        <w:t>collection, maintenance, and dissemination of data (including personal identifiers)</w:t>
      </w:r>
      <w:r w:rsidR="001457DF" w:rsidRPr="00787A69">
        <w:rPr>
          <w:szCs w:val="22"/>
        </w:rPr>
        <w:t xml:space="preserve"> will be compliant </w:t>
      </w:r>
      <w:r w:rsidR="003A3A83" w:rsidRPr="00787A69">
        <w:rPr>
          <w:szCs w:val="22"/>
        </w:rPr>
        <w:t xml:space="preserve">with all requirements </w:t>
      </w:r>
      <w:r w:rsidR="00D97947" w:rsidRPr="00787A69">
        <w:rPr>
          <w:szCs w:val="22"/>
        </w:rPr>
        <w:t>articulated in federal statutes.</w:t>
      </w:r>
      <w:r w:rsidRPr="00787A69">
        <w:rPr>
          <w:szCs w:val="22"/>
        </w:rPr>
        <w:t xml:space="preserve"> </w:t>
      </w:r>
      <w:r w:rsidR="00D97947" w:rsidRPr="00787A69">
        <w:rPr>
          <w:szCs w:val="22"/>
        </w:rPr>
        <w:t xml:space="preserve"> </w:t>
      </w:r>
      <w:r w:rsidR="00964FB0" w:rsidRPr="00787A69">
        <w:rPr>
          <w:szCs w:val="22"/>
        </w:rPr>
        <w:t>The contractor</w:t>
      </w:r>
      <w:r w:rsidR="00D97947" w:rsidRPr="00787A69">
        <w:rPr>
          <w:szCs w:val="22"/>
        </w:rPr>
        <w:t xml:space="preserve"> complies with the E-Government Act of 2002, including Title III: Federal Information Security Management Act (FISMA), which covers site security, security control documentation, access control, change management, incident response, and risk management. </w:t>
      </w:r>
      <w:r w:rsidR="00964FB0" w:rsidRPr="00787A69">
        <w:rPr>
          <w:szCs w:val="22"/>
        </w:rPr>
        <w:t>The contractor</w:t>
      </w:r>
      <w:r w:rsidR="00D97947" w:rsidRPr="00787A69">
        <w:rPr>
          <w:szCs w:val="22"/>
        </w:rPr>
        <w:t xml:space="preserve"> follows a risk management process to manage security risks to the company and projects, in order to assess risks and implement secure mitigation strategies accordingly to secure Personally Identifiable Information (PII) and Protected Health Information (PHI). </w:t>
      </w:r>
    </w:p>
    <w:p w14:paraId="10B5EDE1" w14:textId="33EAABD0" w:rsidR="00D97947" w:rsidRPr="00787A69" w:rsidRDefault="00D97947" w:rsidP="003A3A83">
      <w:pPr>
        <w:spacing w:line="240" w:lineRule="auto"/>
        <w:rPr>
          <w:szCs w:val="22"/>
        </w:rPr>
      </w:pPr>
      <w:r w:rsidRPr="00787A69">
        <w:rPr>
          <w:szCs w:val="22"/>
        </w:rPr>
        <w:t xml:space="preserve">With multimodal data collection via </w:t>
      </w:r>
      <w:r w:rsidR="00B85EB3" w:rsidRPr="00787A69">
        <w:rPr>
          <w:szCs w:val="22"/>
        </w:rPr>
        <w:t>phone</w:t>
      </w:r>
      <w:r w:rsidRPr="00787A69">
        <w:rPr>
          <w:szCs w:val="22"/>
        </w:rPr>
        <w:t xml:space="preserve"> and web surveys, the privacy of the individuals rests heavily on the interviewers and the systems doing the data collection. All </w:t>
      </w:r>
      <w:r w:rsidR="00DD63C5" w:rsidRPr="00787A69">
        <w:rPr>
          <w:szCs w:val="22"/>
        </w:rPr>
        <w:t xml:space="preserve">staff </w:t>
      </w:r>
      <w:r w:rsidRPr="00787A69">
        <w:rPr>
          <w:szCs w:val="22"/>
        </w:rPr>
        <w:t xml:space="preserve">are trained in how to protect sensitive information and are monitored by multiple supervisors. For any IT used, </w:t>
      </w:r>
      <w:r w:rsidR="00964FB0" w:rsidRPr="00787A69">
        <w:rPr>
          <w:szCs w:val="22"/>
        </w:rPr>
        <w:t>the contractor</w:t>
      </w:r>
      <w:r w:rsidRPr="00787A69">
        <w:rPr>
          <w:szCs w:val="22"/>
        </w:rPr>
        <w:t xml:space="preserve">’s Information Security team reviews the design and security requirements of the survey system to identify gaps in implementation and privacy weaknesses. In the event of an incident, </w:t>
      </w:r>
      <w:r w:rsidR="00964FB0" w:rsidRPr="00787A69">
        <w:rPr>
          <w:szCs w:val="22"/>
        </w:rPr>
        <w:t>the contractor</w:t>
      </w:r>
      <w:r w:rsidRPr="00787A69">
        <w:rPr>
          <w:szCs w:val="22"/>
        </w:rPr>
        <w:t xml:space="preserve"> has developed an incident response capability to support the proper investigation and reporting of any PII related incident.  </w:t>
      </w:r>
    </w:p>
    <w:p w14:paraId="072B4108" w14:textId="4CCE260D" w:rsidR="003A3A83" w:rsidRPr="00787A69" w:rsidRDefault="004C4B70" w:rsidP="003A3A83">
      <w:pPr>
        <w:spacing w:line="240" w:lineRule="auto"/>
        <w:rPr>
          <w:szCs w:val="22"/>
        </w:rPr>
      </w:pPr>
      <w:r w:rsidRPr="00787A69">
        <w:rPr>
          <w:szCs w:val="22"/>
        </w:rPr>
        <w:t>The contractor</w:t>
      </w:r>
      <w:r w:rsidR="003A3A83" w:rsidRPr="00787A69">
        <w:rPr>
          <w:szCs w:val="22"/>
        </w:rPr>
        <w:t xml:space="preserve"> will collaborate with DOL in determining options for presenting the Wave 4 public use data files in order to support replication of key results and data usage while </w:t>
      </w:r>
      <w:r w:rsidR="001457DF" w:rsidRPr="00787A69">
        <w:rPr>
          <w:szCs w:val="22"/>
        </w:rPr>
        <w:t>preserving</w:t>
      </w:r>
      <w:r w:rsidR="003A3A83" w:rsidRPr="00787A69">
        <w:rPr>
          <w:szCs w:val="22"/>
        </w:rPr>
        <w:t xml:space="preserve"> respondent privacy.</w:t>
      </w:r>
    </w:p>
    <w:p w14:paraId="216A8A6D" w14:textId="2A6560FA" w:rsidR="00C337DA" w:rsidRPr="00787A69" w:rsidRDefault="00C337DA" w:rsidP="00C337DA">
      <w:pPr>
        <w:pStyle w:val="Heading2"/>
        <w:numPr>
          <w:ilvl w:val="0"/>
          <w:numId w:val="0"/>
        </w:numPr>
        <w:ind w:left="720" w:hanging="720"/>
      </w:pPr>
      <w:bookmarkStart w:id="24" w:name="_Toc486315529"/>
      <w:r w:rsidRPr="00787A69">
        <w:t>A</w:t>
      </w:r>
      <w:r w:rsidR="00A72D77" w:rsidRPr="00787A69">
        <w:t>.</w:t>
      </w:r>
      <w:r w:rsidRPr="00787A69">
        <w:t xml:space="preserve">11. </w:t>
      </w:r>
      <w:r w:rsidR="0024418A" w:rsidRPr="00787A69">
        <w:tab/>
      </w:r>
      <w:r w:rsidRPr="00787A69">
        <w:t>Sensitive Questions</w:t>
      </w:r>
      <w:bookmarkEnd w:id="24"/>
    </w:p>
    <w:p w14:paraId="0F4D4C1F" w14:textId="77777777" w:rsidR="00B93239" w:rsidRPr="00787A69" w:rsidRDefault="00D87A73" w:rsidP="00035FFF">
      <w:pPr>
        <w:pStyle w:val="BodyText"/>
      </w:pPr>
      <w:r w:rsidRPr="00787A69">
        <w:t>The</w:t>
      </w:r>
      <w:r w:rsidR="00B93239" w:rsidRPr="00787A69">
        <w:t xml:space="preserve"> content of both surveys </w:t>
      </w:r>
      <w:r w:rsidRPr="00787A69">
        <w:t xml:space="preserve">is limited </w:t>
      </w:r>
      <w:r w:rsidR="004C1BBC" w:rsidRPr="00787A69">
        <w:t xml:space="preserve">to information needed for policy purposes as was true in the 2012 and earlier waves of the surveys. </w:t>
      </w:r>
      <w:r w:rsidR="00564C72" w:rsidRPr="00787A69">
        <w:t>This includes</w:t>
      </w:r>
      <w:r w:rsidR="00B93239" w:rsidRPr="00787A69">
        <w:t xml:space="preserve"> asking the earlier questions again (to estimate trends) and asking new questions based on changing regulations, changes in regulation under consideration, changes in the external environment, and lessons learned in the analysis a</w:t>
      </w:r>
      <w:r w:rsidR="00564C72" w:rsidRPr="00787A69">
        <w:t xml:space="preserve">nd use of the earlier surveys. </w:t>
      </w:r>
    </w:p>
    <w:p w14:paraId="236DF08B" w14:textId="2FA3509D" w:rsidR="000505A2" w:rsidRPr="00787A69" w:rsidRDefault="00A72D77" w:rsidP="000C41F5">
      <w:pPr>
        <w:pStyle w:val="Heading3"/>
      </w:pPr>
      <w:bookmarkStart w:id="25" w:name="_Toc486315530"/>
      <w:r w:rsidRPr="00787A69">
        <w:t>A.11.1</w:t>
      </w:r>
      <w:r w:rsidR="00673F76" w:rsidRPr="00787A69">
        <w:tab/>
      </w:r>
      <w:r w:rsidR="000505A2" w:rsidRPr="00787A69">
        <w:t>Employee Survey</w:t>
      </w:r>
      <w:bookmarkEnd w:id="25"/>
    </w:p>
    <w:p w14:paraId="4BB1CF93" w14:textId="77777777" w:rsidR="003B6D90" w:rsidRPr="00787A69" w:rsidRDefault="003B6D90" w:rsidP="00C337DA">
      <w:pPr>
        <w:pStyle w:val="BodyText"/>
      </w:pPr>
      <w:r w:rsidRPr="00787A69">
        <w:t xml:space="preserve">Before starting the survey, respondents will be told that the survey pertains to family and medical leave and will contain questions about their experience taking leave, or needing to take leave, from work. Interviewers will inform respondents that they may skip or refuse to answer any question and may also end the interview at any time. Respondents will also be notified that their participation and responses will be kept private, to the extent allowable under law. </w:t>
      </w:r>
    </w:p>
    <w:p w14:paraId="7F751463" w14:textId="77777777" w:rsidR="00403E1B" w:rsidRPr="00787A69" w:rsidRDefault="00CA0357" w:rsidP="00403E1B">
      <w:pPr>
        <w:pStyle w:val="BodyText"/>
      </w:pPr>
      <w:r w:rsidRPr="00787A69">
        <w:t>The E</w:t>
      </w:r>
      <w:r w:rsidR="00272871" w:rsidRPr="00787A69">
        <w:t>mployee S</w:t>
      </w:r>
      <w:r w:rsidR="005B61AF" w:rsidRPr="00787A69">
        <w:t xml:space="preserve">urvey </w:t>
      </w:r>
      <w:r w:rsidR="00E41A26" w:rsidRPr="00787A69">
        <w:t>ask</w:t>
      </w:r>
      <w:r w:rsidR="00D87A73" w:rsidRPr="00787A69">
        <w:t>s</w:t>
      </w:r>
      <w:r w:rsidR="005B61AF" w:rsidRPr="00787A69">
        <w:t xml:space="preserve"> </w:t>
      </w:r>
      <w:r w:rsidR="00E41A26" w:rsidRPr="00787A69">
        <w:t xml:space="preserve">respondents </w:t>
      </w:r>
      <w:r w:rsidR="00A9422A" w:rsidRPr="00787A69">
        <w:t>to identify whether or not they have taken leave</w:t>
      </w:r>
      <w:r w:rsidR="00FD365B" w:rsidRPr="00787A69">
        <w:t>, or needed to take leave,</w:t>
      </w:r>
      <w:r w:rsidR="00D87A73" w:rsidRPr="00787A69">
        <w:t xml:space="preserve"> </w:t>
      </w:r>
      <w:r w:rsidR="00FD365B" w:rsidRPr="00787A69">
        <w:t xml:space="preserve">from work </w:t>
      </w:r>
      <w:r w:rsidR="00D87A73" w:rsidRPr="00787A69">
        <w:t xml:space="preserve">for </w:t>
      </w:r>
      <w:r w:rsidR="00FD365B" w:rsidRPr="00787A69">
        <w:t>a variety of reasons</w:t>
      </w:r>
      <w:r w:rsidR="00C21D3B" w:rsidRPr="00787A69">
        <w:t xml:space="preserve"> which may be sensitive</w:t>
      </w:r>
      <w:r w:rsidR="00440153" w:rsidRPr="00787A69">
        <w:t>.</w:t>
      </w:r>
      <w:r w:rsidR="00D87A73" w:rsidRPr="00787A69">
        <w:t xml:space="preserve"> </w:t>
      </w:r>
      <w:r w:rsidR="00956C74" w:rsidRPr="00787A69">
        <w:t xml:space="preserve">The survey also asks respondents about the relationship (e.g., parent, spouse, child, etc.) between themselves and the </w:t>
      </w:r>
      <w:r w:rsidR="008565B4" w:rsidRPr="00787A69">
        <w:t>person</w:t>
      </w:r>
      <w:r w:rsidR="00956C74" w:rsidRPr="00787A69">
        <w:t xml:space="preserve"> for whom they took leave. </w:t>
      </w:r>
      <w:r w:rsidR="00403E1B" w:rsidRPr="00787A69">
        <w:t>These questions are central to the goal and focus of this study. This information is vital for determining what working families need to help them balance the demands of work and family. All data will be aggregated so that information about individual respondents will not be identifiable.</w:t>
      </w:r>
    </w:p>
    <w:p w14:paraId="112F9FE7" w14:textId="5D5A3983" w:rsidR="00436373" w:rsidRPr="00787A69" w:rsidRDefault="00272871" w:rsidP="00FF4840">
      <w:pPr>
        <w:pStyle w:val="BodyText"/>
        <w:keepNext/>
        <w:rPr>
          <w:i/>
        </w:rPr>
      </w:pPr>
      <w:r w:rsidRPr="00787A69">
        <w:t>The Employee S</w:t>
      </w:r>
      <w:r w:rsidR="00564C72" w:rsidRPr="00787A69">
        <w:t>urvey</w:t>
      </w:r>
      <w:r w:rsidR="00EE2531" w:rsidRPr="00787A69">
        <w:t xml:space="preserve"> also</w:t>
      </w:r>
      <w:r w:rsidR="00564C72" w:rsidRPr="00787A69">
        <w:t xml:space="preserve"> asks </w:t>
      </w:r>
      <w:r w:rsidR="00EE2531" w:rsidRPr="00787A69">
        <w:t xml:space="preserve">respondents about their </w:t>
      </w:r>
      <w:r w:rsidR="00FF4840" w:rsidRPr="00787A69">
        <w:t xml:space="preserve">sexual orientation.  </w:t>
      </w:r>
      <w:r w:rsidR="005954FA" w:rsidRPr="00787A69">
        <w:t xml:space="preserve">This question </w:t>
      </w:r>
      <w:r w:rsidR="004207D3" w:rsidRPr="00787A69">
        <w:t>wording is taken verbatim</w:t>
      </w:r>
      <w:r w:rsidR="005954FA" w:rsidRPr="00787A69">
        <w:t xml:space="preserve"> from the sexual orientation and gender identity module of the Behavioral Risk Factor Surveillance System (BRFSS) coordinated by the Centers for Disease Control and Prevention (CDC) at the U.S. Department of Health and Human Services. The CDC developed this module </w:t>
      </w:r>
      <w:r w:rsidR="000505A2" w:rsidRPr="00787A69">
        <w:t xml:space="preserve">in 2013 </w:t>
      </w:r>
      <w:r w:rsidR="005954FA" w:rsidRPr="00787A69">
        <w:t xml:space="preserve">with </w:t>
      </w:r>
      <w:r w:rsidR="000505A2" w:rsidRPr="00787A69">
        <w:t>input</w:t>
      </w:r>
      <w:r w:rsidR="005954FA" w:rsidRPr="00787A69">
        <w:t xml:space="preserve"> from the Sexual Minority Assessment and Research Team and the Gender Identity in U.S. Surveillance</w:t>
      </w:r>
      <w:r w:rsidR="000505A2" w:rsidRPr="00787A69">
        <w:t>,</w:t>
      </w:r>
      <w:r w:rsidR="005954FA" w:rsidRPr="00787A69">
        <w:t xml:space="preserve"> and </w:t>
      </w:r>
      <w:r w:rsidR="000505A2" w:rsidRPr="00787A69">
        <w:t>it allowed states to begin using the module the following year</w:t>
      </w:r>
      <w:r w:rsidR="005954FA" w:rsidRPr="00787A69">
        <w:t xml:space="preserve">. Twenty states and territories </w:t>
      </w:r>
      <w:r w:rsidR="000505A2" w:rsidRPr="00787A69">
        <w:t>added these questions</w:t>
      </w:r>
      <w:r w:rsidR="005954FA" w:rsidRPr="00787A69">
        <w:t xml:space="preserve"> in 2014 and 25 did so in 2015</w:t>
      </w:r>
      <w:r w:rsidR="000F4A10" w:rsidRPr="00787A69">
        <w:t xml:space="preserve"> (Baker and Hughes 2016)</w:t>
      </w:r>
      <w:r w:rsidR="005954FA" w:rsidRPr="00787A69">
        <w:t>.</w:t>
      </w:r>
      <w:r w:rsidR="00711944" w:rsidRPr="00787A69">
        <w:t xml:space="preserve"> </w:t>
      </w:r>
    </w:p>
    <w:p w14:paraId="6B162447" w14:textId="698B8DE0" w:rsidR="00436373" w:rsidRPr="00787A69" w:rsidRDefault="00CF0D47" w:rsidP="00C337DA">
      <w:pPr>
        <w:pStyle w:val="BodyText"/>
      </w:pPr>
      <w:r w:rsidRPr="00787A69">
        <w:t>T</w:t>
      </w:r>
      <w:r w:rsidR="000505A2" w:rsidRPr="00787A69">
        <w:t xml:space="preserve">he issue of coverage of same sex partners for family and medical leave </w:t>
      </w:r>
      <w:r w:rsidR="0083583E" w:rsidRPr="00787A69">
        <w:t>has been an area of specific policy a</w:t>
      </w:r>
      <w:r w:rsidR="000B09EC" w:rsidRPr="00787A69">
        <w:t>ctivity with respect to the FMLA</w:t>
      </w:r>
      <w:r w:rsidR="00D73536" w:rsidRPr="00787A69">
        <w:t xml:space="preserve">. </w:t>
      </w:r>
      <w:r w:rsidR="0083583E" w:rsidRPr="00787A69">
        <w:t xml:space="preserve">In particular, </w:t>
      </w:r>
      <w:r w:rsidR="000505A2" w:rsidRPr="00787A69">
        <w:t xml:space="preserve">in June 2010, DOL clarified the FMLA definition of </w:t>
      </w:r>
      <w:r w:rsidR="0009560B" w:rsidRPr="00787A69">
        <w:t>“</w:t>
      </w:r>
      <w:r w:rsidR="000505A2" w:rsidRPr="00787A69">
        <w:t>son and daughter</w:t>
      </w:r>
      <w:r w:rsidR="0009560B" w:rsidRPr="00787A69">
        <w:t>”</w:t>
      </w:r>
      <w:r w:rsidR="000505A2" w:rsidRPr="00787A69">
        <w:t xml:space="preserve"> to include an employee standing “in loco parentis” to a child, regardless of the employee’s legal or biological relationship to the child. Combined with other questions for the survey, this information will </w:t>
      </w:r>
      <w:r w:rsidR="007074BA" w:rsidRPr="00787A69">
        <w:t>help</w:t>
      </w:r>
      <w:r w:rsidR="000505A2" w:rsidRPr="00787A69">
        <w:t xml:space="preserve"> DOL understand the magnitude, needs, and experiences of same sex partners regarding family and medical leave from work.</w:t>
      </w:r>
    </w:p>
    <w:p w14:paraId="4B7A9CF2" w14:textId="177A90A4" w:rsidR="003636DE" w:rsidRPr="00787A69" w:rsidRDefault="005A42A1" w:rsidP="005D6A9C">
      <w:r w:rsidRPr="00787A69">
        <w:t xml:space="preserve">The study team </w:t>
      </w:r>
      <w:r w:rsidR="003636DE" w:rsidRPr="00787A69">
        <w:t>do</w:t>
      </w:r>
      <w:r w:rsidRPr="00787A69">
        <w:t>es</w:t>
      </w:r>
      <w:r w:rsidR="003636DE" w:rsidRPr="00787A69">
        <w:t xml:space="preserve"> not anticipate substantial </w:t>
      </w:r>
      <w:r w:rsidR="00C2551C" w:rsidRPr="00787A69">
        <w:t>non</w:t>
      </w:r>
      <w:r w:rsidR="003636DE" w:rsidRPr="00787A69">
        <w:t>response for any of the</w:t>
      </w:r>
      <w:r w:rsidR="003B6D90" w:rsidRPr="00787A69">
        <w:t xml:space="preserve"> survey</w:t>
      </w:r>
      <w:r w:rsidR="003636DE" w:rsidRPr="00787A69">
        <w:t xml:space="preserve"> items</w:t>
      </w:r>
      <w:r w:rsidR="003B6D90" w:rsidRPr="00787A69">
        <w:t xml:space="preserve"> described above</w:t>
      </w:r>
      <w:r w:rsidR="003636DE" w:rsidRPr="00787A69">
        <w:t xml:space="preserve">. Similar questions were asked in the 2012 survey and </w:t>
      </w:r>
      <w:r w:rsidR="00CB588B" w:rsidRPr="00787A69">
        <w:t>there was less than 5 percent</w:t>
      </w:r>
      <w:r w:rsidR="00182892" w:rsidRPr="00787A69">
        <w:t xml:space="preserve"> nonresponse across these items.</w:t>
      </w:r>
      <w:r w:rsidR="00CB588B" w:rsidRPr="00787A69">
        <w:t xml:space="preserve"> </w:t>
      </w:r>
      <w:r w:rsidR="00182892" w:rsidRPr="00787A69">
        <w:t>A</w:t>
      </w:r>
      <w:r w:rsidRPr="00787A69">
        <w:t>lso, the study team</w:t>
      </w:r>
      <w:r w:rsidR="003636DE" w:rsidRPr="00787A69">
        <w:t xml:space="preserve"> conducted cognitive tests of</w:t>
      </w:r>
      <w:r w:rsidR="00D73536" w:rsidRPr="00787A69">
        <w:t xml:space="preserve"> the Employee S</w:t>
      </w:r>
      <w:r w:rsidR="003636DE" w:rsidRPr="00787A69">
        <w:t xml:space="preserve">urvey </w:t>
      </w:r>
      <w:r w:rsidR="00D15AF8" w:rsidRPr="00787A69">
        <w:t xml:space="preserve">with nine volunteer </w:t>
      </w:r>
      <w:r w:rsidR="007074BA" w:rsidRPr="00787A69">
        <w:t>respondents from a range of different backgrounds and leave experiences</w:t>
      </w:r>
      <w:r w:rsidR="009F08CB" w:rsidRPr="00787A69">
        <w:t xml:space="preserve">. The cognitive interview research protocol </w:t>
      </w:r>
      <w:r w:rsidR="009E01FF" w:rsidRPr="00787A69">
        <w:t xml:space="preserve">used by the study team </w:t>
      </w:r>
      <w:r w:rsidR="009F08CB" w:rsidRPr="00787A69">
        <w:t xml:space="preserve">followed guidelines recommended in </w:t>
      </w:r>
      <w:r w:rsidR="005D6A9C" w:rsidRPr="00787A69">
        <w:t xml:space="preserve">the </w:t>
      </w:r>
      <w:r w:rsidR="009F08CB" w:rsidRPr="00787A69">
        <w:t>Statistical Policy Directive No. 2: Standards and Guidelines for Statistical Surveys, section on Cognitive Interviewing</w:t>
      </w:r>
      <w:r w:rsidR="00DE7BE3" w:rsidRPr="00787A69">
        <w:rPr>
          <w:rStyle w:val="FootnoteReference"/>
        </w:rPr>
        <w:footnoteReference w:id="6"/>
      </w:r>
      <w:r w:rsidR="009F08CB" w:rsidRPr="00787A69">
        <w:t xml:space="preserve">. </w:t>
      </w:r>
      <w:r w:rsidR="00A02D43" w:rsidRPr="00787A69">
        <w:t>Further information is included in Part B</w:t>
      </w:r>
      <w:r w:rsidR="005D6A9C" w:rsidRPr="00787A69">
        <w:t>, Section B.4.1.</w:t>
      </w:r>
      <w:r w:rsidR="00DE7BE3" w:rsidRPr="00787A69">
        <w:t xml:space="preserve"> </w:t>
      </w:r>
      <w:r w:rsidR="00A02D43" w:rsidRPr="00787A69">
        <w:t xml:space="preserve">The testing did not reveal any issues </w:t>
      </w:r>
      <w:r w:rsidR="009E01FF" w:rsidRPr="00787A69">
        <w:t xml:space="preserve">with </w:t>
      </w:r>
      <w:r w:rsidR="00A02D43" w:rsidRPr="00787A69">
        <w:t xml:space="preserve">the </w:t>
      </w:r>
      <w:r w:rsidR="007074BA" w:rsidRPr="00787A69">
        <w:t>questions. The survey included in this package reflects the findings from those interviews.</w:t>
      </w:r>
    </w:p>
    <w:p w14:paraId="39E3D225" w14:textId="6FC4EC35" w:rsidR="000505A2" w:rsidRPr="00787A69" w:rsidRDefault="00A72D77" w:rsidP="000C41F5">
      <w:pPr>
        <w:pStyle w:val="Heading3"/>
      </w:pPr>
      <w:bookmarkStart w:id="26" w:name="_Toc486315531"/>
      <w:r w:rsidRPr="00787A69">
        <w:t>A.11.2</w:t>
      </w:r>
      <w:r w:rsidR="00673F76" w:rsidRPr="00787A69">
        <w:tab/>
      </w:r>
      <w:r w:rsidR="000505A2" w:rsidRPr="00787A69">
        <w:t>Employer Survey</w:t>
      </w:r>
      <w:bookmarkEnd w:id="26"/>
    </w:p>
    <w:p w14:paraId="7401B44C" w14:textId="77777777" w:rsidR="000505A2" w:rsidRPr="00787A69" w:rsidRDefault="00227F17" w:rsidP="00C337DA">
      <w:pPr>
        <w:pStyle w:val="BodyText"/>
      </w:pPr>
      <w:r w:rsidRPr="00787A69">
        <w:t>There are no sensi</w:t>
      </w:r>
      <w:r w:rsidR="00272871" w:rsidRPr="00787A69">
        <w:t>tive questions in the Employer S</w:t>
      </w:r>
      <w:r w:rsidRPr="00787A69">
        <w:t>urvey.</w:t>
      </w:r>
    </w:p>
    <w:p w14:paraId="006EC62B" w14:textId="04950205" w:rsidR="00C337DA" w:rsidRPr="00787A69" w:rsidRDefault="00C337DA" w:rsidP="005E24A5">
      <w:pPr>
        <w:pStyle w:val="Heading2"/>
        <w:numPr>
          <w:ilvl w:val="0"/>
          <w:numId w:val="0"/>
        </w:numPr>
        <w:pBdr>
          <w:bottom w:val="single" w:sz="6" w:space="0" w:color="D0D3D4"/>
        </w:pBdr>
        <w:ind w:left="720" w:hanging="720"/>
      </w:pPr>
      <w:bookmarkStart w:id="27" w:name="_Toc486315532"/>
      <w:r w:rsidRPr="00787A69">
        <w:t>A</w:t>
      </w:r>
      <w:r w:rsidR="00A72D77" w:rsidRPr="00787A69">
        <w:t>.</w:t>
      </w:r>
      <w:r w:rsidRPr="00787A69">
        <w:t xml:space="preserve">12. </w:t>
      </w:r>
      <w:r w:rsidR="004138AB" w:rsidRPr="00787A69">
        <w:tab/>
      </w:r>
      <w:r w:rsidRPr="00787A69">
        <w:t>Estimation of Information Collection Burden</w:t>
      </w:r>
      <w:bookmarkEnd w:id="27"/>
    </w:p>
    <w:p w14:paraId="34B50B28" w14:textId="77777777" w:rsidR="00D276A8" w:rsidRPr="00787A69" w:rsidRDefault="00D276A8" w:rsidP="00D276A8">
      <w:pPr>
        <w:pStyle w:val="BodyText"/>
      </w:pPr>
      <w:r w:rsidRPr="00787A69">
        <w:t>The proposed data collection does not impose a financial burden on respondents nor will respondents incur any expense other than the t</w:t>
      </w:r>
      <w:r w:rsidR="00615BD4" w:rsidRPr="00787A69">
        <w:t>ime spent completing the surveys.</w:t>
      </w:r>
      <w:r w:rsidRPr="00787A69">
        <w:t xml:space="preserve"> </w:t>
      </w:r>
    </w:p>
    <w:p w14:paraId="2079C577" w14:textId="43349A68" w:rsidR="00297C7E" w:rsidRPr="00787A69" w:rsidRDefault="00297C7E" w:rsidP="000C41F5">
      <w:pPr>
        <w:pStyle w:val="Caption"/>
      </w:pPr>
    </w:p>
    <w:p w14:paraId="007DDFE0" w14:textId="77777777" w:rsidR="00297C7E" w:rsidRPr="00787A69" w:rsidRDefault="00297C7E">
      <w:pPr>
        <w:spacing w:after="0" w:line="240" w:lineRule="auto"/>
        <w:rPr>
          <w:rFonts w:ascii="Arial" w:hAnsi="Arial"/>
          <w:b/>
          <w:bCs/>
        </w:rPr>
      </w:pPr>
      <w:r w:rsidRPr="00787A69">
        <w:br w:type="page"/>
      </w:r>
    </w:p>
    <w:p w14:paraId="112CC4A1" w14:textId="4F6B7F9E" w:rsidR="005E24A5" w:rsidRPr="00787A69" w:rsidRDefault="005E24A5" w:rsidP="005E24A5">
      <w:pPr>
        <w:pStyle w:val="Caption"/>
      </w:pPr>
      <w:r w:rsidRPr="00787A69">
        <w:t>Exhibit 3. Estimated Annualized Respondent Hour</w:t>
      </w:r>
      <w:r w:rsidR="002D21BF" w:rsidRPr="00787A69">
        <w:t xml:space="preserve"> and Cost Burden </w:t>
      </w:r>
    </w:p>
    <w:tbl>
      <w:tblPr>
        <w:tblStyle w:val="FMLA-OMB"/>
        <w:tblW w:w="9990" w:type="dxa"/>
        <w:tblInd w:w="58" w:type="dxa"/>
        <w:tblLayout w:type="fixed"/>
        <w:tblCellMar>
          <w:left w:w="58" w:type="dxa"/>
          <w:right w:w="58" w:type="dxa"/>
        </w:tblCellMar>
        <w:tblLook w:val="04A0" w:firstRow="1" w:lastRow="0" w:firstColumn="1" w:lastColumn="0" w:noHBand="0" w:noVBand="1"/>
      </w:tblPr>
      <w:tblGrid>
        <w:gridCol w:w="1890"/>
        <w:gridCol w:w="1260"/>
        <w:gridCol w:w="1260"/>
        <w:gridCol w:w="1260"/>
        <w:gridCol w:w="1170"/>
        <w:gridCol w:w="900"/>
        <w:gridCol w:w="900"/>
        <w:gridCol w:w="1350"/>
      </w:tblGrid>
      <w:tr w:rsidR="002D21BF" w:rsidRPr="00787A69" w14:paraId="4AF2B62C" w14:textId="77777777" w:rsidTr="002D21BF">
        <w:trPr>
          <w:cnfStyle w:val="100000000000" w:firstRow="1" w:lastRow="0" w:firstColumn="0" w:lastColumn="0" w:oddVBand="0" w:evenVBand="0" w:oddHBand="0" w:evenHBand="0" w:firstRowFirstColumn="0" w:firstRowLastColumn="0" w:lastRowFirstColumn="0" w:lastRowLastColumn="0"/>
          <w:trHeight w:val="779"/>
          <w:tblHeader/>
        </w:trPr>
        <w:tc>
          <w:tcPr>
            <w:tcW w:w="1890" w:type="dxa"/>
            <w:hideMark/>
          </w:tcPr>
          <w:p w14:paraId="7D801B5E" w14:textId="36A6259B" w:rsidR="002D21BF" w:rsidRPr="00787A69" w:rsidRDefault="002D21BF" w:rsidP="0061388E">
            <w:pPr>
              <w:pStyle w:val="ExhibitColumnHeader"/>
              <w:keepNext/>
            </w:pPr>
            <w:r w:rsidRPr="00787A69">
              <w:t>Type of Instrument</w:t>
            </w:r>
          </w:p>
        </w:tc>
        <w:tc>
          <w:tcPr>
            <w:tcW w:w="1260" w:type="dxa"/>
            <w:hideMark/>
          </w:tcPr>
          <w:p w14:paraId="36A6DEE8" w14:textId="1BA455CA" w:rsidR="002D21BF" w:rsidRPr="00787A69" w:rsidRDefault="002D21BF" w:rsidP="002D21BF">
            <w:pPr>
              <w:pStyle w:val="ExhibitColumnHeader"/>
              <w:keepNext/>
            </w:pPr>
            <w:r w:rsidRPr="00787A69">
              <w:t xml:space="preserve">Number of Respondents </w:t>
            </w:r>
          </w:p>
        </w:tc>
        <w:tc>
          <w:tcPr>
            <w:tcW w:w="1260" w:type="dxa"/>
          </w:tcPr>
          <w:p w14:paraId="7BF61049" w14:textId="0166C303" w:rsidR="002D21BF" w:rsidRPr="00787A69" w:rsidRDefault="002D21BF" w:rsidP="007654F7">
            <w:pPr>
              <w:pStyle w:val="ExhibitColumnHeader"/>
              <w:keepNext/>
            </w:pPr>
            <w:r w:rsidRPr="00787A69">
              <w:t>Number of Reponses Per Respondent</w:t>
            </w:r>
          </w:p>
        </w:tc>
        <w:tc>
          <w:tcPr>
            <w:tcW w:w="1260" w:type="dxa"/>
            <w:hideMark/>
          </w:tcPr>
          <w:p w14:paraId="3AC24A91" w14:textId="0A7BF2E3" w:rsidR="002D21BF" w:rsidRPr="00787A69" w:rsidRDefault="002D21BF" w:rsidP="007654F7">
            <w:pPr>
              <w:pStyle w:val="ExhibitColumnHeader"/>
              <w:keepNext/>
            </w:pPr>
            <w:r w:rsidRPr="00787A69">
              <w:t>Number of Responses</w:t>
            </w:r>
          </w:p>
        </w:tc>
        <w:tc>
          <w:tcPr>
            <w:tcW w:w="1170" w:type="dxa"/>
            <w:hideMark/>
          </w:tcPr>
          <w:p w14:paraId="5E6F7ECF" w14:textId="77777777" w:rsidR="002D21BF" w:rsidRPr="00787A69" w:rsidRDefault="002D21BF" w:rsidP="0061388E">
            <w:pPr>
              <w:pStyle w:val="ExhibitColumnHeader"/>
              <w:keepNext/>
            </w:pPr>
            <w:r w:rsidRPr="00787A69">
              <w:t xml:space="preserve">Average Burden Per Response </w:t>
            </w:r>
          </w:p>
          <w:p w14:paraId="7660B9A4" w14:textId="4F2D049A" w:rsidR="002D21BF" w:rsidRPr="00787A69" w:rsidRDefault="002D21BF" w:rsidP="002D21BF">
            <w:pPr>
              <w:pStyle w:val="ExhibitColumnHeader"/>
              <w:keepNext/>
            </w:pPr>
            <w:r w:rsidRPr="00787A69">
              <w:t xml:space="preserve">(in Hours) </w:t>
            </w:r>
          </w:p>
        </w:tc>
        <w:tc>
          <w:tcPr>
            <w:tcW w:w="900" w:type="dxa"/>
            <w:hideMark/>
          </w:tcPr>
          <w:p w14:paraId="77BEBEBD" w14:textId="2205D23A" w:rsidR="002D21BF" w:rsidRPr="00787A69" w:rsidRDefault="002D21BF" w:rsidP="0061388E">
            <w:pPr>
              <w:pStyle w:val="ExhibitColumnHeader"/>
              <w:keepNext/>
            </w:pPr>
            <w:r w:rsidRPr="00787A69">
              <w:t>Estimated Burden Hours</w:t>
            </w:r>
          </w:p>
        </w:tc>
        <w:tc>
          <w:tcPr>
            <w:tcW w:w="900" w:type="dxa"/>
            <w:hideMark/>
          </w:tcPr>
          <w:p w14:paraId="6BA843BB" w14:textId="472D8294" w:rsidR="002D21BF" w:rsidRPr="00787A69" w:rsidRDefault="002D21BF" w:rsidP="007654F7">
            <w:pPr>
              <w:pStyle w:val="ExhibitColumnHeader"/>
              <w:keepNext/>
            </w:pPr>
            <w:r w:rsidRPr="00787A69">
              <w:t>Average Hourly Wage</w:t>
            </w:r>
            <w:r w:rsidRPr="00787A69">
              <w:rPr>
                <w:vertAlign w:val="superscript"/>
              </w:rPr>
              <w:t>1,2</w:t>
            </w:r>
          </w:p>
        </w:tc>
        <w:tc>
          <w:tcPr>
            <w:tcW w:w="1350" w:type="dxa"/>
            <w:hideMark/>
          </w:tcPr>
          <w:p w14:paraId="313B4C81" w14:textId="545EAD59" w:rsidR="002D21BF" w:rsidRPr="00787A69" w:rsidRDefault="002D21BF" w:rsidP="00DD45B6">
            <w:pPr>
              <w:pStyle w:val="ExhibitColumnHeader"/>
              <w:keepNext/>
            </w:pPr>
            <w:r w:rsidRPr="00787A69">
              <w:t xml:space="preserve">Total </w:t>
            </w:r>
            <w:r w:rsidR="00DD45B6" w:rsidRPr="00787A69">
              <w:t xml:space="preserve">Burden </w:t>
            </w:r>
            <w:r w:rsidRPr="00787A69">
              <w:t>Cost</w:t>
            </w:r>
            <w:r w:rsidR="00DD45B6" w:rsidRPr="00787A69">
              <w:t>s</w:t>
            </w:r>
          </w:p>
        </w:tc>
      </w:tr>
      <w:tr w:rsidR="002D21BF" w:rsidRPr="00787A69" w14:paraId="270B4229" w14:textId="29DBB45C" w:rsidTr="00CA27C0">
        <w:trPr>
          <w:trHeight w:val="294"/>
        </w:trPr>
        <w:tc>
          <w:tcPr>
            <w:tcW w:w="9990" w:type="dxa"/>
            <w:gridSpan w:val="8"/>
            <w:shd w:val="clear" w:color="auto" w:fill="898D8D" w:themeFill="text2"/>
          </w:tcPr>
          <w:p w14:paraId="70BD62FF" w14:textId="31CDD849" w:rsidR="002D21BF" w:rsidRPr="00787A69" w:rsidRDefault="00CA27C0" w:rsidP="0061388E">
            <w:pPr>
              <w:pStyle w:val="ExhibitRowHeader"/>
              <w:keepNext/>
            </w:pPr>
            <w:r w:rsidRPr="00787A69">
              <w:t>EMPLOYEE SURVEY</w:t>
            </w:r>
          </w:p>
        </w:tc>
      </w:tr>
      <w:tr w:rsidR="002D21BF" w:rsidRPr="00787A69" w14:paraId="41017941" w14:textId="77777777" w:rsidTr="002D21BF">
        <w:trPr>
          <w:cnfStyle w:val="000000010000" w:firstRow="0" w:lastRow="0" w:firstColumn="0" w:lastColumn="0" w:oddVBand="0" w:evenVBand="0" w:oddHBand="0" w:evenHBand="1" w:firstRowFirstColumn="0" w:firstRowLastColumn="0" w:lastRowFirstColumn="0" w:lastRowLastColumn="0"/>
          <w:trHeight w:val="350"/>
        </w:trPr>
        <w:tc>
          <w:tcPr>
            <w:tcW w:w="1890" w:type="dxa"/>
            <w:noWrap/>
          </w:tcPr>
          <w:p w14:paraId="6A597CC5" w14:textId="26F01174" w:rsidR="002D21BF" w:rsidRPr="00787A69" w:rsidRDefault="002D21BF" w:rsidP="007654F7">
            <w:pPr>
              <w:pStyle w:val="ExhibitText"/>
              <w:keepNext/>
            </w:pPr>
            <w:r w:rsidRPr="00787A69">
              <w:t xml:space="preserve">Screener </w:t>
            </w:r>
          </w:p>
        </w:tc>
        <w:tc>
          <w:tcPr>
            <w:tcW w:w="1260" w:type="dxa"/>
            <w:noWrap/>
          </w:tcPr>
          <w:p w14:paraId="06148569" w14:textId="5021B366" w:rsidR="002D21BF" w:rsidRPr="00787A69" w:rsidRDefault="002D21BF" w:rsidP="0061388E">
            <w:pPr>
              <w:pStyle w:val="ExhibitText"/>
              <w:keepNext/>
              <w:ind w:right="432"/>
              <w:jc w:val="right"/>
            </w:pPr>
            <w:r w:rsidRPr="00787A69">
              <w:t>8,864</w:t>
            </w:r>
          </w:p>
        </w:tc>
        <w:tc>
          <w:tcPr>
            <w:tcW w:w="1260" w:type="dxa"/>
          </w:tcPr>
          <w:p w14:paraId="16E0A9B1" w14:textId="54311802" w:rsidR="002D21BF" w:rsidRPr="00787A69" w:rsidRDefault="002D21BF" w:rsidP="0061388E">
            <w:pPr>
              <w:pStyle w:val="ExhibitText"/>
              <w:keepNext/>
              <w:ind w:right="432"/>
              <w:jc w:val="right"/>
            </w:pPr>
            <w:r w:rsidRPr="00787A69">
              <w:t>1</w:t>
            </w:r>
          </w:p>
        </w:tc>
        <w:tc>
          <w:tcPr>
            <w:tcW w:w="1260" w:type="dxa"/>
            <w:noWrap/>
          </w:tcPr>
          <w:p w14:paraId="5C4EB993" w14:textId="2C8BB531" w:rsidR="002D21BF" w:rsidRPr="00787A69" w:rsidRDefault="002D21BF" w:rsidP="00DD45B6">
            <w:pPr>
              <w:pStyle w:val="ExhibitText"/>
              <w:keepNext/>
              <w:ind w:right="432"/>
              <w:jc w:val="center"/>
            </w:pPr>
            <w:r w:rsidRPr="00787A69">
              <w:t>8,864</w:t>
            </w:r>
          </w:p>
        </w:tc>
        <w:tc>
          <w:tcPr>
            <w:tcW w:w="1170" w:type="dxa"/>
            <w:noWrap/>
          </w:tcPr>
          <w:p w14:paraId="47A54AFE" w14:textId="1B96923F" w:rsidR="002D21BF" w:rsidRPr="00787A69" w:rsidRDefault="002D21BF" w:rsidP="0061388E">
            <w:pPr>
              <w:pStyle w:val="ExhibitText"/>
              <w:keepNext/>
              <w:jc w:val="center"/>
            </w:pPr>
            <w:r w:rsidRPr="00787A69">
              <w:t>2/60</w:t>
            </w:r>
          </w:p>
        </w:tc>
        <w:tc>
          <w:tcPr>
            <w:tcW w:w="900" w:type="dxa"/>
            <w:noWrap/>
          </w:tcPr>
          <w:p w14:paraId="2B3AC3A6" w14:textId="7A754656" w:rsidR="002D21BF" w:rsidRPr="00787A69" w:rsidRDefault="00A23487" w:rsidP="00E21BF9">
            <w:pPr>
              <w:pStyle w:val="ExhibitText"/>
              <w:keepNext/>
              <w:ind w:right="288"/>
              <w:jc w:val="right"/>
            </w:pPr>
            <w:commentRangeStart w:id="28"/>
            <w:r w:rsidRPr="00787A69">
              <w:t>295</w:t>
            </w:r>
            <w:commentRangeEnd w:id="28"/>
            <w:r w:rsidRPr="00787A69">
              <w:rPr>
                <w:rStyle w:val="CommentReference"/>
                <w:rFonts w:ascii="Times New Roman" w:hAnsi="Times New Roman" w:cs="Times New Roman"/>
                <w:bCs w:val="0"/>
                <w:color w:val="auto"/>
              </w:rPr>
              <w:commentReference w:id="28"/>
            </w:r>
          </w:p>
        </w:tc>
        <w:tc>
          <w:tcPr>
            <w:tcW w:w="900" w:type="dxa"/>
            <w:noWrap/>
          </w:tcPr>
          <w:p w14:paraId="087074D3" w14:textId="77777777" w:rsidR="002D21BF" w:rsidRPr="00787A69" w:rsidRDefault="002D21BF" w:rsidP="0061388E">
            <w:pPr>
              <w:pStyle w:val="ExhibitText"/>
              <w:keepNext/>
              <w:jc w:val="center"/>
            </w:pPr>
            <w:r w:rsidRPr="00787A69">
              <w:t>$25.62</w:t>
            </w:r>
          </w:p>
        </w:tc>
        <w:tc>
          <w:tcPr>
            <w:tcW w:w="1350" w:type="dxa"/>
            <w:noWrap/>
          </w:tcPr>
          <w:p w14:paraId="5D3E7AFF" w14:textId="00184E14" w:rsidR="002D21BF" w:rsidRPr="00787A69" w:rsidRDefault="002D21BF" w:rsidP="00A23487">
            <w:pPr>
              <w:pStyle w:val="ExhibitText"/>
              <w:keepNext/>
              <w:jc w:val="center"/>
            </w:pPr>
            <w:r w:rsidRPr="00787A69">
              <w:t>$</w:t>
            </w:r>
            <w:r w:rsidR="00A23487" w:rsidRPr="00787A69">
              <w:t>7,557</w:t>
            </w:r>
          </w:p>
        </w:tc>
      </w:tr>
      <w:tr w:rsidR="002D21BF" w:rsidRPr="00787A69" w14:paraId="52487B5A" w14:textId="77777777" w:rsidTr="002D21BF">
        <w:trPr>
          <w:trHeight w:val="294"/>
        </w:trPr>
        <w:tc>
          <w:tcPr>
            <w:tcW w:w="1890" w:type="dxa"/>
            <w:noWrap/>
          </w:tcPr>
          <w:p w14:paraId="621EBAB7" w14:textId="77777777" w:rsidR="002D21BF" w:rsidRPr="00787A69" w:rsidRDefault="002D21BF" w:rsidP="0061388E">
            <w:pPr>
              <w:pStyle w:val="ExhibitText"/>
              <w:keepNext/>
            </w:pPr>
            <w:r w:rsidRPr="00787A69">
              <w:t xml:space="preserve">Extended Interview Overall </w:t>
            </w:r>
          </w:p>
        </w:tc>
        <w:tc>
          <w:tcPr>
            <w:tcW w:w="1260" w:type="dxa"/>
            <w:noWrap/>
          </w:tcPr>
          <w:p w14:paraId="4FEDEA00" w14:textId="37EC2E17" w:rsidR="002D21BF" w:rsidRPr="00787A69" w:rsidRDefault="002D21BF" w:rsidP="0061388E">
            <w:pPr>
              <w:pStyle w:val="ExhibitText"/>
              <w:keepNext/>
              <w:ind w:right="432"/>
              <w:jc w:val="right"/>
            </w:pPr>
            <w:r w:rsidRPr="00787A69">
              <w:t>1,333</w:t>
            </w:r>
          </w:p>
        </w:tc>
        <w:tc>
          <w:tcPr>
            <w:tcW w:w="1260" w:type="dxa"/>
          </w:tcPr>
          <w:p w14:paraId="35F89F3B" w14:textId="7A72E17C" w:rsidR="002D21BF" w:rsidRPr="00787A69" w:rsidRDefault="002D21BF" w:rsidP="0061388E">
            <w:pPr>
              <w:pStyle w:val="ExhibitText"/>
              <w:keepNext/>
              <w:ind w:right="432"/>
              <w:jc w:val="right"/>
            </w:pPr>
            <w:r w:rsidRPr="00787A69">
              <w:t>1</w:t>
            </w:r>
          </w:p>
        </w:tc>
        <w:tc>
          <w:tcPr>
            <w:tcW w:w="1260" w:type="dxa"/>
            <w:noWrap/>
          </w:tcPr>
          <w:p w14:paraId="7536F4F0" w14:textId="18BA5EC6" w:rsidR="002D21BF" w:rsidRPr="00787A69" w:rsidRDefault="002D21BF" w:rsidP="00DD45B6">
            <w:pPr>
              <w:pStyle w:val="ExhibitText"/>
              <w:keepNext/>
              <w:ind w:right="432"/>
              <w:jc w:val="center"/>
            </w:pPr>
            <w:r w:rsidRPr="00787A69">
              <w:t>1,333</w:t>
            </w:r>
          </w:p>
        </w:tc>
        <w:tc>
          <w:tcPr>
            <w:tcW w:w="1170" w:type="dxa"/>
            <w:noWrap/>
          </w:tcPr>
          <w:p w14:paraId="64C27521" w14:textId="542BBF12" w:rsidR="002D21BF" w:rsidRPr="00787A69" w:rsidRDefault="002D21BF" w:rsidP="0061388E">
            <w:pPr>
              <w:pStyle w:val="ExhibitText"/>
              <w:keepNext/>
              <w:jc w:val="center"/>
            </w:pPr>
            <w:r w:rsidRPr="00787A69">
              <w:t>14/60</w:t>
            </w:r>
          </w:p>
        </w:tc>
        <w:tc>
          <w:tcPr>
            <w:tcW w:w="900" w:type="dxa"/>
            <w:noWrap/>
          </w:tcPr>
          <w:p w14:paraId="1314529A" w14:textId="1AE6B53D" w:rsidR="002D21BF" w:rsidRPr="00787A69" w:rsidRDefault="002D21BF" w:rsidP="00E21BF9">
            <w:pPr>
              <w:pStyle w:val="ExhibitText"/>
              <w:keepNext/>
              <w:ind w:right="288"/>
              <w:jc w:val="right"/>
            </w:pPr>
            <w:r w:rsidRPr="00787A69">
              <w:t>311</w:t>
            </w:r>
          </w:p>
        </w:tc>
        <w:tc>
          <w:tcPr>
            <w:tcW w:w="900" w:type="dxa"/>
            <w:noWrap/>
          </w:tcPr>
          <w:p w14:paraId="0DB188BC" w14:textId="77777777" w:rsidR="002D21BF" w:rsidRPr="00787A69" w:rsidRDefault="002D21BF" w:rsidP="0061388E">
            <w:pPr>
              <w:pStyle w:val="ExhibitText"/>
              <w:keepNext/>
              <w:jc w:val="center"/>
            </w:pPr>
            <w:r w:rsidRPr="00787A69">
              <w:t>$25.62</w:t>
            </w:r>
          </w:p>
        </w:tc>
        <w:tc>
          <w:tcPr>
            <w:tcW w:w="1350" w:type="dxa"/>
            <w:noWrap/>
          </w:tcPr>
          <w:p w14:paraId="6ED73CE8" w14:textId="48FEBC46" w:rsidR="002D21BF" w:rsidRPr="00787A69" w:rsidRDefault="002D21BF" w:rsidP="00DD45B6">
            <w:pPr>
              <w:pStyle w:val="ExhibitText"/>
              <w:keepNext/>
              <w:jc w:val="center"/>
            </w:pPr>
            <w:r w:rsidRPr="00787A69">
              <w:t>$7,9</w:t>
            </w:r>
            <w:r w:rsidR="008200F0" w:rsidRPr="00787A69">
              <w:t>68</w:t>
            </w:r>
          </w:p>
        </w:tc>
      </w:tr>
      <w:tr w:rsidR="002D21BF" w:rsidRPr="00787A69" w14:paraId="37E828F5" w14:textId="77777777" w:rsidTr="002D21BF">
        <w:trPr>
          <w:cnfStyle w:val="000000010000" w:firstRow="0" w:lastRow="0" w:firstColumn="0" w:lastColumn="0" w:oddVBand="0" w:evenVBand="0" w:oddHBand="0" w:evenHBand="1" w:firstRowFirstColumn="0" w:firstRowLastColumn="0" w:lastRowFirstColumn="0" w:lastRowLastColumn="0"/>
          <w:trHeight w:val="294"/>
        </w:trPr>
        <w:tc>
          <w:tcPr>
            <w:tcW w:w="1890" w:type="dxa"/>
            <w:noWrap/>
            <w:hideMark/>
          </w:tcPr>
          <w:p w14:paraId="41B11B44" w14:textId="77777777" w:rsidR="002D21BF" w:rsidRPr="00787A69" w:rsidRDefault="002D21BF" w:rsidP="0061388E">
            <w:pPr>
              <w:pStyle w:val="ExhibitText"/>
              <w:keepNext/>
              <w:rPr>
                <w:i/>
              </w:rPr>
            </w:pPr>
            <w:r w:rsidRPr="00787A69">
              <w:rPr>
                <w:i/>
              </w:rPr>
              <w:t>Nonresponse Follow-Up</w:t>
            </w:r>
          </w:p>
        </w:tc>
        <w:tc>
          <w:tcPr>
            <w:tcW w:w="1260" w:type="dxa"/>
            <w:noWrap/>
          </w:tcPr>
          <w:p w14:paraId="426FC4F0" w14:textId="7AB1009E" w:rsidR="002D21BF" w:rsidRPr="00787A69" w:rsidRDefault="002D21BF" w:rsidP="0061388E">
            <w:pPr>
              <w:pStyle w:val="ExhibitText"/>
              <w:keepNext/>
              <w:ind w:right="432"/>
              <w:jc w:val="right"/>
            </w:pPr>
            <w:r w:rsidRPr="00787A69">
              <w:t>167</w:t>
            </w:r>
          </w:p>
        </w:tc>
        <w:tc>
          <w:tcPr>
            <w:tcW w:w="1260" w:type="dxa"/>
          </w:tcPr>
          <w:p w14:paraId="3940CE51" w14:textId="24414D4E" w:rsidR="002D21BF" w:rsidRPr="00787A69" w:rsidRDefault="002D21BF" w:rsidP="0061388E">
            <w:pPr>
              <w:pStyle w:val="ExhibitText"/>
              <w:keepNext/>
              <w:ind w:right="432"/>
              <w:jc w:val="right"/>
            </w:pPr>
            <w:r w:rsidRPr="00787A69">
              <w:t>1</w:t>
            </w:r>
          </w:p>
        </w:tc>
        <w:tc>
          <w:tcPr>
            <w:tcW w:w="1260" w:type="dxa"/>
            <w:noWrap/>
          </w:tcPr>
          <w:p w14:paraId="54E2FEBB" w14:textId="70832E2C" w:rsidR="002D21BF" w:rsidRPr="00787A69" w:rsidRDefault="00DD45B6" w:rsidP="00DD45B6">
            <w:pPr>
              <w:pStyle w:val="ExhibitText"/>
              <w:keepNext/>
              <w:ind w:right="432"/>
              <w:jc w:val="center"/>
            </w:pPr>
            <w:r w:rsidRPr="00787A69">
              <w:t xml:space="preserve">   </w:t>
            </w:r>
            <w:r w:rsidR="002D21BF" w:rsidRPr="00787A69">
              <w:t>167</w:t>
            </w:r>
          </w:p>
        </w:tc>
        <w:tc>
          <w:tcPr>
            <w:tcW w:w="1170" w:type="dxa"/>
            <w:noWrap/>
          </w:tcPr>
          <w:p w14:paraId="4AE7EB8E" w14:textId="2D4DFAB2" w:rsidR="002D21BF" w:rsidRPr="00787A69" w:rsidRDefault="002D21BF" w:rsidP="0061388E">
            <w:pPr>
              <w:pStyle w:val="ExhibitText"/>
              <w:keepNext/>
              <w:jc w:val="center"/>
            </w:pPr>
            <w:r w:rsidRPr="00787A69">
              <w:t>10/60</w:t>
            </w:r>
          </w:p>
        </w:tc>
        <w:tc>
          <w:tcPr>
            <w:tcW w:w="900" w:type="dxa"/>
            <w:noWrap/>
          </w:tcPr>
          <w:p w14:paraId="3E447BB4" w14:textId="1861C079" w:rsidR="002D21BF" w:rsidRPr="00787A69" w:rsidRDefault="002D21BF" w:rsidP="00E21BF9">
            <w:pPr>
              <w:pStyle w:val="ExhibitText"/>
              <w:keepNext/>
              <w:ind w:right="288"/>
              <w:jc w:val="right"/>
            </w:pPr>
            <w:r w:rsidRPr="00787A69">
              <w:t>28</w:t>
            </w:r>
          </w:p>
        </w:tc>
        <w:tc>
          <w:tcPr>
            <w:tcW w:w="900" w:type="dxa"/>
            <w:noWrap/>
          </w:tcPr>
          <w:p w14:paraId="644A8F6A" w14:textId="7921B02E" w:rsidR="002D21BF" w:rsidRPr="00787A69" w:rsidRDefault="002D21BF" w:rsidP="0061388E">
            <w:pPr>
              <w:pStyle w:val="ExhibitText"/>
              <w:keepNext/>
              <w:jc w:val="center"/>
            </w:pPr>
            <w:r w:rsidRPr="00787A69">
              <w:t>$25.62</w:t>
            </w:r>
          </w:p>
        </w:tc>
        <w:tc>
          <w:tcPr>
            <w:tcW w:w="1350" w:type="dxa"/>
            <w:noWrap/>
          </w:tcPr>
          <w:p w14:paraId="1B6CCC59" w14:textId="251D2DE4" w:rsidR="002D21BF" w:rsidRPr="00787A69" w:rsidRDefault="002D21BF" w:rsidP="00DD45B6">
            <w:pPr>
              <w:pStyle w:val="ExhibitText"/>
              <w:keepNext/>
              <w:jc w:val="center"/>
            </w:pPr>
            <w:r w:rsidRPr="00787A69">
              <w:t>$71</w:t>
            </w:r>
            <w:r w:rsidR="00E21BF9" w:rsidRPr="00787A69">
              <w:t>7</w:t>
            </w:r>
          </w:p>
        </w:tc>
      </w:tr>
      <w:tr w:rsidR="00CA27C0" w:rsidRPr="00787A69" w14:paraId="77AFC6C1" w14:textId="77777777" w:rsidTr="002D21BF">
        <w:trPr>
          <w:trHeight w:val="294"/>
        </w:trPr>
        <w:tc>
          <w:tcPr>
            <w:tcW w:w="1890" w:type="dxa"/>
            <w:noWrap/>
          </w:tcPr>
          <w:p w14:paraId="2C9C1852" w14:textId="5012A0E3" w:rsidR="00CA27C0" w:rsidRPr="00787A69" w:rsidRDefault="00CA27C0" w:rsidP="0061388E">
            <w:pPr>
              <w:pStyle w:val="ExhibitText"/>
              <w:keepNext/>
            </w:pPr>
            <w:r w:rsidRPr="00787A69">
              <w:t>Duplicated Total</w:t>
            </w:r>
          </w:p>
        </w:tc>
        <w:tc>
          <w:tcPr>
            <w:tcW w:w="1260" w:type="dxa"/>
            <w:noWrap/>
          </w:tcPr>
          <w:p w14:paraId="7B5DC419" w14:textId="6D969539" w:rsidR="00CA27C0" w:rsidRPr="00787A69" w:rsidDel="002D21BF" w:rsidRDefault="00CA27C0" w:rsidP="0061388E">
            <w:pPr>
              <w:pStyle w:val="ExhibitText"/>
              <w:keepNext/>
              <w:ind w:right="432"/>
              <w:jc w:val="right"/>
            </w:pPr>
            <w:r w:rsidRPr="00787A69">
              <w:t>10,364</w:t>
            </w:r>
          </w:p>
        </w:tc>
        <w:tc>
          <w:tcPr>
            <w:tcW w:w="1260" w:type="dxa"/>
          </w:tcPr>
          <w:p w14:paraId="5738E9C4" w14:textId="37C80C21" w:rsidR="00CA27C0" w:rsidRPr="00787A69" w:rsidRDefault="00CA27C0" w:rsidP="0061388E">
            <w:pPr>
              <w:pStyle w:val="ExhibitText"/>
              <w:keepNext/>
              <w:ind w:right="432"/>
              <w:jc w:val="right"/>
            </w:pPr>
            <w:r w:rsidRPr="00787A69">
              <w:t>--</w:t>
            </w:r>
          </w:p>
        </w:tc>
        <w:tc>
          <w:tcPr>
            <w:tcW w:w="1260" w:type="dxa"/>
            <w:noWrap/>
          </w:tcPr>
          <w:p w14:paraId="3D6CF99E" w14:textId="3CAC0BBD" w:rsidR="00CA27C0" w:rsidRPr="00787A69" w:rsidRDefault="00CA27C0" w:rsidP="00DD45B6">
            <w:pPr>
              <w:pStyle w:val="ExhibitText"/>
              <w:keepNext/>
              <w:tabs>
                <w:tab w:val="left" w:pos="624"/>
              </w:tabs>
              <w:ind w:right="432"/>
              <w:jc w:val="center"/>
            </w:pPr>
            <w:r w:rsidRPr="00787A69">
              <w:t>10,364</w:t>
            </w:r>
          </w:p>
        </w:tc>
        <w:tc>
          <w:tcPr>
            <w:tcW w:w="1170" w:type="dxa"/>
            <w:noWrap/>
          </w:tcPr>
          <w:p w14:paraId="18B0EE14" w14:textId="10861AF1" w:rsidR="00CA27C0" w:rsidRPr="00787A69" w:rsidRDefault="00CA27C0" w:rsidP="0061388E">
            <w:pPr>
              <w:pStyle w:val="ExhibitText"/>
              <w:keepNext/>
              <w:jc w:val="center"/>
            </w:pPr>
            <w:r w:rsidRPr="00787A69">
              <w:t>--</w:t>
            </w:r>
          </w:p>
        </w:tc>
        <w:tc>
          <w:tcPr>
            <w:tcW w:w="900" w:type="dxa"/>
            <w:noWrap/>
          </w:tcPr>
          <w:p w14:paraId="56AA3A46" w14:textId="3F77FA0E" w:rsidR="00CA27C0" w:rsidRPr="00787A69" w:rsidRDefault="008F6408" w:rsidP="00E21BF9">
            <w:pPr>
              <w:pStyle w:val="ExhibitText"/>
              <w:keepNext/>
              <w:tabs>
                <w:tab w:val="left" w:pos="456"/>
              </w:tabs>
              <w:ind w:right="288"/>
              <w:jc w:val="right"/>
            </w:pPr>
            <w:r w:rsidRPr="00787A69">
              <w:t>6</w:t>
            </w:r>
            <w:r w:rsidR="006D5361" w:rsidRPr="00787A69">
              <w:t>34</w:t>
            </w:r>
          </w:p>
        </w:tc>
        <w:tc>
          <w:tcPr>
            <w:tcW w:w="900" w:type="dxa"/>
            <w:noWrap/>
          </w:tcPr>
          <w:p w14:paraId="5B8A746F" w14:textId="03C457EF" w:rsidR="00CA27C0" w:rsidRPr="00787A69" w:rsidRDefault="00CA27C0" w:rsidP="0061388E">
            <w:pPr>
              <w:pStyle w:val="ExhibitText"/>
              <w:keepNext/>
              <w:jc w:val="center"/>
            </w:pPr>
            <w:r w:rsidRPr="00787A69">
              <w:t>--</w:t>
            </w:r>
          </w:p>
        </w:tc>
        <w:tc>
          <w:tcPr>
            <w:tcW w:w="1350" w:type="dxa"/>
            <w:noWrap/>
          </w:tcPr>
          <w:p w14:paraId="69A19A77" w14:textId="1760AB20" w:rsidR="00CA27C0" w:rsidRPr="00787A69" w:rsidRDefault="00CA108C" w:rsidP="00DD45B6">
            <w:pPr>
              <w:pStyle w:val="ExhibitText"/>
              <w:keepNext/>
              <w:jc w:val="center"/>
            </w:pPr>
            <w:r w:rsidRPr="00787A69">
              <w:t>$1</w:t>
            </w:r>
            <w:r w:rsidR="006D5361" w:rsidRPr="00787A69">
              <w:t>6,242</w:t>
            </w:r>
          </w:p>
        </w:tc>
      </w:tr>
      <w:tr w:rsidR="002D21BF" w:rsidRPr="00787A69" w14:paraId="19EF3A57" w14:textId="0637D3CB" w:rsidTr="002D21BF">
        <w:trPr>
          <w:cnfStyle w:val="000000010000" w:firstRow="0" w:lastRow="0" w:firstColumn="0" w:lastColumn="0" w:oddVBand="0" w:evenVBand="0" w:oddHBand="0" w:evenHBand="1" w:firstRowFirstColumn="0" w:firstRowLastColumn="0" w:lastRowFirstColumn="0" w:lastRowLastColumn="0"/>
          <w:trHeight w:val="294"/>
        </w:trPr>
        <w:tc>
          <w:tcPr>
            <w:tcW w:w="9990" w:type="dxa"/>
            <w:gridSpan w:val="8"/>
            <w:shd w:val="clear" w:color="auto" w:fill="898D8D" w:themeFill="text2"/>
          </w:tcPr>
          <w:p w14:paraId="45EBE7BB" w14:textId="5042A337" w:rsidR="002D21BF" w:rsidRPr="00787A69" w:rsidRDefault="00CA27C0" w:rsidP="00DD45B6">
            <w:pPr>
              <w:pStyle w:val="ExhibitRowHeader"/>
              <w:keepNext/>
            </w:pPr>
            <w:r w:rsidRPr="00787A69">
              <w:t>EMPLOYER SURVEY</w:t>
            </w:r>
          </w:p>
        </w:tc>
      </w:tr>
      <w:tr w:rsidR="002D21BF" w:rsidRPr="00787A69" w14:paraId="67258315" w14:textId="77777777" w:rsidTr="002D21BF">
        <w:trPr>
          <w:trHeight w:val="294"/>
        </w:trPr>
        <w:tc>
          <w:tcPr>
            <w:tcW w:w="1890" w:type="dxa"/>
            <w:noWrap/>
            <w:hideMark/>
          </w:tcPr>
          <w:p w14:paraId="099DE8DC" w14:textId="77777777" w:rsidR="002D21BF" w:rsidRPr="00787A69" w:rsidRDefault="002D21BF" w:rsidP="0061388E">
            <w:pPr>
              <w:pStyle w:val="ExhibitText"/>
              <w:keepNext/>
            </w:pPr>
            <w:r w:rsidRPr="00787A69">
              <w:t>Screener</w:t>
            </w:r>
          </w:p>
        </w:tc>
        <w:tc>
          <w:tcPr>
            <w:tcW w:w="1260" w:type="dxa"/>
            <w:noWrap/>
            <w:hideMark/>
          </w:tcPr>
          <w:p w14:paraId="09FAFDD1" w14:textId="7371AC8D" w:rsidR="002D21BF" w:rsidRPr="00787A69" w:rsidRDefault="002D21BF" w:rsidP="0061388E">
            <w:pPr>
              <w:pStyle w:val="ExhibitText"/>
              <w:keepNext/>
              <w:ind w:right="432"/>
              <w:jc w:val="right"/>
            </w:pPr>
            <w:r w:rsidRPr="00787A69">
              <w:t>3,044</w:t>
            </w:r>
          </w:p>
        </w:tc>
        <w:tc>
          <w:tcPr>
            <w:tcW w:w="1260" w:type="dxa"/>
          </w:tcPr>
          <w:p w14:paraId="7A73AD58" w14:textId="3672F436" w:rsidR="002D21BF" w:rsidRPr="00787A69" w:rsidRDefault="002D21BF" w:rsidP="0061388E">
            <w:pPr>
              <w:pStyle w:val="ExhibitText"/>
              <w:keepNext/>
              <w:ind w:right="432"/>
              <w:jc w:val="right"/>
            </w:pPr>
            <w:r w:rsidRPr="00787A69">
              <w:t>1</w:t>
            </w:r>
          </w:p>
        </w:tc>
        <w:tc>
          <w:tcPr>
            <w:tcW w:w="1260" w:type="dxa"/>
            <w:noWrap/>
            <w:hideMark/>
          </w:tcPr>
          <w:p w14:paraId="7CE7EFBF" w14:textId="0625B918" w:rsidR="002D21BF" w:rsidRPr="00787A69" w:rsidRDefault="002D21BF" w:rsidP="00DD45B6">
            <w:pPr>
              <w:pStyle w:val="ExhibitText"/>
              <w:keepNext/>
              <w:ind w:right="432"/>
              <w:jc w:val="center"/>
            </w:pPr>
            <w:r w:rsidRPr="00787A69">
              <w:t>3,044</w:t>
            </w:r>
          </w:p>
        </w:tc>
        <w:tc>
          <w:tcPr>
            <w:tcW w:w="1170" w:type="dxa"/>
            <w:noWrap/>
            <w:hideMark/>
          </w:tcPr>
          <w:p w14:paraId="45BD38C7" w14:textId="23973A62" w:rsidR="002D21BF" w:rsidRPr="00787A69" w:rsidRDefault="002D21BF" w:rsidP="0061388E">
            <w:pPr>
              <w:pStyle w:val="ExhibitText"/>
              <w:keepNext/>
              <w:jc w:val="center"/>
            </w:pPr>
            <w:r w:rsidRPr="00787A69">
              <w:t>4/60</w:t>
            </w:r>
          </w:p>
        </w:tc>
        <w:tc>
          <w:tcPr>
            <w:tcW w:w="900" w:type="dxa"/>
            <w:noWrap/>
            <w:hideMark/>
          </w:tcPr>
          <w:p w14:paraId="0737FF44" w14:textId="77777777" w:rsidR="002D21BF" w:rsidRPr="00787A69" w:rsidRDefault="002D21BF" w:rsidP="0061388E">
            <w:pPr>
              <w:pStyle w:val="ExhibitText"/>
              <w:keepNext/>
              <w:ind w:right="288"/>
              <w:jc w:val="right"/>
            </w:pPr>
            <w:r w:rsidRPr="00787A69">
              <w:t>203</w:t>
            </w:r>
          </w:p>
        </w:tc>
        <w:tc>
          <w:tcPr>
            <w:tcW w:w="900" w:type="dxa"/>
            <w:noWrap/>
            <w:hideMark/>
          </w:tcPr>
          <w:p w14:paraId="0A48866F" w14:textId="77777777" w:rsidR="002D21BF" w:rsidRPr="00787A69" w:rsidRDefault="002D21BF" w:rsidP="0061388E">
            <w:pPr>
              <w:pStyle w:val="ExhibitText"/>
              <w:keepNext/>
              <w:jc w:val="center"/>
            </w:pPr>
            <w:r w:rsidRPr="00787A69">
              <w:t>$56.29</w:t>
            </w:r>
          </w:p>
        </w:tc>
        <w:tc>
          <w:tcPr>
            <w:tcW w:w="1350" w:type="dxa"/>
            <w:noWrap/>
            <w:hideMark/>
          </w:tcPr>
          <w:p w14:paraId="1B5A02AE" w14:textId="2C4F846A" w:rsidR="002D21BF" w:rsidRPr="00787A69" w:rsidRDefault="002D21BF" w:rsidP="00DD45B6">
            <w:pPr>
              <w:pStyle w:val="ExhibitText"/>
              <w:keepNext/>
              <w:jc w:val="center"/>
            </w:pPr>
            <w:r w:rsidRPr="00787A69">
              <w:t>$</w:t>
            </w:r>
            <w:r w:rsidR="00E21BF9" w:rsidRPr="00787A69">
              <w:t>11,427</w:t>
            </w:r>
          </w:p>
        </w:tc>
      </w:tr>
      <w:tr w:rsidR="002D21BF" w:rsidRPr="00787A69" w14:paraId="175B4615" w14:textId="77777777" w:rsidTr="002D21BF">
        <w:trPr>
          <w:cnfStyle w:val="000000010000" w:firstRow="0" w:lastRow="0" w:firstColumn="0" w:lastColumn="0" w:oddVBand="0" w:evenVBand="0" w:oddHBand="0" w:evenHBand="1" w:firstRowFirstColumn="0" w:firstRowLastColumn="0" w:lastRowFirstColumn="0" w:lastRowLastColumn="0"/>
          <w:trHeight w:val="294"/>
        </w:trPr>
        <w:tc>
          <w:tcPr>
            <w:tcW w:w="1890" w:type="dxa"/>
            <w:noWrap/>
          </w:tcPr>
          <w:p w14:paraId="1359FD12" w14:textId="77777777" w:rsidR="002D21BF" w:rsidRPr="00787A69" w:rsidRDefault="002D21BF" w:rsidP="0061388E">
            <w:pPr>
              <w:pStyle w:val="ExhibitText"/>
              <w:keepNext/>
            </w:pPr>
            <w:r w:rsidRPr="00787A69">
              <w:t xml:space="preserve">Data Gathering + Extended Interview Overall </w:t>
            </w:r>
          </w:p>
        </w:tc>
        <w:tc>
          <w:tcPr>
            <w:tcW w:w="1260" w:type="dxa"/>
            <w:noWrap/>
          </w:tcPr>
          <w:p w14:paraId="7E4E614B" w14:textId="6AF58080" w:rsidR="002D21BF" w:rsidRPr="00787A69" w:rsidRDefault="002D21BF" w:rsidP="0061388E">
            <w:pPr>
              <w:pStyle w:val="ExhibitText"/>
              <w:keepNext/>
              <w:ind w:right="432"/>
              <w:jc w:val="right"/>
            </w:pPr>
            <w:r w:rsidRPr="00787A69">
              <w:t>667</w:t>
            </w:r>
          </w:p>
        </w:tc>
        <w:tc>
          <w:tcPr>
            <w:tcW w:w="1260" w:type="dxa"/>
          </w:tcPr>
          <w:p w14:paraId="75344F73" w14:textId="730F935B" w:rsidR="002D21BF" w:rsidRPr="00787A69" w:rsidRDefault="002D21BF" w:rsidP="0061388E">
            <w:pPr>
              <w:pStyle w:val="ExhibitText"/>
              <w:keepNext/>
              <w:ind w:right="432"/>
              <w:jc w:val="right"/>
            </w:pPr>
            <w:r w:rsidRPr="00787A69">
              <w:t>1</w:t>
            </w:r>
          </w:p>
        </w:tc>
        <w:tc>
          <w:tcPr>
            <w:tcW w:w="1260" w:type="dxa"/>
            <w:noWrap/>
          </w:tcPr>
          <w:p w14:paraId="1FF77E92" w14:textId="738F390E" w:rsidR="002D21BF" w:rsidRPr="00787A69" w:rsidRDefault="00DD45B6" w:rsidP="00DD45B6">
            <w:pPr>
              <w:pStyle w:val="ExhibitText"/>
              <w:keepNext/>
              <w:ind w:right="432"/>
              <w:jc w:val="center"/>
            </w:pPr>
            <w:r w:rsidRPr="00787A69">
              <w:t xml:space="preserve">   </w:t>
            </w:r>
            <w:r w:rsidR="002D21BF" w:rsidRPr="00787A69">
              <w:t>667</w:t>
            </w:r>
          </w:p>
        </w:tc>
        <w:tc>
          <w:tcPr>
            <w:tcW w:w="1170" w:type="dxa"/>
            <w:noWrap/>
          </w:tcPr>
          <w:p w14:paraId="707E17E4" w14:textId="0D16568C" w:rsidR="002D21BF" w:rsidRPr="00787A69" w:rsidRDefault="002D21BF" w:rsidP="0061388E">
            <w:pPr>
              <w:pStyle w:val="ExhibitText"/>
              <w:keepNext/>
              <w:jc w:val="center"/>
            </w:pPr>
            <w:r w:rsidRPr="00787A69">
              <w:t>1</w:t>
            </w:r>
          </w:p>
        </w:tc>
        <w:tc>
          <w:tcPr>
            <w:tcW w:w="900" w:type="dxa"/>
            <w:noWrap/>
          </w:tcPr>
          <w:p w14:paraId="306786EE" w14:textId="77777777" w:rsidR="002D21BF" w:rsidRPr="00787A69" w:rsidRDefault="002D21BF" w:rsidP="0061388E">
            <w:pPr>
              <w:pStyle w:val="ExhibitText"/>
              <w:keepNext/>
              <w:ind w:right="288"/>
              <w:jc w:val="right"/>
            </w:pPr>
            <w:r w:rsidRPr="00787A69">
              <w:t>667</w:t>
            </w:r>
          </w:p>
        </w:tc>
        <w:tc>
          <w:tcPr>
            <w:tcW w:w="900" w:type="dxa"/>
            <w:noWrap/>
          </w:tcPr>
          <w:p w14:paraId="0EB0311B" w14:textId="77777777" w:rsidR="002D21BF" w:rsidRPr="00787A69" w:rsidRDefault="002D21BF" w:rsidP="0061388E">
            <w:pPr>
              <w:pStyle w:val="ExhibitText"/>
              <w:keepNext/>
              <w:jc w:val="center"/>
            </w:pPr>
            <w:r w:rsidRPr="00787A69">
              <w:t>$56.29</w:t>
            </w:r>
          </w:p>
        </w:tc>
        <w:tc>
          <w:tcPr>
            <w:tcW w:w="1350" w:type="dxa"/>
            <w:noWrap/>
          </w:tcPr>
          <w:p w14:paraId="185887B7" w14:textId="365928CA" w:rsidR="002D21BF" w:rsidRPr="00787A69" w:rsidRDefault="002D21BF" w:rsidP="00DD45B6">
            <w:pPr>
              <w:pStyle w:val="ExhibitText"/>
              <w:keepNext/>
              <w:jc w:val="center"/>
            </w:pPr>
            <w:r w:rsidRPr="00787A69">
              <w:t>$37,</w:t>
            </w:r>
            <w:r w:rsidR="00767A01" w:rsidRPr="00787A69">
              <w:t>545</w:t>
            </w:r>
          </w:p>
        </w:tc>
      </w:tr>
      <w:tr w:rsidR="008200F0" w:rsidRPr="00787A69" w14:paraId="556CA51C" w14:textId="77777777" w:rsidTr="002D21BF">
        <w:trPr>
          <w:trHeight w:val="294"/>
        </w:trPr>
        <w:tc>
          <w:tcPr>
            <w:tcW w:w="1890" w:type="dxa"/>
            <w:noWrap/>
          </w:tcPr>
          <w:p w14:paraId="541B3FA4" w14:textId="44070122" w:rsidR="008200F0" w:rsidRPr="00787A69" w:rsidRDefault="008200F0" w:rsidP="0061388E">
            <w:pPr>
              <w:pStyle w:val="ExhibitText"/>
              <w:keepNext/>
            </w:pPr>
            <w:r w:rsidRPr="00787A69">
              <w:t>Duplicated Total</w:t>
            </w:r>
          </w:p>
        </w:tc>
        <w:tc>
          <w:tcPr>
            <w:tcW w:w="1260" w:type="dxa"/>
            <w:noWrap/>
          </w:tcPr>
          <w:p w14:paraId="34656027" w14:textId="75D5207F" w:rsidR="008200F0" w:rsidRPr="00787A69" w:rsidDel="002D21BF" w:rsidRDefault="00CA108C" w:rsidP="00CA108C">
            <w:pPr>
              <w:pStyle w:val="ExhibitText"/>
              <w:keepNext/>
              <w:tabs>
                <w:tab w:val="left" w:pos="648"/>
              </w:tabs>
              <w:ind w:right="432"/>
            </w:pPr>
            <w:r w:rsidRPr="00787A69">
              <w:t xml:space="preserve">      3,711</w:t>
            </w:r>
          </w:p>
        </w:tc>
        <w:tc>
          <w:tcPr>
            <w:tcW w:w="1260" w:type="dxa"/>
          </w:tcPr>
          <w:p w14:paraId="30268F63" w14:textId="77777777" w:rsidR="008200F0" w:rsidRPr="00787A69" w:rsidRDefault="008200F0" w:rsidP="0061388E">
            <w:pPr>
              <w:pStyle w:val="ExhibitText"/>
              <w:keepNext/>
              <w:ind w:right="432"/>
              <w:jc w:val="right"/>
            </w:pPr>
          </w:p>
        </w:tc>
        <w:tc>
          <w:tcPr>
            <w:tcW w:w="1260" w:type="dxa"/>
            <w:noWrap/>
          </w:tcPr>
          <w:p w14:paraId="52578CED" w14:textId="2F4B22CF" w:rsidR="008200F0" w:rsidRPr="00787A69" w:rsidRDefault="008200F0" w:rsidP="00DD45B6">
            <w:pPr>
              <w:pStyle w:val="ExhibitText"/>
              <w:keepNext/>
              <w:tabs>
                <w:tab w:val="left" w:pos="492"/>
              </w:tabs>
              <w:ind w:right="432"/>
              <w:jc w:val="center"/>
            </w:pPr>
            <w:r w:rsidRPr="00787A69">
              <w:t>3</w:t>
            </w:r>
            <w:r w:rsidR="00CA108C" w:rsidRPr="00787A69">
              <w:t>,</w:t>
            </w:r>
            <w:r w:rsidRPr="00787A69">
              <w:t>7</w:t>
            </w:r>
            <w:r w:rsidR="00CA108C" w:rsidRPr="00787A69">
              <w:t>11</w:t>
            </w:r>
          </w:p>
        </w:tc>
        <w:tc>
          <w:tcPr>
            <w:tcW w:w="1170" w:type="dxa"/>
            <w:noWrap/>
          </w:tcPr>
          <w:p w14:paraId="03C63046" w14:textId="77777777" w:rsidR="008200F0" w:rsidRPr="00787A69" w:rsidDel="002D21BF" w:rsidRDefault="008200F0" w:rsidP="0061388E">
            <w:pPr>
              <w:pStyle w:val="ExhibitText"/>
              <w:keepNext/>
              <w:jc w:val="center"/>
            </w:pPr>
          </w:p>
        </w:tc>
        <w:tc>
          <w:tcPr>
            <w:tcW w:w="900" w:type="dxa"/>
            <w:noWrap/>
          </w:tcPr>
          <w:p w14:paraId="6536AE8A" w14:textId="7A8BF6CA" w:rsidR="008200F0" w:rsidRPr="00787A69" w:rsidRDefault="00CA108C" w:rsidP="0061388E">
            <w:pPr>
              <w:pStyle w:val="ExhibitText"/>
              <w:keepNext/>
              <w:ind w:right="288"/>
              <w:jc w:val="right"/>
            </w:pPr>
            <w:r w:rsidRPr="00787A69">
              <w:t>870</w:t>
            </w:r>
          </w:p>
        </w:tc>
        <w:tc>
          <w:tcPr>
            <w:tcW w:w="900" w:type="dxa"/>
            <w:noWrap/>
          </w:tcPr>
          <w:p w14:paraId="7DD2DE6A" w14:textId="58539447" w:rsidR="008200F0" w:rsidRPr="00787A69" w:rsidRDefault="00DD45B6" w:rsidP="0061388E">
            <w:pPr>
              <w:pStyle w:val="ExhibitText"/>
              <w:keepNext/>
              <w:jc w:val="center"/>
            </w:pPr>
            <w:r w:rsidRPr="00787A69">
              <w:t>--</w:t>
            </w:r>
          </w:p>
        </w:tc>
        <w:tc>
          <w:tcPr>
            <w:tcW w:w="1350" w:type="dxa"/>
            <w:noWrap/>
          </w:tcPr>
          <w:p w14:paraId="1DAB7322" w14:textId="34A04160" w:rsidR="008200F0" w:rsidRPr="00787A69" w:rsidRDefault="00DD45B6" w:rsidP="00CA108C">
            <w:pPr>
              <w:pStyle w:val="ExhibitText"/>
              <w:keepNext/>
              <w:jc w:val="center"/>
            </w:pPr>
            <w:r w:rsidRPr="00787A69">
              <w:t>$</w:t>
            </w:r>
            <w:r w:rsidR="00767A01" w:rsidRPr="00787A69">
              <w:t>48,972</w:t>
            </w:r>
          </w:p>
        </w:tc>
      </w:tr>
      <w:tr w:rsidR="002D21BF" w:rsidRPr="00787A69" w14:paraId="0939EA68" w14:textId="77777777" w:rsidTr="002D21BF">
        <w:trPr>
          <w:cnfStyle w:val="000000010000" w:firstRow="0" w:lastRow="0" w:firstColumn="0" w:lastColumn="0" w:oddVBand="0" w:evenVBand="0" w:oddHBand="0" w:evenHBand="1" w:firstRowFirstColumn="0" w:firstRowLastColumn="0" w:lastRowFirstColumn="0" w:lastRowLastColumn="0"/>
          <w:trHeight w:val="294"/>
        </w:trPr>
        <w:tc>
          <w:tcPr>
            <w:tcW w:w="1890" w:type="dxa"/>
            <w:noWrap/>
            <w:hideMark/>
          </w:tcPr>
          <w:p w14:paraId="239C5BDD" w14:textId="5B462041" w:rsidR="002D21BF" w:rsidRPr="00787A69" w:rsidRDefault="002D21BF" w:rsidP="0061388E">
            <w:pPr>
              <w:pStyle w:val="ExhibitText"/>
              <w:rPr>
                <w:b/>
              </w:rPr>
            </w:pPr>
            <w:r w:rsidRPr="00787A69">
              <w:rPr>
                <w:b/>
              </w:rPr>
              <w:t>Duplicated Totals</w:t>
            </w:r>
          </w:p>
        </w:tc>
        <w:tc>
          <w:tcPr>
            <w:tcW w:w="1260" w:type="dxa"/>
            <w:noWrap/>
            <w:hideMark/>
          </w:tcPr>
          <w:p w14:paraId="407CE4A8" w14:textId="674FA243" w:rsidR="002D21BF" w:rsidRPr="00787A69" w:rsidRDefault="00CA108C" w:rsidP="00A753DD">
            <w:pPr>
              <w:pStyle w:val="ExhibitText"/>
              <w:jc w:val="center"/>
              <w:rPr>
                <w:b/>
              </w:rPr>
            </w:pPr>
            <w:r w:rsidRPr="00787A69">
              <w:rPr>
                <w:b/>
              </w:rPr>
              <w:t>14,075</w:t>
            </w:r>
          </w:p>
        </w:tc>
        <w:tc>
          <w:tcPr>
            <w:tcW w:w="1260" w:type="dxa"/>
          </w:tcPr>
          <w:p w14:paraId="06B10C61" w14:textId="3794FECC" w:rsidR="002D21BF" w:rsidRPr="00787A69" w:rsidRDefault="002D21BF" w:rsidP="00A753DD">
            <w:pPr>
              <w:pStyle w:val="ExhibitText"/>
              <w:jc w:val="center"/>
              <w:rPr>
                <w:b/>
              </w:rPr>
            </w:pPr>
            <w:r w:rsidRPr="00787A69">
              <w:rPr>
                <w:b/>
              </w:rPr>
              <w:t>--</w:t>
            </w:r>
          </w:p>
        </w:tc>
        <w:tc>
          <w:tcPr>
            <w:tcW w:w="1260" w:type="dxa"/>
          </w:tcPr>
          <w:p w14:paraId="17D6D248" w14:textId="588CBDA7" w:rsidR="002D21BF" w:rsidRPr="00787A69" w:rsidRDefault="00DD45B6" w:rsidP="00DD45B6">
            <w:pPr>
              <w:pStyle w:val="ExhibitText"/>
              <w:jc w:val="center"/>
              <w:rPr>
                <w:b/>
              </w:rPr>
            </w:pPr>
            <w:r w:rsidRPr="00787A69">
              <w:rPr>
                <w:b/>
              </w:rPr>
              <w:t xml:space="preserve"> </w:t>
            </w:r>
            <w:r w:rsidR="002D21BF" w:rsidRPr="00787A69">
              <w:rPr>
                <w:b/>
              </w:rPr>
              <w:t>14,075</w:t>
            </w:r>
          </w:p>
        </w:tc>
        <w:tc>
          <w:tcPr>
            <w:tcW w:w="1170" w:type="dxa"/>
            <w:noWrap/>
            <w:hideMark/>
          </w:tcPr>
          <w:p w14:paraId="109B7F4C" w14:textId="12D711BB" w:rsidR="002D21BF" w:rsidRPr="00787A69" w:rsidRDefault="002D21BF" w:rsidP="0061388E">
            <w:pPr>
              <w:pStyle w:val="ExhibitText"/>
              <w:jc w:val="center"/>
              <w:rPr>
                <w:b/>
              </w:rPr>
            </w:pPr>
            <w:r w:rsidRPr="00787A69">
              <w:rPr>
                <w:b/>
              </w:rPr>
              <w:t>--</w:t>
            </w:r>
          </w:p>
        </w:tc>
        <w:tc>
          <w:tcPr>
            <w:tcW w:w="900" w:type="dxa"/>
            <w:noWrap/>
            <w:hideMark/>
          </w:tcPr>
          <w:p w14:paraId="386F41F4" w14:textId="7291981B" w:rsidR="002D21BF" w:rsidRPr="00787A69" w:rsidRDefault="008F6408" w:rsidP="007654F7">
            <w:pPr>
              <w:pStyle w:val="ExhibitText"/>
              <w:jc w:val="center"/>
              <w:rPr>
                <w:b/>
              </w:rPr>
            </w:pPr>
            <w:r w:rsidRPr="00787A69">
              <w:rPr>
                <w:b/>
              </w:rPr>
              <w:t>1,5</w:t>
            </w:r>
            <w:r w:rsidR="002D579A" w:rsidRPr="00787A69">
              <w:rPr>
                <w:b/>
              </w:rPr>
              <w:t>04</w:t>
            </w:r>
          </w:p>
        </w:tc>
        <w:tc>
          <w:tcPr>
            <w:tcW w:w="900" w:type="dxa"/>
            <w:noWrap/>
            <w:hideMark/>
          </w:tcPr>
          <w:p w14:paraId="1F420216" w14:textId="59D44610" w:rsidR="002D21BF" w:rsidRPr="00787A69" w:rsidRDefault="00CA108C" w:rsidP="00A753DD">
            <w:pPr>
              <w:pStyle w:val="ExhibitText"/>
              <w:keepNext/>
              <w:ind w:right="288"/>
              <w:jc w:val="right"/>
              <w:rPr>
                <w:b/>
              </w:rPr>
            </w:pPr>
            <w:r w:rsidRPr="00787A69">
              <w:rPr>
                <w:b/>
              </w:rPr>
              <w:t>--</w:t>
            </w:r>
          </w:p>
        </w:tc>
        <w:tc>
          <w:tcPr>
            <w:tcW w:w="1350" w:type="dxa"/>
            <w:noWrap/>
            <w:hideMark/>
          </w:tcPr>
          <w:p w14:paraId="4256D4AB" w14:textId="56852776" w:rsidR="002D21BF" w:rsidRPr="00787A69" w:rsidRDefault="00E86B3F" w:rsidP="007654F7">
            <w:pPr>
              <w:pStyle w:val="ExhibitText"/>
              <w:jc w:val="center"/>
              <w:rPr>
                <w:b/>
              </w:rPr>
            </w:pPr>
            <w:r w:rsidRPr="00787A69">
              <w:rPr>
                <w:b/>
              </w:rPr>
              <w:t>$6</w:t>
            </w:r>
            <w:r w:rsidR="002D579A" w:rsidRPr="00787A69">
              <w:rPr>
                <w:b/>
              </w:rPr>
              <w:t>5,214</w:t>
            </w:r>
          </w:p>
        </w:tc>
      </w:tr>
    </w:tbl>
    <w:p w14:paraId="286AA823" w14:textId="21102657" w:rsidR="005E24A5" w:rsidRPr="00787A69" w:rsidRDefault="007654F7" w:rsidP="005E24A5">
      <w:pPr>
        <w:pStyle w:val="BodyText"/>
        <w:spacing w:after="0"/>
        <w:rPr>
          <w:rFonts w:ascii="Arial Narrow" w:hAnsi="Arial Narrow"/>
          <w:sz w:val="18"/>
          <w:szCs w:val="18"/>
        </w:rPr>
      </w:pPr>
      <w:r w:rsidRPr="00787A69">
        <w:rPr>
          <w:rFonts w:ascii="Arial Narrow" w:hAnsi="Arial Narrow"/>
          <w:sz w:val="18"/>
          <w:szCs w:val="18"/>
          <w:vertAlign w:val="superscript"/>
        </w:rPr>
        <w:t>1</w:t>
      </w:r>
      <w:r w:rsidR="005E24A5" w:rsidRPr="00787A69">
        <w:rPr>
          <w:rFonts w:ascii="Arial Narrow" w:hAnsi="Arial Narrow"/>
          <w:sz w:val="18"/>
          <w:szCs w:val="18"/>
        </w:rPr>
        <w:t xml:space="preserve">Hourly wage reflects the June 2016 (seasonally adjusted) average hourly earnings for private nonfarm payrolls, as reported by the U.S. Department of Labor, Bureau of Labor Statistics, Table B-3. "Average hourly and weekly earnings of all employees on private nonfarm payrolls by industry sector, seasonally adjusted" (accessed from the following web site as of September 26, 2016: </w:t>
      </w:r>
      <w:hyperlink r:id="rId16" w:history="1">
        <w:r w:rsidR="005E24A5" w:rsidRPr="00787A69">
          <w:rPr>
            <w:rStyle w:val="Hyperlink"/>
            <w:rFonts w:ascii="Arial Narrow" w:hAnsi="Arial Narrow"/>
            <w:sz w:val="18"/>
            <w:szCs w:val="18"/>
          </w:rPr>
          <w:t>http://www.bls.gov/news.release/empsit.t19.htm</w:t>
        </w:r>
      </w:hyperlink>
      <w:r w:rsidR="005E24A5" w:rsidRPr="00787A69">
        <w:rPr>
          <w:rFonts w:ascii="Arial Narrow" w:hAnsi="Arial Narrow"/>
          <w:sz w:val="18"/>
          <w:szCs w:val="18"/>
        </w:rPr>
        <w:t>).</w:t>
      </w:r>
    </w:p>
    <w:p w14:paraId="1EC11D09" w14:textId="03587D9B" w:rsidR="005E24A5" w:rsidRPr="00787A69" w:rsidRDefault="007654F7" w:rsidP="005E24A5">
      <w:pPr>
        <w:pStyle w:val="BodyText"/>
        <w:spacing w:after="0"/>
        <w:rPr>
          <w:rFonts w:ascii="Arial Narrow" w:hAnsi="Arial Narrow"/>
          <w:sz w:val="18"/>
          <w:szCs w:val="18"/>
        </w:rPr>
      </w:pPr>
      <w:r w:rsidRPr="00787A69">
        <w:rPr>
          <w:rFonts w:ascii="Arial Narrow" w:hAnsi="Arial Narrow"/>
          <w:sz w:val="18"/>
          <w:szCs w:val="18"/>
          <w:vertAlign w:val="superscript"/>
        </w:rPr>
        <w:t>2</w:t>
      </w:r>
      <w:r w:rsidR="005E24A5" w:rsidRPr="00787A69">
        <w:rPr>
          <w:rFonts w:ascii="Arial Narrow" w:hAnsi="Arial Narrow"/>
          <w:sz w:val="18"/>
          <w:szCs w:val="18"/>
        </w:rPr>
        <w:t xml:space="preserve">Hourly wage reflects the May 2015 average hourly earnings for human resources managers, as reported by the U.S. Department of Labor, Bureau of Labor Statistics, Table 1. "National employment and wage data from the Occupational Employment Statistics survey by occupation, May 2015" (accessed from the following web site as of January 11, 2017: </w:t>
      </w:r>
      <w:hyperlink r:id="rId17" w:history="1">
        <w:r w:rsidR="005E24A5" w:rsidRPr="00787A69">
          <w:rPr>
            <w:rStyle w:val="Hyperlink"/>
            <w:rFonts w:ascii="Arial Narrow" w:hAnsi="Arial Narrow"/>
            <w:sz w:val="18"/>
            <w:szCs w:val="18"/>
          </w:rPr>
          <w:t>https://www.bls.gov/news.release/ocwage.t01.htm</w:t>
        </w:r>
      </w:hyperlink>
      <w:r w:rsidR="005E24A5" w:rsidRPr="00787A69">
        <w:rPr>
          <w:rFonts w:ascii="Arial Narrow" w:hAnsi="Arial Narrow"/>
          <w:sz w:val="18"/>
          <w:szCs w:val="18"/>
        </w:rPr>
        <w:t>).</w:t>
      </w:r>
    </w:p>
    <w:p w14:paraId="0C042AAC" w14:textId="40388660" w:rsidR="00EF5E2E" w:rsidRPr="00787A69" w:rsidRDefault="00EF5E2E" w:rsidP="00EF5E2E">
      <w:pPr>
        <w:pStyle w:val="BodyText"/>
        <w:spacing w:after="0"/>
        <w:rPr>
          <w:rFonts w:ascii="Arial Narrow" w:hAnsi="Arial Narrow"/>
          <w:sz w:val="18"/>
          <w:szCs w:val="18"/>
        </w:rPr>
      </w:pPr>
    </w:p>
    <w:p w14:paraId="2244AB1C" w14:textId="77777777" w:rsidR="00EF5E2E" w:rsidRPr="00787A69" w:rsidRDefault="00EF5E2E" w:rsidP="00EF5E2E"/>
    <w:p w14:paraId="6A818988" w14:textId="637B3EE6" w:rsidR="00C337DA" w:rsidRPr="00787A69" w:rsidRDefault="00C337DA" w:rsidP="00F639A9">
      <w:pPr>
        <w:pStyle w:val="Heading2"/>
        <w:numPr>
          <w:ilvl w:val="0"/>
          <w:numId w:val="0"/>
        </w:numPr>
      </w:pPr>
      <w:bookmarkStart w:id="29" w:name="_Toc486315533"/>
      <w:r w:rsidRPr="00787A69">
        <w:t>A</w:t>
      </w:r>
      <w:r w:rsidR="00A72D77" w:rsidRPr="00787A69">
        <w:t>.</w:t>
      </w:r>
      <w:r w:rsidRPr="00787A69">
        <w:t xml:space="preserve">13. </w:t>
      </w:r>
      <w:r w:rsidR="004138AB" w:rsidRPr="00787A69">
        <w:tab/>
      </w:r>
      <w:r w:rsidRPr="00787A69">
        <w:t>Cost Burden to Respondents of Record Keepers</w:t>
      </w:r>
      <w:bookmarkEnd w:id="29"/>
    </w:p>
    <w:p w14:paraId="068612D5" w14:textId="323EDEFE" w:rsidR="00C337DA" w:rsidRPr="00787A69" w:rsidRDefault="0071050A" w:rsidP="00C337DA">
      <w:pPr>
        <w:pStyle w:val="BodyText"/>
      </w:pPr>
      <w:r w:rsidRPr="00787A69">
        <w:t>There are no costs to respondents other than their time, and no recordkeeping is required. There are no capital and start-up costs borne by respondents for this information collection. There are no costs to respondents associated with operation, maintenance, or the purchase of services.</w:t>
      </w:r>
    </w:p>
    <w:p w14:paraId="608D227C" w14:textId="0A28E988" w:rsidR="00C337DA" w:rsidRPr="00787A69" w:rsidRDefault="00C337DA" w:rsidP="00C337DA">
      <w:pPr>
        <w:pStyle w:val="Heading2"/>
        <w:numPr>
          <w:ilvl w:val="0"/>
          <w:numId w:val="0"/>
        </w:numPr>
      </w:pPr>
      <w:bookmarkStart w:id="30" w:name="_Toc486315534"/>
      <w:r w:rsidRPr="00787A69">
        <w:t>A</w:t>
      </w:r>
      <w:r w:rsidR="00A72D77" w:rsidRPr="00787A69">
        <w:t>.</w:t>
      </w:r>
      <w:r w:rsidRPr="00787A69">
        <w:t xml:space="preserve">14. </w:t>
      </w:r>
      <w:r w:rsidR="004138AB" w:rsidRPr="00787A69">
        <w:tab/>
      </w:r>
      <w:r w:rsidRPr="00787A69">
        <w:t>Estimate of Cost to the Federal Government</w:t>
      </w:r>
      <w:bookmarkEnd w:id="30"/>
    </w:p>
    <w:p w14:paraId="52950B9A" w14:textId="6BE8B65E" w:rsidR="008312FB" w:rsidRPr="00787A69" w:rsidRDefault="008312FB" w:rsidP="008312FB">
      <w:pPr>
        <w:pStyle w:val="BodyText"/>
      </w:pPr>
      <w:r w:rsidRPr="00787A69">
        <w:t xml:space="preserve">The estimated annualized cost to the Federal government is $920,132. The estimated total cost to the Federal government </w:t>
      </w:r>
      <w:r w:rsidR="00B81B95" w:rsidRPr="00787A69">
        <w:t xml:space="preserve">over the 3 year clearance period </w:t>
      </w:r>
      <w:r w:rsidRPr="00787A69">
        <w:t>is $2,760,396.</w:t>
      </w:r>
      <w:r w:rsidRPr="00787A69">
        <w:rPr>
          <w:rStyle w:val="FootnoteReference"/>
        </w:rPr>
        <w:footnoteReference w:id="7"/>
      </w:r>
      <w:r w:rsidRPr="00787A69">
        <w:t xml:space="preserve"> This cost estimate is comprised of two components:</w:t>
      </w:r>
    </w:p>
    <w:p w14:paraId="3AEAE1EC" w14:textId="77777777" w:rsidR="008312FB" w:rsidRPr="00787A69" w:rsidRDefault="008312FB" w:rsidP="008312FB">
      <w:pPr>
        <w:pStyle w:val="ListParagraph"/>
        <w:numPr>
          <w:ilvl w:val="0"/>
          <w:numId w:val="28"/>
        </w:numPr>
      </w:pPr>
      <w:r w:rsidRPr="00787A69">
        <w:t>The estimated total cost to the Federal government for the contractor to carry out the tasks for which this justification seeks approval is $2,702,000. This is comprised of $378,881 for instrument design and $2,323,119 for data collection. Annualized over three years, the estimated annual cost is $900,667.</w:t>
      </w:r>
      <w:r w:rsidRPr="00787A69">
        <w:rPr>
          <w:rStyle w:val="FootnoteReference"/>
        </w:rPr>
        <w:footnoteReference w:id="8"/>
      </w:r>
    </w:p>
    <w:p w14:paraId="5FE9DF71" w14:textId="77777777" w:rsidR="008312FB" w:rsidRPr="00787A69" w:rsidRDefault="008312FB" w:rsidP="008312FB">
      <w:pPr>
        <w:pStyle w:val="ListParagraph"/>
        <w:numPr>
          <w:ilvl w:val="0"/>
          <w:numId w:val="28"/>
        </w:numPr>
      </w:pPr>
      <w:r w:rsidRPr="00787A69">
        <w:t>DOL expects the annual level of effort for Federal government technical staff to oversee the contract will require 200 hours for one Washington D.C.-based l GS-14, Step 5 employee earning $60.83 per hour.</w:t>
      </w:r>
      <w:r w:rsidRPr="00787A69">
        <w:rPr>
          <w:rStyle w:val="FootnoteReference"/>
        </w:rPr>
        <w:footnoteReference w:id="9"/>
      </w:r>
      <w:r w:rsidRPr="00787A69">
        <w:t>  To account for fringe benefits and other overhead costs the agency applies a multiplication factor of 1.6. Thus, the estimated annual cost borne by DOL for these duties is $19,466.</w:t>
      </w:r>
      <w:r w:rsidRPr="00787A69">
        <w:rPr>
          <w:rStyle w:val="FootnoteReference"/>
        </w:rPr>
        <w:footnoteReference w:id="10"/>
      </w:r>
      <w:r w:rsidRPr="00787A69">
        <w:t xml:space="preserve">  The data collection period covered by this justification is three years, so the estimated total cost for performance of these duties is $58,397.</w:t>
      </w:r>
    </w:p>
    <w:p w14:paraId="2C68F4B8" w14:textId="46D3A17A" w:rsidR="00C337DA" w:rsidRPr="00787A69" w:rsidRDefault="008312FB" w:rsidP="008312FB">
      <w:pPr>
        <w:pStyle w:val="Heading2"/>
        <w:numPr>
          <w:ilvl w:val="0"/>
          <w:numId w:val="0"/>
        </w:numPr>
        <w:ind w:left="720" w:hanging="720"/>
      </w:pPr>
      <w:r w:rsidRPr="00787A69">
        <w:t xml:space="preserve"> </w:t>
      </w:r>
      <w:bookmarkStart w:id="31" w:name="_Toc486315535"/>
      <w:r w:rsidR="00C337DA" w:rsidRPr="00787A69">
        <w:t>A1</w:t>
      </w:r>
      <w:r w:rsidR="00A72D77" w:rsidRPr="00787A69">
        <w:t>.</w:t>
      </w:r>
      <w:r w:rsidR="00C337DA" w:rsidRPr="00787A69">
        <w:t xml:space="preserve">5. </w:t>
      </w:r>
      <w:r w:rsidR="0024418A" w:rsidRPr="00787A69">
        <w:tab/>
      </w:r>
      <w:r w:rsidR="00C337DA" w:rsidRPr="00787A69">
        <w:t>Change in Burden</w:t>
      </w:r>
      <w:bookmarkEnd w:id="31"/>
    </w:p>
    <w:p w14:paraId="5180FB2D" w14:textId="77777777" w:rsidR="00C337DA" w:rsidRPr="00787A69" w:rsidRDefault="00934F45" w:rsidP="00C337DA">
      <w:pPr>
        <w:pStyle w:val="BodyText"/>
      </w:pPr>
      <w:r w:rsidRPr="00787A69">
        <w:t xml:space="preserve">This is a new data collection. </w:t>
      </w:r>
    </w:p>
    <w:p w14:paraId="5C30E05C" w14:textId="35816274" w:rsidR="00C337DA" w:rsidRPr="00787A69" w:rsidRDefault="00C337DA" w:rsidP="00C337DA">
      <w:pPr>
        <w:pStyle w:val="Heading2"/>
        <w:numPr>
          <w:ilvl w:val="0"/>
          <w:numId w:val="0"/>
        </w:numPr>
        <w:ind w:left="720" w:hanging="720"/>
      </w:pPr>
      <w:bookmarkStart w:id="32" w:name="_Toc486315536"/>
      <w:r w:rsidRPr="00787A69">
        <w:t>A</w:t>
      </w:r>
      <w:r w:rsidR="00A72D77" w:rsidRPr="00787A69">
        <w:t>.</w:t>
      </w:r>
      <w:r w:rsidRPr="00787A69">
        <w:t xml:space="preserve">16. </w:t>
      </w:r>
      <w:r w:rsidR="0024418A" w:rsidRPr="00787A69">
        <w:tab/>
      </w:r>
      <w:r w:rsidRPr="00787A69">
        <w:t>Plan and Time Schedule for Information Collection, Tabulation and Publication</w:t>
      </w:r>
      <w:bookmarkEnd w:id="32"/>
    </w:p>
    <w:p w14:paraId="5A1C22A8" w14:textId="5D4955C5" w:rsidR="00A3019A" w:rsidRPr="00787A69" w:rsidRDefault="00A72D77" w:rsidP="000C41F5">
      <w:pPr>
        <w:pStyle w:val="Heading3"/>
      </w:pPr>
      <w:bookmarkStart w:id="33" w:name="_Toc486315537"/>
      <w:r w:rsidRPr="00787A69">
        <w:t>A.16.1</w:t>
      </w:r>
      <w:r w:rsidR="00673F76" w:rsidRPr="00787A69">
        <w:tab/>
      </w:r>
      <w:r w:rsidR="00A3019A" w:rsidRPr="00787A69">
        <w:t>Employee Survey</w:t>
      </w:r>
      <w:bookmarkEnd w:id="33"/>
    </w:p>
    <w:p w14:paraId="046A5CD4" w14:textId="77777777" w:rsidR="00274FE6" w:rsidRPr="00787A69" w:rsidRDefault="006E2845" w:rsidP="00A3019A">
      <w:r w:rsidRPr="00787A69">
        <w:t xml:space="preserve">Consistent with the overall intent and design of the study, data will be analyzed and presented primarily in a descriptive statistical manner, employing cross-tabulations. No complex analytical techniques will be used in assessing these data. Survey results will be weighted to be representative of the U.S. non-institutional population based on figures from the American Community Survey and the Current Population Survey. </w:t>
      </w:r>
      <w:r w:rsidR="00274FE6" w:rsidRPr="00787A69">
        <w:t xml:space="preserve">The analysis team will use </w:t>
      </w:r>
      <w:r w:rsidRPr="00787A69">
        <w:t xml:space="preserve">SAS to </w:t>
      </w:r>
      <w:r w:rsidR="00274FE6" w:rsidRPr="00787A69">
        <w:t xml:space="preserve">estimate level differences in key outcomes across these subgroups (e.g., FMLA eligible and ineligible employees), reporting confidence intervals and testing for statistical significance. </w:t>
      </w:r>
      <w:r w:rsidR="005A42A1" w:rsidRPr="00787A69">
        <w:t>The study team</w:t>
      </w:r>
      <w:r w:rsidR="00274FE6" w:rsidRPr="00787A69">
        <w:t xml:space="preserve"> will also supplement these simple weighted comparisons with regression-adjusted comparisons for selected outcomes. See </w:t>
      </w:r>
      <w:r w:rsidR="005F6285" w:rsidRPr="00787A69">
        <w:t xml:space="preserve">Part B </w:t>
      </w:r>
      <w:r w:rsidR="00274FE6" w:rsidRPr="00787A69">
        <w:t xml:space="preserve">for more detail. </w:t>
      </w:r>
    </w:p>
    <w:p w14:paraId="7F77E3AA" w14:textId="6FF5B6BE" w:rsidR="00A3019A" w:rsidRPr="00787A69" w:rsidRDefault="00673F76" w:rsidP="000C41F5">
      <w:pPr>
        <w:pStyle w:val="Heading3"/>
      </w:pPr>
      <w:bookmarkStart w:id="34" w:name="_Toc486315538"/>
      <w:r w:rsidRPr="00787A69">
        <w:t>A.16.2</w:t>
      </w:r>
      <w:r w:rsidRPr="00787A69">
        <w:tab/>
      </w:r>
      <w:r w:rsidR="00A3019A" w:rsidRPr="00787A69">
        <w:t>Employer Survey</w:t>
      </w:r>
      <w:bookmarkEnd w:id="34"/>
    </w:p>
    <w:p w14:paraId="3565E8DE" w14:textId="6639CA97" w:rsidR="00274FE6" w:rsidRPr="00787A69" w:rsidRDefault="006E2845" w:rsidP="00274FE6">
      <w:r w:rsidRPr="00787A69">
        <w:t xml:space="preserve">As with the Employee Survey, analysis of the results from the Employer Survey will </w:t>
      </w:r>
      <w:r w:rsidR="00274FE6" w:rsidRPr="00787A69">
        <w:t xml:space="preserve">also </w:t>
      </w:r>
      <w:r w:rsidRPr="00787A69">
        <w:t>rely primarily on descriptive statistics.</w:t>
      </w:r>
      <w:r w:rsidR="00274FE6" w:rsidRPr="00787A69">
        <w:t xml:space="preserve"> Again, no complex analytical techniques will be used in assessing these data. Survey results will be weighted to adjust for differential probabilitie</w:t>
      </w:r>
      <w:r w:rsidR="00615BD4" w:rsidRPr="00787A69">
        <w:t xml:space="preserve">s of selection and nonresponse. </w:t>
      </w:r>
      <w:r w:rsidR="00274FE6" w:rsidRPr="00787A69">
        <w:t xml:space="preserve">The analysis team will use SAS to estimate level differences in key outcomes across these subgroups (e.g., FMLA eligible and ineligible employees), reporting confidence intervals and testing for statistical significance. </w:t>
      </w:r>
      <w:r w:rsidR="005A42A1" w:rsidRPr="00787A69">
        <w:t>The study team</w:t>
      </w:r>
      <w:r w:rsidR="00274FE6" w:rsidRPr="00787A69">
        <w:t xml:space="preserve"> will also supplement these simple weighted comparisons with regression-adjusted comparisons for selected outcomes. See </w:t>
      </w:r>
      <w:r w:rsidR="000D3467" w:rsidRPr="00787A69">
        <w:t xml:space="preserve">Part B </w:t>
      </w:r>
      <w:r w:rsidR="00274FE6" w:rsidRPr="00787A69">
        <w:t xml:space="preserve">for more detail. </w:t>
      </w:r>
    </w:p>
    <w:p w14:paraId="21A36D15" w14:textId="38C2B0B3" w:rsidR="00274FE6" w:rsidRPr="00787A69" w:rsidRDefault="00673F76" w:rsidP="000C41F5">
      <w:pPr>
        <w:pStyle w:val="Heading3"/>
      </w:pPr>
      <w:bookmarkStart w:id="35" w:name="_Toc486315539"/>
      <w:r w:rsidRPr="00787A69">
        <w:t>A.16.3</w:t>
      </w:r>
      <w:r w:rsidRPr="00787A69">
        <w:tab/>
      </w:r>
      <w:r w:rsidR="00274FE6" w:rsidRPr="00787A69">
        <w:t>Timeline</w:t>
      </w:r>
      <w:bookmarkEnd w:id="35"/>
    </w:p>
    <w:p w14:paraId="159C8FB4" w14:textId="43CB6880" w:rsidR="00581C98" w:rsidRPr="00787A69" w:rsidRDefault="006E2845" w:rsidP="00C337DA">
      <w:pPr>
        <w:pStyle w:val="BodyText"/>
      </w:pPr>
      <w:r w:rsidRPr="00787A69">
        <w:t xml:space="preserve">CEO is seeking OMB approval beginning October 2017 and ending October 2020. </w:t>
      </w:r>
      <w:r w:rsidR="00A3019A" w:rsidRPr="00787A69">
        <w:t xml:space="preserve">Exhibit </w:t>
      </w:r>
      <w:r w:rsidR="003A3755" w:rsidRPr="00787A69">
        <w:t>4</w:t>
      </w:r>
      <w:r w:rsidR="00581C98" w:rsidRPr="00787A69">
        <w:t xml:space="preserve"> presents an overview of the </w:t>
      </w:r>
      <w:r w:rsidR="0088777E" w:rsidRPr="00787A69">
        <w:t xml:space="preserve">project </w:t>
      </w:r>
      <w:r w:rsidR="00581C98" w:rsidRPr="00787A69">
        <w:t xml:space="preserve">schedule for </w:t>
      </w:r>
      <w:r w:rsidR="00A3019A" w:rsidRPr="00787A69">
        <w:t>data collection, analysis, and publications</w:t>
      </w:r>
      <w:r w:rsidR="00581C98" w:rsidRPr="00787A69">
        <w:t xml:space="preserve">. </w:t>
      </w:r>
    </w:p>
    <w:p w14:paraId="3241B466" w14:textId="0F47BA77" w:rsidR="00A3019A" w:rsidRPr="00787A69" w:rsidRDefault="00A3019A" w:rsidP="0024418A">
      <w:pPr>
        <w:pStyle w:val="Caption"/>
      </w:pPr>
      <w:r w:rsidRPr="00787A69">
        <w:t xml:space="preserve">Exhibit </w:t>
      </w:r>
      <w:r w:rsidR="00F4531E" w:rsidRPr="00787A69">
        <w:t>4</w:t>
      </w:r>
      <w:r w:rsidRPr="00787A69">
        <w:t>. Project Timeline</w:t>
      </w:r>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2852"/>
        <w:gridCol w:w="3016"/>
        <w:gridCol w:w="3492"/>
      </w:tblGrid>
      <w:tr w:rsidR="00FF224D" w:rsidRPr="00787A69" w14:paraId="6220A80B" w14:textId="77777777" w:rsidTr="0024418A">
        <w:trPr>
          <w:cnfStyle w:val="100000000000" w:firstRow="1" w:lastRow="0" w:firstColumn="0" w:lastColumn="0" w:oddVBand="0" w:evenVBand="0" w:oddHBand="0" w:evenHBand="0" w:firstRowFirstColumn="0" w:firstRowLastColumn="0" w:lastRowFirstColumn="0" w:lastRowLastColumn="0"/>
          <w:cantSplit/>
          <w:tblHeader/>
        </w:trPr>
        <w:tc>
          <w:tcPr>
            <w:tcW w:w="2808" w:type="dxa"/>
          </w:tcPr>
          <w:p w14:paraId="1DB275E3" w14:textId="77777777" w:rsidR="00A3019A" w:rsidRPr="00787A69" w:rsidRDefault="00A3019A" w:rsidP="0024418A">
            <w:pPr>
              <w:pStyle w:val="ExhibitColumnHeader"/>
              <w:keepNext/>
            </w:pPr>
            <w:r w:rsidRPr="00787A69">
              <w:t>Timeline</w:t>
            </w:r>
          </w:p>
        </w:tc>
        <w:tc>
          <w:tcPr>
            <w:tcW w:w="2970" w:type="dxa"/>
          </w:tcPr>
          <w:p w14:paraId="62614E38" w14:textId="77777777" w:rsidR="00A3019A" w:rsidRPr="00787A69" w:rsidRDefault="00A3019A" w:rsidP="0024418A">
            <w:pPr>
              <w:pStyle w:val="ExhibitColumnHeader"/>
              <w:keepNext/>
            </w:pPr>
            <w:r w:rsidRPr="00787A69">
              <w:t>Activity</w:t>
            </w:r>
          </w:p>
        </w:tc>
        <w:tc>
          <w:tcPr>
            <w:tcW w:w="3438" w:type="dxa"/>
          </w:tcPr>
          <w:p w14:paraId="4A02A27E" w14:textId="77777777" w:rsidR="00A3019A" w:rsidRPr="00787A69" w:rsidRDefault="00A3019A" w:rsidP="0024418A">
            <w:pPr>
              <w:pStyle w:val="ExhibitColumnHeader"/>
              <w:keepNext/>
            </w:pPr>
            <w:r w:rsidRPr="00787A69">
              <w:t>Details of Activity</w:t>
            </w:r>
          </w:p>
        </w:tc>
      </w:tr>
      <w:tr w:rsidR="00FB17E9" w:rsidRPr="00787A69" w14:paraId="4F17F029" w14:textId="77777777" w:rsidTr="0024418A">
        <w:trPr>
          <w:cantSplit/>
        </w:trPr>
        <w:tc>
          <w:tcPr>
            <w:tcW w:w="2808" w:type="dxa"/>
          </w:tcPr>
          <w:p w14:paraId="590947B7" w14:textId="2380E54E" w:rsidR="00FB17E9" w:rsidRPr="00787A69" w:rsidRDefault="00FB17E9" w:rsidP="00986EA2">
            <w:pPr>
              <w:pStyle w:val="ExhibitText"/>
              <w:keepNext/>
            </w:pPr>
            <w:r w:rsidRPr="00787A69">
              <w:t xml:space="preserve">August </w:t>
            </w:r>
            <w:r w:rsidR="00986EA2" w:rsidRPr="00787A69">
              <w:t>2016</w:t>
            </w:r>
            <w:r w:rsidR="00FC4A43" w:rsidRPr="00787A69">
              <w:t xml:space="preserve"> </w:t>
            </w:r>
            <w:r w:rsidRPr="00787A69">
              <w:t xml:space="preserve">– </w:t>
            </w:r>
            <w:r w:rsidR="00986EA2" w:rsidRPr="00787A69">
              <w:t>January</w:t>
            </w:r>
            <w:r w:rsidRPr="00787A69">
              <w:t xml:space="preserve"> 201</w:t>
            </w:r>
            <w:r w:rsidR="00986EA2" w:rsidRPr="00787A69">
              <w:t>7</w:t>
            </w:r>
          </w:p>
        </w:tc>
        <w:tc>
          <w:tcPr>
            <w:tcW w:w="2970" w:type="dxa"/>
          </w:tcPr>
          <w:p w14:paraId="54112E2A" w14:textId="7B73D0A6" w:rsidR="00FB17E9" w:rsidRPr="00787A69" w:rsidRDefault="00FB17E9" w:rsidP="0024418A">
            <w:pPr>
              <w:pStyle w:val="ExhibitText"/>
              <w:keepNext/>
            </w:pPr>
            <w:r w:rsidRPr="00787A69">
              <w:t>Develop</w:t>
            </w:r>
            <w:r w:rsidR="00986EA2" w:rsidRPr="00787A69">
              <w:t xml:space="preserve"> and refine</w:t>
            </w:r>
            <w:r w:rsidRPr="00787A69">
              <w:t xml:space="preserve"> surveys</w:t>
            </w:r>
          </w:p>
        </w:tc>
        <w:tc>
          <w:tcPr>
            <w:tcW w:w="3438" w:type="dxa"/>
          </w:tcPr>
          <w:p w14:paraId="39F628FB" w14:textId="7E768589" w:rsidR="00986EA2" w:rsidRPr="00787A69" w:rsidRDefault="00986EA2" w:rsidP="00F64AE9">
            <w:pPr>
              <w:pStyle w:val="ExhibitText"/>
              <w:keepNext/>
              <w:numPr>
                <w:ilvl w:val="0"/>
                <w:numId w:val="27"/>
              </w:numPr>
              <w:ind w:left="194" w:hanging="194"/>
            </w:pPr>
            <w:r w:rsidRPr="00787A69">
              <w:t xml:space="preserve">Conduct “listening sessions” with key FMLA stakeholders </w:t>
            </w:r>
          </w:p>
          <w:p w14:paraId="3224F6AC" w14:textId="40AB15F7" w:rsidR="00FB17E9" w:rsidRPr="00787A69" w:rsidRDefault="00986EA2" w:rsidP="00F64AE9">
            <w:pPr>
              <w:pStyle w:val="ExhibitText"/>
              <w:keepNext/>
              <w:numPr>
                <w:ilvl w:val="0"/>
                <w:numId w:val="27"/>
              </w:numPr>
              <w:ind w:left="194" w:hanging="194"/>
            </w:pPr>
            <w:r w:rsidRPr="00787A69">
              <w:t>Consult with TWG  to gather feedback and refine surveys</w:t>
            </w:r>
          </w:p>
        </w:tc>
      </w:tr>
      <w:tr w:rsidR="00986EA2" w:rsidRPr="00787A69" w14:paraId="3FECD23D" w14:textId="77777777" w:rsidTr="0024418A">
        <w:trPr>
          <w:cnfStyle w:val="000000010000" w:firstRow="0" w:lastRow="0" w:firstColumn="0" w:lastColumn="0" w:oddVBand="0" w:evenVBand="0" w:oddHBand="0" w:evenHBand="1" w:firstRowFirstColumn="0" w:firstRowLastColumn="0" w:lastRowFirstColumn="0" w:lastRowLastColumn="0"/>
          <w:cantSplit/>
        </w:trPr>
        <w:tc>
          <w:tcPr>
            <w:tcW w:w="2808" w:type="dxa"/>
          </w:tcPr>
          <w:p w14:paraId="2BAF899F" w14:textId="340589B3" w:rsidR="00986EA2" w:rsidRPr="00787A69" w:rsidRDefault="00986EA2" w:rsidP="0024418A">
            <w:pPr>
              <w:pStyle w:val="ExhibitText"/>
              <w:keepNext/>
            </w:pPr>
            <w:r w:rsidRPr="00787A69">
              <w:t>February –</w:t>
            </w:r>
            <w:r w:rsidR="00FC4A43" w:rsidRPr="00787A69">
              <w:t xml:space="preserve"> </w:t>
            </w:r>
            <w:r w:rsidRPr="00787A69">
              <w:t>March 2017</w:t>
            </w:r>
          </w:p>
        </w:tc>
        <w:tc>
          <w:tcPr>
            <w:tcW w:w="2970" w:type="dxa"/>
          </w:tcPr>
          <w:p w14:paraId="083F6E2F" w14:textId="2D2812C5" w:rsidR="00986EA2" w:rsidRPr="00787A69" w:rsidRDefault="00986EA2" w:rsidP="00D60E38">
            <w:pPr>
              <w:pStyle w:val="ExhibitText"/>
              <w:keepNext/>
            </w:pPr>
            <w:r w:rsidRPr="00787A69">
              <w:t xml:space="preserve">Cognitive testing of surveys </w:t>
            </w:r>
          </w:p>
        </w:tc>
        <w:tc>
          <w:tcPr>
            <w:tcW w:w="3438" w:type="dxa"/>
          </w:tcPr>
          <w:p w14:paraId="0472B740" w14:textId="77777777" w:rsidR="00986EA2" w:rsidRPr="00787A69" w:rsidRDefault="00986EA2" w:rsidP="0024418A">
            <w:pPr>
              <w:pStyle w:val="ExhibitText"/>
              <w:keepNext/>
            </w:pPr>
          </w:p>
        </w:tc>
      </w:tr>
      <w:tr w:rsidR="00986EA2" w:rsidRPr="00787A69" w14:paraId="058221B8" w14:textId="77777777" w:rsidTr="0024418A">
        <w:trPr>
          <w:cantSplit/>
        </w:trPr>
        <w:tc>
          <w:tcPr>
            <w:tcW w:w="2808" w:type="dxa"/>
          </w:tcPr>
          <w:p w14:paraId="1B45C925" w14:textId="2CDBCAC4" w:rsidR="00986EA2" w:rsidRPr="00787A69" w:rsidRDefault="009205AA" w:rsidP="0024418A">
            <w:pPr>
              <w:pStyle w:val="ExhibitText"/>
              <w:keepNext/>
            </w:pPr>
            <w:r w:rsidRPr="00787A69">
              <w:t>April</w:t>
            </w:r>
            <w:r w:rsidR="00986EA2" w:rsidRPr="00787A69">
              <w:t xml:space="preserve"> </w:t>
            </w:r>
            <w:r w:rsidR="00FC4A43" w:rsidRPr="00787A69">
              <w:t xml:space="preserve">– </w:t>
            </w:r>
            <w:r w:rsidR="00986EA2" w:rsidRPr="00787A69">
              <w:t>October 2017</w:t>
            </w:r>
          </w:p>
        </w:tc>
        <w:tc>
          <w:tcPr>
            <w:tcW w:w="2970" w:type="dxa"/>
          </w:tcPr>
          <w:p w14:paraId="5F4243B1" w14:textId="44D3B8EF" w:rsidR="00986EA2" w:rsidRPr="00787A69" w:rsidRDefault="00986EA2" w:rsidP="00986EA2">
            <w:pPr>
              <w:pStyle w:val="ExhibitText"/>
              <w:keepNext/>
            </w:pPr>
            <w:r w:rsidRPr="00787A69">
              <w:t>Office of Management and Budget (OMB) package under review</w:t>
            </w:r>
          </w:p>
        </w:tc>
        <w:tc>
          <w:tcPr>
            <w:tcW w:w="3438" w:type="dxa"/>
          </w:tcPr>
          <w:p w14:paraId="0C2BC06F" w14:textId="77777777" w:rsidR="00986EA2" w:rsidRPr="00787A69" w:rsidRDefault="00986EA2" w:rsidP="0024418A">
            <w:pPr>
              <w:pStyle w:val="ExhibitText"/>
              <w:keepNext/>
            </w:pPr>
          </w:p>
        </w:tc>
      </w:tr>
      <w:tr w:rsidR="00A3019A" w:rsidRPr="00787A69" w14:paraId="71CF93A5" w14:textId="77777777" w:rsidTr="0024418A">
        <w:trPr>
          <w:cnfStyle w:val="000000010000" w:firstRow="0" w:lastRow="0" w:firstColumn="0" w:lastColumn="0" w:oddVBand="0" w:evenVBand="0" w:oddHBand="0" w:evenHBand="1" w:firstRowFirstColumn="0" w:firstRowLastColumn="0" w:lastRowFirstColumn="0" w:lastRowLastColumn="0"/>
          <w:cantSplit/>
        </w:trPr>
        <w:tc>
          <w:tcPr>
            <w:tcW w:w="2808" w:type="dxa"/>
          </w:tcPr>
          <w:p w14:paraId="19DB99E5" w14:textId="77777777" w:rsidR="00A3019A" w:rsidRPr="00787A69" w:rsidRDefault="00A3019A" w:rsidP="0024418A">
            <w:pPr>
              <w:pStyle w:val="ExhibitText"/>
              <w:keepNext/>
            </w:pPr>
            <w:r w:rsidRPr="00787A69">
              <w:t>November 2017 – April 2018</w:t>
            </w:r>
          </w:p>
        </w:tc>
        <w:tc>
          <w:tcPr>
            <w:tcW w:w="2970" w:type="dxa"/>
          </w:tcPr>
          <w:p w14:paraId="18ABAF40" w14:textId="77777777" w:rsidR="00A3019A" w:rsidRPr="00787A69" w:rsidRDefault="00A3019A" w:rsidP="0024418A">
            <w:pPr>
              <w:pStyle w:val="ExhibitText"/>
              <w:keepNext/>
            </w:pPr>
            <w:r w:rsidRPr="00787A69">
              <w:t>Field surveys</w:t>
            </w:r>
            <w:r w:rsidR="0088777E" w:rsidRPr="00787A69">
              <w:t xml:space="preserve"> (assuming OMB clearance obtained by October 31, 2017)</w:t>
            </w:r>
          </w:p>
        </w:tc>
        <w:tc>
          <w:tcPr>
            <w:tcW w:w="3438" w:type="dxa"/>
          </w:tcPr>
          <w:p w14:paraId="0D6EE18D" w14:textId="77777777" w:rsidR="00A3019A" w:rsidRPr="00787A69" w:rsidRDefault="00A3019A" w:rsidP="0024418A">
            <w:pPr>
              <w:pStyle w:val="ExhibitText"/>
              <w:keepNext/>
            </w:pPr>
          </w:p>
        </w:tc>
      </w:tr>
      <w:tr w:rsidR="00A3019A" w:rsidRPr="00787A69" w14:paraId="129F266E" w14:textId="77777777" w:rsidTr="0024418A">
        <w:trPr>
          <w:cantSplit/>
        </w:trPr>
        <w:tc>
          <w:tcPr>
            <w:tcW w:w="2808" w:type="dxa"/>
          </w:tcPr>
          <w:p w14:paraId="43600E56" w14:textId="77777777" w:rsidR="00A3019A" w:rsidRPr="00787A69" w:rsidRDefault="00A3019A" w:rsidP="0024418A">
            <w:pPr>
              <w:pStyle w:val="ExhibitText"/>
              <w:keepNext/>
            </w:pPr>
            <w:r w:rsidRPr="00787A69">
              <w:t>May 2018 – April 2019</w:t>
            </w:r>
          </w:p>
        </w:tc>
        <w:tc>
          <w:tcPr>
            <w:tcW w:w="2970" w:type="dxa"/>
          </w:tcPr>
          <w:p w14:paraId="5712DA93" w14:textId="77777777" w:rsidR="00A3019A" w:rsidRPr="00787A69" w:rsidRDefault="00A3019A" w:rsidP="0024418A">
            <w:pPr>
              <w:pStyle w:val="ExhibitText"/>
              <w:keepNext/>
            </w:pPr>
            <w:r w:rsidRPr="00787A69">
              <w:t>Prepare findings</w:t>
            </w:r>
          </w:p>
        </w:tc>
        <w:tc>
          <w:tcPr>
            <w:tcW w:w="3438" w:type="dxa"/>
          </w:tcPr>
          <w:p w14:paraId="0958115F" w14:textId="77777777" w:rsidR="00A3019A" w:rsidRPr="00787A69" w:rsidRDefault="00A3019A" w:rsidP="0024418A">
            <w:pPr>
              <w:pStyle w:val="ExhibitText"/>
              <w:keepNext/>
            </w:pPr>
          </w:p>
        </w:tc>
      </w:tr>
      <w:tr w:rsidR="00A3019A" w:rsidRPr="00787A69" w14:paraId="237AD25D" w14:textId="77777777" w:rsidTr="0024418A">
        <w:trPr>
          <w:cnfStyle w:val="000000010000" w:firstRow="0" w:lastRow="0" w:firstColumn="0" w:lastColumn="0" w:oddVBand="0" w:evenVBand="0" w:oddHBand="0" w:evenHBand="1" w:firstRowFirstColumn="0" w:firstRowLastColumn="0" w:lastRowFirstColumn="0" w:lastRowLastColumn="0"/>
          <w:cantSplit/>
        </w:trPr>
        <w:tc>
          <w:tcPr>
            <w:tcW w:w="2808" w:type="dxa"/>
          </w:tcPr>
          <w:p w14:paraId="7E921749" w14:textId="77777777" w:rsidR="00A3019A" w:rsidRPr="00787A69" w:rsidRDefault="00A3019A" w:rsidP="0024418A">
            <w:pPr>
              <w:pStyle w:val="ExhibitText"/>
            </w:pPr>
            <w:r w:rsidRPr="00787A69">
              <w:t>April – August 2019</w:t>
            </w:r>
          </w:p>
        </w:tc>
        <w:tc>
          <w:tcPr>
            <w:tcW w:w="2970" w:type="dxa"/>
          </w:tcPr>
          <w:p w14:paraId="459436BE" w14:textId="77777777" w:rsidR="00A3019A" w:rsidRPr="00787A69" w:rsidRDefault="00A3019A" w:rsidP="0024418A">
            <w:pPr>
              <w:pStyle w:val="ExhibitText"/>
            </w:pPr>
            <w:r w:rsidRPr="00787A69">
              <w:t>Disseminate findings</w:t>
            </w:r>
          </w:p>
        </w:tc>
        <w:tc>
          <w:tcPr>
            <w:tcW w:w="3438" w:type="dxa"/>
          </w:tcPr>
          <w:p w14:paraId="6204EE2A" w14:textId="11BDB342" w:rsidR="00A3019A" w:rsidRPr="00787A69" w:rsidRDefault="00A3019A" w:rsidP="0024418A">
            <w:pPr>
              <w:pStyle w:val="ExhibitBullet1"/>
            </w:pPr>
            <w:r w:rsidRPr="00787A69">
              <w:t xml:space="preserve">Report on survey findings (June 2019 </w:t>
            </w:r>
            <w:r w:rsidR="0009560B" w:rsidRPr="00787A69">
              <w:t>draft</w:t>
            </w:r>
            <w:r w:rsidRPr="00787A69">
              <w:t xml:space="preserve">, August 2019 </w:t>
            </w:r>
            <w:r w:rsidR="0009560B" w:rsidRPr="00787A69">
              <w:t>final</w:t>
            </w:r>
            <w:r w:rsidRPr="00787A69">
              <w:t>)</w:t>
            </w:r>
          </w:p>
          <w:p w14:paraId="7231A49C" w14:textId="77777777" w:rsidR="00A3019A" w:rsidRPr="00787A69" w:rsidRDefault="00A3019A" w:rsidP="0024418A">
            <w:pPr>
              <w:pStyle w:val="ExhibitBullet1"/>
            </w:pPr>
            <w:r w:rsidRPr="00787A69">
              <w:t>Write 3 policy briefs</w:t>
            </w:r>
          </w:p>
          <w:p w14:paraId="7584EF54" w14:textId="77777777" w:rsidR="00A3019A" w:rsidRPr="00787A69" w:rsidRDefault="00A3019A" w:rsidP="0024418A">
            <w:pPr>
              <w:pStyle w:val="ExhibitBullet1"/>
            </w:pPr>
            <w:r w:rsidRPr="00787A69">
              <w:t>Draft scholarly journal article (first draft)</w:t>
            </w:r>
          </w:p>
          <w:p w14:paraId="07DE50B2" w14:textId="77777777" w:rsidR="00A3019A" w:rsidRPr="00787A69" w:rsidRDefault="00A3019A" w:rsidP="0024418A">
            <w:pPr>
              <w:pStyle w:val="ExhibitBullet1"/>
            </w:pPr>
            <w:r w:rsidRPr="00787A69">
              <w:t xml:space="preserve">Brief DOL and the public </w:t>
            </w:r>
          </w:p>
          <w:p w14:paraId="76CA74C8" w14:textId="77777777" w:rsidR="00A3019A" w:rsidRPr="00787A69" w:rsidRDefault="00A3019A" w:rsidP="0024418A">
            <w:pPr>
              <w:pStyle w:val="ExhibitBullet1"/>
            </w:pPr>
            <w:r w:rsidRPr="00787A69">
              <w:t>Create public use data file</w:t>
            </w:r>
          </w:p>
          <w:p w14:paraId="4FEF1EBB" w14:textId="77777777" w:rsidR="00A3019A" w:rsidRPr="00787A69" w:rsidRDefault="00A3019A" w:rsidP="0024418A">
            <w:pPr>
              <w:pStyle w:val="ExhibitBullet1"/>
            </w:pPr>
            <w:r w:rsidRPr="00787A69">
              <w:t>Conduct public help session on using the public use data file</w:t>
            </w:r>
          </w:p>
        </w:tc>
      </w:tr>
    </w:tbl>
    <w:p w14:paraId="39E4F8E0" w14:textId="77777777" w:rsidR="00DB276B" w:rsidRPr="00787A69" w:rsidRDefault="00DB276B" w:rsidP="00C337DA">
      <w:pPr>
        <w:pStyle w:val="BodyText"/>
      </w:pPr>
    </w:p>
    <w:p w14:paraId="202C80F8" w14:textId="6C65AE04" w:rsidR="00C337DA" w:rsidRPr="00787A69" w:rsidRDefault="0024418A" w:rsidP="00C337DA">
      <w:pPr>
        <w:pStyle w:val="Heading2"/>
        <w:numPr>
          <w:ilvl w:val="0"/>
          <w:numId w:val="0"/>
        </w:numPr>
        <w:ind w:left="720" w:hanging="720"/>
      </w:pPr>
      <w:bookmarkStart w:id="36" w:name="_Toc486315540"/>
      <w:r w:rsidRPr="00787A69">
        <w:t>A</w:t>
      </w:r>
      <w:r w:rsidR="00A72D77" w:rsidRPr="00787A69">
        <w:t>.</w:t>
      </w:r>
      <w:r w:rsidRPr="00787A69">
        <w:t>17.</w:t>
      </w:r>
      <w:r w:rsidRPr="00787A69">
        <w:tab/>
      </w:r>
      <w:r w:rsidR="00C337DA" w:rsidRPr="00787A69">
        <w:t>Reasons Not to Display OMB Expiration Date</w:t>
      </w:r>
      <w:bookmarkEnd w:id="36"/>
    </w:p>
    <w:p w14:paraId="665C6A88" w14:textId="77777777" w:rsidR="00C337DA" w:rsidRPr="00787A69" w:rsidRDefault="00934F45" w:rsidP="00C337DA">
      <w:pPr>
        <w:pStyle w:val="BodyText"/>
      </w:pPr>
      <w:r w:rsidRPr="00787A69">
        <w:t>All instruments will display the expiration date for OMB approval.</w:t>
      </w:r>
    </w:p>
    <w:p w14:paraId="026FC557" w14:textId="13D1C40B" w:rsidR="00C337DA" w:rsidRPr="00787A69" w:rsidRDefault="0024418A" w:rsidP="00C337DA">
      <w:pPr>
        <w:pStyle w:val="Heading2"/>
        <w:numPr>
          <w:ilvl w:val="0"/>
          <w:numId w:val="0"/>
        </w:numPr>
        <w:ind w:left="720" w:hanging="720"/>
      </w:pPr>
      <w:bookmarkStart w:id="37" w:name="_Toc486315541"/>
      <w:r w:rsidRPr="00787A69">
        <w:t>A</w:t>
      </w:r>
      <w:r w:rsidR="00A72D77" w:rsidRPr="00787A69">
        <w:t>.</w:t>
      </w:r>
      <w:r w:rsidRPr="00787A69">
        <w:t>18.</w:t>
      </w:r>
      <w:r w:rsidRPr="00787A69">
        <w:tab/>
      </w:r>
      <w:r w:rsidR="00C337DA" w:rsidRPr="00787A69">
        <w:t>Exceptions of Certification for Paperwork Reduction Act Submissions</w:t>
      </w:r>
      <w:bookmarkEnd w:id="37"/>
    </w:p>
    <w:p w14:paraId="3265A449" w14:textId="77777777" w:rsidR="004138AB" w:rsidRPr="00787A69" w:rsidRDefault="00934F45" w:rsidP="00934F45">
      <w:pPr>
        <w:pStyle w:val="BodyText"/>
        <w:rPr>
          <w:szCs w:val="22"/>
        </w:rPr>
      </w:pPr>
      <w:r w:rsidRPr="00787A69">
        <w:rPr>
          <w:szCs w:val="22"/>
        </w:rPr>
        <w:t>No exceptions are necessary for this information collection</w:t>
      </w:r>
    </w:p>
    <w:p w14:paraId="465CB0F4" w14:textId="77777777" w:rsidR="004138AB" w:rsidRPr="00787A69" w:rsidRDefault="004138AB">
      <w:pPr>
        <w:spacing w:after="0" w:line="240" w:lineRule="auto"/>
        <w:rPr>
          <w:szCs w:val="22"/>
        </w:rPr>
      </w:pPr>
      <w:r w:rsidRPr="00787A69">
        <w:rPr>
          <w:szCs w:val="22"/>
        </w:rPr>
        <w:br w:type="page"/>
      </w:r>
    </w:p>
    <w:p w14:paraId="30FD5289" w14:textId="404D13BB" w:rsidR="00453FE3" w:rsidRPr="00787A69" w:rsidRDefault="004138AB" w:rsidP="004138AB">
      <w:pPr>
        <w:pStyle w:val="Heading2"/>
        <w:numPr>
          <w:ilvl w:val="0"/>
          <w:numId w:val="0"/>
        </w:numPr>
      </w:pPr>
      <w:bookmarkStart w:id="38" w:name="_Toc486315542"/>
      <w:r w:rsidRPr="00787A69">
        <w:t>R</w:t>
      </w:r>
      <w:r w:rsidR="001E71CF" w:rsidRPr="00787A69">
        <w:t>eferences</w:t>
      </w:r>
      <w:bookmarkEnd w:id="38"/>
    </w:p>
    <w:p w14:paraId="16F1FE27" w14:textId="3E4AB499" w:rsidR="000F4A10" w:rsidRPr="00787A69" w:rsidRDefault="000F4A10" w:rsidP="009D588E">
      <w:pPr>
        <w:rPr>
          <w:szCs w:val="22"/>
        </w:rPr>
      </w:pPr>
      <w:r w:rsidRPr="00787A69">
        <w:rPr>
          <w:szCs w:val="22"/>
        </w:rPr>
        <w:t xml:space="preserve">Baker, Kellan E., and Margaret Hughes. 2016. “Sexual Orientation and Gender Identity Data collection in the Behavioral Risk Factor Surveillance System.” Washington, DC: Center for American Progress. </w:t>
      </w:r>
    </w:p>
    <w:p w14:paraId="015412BD" w14:textId="2D441A0F" w:rsidR="009D588E" w:rsidRPr="00787A69" w:rsidRDefault="009D588E" w:rsidP="009D588E">
      <w:pPr>
        <w:rPr>
          <w:szCs w:val="22"/>
        </w:rPr>
      </w:pPr>
      <w:r w:rsidRPr="00787A69">
        <w:rPr>
          <w:szCs w:val="22"/>
        </w:rPr>
        <w:t>Cantor, D</w:t>
      </w:r>
      <w:r w:rsidR="005D24CE" w:rsidRPr="00787A69">
        <w:rPr>
          <w:szCs w:val="22"/>
        </w:rPr>
        <w:t>avid, Patricia Cunningham, and Pamela Giambo.</w:t>
      </w:r>
      <w:r w:rsidR="005D1C2A" w:rsidRPr="00787A69">
        <w:rPr>
          <w:szCs w:val="22"/>
        </w:rPr>
        <w:t xml:space="preserve"> </w:t>
      </w:r>
      <w:r w:rsidRPr="00787A69">
        <w:rPr>
          <w:szCs w:val="22"/>
        </w:rPr>
        <w:t xml:space="preserve">1998. “Testing the Effects of a Pre-Paid Incentive and Express Delivery to Increase Response Rates on a Random Digit Dial Telephone Survey.” Paper presented at the Annual Meeting of the American Association for Public Opinion Research, St. Louis, MO. </w:t>
      </w:r>
    </w:p>
    <w:p w14:paraId="115F7C48" w14:textId="77777777" w:rsidR="009A0CD2" w:rsidRPr="00787A69" w:rsidRDefault="00186223" w:rsidP="00186223">
      <w:pPr>
        <w:pStyle w:val="Bibliography"/>
      </w:pPr>
      <w:r w:rsidRPr="00787A69">
        <w:rPr>
          <w:rFonts w:eastAsiaTheme="minorHAnsi"/>
        </w:rPr>
        <w:t>Cantor</w:t>
      </w:r>
      <w:r w:rsidRPr="00787A69">
        <w:t xml:space="preserve">, David, Jane Waldfogel, Jeffrey Kerwin, Mareena McKinley Wright, Kerry Levin, John Rauch, Tracey Hagerty, and Martha Stapleton Kudela. 2001. </w:t>
      </w:r>
      <w:r w:rsidRPr="00787A69">
        <w:rPr>
          <w:i/>
        </w:rPr>
        <w:t>Balancing the Needs of Families and Employers: Family and Medical Leave Surveys, 2000 Update.</w:t>
      </w:r>
      <w:r w:rsidRPr="00787A69">
        <w:t xml:space="preserve"> Rockville, MD: Westat. </w:t>
      </w:r>
    </w:p>
    <w:p w14:paraId="0CF6FE53" w14:textId="3ECF8A5D" w:rsidR="00A039B0" w:rsidRPr="00787A69" w:rsidRDefault="00A039B0" w:rsidP="00F86F23">
      <w:pPr>
        <w:rPr>
          <w:szCs w:val="22"/>
        </w:rPr>
      </w:pPr>
      <w:r w:rsidRPr="00787A69">
        <w:rPr>
          <w:szCs w:val="22"/>
        </w:rPr>
        <w:t>Cantor, D., Cunningham, P., Triplett, T., and Steinbach, R.</w:t>
      </w:r>
      <w:r w:rsidR="00673F76" w:rsidRPr="00787A69">
        <w:rPr>
          <w:szCs w:val="22"/>
        </w:rPr>
        <w:t xml:space="preserve"> </w:t>
      </w:r>
      <w:r w:rsidRPr="00787A69">
        <w:rPr>
          <w:szCs w:val="22"/>
        </w:rPr>
        <w:t>2003.</w:t>
      </w:r>
      <w:r w:rsidR="00673F76" w:rsidRPr="00787A69">
        <w:rPr>
          <w:szCs w:val="22"/>
        </w:rPr>
        <w:t xml:space="preserve"> </w:t>
      </w:r>
      <w:r w:rsidRPr="00787A69">
        <w:rPr>
          <w:szCs w:val="22"/>
        </w:rPr>
        <w:t>“Comparing Incentives at Initial and Refusal Conversion Stages on a Screening Interview for a Random Digit Dial Survey.”</w:t>
      </w:r>
      <w:r w:rsidR="00673F76" w:rsidRPr="00787A69">
        <w:rPr>
          <w:szCs w:val="22"/>
        </w:rPr>
        <w:t xml:space="preserve"> </w:t>
      </w:r>
      <w:r w:rsidRPr="00787A69">
        <w:rPr>
          <w:szCs w:val="22"/>
        </w:rPr>
        <w:t>Paper presented at the Annual Meeting of the American Association for Public Opinion Research,</w:t>
      </w:r>
      <w:r w:rsidR="00673F76" w:rsidRPr="00787A69">
        <w:rPr>
          <w:szCs w:val="22"/>
        </w:rPr>
        <w:t xml:space="preserve"> </w:t>
      </w:r>
      <w:r w:rsidRPr="00787A69">
        <w:rPr>
          <w:szCs w:val="22"/>
        </w:rPr>
        <w:t xml:space="preserve">Nashville, TN. </w:t>
      </w:r>
    </w:p>
    <w:p w14:paraId="172FA2A9" w14:textId="42B4339A" w:rsidR="00F86F23" w:rsidRPr="00787A69" w:rsidRDefault="00F86F23" w:rsidP="00F86F23">
      <w:pPr>
        <w:rPr>
          <w:szCs w:val="22"/>
        </w:rPr>
      </w:pPr>
      <w:r w:rsidRPr="00787A69">
        <w:rPr>
          <w:szCs w:val="22"/>
        </w:rPr>
        <w:t>Cantor, D</w:t>
      </w:r>
      <w:r w:rsidR="005D24CE" w:rsidRPr="00787A69">
        <w:rPr>
          <w:szCs w:val="22"/>
        </w:rPr>
        <w:t>avid</w:t>
      </w:r>
      <w:r w:rsidRPr="00787A69">
        <w:rPr>
          <w:szCs w:val="22"/>
        </w:rPr>
        <w:t>,</w:t>
      </w:r>
      <w:r w:rsidR="005D24CE" w:rsidRPr="00787A69">
        <w:rPr>
          <w:szCs w:val="22"/>
        </w:rPr>
        <w:t xml:space="preserve"> Barbara</w:t>
      </w:r>
      <w:r w:rsidRPr="00787A69">
        <w:rPr>
          <w:szCs w:val="22"/>
        </w:rPr>
        <w:t xml:space="preserve"> O'Hare, and </w:t>
      </w:r>
      <w:r w:rsidR="005D24CE" w:rsidRPr="00787A69">
        <w:rPr>
          <w:szCs w:val="22"/>
        </w:rPr>
        <w:t xml:space="preserve">Kathleen </w:t>
      </w:r>
      <w:r w:rsidRPr="00787A69">
        <w:rPr>
          <w:szCs w:val="22"/>
        </w:rPr>
        <w:t xml:space="preserve">O'Connor. </w:t>
      </w:r>
      <w:r w:rsidR="005D24CE" w:rsidRPr="00787A69">
        <w:rPr>
          <w:szCs w:val="22"/>
        </w:rPr>
        <w:t xml:space="preserve">2007. </w:t>
      </w:r>
      <w:r w:rsidRPr="00787A69">
        <w:rPr>
          <w:szCs w:val="22"/>
        </w:rPr>
        <w:t>“The Use of Monetary Incentives to Reduce Nonresponse in Random Digit Dial Telephone Surveys</w:t>
      </w:r>
      <w:r w:rsidR="007906E8" w:rsidRPr="00787A69">
        <w:rPr>
          <w:szCs w:val="22"/>
        </w:rPr>
        <w:t>.</w:t>
      </w:r>
      <w:r w:rsidRPr="00787A69">
        <w:rPr>
          <w:szCs w:val="22"/>
        </w:rPr>
        <w:t xml:space="preserve">” </w:t>
      </w:r>
      <w:r w:rsidR="007906E8" w:rsidRPr="00787A69">
        <w:rPr>
          <w:szCs w:val="22"/>
        </w:rPr>
        <w:t>I</w:t>
      </w:r>
      <w:r w:rsidRPr="00787A69">
        <w:rPr>
          <w:szCs w:val="22"/>
        </w:rPr>
        <w:t xml:space="preserve">n </w:t>
      </w:r>
      <w:r w:rsidRPr="00787A69">
        <w:rPr>
          <w:i/>
          <w:szCs w:val="22"/>
        </w:rPr>
        <w:t>Advances in Telephone Survey Methodology</w:t>
      </w:r>
      <w:r w:rsidR="007906E8" w:rsidRPr="00787A69">
        <w:rPr>
          <w:szCs w:val="22"/>
        </w:rPr>
        <w:t>, edited by James M. Lepkowski, Clyde Tucker, J. Michael Brick, Edith D. De Leeuw, Lilli Japec, Paul J. Lavrakas, Michael W. Link, and Roberta L. Sangster</w:t>
      </w:r>
      <w:r w:rsidR="00673F76" w:rsidRPr="00787A69">
        <w:rPr>
          <w:szCs w:val="22"/>
        </w:rPr>
        <w:t>, 471–498</w:t>
      </w:r>
      <w:r w:rsidR="005D24CE" w:rsidRPr="00787A69">
        <w:rPr>
          <w:szCs w:val="22"/>
        </w:rPr>
        <w:t>. New York: Wiley.</w:t>
      </w:r>
    </w:p>
    <w:p w14:paraId="1BE3119A" w14:textId="6A297B19" w:rsidR="002A1C6A" w:rsidRPr="00787A69" w:rsidRDefault="002A1C6A" w:rsidP="00673F76">
      <w:pPr>
        <w:pStyle w:val="Bibliography"/>
      </w:pPr>
      <w:r w:rsidRPr="00787A69">
        <w:t xml:space="preserve">Daley, Kelly, Stas Kolenikov, Marci Schalk, Mehera Baugher, Julie Pacer, Jacob Klerman, and Lauren Dunton. 2016. </w:t>
      </w:r>
      <w:r w:rsidRPr="00787A69">
        <w:rPr>
          <w:i/>
        </w:rPr>
        <w:t xml:space="preserve">Worker Classification Knowledge Survey: Volume II – Methodology Report. </w:t>
      </w:r>
      <w:r w:rsidRPr="00787A69">
        <w:t xml:space="preserve">Cambridge, MA: Abt Associates. </w:t>
      </w:r>
    </w:p>
    <w:p w14:paraId="48437674" w14:textId="77777777" w:rsidR="00673F76" w:rsidRPr="00787A69" w:rsidRDefault="00673F76" w:rsidP="00673F76">
      <w:pPr>
        <w:pStyle w:val="Bibliography"/>
        <w:rPr>
          <w:rStyle w:val="Hyperlink"/>
          <w:szCs w:val="22"/>
        </w:rPr>
      </w:pPr>
      <w:r w:rsidRPr="00787A69">
        <w:t xml:space="preserve">DOL (U.S. Department of Labor, Commission on Leave). 1996. </w:t>
      </w:r>
      <w:r w:rsidRPr="00787A69">
        <w:rPr>
          <w:i/>
        </w:rPr>
        <w:t>A Workable Balance; Report to Congress on Family and Medical Leave Policies.</w:t>
      </w:r>
      <w:r w:rsidRPr="00787A69">
        <w:t xml:space="preserve"> Washington, DC: U.S. Department of Labor. </w:t>
      </w:r>
      <w:hyperlink r:id="rId18" w:history="1">
        <w:r w:rsidRPr="00787A69">
          <w:rPr>
            <w:rStyle w:val="Hyperlink"/>
            <w:szCs w:val="22"/>
          </w:rPr>
          <w:t>https://www.dol.gov/whd/fmla/1995Report/family.htm</w:t>
        </w:r>
      </w:hyperlink>
    </w:p>
    <w:p w14:paraId="197FFDD5" w14:textId="77777777" w:rsidR="00356BCC" w:rsidRPr="00787A69" w:rsidRDefault="00356BCC" w:rsidP="00356BCC">
      <w:pPr>
        <w:pStyle w:val="Bibliography"/>
      </w:pPr>
      <w:r w:rsidRPr="00787A69">
        <w:rPr>
          <w:rFonts w:eastAsiaTheme="minorHAnsi"/>
        </w:rPr>
        <w:t xml:space="preserve">Klerman, </w:t>
      </w:r>
      <w:r w:rsidRPr="00787A69">
        <w:t xml:space="preserve">Jacob, Kelly </w:t>
      </w:r>
      <w:r w:rsidRPr="00787A69">
        <w:rPr>
          <w:rFonts w:eastAsiaTheme="minorHAnsi"/>
        </w:rPr>
        <w:t xml:space="preserve">Daley, and </w:t>
      </w:r>
      <w:r w:rsidRPr="00787A69">
        <w:t xml:space="preserve">Alyssa </w:t>
      </w:r>
      <w:r w:rsidRPr="00787A69">
        <w:rPr>
          <w:rFonts w:eastAsiaTheme="minorHAnsi"/>
        </w:rPr>
        <w:t>Pozniak</w:t>
      </w:r>
      <w:r w:rsidRPr="00787A69">
        <w:t>.</w:t>
      </w:r>
      <w:r w:rsidRPr="00787A69">
        <w:rPr>
          <w:rFonts w:eastAsiaTheme="minorHAnsi"/>
        </w:rPr>
        <w:t xml:space="preserve"> </w:t>
      </w:r>
      <w:r w:rsidRPr="00787A69">
        <w:t xml:space="preserve">2013. </w:t>
      </w:r>
      <w:r w:rsidRPr="00787A69">
        <w:rPr>
          <w:i/>
        </w:rPr>
        <w:t>Family and Medical Leave in 2012: Technical Report.</w:t>
      </w:r>
      <w:r w:rsidRPr="00787A69">
        <w:t xml:space="preserve"> Cambridge, MA: Abt Associates. </w:t>
      </w:r>
    </w:p>
    <w:p w14:paraId="62F09DB4" w14:textId="2368FC86" w:rsidR="00114CD2" w:rsidRPr="00787A69" w:rsidRDefault="00114CD2" w:rsidP="00114CD2">
      <w:pPr>
        <w:rPr>
          <w:szCs w:val="22"/>
        </w:rPr>
      </w:pPr>
      <w:r w:rsidRPr="00787A69">
        <w:rPr>
          <w:szCs w:val="22"/>
        </w:rPr>
        <w:t>O’Hare, Barbara and Christina Frederick</w:t>
      </w:r>
      <w:r w:rsidR="00A03E6C" w:rsidRPr="00787A69">
        <w:rPr>
          <w:szCs w:val="22"/>
        </w:rPr>
        <w:t xml:space="preserve">. 2003. </w:t>
      </w:r>
      <w:r w:rsidRPr="00787A69">
        <w:rPr>
          <w:szCs w:val="22"/>
        </w:rPr>
        <w:t>“The Effect of a Pre-</w:t>
      </w:r>
      <w:r w:rsidR="003D065C" w:rsidRPr="00787A69">
        <w:rPr>
          <w:szCs w:val="22"/>
        </w:rPr>
        <w:t xml:space="preserve">Paid </w:t>
      </w:r>
      <w:r w:rsidRPr="00787A69">
        <w:rPr>
          <w:szCs w:val="22"/>
        </w:rPr>
        <w:t>and Promised Incentive on Response Rate</w:t>
      </w:r>
      <w:r w:rsidR="003D065C" w:rsidRPr="00787A69">
        <w:rPr>
          <w:szCs w:val="22"/>
        </w:rPr>
        <w:t>.</w:t>
      </w:r>
      <w:r w:rsidRPr="00787A69">
        <w:rPr>
          <w:szCs w:val="22"/>
        </w:rPr>
        <w:t xml:space="preserve">” Paper presented at the Annual Meeting of the American Association for Public Opinion Research, Nashville, TN. </w:t>
      </w:r>
    </w:p>
    <w:p w14:paraId="43DEEE4A" w14:textId="2E949804" w:rsidR="00006617" w:rsidRPr="00787A69" w:rsidRDefault="00006617" w:rsidP="00006617">
      <w:pPr>
        <w:rPr>
          <w:szCs w:val="22"/>
        </w:rPr>
      </w:pPr>
      <w:r w:rsidRPr="00787A69">
        <w:t xml:space="preserve">Peytchev, Andy, Rodney K. Baxter, and Lisa R. Carley-Baxter. </w:t>
      </w:r>
      <w:r w:rsidRPr="00787A69">
        <w:rPr>
          <w:szCs w:val="22"/>
        </w:rPr>
        <w:t xml:space="preserve">2009. “Not </w:t>
      </w:r>
      <w:r w:rsidR="003D065C" w:rsidRPr="00787A69">
        <w:rPr>
          <w:szCs w:val="22"/>
        </w:rPr>
        <w:t>All Survey Effort Is Equal: Reduction of Nonresponse Bias and Nonresponse Error.</w:t>
      </w:r>
      <w:r w:rsidRPr="00787A69">
        <w:rPr>
          <w:szCs w:val="22"/>
        </w:rPr>
        <w:t xml:space="preserve">” </w:t>
      </w:r>
      <w:r w:rsidRPr="00787A69">
        <w:rPr>
          <w:i/>
          <w:szCs w:val="22"/>
        </w:rPr>
        <w:t>Public Opinion Quarterly</w:t>
      </w:r>
      <w:r w:rsidR="003D065C" w:rsidRPr="00787A69">
        <w:rPr>
          <w:i/>
          <w:szCs w:val="22"/>
        </w:rPr>
        <w:t xml:space="preserve"> </w:t>
      </w:r>
      <w:r w:rsidR="003D065C" w:rsidRPr="00787A69">
        <w:rPr>
          <w:szCs w:val="22"/>
        </w:rPr>
        <w:t>17: 785–806.</w:t>
      </w:r>
      <w:r w:rsidRPr="00787A69">
        <w:rPr>
          <w:szCs w:val="22"/>
        </w:rPr>
        <w:t xml:space="preserve"> </w:t>
      </w:r>
      <w:r w:rsidRPr="00787A69">
        <w:rPr>
          <w:rStyle w:val="slug-doi-wrapper"/>
          <w:iCs/>
        </w:rPr>
        <w:t xml:space="preserve">doi: </w:t>
      </w:r>
      <w:r w:rsidRPr="00787A69">
        <w:rPr>
          <w:rStyle w:val="slug-doi"/>
          <w:iCs/>
        </w:rPr>
        <w:t>10.1093/poq/nfp03.</w:t>
      </w:r>
    </w:p>
    <w:p w14:paraId="5A6855F0" w14:textId="24B5DAD1" w:rsidR="00F86F23" w:rsidRPr="00787A69" w:rsidRDefault="00E91364" w:rsidP="00F86F23">
      <w:pPr>
        <w:rPr>
          <w:szCs w:val="22"/>
        </w:rPr>
      </w:pPr>
      <w:r w:rsidRPr="00787A69">
        <w:t>Singer, Eleanor, John Van Hoewyk, and Mary P. Maher</w:t>
      </w:r>
      <w:r w:rsidR="00F86F23" w:rsidRPr="00787A69">
        <w:rPr>
          <w:szCs w:val="22"/>
        </w:rPr>
        <w:t>.</w:t>
      </w:r>
      <w:r w:rsidR="005D1C2A" w:rsidRPr="00787A69">
        <w:rPr>
          <w:szCs w:val="22"/>
        </w:rPr>
        <w:t xml:space="preserve"> </w:t>
      </w:r>
      <w:r w:rsidR="00F86F23" w:rsidRPr="00787A69">
        <w:rPr>
          <w:szCs w:val="22"/>
        </w:rPr>
        <w:t>2000.</w:t>
      </w:r>
      <w:r w:rsidR="005D1C2A" w:rsidRPr="00787A69">
        <w:rPr>
          <w:szCs w:val="22"/>
        </w:rPr>
        <w:t xml:space="preserve"> </w:t>
      </w:r>
      <w:r w:rsidR="00F86F23" w:rsidRPr="00787A69">
        <w:rPr>
          <w:szCs w:val="22"/>
        </w:rPr>
        <w:t>“Experiments with Incentives in Telephone Surveys.”</w:t>
      </w:r>
      <w:r w:rsidR="005D1C2A" w:rsidRPr="00787A69">
        <w:rPr>
          <w:szCs w:val="22"/>
        </w:rPr>
        <w:t xml:space="preserve"> </w:t>
      </w:r>
      <w:r w:rsidR="00F86F23" w:rsidRPr="00787A69">
        <w:rPr>
          <w:i/>
          <w:szCs w:val="22"/>
        </w:rPr>
        <w:t>Public Opinion Quarterly</w:t>
      </w:r>
      <w:r w:rsidR="00F86F23" w:rsidRPr="00787A69">
        <w:rPr>
          <w:szCs w:val="22"/>
        </w:rPr>
        <w:t xml:space="preserve"> 64:</w:t>
      </w:r>
      <w:r w:rsidR="003D065C" w:rsidRPr="00787A69">
        <w:rPr>
          <w:szCs w:val="22"/>
        </w:rPr>
        <w:t xml:space="preserve"> </w:t>
      </w:r>
      <w:r w:rsidR="00F86F23" w:rsidRPr="00787A69">
        <w:rPr>
          <w:szCs w:val="22"/>
        </w:rPr>
        <w:t>171</w:t>
      </w:r>
      <w:r w:rsidR="003D065C" w:rsidRPr="00787A69">
        <w:rPr>
          <w:szCs w:val="22"/>
        </w:rPr>
        <w:t>–</w:t>
      </w:r>
      <w:r w:rsidR="00F86F23" w:rsidRPr="00787A69">
        <w:rPr>
          <w:szCs w:val="22"/>
        </w:rPr>
        <w:t>188.</w:t>
      </w:r>
    </w:p>
    <w:p w14:paraId="7ECF81E6" w14:textId="3E37D76D" w:rsidR="00A039B0" w:rsidRPr="00787A69" w:rsidRDefault="00A039B0" w:rsidP="00A039B0">
      <w:pPr>
        <w:rPr>
          <w:szCs w:val="22"/>
        </w:rPr>
      </w:pPr>
      <w:r w:rsidRPr="00787A69">
        <w:rPr>
          <w:szCs w:val="22"/>
        </w:rPr>
        <w:t>Strouse, R. and Hall, J.</w:t>
      </w:r>
      <w:r w:rsidR="00673F76" w:rsidRPr="00787A69">
        <w:rPr>
          <w:szCs w:val="22"/>
        </w:rPr>
        <w:t xml:space="preserve"> </w:t>
      </w:r>
      <w:r w:rsidRPr="00787A69">
        <w:rPr>
          <w:szCs w:val="22"/>
        </w:rPr>
        <w:t>1997.</w:t>
      </w:r>
      <w:r w:rsidR="00673F76" w:rsidRPr="00787A69">
        <w:rPr>
          <w:szCs w:val="22"/>
        </w:rPr>
        <w:t xml:space="preserve"> </w:t>
      </w:r>
      <w:r w:rsidRPr="00787A69">
        <w:rPr>
          <w:szCs w:val="22"/>
        </w:rPr>
        <w:t>“Incentives in Population-based Health Surveys.”</w:t>
      </w:r>
      <w:r w:rsidR="00673F76" w:rsidRPr="00787A69">
        <w:rPr>
          <w:szCs w:val="22"/>
        </w:rPr>
        <w:t xml:space="preserve"> </w:t>
      </w:r>
      <w:r w:rsidRPr="00787A69">
        <w:rPr>
          <w:szCs w:val="22"/>
        </w:rPr>
        <w:t>Proceedings of the American Statistical Association, Survey Research Section, 952-957.</w:t>
      </w:r>
    </w:p>
    <w:p w14:paraId="43F7ABDD" w14:textId="4E2834A3" w:rsidR="00900B86" w:rsidRPr="00900B86" w:rsidRDefault="00900B86" w:rsidP="00900B86">
      <w:r w:rsidRPr="00787A69">
        <w:t>Zimowski, Michele, Roger Tourangeau, Rashna Ghadialy, and Steven Pedlow. 1997. “Nonresponse in Household Travel Surveys.” Prepared for the Federal Highway Administration. Chicago, IL: NORC.</w:t>
      </w:r>
      <w:r>
        <w:t xml:space="preserve"> </w:t>
      </w:r>
    </w:p>
    <w:sectPr w:rsidR="00900B86" w:rsidRPr="00900B86" w:rsidSect="004138AB">
      <w:footerReference w:type="default" r:id="rId19"/>
      <w:pgSz w:w="12240" w:h="15840" w:code="1"/>
      <w:pgMar w:top="1440" w:right="1440" w:bottom="1440" w:left="1440" w:header="108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Author" w:initials="A">
    <w:p w14:paraId="2AA5EAD3" w14:textId="7C37B338" w:rsidR="00AC6D84" w:rsidRDefault="00AC6D84">
      <w:pPr>
        <w:pStyle w:val="CommentText"/>
      </w:pPr>
      <w:r>
        <w:rPr>
          <w:rStyle w:val="CommentReference"/>
        </w:rPr>
        <w:annotationRef/>
      </w:r>
      <w:r>
        <w:t>Changing 2.4/60 to 2/60 lead to changes in these numbers.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FE605D" w15:done="0"/>
  <w15:commentEx w15:paraId="6A5DB397" w15:done="0"/>
  <w15:commentEx w15:paraId="1FBB9851" w15:done="0"/>
  <w15:commentEx w15:paraId="63C6F371" w15:done="0"/>
  <w15:commentEx w15:paraId="0A74D4EB" w15:done="0"/>
  <w15:commentEx w15:paraId="14D5E0E2" w15:done="0"/>
  <w15:commentEx w15:paraId="7295C851" w15:done="0"/>
  <w15:commentEx w15:paraId="029645AE" w15:done="0"/>
  <w15:commentEx w15:paraId="3FDE79C2" w15:done="0"/>
  <w15:commentEx w15:paraId="42B4A3B9" w15:done="0"/>
  <w15:commentEx w15:paraId="634625E2" w15:done="0"/>
  <w15:commentEx w15:paraId="44D8AD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BAFEC" w14:textId="77777777" w:rsidR="00AC6D84" w:rsidRDefault="00AC6D84" w:rsidP="00D979EA">
      <w:r>
        <w:separator/>
      </w:r>
    </w:p>
  </w:endnote>
  <w:endnote w:type="continuationSeparator" w:id="0">
    <w:p w14:paraId="6A5118E0" w14:textId="77777777" w:rsidR="00AC6D84" w:rsidRDefault="00AC6D8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CE710" w14:textId="6A0DC960" w:rsidR="00AC6D84" w:rsidRPr="0066134E" w:rsidRDefault="00AC6D84" w:rsidP="004138AB">
    <w:pPr>
      <w:pStyle w:val="Footer"/>
      <w:tabs>
        <w:tab w:val="clear" w:pos="9000"/>
        <w:tab w:val="right" w:pos="9350"/>
      </w:tabs>
    </w:pPr>
    <w:r w:rsidRPr="0066134E">
      <w:tab/>
    </w:r>
    <w:r w:rsidRPr="0066134E">
      <w:rPr>
        <w:rStyle w:val="PageNumber"/>
        <w:b/>
      </w:rPr>
      <w:tab/>
    </w:r>
    <w:r>
      <w:rPr>
        <w:rStyle w:val="PageNumber"/>
        <w:b/>
      </w:rPr>
      <w:t>Supporting Statement: Part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A5E4C">
      <w:rPr>
        <w:rStyle w:val="PageNumber"/>
        <w:b/>
        <w:noProof/>
        <w:color w:val="DA291C"/>
      </w:rPr>
      <w:t>ii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845AC" w14:textId="28D325B0" w:rsidR="00AC6D84" w:rsidRPr="0066134E" w:rsidRDefault="00AC6D84" w:rsidP="004138AB">
    <w:pPr>
      <w:pStyle w:val="Footer"/>
      <w:tabs>
        <w:tab w:val="clear" w:pos="9000"/>
        <w:tab w:val="right" w:pos="14400"/>
      </w:tabs>
    </w:pPr>
    <w:r w:rsidRPr="0066134E">
      <w:tab/>
    </w:r>
    <w:r w:rsidRPr="0066134E">
      <w:rPr>
        <w:rStyle w:val="PageNumber"/>
        <w:b/>
      </w:rPr>
      <w:tab/>
    </w:r>
    <w:r>
      <w:rPr>
        <w:rStyle w:val="PageNumber"/>
        <w:b/>
      </w:rPr>
      <w:t>Supporting Statement: Part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F5838">
      <w:rPr>
        <w:rStyle w:val="PageNumber"/>
        <w:b/>
        <w:noProof/>
        <w:color w:val="DA291C"/>
      </w:rPr>
      <w:t>5</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8F40" w14:textId="5095A40A" w:rsidR="00AC6D84" w:rsidRPr="0066134E" w:rsidRDefault="00AC6D84" w:rsidP="004138AB">
    <w:pPr>
      <w:pStyle w:val="Footer"/>
      <w:tabs>
        <w:tab w:val="clear" w:pos="9000"/>
        <w:tab w:val="right" w:pos="9350"/>
      </w:tabs>
    </w:pPr>
    <w:r w:rsidRPr="0066134E">
      <w:tab/>
    </w:r>
    <w:r w:rsidRPr="0066134E">
      <w:rPr>
        <w:rStyle w:val="PageNumber"/>
        <w:b/>
      </w:rPr>
      <w:tab/>
    </w:r>
    <w:r>
      <w:rPr>
        <w:rStyle w:val="PageNumber"/>
        <w:b/>
      </w:rPr>
      <w:t>Supporting Statement: Part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F5838">
      <w:rPr>
        <w:rStyle w:val="PageNumber"/>
        <w:b/>
        <w:noProof/>
        <w:color w:val="DA291C"/>
      </w:rPr>
      <w:t>6</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1F55" w14:textId="2F47A829" w:rsidR="00AC6D84" w:rsidRPr="0066134E" w:rsidRDefault="00AC6D84" w:rsidP="004138AB">
    <w:pPr>
      <w:pStyle w:val="Footer"/>
      <w:tabs>
        <w:tab w:val="clear" w:pos="9000"/>
        <w:tab w:val="right" w:pos="14400"/>
      </w:tabs>
    </w:pPr>
    <w:r w:rsidRPr="0066134E">
      <w:tab/>
    </w:r>
    <w:r w:rsidRPr="0066134E">
      <w:rPr>
        <w:rStyle w:val="PageNumber"/>
        <w:b/>
      </w:rPr>
      <w:tab/>
    </w:r>
    <w:r>
      <w:rPr>
        <w:rStyle w:val="PageNumber"/>
        <w:b/>
      </w:rPr>
      <w:t>Supporting Statement: Part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F5838">
      <w:rPr>
        <w:rStyle w:val="PageNumber"/>
        <w:b/>
        <w:noProof/>
        <w:color w:val="DA291C"/>
      </w:rPr>
      <w:t>8</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8172A" w14:textId="04D11BB2" w:rsidR="00AC6D84" w:rsidRPr="0066134E" w:rsidRDefault="00AC6D84" w:rsidP="004138AB">
    <w:pPr>
      <w:pStyle w:val="Footer"/>
      <w:tabs>
        <w:tab w:val="clear" w:pos="9000"/>
        <w:tab w:val="right" w:pos="9350"/>
      </w:tabs>
    </w:pPr>
    <w:r w:rsidRPr="0066134E">
      <w:tab/>
    </w:r>
    <w:r w:rsidRPr="0066134E">
      <w:rPr>
        <w:rStyle w:val="PageNumber"/>
        <w:b/>
      </w:rPr>
      <w:tab/>
    </w:r>
    <w:r>
      <w:rPr>
        <w:rStyle w:val="PageNumber"/>
        <w:b/>
      </w:rPr>
      <w:t>Supporting Statement: Part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F5838">
      <w:rPr>
        <w:rStyle w:val="PageNumber"/>
        <w:b/>
        <w:noProof/>
        <w:color w:val="DA291C"/>
      </w:rPr>
      <w:t>21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DF3F0" w14:textId="77777777" w:rsidR="00AC6D84" w:rsidRDefault="00AC6D84" w:rsidP="00D979EA">
      <w:r>
        <w:separator/>
      </w:r>
    </w:p>
  </w:footnote>
  <w:footnote w:type="continuationSeparator" w:id="0">
    <w:p w14:paraId="4769AC1C" w14:textId="77777777" w:rsidR="00AC6D84" w:rsidRDefault="00AC6D84" w:rsidP="00D979EA">
      <w:r>
        <w:continuationSeparator/>
      </w:r>
    </w:p>
  </w:footnote>
  <w:footnote w:id="1">
    <w:p w14:paraId="420BB87C" w14:textId="00CC195D" w:rsidR="00AC6D84" w:rsidRDefault="00AC6D84" w:rsidP="00C728CB">
      <w:pPr>
        <w:pStyle w:val="FootnoteText"/>
      </w:pPr>
      <w:r w:rsidRPr="00536C6B">
        <w:rPr>
          <w:rStyle w:val="FootnoteReference"/>
          <w:sz w:val="16"/>
          <w:szCs w:val="16"/>
        </w:rPr>
        <w:footnoteRef/>
      </w:r>
      <w:r w:rsidRPr="00536C6B">
        <w:t xml:space="preserve"> </w:t>
      </w:r>
      <w:r>
        <w:tab/>
      </w:r>
      <w:r w:rsidRPr="00536C6B">
        <w:t xml:space="preserve">Effective April 1, 2017, Abt SRBI will be consolidated into the existing Abt Associates Inc. government segment. Abt SRBI will cease to function as an independent entity and will become a part of the parent company. </w:t>
      </w:r>
      <w:r>
        <w:t>Abt Associates is</w:t>
      </w:r>
      <w:r w:rsidRPr="00536C6B">
        <w:t xml:space="preserve"> in the process of executing this transition, including integrating current Abt SRBI employees into the parent company.</w:t>
      </w:r>
    </w:p>
  </w:footnote>
  <w:footnote w:id="2">
    <w:p w14:paraId="0EB5E111" w14:textId="263E4E58" w:rsidR="00AC6D84" w:rsidRDefault="00AC6D84">
      <w:pPr>
        <w:pStyle w:val="FootnoteText"/>
      </w:pPr>
      <w:r>
        <w:rPr>
          <w:rStyle w:val="FootnoteReference"/>
        </w:rPr>
        <w:footnoteRef/>
      </w:r>
      <w:r>
        <w:t xml:space="preserve"> See Attachment A for the Employee Survey</w:t>
      </w:r>
    </w:p>
  </w:footnote>
  <w:footnote w:id="3">
    <w:p w14:paraId="56B13474" w14:textId="18CC6D9D" w:rsidR="00AC6D84" w:rsidRDefault="00AC6D84">
      <w:pPr>
        <w:pStyle w:val="FootnoteText"/>
      </w:pPr>
      <w:r>
        <w:rPr>
          <w:rStyle w:val="FootnoteReference"/>
        </w:rPr>
        <w:footnoteRef/>
      </w:r>
      <w:r>
        <w:t xml:space="preserve"> </w:t>
      </w:r>
      <w:r>
        <w:tab/>
      </w:r>
      <w:r>
        <w:rPr>
          <w:szCs w:val="22"/>
        </w:rPr>
        <w:t>Not firms; i.e., in a multi-site firm, the respondent should answer only for the sample worksite, not for the firm as a whole.</w:t>
      </w:r>
    </w:p>
  </w:footnote>
  <w:footnote w:id="4">
    <w:p w14:paraId="108C9281" w14:textId="6CC4D3B8" w:rsidR="00AC6D84" w:rsidRDefault="00AC6D84">
      <w:pPr>
        <w:pStyle w:val="FootnoteText"/>
      </w:pPr>
      <w:r>
        <w:rPr>
          <w:rStyle w:val="FootnoteReference"/>
        </w:rPr>
        <w:footnoteRef/>
      </w:r>
      <w:r>
        <w:t xml:space="preserve"> </w:t>
      </w:r>
      <w:r w:rsidRPr="00D8169A">
        <w:t xml:space="preserve"> See Attachment </w:t>
      </w:r>
      <w:r>
        <w:t>B</w:t>
      </w:r>
      <w:r w:rsidRPr="00D8169A">
        <w:t xml:space="preserve"> for the Employe</w:t>
      </w:r>
      <w:r>
        <w:t xml:space="preserve">r </w:t>
      </w:r>
      <w:r w:rsidRPr="00D8169A">
        <w:t>Survey</w:t>
      </w:r>
    </w:p>
  </w:footnote>
  <w:footnote w:id="5">
    <w:p w14:paraId="44FF5843" w14:textId="60B5683E" w:rsidR="00AC6D84" w:rsidRDefault="00AC6D84">
      <w:pPr>
        <w:pStyle w:val="FootnoteText"/>
      </w:pPr>
      <w:r>
        <w:rPr>
          <w:rStyle w:val="FootnoteReference"/>
        </w:rPr>
        <w:footnoteRef/>
      </w:r>
      <w:r>
        <w:t xml:space="preserve"> </w:t>
      </w:r>
      <w:r>
        <w:tab/>
      </w:r>
      <w:r w:rsidRPr="00D15AF8">
        <w:t>The research literature indicates that we can expect about an 8 percentage point increase in the response rate if $15 is promised as opposed to $0 (Cantor et al. 2003; Strouse and Hall 1997).</w:t>
      </w:r>
    </w:p>
  </w:footnote>
  <w:footnote w:id="6">
    <w:p w14:paraId="5B790C96" w14:textId="5963C5E9" w:rsidR="00AC6D84" w:rsidRDefault="00AC6D84">
      <w:pPr>
        <w:pStyle w:val="FootnoteText"/>
      </w:pPr>
      <w:r>
        <w:rPr>
          <w:rStyle w:val="FootnoteReference"/>
        </w:rPr>
        <w:footnoteRef/>
      </w:r>
      <w:r>
        <w:t xml:space="preserve"> See guidelines here: </w:t>
      </w:r>
      <w:hyperlink r:id="rId1" w:history="1">
        <w:r>
          <w:rPr>
            <w:rStyle w:val="Hyperlink"/>
          </w:rPr>
          <w:t>https://obamawhitehouse.archives.gov/sites/default/files/omb/inforeg/directive2/final_addendum_to_stat_policy_dir_2.pdf</w:t>
        </w:r>
      </w:hyperlink>
    </w:p>
  </w:footnote>
  <w:footnote w:id="7">
    <w:p w14:paraId="2A2DE18C" w14:textId="77777777" w:rsidR="00AC6D84" w:rsidRPr="008312FB" w:rsidRDefault="00AC6D84" w:rsidP="008312FB">
      <w:pPr>
        <w:pStyle w:val="FootnoteText"/>
      </w:pPr>
      <w:r w:rsidRPr="008312FB">
        <w:rPr>
          <w:rStyle w:val="FootnoteReference"/>
        </w:rPr>
        <w:footnoteRef/>
      </w:r>
      <w:r w:rsidRPr="008312FB">
        <w:t xml:space="preserve"> </w:t>
      </w:r>
      <w:r w:rsidRPr="008312FB">
        <w:tab/>
        <w:t xml:space="preserve">Total costs include the full cost of instrument design and data collection activities. Annual costs include the total costs annualized over a three year period. </w:t>
      </w:r>
    </w:p>
  </w:footnote>
  <w:footnote w:id="8">
    <w:p w14:paraId="3D327620" w14:textId="77777777" w:rsidR="00AC6D84" w:rsidRDefault="00AC6D84" w:rsidP="008312FB">
      <w:pPr>
        <w:pStyle w:val="FootnoteText"/>
      </w:pPr>
      <w:r w:rsidRPr="008312FB">
        <w:rPr>
          <w:rStyle w:val="FootnoteReference"/>
        </w:rPr>
        <w:footnoteRef/>
      </w:r>
      <w:r w:rsidRPr="008312FB">
        <w:t xml:space="preserve"> </w:t>
      </w:r>
      <w:r w:rsidRPr="008312FB">
        <w:tab/>
        <w:t>($378,881+$2,323,119)/3=$900,667</w:t>
      </w:r>
    </w:p>
  </w:footnote>
  <w:footnote w:id="9">
    <w:p w14:paraId="53EA814A" w14:textId="77777777" w:rsidR="00AC6D84" w:rsidRPr="008312FB" w:rsidRDefault="00AC6D84" w:rsidP="008312FB">
      <w:pPr>
        <w:pStyle w:val="FootnoteText"/>
      </w:pPr>
      <w:r w:rsidRPr="008312FB">
        <w:rPr>
          <w:rStyle w:val="FootnoteReference"/>
        </w:rPr>
        <w:footnoteRef/>
      </w:r>
      <w:r w:rsidRPr="008312FB">
        <w:t xml:space="preserve"> See Office of Personnel Management 2017 Hourly Salary Table: </w:t>
      </w:r>
      <w:hyperlink r:id="rId2" w:history="1">
        <w:r w:rsidRPr="008312FB">
          <w:rPr>
            <w:rStyle w:val="Hyperlink"/>
          </w:rPr>
          <w:t>https://www.opm.gov/policy-data-oversight/pay-leave/salaries-wages/salary-tables/pdf/2017/DCB_h.pdf</w:t>
        </w:r>
      </w:hyperlink>
      <w:r w:rsidRPr="008312FB">
        <w:t xml:space="preserve">. </w:t>
      </w:r>
    </w:p>
  </w:footnote>
  <w:footnote w:id="10">
    <w:p w14:paraId="666EE1A7" w14:textId="77777777" w:rsidR="00AC6D84" w:rsidRDefault="00AC6D84" w:rsidP="008312FB">
      <w:pPr>
        <w:pStyle w:val="FootnoteText"/>
      </w:pPr>
      <w:r w:rsidRPr="008312FB">
        <w:rPr>
          <w:rStyle w:val="FootnoteReference"/>
        </w:rPr>
        <w:footnoteRef/>
      </w:r>
      <w:r w:rsidRPr="008312FB">
        <w:t xml:space="preserve"> 200 hours x $60.83 x 1.6=$19,466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434B6" w14:textId="36A45911" w:rsidR="00AC6D84" w:rsidRPr="007E78C1" w:rsidRDefault="00AC6D84" w:rsidP="00AC6D84">
    <w:pPr>
      <w:pStyle w:val="Header"/>
      <w:tabs>
        <w:tab w:val="left" w:pos="6371"/>
        <w:tab w:val="right" w:pos="9360"/>
      </w:tabs>
      <w:jc w:val="left"/>
    </w:pPr>
    <w:r>
      <w:tab/>
    </w:r>
    <w:r>
      <w:tab/>
    </w:r>
    <w:r>
      <w:tab/>
    </w:r>
    <w:r w:rsidRPr="007E78C1">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2E155" w14:textId="2DF36335" w:rsidR="00AC6D84" w:rsidRPr="00CD685C" w:rsidRDefault="00AC6D84" w:rsidP="00CD685C">
    <w:pPr>
      <w:pStyle w:val="Header"/>
      <w:spacing w:after="0" w:line="240" w:lineRule="auto"/>
      <w:jc w:val="left"/>
      <w:rPr>
        <w:sz w:val="18"/>
        <w:szCs w:val="18"/>
      </w:rPr>
    </w:pPr>
    <w:r>
      <w:rPr>
        <w:sz w:val="18"/>
        <w:szCs w:val="18"/>
      </w:rPr>
      <w:t xml:space="preserve">Family and Medical Leave Act, Wave 4 Surveys </w:t>
    </w:r>
  </w:p>
  <w:p w14:paraId="7B5B7369" w14:textId="7B2D3F69" w:rsidR="00AC6D84" w:rsidRPr="00CD685C" w:rsidRDefault="00AC6D84" w:rsidP="00CD685C">
    <w:pPr>
      <w:pStyle w:val="Header"/>
      <w:spacing w:after="0" w:line="240" w:lineRule="auto"/>
      <w:jc w:val="left"/>
      <w:rPr>
        <w:sz w:val="18"/>
        <w:szCs w:val="18"/>
      </w:rPr>
    </w:pPr>
    <w:r w:rsidRPr="00CD685C">
      <w:rPr>
        <w:sz w:val="18"/>
        <w:szCs w:val="18"/>
      </w:rPr>
      <w:t>OMB Control No. 12</w:t>
    </w:r>
    <w:r>
      <w:rPr>
        <w:sz w:val="18"/>
        <w:szCs w:val="18"/>
      </w:rPr>
      <w:t>90</w:t>
    </w:r>
    <w:r w:rsidRPr="00CD685C">
      <w:rPr>
        <w:sz w:val="18"/>
        <w:szCs w:val="18"/>
      </w:rPr>
      <w:t>-0NEW</w:t>
    </w:r>
  </w:p>
  <w:p w14:paraId="756C32CC" w14:textId="35608B4B" w:rsidR="00AC6D84" w:rsidRDefault="00AC6D84" w:rsidP="00CD685C">
    <w:pPr>
      <w:pStyle w:val="Header"/>
      <w:spacing w:after="0" w:line="240" w:lineRule="auto"/>
      <w:jc w:val="left"/>
    </w:pPr>
    <w:r w:rsidRPr="00CD685C">
      <w:rPr>
        <w:sz w:val="18"/>
        <w:szCs w:val="18"/>
      </w:rPr>
      <w:t>July 2017</w:t>
    </w:r>
  </w:p>
  <w:p w14:paraId="4E7EB05B" w14:textId="696C1849" w:rsidR="00AC6D84" w:rsidRPr="007E78C1" w:rsidRDefault="00AC6D84" w:rsidP="00CD685C">
    <w:pPr>
      <w:pStyle w:val="Header"/>
    </w:pPr>
    <w:r>
      <w:t>PART A: JUSTIFICATION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634"/>
    <w:multiLevelType w:val="hybridMultilevel"/>
    <w:tmpl w:val="685AB8BE"/>
    <w:lvl w:ilvl="0" w:tplc="D65413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03D9A"/>
    <w:multiLevelType w:val="hybridMultilevel"/>
    <w:tmpl w:val="D95AD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76CE8"/>
    <w:multiLevelType w:val="hybridMultilevel"/>
    <w:tmpl w:val="82D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E1810"/>
    <w:multiLevelType w:val="hybridMultilevel"/>
    <w:tmpl w:val="8B80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452EB6"/>
    <w:multiLevelType w:val="hybridMultilevel"/>
    <w:tmpl w:val="4AF8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2510F"/>
    <w:multiLevelType w:val="hybridMultilevel"/>
    <w:tmpl w:val="021EA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CD52400"/>
    <w:multiLevelType w:val="hybridMultilevel"/>
    <w:tmpl w:val="731EA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5258C"/>
    <w:multiLevelType w:val="hybridMultilevel"/>
    <w:tmpl w:val="5A340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7E3A91"/>
    <w:multiLevelType w:val="hybridMultilevel"/>
    <w:tmpl w:val="AD4CD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AD33C4"/>
    <w:multiLevelType w:val="multilevel"/>
    <w:tmpl w:val="937C6A5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43B127DC"/>
    <w:multiLevelType w:val="hybridMultilevel"/>
    <w:tmpl w:val="B7E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346D8C"/>
    <w:multiLevelType w:val="hybridMultilevel"/>
    <w:tmpl w:val="B7549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B2110B"/>
    <w:multiLevelType w:val="multilevel"/>
    <w:tmpl w:val="7F485510"/>
    <w:lvl w:ilvl="0">
      <w:start w:val="1"/>
      <w:numFmt w:val="bullet"/>
      <w:pStyle w:val="Bullets"/>
      <w:lvlText w:val=""/>
      <w:lvlJc w:val="left"/>
      <w:pPr>
        <w:ind w:left="720" w:hanging="360"/>
      </w:pPr>
      <w:rPr>
        <w:rFonts w:ascii="Symbol" w:hAnsi="Symbol" w:hint="default"/>
        <w:color w:val="DA291C"/>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8044D3A"/>
    <w:multiLevelType w:val="hybridMultilevel"/>
    <w:tmpl w:val="A0DE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8D5F16"/>
    <w:multiLevelType w:val="hybridMultilevel"/>
    <w:tmpl w:val="2698FBC6"/>
    <w:lvl w:ilvl="0" w:tplc="A64C64EA">
      <w:start w:val="1"/>
      <w:numFmt w:val="bullet"/>
      <w:lvlText w:val=""/>
      <w:lvlJc w:val="left"/>
      <w:pPr>
        <w:ind w:left="720" w:hanging="360"/>
      </w:pPr>
      <w:rPr>
        <w:rFonts w:ascii="Symbol" w:hAnsi="Symbol" w:hint="default"/>
        <w:color w:val="DA291C"/>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4626A"/>
    <w:multiLevelType w:val="hybridMultilevel"/>
    <w:tmpl w:val="9CAE4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81BFA"/>
    <w:multiLevelType w:val="hybridMultilevel"/>
    <w:tmpl w:val="0938F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4C6400"/>
    <w:multiLevelType w:val="hybridMultilevel"/>
    <w:tmpl w:val="4718D740"/>
    <w:lvl w:ilvl="0" w:tplc="68260532">
      <w:start w:val="1"/>
      <w:numFmt w:val="bullet"/>
      <w:pStyle w:val="ExhibitBullet1"/>
      <w:lvlText w:val=""/>
      <w:lvlJc w:val="left"/>
      <w:pPr>
        <w:ind w:left="688" w:hanging="360"/>
      </w:pPr>
      <w:rPr>
        <w:rFonts w:ascii="Symbol" w:hAnsi="Symbol" w:hint="default"/>
      </w:rPr>
    </w:lvl>
    <w:lvl w:ilvl="1" w:tplc="04090003">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A625516"/>
    <w:multiLevelType w:val="hybridMultilevel"/>
    <w:tmpl w:val="D7429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850356"/>
    <w:multiLevelType w:val="hybridMultilevel"/>
    <w:tmpl w:val="EB907530"/>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CF753D"/>
    <w:multiLevelType w:val="hybridMultilevel"/>
    <w:tmpl w:val="A1E6A41C"/>
    <w:lvl w:ilvl="0" w:tplc="D37A6BB4">
      <w:start w:val="1"/>
      <w:numFmt w:val="bullet"/>
      <w:pStyle w:val="Bullet2"/>
      <w:lvlText w:val=""/>
      <w:lvlJc w:val="left"/>
      <w:pPr>
        <w:tabs>
          <w:tab w:val="num" w:pos="720"/>
        </w:tabs>
        <w:ind w:left="720" w:hanging="360"/>
      </w:pPr>
      <w:rPr>
        <w:rFonts w:ascii="Symbol" w:hAnsi="Symbol" w:hint="default"/>
        <w:color w:val="0000AC"/>
      </w:rPr>
    </w:lvl>
    <w:lvl w:ilvl="1" w:tplc="4BA8E9B4" w:tentative="1">
      <w:start w:val="1"/>
      <w:numFmt w:val="bullet"/>
      <w:lvlText w:val="o"/>
      <w:lvlJc w:val="left"/>
      <w:pPr>
        <w:tabs>
          <w:tab w:val="num" w:pos="1440"/>
        </w:tabs>
        <w:ind w:left="1440" w:hanging="360"/>
      </w:pPr>
      <w:rPr>
        <w:rFonts w:ascii="Courier New" w:hAnsi="Courier New" w:cs="Courier New" w:hint="default"/>
      </w:rPr>
    </w:lvl>
    <w:lvl w:ilvl="2" w:tplc="4C34C93C" w:tentative="1">
      <w:start w:val="1"/>
      <w:numFmt w:val="bullet"/>
      <w:lvlText w:val=""/>
      <w:lvlJc w:val="left"/>
      <w:pPr>
        <w:tabs>
          <w:tab w:val="num" w:pos="2160"/>
        </w:tabs>
        <w:ind w:left="2160" w:hanging="360"/>
      </w:pPr>
      <w:rPr>
        <w:rFonts w:ascii="Wingdings" w:hAnsi="Wingdings" w:hint="default"/>
      </w:rPr>
    </w:lvl>
    <w:lvl w:ilvl="3" w:tplc="9DE032A8" w:tentative="1">
      <w:start w:val="1"/>
      <w:numFmt w:val="bullet"/>
      <w:lvlText w:val=""/>
      <w:lvlJc w:val="left"/>
      <w:pPr>
        <w:tabs>
          <w:tab w:val="num" w:pos="2880"/>
        </w:tabs>
        <w:ind w:left="2880" w:hanging="360"/>
      </w:pPr>
      <w:rPr>
        <w:rFonts w:ascii="Symbol" w:hAnsi="Symbol" w:hint="default"/>
      </w:rPr>
    </w:lvl>
    <w:lvl w:ilvl="4" w:tplc="C9B60118" w:tentative="1">
      <w:start w:val="1"/>
      <w:numFmt w:val="bullet"/>
      <w:lvlText w:val="o"/>
      <w:lvlJc w:val="left"/>
      <w:pPr>
        <w:tabs>
          <w:tab w:val="num" w:pos="3600"/>
        </w:tabs>
        <w:ind w:left="3600" w:hanging="360"/>
      </w:pPr>
      <w:rPr>
        <w:rFonts w:ascii="Courier New" w:hAnsi="Courier New" w:cs="Courier New" w:hint="default"/>
      </w:rPr>
    </w:lvl>
    <w:lvl w:ilvl="5" w:tplc="780A7874" w:tentative="1">
      <w:start w:val="1"/>
      <w:numFmt w:val="bullet"/>
      <w:lvlText w:val=""/>
      <w:lvlJc w:val="left"/>
      <w:pPr>
        <w:tabs>
          <w:tab w:val="num" w:pos="4320"/>
        </w:tabs>
        <w:ind w:left="4320" w:hanging="360"/>
      </w:pPr>
      <w:rPr>
        <w:rFonts w:ascii="Wingdings" w:hAnsi="Wingdings" w:hint="default"/>
      </w:rPr>
    </w:lvl>
    <w:lvl w:ilvl="6" w:tplc="8D90685C" w:tentative="1">
      <w:start w:val="1"/>
      <w:numFmt w:val="bullet"/>
      <w:lvlText w:val=""/>
      <w:lvlJc w:val="left"/>
      <w:pPr>
        <w:tabs>
          <w:tab w:val="num" w:pos="5040"/>
        </w:tabs>
        <w:ind w:left="5040" w:hanging="360"/>
      </w:pPr>
      <w:rPr>
        <w:rFonts w:ascii="Symbol" w:hAnsi="Symbol" w:hint="default"/>
      </w:rPr>
    </w:lvl>
    <w:lvl w:ilvl="7" w:tplc="2D66F3D0" w:tentative="1">
      <w:start w:val="1"/>
      <w:numFmt w:val="bullet"/>
      <w:lvlText w:val="o"/>
      <w:lvlJc w:val="left"/>
      <w:pPr>
        <w:tabs>
          <w:tab w:val="num" w:pos="5760"/>
        </w:tabs>
        <w:ind w:left="5760" w:hanging="360"/>
      </w:pPr>
      <w:rPr>
        <w:rFonts w:ascii="Courier New" w:hAnsi="Courier New" w:cs="Courier New" w:hint="default"/>
      </w:rPr>
    </w:lvl>
    <w:lvl w:ilvl="8" w:tplc="2FD0BB8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14"/>
  </w:num>
  <w:num w:numId="4">
    <w:abstractNumId w:val="23"/>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9"/>
  </w:num>
  <w:num w:numId="12">
    <w:abstractNumId w:val="17"/>
  </w:num>
  <w:num w:numId="13">
    <w:abstractNumId w:val="6"/>
  </w:num>
  <w:num w:numId="14">
    <w:abstractNumId w:val="10"/>
  </w:num>
  <w:num w:numId="15">
    <w:abstractNumId w:val="0"/>
  </w:num>
  <w:num w:numId="16">
    <w:abstractNumId w:val="3"/>
  </w:num>
  <w:num w:numId="17">
    <w:abstractNumId w:val="12"/>
  </w:num>
  <w:num w:numId="18">
    <w:abstractNumId w:val="18"/>
  </w:num>
  <w:num w:numId="19">
    <w:abstractNumId w:val="22"/>
  </w:num>
  <w:num w:numId="20">
    <w:abstractNumId w:val="2"/>
  </w:num>
  <w:num w:numId="21">
    <w:abstractNumId w:val="8"/>
  </w:num>
  <w:num w:numId="22">
    <w:abstractNumId w:val="9"/>
  </w:num>
  <w:num w:numId="23">
    <w:abstractNumId w:val="21"/>
  </w:num>
  <w:num w:numId="24">
    <w:abstractNumId w:val="1"/>
  </w:num>
  <w:num w:numId="25">
    <w:abstractNumId w:val="15"/>
  </w:num>
  <w:num w:numId="26">
    <w:abstractNumId w:val="4"/>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8022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41F"/>
    <w:rsid w:val="00001A3F"/>
    <w:rsid w:val="00003A2C"/>
    <w:rsid w:val="00006617"/>
    <w:rsid w:val="00006B3A"/>
    <w:rsid w:val="00010DCB"/>
    <w:rsid w:val="000136F3"/>
    <w:rsid w:val="00016DC9"/>
    <w:rsid w:val="00016E17"/>
    <w:rsid w:val="0002216E"/>
    <w:rsid w:val="000232B4"/>
    <w:rsid w:val="000262A2"/>
    <w:rsid w:val="00026A55"/>
    <w:rsid w:val="000302A4"/>
    <w:rsid w:val="00031040"/>
    <w:rsid w:val="0003111F"/>
    <w:rsid w:val="00035FFF"/>
    <w:rsid w:val="00040E00"/>
    <w:rsid w:val="00046728"/>
    <w:rsid w:val="00047462"/>
    <w:rsid w:val="000505A2"/>
    <w:rsid w:val="000525E0"/>
    <w:rsid w:val="00053346"/>
    <w:rsid w:val="00053EEF"/>
    <w:rsid w:val="000543DC"/>
    <w:rsid w:val="00054FEF"/>
    <w:rsid w:val="00055022"/>
    <w:rsid w:val="0005750B"/>
    <w:rsid w:val="0006045E"/>
    <w:rsid w:val="00060E49"/>
    <w:rsid w:val="00064171"/>
    <w:rsid w:val="0006587B"/>
    <w:rsid w:val="00067FBA"/>
    <w:rsid w:val="00070322"/>
    <w:rsid w:val="00072A15"/>
    <w:rsid w:val="00074246"/>
    <w:rsid w:val="00076DB1"/>
    <w:rsid w:val="00082D01"/>
    <w:rsid w:val="00087856"/>
    <w:rsid w:val="00087DCE"/>
    <w:rsid w:val="000902AA"/>
    <w:rsid w:val="00091C6A"/>
    <w:rsid w:val="0009560B"/>
    <w:rsid w:val="00095D40"/>
    <w:rsid w:val="0009620C"/>
    <w:rsid w:val="000A00A2"/>
    <w:rsid w:val="000A1C6D"/>
    <w:rsid w:val="000A3352"/>
    <w:rsid w:val="000A5E4C"/>
    <w:rsid w:val="000A6442"/>
    <w:rsid w:val="000A7D69"/>
    <w:rsid w:val="000B09EC"/>
    <w:rsid w:val="000B1B78"/>
    <w:rsid w:val="000B33D1"/>
    <w:rsid w:val="000B488B"/>
    <w:rsid w:val="000C0A39"/>
    <w:rsid w:val="000C16B9"/>
    <w:rsid w:val="000C3040"/>
    <w:rsid w:val="000C41F5"/>
    <w:rsid w:val="000D1525"/>
    <w:rsid w:val="000D3467"/>
    <w:rsid w:val="000D35AA"/>
    <w:rsid w:val="000D42E1"/>
    <w:rsid w:val="000D53F1"/>
    <w:rsid w:val="000D5777"/>
    <w:rsid w:val="000D66E2"/>
    <w:rsid w:val="000D7E1F"/>
    <w:rsid w:val="000E5869"/>
    <w:rsid w:val="000E67FA"/>
    <w:rsid w:val="000E6B75"/>
    <w:rsid w:val="000F18E9"/>
    <w:rsid w:val="000F4A10"/>
    <w:rsid w:val="000F53F4"/>
    <w:rsid w:val="001034D7"/>
    <w:rsid w:val="00104F2A"/>
    <w:rsid w:val="00104FBE"/>
    <w:rsid w:val="00105F22"/>
    <w:rsid w:val="00107A04"/>
    <w:rsid w:val="0011170B"/>
    <w:rsid w:val="00114CD2"/>
    <w:rsid w:val="001172BF"/>
    <w:rsid w:val="001178CA"/>
    <w:rsid w:val="00127142"/>
    <w:rsid w:val="001307A5"/>
    <w:rsid w:val="00133465"/>
    <w:rsid w:val="00134801"/>
    <w:rsid w:val="001367D1"/>
    <w:rsid w:val="001417B0"/>
    <w:rsid w:val="001457DF"/>
    <w:rsid w:val="00152153"/>
    <w:rsid w:val="00156466"/>
    <w:rsid w:val="00157D05"/>
    <w:rsid w:val="00157E04"/>
    <w:rsid w:val="00160657"/>
    <w:rsid w:val="00160B87"/>
    <w:rsid w:val="00160E5E"/>
    <w:rsid w:val="00162E23"/>
    <w:rsid w:val="001645F0"/>
    <w:rsid w:val="00165BB6"/>
    <w:rsid w:val="001677DC"/>
    <w:rsid w:val="00172119"/>
    <w:rsid w:val="00172E7E"/>
    <w:rsid w:val="00177238"/>
    <w:rsid w:val="00182892"/>
    <w:rsid w:val="00186223"/>
    <w:rsid w:val="00187502"/>
    <w:rsid w:val="001A04CE"/>
    <w:rsid w:val="001A0E0A"/>
    <w:rsid w:val="001A23B5"/>
    <w:rsid w:val="001A28D9"/>
    <w:rsid w:val="001A35FA"/>
    <w:rsid w:val="001A403F"/>
    <w:rsid w:val="001A4633"/>
    <w:rsid w:val="001A6B9A"/>
    <w:rsid w:val="001B0BB8"/>
    <w:rsid w:val="001B24C7"/>
    <w:rsid w:val="001B4509"/>
    <w:rsid w:val="001B5628"/>
    <w:rsid w:val="001B6E1D"/>
    <w:rsid w:val="001C0891"/>
    <w:rsid w:val="001C10AF"/>
    <w:rsid w:val="001D4FDD"/>
    <w:rsid w:val="001E0709"/>
    <w:rsid w:val="001E2265"/>
    <w:rsid w:val="001E2CF1"/>
    <w:rsid w:val="001E37C1"/>
    <w:rsid w:val="001E4F18"/>
    <w:rsid w:val="001E71CF"/>
    <w:rsid w:val="001F049B"/>
    <w:rsid w:val="001F277B"/>
    <w:rsid w:val="001F3137"/>
    <w:rsid w:val="001F5838"/>
    <w:rsid w:val="00200E58"/>
    <w:rsid w:val="00204338"/>
    <w:rsid w:val="0020550F"/>
    <w:rsid w:val="002064D3"/>
    <w:rsid w:val="002106BF"/>
    <w:rsid w:val="00210B2C"/>
    <w:rsid w:val="0021100E"/>
    <w:rsid w:val="002176B8"/>
    <w:rsid w:val="002216AD"/>
    <w:rsid w:val="00221D99"/>
    <w:rsid w:val="00223A9F"/>
    <w:rsid w:val="0022674D"/>
    <w:rsid w:val="00227977"/>
    <w:rsid w:val="00227F17"/>
    <w:rsid w:val="0023449A"/>
    <w:rsid w:val="00234F83"/>
    <w:rsid w:val="00235F88"/>
    <w:rsid w:val="00237DF3"/>
    <w:rsid w:val="0024418A"/>
    <w:rsid w:val="00244A3B"/>
    <w:rsid w:val="00246B45"/>
    <w:rsid w:val="00250BFE"/>
    <w:rsid w:val="00255975"/>
    <w:rsid w:val="002562B6"/>
    <w:rsid w:val="002702F7"/>
    <w:rsid w:val="00272871"/>
    <w:rsid w:val="00273EAA"/>
    <w:rsid w:val="002743C5"/>
    <w:rsid w:val="00274FE6"/>
    <w:rsid w:val="00275D4D"/>
    <w:rsid w:val="00276702"/>
    <w:rsid w:val="0028328D"/>
    <w:rsid w:val="002838F5"/>
    <w:rsid w:val="00285362"/>
    <w:rsid w:val="00285BB6"/>
    <w:rsid w:val="00291995"/>
    <w:rsid w:val="00293468"/>
    <w:rsid w:val="0029491C"/>
    <w:rsid w:val="00297C7E"/>
    <w:rsid w:val="002A1C6A"/>
    <w:rsid w:val="002A4078"/>
    <w:rsid w:val="002A5CE0"/>
    <w:rsid w:val="002A72A1"/>
    <w:rsid w:val="002B2F3C"/>
    <w:rsid w:val="002B5985"/>
    <w:rsid w:val="002B6D62"/>
    <w:rsid w:val="002C24F7"/>
    <w:rsid w:val="002C2BF0"/>
    <w:rsid w:val="002C32AB"/>
    <w:rsid w:val="002C41F9"/>
    <w:rsid w:val="002C4417"/>
    <w:rsid w:val="002C4495"/>
    <w:rsid w:val="002C5AC8"/>
    <w:rsid w:val="002C76AB"/>
    <w:rsid w:val="002D0FCC"/>
    <w:rsid w:val="002D21BF"/>
    <w:rsid w:val="002D4536"/>
    <w:rsid w:val="002D5525"/>
    <w:rsid w:val="002D579A"/>
    <w:rsid w:val="002D616C"/>
    <w:rsid w:val="002E3973"/>
    <w:rsid w:val="002E4606"/>
    <w:rsid w:val="002E47AE"/>
    <w:rsid w:val="002F433D"/>
    <w:rsid w:val="002F48C8"/>
    <w:rsid w:val="002F55CE"/>
    <w:rsid w:val="002F76F5"/>
    <w:rsid w:val="003009DD"/>
    <w:rsid w:val="00314A8A"/>
    <w:rsid w:val="00317324"/>
    <w:rsid w:val="003207AC"/>
    <w:rsid w:val="0032091B"/>
    <w:rsid w:val="00324EC2"/>
    <w:rsid w:val="00325F49"/>
    <w:rsid w:val="003279F2"/>
    <w:rsid w:val="0033116C"/>
    <w:rsid w:val="00332285"/>
    <w:rsid w:val="0033294C"/>
    <w:rsid w:val="00342BA9"/>
    <w:rsid w:val="003454DC"/>
    <w:rsid w:val="003455BC"/>
    <w:rsid w:val="00354503"/>
    <w:rsid w:val="00356BCC"/>
    <w:rsid w:val="003620B5"/>
    <w:rsid w:val="003623F0"/>
    <w:rsid w:val="003636DE"/>
    <w:rsid w:val="00370164"/>
    <w:rsid w:val="003711CD"/>
    <w:rsid w:val="00375E80"/>
    <w:rsid w:val="0037640E"/>
    <w:rsid w:val="00380DB1"/>
    <w:rsid w:val="0038224D"/>
    <w:rsid w:val="00383BFC"/>
    <w:rsid w:val="00384611"/>
    <w:rsid w:val="00384CA0"/>
    <w:rsid w:val="003850E0"/>
    <w:rsid w:val="003870BA"/>
    <w:rsid w:val="003943B1"/>
    <w:rsid w:val="00395A89"/>
    <w:rsid w:val="00397FE0"/>
    <w:rsid w:val="003A06E9"/>
    <w:rsid w:val="003A101F"/>
    <w:rsid w:val="003A12CD"/>
    <w:rsid w:val="003A2FA8"/>
    <w:rsid w:val="003A3403"/>
    <w:rsid w:val="003A3703"/>
    <w:rsid w:val="003A3755"/>
    <w:rsid w:val="003A3A83"/>
    <w:rsid w:val="003A67CB"/>
    <w:rsid w:val="003B12BA"/>
    <w:rsid w:val="003B4770"/>
    <w:rsid w:val="003B6441"/>
    <w:rsid w:val="003B6D90"/>
    <w:rsid w:val="003C1335"/>
    <w:rsid w:val="003C20BF"/>
    <w:rsid w:val="003D065C"/>
    <w:rsid w:val="003D5616"/>
    <w:rsid w:val="003D5C64"/>
    <w:rsid w:val="003D7725"/>
    <w:rsid w:val="003E0600"/>
    <w:rsid w:val="003E0653"/>
    <w:rsid w:val="003E63FF"/>
    <w:rsid w:val="003E666B"/>
    <w:rsid w:val="003F0EE7"/>
    <w:rsid w:val="003F1A0C"/>
    <w:rsid w:val="003F3E19"/>
    <w:rsid w:val="00403E1B"/>
    <w:rsid w:val="00404007"/>
    <w:rsid w:val="00404423"/>
    <w:rsid w:val="004058C7"/>
    <w:rsid w:val="00406504"/>
    <w:rsid w:val="004075E4"/>
    <w:rsid w:val="004138AB"/>
    <w:rsid w:val="004207D3"/>
    <w:rsid w:val="00421E33"/>
    <w:rsid w:val="00423092"/>
    <w:rsid w:val="004253E8"/>
    <w:rsid w:val="00427EA9"/>
    <w:rsid w:val="00430998"/>
    <w:rsid w:val="004319BC"/>
    <w:rsid w:val="004350B0"/>
    <w:rsid w:val="00436373"/>
    <w:rsid w:val="00436CE5"/>
    <w:rsid w:val="00440153"/>
    <w:rsid w:val="00441373"/>
    <w:rsid w:val="0044371E"/>
    <w:rsid w:val="004462C8"/>
    <w:rsid w:val="00451DB5"/>
    <w:rsid w:val="00453FE3"/>
    <w:rsid w:val="00454BAC"/>
    <w:rsid w:val="004553F9"/>
    <w:rsid w:val="0045617A"/>
    <w:rsid w:val="00461F7E"/>
    <w:rsid w:val="0046276F"/>
    <w:rsid w:val="0046714C"/>
    <w:rsid w:val="00470AB4"/>
    <w:rsid w:val="00471525"/>
    <w:rsid w:val="00472E16"/>
    <w:rsid w:val="004734DF"/>
    <w:rsid w:val="0048351D"/>
    <w:rsid w:val="00484332"/>
    <w:rsid w:val="00486943"/>
    <w:rsid w:val="00490CD8"/>
    <w:rsid w:val="00491AFD"/>
    <w:rsid w:val="00492D5E"/>
    <w:rsid w:val="00494212"/>
    <w:rsid w:val="00494529"/>
    <w:rsid w:val="00495B91"/>
    <w:rsid w:val="00496D53"/>
    <w:rsid w:val="004A1D05"/>
    <w:rsid w:val="004A3AB1"/>
    <w:rsid w:val="004A4209"/>
    <w:rsid w:val="004A5408"/>
    <w:rsid w:val="004B0A03"/>
    <w:rsid w:val="004C18DF"/>
    <w:rsid w:val="004C1BBC"/>
    <w:rsid w:val="004C29E5"/>
    <w:rsid w:val="004C2B46"/>
    <w:rsid w:val="004C4B70"/>
    <w:rsid w:val="004C58B3"/>
    <w:rsid w:val="004D06B0"/>
    <w:rsid w:val="004D37B0"/>
    <w:rsid w:val="004D46FC"/>
    <w:rsid w:val="004D49EC"/>
    <w:rsid w:val="004D4C6D"/>
    <w:rsid w:val="004E01A4"/>
    <w:rsid w:val="004E03BC"/>
    <w:rsid w:val="004E4032"/>
    <w:rsid w:val="004F0CA9"/>
    <w:rsid w:val="004F0D43"/>
    <w:rsid w:val="004F33B8"/>
    <w:rsid w:val="004F6171"/>
    <w:rsid w:val="004F6742"/>
    <w:rsid w:val="004F709B"/>
    <w:rsid w:val="004F73E7"/>
    <w:rsid w:val="00503049"/>
    <w:rsid w:val="005036BB"/>
    <w:rsid w:val="005074A6"/>
    <w:rsid w:val="00507681"/>
    <w:rsid w:val="005107B7"/>
    <w:rsid w:val="005114D9"/>
    <w:rsid w:val="0051703A"/>
    <w:rsid w:val="00524471"/>
    <w:rsid w:val="00524E16"/>
    <w:rsid w:val="00534B03"/>
    <w:rsid w:val="00534C33"/>
    <w:rsid w:val="00536C6B"/>
    <w:rsid w:val="00536DB4"/>
    <w:rsid w:val="0054025D"/>
    <w:rsid w:val="005462C3"/>
    <w:rsid w:val="0055123E"/>
    <w:rsid w:val="00551543"/>
    <w:rsid w:val="00564C72"/>
    <w:rsid w:val="005665B5"/>
    <w:rsid w:val="005736CA"/>
    <w:rsid w:val="00573D5C"/>
    <w:rsid w:val="00574572"/>
    <w:rsid w:val="005769FC"/>
    <w:rsid w:val="00581C98"/>
    <w:rsid w:val="00583B50"/>
    <w:rsid w:val="00585A0C"/>
    <w:rsid w:val="00585CA4"/>
    <w:rsid w:val="0058618E"/>
    <w:rsid w:val="00590B85"/>
    <w:rsid w:val="005954FA"/>
    <w:rsid w:val="00597948"/>
    <w:rsid w:val="005A42A1"/>
    <w:rsid w:val="005A5738"/>
    <w:rsid w:val="005A76BE"/>
    <w:rsid w:val="005B1AC5"/>
    <w:rsid w:val="005B1E15"/>
    <w:rsid w:val="005B596F"/>
    <w:rsid w:val="005B61AF"/>
    <w:rsid w:val="005B6A25"/>
    <w:rsid w:val="005C3413"/>
    <w:rsid w:val="005C4647"/>
    <w:rsid w:val="005D1C2A"/>
    <w:rsid w:val="005D24CE"/>
    <w:rsid w:val="005D3655"/>
    <w:rsid w:val="005D3BF8"/>
    <w:rsid w:val="005D50BF"/>
    <w:rsid w:val="005D6A9C"/>
    <w:rsid w:val="005E0CF2"/>
    <w:rsid w:val="005E20E6"/>
    <w:rsid w:val="005E24A5"/>
    <w:rsid w:val="005E2AEA"/>
    <w:rsid w:val="005E6B70"/>
    <w:rsid w:val="005E7087"/>
    <w:rsid w:val="005F5773"/>
    <w:rsid w:val="005F6285"/>
    <w:rsid w:val="005F7CA7"/>
    <w:rsid w:val="00604202"/>
    <w:rsid w:val="00605C67"/>
    <w:rsid w:val="00610FFE"/>
    <w:rsid w:val="006122D8"/>
    <w:rsid w:val="0061247A"/>
    <w:rsid w:val="0061388E"/>
    <w:rsid w:val="00614E97"/>
    <w:rsid w:val="00614ECD"/>
    <w:rsid w:val="00615938"/>
    <w:rsid w:val="00615BD4"/>
    <w:rsid w:val="00616804"/>
    <w:rsid w:val="00616DAF"/>
    <w:rsid w:val="006204BA"/>
    <w:rsid w:val="00624B5C"/>
    <w:rsid w:val="00626621"/>
    <w:rsid w:val="0063014E"/>
    <w:rsid w:val="00630E74"/>
    <w:rsid w:val="0063663F"/>
    <w:rsid w:val="006436EB"/>
    <w:rsid w:val="0064501D"/>
    <w:rsid w:val="0065112D"/>
    <w:rsid w:val="0066134E"/>
    <w:rsid w:val="00666AB3"/>
    <w:rsid w:val="00671272"/>
    <w:rsid w:val="00673F76"/>
    <w:rsid w:val="00677E0A"/>
    <w:rsid w:val="006814BB"/>
    <w:rsid w:val="006840EB"/>
    <w:rsid w:val="00690528"/>
    <w:rsid w:val="006905D2"/>
    <w:rsid w:val="00691315"/>
    <w:rsid w:val="00691EA2"/>
    <w:rsid w:val="0069342C"/>
    <w:rsid w:val="006958EE"/>
    <w:rsid w:val="00695B0F"/>
    <w:rsid w:val="00697FDE"/>
    <w:rsid w:val="006A541C"/>
    <w:rsid w:val="006A5B3B"/>
    <w:rsid w:val="006A690F"/>
    <w:rsid w:val="006B1DA6"/>
    <w:rsid w:val="006B3216"/>
    <w:rsid w:val="006B3263"/>
    <w:rsid w:val="006C409C"/>
    <w:rsid w:val="006C7A4C"/>
    <w:rsid w:val="006D406B"/>
    <w:rsid w:val="006D5361"/>
    <w:rsid w:val="006E0A45"/>
    <w:rsid w:val="006E2845"/>
    <w:rsid w:val="006E2B32"/>
    <w:rsid w:val="006E6F0B"/>
    <w:rsid w:val="006F2B34"/>
    <w:rsid w:val="006F2E4C"/>
    <w:rsid w:val="006F58A2"/>
    <w:rsid w:val="006F732E"/>
    <w:rsid w:val="007057ED"/>
    <w:rsid w:val="0070672F"/>
    <w:rsid w:val="007074BA"/>
    <w:rsid w:val="00707B3A"/>
    <w:rsid w:val="0071050A"/>
    <w:rsid w:val="007105A6"/>
    <w:rsid w:val="0071096A"/>
    <w:rsid w:val="00711944"/>
    <w:rsid w:val="00715417"/>
    <w:rsid w:val="007164A5"/>
    <w:rsid w:val="00726DD4"/>
    <w:rsid w:val="00730F56"/>
    <w:rsid w:val="00731C46"/>
    <w:rsid w:val="0073335C"/>
    <w:rsid w:val="007377D3"/>
    <w:rsid w:val="007419B7"/>
    <w:rsid w:val="00743419"/>
    <w:rsid w:val="00743809"/>
    <w:rsid w:val="007446CB"/>
    <w:rsid w:val="00744E2C"/>
    <w:rsid w:val="00744EB2"/>
    <w:rsid w:val="0074734C"/>
    <w:rsid w:val="00752119"/>
    <w:rsid w:val="00754408"/>
    <w:rsid w:val="00760786"/>
    <w:rsid w:val="00760807"/>
    <w:rsid w:val="00761B44"/>
    <w:rsid w:val="007631C7"/>
    <w:rsid w:val="00763B3F"/>
    <w:rsid w:val="00763CCC"/>
    <w:rsid w:val="00764E49"/>
    <w:rsid w:val="007654F7"/>
    <w:rsid w:val="00767A01"/>
    <w:rsid w:val="00770652"/>
    <w:rsid w:val="0077393D"/>
    <w:rsid w:val="00773A2F"/>
    <w:rsid w:val="00776B1B"/>
    <w:rsid w:val="00776C72"/>
    <w:rsid w:val="0078258F"/>
    <w:rsid w:val="007846BC"/>
    <w:rsid w:val="00787A69"/>
    <w:rsid w:val="007906E8"/>
    <w:rsid w:val="00794B6E"/>
    <w:rsid w:val="00795DD2"/>
    <w:rsid w:val="007969A4"/>
    <w:rsid w:val="007A0114"/>
    <w:rsid w:val="007A4608"/>
    <w:rsid w:val="007A6A23"/>
    <w:rsid w:val="007B0940"/>
    <w:rsid w:val="007B1321"/>
    <w:rsid w:val="007B1904"/>
    <w:rsid w:val="007B208A"/>
    <w:rsid w:val="007B2F3F"/>
    <w:rsid w:val="007B523F"/>
    <w:rsid w:val="007C5457"/>
    <w:rsid w:val="007D0A18"/>
    <w:rsid w:val="007D3CF9"/>
    <w:rsid w:val="007D6370"/>
    <w:rsid w:val="007E092F"/>
    <w:rsid w:val="007E0968"/>
    <w:rsid w:val="007E0D76"/>
    <w:rsid w:val="007E3563"/>
    <w:rsid w:val="007E5EC0"/>
    <w:rsid w:val="007E7472"/>
    <w:rsid w:val="007E78C1"/>
    <w:rsid w:val="007F0A8A"/>
    <w:rsid w:val="007F100E"/>
    <w:rsid w:val="007F18EC"/>
    <w:rsid w:val="0080098A"/>
    <w:rsid w:val="00801761"/>
    <w:rsid w:val="00810027"/>
    <w:rsid w:val="008111EB"/>
    <w:rsid w:val="00812A11"/>
    <w:rsid w:val="008130C9"/>
    <w:rsid w:val="00813D02"/>
    <w:rsid w:val="00814833"/>
    <w:rsid w:val="008165FC"/>
    <w:rsid w:val="008166B4"/>
    <w:rsid w:val="008200F0"/>
    <w:rsid w:val="0082023B"/>
    <w:rsid w:val="0082033D"/>
    <w:rsid w:val="008222AD"/>
    <w:rsid w:val="00822E74"/>
    <w:rsid w:val="0083104D"/>
    <w:rsid w:val="008312FB"/>
    <w:rsid w:val="008349AE"/>
    <w:rsid w:val="00835806"/>
    <w:rsid w:val="0083583E"/>
    <w:rsid w:val="00837CF8"/>
    <w:rsid w:val="008435BE"/>
    <w:rsid w:val="00846D77"/>
    <w:rsid w:val="00852480"/>
    <w:rsid w:val="00855D60"/>
    <w:rsid w:val="008565B4"/>
    <w:rsid w:val="00856632"/>
    <w:rsid w:val="00856AC4"/>
    <w:rsid w:val="008571F8"/>
    <w:rsid w:val="00861EDD"/>
    <w:rsid w:val="00863FBA"/>
    <w:rsid w:val="0086598C"/>
    <w:rsid w:val="00867308"/>
    <w:rsid w:val="0087385E"/>
    <w:rsid w:val="00875FB0"/>
    <w:rsid w:val="00883795"/>
    <w:rsid w:val="00884A0D"/>
    <w:rsid w:val="00887592"/>
    <w:rsid w:val="0088777E"/>
    <w:rsid w:val="008967A9"/>
    <w:rsid w:val="008A40F8"/>
    <w:rsid w:val="008B0543"/>
    <w:rsid w:val="008B1ABF"/>
    <w:rsid w:val="008B58B0"/>
    <w:rsid w:val="008C0888"/>
    <w:rsid w:val="008C3505"/>
    <w:rsid w:val="008C62D8"/>
    <w:rsid w:val="008C7CD6"/>
    <w:rsid w:val="008D21F8"/>
    <w:rsid w:val="008D30EA"/>
    <w:rsid w:val="008D4FDE"/>
    <w:rsid w:val="008D55C8"/>
    <w:rsid w:val="008E20DE"/>
    <w:rsid w:val="008E4E65"/>
    <w:rsid w:val="008E672C"/>
    <w:rsid w:val="008F1770"/>
    <w:rsid w:val="008F5DFA"/>
    <w:rsid w:val="008F6408"/>
    <w:rsid w:val="00900B86"/>
    <w:rsid w:val="009013C5"/>
    <w:rsid w:val="00903E97"/>
    <w:rsid w:val="009061A4"/>
    <w:rsid w:val="00906252"/>
    <w:rsid w:val="00910848"/>
    <w:rsid w:val="00912E02"/>
    <w:rsid w:val="0091449F"/>
    <w:rsid w:val="009205AA"/>
    <w:rsid w:val="0092153A"/>
    <w:rsid w:val="00922184"/>
    <w:rsid w:val="00925C56"/>
    <w:rsid w:val="0092641E"/>
    <w:rsid w:val="009271A7"/>
    <w:rsid w:val="00927D16"/>
    <w:rsid w:val="00931325"/>
    <w:rsid w:val="00931E1A"/>
    <w:rsid w:val="00934F45"/>
    <w:rsid w:val="009361D9"/>
    <w:rsid w:val="00941C0B"/>
    <w:rsid w:val="00942024"/>
    <w:rsid w:val="00944550"/>
    <w:rsid w:val="00951534"/>
    <w:rsid w:val="009543FC"/>
    <w:rsid w:val="009550AD"/>
    <w:rsid w:val="009565D4"/>
    <w:rsid w:val="00956C74"/>
    <w:rsid w:val="00962303"/>
    <w:rsid w:val="00964FB0"/>
    <w:rsid w:val="009665A5"/>
    <w:rsid w:val="00967D7C"/>
    <w:rsid w:val="009704AB"/>
    <w:rsid w:val="00972A63"/>
    <w:rsid w:val="00972F13"/>
    <w:rsid w:val="0097318F"/>
    <w:rsid w:val="0097766E"/>
    <w:rsid w:val="009778E3"/>
    <w:rsid w:val="00977D73"/>
    <w:rsid w:val="00980603"/>
    <w:rsid w:val="00980B09"/>
    <w:rsid w:val="00983EDB"/>
    <w:rsid w:val="00986EA2"/>
    <w:rsid w:val="0099262A"/>
    <w:rsid w:val="0099751A"/>
    <w:rsid w:val="00997AB1"/>
    <w:rsid w:val="009A05F3"/>
    <w:rsid w:val="009A0CD2"/>
    <w:rsid w:val="009B3D0C"/>
    <w:rsid w:val="009B56DA"/>
    <w:rsid w:val="009C27CD"/>
    <w:rsid w:val="009D13BB"/>
    <w:rsid w:val="009D31B2"/>
    <w:rsid w:val="009D4644"/>
    <w:rsid w:val="009D50EB"/>
    <w:rsid w:val="009D5618"/>
    <w:rsid w:val="009D588E"/>
    <w:rsid w:val="009D7DBE"/>
    <w:rsid w:val="009E01FF"/>
    <w:rsid w:val="009E03E4"/>
    <w:rsid w:val="009E32F5"/>
    <w:rsid w:val="009E6279"/>
    <w:rsid w:val="009E747B"/>
    <w:rsid w:val="009F08CB"/>
    <w:rsid w:val="009F2649"/>
    <w:rsid w:val="009F340F"/>
    <w:rsid w:val="009F704C"/>
    <w:rsid w:val="00A0215D"/>
    <w:rsid w:val="00A029E1"/>
    <w:rsid w:val="00A02D43"/>
    <w:rsid w:val="00A039B0"/>
    <w:rsid w:val="00A03E6C"/>
    <w:rsid w:val="00A06666"/>
    <w:rsid w:val="00A105E0"/>
    <w:rsid w:val="00A111DD"/>
    <w:rsid w:val="00A161E7"/>
    <w:rsid w:val="00A23345"/>
    <w:rsid w:val="00A23487"/>
    <w:rsid w:val="00A23D0B"/>
    <w:rsid w:val="00A25177"/>
    <w:rsid w:val="00A3018B"/>
    <w:rsid w:val="00A3019A"/>
    <w:rsid w:val="00A3128D"/>
    <w:rsid w:val="00A324EA"/>
    <w:rsid w:val="00A33A46"/>
    <w:rsid w:val="00A33B8F"/>
    <w:rsid w:val="00A351D8"/>
    <w:rsid w:val="00A36383"/>
    <w:rsid w:val="00A450DB"/>
    <w:rsid w:val="00A45425"/>
    <w:rsid w:val="00A45B43"/>
    <w:rsid w:val="00A4794A"/>
    <w:rsid w:val="00A53338"/>
    <w:rsid w:val="00A533DE"/>
    <w:rsid w:val="00A53E2B"/>
    <w:rsid w:val="00A55969"/>
    <w:rsid w:val="00A707A1"/>
    <w:rsid w:val="00A72D77"/>
    <w:rsid w:val="00A734FC"/>
    <w:rsid w:val="00A753DD"/>
    <w:rsid w:val="00A80595"/>
    <w:rsid w:val="00A8126D"/>
    <w:rsid w:val="00A817CE"/>
    <w:rsid w:val="00A8234B"/>
    <w:rsid w:val="00A87C1F"/>
    <w:rsid w:val="00A908B5"/>
    <w:rsid w:val="00A928FA"/>
    <w:rsid w:val="00A9422A"/>
    <w:rsid w:val="00AA075C"/>
    <w:rsid w:val="00AA7B0B"/>
    <w:rsid w:val="00AB0393"/>
    <w:rsid w:val="00AB0588"/>
    <w:rsid w:val="00AB167E"/>
    <w:rsid w:val="00AB1CF1"/>
    <w:rsid w:val="00AB32CF"/>
    <w:rsid w:val="00AC59EB"/>
    <w:rsid w:val="00AC6D84"/>
    <w:rsid w:val="00AC76CD"/>
    <w:rsid w:val="00AD049D"/>
    <w:rsid w:val="00AD0A26"/>
    <w:rsid w:val="00AD2235"/>
    <w:rsid w:val="00AD2904"/>
    <w:rsid w:val="00AD2DBF"/>
    <w:rsid w:val="00AE5530"/>
    <w:rsid w:val="00AE78DD"/>
    <w:rsid w:val="00AF0F5D"/>
    <w:rsid w:val="00AF3E11"/>
    <w:rsid w:val="00AF40E9"/>
    <w:rsid w:val="00B02599"/>
    <w:rsid w:val="00B04E14"/>
    <w:rsid w:val="00B06128"/>
    <w:rsid w:val="00B14060"/>
    <w:rsid w:val="00B16B3C"/>
    <w:rsid w:val="00B219AF"/>
    <w:rsid w:val="00B223FF"/>
    <w:rsid w:val="00B25EE3"/>
    <w:rsid w:val="00B2686F"/>
    <w:rsid w:val="00B269D4"/>
    <w:rsid w:val="00B30013"/>
    <w:rsid w:val="00B32590"/>
    <w:rsid w:val="00B3357C"/>
    <w:rsid w:val="00B36114"/>
    <w:rsid w:val="00B40126"/>
    <w:rsid w:val="00B444BB"/>
    <w:rsid w:val="00B518F2"/>
    <w:rsid w:val="00B53740"/>
    <w:rsid w:val="00B55208"/>
    <w:rsid w:val="00B56BBE"/>
    <w:rsid w:val="00B61C4A"/>
    <w:rsid w:val="00B61EC9"/>
    <w:rsid w:val="00B6437C"/>
    <w:rsid w:val="00B64CA5"/>
    <w:rsid w:val="00B651D7"/>
    <w:rsid w:val="00B679AD"/>
    <w:rsid w:val="00B72FC3"/>
    <w:rsid w:val="00B732BF"/>
    <w:rsid w:val="00B74BB1"/>
    <w:rsid w:val="00B7744A"/>
    <w:rsid w:val="00B775AE"/>
    <w:rsid w:val="00B778A7"/>
    <w:rsid w:val="00B81B95"/>
    <w:rsid w:val="00B82D4D"/>
    <w:rsid w:val="00B84108"/>
    <w:rsid w:val="00B85864"/>
    <w:rsid w:val="00B85EB3"/>
    <w:rsid w:val="00B862AF"/>
    <w:rsid w:val="00B87EE6"/>
    <w:rsid w:val="00B92343"/>
    <w:rsid w:val="00B9260A"/>
    <w:rsid w:val="00B93239"/>
    <w:rsid w:val="00B96ABD"/>
    <w:rsid w:val="00BA6720"/>
    <w:rsid w:val="00BB015D"/>
    <w:rsid w:val="00BB0178"/>
    <w:rsid w:val="00BB040D"/>
    <w:rsid w:val="00BB70F8"/>
    <w:rsid w:val="00BC2513"/>
    <w:rsid w:val="00BC301D"/>
    <w:rsid w:val="00BC54B2"/>
    <w:rsid w:val="00BC5E40"/>
    <w:rsid w:val="00BD108C"/>
    <w:rsid w:val="00BD290E"/>
    <w:rsid w:val="00BE0C15"/>
    <w:rsid w:val="00BE35CB"/>
    <w:rsid w:val="00BE5A44"/>
    <w:rsid w:val="00BF18DC"/>
    <w:rsid w:val="00BF250B"/>
    <w:rsid w:val="00BF61AC"/>
    <w:rsid w:val="00C01E0F"/>
    <w:rsid w:val="00C020CB"/>
    <w:rsid w:val="00C02363"/>
    <w:rsid w:val="00C03C25"/>
    <w:rsid w:val="00C03F0C"/>
    <w:rsid w:val="00C04B4F"/>
    <w:rsid w:val="00C13DE2"/>
    <w:rsid w:val="00C14408"/>
    <w:rsid w:val="00C14776"/>
    <w:rsid w:val="00C17CCE"/>
    <w:rsid w:val="00C17F58"/>
    <w:rsid w:val="00C21D3B"/>
    <w:rsid w:val="00C2551C"/>
    <w:rsid w:val="00C2560F"/>
    <w:rsid w:val="00C307E7"/>
    <w:rsid w:val="00C337DA"/>
    <w:rsid w:val="00C33BF7"/>
    <w:rsid w:val="00C34A92"/>
    <w:rsid w:val="00C35374"/>
    <w:rsid w:val="00C35829"/>
    <w:rsid w:val="00C36245"/>
    <w:rsid w:val="00C370A7"/>
    <w:rsid w:val="00C37703"/>
    <w:rsid w:val="00C42575"/>
    <w:rsid w:val="00C4490D"/>
    <w:rsid w:val="00C4717C"/>
    <w:rsid w:val="00C50A8A"/>
    <w:rsid w:val="00C51704"/>
    <w:rsid w:val="00C57E90"/>
    <w:rsid w:val="00C62F1C"/>
    <w:rsid w:val="00C6380F"/>
    <w:rsid w:val="00C72320"/>
    <w:rsid w:val="00C728CB"/>
    <w:rsid w:val="00C73070"/>
    <w:rsid w:val="00C73DA3"/>
    <w:rsid w:val="00C744A3"/>
    <w:rsid w:val="00C74929"/>
    <w:rsid w:val="00C77DA6"/>
    <w:rsid w:val="00C80640"/>
    <w:rsid w:val="00C81DB5"/>
    <w:rsid w:val="00C842D2"/>
    <w:rsid w:val="00C900FF"/>
    <w:rsid w:val="00C9377B"/>
    <w:rsid w:val="00C93D88"/>
    <w:rsid w:val="00C955A8"/>
    <w:rsid w:val="00CA0357"/>
    <w:rsid w:val="00CA108C"/>
    <w:rsid w:val="00CA27C0"/>
    <w:rsid w:val="00CB3FC8"/>
    <w:rsid w:val="00CB442A"/>
    <w:rsid w:val="00CB588B"/>
    <w:rsid w:val="00CB6F8D"/>
    <w:rsid w:val="00CD1469"/>
    <w:rsid w:val="00CD2213"/>
    <w:rsid w:val="00CD4B2E"/>
    <w:rsid w:val="00CD4DE4"/>
    <w:rsid w:val="00CD5757"/>
    <w:rsid w:val="00CD596A"/>
    <w:rsid w:val="00CD6527"/>
    <w:rsid w:val="00CD685C"/>
    <w:rsid w:val="00CD6B3F"/>
    <w:rsid w:val="00CE2A60"/>
    <w:rsid w:val="00CE624A"/>
    <w:rsid w:val="00CF0D47"/>
    <w:rsid w:val="00CF3E63"/>
    <w:rsid w:val="00CF40A2"/>
    <w:rsid w:val="00CF561E"/>
    <w:rsid w:val="00CF69DC"/>
    <w:rsid w:val="00D00360"/>
    <w:rsid w:val="00D012D8"/>
    <w:rsid w:val="00D03219"/>
    <w:rsid w:val="00D106CB"/>
    <w:rsid w:val="00D11B5E"/>
    <w:rsid w:val="00D143BA"/>
    <w:rsid w:val="00D15AF8"/>
    <w:rsid w:val="00D20DD2"/>
    <w:rsid w:val="00D21A9C"/>
    <w:rsid w:val="00D22D36"/>
    <w:rsid w:val="00D23149"/>
    <w:rsid w:val="00D276A8"/>
    <w:rsid w:val="00D3360F"/>
    <w:rsid w:val="00D34EEE"/>
    <w:rsid w:val="00D3571A"/>
    <w:rsid w:val="00D37BAF"/>
    <w:rsid w:val="00D41AF4"/>
    <w:rsid w:val="00D45694"/>
    <w:rsid w:val="00D46038"/>
    <w:rsid w:val="00D51B1E"/>
    <w:rsid w:val="00D524A2"/>
    <w:rsid w:val="00D578BC"/>
    <w:rsid w:val="00D60E38"/>
    <w:rsid w:val="00D62CDD"/>
    <w:rsid w:val="00D63539"/>
    <w:rsid w:val="00D64360"/>
    <w:rsid w:val="00D73536"/>
    <w:rsid w:val="00D8169A"/>
    <w:rsid w:val="00D85D70"/>
    <w:rsid w:val="00D87A73"/>
    <w:rsid w:val="00D90E4A"/>
    <w:rsid w:val="00D92C41"/>
    <w:rsid w:val="00D96598"/>
    <w:rsid w:val="00D97947"/>
    <w:rsid w:val="00D979EA"/>
    <w:rsid w:val="00DA02B9"/>
    <w:rsid w:val="00DA03CE"/>
    <w:rsid w:val="00DA17AE"/>
    <w:rsid w:val="00DA26D6"/>
    <w:rsid w:val="00DA42EA"/>
    <w:rsid w:val="00DA62C0"/>
    <w:rsid w:val="00DA7FEA"/>
    <w:rsid w:val="00DB269B"/>
    <w:rsid w:val="00DB276B"/>
    <w:rsid w:val="00DB4840"/>
    <w:rsid w:val="00DB67F8"/>
    <w:rsid w:val="00DB75E5"/>
    <w:rsid w:val="00DC0148"/>
    <w:rsid w:val="00DC02B5"/>
    <w:rsid w:val="00DC15BA"/>
    <w:rsid w:val="00DC1713"/>
    <w:rsid w:val="00DC21E3"/>
    <w:rsid w:val="00DC2A67"/>
    <w:rsid w:val="00DC32F1"/>
    <w:rsid w:val="00DC47A2"/>
    <w:rsid w:val="00DD1685"/>
    <w:rsid w:val="00DD27D1"/>
    <w:rsid w:val="00DD380C"/>
    <w:rsid w:val="00DD45B6"/>
    <w:rsid w:val="00DD63C5"/>
    <w:rsid w:val="00DE14D8"/>
    <w:rsid w:val="00DE221A"/>
    <w:rsid w:val="00DE2334"/>
    <w:rsid w:val="00DE3D83"/>
    <w:rsid w:val="00DE5C1E"/>
    <w:rsid w:val="00DE7BE3"/>
    <w:rsid w:val="00DF1F29"/>
    <w:rsid w:val="00DF3AE3"/>
    <w:rsid w:val="00DF472C"/>
    <w:rsid w:val="00DF68F0"/>
    <w:rsid w:val="00DF6CDE"/>
    <w:rsid w:val="00E0113D"/>
    <w:rsid w:val="00E02BE5"/>
    <w:rsid w:val="00E039CB"/>
    <w:rsid w:val="00E057D4"/>
    <w:rsid w:val="00E0746D"/>
    <w:rsid w:val="00E1423B"/>
    <w:rsid w:val="00E17AC5"/>
    <w:rsid w:val="00E21BF9"/>
    <w:rsid w:val="00E317E1"/>
    <w:rsid w:val="00E33231"/>
    <w:rsid w:val="00E37677"/>
    <w:rsid w:val="00E41A26"/>
    <w:rsid w:val="00E44A1B"/>
    <w:rsid w:val="00E5049D"/>
    <w:rsid w:val="00E50D1B"/>
    <w:rsid w:val="00E52DDB"/>
    <w:rsid w:val="00E53FA2"/>
    <w:rsid w:val="00E6186E"/>
    <w:rsid w:val="00E72F03"/>
    <w:rsid w:val="00E7429A"/>
    <w:rsid w:val="00E75BD9"/>
    <w:rsid w:val="00E75D89"/>
    <w:rsid w:val="00E7693C"/>
    <w:rsid w:val="00E84434"/>
    <w:rsid w:val="00E86B3F"/>
    <w:rsid w:val="00E90200"/>
    <w:rsid w:val="00E91364"/>
    <w:rsid w:val="00E91B72"/>
    <w:rsid w:val="00E96226"/>
    <w:rsid w:val="00E9781C"/>
    <w:rsid w:val="00EA0512"/>
    <w:rsid w:val="00EA31A8"/>
    <w:rsid w:val="00EB1362"/>
    <w:rsid w:val="00EB1F0B"/>
    <w:rsid w:val="00EB30F5"/>
    <w:rsid w:val="00EB3207"/>
    <w:rsid w:val="00EB5C8B"/>
    <w:rsid w:val="00EC26F4"/>
    <w:rsid w:val="00EC3CC1"/>
    <w:rsid w:val="00EC47CA"/>
    <w:rsid w:val="00EC5821"/>
    <w:rsid w:val="00EC6B60"/>
    <w:rsid w:val="00ED113C"/>
    <w:rsid w:val="00ED263C"/>
    <w:rsid w:val="00ED2A92"/>
    <w:rsid w:val="00ED407E"/>
    <w:rsid w:val="00ED503D"/>
    <w:rsid w:val="00EE11FD"/>
    <w:rsid w:val="00EE1D07"/>
    <w:rsid w:val="00EE2531"/>
    <w:rsid w:val="00EF16CD"/>
    <w:rsid w:val="00EF5E2E"/>
    <w:rsid w:val="00EF60E5"/>
    <w:rsid w:val="00EF7AE2"/>
    <w:rsid w:val="00F01EB9"/>
    <w:rsid w:val="00F03AFD"/>
    <w:rsid w:val="00F04294"/>
    <w:rsid w:val="00F04D0C"/>
    <w:rsid w:val="00F057F4"/>
    <w:rsid w:val="00F13235"/>
    <w:rsid w:val="00F14027"/>
    <w:rsid w:val="00F1494E"/>
    <w:rsid w:val="00F1754E"/>
    <w:rsid w:val="00F22A90"/>
    <w:rsid w:val="00F23798"/>
    <w:rsid w:val="00F25F44"/>
    <w:rsid w:val="00F260AC"/>
    <w:rsid w:val="00F26DFB"/>
    <w:rsid w:val="00F27043"/>
    <w:rsid w:val="00F32C54"/>
    <w:rsid w:val="00F32E6E"/>
    <w:rsid w:val="00F33C8A"/>
    <w:rsid w:val="00F4263A"/>
    <w:rsid w:val="00F4531E"/>
    <w:rsid w:val="00F47E96"/>
    <w:rsid w:val="00F50A3A"/>
    <w:rsid w:val="00F523A3"/>
    <w:rsid w:val="00F52854"/>
    <w:rsid w:val="00F60672"/>
    <w:rsid w:val="00F62A1E"/>
    <w:rsid w:val="00F639A9"/>
    <w:rsid w:val="00F64AE9"/>
    <w:rsid w:val="00F64DB9"/>
    <w:rsid w:val="00F65513"/>
    <w:rsid w:val="00F7594B"/>
    <w:rsid w:val="00F8505E"/>
    <w:rsid w:val="00F85399"/>
    <w:rsid w:val="00F86F23"/>
    <w:rsid w:val="00F90076"/>
    <w:rsid w:val="00F90970"/>
    <w:rsid w:val="00F91075"/>
    <w:rsid w:val="00F911FE"/>
    <w:rsid w:val="00F93183"/>
    <w:rsid w:val="00F96559"/>
    <w:rsid w:val="00FA035F"/>
    <w:rsid w:val="00FA4C1D"/>
    <w:rsid w:val="00FA686C"/>
    <w:rsid w:val="00FA6932"/>
    <w:rsid w:val="00FA7A91"/>
    <w:rsid w:val="00FB17E9"/>
    <w:rsid w:val="00FB3972"/>
    <w:rsid w:val="00FB3E5D"/>
    <w:rsid w:val="00FB61A2"/>
    <w:rsid w:val="00FB70DE"/>
    <w:rsid w:val="00FC29EB"/>
    <w:rsid w:val="00FC2BD1"/>
    <w:rsid w:val="00FC362E"/>
    <w:rsid w:val="00FC4A43"/>
    <w:rsid w:val="00FC63F3"/>
    <w:rsid w:val="00FC6654"/>
    <w:rsid w:val="00FD0774"/>
    <w:rsid w:val="00FD17C2"/>
    <w:rsid w:val="00FD365B"/>
    <w:rsid w:val="00FD4006"/>
    <w:rsid w:val="00FD634F"/>
    <w:rsid w:val="00FE0A7C"/>
    <w:rsid w:val="00FE2611"/>
    <w:rsid w:val="00FF00B4"/>
    <w:rsid w:val="00FF2067"/>
    <w:rsid w:val="00FF224D"/>
    <w:rsid w:val="00FF3FFA"/>
    <w:rsid w:val="00FF45D5"/>
    <w:rsid w:val="00FF4840"/>
    <w:rsid w:val="00FF50F6"/>
    <w:rsid w:val="00FF5A01"/>
    <w:rsid w:val="00FF6542"/>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colormru v:ext="edit" colors="#e1e1ff,#069,#bad1e8,#afd787,#cde6b4,#d1e8ba,#0000ac"/>
    </o:shapedefaults>
    <o:shapelayout v:ext="edit">
      <o:idmap v:ext="edit" data="1"/>
    </o:shapelayout>
  </w:shapeDefaults>
  <w:decimalSymbol w:val="."/>
  <w:listSeparator w:val=","/>
  <w14:docId w14:val="6CC8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CB"/>
    <w:pPr>
      <w:spacing w:after="180" w:line="264" w:lineRule="auto"/>
    </w:pPr>
    <w:rPr>
      <w:sz w:val="22"/>
    </w:rPr>
  </w:style>
  <w:style w:type="paragraph" w:styleId="Heading1">
    <w:name w:val="heading 1"/>
    <w:basedOn w:val="Normal"/>
    <w:next w:val="BodyText"/>
    <w:qFormat/>
    <w:rsid w:val="00D979EA"/>
    <w:pPr>
      <w:keepNext/>
      <w:keepLines/>
      <w:pageBreakBefore/>
      <w:numPr>
        <w:numId w:val="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C728CB"/>
    <w:pPr>
      <w:keepNext/>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5"/>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5"/>
      </w:numPr>
      <w:spacing w:before="60" w:after="60"/>
      <w:outlineLvl w:val="4"/>
    </w:pPr>
    <w:rPr>
      <w:b/>
      <w:i/>
      <w:color w:val="DA291C"/>
    </w:rPr>
  </w:style>
  <w:style w:type="paragraph" w:styleId="Heading6">
    <w:name w:val="heading 6"/>
    <w:basedOn w:val="Normal"/>
    <w:next w:val="Normal"/>
    <w:qFormat/>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0C41F5"/>
    <w:pPr>
      <w:spacing w:before="20" w:after="20"/>
      <w:jc w:val="center"/>
    </w:pPr>
    <w:rPr>
      <w:rFonts w:ascii="Arial Narrow" w:hAnsi="Arial Narrow"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728CB"/>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0C41F5"/>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4138AB"/>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4138AB"/>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C728CB"/>
    <w:pPr>
      <w:spacing w:before="20" w:after="20"/>
    </w:pPr>
    <w:rPr>
      <w:rFonts w:ascii="Arial Narrow" w:hAnsi="Arial Narrow"/>
    </w:rPr>
  </w:style>
  <w:style w:type="paragraph" w:customStyle="1" w:styleId="ExhibitColumnHeader">
    <w:name w:val="Exhibit Column Header"/>
    <w:basedOn w:val="ExhibitRowHeader"/>
    <w:qFormat/>
    <w:rsid w:val="00A8234B"/>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outlineLvl w:val="9"/>
    </w:pPr>
  </w:style>
  <w:style w:type="paragraph" w:customStyle="1" w:styleId="BodyTextSS">
    <w:name w:val="Body Text SS"/>
    <w:basedOn w:val="BodyText"/>
    <w:qFormat/>
    <w:rsid w:val="00F7594B"/>
    <w:pPr>
      <w:spacing w:after="0"/>
    </w:pPr>
  </w:style>
  <w:style w:type="paragraph" w:customStyle="1" w:styleId="ExhibitBullet1">
    <w:name w:val="Exhibit Bullet1"/>
    <w:basedOn w:val="ListParagraph"/>
    <w:qFormat/>
    <w:rsid w:val="0024418A"/>
    <w:pPr>
      <w:numPr>
        <w:numId w:val="11"/>
      </w:numPr>
      <w:tabs>
        <w:tab w:val="num" w:pos="1080"/>
      </w:tabs>
      <w:spacing w:before="20" w:after="20"/>
      <w:ind w:left="187" w:hanging="187"/>
      <w:contextualSpacing w:val="0"/>
    </w:pPr>
    <w:rPr>
      <w:rFonts w:ascii="Arial Narrow" w:hAnsi="Arial Narrow"/>
      <w:spacing w:val="-4"/>
      <w:sz w:val="20"/>
    </w:rPr>
  </w:style>
  <w:style w:type="paragraph" w:styleId="ListParagraph">
    <w:name w:val="List Paragraph"/>
    <w:basedOn w:val="Normal"/>
    <w:uiPriority w:val="34"/>
    <w:qFormat/>
    <w:rsid w:val="00A3019A"/>
    <w:pPr>
      <w:ind w:left="720"/>
      <w:contextualSpacing/>
    </w:pPr>
  </w:style>
  <w:style w:type="character" w:customStyle="1" w:styleId="BalloonTextChar">
    <w:name w:val="Balloon Text Char"/>
    <w:basedOn w:val="DefaultParagraphFont"/>
    <w:link w:val="BalloonText"/>
    <w:uiPriority w:val="99"/>
    <w:semiHidden/>
    <w:rsid w:val="00507681"/>
    <w:rPr>
      <w:rFonts w:ascii="Tahoma" w:hAnsi="Tahoma" w:cs="Tahoma"/>
      <w:sz w:val="16"/>
      <w:szCs w:val="16"/>
    </w:rPr>
  </w:style>
  <w:style w:type="paragraph" w:styleId="Revision">
    <w:name w:val="Revision"/>
    <w:hidden/>
    <w:uiPriority w:val="99"/>
    <w:semiHidden/>
    <w:rsid w:val="000B1B78"/>
    <w:rPr>
      <w:sz w:val="22"/>
    </w:rPr>
  </w:style>
  <w:style w:type="paragraph" w:styleId="Bibliography">
    <w:name w:val="Bibliography"/>
    <w:basedOn w:val="Normal"/>
    <w:next w:val="Normal"/>
    <w:uiPriority w:val="37"/>
    <w:unhideWhenUsed/>
    <w:rsid w:val="00186223"/>
  </w:style>
  <w:style w:type="character" w:customStyle="1" w:styleId="slug-doi-wrapper">
    <w:name w:val="slug-doi-wrapper"/>
    <w:basedOn w:val="DefaultParagraphFont"/>
    <w:rsid w:val="007C5457"/>
  </w:style>
  <w:style w:type="character" w:customStyle="1" w:styleId="slug-doi">
    <w:name w:val="slug-doi"/>
    <w:basedOn w:val="DefaultParagraphFont"/>
    <w:rsid w:val="007C5457"/>
  </w:style>
  <w:style w:type="character" w:customStyle="1" w:styleId="CommentTextChar">
    <w:name w:val="Comment Text Char"/>
    <w:basedOn w:val="DefaultParagraphFont"/>
    <w:link w:val="CommentText"/>
    <w:semiHidden/>
    <w:rsid w:val="001457DF"/>
  </w:style>
  <w:style w:type="table" w:customStyle="1" w:styleId="TableGridLight1">
    <w:name w:val="Table Grid Light1"/>
    <w:basedOn w:val="TableNormal"/>
    <w:uiPriority w:val="40"/>
    <w:rsid w:val="00A8234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FMLA-OMB">
    <w:name w:val="FMLA-OMB"/>
    <w:basedOn w:val="TableNormal"/>
    <w:uiPriority w:val="99"/>
    <w:rsid w:val="000C41F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C3C6A8" w:themeFill="accent4"/>
        <w:vAlign w:val="bottom"/>
      </w:tcPr>
    </w:tblStylePr>
    <w:tblStylePr w:type="band2Horz">
      <w:tblPr/>
      <w:tcPr>
        <w:shd w:val="clear" w:color="auto" w:fill="E7E8E8" w:themeFill="tex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CB"/>
    <w:pPr>
      <w:spacing w:after="180" w:line="264" w:lineRule="auto"/>
    </w:pPr>
    <w:rPr>
      <w:sz w:val="22"/>
    </w:rPr>
  </w:style>
  <w:style w:type="paragraph" w:styleId="Heading1">
    <w:name w:val="heading 1"/>
    <w:basedOn w:val="Normal"/>
    <w:next w:val="BodyText"/>
    <w:qFormat/>
    <w:rsid w:val="00D979EA"/>
    <w:pPr>
      <w:keepNext/>
      <w:keepLines/>
      <w:pageBreakBefore/>
      <w:numPr>
        <w:numId w:val="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5"/>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C728CB"/>
    <w:pPr>
      <w:keepNext/>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5"/>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5"/>
      </w:numPr>
      <w:spacing w:before="60" w:after="60"/>
      <w:outlineLvl w:val="4"/>
    </w:pPr>
    <w:rPr>
      <w:b/>
      <w:i/>
      <w:color w:val="DA291C"/>
    </w:rPr>
  </w:style>
  <w:style w:type="paragraph" w:styleId="Heading6">
    <w:name w:val="heading 6"/>
    <w:basedOn w:val="Normal"/>
    <w:next w:val="Normal"/>
    <w:qFormat/>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0C41F5"/>
    <w:pPr>
      <w:spacing w:before="20" w:after="20"/>
      <w:jc w:val="center"/>
    </w:pPr>
    <w:rPr>
      <w:rFonts w:ascii="Arial Narrow" w:hAnsi="Arial Narrow"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728CB"/>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0C41F5"/>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4138AB"/>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4138AB"/>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C728CB"/>
    <w:pPr>
      <w:spacing w:before="20" w:after="20"/>
    </w:pPr>
    <w:rPr>
      <w:rFonts w:ascii="Arial Narrow" w:hAnsi="Arial Narrow"/>
    </w:rPr>
  </w:style>
  <w:style w:type="paragraph" w:customStyle="1" w:styleId="ExhibitColumnHeader">
    <w:name w:val="Exhibit Column Header"/>
    <w:basedOn w:val="ExhibitRowHeader"/>
    <w:qFormat/>
    <w:rsid w:val="00A8234B"/>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outlineLvl w:val="9"/>
    </w:pPr>
  </w:style>
  <w:style w:type="paragraph" w:customStyle="1" w:styleId="BodyTextSS">
    <w:name w:val="Body Text SS"/>
    <w:basedOn w:val="BodyText"/>
    <w:qFormat/>
    <w:rsid w:val="00F7594B"/>
    <w:pPr>
      <w:spacing w:after="0"/>
    </w:pPr>
  </w:style>
  <w:style w:type="paragraph" w:customStyle="1" w:styleId="ExhibitBullet1">
    <w:name w:val="Exhibit Bullet1"/>
    <w:basedOn w:val="ListParagraph"/>
    <w:qFormat/>
    <w:rsid w:val="0024418A"/>
    <w:pPr>
      <w:numPr>
        <w:numId w:val="11"/>
      </w:numPr>
      <w:tabs>
        <w:tab w:val="num" w:pos="1080"/>
      </w:tabs>
      <w:spacing w:before="20" w:after="20"/>
      <w:ind w:left="187" w:hanging="187"/>
      <w:contextualSpacing w:val="0"/>
    </w:pPr>
    <w:rPr>
      <w:rFonts w:ascii="Arial Narrow" w:hAnsi="Arial Narrow"/>
      <w:spacing w:val="-4"/>
      <w:sz w:val="20"/>
    </w:rPr>
  </w:style>
  <w:style w:type="paragraph" w:styleId="ListParagraph">
    <w:name w:val="List Paragraph"/>
    <w:basedOn w:val="Normal"/>
    <w:uiPriority w:val="34"/>
    <w:qFormat/>
    <w:rsid w:val="00A3019A"/>
    <w:pPr>
      <w:ind w:left="720"/>
      <w:contextualSpacing/>
    </w:pPr>
  </w:style>
  <w:style w:type="character" w:customStyle="1" w:styleId="BalloonTextChar">
    <w:name w:val="Balloon Text Char"/>
    <w:basedOn w:val="DefaultParagraphFont"/>
    <w:link w:val="BalloonText"/>
    <w:uiPriority w:val="99"/>
    <w:semiHidden/>
    <w:rsid w:val="00507681"/>
    <w:rPr>
      <w:rFonts w:ascii="Tahoma" w:hAnsi="Tahoma" w:cs="Tahoma"/>
      <w:sz w:val="16"/>
      <w:szCs w:val="16"/>
    </w:rPr>
  </w:style>
  <w:style w:type="paragraph" w:styleId="Revision">
    <w:name w:val="Revision"/>
    <w:hidden/>
    <w:uiPriority w:val="99"/>
    <w:semiHidden/>
    <w:rsid w:val="000B1B78"/>
    <w:rPr>
      <w:sz w:val="22"/>
    </w:rPr>
  </w:style>
  <w:style w:type="paragraph" w:styleId="Bibliography">
    <w:name w:val="Bibliography"/>
    <w:basedOn w:val="Normal"/>
    <w:next w:val="Normal"/>
    <w:uiPriority w:val="37"/>
    <w:unhideWhenUsed/>
    <w:rsid w:val="00186223"/>
  </w:style>
  <w:style w:type="character" w:customStyle="1" w:styleId="slug-doi-wrapper">
    <w:name w:val="slug-doi-wrapper"/>
    <w:basedOn w:val="DefaultParagraphFont"/>
    <w:rsid w:val="007C5457"/>
  </w:style>
  <w:style w:type="character" w:customStyle="1" w:styleId="slug-doi">
    <w:name w:val="slug-doi"/>
    <w:basedOn w:val="DefaultParagraphFont"/>
    <w:rsid w:val="007C5457"/>
  </w:style>
  <w:style w:type="character" w:customStyle="1" w:styleId="CommentTextChar">
    <w:name w:val="Comment Text Char"/>
    <w:basedOn w:val="DefaultParagraphFont"/>
    <w:link w:val="CommentText"/>
    <w:semiHidden/>
    <w:rsid w:val="001457DF"/>
  </w:style>
  <w:style w:type="table" w:customStyle="1" w:styleId="TableGridLight1">
    <w:name w:val="Table Grid Light1"/>
    <w:basedOn w:val="TableNormal"/>
    <w:uiPriority w:val="40"/>
    <w:rsid w:val="00A8234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FMLA-OMB">
    <w:name w:val="FMLA-OMB"/>
    <w:basedOn w:val="TableNormal"/>
    <w:uiPriority w:val="99"/>
    <w:rsid w:val="000C41F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C3C6A8" w:themeFill="accent4"/>
        <w:vAlign w:val="bottom"/>
      </w:tcPr>
    </w:tblStylePr>
    <w:tblStylePr w:type="band2Horz">
      <w:tblPr/>
      <w:tcPr>
        <w:shd w:val="clear" w:color="auto" w:fill="E7E8E8" w:themeFill="tex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6137">
      <w:bodyDiv w:val="1"/>
      <w:marLeft w:val="0"/>
      <w:marRight w:val="0"/>
      <w:marTop w:val="0"/>
      <w:marBottom w:val="0"/>
      <w:divBdr>
        <w:top w:val="none" w:sz="0" w:space="0" w:color="auto"/>
        <w:left w:val="none" w:sz="0" w:space="0" w:color="auto"/>
        <w:bottom w:val="none" w:sz="0" w:space="0" w:color="auto"/>
        <w:right w:val="none" w:sz="0" w:space="0" w:color="auto"/>
      </w:divBdr>
    </w:div>
    <w:div w:id="191455670">
      <w:bodyDiv w:val="1"/>
      <w:marLeft w:val="0"/>
      <w:marRight w:val="0"/>
      <w:marTop w:val="0"/>
      <w:marBottom w:val="0"/>
      <w:divBdr>
        <w:top w:val="none" w:sz="0" w:space="0" w:color="auto"/>
        <w:left w:val="none" w:sz="0" w:space="0" w:color="auto"/>
        <w:bottom w:val="none" w:sz="0" w:space="0" w:color="auto"/>
        <w:right w:val="none" w:sz="0" w:space="0" w:color="auto"/>
      </w:divBdr>
    </w:div>
    <w:div w:id="318580315">
      <w:bodyDiv w:val="1"/>
      <w:marLeft w:val="0"/>
      <w:marRight w:val="0"/>
      <w:marTop w:val="0"/>
      <w:marBottom w:val="0"/>
      <w:divBdr>
        <w:top w:val="none" w:sz="0" w:space="0" w:color="auto"/>
        <w:left w:val="none" w:sz="0" w:space="0" w:color="auto"/>
        <w:bottom w:val="none" w:sz="0" w:space="0" w:color="auto"/>
        <w:right w:val="none" w:sz="0" w:space="0" w:color="auto"/>
      </w:divBdr>
    </w:div>
    <w:div w:id="401416059">
      <w:bodyDiv w:val="1"/>
      <w:marLeft w:val="0"/>
      <w:marRight w:val="0"/>
      <w:marTop w:val="0"/>
      <w:marBottom w:val="0"/>
      <w:divBdr>
        <w:top w:val="none" w:sz="0" w:space="0" w:color="auto"/>
        <w:left w:val="none" w:sz="0" w:space="0" w:color="auto"/>
        <w:bottom w:val="none" w:sz="0" w:space="0" w:color="auto"/>
        <w:right w:val="none" w:sz="0" w:space="0" w:color="auto"/>
      </w:divBdr>
    </w:div>
    <w:div w:id="514735371">
      <w:bodyDiv w:val="1"/>
      <w:marLeft w:val="0"/>
      <w:marRight w:val="0"/>
      <w:marTop w:val="0"/>
      <w:marBottom w:val="0"/>
      <w:divBdr>
        <w:top w:val="none" w:sz="0" w:space="0" w:color="auto"/>
        <w:left w:val="none" w:sz="0" w:space="0" w:color="auto"/>
        <w:bottom w:val="none" w:sz="0" w:space="0" w:color="auto"/>
        <w:right w:val="none" w:sz="0" w:space="0" w:color="auto"/>
      </w:divBdr>
    </w:div>
    <w:div w:id="601035674">
      <w:bodyDiv w:val="1"/>
      <w:marLeft w:val="0"/>
      <w:marRight w:val="0"/>
      <w:marTop w:val="0"/>
      <w:marBottom w:val="0"/>
      <w:divBdr>
        <w:top w:val="none" w:sz="0" w:space="0" w:color="auto"/>
        <w:left w:val="none" w:sz="0" w:space="0" w:color="auto"/>
        <w:bottom w:val="none" w:sz="0" w:space="0" w:color="auto"/>
        <w:right w:val="none" w:sz="0" w:space="0" w:color="auto"/>
      </w:divBdr>
    </w:div>
    <w:div w:id="640961004">
      <w:bodyDiv w:val="1"/>
      <w:marLeft w:val="0"/>
      <w:marRight w:val="0"/>
      <w:marTop w:val="0"/>
      <w:marBottom w:val="0"/>
      <w:divBdr>
        <w:top w:val="none" w:sz="0" w:space="0" w:color="auto"/>
        <w:left w:val="none" w:sz="0" w:space="0" w:color="auto"/>
        <w:bottom w:val="none" w:sz="0" w:space="0" w:color="auto"/>
        <w:right w:val="none" w:sz="0" w:space="0" w:color="auto"/>
      </w:divBdr>
    </w:div>
    <w:div w:id="788864013">
      <w:bodyDiv w:val="1"/>
      <w:marLeft w:val="0"/>
      <w:marRight w:val="0"/>
      <w:marTop w:val="0"/>
      <w:marBottom w:val="0"/>
      <w:divBdr>
        <w:top w:val="none" w:sz="0" w:space="0" w:color="auto"/>
        <w:left w:val="none" w:sz="0" w:space="0" w:color="auto"/>
        <w:bottom w:val="none" w:sz="0" w:space="0" w:color="auto"/>
        <w:right w:val="none" w:sz="0" w:space="0" w:color="auto"/>
      </w:divBdr>
    </w:div>
    <w:div w:id="839852178">
      <w:bodyDiv w:val="1"/>
      <w:marLeft w:val="0"/>
      <w:marRight w:val="0"/>
      <w:marTop w:val="0"/>
      <w:marBottom w:val="0"/>
      <w:divBdr>
        <w:top w:val="none" w:sz="0" w:space="0" w:color="auto"/>
        <w:left w:val="none" w:sz="0" w:space="0" w:color="auto"/>
        <w:bottom w:val="none" w:sz="0" w:space="0" w:color="auto"/>
        <w:right w:val="none" w:sz="0" w:space="0" w:color="auto"/>
      </w:divBdr>
    </w:div>
    <w:div w:id="1066759418">
      <w:bodyDiv w:val="1"/>
      <w:marLeft w:val="0"/>
      <w:marRight w:val="0"/>
      <w:marTop w:val="0"/>
      <w:marBottom w:val="0"/>
      <w:divBdr>
        <w:top w:val="none" w:sz="0" w:space="0" w:color="auto"/>
        <w:left w:val="none" w:sz="0" w:space="0" w:color="auto"/>
        <w:bottom w:val="none" w:sz="0" w:space="0" w:color="auto"/>
        <w:right w:val="none" w:sz="0" w:space="0" w:color="auto"/>
      </w:divBdr>
      <w:divsChild>
        <w:div w:id="828327419">
          <w:marLeft w:val="0"/>
          <w:marRight w:val="0"/>
          <w:marTop w:val="0"/>
          <w:marBottom w:val="0"/>
          <w:divBdr>
            <w:top w:val="none" w:sz="0" w:space="0" w:color="auto"/>
            <w:left w:val="none" w:sz="0" w:space="0" w:color="auto"/>
            <w:bottom w:val="none" w:sz="0" w:space="0" w:color="auto"/>
            <w:right w:val="none" w:sz="0" w:space="0" w:color="auto"/>
          </w:divBdr>
        </w:div>
      </w:divsChild>
    </w:div>
    <w:div w:id="1146823799">
      <w:bodyDiv w:val="1"/>
      <w:marLeft w:val="0"/>
      <w:marRight w:val="0"/>
      <w:marTop w:val="0"/>
      <w:marBottom w:val="0"/>
      <w:divBdr>
        <w:top w:val="none" w:sz="0" w:space="0" w:color="auto"/>
        <w:left w:val="none" w:sz="0" w:space="0" w:color="auto"/>
        <w:bottom w:val="none" w:sz="0" w:space="0" w:color="auto"/>
        <w:right w:val="none" w:sz="0" w:space="0" w:color="auto"/>
      </w:divBdr>
    </w:div>
    <w:div w:id="1302686831">
      <w:bodyDiv w:val="1"/>
      <w:marLeft w:val="0"/>
      <w:marRight w:val="0"/>
      <w:marTop w:val="0"/>
      <w:marBottom w:val="0"/>
      <w:divBdr>
        <w:top w:val="none" w:sz="0" w:space="0" w:color="auto"/>
        <w:left w:val="none" w:sz="0" w:space="0" w:color="auto"/>
        <w:bottom w:val="none" w:sz="0" w:space="0" w:color="auto"/>
        <w:right w:val="none" w:sz="0" w:space="0" w:color="auto"/>
      </w:divBdr>
    </w:div>
    <w:div w:id="1381250106">
      <w:bodyDiv w:val="1"/>
      <w:marLeft w:val="0"/>
      <w:marRight w:val="0"/>
      <w:marTop w:val="0"/>
      <w:marBottom w:val="0"/>
      <w:divBdr>
        <w:top w:val="none" w:sz="0" w:space="0" w:color="auto"/>
        <w:left w:val="none" w:sz="0" w:space="0" w:color="auto"/>
        <w:bottom w:val="none" w:sz="0" w:space="0" w:color="auto"/>
        <w:right w:val="none" w:sz="0" w:space="0" w:color="auto"/>
      </w:divBdr>
    </w:div>
    <w:div w:id="148374178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4048">
      <w:bodyDiv w:val="1"/>
      <w:marLeft w:val="0"/>
      <w:marRight w:val="0"/>
      <w:marTop w:val="0"/>
      <w:marBottom w:val="0"/>
      <w:divBdr>
        <w:top w:val="none" w:sz="0" w:space="0" w:color="auto"/>
        <w:left w:val="none" w:sz="0" w:space="0" w:color="auto"/>
        <w:bottom w:val="none" w:sz="0" w:space="0" w:color="auto"/>
        <w:right w:val="none" w:sz="0" w:space="0" w:color="auto"/>
      </w:divBdr>
    </w:div>
    <w:div w:id="1741513941">
      <w:bodyDiv w:val="1"/>
      <w:marLeft w:val="0"/>
      <w:marRight w:val="0"/>
      <w:marTop w:val="0"/>
      <w:marBottom w:val="0"/>
      <w:divBdr>
        <w:top w:val="none" w:sz="0" w:space="0" w:color="auto"/>
        <w:left w:val="none" w:sz="0" w:space="0" w:color="auto"/>
        <w:bottom w:val="none" w:sz="0" w:space="0" w:color="auto"/>
        <w:right w:val="none" w:sz="0" w:space="0" w:color="auto"/>
      </w:divBdr>
    </w:div>
    <w:div w:id="1874685328">
      <w:bodyDiv w:val="1"/>
      <w:marLeft w:val="0"/>
      <w:marRight w:val="0"/>
      <w:marTop w:val="0"/>
      <w:marBottom w:val="0"/>
      <w:divBdr>
        <w:top w:val="none" w:sz="0" w:space="0" w:color="auto"/>
        <w:left w:val="none" w:sz="0" w:space="0" w:color="auto"/>
        <w:bottom w:val="none" w:sz="0" w:space="0" w:color="auto"/>
        <w:right w:val="none" w:sz="0" w:space="0" w:color="auto"/>
      </w:divBdr>
    </w:div>
    <w:div w:id="2007052897">
      <w:bodyDiv w:val="1"/>
      <w:marLeft w:val="0"/>
      <w:marRight w:val="0"/>
      <w:marTop w:val="0"/>
      <w:marBottom w:val="0"/>
      <w:divBdr>
        <w:top w:val="none" w:sz="0" w:space="0" w:color="auto"/>
        <w:left w:val="none" w:sz="0" w:space="0" w:color="auto"/>
        <w:bottom w:val="none" w:sz="0" w:space="0" w:color="auto"/>
        <w:right w:val="none" w:sz="0" w:space="0" w:color="auto"/>
      </w:divBdr>
    </w:div>
    <w:div w:id="20486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dol.gov/whd/fmla/1995Report/family.htm"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bls.gov/news.release/ocwage.t01.htm" TargetMode="External"/><Relationship Id="rId2" Type="http://schemas.openxmlformats.org/officeDocument/2006/relationships/numbering" Target="numbering.xml"/><Relationship Id="rId16" Type="http://schemas.openxmlformats.org/officeDocument/2006/relationships/hyperlink" Target="http://www.bls.gov/news.release/empsit.t1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7/DCB_h.pdf" TargetMode="External"/><Relationship Id="rId1" Type="http://schemas.openxmlformats.org/officeDocument/2006/relationships/hyperlink" Target="https://obamawhitehouse.archives.gov/sites/default/files/omb/inforeg/directive2/final_addendum_to_stat_policy_dir_2.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59CBC-70BD-4D78-A341-1676589B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7631</Words>
  <Characters>43498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51027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2017-07-25T20:56:00Z</dcterms:created>
  <dcterms:modified xsi:type="dcterms:W3CDTF">2017-07-25T20:56:00Z</dcterms:modified>
</cp:coreProperties>
</file>