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FAE49" w14:textId="77777777" w:rsidR="00A47D04" w:rsidRPr="00DC22F2" w:rsidRDefault="00A47D04" w:rsidP="00DC22F2">
      <w:pPr>
        <w:ind w:right="624"/>
        <w:jc w:val="center"/>
        <w:rPr>
          <w:rFonts w:ascii="Arial" w:hAnsi="Arial" w:cs="Arial"/>
          <w:b/>
          <w:bCs/>
        </w:rPr>
      </w:pPr>
      <w:r w:rsidRPr="00DC22F2">
        <w:rPr>
          <w:rFonts w:ascii="Arial" w:hAnsi="Arial" w:cs="Arial"/>
          <w:b/>
          <w:bCs/>
        </w:rPr>
        <w:t>SUPPORTING STATEMENT</w:t>
      </w:r>
    </w:p>
    <w:p w14:paraId="5E5E151D" w14:textId="77777777" w:rsidR="00DC22F2" w:rsidRDefault="00DC22F2" w:rsidP="00DC22F2">
      <w:pPr>
        <w:jc w:val="center"/>
        <w:rPr>
          <w:rFonts w:ascii="Arial" w:hAnsi="Arial" w:cs="Arial"/>
        </w:rPr>
      </w:pPr>
      <w:r w:rsidRPr="00DC22F2">
        <w:rPr>
          <w:rFonts w:ascii="Arial" w:hAnsi="Arial" w:cs="Arial"/>
        </w:rPr>
        <w:t>Safe Harbor for Inadvertent Normalization Violations</w:t>
      </w:r>
    </w:p>
    <w:p w14:paraId="37626B1F" w14:textId="77777777" w:rsidR="00FB23E7" w:rsidRDefault="005F4F2A" w:rsidP="00FB23E7">
      <w:pPr>
        <w:jc w:val="center"/>
        <w:rPr>
          <w:rFonts w:ascii="Arial" w:hAnsi="Arial" w:cs="Arial"/>
        </w:rPr>
      </w:pPr>
      <w:r>
        <w:rPr>
          <w:rFonts w:ascii="Arial" w:hAnsi="Arial" w:cs="Arial"/>
        </w:rPr>
        <w:t>RP-108564-16</w:t>
      </w:r>
      <w:r w:rsidR="00FB23E7">
        <w:rPr>
          <w:rFonts w:ascii="Arial" w:hAnsi="Arial" w:cs="Arial"/>
        </w:rPr>
        <w:t xml:space="preserve"> </w:t>
      </w:r>
    </w:p>
    <w:p w14:paraId="713ACD91" w14:textId="0234CC83" w:rsidR="00FB23E7" w:rsidRPr="00DC22F2" w:rsidRDefault="00FB23E7" w:rsidP="00FB23E7">
      <w:pPr>
        <w:jc w:val="center"/>
        <w:rPr>
          <w:rFonts w:ascii="Arial" w:hAnsi="Arial" w:cs="Arial"/>
        </w:rPr>
      </w:pPr>
      <w:r>
        <w:rPr>
          <w:rFonts w:ascii="Arial" w:hAnsi="Arial" w:cs="Arial"/>
        </w:rPr>
        <w:t>OMB Control Number 1545-XXXX</w:t>
      </w:r>
    </w:p>
    <w:p w14:paraId="36BB54D3" w14:textId="77777777" w:rsidR="00A47D04" w:rsidRPr="00DC22F2" w:rsidRDefault="00A47D04" w:rsidP="00DC22F2">
      <w:pPr>
        <w:ind w:left="288" w:right="624"/>
        <w:rPr>
          <w:rFonts w:ascii="Arial" w:hAnsi="Arial" w:cs="Arial"/>
          <w:b/>
          <w:bCs/>
        </w:rPr>
      </w:pPr>
    </w:p>
    <w:p w14:paraId="4BB1E590" w14:textId="77777777" w:rsidR="00A47D04" w:rsidRPr="00DC22F2" w:rsidRDefault="00A47D04" w:rsidP="00DC22F2">
      <w:pPr>
        <w:numPr>
          <w:ilvl w:val="0"/>
          <w:numId w:val="1"/>
        </w:numPr>
        <w:tabs>
          <w:tab w:val="clear" w:pos="723"/>
          <w:tab w:val="num" w:pos="360"/>
        </w:tabs>
        <w:ind w:right="624" w:hanging="723"/>
        <w:rPr>
          <w:rFonts w:ascii="Arial" w:hAnsi="Arial" w:cs="Arial"/>
          <w:bCs/>
          <w:u w:val="single"/>
        </w:rPr>
      </w:pPr>
      <w:r w:rsidRPr="00DC22F2">
        <w:rPr>
          <w:rFonts w:ascii="Arial" w:hAnsi="Arial" w:cs="Arial"/>
          <w:bCs/>
          <w:u w:val="single"/>
        </w:rPr>
        <w:t>CIRCUMSTANCES NECESSITATING COLLECTION OF INFORMATION</w:t>
      </w:r>
      <w:bookmarkStart w:id="0" w:name="_GoBack"/>
      <w:bookmarkEnd w:id="0"/>
    </w:p>
    <w:p w14:paraId="02C0A706" w14:textId="77777777" w:rsidR="00A47D04" w:rsidRPr="00DC22F2" w:rsidRDefault="00A47D04" w:rsidP="00DC22F2">
      <w:pPr>
        <w:ind w:right="624"/>
        <w:rPr>
          <w:rFonts w:ascii="Arial" w:hAnsi="Arial" w:cs="Arial"/>
          <w:b/>
          <w:bCs/>
        </w:rPr>
      </w:pPr>
    </w:p>
    <w:p w14:paraId="33D43F43" w14:textId="77777777" w:rsidR="00504EA1" w:rsidRDefault="00793713" w:rsidP="00504EA1">
      <w:pPr>
        <w:ind w:left="360" w:right="624"/>
        <w:rPr>
          <w:rFonts w:ascii="Arial" w:hAnsi="Arial" w:cs="Arial"/>
        </w:rPr>
      </w:pPr>
      <w:r w:rsidRPr="00793713">
        <w:rPr>
          <w:rFonts w:ascii="Arial" w:hAnsi="Arial" w:cs="Arial"/>
        </w:rPr>
        <w:t xml:space="preserve">This Revenue Procedure provides </w:t>
      </w:r>
      <w:r w:rsidR="00504EA1">
        <w:rPr>
          <w:rFonts w:ascii="Arial" w:hAnsi="Arial" w:cs="Arial"/>
        </w:rPr>
        <w:t>a safe harbor</w:t>
      </w:r>
      <w:r>
        <w:rPr>
          <w:rFonts w:ascii="Arial" w:hAnsi="Arial" w:cs="Arial"/>
        </w:rPr>
        <w:t xml:space="preserve"> </w:t>
      </w:r>
      <w:r w:rsidR="00504EA1">
        <w:rPr>
          <w:rFonts w:ascii="Arial" w:hAnsi="Arial" w:cs="Arial"/>
        </w:rPr>
        <w:t xml:space="preserve">for inadvertent normalization violations to allow </w:t>
      </w:r>
      <w:r>
        <w:rPr>
          <w:rFonts w:ascii="Arial" w:hAnsi="Arial" w:cs="Arial"/>
        </w:rPr>
        <w:t xml:space="preserve">a taxpayer to </w:t>
      </w:r>
      <w:r w:rsidRPr="00793713">
        <w:rPr>
          <w:rFonts w:ascii="Arial" w:hAnsi="Arial" w:cs="Arial"/>
        </w:rPr>
        <w:t>chang</w:t>
      </w:r>
      <w:r>
        <w:rPr>
          <w:rFonts w:ascii="Arial" w:hAnsi="Arial" w:cs="Arial"/>
        </w:rPr>
        <w:t>e</w:t>
      </w:r>
      <w:r w:rsidRPr="00793713">
        <w:rPr>
          <w:rFonts w:ascii="Arial" w:hAnsi="Arial" w:cs="Arial"/>
        </w:rPr>
        <w:t xml:space="preserve"> its Inconsistent Practice or Procedure (as defined in section 4.05 of this revenue procedure) to a Consistent Practice or Procedure (as defined in section 4.04 of this revenue procedure) at the Next Available Opportunity (as defined in section 4.06 of this revenue procedure) </w:t>
      </w:r>
      <w:r>
        <w:rPr>
          <w:rFonts w:ascii="Arial" w:hAnsi="Arial" w:cs="Arial"/>
        </w:rPr>
        <w:t>if</w:t>
      </w:r>
      <w:r w:rsidRPr="00793713">
        <w:rPr>
          <w:rFonts w:ascii="Arial" w:hAnsi="Arial" w:cs="Arial"/>
        </w:rPr>
        <w:t xml:space="preserve"> the Taxpayer's Regulator (as defined in section 4.01 of this revenue procedure) adopts or approves the change that thoroughly reflects the total effect of the Inconsistent Practice or Procedure</w:t>
      </w:r>
      <w:r w:rsidR="00504EA1">
        <w:rPr>
          <w:rFonts w:ascii="Arial" w:hAnsi="Arial" w:cs="Arial"/>
        </w:rPr>
        <w:t xml:space="preserve">, provided: </w:t>
      </w:r>
    </w:p>
    <w:p w14:paraId="708BBC04" w14:textId="77777777" w:rsidR="00504EA1" w:rsidRDefault="00504EA1" w:rsidP="00504EA1">
      <w:pPr>
        <w:ind w:left="360" w:right="624"/>
        <w:rPr>
          <w:rFonts w:ascii="Arial" w:hAnsi="Arial" w:cs="Arial"/>
        </w:rPr>
      </w:pPr>
    </w:p>
    <w:p w14:paraId="3BB8CBA8" w14:textId="77777777" w:rsidR="00504EA1" w:rsidRPr="00504EA1" w:rsidRDefault="00793713" w:rsidP="00504EA1">
      <w:pPr>
        <w:pStyle w:val="ListParagraph"/>
        <w:numPr>
          <w:ilvl w:val="0"/>
          <w:numId w:val="4"/>
        </w:numPr>
        <w:ind w:right="624"/>
        <w:rPr>
          <w:rFonts w:ascii="Arial" w:hAnsi="Arial" w:cs="Arial"/>
        </w:rPr>
      </w:pPr>
      <w:r w:rsidRPr="00504EA1">
        <w:rPr>
          <w:rFonts w:ascii="Arial" w:hAnsi="Arial" w:cs="Arial"/>
        </w:rPr>
        <w:t>the taxpayer retains contemporaneous documentation that clearly demonstrates the effects of the Inconsistent Practice or Procedure and the change to a Consistent Practice or Procedure adopted or approved by the Taxpayer’s Regulator</w:t>
      </w:r>
      <w:r w:rsidR="00504EA1" w:rsidRPr="00504EA1">
        <w:rPr>
          <w:rFonts w:ascii="Arial" w:hAnsi="Arial" w:cs="Arial"/>
        </w:rPr>
        <w:t xml:space="preserve">; and </w:t>
      </w:r>
    </w:p>
    <w:p w14:paraId="3B69BC94" w14:textId="77777777" w:rsidR="00504EA1" w:rsidRDefault="00504EA1" w:rsidP="00504EA1">
      <w:pPr>
        <w:ind w:left="360" w:right="624"/>
        <w:rPr>
          <w:rFonts w:ascii="Arial" w:hAnsi="Arial" w:cs="Arial"/>
        </w:rPr>
      </w:pPr>
    </w:p>
    <w:p w14:paraId="62745DB8" w14:textId="3A25A277" w:rsidR="00793713" w:rsidRPr="00D1373B" w:rsidRDefault="00D1373B" w:rsidP="00504EA1">
      <w:pPr>
        <w:pStyle w:val="ListParagraph"/>
        <w:numPr>
          <w:ilvl w:val="0"/>
          <w:numId w:val="4"/>
        </w:numPr>
        <w:ind w:right="624"/>
        <w:rPr>
          <w:rFonts w:ascii="Arial" w:hAnsi="Arial" w:cs="Arial"/>
        </w:rPr>
      </w:pPr>
      <w:r w:rsidRPr="00D1373B">
        <w:rPr>
          <w:rFonts w:ascii="Arial" w:hAnsi="Arial" w:cs="Arial"/>
        </w:rPr>
        <w:t xml:space="preserve">in any tax year ending after the taxpayer has identified an Inconsistent Practice or Procedure, but in which the taxpayer has not changed to a Consistent Practice or Procedure, the taxpayer shall reflect the Inconsistent Practice or Procedure on the taxpayer’s Form 1120 (Schedule UTP) and represent its intention to change to a Consistent Practice or Procedure at the Next Available Opportunity.  </w:t>
      </w:r>
      <w:r w:rsidR="00793713" w:rsidRPr="00D1373B">
        <w:rPr>
          <w:rFonts w:ascii="Arial" w:hAnsi="Arial" w:cs="Arial"/>
        </w:rPr>
        <w:t xml:space="preserve">  </w:t>
      </w:r>
    </w:p>
    <w:p w14:paraId="253C4186" w14:textId="77777777" w:rsidR="00DC22F2" w:rsidRPr="00793713" w:rsidRDefault="00DC22F2" w:rsidP="00DC22F2">
      <w:pPr>
        <w:ind w:right="624"/>
        <w:rPr>
          <w:rFonts w:ascii="Arial" w:hAnsi="Arial" w:cs="Arial"/>
        </w:rPr>
      </w:pPr>
    </w:p>
    <w:p w14:paraId="13AA77D1" w14:textId="77777777" w:rsidR="00A47D04" w:rsidRPr="00DC22F2" w:rsidRDefault="00A47D04" w:rsidP="00DC22F2">
      <w:pPr>
        <w:numPr>
          <w:ilvl w:val="0"/>
          <w:numId w:val="1"/>
        </w:numPr>
        <w:tabs>
          <w:tab w:val="clear" w:pos="723"/>
          <w:tab w:val="num" w:pos="360"/>
        </w:tabs>
        <w:ind w:right="624" w:hanging="723"/>
        <w:rPr>
          <w:rFonts w:ascii="Arial" w:hAnsi="Arial" w:cs="Arial"/>
          <w:u w:val="single"/>
        </w:rPr>
      </w:pPr>
      <w:r w:rsidRPr="00DC22F2">
        <w:rPr>
          <w:rFonts w:ascii="Arial" w:hAnsi="Arial" w:cs="Arial"/>
          <w:u w:val="single"/>
        </w:rPr>
        <w:t>USE OF DATA</w:t>
      </w:r>
    </w:p>
    <w:p w14:paraId="0DC34101" w14:textId="77777777" w:rsidR="00A47D04" w:rsidRPr="00DC22F2" w:rsidRDefault="00A47D04" w:rsidP="00DC22F2">
      <w:pPr>
        <w:tabs>
          <w:tab w:val="num" w:pos="360"/>
        </w:tabs>
        <w:ind w:left="288" w:right="624" w:hanging="723"/>
        <w:rPr>
          <w:rFonts w:ascii="Arial" w:hAnsi="Arial" w:cs="Arial"/>
          <w:bCs/>
        </w:rPr>
      </w:pPr>
    </w:p>
    <w:p w14:paraId="16A1800F" w14:textId="77777777" w:rsidR="00504EA1" w:rsidRPr="00DC22F2" w:rsidRDefault="00DC22F2" w:rsidP="00DC22F2">
      <w:pPr>
        <w:tabs>
          <w:tab w:val="num" w:pos="360"/>
        </w:tabs>
        <w:ind w:left="360" w:right="624" w:hanging="363"/>
        <w:rPr>
          <w:rFonts w:ascii="Arial" w:hAnsi="Arial" w:cs="Arial"/>
          <w:bCs/>
        </w:rPr>
      </w:pPr>
      <w:r>
        <w:rPr>
          <w:rFonts w:ascii="Arial" w:hAnsi="Arial" w:cs="Arial"/>
          <w:bCs/>
        </w:rPr>
        <w:tab/>
      </w:r>
      <w:r w:rsidR="00504EA1">
        <w:rPr>
          <w:rFonts w:ascii="Arial" w:hAnsi="Arial" w:cs="Arial"/>
          <w:bCs/>
        </w:rPr>
        <w:t xml:space="preserve">The </w:t>
      </w:r>
      <w:r w:rsidR="00E553AB">
        <w:rPr>
          <w:rFonts w:ascii="Arial" w:hAnsi="Arial" w:cs="Arial"/>
          <w:bCs/>
        </w:rPr>
        <w:t xml:space="preserve">contemporaneous documentation and </w:t>
      </w:r>
      <w:r w:rsidR="00504EA1">
        <w:rPr>
          <w:rFonts w:ascii="Arial" w:hAnsi="Arial" w:cs="Arial"/>
          <w:bCs/>
        </w:rPr>
        <w:t xml:space="preserve">statement </w:t>
      </w:r>
      <w:r w:rsidR="00D1373B">
        <w:rPr>
          <w:rFonts w:ascii="Arial" w:hAnsi="Arial" w:cs="Arial"/>
          <w:bCs/>
        </w:rPr>
        <w:t xml:space="preserve">on the taxpayer’s Form 1120 (Schedule UTP) </w:t>
      </w:r>
      <w:r w:rsidR="00504EA1">
        <w:rPr>
          <w:rFonts w:ascii="Arial" w:hAnsi="Arial" w:cs="Arial"/>
          <w:bCs/>
        </w:rPr>
        <w:t xml:space="preserve">will be used to verify that the taxpayer has </w:t>
      </w:r>
      <w:r w:rsidR="00504EA1" w:rsidRPr="00504EA1">
        <w:rPr>
          <w:rFonts w:ascii="Arial" w:hAnsi="Arial" w:cs="Arial"/>
        </w:rPr>
        <w:t>change</w:t>
      </w:r>
      <w:r w:rsidR="00504EA1">
        <w:rPr>
          <w:rFonts w:ascii="Arial" w:hAnsi="Arial" w:cs="Arial"/>
        </w:rPr>
        <w:t>d</w:t>
      </w:r>
      <w:r w:rsidR="00504EA1" w:rsidRPr="00504EA1">
        <w:rPr>
          <w:rFonts w:ascii="Arial" w:hAnsi="Arial" w:cs="Arial"/>
        </w:rPr>
        <w:t xml:space="preserve"> to a Consistent Practice or Procedure adopted or approved by the Taxpayer’s Regulator</w:t>
      </w:r>
      <w:r w:rsidR="00504EA1">
        <w:rPr>
          <w:rFonts w:ascii="Arial" w:hAnsi="Arial" w:cs="Arial"/>
        </w:rPr>
        <w:t xml:space="preserve"> as required by the Normalization Rules.  </w:t>
      </w:r>
    </w:p>
    <w:p w14:paraId="4CBA77DF" w14:textId="77777777" w:rsidR="00A47D04" w:rsidRPr="00DC22F2" w:rsidRDefault="00A47D04" w:rsidP="00DC22F2">
      <w:pPr>
        <w:tabs>
          <w:tab w:val="num" w:pos="360"/>
        </w:tabs>
        <w:ind w:left="288" w:right="624" w:hanging="723"/>
        <w:rPr>
          <w:rFonts w:ascii="Arial" w:hAnsi="Arial" w:cs="Arial"/>
          <w:bCs/>
        </w:rPr>
      </w:pPr>
    </w:p>
    <w:p w14:paraId="2895773C" w14:textId="77777777" w:rsidR="00A47D04" w:rsidRPr="00DC22F2" w:rsidRDefault="00A47D04" w:rsidP="00DC22F2">
      <w:pPr>
        <w:numPr>
          <w:ilvl w:val="0"/>
          <w:numId w:val="1"/>
        </w:numPr>
        <w:tabs>
          <w:tab w:val="clear" w:pos="723"/>
          <w:tab w:val="num" w:pos="360"/>
        </w:tabs>
        <w:ind w:right="624" w:hanging="723"/>
        <w:rPr>
          <w:rFonts w:ascii="Arial" w:hAnsi="Arial" w:cs="Arial"/>
          <w:bCs/>
          <w:u w:val="single"/>
        </w:rPr>
      </w:pPr>
      <w:r w:rsidRPr="00DC22F2">
        <w:rPr>
          <w:rFonts w:ascii="Arial" w:hAnsi="Arial" w:cs="Arial"/>
          <w:bCs/>
          <w:u w:val="single"/>
        </w:rPr>
        <w:t>USE OF IMPROVED INFORMATION TECHNOLOGY TO REDUCE BURDEN</w:t>
      </w:r>
    </w:p>
    <w:p w14:paraId="090C0EBE" w14:textId="77777777" w:rsidR="00A47D04" w:rsidRPr="00DC22F2" w:rsidRDefault="00A47D04" w:rsidP="00DC22F2">
      <w:pPr>
        <w:tabs>
          <w:tab w:val="num" w:pos="360"/>
        </w:tabs>
        <w:ind w:left="288" w:right="624" w:hanging="723"/>
        <w:rPr>
          <w:rFonts w:ascii="Arial" w:hAnsi="Arial" w:cs="Arial"/>
          <w:bCs/>
        </w:rPr>
      </w:pPr>
    </w:p>
    <w:p w14:paraId="2E9E4F9D" w14:textId="77777777" w:rsidR="00D1373B" w:rsidRPr="00D1373B" w:rsidRDefault="00DC22F2" w:rsidP="00D1373B">
      <w:pPr>
        <w:tabs>
          <w:tab w:val="num" w:pos="360"/>
        </w:tabs>
        <w:ind w:left="360" w:right="624" w:hanging="363"/>
        <w:rPr>
          <w:rFonts w:ascii="Arial" w:hAnsi="Arial" w:cs="Arial"/>
        </w:rPr>
      </w:pPr>
      <w:r>
        <w:rPr>
          <w:rFonts w:ascii="Arial" w:hAnsi="Arial" w:cs="Arial"/>
          <w:bCs/>
        </w:rPr>
        <w:tab/>
      </w:r>
      <w:r w:rsidR="00D1373B">
        <w:rPr>
          <w:rFonts w:ascii="Arial" w:hAnsi="Arial" w:cs="Arial"/>
          <w:bCs/>
        </w:rPr>
        <w:t xml:space="preserve">Affected taxpayers will reflect </w:t>
      </w:r>
      <w:r w:rsidR="00D1373B" w:rsidRPr="00D1373B">
        <w:rPr>
          <w:rFonts w:ascii="Arial" w:hAnsi="Arial" w:cs="Arial"/>
        </w:rPr>
        <w:t>the Inconsistent Practice or Procedure and represent its intention to change to a Consistent Practice or Procedure at the Next Available Opportunity on the taxpayer’s Form 1120 (Schedule UTP)</w:t>
      </w:r>
      <w:r w:rsidR="00D1373B">
        <w:rPr>
          <w:rFonts w:ascii="Arial" w:hAnsi="Arial" w:cs="Arial"/>
        </w:rPr>
        <w:t>, which is filed electronically.</w:t>
      </w:r>
      <w:r w:rsidR="00D1373B" w:rsidRPr="00D1373B">
        <w:rPr>
          <w:rFonts w:ascii="Arial" w:hAnsi="Arial" w:cs="Arial"/>
        </w:rPr>
        <w:t xml:space="preserve">    </w:t>
      </w:r>
    </w:p>
    <w:p w14:paraId="0A61038B" w14:textId="77777777" w:rsidR="00A47D04" w:rsidRPr="00DC22F2" w:rsidRDefault="00A47D04" w:rsidP="00DC22F2">
      <w:pPr>
        <w:tabs>
          <w:tab w:val="num" w:pos="360"/>
        </w:tabs>
        <w:ind w:left="288" w:right="624" w:hanging="723"/>
        <w:rPr>
          <w:rFonts w:ascii="Arial" w:hAnsi="Arial" w:cs="Arial"/>
          <w:bCs/>
        </w:rPr>
      </w:pPr>
    </w:p>
    <w:p w14:paraId="46D1A63D" w14:textId="77777777" w:rsidR="00A47D04" w:rsidRPr="00DC22F2" w:rsidRDefault="00A47D04" w:rsidP="00DC22F2">
      <w:pPr>
        <w:numPr>
          <w:ilvl w:val="0"/>
          <w:numId w:val="1"/>
        </w:numPr>
        <w:tabs>
          <w:tab w:val="clear" w:pos="723"/>
          <w:tab w:val="num" w:pos="360"/>
        </w:tabs>
        <w:ind w:right="624" w:hanging="723"/>
        <w:rPr>
          <w:rFonts w:ascii="Arial" w:hAnsi="Arial" w:cs="Arial"/>
          <w:bCs/>
          <w:u w:val="single"/>
        </w:rPr>
      </w:pPr>
      <w:r w:rsidRPr="00DC22F2">
        <w:rPr>
          <w:rFonts w:ascii="Arial" w:hAnsi="Arial" w:cs="Arial"/>
          <w:bCs/>
          <w:u w:val="single"/>
        </w:rPr>
        <w:t>EFFORTS TO IDENTIFY DUPLICATION</w:t>
      </w:r>
    </w:p>
    <w:p w14:paraId="73E35B95" w14:textId="77777777" w:rsidR="00A47D04" w:rsidRPr="00DC22F2" w:rsidRDefault="00A47D04" w:rsidP="00DC22F2">
      <w:pPr>
        <w:tabs>
          <w:tab w:val="num" w:pos="360"/>
        </w:tabs>
        <w:ind w:left="288" w:right="624" w:hanging="723"/>
        <w:rPr>
          <w:rFonts w:ascii="Arial" w:hAnsi="Arial" w:cs="Arial"/>
          <w:bCs/>
        </w:rPr>
      </w:pPr>
    </w:p>
    <w:p w14:paraId="743D52C5" w14:textId="77777777" w:rsidR="00A47D04" w:rsidRPr="00DC22F2" w:rsidRDefault="00DC22F2" w:rsidP="00DC22F2">
      <w:pPr>
        <w:tabs>
          <w:tab w:val="num" w:pos="360"/>
        </w:tabs>
        <w:ind w:left="360" w:right="624" w:hanging="363"/>
        <w:rPr>
          <w:rFonts w:ascii="Arial" w:hAnsi="Arial" w:cs="Arial"/>
          <w:bCs/>
        </w:rPr>
      </w:pPr>
      <w:r>
        <w:rPr>
          <w:rFonts w:ascii="Arial" w:hAnsi="Arial" w:cs="Arial"/>
          <w:bCs/>
        </w:rPr>
        <w:tab/>
      </w:r>
      <w:r w:rsidR="00A47D04" w:rsidRPr="00DC22F2">
        <w:rPr>
          <w:rFonts w:ascii="Arial" w:hAnsi="Arial" w:cs="Arial"/>
          <w:bCs/>
        </w:rPr>
        <w:t>We have attempted to eliminate duplication within the agency wherever possible.</w:t>
      </w:r>
    </w:p>
    <w:p w14:paraId="6F9D4221" w14:textId="77777777" w:rsidR="00A47D04" w:rsidRPr="00DC22F2" w:rsidRDefault="00A47D04" w:rsidP="00DC22F2">
      <w:pPr>
        <w:tabs>
          <w:tab w:val="num" w:pos="360"/>
        </w:tabs>
        <w:ind w:left="288" w:right="624" w:hanging="723"/>
        <w:rPr>
          <w:rFonts w:ascii="Arial" w:hAnsi="Arial" w:cs="Arial"/>
          <w:bCs/>
        </w:rPr>
      </w:pPr>
    </w:p>
    <w:p w14:paraId="132B3766" w14:textId="214F8ED7" w:rsidR="00A47D04" w:rsidRPr="00DF7FC1" w:rsidRDefault="00A47D04" w:rsidP="00DC22F2">
      <w:pPr>
        <w:numPr>
          <w:ilvl w:val="0"/>
          <w:numId w:val="1"/>
        </w:numPr>
        <w:tabs>
          <w:tab w:val="clear" w:pos="723"/>
          <w:tab w:val="num" w:pos="360"/>
        </w:tabs>
        <w:ind w:left="288" w:right="624" w:hanging="723"/>
        <w:rPr>
          <w:rFonts w:ascii="Arial" w:hAnsi="Arial" w:cs="Arial"/>
          <w:bCs/>
        </w:rPr>
      </w:pPr>
      <w:r w:rsidRPr="00DF7FC1">
        <w:rPr>
          <w:rFonts w:ascii="Arial" w:hAnsi="Arial" w:cs="Arial"/>
          <w:bCs/>
          <w:u w:val="single"/>
        </w:rPr>
        <w:t>METHODS TO MINIMIZE BURDEN ON SMALL BUSINESSES OR OTHER SMALL ENTITIES</w:t>
      </w:r>
    </w:p>
    <w:p w14:paraId="0F4A7B24" w14:textId="77777777" w:rsidR="00EE05AE" w:rsidRDefault="00EE05AE" w:rsidP="00223EB0">
      <w:pPr>
        <w:tabs>
          <w:tab w:val="num" w:pos="360"/>
        </w:tabs>
        <w:ind w:left="360" w:right="624"/>
        <w:rPr>
          <w:rFonts w:ascii="Arial" w:hAnsi="Arial" w:cs="Arial"/>
          <w:bCs/>
        </w:rPr>
      </w:pPr>
    </w:p>
    <w:p w14:paraId="7BF8F761" w14:textId="77777777" w:rsidR="00A47D04" w:rsidRPr="00DC22F2" w:rsidRDefault="00D1373B" w:rsidP="00223EB0">
      <w:pPr>
        <w:tabs>
          <w:tab w:val="num" w:pos="360"/>
        </w:tabs>
        <w:ind w:left="360" w:right="624"/>
        <w:rPr>
          <w:rFonts w:ascii="Arial" w:hAnsi="Arial" w:cs="Arial"/>
          <w:bCs/>
        </w:rPr>
      </w:pPr>
      <w:r>
        <w:rPr>
          <w:rFonts w:ascii="Arial" w:hAnsi="Arial" w:cs="Arial"/>
          <w:bCs/>
        </w:rPr>
        <w:t>The only affected taxpayers are utilities.  N</w:t>
      </w:r>
      <w:r w:rsidR="009B75EE">
        <w:rPr>
          <w:rFonts w:ascii="Arial" w:hAnsi="Arial" w:cs="Arial"/>
          <w:bCs/>
        </w:rPr>
        <w:t>o small business entities are affected by this collection of information</w:t>
      </w:r>
      <w:r w:rsidR="00A47D04" w:rsidRPr="00DC22F2">
        <w:rPr>
          <w:rFonts w:ascii="Arial" w:hAnsi="Arial" w:cs="Arial"/>
          <w:bCs/>
        </w:rPr>
        <w:t>.</w:t>
      </w:r>
    </w:p>
    <w:p w14:paraId="19372E57" w14:textId="77777777" w:rsidR="00A47D04" w:rsidRPr="00DC22F2" w:rsidRDefault="00A47D04" w:rsidP="00DC22F2">
      <w:pPr>
        <w:tabs>
          <w:tab w:val="num" w:pos="360"/>
        </w:tabs>
        <w:ind w:left="288" w:right="624" w:hanging="723"/>
        <w:rPr>
          <w:rFonts w:ascii="Arial" w:hAnsi="Arial" w:cs="Arial"/>
          <w:bCs/>
        </w:rPr>
      </w:pPr>
    </w:p>
    <w:p w14:paraId="21EBB0DA" w14:textId="16805729" w:rsidR="00A47D04" w:rsidRPr="00DF7FC1" w:rsidRDefault="00A47D04" w:rsidP="00DC22F2">
      <w:pPr>
        <w:numPr>
          <w:ilvl w:val="0"/>
          <w:numId w:val="1"/>
        </w:numPr>
        <w:tabs>
          <w:tab w:val="clear" w:pos="723"/>
          <w:tab w:val="num" w:pos="360"/>
        </w:tabs>
        <w:ind w:left="288" w:right="624" w:hanging="723"/>
        <w:rPr>
          <w:rFonts w:ascii="Arial" w:hAnsi="Arial" w:cs="Arial"/>
          <w:bCs/>
        </w:rPr>
      </w:pPr>
      <w:r w:rsidRPr="00DF7FC1">
        <w:rPr>
          <w:rFonts w:ascii="Arial" w:hAnsi="Arial" w:cs="Arial"/>
          <w:bCs/>
          <w:u w:val="single"/>
        </w:rPr>
        <w:t>CONSEQUENCES OF LESS FREQUENT COLLECTION ON FEDERAL PROGRAMS OR POLICY ACTIVITIES</w:t>
      </w:r>
    </w:p>
    <w:p w14:paraId="07359045" w14:textId="77777777" w:rsidR="00DF7FC1" w:rsidRDefault="00DF7FC1" w:rsidP="009B75EE">
      <w:pPr>
        <w:tabs>
          <w:tab w:val="num" w:pos="360"/>
        </w:tabs>
        <w:ind w:left="360" w:right="624"/>
        <w:rPr>
          <w:rFonts w:ascii="Arial" w:hAnsi="Arial" w:cs="Arial"/>
          <w:bCs/>
        </w:rPr>
      </w:pPr>
    </w:p>
    <w:p w14:paraId="69EC6DFD" w14:textId="77777777" w:rsidR="00A47D04" w:rsidRPr="00DC22F2" w:rsidRDefault="009B75EE" w:rsidP="009B75EE">
      <w:pPr>
        <w:tabs>
          <w:tab w:val="num" w:pos="360"/>
        </w:tabs>
        <w:ind w:left="360" w:right="624"/>
        <w:rPr>
          <w:rFonts w:ascii="Arial" w:hAnsi="Arial" w:cs="Arial"/>
          <w:bCs/>
        </w:rPr>
      </w:pPr>
      <w:r>
        <w:rPr>
          <w:rFonts w:ascii="Arial" w:hAnsi="Arial" w:cs="Arial"/>
          <w:bCs/>
        </w:rPr>
        <w:t xml:space="preserve">If this information is not collected, the Service cannot determine whether a taxpayer has violated the </w:t>
      </w:r>
      <w:r w:rsidR="005F4F2A">
        <w:rPr>
          <w:rFonts w:ascii="Arial" w:hAnsi="Arial" w:cs="Arial"/>
          <w:bCs/>
        </w:rPr>
        <w:t>Normalization Rules</w:t>
      </w:r>
      <w:r w:rsidR="00A47D04" w:rsidRPr="00DC22F2">
        <w:rPr>
          <w:rFonts w:ascii="Arial" w:hAnsi="Arial" w:cs="Arial"/>
          <w:bCs/>
        </w:rPr>
        <w:t>.</w:t>
      </w:r>
      <w:r>
        <w:rPr>
          <w:rFonts w:ascii="Arial" w:hAnsi="Arial" w:cs="Arial"/>
          <w:bCs/>
        </w:rPr>
        <w:t xml:space="preserve">  </w:t>
      </w:r>
      <w:r w:rsidR="00D1373B">
        <w:rPr>
          <w:rFonts w:ascii="Arial" w:hAnsi="Arial" w:cs="Arial"/>
          <w:bCs/>
        </w:rPr>
        <w:t>A</w:t>
      </w:r>
      <w:r>
        <w:rPr>
          <w:rFonts w:ascii="Arial" w:hAnsi="Arial" w:cs="Arial"/>
          <w:bCs/>
        </w:rPr>
        <w:t xml:space="preserve"> violation of the </w:t>
      </w:r>
      <w:r w:rsidR="005F4F2A">
        <w:rPr>
          <w:rFonts w:ascii="Arial" w:hAnsi="Arial" w:cs="Arial"/>
          <w:bCs/>
        </w:rPr>
        <w:t xml:space="preserve">Normalization Rules </w:t>
      </w:r>
      <w:r w:rsidR="00D1373B">
        <w:rPr>
          <w:rFonts w:ascii="Arial" w:hAnsi="Arial" w:cs="Arial"/>
          <w:bCs/>
        </w:rPr>
        <w:t xml:space="preserve">results in </w:t>
      </w:r>
      <w:r>
        <w:rPr>
          <w:rFonts w:ascii="Arial" w:hAnsi="Arial" w:cs="Arial"/>
          <w:bCs/>
        </w:rPr>
        <w:t>the denial of accelerated depreciation or the investment tax credit.  Recapture of these credits would be required.</w:t>
      </w:r>
      <w:r w:rsidR="00D1373B">
        <w:rPr>
          <w:rFonts w:ascii="Arial" w:hAnsi="Arial" w:cs="Arial"/>
          <w:bCs/>
        </w:rPr>
        <w:t xml:space="preserve">  The Service needs to be notified of a recapture event.</w:t>
      </w:r>
    </w:p>
    <w:p w14:paraId="2E447819" w14:textId="77777777" w:rsidR="00A47D04" w:rsidRPr="00DC22F2" w:rsidRDefault="00A47D04" w:rsidP="00DC22F2">
      <w:pPr>
        <w:tabs>
          <w:tab w:val="num" w:pos="360"/>
        </w:tabs>
        <w:ind w:left="720" w:right="624" w:hanging="723"/>
        <w:rPr>
          <w:rFonts w:ascii="Arial" w:hAnsi="Arial" w:cs="Arial"/>
          <w:bCs/>
        </w:rPr>
      </w:pPr>
    </w:p>
    <w:p w14:paraId="13C03439" w14:textId="77777777" w:rsidR="00A47D04" w:rsidRPr="00DC22F2" w:rsidRDefault="00A47D04" w:rsidP="00DC22F2">
      <w:pPr>
        <w:numPr>
          <w:ilvl w:val="0"/>
          <w:numId w:val="1"/>
        </w:numPr>
        <w:tabs>
          <w:tab w:val="clear" w:pos="723"/>
          <w:tab w:val="num" w:pos="360"/>
        </w:tabs>
        <w:ind w:left="360" w:right="624" w:hanging="360"/>
        <w:rPr>
          <w:rFonts w:ascii="Arial" w:hAnsi="Arial" w:cs="Arial"/>
          <w:bCs/>
          <w:u w:val="single"/>
        </w:rPr>
      </w:pPr>
      <w:r w:rsidRPr="00DC22F2">
        <w:rPr>
          <w:rFonts w:ascii="Arial" w:hAnsi="Arial" w:cs="Arial"/>
          <w:bCs/>
          <w:u w:val="single"/>
        </w:rPr>
        <w:t>SPECIAL CIRCUMSTANCES REQUIRING DATA COLLECTION TO BE INCONSISTENT WITH GUIDELINES IN 5 CFR 1320.5(d)(2)</w:t>
      </w:r>
    </w:p>
    <w:p w14:paraId="4FA019B7" w14:textId="77777777" w:rsidR="00A47D04" w:rsidRPr="00DC22F2" w:rsidRDefault="00A47D04" w:rsidP="00DC22F2">
      <w:pPr>
        <w:tabs>
          <w:tab w:val="num" w:pos="360"/>
        </w:tabs>
        <w:ind w:left="288" w:right="624" w:hanging="723"/>
        <w:rPr>
          <w:rFonts w:ascii="Arial" w:hAnsi="Arial" w:cs="Arial"/>
          <w:bCs/>
        </w:rPr>
      </w:pPr>
    </w:p>
    <w:p w14:paraId="52C85921" w14:textId="042478B5" w:rsidR="00A47D04" w:rsidRDefault="00223EB0" w:rsidP="00DF7FC1">
      <w:pPr>
        <w:ind w:left="360"/>
        <w:rPr>
          <w:rFonts w:ascii="Arial" w:hAnsi="Arial" w:cs="Arial"/>
          <w:bCs/>
        </w:rPr>
      </w:pPr>
      <w:r w:rsidRPr="00223EB0">
        <w:rPr>
          <w:rFonts w:ascii="Arial" w:hAnsi="Arial" w:cs="Arial"/>
          <w:bCs/>
        </w:rPr>
        <w:t>There are no special circumstances requiring data collection to be inconsistent with Guidelines in 5 CFR 1320.5(d</w:t>
      </w:r>
      <w:proofErr w:type="gramStart"/>
      <w:r w:rsidRPr="00223EB0">
        <w:rPr>
          <w:rFonts w:ascii="Arial" w:hAnsi="Arial" w:cs="Arial"/>
          <w:bCs/>
        </w:rPr>
        <w:t>)(</w:t>
      </w:r>
      <w:proofErr w:type="gramEnd"/>
      <w:r w:rsidRPr="00223EB0">
        <w:rPr>
          <w:rFonts w:ascii="Arial" w:hAnsi="Arial" w:cs="Arial"/>
          <w:bCs/>
        </w:rPr>
        <w:t>2).</w:t>
      </w:r>
    </w:p>
    <w:p w14:paraId="25135976" w14:textId="77777777" w:rsidR="00124375" w:rsidRPr="00DC22F2" w:rsidRDefault="00124375" w:rsidP="00DF7FC1">
      <w:pPr>
        <w:ind w:left="360"/>
        <w:rPr>
          <w:rFonts w:ascii="Arial" w:hAnsi="Arial" w:cs="Arial"/>
          <w:bCs/>
        </w:rPr>
      </w:pPr>
    </w:p>
    <w:p w14:paraId="6B10379A" w14:textId="77777777" w:rsidR="00A47D04" w:rsidRPr="00DC22F2" w:rsidRDefault="00A47D04" w:rsidP="00DC22F2">
      <w:pPr>
        <w:numPr>
          <w:ilvl w:val="0"/>
          <w:numId w:val="1"/>
        </w:numPr>
        <w:tabs>
          <w:tab w:val="clear" w:pos="723"/>
          <w:tab w:val="num" w:pos="360"/>
        </w:tabs>
        <w:ind w:left="360" w:right="624" w:hanging="360"/>
        <w:rPr>
          <w:rFonts w:ascii="Arial" w:hAnsi="Arial" w:cs="Arial"/>
          <w:bCs/>
          <w:u w:val="single"/>
        </w:rPr>
      </w:pPr>
      <w:r w:rsidRPr="00DC22F2">
        <w:rPr>
          <w:rFonts w:ascii="Arial" w:hAnsi="Arial" w:cs="Arial"/>
          <w:bCs/>
          <w:u w:val="single"/>
        </w:rPr>
        <w:t>CONSULTATION WITH INDIVIDUALS OUTSIDE OF THE AGENCY ON AVAILABILITY OF DATA, FREQUENCY OF COLLECTION, CLARITY OF INSTRUCTIONS AND FORMS, AND DATA ELEMENTS</w:t>
      </w:r>
    </w:p>
    <w:p w14:paraId="68320F5F" w14:textId="77777777" w:rsidR="00A47D04" w:rsidRPr="00DC22F2" w:rsidRDefault="00A47D04" w:rsidP="00DC22F2">
      <w:pPr>
        <w:tabs>
          <w:tab w:val="num" w:pos="360"/>
        </w:tabs>
        <w:ind w:left="288" w:right="624" w:hanging="723"/>
        <w:rPr>
          <w:rFonts w:ascii="Arial" w:hAnsi="Arial" w:cs="Arial"/>
          <w:bCs/>
        </w:rPr>
      </w:pPr>
    </w:p>
    <w:p w14:paraId="0E29A1FC" w14:textId="77777777" w:rsidR="00EE05AE" w:rsidRPr="00FB23E7" w:rsidRDefault="00EE05AE" w:rsidP="00EE05AE">
      <w:pPr>
        <w:rPr>
          <w:rFonts w:ascii="Arial" w:hAnsi="Arial" w:cs="Arial"/>
          <w:bCs/>
        </w:rPr>
      </w:pPr>
      <w:r>
        <w:rPr>
          <w:rFonts w:ascii="Arial" w:hAnsi="Arial" w:cs="Arial"/>
          <w:bCs/>
        </w:rPr>
        <w:t xml:space="preserve">     </w:t>
      </w:r>
      <w:r w:rsidRPr="00FB23E7">
        <w:rPr>
          <w:rFonts w:ascii="Arial" w:hAnsi="Arial" w:cs="Arial"/>
          <w:bCs/>
        </w:rPr>
        <w:t xml:space="preserve">Revenue Procedure 108564-16 was published in the Internal Revenue Bulletin                 </w:t>
      </w:r>
    </w:p>
    <w:p w14:paraId="1B16757F" w14:textId="00B9A2C7" w:rsidR="00EE05AE" w:rsidRDefault="00EE05AE" w:rsidP="00EE05AE">
      <w:pPr>
        <w:rPr>
          <w:rFonts w:ascii="Arial" w:hAnsi="Arial" w:cs="Arial"/>
          <w:bCs/>
        </w:rPr>
      </w:pPr>
      <w:r w:rsidRPr="00FB23E7">
        <w:rPr>
          <w:rFonts w:ascii="Arial" w:hAnsi="Arial" w:cs="Arial"/>
          <w:bCs/>
        </w:rPr>
        <w:t xml:space="preserve">     </w:t>
      </w:r>
      <w:proofErr w:type="gramStart"/>
      <w:r w:rsidRPr="00FB23E7">
        <w:rPr>
          <w:rFonts w:ascii="Arial" w:hAnsi="Arial" w:cs="Arial"/>
          <w:bCs/>
        </w:rPr>
        <w:t xml:space="preserve">(2017-X I.R.B. XXX), on XX </w:t>
      </w:r>
      <w:proofErr w:type="spellStart"/>
      <w:r w:rsidRPr="00FB23E7">
        <w:rPr>
          <w:rFonts w:ascii="Arial" w:hAnsi="Arial" w:cs="Arial"/>
          <w:bCs/>
        </w:rPr>
        <w:t>XX</w:t>
      </w:r>
      <w:proofErr w:type="spellEnd"/>
      <w:r w:rsidRPr="00FB23E7">
        <w:rPr>
          <w:rFonts w:ascii="Arial" w:hAnsi="Arial" w:cs="Arial"/>
          <w:bCs/>
        </w:rPr>
        <w:t>, 2017.</w:t>
      </w:r>
      <w:proofErr w:type="gramEnd"/>
    </w:p>
    <w:p w14:paraId="47A63ABD" w14:textId="77777777" w:rsidR="00EE05AE" w:rsidRDefault="00EE05AE" w:rsidP="00504EA1">
      <w:pPr>
        <w:tabs>
          <w:tab w:val="num" w:pos="360"/>
        </w:tabs>
        <w:ind w:left="360" w:right="624"/>
        <w:rPr>
          <w:rFonts w:ascii="Arial" w:hAnsi="Arial" w:cs="Arial"/>
          <w:bCs/>
        </w:rPr>
      </w:pPr>
    </w:p>
    <w:p w14:paraId="63849616" w14:textId="77777777" w:rsidR="00A47D04" w:rsidRDefault="005F4F2A" w:rsidP="00504EA1">
      <w:pPr>
        <w:tabs>
          <w:tab w:val="num" w:pos="360"/>
        </w:tabs>
        <w:ind w:left="360" w:right="624"/>
        <w:rPr>
          <w:rFonts w:ascii="Arial" w:hAnsi="Arial" w:cs="Arial"/>
          <w:bCs/>
        </w:rPr>
      </w:pPr>
      <w:r>
        <w:rPr>
          <w:rFonts w:ascii="Arial" w:hAnsi="Arial" w:cs="Arial"/>
          <w:bCs/>
        </w:rPr>
        <w:t xml:space="preserve">We did not consult with individuals outside the agency on the </w:t>
      </w:r>
      <w:r w:rsidRPr="005F4F2A">
        <w:rPr>
          <w:rFonts w:ascii="Arial" w:hAnsi="Arial" w:cs="Arial"/>
          <w:bCs/>
        </w:rPr>
        <w:t>availability of data, frequency of collection, clarity of instructions and forms, and data elements</w:t>
      </w:r>
      <w:r w:rsidR="00504EA1">
        <w:rPr>
          <w:rFonts w:ascii="Arial" w:hAnsi="Arial" w:cs="Arial"/>
          <w:bCs/>
        </w:rPr>
        <w:t>.</w:t>
      </w:r>
      <w:r>
        <w:rPr>
          <w:rFonts w:ascii="Arial" w:hAnsi="Arial" w:cs="Arial"/>
          <w:bCs/>
        </w:rPr>
        <w:t xml:space="preserve">  Such consultation is not required in this case. </w:t>
      </w:r>
    </w:p>
    <w:p w14:paraId="459D1A47" w14:textId="77777777" w:rsidR="00EE05AE" w:rsidRDefault="00EE05AE" w:rsidP="00504EA1">
      <w:pPr>
        <w:tabs>
          <w:tab w:val="num" w:pos="360"/>
        </w:tabs>
        <w:ind w:left="360" w:right="624"/>
        <w:rPr>
          <w:rFonts w:ascii="Arial" w:hAnsi="Arial" w:cs="Arial"/>
          <w:bCs/>
        </w:rPr>
      </w:pPr>
    </w:p>
    <w:p w14:paraId="32D492C1" w14:textId="77777777" w:rsidR="00EE05AE" w:rsidRPr="00FB23E7" w:rsidRDefault="00EE05AE" w:rsidP="00EE05AE">
      <w:pPr>
        <w:rPr>
          <w:rFonts w:ascii="Arial" w:hAnsi="Arial" w:cs="Arial"/>
          <w:bCs/>
        </w:rPr>
      </w:pPr>
      <w:r>
        <w:rPr>
          <w:rFonts w:ascii="Arial" w:hAnsi="Arial" w:cs="Arial"/>
          <w:bCs/>
        </w:rPr>
        <w:t xml:space="preserve">     </w:t>
      </w:r>
      <w:r w:rsidRPr="00FB23E7">
        <w:rPr>
          <w:rFonts w:ascii="Arial" w:hAnsi="Arial" w:cs="Arial"/>
          <w:bCs/>
        </w:rPr>
        <w:t xml:space="preserve">We will publish a notice in the </w:t>
      </w:r>
      <w:r w:rsidRPr="00FB23E7">
        <w:rPr>
          <w:rFonts w:ascii="Arial" w:hAnsi="Arial" w:cs="Arial"/>
          <w:bCs/>
          <w:i/>
        </w:rPr>
        <w:t>Federal Register</w:t>
      </w:r>
      <w:r w:rsidRPr="00FB23E7">
        <w:rPr>
          <w:rFonts w:ascii="Arial" w:hAnsi="Arial" w:cs="Arial"/>
          <w:bCs/>
        </w:rPr>
        <w:t xml:space="preserve"> during the next OMB renewal cycle      </w:t>
      </w:r>
    </w:p>
    <w:p w14:paraId="51762C8A" w14:textId="6FA37F78" w:rsidR="00EE05AE" w:rsidRPr="00EE05AE" w:rsidRDefault="00EE05AE" w:rsidP="00EE05AE">
      <w:pPr>
        <w:rPr>
          <w:rFonts w:ascii="Arial" w:hAnsi="Arial" w:cs="Arial"/>
          <w:bCs/>
        </w:rPr>
      </w:pPr>
      <w:r w:rsidRPr="00FB23E7">
        <w:rPr>
          <w:rFonts w:ascii="Arial" w:hAnsi="Arial" w:cs="Arial"/>
          <w:bCs/>
        </w:rPr>
        <w:t xml:space="preserve">     </w:t>
      </w:r>
      <w:proofErr w:type="gramStart"/>
      <w:r w:rsidRPr="00FB23E7">
        <w:rPr>
          <w:rFonts w:ascii="Arial" w:hAnsi="Arial" w:cs="Arial"/>
          <w:bCs/>
        </w:rPr>
        <w:t>to</w:t>
      </w:r>
      <w:proofErr w:type="gramEnd"/>
      <w:r w:rsidRPr="00FB23E7">
        <w:rPr>
          <w:rFonts w:ascii="Arial" w:hAnsi="Arial" w:cs="Arial"/>
          <w:bCs/>
        </w:rPr>
        <w:t xml:space="preserve"> solicit public comments on burden for this revenue procedure.</w:t>
      </w:r>
    </w:p>
    <w:p w14:paraId="707EBD61" w14:textId="77777777" w:rsidR="00A47D04" w:rsidRPr="00DC22F2" w:rsidRDefault="00A47D04" w:rsidP="00DC22F2">
      <w:pPr>
        <w:tabs>
          <w:tab w:val="num" w:pos="360"/>
        </w:tabs>
        <w:ind w:left="288" w:right="624" w:hanging="723"/>
        <w:rPr>
          <w:rFonts w:ascii="Arial" w:hAnsi="Arial" w:cs="Arial"/>
          <w:bCs/>
        </w:rPr>
      </w:pPr>
    </w:p>
    <w:p w14:paraId="493427F3" w14:textId="77777777" w:rsidR="00A47D04" w:rsidRPr="00DC22F2" w:rsidRDefault="00A47D04" w:rsidP="00DC22F2">
      <w:pPr>
        <w:numPr>
          <w:ilvl w:val="0"/>
          <w:numId w:val="1"/>
        </w:numPr>
        <w:tabs>
          <w:tab w:val="clear" w:pos="723"/>
          <w:tab w:val="num" w:pos="360"/>
        </w:tabs>
        <w:ind w:left="360" w:right="624" w:hanging="360"/>
        <w:rPr>
          <w:rFonts w:ascii="Arial" w:hAnsi="Arial" w:cs="Arial"/>
          <w:bCs/>
          <w:u w:val="single"/>
        </w:rPr>
      </w:pPr>
      <w:r w:rsidRPr="00DC22F2">
        <w:rPr>
          <w:rFonts w:ascii="Arial" w:hAnsi="Arial" w:cs="Arial"/>
          <w:bCs/>
          <w:u w:val="single"/>
        </w:rPr>
        <w:t>EXPLANATION OF DECISION TO PROVIDE ANY PAYMENT OR GIFT TO RESPONDENTS</w:t>
      </w:r>
    </w:p>
    <w:p w14:paraId="70ED7CE7" w14:textId="77777777" w:rsidR="00A47D04" w:rsidRPr="00DC22F2" w:rsidRDefault="00A47D04" w:rsidP="00DC22F2">
      <w:pPr>
        <w:tabs>
          <w:tab w:val="num" w:pos="360"/>
        </w:tabs>
        <w:ind w:left="288" w:right="624" w:hanging="723"/>
        <w:rPr>
          <w:rFonts w:ascii="Arial" w:hAnsi="Arial" w:cs="Arial"/>
          <w:bCs/>
        </w:rPr>
      </w:pPr>
    </w:p>
    <w:p w14:paraId="61DD8BC6" w14:textId="77777777" w:rsidR="00A47D04" w:rsidRPr="00223EB0" w:rsidRDefault="00A47D04" w:rsidP="00DC22F2">
      <w:pPr>
        <w:tabs>
          <w:tab w:val="num" w:pos="360"/>
        </w:tabs>
        <w:ind w:left="288" w:right="624" w:hanging="723"/>
        <w:rPr>
          <w:rFonts w:ascii="Arial" w:hAnsi="Arial" w:cs="Arial"/>
          <w:bCs/>
        </w:rPr>
      </w:pPr>
      <w:r w:rsidRPr="00DC22F2">
        <w:rPr>
          <w:rFonts w:ascii="Arial" w:hAnsi="Arial" w:cs="Arial"/>
          <w:bCs/>
        </w:rPr>
        <w:tab/>
      </w:r>
      <w:r w:rsidR="00DC22F2">
        <w:rPr>
          <w:rFonts w:ascii="Arial" w:hAnsi="Arial" w:cs="Arial"/>
          <w:bCs/>
        </w:rPr>
        <w:tab/>
      </w:r>
      <w:r w:rsidR="00223EB0" w:rsidRPr="00223EB0">
        <w:t xml:space="preserve"> </w:t>
      </w:r>
      <w:r w:rsidR="00223EB0" w:rsidRPr="00223EB0">
        <w:rPr>
          <w:rFonts w:ascii="Arial" w:hAnsi="Arial" w:cs="Arial"/>
          <w:bCs/>
        </w:rPr>
        <w:t>No payment or gift has been provided to any respondents.</w:t>
      </w:r>
    </w:p>
    <w:p w14:paraId="0B480D50" w14:textId="77777777" w:rsidR="00A47D04" w:rsidRPr="00DC22F2" w:rsidRDefault="00A47D04" w:rsidP="00DC22F2">
      <w:pPr>
        <w:tabs>
          <w:tab w:val="num" w:pos="360"/>
        </w:tabs>
        <w:ind w:left="288" w:right="624" w:hanging="723"/>
        <w:rPr>
          <w:rFonts w:ascii="Arial" w:hAnsi="Arial" w:cs="Arial"/>
          <w:bCs/>
        </w:rPr>
      </w:pPr>
    </w:p>
    <w:p w14:paraId="66337C7E" w14:textId="77777777" w:rsidR="00A47D04" w:rsidRPr="00DC22F2" w:rsidRDefault="00DC22F2" w:rsidP="00DC22F2">
      <w:pPr>
        <w:numPr>
          <w:ilvl w:val="0"/>
          <w:numId w:val="1"/>
        </w:numPr>
        <w:tabs>
          <w:tab w:val="clear" w:pos="723"/>
          <w:tab w:val="num" w:pos="360"/>
        </w:tabs>
        <w:ind w:right="624" w:hanging="723"/>
        <w:rPr>
          <w:rFonts w:ascii="Arial" w:hAnsi="Arial" w:cs="Arial"/>
          <w:bCs/>
          <w:u w:val="single"/>
        </w:rPr>
      </w:pPr>
      <w:r w:rsidRPr="00DC22F2">
        <w:rPr>
          <w:rFonts w:ascii="Arial" w:hAnsi="Arial" w:cs="Arial"/>
          <w:bCs/>
        </w:rPr>
        <w:t xml:space="preserve"> </w:t>
      </w:r>
      <w:r w:rsidR="00A47D04" w:rsidRPr="00DC22F2">
        <w:rPr>
          <w:rFonts w:ascii="Arial" w:hAnsi="Arial" w:cs="Arial"/>
          <w:bCs/>
          <w:u w:val="single"/>
        </w:rPr>
        <w:t>ASSURANCE OF CONFIDENTIALITY OF RESPONSES</w:t>
      </w:r>
    </w:p>
    <w:p w14:paraId="603BE415" w14:textId="77777777" w:rsidR="00A47D04" w:rsidRPr="00DC22F2" w:rsidRDefault="00A47D04" w:rsidP="00DC22F2">
      <w:pPr>
        <w:tabs>
          <w:tab w:val="num" w:pos="360"/>
        </w:tabs>
        <w:ind w:left="288" w:right="624" w:hanging="723"/>
        <w:rPr>
          <w:rFonts w:ascii="Arial" w:hAnsi="Arial" w:cs="Arial"/>
          <w:bCs/>
        </w:rPr>
      </w:pPr>
    </w:p>
    <w:p w14:paraId="74A9F28F" w14:textId="77777777" w:rsidR="00A47D04" w:rsidRDefault="00DC22F2" w:rsidP="00DC22F2">
      <w:pPr>
        <w:tabs>
          <w:tab w:val="left" w:pos="360"/>
        </w:tabs>
        <w:ind w:left="360" w:right="624" w:hanging="363"/>
        <w:rPr>
          <w:rFonts w:ascii="Arial" w:hAnsi="Arial" w:cs="Arial"/>
          <w:bCs/>
        </w:rPr>
      </w:pPr>
      <w:r>
        <w:rPr>
          <w:rFonts w:ascii="Arial" w:hAnsi="Arial" w:cs="Arial"/>
          <w:bCs/>
        </w:rPr>
        <w:tab/>
      </w:r>
      <w:r w:rsidR="00A47D04" w:rsidRPr="00DC22F2">
        <w:rPr>
          <w:rFonts w:ascii="Arial" w:hAnsi="Arial" w:cs="Arial"/>
          <w:bCs/>
        </w:rPr>
        <w:t>Generally, tax returns and tax return information are confidential as required by 26 U</w:t>
      </w:r>
      <w:r w:rsidR="00504EA1">
        <w:rPr>
          <w:rFonts w:ascii="Arial" w:hAnsi="Arial" w:cs="Arial"/>
          <w:bCs/>
        </w:rPr>
        <w:t>.</w:t>
      </w:r>
      <w:r w:rsidR="00A47D04" w:rsidRPr="00DC22F2">
        <w:rPr>
          <w:rFonts w:ascii="Arial" w:hAnsi="Arial" w:cs="Arial"/>
          <w:bCs/>
        </w:rPr>
        <w:t>S</w:t>
      </w:r>
      <w:r w:rsidR="00504EA1">
        <w:rPr>
          <w:rFonts w:ascii="Arial" w:hAnsi="Arial" w:cs="Arial"/>
          <w:bCs/>
        </w:rPr>
        <w:t>.</w:t>
      </w:r>
      <w:r w:rsidR="00A47D04" w:rsidRPr="00DC22F2">
        <w:rPr>
          <w:rFonts w:ascii="Arial" w:hAnsi="Arial" w:cs="Arial"/>
          <w:bCs/>
        </w:rPr>
        <w:t>C</w:t>
      </w:r>
      <w:r w:rsidR="00504EA1">
        <w:rPr>
          <w:rFonts w:ascii="Arial" w:hAnsi="Arial" w:cs="Arial"/>
          <w:bCs/>
        </w:rPr>
        <w:t>.</w:t>
      </w:r>
      <w:r w:rsidR="00A47D04" w:rsidRPr="00DC22F2">
        <w:rPr>
          <w:rFonts w:ascii="Arial" w:hAnsi="Arial" w:cs="Arial"/>
          <w:bCs/>
        </w:rPr>
        <w:t xml:space="preserve"> </w:t>
      </w:r>
      <w:r w:rsidR="00504EA1">
        <w:rPr>
          <w:rFonts w:ascii="Arial" w:hAnsi="Arial" w:cs="Arial"/>
          <w:bCs/>
        </w:rPr>
        <w:t xml:space="preserve">§ </w:t>
      </w:r>
      <w:r w:rsidR="00A47D04" w:rsidRPr="00DC22F2">
        <w:rPr>
          <w:rFonts w:ascii="Arial" w:hAnsi="Arial" w:cs="Arial"/>
          <w:bCs/>
        </w:rPr>
        <w:t xml:space="preserve">6103.  </w:t>
      </w:r>
    </w:p>
    <w:p w14:paraId="08A5B3C4" w14:textId="77777777" w:rsidR="00FB23E7" w:rsidRPr="00DC22F2" w:rsidRDefault="00FB23E7" w:rsidP="00DC22F2">
      <w:pPr>
        <w:tabs>
          <w:tab w:val="left" w:pos="360"/>
        </w:tabs>
        <w:ind w:left="360" w:right="624" w:hanging="363"/>
        <w:rPr>
          <w:rFonts w:ascii="Arial" w:hAnsi="Arial" w:cs="Arial"/>
          <w:bCs/>
        </w:rPr>
      </w:pPr>
    </w:p>
    <w:p w14:paraId="36CB5E99" w14:textId="77777777" w:rsidR="00A47D04" w:rsidRPr="00DC22F2" w:rsidRDefault="00A47D04" w:rsidP="00DC22F2">
      <w:pPr>
        <w:tabs>
          <w:tab w:val="num" w:pos="360"/>
        </w:tabs>
        <w:ind w:left="288" w:right="624" w:hanging="723"/>
        <w:rPr>
          <w:rFonts w:ascii="Arial" w:hAnsi="Arial" w:cs="Arial"/>
          <w:bCs/>
        </w:rPr>
      </w:pPr>
    </w:p>
    <w:p w14:paraId="32F8D6CB" w14:textId="77777777" w:rsidR="00A47D04" w:rsidRPr="00DC22F2" w:rsidRDefault="00DC22F2" w:rsidP="00DC22F2">
      <w:pPr>
        <w:numPr>
          <w:ilvl w:val="0"/>
          <w:numId w:val="1"/>
        </w:numPr>
        <w:tabs>
          <w:tab w:val="clear" w:pos="723"/>
          <w:tab w:val="num" w:pos="360"/>
        </w:tabs>
        <w:ind w:right="624" w:hanging="723"/>
        <w:rPr>
          <w:rFonts w:ascii="Arial" w:hAnsi="Arial" w:cs="Arial"/>
          <w:bCs/>
          <w:u w:val="single"/>
        </w:rPr>
      </w:pPr>
      <w:r w:rsidRPr="00DC22F2">
        <w:rPr>
          <w:rFonts w:ascii="Arial" w:hAnsi="Arial" w:cs="Arial"/>
          <w:bCs/>
        </w:rPr>
        <w:t xml:space="preserve"> </w:t>
      </w:r>
      <w:r w:rsidR="00A47D04" w:rsidRPr="00DC22F2">
        <w:rPr>
          <w:rFonts w:ascii="Arial" w:hAnsi="Arial" w:cs="Arial"/>
          <w:bCs/>
          <w:u w:val="single"/>
        </w:rPr>
        <w:t>JUSTIFICATION OF SENSITIVE QUESTIONS</w:t>
      </w:r>
    </w:p>
    <w:p w14:paraId="0F5500F7" w14:textId="77777777" w:rsidR="00A47D04" w:rsidRPr="00DC22F2" w:rsidRDefault="00A47D04" w:rsidP="00DC22F2">
      <w:pPr>
        <w:tabs>
          <w:tab w:val="num" w:pos="360"/>
        </w:tabs>
        <w:ind w:left="288" w:right="624" w:hanging="723"/>
        <w:rPr>
          <w:rFonts w:ascii="Arial" w:hAnsi="Arial" w:cs="Arial"/>
          <w:bCs/>
        </w:rPr>
      </w:pPr>
    </w:p>
    <w:p w14:paraId="4B12C7B1" w14:textId="77777777" w:rsidR="00D1373B" w:rsidRPr="005F4F2A" w:rsidRDefault="00D1373B" w:rsidP="00D1373B">
      <w:pPr>
        <w:ind w:left="360"/>
        <w:rPr>
          <w:rFonts w:ascii="Arial" w:hAnsi="Arial" w:cs="Arial"/>
        </w:rPr>
      </w:pPr>
      <w:r w:rsidRPr="005F4F2A">
        <w:rPr>
          <w:rFonts w:ascii="Arial" w:hAnsi="Arial" w:cs="Arial"/>
        </w:rPr>
        <w:t>Th</w:t>
      </w:r>
      <w:r w:rsidR="005F4F2A" w:rsidRPr="005F4F2A">
        <w:rPr>
          <w:rFonts w:ascii="Arial" w:hAnsi="Arial" w:cs="Arial"/>
        </w:rPr>
        <w:t>e</w:t>
      </w:r>
      <w:r w:rsidRPr="005F4F2A">
        <w:rPr>
          <w:rFonts w:ascii="Arial" w:hAnsi="Arial" w:cs="Arial"/>
        </w:rPr>
        <w:t xml:space="preserve"> </w:t>
      </w:r>
      <w:r w:rsidR="005F4F2A" w:rsidRPr="005F4F2A">
        <w:rPr>
          <w:rFonts w:ascii="Arial" w:hAnsi="Arial" w:cs="Arial"/>
        </w:rPr>
        <w:t xml:space="preserve">contemporaneous documentation and reflection of this information on the taxpayer’s Form 1120 (Schedule UTP) does not contain sensitive information.  This </w:t>
      </w:r>
      <w:r w:rsidRPr="005F4F2A">
        <w:rPr>
          <w:rFonts w:ascii="Arial" w:hAnsi="Arial" w:cs="Arial"/>
        </w:rPr>
        <w:t xml:space="preserve">information is required to be publicly disclosed in regulatory proceedings with the Federal Energy Regulatory Agency.  </w:t>
      </w:r>
    </w:p>
    <w:p w14:paraId="2A83A17A" w14:textId="77777777" w:rsidR="00D1373B" w:rsidRPr="00D1373B" w:rsidRDefault="00D1373B" w:rsidP="00433257">
      <w:pPr>
        <w:tabs>
          <w:tab w:val="num" w:pos="360"/>
          <w:tab w:val="left" w:pos="450"/>
        </w:tabs>
        <w:ind w:left="288" w:right="624" w:hanging="723"/>
        <w:rPr>
          <w:rFonts w:ascii="Arial" w:hAnsi="Arial" w:cs="Arial"/>
          <w:bCs/>
        </w:rPr>
      </w:pPr>
    </w:p>
    <w:p w14:paraId="16D68670" w14:textId="77777777" w:rsidR="00A47D04" w:rsidRPr="00DC22F2" w:rsidRDefault="00DC22F2" w:rsidP="00DC22F2">
      <w:pPr>
        <w:numPr>
          <w:ilvl w:val="0"/>
          <w:numId w:val="1"/>
        </w:numPr>
        <w:tabs>
          <w:tab w:val="clear" w:pos="723"/>
          <w:tab w:val="num" w:pos="360"/>
        </w:tabs>
        <w:ind w:right="624" w:hanging="723"/>
        <w:rPr>
          <w:rFonts w:ascii="Arial" w:hAnsi="Arial" w:cs="Arial"/>
          <w:bCs/>
          <w:u w:val="single"/>
        </w:rPr>
      </w:pPr>
      <w:r w:rsidRPr="00DC22F2">
        <w:rPr>
          <w:rFonts w:ascii="Arial" w:hAnsi="Arial" w:cs="Arial"/>
          <w:bCs/>
        </w:rPr>
        <w:t xml:space="preserve"> </w:t>
      </w:r>
      <w:r w:rsidR="00A47D04" w:rsidRPr="00DC22F2">
        <w:rPr>
          <w:rFonts w:ascii="Arial" w:hAnsi="Arial" w:cs="Arial"/>
          <w:bCs/>
          <w:u w:val="single"/>
        </w:rPr>
        <w:t>ESTIMATED BURDEN OF INFORMATION COLLECTION</w:t>
      </w:r>
    </w:p>
    <w:p w14:paraId="3EF0243F" w14:textId="77777777" w:rsidR="00A47D04" w:rsidRPr="00DC22F2" w:rsidRDefault="00A47D04" w:rsidP="00DC22F2">
      <w:pPr>
        <w:tabs>
          <w:tab w:val="num" w:pos="360"/>
        </w:tabs>
        <w:ind w:hanging="723"/>
        <w:rPr>
          <w:rFonts w:ascii="Arial" w:hAnsi="Arial" w:cs="Arial"/>
        </w:rPr>
      </w:pPr>
    </w:p>
    <w:p w14:paraId="1DAB4926" w14:textId="77777777" w:rsidR="00E553AB" w:rsidRDefault="00A47D04" w:rsidP="00DC22F2">
      <w:pPr>
        <w:tabs>
          <w:tab w:val="num" w:pos="360"/>
        </w:tabs>
        <w:ind w:left="360"/>
        <w:rPr>
          <w:rFonts w:ascii="Arial" w:hAnsi="Arial" w:cs="Arial"/>
        </w:rPr>
      </w:pPr>
      <w:r w:rsidRPr="00DC22F2">
        <w:rPr>
          <w:rFonts w:ascii="Arial" w:hAnsi="Arial" w:cs="Arial"/>
        </w:rPr>
        <w:t xml:space="preserve">The collection of information in this proposed regulation is in </w:t>
      </w:r>
      <w:r w:rsidR="00E553AB" w:rsidRPr="00E553AB">
        <w:rPr>
          <w:rFonts w:ascii="Arial" w:hAnsi="Arial" w:cs="Arial"/>
        </w:rPr>
        <w:t>§§ 50(d</w:t>
      </w:r>
      <w:proofErr w:type="gramStart"/>
      <w:r w:rsidR="00E553AB" w:rsidRPr="00E553AB">
        <w:rPr>
          <w:rFonts w:ascii="Arial" w:hAnsi="Arial" w:cs="Arial"/>
        </w:rPr>
        <w:t>)(</w:t>
      </w:r>
      <w:proofErr w:type="gramEnd"/>
      <w:r w:rsidR="00E553AB" w:rsidRPr="00E553AB">
        <w:rPr>
          <w:rFonts w:ascii="Arial" w:hAnsi="Arial" w:cs="Arial"/>
        </w:rPr>
        <w:t>2) and 168(i)(9)</w:t>
      </w:r>
      <w:r w:rsidRPr="00E553AB">
        <w:rPr>
          <w:rFonts w:ascii="Arial" w:hAnsi="Arial" w:cs="Arial"/>
        </w:rPr>
        <w:t xml:space="preserve">.  </w:t>
      </w:r>
      <w:r w:rsidRPr="00DC22F2">
        <w:rPr>
          <w:rFonts w:ascii="Arial" w:hAnsi="Arial" w:cs="Arial"/>
        </w:rPr>
        <w:t xml:space="preserve">The information collected under </w:t>
      </w:r>
      <w:r w:rsidR="00E553AB">
        <w:rPr>
          <w:rFonts w:ascii="Arial" w:hAnsi="Arial" w:cs="Arial"/>
        </w:rPr>
        <w:t xml:space="preserve">this revenue procedure </w:t>
      </w:r>
      <w:r w:rsidR="00E553AB">
        <w:rPr>
          <w:rFonts w:ascii="Arial" w:hAnsi="Arial" w:cs="Arial"/>
          <w:bCs/>
        </w:rPr>
        <w:t xml:space="preserve">will be used to verify that the taxpayer has </w:t>
      </w:r>
      <w:r w:rsidR="00E553AB" w:rsidRPr="00504EA1">
        <w:rPr>
          <w:rFonts w:ascii="Arial" w:hAnsi="Arial" w:cs="Arial"/>
        </w:rPr>
        <w:t>change</w:t>
      </w:r>
      <w:r w:rsidR="00E553AB">
        <w:rPr>
          <w:rFonts w:ascii="Arial" w:hAnsi="Arial" w:cs="Arial"/>
        </w:rPr>
        <w:t>d</w:t>
      </w:r>
      <w:r w:rsidR="00E553AB" w:rsidRPr="00504EA1">
        <w:rPr>
          <w:rFonts w:ascii="Arial" w:hAnsi="Arial" w:cs="Arial"/>
        </w:rPr>
        <w:t xml:space="preserve"> to a Consistent Practice or Procedure adopted or approved by the Taxpayer’s Regulator</w:t>
      </w:r>
      <w:r w:rsidR="00E553AB">
        <w:rPr>
          <w:rFonts w:ascii="Arial" w:hAnsi="Arial" w:cs="Arial"/>
        </w:rPr>
        <w:t xml:space="preserve"> as required by the Normalization Rules.</w:t>
      </w:r>
    </w:p>
    <w:p w14:paraId="4F21FC7D" w14:textId="77777777" w:rsidR="00A47D04" w:rsidRDefault="00A47D04" w:rsidP="00E553AB">
      <w:pPr>
        <w:tabs>
          <w:tab w:val="num" w:pos="360"/>
        </w:tabs>
        <w:ind w:left="360"/>
        <w:rPr>
          <w:rFonts w:ascii="Arial" w:hAnsi="Arial" w:cs="Arial"/>
        </w:rPr>
      </w:pPr>
      <w:r w:rsidRPr="00DC22F2">
        <w:rPr>
          <w:rFonts w:ascii="Arial" w:hAnsi="Arial" w:cs="Arial"/>
        </w:rPr>
        <w:t xml:space="preserve">The collection of information is </w:t>
      </w:r>
      <w:r w:rsidR="00E553AB">
        <w:rPr>
          <w:rFonts w:ascii="Arial" w:hAnsi="Arial" w:cs="Arial"/>
        </w:rPr>
        <w:t xml:space="preserve">voluntary as taxpayers that do not use the safe harbor provided in this revenue procedure may instead </w:t>
      </w:r>
      <w:r w:rsidR="00E553AB" w:rsidRPr="00E553AB">
        <w:rPr>
          <w:rFonts w:ascii="Arial" w:hAnsi="Arial" w:cs="Arial"/>
        </w:rPr>
        <w:t xml:space="preserve">request a letter ruling or technical advice memorandum that a </w:t>
      </w:r>
      <w:r w:rsidR="00E553AB">
        <w:rPr>
          <w:rFonts w:ascii="Arial" w:hAnsi="Arial" w:cs="Arial"/>
        </w:rPr>
        <w:t>t</w:t>
      </w:r>
      <w:r w:rsidR="00E553AB" w:rsidRPr="00E553AB">
        <w:rPr>
          <w:rFonts w:ascii="Arial" w:hAnsi="Arial" w:cs="Arial"/>
        </w:rPr>
        <w:t>axpayer's proposed practice or procedure is consistent or inconsistent with the Normalization Rules.</w:t>
      </w:r>
      <w:r w:rsidR="00E553AB">
        <w:rPr>
          <w:rFonts w:ascii="Arial" w:hAnsi="Arial" w:cs="Arial"/>
        </w:rPr>
        <w:t xml:space="preserve">  </w:t>
      </w:r>
      <w:r w:rsidRPr="00DC22F2">
        <w:rPr>
          <w:rFonts w:ascii="Arial" w:hAnsi="Arial" w:cs="Arial"/>
        </w:rPr>
        <w:t xml:space="preserve">The likely </w:t>
      </w:r>
      <w:proofErr w:type="spellStart"/>
      <w:r w:rsidRPr="00DC22F2">
        <w:rPr>
          <w:rFonts w:ascii="Arial" w:hAnsi="Arial" w:cs="Arial"/>
        </w:rPr>
        <w:t>recordkeepers</w:t>
      </w:r>
      <w:proofErr w:type="spellEnd"/>
      <w:r w:rsidRPr="00DC22F2">
        <w:rPr>
          <w:rFonts w:ascii="Arial" w:hAnsi="Arial" w:cs="Arial"/>
        </w:rPr>
        <w:t xml:space="preserve"> are </w:t>
      </w:r>
      <w:r w:rsidR="00E553AB">
        <w:rPr>
          <w:rFonts w:ascii="Arial" w:hAnsi="Arial" w:cs="Arial"/>
        </w:rPr>
        <w:t>regulated utilities</w:t>
      </w:r>
      <w:r w:rsidRPr="00DC22F2">
        <w:rPr>
          <w:rFonts w:ascii="Arial" w:hAnsi="Arial" w:cs="Arial"/>
        </w:rPr>
        <w:t xml:space="preserve">.  Estimated number of </w:t>
      </w:r>
      <w:proofErr w:type="spellStart"/>
      <w:r w:rsidRPr="00DC22F2">
        <w:rPr>
          <w:rFonts w:ascii="Arial" w:hAnsi="Arial" w:cs="Arial"/>
        </w:rPr>
        <w:t>recordkeepers</w:t>
      </w:r>
      <w:proofErr w:type="spellEnd"/>
      <w:r w:rsidRPr="00DC22F2">
        <w:rPr>
          <w:rFonts w:ascii="Arial" w:hAnsi="Arial" w:cs="Arial"/>
        </w:rPr>
        <w:t xml:space="preserve"> is </w:t>
      </w:r>
      <w:r w:rsidR="00B04BCD" w:rsidRPr="00DC22F2">
        <w:rPr>
          <w:rFonts w:ascii="Arial" w:hAnsi="Arial" w:cs="Arial"/>
        </w:rPr>
        <w:t>1</w:t>
      </w:r>
      <w:r w:rsidR="00E553AB">
        <w:rPr>
          <w:rFonts w:ascii="Arial" w:hAnsi="Arial" w:cs="Arial"/>
        </w:rPr>
        <w:t>5</w:t>
      </w:r>
      <w:r w:rsidRPr="00DC22F2">
        <w:rPr>
          <w:rFonts w:ascii="Arial" w:hAnsi="Arial" w:cs="Arial"/>
        </w:rPr>
        <w:t xml:space="preserve">0.  The estimated annual burden per </w:t>
      </w:r>
      <w:proofErr w:type="spellStart"/>
      <w:r w:rsidRPr="00DC22F2">
        <w:rPr>
          <w:rFonts w:ascii="Arial" w:hAnsi="Arial" w:cs="Arial"/>
        </w:rPr>
        <w:t>recordkeeper</w:t>
      </w:r>
      <w:proofErr w:type="spellEnd"/>
      <w:r w:rsidRPr="00DC22F2">
        <w:rPr>
          <w:rFonts w:ascii="Arial" w:hAnsi="Arial" w:cs="Arial"/>
        </w:rPr>
        <w:t xml:space="preserve"> </w:t>
      </w:r>
      <w:r w:rsidR="00B04BCD" w:rsidRPr="00DC22F2">
        <w:rPr>
          <w:rFonts w:ascii="Arial" w:hAnsi="Arial" w:cs="Arial"/>
        </w:rPr>
        <w:t>depends on</w:t>
      </w:r>
      <w:r w:rsidRPr="00DC22F2">
        <w:rPr>
          <w:rFonts w:ascii="Arial" w:hAnsi="Arial" w:cs="Arial"/>
        </w:rPr>
        <w:t xml:space="preserve"> individual circumstances, with an estimated average of</w:t>
      </w:r>
      <w:r w:rsidR="00B04BCD" w:rsidRPr="00DC22F2">
        <w:rPr>
          <w:rFonts w:ascii="Arial" w:hAnsi="Arial" w:cs="Arial"/>
        </w:rPr>
        <w:t xml:space="preserve"> </w:t>
      </w:r>
      <w:r w:rsidR="00E553AB">
        <w:rPr>
          <w:rFonts w:ascii="Arial" w:hAnsi="Arial" w:cs="Arial"/>
        </w:rPr>
        <w:t>12</w:t>
      </w:r>
      <w:r w:rsidRPr="00DC22F2">
        <w:rPr>
          <w:rFonts w:ascii="Arial" w:hAnsi="Arial" w:cs="Arial"/>
        </w:rPr>
        <w:t xml:space="preserve"> hours.  Estimated total annual recordkeeping burden is </w:t>
      </w:r>
      <w:r w:rsidR="00E553AB">
        <w:rPr>
          <w:rFonts w:ascii="Arial" w:hAnsi="Arial" w:cs="Arial"/>
        </w:rPr>
        <w:t>1,800</w:t>
      </w:r>
      <w:r w:rsidRPr="00DC22F2">
        <w:rPr>
          <w:rFonts w:ascii="Arial" w:hAnsi="Arial" w:cs="Arial"/>
        </w:rPr>
        <w:t xml:space="preserve"> hours.  </w:t>
      </w:r>
    </w:p>
    <w:p w14:paraId="15C47FEA" w14:textId="77777777" w:rsidR="00783B93" w:rsidRDefault="00783B93" w:rsidP="00E553AB">
      <w:pPr>
        <w:tabs>
          <w:tab w:val="num" w:pos="360"/>
        </w:tabs>
        <w:ind w:left="360"/>
        <w:rPr>
          <w:rFonts w:ascii="Arial" w:hAnsi="Arial" w:cs="Arial"/>
        </w:rPr>
      </w:pPr>
    </w:p>
    <w:p w14:paraId="2E6BE370" w14:textId="2E335405" w:rsidR="00783B93" w:rsidRPr="00DC22F2" w:rsidRDefault="00783B93" w:rsidP="00E553AB">
      <w:pPr>
        <w:tabs>
          <w:tab w:val="num" w:pos="360"/>
        </w:tabs>
        <w:ind w:left="360"/>
        <w:rPr>
          <w:rFonts w:ascii="Arial" w:hAnsi="Arial" w:cs="Arial"/>
          <w:bCs/>
        </w:rPr>
      </w:pPr>
      <w:r w:rsidRPr="00FB23E7">
        <w:rPr>
          <w:rFonts w:ascii="Arial" w:hAnsi="Arial" w:cs="Arial"/>
          <w:bCs/>
        </w:rPr>
        <w:t>Reporting burden is being reported under the OMB control number 1545-0123 for Form 1120 (Schedule UTP).</w:t>
      </w:r>
    </w:p>
    <w:p w14:paraId="65E01E66" w14:textId="77777777" w:rsidR="00A47D04" w:rsidRPr="00DC22F2" w:rsidRDefault="00A47D04" w:rsidP="00DC22F2">
      <w:pPr>
        <w:tabs>
          <w:tab w:val="num" w:pos="360"/>
        </w:tabs>
        <w:ind w:left="288" w:right="624" w:hanging="723"/>
        <w:rPr>
          <w:rFonts w:ascii="Arial" w:hAnsi="Arial" w:cs="Arial"/>
          <w:bCs/>
        </w:rPr>
      </w:pPr>
    </w:p>
    <w:p w14:paraId="61FB2AD6" w14:textId="017A34C4" w:rsidR="00A47D04" w:rsidRPr="00DC22F2" w:rsidRDefault="00DC22F2" w:rsidP="00DC22F2">
      <w:pPr>
        <w:numPr>
          <w:ilvl w:val="0"/>
          <w:numId w:val="1"/>
        </w:numPr>
        <w:tabs>
          <w:tab w:val="clear" w:pos="723"/>
          <w:tab w:val="num" w:pos="360"/>
        </w:tabs>
        <w:ind w:right="624" w:hanging="723"/>
        <w:rPr>
          <w:rFonts w:ascii="Arial" w:hAnsi="Arial" w:cs="Arial"/>
          <w:bCs/>
          <w:u w:val="single"/>
        </w:rPr>
      </w:pPr>
      <w:r w:rsidRPr="00DC22F2">
        <w:rPr>
          <w:rFonts w:ascii="Arial" w:hAnsi="Arial" w:cs="Arial"/>
          <w:bCs/>
        </w:rPr>
        <w:t xml:space="preserve"> </w:t>
      </w:r>
      <w:r w:rsidR="00A47D04" w:rsidRPr="00DC22F2">
        <w:rPr>
          <w:rFonts w:ascii="Arial" w:hAnsi="Arial" w:cs="Arial"/>
          <w:bCs/>
          <w:u w:val="single"/>
        </w:rPr>
        <w:t>ESTIMATED TOTAL ANNUAL COST BURDEN TO RESPONDENTS</w:t>
      </w:r>
    </w:p>
    <w:p w14:paraId="7BA73046" w14:textId="77777777" w:rsidR="00A47D04" w:rsidRDefault="00A47D04" w:rsidP="00DC22F2">
      <w:pPr>
        <w:tabs>
          <w:tab w:val="num" w:pos="360"/>
        </w:tabs>
        <w:ind w:left="288" w:right="624" w:hanging="723"/>
        <w:rPr>
          <w:rFonts w:ascii="Arial" w:hAnsi="Arial" w:cs="Arial"/>
          <w:bCs/>
        </w:rPr>
      </w:pPr>
    </w:p>
    <w:p w14:paraId="57F3FA25" w14:textId="77777777" w:rsidR="005F4F2A" w:rsidRPr="00DC22F2" w:rsidRDefault="005F4F2A" w:rsidP="005F4F2A">
      <w:pPr>
        <w:tabs>
          <w:tab w:val="num" w:pos="360"/>
        </w:tabs>
        <w:ind w:left="360" w:right="624" w:hanging="723"/>
        <w:rPr>
          <w:rFonts w:ascii="Arial" w:hAnsi="Arial" w:cs="Arial"/>
          <w:bCs/>
        </w:rPr>
      </w:pPr>
      <w:r>
        <w:rPr>
          <w:rFonts w:ascii="Arial" w:hAnsi="Arial" w:cs="Arial"/>
          <w:bCs/>
        </w:rPr>
        <w:tab/>
        <w:t xml:space="preserve">The information required to be collected and reported to the Service is already made available to the Federal Energy Regulatory Agency.  As a result, the cost should be de </w:t>
      </w:r>
      <w:proofErr w:type="spellStart"/>
      <w:r>
        <w:rPr>
          <w:rFonts w:ascii="Arial" w:hAnsi="Arial" w:cs="Arial"/>
          <w:bCs/>
        </w:rPr>
        <w:t>minimis</w:t>
      </w:r>
      <w:proofErr w:type="spellEnd"/>
      <w:r>
        <w:rPr>
          <w:rFonts w:ascii="Arial" w:hAnsi="Arial" w:cs="Arial"/>
          <w:bCs/>
        </w:rPr>
        <w:t>.</w:t>
      </w:r>
    </w:p>
    <w:p w14:paraId="45D03BED" w14:textId="77777777" w:rsidR="00182CA0" w:rsidRPr="00DC22F2" w:rsidRDefault="00DC22F2" w:rsidP="00182CA0">
      <w:pPr>
        <w:tabs>
          <w:tab w:val="num" w:pos="360"/>
        </w:tabs>
        <w:ind w:left="720" w:right="624" w:hanging="723"/>
        <w:rPr>
          <w:rFonts w:ascii="Arial" w:hAnsi="Arial" w:cs="Arial"/>
          <w:bCs/>
        </w:rPr>
      </w:pPr>
      <w:r>
        <w:rPr>
          <w:rFonts w:ascii="Arial" w:hAnsi="Arial" w:cs="Arial"/>
          <w:bCs/>
        </w:rPr>
        <w:tab/>
      </w:r>
      <w:r w:rsidR="00182CA0">
        <w:rPr>
          <w:rFonts w:ascii="Arial" w:hAnsi="Arial" w:cs="Arial"/>
          <w:bCs/>
        </w:rPr>
        <w:t xml:space="preserve">      </w:t>
      </w:r>
    </w:p>
    <w:p w14:paraId="6097CECF" w14:textId="1E846102" w:rsidR="00A47D04" w:rsidRPr="00DC22F2" w:rsidRDefault="00A47D04" w:rsidP="00DC22F2">
      <w:pPr>
        <w:numPr>
          <w:ilvl w:val="0"/>
          <w:numId w:val="1"/>
        </w:numPr>
        <w:tabs>
          <w:tab w:val="clear" w:pos="723"/>
          <w:tab w:val="num" w:pos="360"/>
        </w:tabs>
        <w:ind w:right="624" w:hanging="723"/>
        <w:rPr>
          <w:rFonts w:ascii="Arial" w:hAnsi="Arial" w:cs="Arial"/>
          <w:bCs/>
          <w:u w:val="single"/>
        </w:rPr>
      </w:pPr>
      <w:r w:rsidRPr="00DC22F2">
        <w:rPr>
          <w:rFonts w:ascii="Arial" w:hAnsi="Arial" w:cs="Arial"/>
          <w:bCs/>
          <w:u w:val="single"/>
        </w:rPr>
        <w:t>ESTIMATED ANNUALIZED COST TO THE FEDERAL GOVERNMENT</w:t>
      </w:r>
    </w:p>
    <w:p w14:paraId="3AE5C1A0" w14:textId="77777777" w:rsidR="00A47D04" w:rsidRPr="00DC22F2" w:rsidRDefault="00A47D04" w:rsidP="00DC22F2">
      <w:pPr>
        <w:tabs>
          <w:tab w:val="num" w:pos="360"/>
        </w:tabs>
        <w:ind w:left="288" w:right="624" w:hanging="723"/>
        <w:rPr>
          <w:rFonts w:ascii="Arial" w:hAnsi="Arial" w:cs="Arial"/>
          <w:bCs/>
        </w:rPr>
      </w:pPr>
    </w:p>
    <w:p w14:paraId="4D83915B" w14:textId="1B640E23" w:rsidR="00A47D04" w:rsidRDefault="00FB23E7" w:rsidP="00FB23E7">
      <w:pPr>
        <w:tabs>
          <w:tab w:val="num" w:pos="360"/>
        </w:tabs>
        <w:ind w:left="288" w:right="624" w:hanging="723"/>
        <w:rPr>
          <w:rFonts w:ascii="Arial" w:hAnsi="Arial" w:cs="Arial"/>
          <w:bCs/>
        </w:rPr>
      </w:pPr>
      <w:r>
        <w:rPr>
          <w:rFonts w:ascii="Arial" w:hAnsi="Arial" w:cs="Arial"/>
          <w:bCs/>
        </w:rPr>
        <w:t xml:space="preserve">             </w:t>
      </w:r>
      <w:r w:rsidR="00182CA0" w:rsidRPr="00182CA0">
        <w:rPr>
          <w:rFonts w:ascii="Arial" w:hAnsi="Arial" w:cs="Arial"/>
          <w:bCs/>
        </w:rPr>
        <w:t xml:space="preserve">There is no annualized cost to the federal government. </w:t>
      </w:r>
    </w:p>
    <w:p w14:paraId="5F88BA68" w14:textId="77777777" w:rsidR="00FB23E7" w:rsidRPr="00DC22F2" w:rsidRDefault="00FB23E7" w:rsidP="00DC22F2">
      <w:pPr>
        <w:tabs>
          <w:tab w:val="num" w:pos="360"/>
        </w:tabs>
        <w:ind w:left="288" w:right="624" w:hanging="723"/>
        <w:rPr>
          <w:rFonts w:ascii="Arial" w:hAnsi="Arial" w:cs="Arial"/>
          <w:bCs/>
        </w:rPr>
      </w:pPr>
    </w:p>
    <w:p w14:paraId="4B6C36DC" w14:textId="77777777" w:rsidR="00A47D04" w:rsidRPr="00DC22F2" w:rsidRDefault="00DC22F2" w:rsidP="00DC22F2">
      <w:pPr>
        <w:numPr>
          <w:ilvl w:val="0"/>
          <w:numId w:val="1"/>
        </w:numPr>
        <w:tabs>
          <w:tab w:val="clear" w:pos="723"/>
          <w:tab w:val="num" w:pos="360"/>
        </w:tabs>
        <w:ind w:right="624" w:hanging="723"/>
        <w:rPr>
          <w:rFonts w:ascii="Arial" w:hAnsi="Arial" w:cs="Arial"/>
          <w:bCs/>
          <w:u w:val="single"/>
        </w:rPr>
      </w:pPr>
      <w:r w:rsidRPr="00DC22F2">
        <w:rPr>
          <w:rFonts w:ascii="Arial" w:hAnsi="Arial" w:cs="Arial"/>
          <w:bCs/>
        </w:rPr>
        <w:t xml:space="preserve"> </w:t>
      </w:r>
      <w:r w:rsidR="00A47D04" w:rsidRPr="00DC22F2">
        <w:rPr>
          <w:rFonts w:ascii="Arial" w:hAnsi="Arial" w:cs="Arial"/>
          <w:bCs/>
          <w:u w:val="single"/>
        </w:rPr>
        <w:t>REASON FOR CHANGE IN BURDEN</w:t>
      </w:r>
    </w:p>
    <w:p w14:paraId="118177DB" w14:textId="77777777" w:rsidR="00A47D04" w:rsidRPr="00DC22F2" w:rsidRDefault="00A47D04" w:rsidP="00DC22F2">
      <w:pPr>
        <w:tabs>
          <w:tab w:val="num" w:pos="360"/>
        </w:tabs>
        <w:ind w:left="288" w:right="624" w:hanging="723"/>
        <w:rPr>
          <w:rFonts w:ascii="Arial" w:hAnsi="Arial" w:cs="Arial"/>
          <w:bCs/>
        </w:rPr>
      </w:pPr>
    </w:p>
    <w:p w14:paraId="2EDFCF8C" w14:textId="77777777" w:rsidR="00A47D04" w:rsidRPr="00DC22F2" w:rsidRDefault="00DC22F2" w:rsidP="00DF7FC1">
      <w:pPr>
        <w:tabs>
          <w:tab w:val="num" w:pos="360"/>
        </w:tabs>
        <w:ind w:left="450" w:right="624" w:hanging="453"/>
        <w:rPr>
          <w:rFonts w:ascii="Arial" w:hAnsi="Arial" w:cs="Arial"/>
          <w:bCs/>
        </w:rPr>
      </w:pPr>
      <w:r>
        <w:rPr>
          <w:rFonts w:ascii="Arial" w:hAnsi="Arial" w:cs="Arial"/>
          <w:bCs/>
        </w:rPr>
        <w:tab/>
      </w:r>
      <w:r w:rsidR="00182CA0" w:rsidRPr="00182CA0">
        <w:t xml:space="preserve"> </w:t>
      </w:r>
      <w:r w:rsidR="00182CA0" w:rsidRPr="00182CA0">
        <w:rPr>
          <w:rFonts w:ascii="Arial" w:hAnsi="Arial" w:cs="Arial"/>
          <w:bCs/>
        </w:rPr>
        <w:t xml:space="preserve">There is no change in the paperwork burden </w:t>
      </w:r>
      <w:r w:rsidR="00182CA0">
        <w:rPr>
          <w:rFonts w:ascii="Arial" w:hAnsi="Arial" w:cs="Arial"/>
          <w:bCs/>
        </w:rPr>
        <w:t xml:space="preserve">as this is a new information </w:t>
      </w:r>
      <w:r w:rsidR="005F4F2A">
        <w:rPr>
          <w:rFonts w:ascii="Arial" w:hAnsi="Arial" w:cs="Arial"/>
          <w:bCs/>
        </w:rPr>
        <w:t xml:space="preserve">  </w:t>
      </w:r>
      <w:r w:rsidR="00182CA0">
        <w:rPr>
          <w:rFonts w:ascii="Arial" w:hAnsi="Arial" w:cs="Arial"/>
          <w:bCs/>
        </w:rPr>
        <w:t>collection request for a new revenue procedure.</w:t>
      </w:r>
    </w:p>
    <w:p w14:paraId="5B29F02B" w14:textId="77777777" w:rsidR="00A47D04" w:rsidRPr="00DC22F2" w:rsidRDefault="00A47D04" w:rsidP="00DC22F2">
      <w:pPr>
        <w:tabs>
          <w:tab w:val="num" w:pos="360"/>
        </w:tabs>
        <w:ind w:left="288" w:right="624" w:hanging="723"/>
        <w:rPr>
          <w:rFonts w:ascii="Arial" w:hAnsi="Arial" w:cs="Arial"/>
          <w:bCs/>
        </w:rPr>
      </w:pPr>
    </w:p>
    <w:p w14:paraId="72EF984E" w14:textId="77777777" w:rsidR="00A47D04" w:rsidRPr="00DC22F2" w:rsidRDefault="00DC22F2" w:rsidP="00DC22F2">
      <w:pPr>
        <w:numPr>
          <w:ilvl w:val="0"/>
          <w:numId w:val="1"/>
        </w:numPr>
        <w:tabs>
          <w:tab w:val="clear" w:pos="723"/>
          <w:tab w:val="num" w:pos="360"/>
        </w:tabs>
        <w:ind w:right="624" w:hanging="723"/>
        <w:rPr>
          <w:rFonts w:ascii="Arial" w:hAnsi="Arial" w:cs="Arial"/>
          <w:bCs/>
          <w:u w:val="single"/>
        </w:rPr>
      </w:pPr>
      <w:r w:rsidRPr="00DC22F2">
        <w:rPr>
          <w:rFonts w:ascii="Arial" w:hAnsi="Arial" w:cs="Arial"/>
          <w:bCs/>
        </w:rPr>
        <w:t xml:space="preserve"> </w:t>
      </w:r>
      <w:r w:rsidR="00A47D04" w:rsidRPr="00DC22F2">
        <w:rPr>
          <w:rFonts w:ascii="Arial" w:hAnsi="Arial" w:cs="Arial"/>
          <w:bCs/>
          <w:u w:val="single"/>
        </w:rPr>
        <w:t>PLANS FOR TABULATION, STATISTICAL ANALYSIS AND PUBLICATION</w:t>
      </w:r>
    </w:p>
    <w:p w14:paraId="6CB2DDBF" w14:textId="77777777" w:rsidR="00A47D04" w:rsidRPr="00DC22F2" w:rsidRDefault="00A47D04" w:rsidP="00DC22F2">
      <w:pPr>
        <w:tabs>
          <w:tab w:val="num" w:pos="360"/>
        </w:tabs>
        <w:ind w:left="288" w:right="624" w:hanging="723"/>
        <w:rPr>
          <w:rFonts w:ascii="Arial" w:hAnsi="Arial" w:cs="Arial"/>
          <w:bCs/>
        </w:rPr>
      </w:pPr>
    </w:p>
    <w:p w14:paraId="24F1DA81" w14:textId="77777777" w:rsidR="00A47D04" w:rsidRDefault="00A47D04" w:rsidP="00DC22F2">
      <w:pPr>
        <w:tabs>
          <w:tab w:val="num" w:pos="360"/>
        </w:tabs>
        <w:ind w:left="288" w:right="624" w:hanging="723"/>
        <w:rPr>
          <w:rFonts w:ascii="Arial" w:hAnsi="Arial" w:cs="Arial"/>
          <w:bCs/>
        </w:rPr>
      </w:pPr>
      <w:r w:rsidRPr="00DC22F2">
        <w:rPr>
          <w:rFonts w:ascii="Arial" w:hAnsi="Arial" w:cs="Arial"/>
          <w:bCs/>
        </w:rPr>
        <w:tab/>
      </w:r>
      <w:r w:rsidR="00DC22F2">
        <w:rPr>
          <w:rFonts w:ascii="Arial" w:hAnsi="Arial" w:cs="Arial"/>
          <w:bCs/>
        </w:rPr>
        <w:tab/>
      </w:r>
      <w:r w:rsidR="00504EA1">
        <w:rPr>
          <w:rFonts w:ascii="Arial" w:hAnsi="Arial" w:cs="Arial"/>
          <w:bCs/>
        </w:rPr>
        <w:t xml:space="preserve"> </w:t>
      </w:r>
      <w:r w:rsidR="00182CA0" w:rsidRPr="00182CA0">
        <w:t xml:space="preserve"> </w:t>
      </w:r>
      <w:r w:rsidR="00182CA0" w:rsidRPr="00182CA0">
        <w:rPr>
          <w:rFonts w:ascii="Arial" w:hAnsi="Arial" w:cs="Arial"/>
          <w:bCs/>
        </w:rPr>
        <w:t>There are no plans for tabulation, statistical analysis and publication</w:t>
      </w:r>
      <w:r w:rsidR="00182CA0">
        <w:rPr>
          <w:rFonts w:ascii="Arial" w:hAnsi="Arial" w:cs="Arial"/>
          <w:bCs/>
        </w:rPr>
        <w:t>.</w:t>
      </w:r>
    </w:p>
    <w:p w14:paraId="687F0CD6" w14:textId="77777777" w:rsidR="00FB23E7" w:rsidRDefault="00FB23E7" w:rsidP="00DC22F2">
      <w:pPr>
        <w:tabs>
          <w:tab w:val="num" w:pos="360"/>
        </w:tabs>
        <w:ind w:left="288" w:right="624" w:hanging="723"/>
        <w:rPr>
          <w:rFonts w:ascii="Arial" w:hAnsi="Arial" w:cs="Arial"/>
          <w:bCs/>
        </w:rPr>
      </w:pPr>
    </w:p>
    <w:p w14:paraId="6D1C4974" w14:textId="77777777" w:rsidR="00FB23E7" w:rsidRDefault="00FB23E7" w:rsidP="00DC22F2">
      <w:pPr>
        <w:tabs>
          <w:tab w:val="num" w:pos="360"/>
        </w:tabs>
        <w:ind w:left="288" w:right="624" w:hanging="723"/>
        <w:rPr>
          <w:rFonts w:ascii="Arial" w:hAnsi="Arial" w:cs="Arial"/>
          <w:bCs/>
        </w:rPr>
      </w:pPr>
    </w:p>
    <w:p w14:paraId="6D5852EA" w14:textId="77777777" w:rsidR="005F4F2A" w:rsidRPr="00DC22F2" w:rsidRDefault="005F4F2A" w:rsidP="00DC22F2">
      <w:pPr>
        <w:tabs>
          <w:tab w:val="num" w:pos="360"/>
        </w:tabs>
        <w:ind w:left="288" w:right="624" w:hanging="723"/>
        <w:rPr>
          <w:rFonts w:ascii="Arial" w:hAnsi="Arial" w:cs="Arial"/>
          <w:bCs/>
        </w:rPr>
      </w:pPr>
    </w:p>
    <w:p w14:paraId="7071C2DB" w14:textId="77777777" w:rsidR="00A47D04" w:rsidRPr="00DC22F2" w:rsidRDefault="00A47D04" w:rsidP="00DC22F2">
      <w:pPr>
        <w:numPr>
          <w:ilvl w:val="0"/>
          <w:numId w:val="1"/>
        </w:numPr>
        <w:tabs>
          <w:tab w:val="clear" w:pos="723"/>
          <w:tab w:val="num" w:pos="540"/>
        </w:tabs>
        <w:ind w:left="450" w:right="624" w:hanging="450"/>
        <w:rPr>
          <w:rFonts w:ascii="Arial" w:hAnsi="Arial" w:cs="Arial"/>
          <w:bCs/>
          <w:u w:val="single"/>
        </w:rPr>
      </w:pPr>
      <w:r w:rsidRPr="00DC22F2">
        <w:rPr>
          <w:rFonts w:ascii="Arial" w:hAnsi="Arial" w:cs="Arial"/>
          <w:bCs/>
          <w:u w:val="single"/>
        </w:rPr>
        <w:t xml:space="preserve">REASONS WHY DISPLAYING THE OMB EXPIRATION DATE IS </w:t>
      </w:r>
      <w:r w:rsidR="00DC22F2">
        <w:rPr>
          <w:rFonts w:ascii="Arial" w:hAnsi="Arial" w:cs="Arial"/>
          <w:bCs/>
          <w:u w:val="single"/>
        </w:rPr>
        <w:t xml:space="preserve">  </w:t>
      </w:r>
      <w:r w:rsidRPr="00DC22F2">
        <w:rPr>
          <w:rFonts w:ascii="Arial" w:hAnsi="Arial" w:cs="Arial"/>
          <w:bCs/>
          <w:u w:val="single"/>
        </w:rPr>
        <w:t>INAPPROPRIATE</w:t>
      </w:r>
    </w:p>
    <w:p w14:paraId="574D4252" w14:textId="77777777" w:rsidR="00A47D04" w:rsidRPr="00DC22F2" w:rsidRDefault="00A47D04" w:rsidP="00DC22F2">
      <w:pPr>
        <w:tabs>
          <w:tab w:val="num" w:pos="360"/>
        </w:tabs>
        <w:ind w:left="288" w:right="624" w:hanging="723"/>
        <w:rPr>
          <w:rFonts w:ascii="Arial" w:hAnsi="Arial" w:cs="Arial"/>
          <w:bCs/>
        </w:rPr>
      </w:pPr>
    </w:p>
    <w:p w14:paraId="49F619E2" w14:textId="77777777" w:rsidR="00A47D04" w:rsidRPr="00E553AB" w:rsidRDefault="00A47D04" w:rsidP="00504EA1">
      <w:pPr>
        <w:tabs>
          <w:tab w:val="num" w:pos="450"/>
        </w:tabs>
        <w:ind w:left="450" w:right="624"/>
        <w:rPr>
          <w:rFonts w:ascii="Arial" w:hAnsi="Arial" w:cs="Arial"/>
          <w:bCs/>
        </w:rPr>
      </w:pPr>
      <w:r w:rsidRPr="00E553AB">
        <w:rPr>
          <w:rFonts w:ascii="Arial" w:hAnsi="Arial" w:cs="Arial"/>
          <w:bCs/>
        </w:rPr>
        <w:t xml:space="preserve">We believe that displaying the OMB expiration date is inappropriate because it could cause confusion by leading taxpayers to believe that the </w:t>
      </w:r>
      <w:r w:rsidR="00E553AB">
        <w:rPr>
          <w:rFonts w:ascii="Arial" w:hAnsi="Arial" w:cs="Arial"/>
          <w:bCs/>
        </w:rPr>
        <w:t>revenue procedure</w:t>
      </w:r>
      <w:r w:rsidRPr="00E553AB">
        <w:rPr>
          <w:rFonts w:ascii="Arial" w:hAnsi="Arial" w:cs="Arial"/>
          <w:bCs/>
        </w:rPr>
        <w:t xml:space="preserve"> </w:t>
      </w:r>
      <w:r w:rsidR="00E553AB">
        <w:rPr>
          <w:rFonts w:ascii="Arial" w:hAnsi="Arial" w:cs="Arial"/>
          <w:bCs/>
        </w:rPr>
        <w:t>becomes invalid</w:t>
      </w:r>
      <w:r w:rsidRPr="00E553AB">
        <w:rPr>
          <w:rFonts w:ascii="Arial" w:hAnsi="Arial" w:cs="Arial"/>
          <w:bCs/>
        </w:rPr>
        <w:t xml:space="preserve"> as of the expiration date.  Taxpayers are not likely to be aware that the Service intends to request renewal of the OMB approval and obtain a new expiration date before the old one expires.</w:t>
      </w:r>
    </w:p>
    <w:p w14:paraId="014BC1A1" w14:textId="77777777" w:rsidR="00A47D04" w:rsidRPr="00DC22F2" w:rsidRDefault="00A47D04" w:rsidP="00DC22F2">
      <w:pPr>
        <w:tabs>
          <w:tab w:val="num" w:pos="360"/>
        </w:tabs>
        <w:ind w:left="288" w:right="624" w:hanging="723"/>
        <w:rPr>
          <w:rFonts w:ascii="Arial" w:hAnsi="Arial" w:cs="Arial"/>
          <w:bCs/>
        </w:rPr>
      </w:pPr>
    </w:p>
    <w:p w14:paraId="524FFEC0" w14:textId="77777777" w:rsidR="00A47D04" w:rsidRPr="00DC22F2" w:rsidRDefault="00DC22F2" w:rsidP="00DC22F2">
      <w:pPr>
        <w:numPr>
          <w:ilvl w:val="0"/>
          <w:numId w:val="1"/>
        </w:numPr>
        <w:tabs>
          <w:tab w:val="clear" w:pos="723"/>
          <w:tab w:val="num" w:pos="360"/>
        </w:tabs>
        <w:ind w:right="624" w:hanging="723"/>
        <w:rPr>
          <w:rFonts w:ascii="Arial" w:hAnsi="Arial" w:cs="Arial"/>
          <w:bCs/>
          <w:u w:val="single"/>
        </w:rPr>
      </w:pPr>
      <w:r w:rsidRPr="00DC22F2">
        <w:rPr>
          <w:rFonts w:ascii="Arial" w:hAnsi="Arial" w:cs="Arial"/>
          <w:bCs/>
        </w:rPr>
        <w:t xml:space="preserve"> </w:t>
      </w:r>
      <w:r w:rsidR="00A47D04" w:rsidRPr="00DC22F2">
        <w:rPr>
          <w:rFonts w:ascii="Arial" w:hAnsi="Arial" w:cs="Arial"/>
          <w:bCs/>
          <w:u w:val="single"/>
        </w:rPr>
        <w:t xml:space="preserve">EXCEPTIONS TO THE CERTIFICATION STATEMENT </w:t>
      </w:r>
    </w:p>
    <w:p w14:paraId="61ECED9B" w14:textId="77777777" w:rsidR="00A47D04" w:rsidRPr="00DC22F2" w:rsidRDefault="00A47D04" w:rsidP="00DC22F2">
      <w:pPr>
        <w:tabs>
          <w:tab w:val="num" w:pos="360"/>
        </w:tabs>
        <w:ind w:left="288" w:right="624" w:hanging="723"/>
        <w:rPr>
          <w:rFonts w:ascii="Arial" w:hAnsi="Arial" w:cs="Arial"/>
          <w:bCs/>
        </w:rPr>
      </w:pPr>
    </w:p>
    <w:p w14:paraId="59644127" w14:textId="77777777" w:rsidR="00A47D04" w:rsidRPr="00DC22F2" w:rsidRDefault="00DC22F2" w:rsidP="00DC22F2">
      <w:pPr>
        <w:tabs>
          <w:tab w:val="num" w:pos="360"/>
        </w:tabs>
        <w:ind w:left="720" w:right="624" w:hanging="723"/>
        <w:rPr>
          <w:rFonts w:ascii="Arial" w:hAnsi="Arial" w:cs="Arial"/>
          <w:bCs/>
        </w:rPr>
      </w:pPr>
      <w:r>
        <w:rPr>
          <w:rFonts w:ascii="Arial" w:hAnsi="Arial" w:cs="Arial"/>
          <w:bCs/>
        </w:rPr>
        <w:tab/>
        <w:t xml:space="preserve"> </w:t>
      </w:r>
      <w:r w:rsidR="00182CA0" w:rsidRPr="00182CA0">
        <w:t xml:space="preserve"> </w:t>
      </w:r>
      <w:r w:rsidR="00182CA0" w:rsidRPr="00182CA0">
        <w:rPr>
          <w:rFonts w:ascii="Arial" w:hAnsi="Arial" w:cs="Arial"/>
          <w:bCs/>
        </w:rPr>
        <w:t>There are no exceptions to the certification statement.</w:t>
      </w:r>
    </w:p>
    <w:p w14:paraId="762459F2" w14:textId="77777777" w:rsidR="00A47D04" w:rsidRPr="00DC22F2" w:rsidRDefault="00A47D04" w:rsidP="00DC22F2">
      <w:pPr>
        <w:tabs>
          <w:tab w:val="num" w:pos="360"/>
        </w:tabs>
        <w:ind w:left="288" w:right="624" w:hanging="723"/>
        <w:rPr>
          <w:rFonts w:ascii="Arial" w:hAnsi="Arial" w:cs="Arial"/>
          <w:bCs/>
        </w:rPr>
      </w:pPr>
    </w:p>
    <w:p w14:paraId="6B9B7E84" w14:textId="77777777" w:rsidR="00A47D04" w:rsidRPr="00DC22F2" w:rsidRDefault="00A47D04" w:rsidP="00DC22F2">
      <w:pPr>
        <w:tabs>
          <w:tab w:val="num" w:pos="360"/>
        </w:tabs>
        <w:ind w:right="624"/>
        <w:rPr>
          <w:rFonts w:ascii="Arial" w:hAnsi="Arial" w:cs="Arial"/>
          <w:bCs/>
        </w:rPr>
      </w:pPr>
      <w:r w:rsidRPr="00DC22F2">
        <w:rPr>
          <w:rFonts w:ascii="Arial" w:hAnsi="Arial" w:cs="Arial"/>
          <w:b/>
          <w:bCs/>
          <w:u w:val="single"/>
        </w:rPr>
        <w:t>Note</w:t>
      </w:r>
      <w:r w:rsidRPr="00DC22F2">
        <w:rPr>
          <w:rFonts w:ascii="Arial" w:hAnsi="Arial" w:cs="Arial"/>
          <w:bCs/>
        </w:rPr>
        <w:t xml:space="preserve">: </w:t>
      </w:r>
      <w:r w:rsidR="00DC22F2">
        <w:rPr>
          <w:rFonts w:ascii="Arial" w:hAnsi="Arial" w:cs="Arial"/>
          <w:bCs/>
        </w:rPr>
        <w:t xml:space="preserve"> </w:t>
      </w:r>
      <w:r w:rsidRPr="00DC22F2">
        <w:rPr>
          <w:rFonts w:ascii="Arial" w:hAnsi="Arial" w:cs="Arial"/>
          <w:bCs/>
        </w:rPr>
        <w:t>The following paragraph applies to all of the collections of information in this submission:</w:t>
      </w:r>
    </w:p>
    <w:p w14:paraId="4751737B" w14:textId="77777777" w:rsidR="00DC22F2" w:rsidRDefault="00DC22F2" w:rsidP="00DC22F2">
      <w:pPr>
        <w:tabs>
          <w:tab w:val="num" w:pos="360"/>
        </w:tabs>
        <w:ind w:left="288" w:right="624" w:firstLine="72"/>
        <w:rPr>
          <w:rFonts w:ascii="Arial" w:hAnsi="Arial" w:cs="Arial"/>
          <w:bCs/>
        </w:rPr>
      </w:pPr>
    </w:p>
    <w:p w14:paraId="1AC81452" w14:textId="77777777" w:rsidR="00A47D04" w:rsidRPr="00DC22F2" w:rsidRDefault="00A47D04" w:rsidP="00DC22F2">
      <w:pPr>
        <w:tabs>
          <w:tab w:val="num" w:pos="360"/>
        </w:tabs>
        <w:ind w:left="360" w:right="624"/>
        <w:rPr>
          <w:rFonts w:ascii="Arial" w:hAnsi="Arial" w:cs="Arial"/>
          <w:bCs/>
        </w:rPr>
      </w:pPr>
      <w:r w:rsidRPr="00DC22F2">
        <w:rPr>
          <w:rFonts w:ascii="Arial" w:hAnsi="Arial" w:cs="Arial"/>
          <w:bCs/>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14:paraId="08C05114" w14:textId="77777777" w:rsidR="00A47D04" w:rsidRPr="00DC22F2" w:rsidRDefault="00A47D04" w:rsidP="00DC22F2">
      <w:pPr>
        <w:tabs>
          <w:tab w:val="num" w:pos="360"/>
        </w:tabs>
        <w:ind w:left="288" w:right="624" w:hanging="723"/>
        <w:rPr>
          <w:rFonts w:ascii="Arial" w:hAnsi="Arial" w:cs="Arial"/>
          <w:bCs/>
        </w:rPr>
      </w:pPr>
    </w:p>
    <w:p w14:paraId="54F32416" w14:textId="77777777" w:rsidR="004232D8" w:rsidRPr="00DC22F2" w:rsidRDefault="004232D8" w:rsidP="00DC22F2">
      <w:pPr>
        <w:tabs>
          <w:tab w:val="num" w:pos="360"/>
        </w:tabs>
        <w:ind w:left="360"/>
        <w:rPr>
          <w:rFonts w:ascii="Arial" w:hAnsi="Arial" w:cs="Arial"/>
        </w:rPr>
      </w:pPr>
    </w:p>
    <w:sectPr w:rsidR="004232D8" w:rsidRPr="00DC22F2" w:rsidSect="00504EA1">
      <w:headerReference w:type="default" r:id="rId9"/>
      <w:footerReference w:type="default" r:id="rId10"/>
      <w:pgSz w:w="12240" w:h="15840"/>
      <w:pgMar w:top="1440" w:right="1440" w:bottom="1440" w:left="1440" w:header="1080" w:footer="59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952F3" w14:textId="77777777" w:rsidR="00325200" w:rsidRDefault="00325200" w:rsidP="00504EA1">
      <w:r>
        <w:separator/>
      </w:r>
    </w:p>
  </w:endnote>
  <w:endnote w:type="continuationSeparator" w:id="0">
    <w:p w14:paraId="06B5A9FE" w14:textId="77777777" w:rsidR="00325200" w:rsidRDefault="00325200" w:rsidP="00504EA1">
      <w:r>
        <w:continuationSeparator/>
      </w:r>
    </w:p>
  </w:endnote>
  <w:endnote w:type="continuationNotice" w:id="1">
    <w:p w14:paraId="00630EDF" w14:textId="77777777" w:rsidR="00325200" w:rsidRDefault="00325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43749"/>
      <w:docPartObj>
        <w:docPartGallery w:val="Page Numbers (Bottom of Page)"/>
        <w:docPartUnique/>
      </w:docPartObj>
    </w:sdtPr>
    <w:sdtEndPr>
      <w:rPr>
        <w:noProof/>
      </w:rPr>
    </w:sdtEndPr>
    <w:sdtContent>
      <w:p w14:paraId="73C77637" w14:textId="77777777" w:rsidR="00504EA1" w:rsidRDefault="00504EA1">
        <w:pPr>
          <w:pStyle w:val="Footer"/>
          <w:jc w:val="center"/>
        </w:pPr>
        <w:r>
          <w:fldChar w:fldCharType="begin"/>
        </w:r>
        <w:r>
          <w:instrText xml:space="preserve"> PAGE   \* MERGEFORMAT </w:instrText>
        </w:r>
        <w:r>
          <w:fldChar w:fldCharType="separate"/>
        </w:r>
        <w:r w:rsidR="00FB23E7">
          <w:rPr>
            <w:noProof/>
          </w:rPr>
          <w:t>4</w:t>
        </w:r>
        <w:r>
          <w:rPr>
            <w:noProof/>
          </w:rPr>
          <w:fldChar w:fldCharType="end"/>
        </w:r>
      </w:p>
    </w:sdtContent>
  </w:sdt>
  <w:p w14:paraId="460F087A" w14:textId="77777777" w:rsidR="00504EA1" w:rsidRDefault="00504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D571F" w14:textId="77777777" w:rsidR="00325200" w:rsidRDefault="00325200" w:rsidP="00504EA1">
      <w:r>
        <w:separator/>
      </w:r>
    </w:p>
  </w:footnote>
  <w:footnote w:type="continuationSeparator" w:id="0">
    <w:p w14:paraId="0F64A131" w14:textId="77777777" w:rsidR="00325200" w:rsidRDefault="00325200" w:rsidP="00504EA1">
      <w:r>
        <w:continuationSeparator/>
      </w:r>
    </w:p>
  </w:footnote>
  <w:footnote w:type="continuationNotice" w:id="1">
    <w:p w14:paraId="6D6BF02C" w14:textId="77777777" w:rsidR="00325200" w:rsidRDefault="003252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52AC1" w14:textId="77777777" w:rsidR="007C4D52" w:rsidRDefault="007C4D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AB9"/>
    <w:multiLevelType w:val="hybridMultilevel"/>
    <w:tmpl w:val="26609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B742E1"/>
    <w:multiLevelType w:val="hybridMultilevel"/>
    <w:tmpl w:val="A3103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C4719D"/>
    <w:multiLevelType w:val="hybridMultilevel"/>
    <w:tmpl w:val="27CC2FB4"/>
    <w:lvl w:ilvl="0" w:tplc="9CBC48D2">
      <w:start w:val="1"/>
      <w:numFmt w:val="decimal"/>
      <w:lvlText w:val="%1."/>
      <w:lvlJc w:val="left"/>
      <w:pPr>
        <w:tabs>
          <w:tab w:val="num" w:pos="723"/>
        </w:tabs>
        <w:ind w:left="723" w:hanging="435"/>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
    <w:nsid w:val="623D7A1D"/>
    <w:multiLevelType w:val="hybridMultilevel"/>
    <w:tmpl w:val="1B1ED1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5D232E"/>
    <w:multiLevelType w:val="hybridMultilevel"/>
    <w:tmpl w:val="26609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04"/>
    <w:rsid w:val="00013F16"/>
    <w:rsid w:val="00124375"/>
    <w:rsid w:val="00177D74"/>
    <w:rsid w:val="00182CA0"/>
    <w:rsid w:val="001F1820"/>
    <w:rsid w:val="00223EB0"/>
    <w:rsid w:val="002519B9"/>
    <w:rsid w:val="00283B8D"/>
    <w:rsid w:val="0030328F"/>
    <w:rsid w:val="00312724"/>
    <w:rsid w:val="00325200"/>
    <w:rsid w:val="003A0588"/>
    <w:rsid w:val="003B7247"/>
    <w:rsid w:val="004115A3"/>
    <w:rsid w:val="004206DC"/>
    <w:rsid w:val="004232D8"/>
    <w:rsid w:val="004254BF"/>
    <w:rsid w:val="00425FA3"/>
    <w:rsid w:val="00433257"/>
    <w:rsid w:val="004B4444"/>
    <w:rsid w:val="00504EA1"/>
    <w:rsid w:val="005D0F9D"/>
    <w:rsid w:val="005E51B3"/>
    <w:rsid w:val="005F4F2A"/>
    <w:rsid w:val="0063119F"/>
    <w:rsid w:val="006D6A3F"/>
    <w:rsid w:val="00752DDB"/>
    <w:rsid w:val="00783B93"/>
    <w:rsid w:val="00793713"/>
    <w:rsid w:val="007C1844"/>
    <w:rsid w:val="007C4D52"/>
    <w:rsid w:val="00840A33"/>
    <w:rsid w:val="00865F47"/>
    <w:rsid w:val="00866AB8"/>
    <w:rsid w:val="0086767B"/>
    <w:rsid w:val="008B5681"/>
    <w:rsid w:val="00937D43"/>
    <w:rsid w:val="00955619"/>
    <w:rsid w:val="00967FC9"/>
    <w:rsid w:val="009B75EE"/>
    <w:rsid w:val="00A47D04"/>
    <w:rsid w:val="00AB5100"/>
    <w:rsid w:val="00AD062F"/>
    <w:rsid w:val="00AE6E23"/>
    <w:rsid w:val="00B04BCD"/>
    <w:rsid w:val="00B22944"/>
    <w:rsid w:val="00B46B57"/>
    <w:rsid w:val="00C92FE0"/>
    <w:rsid w:val="00CD270F"/>
    <w:rsid w:val="00CE49E2"/>
    <w:rsid w:val="00D10B53"/>
    <w:rsid w:val="00D10E77"/>
    <w:rsid w:val="00D1373B"/>
    <w:rsid w:val="00D24B76"/>
    <w:rsid w:val="00D3691D"/>
    <w:rsid w:val="00D603F2"/>
    <w:rsid w:val="00DC22F2"/>
    <w:rsid w:val="00DF7FC1"/>
    <w:rsid w:val="00E507D9"/>
    <w:rsid w:val="00E553AB"/>
    <w:rsid w:val="00E76F8C"/>
    <w:rsid w:val="00E90247"/>
    <w:rsid w:val="00EE05AE"/>
    <w:rsid w:val="00F305B3"/>
    <w:rsid w:val="00F461BF"/>
    <w:rsid w:val="00F5642D"/>
    <w:rsid w:val="00FA658A"/>
    <w:rsid w:val="00FB2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D0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EA1"/>
    <w:pPr>
      <w:ind w:left="720"/>
      <w:contextualSpacing/>
    </w:pPr>
  </w:style>
  <w:style w:type="paragraph" w:styleId="Header">
    <w:name w:val="header"/>
    <w:basedOn w:val="Normal"/>
    <w:link w:val="HeaderChar"/>
    <w:rsid w:val="00504EA1"/>
    <w:pPr>
      <w:tabs>
        <w:tab w:val="center" w:pos="4680"/>
        <w:tab w:val="right" w:pos="9360"/>
      </w:tabs>
    </w:pPr>
  </w:style>
  <w:style w:type="character" w:customStyle="1" w:styleId="HeaderChar">
    <w:name w:val="Header Char"/>
    <w:basedOn w:val="DefaultParagraphFont"/>
    <w:link w:val="Header"/>
    <w:rsid w:val="00504EA1"/>
    <w:rPr>
      <w:sz w:val="24"/>
      <w:szCs w:val="24"/>
    </w:rPr>
  </w:style>
  <w:style w:type="paragraph" w:styleId="Footer">
    <w:name w:val="footer"/>
    <w:basedOn w:val="Normal"/>
    <w:link w:val="FooterChar"/>
    <w:uiPriority w:val="99"/>
    <w:rsid w:val="00504EA1"/>
    <w:pPr>
      <w:tabs>
        <w:tab w:val="center" w:pos="4680"/>
        <w:tab w:val="right" w:pos="9360"/>
      </w:tabs>
    </w:pPr>
  </w:style>
  <w:style w:type="character" w:customStyle="1" w:styleId="FooterChar">
    <w:name w:val="Footer Char"/>
    <w:basedOn w:val="DefaultParagraphFont"/>
    <w:link w:val="Footer"/>
    <w:uiPriority w:val="99"/>
    <w:rsid w:val="00504EA1"/>
    <w:rPr>
      <w:sz w:val="24"/>
      <w:szCs w:val="24"/>
    </w:rPr>
  </w:style>
  <w:style w:type="character" w:styleId="CommentReference">
    <w:name w:val="annotation reference"/>
    <w:basedOn w:val="DefaultParagraphFont"/>
    <w:rsid w:val="00223EB0"/>
    <w:rPr>
      <w:sz w:val="16"/>
      <w:szCs w:val="16"/>
    </w:rPr>
  </w:style>
  <w:style w:type="paragraph" w:styleId="CommentText">
    <w:name w:val="annotation text"/>
    <w:basedOn w:val="Normal"/>
    <w:link w:val="CommentTextChar"/>
    <w:rsid w:val="00223EB0"/>
    <w:rPr>
      <w:sz w:val="20"/>
      <w:szCs w:val="20"/>
    </w:rPr>
  </w:style>
  <w:style w:type="character" w:customStyle="1" w:styleId="CommentTextChar">
    <w:name w:val="Comment Text Char"/>
    <w:basedOn w:val="DefaultParagraphFont"/>
    <w:link w:val="CommentText"/>
    <w:rsid w:val="00223EB0"/>
  </w:style>
  <w:style w:type="paragraph" w:styleId="CommentSubject">
    <w:name w:val="annotation subject"/>
    <w:basedOn w:val="CommentText"/>
    <w:next w:val="CommentText"/>
    <w:link w:val="CommentSubjectChar"/>
    <w:rsid w:val="00223EB0"/>
    <w:rPr>
      <w:b/>
      <w:bCs/>
    </w:rPr>
  </w:style>
  <w:style w:type="character" w:customStyle="1" w:styleId="CommentSubjectChar">
    <w:name w:val="Comment Subject Char"/>
    <w:basedOn w:val="CommentTextChar"/>
    <w:link w:val="CommentSubject"/>
    <w:rsid w:val="00223EB0"/>
    <w:rPr>
      <w:b/>
      <w:bCs/>
    </w:rPr>
  </w:style>
  <w:style w:type="paragraph" w:styleId="BalloonText">
    <w:name w:val="Balloon Text"/>
    <w:basedOn w:val="Normal"/>
    <w:link w:val="BalloonTextChar"/>
    <w:rsid w:val="00223EB0"/>
    <w:rPr>
      <w:rFonts w:ascii="Tahoma" w:hAnsi="Tahoma" w:cs="Tahoma"/>
      <w:sz w:val="16"/>
      <w:szCs w:val="16"/>
    </w:rPr>
  </w:style>
  <w:style w:type="character" w:customStyle="1" w:styleId="BalloonTextChar">
    <w:name w:val="Balloon Text Char"/>
    <w:basedOn w:val="DefaultParagraphFont"/>
    <w:link w:val="BalloonText"/>
    <w:rsid w:val="00223E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D0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EA1"/>
    <w:pPr>
      <w:ind w:left="720"/>
      <w:contextualSpacing/>
    </w:pPr>
  </w:style>
  <w:style w:type="paragraph" w:styleId="Header">
    <w:name w:val="header"/>
    <w:basedOn w:val="Normal"/>
    <w:link w:val="HeaderChar"/>
    <w:rsid w:val="00504EA1"/>
    <w:pPr>
      <w:tabs>
        <w:tab w:val="center" w:pos="4680"/>
        <w:tab w:val="right" w:pos="9360"/>
      </w:tabs>
    </w:pPr>
  </w:style>
  <w:style w:type="character" w:customStyle="1" w:styleId="HeaderChar">
    <w:name w:val="Header Char"/>
    <w:basedOn w:val="DefaultParagraphFont"/>
    <w:link w:val="Header"/>
    <w:rsid w:val="00504EA1"/>
    <w:rPr>
      <w:sz w:val="24"/>
      <w:szCs w:val="24"/>
    </w:rPr>
  </w:style>
  <w:style w:type="paragraph" w:styleId="Footer">
    <w:name w:val="footer"/>
    <w:basedOn w:val="Normal"/>
    <w:link w:val="FooterChar"/>
    <w:uiPriority w:val="99"/>
    <w:rsid w:val="00504EA1"/>
    <w:pPr>
      <w:tabs>
        <w:tab w:val="center" w:pos="4680"/>
        <w:tab w:val="right" w:pos="9360"/>
      </w:tabs>
    </w:pPr>
  </w:style>
  <w:style w:type="character" w:customStyle="1" w:styleId="FooterChar">
    <w:name w:val="Footer Char"/>
    <w:basedOn w:val="DefaultParagraphFont"/>
    <w:link w:val="Footer"/>
    <w:uiPriority w:val="99"/>
    <w:rsid w:val="00504EA1"/>
    <w:rPr>
      <w:sz w:val="24"/>
      <w:szCs w:val="24"/>
    </w:rPr>
  </w:style>
  <w:style w:type="character" w:styleId="CommentReference">
    <w:name w:val="annotation reference"/>
    <w:basedOn w:val="DefaultParagraphFont"/>
    <w:rsid w:val="00223EB0"/>
    <w:rPr>
      <w:sz w:val="16"/>
      <w:szCs w:val="16"/>
    </w:rPr>
  </w:style>
  <w:style w:type="paragraph" w:styleId="CommentText">
    <w:name w:val="annotation text"/>
    <w:basedOn w:val="Normal"/>
    <w:link w:val="CommentTextChar"/>
    <w:rsid w:val="00223EB0"/>
    <w:rPr>
      <w:sz w:val="20"/>
      <w:szCs w:val="20"/>
    </w:rPr>
  </w:style>
  <w:style w:type="character" w:customStyle="1" w:styleId="CommentTextChar">
    <w:name w:val="Comment Text Char"/>
    <w:basedOn w:val="DefaultParagraphFont"/>
    <w:link w:val="CommentText"/>
    <w:rsid w:val="00223EB0"/>
  </w:style>
  <w:style w:type="paragraph" w:styleId="CommentSubject">
    <w:name w:val="annotation subject"/>
    <w:basedOn w:val="CommentText"/>
    <w:next w:val="CommentText"/>
    <w:link w:val="CommentSubjectChar"/>
    <w:rsid w:val="00223EB0"/>
    <w:rPr>
      <w:b/>
      <w:bCs/>
    </w:rPr>
  </w:style>
  <w:style w:type="character" w:customStyle="1" w:styleId="CommentSubjectChar">
    <w:name w:val="Comment Subject Char"/>
    <w:basedOn w:val="CommentTextChar"/>
    <w:link w:val="CommentSubject"/>
    <w:rsid w:val="00223EB0"/>
    <w:rPr>
      <w:b/>
      <w:bCs/>
    </w:rPr>
  </w:style>
  <w:style w:type="paragraph" w:styleId="BalloonText">
    <w:name w:val="Balloon Text"/>
    <w:basedOn w:val="Normal"/>
    <w:link w:val="BalloonTextChar"/>
    <w:rsid w:val="00223EB0"/>
    <w:rPr>
      <w:rFonts w:ascii="Tahoma" w:hAnsi="Tahoma" w:cs="Tahoma"/>
      <w:sz w:val="16"/>
      <w:szCs w:val="16"/>
    </w:rPr>
  </w:style>
  <w:style w:type="character" w:customStyle="1" w:styleId="BalloonTextChar">
    <w:name w:val="Balloon Text Char"/>
    <w:basedOn w:val="DefaultParagraphFont"/>
    <w:link w:val="BalloonText"/>
    <w:rsid w:val="00223E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0A2CD-4F14-4554-BD46-272D57C2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Office of Chief Counsel</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LocalUser</dc:creator>
  <cp:lastModifiedBy>Department of Treasury</cp:lastModifiedBy>
  <cp:revision>2</cp:revision>
  <dcterms:created xsi:type="dcterms:W3CDTF">2017-03-13T18:56:00Z</dcterms:created>
  <dcterms:modified xsi:type="dcterms:W3CDTF">2017-03-13T18:56:00Z</dcterms:modified>
</cp:coreProperties>
</file>