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09" w:rsidRDefault="00E70009">
      <w:pPr>
        <w:tabs>
          <w:tab w:val="right" w:pos="9360"/>
        </w:tabs>
        <w:rPr>
          <w:rFonts w:cs="Arial"/>
        </w:rPr>
      </w:pPr>
      <w:bookmarkStart w:id="0" w:name="_GoBack"/>
      <w:bookmarkEnd w:id="0"/>
      <w:r>
        <w:rPr>
          <w:rFonts w:cs="Arial"/>
        </w:rPr>
        <w:t xml:space="preserve">Draft Date:  </w:t>
      </w:r>
      <w:bookmarkStart w:id="1" w:name="_ebhn_DraftDate"/>
      <w:r w:rsidR="00C44014" w:rsidRPr="00C44014">
        <w:rPr>
          <w:rFonts w:cs="Arial"/>
          <w:color w:val="000000"/>
        </w:rPr>
        <w:t>11/17/2016</w:t>
      </w:r>
      <w:bookmarkEnd w:id="1"/>
      <w:r>
        <w:rPr>
          <w:rFonts w:cs="Arial"/>
        </w:rPr>
        <w:tab/>
        <w:t xml:space="preserve">CASE MIS No.:  </w:t>
      </w:r>
      <w:bookmarkStart w:id="2" w:name="_ebin_CaseNumber"/>
      <w:r w:rsidR="005A0791" w:rsidRPr="005A0791">
        <w:rPr>
          <w:rFonts w:cs="Arial"/>
          <w:color w:val="000000"/>
        </w:rPr>
        <w:t>RP-108564-16</w:t>
      </w:r>
      <w:bookmarkEnd w:id="2"/>
    </w:p>
    <w:p w:rsidR="00E70009" w:rsidRDefault="00E70009">
      <w:pPr>
        <w:rPr>
          <w:rFonts w:cs="Arial"/>
        </w:rPr>
      </w:pPr>
      <w:bookmarkStart w:id="3" w:name="_empty"/>
      <w:bookmarkEnd w:id="3"/>
    </w:p>
    <w:p w:rsidR="00E70009" w:rsidRDefault="00E70009">
      <w:pPr>
        <w:rPr>
          <w:rFonts w:cs="Arial"/>
        </w:rPr>
      </w:pPr>
    </w:p>
    <w:p w:rsidR="00DA0228" w:rsidRDefault="00DA0228">
      <w:pPr>
        <w:rPr>
          <w:rFonts w:cs="Arial"/>
        </w:rPr>
      </w:pPr>
    </w:p>
    <w:p w:rsidR="00E70009" w:rsidRDefault="00DA0228">
      <w:pPr>
        <w:rPr>
          <w:rFonts w:cs="Arial"/>
        </w:rPr>
      </w:pPr>
      <w:bookmarkStart w:id="4" w:name="_ebtn_PrimaryRegSection"/>
      <w:r w:rsidRPr="00DA0228">
        <w:rPr>
          <w:rFonts w:cs="Arial"/>
          <w:color w:val="000000"/>
        </w:rPr>
        <w:t>Safe Harbor for Inadvertent Normalization Violations</w:t>
      </w:r>
      <w:bookmarkStart w:id="5" w:name="_ebtn_PrimaryRegSecTitle"/>
      <w:bookmarkEnd w:id="4"/>
      <w:bookmarkEnd w:id="5"/>
    </w:p>
    <w:p w:rsidR="00DA0228" w:rsidRPr="00DA0228" w:rsidRDefault="00DA0228">
      <w:pPr>
        <w:rPr>
          <w:rFonts w:cs="Arial"/>
          <w:color w:val="000000"/>
        </w:rPr>
      </w:pPr>
      <w:bookmarkStart w:id="6" w:name="_ebtn_OtherSections"/>
    </w:p>
    <w:bookmarkEnd w:id="6"/>
    <w:p w:rsidR="00E70009" w:rsidRDefault="00E70009">
      <w:pPr>
        <w:rPr>
          <w:rFonts w:cs="Arial"/>
        </w:rPr>
      </w:pPr>
    </w:p>
    <w:p w:rsidR="00012CF4" w:rsidRDefault="00012CF4" w:rsidP="00012CF4">
      <w:pPr>
        <w:rPr>
          <w:rFonts w:cs="Arial"/>
        </w:rPr>
      </w:pPr>
    </w:p>
    <w:p w:rsidR="00E70009" w:rsidRDefault="00E70009">
      <w:pPr>
        <w:rPr>
          <w:rFonts w:cs="Arial"/>
        </w:rPr>
      </w:pPr>
      <w:r>
        <w:rPr>
          <w:rFonts w:cs="Arial"/>
        </w:rPr>
        <w:t>Rev. Proc</w:t>
      </w:r>
      <w:r w:rsidR="006550BA">
        <w:rPr>
          <w:rFonts w:cs="Arial"/>
        </w:rPr>
        <w:t>.</w:t>
      </w:r>
      <w:r>
        <w:rPr>
          <w:rFonts w:cs="Arial"/>
        </w:rPr>
        <w:t xml:space="preserve">  </w:t>
      </w:r>
      <w:bookmarkStart w:id="7" w:name="_ebtn_PubNumber"/>
      <w:r w:rsidRPr="009728CC">
        <w:rPr>
          <w:rFonts w:cs="Arial"/>
        </w:rPr>
        <w:t>[XXXX-XX]</w:t>
      </w:r>
      <w:bookmarkEnd w:id="7"/>
    </w:p>
    <w:p w:rsidR="00464C10" w:rsidRPr="00464C10" w:rsidRDefault="00464C10">
      <w:pPr>
        <w:rPr>
          <w:rFonts w:cs="Arial"/>
          <w:vanish/>
        </w:rPr>
      </w:pPr>
    </w:p>
    <w:p w:rsidR="00464C10" w:rsidRPr="00464C10" w:rsidRDefault="00464C10">
      <w:pPr>
        <w:rPr>
          <w:rFonts w:cs="Arial"/>
          <w:vanish/>
        </w:rPr>
        <w:sectPr w:rsidR="00464C10" w:rsidRPr="00464C10" w:rsidSect="0005602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2434" w:left="1440" w:header="907" w:footer="1440" w:gutter="0"/>
          <w:cols w:space="720"/>
          <w:noEndnote/>
          <w:titlePg/>
          <w:docGrid w:linePitch="326"/>
        </w:sectPr>
      </w:pPr>
    </w:p>
    <w:p w:rsidR="00E70009" w:rsidRPr="00464C10" w:rsidRDefault="00E70009">
      <w:pPr>
        <w:rPr>
          <w:rFonts w:cs="Arial"/>
          <w:vanish/>
        </w:rPr>
      </w:pPr>
    </w:p>
    <w:p w:rsidR="00464C10" w:rsidRPr="00464C10" w:rsidRDefault="00464C10">
      <w:pPr>
        <w:rPr>
          <w:rFonts w:cs="Arial"/>
        </w:rPr>
      </w:pPr>
    </w:p>
    <w:p w:rsidR="006550BA" w:rsidRPr="00464C10" w:rsidRDefault="006550BA">
      <w:pPr>
        <w:rPr>
          <w:rFonts w:cs="Arial"/>
        </w:rPr>
      </w:pPr>
    </w:p>
    <w:p w:rsidR="00E70009" w:rsidRDefault="00E70009">
      <w:pPr>
        <w:pStyle w:val="Heading1"/>
      </w:pPr>
      <w:proofErr w:type="gramStart"/>
      <w:r>
        <w:t>SECTION 1.</w:t>
      </w:r>
      <w:proofErr w:type="gramEnd"/>
      <w:r>
        <w:t xml:space="preserve"> PURPOSE</w:t>
      </w:r>
    </w:p>
    <w:p w:rsidR="00BB2D3D" w:rsidRPr="00BB2D3D" w:rsidRDefault="00BB2D3D" w:rsidP="00BB2D3D">
      <w:pPr>
        <w:spacing w:line="480" w:lineRule="auto"/>
        <w:ind w:firstLine="720"/>
        <w:rPr>
          <w:rFonts w:cs="Arial"/>
        </w:rPr>
      </w:pPr>
      <w:bookmarkStart w:id="8" w:name="putCursor"/>
      <w:bookmarkEnd w:id="8"/>
      <w:r w:rsidRPr="00BB2D3D">
        <w:rPr>
          <w:rFonts w:cs="Arial"/>
        </w:rPr>
        <w:t xml:space="preserve">This </w:t>
      </w:r>
      <w:r w:rsidR="00693DCD">
        <w:rPr>
          <w:rFonts w:cs="Arial"/>
        </w:rPr>
        <w:t>R</w:t>
      </w:r>
      <w:r w:rsidRPr="00BB2D3D">
        <w:rPr>
          <w:rFonts w:cs="Arial"/>
        </w:rPr>
        <w:t xml:space="preserve">evenue </w:t>
      </w:r>
      <w:r w:rsidR="00693DCD">
        <w:rPr>
          <w:rFonts w:cs="Arial"/>
        </w:rPr>
        <w:t>P</w:t>
      </w:r>
      <w:r w:rsidRPr="00BB2D3D">
        <w:rPr>
          <w:rFonts w:cs="Arial"/>
        </w:rPr>
        <w:t xml:space="preserve">rocedure provides </w:t>
      </w:r>
      <w:r w:rsidR="00693DCD">
        <w:rPr>
          <w:rFonts w:cs="Arial"/>
        </w:rPr>
        <w:t xml:space="preserve">procedures </w:t>
      </w:r>
      <w:r w:rsidR="0058425D">
        <w:rPr>
          <w:rFonts w:cs="Arial"/>
        </w:rPr>
        <w:t xml:space="preserve">under </w:t>
      </w:r>
      <w:r w:rsidR="00693DCD">
        <w:rPr>
          <w:rFonts w:cs="Arial"/>
        </w:rPr>
        <w:t>which</w:t>
      </w:r>
      <w:r w:rsidR="0058425D">
        <w:rPr>
          <w:rFonts w:cs="Arial"/>
        </w:rPr>
        <w:t xml:space="preserve"> the </w:t>
      </w:r>
      <w:r w:rsidR="0070150D">
        <w:rPr>
          <w:rFonts w:cs="Arial"/>
        </w:rPr>
        <w:t>Internal Revenue Service (Service)</w:t>
      </w:r>
      <w:r w:rsidR="0070150D" w:rsidRPr="00BB2D3D">
        <w:rPr>
          <w:rFonts w:cs="Arial"/>
        </w:rPr>
        <w:t xml:space="preserve"> </w:t>
      </w:r>
      <w:r w:rsidRPr="00BB2D3D">
        <w:rPr>
          <w:rFonts w:cs="Arial"/>
        </w:rPr>
        <w:t xml:space="preserve">will </w:t>
      </w:r>
      <w:r w:rsidR="00B65239">
        <w:rPr>
          <w:rFonts w:cs="Arial"/>
        </w:rPr>
        <w:t>not assert</w:t>
      </w:r>
      <w:r w:rsidR="00B65239" w:rsidRPr="00BB2D3D">
        <w:rPr>
          <w:rFonts w:cs="Arial"/>
        </w:rPr>
        <w:t xml:space="preserve"> </w:t>
      </w:r>
      <w:r w:rsidRPr="00BB2D3D">
        <w:rPr>
          <w:rFonts w:cs="Arial"/>
        </w:rPr>
        <w:t xml:space="preserve">that inadvertent </w:t>
      </w:r>
      <w:r w:rsidR="00693DCD">
        <w:rPr>
          <w:rFonts w:cs="Arial"/>
        </w:rPr>
        <w:t xml:space="preserve">or unintentional </w:t>
      </w:r>
      <w:r w:rsidRPr="00BB2D3D">
        <w:rPr>
          <w:rFonts w:cs="Arial"/>
        </w:rPr>
        <w:t>ac</w:t>
      </w:r>
      <w:r w:rsidR="00693DCD">
        <w:rPr>
          <w:rFonts w:cs="Arial"/>
        </w:rPr>
        <w:t xml:space="preserve">tions which result in a taxpayer using a practice or procedure that is inconsistent with </w:t>
      </w:r>
      <w:r w:rsidR="00B65239" w:rsidRPr="00B65239">
        <w:rPr>
          <w:rFonts w:cs="Arial"/>
        </w:rPr>
        <w:t>§§ 50(d)(2) and 168(i)(9) of the Internal Revenue Code of 1986 (as amended)</w:t>
      </w:r>
      <w:r w:rsidR="00B65239">
        <w:rPr>
          <w:rFonts w:cs="Arial"/>
        </w:rPr>
        <w:t xml:space="preserve"> (the Normalization Rules)</w:t>
      </w:r>
      <w:r w:rsidR="00B65239" w:rsidRPr="00B65239">
        <w:rPr>
          <w:rFonts w:cs="Arial"/>
        </w:rPr>
        <w:t xml:space="preserve"> </w:t>
      </w:r>
      <w:proofErr w:type="gramStart"/>
      <w:r w:rsidR="0058425D">
        <w:rPr>
          <w:rFonts w:cs="Arial"/>
        </w:rPr>
        <w:t>constitute</w:t>
      </w:r>
      <w:proofErr w:type="gramEnd"/>
      <w:r w:rsidR="0058425D">
        <w:rPr>
          <w:rFonts w:cs="Arial"/>
        </w:rPr>
        <w:t xml:space="preserve"> </w:t>
      </w:r>
      <w:r w:rsidRPr="00BB2D3D">
        <w:rPr>
          <w:rFonts w:cs="Arial"/>
        </w:rPr>
        <w:t>violations of</w:t>
      </w:r>
      <w:r w:rsidR="0058425D">
        <w:rPr>
          <w:rFonts w:cs="Arial"/>
        </w:rPr>
        <w:t xml:space="preserve"> </w:t>
      </w:r>
      <w:r w:rsidR="00B65239">
        <w:rPr>
          <w:rFonts w:cs="Arial"/>
        </w:rPr>
        <w:t>the Normalization Rules</w:t>
      </w:r>
      <w:r w:rsidRPr="00BB2D3D">
        <w:rPr>
          <w:rFonts w:cs="Arial"/>
        </w:rPr>
        <w:t xml:space="preserve">.  This </w:t>
      </w:r>
      <w:r w:rsidR="005050C8">
        <w:rPr>
          <w:rFonts w:cs="Arial"/>
        </w:rPr>
        <w:t>R</w:t>
      </w:r>
      <w:r w:rsidRPr="00BB2D3D">
        <w:rPr>
          <w:rFonts w:cs="Arial"/>
        </w:rPr>
        <w:t xml:space="preserve">evenue </w:t>
      </w:r>
      <w:r w:rsidR="005050C8">
        <w:rPr>
          <w:rFonts w:cs="Arial"/>
        </w:rPr>
        <w:t>P</w:t>
      </w:r>
      <w:r w:rsidRPr="00BB2D3D">
        <w:rPr>
          <w:rFonts w:cs="Arial"/>
        </w:rPr>
        <w:t xml:space="preserve">rocedure does not </w:t>
      </w:r>
      <w:r w:rsidR="005050C8">
        <w:rPr>
          <w:rFonts w:cs="Arial"/>
        </w:rPr>
        <w:t xml:space="preserve">limit or </w:t>
      </w:r>
      <w:r w:rsidRPr="00BB2D3D">
        <w:rPr>
          <w:rFonts w:cs="Arial"/>
        </w:rPr>
        <w:t xml:space="preserve">change the process by which a taxpayer </w:t>
      </w:r>
      <w:r w:rsidR="005050C8">
        <w:rPr>
          <w:rFonts w:cs="Arial"/>
        </w:rPr>
        <w:t xml:space="preserve">may request </w:t>
      </w:r>
      <w:r w:rsidR="006533D6">
        <w:rPr>
          <w:rFonts w:cs="Arial"/>
        </w:rPr>
        <w:t xml:space="preserve">a letter ruling </w:t>
      </w:r>
      <w:r w:rsidRPr="00BB2D3D">
        <w:rPr>
          <w:rFonts w:cs="Arial"/>
        </w:rPr>
        <w:t>or technical advice memorandum that</w:t>
      </w:r>
      <w:r w:rsidR="005050C8">
        <w:rPr>
          <w:rFonts w:cs="Arial"/>
        </w:rPr>
        <w:t xml:space="preserve"> a</w:t>
      </w:r>
      <w:r w:rsidRPr="00BB2D3D">
        <w:rPr>
          <w:rFonts w:cs="Arial"/>
        </w:rPr>
        <w:t xml:space="preserve"> Taxpayer's proposed practice or procedure is consistent or inconsistent with the </w:t>
      </w:r>
      <w:r w:rsidR="00B65239">
        <w:rPr>
          <w:rFonts w:cs="Arial"/>
        </w:rPr>
        <w:t>N</w:t>
      </w:r>
      <w:r w:rsidRPr="00BB2D3D">
        <w:rPr>
          <w:rFonts w:cs="Arial"/>
        </w:rPr>
        <w:t xml:space="preserve">ormalization </w:t>
      </w:r>
      <w:r w:rsidR="00B65239">
        <w:rPr>
          <w:rFonts w:cs="Arial"/>
        </w:rPr>
        <w:t>R</w:t>
      </w:r>
      <w:r w:rsidRPr="00BB2D3D">
        <w:rPr>
          <w:rFonts w:cs="Arial"/>
        </w:rPr>
        <w:t>ules.</w:t>
      </w:r>
    </w:p>
    <w:p w:rsidR="00E70009" w:rsidRDefault="00E70009">
      <w:pPr>
        <w:pStyle w:val="Heading1"/>
      </w:pPr>
      <w:proofErr w:type="gramStart"/>
      <w:r>
        <w:t>SECTION 2.</w:t>
      </w:r>
      <w:proofErr w:type="gramEnd"/>
      <w:r>
        <w:t xml:space="preserve"> BACKGROUND</w:t>
      </w:r>
    </w:p>
    <w:p w:rsidR="002738F1" w:rsidRPr="002738F1" w:rsidRDefault="002738F1" w:rsidP="002738F1">
      <w:pPr>
        <w:spacing w:line="480" w:lineRule="auto"/>
        <w:ind w:firstLine="720"/>
        <w:rPr>
          <w:rFonts w:cs="Arial"/>
        </w:rPr>
      </w:pPr>
      <w:r w:rsidRPr="002738F1">
        <w:rPr>
          <w:rFonts w:cs="Arial"/>
        </w:rPr>
        <w:t xml:space="preserve">In general, </w:t>
      </w:r>
      <w:r w:rsidR="00B65239">
        <w:rPr>
          <w:rFonts w:cs="Arial"/>
        </w:rPr>
        <w:t>n</w:t>
      </w:r>
      <w:r w:rsidRPr="002738F1">
        <w:rPr>
          <w:rFonts w:cs="Arial"/>
        </w:rPr>
        <w:t xml:space="preserve">ormalization is a system of accounting used by regulated public utilities to reconcile the tax treatment of the Investment Tax Credit (ITC) or accelerated depreciation of public utility assets with their regulatory treatment.  Under normalization, a utility gets the tax benefit of the ITC or accelerated depreciation in the early years and flows that benefit out to ratepayers ratably over the regulatory useful life of the asset in the form of reduced rates.  </w:t>
      </w:r>
    </w:p>
    <w:p w:rsidR="002738F1" w:rsidRPr="002738F1" w:rsidRDefault="002738F1" w:rsidP="002738F1">
      <w:pPr>
        <w:spacing w:line="480" w:lineRule="auto"/>
        <w:ind w:firstLine="720"/>
        <w:rPr>
          <w:rFonts w:cs="Arial"/>
        </w:rPr>
      </w:pPr>
      <w:r w:rsidRPr="002738F1">
        <w:rPr>
          <w:rFonts w:cs="Arial"/>
        </w:rPr>
        <w:lastRenderedPageBreak/>
        <w:t>Section 168 provides taxpayers generally with the benefits of the accelerated cost recovery system in the computation of their depreciation deduction for federal income tax purposes.  Section 168(f) provides the description of certain property for which the benefits of § 168 do not apply.  Section 168(f</w:t>
      </w:r>
      <w:proofErr w:type="gramStart"/>
      <w:r w:rsidRPr="002738F1">
        <w:rPr>
          <w:rFonts w:cs="Arial"/>
        </w:rPr>
        <w:t>)(</w:t>
      </w:r>
      <w:proofErr w:type="gramEnd"/>
      <w:r w:rsidRPr="002738F1">
        <w:rPr>
          <w:rFonts w:cs="Arial"/>
        </w:rPr>
        <w:t xml:space="preserve">2) provides that § 168 shall not apply to any public utility property, as defined in § 168(i)(10), if the taxpayer does not use a normalization method of accounting.  In general, § 168(i)(10) defines public utility property as property used in the trade or business of furnishing or selling </w:t>
      </w:r>
      <w:r w:rsidR="00B65239">
        <w:rPr>
          <w:rFonts w:cs="Arial"/>
        </w:rPr>
        <w:t xml:space="preserve">(A) </w:t>
      </w:r>
      <w:r w:rsidRPr="002738F1">
        <w:rPr>
          <w:rFonts w:cs="Arial"/>
        </w:rPr>
        <w:t xml:space="preserve">electrical energy, water, or sewage disposal services, </w:t>
      </w:r>
      <w:r w:rsidR="00B65239">
        <w:rPr>
          <w:rFonts w:cs="Arial"/>
        </w:rPr>
        <w:t xml:space="preserve">(B) </w:t>
      </w:r>
      <w:r w:rsidRPr="002738F1">
        <w:rPr>
          <w:rFonts w:cs="Arial"/>
        </w:rPr>
        <w:t xml:space="preserve">gas or steam through a local distribution system, </w:t>
      </w:r>
      <w:r w:rsidR="00B65239">
        <w:rPr>
          <w:rFonts w:cs="Arial"/>
        </w:rPr>
        <w:t>(C) certain commun</w:t>
      </w:r>
      <w:r w:rsidR="001B07AD">
        <w:rPr>
          <w:rFonts w:cs="Arial"/>
        </w:rPr>
        <w:t>i</w:t>
      </w:r>
      <w:r w:rsidR="00B65239">
        <w:rPr>
          <w:rFonts w:cs="Arial"/>
        </w:rPr>
        <w:t xml:space="preserve">cations services, or (D) the </w:t>
      </w:r>
      <w:r w:rsidRPr="002738F1">
        <w:rPr>
          <w:rFonts w:cs="Arial"/>
        </w:rPr>
        <w:t>transport</w:t>
      </w:r>
      <w:r w:rsidR="00B65239">
        <w:rPr>
          <w:rFonts w:cs="Arial"/>
        </w:rPr>
        <w:t>ation of</w:t>
      </w:r>
      <w:r w:rsidRPr="002738F1">
        <w:rPr>
          <w:rFonts w:cs="Arial"/>
        </w:rPr>
        <w:t xml:space="preserve"> gas or steam by pipeline, </w:t>
      </w:r>
      <w:r w:rsidR="00B65239">
        <w:rPr>
          <w:rFonts w:cs="Arial"/>
        </w:rPr>
        <w:t>if</w:t>
      </w:r>
      <w:r w:rsidR="00B65239" w:rsidRPr="002738F1">
        <w:rPr>
          <w:rFonts w:cs="Arial"/>
        </w:rPr>
        <w:t xml:space="preserve"> </w:t>
      </w:r>
      <w:r w:rsidRPr="002738F1">
        <w:rPr>
          <w:rFonts w:cs="Arial"/>
        </w:rPr>
        <w:t xml:space="preserve">their rates </w:t>
      </w:r>
      <w:r w:rsidR="00B65239">
        <w:rPr>
          <w:rFonts w:cs="Arial"/>
        </w:rPr>
        <w:t xml:space="preserve">for such furnishing or sale </w:t>
      </w:r>
      <w:r w:rsidRPr="002738F1">
        <w:rPr>
          <w:rFonts w:cs="Arial"/>
        </w:rPr>
        <w:t xml:space="preserve">are established or approved by a State (including the District of Columbia) or political subdivision thereof, any agency or instrumentality of the United States, or a public service or public utility commission or other body of any State or political subdivision thereof. </w:t>
      </w:r>
    </w:p>
    <w:p w:rsidR="002738F1" w:rsidRPr="002738F1" w:rsidRDefault="002738F1" w:rsidP="002738F1">
      <w:pPr>
        <w:spacing w:line="480" w:lineRule="auto"/>
        <w:ind w:firstLine="720"/>
        <w:rPr>
          <w:rFonts w:cs="Arial"/>
        </w:rPr>
      </w:pPr>
      <w:r w:rsidRPr="002738F1">
        <w:rPr>
          <w:rFonts w:cs="Arial"/>
        </w:rPr>
        <w:t>Section 168(i</w:t>
      </w:r>
      <w:proofErr w:type="gramStart"/>
      <w:r w:rsidRPr="002738F1">
        <w:rPr>
          <w:rFonts w:cs="Arial"/>
        </w:rPr>
        <w:t>)(</w:t>
      </w:r>
      <w:proofErr w:type="gramEnd"/>
      <w:r w:rsidRPr="002738F1">
        <w:rPr>
          <w:rFonts w:cs="Arial"/>
        </w:rPr>
        <w:t xml:space="preserve">9) describes </w:t>
      </w:r>
      <w:r w:rsidR="00385A7B">
        <w:rPr>
          <w:rFonts w:cs="Arial"/>
        </w:rPr>
        <w:t xml:space="preserve">what constitutes </w:t>
      </w:r>
      <w:r w:rsidRPr="002738F1">
        <w:rPr>
          <w:rFonts w:cs="Arial"/>
        </w:rPr>
        <w:t xml:space="preserve">a normalization method of accounting.  These rules recognize that the rates a public utility is permitted to charge its customers are established or approved by regulators based on the utility's cost of service including the depreciation of assets and federal income tax expense.  The normalization rules under § 168(i)(9)(A) require the taxpayer to compute the federal income tax cost taken into account in setting its rates using a depreciation method that is the same as and a depreciation period that is no longer than the depreciation expense used to compute rates.  Under § 168(i)(9)(A)(ii), a taxpayer must account for any difference between its federal income tax expense taken into account in computing </w:t>
      </w:r>
      <w:r w:rsidRPr="002738F1">
        <w:rPr>
          <w:rFonts w:cs="Arial"/>
        </w:rPr>
        <w:lastRenderedPageBreak/>
        <w:t>its rates and the actual federal income tax it pays as a reserve for deferred taxes.  If the taxpayer uses estimates or projections in determining tax expense, depreciation expense, or reserve for deferred taxes for rate making purposes, the normalization rules require the use of consistent estimates or projections with respect to the other two items and rate base under § 168(i)(9)(B).</w:t>
      </w:r>
    </w:p>
    <w:p w:rsidR="002738F1" w:rsidRPr="002738F1" w:rsidRDefault="002738F1" w:rsidP="002738F1">
      <w:pPr>
        <w:spacing w:line="480" w:lineRule="auto"/>
        <w:ind w:firstLine="720"/>
        <w:rPr>
          <w:rFonts w:cs="Arial"/>
        </w:rPr>
      </w:pPr>
      <w:r w:rsidRPr="002738F1">
        <w:rPr>
          <w:rFonts w:cs="Arial"/>
        </w:rPr>
        <w:t>Section 1.167(</w:t>
      </w:r>
      <w:r w:rsidR="006C2B9E">
        <w:rPr>
          <w:rFonts w:cs="Arial"/>
        </w:rPr>
        <w:t>l</w:t>
      </w:r>
      <w:r w:rsidRPr="002738F1">
        <w:rPr>
          <w:rFonts w:cs="Arial"/>
        </w:rPr>
        <w:t xml:space="preserve">)-1(a)(1) </w:t>
      </w:r>
      <w:r w:rsidR="0005602A">
        <w:rPr>
          <w:rFonts w:cs="Arial"/>
        </w:rPr>
        <w:t xml:space="preserve">of the Income Tax Regulations </w:t>
      </w:r>
      <w:r w:rsidRPr="002738F1">
        <w:rPr>
          <w:rFonts w:cs="Arial"/>
        </w:rPr>
        <w:t xml:space="preserve">provides that the normalization requirements for public utility property pertain only to the deferral of federal income tax liability resulting from the use of an accelerated method of depreciation for computing the allowance for depreciation under </w:t>
      </w:r>
      <w:r w:rsidR="006C2B9E" w:rsidRPr="006C2B9E">
        <w:rPr>
          <w:rFonts w:cs="Arial"/>
        </w:rPr>
        <w:t xml:space="preserve">§ </w:t>
      </w:r>
      <w:r w:rsidRPr="002738F1">
        <w:rPr>
          <w:rFonts w:cs="Arial"/>
        </w:rPr>
        <w:t xml:space="preserve">167 and the use of straight-line depreciation for computing tax expense and depreciation expense for purposes of establishing cost of services and for reflecting operating results in regulated books of account.  </w:t>
      </w:r>
    </w:p>
    <w:p w:rsidR="002738F1" w:rsidRPr="002738F1" w:rsidRDefault="002738F1" w:rsidP="002738F1">
      <w:pPr>
        <w:spacing w:line="480" w:lineRule="auto"/>
        <w:ind w:firstLine="720"/>
        <w:rPr>
          <w:rFonts w:cs="Arial"/>
        </w:rPr>
      </w:pPr>
      <w:r w:rsidRPr="002738F1">
        <w:rPr>
          <w:rFonts w:cs="Arial"/>
        </w:rPr>
        <w:t xml:space="preserve">Section 46 provides investment credits against income tax.  Section 50(d) provides special rules for certain taxpayers to qualify for those credits, including </w:t>
      </w:r>
      <w:r w:rsidR="00067748">
        <w:rPr>
          <w:rFonts w:cs="Arial"/>
        </w:rPr>
        <w:t xml:space="preserve">           </w:t>
      </w:r>
      <w:r w:rsidRPr="002738F1">
        <w:rPr>
          <w:rFonts w:cs="Arial"/>
        </w:rPr>
        <w:t xml:space="preserve">§ 50(d)(2), which provides that rules similar to the limitations provided under former </w:t>
      </w:r>
      <w:r w:rsidR="00067748">
        <w:rPr>
          <w:rFonts w:cs="Arial"/>
        </w:rPr>
        <w:t xml:space="preserve">        </w:t>
      </w:r>
      <w:r w:rsidRPr="002738F1">
        <w:rPr>
          <w:rFonts w:cs="Arial"/>
        </w:rPr>
        <w:t xml:space="preserve">§ 46(f) applicable to public utility property prior to the enactment of Revenue Reconciliation Act of 1990, Pub. L. No. 101-508, 104 Stat. 1388, shall apply to certain regulated companies.  </w:t>
      </w:r>
    </w:p>
    <w:p w:rsidR="002738F1" w:rsidRPr="002738F1" w:rsidRDefault="002738F1" w:rsidP="002738F1">
      <w:pPr>
        <w:spacing w:line="480" w:lineRule="auto"/>
        <w:ind w:firstLine="720"/>
        <w:rPr>
          <w:rFonts w:cs="Arial"/>
        </w:rPr>
      </w:pPr>
      <w:r w:rsidRPr="002738F1">
        <w:rPr>
          <w:rFonts w:cs="Arial"/>
        </w:rPr>
        <w:t xml:space="preserve">Under the general rule of former § 46(f) those regulated companies are not entitled to the </w:t>
      </w:r>
      <w:r w:rsidR="003F543E">
        <w:rPr>
          <w:rFonts w:cs="Arial"/>
        </w:rPr>
        <w:t>ITC</w:t>
      </w:r>
      <w:r w:rsidRPr="002738F1">
        <w:rPr>
          <w:rFonts w:cs="Arial"/>
        </w:rPr>
        <w:t xml:space="preserve"> if either the taxpayer's cost of service or rate base for ratemaking purposes is reduced by any portion of the credit.  However, </w:t>
      </w:r>
      <w:r w:rsidR="006C2B9E">
        <w:rPr>
          <w:rFonts w:cs="Arial"/>
        </w:rPr>
        <w:t xml:space="preserve">the statute provides </w:t>
      </w:r>
      <w:r w:rsidRPr="002738F1">
        <w:rPr>
          <w:rFonts w:cs="Arial"/>
        </w:rPr>
        <w:t xml:space="preserve">important exceptions. </w:t>
      </w:r>
      <w:r w:rsidR="006C2B9E">
        <w:rPr>
          <w:rFonts w:cs="Arial"/>
        </w:rPr>
        <w:t xml:space="preserve"> </w:t>
      </w:r>
      <w:r w:rsidRPr="002738F1">
        <w:rPr>
          <w:rFonts w:cs="Arial"/>
        </w:rPr>
        <w:t xml:space="preserve">Former § 46(f)(l) provides that the </w:t>
      </w:r>
      <w:r w:rsidR="003F543E">
        <w:rPr>
          <w:rFonts w:cs="Arial"/>
        </w:rPr>
        <w:t>ITC</w:t>
      </w:r>
      <w:r w:rsidRPr="002738F1">
        <w:rPr>
          <w:rFonts w:cs="Arial"/>
        </w:rPr>
        <w:t xml:space="preserve"> may not be used to </w:t>
      </w:r>
      <w:r w:rsidRPr="002738F1">
        <w:rPr>
          <w:rFonts w:cs="Arial"/>
        </w:rPr>
        <w:lastRenderedPageBreak/>
        <w:t xml:space="preserve">reduce the taxpayer's cost of service, but may be used to reduce rate base, if such reduction is restored to rate base not less rapidly than ratably.  Former § 46(f)(2) provides an election under which a taxpayer is permitted to flow through a ratable portion of the </w:t>
      </w:r>
      <w:r w:rsidR="003F543E">
        <w:rPr>
          <w:rFonts w:cs="Arial"/>
        </w:rPr>
        <w:t>ITC</w:t>
      </w:r>
      <w:r w:rsidRPr="002738F1">
        <w:rPr>
          <w:rFonts w:cs="Arial"/>
        </w:rPr>
        <w:t xml:space="preserve"> to cost of service, but is not permitted to reduce the base to which the taxpayer's rate of return for ratemaking purposes is applied by any portion of the credit.</w:t>
      </w:r>
      <w:r w:rsidR="007321DD">
        <w:rPr>
          <w:rFonts w:cs="Arial"/>
        </w:rPr>
        <w:t xml:space="preserve">  </w:t>
      </w:r>
      <w:r w:rsidR="008A3777">
        <w:rPr>
          <w:rFonts w:cs="Arial"/>
        </w:rPr>
        <w:t>A utility taxpayer elects either former § 46(f</w:t>
      </w:r>
      <w:proofErr w:type="gramStart"/>
      <w:r w:rsidR="008A3777">
        <w:rPr>
          <w:rFonts w:cs="Arial"/>
        </w:rPr>
        <w:t>)(</w:t>
      </w:r>
      <w:proofErr w:type="gramEnd"/>
      <w:r w:rsidR="008A3777">
        <w:rPr>
          <w:rFonts w:cs="Arial"/>
        </w:rPr>
        <w:t>1) or (2) and that choice applies to all public utility property of the taxpayer.  A taxpayer that does not specifically elect former § 46(f</w:t>
      </w:r>
      <w:proofErr w:type="gramStart"/>
      <w:r w:rsidR="008A3777">
        <w:rPr>
          <w:rFonts w:cs="Arial"/>
        </w:rPr>
        <w:t>)(</w:t>
      </w:r>
      <w:proofErr w:type="gramEnd"/>
      <w:r w:rsidR="008A3777">
        <w:rPr>
          <w:rFonts w:cs="Arial"/>
        </w:rPr>
        <w:t xml:space="preserve">2) is </w:t>
      </w:r>
      <w:r w:rsidR="0005491B">
        <w:rPr>
          <w:rFonts w:cs="Arial"/>
        </w:rPr>
        <w:t xml:space="preserve">subject to </w:t>
      </w:r>
      <w:r w:rsidR="008A3777">
        <w:rPr>
          <w:rFonts w:cs="Arial"/>
        </w:rPr>
        <w:t>the general rule of former § 46(f)(1)</w:t>
      </w:r>
      <w:r w:rsidR="006C2B9E">
        <w:rPr>
          <w:rFonts w:cs="Arial"/>
        </w:rPr>
        <w:t>.</w:t>
      </w:r>
      <w:r w:rsidR="008A3777">
        <w:rPr>
          <w:rFonts w:cs="Arial"/>
        </w:rPr>
        <w:t xml:space="preserve">  </w:t>
      </w:r>
      <w:r w:rsidR="007321DD">
        <w:rPr>
          <w:rFonts w:cs="Arial"/>
        </w:rPr>
        <w:t>The Tax Reform Act of 1986</w:t>
      </w:r>
      <w:r w:rsidR="003F543E">
        <w:rPr>
          <w:rFonts w:cs="Arial"/>
        </w:rPr>
        <w:t xml:space="preserve">, </w:t>
      </w:r>
      <w:r w:rsidR="003F543E" w:rsidRPr="002738F1">
        <w:rPr>
          <w:rFonts w:cs="Arial"/>
        </w:rPr>
        <w:t xml:space="preserve">Pub. L. No. </w:t>
      </w:r>
      <w:r w:rsidR="003F543E">
        <w:rPr>
          <w:rFonts w:cs="Arial"/>
        </w:rPr>
        <w:t>99-514, 100 Stat. 2085,</w:t>
      </w:r>
      <w:r w:rsidR="007321DD">
        <w:rPr>
          <w:rFonts w:cs="Arial"/>
        </w:rPr>
        <w:t xml:space="preserve"> </w:t>
      </w:r>
      <w:r w:rsidR="008A3777">
        <w:rPr>
          <w:rFonts w:cs="Arial"/>
        </w:rPr>
        <w:t>repealed the ITC generally with respect to public utility property placed in service after 1985; however, due to the long life of much public utility property, these provisions retain their vitality.</w:t>
      </w:r>
    </w:p>
    <w:p w:rsidR="002738F1" w:rsidRPr="002738F1" w:rsidRDefault="002738F1" w:rsidP="002738F1">
      <w:pPr>
        <w:spacing w:line="480" w:lineRule="auto"/>
        <w:ind w:firstLine="720"/>
        <w:rPr>
          <w:rFonts w:cs="Arial"/>
        </w:rPr>
      </w:pPr>
      <w:r w:rsidRPr="002738F1">
        <w:rPr>
          <w:rFonts w:cs="Arial"/>
        </w:rPr>
        <w:t xml:space="preserve">Former § 46(f)(6) provides that for purposes of determining ratable portions, the period of time used in computing depreciation expense for purposes of reflecting operating results in the taxpayer's regulated books of account is to be used.  Under </w:t>
      </w:r>
      <w:r w:rsidR="00067748">
        <w:rPr>
          <w:rFonts w:cs="Arial"/>
        </w:rPr>
        <w:t xml:space="preserve">         </w:t>
      </w:r>
      <w:r w:rsidRPr="002738F1">
        <w:rPr>
          <w:rFonts w:cs="Arial"/>
        </w:rPr>
        <w:t>§ 1.46-6(g)(2), "ratable" is determined by considering the period of time actually used in computing the taxpayer's regulated depreciation expense for the property for which a credit is allowed.  Regulated depreciation expense is the depreciation expense for the property used by a regulatory body for purposes of establishing the taxpayer's cost of service for ratemaking purposes.</w:t>
      </w:r>
    </w:p>
    <w:p w:rsidR="002738F1" w:rsidRPr="002738F1" w:rsidRDefault="002738F1" w:rsidP="002738F1">
      <w:pPr>
        <w:spacing w:line="480" w:lineRule="auto"/>
        <w:ind w:firstLine="720"/>
        <w:rPr>
          <w:rFonts w:cs="Arial"/>
        </w:rPr>
      </w:pPr>
      <w:r w:rsidRPr="002738F1">
        <w:rPr>
          <w:rFonts w:cs="Arial"/>
        </w:rPr>
        <w:t xml:space="preserve">Former § 46 provides that there is no disallowance of a credit before the first final inconsistent determination is put into effect for the taxpayer's former § 46(f) public utility property.  Section 1.46-6(f)(4) provides that the </w:t>
      </w:r>
      <w:r w:rsidR="003F543E">
        <w:rPr>
          <w:rFonts w:cs="Arial"/>
        </w:rPr>
        <w:t>ITC</w:t>
      </w:r>
      <w:r w:rsidRPr="002738F1">
        <w:rPr>
          <w:rFonts w:cs="Arial"/>
        </w:rPr>
        <w:t xml:space="preserve"> is disallowed for any former</w:t>
      </w:r>
      <w:r w:rsidR="006C2B9E">
        <w:rPr>
          <w:rFonts w:cs="Arial"/>
        </w:rPr>
        <w:t xml:space="preserve"> </w:t>
      </w:r>
      <w:r w:rsidRPr="002738F1">
        <w:rPr>
          <w:rFonts w:cs="Arial"/>
        </w:rPr>
        <w:t xml:space="preserve">§ 46(f) </w:t>
      </w:r>
      <w:r w:rsidRPr="002738F1">
        <w:rPr>
          <w:rFonts w:cs="Arial"/>
        </w:rPr>
        <w:lastRenderedPageBreak/>
        <w:t>public utility property placed in service by a taxpayer (a) before the date a final inconsistent decision of a regulatory body is put into effect, and (b) on or after such date and before the date a subsequent consistent decision is put into effect.  Section 1.46-6(f</w:t>
      </w:r>
      <w:proofErr w:type="gramStart"/>
      <w:r w:rsidRPr="002738F1">
        <w:rPr>
          <w:rFonts w:cs="Arial"/>
        </w:rPr>
        <w:t>)(</w:t>
      </w:r>
      <w:proofErr w:type="gramEnd"/>
      <w:r w:rsidRPr="002738F1">
        <w:rPr>
          <w:rFonts w:cs="Arial"/>
        </w:rPr>
        <w:t>8)(i) provides that "inconsistent" refers to a determination that is inconsistent with former §§ 46(f)(l) or 46(</w:t>
      </w:r>
      <w:r w:rsidR="00693DCD">
        <w:rPr>
          <w:rFonts w:cs="Arial"/>
        </w:rPr>
        <w:t>f</w:t>
      </w:r>
      <w:r w:rsidRPr="002738F1">
        <w:rPr>
          <w:rFonts w:cs="Arial"/>
        </w:rPr>
        <w:t xml:space="preserve">)(2).  For example, a determination to reduce the taxpayer's cost of service by more than a ratable portion of the </w:t>
      </w:r>
      <w:r w:rsidR="003F543E">
        <w:rPr>
          <w:rFonts w:cs="Arial"/>
        </w:rPr>
        <w:t>ITC</w:t>
      </w:r>
      <w:r w:rsidRPr="002738F1">
        <w:rPr>
          <w:rFonts w:cs="Arial"/>
        </w:rPr>
        <w:t xml:space="preserve"> would be a determination that is inconsistent with former</w:t>
      </w:r>
      <w:r w:rsidR="006C2B9E">
        <w:rPr>
          <w:rFonts w:cs="Arial"/>
        </w:rPr>
        <w:t xml:space="preserve"> </w:t>
      </w:r>
      <w:r w:rsidRPr="002738F1">
        <w:rPr>
          <w:rFonts w:cs="Arial"/>
        </w:rPr>
        <w:t>§ 46(</w:t>
      </w:r>
      <w:r w:rsidR="00693DCD">
        <w:rPr>
          <w:rFonts w:cs="Arial"/>
        </w:rPr>
        <w:t>f</w:t>
      </w:r>
      <w:r w:rsidRPr="002738F1">
        <w:rPr>
          <w:rFonts w:cs="Arial"/>
        </w:rPr>
        <w:t>)(2).  Section 1.46-6(f</w:t>
      </w:r>
      <w:proofErr w:type="gramStart"/>
      <w:r w:rsidRPr="002738F1">
        <w:rPr>
          <w:rFonts w:cs="Arial"/>
        </w:rPr>
        <w:t>)(</w:t>
      </w:r>
      <w:proofErr w:type="gramEnd"/>
      <w:r w:rsidRPr="002738F1">
        <w:rPr>
          <w:rFonts w:cs="Arial"/>
        </w:rPr>
        <w:t xml:space="preserve">8)(ii) provides that the term "consistent" refers to a determination that is consistent with former § 46(f)(l) or </w:t>
      </w:r>
      <w:r w:rsidR="00067748">
        <w:rPr>
          <w:rFonts w:cs="Arial"/>
        </w:rPr>
        <w:t xml:space="preserve">              § </w:t>
      </w:r>
      <w:r w:rsidRPr="002738F1">
        <w:rPr>
          <w:rFonts w:cs="Arial"/>
        </w:rPr>
        <w:t>46(</w:t>
      </w:r>
      <w:r w:rsidR="00693DCD">
        <w:rPr>
          <w:rFonts w:cs="Arial"/>
        </w:rPr>
        <w:t>f</w:t>
      </w:r>
      <w:r w:rsidRPr="002738F1">
        <w:rPr>
          <w:rFonts w:cs="Arial"/>
        </w:rPr>
        <w:t>)(2).  Section 1.46-6(f)(8)(iii) provides that the term "final determination" means a determination with respect to which all rights of appeal or to request review, a rehearing, or a redetermination have been exhausted or have lapsed.</w:t>
      </w:r>
    </w:p>
    <w:p w:rsidR="002738F1" w:rsidRPr="002738F1" w:rsidRDefault="002738F1" w:rsidP="002738F1">
      <w:pPr>
        <w:spacing w:line="480" w:lineRule="auto"/>
        <w:ind w:firstLine="720"/>
        <w:rPr>
          <w:rFonts w:cs="Arial"/>
        </w:rPr>
      </w:pPr>
      <w:r w:rsidRPr="002738F1">
        <w:rPr>
          <w:rFonts w:cs="Arial"/>
        </w:rPr>
        <w:t>The Senate Finance Committee Report to the Tax Reduction Act of 1975 addressed the importance of the final determination by stating that "if the regulatory agency requires the flowing through of a company's additional investment credit at a rate faster than permitted, or insists upon a greater rate base adjustment than is permitted, the additional investment credit is to be disallowed, but only after a final determination ... is put into effect."  S. Rep. No. 94-36, at 44-45 (1975).</w:t>
      </w:r>
    </w:p>
    <w:p w:rsidR="002738F1" w:rsidRPr="002738F1" w:rsidRDefault="002738F1" w:rsidP="002738F1">
      <w:pPr>
        <w:spacing w:line="480" w:lineRule="auto"/>
        <w:ind w:firstLine="720"/>
        <w:rPr>
          <w:rFonts w:cs="Arial"/>
        </w:rPr>
      </w:pPr>
      <w:r w:rsidRPr="002738F1">
        <w:rPr>
          <w:rFonts w:cs="Arial"/>
        </w:rPr>
        <w:t xml:space="preserve">Congress had two principal objectives in adopting the normalization rules.  The first was to preserve the utility's incentive to invest.  Congress enacted the </w:t>
      </w:r>
      <w:r w:rsidR="003F543E">
        <w:rPr>
          <w:rFonts w:cs="Arial"/>
        </w:rPr>
        <w:t>ITC</w:t>
      </w:r>
      <w:r w:rsidRPr="002738F1">
        <w:rPr>
          <w:rFonts w:cs="Arial"/>
        </w:rPr>
        <w:t xml:space="preserve"> and accelerated depreciation to stimulate investment.  These incentives were not intended to subsidize the consumption of any products or services, including utility products or services. </w:t>
      </w:r>
      <w:r w:rsidR="0070150D">
        <w:rPr>
          <w:rFonts w:cs="Arial"/>
        </w:rPr>
        <w:t xml:space="preserve"> </w:t>
      </w:r>
      <w:r w:rsidRPr="002738F1">
        <w:rPr>
          <w:rFonts w:cs="Arial"/>
        </w:rPr>
        <w:t xml:space="preserve">Recognizing that public utility rates are set based on the utility's costs </w:t>
      </w:r>
      <w:r w:rsidRPr="002738F1">
        <w:rPr>
          <w:rFonts w:cs="Arial"/>
        </w:rPr>
        <w:lastRenderedPageBreak/>
        <w:t xml:space="preserve">incurred to provide the utility service, including federal income tax expense, Congress enacted a set of rules to assure that some or all of the value of the incentives it provided for utility capital investment would not be diverted from investment incentives to lower prices for consumption by customers of utilities. </w:t>
      </w:r>
      <w:r w:rsidR="0070150D">
        <w:rPr>
          <w:rFonts w:cs="Arial"/>
        </w:rPr>
        <w:t xml:space="preserve"> </w:t>
      </w:r>
      <w:r w:rsidRPr="002738F1">
        <w:rPr>
          <w:rFonts w:cs="Arial"/>
        </w:rPr>
        <w:t xml:space="preserve">The second was to protect the government's tax revenue.  Congress reasoned that when a utility elected accelerated depreciation and its regulator lowered rates to reflect the resulting tax benefit, the federal government would lose the revenue twice; once from the added accelerated depreciation deductions taken by the utility, and second from the decline in the revenue received by the utility as a result of its lower rates.  See Sen. Rep. No. 91-552, at 91 (1969).  The same impact results if a utility is permitted to flow through the benefit of its </w:t>
      </w:r>
      <w:r w:rsidR="003F543E">
        <w:rPr>
          <w:rFonts w:cs="Arial"/>
        </w:rPr>
        <w:t>ITC</w:t>
      </w:r>
      <w:r w:rsidRPr="002738F1">
        <w:rPr>
          <w:rFonts w:cs="Arial"/>
        </w:rPr>
        <w:t xml:space="preserve"> to customers.</w:t>
      </w:r>
    </w:p>
    <w:p w:rsidR="002738F1" w:rsidRPr="002738F1" w:rsidRDefault="002738F1" w:rsidP="002738F1">
      <w:pPr>
        <w:spacing w:line="480" w:lineRule="auto"/>
        <w:ind w:firstLine="720"/>
        <w:rPr>
          <w:rFonts w:cs="Arial"/>
        </w:rPr>
      </w:pPr>
      <w:r w:rsidRPr="002738F1">
        <w:rPr>
          <w:rFonts w:cs="Arial"/>
        </w:rPr>
        <w:t xml:space="preserve">Unlike most tax provisions the sanctions imposed under the normalization rules were not intended to directly increase or decrease federal tax revenues.  They were intended to discourage the flow through of tax benefits to customers in order to allow utilities to benefit from the underlying depreciation and </w:t>
      </w:r>
      <w:r w:rsidR="003F543E">
        <w:rPr>
          <w:rFonts w:cs="Arial"/>
        </w:rPr>
        <w:t>ITC</w:t>
      </w:r>
      <w:r w:rsidRPr="002738F1">
        <w:rPr>
          <w:rFonts w:cs="Arial"/>
        </w:rPr>
        <w:t xml:space="preserve"> provisions and prevent the loss of revenue the federal government would suffer if the benefits were flowed through to customers.  For example, Senate Report No. 94-36, 94th Cong., 1</w:t>
      </w:r>
      <w:r w:rsidRPr="002738F1">
        <w:rPr>
          <w:rFonts w:cs="Arial"/>
          <w:vertAlign w:val="superscript"/>
        </w:rPr>
        <w:t>st</w:t>
      </w:r>
      <w:r w:rsidRPr="002738F1">
        <w:rPr>
          <w:rFonts w:cs="Arial"/>
        </w:rPr>
        <w:t xml:space="preserve"> Sess. 44-45 (1975), 1975-1 C.B. 590, 610, in its explanation of the ratemaking treatment to be accorded the additional ITC allowed public utilities under the 1975 Act, explains that the additional ITC is to be disallowed if the regulatory agency requires the flowing-through of a company’s additional ITC at a rate faster than permitted, or insists upon a greater rate base adjustment than is permitted, but only after a final determination is put into </w:t>
      </w:r>
      <w:r w:rsidRPr="002738F1">
        <w:rPr>
          <w:rFonts w:cs="Arial"/>
        </w:rPr>
        <w:lastRenderedPageBreak/>
        <w:t xml:space="preserve">effect.  That report further provides that the rules provided under existing law with respect to determinations made by a regulatory body and the finality of its orders would apply to this provision.  </w:t>
      </w:r>
    </w:p>
    <w:p w:rsidR="002738F1" w:rsidRPr="002738F1" w:rsidRDefault="002738F1" w:rsidP="002738F1">
      <w:pPr>
        <w:spacing w:line="480" w:lineRule="auto"/>
        <w:ind w:firstLine="720"/>
        <w:rPr>
          <w:rFonts w:cs="Arial"/>
        </w:rPr>
      </w:pPr>
      <w:r w:rsidRPr="002738F1">
        <w:rPr>
          <w:rFonts w:cs="Arial"/>
        </w:rPr>
        <w:t>In addition, Senate Report No. 92-437, 92</w:t>
      </w:r>
      <w:r w:rsidRPr="002738F1">
        <w:rPr>
          <w:rFonts w:cs="Arial"/>
          <w:vertAlign w:val="superscript"/>
        </w:rPr>
        <w:t>nd</w:t>
      </w:r>
      <w:r w:rsidRPr="002738F1">
        <w:rPr>
          <w:rFonts w:cs="Arial"/>
        </w:rPr>
        <w:t xml:space="preserve"> Cong., 1</w:t>
      </w:r>
      <w:r w:rsidRPr="002738F1">
        <w:rPr>
          <w:rFonts w:cs="Arial"/>
          <w:vertAlign w:val="superscript"/>
        </w:rPr>
        <w:t>st</w:t>
      </w:r>
      <w:r w:rsidRPr="002738F1">
        <w:rPr>
          <w:rFonts w:cs="Arial"/>
        </w:rPr>
        <w:t xml:space="preserve"> Sess. 40-41 (1971), 1972-2 C.B. 559, 581, provides, in its explanation of amendments to the Revenue Act of 1971 dealing with the limitations on the ratemaking treatment of the ITC under </w:t>
      </w:r>
      <w:r w:rsidR="0070150D">
        <w:rPr>
          <w:rFonts w:cs="Arial"/>
        </w:rPr>
        <w:t>§§</w:t>
      </w:r>
      <w:r w:rsidR="0070150D" w:rsidRPr="002738F1">
        <w:rPr>
          <w:rFonts w:cs="Arial"/>
        </w:rPr>
        <w:t xml:space="preserve"> </w:t>
      </w:r>
      <w:r w:rsidRPr="002738F1">
        <w:rPr>
          <w:rFonts w:cs="Arial"/>
        </w:rPr>
        <w:t>46(e</w:t>
      </w:r>
      <w:proofErr w:type="gramStart"/>
      <w:r w:rsidRPr="002738F1">
        <w:rPr>
          <w:rFonts w:cs="Arial"/>
        </w:rPr>
        <w:t>)(</w:t>
      </w:r>
      <w:proofErr w:type="gramEnd"/>
      <w:r w:rsidRPr="002738F1">
        <w:rPr>
          <w:rFonts w:cs="Arial"/>
        </w:rPr>
        <w:t xml:space="preserve">1) and (e)(2), that the Committee hopes that the sanctions of disallowance of the ITC will not have to be imposed.  </w:t>
      </w:r>
    </w:p>
    <w:p w:rsidR="00E70009" w:rsidRDefault="00E70009">
      <w:pPr>
        <w:pStyle w:val="Heading1"/>
      </w:pPr>
      <w:proofErr w:type="gramStart"/>
      <w:r>
        <w:t>SECTION 3.</w:t>
      </w:r>
      <w:proofErr w:type="gramEnd"/>
      <w:r>
        <w:t xml:space="preserve"> SCOPE</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 xml:space="preserve">01 </w:t>
      </w:r>
      <w:r w:rsidR="0070150D">
        <w:rPr>
          <w:rFonts w:cs="Arial"/>
        </w:rPr>
        <w:t xml:space="preserve"> </w:t>
      </w:r>
      <w:r w:rsidRPr="002738F1">
        <w:rPr>
          <w:rFonts w:cs="Arial"/>
        </w:rPr>
        <w:t>This</w:t>
      </w:r>
      <w:proofErr w:type="gramEnd"/>
      <w:r w:rsidRPr="002738F1">
        <w:rPr>
          <w:rFonts w:cs="Arial"/>
        </w:rPr>
        <w:t xml:space="preserve"> revenue procedure applies to a taxpayer that</w:t>
      </w:r>
    </w:p>
    <w:p w:rsidR="002738F1" w:rsidRPr="002738F1" w:rsidRDefault="002738F1" w:rsidP="002738F1">
      <w:pPr>
        <w:spacing w:line="480" w:lineRule="auto"/>
        <w:ind w:firstLine="720"/>
        <w:rPr>
          <w:rFonts w:cs="Arial"/>
        </w:rPr>
      </w:pPr>
      <w:r w:rsidRPr="002738F1">
        <w:rPr>
          <w:rFonts w:cs="Arial"/>
        </w:rPr>
        <w:t xml:space="preserve">(1) </w:t>
      </w:r>
      <w:r w:rsidR="0070150D">
        <w:rPr>
          <w:rFonts w:cs="Arial"/>
        </w:rPr>
        <w:t xml:space="preserve"> </w:t>
      </w:r>
      <w:proofErr w:type="gramStart"/>
      <w:r w:rsidRPr="002738F1">
        <w:rPr>
          <w:rFonts w:cs="Arial"/>
        </w:rPr>
        <w:t>owns</w:t>
      </w:r>
      <w:proofErr w:type="gramEnd"/>
      <w:r w:rsidRPr="002738F1">
        <w:rPr>
          <w:rFonts w:cs="Arial"/>
        </w:rPr>
        <w:t xml:space="preserve"> public utility property (as defined in section 4.02 of this revenue procedure);</w:t>
      </w:r>
    </w:p>
    <w:p w:rsidR="002738F1" w:rsidRPr="002738F1" w:rsidRDefault="002738F1" w:rsidP="002738F1">
      <w:pPr>
        <w:spacing w:line="480" w:lineRule="auto"/>
        <w:ind w:firstLine="720"/>
        <w:rPr>
          <w:rFonts w:cs="Arial"/>
        </w:rPr>
      </w:pPr>
      <w:r w:rsidRPr="002738F1">
        <w:rPr>
          <w:rFonts w:cs="Arial"/>
        </w:rPr>
        <w:t xml:space="preserve">(2) </w:t>
      </w:r>
      <w:r w:rsidR="0070150D">
        <w:rPr>
          <w:rFonts w:cs="Arial"/>
        </w:rPr>
        <w:t xml:space="preserve"> </w:t>
      </w:r>
      <w:proofErr w:type="gramStart"/>
      <w:r w:rsidRPr="002738F1">
        <w:rPr>
          <w:rFonts w:cs="Arial"/>
        </w:rPr>
        <w:t>has</w:t>
      </w:r>
      <w:proofErr w:type="gramEnd"/>
      <w:r w:rsidRPr="002738F1">
        <w:rPr>
          <w:rFonts w:cs="Arial"/>
        </w:rPr>
        <w:t xml:space="preserve"> inadvertently or unintentionally failed to follow a practice or procedure that is consistent with the Normalization Rules (as defined in section 4.03 of this revenue procedure) in one or more years;</w:t>
      </w:r>
    </w:p>
    <w:p w:rsidR="00697ED2" w:rsidRDefault="002738F1" w:rsidP="002738F1">
      <w:pPr>
        <w:spacing w:line="480" w:lineRule="auto"/>
        <w:ind w:firstLine="720"/>
        <w:rPr>
          <w:rFonts w:cs="Arial"/>
        </w:rPr>
      </w:pPr>
      <w:r w:rsidRPr="002738F1">
        <w:rPr>
          <w:rFonts w:cs="Arial"/>
        </w:rPr>
        <w:t xml:space="preserve">(3) </w:t>
      </w:r>
      <w:r w:rsidR="0070150D">
        <w:rPr>
          <w:rFonts w:cs="Arial"/>
        </w:rPr>
        <w:t xml:space="preserve"> </w:t>
      </w:r>
      <w:r w:rsidRPr="002738F1">
        <w:rPr>
          <w:rFonts w:cs="Arial"/>
        </w:rPr>
        <w:t>upon recognizing its failure to comply with the Normalization Rules the taxpayer changes its Inconsistent Practice or Procedure (as defined in section 4.05 of</w:t>
      </w:r>
      <w:r w:rsidR="00697ED2">
        <w:rPr>
          <w:rFonts w:cs="Arial"/>
        </w:rPr>
        <w:t xml:space="preserve"> </w:t>
      </w:r>
      <w:r w:rsidRPr="002738F1">
        <w:rPr>
          <w:rFonts w:cs="Arial"/>
        </w:rPr>
        <w:t>this revenue procedure) to a Consistent Practice or Procedure (as defined in section 4.04 of this revenue procedure) at the Next Available Opportunity (as defined in section 4.06 of this revenue procedure) and the Taxpayer's Regulator (as defined in section 4.01 of this revenue procedure) adopts or approves the change</w:t>
      </w:r>
      <w:r w:rsidR="000374BB">
        <w:rPr>
          <w:rFonts w:cs="Arial"/>
        </w:rPr>
        <w:t xml:space="preserve"> that </w:t>
      </w:r>
      <w:r w:rsidR="00697ED2">
        <w:rPr>
          <w:rFonts w:cs="Arial"/>
        </w:rPr>
        <w:t xml:space="preserve">thoroughly reflects the total effect of the Inconsistent Practice or Procedure; and </w:t>
      </w:r>
    </w:p>
    <w:p w:rsidR="002738F1" w:rsidRPr="002738F1" w:rsidRDefault="00697ED2" w:rsidP="002738F1">
      <w:pPr>
        <w:spacing w:line="480" w:lineRule="auto"/>
        <w:ind w:firstLine="720"/>
        <w:rPr>
          <w:rFonts w:cs="Arial"/>
        </w:rPr>
      </w:pPr>
      <w:r>
        <w:rPr>
          <w:rFonts w:cs="Arial"/>
        </w:rPr>
        <w:lastRenderedPageBreak/>
        <w:t>(</w:t>
      </w:r>
      <w:r w:rsidR="000374BB">
        <w:rPr>
          <w:rFonts w:cs="Arial"/>
        </w:rPr>
        <w:t>4</w:t>
      </w:r>
      <w:r>
        <w:rPr>
          <w:rFonts w:cs="Arial"/>
        </w:rPr>
        <w:t xml:space="preserve">) </w:t>
      </w:r>
      <w:r w:rsidR="0070150D">
        <w:rPr>
          <w:rFonts w:cs="Arial"/>
        </w:rPr>
        <w:t xml:space="preserve"> </w:t>
      </w:r>
      <w:proofErr w:type="gramStart"/>
      <w:r w:rsidR="000374BB">
        <w:rPr>
          <w:rFonts w:cs="Arial"/>
        </w:rPr>
        <w:t>retains</w:t>
      </w:r>
      <w:proofErr w:type="gramEnd"/>
      <w:r w:rsidR="000374BB">
        <w:rPr>
          <w:rFonts w:cs="Arial"/>
        </w:rPr>
        <w:t xml:space="preserve"> contemporaneous documentation that clearly de</w:t>
      </w:r>
      <w:r w:rsidR="00AB5403">
        <w:rPr>
          <w:rFonts w:cs="Arial"/>
        </w:rPr>
        <w:t>monstrates</w:t>
      </w:r>
      <w:r w:rsidR="000374BB">
        <w:rPr>
          <w:rFonts w:cs="Arial"/>
        </w:rPr>
        <w:t xml:space="preserve"> the effects of the Inconsistent Practice or Procedure and the change </w:t>
      </w:r>
      <w:r w:rsidR="00206CEB">
        <w:rPr>
          <w:rFonts w:cs="Arial"/>
        </w:rPr>
        <w:t xml:space="preserve">to a Consistent Practice or Procedure </w:t>
      </w:r>
      <w:r w:rsidR="000374BB">
        <w:rPr>
          <w:rFonts w:cs="Arial"/>
        </w:rPr>
        <w:t>adopted or approved by the Taxpayer’s Regulator</w:t>
      </w:r>
      <w:r w:rsidR="002738F1" w:rsidRPr="002738F1">
        <w:rPr>
          <w:rFonts w:cs="Arial"/>
        </w:rPr>
        <w:t>.</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 xml:space="preserve">02 </w:t>
      </w:r>
      <w:r w:rsidR="0070150D">
        <w:rPr>
          <w:rFonts w:cs="Arial"/>
        </w:rPr>
        <w:t xml:space="preserve"> </w:t>
      </w:r>
      <w:r w:rsidRPr="002738F1">
        <w:rPr>
          <w:rFonts w:cs="Arial"/>
        </w:rPr>
        <w:t>For</w:t>
      </w:r>
      <w:proofErr w:type="gramEnd"/>
      <w:r w:rsidRPr="002738F1">
        <w:rPr>
          <w:rFonts w:cs="Arial"/>
        </w:rPr>
        <w:t xml:space="preserve"> purposes of paragraph 3.01(2) of this section, a taxpayer's Inconsistent Practice or Procedure is neither inadvertent nor unintentional if the Taxpayer's Regulator purposely considered the Inconsistent Practice or Procedure in establishing or approving the taxpayer's rates even if at the time of such consideration the Taxpayer's Regulator did not believe the practice or procedure was inconsistent with the Normalization Rules.</w:t>
      </w:r>
    </w:p>
    <w:p w:rsidR="00E70009" w:rsidRDefault="00E70009">
      <w:pPr>
        <w:pStyle w:val="Heading1"/>
      </w:pPr>
      <w:proofErr w:type="gramStart"/>
      <w:r>
        <w:t>SECTION 4.</w:t>
      </w:r>
      <w:proofErr w:type="gramEnd"/>
      <w:r>
        <w:t xml:space="preserve"> </w:t>
      </w:r>
      <w:r w:rsidR="002738F1">
        <w:t xml:space="preserve"> DEFINITIONS </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 xml:space="preserve">01 </w:t>
      </w:r>
      <w:r w:rsidR="0070150D">
        <w:rPr>
          <w:rFonts w:cs="Arial"/>
        </w:rPr>
        <w:t xml:space="preserve"> </w:t>
      </w:r>
      <w:r w:rsidRPr="002738F1">
        <w:rPr>
          <w:rFonts w:cs="Arial"/>
        </w:rPr>
        <w:t>Taxpayer's</w:t>
      </w:r>
      <w:proofErr w:type="gramEnd"/>
      <w:r w:rsidRPr="002738F1">
        <w:rPr>
          <w:rFonts w:cs="Arial"/>
        </w:rPr>
        <w:t xml:space="preserve"> Regulator</w:t>
      </w:r>
    </w:p>
    <w:p w:rsidR="002738F1" w:rsidRPr="002738F1" w:rsidRDefault="002738F1" w:rsidP="002738F1">
      <w:pPr>
        <w:spacing w:line="480" w:lineRule="auto"/>
        <w:ind w:firstLine="720"/>
        <w:rPr>
          <w:rFonts w:cs="Arial"/>
        </w:rPr>
      </w:pPr>
      <w:r w:rsidRPr="002738F1">
        <w:rPr>
          <w:rFonts w:cs="Arial"/>
        </w:rPr>
        <w:t>A state or political subdivision thereof, any agency or instrumentality of the United States, or a public service or public utility commission or other similar body of any state or political subdivision thereof that establishes or approves the rates of the taxpayer.</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02  Public</w:t>
      </w:r>
      <w:proofErr w:type="gramEnd"/>
      <w:r w:rsidRPr="002738F1">
        <w:rPr>
          <w:rFonts w:cs="Arial"/>
        </w:rPr>
        <w:t xml:space="preserve"> Utility Property</w:t>
      </w:r>
    </w:p>
    <w:p w:rsidR="002738F1" w:rsidRPr="002738F1" w:rsidRDefault="002738F1" w:rsidP="002738F1">
      <w:pPr>
        <w:spacing w:line="480" w:lineRule="auto"/>
        <w:ind w:firstLine="720"/>
        <w:rPr>
          <w:rFonts w:cs="Arial"/>
        </w:rPr>
      </w:pPr>
      <w:r w:rsidRPr="002738F1">
        <w:rPr>
          <w:rFonts w:cs="Arial"/>
        </w:rPr>
        <w:t>Public Utility Property is property as defined in former</w:t>
      </w:r>
      <w:r w:rsidR="00BB2D3D">
        <w:rPr>
          <w:rFonts w:cs="Arial"/>
        </w:rPr>
        <w:t xml:space="preserve"> </w:t>
      </w:r>
      <w:r w:rsidRPr="002738F1">
        <w:rPr>
          <w:rFonts w:cs="Arial"/>
        </w:rPr>
        <w:t>§ 46(f</w:t>
      </w:r>
      <w:proofErr w:type="gramStart"/>
      <w:r w:rsidRPr="002738F1">
        <w:rPr>
          <w:rFonts w:cs="Arial"/>
        </w:rPr>
        <w:t>)(</w:t>
      </w:r>
      <w:proofErr w:type="gramEnd"/>
      <w:r w:rsidRPr="002738F1">
        <w:rPr>
          <w:rFonts w:cs="Arial"/>
        </w:rPr>
        <w:t>5) or</w:t>
      </w:r>
      <w:r w:rsidR="00BB2D3D">
        <w:rPr>
          <w:rFonts w:cs="Arial"/>
        </w:rPr>
        <w:t xml:space="preserve"> </w:t>
      </w:r>
      <w:r w:rsidRPr="002738F1">
        <w:rPr>
          <w:rFonts w:cs="Arial"/>
        </w:rPr>
        <w:t>§ 168(i)(l0), and the applicable Income Tax Regulations.</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03  Normalization</w:t>
      </w:r>
      <w:proofErr w:type="gramEnd"/>
      <w:r w:rsidRPr="002738F1">
        <w:rPr>
          <w:rFonts w:cs="Arial"/>
        </w:rPr>
        <w:t xml:space="preserve"> Rules</w:t>
      </w:r>
    </w:p>
    <w:p w:rsidR="002738F1" w:rsidRPr="002738F1" w:rsidRDefault="002738F1" w:rsidP="002738F1">
      <w:pPr>
        <w:spacing w:line="480" w:lineRule="auto"/>
        <w:ind w:firstLine="720"/>
        <w:rPr>
          <w:rFonts w:cs="Arial"/>
        </w:rPr>
      </w:pPr>
      <w:r w:rsidRPr="002738F1">
        <w:rPr>
          <w:rFonts w:cs="Arial"/>
        </w:rPr>
        <w:t>The Normalization Rules are defined in the case of</w:t>
      </w:r>
      <w:r w:rsidR="002918BD">
        <w:rPr>
          <w:rFonts w:cs="Arial"/>
        </w:rPr>
        <w:t xml:space="preserve"> </w:t>
      </w:r>
      <w:r w:rsidRPr="002738F1">
        <w:rPr>
          <w:rFonts w:cs="Arial"/>
        </w:rPr>
        <w:t xml:space="preserve">the </w:t>
      </w:r>
      <w:r w:rsidR="003F543E">
        <w:rPr>
          <w:rFonts w:cs="Arial"/>
        </w:rPr>
        <w:t xml:space="preserve">ITC </w:t>
      </w:r>
      <w:r w:rsidRPr="002738F1">
        <w:rPr>
          <w:rFonts w:cs="Arial"/>
        </w:rPr>
        <w:t>by former</w:t>
      </w:r>
      <w:r w:rsidR="00697ED2">
        <w:rPr>
          <w:rFonts w:cs="Arial"/>
        </w:rPr>
        <w:t xml:space="preserve"> </w:t>
      </w:r>
      <w:r w:rsidRPr="002738F1">
        <w:rPr>
          <w:rFonts w:cs="Arial"/>
        </w:rPr>
        <w:t>§ 46(f)</w:t>
      </w:r>
      <w:r w:rsidR="006C2B9E">
        <w:rPr>
          <w:rFonts w:cs="Arial"/>
        </w:rPr>
        <w:t>,</w:t>
      </w:r>
      <w:r w:rsidRPr="002738F1">
        <w:rPr>
          <w:rFonts w:cs="Arial"/>
        </w:rPr>
        <w:t xml:space="preserve"> as in effect on the day before the date of enactment of the Revenue Reconciliation Act of</w:t>
      </w:r>
      <w:r w:rsidR="002918BD">
        <w:rPr>
          <w:rFonts w:cs="Arial"/>
        </w:rPr>
        <w:t xml:space="preserve"> </w:t>
      </w:r>
      <w:r w:rsidRPr="002738F1">
        <w:rPr>
          <w:rFonts w:cs="Arial"/>
        </w:rPr>
        <w:t xml:space="preserve">1990, and the Income Tax Regulations thereunder, and in the case of the accelerated </w:t>
      </w:r>
      <w:r w:rsidRPr="002738F1">
        <w:rPr>
          <w:rFonts w:cs="Arial"/>
        </w:rPr>
        <w:lastRenderedPageBreak/>
        <w:t>cost recovery system for depreciation, by</w:t>
      </w:r>
      <w:r w:rsidR="00697ED2">
        <w:rPr>
          <w:rFonts w:cs="Arial"/>
        </w:rPr>
        <w:t xml:space="preserve"> </w:t>
      </w:r>
      <w:r w:rsidRPr="002738F1">
        <w:rPr>
          <w:rFonts w:cs="Arial"/>
        </w:rPr>
        <w:t>§ 168(i</w:t>
      </w:r>
      <w:proofErr w:type="gramStart"/>
      <w:r w:rsidRPr="002738F1">
        <w:rPr>
          <w:rFonts w:cs="Arial"/>
        </w:rPr>
        <w:t>)(</w:t>
      </w:r>
      <w:proofErr w:type="gramEnd"/>
      <w:r w:rsidRPr="002738F1">
        <w:rPr>
          <w:rFonts w:cs="Arial"/>
        </w:rPr>
        <w:t>9) and the Income Tax Regulations thereunder.</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 xml:space="preserve">04 </w:t>
      </w:r>
      <w:r w:rsidR="0070150D">
        <w:rPr>
          <w:rFonts w:cs="Arial"/>
        </w:rPr>
        <w:t xml:space="preserve"> </w:t>
      </w:r>
      <w:r w:rsidRPr="002738F1">
        <w:rPr>
          <w:rFonts w:cs="Arial"/>
        </w:rPr>
        <w:t>Consistent</w:t>
      </w:r>
      <w:proofErr w:type="gramEnd"/>
      <w:r w:rsidRPr="002738F1">
        <w:rPr>
          <w:rFonts w:cs="Arial"/>
        </w:rPr>
        <w:t xml:space="preserve"> Practice or Procedure</w:t>
      </w:r>
    </w:p>
    <w:p w:rsidR="002738F1" w:rsidRPr="002738F1" w:rsidRDefault="002738F1" w:rsidP="002738F1">
      <w:pPr>
        <w:spacing w:line="480" w:lineRule="auto"/>
        <w:ind w:firstLine="720"/>
        <w:rPr>
          <w:rFonts w:cs="Arial"/>
        </w:rPr>
      </w:pPr>
      <w:r w:rsidRPr="002738F1">
        <w:rPr>
          <w:rFonts w:cs="Arial"/>
        </w:rPr>
        <w:t>A practice or procedure followed by the taxpayer and the Taxpayer's Regulator that is consistent with the Normalization Rules.</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 xml:space="preserve">05 </w:t>
      </w:r>
      <w:r w:rsidR="0070150D">
        <w:rPr>
          <w:rFonts w:cs="Arial"/>
        </w:rPr>
        <w:t xml:space="preserve"> </w:t>
      </w:r>
      <w:r w:rsidRPr="002738F1">
        <w:rPr>
          <w:rFonts w:cs="Arial"/>
        </w:rPr>
        <w:t>Inconsistent</w:t>
      </w:r>
      <w:proofErr w:type="gramEnd"/>
      <w:r w:rsidRPr="002738F1">
        <w:rPr>
          <w:rFonts w:cs="Arial"/>
        </w:rPr>
        <w:t xml:space="preserve"> Practice or Procedure</w:t>
      </w:r>
    </w:p>
    <w:p w:rsidR="002738F1" w:rsidRPr="002738F1" w:rsidRDefault="002738F1" w:rsidP="002738F1">
      <w:pPr>
        <w:spacing w:line="480" w:lineRule="auto"/>
        <w:ind w:firstLine="720"/>
        <w:rPr>
          <w:rFonts w:cs="Arial"/>
        </w:rPr>
      </w:pPr>
      <w:r w:rsidRPr="002738F1">
        <w:rPr>
          <w:rFonts w:cs="Arial"/>
        </w:rPr>
        <w:t xml:space="preserve">A practice or procedure followed by the taxpayer and the Taxpayer's Regulator that is inconsistent with the Normalization Rules.  An </w:t>
      </w:r>
      <w:r w:rsidR="006C2B9E">
        <w:rPr>
          <w:rFonts w:cs="Arial"/>
        </w:rPr>
        <w:t>I</w:t>
      </w:r>
      <w:r w:rsidRPr="002738F1">
        <w:rPr>
          <w:rFonts w:cs="Arial"/>
        </w:rPr>
        <w:t xml:space="preserve">nconsistent </w:t>
      </w:r>
      <w:r w:rsidR="006C2B9E">
        <w:rPr>
          <w:rFonts w:cs="Arial"/>
        </w:rPr>
        <w:t>P</w:t>
      </w:r>
      <w:r w:rsidRPr="002738F1">
        <w:rPr>
          <w:rFonts w:cs="Arial"/>
        </w:rPr>
        <w:t xml:space="preserve">ractice or </w:t>
      </w:r>
      <w:r w:rsidR="006C2B9E">
        <w:rPr>
          <w:rFonts w:cs="Arial"/>
        </w:rPr>
        <w:t>P</w:t>
      </w:r>
      <w:r w:rsidRPr="002738F1">
        <w:rPr>
          <w:rFonts w:cs="Arial"/>
        </w:rPr>
        <w:t>rocedure may or may not constitute a violation of the Normalization Rules.</w:t>
      </w:r>
    </w:p>
    <w:p w:rsidR="002738F1" w:rsidRPr="002738F1" w:rsidRDefault="002738F1" w:rsidP="002738F1">
      <w:pPr>
        <w:spacing w:line="480" w:lineRule="auto"/>
        <w:ind w:firstLine="720"/>
        <w:rPr>
          <w:rFonts w:cs="Arial"/>
        </w:rPr>
      </w:pPr>
      <w:r w:rsidRPr="002738F1">
        <w:rPr>
          <w:rFonts w:cs="Arial"/>
        </w:rPr>
        <w:t>.</w:t>
      </w:r>
      <w:proofErr w:type="gramStart"/>
      <w:r w:rsidRPr="002738F1">
        <w:rPr>
          <w:rFonts w:cs="Arial"/>
        </w:rPr>
        <w:t xml:space="preserve">06 </w:t>
      </w:r>
      <w:r w:rsidR="0070150D">
        <w:rPr>
          <w:rFonts w:cs="Arial"/>
        </w:rPr>
        <w:t xml:space="preserve"> </w:t>
      </w:r>
      <w:r w:rsidRPr="002738F1">
        <w:rPr>
          <w:rFonts w:cs="Arial"/>
        </w:rPr>
        <w:t>Next</w:t>
      </w:r>
      <w:proofErr w:type="gramEnd"/>
      <w:r w:rsidRPr="002738F1">
        <w:rPr>
          <w:rFonts w:cs="Arial"/>
        </w:rPr>
        <w:t xml:space="preserve"> Available Opportunity</w:t>
      </w:r>
    </w:p>
    <w:p w:rsidR="002738F1" w:rsidRPr="002738F1" w:rsidRDefault="002738F1" w:rsidP="002738F1">
      <w:pPr>
        <w:spacing w:line="480" w:lineRule="auto"/>
        <w:ind w:firstLine="720"/>
        <w:rPr>
          <w:rFonts w:cs="Arial"/>
        </w:rPr>
      </w:pPr>
      <w:r w:rsidRPr="002738F1">
        <w:rPr>
          <w:rFonts w:cs="Arial"/>
        </w:rPr>
        <w:t xml:space="preserve">(1) </w:t>
      </w:r>
      <w:r w:rsidR="0070150D">
        <w:rPr>
          <w:rFonts w:cs="Arial"/>
        </w:rPr>
        <w:t xml:space="preserve"> </w:t>
      </w:r>
      <w:r w:rsidRPr="002738F1">
        <w:rPr>
          <w:rFonts w:cs="Arial"/>
        </w:rPr>
        <w:t>In the case of a taxpayer without a rate proceeding pending before the Taxpayer's Regulator, the Next Available Opportunity is the next proceeding in which the Taxpayer's Regulator establishes or approves the taxpayer's rates.</w:t>
      </w:r>
    </w:p>
    <w:p w:rsidR="002738F1" w:rsidRPr="002738F1" w:rsidRDefault="002738F1" w:rsidP="002738F1">
      <w:pPr>
        <w:spacing w:line="480" w:lineRule="auto"/>
        <w:ind w:firstLine="720"/>
        <w:rPr>
          <w:rFonts w:cs="Arial"/>
        </w:rPr>
      </w:pPr>
      <w:r w:rsidRPr="002738F1">
        <w:rPr>
          <w:rFonts w:cs="Arial"/>
        </w:rPr>
        <w:t xml:space="preserve">(2) </w:t>
      </w:r>
      <w:r w:rsidR="0070150D">
        <w:rPr>
          <w:rFonts w:cs="Arial"/>
        </w:rPr>
        <w:t xml:space="preserve"> </w:t>
      </w:r>
      <w:r w:rsidRPr="002738F1">
        <w:rPr>
          <w:rFonts w:cs="Arial"/>
        </w:rPr>
        <w:t xml:space="preserve">In the case of a taxpayer with a rate proceeding </w:t>
      </w:r>
      <w:r w:rsidR="001E1C05" w:rsidRPr="002738F1">
        <w:rPr>
          <w:rFonts w:cs="Arial"/>
        </w:rPr>
        <w:t>current</w:t>
      </w:r>
      <w:r w:rsidR="001E1C05">
        <w:rPr>
          <w:rFonts w:cs="Arial"/>
        </w:rPr>
        <w:t>ly</w:t>
      </w:r>
      <w:r w:rsidR="001E1C05" w:rsidRPr="002738F1">
        <w:rPr>
          <w:rFonts w:cs="Arial"/>
        </w:rPr>
        <w:t xml:space="preserve"> </w:t>
      </w:r>
      <w:r w:rsidRPr="002738F1">
        <w:rPr>
          <w:rFonts w:cs="Arial"/>
        </w:rPr>
        <w:t>pending before the Taxpayer's Regulator, the Next Available Opportunity is the current</w:t>
      </w:r>
      <w:r w:rsidR="006C2B9E">
        <w:rPr>
          <w:rFonts w:cs="Arial"/>
        </w:rPr>
        <w:t>ly</w:t>
      </w:r>
      <w:r w:rsidRPr="002738F1">
        <w:rPr>
          <w:rFonts w:cs="Arial"/>
        </w:rPr>
        <w:t xml:space="preserve"> </w:t>
      </w:r>
      <w:r w:rsidR="006C2B9E">
        <w:rPr>
          <w:rFonts w:cs="Arial"/>
        </w:rPr>
        <w:t>pending</w:t>
      </w:r>
      <w:r w:rsidRPr="002738F1">
        <w:rPr>
          <w:rFonts w:cs="Arial"/>
        </w:rPr>
        <w:t xml:space="preserve"> proceeding, unless the rules of the Taxpayer's Regulator or applicable state or federal law preclude the taxpayer from initiating a change to a Consistent Practice or Procedure in the currently pending proceeding at the time the Inconsistent Practice or Procedure is identified, in which case the current</w:t>
      </w:r>
      <w:r w:rsidR="006C2B9E">
        <w:rPr>
          <w:rFonts w:cs="Arial"/>
        </w:rPr>
        <w:t>ly</w:t>
      </w:r>
      <w:r w:rsidRPr="002738F1">
        <w:rPr>
          <w:rFonts w:cs="Arial"/>
        </w:rPr>
        <w:t xml:space="preserve"> </w:t>
      </w:r>
      <w:r w:rsidR="006C2B9E">
        <w:rPr>
          <w:rFonts w:cs="Arial"/>
        </w:rPr>
        <w:t xml:space="preserve">pending </w:t>
      </w:r>
      <w:r w:rsidRPr="002738F1">
        <w:rPr>
          <w:rFonts w:cs="Arial"/>
        </w:rPr>
        <w:t>proceeding shall not be the Next Available Opportunity.</w:t>
      </w:r>
    </w:p>
    <w:p w:rsidR="002738F1" w:rsidRPr="002738F1" w:rsidRDefault="002738F1" w:rsidP="002738F1">
      <w:pPr>
        <w:spacing w:line="480" w:lineRule="auto"/>
        <w:ind w:firstLine="720"/>
        <w:rPr>
          <w:rFonts w:cs="Arial"/>
        </w:rPr>
      </w:pPr>
      <w:r w:rsidRPr="002738F1">
        <w:rPr>
          <w:rFonts w:cs="Arial"/>
        </w:rPr>
        <w:t xml:space="preserve">(3) </w:t>
      </w:r>
      <w:r w:rsidR="0070150D">
        <w:rPr>
          <w:rFonts w:cs="Arial"/>
        </w:rPr>
        <w:t xml:space="preserve"> </w:t>
      </w:r>
      <w:r w:rsidRPr="002738F1">
        <w:rPr>
          <w:rFonts w:cs="Arial"/>
        </w:rPr>
        <w:t xml:space="preserve">If, at the conclusion of a rate proceeding, the taxpayer has a private letter ruling request pending before </w:t>
      </w:r>
      <w:r w:rsidR="0070150D">
        <w:rPr>
          <w:rFonts w:cs="Arial"/>
        </w:rPr>
        <w:t>the Service</w:t>
      </w:r>
      <w:r w:rsidR="0070150D" w:rsidRPr="002738F1">
        <w:rPr>
          <w:rFonts w:cs="Arial"/>
        </w:rPr>
        <w:t xml:space="preserve"> </w:t>
      </w:r>
      <w:r w:rsidRPr="002738F1">
        <w:rPr>
          <w:rFonts w:cs="Arial"/>
        </w:rPr>
        <w:t xml:space="preserve">to address whether or not a practice or </w:t>
      </w:r>
      <w:r w:rsidRPr="002738F1">
        <w:rPr>
          <w:rFonts w:cs="Arial"/>
        </w:rPr>
        <w:lastRenderedPageBreak/>
        <w:t>procedure addressed in the rate proceeding is a Consistent Practice or Procedure, and the Taxpayer's Regulator establishes or</w:t>
      </w:r>
      <w:r w:rsidR="002918BD">
        <w:rPr>
          <w:rFonts w:cs="Arial"/>
        </w:rPr>
        <w:t xml:space="preserve"> </w:t>
      </w:r>
      <w:r w:rsidRPr="002738F1">
        <w:rPr>
          <w:rFonts w:cs="Arial"/>
        </w:rPr>
        <w:t xml:space="preserve">approves rates subject to adjustment from the effective date of the unadjusted rates in order to conform to the </w:t>
      </w:r>
      <w:r w:rsidR="0070150D">
        <w:rPr>
          <w:rFonts w:cs="Arial"/>
        </w:rPr>
        <w:t>Service’s</w:t>
      </w:r>
      <w:r w:rsidR="0070150D" w:rsidRPr="002738F1">
        <w:rPr>
          <w:rFonts w:cs="Arial"/>
        </w:rPr>
        <w:t xml:space="preserve"> </w:t>
      </w:r>
      <w:r w:rsidRPr="002738F1">
        <w:rPr>
          <w:rFonts w:cs="Arial"/>
        </w:rPr>
        <w:t>ruling, the taxpayer shall have corrected its Inconsistent Practice or Procedure at the Next Available Opportunity.</w:t>
      </w:r>
    </w:p>
    <w:p w:rsidR="00E70009" w:rsidRDefault="00E70009">
      <w:pPr>
        <w:pStyle w:val="Heading1"/>
      </w:pPr>
      <w:proofErr w:type="gramStart"/>
      <w:r>
        <w:t>SECTION 5.</w:t>
      </w:r>
      <w:proofErr w:type="gramEnd"/>
      <w:r>
        <w:t xml:space="preserve"> </w:t>
      </w:r>
      <w:r w:rsidR="002738F1" w:rsidRPr="002738F1">
        <w:t xml:space="preserve">APPLICATION </w:t>
      </w:r>
    </w:p>
    <w:p w:rsidR="0099696E" w:rsidRPr="0099696E" w:rsidRDefault="00D9718C" w:rsidP="0099696E">
      <w:pPr>
        <w:spacing w:line="480" w:lineRule="auto"/>
        <w:ind w:firstLine="720"/>
        <w:rPr>
          <w:rFonts w:cs="Arial"/>
        </w:rPr>
      </w:pPr>
      <w:r>
        <w:rPr>
          <w:rFonts w:cs="Arial"/>
        </w:rPr>
        <w:t xml:space="preserve">For any Taxpayer that is within the scope of the Revenue Procedure, the </w:t>
      </w:r>
      <w:r w:rsidR="0070150D">
        <w:rPr>
          <w:rFonts w:cs="Arial"/>
        </w:rPr>
        <w:t xml:space="preserve">Service </w:t>
      </w:r>
      <w:r>
        <w:rPr>
          <w:rFonts w:cs="Arial"/>
        </w:rPr>
        <w:t>will not assert that the Inconsistent Practice or Procedure constitutes a normalization violation and</w:t>
      </w:r>
      <w:r w:rsidR="007805EF">
        <w:rPr>
          <w:rFonts w:cs="Arial"/>
        </w:rPr>
        <w:t xml:space="preserve"> will not</w:t>
      </w:r>
      <w:r>
        <w:rPr>
          <w:rFonts w:cs="Arial"/>
        </w:rPr>
        <w:t xml:space="preserve"> deny that Taxpayer the benefits of the ITC and/or accelerated depreciation.  </w:t>
      </w:r>
      <w:r w:rsidR="0099696E" w:rsidRPr="0099696E">
        <w:rPr>
          <w:rFonts w:cs="Arial"/>
        </w:rPr>
        <w:t xml:space="preserve">In any tax year ending after the taxpayer has identified an Inconsistent Practice or Procedure, but </w:t>
      </w:r>
      <w:r>
        <w:rPr>
          <w:rFonts w:cs="Arial"/>
        </w:rPr>
        <w:t xml:space="preserve">in which </w:t>
      </w:r>
      <w:r w:rsidR="0099696E" w:rsidRPr="0099696E">
        <w:rPr>
          <w:rFonts w:cs="Arial"/>
        </w:rPr>
        <w:t>the taxpayer has not changed to a Consistent Practice or Procedure because the taxpayer has not reached the year that presents the taxpayer with its Next Available Opportunity</w:t>
      </w:r>
      <w:r>
        <w:rPr>
          <w:rFonts w:cs="Arial"/>
        </w:rPr>
        <w:t>,</w:t>
      </w:r>
      <w:r w:rsidR="0099696E" w:rsidRPr="0099696E">
        <w:rPr>
          <w:rFonts w:cs="Arial"/>
        </w:rPr>
        <w:t xml:space="preserve"> the taxpayer shall include a statement in its return identifying the Inconsistent Practice or Procedure and representing its intention to change to a Consistent Practice or Procedure at the Next Available Opportunity.  If the taxpayer makes the representation as provided by the preceding sentence, </w:t>
      </w:r>
      <w:r w:rsidR="00AB5403">
        <w:rPr>
          <w:rFonts w:cs="Arial"/>
        </w:rPr>
        <w:t xml:space="preserve">the Inconsistent Practice or Procedure will not constitute a normalization violation and </w:t>
      </w:r>
      <w:r w:rsidR="003D5A94">
        <w:rPr>
          <w:rFonts w:cs="Arial"/>
        </w:rPr>
        <w:t xml:space="preserve">the </w:t>
      </w:r>
      <w:r w:rsidR="0070150D">
        <w:rPr>
          <w:rFonts w:cs="Arial"/>
        </w:rPr>
        <w:t>Service</w:t>
      </w:r>
      <w:r w:rsidR="0070150D" w:rsidRPr="0099696E">
        <w:rPr>
          <w:rFonts w:cs="Arial"/>
        </w:rPr>
        <w:t xml:space="preserve"> </w:t>
      </w:r>
      <w:r w:rsidR="0099696E" w:rsidRPr="0099696E">
        <w:rPr>
          <w:rFonts w:cs="Arial"/>
        </w:rPr>
        <w:t>will not challenge the taxpayer's use of the identified Inconsistent Practice or Procedure unless the taxpayer does not change to a Consistent Practice or Procedure at the Next Available Opportunity.</w:t>
      </w:r>
    </w:p>
    <w:p w:rsidR="00E70009" w:rsidRDefault="00E70009">
      <w:pPr>
        <w:pStyle w:val="Heading1"/>
      </w:pPr>
      <w:proofErr w:type="gramStart"/>
      <w:r>
        <w:t xml:space="preserve">SECTION </w:t>
      </w:r>
      <w:r w:rsidR="004626E3">
        <w:t>6</w:t>
      </w:r>
      <w:r>
        <w:t>.</w:t>
      </w:r>
      <w:proofErr w:type="gramEnd"/>
      <w:r>
        <w:t xml:space="preserve"> EFFECTIVE DATE</w:t>
      </w:r>
    </w:p>
    <w:p w:rsidR="004626E3" w:rsidRPr="004626E3" w:rsidRDefault="004626E3" w:rsidP="004626E3">
      <w:pPr>
        <w:pStyle w:val="BodyTextIndent"/>
        <w:spacing w:line="480" w:lineRule="auto"/>
      </w:pPr>
      <w:r w:rsidRPr="004626E3">
        <w:t xml:space="preserve">This </w:t>
      </w:r>
      <w:r>
        <w:t>R</w:t>
      </w:r>
      <w:r w:rsidRPr="004626E3">
        <w:t xml:space="preserve">evenue </w:t>
      </w:r>
      <w:r>
        <w:t>P</w:t>
      </w:r>
      <w:r w:rsidRPr="004626E3">
        <w:t xml:space="preserve">rocedure is effective for tax years ending on or after </w:t>
      </w:r>
      <w:r w:rsidR="00067748">
        <w:t xml:space="preserve">         </w:t>
      </w:r>
      <w:r w:rsidRPr="004626E3">
        <w:lastRenderedPageBreak/>
        <w:t>December 31, 2016.</w:t>
      </w:r>
      <w:r>
        <w:t xml:space="preserve"> </w:t>
      </w:r>
      <w:r w:rsidRPr="004626E3">
        <w:t xml:space="preserve"> However, </w:t>
      </w:r>
      <w:r>
        <w:t xml:space="preserve">the </w:t>
      </w:r>
      <w:r w:rsidR="0070150D">
        <w:t>Service</w:t>
      </w:r>
      <w:r w:rsidRPr="004626E3">
        <w:t xml:space="preserve"> will not challenge any Inconsistent Practice or Procedure in any earlier year</w:t>
      </w:r>
      <w:r>
        <w:t xml:space="preserve"> provided that S</w:t>
      </w:r>
      <w:r w:rsidRPr="004626E3">
        <w:t>ection</w:t>
      </w:r>
      <w:r>
        <w:t>s 3 and</w:t>
      </w:r>
      <w:r w:rsidRPr="004626E3">
        <w:t xml:space="preserve"> 5 of this </w:t>
      </w:r>
      <w:r>
        <w:t>R</w:t>
      </w:r>
      <w:r w:rsidRPr="004626E3">
        <w:t xml:space="preserve">evenue </w:t>
      </w:r>
      <w:r>
        <w:t>P</w:t>
      </w:r>
      <w:r w:rsidRPr="004626E3">
        <w:t>rocedure appl</w:t>
      </w:r>
      <w:r>
        <w:t>y</w:t>
      </w:r>
      <w:r w:rsidRPr="004626E3">
        <w:t xml:space="preserve"> to the taxpayer in any taxable year ending on or after </w:t>
      </w:r>
      <w:r w:rsidR="00067748">
        <w:t xml:space="preserve">               </w:t>
      </w:r>
      <w:r w:rsidRPr="004626E3">
        <w:t>December 3</w:t>
      </w:r>
      <w:r>
        <w:t>1</w:t>
      </w:r>
      <w:r w:rsidRPr="004626E3">
        <w:t>,</w:t>
      </w:r>
      <w:r>
        <w:t xml:space="preserve"> </w:t>
      </w:r>
      <w:r w:rsidRPr="004626E3">
        <w:t>2016.</w:t>
      </w:r>
    </w:p>
    <w:p w:rsidR="001951B7" w:rsidRPr="001951B7" w:rsidRDefault="001951B7">
      <w:pPr>
        <w:pStyle w:val="Heading1"/>
        <w:rPr>
          <w:vanish/>
        </w:rPr>
        <w:sectPr w:rsidR="001951B7" w:rsidRPr="001951B7" w:rsidSect="00012CF4">
          <w:endnotePr>
            <w:numFmt w:val="decimal"/>
          </w:endnotePr>
          <w:type w:val="continuous"/>
          <w:pgSz w:w="12240" w:h="15840"/>
          <w:pgMar w:top="1440" w:right="1440" w:bottom="2434" w:left="1440" w:header="907" w:footer="1440" w:gutter="0"/>
          <w:cols w:space="720"/>
          <w:noEndnote/>
        </w:sectPr>
      </w:pPr>
    </w:p>
    <w:p w:rsidR="00AC5A35" w:rsidRDefault="00E70009" w:rsidP="00AC5A35">
      <w:pPr>
        <w:pStyle w:val="Heading1"/>
        <w:spacing w:line="240" w:lineRule="auto"/>
      </w:pPr>
      <w:proofErr w:type="gramStart"/>
      <w:r>
        <w:lastRenderedPageBreak/>
        <w:t xml:space="preserve">SECTION </w:t>
      </w:r>
      <w:r w:rsidR="004626E3">
        <w:t>7</w:t>
      </w:r>
      <w:r>
        <w:t>.</w:t>
      </w:r>
      <w:proofErr w:type="gramEnd"/>
      <w:r>
        <w:t xml:space="preserve"> </w:t>
      </w:r>
      <w:r w:rsidR="007176F8">
        <w:t xml:space="preserve"> </w:t>
      </w:r>
      <w:r w:rsidR="00AC5A35">
        <w:t>PAPERWORK REDUCTION ACT</w:t>
      </w:r>
    </w:p>
    <w:p w:rsidR="00AC5A35" w:rsidRDefault="00AC5A35" w:rsidP="00AC5A35"/>
    <w:p w:rsidR="0082706F" w:rsidRDefault="0082706F" w:rsidP="0082706F">
      <w:pPr>
        <w:spacing w:line="480" w:lineRule="auto"/>
        <w:rPr>
          <w:rFonts w:cs="Arial"/>
        </w:rPr>
      </w:pPr>
      <w:r>
        <w:rPr>
          <w:rFonts w:cs="Arial"/>
        </w:rPr>
        <w:tab/>
        <w:t>The collections of information contained in this notice have been reviewed and approved by the Office of Management and Budget in accordance with the Paperwork Reduction Act (44 U.S.C. 3507) under control number XXXX-XXXX.</w:t>
      </w:r>
    </w:p>
    <w:p w:rsidR="0082706F" w:rsidRDefault="0082706F" w:rsidP="0082706F">
      <w:pPr>
        <w:spacing w:line="480" w:lineRule="auto"/>
        <w:rPr>
          <w:rFonts w:cs="Arial"/>
        </w:rPr>
      </w:pPr>
      <w:r>
        <w:rPr>
          <w:rFonts w:cs="Arial"/>
        </w:rPr>
        <w:tab/>
        <w:t>An agency may not conduct or sponsor, and a person is not required to respond to, a collection of information unless the collection of information displays a valid OMB control number.</w:t>
      </w:r>
    </w:p>
    <w:p w:rsidR="0082706F" w:rsidRDefault="0082706F" w:rsidP="0082706F">
      <w:pPr>
        <w:spacing w:line="480" w:lineRule="auto"/>
        <w:rPr>
          <w:rFonts w:cs="Arial"/>
        </w:rPr>
      </w:pPr>
      <w:r>
        <w:rPr>
          <w:rFonts w:cs="Arial"/>
        </w:rPr>
        <w:tab/>
        <w:t xml:space="preserve">The collections of information in this notice are in sections 3 and 5.  This information is required to be collected and retained to clearly demonstrate the effects of the Inconsistent Practice or Procedure and the change to a Consistent Practice or Procedure adopted or approved by the Taxpayer’s Regulator.  </w:t>
      </w:r>
      <w:r w:rsidR="00060918">
        <w:rPr>
          <w:rFonts w:cs="Arial"/>
        </w:rPr>
        <w:t xml:space="preserve">The taxpayer must also include a statement in its return identifying the Inconsistent Practice or Procedure and representing its intention to change to a Consistent Practice or Procedure at the Next Available Opportunity.  </w:t>
      </w:r>
      <w:r>
        <w:rPr>
          <w:rFonts w:cs="Arial"/>
        </w:rPr>
        <w:t xml:space="preserve">The collection of information is required </w:t>
      </w:r>
      <w:r w:rsidR="00060918">
        <w:rPr>
          <w:rFonts w:cs="Arial"/>
        </w:rPr>
        <w:t xml:space="preserve">for a taxpayer to </w:t>
      </w:r>
      <w:r w:rsidR="00AC36CC">
        <w:rPr>
          <w:rFonts w:cs="Arial"/>
        </w:rPr>
        <w:t>apply</w:t>
      </w:r>
      <w:r w:rsidR="00060918">
        <w:rPr>
          <w:rFonts w:cs="Arial"/>
        </w:rPr>
        <w:t xml:space="preserve"> </w:t>
      </w:r>
      <w:r w:rsidR="00AC36CC">
        <w:rPr>
          <w:rFonts w:cs="Arial"/>
        </w:rPr>
        <w:t xml:space="preserve">the safe harbor provided by </w:t>
      </w:r>
      <w:r w:rsidR="00060918">
        <w:rPr>
          <w:rFonts w:cs="Arial"/>
        </w:rPr>
        <w:t>this revenue procedure</w:t>
      </w:r>
      <w:r>
        <w:rPr>
          <w:rFonts w:cs="Arial"/>
        </w:rPr>
        <w:t>.  The likely respondents are corporations</w:t>
      </w:r>
      <w:r w:rsidR="00060918">
        <w:rPr>
          <w:rFonts w:cs="Arial"/>
        </w:rPr>
        <w:t xml:space="preserve"> or partnerships</w:t>
      </w:r>
      <w:r>
        <w:rPr>
          <w:rFonts w:cs="Arial"/>
        </w:rPr>
        <w:t>.</w:t>
      </w:r>
    </w:p>
    <w:p w:rsidR="0082706F" w:rsidRDefault="0082706F" w:rsidP="0082706F">
      <w:pPr>
        <w:tabs>
          <w:tab w:val="left" w:pos="720"/>
        </w:tabs>
        <w:spacing w:line="480" w:lineRule="auto"/>
        <w:rPr>
          <w:rFonts w:cs="Arial"/>
        </w:rPr>
      </w:pPr>
      <w:r>
        <w:rPr>
          <w:rFonts w:cs="Arial"/>
        </w:rPr>
        <w:tab/>
        <w:t>The estimated total annual reporting burden is 1</w:t>
      </w:r>
      <w:r w:rsidR="007176F8">
        <w:rPr>
          <w:rFonts w:cs="Arial"/>
        </w:rPr>
        <w:t>,</w:t>
      </w:r>
      <w:r>
        <w:rPr>
          <w:rFonts w:cs="Arial"/>
        </w:rPr>
        <w:t>80</w:t>
      </w:r>
      <w:r w:rsidR="00060918">
        <w:rPr>
          <w:rFonts w:cs="Arial"/>
        </w:rPr>
        <w:t>0</w:t>
      </w:r>
      <w:r>
        <w:rPr>
          <w:rFonts w:cs="Arial"/>
        </w:rPr>
        <w:t xml:space="preserve"> hours.</w:t>
      </w:r>
    </w:p>
    <w:p w:rsidR="0082706F" w:rsidRDefault="0082706F" w:rsidP="0082706F">
      <w:pPr>
        <w:tabs>
          <w:tab w:val="left" w:pos="720"/>
        </w:tabs>
        <w:spacing w:line="480" w:lineRule="auto"/>
        <w:rPr>
          <w:rFonts w:cs="Arial"/>
        </w:rPr>
      </w:pPr>
      <w:r>
        <w:rPr>
          <w:rFonts w:cs="Arial"/>
        </w:rPr>
        <w:tab/>
        <w:t xml:space="preserve">The estimated annual burden per respondent varies from </w:t>
      </w:r>
      <w:r w:rsidR="00060918">
        <w:rPr>
          <w:rFonts w:cs="Arial"/>
        </w:rPr>
        <w:t>10</w:t>
      </w:r>
      <w:r>
        <w:rPr>
          <w:rFonts w:cs="Arial"/>
        </w:rPr>
        <w:t xml:space="preserve"> hours to </w:t>
      </w:r>
      <w:r w:rsidR="00060918">
        <w:rPr>
          <w:rFonts w:cs="Arial"/>
        </w:rPr>
        <w:t>1</w:t>
      </w:r>
      <w:r>
        <w:rPr>
          <w:rFonts w:cs="Arial"/>
        </w:rPr>
        <w:t xml:space="preserve">4 hours, </w:t>
      </w:r>
      <w:r>
        <w:rPr>
          <w:rFonts w:cs="Arial"/>
        </w:rPr>
        <w:lastRenderedPageBreak/>
        <w:t xml:space="preserve">depending on individual circumstances, with an estimated average burden of </w:t>
      </w:r>
      <w:r w:rsidR="00060918">
        <w:rPr>
          <w:rFonts w:cs="Arial"/>
        </w:rPr>
        <w:t>12</w:t>
      </w:r>
      <w:r>
        <w:rPr>
          <w:rFonts w:cs="Arial"/>
        </w:rPr>
        <w:t xml:space="preserve"> hours to </w:t>
      </w:r>
      <w:r w:rsidR="00060918">
        <w:rPr>
          <w:rFonts w:cs="Arial"/>
        </w:rPr>
        <w:t xml:space="preserve">collect and retain contemporaneous documentation and to </w:t>
      </w:r>
      <w:r>
        <w:rPr>
          <w:rFonts w:cs="Arial"/>
        </w:rPr>
        <w:t xml:space="preserve">complete the </w:t>
      </w:r>
      <w:r w:rsidR="00060918">
        <w:rPr>
          <w:rFonts w:cs="Arial"/>
        </w:rPr>
        <w:t>statement</w:t>
      </w:r>
      <w:r>
        <w:rPr>
          <w:rFonts w:cs="Arial"/>
        </w:rPr>
        <w:t xml:space="preserve"> required under this notice.  The estimated number of respondents is </w:t>
      </w:r>
      <w:r w:rsidR="00060918">
        <w:rPr>
          <w:rFonts w:cs="Arial"/>
        </w:rPr>
        <w:t>150</w:t>
      </w:r>
      <w:r>
        <w:rPr>
          <w:rFonts w:cs="Arial"/>
        </w:rPr>
        <w:t xml:space="preserve">. </w:t>
      </w:r>
    </w:p>
    <w:p w:rsidR="0082706F" w:rsidRDefault="0082706F" w:rsidP="0082706F">
      <w:pPr>
        <w:tabs>
          <w:tab w:val="left" w:pos="720"/>
        </w:tabs>
        <w:spacing w:line="480" w:lineRule="auto"/>
        <w:rPr>
          <w:rFonts w:cs="Arial"/>
        </w:rPr>
      </w:pPr>
      <w:r>
        <w:rPr>
          <w:rFonts w:cs="Arial"/>
        </w:rPr>
        <w:tab/>
        <w:t xml:space="preserve">The estimated annual frequency of responses is on occasion. </w:t>
      </w:r>
    </w:p>
    <w:p w:rsidR="0082706F" w:rsidRDefault="0082706F" w:rsidP="0082706F">
      <w:pPr>
        <w:tabs>
          <w:tab w:val="left" w:pos="720"/>
        </w:tabs>
        <w:spacing w:line="480" w:lineRule="auto"/>
        <w:rPr>
          <w:rFonts w:cs="Arial"/>
        </w:rPr>
      </w:pPr>
      <w:r>
        <w:rPr>
          <w:rFonts w:cs="Arial"/>
        </w:rPr>
        <w:tab/>
        <w:t xml:space="preserve">Books or records relating to a collection of information must be retained as long as their contents may become material in the administration of any Internal Revenue law.  Generally, tax returns and tax return information are confidential, as required by         </w:t>
      </w:r>
      <w:r>
        <w:t xml:space="preserve"> </w:t>
      </w:r>
      <w:r>
        <w:rPr>
          <w:rFonts w:cs="Arial"/>
        </w:rPr>
        <w:t>§ 6103.</w:t>
      </w:r>
    </w:p>
    <w:p w:rsidR="00E70009" w:rsidRDefault="00AC5A35">
      <w:pPr>
        <w:pStyle w:val="Heading1"/>
      </w:pPr>
      <w:proofErr w:type="gramStart"/>
      <w:r>
        <w:t>SECTION 8.</w:t>
      </w:r>
      <w:proofErr w:type="gramEnd"/>
      <w:r>
        <w:t xml:space="preserve">  </w:t>
      </w:r>
      <w:r w:rsidR="00E70009">
        <w:t>DRAFTING INFORMATION</w:t>
      </w:r>
    </w:p>
    <w:p w:rsidR="00E70009" w:rsidRDefault="00E70009">
      <w:pPr>
        <w:spacing w:line="480" w:lineRule="auto"/>
        <w:ind w:firstLine="720"/>
        <w:rPr>
          <w:rFonts w:cs="Arial"/>
        </w:rPr>
      </w:pPr>
      <w:r>
        <w:rPr>
          <w:rFonts w:cs="Arial"/>
        </w:rPr>
        <w:t xml:space="preserve">The principal author of this revenue procedure is </w:t>
      </w:r>
      <w:bookmarkStart w:id="9" w:name="_ebtn_PrincipalAuthor"/>
      <w:r w:rsidR="003D5A94" w:rsidRPr="005A15B5">
        <w:rPr>
          <w:rFonts w:cs="Arial"/>
          <w:color w:val="000000"/>
        </w:rPr>
        <w:t>Jennifer C. Bernardini</w:t>
      </w:r>
      <w:bookmarkEnd w:id="9"/>
      <w:r>
        <w:rPr>
          <w:rFonts w:cs="Arial"/>
        </w:rPr>
        <w:t xml:space="preserve"> of the Office of </w:t>
      </w:r>
      <w:r w:rsidR="009357C9">
        <w:rPr>
          <w:rFonts w:cs="Arial"/>
        </w:rPr>
        <w:t>Associate Chief Counsel (</w:t>
      </w:r>
      <w:bookmarkStart w:id="10" w:name="_ebon_PrincipalOffice"/>
      <w:r w:rsidR="00E93536">
        <w:rPr>
          <w:rFonts w:cs="Arial"/>
        </w:rPr>
        <w:t>Passthroughs &amp; Special Industries</w:t>
      </w:r>
      <w:bookmarkEnd w:id="10"/>
      <w:r w:rsidR="009357C9">
        <w:rPr>
          <w:rFonts w:cs="Arial"/>
        </w:rPr>
        <w:t>)</w:t>
      </w:r>
      <w:r>
        <w:rPr>
          <w:rFonts w:cs="Arial"/>
        </w:rPr>
        <w:t xml:space="preserve">.  For further information regarding this revenue procedure contact </w:t>
      </w:r>
      <w:bookmarkStart w:id="11" w:name="_ebtn_ContactName"/>
      <w:r w:rsidR="003D5A94" w:rsidRPr="005A15B5">
        <w:rPr>
          <w:rFonts w:cs="Arial"/>
          <w:color w:val="000000"/>
        </w:rPr>
        <w:t>Jennifer C. Bernardini</w:t>
      </w:r>
      <w:bookmarkEnd w:id="11"/>
      <w:r>
        <w:rPr>
          <w:rFonts w:cs="Arial"/>
        </w:rPr>
        <w:t xml:space="preserve"> on </w:t>
      </w:r>
      <w:bookmarkStart w:id="12" w:name="_ebpn_ContactPhoneNumber"/>
      <w:r w:rsidR="00E93536" w:rsidRPr="00E93536">
        <w:rPr>
          <w:rFonts w:cs="Arial"/>
          <w:color w:val="000000"/>
        </w:rPr>
        <w:t>(202) 317-6853</w:t>
      </w:r>
      <w:bookmarkEnd w:id="12"/>
      <w:r>
        <w:rPr>
          <w:rFonts w:cs="Arial"/>
        </w:rPr>
        <w:t xml:space="preserve"> (not a toll free call).</w:t>
      </w:r>
    </w:p>
    <w:sectPr w:rsidR="00E70009" w:rsidSect="00012CF4">
      <w:endnotePr>
        <w:numFmt w:val="decimal"/>
      </w:endnotePr>
      <w:type w:val="continuous"/>
      <w:pgSz w:w="12240" w:h="15840"/>
      <w:pgMar w:top="1440" w:right="1440" w:bottom="2434" w:left="1440" w:header="907"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263" w:rsidRDefault="00082263">
      <w:r>
        <w:separator/>
      </w:r>
    </w:p>
  </w:endnote>
  <w:endnote w:type="continuationSeparator" w:id="0">
    <w:p w:rsidR="00082263" w:rsidRDefault="0008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1" w:rsidRDefault="005A07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1" w:rsidRDefault="005A07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1" w:rsidRDefault="005A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263" w:rsidRDefault="00082263">
      <w:r>
        <w:separator/>
      </w:r>
    </w:p>
  </w:footnote>
  <w:footnote w:type="continuationSeparator" w:id="0">
    <w:p w:rsidR="00082263" w:rsidRDefault="00082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1" w:rsidRDefault="000822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601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2A" w:rsidRDefault="00082263">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6018" o:spid="_x0000_s2051"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785861306"/>
        <w:docPartObj>
          <w:docPartGallery w:val="Page Numbers (Top of Page)"/>
          <w:docPartUnique/>
        </w:docPartObj>
      </w:sdtPr>
      <w:sdtEndPr>
        <w:rPr>
          <w:noProof/>
        </w:rPr>
      </w:sdtEndPr>
      <w:sdtContent>
        <w:r w:rsidR="0005602A">
          <w:fldChar w:fldCharType="begin"/>
        </w:r>
        <w:r w:rsidR="0005602A">
          <w:instrText xml:space="preserve"> PAGE   \* MERGEFORMAT </w:instrText>
        </w:r>
        <w:r w:rsidR="0005602A">
          <w:fldChar w:fldCharType="separate"/>
        </w:r>
        <w:r w:rsidR="00CC09F7">
          <w:rPr>
            <w:noProof/>
          </w:rPr>
          <w:t>12</w:t>
        </w:r>
        <w:r w:rsidR="0005602A">
          <w:rPr>
            <w:noProof/>
          </w:rPr>
          <w:fldChar w:fldCharType="end"/>
        </w:r>
      </w:sdtContent>
    </w:sdt>
  </w:p>
  <w:p w:rsidR="0005602A" w:rsidRDefault="000560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791" w:rsidRDefault="000822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601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36"/>
    <w:rsid w:val="0001272A"/>
    <w:rsid w:val="00012CF4"/>
    <w:rsid w:val="00021113"/>
    <w:rsid w:val="00033D49"/>
    <w:rsid w:val="000374BB"/>
    <w:rsid w:val="0005491B"/>
    <w:rsid w:val="00054E87"/>
    <w:rsid w:val="0005602A"/>
    <w:rsid w:val="00060918"/>
    <w:rsid w:val="00067748"/>
    <w:rsid w:val="00082263"/>
    <w:rsid w:val="00097EC7"/>
    <w:rsid w:val="000A7B93"/>
    <w:rsid w:val="000F7ED1"/>
    <w:rsid w:val="00140271"/>
    <w:rsid w:val="00172915"/>
    <w:rsid w:val="001951B7"/>
    <w:rsid w:val="001B07AD"/>
    <w:rsid w:val="001C4F0D"/>
    <w:rsid w:val="001E0D31"/>
    <w:rsid w:val="001E1C05"/>
    <w:rsid w:val="001E5A9E"/>
    <w:rsid w:val="00205280"/>
    <w:rsid w:val="00206CEB"/>
    <w:rsid w:val="002351C3"/>
    <w:rsid w:val="00241654"/>
    <w:rsid w:val="00252F86"/>
    <w:rsid w:val="002738F1"/>
    <w:rsid w:val="002918BD"/>
    <w:rsid w:val="002B1F16"/>
    <w:rsid w:val="002B4620"/>
    <w:rsid w:val="002C7822"/>
    <w:rsid w:val="002E1BB7"/>
    <w:rsid w:val="00323D90"/>
    <w:rsid w:val="003750B6"/>
    <w:rsid w:val="00385A7B"/>
    <w:rsid w:val="003D0FA3"/>
    <w:rsid w:val="003D230F"/>
    <w:rsid w:val="003D5A94"/>
    <w:rsid w:val="003E42A0"/>
    <w:rsid w:val="003E79A3"/>
    <w:rsid w:val="003F543E"/>
    <w:rsid w:val="00411777"/>
    <w:rsid w:val="00423B16"/>
    <w:rsid w:val="004626E3"/>
    <w:rsid w:val="00464C10"/>
    <w:rsid w:val="004B2BC4"/>
    <w:rsid w:val="004B46F3"/>
    <w:rsid w:val="004B6219"/>
    <w:rsid w:val="004C09FB"/>
    <w:rsid w:val="004F1344"/>
    <w:rsid w:val="00502D59"/>
    <w:rsid w:val="005050C8"/>
    <w:rsid w:val="00517247"/>
    <w:rsid w:val="00567169"/>
    <w:rsid w:val="00570949"/>
    <w:rsid w:val="0058425D"/>
    <w:rsid w:val="005A0791"/>
    <w:rsid w:val="005A15B5"/>
    <w:rsid w:val="005B707B"/>
    <w:rsid w:val="005F563D"/>
    <w:rsid w:val="00652822"/>
    <w:rsid w:val="006533D6"/>
    <w:rsid w:val="006550BA"/>
    <w:rsid w:val="00666E7C"/>
    <w:rsid w:val="00693DCD"/>
    <w:rsid w:val="00697ED2"/>
    <w:rsid w:val="006A157D"/>
    <w:rsid w:val="006A478B"/>
    <w:rsid w:val="006C2B9E"/>
    <w:rsid w:val="006C4195"/>
    <w:rsid w:val="006D4EBC"/>
    <w:rsid w:val="0070150D"/>
    <w:rsid w:val="0071506B"/>
    <w:rsid w:val="007176F8"/>
    <w:rsid w:val="007321DD"/>
    <w:rsid w:val="007658EF"/>
    <w:rsid w:val="007805EF"/>
    <w:rsid w:val="0078403E"/>
    <w:rsid w:val="007B5AF2"/>
    <w:rsid w:val="007E0EE0"/>
    <w:rsid w:val="007E4DEF"/>
    <w:rsid w:val="0082706F"/>
    <w:rsid w:val="0087202A"/>
    <w:rsid w:val="008A3777"/>
    <w:rsid w:val="008A5254"/>
    <w:rsid w:val="00922DB0"/>
    <w:rsid w:val="0093203F"/>
    <w:rsid w:val="009357C9"/>
    <w:rsid w:val="009417BC"/>
    <w:rsid w:val="00957053"/>
    <w:rsid w:val="009728CC"/>
    <w:rsid w:val="0099696E"/>
    <w:rsid w:val="009A1B8A"/>
    <w:rsid w:val="009D7865"/>
    <w:rsid w:val="009F3D43"/>
    <w:rsid w:val="00A52B6E"/>
    <w:rsid w:val="00A632B2"/>
    <w:rsid w:val="00A932DF"/>
    <w:rsid w:val="00AB5403"/>
    <w:rsid w:val="00AC36CC"/>
    <w:rsid w:val="00AC5A35"/>
    <w:rsid w:val="00AD320E"/>
    <w:rsid w:val="00AE55B9"/>
    <w:rsid w:val="00B10588"/>
    <w:rsid w:val="00B17E89"/>
    <w:rsid w:val="00B266A1"/>
    <w:rsid w:val="00B31BCD"/>
    <w:rsid w:val="00B65239"/>
    <w:rsid w:val="00B66C66"/>
    <w:rsid w:val="00B66F9F"/>
    <w:rsid w:val="00B751EA"/>
    <w:rsid w:val="00BB2D3D"/>
    <w:rsid w:val="00C44014"/>
    <w:rsid w:val="00C77BF4"/>
    <w:rsid w:val="00CA74B6"/>
    <w:rsid w:val="00CC09F7"/>
    <w:rsid w:val="00CD05C2"/>
    <w:rsid w:val="00CD18FE"/>
    <w:rsid w:val="00CE6008"/>
    <w:rsid w:val="00D54D20"/>
    <w:rsid w:val="00D90B25"/>
    <w:rsid w:val="00D92923"/>
    <w:rsid w:val="00D9718C"/>
    <w:rsid w:val="00DA0228"/>
    <w:rsid w:val="00DA5441"/>
    <w:rsid w:val="00DA5DE2"/>
    <w:rsid w:val="00DC5143"/>
    <w:rsid w:val="00DE5EFF"/>
    <w:rsid w:val="00E174C1"/>
    <w:rsid w:val="00E70009"/>
    <w:rsid w:val="00E93536"/>
    <w:rsid w:val="00EB3738"/>
    <w:rsid w:val="00F113A8"/>
    <w:rsid w:val="00F11866"/>
    <w:rsid w:val="00F30DAB"/>
    <w:rsid w:val="00FA7C35"/>
    <w:rsid w:val="00FC4348"/>
    <w:rsid w:val="00FC57F3"/>
    <w:rsid w:val="00FD5D6C"/>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cs="Arial"/>
    </w:rPr>
  </w:style>
  <w:style w:type="paragraph" w:styleId="DocumentMap">
    <w:name w:val="Document Map"/>
    <w:basedOn w:val="Normal"/>
    <w:semiHidden/>
    <w:rsid w:val="00567169"/>
    <w:pPr>
      <w:shd w:val="clear" w:color="auto" w:fill="000080"/>
    </w:pPr>
    <w:rPr>
      <w:rFonts w:ascii="MS Shell Dlg" w:hAnsi="MS Shell Dlg" w:cs="MS Shell Dlg"/>
      <w:sz w:val="20"/>
      <w:szCs w:val="20"/>
    </w:rPr>
  </w:style>
  <w:style w:type="paragraph" w:styleId="BalloonText">
    <w:name w:val="Balloon Text"/>
    <w:basedOn w:val="Normal"/>
    <w:link w:val="BalloonTextChar"/>
    <w:rsid w:val="00697ED2"/>
    <w:rPr>
      <w:rFonts w:ascii="Tahoma" w:hAnsi="Tahoma" w:cs="Tahoma"/>
      <w:sz w:val="16"/>
      <w:szCs w:val="16"/>
    </w:rPr>
  </w:style>
  <w:style w:type="character" w:customStyle="1" w:styleId="BalloonTextChar">
    <w:name w:val="Balloon Text Char"/>
    <w:basedOn w:val="DefaultParagraphFont"/>
    <w:link w:val="BalloonText"/>
    <w:rsid w:val="00697ED2"/>
    <w:rPr>
      <w:rFonts w:ascii="Tahoma" w:hAnsi="Tahoma" w:cs="Tahoma"/>
      <w:sz w:val="16"/>
      <w:szCs w:val="16"/>
    </w:rPr>
  </w:style>
  <w:style w:type="paragraph" w:styleId="Header">
    <w:name w:val="header"/>
    <w:basedOn w:val="Normal"/>
    <w:link w:val="HeaderChar"/>
    <w:uiPriority w:val="99"/>
    <w:rsid w:val="0005602A"/>
    <w:pPr>
      <w:tabs>
        <w:tab w:val="center" w:pos="4680"/>
        <w:tab w:val="right" w:pos="9360"/>
      </w:tabs>
    </w:pPr>
  </w:style>
  <w:style w:type="character" w:customStyle="1" w:styleId="HeaderChar">
    <w:name w:val="Header Char"/>
    <w:basedOn w:val="DefaultParagraphFont"/>
    <w:link w:val="Header"/>
    <w:uiPriority w:val="99"/>
    <w:rsid w:val="0005602A"/>
    <w:rPr>
      <w:rFonts w:ascii="Arial" w:hAnsi="Arial"/>
      <w:sz w:val="24"/>
      <w:szCs w:val="24"/>
    </w:rPr>
  </w:style>
  <w:style w:type="paragraph" w:styleId="Footer">
    <w:name w:val="footer"/>
    <w:basedOn w:val="Normal"/>
    <w:link w:val="FooterChar"/>
    <w:rsid w:val="0005602A"/>
    <w:pPr>
      <w:tabs>
        <w:tab w:val="center" w:pos="4680"/>
        <w:tab w:val="right" w:pos="9360"/>
      </w:tabs>
    </w:pPr>
  </w:style>
  <w:style w:type="character" w:customStyle="1" w:styleId="FooterChar">
    <w:name w:val="Footer Char"/>
    <w:basedOn w:val="DefaultParagraphFont"/>
    <w:link w:val="Footer"/>
    <w:rsid w:val="0005602A"/>
    <w:rPr>
      <w:rFonts w:ascii="Arial" w:hAnsi="Arial"/>
      <w:sz w:val="24"/>
      <w:szCs w:val="24"/>
    </w:rPr>
  </w:style>
  <w:style w:type="character" w:styleId="CommentReference">
    <w:name w:val="annotation reference"/>
    <w:basedOn w:val="DefaultParagraphFont"/>
    <w:rsid w:val="00B65239"/>
    <w:rPr>
      <w:sz w:val="16"/>
      <w:szCs w:val="16"/>
    </w:rPr>
  </w:style>
  <w:style w:type="paragraph" w:styleId="CommentText">
    <w:name w:val="annotation text"/>
    <w:basedOn w:val="Normal"/>
    <w:link w:val="CommentTextChar"/>
    <w:rsid w:val="00B65239"/>
    <w:rPr>
      <w:sz w:val="20"/>
      <w:szCs w:val="20"/>
    </w:rPr>
  </w:style>
  <w:style w:type="character" w:customStyle="1" w:styleId="CommentTextChar">
    <w:name w:val="Comment Text Char"/>
    <w:basedOn w:val="DefaultParagraphFont"/>
    <w:link w:val="CommentText"/>
    <w:rsid w:val="00B65239"/>
    <w:rPr>
      <w:rFonts w:ascii="Arial" w:hAnsi="Arial"/>
    </w:rPr>
  </w:style>
  <w:style w:type="paragraph" w:styleId="CommentSubject">
    <w:name w:val="annotation subject"/>
    <w:basedOn w:val="CommentText"/>
    <w:next w:val="CommentText"/>
    <w:link w:val="CommentSubjectChar"/>
    <w:rsid w:val="00B65239"/>
    <w:rPr>
      <w:b/>
      <w:bCs/>
    </w:rPr>
  </w:style>
  <w:style w:type="character" w:customStyle="1" w:styleId="CommentSubjectChar">
    <w:name w:val="Comment Subject Char"/>
    <w:basedOn w:val="CommentTextChar"/>
    <w:link w:val="CommentSubject"/>
    <w:rsid w:val="00B65239"/>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sz w:val="24"/>
      <w:szCs w:val="24"/>
    </w:rPr>
  </w:style>
  <w:style w:type="paragraph" w:styleId="Heading1">
    <w:name w:val="heading 1"/>
    <w:basedOn w:val="Normal"/>
    <w:next w:val="Normal"/>
    <w:qFormat/>
    <w:pPr>
      <w:keepNext/>
      <w:spacing w:line="480" w:lineRule="auto"/>
      <w:outlineLvl w:val="0"/>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cs="Arial"/>
    </w:rPr>
  </w:style>
  <w:style w:type="paragraph" w:styleId="DocumentMap">
    <w:name w:val="Document Map"/>
    <w:basedOn w:val="Normal"/>
    <w:semiHidden/>
    <w:rsid w:val="00567169"/>
    <w:pPr>
      <w:shd w:val="clear" w:color="auto" w:fill="000080"/>
    </w:pPr>
    <w:rPr>
      <w:rFonts w:ascii="MS Shell Dlg" w:hAnsi="MS Shell Dlg" w:cs="MS Shell Dlg"/>
      <w:sz w:val="20"/>
      <w:szCs w:val="20"/>
    </w:rPr>
  </w:style>
  <w:style w:type="paragraph" w:styleId="BalloonText">
    <w:name w:val="Balloon Text"/>
    <w:basedOn w:val="Normal"/>
    <w:link w:val="BalloonTextChar"/>
    <w:rsid w:val="00697ED2"/>
    <w:rPr>
      <w:rFonts w:ascii="Tahoma" w:hAnsi="Tahoma" w:cs="Tahoma"/>
      <w:sz w:val="16"/>
      <w:szCs w:val="16"/>
    </w:rPr>
  </w:style>
  <w:style w:type="character" w:customStyle="1" w:styleId="BalloonTextChar">
    <w:name w:val="Balloon Text Char"/>
    <w:basedOn w:val="DefaultParagraphFont"/>
    <w:link w:val="BalloonText"/>
    <w:rsid w:val="00697ED2"/>
    <w:rPr>
      <w:rFonts w:ascii="Tahoma" w:hAnsi="Tahoma" w:cs="Tahoma"/>
      <w:sz w:val="16"/>
      <w:szCs w:val="16"/>
    </w:rPr>
  </w:style>
  <w:style w:type="paragraph" w:styleId="Header">
    <w:name w:val="header"/>
    <w:basedOn w:val="Normal"/>
    <w:link w:val="HeaderChar"/>
    <w:uiPriority w:val="99"/>
    <w:rsid w:val="0005602A"/>
    <w:pPr>
      <w:tabs>
        <w:tab w:val="center" w:pos="4680"/>
        <w:tab w:val="right" w:pos="9360"/>
      </w:tabs>
    </w:pPr>
  </w:style>
  <w:style w:type="character" w:customStyle="1" w:styleId="HeaderChar">
    <w:name w:val="Header Char"/>
    <w:basedOn w:val="DefaultParagraphFont"/>
    <w:link w:val="Header"/>
    <w:uiPriority w:val="99"/>
    <w:rsid w:val="0005602A"/>
    <w:rPr>
      <w:rFonts w:ascii="Arial" w:hAnsi="Arial"/>
      <w:sz w:val="24"/>
      <w:szCs w:val="24"/>
    </w:rPr>
  </w:style>
  <w:style w:type="paragraph" w:styleId="Footer">
    <w:name w:val="footer"/>
    <w:basedOn w:val="Normal"/>
    <w:link w:val="FooterChar"/>
    <w:rsid w:val="0005602A"/>
    <w:pPr>
      <w:tabs>
        <w:tab w:val="center" w:pos="4680"/>
        <w:tab w:val="right" w:pos="9360"/>
      </w:tabs>
    </w:pPr>
  </w:style>
  <w:style w:type="character" w:customStyle="1" w:styleId="FooterChar">
    <w:name w:val="Footer Char"/>
    <w:basedOn w:val="DefaultParagraphFont"/>
    <w:link w:val="Footer"/>
    <w:rsid w:val="0005602A"/>
    <w:rPr>
      <w:rFonts w:ascii="Arial" w:hAnsi="Arial"/>
      <w:sz w:val="24"/>
      <w:szCs w:val="24"/>
    </w:rPr>
  </w:style>
  <w:style w:type="character" w:styleId="CommentReference">
    <w:name w:val="annotation reference"/>
    <w:basedOn w:val="DefaultParagraphFont"/>
    <w:rsid w:val="00B65239"/>
    <w:rPr>
      <w:sz w:val="16"/>
      <w:szCs w:val="16"/>
    </w:rPr>
  </w:style>
  <w:style w:type="paragraph" w:styleId="CommentText">
    <w:name w:val="annotation text"/>
    <w:basedOn w:val="Normal"/>
    <w:link w:val="CommentTextChar"/>
    <w:rsid w:val="00B65239"/>
    <w:rPr>
      <w:sz w:val="20"/>
      <w:szCs w:val="20"/>
    </w:rPr>
  </w:style>
  <w:style w:type="character" w:customStyle="1" w:styleId="CommentTextChar">
    <w:name w:val="Comment Text Char"/>
    <w:basedOn w:val="DefaultParagraphFont"/>
    <w:link w:val="CommentText"/>
    <w:rsid w:val="00B65239"/>
    <w:rPr>
      <w:rFonts w:ascii="Arial" w:hAnsi="Arial"/>
    </w:rPr>
  </w:style>
  <w:style w:type="paragraph" w:styleId="CommentSubject">
    <w:name w:val="annotation subject"/>
    <w:basedOn w:val="CommentText"/>
    <w:next w:val="CommentText"/>
    <w:link w:val="CommentSubjectChar"/>
    <w:rsid w:val="00B65239"/>
    <w:rPr>
      <w:b/>
      <w:bCs/>
    </w:rPr>
  </w:style>
  <w:style w:type="character" w:customStyle="1" w:styleId="CommentSubjectChar">
    <w:name w:val="Comment Subject Char"/>
    <w:basedOn w:val="CommentTextChar"/>
    <w:link w:val="CommentSubject"/>
    <w:rsid w:val="00B6523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win32app\msoffice\templates\eWord\RevenueProcedur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526B3185-39F4-4BBD-8926-D00D9577D2F5}">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RevenueProcedure.dotm</Template>
  <TotalTime>0</TotalTime>
  <Pages>12</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RevProc</vt:lpstr>
    </vt:vector>
  </TitlesOfParts>
  <Company>Office of Chief Counsel, IRS</Company>
  <LinksUpToDate>false</LinksUpToDate>
  <CharactersWithSpaces>18925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RevProc</dc:title>
  <dc:subject>Revenue Procedure</dc:subject>
  <dc:creator>Department of Treasury</dc:creator>
  <cp:lastModifiedBy>Department of Treasury</cp:lastModifiedBy>
  <cp:revision>2</cp:revision>
  <cp:lastPrinted>2016-11-10T20:37:00Z</cp:lastPrinted>
  <dcterms:created xsi:type="dcterms:W3CDTF">2017-03-13T19:02:00Z</dcterms:created>
  <dcterms:modified xsi:type="dcterms:W3CDTF">2017-03-13T19:02:00Z</dcterms:modified>
  <cp:category>Published Guidance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revproc</vt:lpwstr>
  </property>
  <property fmtid="{D5CDD505-2E9C-101B-9397-08002B2CF9AE}" pid="3" name="OrgCode">
    <vt:lpwstr>department</vt:lpwstr>
  </property>
  <property fmtid="{D5CDD505-2E9C-101B-9397-08002B2CF9AE}" pid="4" name="Version">
    <vt:lpwstr>2.2.2.1</vt:lpwstr>
  </property>
</Properties>
</file>