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2A207" w14:textId="77777777" w:rsidR="00BD0143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 xml:space="preserve">Narrative of </w:t>
      </w:r>
      <w:r w:rsidR="005B3D80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14:paraId="6CDD8FAB" w14:textId="77777777" w:rsidR="003F6B5F" w:rsidRPr="00C47939" w:rsidRDefault="003F6B5F" w:rsidP="00BD0143">
      <w:pPr>
        <w:jc w:val="center"/>
        <w:rPr>
          <w:b/>
          <w:sz w:val="32"/>
          <w:szCs w:val="32"/>
        </w:rPr>
      </w:pPr>
    </w:p>
    <w:p w14:paraId="184ED703" w14:textId="77777777"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  <w:r w:rsidR="004B5421">
        <w:rPr>
          <w:i/>
          <w:sz w:val="20"/>
          <w:szCs w:val="20"/>
        </w:rPr>
        <w:t>.</w:t>
      </w:r>
    </w:p>
    <w:p w14:paraId="239B5A4B" w14:textId="77777777" w:rsidR="00BD0143" w:rsidRDefault="00BD0143" w:rsidP="00BD0143">
      <w:pPr>
        <w:jc w:val="center"/>
      </w:pPr>
    </w:p>
    <w:p w14:paraId="19E3BEAC" w14:textId="65D8B30C" w:rsidR="003C782D" w:rsidRPr="006F6F42" w:rsidRDefault="007A3831" w:rsidP="00BD2051">
      <w:r w:rsidRPr="00815FAB">
        <w:rPr>
          <w:b/>
        </w:rPr>
        <w:t>Collection Title:</w:t>
      </w:r>
      <w:r w:rsidR="00643FAF" w:rsidRPr="00643FAF">
        <w:t xml:space="preserve"> </w:t>
      </w:r>
      <w:r w:rsidR="00BD2051">
        <w:t>Public Assistance Customer Satisfaction Survey</w:t>
      </w:r>
      <w:r w:rsidR="00815FAB">
        <w:t>s</w:t>
      </w:r>
    </w:p>
    <w:p w14:paraId="511694A4" w14:textId="77777777" w:rsidR="00BD0143" w:rsidRDefault="00BD0143" w:rsidP="00BD2051">
      <w:r w:rsidRPr="00815FAB">
        <w:rPr>
          <w:b/>
        </w:rPr>
        <w:t xml:space="preserve">OMB </w:t>
      </w:r>
      <w:r w:rsidR="004B5421" w:rsidRPr="00815FAB">
        <w:rPr>
          <w:b/>
        </w:rPr>
        <w:t>Control No.:</w:t>
      </w:r>
      <w:r w:rsidR="004B5421">
        <w:t xml:space="preserve"> 1660</w:t>
      </w:r>
      <w:r w:rsidR="004B5421" w:rsidRPr="00FB154B">
        <w:t>-</w:t>
      </w:r>
      <w:r w:rsidR="00BD2051" w:rsidRPr="00FB154B">
        <w:t>0107</w:t>
      </w:r>
    </w:p>
    <w:p w14:paraId="6A512E58" w14:textId="6502F5FF" w:rsidR="002A07C4" w:rsidRPr="00495AE9" w:rsidRDefault="00BD0143" w:rsidP="00036D42">
      <w:r w:rsidRPr="00815FAB">
        <w:rPr>
          <w:b/>
        </w:rPr>
        <w:t>Current Expiration Date:</w:t>
      </w:r>
      <w:r>
        <w:t xml:space="preserve"> </w:t>
      </w:r>
      <w:r w:rsidR="00C51CCB" w:rsidRPr="00495AE9">
        <w:t>June 3</w:t>
      </w:r>
      <w:r w:rsidR="00495AE9" w:rsidRPr="00495AE9">
        <w:t>0</w:t>
      </w:r>
      <w:r w:rsidR="00C51CCB" w:rsidRPr="00495AE9">
        <w:t>, 2018</w:t>
      </w:r>
    </w:p>
    <w:p w14:paraId="476BCCD8" w14:textId="77777777" w:rsidR="002A07C4" w:rsidRPr="00495AE9" w:rsidRDefault="002A07C4" w:rsidP="00036D42"/>
    <w:p w14:paraId="0D9E635F" w14:textId="77777777" w:rsidR="00BD2051" w:rsidRDefault="00BD2051" w:rsidP="00036D42">
      <w:r w:rsidRPr="001022BA">
        <w:rPr>
          <w:u w:val="single"/>
        </w:rPr>
        <w:t>Collection Instruments</w:t>
      </w:r>
      <w:r>
        <w:t>:</w:t>
      </w:r>
    </w:p>
    <w:p w14:paraId="40C87014" w14:textId="77777777" w:rsidR="001022BA" w:rsidRDefault="001022BA" w:rsidP="00036D42"/>
    <w:p w14:paraId="64808D60" w14:textId="32BC7B1C" w:rsidR="001022BA" w:rsidRDefault="001022BA" w:rsidP="00036D42">
      <w:r>
        <w:t>New FEMA form numbers has been assigned as the following -</w:t>
      </w:r>
    </w:p>
    <w:p w14:paraId="1056F261" w14:textId="77777777" w:rsidR="00FB154B" w:rsidRDefault="00FB154B" w:rsidP="00036D42"/>
    <w:p w14:paraId="51A21DA3" w14:textId="77777777" w:rsidR="00495AE9" w:rsidRPr="00495AE9" w:rsidRDefault="00495AE9" w:rsidP="00495AE9">
      <w:pPr>
        <w:tabs>
          <w:tab w:val="left" w:pos="-720"/>
        </w:tabs>
        <w:suppressAutoHyphens/>
        <w:rPr>
          <w:b/>
        </w:rPr>
      </w:pPr>
      <w:r w:rsidRPr="00495AE9">
        <w:rPr>
          <w:b/>
        </w:rPr>
        <w:t>FEMA Form 519-0-32, Public Assistance Initial Customer Satisfaction Survey (Telephone);</w:t>
      </w:r>
    </w:p>
    <w:p w14:paraId="5357C471" w14:textId="77777777" w:rsidR="00495AE9" w:rsidRPr="00495AE9" w:rsidRDefault="00495AE9" w:rsidP="00495AE9">
      <w:pPr>
        <w:tabs>
          <w:tab w:val="left" w:pos="-720"/>
        </w:tabs>
        <w:suppressAutoHyphens/>
        <w:rPr>
          <w:b/>
        </w:rPr>
      </w:pPr>
      <w:r w:rsidRPr="00495AE9">
        <w:rPr>
          <w:b/>
        </w:rPr>
        <w:t>FEMA Form 519-0-33, Public Assistance Initial Customer Satisfaction Survey (Internet);</w:t>
      </w:r>
    </w:p>
    <w:p w14:paraId="6917FA44" w14:textId="77777777" w:rsidR="00495AE9" w:rsidRPr="00495AE9" w:rsidRDefault="00495AE9" w:rsidP="00495AE9">
      <w:pPr>
        <w:tabs>
          <w:tab w:val="left" w:pos="-720"/>
        </w:tabs>
        <w:suppressAutoHyphens/>
        <w:rPr>
          <w:b/>
        </w:rPr>
      </w:pPr>
      <w:r w:rsidRPr="00495AE9">
        <w:rPr>
          <w:b/>
        </w:rPr>
        <w:t>FEMA Form 519-0-34, Public Assistance Assessment Customer Satisfaction Survey (Telephone);</w:t>
      </w:r>
    </w:p>
    <w:p w14:paraId="57E8ED06" w14:textId="77777777" w:rsidR="00495AE9" w:rsidRPr="00495AE9" w:rsidRDefault="00495AE9" w:rsidP="00495AE9">
      <w:pPr>
        <w:tabs>
          <w:tab w:val="left" w:pos="-720"/>
        </w:tabs>
        <w:suppressAutoHyphens/>
        <w:rPr>
          <w:b/>
        </w:rPr>
      </w:pPr>
      <w:r w:rsidRPr="00495AE9">
        <w:rPr>
          <w:b/>
        </w:rPr>
        <w:t>FEMA Form 519-0-35, Public Assistance Assessment Customer Satisfaction Survey (Internet)</w:t>
      </w:r>
    </w:p>
    <w:p w14:paraId="7765BCE5" w14:textId="77777777" w:rsidR="00B11616" w:rsidRPr="00B11616" w:rsidRDefault="00B11616" w:rsidP="00B11616">
      <w:pPr>
        <w:tabs>
          <w:tab w:val="left" w:pos="-720"/>
        </w:tabs>
        <w:suppressAutoHyphens/>
      </w:pPr>
    </w:p>
    <w:p w14:paraId="150C8EB6" w14:textId="77777777" w:rsidR="00BD0143" w:rsidRPr="00B6447D" w:rsidRDefault="00BD0143" w:rsidP="00BD0143">
      <w:pPr>
        <w:rPr>
          <w:color w:val="FF0000"/>
        </w:rPr>
      </w:pPr>
      <w:r>
        <w:t>The following are</w:t>
      </w:r>
      <w:r w:rsidR="004E547A">
        <w:t xml:space="preserve"> the</w:t>
      </w:r>
      <w:r>
        <w:t xml:space="preserve"> </w:t>
      </w:r>
      <w:r w:rsidR="009619C6">
        <w:t>changes</w:t>
      </w:r>
      <w:r>
        <w:t xml:space="preserve"> to the collection</w:t>
      </w:r>
      <w:r w:rsidR="00BD2051">
        <w:t xml:space="preserve"> based on the </w:t>
      </w:r>
      <w:r w:rsidR="008A116A" w:rsidRPr="00B6447D">
        <w:rPr>
          <w:color w:val="FF0000"/>
        </w:rPr>
        <w:t>revision of a currently approved collection</w:t>
      </w:r>
      <w:r w:rsidR="00FB154B" w:rsidRPr="00B6447D">
        <w:rPr>
          <w:color w:val="FF0000"/>
        </w:rPr>
        <w:t xml:space="preserve">, </w:t>
      </w:r>
      <w:r w:rsidR="00C51CCB" w:rsidRPr="00B6447D">
        <w:rPr>
          <w:color w:val="FF0000"/>
        </w:rPr>
        <w:t>approved June 2, 2015</w:t>
      </w:r>
      <w:r w:rsidR="008A116A" w:rsidRPr="00B6447D">
        <w:rPr>
          <w:color w:val="FF0000"/>
        </w:rPr>
        <w:t>.</w:t>
      </w:r>
    </w:p>
    <w:p w14:paraId="1DCB96CA" w14:textId="77777777" w:rsidR="00BD2051" w:rsidRDefault="00BD2051" w:rsidP="00BD0143"/>
    <w:p w14:paraId="26647F7A" w14:textId="77777777" w:rsidR="00BD2051" w:rsidRPr="00BD2051" w:rsidRDefault="00BD2051" w:rsidP="00BD2051">
      <w:pPr>
        <w:rPr>
          <w:color w:val="FF0000"/>
        </w:rPr>
      </w:pPr>
      <w:r w:rsidRPr="001022BA">
        <w:rPr>
          <w:u w:val="single"/>
        </w:rPr>
        <w:t>Collection Title</w:t>
      </w:r>
      <w:r>
        <w:t>:</w:t>
      </w:r>
      <w:r w:rsidRPr="00643FAF">
        <w:t xml:space="preserve"> </w:t>
      </w:r>
      <w:r>
        <w:t xml:space="preserve">Public Assistance </w:t>
      </w:r>
      <w:r w:rsidR="008A116A">
        <w:t>Customer Satisfaction Survey</w:t>
      </w:r>
      <w:r w:rsidR="00C51CCB">
        <w:t>s</w:t>
      </w:r>
    </w:p>
    <w:p w14:paraId="787B38B8" w14:textId="77777777" w:rsidR="00BD0143" w:rsidRDefault="00BD0143" w:rsidP="00BD0143"/>
    <w:p w14:paraId="2A3BDD09" w14:textId="589A6668" w:rsidR="004A5C77" w:rsidRPr="000953C3" w:rsidRDefault="007A3831">
      <w:pPr>
        <w:rPr>
          <w:color w:val="FF0000"/>
        </w:rPr>
      </w:pPr>
      <w:r>
        <w:t>FEMA Form number</w:t>
      </w:r>
      <w:r w:rsidR="00E941B7">
        <w:t>s</w:t>
      </w:r>
      <w:r w:rsidR="00BD2051">
        <w:t xml:space="preserve">: </w:t>
      </w:r>
      <w:r w:rsidR="000953C3" w:rsidRPr="000953C3">
        <w:rPr>
          <w:color w:val="FF0000"/>
        </w:rPr>
        <w:t>The Public Assistance Customer Satisfaction Survey has been split into two shorter surveys in the revised collection (Initial Survey and Assessment Survey).</w:t>
      </w:r>
      <w:r w:rsidR="00294453">
        <w:rPr>
          <w:color w:val="FF0000"/>
        </w:rPr>
        <w:t xml:space="preserve">  There is new content for both surveys. </w:t>
      </w:r>
      <w:r w:rsidR="000953C3" w:rsidRPr="000953C3">
        <w:rPr>
          <w:color w:val="FF0000"/>
        </w:rPr>
        <w:t>Each survey has an electronic and telephone ve</w:t>
      </w:r>
      <w:r w:rsidR="00294453">
        <w:rPr>
          <w:color w:val="FF0000"/>
        </w:rPr>
        <w:t>rsion, resulting in a total of four survey forms</w:t>
      </w:r>
      <w:r w:rsidR="000953C3" w:rsidRPr="000953C3">
        <w:rPr>
          <w:color w:val="FF0000"/>
        </w:rPr>
        <w:t>.  New form numbers have been assigned to each survey.  The form numbers are:  FEMA Form 519-0-32 Public Assistance Initial Customer Satisfaction Survey (Telephone), FEMA Form 519-0-33 Public Assistance Initial Customer Satisfaction Survey (Internet), FEMA Form 519-0-34 Public Assistance Assessment Customer Satisfaction Survey (Telephone), and FEMA Form 519-0-35 Public Assistance Assessment Customer Satisfaction Survey (Internet).</w:t>
      </w:r>
    </w:p>
    <w:p w14:paraId="559B7537" w14:textId="77777777" w:rsidR="004B5421" w:rsidRDefault="004B5421" w:rsidP="00287348"/>
    <w:p w14:paraId="47EC9BBE" w14:textId="77777777" w:rsidR="004A5C77" w:rsidRDefault="00A402B9">
      <w:r w:rsidRPr="001022BA">
        <w:rPr>
          <w:u w:val="single"/>
        </w:rPr>
        <w:t>Supporting Statement</w:t>
      </w:r>
      <w:r>
        <w:t>:</w:t>
      </w:r>
    </w:p>
    <w:p w14:paraId="5B1F9CEA" w14:textId="77777777" w:rsidR="0011062B" w:rsidRDefault="0011062B"/>
    <w:p w14:paraId="66D3B57E" w14:textId="1C1BA6DA" w:rsidR="00A402B9" w:rsidRDefault="001022BA">
      <w:r>
        <w:t>Question 3 – U</w:t>
      </w:r>
      <w:r w:rsidR="0011062B">
        <w:t>pdated estimates for internet administration</w:t>
      </w:r>
    </w:p>
    <w:p w14:paraId="62E67F9C" w14:textId="56D72FF9" w:rsidR="00643FAF" w:rsidRDefault="00643FAF">
      <w:r>
        <w:t xml:space="preserve">Question 8a </w:t>
      </w:r>
      <w:r w:rsidR="001022BA">
        <w:t>– U</w:t>
      </w:r>
      <w:r>
        <w:t>pdated to reflect FRN publication information</w:t>
      </w:r>
      <w:r w:rsidR="004B5421">
        <w:t>.</w:t>
      </w:r>
    </w:p>
    <w:p w14:paraId="3FBA5F89" w14:textId="77777777" w:rsidR="007A3831" w:rsidRDefault="00C557B8">
      <w:r>
        <w:t>Question 10 – Updated to reflect current privacy information</w:t>
      </w:r>
      <w:r w:rsidR="004B5421">
        <w:t>.</w:t>
      </w:r>
    </w:p>
    <w:p w14:paraId="6BEFD8C4" w14:textId="77777777" w:rsidR="00A402B9" w:rsidRDefault="00A402B9">
      <w:r>
        <w:t xml:space="preserve">Question 12 – </w:t>
      </w:r>
      <w:r w:rsidR="00643FAF">
        <w:t xml:space="preserve">Number of </w:t>
      </w:r>
      <w:r w:rsidR="007A3831">
        <w:t xml:space="preserve">respondents </w:t>
      </w:r>
      <w:r w:rsidR="0011062B">
        <w:t xml:space="preserve">and annual costs </w:t>
      </w:r>
      <w:r w:rsidR="0011062B">
        <w:rPr>
          <w:color w:val="FF0000"/>
        </w:rPr>
        <w:t>decreased</w:t>
      </w:r>
      <w:r w:rsidR="00643FAF">
        <w:t>.</w:t>
      </w:r>
      <w:r>
        <w:t xml:space="preserve">  See Question 15 for explanation.</w:t>
      </w:r>
    </w:p>
    <w:p w14:paraId="6B5BDAC6" w14:textId="77777777" w:rsidR="001927FD" w:rsidRDefault="001927FD">
      <w:pPr>
        <w:rPr>
          <w:color w:val="000000"/>
        </w:rPr>
      </w:pPr>
    </w:p>
    <w:p w14:paraId="3DE4DCA2" w14:textId="2D08AC58" w:rsidR="00643FAF" w:rsidRPr="00A47DF3" w:rsidRDefault="00643FAF">
      <w:pPr>
        <w:rPr>
          <w:color w:val="FF0000"/>
        </w:rPr>
      </w:pPr>
      <w:r>
        <w:rPr>
          <w:color w:val="000000"/>
        </w:rPr>
        <w:t xml:space="preserve">Question 14 </w:t>
      </w:r>
      <w:r w:rsidR="001022BA">
        <w:rPr>
          <w:color w:val="000000"/>
        </w:rPr>
        <w:t>– Co</w:t>
      </w:r>
      <w:r>
        <w:rPr>
          <w:color w:val="000000"/>
        </w:rPr>
        <w:t xml:space="preserve">sts to the Federal Government </w:t>
      </w:r>
      <w:r w:rsidRPr="00A47DF3">
        <w:rPr>
          <w:color w:val="FF0000"/>
        </w:rPr>
        <w:t>updated</w:t>
      </w:r>
      <w:r w:rsidR="008A116A">
        <w:rPr>
          <w:color w:val="FF0000"/>
        </w:rPr>
        <w:t>.</w:t>
      </w:r>
    </w:p>
    <w:p w14:paraId="0FF112B0" w14:textId="77777777" w:rsidR="00643FAF" w:rsidRDefault="00643FAF">
      <w:pPr>
        <w:rPr>
          <w:color w:val="000000"/>
        </w:rPr>
      </w:pPr>
    </w:p>
    <w:p w14:paraId="42E2C38F" w14:textId="637E4BC5" w:rsidR="001022BA" w:rsidRDefault="001927FD" w:rsidP="00800B00">
      <w:pPr>
        <w:rPr>
          <w:color w:val="000000"/>
        </w:rPr>
      </w:pPr>
      <w:r>
        <w:rPr>
          <w:color w:val="000000"/>
        </w:rPr>
        <w:t xml:space="preserve">Question 15 – </w:t>
      </w:r>
      <w:r w:rsidR="00643FAF">
        <w:rPr>
          <w:color w:val="000000"/>
        </w:rPr>
        <w:t xml:space="preserve">Burden hour </w:t>
      </w:r>
      <w:r w:rsidR="0011062B">
        <w:rPr>
          <w:color w:val="FF0000"/>
        </w:rPr>
        <w:t>decrease</w:t>
      </w:r>
      <w:r w:rsidR="004B5421">
        <w:rPr>
          <w:color w:val="000000"/>
        </w:rPr>
        <w:t xml:space="preserve"> </w:t>
      </w:r>
      <w:r w:rsidR="00643FAF">
        <w:rPr>
          <w:color w:val="000000"/>
        </w:rPr>
        <w:t>explained</w:t>
      </w:r>
      <w:r w:rsidR="008A116A">
        <w:rPr>
          <w:color w:val="000000"/>
        </w:rPr>
        <w:t>.</w:t>
      </w:r>
    </w:p>
    <w:p w14:paraId="5ADA8BAA" w14:textId="77777777" w:rsidR="001022BA" w:rsidRDefault="001022BA" w:rsidP="001022BA">
      <w:pPr>
        <w:rPr>
          <w:bCs/>
        </w:rPr>
      </w:pPr>
    </w:p>
    <w:p w14:paraId="391FA87B" w14:textId="77777777" w:rsidR="000953C3" w:rsidRDefault="000953C3" w:rsidP="001022BA">
      <w:pPr>
        <w:rPr>
          <w:bCs/>
        </w:rPr>
      </w:pPr>
    </w:p>
    <w:p w14:paraId="258FDB89" w14:textId="77777777" w:rsidR="008A4AE8" w:rsidRDefault="008A4AE8" w:rsidP="001022BA">
      <w:pPr>
        <w:rPr>
          <w:bCs/>
        </w:rPr>
      </w:pPr>
    </w:p>
    <w:p w14:paraId="1AE5D2A4" w14:textId="77777777" w:rsidR="008A4AE8" w:rsidRDefault="008A4AE8" w:rsidP="001022BA">
      <w:pPr>
        <w:rPr>
          <w:bCs/>
        </w:rPr>
      </w:pPr>
      <w:bookmarkStart w:id="0" w:name="_GoBack"/>
      <w:bookmarkEnd w:id="0"/>
    </w:p>
    <w:p w14:paraId="0E8F42BE" w14:textId="77777777" w:rsidR="000953C3" w:rsidRDefault="000953C3" w:rsidP="001022BA">
      <w:pPr>
        <w:rPr>
          <w:bCs/>
        </w:rPr>
      </w:pPr>
    </w:p>
    <w:p w14:paraId="0ED6CF59" w14:textId="7F2F68C4" w:rsidR="001022BA" w:rsidRDefault="00E11674" w:rsidP="001022BA">
      <w:pPr>
        <w:rPr>
          <w:bCs/>
        </w:rPr>
      </w:pPr>
      <w:r>
        <w:rPr>
          <w:bCs/>
        </w:rPr>
        <w:lastRenderedPageBreak/>
        <w:t>Question 12 (Table)</w:t>
      </w:r>
    </w:p>
    <w:tbl>
      <w:tblPr>
        <w:tblW w:w="1029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1579"/>
        <w:gridCol w:w="1536"/>
        <w:gridCol w:w="1305"/>
        <w:gridCol w:w="1243"/>
        <w:gridCol w:w="977"/>
        <w:gridCol w:w="1154"/>
        <w:gridCol w:w="1159"/>
      </w:tblGrid>
      <w:tr w:rsidR="001022BA" w:rsidRPr="0028241E" w14:paraId="7DEBB475" w14:textId="77777777" w:rsidTr="00A97D22">
        <w:trPr>
          <w:trHeight w:val="273"/>
        </w:trPr>
        <w:tc>
          <w:tcPr>
            <w:tcW w:w="10295" w:type="dxa"/>
            <w:gridSpan w:val="8"/>
            <w:shd w:val="clear" w:color="auto" w:fill="FFFFFF"/>
            <w:noWrap/>
            <w:vAlign w:val="center"/>
            <w:hideMark/>
          </w:tcPr>
          <w:p w14:paraId="61DD329E" w14:textId="77777777" w:rsidR="001022BA" w:rsidRPr="0028241E" w:rsidRDefault="001022BA" w:rsidP="00A97D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Question 12: Estimated Annualized Hour Burden and Costs</w:t>
            </w:r>
          </w:p>
        </w:tc>
      </w:tr>
      <w:tr w:rsidR="001022BA" w:rsidRPr="0028241E" w14:paraId="136AF433" w14:textId="77777777" w:rsidTr="00A97D22">
        <w:trPr>
          <w:trHeight w:val="915"/>
        </w:trPr>
        <w:tc>
          <w:tcPr>
            <w:tcW w:w="1342" w:type="dxa"/>
            <w:shd w:val="clear" w:color="auto" w:fill="0099FF"/>
            <w:vAlign w:val="center"/>
            <w:hideMark/>
          </w:tcPr>
          <w:p w14:paraId="5676DD45" w14:textId="77777777" w:rsidR="001022BA" w:rsidRPr="0028241E" w:rsidRDefault="001022BA" w:rsidP="00A97D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Type of Respondent</w:t>
            </w:r>
          </w:p>
        </w:tc>
        <w:tc>
          <w:tcPr>
            <w:tcW w:w="1579" w:type="dxa"/>
            <w:shd w:val="clear" w:color="auto" w:fill="0099FF"/>
            <w:vAlign w:val="center"/>
            <w:hideMark/>
          </w:tcPr>
          <w:p w14:paraId="29138825" w14:textId="77777777" w:rsidR="001022BA" w:rsidRPr="0028241E" w:rsidRDefault="001022BA" w:rsidP="00A97D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Form Name / Form Number</w:t>
            </w:r>
          </w:p>
        </w:tc>
        <w:tc>
          <w:tcPr>
            <w:tcW w:w="1536" w:type="dxa"/>
            <w:shd w:val="clear" w:color="auto" w:fill="0099FF"/>
            <w:vAlign w:val="center"/>
            <w:hideMark/>
          </w:tcPr>
          <w:p w14:paraId="6D5AB261" w14:textId="77777777" w:rsidR="001022BA" w:rsidRPr="0028241E" w:rsidRDefault="001022BA" w:rsidP="00A97D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No. of Respondents</w:t>
            </w:r>
          </w:p>
        </w:tc>
        <w:tc>
          <w:tcPr>
            <w:tcW w:w="1305" w:type="dxa"/>
            <w:shd w:val="clear" w:color="auto" w:fill="0099FF"/>
            <w:vAlign w:val="center"/>
            <w:hideMark/>
          </w:tcPr>
          <w:p w14:paraId="4B7A2341" w14:textId="77777777" w:rsidR="001022BA" w:rsidRPr="0028241E" w:rsidRDefault="001022BA" w:rsidP="00A97D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No. of Responses per Respondent</w:t>
            </w:r>
          </w:p>
        </w:tc>
        <w:tc>
          <w:tcPr>
            <w:tcW w:w="1243" w:type="dxa"/>
            <w:shd w:val="clear" w:color="auto" w:fill="0099FF"/>
            <w:vAlign w:val="center"/>
            <w:hideMark/>
          </w:tcPr>
          <w:p w14:paraId="27A763BC" w14:textId="77777777" w:rsidR="001022BA" w:rsidRPr="0028241E" w:rsidRDefault="001022BA" w:rsidP="00A97D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 xml:space="preserve">Avg. Burden per Response      (in minutes) </w:t>
            </w:r>
          </w:p>
        </w:tc>
        <w:tc>
          <w:tcPr>
            <w:tcW w:w="977" w:type="dxa"/>
            <w:shd w:val="clear" w:color="auto" w:fill="0099FF"/>
            <w:vAlign w:val="center"/>
            <w:hideMark/>
          </w:tcPr>
          <w:p w14:paraId="5BA9E515" w14:textId="77777777" w:rsidR="001022BA" w:rsidRPr="0028241E" w:rsidRDefault="001022BA" w:rsidP="00A97D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 xml:space="preserve">Total Annual Burden </w:t>
            </w:r>
            <w:r w:rsidRPr="0028241E">
              <w:rPr>
                <w:b/>
                <w:bCs/>
                <w:color w:val="000000"/>
                <w:sz w:val="18"/>
                <w:szCs w:val="18"/>
              </w:rPr>
              <w:br/>
              <w:t>(in hours)</w:t>
            </w:r>
          </w:p>
        </w:tc>
        <w:tc>
          <w:tcPr>
            <w:tcW w:w="1154" w:type="dxa"/>
            <w:shd w:val="clear" w:color="auto" w:fill="0099FF"/>
            <w:vAlign w:val="center"/>
            <w:hideMark/>
          </w:tcPr>
          <w:p w14:paraId="1FC642E7" w14:textId="77777777" w:rsidR="001022BA" w:rsidRPr="0028241E" w:rsidRDefault="001022BA" w:rsidP="00A97D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Avg. Hourly Wage Rate Multiplied by 1.4</w:t>
            </w:r>
          </w:p>
        </w:tc>
        <w:tc>
          <w:tcPr>
            <w:tcW w:w="1159" w:type="dxa"/>
            <w:shd w:val="clear" w:color="auto" w:fill="0099FF"/>
            <w:vAlign w:val="center"/>
            <w:hideMark/>
          </w:tcPr>
          <w:p w14:paraId="14015D74" w14:textId="77777777" w:rsidR="001022BA" w:rsidRPr="0028241E" w:rsidRDefault="001022BA" w:rsidP="00A97D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Total Annual Respondent Cost</w:t>
            </w:r>
          </w:p>
        </w:tc>
      </w:tr>
      <w:tr w:rsidR="001022BA" w:rsidRPr="0028241E" w14:paraId="2A0AE0D2" w14:textId="77777777" w:rsidTr="00A97D22">
        <w:trPr>
          <w:trHeight w:val="584"/>
        </w:trPr>
        <w:tc>
          <w:tcPr>
            <w:tcW w:w="1342" w:type="dxa"/>
            <w:shd w:val="clear" w:color="auto" w:fill="auto"/>
            <w:vAlign w:val="center"/>
            <w:hideMark/>
          </w:tcPr>
          <w:p w14:paraId="0926FFD4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Non-Profit institutions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  <w:hideMark/>
          </w:tcPr>
          <w:p w14:paraId="38311D71" w14:textId="77777777" w:rsidR="001022BA" w:rsidRPr="0028241E" w:rsidRDefault="001022BA" w:rsidP="00A97D22">
            <w:pPr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 xml:space="preserve">Public Assistance </w:t>
            </w:r>
            <w:r w:rsidRPr="0028241E">
              <w:rPr>
                <w:b/>
                <w:bCs/>
                <w:color w:val="000000"/>
                <w:sz w:val="18"/>
                <w:szCs w:val="18"/>
              </w:rPr>
              <w:t xml:space="preserve">Initial </w:t>
            </w:r>
            <w:r w:rsidRPr="0028241E">
              <w:rPr>
                <w:color w:val="000000"/>
                <w:sz w:val="18"/>
                <w:szCs w:val="18"/>
              </w:rPr>
              <w:t xml:space="preserve">Customer Satisfaction Survey </w:t>
            </w:r>
            <w:r w:rsidRPr="00DF4286">
              <w:rPr>
                <w:sz w:val="18"/>
                <w:szCs w:val="18"/>
              </w:rPr>
              <w:t>FEMA form 519-0-32</w:t>
            </w:r>
            <w:r w:rsidRPr="0028241E">
              <w:rPr>
                <w:color w:val="000000"/>
                <w:sz w:val="18"/>
                <w:szCs w:val="18"/>
              </w:rPr>
              <w:t xml:space="preserve"> (</w:t>
            </w:r>
            <w:r w:rsidRPr="0028241E">
              <w:rPr>
                <w:b/>
                <w:bCs/>
                <w:color w:val="000000"/>
                <w:sz w:val="18"/>
                <w:szCs w:val="18"/>
              </w:rPr>
              <w:t>Telephone</w:t>
            </w:r>
            <w:r w:rsidRPr="0028241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4F433F15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14:paraId="61D7E9F6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3375A56" w14:textId="77777777" w:rsidR="001022BA" w:rsidRPr="0028241E" w:rsidRDefault="001022BA" w:rsidP="00A97D22">
            <w:pPr>
              <w:jc w:val="center"/>
              <w:rPr>
                <w:sz w:val="18"/>
                <w:szCs w:val="18"/>
              </w:rPr>
            </w:pPr>
            <w:r w:rsidRPr="0028241E">
              <w:rPr>
                <w:sz w:val="18"/>
                <w:szCs w:val="18"/>
              </w:rPr>
              <w:t>6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6D915228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14:paraId="7B09BC38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$46.73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14:paraId="3F869B91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$1,495.36</w:t>
            </w:r>
          </w:p>
        </w:tc>
      </w:tr>
      <w:tr w:rsidR="001022BA" w:rsidRPr="0028241E" w14:paraId="6DAA1B5E" w14:textId="77777777" w:rsidTr="00A97D22">
        <w:trPr>
          <w:trHeight w:val="725"/>
        </w:trPr>
        <w:tc>
          <w:tcPr>
            <w:tcW w:w="1342" w:type="dxa"/>
            <w:shd w:val="clear" w:color="auto" w:fill="auto"/>
            <w:vAlign w:val="center"/>
            <w:hideMark/>
          </w:tcPr>
          <w:p w14:paraId="7E5F9547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State, Local or Tribal Government</w:t>
            </w:r>
          </w:p>
        </w:tc>
        <w:tc>
          <w:tcPr>
            <w:tcW w:w="1579" w:type="dxa"/>
            <w:vMerge/>
            <w:vAlign w:val="center"/>
            <w:hideMark/>
          </w:tcPr>
          <w:p w14:paraId="33EEBF74" w14:textId="77777777" w:rsidR="001022BA" w:rsidRPr="0028241E" w:rsidRDefault="001022BA" w:rsidP="00A97D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693385F4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2,843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14:paraId="78A6C00C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0228778" w14:textId="77777777" w:rsidR="001022BA" w:rsidRPr="0028241E" w:rsidRDefault="001022BA" w:rsidP="00A97D22">
            <w:pPr>
              <w:jc w:val="center"/>
              <w:rPr>
                <w:sz w:val="18"/>
                <w:szCs w:val="18"/>
              </w:rPr>
            </w:pPr>
            <w:r w:rsidRPr="0028241E">
              <w:rPr>
                <w:sz w:val="18"/>
                <w:szCs w:val="18"/>
              </w:rPr>
              <w:t>6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37B3CADB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14:paraId="0779F93F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$67.54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14:paraId="6D5B9683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$19,181.36</w:t>
            </w:r>
          </w:p>
        </w:tc>
      </w:tr>
      <w:tr w:rsidR="001022BA" w:rsidRPr="0028241E" w14:paraId="2D70EFAC" w14:textId="77777777" w:rsidTr="00A97D22">
        <w:trPr>
          <w:trHeight w:val="503"/>
        </w:trPr>
        <w:tc>
          <w:tcPr>
            <w:tcW w:w="1342" w:type="dxa"/>
            <w:shd w:val="clear" w:color="auto" w:fill="0099FF"/>
            <w:vAlign w:val="center"/>
            <w:hideMark/>
          </w:tcPr>
          <w:p w14:paraId="31E8E80D" w14:textId="77777777" w:rsidR="001022BA" w:rsidRPr="0028241E" w:rsidRDefault="001022BA" w:rsidP="00A97D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Sub-Total</w:t>
            </w:r>
          </w:p>
        </w:tc>
        <w:tc>
          <w:tcPr>
            <w:tcW w:w="1579" w:type="dxa"/>
            <w:shd w:val="clear" w:color="auto" w:fill="0099FF"/>
            <w:vAlign w:val="center"/>
            <w:hideMark/>
          </w:tcPr>
          <w:p w14:paraId="4F1AFAC9" w14:textId="77777777" w:rsidR="001022BA" w:rsidRPr="0028241E" w:rsidRDefault="001022BA" w:rsidP="00A97D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6" w:type="dxa"/>
            <w:shd w:val="clear" w:color="auto" w:fill="0099FF"/>
            <w:vAlign w:val="center"/>
            <w:hideMark/>
          </w:tcPr>
          <w:p w14:paraId="5913D679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3,159</w:t>
            </w:r>
          </w:p>
        </w:tc>
        <w:tc>
          <w:tcPr>
            <w:tcW w:w="1305" w:type="dxa"/>
            <w:shd w:val="clear" w:color="auto" w:fill="0099FF"/>
            <w:vAlign w:val="center"/>
            <w:hideMark/>
          </w:tcPr>
          <w:p w14:paraId="6917B78C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3" w:type="dxa"/>
            <w:shd w:val="clear" w:color="auto" w:fill="0099FF"/>
            <w:vAlign w:val="center"/>
            <w:hideMark/>
          </w:tcPr>
          <w:p w14:paraId="4DE95CA9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shd w:val="clear" w:color="auto" w:fill="0099FF"/>
            <w:vAlign w:val="center"/>
            <w:hideMark/>
          </w:tcPr>
          <w:p w14:paraId="0C94A154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1154" w:type="dxa"/>
            <w:shd w:val="clear" w:color="auto" w:fill="0099FF"/>
            <w:vAlign w:val="center"/>
            <w:hideMark/>
          </w:tcPr>
          <w:p w14:paraId="3CFDD681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shd w:val="clear" w:color="auto" w:fill="0099FF"/>
            <w:vAlign w:val="center"/>
            <w:hideMark/>
          </w:tcPr>
          <w:p w14:paraId="711AD52C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$20,676.72</w:t>
            </w:r>
          </w:p>
        </w:tc>
      </w:tr>
      <w:tr w:rsidR="001022BA" w:rsidRPr="0028241E" w14:paraId="714210BC" w14:textId="77777777" w:rsidTr="00A97D22">
        <w:trPr>
          <w:trHeight w:val="629"/>
        </w:trPr>
        <w:tc>
          <w:tcPr>
            <w:tcW w:w="1342" w:type="dxa"/>
            <w:shd w:val="clear" w:color="auto" w:fill="auto"/>
            <w:vAlign w:val="center"/>
            <w:hideMark/>
          </w:tcPr>
          <w:p w14:paraId="60A76888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Non-Profit institutions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  <w:hideMark/>
          </w:tcPr>
          <w:p w14:paraId="11621B73" w14:textId="77777777" w:rsidR="001022BA" w:rsidRPr="0028241E" w:rsidRDefault="001022BA" w:rsidP="00A97D22">
            <w:pPr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 xml:space="preserve">Public Assistance </w:t>
            </w:r>
            <w:r w:rsidRPr="0028241E">
              <w:rPr>
                <w:b/>
                <w:bCs/>
                <w:color w:val="000000"/>
                <w:sz w:val="18"/>
                <w:szCs w:val="18"/>
              </w:rPr>
              <w:t xml:space="preserve">Initial  </w:t>
            </w:r>
            <w:r w:rsidRPr="0028241E">
              <w:rPr>
                <w:color w:val="000000"/>
                <w:sz w:val="18"/>
                <w:szCs w:val="18"/>
              </w:rPr>
              <w:t xml:space="preserve">Customer Satisfaction Survey </w:t>
            </w:r>
            <w:r w:rsidRPr="00DF4286">
              <w:rPr>
                <w:sz w:val="18"/>
                <w:szCs w:val="18"/>
              </w:rPr>
              <w:t>FEMA Form 519-0-33</w:t>
            </w:r>
            <w:r w:rsidRPr="0028241E">
              <w:rPr>
                <w:color w:val="000000"/>
                <w:sz w:val="18"/>
                <w:szCs w:val="18"/>
              </w:rPr>
              <w:t xml:space="preserve"> (</w:t>
            </w:r>
            <w:r w:rsidRPr="0028241E">
              <w:rPr>
                <w:b/>
                <w:bCs/>
                <w:color w:val="000000"/>
                <w:sz w:val="18"/>
                <w:szCs w:val="18"/>
              </w:rPr>
              <w:t>Internet</w:t>
            </w:r>
            <w:r w:rsidRPr="0028241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7BC3CFC8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14:paraId="22073706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9D6B554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0CF70A52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14:paraId="7C53A51B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$46.73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14:paraId="2FF1FB4A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$246.11</w:t>
            </w:r>
          </w:p>
        </w:tc>
      </w:tr>
      <w:tr w:rsidR="001022BA" w:rsidRPr="0028241E" w14:paraId="2FF91C24" w14:textId="77777777" w:rsidTr="00A97D22">
        <w:trPr>
          <w:trHeight w:val="725"/>
        </w:trPr>
        <w:tc>
          <w:tcPr>
            <w:tcW w:w="1342" w:type="dxa"/>
            <w:shd w:val="clear" w:color="auto" w:fill="auto"/>
            <w:vAlign w:val="center"/>
            <w:hideMark/>
          </w:tcPr>
          <w:p w14:paraId="0E88E7BF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State, Local or Tribal Government</w:t>
            </w:r>
          </w:p>
        </w:tc>
        <w:tc>
          <w:tcPr>
            <w:tcW w:w="1579" w:type="dxa"/>
            <w:vMerge/>
            <w:vAlign w:val="center"/>
            <w:hideMark/>
          </w:tcPr>
          <w:p w14:paraId="352F5025" w14:textId="77777777" w:rsidR="001022BA" w:rsidRPr="0028241E" w:rsidRDefault="001022BA" w:rsidP="00A97D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73227966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710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14:paraId="0C9835B8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6518A77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4139E108" w14:textId="6D8F6BA7" w:rsidR="001022BA" w:rsidRPr="0028241E" w:rsidRDefault="001B581F" w:rsidP="00A97D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14:paraId="647AB5AA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$67.54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14:paraId="529818B8" w14:textId="5267E326" w:rsidR="001022BA" w:rsidRPr="0028241E" w:rsidRDefault="001B581F" w:rsidP="00A97D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$3,174.38</w:t>
            </w:r>
          </w:p>
        </w:tc>
      </w:tr>
      <w:tr w:rsidR="001022BA" w:rsidRPr="0028241E" w14:paraId="71135434" w14:textId="77777777" w:rsidTr="00A97D22">
        <w:trPr>
          <w:trHeight w:val="467"/>
        </w:trPr>
        <w:tc>
          <w:tcPr>
            <w:tcW w:w="1342" w:type="dxa"/>
            <w:shd w:val="clear" w:color="auto" w:fill="0099FF"/>
            <w:vAlign w:val="center"/>
            <w:hideMark/>
          </w:tcPr>
          <w:p w14:paraId="02B96DFE" w14:textId="77777777" w:rsidR="001022BA" w:rsidRPr="0028241E" w:rsidRDefault="001022BA" w:rsidP="00A97D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Sub-Total</w:t>
            </w:r>
          </w:p>
        </w:tc>
        <w:tc>
          <w:tcPr>
            <w:tcW w:w="1579" w:type="dxa"/>
            <w:shd w:val="clear" w:color="auto" w:fill="0099FF"/>
            <w:vAlign w:val="center"/>
            <w:hideMark/>
          </w:tcPr>
          <w:p w14:paraId="1EBD65BE" w14:textId="77777777" w:rsidR="001022BA" w:rsidRPr="0028241E" w:rsidRDefault="001022BA" w:rsidP="00A97D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6" w:type="dxa"/>
            <w:shd w:val="clear" w:color="auto" w:fill="0099FF"/>
            <w:vAlign w:val="center"/>
            <w:hideMark/>
          </w:tcPr>
          <w:p w14:paraId="62F4F3E7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789</w:t>
            </w:r>
          </w:p>
        </w:tc>
        <w:tc>
          <w:tcPr>
            <w:tcW w:w="1305" w:type="dxa"/>
            <w:shd w:val="clear" w:color="auto" w:fill="0099FF"/>
            <w:vAlign w:val="center"/>
            <w:hideMark/>
          </w:tcPr>
          <w:p w14:paraId="6A3DD981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3" w:type="dxa"/>
            <w:shd w:val="clear" w:color="auto" w:fill="0099FF"/>
            <w:vAlign w:val="center"/>
            <w:hideMark/>
          </w:tcPr>
          <w:p w14:paraId="61CE1BFA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shd w:val="clear" w:color="auto" w:fill="0099FF"/>
            <w:vAlign w:val="center"/>
            <w:hideMark/>
          </w:tcPr>
          <w:p w14:paraId="3B143829" w14:textId="57D5E0B1" w:rsidR="001022BA" w:rsidRPr="0028241E" w:rsidRDefault="001B581F" w:rsidP="00A97D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154" w:type="dxa"/>
            <w:shd w:val="clear" w:color="auto" w:fill="0099FF"/>
            <w:vAlign w:val="center"/>
            <w:hideMark/>
          </w:tcPr>
          <w:p w14:paraId="11BB5DC8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shd w:val="clear" w:color="auto" w:fill="0099FF"/>
            <w:vAlign w:val="center"/>
            <w:hideMark/>
          </w:tcPr>
          <w:p w14:paraId="5C096FD0" w14:textId="75671D34" w:rsidR="001022BA" w:rsidRPr="0028241E" w:rsidRDefault="001B581F" w:rsidP="00A97D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$3,420.49</w:t>
            </w:r>
          </w:p>
        </w:tc>
      </w:tr>
      <w:tr w:rsidR="001022BA" w:rsidRPr="0028241E" w14:paraId="27C54645" w14:textId="77777777" w:rsidTr="00A97D22">
        <w:trPr>
          <w:trHeight w:val="796"/>
        </w:trPr>
        <w:tc>
          <w:tcPr>
            <w:tcW w:w="1342" w:type="dxa"/>
            <w:shd w:val="clear" w:color="auto" w:fill="auto"/>
            <w:vAlign w:val="center"/>
            <w:hideMark/>
          </w:tcPr>
          <w:p w14:paraId="0D924056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Non-Profit institutions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  <w:hideMark/>
          </w:tcPr>
          <w:p w14:paraId="3EBAD705" w14:textId="77777777" w:rsidR="001022BA" w:rsidRPr="0028241E" w:rsidRDefault="001022BA" w:rsidP="00A97D22">
            <w:pPr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 xml:space="preserve">Public Assistance </w:t>
            </w:r>
            <w:r w:rsidRPr="0028241E">
              <w:rPr>
                <w:b/>
                <w:bCs/>
                <w:color w:val="000000"/>
                <w:sz w:val="18"/>
                <w:szCs w:val="18"/>
              </w:rPr>
              <w:t>Assessment</w:t>
            </w:r>
            <w:r w:rsidRPr="0028241E">
              <w:rPr>
                <w:color w:val="000000"/>
                <w:sz w:val="18"/>
                <w:szCs w:val="18"/>
              </w:rPr>
              <w:t xml:space="preserve"> Customer Satisfaction Survey </w:t>
            </w:r>
            <w:r w:rsidRPr="00DF4286">
              <w:rPr>
                <w:sz w:val="18"/>
                <w:szCs w:val="18"/>
              </w:rPr>
              <w:t>FEMA Form 519-0-34</w:t>
            </w:r>
            <w:r w:rsidRPr="0028241E">
              <w:rPr>
                <w:color w:val="000000"/>
                <w:sz w:val="18"/>
                <w:szCs w:val="18"/>
              </w:rPr>
              <w:t xml:space="preserve"> (</w:t>
            </w:r>
            <w:r w:rsidRPr="0028241E">
              <w:rPr>
                <w:b/>
                <w:bCs/>
                <w:color w:val="000000"/>
                <w:sz w:val="18"/>
                <w:szCs w:val="18"/>
              </w:rPr>
              <w:t>Telephone</w:t>
            </w:r>
            <w:r w:rsidRPr="0028241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20D7A200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14:paraId="0B6EA2E9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E6C6E02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10C50065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14:paraId="70ACE8F9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$46.73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14:paraId="347280D5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$1,729.01</w:t>
            </w:r>
          </w:p>
        </w:tc>
      </w:tr>
      <w:tr w:rsidR="001022BA" w:rsidRPr="0028241E" w14:paraId="1CC4157E" w14:textId="77777777" w:rsidTr="00A97D22">
        <w:trPr>
          <w:trHeight w:val="899"/>
        </w:trPr>
        <w:tc>
          <w:tcPr>
            <w:tcW w:w="1342" w:type="dxa"/>
            <w:shd w:val="clear" w:color="auto" w:fill="auto"/>
            <w:vAlign w:val="center"/>
            <w:hideMark/>
          </w:tcPr>
          <w:p w14:paraId="56258534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State, Local or Tribal Government</w:t>
            </w:r>
          </w:p>
        </w:tc>
        <w:tc>
          <w:tcPr>
            <w:tcW w:w="1579" w:type="dxa"/>
            <w:vMerge/>
            <w:vAlign w:val="center"/>
            <w:hideMark/>
          </w:tcPr>
          <w:p w14:paraId="7874084F" w14:textId="77777777" w:rsidR="001022BA" w:rsidRPr="0028241E" w:rsidRDefault="001022BA" w:rsidP="00A97D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166FB889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2,229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14:paraId="570720BB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77F9248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041BA0A9" w14:textId="792A6DF2" w:rsidR="001022BA" w:rsidRPr="0028241E" w:rsidRDefault="001B581F" w:rsidP="00A97D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14:paraId="32EF3854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$67.54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14:paraId="1E50CC8E" w14:textId="069C0BCA" w:rsidR="001022BA" w:rsidRPr="0028241E" w:rsidRDefault="001B581F" w:rsidP="00A97D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$22,558.36</w:t>
            </w:r>
          </w:p>
        </w:tc>
      </w:tr>
      <w:tr w:rsidR="001022BA" w:rsidRPr="0028241E" w14:paraId="103A3161" w14:textId="77777777" w:rsidTr="00A97D22">
        <w:trPr>
          <w:trHeight w:val="431"/>
        </w:trPr>
        <w:tc>
          <w:tcPr>
            <w:tcW w:w="1342" w:type="dxa"/>
            <w:shd w:val="clear" w:color="auto" w:fill="0099FF"/>
            <w:vAlign w:val="center"/>
            <w:hideMark/>
          </w:tcPr>
          <w:p w14:paraId="29793534" w14:textId="77777777" w:rsidR="001022BA" w:rsidRPr="0028241E" w:rsidRDefault="001022BA" w:rsidP="00A97D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Sub-Total</w:t>
            </w:r>
          </w:p>
        </w:tc>
        <w:tc>
          <w:tcPr>
            <w:tcW w:w="1579" w:type="dxa"/>
            <w:shd w:val="clear" w:color="auto" w:fill="0099FF"/>
            <w:vAlign w:val="center"/>
            <w:hideMark/>
          </w:tcPr>
          <w:p w14:paraId="29FAC8BC" w14:textId="77777777" w:rsidR="001022BA" w:rsidRPr="0028241E" w:rsidRDefault="001022BA" w:rsidP="00A97D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6" w:type="dxa"/>
            <w:shd w:val="clear" w:color="auto" w:fill="0099FF"/>
            <w:vAlign w:val="center"/>
            <w:hideMark/>
          </w:tcPr>
          <w:p w14:paraId="14F39AA8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2,477</w:t>
            </w:r>
          </w:p>
        </w:tc>
        <w:tc>
          <w:tcPr>
            <w:tcW w:w="1305" w:type="dxa"/>
            <w:shd w:val="clear" w:color="auto" w:fill="0099FF"/>
            <w:vAlign w:val="center"/>
            <w:hideMark/>
          </w:tcPr>
          <w:p w14:paraId="6080E802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3" w:type="dxa"/>
            <w:shd w:val="clear" w:color="auto" w:fill="0099FF"/>
            <w:vAlign w:val="center"/>
            <w:hideMark/>
          </w:tcPr>
          <w:p w14:paraId="4C5191C8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shd w:val="clear" w:color="auto" w:fill="0099FF"/>
            <w:vAlign w:val="center"/>
            <w:hideMark/>
          </w:tcPr>
          <w:p w14:paraId="70528590" w14:textId="76570C68" w:rsidR="001022BA" w:rsidRPr="0028241E" w:rsidRDefault="001B581F" w:rsidP="00A97D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1154" w:type="dxa"/>
            <w:shd w:val="clear" w:color="auto" w:fill="0099FF"/>
            <w:vAlign w:val="center"/>
            <w:hideMark/>
          </w:tcPr>
          <w:p w14:paraId="28DAD256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shd w:val="clear" w:color="auto" w:fill="0099FF"/>
            <w:vAlign w:val="center"/>
            <w:hideMark/>
          </w:tcPr>
          <w:p w14:paraId="6DC3EBCE" w14:textId="545488D0" w:rsidR="001022BA" w:rsidRPr="0028241E" w:rsidRDefault="001B581F" w:rsidP="00A97D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$24,287.37</w:t>
            </w:r>
          </w:p>
        </w:tc>
      </w:tr>
      <w:tr w:rsidR="001022BA" w:rsidRPr="0028241E" w14:paraId="1FF25ED0" w14:textId="77777777" w:rsidTr="00A97D22">
        <w:trPr>
          <w:trHeight w:val="487"/>
        </w:trPr>
        <w:tc>
          <w:tcPr>
            <w:tcW w:w="1342" w:type="dxa"/>
            <w:shd w:val="clear" w:color="auto" w:fill="auto"/>
            <w:vAlign w:val="center"/>
            <w:hideMark/>
          </w:tcPr>
          <w:p w14:paraId="23850D50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Non-Profit institutions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  <w:hideMark/>
          </w:tcPr>
          <w:p w14:paraId="425C7CF2" w14:textId="77777777" w:rsidR="001022BA" w:rsidRPr="0028241E" w:rsidRDefault="001022BA" w:rsidP="00A97D22">
            <w:pPr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Public Assistance</w:t>
            </w:r>
            <w:r w:rsidRPr="0028241E">
              <w:rPr>
                <w:b/>
                <w:bCs/>
                <w:color w:val="000000"/>
                <w:sz w:val="18"/>
                <w:szCs w:val="18"/>
              </w:rPr>
              <w:t xml:space="preserve"> Assessment </w:t>
            </w:r>
            <w:r w:rsidRPr="0028241E">
              <w:rPr>
                <w:color w:val="000000"/>
                <w:sz w:val="18"/>
                <w:szCs w:val="18"/>
              </w:rPr>
              <w:t xml:space="preserve">Customer Satisfaction Survey </w:t>
            </w:r>
            <w:r w:rsidRPr="00DF4286">
              <w:rPr>
                <w:sz w:val="18"/>
                <w:szCs w:val="18"/>
              </w:rPr>
              <w:t>FEMA Form 510-0-35</w:t>
            </w:r>
            <w:r w:rsidRPr="0028241E">
              <w:rPr>
                <w:color w:val="FF0000"/>
                <w:sz w:val="18"/>
                <w:szCs w:val="18"/>
              </w:rPr>
              <w:t xml:space="preserve"> </w:t>
            </w:r>
            <w:r w:rsidRPr="0028241E">
              <w:rPr>
                <w:color w:val="000000"/>
                <w:sz w:val="18"/>
                <w:szCs w:val="18"/>
              </w:rPr>
              <w:t>(</w:t>
            </w:r>
            <w:r w:rsidRPr="0028241E">
              <w:rPr>
                <w:b/>
                <w:bCs/>
                <w:color w:val="000000"/>
                <w:sz w:val="18"/>
                <w:szCs w:val="18"/>
              </w:rPr>
              <w:t>Internet</w:t>
            </w:r>
            <w:r w:rsidRPr="0028241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7132234E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14:paraId="2B816DE9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F623FD0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1736E2EF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14:paraId="2FACB288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$46.73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14:paraId="0F49DEBB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$327.11</w:t>
            </w:r>
          </w:p>
        </w:tc>
      </w:tr>
      <w:tr w:rsidR="001022BA" w:rsidRPr="0028241E" w14:paraId="211A7FA0" w14:textId="77777777" w:rsidTr="00A97D22">
        <w:trPr>
          <w:trHeight w:val="676"/>
        </w:trPr>
        <w:tc>
          <w:tcPr>
            <w:tcW w:w="1342" w:type="dxa"/>
            <w:shd w:val="clear" w:color="auto" w:fill="auto"/>
            <w:vAlign w:val="center"/>
            <w:hideMark/>
          </w:tcPr>
          <w:p w14:paraId="302C11DA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State, Local or Tribal Government</w:t>
            </w:r>
          </w:p>
        </w:tc>
        <w:tc>
          <w:tcPr>
            <w:tcW w:w="1579" w:type="dxa"/>
            <w:vMerge/>
            <w:vAlign w:val="center"/>
            <w:hideMark/>
          </w:tcPr>
          <w:p w14:paraId="25B5AC31" w14:textId="77777777" w:rsidR="001022BA" w:rsidRPr="0028241E" w:rsidRDefault="001022BA" w:rsidP="00A97D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459B9F07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557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14:paraId="7E30B777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DFB4DF6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1CEAA86B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14:paraId="714BC05F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$67.54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14:paraId="022002DD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$4,390.10</w:t>
            </w:r>
          </w:p>
        </w:tc>
      </w:tr>
      <w:tr w:rsidR="001022BA" w:rsidRPr="0028241E" w14:paraId="2C665545" w14:textId="77777777" w:rsidTr="00A97D22">
        <w:trPr>
          <w:trHeight w:val="575"/>
        </w:trPr>
        <w:tc>
          <w:tcPr>
            <w:tcW w:w="1342" w:type="dxa"/>
            <w:shd w:val="clear" w:color="auto" w:fill="0099FF"/>
            <w:vAlign w:val="center"/>
            <w:hideMark/>
          </w:tcPr>
          <w:p w14:paraId="109EDE78" w14:textId="77777777" w:rsidR="001022BA" w:rsidRPr="0028241E" w:rsidRDefault="001022BA" w:rsidP="00A97D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Sub-Total</w:t>
            </w:r>
          </w:p>
        </w:tc>
        <w:tc>
          <w:tcPr>
            <w:tcW w:w="1579" w:type="dxa"/>
            <w:shd w:val="clear" w:color="auto" w:fill="0099FF"/>
            <w:vAlign w:val="center"/>
            <w:hideMark/>
          </w:tcPr>
          <w:p w14:paraId="39C954B2" w14:textId="77777777" w:rsidR="001022BA" w:rsidRPr="0028241E" w:rsidRDefault="001022BA" w:rsidP="00A97D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6" w:type="dxa"/>
            <w:shd w:val="clear" w:color="auto" w:fill="0099FF"/>
            <w:vAlign w:val="center"/>
            <w:hideMark/>
          </w:tcPr>
          <w:p w14:paraId="7BC305DB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619</w:t>
            </w:r>
          </w:p>
        </w:tc>
        <w:tc>
          <w:tcPr>
            <w:tcW w:w="1305" w:type="dxa"/>
            <w:shd w:val="clear" w:color="auto" w:fill="0099FF"/>
            <w:vAlign w:val="center"/>
            <w:hideMark/>
          </w:tcPr>
          <w:p w14:paraId="03C4908F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3" w:type="dxa"/>
            <w:shd w:val="clear" w:color="auto" w:fill="0099FF"/>
            <w:vAlign w:val="center"/>
            <w:hideMark/>
          </w:tcPr>
          <w:p w14:paraId="26EA63F1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shd w:val="clear" w:color="auto" w:fill="0099FF"/>
            <w:vAlign w:val="center"/>
            <w:hideMark/>
          </w:tcPr>
          <w:p w14:paraId="0908CB8D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4" w:type="dxa"/>
            <w:shd w:val="clear" w:color="auto" w:fill="0099FF"/>
            <w:vAlign w:val="center"/>
            <w:hideMark/>
          </w:tcPr>
          <w:p w14:paraId="3175A023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shd w:val="clear" w:color="auto" w:fill="0099FF"/>
            <w:vAlign w:val="center"/>
            <w:hideMark/>
          </w:tcPr>
          <w:p w14:paraId="088D363C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$4,717.21</w:t>
            </w:r>
          </w:p>
        </w:tc>
      </w:tr>
      <w:tr w:rsidR="001022BA" w:rsidRPr="0028241E" w14:paraId="3D6B400B" w14:textId="77777777" w:rsidTr="00A97D22">
        <w:trPr>
          <w:trHeight w:val="881"/>
        </w:trPr>
        <w:tc>
          <w:tcPr>
            <w:tcW w:w="1342" w:type="dxa"/>
            <w:shd w:val="clear" w:color="auto" w:fill="0099FF"/>
            <w:vAlign w:val="center"/>
            <w:hideMark/>
          </w:tcPr>
          <w:p w14:paraId="6CE1F7C1" w14:textId="77777777" w:rsidR="001022BA" w:rsidRPr="0028241E" w:rsidRDefault="001022BA" w:rsidP="00A97D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79" w:type="dxa"/>
            <w:shd w:val="clear" w:color="auto" w:fill="0099FF"/>
            <w:vAlign w:val="center"/>
            <w:hideMark/>
          </w:tcPr>
          <w:p w14:paraId="33EA9017" w14:textId="77777777" w:rsidR="001022BA" w:rsidRPr="0028241E" w:rsidRDefault="001022BA" w:rsidP="00A97D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Telephone and Internet</w:t>
            </w:r>
          </w:p>
        </w:tc>
        <w:tc>
          <w:tcPr>
            <w:tcW w:w="1536" w:type="dxa"/>
            <w:shd w:val="clear" w:color="auto" w:fill="0099FF"/>
            <w:vAlign w:val="center"/>
            <w:hideMark/>
          </w:tcPr>
          <w:p w14:paraId="48A68843" w14:textId="77777777" w:rsidR="001022BA" w:rsidRPr="0028241E" w:rsidRDefault="001022BA" w:rsidP="00A97D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7,044</w:t>
            </w:r>
          </w:p>
        </w:tc>
        <w:tc>
          <w:tcPr>
            <w:tcW w:w="1305" w:type="dxa"/>
            <w:shd w:val="clear" w:color="auto" w:fill="0099FF"/>
            <w:vAlign w:val="center"/>
            <w:hideMark/>
          </w:tcPr>
          <w:p w14:paraId="37C65E3D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3" w:type="dxa"/>
            <w:shd w:val="clear" w:color="auto" w:fill="0099FF"/>
            <w:vAlign w:val="center"/>
            <w:hideMark/>
          </w:tcPr>
          <w:p w14:paraId="501A1337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shd w:val="clear" w:color="auto" w:fill="0099FF"/>
            <w:vAlign w:val="center"/>
            <w:hideMark/>
          </w:tcPr>
          <w:p w14:paraId="136002A5" w14:textId="2443A356" w:rsidR="001022BA" w:rsidRPr="0028241E" w:rsidRDefault="00526C42" w:rsidP="00A97D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811</w:t>
            </w:r>
          </w:p>
        </w:tc>
        <w:tc>
          <w:tcPr>
            <w:tcW w:w="1154" w:type="dxa"/>
            <w:shd w:val="clear" w:color="auto" w:fill="0099FF"/>
            <w:vAlign w:val="center"/>
            <w:hideMark/>
          </w:tcPr>
          <w:p w14:paraId="6552295D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shd w:val="clear" w:color="auto" w:fill="0099FF"/>
            <w:vAlign w:val="center"/>
            <w:hideMark/>
          </w:tcPr>
          <w:p w14:paraId="1C09C22F" w14:textId="7FADA0AC" w:rsidR="001022BA" w:rsidRPr="0028241E" w:rsidRDefault="00526C42" w:rsidP="00A97D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$53,101.79</w:t>
            </w:r>
          </w:p>
        </w:tc>
      </w:tr>
      <w:tr w:rsidR="001022BA" w:rsidRPr="0028241E" w14:paraId="01FDF2F6" w14:textId="77777777" w:rsidTr="00A97D22">
        <w:trPr>
          <w:trHeight w:val="689"/>
        </w:trPr>
        <w:tc>
          <w:tcPr>
            <w:tcW w:w="1342" w:type="dxa"/>
            <w:shd w:val="clear" w:color="auto" w:fill="auto"/>
            <w:vAlign w:val="center"/>
            <w:hideMark/>
          </w:tcPr>
          <w:p w14:paraId="5684BDF6" w14:textId="77777777" w:rsidR="001022BA" w:rsidRPr="0028241E" w:rsidRDefault="001022BA" w:rsidP="00A97D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14:paraId="3D7869A6" w14:textId="77777777" w:rsidR="001022BA" w:rsidRPr="0028241E" w:rsidRDefault="001022BA" w:rsidP="00A97D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Other-Qualitative Surveys</w:t>
            </w:r>
          </w:p>
        </w:tc>
        <w:tc>
          <w:tcPr>
            <w:tcW w:w="1536" w:type="dxa"/>
            <w:shd w:val="clear" w:color="000000" w:fill="FFFFFF"/>
            <w:vAlign w:val="center"/>
            <w:hideMark/>
          </w:tcPr>
          <w:p w14:paraId="4F79D2A1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0F9255B7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BEEFE2E" w14:textId="77777777" w:rsidR="001022BA" w:rsidRPr="0028241E" w:rsidRDefault="001022BA" w:rsidP="00A97D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 xml:space="preserve">Avg. Burden per Response      (in hours) </w:t>
            </w:r>
          </w:p>
        </w:tc>
        <w:tc>
          <w:tcPr>
            <w:tcW w:w="977" w:type="dxa"/>
            <w:shd w:val="clear" w:color="000000" w:fill="FFFFFF"/>
            <w:vAlign w:val="center"/>
            <w:hideMark/>
          </w:tcPr>
          <w:p w14:paraId="1A9A2D77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14:paraId="27CEE05C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shd w:val="clear" w:color="000000" w:fill="FFFFFF"/>
            <w:vAlign w:val="center"/>
            <w:hideMark/>
          </w:tcPr>
          <w:p w14:paraId="4681F0C1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022BA" w:rsidRPr="0028241E" w14:paraId="39C23BA8" w14:textId="77777777" w:rsidTr="00A97D22">
        <w:trPr>
          <w:trHeight w:val="487"/>
        </w:trPr>
        <w:tc>
          <w:tcPr>
            <w:tcW w:w="1342" w:type="dxa"/>
            <w:shd w:val="clear" w:color="auto" w:fill="auto"/>
            <w:vAlign w:val="center"/>
            <w:hideMark/>
          </w:tcPr>
          <w:p w14:paraId="065E687D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Non-Profit institutions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  <w:hideMark/>
          </w:tcPr>
          <w:p w14:paraId="6EDB41D3" w14:textId="77777777" w:rsidR="001022BA" w:rsidRPr="0028241E" w:rsidRDefault="001022BA" w:rsidP="00A97D22">
            <w:pPr>
              <w:rPr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Focus Groups</w:t>
            </w:r>
            <w:r w:rsidRPr="0028241E">
              <w:rPr>
                <w:color w:val="000000"/>
                <w:sz w:val="18"/>
                <w:szCs w:val="18"/>
              </w:rPr>
              <w:t xml:space="preserve"> based on 12 participants per session, with 3 sessions for each of 10 regions.  Each session lasts 2 hours, with an </w:t>
            </w:r>
            <w:r w:rsidRPr="0028241E">
              <w:rPr>
                <w:color w:val="000000"/>
                <w:sz w:val="18"/>
                <w:szCs w:val="18"/>
              </w:rPr>
              <w:lastRenderedPageBreak/>
              <w:t xml:space="preserve">additional hour for travel (3 hours total). 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6C79383F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14:paraId="016FBC81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69F5ED4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1B05CD2D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14:paraId="489CF457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$46.73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14:paraId="485681E6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$5,046.84</w:t>
            </w:r>
          </w:p>
        </w:tc>
      </w:tr>
      <w:tr w:rsidR="001022BA" w:rsidRPr="0028241E" w14:paraId="4641D364" w14:textId="77777777" w:rsidTr="00A97D22">
        <w:trPr>
          <w:trHeight w:val="1046"/>
        </w:trPr>
        <w:tc>
          <w:tcPr>
            <w:tcW w:w="1342" w:type="dxa"/>
            <w:shd w:val="clear" w:color="auto" w:fill="auto"/>
            <w:vAlign w:val="center"/>
            <w:hideMark/>
          </w:tcPr>
          <w:p w14:paraId="6B777378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State, Local or Tribal Government</w:t>
            </w:r>
          </w:p>
        </w:tc>
        <w:tc>
          <w:tcPr>
            <w:tcW w:w="1579" w:type="dxa"/>
            <w:vMerge/>
            <w:vAlign w:val="center"/>
            <w:hideMark/>
          </w:tcPr>
          <w:p w14:paraId="6095C1D2" w14:textId="77777777" w:rsidR="001022BA" w:rsidRPr="0028241E" w:rsidRDefault="001022BA" w:rsidP="00A97D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6C397F9C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14:paraId="74E17A35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91A2AE2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4BEBDBAB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972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14:paraId="32571879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$67.54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14:paraId="52529C45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$65,648.88</w:t>
            </w:r>
          </w:p>
        </w:tc>
      </w:tr>
      <w:tr w:rsidR="001022BA" w:rsidRPr="0028241E" w14:paraId="5FCF7E03" w14:textId="77777777" w:rsidTr="00A97D22">
        <w:trPr>
          <w:trHeight w:val="485"/>
        </w:trPr>
        <w:tc>
          <w:tcPr>
            <w:tcW w:w="1342" w:type="dxa"/>
            <w:shd w:val="clear" w:color="auto" w:fill="0099FF"/>
            <w:vAlign w:val="center"/>
            <w:hideMark/>
          </w:tcPr>
          <w:p w14:paraId="66577260" w14:textId="77777777" w:rsidR="001022BA" w:rsidRPr="0028241E" w:rsidRDefault="001022BA" w:rsidP="00A97D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lastRenderedPageBreak/>
              <w:t>Sub-Total</w:t>
            </w:r>
          </w:p>
        </w:tc>
        <w:tc>
          <w:tcPr>
            <w:tcW w:w="1579" w:type="dxa"/>
            <w:shd w:val="clear" w:color="auto" w:fill="0099FF"/>
            <w:vAlign w:val="center"/>
            <w:hideMark/>
          </w:tcPr>
          <w:p w14:paraId="43CBBEEA" w14:textId="77777777" w:rsidR="001022BA" w:rsidRPr="0028241E" w:rsidRDefault="001022BA" w:rsidP="00A97D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6" w:type="dxa"/>
            <w:shd w:val="clear" w:color="auto" w:fill="0099FF"/>
            <w:vAlign w:val="center"/>
            <w:hideMark/>
          </w:tcPr>
          <w:p w14:paraId="7A680260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1305" w:type="dxa"/>
            <w:shd w:val="clear" w:color="auto" w:fill="0099FF"/>
            <w:vAlign w:val="center"/>
            <w:hideMark/>
          </w:tcPr>
          <w:p w14:paraId="0330283F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3" w:type="dxa"/>
            <w:shd w:val="clear" w:color="auto" w:fill="0099FF"/>
            <w:vAlign w:val="center"/>
            <w:hideMark/>
          </w:tcPr>
          <w:p w14:paraId="6984A6AA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shd w:val="clear" w:color="auto" w:fill="0099FF"/>
            <w:vAlign w:val="center"/>
            <w:hideMark/>
          </w:tcPr>
          <w:p w14:paraId="20FAC74A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1,080</w:t>
            </w:r>
          </w:p>
        </w:tc>
        <w:tc>
          <w:tcPr>
            <w:tcW w:w="1154" w:type="dxa"/>
            <w:shd w:val="clear" w:color="auto" w:fill="0099FF"/>
            <w:vAlign w:val="center"/>
            <w:hideMark/>
          </w:tcPr>
          <w:p w14:paraId="4FBC3235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shd w:val="clear" w:color="auto" w:fill="0099FF"/>
            <w:vAlign w:val="center"/>
            <w:hideMark/>
          </w:tcPr>
          <w:p w14:paraId="01DEEA4F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$70,695.72</w:t>
            </w:r>
          </w:p>
        </w:tc>
      </w:tr>
      <w:tr w:rsidR="001022BA" w:rsidRPr="0028241E" w14:paraId="68EBA801" w14:textId="77777777" w:rsidTr="00A97D22">
        <w:trPr>
          <w:trHeight w:val="963"/>
        </w:trPr>
        <w:tc>
          <w:tcPr>
            <w:tcW w:w="1342" w:type="dxa"/>
            <w:shd w:val="clear" w:color="auto" w:fill="auto"/>
            <w:vAlign w:val="center"/>
            <w:hideMark/>
          </w:tcPr>
          <w:p w14:paraId="36222477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Non-Profit institutions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  <w:hideMark/>
          </w:tcPr>
          <w:p w14:paraId="56DDBEDF" w14:textId="77777777" w:rsidR="001022BA" w:rsidRPr="0028241E" w:rsidRDefault="001022BA" w:rsidP="00A97D22">
            <w:pPr>
              <w:rPr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Interviews</w:t>
            </w:r>
            <w:r w:rsidRPr="0028241E">
              <w:rPr>
                <w:color w:val="000000"/>
                <w:sz w:val="18"/>
                <w:szCs w:val="18"/>
              </w:rPr>
              <w:t xml:space="preserve"> based on 2 participants per 1 hour interview, with 20 interviews for each of the 10 regions. Travel not required.  Total time 1 hour.  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13F06275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14:paraId="07FDD622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00C8F99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6CEDB1BA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14:paraId="75C821E8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$46.73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14:paraId="19C9AC82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$1,869.20</w:t>
            </w:r>
          </w:p>
        </w:tc>
      </w:tr>
      <w:tr w:rsidR="001022BA" w:rsidRPr="0028241E" w14:paraId="3C5ECD74" w14:textId="77777777" w:rsidTr="00A97D22">
        <w:trPr>
          <w:trHeight w:val="560"/>
        </w:trPr>
        <w:tc>
          <w:tcPr>
            <w:tcW w:w="1342" w:type="dxa"/>
            <w:shd w:val="clear" w:color="auto" w:fill="auto"/>
            <w:vAlign w:val="center"/>
            <w:hideMark/>
          </w:tcPr>
          <w:p w14:paraId="339911B8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State, Local or Tribal Government</w:t>
            </w:r>
          </w:p>
        </w:tc>
        <w:tc>
          <w:tcPr>
            <w:tcW w:w="1579" w:type="dxa"/>
            <w:vMerge/>
            <w:vAlign w:val="center"/>
            <w:hideMark/>
          </w:tcPr>
          <w:p w14:paraId="12499424" w14:textId="77777777" w:rsidR="001022BA" w:rsidRPr="0028241E" w:rsidRDefault="001022BA" w:rsidP="00A97D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2BC4E9D1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14:paraId="3C4ACE5E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CDBC504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3621EE44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14:paraId="4EBE68F0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$67.54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14:paraId="79CCAEE7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$24,314.40</w:t>
            </w:r>
          </w:p>
        </w:tc>
      </w:tr>
      <w:tr w:rsidR="001022BA" w:rsidRPr="0028241E" w14:paraId="4B430519" w14:textId="77777777" w:rsidTr="00A97D22">
        <w:trPr>
          <w:trHeight w:val="380"/>
        </w:trPr>
        <w:tc>
          <w:tcPr>
            <w:tcW w:w="1342" w:type="dxa"/>
            <w:shd w:val="clear" w:color="auto" w:fill="0099FF"/>
            <w:vAlign w:val="center"/>
            <w:hideMark/>
          </w:tcPr>
          <w:p w14:paraId="1BFCA699" w14:textId="77777777" w:rsidR="001022BA" w:rsidRPr="0028241E" w:rsidRDefault="001022BA" w:rsidP="00A97D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Sub-Total</w:t>
            </w:r>
          </w:p>
        </w:tc>
        <w:tc>
          <w:tcPr>
            <w:tcW w:w="1579" w:type="dxa"/>
            <w:shd w:val="clear" w:color="auto" w:fill="0099FF"/>
            <w:vAlign w:val="center"/>
            <w:hideMark/>
          </w:tcPr>
          <w:p w14:paraId="468FEBB0" w14:textId="77777777" w:rsidR="001022BA" w:rsidRPr="0028241E" w:rsidRDefault="001022BA" w:rsidP="00A97D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6" w:type="dxa"/>
            <w:shd w:val="clear" w:color="auto" w:fill="0099FF"/>
            <w:vAlign w:val="center"/>
            <w:hideMark/>
          </w:tcPr>
          <w:p w14:paraId="1A5189F1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305" w:type="dxa"/>
            <w:shd w:val="clear" w:color="auto" w:fill="0099FF"/>
            <w:vAlign w:val="center"/>
            <w:hideMark/>
          </w:tcPr>
          <w:p w14:paraId="4525B592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3" w:type="dxa"/>
            <w:shd w:val="clear" w:color="auto" w:fill="0099FF"/>
            <w:vAlign w:val="center"/>
            <w:hideMark/>
          </w:tcPr>
          <w:p w14:paraId="52B385C5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shd w:val="clear" w:color="auto" w:fill="0099FF"/>
            <w:vAlign w:val="center"/>
            <w:hideMark/>
          </w:tcPr>
          <w:p w14:paraId="4C1FA757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54" w:type="dxa"/>
            <w:shd w:val="clear" w:color="auto" w:fill="0099FF"/>
            <w:vAlign w:val="center"/>
            <w:hideMark/>
          </w:tcPr>
          <w:p w14:paraId="75638719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shd w:val="clear" w:color="auto" w:fill="0099FF"/>
            <w:vAlign w:val="center"/>
            <w:hideMark/>
          </w:tcPr>
          <w:p w14:paraId="0642C9C4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$26,183.60</w:t>
            </w:r>
          </w:p>
        </w:tc>
      </w:tr>
      <w:tr w:rsidR="001022BA" w:rsidRPr="0028241E" w14:paraId="7A42889F" w14:textId="77777777" w:rsidTr="00A97D22">
        <w:trPr>
          <w:trHeight w:val="488"/>
        </w:trPr>
        <w:tc>
          <w:tcPr>
            <w:tcW w:w="1342" w:type="dxa"/>
            <w:shd w:val="clear" w:color="auto" w:fill="0099FF"/>
            <w:vAlign w:val="center"/>
            <w:hideMark/>
          </w:tcPr>
          <w:p w14:paraId="65275FF4" w14:textId="77777777" w:rsidR="001022BA" w:rsidRPr="0028241E" w:rsidRDefault="001022BA" w:rsidP="00A97D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79" w:type="dxa"/>
            <w:shd w:val="clear" w:color="auto" w:fill="0099FF"/>
            <w:vAlign w:val="center"/>
            <w:hideMark/>
          </w:tcPr>
          <w:p w14:paraId="3299059C" w14:textId="77777777" w:rsidR="001022BA" w:rsidRPr="0028241E" w:rsidRDefault="001022BA" w:rsidP="00A97D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Qualitative Surveys</w:t>
            </w:r>
          </w:p>
        </w:tc>
        <w:tc>
          <w:tcPr>
            <w:tcW w:w="1536" w:type="dxa"/>
            <w:shd w:val="clear" w:color="auto" w:fill="0099FF"/>
            <w:vAlign w:val="center"/>
            <w:hideMark/>
          </w:tcPr>
          <w:p w14:paraId="3378EFB7" w14:textId="77777777" w:rsidR="001022BA" w:rsidRPr="0028241E" w:rsidRDefault="001022BA" w:rsidP="00A97D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760</w:t>
            </w:r>
          </w:p>
        </w:tc>
        <w:tc>
          <w:tcPr>
            <w:tcW w:w="1305" w:type="dxa"/>
            <w:shd w:val="clear" w:color="auto" w:fill="0099FF"/>
            <w:vAlign w:val="center"/>
            <w:hideMark/>
          </w:tcPr>
          <w:p w14:paraId="4191023E" w14:textId="77777777" w:rsidR="001022BA" w:rsidRPr="0028241E" w:rsidRDefault="001022BA" w:rsidP="00A97D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3" w:type="dxa"/>
            <w:shd w:val="clear" w:color="auto" w:fill="0099FF"/>
            <w:vAlign w:val="center"/>
            <w:hideMark/>
          </w:tcPr>
          <w:p w14:paraId="730FD84A" w14:textId="77777777" w:rsidR="001022BA" w:rsidRPr="0028241E" w:rsidRDefault="001022BA" w:rsidP="00A97D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shd w:val="clear" w:color="auto" w:fill="0099FF"/>
            <w:vAlign w:val="center"/>
            <w:hideMark/>
          </w:tcPr>
          <w:p w14:paraId="41E991EF" w14:textId="77777777" w:rsidR="001022BA" w:rsidRPr="0028241E" w:rsidRDefault="001022BA" w:rsidP="00A97D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1,480</w:t>
            </w:r>
          </w:p>
        </w:tc>
        <w:tc>
          <w:tcPr>
            <w:tcW w:w="1154" w:type="dxa"/>
            <w:shd w:val="clear" w:color="auto" w:fill="0099FF"/>
            <w:vAlign w:val="center"/>
            <w:hideMark/>
          </w:tcPr>
          <w:p w14:paraId="38904BD3" w14:textId="77777777" w:rsidR="001022BA" w:rsidRPr="0028241E" w:rsidRDefault="001022BA" w:rsidP="00A97D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shd w:val="clear" w:color="auto" w:fill="0099FF"/>
            <w:vAlign w:val="center"/>
            <w:hideMark/>
          </w:tcPr>
          <w:p w14:paraId="12B9BADE" w14:textId="77777777" w:rsidR="001022BA" w:rsidRPr="0028241E" w:rsidRDefault="001022BA" w:rsidP="00A97D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$96,879.32</w:t>
            </w:r>
          </w:p>
        </w:tc>
      </w:tr>
      <w:tr w:rsidR="001022BA" w:rsidRPr="0028241E" w14:paraId="52F226A3" w14:textId="77777777" w:rsidTr="00A97D22">
        <w:trPr>
          <w:trHeight w:val="273"/>
        </w:trPr>
        <w:tc>
          <w:tcPr>
            <w:tcW w:w="1342" w:type="dxa"/>
            <w:shd w:val="clear" w:color="auto" w:fill="auto"/>
            <w:vAlign w:val="center"/>
            <w:hideMark/>
          </w:tcPr>
          <w:p w14:paraId="658041E2" w14:textId="77777777" w:rsidR="001022BA" w:rsidRPr="0028241E" w:rsidRDefault="001022BA" w:rsidP="00A97D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79" w:type="dxa"/>
            <w:shd w:val="clear" w:color="auto" w:fill="000000"/>
            <w:vAlign w:val="center"/>
            <w:hideMark/>
          </w:tcPr>
          <w:p w14:paraId="046C5A57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4BD269E9" w14:textId="77777777" w:rsidR="001022BA" w:rsidRPr="0028241E" w:rsidRDefault="001022BA" w:rsidP="00A97D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1E">
              <w:rPr>
                <w:b/>
                <w:bCs/>
                <w:color w:val="000000"/>
                <w:sz w:val="18"/>
                <w:szCs w:val="18"/>
              </w:rPr>
              <w:t>7,804</w:t>
            </w:r>
          </w:p>
        </w:tc>
        <w:tc>
          <w:tcPr>
            <w:tcW w:w="1305" w:type="dxa"/>
            <w:shd w:val="clear" w:color="auto" w:fill="000000"/>
            <w:vAlign w:val="center"/>
            <w:hideMark/>
          </w:tcPr>
          <w:p w14:paraId="6235F339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3" w:type="dxa"/>
            <w:shd w:val="clear" w:color="auto" w:fill="000000"/>
            <w:vAlign w:val="center"/>
            <w:hideMark/>
          </w:tcPr>
          <w:p w14:paraId="4AC0BAE8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5ECF3105" w14:textId="1C4DDB2F" w:rsidR="001022BA" w:rsidRPr="0028241E" w:rsidRDefault="001B581F" w:rsidP="00A97D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2,291</w:t>
            </w:r>
          </w:p>
        </w:tc>
        <w:tc>
          <w:tcPr>
            <w:tcW w:w="1154" w:type="dxa"/>
            <w:shd w:val="clear" w:color="auto" w:fill="000000"/>
            <w:vAlign w:val="center"/>
            <w:hideMark/>
          </w:tcPr>
          <w:p w14:paraId="4D986562" w14:textId="77777777" w:rsidR="001022BA" w:rsidRPr="0028241E" w:rsidRDefault="001022BA" w:rsidP="00A97D22">
            <w:pPr>
              <w:jc w:val="center"/>
              <w:rPr>
                <w:color w:val="000000"/>
                <w:sz w:val="18"/>
                <w:szCs w:val="18"/>
              </w:rPr>
            </w:pPr>
            <w:r w:rsidRPr="002824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14:paraId="6A762EE6" w14:textId="7A20B712" w:rsidR="001022BA" w:rsidRPr="0028241E" w:rsidRDefault="001B581F" w:rsidP="00A97D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$149.981.11</w:t>
            </w:r>
            <w:r w:rsidR="001022BA" w:rsidRPr="0028241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2EC12970" w14:textId="77777777" w:rsidR="001022BA" w:rsidRDefault="001022BA" w:rsidP="001022BA">
      <w:pPr>
        <w:numPr>
          <w:ilvl w:val="0"/>
          <w:numId w:val="9"/>
        </w:numPr>
        <w:rPr>
          <w:sz w:val="16"/>
          <w:szCs w:val="16"/>
        </w:rPr>
      </w:pPr>
      <w:r w:rsidRPr="009B69D3">
        <w:rPr>
          <w:sz w:val="16"/>
          <w:szCs w:val="16"/>
        </w:rPr>
        <w:t>Note: The “Avg. Hourly Wage Rate” for each respondent includes a 1.4 multiplier to r</w:t>
      </w:r>
      <w:r>
        <w:rPr>
          <w:sz w:val="16"/>
          <w:szCs w:val="16"/>
        </w:rPr>
        <w:t>eflect a fully-loaded wage rate.</w:t>
      </w:r>
    </w:p>
    <w:p w14:paraId="435F6895" w14:textId="77777777" w:rsidR="001022BA" w:rsidRPr="009F00BA" w:rsidRDefault="001022BA" w:rsidP="001022BA">
      <w:pPr>
        <w:ind w:left="720"/>
      </w:pPr>
    </w:p>
    <w:p w14:paraId="10751533" w14:textId="17278DF9" w:rsidR="001022BA" w:rsidRDefault="001022BA" w:rsidP="00800B00">
      <w:pPr>
        <w:rPr>
          <w:color w:val="000000"/>
        </w:rPr>
      </w:pPr>
      <w:r>
        <w:rPr>
          <w:color w:val="000000"/>
        </w:rPr>
        <w:t>Question 15 explanation below:</w:t>
      </w:r>
    </w:p>
    <w:p w14:paraId="3386481A" w14:textId="77777777" w:rsidR="0011062B" w:rsidRDefault="0011062B" w:rsidP="00800B00">
      <w:pPr>
        <w:rPr>
          <w:color w:val="000000"/>
        </w:rPr>
      </w:pPr>
    </w:p>
    <w:tbl>
      <w:tblPr>
        <w:tblW w:w="1034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1528"/>
        <w:gridCol w:w="1237"/>
        <w:gridCol w:w="1221"/>
        <w:gridCol w:w="1366"/>
        <w:gridCol w:w="2834"/>
      </w:tblGrid>
      <w:tr w:rsidR="0011062B" w:rsidRPr="0011062B" w14:paraId="391E2FB9" w14:textId="77777777" w:rsidTr="00FA560F">
        <w:trPr>
          <w:trHeight w:val="280"/>
        </w:trPr>
        <w:tc>
          <w:tcPr>
            <w:tcW w:w="10340" w:type="dxa"/>
            <w:gridSpan w:val="6"/>
            <w:shd w:val="clear" w:color="auto" w:fill="auto"/>
            <w:noWrap/>
            <w:vAlign w:val="center"/>
            <w:hideMark/>
          </w:tcPr>
          <w:p w14:paraId="4188D347" w14:textId="77777777" w:rsidR="0011062B" w:rsidRPr="0011062B" w:rsidRDefault="0011062B" w:rsidP="0011062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1062B">
              <w:rPr>
                <w:b/>
                <w:bCs/>
                <w:color w:val="000000"/>
                <w:sz w:val="20"/>
                <w:szCs w:val="20"/>
              </w:rPr>
              <w:t>Question 15 a: Itemized Changes in Annual Hour Burden</w:t>
            </w:r>
          </w:p>
        </w:tc>
      </w:tr>
      <w:tr w:rsidR="0011062B" w:rsidRPr="0011062B" w14:paraId="7EC72550" w14:textId="77777777" w:rsidTr="001022BA">
        <w:trPr>
          <w:trHeight w:val="1404"/>
        </w:trPr>
        <w:tc>
          <w:tcPr>
            <w:tcW w:w="2154" w:type="dxa"/>
            <w:shd w:val="clear" w:color="auto" w:fill="0099FF"/>
            <w:vAlign w:val="center"/>
            <w:hideMark/>
          </w:tcPr>
          <w:p w14:paraId="56199962" w14:textId="77777777" w:rsidR="0011062B" w:rsidRPr="0011062B" w:rsidRDefault="0011062B" w:rsidP="001106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062B">
              <w:rPr>
                <w:b/>
                <w:bCs/>
                <w:color w:val="000000"/>
                <w:sz w:val="20"/>
                <w:szCs w:val="20"/>
              </w:rPr>
              <w:t>Data Collection Instrument</w:t>
            </w:r>
          </w:p>
        </w:tc>
        <w:tc>
          <w:tcPr>
            <w:tcW w:w="1528" w:type="dxa"/>
            <w:shd w:val="clear" w:color="auto" w:fill="0099FF"/>
            <w:vAlign w:val="center"/>
            <w:hideMark/>
          </w:tcPr>
          <w:p w14:paraId="2F1E21E3" w14:textId="77777777" w:rsidR="0011062B" w:rsidRPr="0011062B" w:rsidRDefault="0011062B" w:rsidP="001106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062B">
              <w:rPr>
                <w:b/>
                <w:bCs/>
                <w:color w:val="000000"/>
                <w:sz w:val="20"/>
                <w:szCs w:val="20"/>
              </w:rPr>
              <w:t>Survey Administration Mode</w:t>
            </w:r>
          </w:p>
        </w:tc>
        <w:tc>
          <w:tcPr>
            <w:tcW w:w="1237" w:type="dxa"/>
            <w:shd w:val="clear" w:color="auto" w:fill="0099FF"/>
            <w:vAlign w:val="center"/>
            <w:hideMark/>
          </w:tcPr>
          <w:p w14:paraId="3206E0C6" w14:textId="77777777" w:rsidR="0011062B" w:rsidRPr="0011062B" w:rsidRDefault="0011062B" w:rsidP="001106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062B">
              <w:rPr>
                <w:b/>
                <w:bCs/>
                <w:color w:val="000000"/>
                <w:sz w:val="20"/>
                <w:szCs w:val="20"/>
              </w:rPr>
              <w:t>Program Change (hours currently on OMB Inventory)</w:t>
            </w:r>
          </w:p>
        </w:tc>
        <w:tc>
          <w:tcPr>
            <w:tcW w:w="1221" w:type="dxa"/>
            <w:shd w:val="clear" w:color="auto" w:fill="0099FF"/>
            <w:vAlign w:val="center"/>
            <w:hideMark/>
          </w:tcPr>
          <w:p w14:paraId="4CE9E791" w14:textId="77777777" w:rsidR="0011062B" w:rsidRPr="0011062B" w:rsidRDefault="0011062B" w:rsidP="001106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062B">
              <w:rPr>
                <w:b/>
                <w:bCs/>
                <w:color w:val="000000"/>
                <w:sz w:val="20"/>
                <w:szCs w:val="20"/>
              </w:rPr>
              <w:t>Program Change (New)</w:t>
            </w:r>
          </w:p>
        </w:tc>
        <w:tc>
          <w:tcPr>
            <w:tcW w:w="1366" w:type="dxa"/>
            <w:shd w:val="clear" w:color="auto" w:fill="0099FF"/>
            <w:vAlign w:val="center"/>
            <w:hideMark/>
          </w:tcPr>
          <w:p w14:paraId="44658522" w14:textId="77777777" w:rsidR="0011062B" w:rsidRPr="0011062B" w:rsidRDefault="0011062B" w:rsidP="001106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062B">
              <w:rPr>
                <w:b/>
                <w:bCs/>
                <w:color w:val="000000"/>
                <w:sz w:val="20"/>
                <w:szCs w:val="20"/>
              </w:rPr>
              <w:t>Difference</w:t>
            </w:r>
          </w:p>
        </w:tc>
        <w:tc>
          <w:tcPr>
            <w:tcW w:w="2834" w:type="dxa"/>
            <w:shd w:val="clear" w:color="auto" w:fill="0099FF"/>
            <w:vAlign w:val="center"/>
            <w:hideMark/>
          </w:tcPr>
          <w:p w14:paraId="05B152EE" w14:textId="77777777" w:rsidR="0011062B" w:rsidRPr="0011062B" w:rsidRDefault="0011062B" w:rsidP="001106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062B">
              <w:rPr>
                <w:b/>
                <w:bCs/>
                <w:color w:val="000000"/>
                <w:sz w:val="20"/>
                <w:szCs w:val="20"/>
              </w:rPr>
              <w:t>Explanation</w:t>
            </w:r>
          </w:p>
        </w:tc>
      </w:tr>
      <w:tr w:rsidR="0011062B" w:rsidRPr="0011062B" w14:paraId="22DB22B1" w14:textId="77777777" w:rsidTr="00FA560F">
        <w:trPr>
          <w:trHeight w:val="988"/>
        </w:trPr>
        <w:tc>
          <w:tcPr>
            <w:tcW w:w="2154" w:type="dxa"/>
            <w:shd w:val="clear" w:color="auto" w:fill="auto"/>
            <w:vAlign w:val="center"/>
            <w:hideMark/>
          </w:tcPr>
          <w:p w14:paraId="38EF5863" w14:textId="4FDC42DD" w:rsidR="0011062B" w:rsidRPr="0011062B" w:rsidRDefault="0011062B" w:rsidP="0011062B">
            <w:pPr>
              <w:rPr>
                <w:bCs/>
                <w:color w:val="000000"/>
                <w:sz w:val="20"/>
                <w:szCs w:val="20"/>
              </w:rPr>
            </w:pPr>
            <w:r w:rsidRPr="0011062B">
              <w:rPr>
                <w:bCs/>
                <w:color w:val="000000"/>
                <w:sz w:val="20"/>
                <w:szCs w:val="20"/>
              </w:rPr>
              <w:t>Public Assist</w:t>
            </w:r>
            <w:r w:rsidR="000953C3">
              <w:rPr>
                <w:bCs/>
                <w:color w:val="000000"/>
                <w:sz w:val="20"/>
                <w:szCs w:val="20"/>
              </w:rPr>
              <w:t>ance Initial Survey FEMA Form 519-0-32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14:paraId="511E9E36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Telephone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1EA86C10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3E46719D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14:paraId="2F8158AC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14:paraId="103380A6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Program increase due to new form</w:t>
            </w:r>
          </w:p>
        </w:tc>
      </w:tr>
      <w:tr w:rsidR="0011062B" w:rsidRPr="0011062B" w14:paraId="1635D062" w14:textId="77777777" w:rsidTr="00FA560F">
        <w:trPr>
          <w:trHeight w:val="988"/>
        </w:trPr>
        <w:tc>
          <w:tcPr>
            <w:tcW w:w="2154" w:type="dxa"/>
            <w:shd w:val="clear" w:color="auto" w:fill="auto"/>
            <w:vAlign w:val="center"/>
            <w:hideMark/>
          </w:tcPr>
          <w:p w14:paraId="4BCEB798" w14:textId="5D2A3CB1" w:rsidR="0011062B" w:rsidRPr="0011062B" w:rsidRDefault="0011062B" w:rsidP="0011062B">
            <w:pPr>
              <w:rPr>
                <w:bCs/>
                <w:color w:val="000000"/>
                <w:sz w:val="20"/>
                <w:szCs w:val="20"/>
              </w:rPr>
            </w:pPr>
            <w:r w:rsidRPr="0011062B">
              <w:rPr>
                <w:bCs/>
                <w:color w:val="000000"/>
                <w:sz w:val="20"/>
                <w:szCs w:val="20"/>
              </w:rPr>
              <w:t>Public Assist</w:t>
            </w:r>
            <w:r w:rsidR="000953C3">
              <w:rPr>
                <w:bCs/>
                <w:color w:val="000000"/>
                <w:sz w:val="20"/>
                <w:szCs w:val="20"/>
              </w:rPr>
              <w:t>ance Initial Survey FEMA Form 519-0-33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14:paraId="54660D25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Internet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6A1336DB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7E2C5768" w14:textId="565337F2" w:rsidR="0011062B" w:rsidRPr="0011062B" w:rsidRDefault="001B581F" w:rsidP="001106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14:paraId="0622278C" w14:textId="05D61A93" w:rsidR="0011062B" w:rsidRPr="0011062B" w:rsidRDefault="001B581F" w:rsidP="001106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14:paraId="6753D596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Program increase due to new form</w:t>
            </w:r>
          </w:p>
        </w:tc>
      </w:tr>
      <w:tr w:rsidR="0011062B" w:rsidRPr="0011062B" w14:paraId="5FE8219E" w14:textId="77777777" w:rsidTr="00FA560F">
        <w:trPr>
          <w:trHeight w:val="1477"/>
        </w:trPr>
        <w:tc>
          <w:tcPr>
            <w:tcW w:w="2154" w:type="dxa"/>
            <w:shd w:val="clear" w:color="auto" w:fill="auto"/>
            <w:vAlign w:val="center"/>
            <w:hideMark/>
          </w:tcPr>
          <w:p w14:paraId="298800DE" w14:textId="0E96D715" w:rsidR="0011062B" w:rsidRPr="0011062B" w:rsidRDefault="0011062B" w:rsidP="0011062B">
            <w:pPr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Public Assistance Customer Satisfa</w:t>
            </w:r>
            <w:r w:rsidR="000953C3">
              <w:rPr>
                <w:color w:val="000000"/>
                <w:sz w:val="20"/>
                <w:szCs w:val="20"/>
              </w:rPr>
              <w:t>ction Survey,</w:t>
            </w:r>
            <w:r w:rsidR="000953C3">
              <w:rPr>
                <w:color w:val="000000"/>
                <w:sz w:val="20"/>
                <w:szCs w:val="20"/>
              </w:rPr>
              <w:br/>
              <w:t>FEMA Form 519-0-1T</w:t>
            </w:r>
            <w:r w:rsidRPr="0011062B">
              <w:rPr>
                <w:color w:val="000000"/>
                <w:sz w:val="20"/>
                <w:szCs w:val="20"/>
              </w:rPr>
              <w:t xml:space="preserve">, </w:t>
            </w:r>
            <w:r w:rsidRPr="0011062B">
              <w:rPr>
                <w:b/>
                <w:bCs/>
                <w:color w:val="000000"/>
                <w:sz w:val="20"/>
                <w:szCs w:val="20"/>
              </w:rPr>
              <w:t>Now Public Assistance Assessment Survey</w:t>
            </w:r>
            <w:r w:rsidR="000953C3">
              <w:rPr>
                <w:b/>
                <w:bCs/>
                <w:color w:val="000000"/>
                <w:sz w:val="20"/>
                <w:szCs w:val="20"/>
              </w:rPr>
              <w:t xml:space="preserve"> Form 519-0-34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14:paraId="61960024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Telephone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2904775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2,600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0412404E" w14:textId="2A7DE7DE" w:rsidR="0011062B" w:rsidRPr="0011062B" w:rsidRDefault="001B581F" w:rsidP="001106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14:paraId="4B3999EC" w14:textId="7CE50724" w:rsidR="0011062B" w:rsidRPr="0011062B" w:rsidRDefault="001B581F" w:rsidP="001106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-2,229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14:paraId="7BD2C54D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Decrease due to smaller samples, fewer and shorter questions, and less frequent sampling</w:t>
            </w:r>
          </w:p>
        </w:tc>
      </w:tr>
      <w:tr w:rsidR="0011062B" w:rsidRPr="0011062B" w14:paraId="563622A3" w14:textId="77777777" w:rsidTr="00FA560F">
        <w:trPr>
          <w:trHeight w:val="1539"/>
        </w:trPr>
        <w:tc>
          <w:tcPr>
            <w:tcW w:w="2154" w:type="dxa"/>
            <w:shd w:val="clear" w:color="auto" w:fill="auto"/>
            <w:vAlign w:val="center"/>
            <w:hideMark/>
          </w:tcPr>
          <w:p w14:paraId="675E93F8" w14:textId="4BC60AF5" w:rsidR="0011062B" w:rsidRPr="0011062B" w:rsidRDefault="0011062B" w:rsidP="0011062B">
            <w:pPr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Public Assistance Customer Satisfaction Survey (Web),</w:t>
            </w:r>
            <w:r w:rsidRPr="0011062B">
              <w:rPr>
                <w:color w:val="000000"/>
                <w:sz w:val="20"/>
                <w:szCs w:val="20"/>
              </w:rPr>
              <w:br/>
              <w:t>FEMA Form 519-0-1INT,</w:t>
            </w:r>
            <w:r w:rsidRPr="0011062B">
              <w:rPr>
                <w:b/>
                <w:bCs/>
                <w:color w:val="000000"/>
                <w:sz w:val="20"/>
                <w:szCs w:val="20"/>
              </w:rPr>
              <w:t xml:space="preserve"> Now Public Assistance Assessment Survey</w:t>
            </w:r>
            <w:r w:rsidR="000953C3">
              <w:rPr>
                <w:b/>
                <w:bCs/>
                <w:color w:val="000000"/>
                <w:sz w:val="20"/>
                <w:szCs w:val="20"/>
              </w:rPr>
              <w:t xml:space="preserve"> Form 519-0-35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14:paraId="325F8EAD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Internet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16F146CF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4136435F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14:paraId="59C37AFD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-341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14:paraId="3B520FD5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Decrease due to smaller samples, fewer and shorter questions, and less frequent sampling</w:t>
            </w:r>
          </w:p>
        </w:tc>
      </w:tr>
      <w:tr w:rsidR="0011062B" w:rsidRPr="0011062B" w14:paraId="50BA5F84" w14:textId="77777777" w:rsidTr="00FA560F">
        <w:trPr>
          <w:trHeight w:val="988"/>
        </w:trPr>
        <w:tc>
          <w:tcPr>
            <w:tcW w:w="2154" w:type="dxa"/>
            <w:shd w:val="clear" w:color="auto" w:fill="auto"/>
            <w:vAlign w:val="center"/>
            <w:hideMark/>
          </w:tcPr>
          <w:p w14:paraId="75DBB342" w14:textId="77777777" w:rsidR="0011062B" w:rsidRPr="0011062B" w:rsidRDefault="0011062B" w:rsidP="0011062B">
            <w:pPr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lastRenderedPageBreak/>
              <w:t xml:space="preserve">Public Assistance Customer Satisfaction Survey, </w:t>
            </w:r>
            <w:r w:rsidRPr="0011062B">
              <w:rPr>
                <w:color w:val="000000"/>
                <w:sz w:val="20"/>
                <w:szCs w:val="20"/>
              </w:rPr>
              <w:br/>
              <w:t>FEMA Form 519-0-1 Fill-able, Sent By Email/Electronically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14:paraId="0878E856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Email-Fillable Form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2175DA60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41475204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14:paraId="682245AF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-206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14:paraId="05D82970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Decrease due to discontinuation of administration method</w:t>
            </w:r>
          </w:p>
        </w:tc>
      </w:tr>
      <w:tr w:rsidR="0011062B" w:rsidRPr="0011062B" w14:paraId="58DD3F9E" w14:textId="77777777" w:rsidTr="00FA560F">
        <w:trPr>
          <w:trHeight w:val="988"/>
        </w:trPr>
        <w:tc>
          <w:tcPr>
            <w:tcW w:w="2154" w:type="dxa"/>
            <w:shd w:val="clear" w:color="auto" w:fill="auto"/>
            <w:vAlign w:val="center"/>
            <w:hideMark/>
          </w:tcPr>
          <w:p w14:paraId="18EF1CC7" w14:textId="77777777" w:rsidR="0011062B" w:rsidRPr="0011062B" w:rsidRDefault="0011062B" w:rsidP="0011062B">
            <w:pPr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 xml:space="preserve">Public Assistance Customer Satisfaction Survey, </w:t>
            </w:r>
            <w:r w:rsidRPr="0011062B">
              <w:rPr>
                <w:color w:val="000000"/>
                <w:sz w:val="20"/>
                <w:szCs w:val="20"/>
              </w:rPr>
              <w:br/>
              <w:t>FEMA Form 519-0-1, Fill-able, Sent by Fax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14:paraId="282FBF42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Fax-Fillable Form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4AC90CF6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1E0305DF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14:paraId="750500F1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-21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14:paraId="5C0221F3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Decrease due to discontinuation of administration method</w:t>
            </w:r>
          </w:p>
        </w:tc>
      </w:tr>
      <w:tr w:rsidR="0011062B" w:rsidRPr="0011062B" w14:paraId="296640D7" w14:textId="77777777" w:rsidTr="00FA560F">
        <w:trPr>
          <w:trHeight w:val="988"/>
        </w:trPr>
        <w:tc>
          <w:tcPr>
            <w:tcW w:w="2154" w:type="dxa"/>
            <w:shd w:val="clear" w:color="auto" w:fill="auto"/>
            <w:vAlign w:val="center"/>
            <w:hideMark/>
          </w:tcPr>
          <w:p w14:paraId="3ADE7028" w14:textId="77777777" w:rsidR="0011062B" w:rsidRPr="0011062B" w:rsidRDefault="0011062B" w:rsidP="0011062B">
            <w:pPr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Public Assistance Customer Satisfaction Survey,</w:t>
            </w:r>
            <w:r w:rsidRPr="0011062B">
              <w:rPr>
                <w:color w:val="000000"/>
                <w:sz w:val="20"/>
                <w:szCs w:val="20"/>
              </w:rPr>
              <w:br/>
              <w:t>FEMA Form 519-0-1, Fill-able, Sent by Mail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14:paraId="02818D9F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Mail-Fillable Form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3F22AD22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3058B6D0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14:paraId="566A22A7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-21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14:paraId="40C03962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Decrease due to discontinuation of administration method</w:t>
            </w:r>
          </w:p>
        </w:tc>
      </w:tr>
      <w:tr w:rsidR="0011062B" w:rsidRPr="0011062B" w14:paraId="000DE039" w14:textId="77777777" w:rsidTr="00FA560F">
        <w:trPr>
          <w:trHeight w:val="1417"/>
        </w:trPr>
        <w:tc>
          <w:tcPr>
            <w:tcW w:w="2154" w:type="dxa"/>
            <w:shd w:val="clear" w:color="auto" w:fill="auto"/>
            <w:vAlign w:val="center"/>
            <w:hideMark/>
          </w:tcPr>
          <w:p w14:paraId="52D24295" w14:textId="77777777" w:rsidR="0011062B" w:rsidRPr="0011062B" w:rsidRDefault="0011062B" w:rsidP="0011062B">
            <w:pPr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Qualitative Interviews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14:paraId="67513D18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Focus Group, One-one interviews, Small Group Interviews,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32A1C24C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1080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02A7ABC3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1,480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14:paraId="75751C9F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14:paraId="28D7F63A" w14:textId="77777777" w:rsidR="0011062B" w:rsidRPr="0011062B" w:rsidRDefault="0011062B" w:rsidP="0011062B">
            <w:pPr>
              <w:jc w:val="center"/>
              <w:rPr>
                <w:color w:val="000000"/>
                <w:sz w:val="20"/>
                <w:szCs w:val="20"/>
              </w:rPr>
            </w:pPr>
            <w:r w:rsidRPr="0011062B">
              <w:rPr>
                <w:color w:val="000000"/>
                <w:sz w:val="20"/>
                <w:szCs w:val="20"/>
              </w:rPr>
              <w:t>Program increase due to increases in types of information</w:t>
            </w:r>
          </w:p>
        </w:tc>
      </w:tr>
      <w:tr w:rsidR="0011062B" w:rsidRPr="0011062B" w14:paraId="3DEB6FD0" w14:textId="77777777" w:rsidTr="001022BA">
        <w:trPr>
          <w:trHeight w:val="280"/>
        </w:trPr>
        <w:tc>
          <w:tcPr>
            <w:tcW w:w="2154" w:type="dxa"/>
            <w:shd w:val="clear" w:color="auto" w:fill="0099FF"/>
            <w:vAlign w:val="center"/>
            <w:hideMark/>
          </w:tcPr>
          <w:p w14:paraId="2F5F9352" w14:textId="77777777" w:rsidR="0011062B" w:rsidRPr="0011062B" w:rsidRDefault="0011062B" w:rsidP="001106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062B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528" w:type="dxa"/>
            <w:shd w:val="clear" w:color="auto" w:fill="0099FF"/>
            <w:vAlign w:val="center"/>
            <w:hideMark/>
          </w:tcPr>
          <w:p w14:paraId="00A37581" w14:textId="77777777" w:rsidR="0011062B" w:rsidRPr="0011062B" w:rsidRDefault="0011062B" w:rsidP="001106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06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shd w:val="clear" w:color="auto" w:fill="0099FF"/>
            <w:vAlign w:val="center"/>
            <w:hideMark/>
          </w:tcPr>
          <w:p w14:paraId="19DF8645" w14:textId="77777777" w:rsidR="0011062B" w:rsidRPr="0011062B" w:rsidRDefault="0011062B" w:rsidP="001106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062B">
              <w:rPr>
                <w:b/>
                <w:bCs/>
                <w:color w:val="000000"/>
                <w:sz w:val="20"/>
                <w:szCs w:val="20"/>
              </w:rPr>
              <w:t>4,341</w:t>
            </w:r>
          </w:p>
        </w:tc>
        <w:tc>
          <w:tcPr>
            <w:tcW w:w="1221" w:type="dxa"/>
            <w:shd w:val="clear" w:color="auto" w:fill="0099FF"/>
            <w:vAlign w:val="center"/>
            <w:hideMark/>
          </w:tcPr>
          <w:p w14:paraId="2F2EC595" w14:textId="6F8D055D" w:rsidR="0011062B" w:rsidRPr="0011062B" w:rsidRDefault="001B581F" w:rsidP="001106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2291</w:t>
            </w:r>
          </w:p>
        </w:tc>
        <w:tc>
          <w:tcPr>
            <w:tcW w:w="1366" w:type="dxa"/>
            <w:shd w:val="clear" w:color="auto" w:fill="0099FF"/>
            <w:vAlign w:val="center"/>
            <w:hideMark/>
          </w:tcPr>
          <w:p w14:paraId="305EB32B" w14:textId="0B90C298" w:rsidR="0011062B" w:rsidRPr="0011062B" w:rsidRDefault="001B581F" w:rsidP="001106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-2050</w:t>
            </w:r>
          </w:p>
        </w:tc>
        <w:tc>
          <w:tcPr>
            <w:tcW w:w="2834" w:type="dxa"/>
            <w:shd w:val="clear" w:color="auto" w:fill="0099FF"/>
            <w:vAlign w:val="center"/>
            <w:hideMark/>
          </w:tcPr>
          <w:p w14:paraId="3C0C4623" w14:textId="77777777" w:rsidR="0011062B" w:rsidRPr="0011062B" w:rsidRDefault="0011062B" w:rsidP="001106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06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0C2D5E79" w14:textId="77777777" w:rsidR="0011062B" w:rsidRDefault="0011062B" w:rsidP="00800B00">
      <w:pPr>
        <w:rPr>
          <w:color w:val="000000"/>
        </w:rPr>
      </w:pPr>
    </w:p>
    <w:p w14:paraId="438E0E9D" w14:textId="72CF2AB9" w:rsidR="005F4841" w:rsidRPr="009F00BA" w:rsidRDefault="005F4841" w:rsidP="0011062B">
      <w:pPr>
        <w:pStyle w:val="NormalWeb"/>
        <w:rPr>
          <w:bCs/>
        </w:rPr>
      </w:pPr>
      <w:r w:rsidRPr="009F00BA">
        <w:rPr>
          <w:b/>
          <w:bCs/>
          <w:i/>
        </w:rPr>
        <w:t xml:space="preserve">Explain Table 15-a: </w:t>
      </w:r>
      <w:r w:rsidR="0011062B" w:rsidRPr="0011062B">
        <w:rPr>
          <w:b/>
          <w:bCs/>
          <w:i/>
        </w:rPr>
        <w:t xml:space="preserve">Total Program </w:t>
      </w:r>
      <w:r w:rsidR="001B581F">
        <w:rPr>
          <w:b/>
          <w:bCs/>
          <w:i/>
        </w:rPr>
        <w:t>Decrease to Burden Hours = 2,291</w:t>
      </w:r>
      <w:r w:rsidR="0011062B" w:rsidRPr="0011062B">
        <w:rPr>
          <w:b/>
          <w:bCs/>
          <w:i/>
        </w:rPr>
        <w:t xml:space="preserve"> (curre</w:t>
      </w:r>
      <w:r w:rsidR="001B581F">
        <w:rPr>
          <w:b/>
          <w:bCs/>
          <w:i/>
        </w:rPr>
        <w:t>nt) – 4,341 (previous) = (-2,050</w:t>
      </w:r>
      <w:r w:rsidR="0011062B" w:rsidRPr="0011062B">
        <w:rPr>
          <w:b/>
          <w:bCs/>
          <w:i/>
        </w:rPr>
        <w:t xml:space="preserve"> hours)</w:t>
      </w:r>
    </w:p>
    <w:p w14:paraId="3BD381E4" w14:textId="77777777" w:rsidR="0011062B" w:rsidRDefault="0011062B" w:rsidP="0011062B">
      <w:pPr>
        <w:rPr>
          <w:b/>
          <w:color w:val="000000"/>
        </w:rPr>
      </w:pPr>
      <w:r>
        <w:rPr>
          <w:b/>
          <w:color w:val="000000"/>
        </w:rPr>
        <w:t xml:space="preserve">15a) </w:t>
      </w:r>
      <w:r w:rsidRPr="004339A3">
        <w:rPr>
          <w:b/>
          <w:color w:val="000000"/>
        </w:rPr>
        <w:t xml:space="preserve">Change in </w:t>
      </w:r>
      <w:r>
        <w:rPr>
          <w:b/>
          <w:color w:val="000000"/>
        </w:rPr>
        <w:t xml:space="preserve">Annual </w:t>
      </w:r>
      <w:r w:rsidRPr="004339A3">
        <w:rPr>
          <w:b/>
          <w:color w:val="000000"/>
        </w:rPr>
        <w:t>Hour Burden by Instrument:</w:t>
      </w:r>
    </w:p>
    <w:p w14:paraId="3C2ACE09" w14:textId="77777777" w:rsidR="0011062B" w:rsidRPr="004339A3" w:rsidRDefault="0011062B" w:rsidP="0011062B">
      <w:pPr>
        <w:rPr>
          <w:b/>
          <w:color w:val="000000"/>
        </w:rPr>
      </w:pPr>
    </w:p>
    <w:p w14:paraId="512F10AD" w14:textId="77777777" w:rsidR="0011062B" w:rsidRPr="00EE176D" w:rsidRDefault="0011062B" w:rsidP="0011062B">
      <w:pPr>
        <w:numPr>
          <w:ilvl w:val="0"/>
          <w:numId w:val="3"/>
        </w:numPr>
        <w:rPr>
          <w:bCs/>
          <w:i/>
        </w:rPr>
      </w:pPr>
      <w:r w:rsidRPr="009F0844">
        <w:rPr>
          <w:b/>
          <w:bCs/>
        </w:rPr>
        <w:t>PA Initial (Phone)</w:t>
      </w:r>
      <w:r>
        <w:rPr>
          <w:b/>
          <w:bCs/>
        </w:rPr>
        <w:t xml:space="preserve"> </w:t>
      </w:r>
      <w:r>
        <w:rPr>
          <w:bCs/>
        </w:rPr>
        <w:t>is a new survey measure the previous collection did not have, with an increase in annual burden hours of</w:t>
      </w:r>
      <w:r w:rsidRPr="009F0844">
        <w:rPr>
          <w:bCs/>
        </w:rPr>
        <w:t>:</w:t>
      </w:r>
      <w:r>
        <w:rPr>
          <w:bCs/>
        </w:rPr>
        <w:tab/>
      </w:r>
    </w:p>
    <w:p w14:paraId="159F9BC9" w14:textId="77777777" w:rsidR="0011062B" w:rsidRDefault="0011062B" w:rsidP="0011062B">
      <w:pPr>
        <w:numPr>
          <w:ilvl w:val="0"/>
          <w:numId w:val="4"/>
        </w:numPr>
        <w:rPr>
          <w:bCs/>
        </w:rPr>
      </w:pPr>
      <w:r>
        <w:rPr>
          <w:bCs/>
        </w:rPr>
        <w:t xml:space="preserve">316 hours currently - 0 hours previously = (+316 hours).  </w:t>
      </w:r>
    </w:p>
    <w:p w14:paraId="272826D1" w14:textId="77777777" w:rsidR="0011062B" w:rsidRDefault="0011062B" w:rsidP="0011062B">
      <w:pPr>
        <w:numPr>
          <w:ilvl w:val="0"/>
          <w:numId w:val="4"/>
        </w:numPr>
        <w:rPr>
          <w:bCs/>
          <w:i/>
        </w:rPr>
      </w:pPr>
      <w:r w:rsidRPr="006E78DE">
        <w:rPr>
          <w:bCs/>
          <w:i/>
        </w:rPr>
        <w:t xml:space="preserve">Program increase due to </w:t>
      </w:r>
      <w:r>
        <w:rPr>
          <w:bCs/>
          <w:i/>
        </w:rPr>
        <w:t>new</w:t>
      </w:r>
      <w:r w:rsidRPr="006E78DE">
        <w:rPr>
          <w:bCs/>
          <w:i/>
        </w:rPr>
        <w:t xml:space="preserve"> form.    </w:t>
      </w:r>
    </w:p>
    <w:p w14:paraId="4A65EDA0" w14:textId="77777777" w:rsidR="0011062B" w:rsidRPr="006A1DCB" w:rsidRDefault="0011062B" w:rsidP="0011062B">
      <w:pPr>
        <w:ind w:left="1440"/>
        <w:rPr>
          <w:bCs/>
          <w:i/>
        </w:rPr>
      </w:pPr>
    </w:p>
    <w:p w14:paraId="4359FAD3" w14:textId="77777777" w:rsidR="0011062B" w:rsidRPr="00EE176D" w:rsidRDefault="0011062B" w:rsidP="0011062B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PA Initial (Internet</w:t>
      </w:r>
      <w:r w:rsidRPr="00EE176D">
        <w:rPr>
          <w:b/>
          <w:bCs/>
        </w:rPr>
        <w:t>)</w:t>
      </w:r>
      <w:r w:rsidRPr="00EE176D">
        <w:rPr>
          <w:bCs/>
        </w:rPr>
        <w:t xml:space="preserve"> </w:t>
      </w:r>
      <w:r>
        <w:rPr>
          <w:bCs/>
        </w:rPr>
        <w:t>is a new survey measure the previous collection did not have</w:t>
      </w:r>
      <w:r w:rsidRPr="00EE176D">
        <w:rPr>
          <w:bCs/>
        </w:rPr>
        <w:t>, with a</w:t>
      </w:r>
      <w:r>
        <w:rPr>
          <w:bCs/>
        </w:rPr>
        <w:t>n increase</w:t>
      </w:r>
      <w:r w:rsidRPr="00EE176D">
        <w:rPr>
          <w:bCs/>
        </w:rPr>
        <w:t xml:space="preserve"> in annual burden hours  of:</w:t>
      </w:r>
    </w:p>
    <w:p w14:paraId="6DF85979" w14:textId="7AEAFE2A" w:rsidR="0011062B" w:rsidRDefault="001B581F" w:rsidP="0011062B">
      <w:pPr>
        <w:numPr>
          <w:ilvl w:val="0"/>
          <w:numId w:val="5"/>
        </w:numPr>
        <w:rPr>
          <w:bCs/>
        </w:rPr>
      </w:pPr>
      <w:r>
        <w:rPr>
          <w:bCs/>
        </w:rPr>
        <w:t>52</w:t>
      </w:r>
      <w:r w:rsidR="0011062B">
        <w:rPr>
          <w:bCs/>
        </w:rPr>
        <w:t xml:space="preserve"> hours currently - 0</w:t>
      </w:r>
      <w:r>
        <w:rPr>
          <w:bCs/>
        </w:rPr>
        <w:t xml:space="preserve"> hours previously = (+52</w:t>
      </w:r>
      <w:r w:rsidR="0011062B">
        <w:rPr>
          <w:bCs/>
        </w:rPr>
        <w:t xml:space="preserve"> hours</w:t>
      </w:r>
      <w:r w:rsidR="0011062B" w:rsidRPr="006E78DE">
        <w:rPr>
          <w:bCs/>
        </w:rPr>
        <w:t xml:space="preserve">).  </w:t>
      </w:r>
    </w:p>
    <w:p w14:paraId="6B8D7B94" w14:textId="77777777" w:rsidR="0011062B" w:rsidRPr="006E78DE" w:rsidRDefault="0011062B" w:rsidP="0011062B">
      <w:pPr>
        <w:numPr>
          <w:ilvl w:val="0"/>
          <w:numId w:val="5"/>
        </w:numPr>
        <w:rPr>
          <w:bCs/>
          <w:i/>
        </w:rPr>
      </w:pPr>
      <w:r w:rsidRPr="006E78DE">
        <w:rPr>
          <w:bCs/>
          <w:i/>
        </w:rPr>
        <w:t xml:space="preserve">Program increase due to </w:t>
      </w:r>
      <w:r>
        <w:rPr>
          <w:bCs/>
          <w:i/>
        </w:rPr>
        <w:t>new</w:t>
      </w:r>
      <w:r w:rsidRPr="006E78DE">
        <w:rPr>
          <w:bCs/>
          <w:i/>
        </w:rPr>
        <w:t xml:space="preserve"> form.    </w:t>
      </w:r>
    </w:p>
    <w:p w14:paraId="2DCACA16" w14:textId="77777777" w:rsidR="0011062B" w:rsidRDefault="0011062B" w:rsidP="0011062B">
      <w:pPr>
        <w:ind w:left="720"/>
        <w:rPr>
          <w:bCs/>
        </w:rPr>
      </w:pPr>
    </w:p>
    <w:p w14:paraId="57B7886E" w14:textId="77777777" w:rsidR="0011062B" w:rsidRPr="00EE176D" w:rsidRDefault="0011062B" w:rsidP="0011062B">
      <w:pPr>
        <w:numPr>
          <w:ilvl w:val="0"/>
          <w:numId w:val="3"/>
        </w:numPr>
        <w:rPr>
          <w:bCs/>
        </w:rPr>
      </w:pPr>
      <w:r w:rsidRPr="009F0844">
        <w:rPr>
          <w:b/>
          <w:bCs/>
        </w:rPr>
        <w:t>PA Assessment</w:t>
      </w:r>
      <w:r>
        <w:rPr>
          <w:bCs/>
        </w:rPr>
        <w:t xml:space="preserve"> </w:t>
      </w:r>
      <w:r w:rsidRPr="009F0844">
        <w:rPr>
          <w:bCs/>
        </w:rPr>
        <w:t>(</w:t>
      </w:r>
      <w:r w:rsidRPr="009F0844">
        <w:rPr>
          <w:b/>
          <w:bCs/>
        </w:rPr>
        <w:t>Phone</w:t>
      </w:r>
      <w:r>
        <w:rPr>
          <w:bCs/>
        </w:rPr>
        <w:t xml:space="preserve">) </w:t>
      </w:r>
      <w:r w:rsidRPr="00EE176D">
        <w:rPr>
          <w:bCs/>
        </w:rPr>
        <w:t>replaces Public Assistance Customer Satisfaction Survey (Phone), with a change in annual burden hours of:</w:t>
      </w:r>
    </w:p>
    <w:p w14:paraId="36F9C704" w14:textId="49CA78B2" w:rsidR="0011062B" w:rsidRDefault="001B581F" w:rsidP="0011062B">
      <w:pPr>
        <w:numPr>
          <w:ilvl w:val="0"/>
          <w:numId w:val="6"/>
        </w:numPr>
        <w:rPr>
          <w:bCs/>
        </w:rPr>
      </w:pPr>
      <w:r>
        <w:rPr>
          <w:bCs/>
        </w:rPr>
        <w:t>371</w:t>
      </w:r>
      <w:r w:rsidR="0011062B">
        <w:rPr>
          <w:bCs/>
        </w:rPr>
        <w:t xml:space="preserve"> hours currently - 2,600</w:t>
      </w:r>
      <w:r w:rsidR="0011062B" w:rsidRPr="009F0844">
        <w:rPr>
          <w:bCs/>
        </w:rPr>
        <w:t xml:space="preserve"> </w:t>
      </w:r>
      <w:r w:rsidR="0011062B">
        <w:rPr>
          <w:bCs/>
        </w:rPr>
        <w:t>hours previously = (- 2,22</w:t>
      </w:r>
      <w:r>
        <w:rPr>
          <w:bCs/>
        </w:rPr>
        <w:t>9</w:t>
      </w:r>
      <w:r w:rsidR="0011062B">
        <w:rPr>
          <w:bCs/>
        </w:rPr>
        <w:t xml:space="preserve"> hours). </w:t>
      </w:r>
    </w:p>
    <w:p w14:paraId="2754C33D" w14:textId="77777777" w:rsidR="0011062B" w:rsidRDefault="0011062B" w:rsidP="0011062B">
      <w:pPr>
        <w:numPr>
          <w:ilvl w:val="0"/>
          <w:numId w:val="6"/>
        </w:numPr>
        <w:rPr>
          <w:bCs/>
        </w:rPr>
      </w:pPr>
      <w:r w:rsidRPr="006E78DE">
        <w:rPr>
          <w:bCs/>
          <w:i/>
        </w:rPr>
        <w:t>Program decrease due to smaller samples, fewer and shorter questions, and less frequent sampling</w:t>
      </w:r>
      <w:r w:rsidRPr="006E78DE">
        <w:rPr>
          <w:bCs/>
        </w:rPr>
        <w:t>.</w:t>
      </w:r>
      <w:r>
        <w:rPr>
          <w:bCs/>
        </w:rPr>
        <w:t xml:space="preserve">   </w:t>
      </w:r>
    </w:p>
    <w:p w14:paraId="79D2CC61" w14:textId="77777777" w:rsidR="0011062B" w:rsidRDefault="0011062B" w:rsidP="0011062B">
      <w:pPr>
        <w:ind w:left="720"/>
        <w:rPr>
          <w:bCs/>
          <w:i/>
        </w:rPr>
      </w:pPr>
    </w:p>
    <w:p w14:paraId="26F7A18C" w14:textId="77777777" w:rsidR="0011062B" w:rsidRPr="00EE176D" w:rsidRDefault="0011062B" w:rsidP="0011062B">
      <w:pPr>
        <w:numPr>
          <w:ilvl w:val="0"/>
          <w:numId w:val="3"/>
        </w:numPr>
        <w:rPr>
          <w:bCs/>
        </w:rPr>
      </w:pPr>
      <w:r>
        <w:rPr>
          <w:b/>
          <w:bCs/>
        </w:rPr>
        <w:t>PA Assessment (Internet</w:t>
      </w:r>
      <w:r w:rsidRPr="00EE176D">
        <w:rPr>
          <w:b/>
          <w:bCs/>
        </w:rPr>
        <w:t xml:space="preserve">) </w:t>
      </w:r>
      <w:r w:rsidRPr="00EE176D">
        <w:rPr>
          <w:bCs/>
        </w:rPr>
        <w:t>replaces Public Assistance Customer Satisfaction Survey (Web), with a change in annual burden hours of:</w:t>
      </w:r>
    </w:p>
    <w:p w14:paraId="04FD3887" w14:textId="77777777" w:rsidR="0011062B" w:rsidRDefault="0011062B" w:rsidP="0011062B">
      <w:pPr>
        <w:numPr>
          <w:ilvl w:val="0"/>
          <w:numId w:val="7"/>
        </w:numPr>
        <w:rPr>
          <w:bCs/>
          <w:i/>
        </w:rPr>
      </w:pPr>
      <w:r>
        <w:rPr>
          <w:bCs/>
        </w:rPr>
        <w:t>72</w:t>
      </w:r>
      <w:r w:rsidRPr="006E78DE">
        <w:rPr>
          <w:bCs/>
        </w:rPr>
        <w:t xml:space="preserve"> hours curren</w:t>
      </w:r>
      <w:r>
        <w:rPr>
          <w:bCs/>
        </w:rPr>
        <w:t xml:space="preserve">tly - 413 hours previously = (-341 </w:t>
      </w:r>
      <w:r w:rsidRPr="006E78DE">
        <w:rPr>
          <w:bCs/>
        </w:rPr>
        <w:t>hours</w:t>
      </w:r>
      <w:r w:rsidRPr="00FF0B16">
        <w:rPr>
          <w:bCs/>
        </w:rPr>
        <w:t>)</w:t>
      </w:r>
      <w:r w:rsidRPr="006E78DE">
        <w:rPr>
          <w:bCs/>
          <w:i/>
        </w:rPr>
        <w:t xml:space="preserve">. </w:t>
      </w:r>
    </w:p>
    <w:p w14:paraId="016E3D28" w14:textId="77777777" w:rsidR="0011062B" w:rsidRPr="006E78DE" w:rsidRDefault="0011062B" w:rsidP="0011062B">
      <w:pPr>
        <w:numPr>
          <w:ilvl w:val="0"/>
          <w:numId w:val="7"/>
        </w:numPr>
        <w:rPr>
          <w:bCs/>
          <w:i/>
        </w:rPr>
      </w:pPr>
      <w:r w:rsidRPr="006E78DE">
        <w:rPr>
          <w:bCs/>
          <w:i/>
        </w:rPr>
        <w:lastRenderedPageBreak/>
        <w:t>Program decrease due to smaller samples, fewer and shorter questions, and less frequent sampling.</w:t>
      </w:r>
    </w:p>
    <w:p w14:paraId="7D2CDE27" w14:textId="77777777" w:rsidR="0011062B" w:rsidRPr="00811517" w:rsidRDefault="0011062B" w:rsidP="0011062B">
      <w:pPr>
        <w:ind w:left="720"/>
        <w:rPr>
          <w:b/>
          <w:bCs/>
        </w:rPr>
      </w:pPr>
    </w:p>
    <w:p w14:paraId="3D5367F8" w14:textId="77777777" w:rsidR="0011062B" w:rsidRDefault="0011062B" w:rsidP="0011062B">
      <w:pPr>
        <w:numPr>
          <w:ilvl w:val="0"/>
          <w:numId w:val="3"/>
        </w:numPr>
        <w:spacing w:after="120"/>
        <w:rPr>
          <w:bCs/>
        </w:rPr>
      </w:pPr>
      <w:r>
        <w:rPr>
          <w:bCs/>
        </w:rPr>
        <w:t>The following methods will be discontinued in the new collection (</w:t>
      </w:r>
      <w:r w:rsidRPr="00F167D9">
        <w:rPr>
          <w:bCs/>
          <w:i/>
        </w:rPr>
        <w:t>Program decrease due to</w:t>
      </w:r>
      <w:r>
        <w:rPr>
          <w:bCs/>
        </w:rPr>
        <w:t xml:space="preserve"> </w:t>
      </w:r>
      <w:r w:rsidRPr="00922323">
        <w:rPr>
          <w:bCs/>
          <w:i/>
        </w:rPr>
        <w:t>rarely used; online and telephone</w:t>
      </w:r>
      <w:r>
        <w:rPr>
          <w:bCs/>
          <w:i/>
        </w:rPr>
        <w:t xml:space="preserve"> methods</w:t>
      </w:r>
      <w:r w:rsidRPr="00922323">
        <w:rPr>
          <w:bCs/>
          <w:i/>
        </w:rPr>
        <w:t xml:space="preserve"> should be adequate</w:t>
      </w:r>
      <w:r>
        <w:rPr>
          <w:bCs/>
        </w:rPr>
        <w:t>):</w:t>
      </w:r>
    </w:p>
    <w:p w14:paraId="43C86664" w14:textId="77777777" w:rsidR="0011062B" w:rsidRPr="00D31186" w:rsidRDefault="0011062B" w:rsidP="0011062B">
      <w:pPr>
        <w:numPr>
          <w:ilvl w:val="1"/>
          <w:numId w:val="3"/>
        </w:numPr>
        <w:spacing w:after="120"/>
        <w:rPr>
          <w:bCs/>
        </w:rPr>
      </w:pPr>
      <w:r w:rsidRPr="00D31186">
        <w:rPr>
          <w:bCs/>
        </w:rPr>
        <w:t>Online Fillable</w:t>
      </w:r>
      <w:r>
        <w:rPr>
          <w:bCs/>
        </w:rPr>
        <w:t>: (</w:t>
      </w:r>
      <w:r w:rsidRPr="00D31186">
        <w:rPr>
          <w:bCs/>
        </w:rPr>
        <w:t>-206 burden hours</w:t>
      </w:r>
      <w:r>
        <w:rPr>
          <w:bCs/>
        </w:rPr>
        <w:t>)</w:t>
      </w:r>
    </w:p>
    <w:p w14:paraId="7A0CE73C" w14:textId="77777777" w:rsidR="0011062B" w:rsidRDefault="0011062B" w:rsidP="0011062B">
      <w:pPr>
        <w:numPr>
          <w:ilvl w:val="1"/>
          <w:numId w:val="3"/>
        </w:numPr>
        <w:spacing w:after="120"/>
        <w:rPr>
          <w:bCs/>
        </w:rPr>
      </w:pPr>
      <w:r>
        <w:rPr>
          <w:bCs/>
        </w:rPr>
        <w:t>Fax: (</w:t>
      </w:r>
      <w:r w:rsidRPr="00D31186">
        <w:rPr>
          <w:bCs/>
        </w:rPr>
        <w:t>-21 burden hours</w:t>
      </w:r>
      <w:r>
        <w:rPr>
          <w:bCs/>
        </w:rPr>
        <w:t>)</w:t>
      </w:r>
    </w:p>
    <w:p w14:paraId="5C0FF1FD" w14:textId="77777777" w:rsidR="0011062B" w:rsidRPr="00922323" w:rsidRDefault="0011062B" w:rsidP="0011062B">
      <w:pPr>
        <w:numPr>
          <w:ilvl w:val="1"/>
          <w:numId w:val="3"/>
        </w:numPr>
        <w:spacing w:after="120"/>
        <w:rPr>
          <w:bCs/>
        </w:rPr>
      </w:pPr>
      <w:r w:rsidRPr="00D31186">
        <w:rPr>
          <w:bCs/>
        </w:rPr>
        <w:t>Mail</w:t>
      </w:r>
      <w:r>
        <w:rPr>
          <w:bCs/>
        </w:rPr>
        <w:t>: (</w:t>
      </w:r>
      <w:r w:rsidRPr="00D31186">
        <w:rPr>
          <w:bCs/>
        </w:rPr>
        <w:t>-21 burden hours</w:t>
      </w:r>
      <w:r>
        <w:rPr>
          <w:bCs/>
        </w:rPr>
        <w:t>)</w:t>
      </w:r>
    </w:p>
    <w:p w14:paraId="6AC3673A" w14:textId="77777777" w:rsidR="0011062B" w:rsidRDefault="0011062B" w:rsidP="0011062B">
      <w:pPr>
        <w:ind w:left="720"/>
        <w:rPr>
          <w:bCs/>
        </w:rPr>
      </w:pPr>
    </w:p>
    <w:p w14:paraId="655C009F" w14:textId="77777777" w:rsidR="0011062B" w:rsidRDefault="0011062B" w:rsidP="0011062B">
      <w:pPr>
        <w:numPr>
          <w:ilvl w:val="0"/>
          <w:numId w:val="3"/>
        </w:numPr>
        <w:rPr>
          <w:bCs/>
        </w:rPr>
      </w:pPr>
      <w:r w:rsidRPr="008500B0">
        <w:rPr>
          <w:bCs/>
        </w:rPr>
        <w:t xml:space="preserve">For </w:t>
      </w:r>
      <w:r>
        <w:rPr>
          <w:b/>
          <w:bCs/>
        </w:rPr>
        <w:t>qualitative interviews,</w:t>
      </w:r>
      <w:r w:rsidRPr="008500B0">
        <w:rPr>
          <w:bCs/>
        </w:rPr>
        <w:t xml:space="preserve"> annual burden hours are:</w:t>
      </w:r>
    </w:p>
    <w:p w14:paraId="1590CAD3" w14:textId="77777777" w:rsidR="0011062B" w:rsidRDefault="0011062B" w:rsidP="0011062B">
      <w:pPr>
        <w:numPr>
          <w:ilvl w:val="0"/>
          <w:numId w:val="8"/>
        </w:numPr>
        <w:rPr>
          <w:bCs/>
        </w:rPr>
      </w:pPr>
      <w:r>
        <w:rPr>
          <w:bCs/>
        </w:rPr>
        <w:t>1480 hours currently - 1080 hours previously = (+ 400 hours)</w:t>
      </w:r>
    </w:p>
    <w:p w14:paraId="6EC1CC2D" w14:textId="77777777" w:rsidR="0011062B" w:rsidRPr="001E6EF5" w:rsidRDefault="0011062B" w:rsidP="0011062B">
      <w:pPr>
        <w:numPr>
          <w:ilvl w:val="0"/>
          <w:numId w:val="8"/>
        </w:numPr>
        <w:rPr>
          <w:bCs/>
        </w:rPr>
      </w:pPr>
      <w:r w:rsidRPr="00F42DE5">
        <w:rPr>
          <w:bCs/>
          <w:i/>
        </w:rPr>
        <w:t xml:space="preserve">Program increase due to increases in </w:t>
      </w:r>
      <w:r>
        <w:rPr>
          <w:bCs/>
          <w:i/>
        </w:rPr>
        <w:t xml:space="preserve">types </w:t>
      </w:r>
      <w:r w:rsidRPr="00F42DE5">
        <w:rPr>
          <w:bCs/>
          <w:i/>
        </w:rPr>
        <w:t>of information</w:t>
      </w:r>
      <w:r>
        <w:rPr>
          <w:bCs/>
          <w:i/>
        </w:rPr>
        <w:t xml:space="preserve"> to be gathered</w:t>
      </w:r>
      <w:r w:rsidRPr="00F42DE5">
        <w:rPr>
          <w:bCs/>
          <w:i/>
        </w:rPr>
        <w:t xml:space="preserve">. </w:t>
      </w:r>
      <w:r w:rsidRPr="001E6EF5">
        <w:rPr>
          <w:bCs/>
        </w:rPr>
        <w:t xml:space="preserve">Public Assistance is currently revamping their program.  The Public Assistance process is constantly evolving, and qualitative </w:t>
      </w:r>
      <w:r>
        <w:rPr>
          <w:bCs/>
        </w:rPr>
        <w:t>interviews</w:t>
      </w:r>
      <w:r w:rsidRPr="001E6EF5">
        <w:rPr>
          <w:bCs/>
        </w:rPr>
        <w:t xml:space="preserve"> add much needed flexibility when it comes to </w:t>
      </w:r>
      <w:r>
        <w:rPr>
          <w:bCs/>
        </w:rPr>
        <w:t xml:space="preserve">gaining insights into </w:t>
      </w:r>
      <w:r w:rsidRPr="001E6EF5">
        <w:rPr>
          <w:bCs/>
        </w:rPr>
        <w:t>customer satisfaction with specific changes that aren’t captured in the surveys.  Interviews are useful because it is sometimes difficult to gather enough respondents in a concentrated area to conduct Public Assistance Focus Groups.</w:t>
      </w:r>
    </w:p>
    <w:p w14:paraId="1BC2DE26" w14:textId="77777777" w:rsidR="0011062B" w:rsidRDefault="0011062B" w:rsidP="0011062B">
      <w:pPr>
        <w:ind w:left="720"/>
        <w:rPr>
          <w:bCs/>
          <w:i/>
        </w:rPr>
      </w:pPr>
    </w:p>
    <w:p w14:paraId="1DD11EC4" w14:textId="77777777" w:rsidR="0011062B" w:rsidRPr="0077116C" w:rsidRDefault="0011062B" w:rsidP="0011062B">
      <w:pPr>
        <w:numPr>
          <w:ilvl w:val="0"/>
          <w:numId w:val="8"/>
        </w:numPr>
        <w:rPr>
          <w:bCs/>
        </w:rPr>
      </w:pPr>
      <w:r w:rsidRPr="0077116C">
        <w:rPr>
          <w:bCs/>
        </w:rPr>
        <w:t>Breakdown:</w:t>
      </w:r>
      <w:r>
        <w:rPr>
          <w:bCs/>
        </w:rPr>
        <w:t xml:space="preserve"> </w:t>
      </w:r>
      <w:r w:rsidRPr="0077116C">
        <w:rPr>
          <w:bCs/>
        </w:rPr>
        <w:t>Focus Groups</w:t>
      </w:r>
      <w:r w:rsidRPr="0077116C">
        <w:rPr>
          <w:bCs/>
          <w:i/>
        </w:rPr>
        <w:t xml:space="preserve">: </w:t>
      </w:r>
      <w:r w:rsidRPr="00884B9C">
        <w:rPr>
          <w:bCs/>
        </w:rPr>
        <w:t>1,</w:t>
      </w:r>
      <w:r w:rsidRPr="0077116C">
        <w:rPr>
          <w:bCs/>
        </w:rPr>
        <w:t xml:space="preserve">080 currently </w:t>
      </w:r>
      <w:r>
        <w:rPr>
          <w:bCs/>
        </w:rPr>
        <w:t>-</w:t>
      </w:r>
      <w:r w:rsidRPr="0077116C">
        <w:rPr>
          <w:bCs/>
        </w:rPr>
        <w:t xml:space="preserve"> 1080 previously = (same).</w:t>
      </w:r>
      <w:r w:rsidRPr="0077116C">
        <w:rPr>
          <w:bCs/>
          <w:i/>
        </w:rPr>
        <w:t xml:space="preserve"> </w:t>
      </w:r>
    </w:p>
    <w:p w14:paraId="7A95F933" w14:textId="77777777" w:rsidR="0011062B" w:rsidRDefault="0011062B" w:rsidP="0011062B">
      <w:pPr>
        <w:ind w:left="720"/>
        <w:rPr>
          <w:bCs/>
          <w:i/>
        </w:rPr>
      </w:pPr>
      <w:r>
        <w:rPr>
          <w:bCs/>
          <w:i/>
        </w:rPr>
        <w:tab/>
      </w:r>
      <w:r>
        <w:rPr>
          <w:bCs/>
          <w:i/>
        </w:rPr>
        <w:tab/>
      </w:r>
      <w:r w:rsidRPr="0077116C">
        <w:rPr>
          <w:bCs/>
        </w:rPr>
        <w:t xml:space="preserve">        </w:t>
      </w:r>
      <w:r>
        <w:rPr>
          <w:bCs/>
        </w:rPr>
        <w:t xml:space="preserve"> </w:t>
      </w:r>
      <w:r w:rsidRPr="0077116C">
        <w:rPr>
          <w:bCs/>
        </w:rPr>
        <w:t>Interviews</w:t>
      </w:r>
      <w:r w:rsidRPr="0077116C">
        <w:rPr>
          <w:bCs/>
          <w:i/>
        </w:rPr>
        <w:t xml:space="preserve">: </w:t>
      </w:r>
      <w:r w:rsidRPr="0077116C">
        <w:rPr>
          <w:bCs/>
        </w:rPr>
        <w:t>400 currently</w:t>
      </w:r>
      <w:r>
        <w:rPr>
          <w:bCs/>
        </w:rPr>
        <w:t xml:space="preserve"> </w:t>
      </w:r>
      <w:r w:rsidRPr="0077116C">
        <w:rPr>
          <w:bCs/>
        </w:rPr>
        <w:t>- 0 previously</w:t>
      </w:r>
      <w:r w:rsidRPr="0077116C">
        <w:rPr>
          <w:bCs/>
          <w:i/>
        </w:rPr>
        <w:t xml:space="preserve"> = </w:t>
      </w:r>
      <w:r w:rsidRPr="00884B9C">
        <w:rPr>
          <w:bCs/>
        </w:rPr>
        <w:t>(</w:t>
      </w:r>
      <w:r w:rsidRPr="0077116C">
        <w:rPr>
          <w:bCs/>
          <w:i/>
        </w:rPr>
        <w:t>+</w:t>
      </w:r>
      <w:r w:rsidRPr="00884B9C">
        <w:rPr>
          <w:bCs/>
        </w:rPr>
        <w:t>400 hours).</w:t>
      </w:r>
    </w:p>
    <w:p w14:paraId="66861BFA" w14:textId="77777777" w:rsidR="0011062B" w:rsidRDefault="0011062B" w:rsidP="0011062B">
      <w:pPr>
        <w:ind w:left="720"/>
        <w:rPr>
          <w:bCs/>
          <w:i/>
        </w:rPr>
      </w:pPr>
    </w:p>
    <w:p w14:paraId="41EC28CD" w14:textId="77777777" w:rsidR="0011062B" w:rsidRDefault="0011062B" w:rsidP="0011062B">
      <w:pPr>
        <w:ind w:left="720"/>
        <w:rPr>
          <w:bCs/>
          <w:i/>
        </w:rPr>
      </w:pPr>
      <w:r>
        <w:rPr>
          <w:bCs/>
          <w:i/>
        </w:rPr>
        <w:t>Note</w:t>
      </w:r>
      <w:r w:rsidRPr="0077116C">
        <w:rPr>
          <w:bCs/>
        </w:rPr>
        <w:t xml:space="preserve">. </w:t>
      </w:r>
      <w:r>
        <w:rPr>
          <w:bCs/>
        </w:rPr>
        <w:t xml:space="preserve">In the </w:t>
      </w:r>
      <w:r w:rsidRPr="0077116C">
        <w:rPr>
          <w:bCs/>
        </w:rPr>
        <w:t>previous coll</w:t>
      </w:r>
      <w:r>
        <w:rPr>
          <w:bCs/>
        </w:rPr>
        <w:t xml:space="preserve">ection, interviews were specified as a possible methodology under focus groups.  </w:t>
      </w:r>
      <w:r w:rsidRPr="0077116C">
        <w:rPr>
          <w:bCs/>
        </w:rPr>
        <w:t>The current collection disentangles the two methods</w:t>
      </w:r>
      <w:r>
        <w:rPr>
          <w:bCs/>
        </w:rPr>
        <w:t xml:space="preserve"> to derive more accurate hour estimates,</w:t>
      </w:r>
      <w:r w:rsidRPr="0077116C">
        <w:rPr>
          <w:bCs/>
        </w:rPr>
        <w:t xml:space="preserve"> but both</w:t>
      </w:r>
      <w:r>
        <w:rPr>
          <w:bCs/>
        </w:rPr>
        <w:t xml:space="preserve"> methods</w:t>
      </w:r>
      <w:r w:rsidRPr="0077116C">
        <w:rPr>
          <w:bCs/>
        </w:rPr>
        <w:t xml:space="preserve"> are still consi</w:t>
      </w:r>
      <w:r>
        <w:rPr>
          <w:bCs/>
        </w:rPr>
        <w:t>dered specialized qualitative interviews</w:t>
      </w:r>
      <w:r w:rsidRPr="0077116C">
        <w:rPr>
          <w:bCs/>
        </w:rPr>
        <w:t>.</w:t>
      </w:r>
      <w:r w:rsidRPr="0077116C">
        <w:rPr>
          <w:bCs/>
          <w:i/>
        </w:rPr>
        <w:t xml:space="preserve">    </w:t>
      </w:r>
    </w:p>
    <w:p w14:paraId="1BE6184B" w14:textId="77777777" w:rsidR="0011062B" w:rsidRDefault="0011062B" w:rsidP="0011062B">
      <w:pPr>
        <w:ind w:left="720"/>
        <w:rPr>
          <w:bCs/>
        </w:rPr>
      </w:pPr>
    </w:p>
    <w:p w14:paraId="653EA439" w14:textId="77777777" w:rsidR="004B5421" w:rsidRPr="0011062B" w:rsidRDefault="004B5421" w:rsidP="00B11616">
      <w:pPr>
        <w:rPr>
          <w:bCs/>
          <w:color w:val="FF0000"/>
        </w:rPr>
      </w:pPr>
    </w:p>
    <w:p w14:paraId="2F2F1AA4" w14:textId="77777777" w:rsidR="004B5421" w:rsidRPr="004B5421" w:rsidRDefault="004B5421" w:rsidP="00E37F23">
      <w:pPr>
        <w:rPr>
          <w:b/>
          <w:bCs/>
          <w:color w:val="FF0000"/>
        </w:rPr>
      </w:pPr>
      <w:r w:rsidRPr="004B5421">
        <w:rPr>
          <w:b/>
          <w:bCs/>
          <w:color w:val="FF0000"/>
          <w:u w:val="single"/>
        </w:rPr>
        <w:t>PLEASE NOT</w:t>
      </w:r>
      <w:r w:rsidR="00B06CD5">
        <w:rPr>
          <w:b/>
          <w:bCs/>
          <w:color w:val="FF0000"/>
          <w:u w:val="single"/>
        </w:rPr>
        <w:t>E</w:t>
      </w:r>
      <w:r w:rsidRPr="004B5421">
        <w:rPr>
          <w:b/>
          <w:bCs/>
          <w:color w:val="FF0000"/>
          <w:u w:val="single"/>
        </w:rPr>
        <w:t xml:space="preserve"> ANY OTHER MAJOR CHANGES HERE IF APPLICABLE</w:t>
      </w:r>
      <w:r w:rsidRPr="004B5421">
        <w:rPr>
          <w:b/>
          <w:bCs/>
          <w:color w:val="FF0000"/>
        </w:rPr>
        <w:t>.</w:t>
      </w:r>
    </w:p>
    <w:p w14:paraId="3D1DC9B0" w14:textId="77777777" w:rsidR="00FB154B" w:rsidRDefault="00FB154B" w:rsidP="00B11616">
      <w:pPr>
        <w:rPr>
          <w:bCs/>
          <w:color w:val="FF0000"/>
        </w:rPr>
      </w:pPr>
    </w:p>
    <w:p w14:paraId="3ACF430C" w14:textId="77777777" w:rsidR="00FB154B" w:rsidRPr="004B5421" w:rsidRDefault="00FB154B" w:rsidP="00B11616">
      <w:pPr>
        <w:rPr>
          <w:bCs/>
          <w:color w:val="FF0000"/>
        </w:rPr>
      </w:pPr>
    </w:p>
    <w:p w14:paraId="3C4C0298" w14:textId="65150D3A" w:rsidR="00FB154B" w:rsidRPr="00410D56" w:rsidRDefault="003F6B5F" w:rsidP="000953C3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The biggest change is that we have taken one survey and split the content into two shorter surveys.</w:t>
      </w:r>
      <w:r w:rsidR="000953C3">
        <w:rPr>
          <w:rFonts w:cs="Times New Roman"/>
          <w:szCs w:val="24"/>
        </w:rPr>
        <w:t xml:space="preserve">  The Public Assistance </w:t>
      </w:r>
      <w:r w:rsidR="000953C3" w:rsidRPr="000953C3">
        <w:rPr>
          <w:rFonts w:cs="Times New Roman"/>
          <w:i/>
          <w:szCs w:val="24"/>
        </w:rPr>
        <w:t>Assessment</w:t>
      </w:r>
      <w:r w:rsidR="000953C3">
        <w:rPr>
          <w:rFonts w:cs="Times New Roman"/>
          <w:szCs w:val="24"/>
        </w:rPr>
        <w:t xml:space="preserve"> Survey is more similar to the currently approved survey, whereas the Public Assistance </w:t>
      </w:r>
      <w:r w:rsidR="000953C3" w:rsidRPr="000953C3">
        <w:rPr>
          <w:rFonts w:cs="Times New Roman"/>
          <w:i/>
          <w:szCs w:val="24"/>
        </w:rPr>
        <w:t>Initial</w:t>
      </w:r>
      <w:r w:rsidR="000953C3">
        <w:rPr>
          <w:rFonts w:cs="Times New Roman"/>
          <w:szCs w:val="24"/>
        </w:rPr>
        <w:t xml:space="preserve"> Survey is designed to capture satisfaction with the </w:t>
      </w:r>
      <w:r w:rsidR="000953C3" w:rsidRPr="000953C3">
        <w:rPr>
          <w:rFonts w:cs="Times New Roman"/>
          <w:i/>
          <w:szCs w:val="24"/>
        </w:rPr>
        <w:t>early stages</w:t>
      </w:r>
      <w:r w:rsidR="000953C3">
        <w:rPr>
          <w:rFonts w:cs="Times New Roman"/>
          <w:szCs w:val="24"/>
        </w:rPr>
        <w:t xml:space="preserve"> of the Public Assistance process.</w:t>
      </w:r>
      <w:r>
        <w:rPr>
          <w:rFonts w:cs="Times New Roman"/>
          <w:szCs w:val="24"/>
        </w:rPr>
        <w:t xml:space="preserve">  Some applicants may be surveyed twice, altho</w:t>
      </w:r>
      <w:r w:rsidR="00294453">
        <w:rPr>
          <w:rFonts w:cs="Times New Roman"/>
          <w:szCs w:val="24"/>
        </w:rPr>
        <w:t xml:space="preserve">ugh overall burden should </w:t>
      </w:r>
      <w:r>
        <w:rPr>
          <w:rFonts w:cs="Times New Roman"/>
          <w:szCs w:val="24"/>
        </w:rPr>
        <w:t>be less.  Additionally, ineligible applicants may be surveyed for the Initial Public Assistance Customer Satisfaction Survey.  Surveys will now be administered on a monthly basis as opposed to a DR basis.</w:t>
      </w:r>
      <w:r w:rsidR="000953C3">
        <w:rPr>
          <w:rFonts w:cs="Times New Roman"/>
          <w:szCs w:val="24"/>
        </w:rPr>
        <w:t xml:space="preserve">  </w:t>
      </w:r>
      <w:r w:rsidR="000953C3" w:rsidRPr="000953C3">
        <w:rPr>
          <w:rFonts w:cs="Times New Roman"/>
          <w:szCs w:val="24"/>
        </w:rPr>
        <w:t>Survey content has been revised to reflect large scale changes in the FEMA Public Assistance</w:t>
      </w:r>
      <w:r w:rsidR="00294453">
        <w:rPr>
          <w:rFonts w:cs="Times New Roman"/>
          <w:szCs w:val="24"/>
        </w:rPr>
        <w:t xml:space="preserve"> Program, although the overall goal of the surveys (measuring customer satisfaction with Public Assistance) remains the same.</w:t>
      </w:r>
      <w:r>
        <w:rPr>
          <w:rFonts w:cs="Times New Roman"/>
          <w:szCs w:val="24"/>
        </w:rPr>
        <w:t xml:space="preserve">  </w:t>
      </w:r>
    </w:p>
    <w:sectPr w:rsidR="00FB154B" w:rsidRPr="00410D56" w:rsidSect="0011062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69C0"/>
    <w:multiLevelType w:val="hybridMultilevel"/>
    <w:tmpl w:val="425063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541C1E"/>
    <w:multiLevelType w:val="hybridMultilevel"/>
    <w:tmpl w:val="63262C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4C41F8"/>
    <w:multiLevelType w:val="hybridMultilevel"/>
    <w:tmpl w:val="4BDC91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C60563"/>
    <w:multiLevelType w:val="hybridMultilevel"/>
    <w:tmpl w:val="3A38E3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8262C7"/>
    <w:multiLevelType w:val="hybridMultilevel"/>
    <w:tmpl w:val="88E8B4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B12828"/>
    <w:multiLevelType w:val="hybridMultilevel"/>
    <w:tmpl w:val="BC56A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D22D0C"/>
    <w:multiLevelType w:val="hybridMultilevel"/>
    <w:tmpl w:val="0BBEC6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C2D1536"/>
    <w:multiLevelType w:val="hybridMultilevel"/>
    <w:tmpl w:val="43D0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43"/>
    <w:rsid w:val="000018CF"/>
    <w:rsid w:val="000239DF"/>
    <w:rsid w:val="00036D42"/>
    <w:rsid w:val="00037293"/>
    <w:rsid w:val="00041661"/>
    <w:rsid w:val="000953C3"/>
    <w:rsid w:val="001022BA"/>
    <w:rsid w:val="00103D1F"/>
    <w:rsid w:val="0011062B"/>
    <w:rsid w:val="00140471"/>
    <w:rsid w:val="00156242"/>
    <w:rsid w:val="001567A0"/>
    <w:rsid w:val="001927FD"/>
    <w:rsid w:val="001A6C57"/>
    <w:rsid w:val="001B5711"/>
    <w:rsid w:val="001B581F"/>
    <w:rsid w:val="001D32C1"/>
    <w:rsid w:val="00201F20"/>
    <w:rsid w:val="002714DF"/>
    <w:rsid w:val="00287348"/>
    <w:rsid w:val="00294453"/>
    <w:rsid w:val="002A07C4"/>
    <w:rsid w:val="003044DA"/>
    <w:rsid w:val="0031302F"/>
    <w:rsid w:val="00315CC4"/>
    <w:rsid w:val="00325DE8"/>
    <w:rsid w:val="00343BAA"/>
    <w:rsid w:val="00356095"/>
    <w:rsid w:val="003811EC"/>
    <w:rsid w:val="003A71F4"/>
    <w:rsid w:val="003C2412"/>
    <w:rsid w:val="003C782D"/>
    <w:rsid w:val="003F6B5F"/>
    <w:rsid w:val="00425814"/>
    <w:rsid w:val="00444983"/>
    <w:rsid w:val="00461A94"/>
    <w:rsid w:val="00495AE9"/>
    <w:rsid w:val="00497A94"/>
    <w:rsid w:val="004A3609"/>
    <w:rsid w:val="004A5C77"/>
    <w:rsid w:val="004B5421"/>
    <w:rsid w:val="004E547A"/>
    <w:rsid w:val="00526C42"/>
    <w:rsid w:val="005629F5"/>
    <w:rsid w:val="00590D48"/>
    <w:rsid w:val="005B3D80"/>
    <w:rsid w:val="005D50D8"/>
    <w:rsid w:val="005E02C4"/>
    <w:rsid w:val="005F4841"/>
    <w:rsid w:val="006044E3"/>
    <w:rsid w:val="00630C5B"/>
    <w:rsid w:val="00643FAF"/>
    <w:rsid w:val="006630A0"/>
    <w:rsid w:val="0066759F"/>
    <w:rsid w:val="006801CF"/>
    <w:rsid w:val="006B4362"/>
    <w:rsid w:val="006D3D01"/>
    <w:rsid w:val="006F6F42"/>
    <w:rsid w:val="0073270B"/>
    <w:rsid w:val="00734551"/>
    <w:rsid w:val="0074675C"/>
    <w:rsid w:val="00796354"/>
    <w:rsid w:val="007A3831"/>
    <w:rsid w:val="007E4127"/>
    <w:rsid w:val="00800B00"/>
    <w:rsid w:val="00815FAB"/>
    <w:rsid w:val="0081654B"/>
    <w:rsid w:val="00841715"/>
    <w:rsid w:val="008465D8"/>
    <w:rsid w:val="008744E8"/>
    <w:rsid w:val="00892B78"/>
    <w:rsid w:val="008A116A"/>
    <w:rsid w:val="008A484A"/>
    <w:rsid w:val="008A4AE8"/>
    <w:rsid w:val="008C23E8"/>
    <w:rsid w:val="008E5764"/>
    <w:rsid w:val="0090707B"/>
    <w:rsid w:val="009619C6"/>
    <w:rsid w:val="00970664"/>
    <w:rsid w:val="009718B8"/>
    <w:rsid w:val="009718EB"/>
    <w:rsid w:val="00A04B7C"/>
    <w:rsid w:val="00A402B9"/>
    <w:rsid w:val="00A47DF3"/>
    <w:rsid w:val="00AB2766"/>
    <w:rsid w:val="00AC7E1C"/>
    <w:rsid w:val="00AE71EA"/>
    <w:rsid w:val="00AE7A98"/>
    <w:rsid w:val="00AF4B16"/>
    <w:rsid w:val="00B06CD5"/>
    <w:rsid w:val="00B11616"/>
    <w:rsid w:val="00B42E04"/>
    <w:rsid w:val="00B6447D"/>
    <w:rsid w:val="00B96CCF"/>
    <w:rsid w:val="00BC4A3D"/>
    <w:rsid w:val="00BD0143"/>
    <w:rsid w:val="00BD2051"/>
    <w:rsid w:val="00BF0EB5"/>
    <w:rsid w:val="00BF527D"/>
    <w:rsid w:val="00C2092F"/>
    <w:rsid w:val="00C51CCB"/>
    <w:rsid w:val="00C557B8"/>
    <w:rsid w:val="00C71CD3"/>
    <w:rsid w:val="00CB63A3"/>
    <w:rsid w:val="00D068CF"/>
    <w:rsid w:val="00D073AE"/>
    <w:rsid w:val="00D13036"/>
    <w:rsid w:val="00D20FD6"/>
    <w:rsid w:val="00D21531"/>
    <w:rsid w:val="00D43E73"/>
    <w:rsid w:val="00D7452B"/>
    <w:rsid w:val="00D82232"/>
    <w:rsid w:val="00DF4674"/>
    <w:rsid w:val="00E11674"/>
    <w:rsid w:val="00E17781"/>
    <w:rsid w:val="00E37F23"/>
    <w:rsid w:val="00E6056C"/>
    <w:rsid w:val="00E93260"/>
    <w:rsid w:val="00E941B7"/>
    <w:rsid w:val="00EC2D3A"/>
    <w:rsid w:val="00F045DD"/>
    <w:rsid w:val="00F543E0"/>
    <w:rsid w:val="00F70272"/>
    <w:rsid w:val="00F71A03"/>
    <w:rsid w:val="00FB154B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C0CE"/>
  <w15:docId w15:val="{43F95D16-69BA-4847-84C9-EE8AE6B0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rsid w:val="00315CC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7E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E1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154B"/>
    <w:pPr>
      <w:spacing w:after="200" w:line="276" w:lineRule="auto"/>
      <w:ind w:left="720"/>
      <w:contextualSpacing/>
    </w:pPr>
    <w:rPr>
      <w:rFonts w:eastAsiaTheme="minorEastAsia" w:cstheme="minorBid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64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47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47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4885D-7A56-488A-849C-FF60FD2D0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9352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jramsayj</dc:creator>
  <cp:lastModifiedBy>Greene, Sherina</cp:lastModifiedBy>
  <cp:revision>4</cp:revision>
  <dcterms:created xsi:type="dcterms:W3CDTF">2017-03-24T18:58:00Z</dcterms:created>
  <dcterms:modified xsi:type="dcterms:W3CDTF">2017-03-28T11:09:00Z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