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236A4" w14:textId="12C9CA29" w:rsidR="006D533E" w:rsidRPr="009D40B5" w:rsidRDefault="00366041" w:rsidP="00E85591">
      <w:pPr>
        <w:pStyle w:val="Title"/>
        <w:spacing w:line="276" w:lineRule="auto"/>
        <w:rPr>
          <w:sz w:val="40"/>
          <w:szCs w:val="40"/>
        </w:rPr>
      </w:pPr>
      <w:r w:rsidRPr="00D36880">
        <w:rPr>
          <w:b/>
        </w:rPr>
        <w:t>Text Ed: A Study of Text Messaging to Improve College Enrollment Rates Among Disadvantaged Adults</w:t>
      </w:r>
      <w:r w:rsidR="007E1830">
        <w:rPr>
          <w:sz w:val="40"/>
          <w:szCs w:val="40"/>
        </w:rPr>
        <w:br/>
      </w:r>
      <w:r w:rsidR="006D533E" w:rsidRPr="009D40B5">
        <w:rPr>
          <w:sz w:val="40"/>
          <w:szCs w:val="40"/>
        </w:rPr>
        <w:t xml:space="preserve">OMB </w:t>
      </w:r>
      <w:r w:rsidR="009D40B5" w:rsidRPr="009D40B5">
        <w:rPr>
          <w:sz w:val="40"/>
          <w:szCs w:val="40"/>
        </w:rPr>
        <w:t>Data Collection Package:</w:t>
      </w:r>
      <w:r w:rsidR="009D40B5">
        <w:rPr>
          <w:sz w:val="40"/>
          <w:szCs w:val="40"/>
        </w:rPr>
        <w:t xml:space="preserve"> </w:t>
      </w:r>
      <w:r w:rsidR="009D40B5">
        <w:rPr>
          <w:sz w:val="40"/>
          <w:szCs w:val="40"/>
        </w:rPr>
        <w:br/>
      </w:r>
      <w:r w:rsidR="00292C90">
        <w:rPr>
          <w:sz w:val="40"/>
          <w:szCs w:val="40"/>
        </w:rPr>
        <w:t>Supporting Statements B</w:t>
      </w:r>
    </w:p>
    <w:p w14:paraId="1E5236A6" w14:textId="77777777" w:rsidR="006D533E" w:rsidRDefault="006D533E" w:rsidP="00E85591">
      <w:pPr>
        <w:pStyle w:val="Title"/>
        <w:spacing w:line="276" w:lineRule="auto"/>
        <w:rPr>
          <w:b/>
          <w:smallCaps/>
          <w:sz w:val="28"/>
        </w:rPr>
      </w:pPr>
    </w:p>
    <w:p w14:paraId="1E5236A7" w14:textId="3604A0B9" w:rsidR="006D533E" w:rsidRDefault="003F37D4" w:rsidP="00E85591">
      <w:pPr>
        <w:pStyle w:val="Title"/>
        <w:spacing w:line="276" w:lineRule="auto"/>
        <w:rPr>
          <w:b/>
          <w:bCs/>
          <w:sz w:val="32"/>
        </w:rPr>
      </w:pPr>
      <w:bookmarkStart w:id="0" w:name="_Toc66176139"/>
      <w:r>
        <w:rPr>
          <w:b/>
          <w:bCs/>
          <w:sz w:val="32"/>
        </w:rPr>
        <w:t xml:space="preserve">June </w:t>
      </w:r>
      <w:r w:rsidR="006D533E">
        <w:rPr>
          <w:b/>
          <w:bCs/>
          <w:sz w:val="32"/>
        </w:rPr>
        <w:t>201</w:t>
      </w:r>
      <w:bookmarkEnd w:id="0"/>
      <w:r w:rsidR="00245772">
        <w:rPr>
          <w:b/>
          <w:bCs/>
          <w:sz w:val="32"/>
        </w:rPr>
        <w:t>7</w:t>
      </w:r>
    </w:p>
    <w:p w14:paraId="1E5236A8" w14:textId="77777777" w:rsidR="006D533E" w:rsidRDefault="006D533E" w:rsidP="00E85591">
      <w:pPr>
        <w:pStyle w:val="Title"/>
        <w:spacing w:line="276" w:lineRule="auto"/>
        <w:rPr>
          <w:b/>
          <w:smallCaps/>
          <w:sz w:val="32"/>
        </w:rPr>
      </w:pPr>
    </w:p>
    <w:p w14:paraId="1E5236A9" w14:textId="77777777" w:rsidR="009D40B5" w:rsidRDefault="009D40B5" w:rsidP="00E85591">
      <w:pPr>
        <w:pStyle w:val="Title"/>
        <w:spacing w:line="276" w:lineRule="auto"/>
        <w:rPr>
          <w:b/>
          <w:smallCaps/>
          <w:sz w:val="24"/>
          <w:szCs w:val="24"/>
        </w:rPr>
      </w:pPr>
    </w:p>
    <w:p w14:paraId="1E5236AA" w14:textId="77777777" w:rsidR="009D40B5" w:rsidRDefault="009D40B5" w:rsidP="00E85591">
      <w:pPr>
        <w:pStyle w:val="Title"/>
        <w:spacing w:line="276" w:lineRule="auto"/>
        <w:rPr>
          <w:b/>
          <w:smallCaps/>
          <w:sz w:val="24"/>
          <w:szCs w:val="24"/>
        </w:rPr>
      </w:pPr>
    </w:p>
    <w:p w14:paraId="1E5236AB" w14:textId="77777777" w:rsidR="006D533E" w:rsidRPr="009D40B5" w:rsidRDefault="006D533E" w:rsidP="00E85591">
      <w:pPr>
        <w:pStyle w:val="Title"/>
        <w:spacing w:line="276" w:lineRule="auto"/>
        <w:rPr>
          <w:b/>
          <w:smallCaps/>
          <w:sz w:val="24"/>
          <w:szCs w:val="24"/>
        </w:rPr>
      </w:pPr>
      <w:r w:rsidRPr="009D40B5">
        <w:rPr>
          <w:b/>
          <w:smallCaps/>
          <w:sz w:val="24"/>
          <w:szCs w:val="24"/>
        </w:rPr>
        <w:t>Prepared for:</w:t>
      </w:r>
    </w:p>
    <w:p w14:paraId="1E5236AC" w14:textId="77777777" w:rsidR="006D533E" w:rsidRPr="009D40B5" w:rsidRDefault="006D533E" w:rsidP="00E85591">
      <w:pPr>
        <w:pStyle w:val="Title"/>
        <w:spacing w:line="276" w:lineRule="auto"/>
        <w:rPr>
          <w:sz w:val="24"/>
          <w:szCs w:val="24"/>
        </w:rPr>
      </w:pPr>
      <w:r w:rsidRPr="009D40B5">
        <w:rPr>
          <w:sz w:val="24"/>
          <w:szCs w:val="24"/>
        </w:rPr>
        <w:t>Institute of Education Sciences</w:t>
      </w:r>
    </w:p>
    <w:p w14:paraId="1E5236AD" w14:textId="77777777" w:rsidR="006D533E" w:rsidRPr="009D40B5" w:rsidRDefault="006D533E" w:rsidP="00E85591">
      <w:pPr>
        <w:pStyle w:val="Title"/>
        <w:spacing w:line="276" w:lineRule="auto"/>
        <w:rPr>
          <w:sz w:val="24"/>
          <w:szCs w:val="24"/>
        </w:rPr>
      </w:pPr>
      <w:r w:rsidRPr="009D40B5">
        <w:rPr>
          <w:sz w:val="24"/>
          <w:szCs w:val="24"/>
        </w:rPr>
        <w:t>United States Department of Education</w:t>
      </w:r>
      <w:r w:rsidR="009D40B5">
        <w:rPr>
          <w:sz w:val="24"/>
          <w:szCs w:val="24"/>
        </w:rPr>
        <w:br/>
        <w:t>Project Officer: Melanie Ali</w:t>
      </w:r>
    </w:p>
    <w:p w14:paraId="1E5236AE" w14:textId="77777777" w:rsidR="006D533E" w:rsidRPr="009D40B5" w:rsidRDefault="009D40B5" w:rsidP="00E85591">
      <w:pPr>
        <w:pStyle w:val="Title"/>
        <w:spacing w:line="276" w:lineRule="auto"/>
        <w:rPr>
          <w:smallCaps/>
          <w:sz w:val="24"/>
          <w:szCs w:val="24"/>
        </w:rPr>
      </w:pPr>
      <w:r>
        <w:rPr>
          <w:sz w:val="24"/>
          <w:szCs w:val="24"/>
        </w:rPr>
        <w:t>Contract Number:</w:t>
      </w:r>
      <w:r w:rsidR="006D533E" w:rsidRPr="009D40B5">
        <w:rPr>
          <w:sz w:val="24"/>
          <w:szCs w:val="24"/>
        </w:rPr>
        <w:t xml:space="preserve"> </w:t>
      </w:r>
      <w:r w:rsidR="006D533E" w:rsidRPr="009D40B5">
        <w:rPr>
          <w:rFonts w:eastAsiaTheme="minorHAnsi"/>
          <w:sz w:val="24"/>
          <w:szCs w:val="24"/>
        </w:rPr>
        <w:t>ED-IES-16-C-0016</w:t>
      </w:r>
    </w:p>
    <w:p w14:paraId="1E5236AF" w14:textId="77777777" w:rsidR="006D533E" w:rsidRPr="009D40B5" w:rsidRDefault="006D533E" w:rsidP="00E85591">
      <w:pPr>
        <w:pStyle w:val="Title"/>
        <w:spacing w:line="276" w:lineRule="auto"/>
        <w:rPr>
          <w:b/>
          <w:smallCaps/>
          <w:sz w:val="24"/>
          <w:szCs w:val="24"/>
        </w:rPr>
      </w:pPr>
    </w:p>
    <w:p w14:paraId="1E5236B0" w14:textId="77777777" w:rsidR="006D533E" w:rsidRPr="009D40B5" w:rsidRDefault="006D533E" w:rsidP="00E85591">
      <w:pPr>
        <w:pStyle w:val="Title"/>
        <w:spacing w:line="276" w:lineRule="auto"/>
        <w:rPr>
          <w:b/>
          <w:smallCaps/>
          <w:sz w:val="24"/>
          <w:szCs w:val="24"/>
        </w:rPr>
      </w:pPr>
      <w:r w:rsidRPr="009D40B5">
        <w:rPr>
          <w:b/>
          <w:smallCaps/>
          <w:sz w:val="24"/>
          <w:szCs w:val="24"/>
        </w:rPr>
        <w:t>Prepared By:</w:t>
      </w:r>
    </w:p>
    <w:p w14:paraId="1E5236B1" w14:textId="77777777" w:rsidR="006D533E" w:rsidRPr="009D40B5" w:rsidRDefault="006D533E" w:rsidP="00E85591">
      <w:pPr>
        <w:pStyle w:val="Title"/>
        <w:spacing w:line="276" w:lineRule="auto"/>
        <w:rPr>
          <w:sz w:val="24"/>
          <w:szCs w:val="24"/>
        </w:rPr>
      </w:pPr>
      <w:r w:rsidRPr="009D40B5">
        <w:rPr>
          <w:sz w:val="24"/>
          <w:szCs w:val="24"/>
        </w:rPr>
        <w:t>MDRC</w:t>
      </w:r>
    </w:p>
    <w:p w14:paraId="1E5236B2" w14:textId="77777777" w:rsidR="006D533E" w:rsidRPr="009D40B5" w:rsidRDefault="006D533E" w:rsidP="00E85591">
      <w:pPr>
        <w:pStyle w:val="Title"/>
        <w:spacing w:line="276" w:lineRule="auto"/>
        <w:rPr>
          <w:sz w:val="24"/>
          <w:szCs w:val="24"/>
        </w:rPr>
      </w:pPr>
      <w:r w:rsidRPr="009D40B5">
        <w:rPr>
          <w:sz w:val="24"/>
          <w:szCs w:val="24"/>
        </w:rPr>
        <w:t>16 East 34</w:t>
      </w:r>
      <w:r w:rsidRPr="009D40B5">
        <w:rPr>
          <w:sz w:val="24"/>
          <w:szCs w:val="24"/>
          <w:vertAlign w:val="superscript"/>
        </w:rPr>
        <w:t>th</w:t>
      </w:r>
      <w:r w:rsidRPr="009D40B5">
        <w:rPr>
          <w:sz w:val="24"/>
          <w:szCs w:val="24"/>
        </w:rPr>
        <w:t xml:space="preserve"> Street, 19</w:t>
      </w:r>
      <w:r w:rsidRPr="009D40B5">
        <w:rPr>
          <w:sz w:val="24"/>
          <w:szCs w:val="24"/>
          <w:vertAlign w:val="superscript"/>
        </w:rPr>
        <w:t>th</w:t>
      </w:r>
      <w:r w:rsidRPr="009D40B5">
        <w:rPr>
          <w:sz w:val="24"/>
          <w:szCs w:val="24"/>
        </w:rPr>
        <w:t xml:space="preserve"> Floor</w:t>
      </w:r>
    </w:p>
    <w:p w14:paraId="1E5236B3" w14:textId="77777777" w:rsidR="006D533E" w:rsidRPr="009D40B5" w:rsidRDefault="006D533E" w:rsidP="00E85591">
      <w:pPr>
        <w:pStyle w:val="Title"/>
        <w:spacing w:line="276" w:lineRule="auto"/>
        <w:rPr>
          <w:sz w:val="24"/>
          <w:szCs w:val="24"/>
        </w:rPr>
      </w:pPr>
      <w:r w:rsidRPr="009D40B5">
        <w:rPr>
          <w:sz w:val="24"/>
          <w:szCs w:val="24"/>
        </w:rPr>
        <w:t>New York, NY 10016</w:t>
      </w:r>
    </w:p>
    <w:p w14:paraId="1E5236B4" w14:textId="77777777" w:rsidR="006D533E" w:rsidRPr="009D40B5" w:rsidRDefault="006D533E" w:rsidP="00E85591">
      <w:pPr>
        <w:pStyle w:val="Title"/>
        <w:spacing w:line="276" w:lineRule="auto"/>
        <w:rPr>
          <w:sz w:val="24"/>
          <w:szCs w:val="24"/>
        </w:rPr>
      </w:pPr>
      <w:r w:rsidRPr="009D40B5">
        <w:rPr>
          <w:sz w:val="24"/>
          <w:szCs w:val="24"/>
        </w:rPr>
        <w:t>Alex Mayer, Project Director</w:t>
      </w:r>
    </w:p>
    <w:p w14:paraId="1E5236B5" w14:textId="77777777" w:rsidR="006D533E" w:rsidRPr="009D40B5" w:rsidRDefault="00AC43AD" w:rsidP="00E85591">
      <w:pPr>
        <w:pStyle w:val="Title"/>
        <w:spacing w:line="276" w:lineRule="auto"/>
        <w:rPr>
          <w:sz w:val="24"/>
          <w:szCs w:val="24"/>
        </w:rPr>
      </w:pPr>
      <w:hyperlink r:id="rId12" w:history="1">
        <w:r w:rsidR="006D533E" w:rsidRPr="009D40B5">
          <w:rPr>
            <w:rStyle w:val="Hyperlink"/>
            <w:sz w:val="24"/>
            <w:szCs w:val="24"/>
          </w:rPr>
          <w:t>Alexander.Mayer@mdrc.org</w:t>
        </w:r>
      </w:hyperlink>
      <w:r w:rsidR="006D533E" w:rsidRPr="009D40B5">
        <w:rPr>
          <w:sz w:val="24"/>
          <w:szCs w:val="24"/>
        </w:rPr>
        <w:t xml:space="preserve"> </w:t>
      </w:r>
    </w:p>
    <w:p w14:paraId="1E5236B6" w14:textId="77777777" w:rsidR="006D533E" w:rsidRDefault="006D533E" w:rsidP="00E85591">
      <w:pPr>
        <w:pStyle w:val="Title"/>
        <w:spacing w:line="276" w:lineRule="auto"/>
        <w:rPr>
          <w:rFonts w:eastAsiaTheme="minorHAnsi"/>
        </w:rPr>
      </w:pPr>
      <w:r w:rsidRPr="009D40B5">
        <w:rPr>
          <w:sz w:val="24"/>
          <w:szCs w:val="24"/>
        </w:rPr>
        <w:t>(212) 340-4476</w:t>
      </w:r>
      <w:r w:rsidR="009D40B5">
        <w:rPr>
          <w:sz w:val="28"/>
          <w:szCs w:val="28"/>
        </w:rPr>
        <w:br/>
      </w:r>
    </w:p>
    <w:p w14:paraId="1E5236B7" w14:textId="77777777" w:rsidR="009C146C" w:rsidRDefault="006D533E" w:rsidP="00E85591">
      <w:pPr>
        <w:spacing w:after="200" w:line="276" w:lineRule="auto"/>
        <w:rPr>
          <w:rFonts w:eastAsiaTheme="minorHAnsi"/>
        </w:rPr>
        <w:sectPr w:rsidR="009C146C">
          <w:headerReference w:type="default" r:id="rId13"/>
          <w:footerReference w:type="default" r:id="rId14"/>
          <w:pgSz w:w="12240" w:h="15840"/>
          <w:pgMar w:top="1440" w:right="1440" w:bottom="1440" w:left="1440" w:header="720" w:footer="720" w:gutter="0"/>
          <w:cols w:space="720"/>
          <w:docGrid w:linePitch="360"/>
        </w:sectPr>
      </w:pPr>
      <w:r>
        <w:rPr>
          <w:rFonts w:eastAsiaTheme="minorHAnsi"/>
        </w:rPr>
        <w:br w:type="page"/>
      </w:r>
      <w:r w:rsidR="004F1BFF">
        <w:rPr>
          <w:noProof/>
        </w:rPr>
        <w:drawing>
          <wp:anchor distT="0" distB="0" distL="114300" distR="114300" simplePos="0" relativeHeight="251658240" behindDoc="0" locked="1" layoutInCell="1" allowOverlap="1" wp14:anchorId="1E523943" wp14:editId="1E523944">
            <wp:simplePos x="0" y="0"/>
            <wp:positionH relativeFrom="column">
              <wp:posOffset>2150110</wp:posOffset>
            </wp:positionH>
            <wp:positionV relativeFrom="paragraph">
              <wp:posOffset>170180</wp:posOffset>
            </wp:positionV>
            <wp:extent cx="1823720" cy="968375"/>
            <wp:effectExtent l="0" t="0" r="508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3720" cy="968375"/>
                    </a:xfrm>
                    <a:prstGeom prst="rect">
                      <a:avLst/>
                    </a:prstGeom>
                    <a:noFill/>
                  </pic:spPr>
                </pic:pic>
              </a:graphicData>
            </a:graphic>
            <wp14:sizeRelH relativeFrom="page">
              <wp14:pctWidth>0</wp14:pctWidth>
            </wp14:sizeRelH>
            <wp14:sizeRelV relativeFrom="page">
              <wp14:pctHeight>0</wp14:pctHeight>
            </wp14:sizeRelV>
          </wp:anchor>
        </w:drawing>
      </w:r>
    </w:p>
    <w:sdt>
      <w:sdtPr>
        <w:rPr>
          <w:rFonts w:ascii="Times New Roman" w:eastAsia="Times New Roman" w:hAnsi="Times New Roman" w:cs="Times New Roman"/>
          <w:b w:val="0"/>
          <w:bCs w:val="0"/>
          <w:color w:val="auto"/>
          <w:sz w:val="24"/>
          <w:szCs w:val="24"/>
          <w:lang w:eastAsia="en-US"/>
        </w:rPr>
        <w:id w:val="-2016065098"/>
        <w:docPartObj>
          <w:docPartGallery w:val="Table of Contents"/>
          <w:docPartUnique/>
        </w:docPartObj>
      </w:sdtPr>
      <w:sdtEndPr>
        <w:rPr>
          <w:noProof/>
        </w:rPr>
      </w:sdtEndPr>
      <w:sdtContent>
        <w:p w14:paraId="1E5236B8" w14:textId="77777777" w:rsidR="00F92709" w:rsidRDefault="00F92709" w:rsidP="00E85591">
          <w:pPr>
            <w:pStyle w:val="TOCHeading"/>
          </w:pPr>
          <w:r>
            <w:t>Table of Contents</w:t>
          </w:r>
        </w:p>
        <w:p w14:paraId="1E5236B9" w14:textId="77777777" w:rsidR="00F92709" w:rsidRPr="00F92709" w:rsidRDefault="00F92709" w:rsidP="00E85591">
          <w:pPr>
            <w:spacing w:line="276" w:lineRule="auto"/>
            <w:rPr>
              <w:lang w:eastAsia="ja-JP"/>
            </w:rPr>
          </w:pPr>
        </w:p>
        <w:p w14:paraId="2D080B57" w14:textId="77777777" w:rsidR="00E1616A" w:rsidRDefault="00F92709">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84499741" w:history="1">
            <w:r w:rsidR="00E1616A" w:rsidRPr="00B02929">
              <w:rPr>
                <w:rStyle w:val="Hyperlink"/>
                <w:noProof/>
              </w:rPr>
              <w:t>INTRODUCTION</w:t>
            </w:r>
            <w:r w:rsidR="00E1616A">
              <w:rPr>
                <w:noProof/>
                <w:webHidden/>
              </w:rPr>
              <w:tab/>
            </w:r>
            <w:r w:rsidR="00E1616A">
              <w:rPr>
                <w:noProof/>
                <w:webHidden/>
              </w:rPr>
              <w:fldChar w:fldCharType="begin"/>
            </w:r>
            <w:r w:rsidR="00E1616A">
              <w:rPr>
                <w:noProof/>
                <w:webHidden/>
              </w:rPr>
              <w:instrText xml:space="preserve"> PAGEREF _Toc484499741 \h </w:instrText>
            </w:r>
            <w:r w:rsidR="00E1616A">
              <w:rPr>
                <w:noProof/>
                <w:webHidden/>
              </w:rPr>
            </w:r>
            <w:r w:rsidR="00E1616A">
              <w:rPr>
                <w:noProof/>
                <w:webHidden/>
              </w:rPr>
              <w:fldChar w:fldCharType="separate"/>
            </w:r>
            <w:r w:rsidR="004F6EE6">
              <w:rPr>
                <w:noProof/>
                <w:webHidden/>
              </w:rPr>
              <w:t>3</w:t>
            </w:r>
            <w:r w:rsidR="00E1616A">
              <w:rPr>
                <w:noProof/>
                <w:webHidden/>
              </w:rPr>
              <w:fldChar w:fldCharType="end"/>
            </w:r>
          </w:hyperlink>
        </w:p>
        <w:p w14:paraId="28A7E1D9" w14:textId="77777777" w:rsidR="00E1616A" w:rsidRDefault="00AC43AD">
          <w:pPr>
            <w:pStyle w:val="TOC1"/>
            <w:rPr>
              <w:rFonts w:asciiTheme="minorHAnsi" w:eastAsiaTheme="minorEastAsia" w:hAnsiTheme="minorHAnsi" w:cstheme="minorBidi"/>
              <w:noProof/>
              <w:sz w:val="22"/>
              <w:szCs w:val="22"/>
            </w:rPr>
          </w:pPr>
          <w:hyperlink w:anchor="_Toc484499742" w:history="1">
            <w:r w:rsidR="00E1616A" w:rsidRPr="00B02929">
              <w:rPr>
                <w:rStyle w:val="Hyperlink"/>
                <w:noProof/>
              </w:rPr>
              <w:t>PART B. SUPPORTING STATEMENT FOR PAPERWORK REDUCTION ACT SUBMISSION</w:t>
            </w:r>
            <w:r w:rsidR="00E1616A">
              <w:rPr>
                <w:noProof/>
                <w:webHidden/>
              </w:rPr>
              <w:tab/>
            </w:r>
            <w:r w:rsidR="00E1616A">
              <w:rPr>
                <w:noProof/>
                <w:webHidden/>
              </w:rPr>
              <w:fldChar w:fldCharType="begin"/>
            </w:r>
            <w:r w:rsidR="00E1616A">
              <w:rPr>
                <w:noProof/>
                <w:webHidden/>
              </w:rPr>
              <w:instrText xml:space="preserve"> PAGEREF _Toc484499742 \h </w:instrText>
            </w:r>
            <w:r w:rsidR="00E1616A">
              <w:rPr>
                <w:noProof/>
                <w:webHidden/>
              </w:rPr>
            </w:r>
            <w:r w:rsidR="00E1616A">
              <w:rPr>
                <w:noProof/>
                <w:webHidden/>
              </w:rPr>
              <w:fldChar w:fldCharType="separate"/>
            </w:r>
            <w:r w:rsidR="004F6EE6">
              <w:rPr>
                <w:noProof/>
                <w:webHidden/>
              </w:rPr>
              <w:t>4</w:t>
            </w:r>
            <w:r w:rsidR="00E1616A">
              <w:rPr>
                <w:noProof/>
                <w:webHidden/>
              </w:rPr>
              <w:fldChar w:fldCharType="end"/>
            </w:r>
          </w:hyperlink>
        </w:p>
        <w:p w14:paraId="4B90021F" w14:textId="77777777" w:rsidR="00E1616A" w:rsidRDefault="00AC43AD">
          <w:pPr>
            <w:pStyle w:val="TOC1"/>
            <w:rPr>
              <w:rFonts w:asciiTheme="minorHAnsi" w:eastAsiaTheme="minorEastAsia" w:hAnsiTheme="minorHAnsi" w:cstheme="minorBidi"/>
              <w:noProof/>
              <w:sz w:val="22"/>
              <w:szCs w:val="22"/>
            </w:rPr>
          </w:pPr>
          <w:hyperlink w:anchor="_Toc484499743" w:history="1">
            <w:r w:rsidR="00E1616A" w:rsidRPr="00B02929">
              <w:rPr>
                <w:rStyle w:val="Hyperlink"/>
                <w:rFonts w:eastAsiaTheme="minorHAnsi"/>
                <w:noProof/>
              </w:rPr>
              <w:t>B. Collection of Information Requiring Statistical Methods</w:t>
            </w:r>
            <w:r w:rsidR="00E1616A">
              <w:rPr>
                <w:noProof/>
                <w:webHidden/>
              </w:rPr>
              <w:tab/>
            </w:r>
            <w:r w:rsidR="00E1616A">
              <w:rPr>
                <w:noProof/>
                <w:webHidden/>
              </w:rPr>
              <w:fldChar w:fldCharType="begin"/>
            </w:r>
            <w:r w:rsidR="00E1616A">
              <w:rPr>
                <w:noProof/>
                <w:webHidden/>
              </w:rPr>
              <w:instrText xml:space="preserve"> PAGEREF _Toc484499743 \h </w:instrText>
            </w:r>
            <w:r w:rsidR="00E1616A">
              <w:rPr>
                <w:noProof/>
                <w:webHidden/>
              </w:rPr>
            </w:r>
            <w:r w:rsidR="00E1616A">
              <w:rPr>
                <w:noProof/>
                <w:webHidden/>
              </w:rPr>
              <w:fldChar w:fldCharType="separate"/>
            </w:r>
            <w:r w:rsidR="004F6EE6">
              <w:rPr>
                <w:noProof/>
                <w:webHidden/>
              </w:rPr>
              <w:t>4</w:t>
            </w:r>
            <w:r w:rsidR="00E1616A">
              <w:rPr>
                <w:noProof/>
                <w:webHidden/>
              </w:rPr>
              <w:fldChar w:fldCharType="end"/>
            </w:r>
          </w:hyperlink>
        </w:p>
        <w:p w14:paraId="6EAE3341" w14:textId="77777777" w:rsidR="00E1616A" w:rsidRDefault="00AC43AD">
          <w:pPr>
            <w:pStyle w:val="TOC2"/>
            <w:tabs>
              <w:tab w:val="left" w:pos="660"/>
              <w:tab w:val="right" w:leader="dot" w:pos="9350"/>
            </w:tabs>
            <w:rPr>
              <w:rFonts w:asciiTheme="minorHAnsi" w:eastAsiaTheme="minorEastAsia" w:hAnsiTheme="minorHAnsi" w:cstheme="minorBidi"/>
              <w:noProof/>
              <w:sz w:val="22"/>
              <w:szCs w:val="22"/>
            </w:rPr>
          </w:pPr>
          <w:hyperlink w:anchor="_Toc484499744" w:history="1">
            <w:r w:rsidR="00E1616A" w:rsidRPr="00B02929">
              <w:rPr>
                <w:rStyle w:val="Hyperlink"/>
                <w:noProof/>
              </w:rPr>
              <w:t>1.</w:t>
            </w:r>
            <w:r w:rsidR="00E1616A">
              <w:rPr>
                <w:rFonts w:asciiTheme="minorHAnsi" w:eastAsiaTheme="minorEastAsia" w:hAnsiTheme="minorHAnsi" w:cstheme="minorBidi"/>
                <w:noProof/>
                <w:sz w:val="22"/>
                <w:szCs w:val="22"/>
              </w:rPr>
              <w:tab/>
            </w:r>
            <w:r w:rsidR="00E1616A" w:rsidRPr="00B02929">
              <w:rPr>
                <w:rStyle w:val="Hyperlink"/>
                <w:noProof/>
              </w:rPr>
              <w:t>Respondent universe and sampling methods</w:t>
            </w:r>
            <w:r w:rsidR="00E1616A">
              <w:rPr>
                <w:noProof/>
                <w:webHidden/>
              </w:rPr>
              <w:tab/>
            </w:r>
            <w:r w:rsidR="00E1616A">
              <w:rPr>
                <w:noProof/>
                <w:webHidden/>
              </w:rPr>
              <w:fldChar w:fldCharType="begin"/>
            </w:r>
            <w:r w:rsidR="00E1616A">
              <w:rPr>
                <w:noProof/>
                <w:webHidden/>
              </w:rPr>
              <w:instrText xml:space="preserve"> PAGEREF _Toc484499744 \h </w:instrText>
            </w:r>
            <w:r w:rsidR="00E1616A">
              <w:rPr>
                <w:noProof/>
                <w:webHidden/>
              </w:rPr>
            </w:r>
            <w:r w:rsidR="00E1616A">
              <w:rPr>
                <w:noProof/>
                <w:webHidden/>
              </w:rPr>
              <w:fldChar w:fldCharType="separate"/>
            </w:r>
            <w:r w:rsidR="004F6EE6">
              <w:rPr>
                <w:noProof/>
                <w:webHidden/>
              </w:rPr>
              <w:t>4</w:t>
            </w:r>
            <w:r w:rsidR="00E1616A">
              <w:rPr>
                <w:noProof/>
                <w:webHidden/>
              </w:rPr>
              <w:fldChar w:fldCharType="end"/>
            </w:r>
          </w:hyperlink>
        </w:p>
        <w:p w14:paraId="2BF13635" w14:textId="77777777" w:rsidR="00E1616A" w:rsidRDefault="00AC43AD">
          <w:pPr>
            <w:pStyle w:val="TOC2"/>
            <w:tabs>
              <w:tab w:val="left" w:pos="660"/>
              <w:tab w:val="right" w:leader="dot" w:pos="9350"/>
            </w:tabs>
            <w:rPr>
              <w:rFonts w:asciiTheme="minorHAnsi" w:eastAsiaTheme="minorEastAsia" w:hAnsiTheme="minorHAnsi" w:cstheme="minorBidi"/>
              <w:noProof/>
              <w:sz w:val="22"/>
              <w:szCs w:val="22"/>
            </w:rPr>
          </w:pPr>
          <w:hyperlink w:anchor="_Toc484499745" w:history="1">
            <w:r w:rsidR="00E1616A" w:rsidRPr="00B02929">
              <w:rPr>
                <w:rStyle w:val="Hyperlink"/>
                <w:noProof/>
              </w:rPr>
              <w:t>2.</w:t>
            </w:r>
            <w:r w:rsidR="00E1616A">
              <w:rPr>
                <w:rFonts w:asciiTheme="minorHAnsi" w:eastAsiaTheme="minorEastAsia" w:hAnsiTheme="minorHAnsi" w:cstheme="minorBidi"/>
                <w:noProof/>
                <w:sz w:val="22"/>
                <w:szCs w:val="22"/>
              </w:rPr>
              <w:tab/>
            </w:r>
            <w:r w:rsidR="00E1616A" w:rsidRPr="00B02929">
              <w:rPr>
                <w:rStyle w:val="Hyperlink"/>
                <w:noProof/>
              </w:rPr>
              <w:t>Procedures for the collection of information</w:t>
            </w:r>
            <w:r w:rsidR="00E1616A">
              <w:rPr>
                <w:noProof/>
                <w:webHidden/>
              </w:rPr>
              <w:tab/>
            </w:r>
            <w:r w:rsidR="00E1616A">
              <w:rPr>
                <w:noProof/>
                <w:webHidden/>
              </w:rPr>
              <w:fldChar w:fldCharType="begin"/>
            </w:r>
            <w:r w:rsidR="00E1616A">
              <w:rPr>
                <w:noProof/>
                <w:webHidden/>
              </w:rPr>
              <w:instrText xml:space="preserve"> PAGEREF _Toc484499745 \h </w:instrText>
            </w:r>
            <w:r w:rsidR="00E1616A">
              <w:rPr>
                <w:noProof/>
                <w:webHidden/>
              </w:rPr>
            </w:r>
            <w:r w:rsidR="00E1616A">
              <w:rPr>
                <w:noProof/>
                <w:webHidden/>
              </w:rPr>
              <w:fldChar w:fldCharType="separate"/>
            </w:r>
            <w:r w:rsidR="004F6EE6">
              <w:rPr>
                <w:noProof/>
                <w:webHidden/>
              </w:rPr>
              <w:t>5</w:t>
            </w:r>
            <w:r w:rsidR="00E1616A">
              <w:rPr>
                <w:noProof/>
                <w:webHidden/>
              </w:rPr>
              <w:fldChar w:fldCharType="end"/>
            </w:r>
          </w:hyperlink>
        </w:p>
        <w:p w14:paraId="5FB950D1" w14:textId="77777777" w:rsidR="00E1616A" w:rsidRDefault="00AC43AD">
          <w:pPr>
            <w:pStyle w:val="TOC2"/>
            <w:tabs>
              <w:tab w:val="left" w:pos="660"/>
              <w:tab w:val="right" w:leader="dot" w:pos="9350"/>
            </w:tabs>
            <w:rPr>
              <w:rFonts w:asciiTheme="minorHAnsi" w:eastAsiaTheme="minorEastAsia" w:hAnsiTheme="minorHAnsi" w:cstheme="minorBidi"/>
              <w:noProof/>
              <w:sz w:val="22"/>
              <w:szCs w:val="22"/>
            </w:rPr>
          </w:pPr>
          <w:hyperlink w:anchor="_Toc484499746" w:history="1">
            <w:r w:rsidR="00E1616A" w:rsidRPr="00B02929">
              <w:rPr>
                <w:rStyle w:val="Hyperlink"/>
                <w:noProof/>
              </w:rPr>
              <w:t>3.</w:t>
            </w:r>
            <w:r w:rsidR="00E1616A">
              <w:rPr>
                <w:rFonts w:asciiTheme="minorHAnsi" w:eastAsiaTheme="minorEastAsia" w:hAnsiTheme="minorHAnsi" w:cstheme="minorBidi"/>
                <w:noProof/>
                <w:sz w:val="22"/>
                <w:szCs w:val="22"/>
              </w:rPr>
              <w:tab/>
            </w:r>
            <w:r w:rsidR="00E1616A" w:rsidRPr="00B02929">
              <w:rPr>
                <w:rStyle w:val="Hyperlink"/>
                <w:noProof/>
              </w:rPr>
              <w:t>Methods to maximize response rates and deal with issues of non-response</w:t>
            </w:r>
            <w:r w:rsidR="00E1616A">
              <w:rPr>
                <w:noProof/>
                <w:webHidden/>
              </w:rPr>
              <w:tab/>
            </w:r>
            <w:r w:rsidR="00E1616A">
              <w:rPr>
                <w:noProof/>
                <w:webHidden/>
              </w:rPr>
              <w:fldChar w:fldCharType="begin"/>
            </w:r>
            <w:r w:rsidR="00E1616A">
              <w:rPr>
                <w:noProof/>
                <w:webHidden/>
              </w:rPr>
              <w:instrText xml:space="preserve"> PAGEREF _Toc484499746 \h </w:instrText>
            </w:r>
            <w:r w:rsidR="00E1616A">
              <w:rPr>
                <w:noProof/>
                <w:webHidden/>
              </w:rPr>
            </w:r>
            <w:r w:rsidR="00E1616A">
              <w:rPr>
                <w:noProof/>
                <w:webHidden/>
              </w:rPr>
              <w:fldChar w:fldCharType="separate"/>
            </w:r>
            <w:r w:rsidR="004F6EE6">
              <w:rPr>
                <w:noProof/>
                <w:webHidden/>
              </w:rPr>
              <w:t>9</w:t>
            </w:r>
            <w:r w:rsidR="00E1616A">
              <w:rPr>
                <w:noProof/>
                <w:webHidden/>
              </w:rPr>
              <w:fldChar w:fldCharType="end"/>
            </w:r>
          </w:hyperlink>
        </w:p>
        <w:p w14:paraId="635E394A" w14:textId="77777777" w:rsidR="00E1616A" w:rsidRDefault="00AC43AD">
          <w:pPr>
            <w:pStyle w:val="TOC2"/>
            <w:tabs>
              <w:tab w:val="left" w:pos="660"/>
              <w:tab w:val="right" w:leader="dot" w:pos="9350"/>
            </w:tabs>
            <w:rPr>
              <w:rFonts w:asciiTheme="minorHAnsi" w:eastAsiaTheme="minorEastAsia" w:hAnsiTheme="minorHAnsi" w:cstheme="minorBidi"/>
              <w:noProof/>
              <w:sz w:val="22"/>
              <w:szCs w:val="22"/>
            </w:rPr>
          </w:pPr>
          <w:hyperlink w:anchor="_Toc484499747" w:history="1">
            <w:r w:rsidR="00E1616A" w:rsidRPr="00B02929">
              <w:rPr>
                <w:rStyle w:val="Hyperlink"/>
                <w:noProof/>
              </w:rPr>
              <w:t>4.</w:t>
            </w:r>
            <w:r w:rsidR="00E1616A">
              <w:rPr>
                <w:rFonts w:asciiTheme="minorHAnsi" w:eastAsiaTheme="minorEastAsia" w:hAnsiTheme="minorHAnsi" w:cstheme="minorBidi"/>
                <w:noProof/>
                <w:sz w:val="22"/>
                <w:szCs w:val="22"/>
              </w:rPr>
              <w:tab/>
            </w:r>
            <w:r w:rsidR="00E1616A" w:rsidRPr="00B02929">
              <w:rPr>
                <w:rStyle w:val="Hyperlink"/>
                <w:noProof/>
              </w:rPr>
              <w:t>Testing data collection procedures</w:t>
            </w:r>
            <w:r w:rsidR="00E1616A">
              <w:rPr>
                <w:noProof/>
                <w:webHidden/>
              </w:rPr>
              <w:tab/>
            </w:r>
            <w:r w:rsidR="00E1616A">
              <w:rPr>
                <w:noProof/>
                <w:webHidden/>
              </w:rPr>
              <w:fldChar w:fldCharType="begin"/>
            </w:r>
            <w:r w:rsidR="00E1616A">
              <w:rPr>
                <w:noProof/>
                <w:webHidden/>
              </w:rPr>
              <w:instrText xml:space="preserve"> PAGEREF _Toc484499747 \h </w:instrText>
            </w:r>
            <w:r w:rsidR="00E1616A">
              <w:rPr>
                <w:noProof/>
                <w:webHidden/>
              </w:rPr>
            </w:r>
            <w:r w:rsidR="00E1616A">
              <w:rPr>
                <w:noProof/>
                <w:webHidden/>
              </w:rPr>
              <w:fldChar w:fldCharType="separate"/>
            </w:r>
            <w:r w:rsidR="004F6EE6">
              <w:rPr>
                <w:noProof/>
                <w:webHidden/>
              </w:rPr>
              <w:t>11</w:t>
            </w:r>
            <w:r w:rsidR="00E1616A">
              <w:rPr>
                <w:noProof/>
                <w:webHidden/>
              </w:rPr>
              <w:fldChar w:fldCharType="end"/>
            </w:r>
          </w:hyperlink>
        </w:p>
        <w:p w14:paraId="30C8C425" w14:textId="77777777" w:rsidR="00E1616A" w:rsidRDefault="00AC43AD">
          <w:pPr>
            <w:pStyle w:val="TOC2"/>
            <w:tabs>
              <w:tab w:val="left" w:pos="660"/>
              <w:tab w:val="right" w:leader="dot" w:pos="9350"/>
            </w:tabs>
            <w:rPr>
              <w:rFonts w:asciiTheme="minorHAnsi" w:eastAsiaTheme="minorEastAsia" w:hAnsiTheme="minorHAnsi" w:cstheme="minorBidi"/>
              <w:noProof/>
              <w:sz w:val="22"/>
              <w:szCs w:val="22"/>
            </w:rPr>
          </w:pPr>
          <w:hyperlink w:anchor="_Toc484499748" w:history="1">
            <w:r w:rsidR="00E1616A" w:rsidRPr="00B02929">
              <w:rPr>
                <w:rStyle w:val="Hyperlink"/>
                <w:noProof/>
              </w:rPr>
              <w:t>5.</w:t>
            </w:r>
            <w:r w:rsidR="00E1616A">
              <w:rPr>
                <w:rFonts w:asciiTheme="minorHAnsi" w:eastAsiaTheme="minorEastAsia" w:hAnsiTheme="minorHAnsi" w:cstheme="minorBidi"/>
                <w:noProof/>
                <w:sz w:val="22"/>
                <w:szCs w:val="22"/>
              </w:rPr>
              <w:tab/>
            </w:r>
            <w:r w:rsidR="00E1616A" w:rsidRPr="00B02929">
              <w:rPr>
                <w:rStyle w:val="Hyperlink"/>
                <w:noProof/>
              </w:rPr>
              <w:t>Individuals consulted on statistical aspects of design</w:t>
            </w:r>
            <w:r w:rsidR="00E1616A">
              <w:rPr>
                <w:noProof/>
                <w:webHidden/>
              </w:rPr>
              <w:tab/>
            </w:r>
            <w:r w:rsidR="00E1616A">
              <w:rPr>
                <w:noProof/>
                <w:webHidden/>
              </w:rPr>
              <w:fldChar w:fldCharType="begin"/>
            </w:r>
            <w:r w:rsidR="00E1616A">
              <w:rPr>
                <w:noProof/>
                <w:webHidden/>
              </w:rPr>
              <w:instrText xml:space="preserve"> PAGEREF _Toc484499748 \h </w:instrText>
            </w:r>
            <w:r w:rsidR="00E1616A">
              <w:rPr>
                <w:noProof/>
                <w:webHidden/>
              </w:rPr>
            </w:r>
            <w:r w:rsidR="00E1616A">
              <w:rPr>
                <w:noProof/>
                <w:webHidden/>
              </w:rPr>
              <w:fldChar w:fldCharType="separate"/>
            </w:r>
            <w:r w:rsidR="004F6EE6">
              <w:rPr>
                <w:noProof/>
                <w:webHidden/>
              </w:rPr>
              <w:t>11</w:t>
            </w:r>
            <w:r w:rsidR="00E1616A">
              <w:rPr>
                <w:noProof/>
                <w:webHidden/>
              </w:rPr>
              <w:fldChar w:fldCharType="end"/>
            </w:r>
          </w:hyperlink>
        </w:p>
        <w:p w14:paraId="21198760" w14:textId="77777777" w:rsidR="00E1616A" w:rsidRDefault="00AC43AD">
          <w:pPr>
            <w:pStyle w:val="TOC1"/>
            <w:rPr>
              <w:rFonts w:asciiTheme="minorHAnsi" w:eastAsiaTheme="minorEastAsia" w:hAnsiTheme="minorHAnsi" w:cstheme="minorBidi"/>
              <w:noProof/>
              <w:sz w:val="22"/>
              <w:szCs w:val="22"/>
            </w:rPr>
          </w:pPr>
          <w:hyperlink w:anchor="_Toc484499749" w:history="1">
            <w:r w:rsidR="00E1616A" w:rsidRPr="00B02929">
              <w:rPr>
                <w:rStyle w:val="Hyperlink"/>
                <w:rFonts w:eastAsiaTheme="minorHAnsi"/>
                <w:noProof/>
              </w:rPr>
              <w:t>References</w:t>
            </w:r>
            <w:r w:rsidR="00E1616A">
              <w:rPr>
                <w:noProof/>
                <w:webHidden/>
              </w:rPr>
              <w:tab/>
            </w:r>
            <w:r w:rsidR="00E1616A">
              <w:rPr>
                <w:noProof/>
                <w:webHidden/>
              </w:rPr>
              <w:fldChar w:fldCharType="begin"/>
            </w:r>
            <w:r w:rsidR="00E1616A">
              <w:rPr>
                <w:noProof/>
                <w:webHidden/>
              </w:rPr>
              <w:instrText xml:space="preserve"> PAGEREF _Toc484499749 \h </w:instrText>
            </w:r>
            <w:r w:rsidR="00E1616A">
              <w:rPr>
                <w:noProof/>
                <w:webHidden/>
              </w:rPr>
            </w:r>
            <w:r w:rsidR="00E1616A">
              <w:rPr>
                <w:noProof/>
                <w:webHidden/>
              </w:rPr>
              <w:fldChar w:fldCharType="separate"/>
            </w:r>
            <w:r w:rsidR="004F6EE6">
              <w:rPr>
                <w:noProof/>
                <w:webHidden/>
              </w:rPr>
              <w:t>12</w:t>
            </w:r>
            <w:r w:rsidR="00E1616A">
              <w:rPr>
                <w:noProof/>
                <w:webHidden/>
              </w:rPr>
              <w:fldChar w:fldCharType="end"/>
            </w:r>
          </w:hyperlink>
        </w:p>
        <w:p w14:paraId="1E5236CA" w14:textId="77777777" w:rsidR="00F92709" w:rsidRDefault="00F92709" w:rsidP="00E85591">
          <w:pPr>
            <w:spacing w:line="276" w:lineRule="auto"/>
          </w:pPr>
          <w:r>
            <w:rPr>
              <w:b/>
              <w:bCs/>
              <w:noProof/>
            </w:rPr>
            <w:fldChar w:fldCharType="end"/>
          </w:r>
        </w:p>
      </w:sdtContent>
    </w:sdt>
    <w:p w14:paraId="1E5236CB" w14:textId="77777777" w:rsidR="005A61DC" w:rsidRDefault="005A61DC" w:rsidP="00E85591">
      <w:pPr>
        <w:spacing w:line="276" w:lineRule="auto"/>
        <w:rPr>
          <w:rFonts w:eastAsia="Cambria"/>
        </w:rPr>
      </w:pPr>
    </w:p>
    <w:p w14:paraId="1E5236CC" w14:textId="77777777" w:rsidR="009C146C" w:rsidRDefault="00036253" w:rsidP="00E85591">
      <w:pPr>
        <w:spacing w:after="200" w:line="276" w:lineRule="auto"/>
        <w:rPr>
          <w:rFonts w:eastAsiaTheme="minorHAnsi"/>
        </w:rPr>
        <w:sectPr w:rsidR="009C146C">
          <w:pgSz w:w="12240" w:h="15840"/>
          <w:pgMar w:top="1440" w:right="1440" w:bottom="1440" w:left="1440" w:header="720" w:footer="720" w:gutter="0"/>
          <w:cols w:space="720"/>
          <w:docGrid w:linePitch="360"/>
        </w:sectPr>
      </w:pPr>
      <w:r>
        <w:rPr>
          <w:rFonts w:eastAsiaTheme="minorHAnsi"/>
        </w:rPr>
        <w:br w:type="page"/>
      </w:r>
    </w:p>
    <w:p w14:paraId="354BD4CB" w14:textId="77777777" w:rsidR="00E72494" w:rsidRPr="00477076" w:rsidRDefault="00E72494" w:rsidP="00E72494">
      <w:pPr>
        <w:pStyle w:val="Heading1"/>
      </w:pPr>
      <w:bookmarkStart w:id="1" w:name="_Toc475026177"/>
      <w:bookmarkStart w:id="2" w:name="_Toc484499741"/>
      <w:r>
        <w:lastRenderedPageBreak/>
        <w:t>INTRODUCTION</w:t>
      </w:r>
      <w:bookmarkEnd w:id="1"/>
      <w:bookmarkEnd w:id="2"/>
    </w:p>
    <w:p w14:paraId="392F3B20" w14:textId="77777777" w:rsidR="00E72494" w:rsidRDefault="00E72494" w:rsidP="00E72494"/>
    <w:p w14:paraId="1DF53ED4" w14:textId="221D36BD" w:rsidR="0036139E" w:rsidRPr="005C77AB" w:rsidRDefault="0036139E" w:rsidP="0036139E">
      <w:pPr>
        <w:spacing w:line="276" w:lineRule="auto"/>
        <w:jc w:val="both"/>
      </w:pPr>
      <w:r w:rsidRPr="009559AB">
        <w:t xml:space="preserve">This Office of Management and Budget (OMB) package is a new clearance request for data collection activities to support </w:t>
      </w:r>
      <w:r w:rsidR="00366041" w:rsidRPr="00366041">
        <w:t>“</w:t>
      </w:r>
      <w:r w:rsidR="00366041" w:rsidRPr="00366041">
        <w:rPr>
          <w:i/>
        </w:rPr>
        <w:t>Text Ed: A Study of Text Messaging to Improve College Enrollment Rates Among Disadvantaged Adults”</w:t>
      </w:r>
      <w:r w:rsidR="00366041" w:rsidRPr="00366041" w:rsidDel="00366041">
        <w:rPr>
          <w:i/>
        </w:rPr>
        <w:t xml:space="preserve"> </w:t>
      </w:r>
      <w:r w:rsidR="007E1830" w:rsidRPr="007E1830">
        <w:t xml:space="preserve">(referred to as the </w:t>
      </w:r>
      <w:r w:rsidR="007E1830" w:rsidRPr="007E1830">
        <w:rPr>
          <w:i/>
        </w:rPr>
        <w:t>Text Ed Study</w:t>
      </w:r>
      <w:r w:rsidR="007E1830" w:rsidRPr="007E1830">
        <w:t>)</w:t>
      </w:r>
      <w:r w:rsidRPr="007E1830">
        <w:t xml:space="preserve">. </w:t>
      </w:r>
      <w:r w:rsidRPr="005C77AB">
        <w:t xml:space="preserve">The study provides a unique opportunity to rigorously evaluate </w:t>
      </w:r>
      <w:r>
        <w:t xml:space="preserve">whether </w:t>
      </w:r>
      <w:r w:rsidRPr="005C77AB">
        <w:t xml:space="preserve">the use of a promising, </w:t>
      </w:r>
      <w:r>
        <w:t>low cost</w:t>
      </w:r>
      <w:r w:rsidRPr="005C77AB">
        <w:t xml:space="preserve"> messaging strategy </w:t>
      </w:r>
      <w:r>
        <w:t>can</w:t>
      </w:r>
      <w:r w:rsidRPr="005C77AB">
        <w:t xml:space="preserve"> help Education Opportunity Center </w:t>
      </w:r>
      <w:r>
        <w:t xml:space="preserve">(EOC) </w:t>
      </w:r>
      <w:r w:rsidRPr="009559AB">
        <w:t>grantees meet the program’s goal of increasing college enrollment</w:t>
      </w:r>
      <w:r>
        <w:t xml:space="preserve"> among disadvantaged adults</w:t>
      </w:r>
      <w:r w:rsidRPr="009559AB">
        <w:t xml:space="preserve">. </w:t>
      </w:r>
      <w:r>
        <w:t>EOCs</w:t>
      </w:r>
      <w:r w:rsidRPr="009559AB">
        <w:t xml:space="preserve"> </w:t>
      </w:r>
      <w:r w:rsidRPr="00077DEC">
        <w:t>—</w:t>
      </w:r>
      <w:r w:rsidRPr="00BC17FA">
        <w:t xml:space="preserve"> </w:t>
      </w:r>
      <w:r>
        <w:t xml:space="preserve">representing </w:t>
      </w:r>
      <w:r w:rsidRPr="00077DEC">
        <w:t>one of</w:t>
      </w:r>
      <w:r w:rsidR="00914517">
        <w:t xml:space="preserve"> </w:t>
      </w:r>
      <w:r w:rsidRPr="00077DEC">
        <w:t>the</w:t>
      </w:r>
      <w:r>
        <w:t xml:space="preserve"> eight</w:t>
      </w:r>
      <w:r w:rsidRPr="00077DEC">
        <w:t xml:space="preserve"> U.S. Department of Education</w:t>
      </w:r>
      <w:r>
        <w:t xml:space="preserve"> </w:t>
      </w:r>
      <w:r w:rsidRPr="00077DEC">
        <w:t>TRIO programs</w:t>
      </w:r>
      <w:r>
        <w:t xml:space="preserve"> and hosted primarily by postsecondary institutions </w:t>
      </w:r>
      <w:r w:rsidRPr="00077DEC">
        <w:t>—provid</w:t>
      </w:r>
      <w:r>
        <w:t>e</w:t>
      </w:r>
      <w:r w:rsidRPr="00077DEC">
        <w:t xml:space="preserve"> a variety of informational services related to </w:t>
      </w:r>
      <w:r>
        <w:t xml:space="preserve">the </w:t>
      </w:r>
      <w:r w:rsidRPr="00077DEC">
        <w:t>college</w:t>
      </w:r>
      <w:r>
        <w:t>-going process</w:t>
      </w:r>
      <w:r w:rsidRPr="00077DEC">
        <w:t xml:space="preserve"> and financial aid options.</w:t>
      </w:r>
      <w:r w:rsidRPr="009559AB">
        <w:t xml:space="preserve"> </w:t>
      </w:r>
    </w:p>
    <w:p w14:paraId="647818A4" w14:textId="77777777" w:rsidR="0036139E" w:rsidRDefault="0036139E" w:rsidP="0036139E">
      <w:pPr>
        <w:spacing w:line="276" w:lineRule="auto"/>
        <w:jc w:val="both"/>
      </w:pPr>
    </w:p>
    <w:p w14:paraId="6E562C4F" w14:textId="69D3789B" w:rsidR="0036139E" w:rsidRDefault="0036139E" w:rsidP="0036139E">
      <w:pPr>
        <w:spacing w:line="276" w:lineRule="auto"/>
        <w:jc w:val="both"/>
      </w:pPr>
      <w:r>
        <w:t>The Institute of Education Sciences (IES) at the U.S. Department of Education (ED) has contracted with MDRC and Dr. Lindsay Page at the University of Pittsburgh to conduct this evaluation. The study team will recruit up to 20 EOCs to participate in the study. Eligible clients within each EOC study site will be randomly assigned to receive either the services typically provided by the grantee (control), or the text messaging enhancement in addition to the grantee’s typical services (treatment). Random assignment will occur on a rolling basis from spring 2018 through spring 2020 and will include approximately 6,000 EOC clients. The study will rely primarily on administrative data.</w:t>
      </w:r>
      <w:r w:rsidR="00432F7A" w:rsidRPr="00432F7A">
        <w:t xml:space="preserve"> </w:t>
      </w:r>
      <w:r w:rsidR="00432F7A">
        <w:t>Among the administrative data obtained for the study will be EOC intake records, which include background data for individuals who contact the EOC for services, are study-eligible, and consent to participate.</w:t>
      </w:r>
    </w:p>
    <w:p w14:paraId="2184D410" w14:textId="55B5616B" w:rsidR="00D333A3" w:rsidRDefault="00D333A3" w:rsidP="00D333A3">
      <w:pPr>
        <w:spacing w:line="276" w:lineRule="auto"/>
        <w:jc w:val="both"/>
      </w:pPr>
    </w:p>
    <w:p w14:paraId="21C6158B" w14:textId="77777777" w:rsidR="00CD2701" w:rsidRDefault="00CD2701" w:rsidP="00CD2701">
      <w:pPr>
        <w:spacing w:after="200" w:line="276" w:lineRule="auto"/>
        <w:rPr>
          <w:rFonts w:asciiTheme="majorHAnsi" w:eastAsiaTheme="minorHAnsi" w:hAnsiTheme="majorHAnsi" w:cstheme="majorBidi"/>
          <w:b/>
          <w:bCs/>
          <w:color w:val="000000" w:themeColor="accent1" w:themeShade="BF"/>
          <w:sz w:val="28"/>
          <w:szCs w:val="28"/>
        </w:rPr>
      </w:pPr>
      <w:bookmarkStart w:id="3" w:name="_Toc474425599"/>
      <w:bookmarkStart w:id="4" w:name="_Toc474425600"/>
      <w:bookmarkEnd w:id="3"/>
      <w:bookmarkEnd w:id="4"/>
      <w:r>
        <w:rPr>
          <w:rFonts w:eastAsiaTheme="minorHAnsi"/>
        </w:rPr>
        <w:br w:type="page"/>
      </w:r>
    </w:p>
    <w:p w14:paraId="1E5236CD" w14:textId="77777777" w:rsidR="006C207D" w:rsidRDefault="006C207D" w:rsidP="00706CC5">
      <w:pPr>
        <w:pStyle w:val="Heading1"/>
      </w:pPr>
      <w:bookmarkStart w:id="5" w:name="_Toc484499742"/>
      <w:r w:rsidRPr="006C207D">
        <w:lastRenderedPageBreak/>
        <w:t>PART B. SUPPORTING STATEMENT FOR PAPERWORK REDUCTION ACT SUBMISSION</w:t>
      </w:r>
      <w:bookmarkEnd w:id="5"/>
    </w:p>
    <w:p w14:paraId="1E52374F" w14:textId="77777777" w:rsidR="00D638A2" w:rsidRPr="00294932" w:rsidRDefault="001C3DBD" w:rsidP="00E85591">
      <w:pPr>
        <w:pStyle w:val="Heading1"/>
        <w:spacing w:line="276" w:lineRule="auto"/>
        <w:rPr>
          <w:rFonts w:eastAsiaTheme="minorHAnsi"/>
        </w:rPr>
      </w:pPr>
      <w:bookmarkStart w:id="6" w:name="_Toc484499743"/>
      <w:r>
        <w:rPr>
          <w:rFonts w:eastAsiaTheme="minorHAnsi"/>
        </w:rPr>
        <w:t>B. Collection of Information Requiring Statistical Methods</w:t>
      </w:r>
      <w:bookmarkEnd w:id="6"/>
    </w:p>
    <w:p w14:paraId="1E523750" w14:textId="77777777" w:rsidR="00294932" w:rsidRDefault="00EC528B" w:rsidP="00C53164">
      <w:pPr>
        <w:pStyle w:val="Heading2"/>
        <w:numPr>
          <w:ilvl w:val="1"/>
          <w:numId w:val="33"/>
        </w:numPr>
        <w:ind w:left="720"/>
      </w:pPr>
      <w:bookmarkStart w:id="7" w:name="_Toc484499744"/>
      <w:r>
        <w:t>Respondent universe and sampling methods</w:t>
      </w:r>
      <w:bookmarkEnd w:id="7"/>
    </w:p>
    <w:p w14:paraId="1E523751" w14:textId="77777777" w:rsidR="00EC528B" w:rsidRDefault="00EC528B" w:rsidP="00E85591">
      <w:pPr>
        <w:keepNext/>
        <w:spacing w:line="276" w:lineRule="auto"/>
        <w:jc w:val="both"/>
      </w:pPr>
    </w:p>
    <w:p w14:paraId="1C9BA220" w14:textId="13CE636C" w:rsidR="008347CE" w:rsidRDefault="008347CE" w:rsidP="008347CE">
      <w:pPr>
        <w:keepNext/>
        <w:spacing w:line="276" w:lineRule="auto"/>
        <w:jc w:val="both"/>
      </w:pPr>
      <w:r>
        <w:t>Drawing from a national population of approximately</w:t>
      </w:r>
      <w:r w:rsidRPr="00EC528B">
        <w:t xml:space="preserve"> </w:t>
      </w:r>
      <w:r>
        <w:t>150</w:t>
      </w:r>
      <w:r w:rsidRPr="00EC528B">
        <w:t xml:space="preserve"> </w:t>
      </w:r>
      <w:r>
        <w:t>Education Opportunity Centers (EOCs),</w:t>
      </w:r>
      <w:r w:rsidRPr="00EC528B">
        <w:t xml:space="preserve"> </w:t>
      </w:r>
      <w:r>
        <w:t xml:space="preserve">the study team </w:t>
      </w:r>
      <w:r w:rsidRPr="00EC528B">
        <w:t>aim</w:t>
      </w:r>
      <w:r>
        <w:t>s</w:t>
      </w:r>
      <w:r w:rsidRPr="00EC528B">
        <w:t xml:space="preserve"> to recruit a sample of </w:t>
      </w:r>
      <w:r>
        <w:t xml:space="preserve">about </w:t>
      </w:r>
      <w:r w:rsidRPr="00EC528B">
        <w:t>20 E</w:t>
      </w:r>
      <w:r>
        <w:t>OC</w:t>
      </w:r>
      <w:r w:rsidRPr="00EC528B">
        <w:t xml:space="preserve"> grantees </w:t>
      </w:r>
      <w:r>
        <w:t xml:space="preserve">and approximately </w:t>
      </w:r>
      <w:r w:rsidRPr="00EC528B">
        <w:t>6,000 clients</w:t>
      </w:r>
      <w:r>
        <w:t xml:space="preserve">. </w:t>
      </w:r>
      <w:r w:rsidRPr="00EC528B">
        <w:t xml:space="preserve">The goal is to have a </w:t>
      </w:r>
      <w:r>
        <w:t xml:space="preserve">sample of EOCs and clients that reflect the </w:t>
      </w:r>
      <w:r w:rsidRPr="00EC528B">
        <w:t>divers</w:t>
      </w:r>
      <w:r>
        <w:t>ity of EOCs nationally across two key dimensions – geographic region and host institution type --</w:t>
      </w:r>
      <w:r w:rsidRPr="00EC528B">
        <w:t xml:space="preserve"> such that the intervention effect estimates from the </w:t>
      </w:r>
      <w:r>
        <w:t xml:space="preserve">evaluation </w:t>
      </w:r>
      <w:r w:rsidRPr="00EC528B">
        <w:t xml:space="preserve">will be informative to EOCs </w:t>
      </w:r>
      <w:r>
        <w:t xml:space="preserve">from </w:t>
      </w:r>
      <w:r w:rsidRPr="00EC528B">
        <w:t xml:space="preserve">different </w:t>
      </w:r>
      <w:r>
        <w:t xml:space="preserve">parts of the country </w:t>
      </w:r>
      <w:r w:rsidR="00FB68AB">
        <w:t xml:space="preserve">in different types of host institutions </w:t>
      </w:r>
      <w:r>
        <w:t>with diverse</w:t>
      </w:r>
      <w:r w:rsidRPr="00EC528B">
        <w:t xml:space="preserve"> client population</w:t>
      </w:r>
      <w:r>
        <w:t>s</w:t>
      </w:r>
      <w:r w:rsidRPr="00EC528B">
        <w:t>.</w:t>
      </w:r>
    </w:p>
    <w:p w14:paraId="1E523753" w14:textId="77777777" w:rsidR="00EC528B" w:rsidRPr="00EC528B" w:rsidRDefault="00EC528B" w:rsidP="00E85591">
      <w:pPr>
        <w:spacing w:line="276" w:lineRule="auto"/>
        <w:jc w:val="both"/>
      </w:pPr>
    </w:p>
    <w:p w14:paraId="0A1DCCB8" w14:textId="352A8509" w:rsidR="00FB68AB" w:rsidRDefault="00F81828" w:rsidP="00E85591">
      <w:pPr>
        <w:spacing w:line="276" w:lineRule="auto"/>
        <w:jc w:val="both"/>
      </w:pPr>
      <w:r>
        <w:t>E</w:t>
      </w:r>
      <w:r w:rsidR="00EC528B" w:rsidRPr="00EC528B">
        <w:t xml:space="preserve">ligibility criteria </w:t>
      </w:r>
      <w:r>
        <w:t>for EOC</w:t>
      </w:r>
      <w:r w:rsidR="008B3E13">
        <w:t xml:space="preserve">s to participate in the study include: </w:t>
      </w:r>
      <w:r w:rsidR="00EC528B" w:rsidRPr="00EC528B">
        <w:t xml:space="preserve">EOCs must </w:t>
      </w:r>
      <w:r w:rsidR="00EC528B" w:rsidRPr="00EC528B">
        <w:rPr>
          <w:u w:val="single"/>
        </w:rPr>
        <w:t>not</w:t>
      </w:r>
      <w:r w:rsidR="00EC528B" w:rsidRPr="00EC528B">
        <w:t xml:space="preserve"> already have a substantively similar intervention </w:t>
      </w:r>
      <w:r w:rsidR="0069556E">
        <w:t xml:space="preserve">in place </w:t>
      </w:r>
      <w:r w:rsidR="00737304">
        <w:t>(</w:t>
      </w:r>
      <w:r w:rsidR="00117E52">
        <w:t>e.g.</w:t>
      </w:r>
      <w:r w:rsidR="0069556E">
        <w:t xml:space="preserve">, staff </w:t>
      </w:r>
      <w:r w:rsidR="00F75105">
        <w:t>regularly and systematically c</w:t>
      </w:r>
      <w:r w:rsidR="0069556E">
        <w:t>ommunicate</w:t>
      </w:r>
      <w:r w:rsidR="00F75105">
        <w:t xml:space="preserve"> with clients </w:t>
      </w:r>
      <w:r w:rsidR="0069556E">
        <w:t xml:space="preserve">about the college-going process </w:t>
      </w:r>
      <w:r w:rsidR="00F75105">
        <w:t xml:space="preserve">via </w:t>
      </w:r>
      <w:r w:rsidR="00737304">
        <w:t>text messages)</w:t>
      </w:r>
      <w:r w:rsidR="0069556E">
        <w:t>, which</w:t>
      </w:r>
      <w:r w:rsidR="00EC528B" w:rsidRPr="00EC528B">
        <w:t xml:space="preserve"> would diminish the service contrast with the control condition; EOCs must demonstrate</w:t>
      </w:r>
      <w:r w:rsidR="00737304">
        <w:t xml:space="preserve"> </w:t>
      </w:r>
      <w:r w:rsidR="0069556E">
        <w:t xml:space="preserve">that they have </w:t>
      </w:r>
      <w:r w:rsidR="00737304">
        <w:t xml:space="preserve">the </w:t>
      </w:r>
      <w:r w:rsidR="002D7195">
        <w:t>c</w:t>
      </w:r>
      <w:r w:rsidR="00EC528B" w:rsidRPr="00EC528B">
        <w:t xml:space="preserve">apacity to implement the intervention </w:t>
      </w:r>
      <w:r w:rsidR="00737304">
        <w:t>with fidelity</w:t>
      </w:r>
      <w:r w:rsidR="0069556E">
        <w:t xml:space="preserve"> (e.g., </w:t>
      </w:r>
      <w:r w:rsidR="002D7195">
        <w:t xml:space="preserve">staff must </w:t>
      </w:r>
      <w:r w:rsidR="0069556E">
        <w:t xml:space="preserve">have the ability </w:t>
      </w:r>
      <w:r w:rsidR="002D7195">
        <w:t xml:space="preserve">and willingness </w:t>
      </w:r>
      <w:r w:rsidR="0069556E">
        <w:t>to</w:t>
      </w:r>
      <w:r w:rsidR="002D7195">
        <w:t xml:space="preserve"> </w:t>
      </w:r>
      <w:r w:rsidR="003E15FA">
        <w:t>communicate with clients via text message</w:t>
      </w:r>
      <w:r w:rsidR="002D7195">
        <w:t>)</w:t>
      </w:r>
      <w:r w:rsidR="00EC528B" w:rsidRPr="00EC528B">
        <w:t xml:space="preserve">; </w:t>
      </w:r>
      <w:r w:rsidR="00295BC6">
        <w:t xml:space="preserve">and </w:t>
      </w:r>
      <w:r w:rsidR="00EC528B" w:rsidRPr="00EC528B">
        <w:t>EOCs must be willing to participate in a</w:t>
      </w:r>
      <w:r w:rsidR="00C85BBD">
        <w:t>n individual-level</w:t>
      </w:r>
      <w:r w:rsidR="00EC528B" w:rsidRPr="00EC528B">
        <w:t xml:space="preserve"> randomized experiment</w:t>
      </w:r>
      <w:r w:rsidR="00295BC6">
        <w:t>.</w:t>
      </w:r>
      <w:r w:rsidR="00366041">
        <w:t xml:space="preserve"> </w:t>
      </w:r>
    </w:p>
    <w:p w14:paraId="1A1F5E72" w14:textId="77777777" w:rsidR="00FB68AB" w:rsidRDefault="00FB68AB" w:rsidP="00E85591">
      <w:pPr>
        <w:spacing w:line="276" w:lineRule="auto"/>
        <w:jc w:val="both"/>
      </w:pPr>
    </w:p>
    <w:p w14:paraId="221BFA78" w14:textId="298B8552" w:rsidR="008347CE" w:rsidRDefault="008347CE" w:rsidP="008347CE">
      <w:pPr>
        <w:spacing w:line="276" w:lineRule="auto"/>
        <w:jc w:val="both"/>
      </w:pPr>
      <w:r>
        <w:t>Table B.1</w:t>
      </w:r>
      <w:r w:rsidRPr="00EC528B">
        <w:t xml:space="preserve"> shows </w:t>
      </w:r>
      <w:r>
        <w:t xml:space="preserve">the </w:t>
      </w:r>
      <w:r w:rsidRPr="00EC528B">
        <w:t>EOC characteristics</w:t>
      </w:r>
      <w:r>
        <w:t xml:space="preserve"> on the two key dimensions </w:t>
      </w:r>
      <w:r w:rsidR="00E42BCE">
        <w:t>identified above</w:t>
      </w:r>
      <w:r w:rsidR="00C361EE">
        <w:t xml:space="preserve"> for </w:t>
      </w:r>
      <w:r w:rsidR="00D053DA">
        <w:t xml:space="preserve">the </w:t>
      </w:r>
      <w:r w:rsidR="00C361EE">
        <w:t>2016</w:t>
      </w:r>
      <w:r w:rsidR="009E206B">
        <w:t xml:space="preserve"> </w:t>
      </w:r>
      <w:r w:rsidR="00872AF5">
        <w:t xml:space="preserve">grant </w:t>
      </w:r>
      <w:r w:rsidR="009E206B">
        <w:t>year</w:t>
      </w:r>
      <w:r w:rsidRPr="00EC528B">
        <w:t xml:space="preserve">. </w:t>
      </w:r>
      <w:r>
        <w:t xml:space="preserve">To recruit </w:t>
      </w:r>
      <w:r w:rsidRPr="00EC528B">
        <w:t>a similar population, our g</w:t>
      </w:r>
      <w:r w:rsidR="00E42BCE">
        <w:t>oal for the study sample of EOC grantees</w:t>
      </w:r>
      <w:r w:rsidRPr="00EC528B">
        <w:t xml:space="preserve"> </w:t>
      </w:r>
      <w:r>
        <w:t>will be</w:t>
      </w:r>
      <w:r w:rsidR="00E42BCE">
        <w:t xml:space="preserve"> to recruit</w:t>
      </w:r>
      <w:r w:rsidRPr="00EC528B">
        <w:t xml:space="preserve"> </w:t>
      </w:r>
      <w:r>
        <w:t xml:space="preserve">approximately </w:t>
      </w:r>
      <w:r w:rsidR="00612962">
        <w:t>8</w:t>
      </w:r>
      <w:r w:rsidRPr="00EC528B">
        <w:t xml:space="preserve"> from 2-year colleges,</w:t>
      </w:r>
      <w:r w:rsidR="00BA416C">
        <w:t xml:space="preserve"> 9 from 4</w:t>
      </w:r>
      <w:r w:rsidR="00612962">
        <w:t>-year colleges,</w:t>
      </w:r>
      <w:r w:rsidRPr="00EC528B">
        <w:t xml:space="preserve"> and</w:t>
      </w:r>
      <w:r w:rsidR="00612962">
        <w:t xml:space="preserve"> 3</w:t>
      </w:r>
      <w:r w:rsidRPr="00EC528B">
        <w:t xml:space="preserve"> from “other”</w:t>
      </w:r>
      <w:r>
        <w:t xml:space="preserve"> </w:t>
      </w:r>
      <w:r w:rsidR="008F61C1">
        <w:t xml:space="preserve">(typically community-based organizations) </w:t>
      </w:r>
      <w:r>
        <w:t>EOC types</w:t>
      </w:r>
      <w:r w:rsidRPr="00EC528B">
        <w:t xml:space="preserve"> (proportional representation). Similar targets would be set for the census regions.</w:t>
      </w:r>
    </w:p>
    <w:p w14:paraId="1E523759" w14:textId="77777777" w:rsidR="00EC528B" w:rsidRPr="00EC528B" w:rsidRDefault="00EC528B" w:rsidP="00E85591">
      <w:pPr>
        <w:spacing w:line="276" w:lineRule="auto"/>
        <w:jc w:val="both"/>
      </w:pPr>
    </w:p>
    <w:p w14:paraId="1E52375A" w14:textId="77777777" w:rsidR="0084047F" w:rsidRDefault="0084047F">
      <w:pPr>
        <w:spacing w:after="200" w:line="276" w:lineRule="auto"/>
        <w:rPr>
          <w:b/>
        </w:rPr>
      </w:pPr>
      <w:r>
        <w:rPr>
          <w:b/>
        </w:rPr>
        <w:br w:type="page"/>
      </w:r>
    </w:p>
    <w:p w14:paraId="1E52375B" w14:textId="12568935" w:rsidR="00EC528B" w:rsidRDefault="00355C9B" w:rsidP="00E85591">
      <w:pPr>
        <w:keepNext/>
        <w:spacing w:line="276" w:lineRule="auto"/>
        <w:jc w:val="both"/>
        <w:rPr>
          <w:b/>
        </w:rPr>
      </w:pPr>
      <w:r>
        <w:rPr>
          <w:b/>
        </w:rPr>
        <w:lastRenderedPageBreak/>
        <w:t>Table B.1</w:t>
      </w:r>
      <w:r w:rsidR="00EC528B" w:rsidRPr="00EC528B">
        <w:rPr>
          <w:b/>
        </w:rPr>
        <w:t>: Number of</w:t>
      </w:r>
      <w:r w:rsidR="00EC528B" w:rsidRPr="00EC528B">
        <w:t xml:space="preserve"> </w:t>
      </w:r>
      <w:r w:rsidR="00EC528B" w:rsidRPr="00EC528B">
        <w:rPr>
          <w:b/>
        </w:rPr>
        <w:t>201</w:t>
      </w:r>
      <w:r w:rsidR="00CD3C2B">
        <w:rPr>
          <w:b/>
        </w:rPr>
        <w:t>6</w:t>
      </w:r>
      <w:r w:rsidR="00EC528B" w:rsidRPr="00EC528B">
        <w:rPr>
          <w:b/>
        </w:rPr>
        <w:t xml:space="preserve"> EOC Grantees</w:t>
      </w:r>
      <w:r w:rsidR="00FD6842">
        <w:rPr>
          <w:b/>
        </w:rPr>
        <w:t>ᵇ</w:t>
      </w:r>
      <w:r w:rsidR="00EC528B" w:rsidRPr="00EC528B">
        <w:rPr>
          <w:b/>
        </w:rPr>
        <w:t xml:space="preserve"> by Census Region</w:t>
      </w:r>
      <w:r w:rsidR="00EC528B" w:rsidRPr="00EC528B">
        <w:rPr>
          <w:b/>
          <w:vertAlign w:val="superscript"/>
        </w:rPr>
        <w:t>a</w:t>
      </w:r>
      <w:r w:rsidR="0043505C">
        <w:rPr>
          <w:b/>
        </w:rPr>
        <w:t xml:space="preserve"> </w:t>
      </w:r>
      <w:r w:rsidR="00EC528B" w:rsidRPr="00EC528B">
        <w:rPr>
          <w:b/>
        </w:rPr>
        <w:t xml:space="preserve">and </w:t>
      </w:r>
      <w:r w:rsidR="00B57CB1">
        <w:rPr>
          <w:b/>
        </w:rPr>
        <w:t xml:space="preserve">Host </w:t>
      </w:r>
      <w:r w:rsidR="00EC528B" w:rsidRPr="00EC528B">
        <w:rPr>
          <w:b/>
        </w:rPr>
        <w:t>Institution Type</w:t>
      </w:r>
    </w:p>
    <w:p w14:paraId="50F3217A" w14:textId="77777777" w:rsidR="00FD6842" w:rsidRDefault="00FD6842" w:rsidP="00E85591">
      <w:pPr>
        <w:keepNext/>
        <w:spacing w:line="276" w:lineRule="auto"/>
        <w:jc w:val="both"/>
        <w:rPr>
          <w:b/>
        </w:rPr>
      </w:pPr>
    </w:p>
    <w:tbl>
      <w:tblPr>
        <w:tblW w:w="9160" w:type="dxa"/>
        <w:tblInd w:w="93" w:type="dxa"/>
        <w:tblLook w:val="04A0" w:firstRow="1" w:lastRow="0" w:firstColumn="1" w:lastColumn="0" w:noHBand="0" w:noVBand="1"/>
      </w:tblPr>
      <w:tblGrid>
        <w:gridCol w:w="1365"/>
        <w:gridCol w:w="1530"/>
        <w:gridCol w:w="1530"/>
        <w:gridCol w:w="1530"/>
        <w:gridCol w:w="1440"/>
        <w:gridCol w:w="1765"/>
      </w:tblGrid>
      <w:tr w:rsidR="00266C8F" w:rsidRPr="00266C8F" w14:paraId="7FAE5826" w14:textId="77777777" w:rsidTr="00B3024A">
        <w:trPr>
          <w:trHeight w:val="300"/>
        </w:trPr>
        <w:tc>
          <w:tcPr>
            <w:tcW w:w="1365" w:type="dxa"/>
            <w:tcBorders>
              <w:top w:val="single" w:sz="4" w:space="0" w:color="auto"/>
              <w:left w:val="single" w:sz="4" w:space="0" w:color="auto"/>
              <w:bottom w:val="single" w:sz="4" w:space="0" w:color="auto"/>
              <w:right w:val="nil"/>
            </w:tcBorders>
            <w:shd w:val="clear" w:color="000000" w:fill="D9D9D9"/>
            <w:vAlign w:val="bottom"/>
            <w:hideMark/>
          </w:tcPr>
          <w:p w14:paraId="4673C53D" w14:textId="77777777" w:rsidR="00266C8F" w:rsidRPr="00266C8F" w:rsidRDefault="00266C8F" w:rsidP="00266C8F">
            <w:pPr>
              <w:rPr>
                <w:rFonts w:ascii="Calibri" w:hAnsi="Calibri"/>
                <w:b/>
                <w:bCs/>
                <w:color w:val="000000"/>
                <w:sz w:val="22"/>
                <w:szCs w:val="22"/>
              </w:rPr>
            </w:pPr>
            <w:r w:rsidRPr="00266C8F">
              <w:rPr>
                <w:rFonts w:ascii="Calibri" w:hAnsi="Calibri"/>
                <w:b/>
                <w:bCs/>
                <w:color w:val="000000"/>
                <w:sz w:val="22"/>
                <w:szCs w:val="22"/>
              </w:rPr>
              <w:t> </w:t>
            </w:r>
          </w:p>
        </w:tc>
        <w:tc>
          <w:tcPr>
            <w:tcW w:w="1530" w:type="dxa"/>
            <w:tcBorders>
              <w:top w:val="single" w:sz="4" w:space="0" w:color="auto"/>
              <w:left w:val="single" w:sz="4" w:space="0" w:color="auto"/>
              <w:bottom w:val="single" w:sz="4" w:space="0" w:color="auto"/>
              <w:right w:val="nil"/>
            </w:tcBorders>
            <w:shd w:val="clear" w:color="000000" w:fill="D9D9D9"/>
            <w:vAlign w:val="bottom"/>
            <w:hideMark/>
          </w:tcPr>
          <w:p w14:paraId="62628661" w14:textId="77777777" w:rsidR="00266C8F" w:rsidRPr="00266C8F" w:rsidRDefault="00266C8F" w:rsidP="00266C8F">
            <w:pPr>
              <w:jc w:val="center"/>
              <w:rPr>
                <w:rFonts w:ascii="Calibri" w:hAnsi="Calibri"/>
                <w:b/>
                <w:bCs/>
                <w:color w:val="000000"/>
                <w:sz w:val="22"/>
                <w:szCs w:val="22"/>
              </w:rPr>
            </w:pPr>
            <w:r w:rsidRPr="00266C8F">
              <w:rPr>
                <w:rFonts w:ascii="Calibri" w:hAnsi="Calibri"/>
                <w:b/>
                <w:bCs/>
                <w:color w:val="000000"/>
                <w:sz w:val="22"/>
                <w:szCs w:val="22"/>
              </w:rPr>
              <w:t>Northeast Region</w:t>
            </w:r>
          </w:p>
        </w:tc>
        <w:tc>
          <w:tcPr>
            <w:tcW w:w="1530" w:type="dxa"/>
            <w:tcBorders>
              <w:top w:val="single" w:sz="4" w:space="0" w:color="auto"/>
              <w:left w:val="nil"/>
              <w:bottom w:val="single" w:sz="4" w:space="0" w:color="auto"/>
              <w:right w:val="nil"/>
            </w:tcBorders>
            <w:shd w:val="clear" w:color="000000" w:fill="D9D9D9"/>
            <w:vAlign w:val="bottom"/>
            <w:hideMark/>
          </w:tcPr>
          <w:p w14:paraId="78CA338B" w14:textId="77777777" w:rsidR="00266C8F" w:rsidRPr="00266C8F" w:rsidRDefault="00266C8F" w:rsidP="00266C8F">
            <w:pPr>
              <w:jc w:val="center"/>
              <w:rPr>
                <w:rFonts w:ascii="Calibri" w:hAnsi="Calibri"/>
                <w:b/>
                <w:bCs/>
                <w:color w:val="000000"/>
                <w:sz w:val="22"/>
                <w:szCs w:val="22"/>
              </w:rPr>
            </w:pPr>
            <w:r w:rsidRPr="00266C8F">
              <w:rPr>
                <w:rFonts w:ascii="Calibri" w:hAnsi="Calibri"/>
                <w:b/>
                <w:bCs/>
                <w:color w:val="000000"/>
                <w:sz w:val="22"/>
                <w:szCs w:val="22"/>
              </w:rPr>
              <w:t>Midwest Region</w:t>
            </w:r>
          </w:p>
        </w:tc>
        <w:tc>
          <w:tcPr>
            <w:tcW w:w="1530" w:type="dxa"/>
            <w:tcBorders>
              <w:top w:val="single" w:sz="4" w:space="0" w:color="auto"/>
              <w:left w:val="nil"/>
              <w:bottom w:val="single" w:sz="4" w:space="0" w:color="auto"/>
              <w:right w:val="nil"/>
            </w:tcBorders>
            <w:shd w:val="clear" w:color="000000" w:fill="D9D9D9"/>
            <w:vAlign w:val="bottom"/>
            <w:hideMark/>
          </w:tcPr>
          <w:p w14:paraId="1D27C314" w14:textId="77777777" w:rsidR="00A50A3B" w:rsidRDefault="00A50A3B" w:rsidP="00266C8F">
            <w:pPr>
              <w:jc w:val="center"/>
              <w:rPr>
                <w:rFonts w:ascii="Calibri" w:hAnsi="Calibri"/>
                <w:b/>
                <w:bCs/>
                <w:color w:val="000000"/>
                <w:sz w:val="22"/>
                <w:szCs w:val="22"/>
              </w:rPr>
            </w:pPr>
            <w:r>
              <w:rPr>
                <w:rFonts w:ascii="Calibri" w:hAnsi="Calibri"/>
                <w:b/>
                <w:bCs/>
                <w:color w:val="000000"/>
                <w:sz w:val="22"/>
                <w:szCs w:val="22"/>
              </w:rPr>
              <w:t>South</w:t>
            </w:r>
          </w:p>
          <w:p w14:paraId="00284274" w14:textId="19739762" w:rsidR="00266C8F" w:rsidRPr="00266C8F" w:rsidRDefault="00266C8F" w:rsidP="00266C8F">
            <w:pPr>
              <w:jc w:val="center"/>
              <w:rPr>
                <w:rFonts w:ascii="Calibri" w:hAnsi="Calibri"/>
                <w:b/>
                <w:bCs/>
                <w:color w:val="000000"/>
                <w:sz w:val="22"/>
                <w:szCs w:val="22"/>
              </w:rPr>
            </w:pPr>
            <w:r w:rsidRPr="00266C8F">
              <w:rPr>
                <w:rFonts w:ascii="Calibri" w:hAnsi="Calibri"/>
                <w:b/>
                <w:bCs/>
                <w:color w:val="000000"/>
                <w:sz w:val="22"/>
                <w:szCs w:val="22"/>
              </w:rPr>
              <w:t>Region</w:t>
            </w:r>
          </w:p>
        </w:tc>
        <w:tc>
          <w:tcPr>
            <w:tcW w:w="1440" w:type="dxa"/>
            <w:tcBorders>
              <w:top w:val="single" w:sz="4" w:space="0" w:color="auto"/>
              <w:left w:val="nil"/>
              <w:bottom w:val="single" w:sz="4" w:space="0" w:color="auto"/>
              <w:right w:val="nil"/>
            </w:tcBorders>
            <w:shd w:val="clear" w:color="000000" w:fill="D9D9D9"/>
            <w:vAlign w:val="bottom"/>
            <w:hideMark/>
          </w:tcPr>
          <w:p w14:paraId="60E66137" w14:textId="77777777" w:rsidR="00A50A3B" w:rsidRDefault="00A50A3B" w:rsidP="00266C8F">
            <w:pPr>
              <w:jc w:val="center"/>
              <w:rPr>
                <w:rFonts w:ascii="Calibri" w:hAnsi="Calibri"/>
                <w:b/>
                <w:bCs/>
                <w:color w:val="000000"/>
                <w:sz w:val="22"/>
                <w:szCs w:val="22"/>
              </w:rPr>
            </w:pPr>
            <w:r>
              <w:rPr>
                <w:rFonts w:ascii="Calibri" w:hAnsi="Calibri"/>
                <w:b/>
                <w:bCs/>
                <w:color w:val="000000"/>
                <w:sz w:val="22"/>
                <w:szCs w:val="22"/>
              </w:rPr>
              <w:t>West</w:t>
            </w:r>
          </w:p>
          <w:p w14:paraId="2389FF49" w14:textId="012C68E8" w:rsidR="00266C8F" w:rsidRPr="00266C8F" w:rsidRDefault="00266C8F" w:rsidP="00266C8F">
            <w:pPr>
              <w:jc w:val="center"/>
              <w:rPr>
                <w:rFonts w:ascii="Calibri" w:hAnsi="Calibri"/>
                <w:b/>
                <w:bCs/>
                <w:color w:val="000000"/>
                <w:sz w:val="22"/>
                <w:szCs w:val="22"/>
              </w:rPr>
            </w:pPr>
            <w:r w:rsidRPr="00266C8F">
              <w:rPr>
                <w:rFonts w:ascii="Calibri" w:hAnsi="Calibri"/>
                <w:b/>
                <w:bCs/>
                <w:color w:val="000000"/>
                <w:sz w:val="22"/>
                <w:szCs w:val="22"/>
              </w:rPr>
              <w:t>Region</w:t>
            </w:r>
          </w:p>
        </w:tc>
        <w:tc>
          <w:tcPr>
            <w:tcW w:w="1765" w:type="dxa"/>
            <w:tcBorders>
              <w:top w:val="single" w:sz="4" w:space="0" w:color="auto"/>
              <w:left w:val="nil"/>
              <w:bottom w:val="single" w:sz="4" w:space="0" w:color="auto"/>
              <w:right w:val="single" w:sz="4" w:space="0" w:color="auto"/>
            </w:tcBorders>
            <w:shd w:val="clear" w:color="000000" w:fill="D9D9D9"/>
            <w:vAlign w:val="center"/>
            <w:hideMark/>
          </w:tcPr>
          <w:p w14:paraId="00134E45" w14:textId="77777777" w:rsidR="00266C8F" w:rsidRPr="00266C8F" w:rsidRDefault="00266C8F" w:rsidP="00266C8F">
            <w:pPr>
              <w:jc w:val="center"/>
              <w:rPr>
                <w:rFonts w:ascii="Calibri" w:hAnsi="Calibri"/>
                <w:b/>
                <w:bCs/>
                <w:color w:val="000000"/>
                <w:sz w:val="22"/>
                <w:szCs w:val="22"/>
              </w:rPr>
            </w:pPr>
            <w:r w:rsidRPr="00266C8F">
              <w:rPr>
                <w:rFonts w:ascii="Calibri" w:hAnsi="Calibri"/>
                <w:b/>
                <w:bCs/>
                <w:color w:val="000000"/>
                <w:sz w:val="22"/>
                <w:szCs w:val="22"/>
              </w:rPr>
              <w:t>Grand Total</w:t>
            </w:r>
          </w:p>
        </w:tc>
      </w:tr>
      <w:tr w:rsidR="00266C8F" w:rsidRPr="00266C8F" w14:paraId="4D60E764" w14:textId="77777777" w:rsidTr="00B3024A">
        <w:trPr>
          <w:trHeight w:val="375"/>
        </w:trPr>
        <w:tc>
          <w:tcPr>
            <w:tcW w:w="1365" w:type="dxa"/>
            <w:tcBorders>
              <w:top w:val="nil"/>
              <w:left w:val="single" w:sz="4" w:space="0" w:color="auto"/>
              <w:bottom w:val="single" w:sz="4" w:space="0" w:color="auto"/>
              <w:right w:val="single" w:sz="4" w:space="0" w:color="auto"/>
            </w:tcBorders>
            <w:shd w:val="clear" w:color="000000" w:fill="FFFFFF"/>
            <w:noWrap/>
            <w:vAlign w:val="center"/>
            <w:hideMark/>
          </w:tcPr>
          <w:p w14:paraId="5E7894A7" w14:textId="77777777" w:rsidR="00266C8F" w:rsidRPr="00266C8F" w:rsidRDefault="00266C8F" w:rsidP="00266C8F">
            <w:pPr>
              <w:rPr>
                <w:rFonts w:ascii="Calibri" w:hAnsi="Calibri"/>
                <w:b/>
                <w:bCs/>
                <w:color w:val="000000"/>
                <w:sz w:val="22"/>
                <w:szCs w:val="22"/>
              </w:rPr>
            </w:pPr>
            <w:r w:rsidRPr="00266C8F">
              <w:rPr>
                <w:rFonts w:ascii="Calibri" w:hAnsi="Calibri"/>
                <w:b/>
                <w:bCs/>
                <w:color w:val="000000"/>
                <w:sz w:val="22"/>
                <w:szCs w:val="22"/>
              </w:rPr>
              <w:t>2-year</w:t>
            </w:r>
          </w:p>
        </w:tc>
        <w:tc>
          <w:tcPr>
            <w:tcW w:w="1530" w:type="dxa"/>
            <w:tcBorders>
              <w:top w:val="nil"/>
              <w:left w:val="nil"/>
              <w:bottom w:val="single" w:sz="4" w:space="0" w:color="auto"/>
              <w:right w:val="single" w:sz="4" w:space="0" w:color="auto"/>
            </w:tcBorders>
            <w:shd w:val="clear" w:color="000000" w:fill="FFFFFF"/>
            <w:noWrap/>
            <w:vAlign w:val="bottom"/>
            <w:hideMark/>
          </w:tcPr>
          <w:p w14:paraId="52EBB2E4" w14:textId="77777777" w:rsidR="00266C8F" w:rsidRPr="00266C8F" w:rsidRDefault="00266C8F" w:rsidP="00266C8F">
            <w:pPr>
              <w:jc w:val="center"/>
              <w:rPr>
                <w:rFonts w:ascii="Calibri" w:hAnsi="Calibri"/>
                <w:color w:val="000000"/>
                <w:sz w:val="22"/>
                <w:szCs w:val="22"/>
              </w:rPr>
            </w:pPr>
            <w:r w:rsidRPr="00266C8F">
              <w:rPr>
                <w:rFonts w:ascii="Calibri" w:hAnsi="Calibri"/>
                <w:color w:val="000000"/>
                <w:sz w:val="22"/>
                <w:szCs w:val="22"/>
              </w:rPr>
              <w:t>4</w:t>
            </w:r>
          </w:p>
        </w:tc>
        <w:tc>
          <w:tcPr>
            <w:tcW w:w="1530" w:type="dxa"/>
            <w:tcBorders>
              <w:top w:val="nil"/>
              <w:left w:val="nil"/>
              <w:bottom w:val="single" w:sz="4" w:space="0" w:color="auto"/>
              <w:right w:val="single" w:sz="4" w:space="0" w:color="auto"/>
            </w:tcBorders>
            <w:shd w:val="clear" w:color="000000" w:fill="FFFFFF"/>
            <w:noWrap/>
            <w:vAlign w:val="bottom"/>
            <w:hideMark/>
          </w:tcPr>
          <w:p w14:paraId="373AC812" w14:textId="77777777" w:rsidR="00266C8F" w:rsidRPr="00266C8F" w:rsidRDefault="00266C8F" w:rsidP="00266C8F">
            <w:pPr>
              <w:jc w:val="center"/>
              <w:rPr>
                <w:rFonts w:ascii="Calibri" w:hAnsi="Calibri"/>
                <w:color w:val="000000"/>
                <w:sz w:val="22"/>
                <w:szCs w:val="22"/>
              </w:rPr>
            </w:pPr>
            <w:r w:rsidRPr="00266C8F">
              <w:rPr>
                <w:rFonts w:ascii="Calibri" w:hAnsi="Calibri"/>
                <w:color w:val="000000"/>
                <w:sz w:val="22"/>
                <w:szCs w:val="22"/>
              </w:rPr>
              <w:t>13</w:t>
            </w:r>
          </w:p>
        </w:tc>
        <w:tc>
          <w:tcPr>
            <w:tcW w:w="1530" w:type="dxa"/>
            <w:tcBorders>
              <w:top w:val="nil"/>
              <w:left w:val="nil"/>
              <w:bottom w:val="single" w:sz="4" w:space="0" w:color="auto"/>
              <w:right w:val="single" w:sz="4" w:space="0" w:color="auto"/>
            </w:tcBorders>
            <w:shd w:val="clear" w:color="000000" w:fill="FFFFFF"/>
            <w:noWrap/>
            <w:vAlign w:val="bottom"/>
            <w:hideMark/>
          </w:tcPr>
          <w:p w14:paraId="651A1BF3" w14:textId="77777777" w:rsidR="00266C8F" w:rsidRPr="00266C8F" w:rsidRDefault="00266C8F" w:rsidP="00266C8F">
            <w:pPr>
              <w:jc w:val="center"/>
              <w:rPr>
                <w:rFonts w:ascii="Calibri" w:hAnsi="Calibri"/>
                <w:color w:val="000000"/>
                <w:sz w:val="22"/>
                <w:szCs w:val="22"/>
              </w:rPr>
            </w:pPr>
            <w:r w:rsidRPr="00266C8F">
              <w:rPr>
                <w:rFonts w:ascii="Calibri" w:hAnsi="Calibri"/>
                <w:color w:val="000000"/>
                <w:sz w:val="22"/>
                <w:szCs w:val="22"/>
              </w:rPr>
              <w:t>31</w:t>
            </w:r>
          </w:p>
        </w:tc>
        <w:tc>
          <w:tcPr>
            <w:tcW w:w="1440" w:type="dxa"/>
            <w:tcBorders>
              <w:top w:val="nil"/>
              <w:left w:val="nil"/>
              <w:bottom w:val="single" w:sz="4" w:space="0" w:color="auto"/>
              <w:right w:val="double" w:sz="6" w:space="0" w:color="auto"/>
            </w:tcBorders>
            <w:shd w:val="clear" w:color="000000" w:fill="FFFFFF"/>
            <w:noWrap/>
            <w:vAlign w:val="bottom"/>
            <w:hideMark/>
          </w:tcPr>
          <w:p w14:paraId="35AF2912" w14:textId="77777777" w:rsidR="00266C8F" w:rsidRPr="00266C8F" w:rsidRDefault="00266C8F" w:rsidP="00266C8F">
            <w:pPr>
              <w:jc w:val="center"/>
              <w:rPr>
                <w:rFonts w:ascii="Calibri" w:hAnsi="Calibri"/>
                <w:color w:val="000000"/>
                <w:sz w:val="22"/>
                <w:szCs w:val="22"/>
              </w:rPr>
            </w:pPr>
            <w:r w:rsidRPr="00266C8F">
              <w:rPr>
                <w:rFonts w:ascii="Calibri" w:hAnsi="Calibri"/>
                <w:color w:val="000000"/>
                <w:sz w:val="22"/>
                <w:szCs w:val="22"/>
              </w:rPr>
              <w:t>9</w:t>
            </w:r>
          </w:p>
        </w:tc>
        <w:tc>
          <w:tcPr>
            <w:tcW w:w="1765" w:type="dxa"/>
            <w:tcBorders>
              <w:top w:val="nil"/>
              <w:left w:val="nil"/>
              <w:bottom w:val="single" w:sz="4" w:space="0" w:color="auto"/>
              <w:right w:val="single" w:sz="4" w:space="0" w:color="auto"/>
            </w:tcBorders>
            <w:shd w:val="clear" w:color="000000" w:fill="FFFFFF"/>
            <w:noWrap/>
            <w:vAlign w:val="bottom"/>
            <w:hideMark/>
          </w:tcPr>
          <w:p w14:paraId="1BC771AE" w14:textId="77777777" w:rsidR="00266C8F" w:rsidRPr="00266C8F" w:rsidRDefault="00266C8F" w:rsidP="00266C8F">
            <w:pPr>
              <w:jc w:val="center"/>
              <w:rPr>
                <w:rFonts w:ascii="Calibri" w:hAnsi="Calibri"/>
                <w:b/>
                <w:bCs/>
                <w:color w:val="000000"/>
                <w:sz w:val="22"/>
                <w:szCs w:val="22"/>
              </w:rPr>
            </w:pPr>
            <w:r w:rsidRPr="00266C8F">
              <w:rPr>
                <w:rFonts w:ascii="Calibri" w:hAnsi="Calibri"/>
                <w:b/>
                <w:bCs/>
                <w:color w:val="000000"/>
                <w:sz w:val="22"/>
                <w:szCs w:val="22"/>
              </w:rPr>
              <w:t>57</w:t>
            </w:r>
          </w:p>
        </w:tc>
      </w:tr>
      <w:tr w:rsidR="00266C8F" w:rsidRPr="00266C8F" w14:paraId="394F819F" w14:textId="77777777" w:rsidTr="00B3024A">
        <w:trPr>
          <w:trHeight w:val="375"/>
        </w:trPr>
        <w:tc>
          <w:tcPr>
            <w:tcW w:w="1365" w:type="dxa"/>
            <w:tcBorders>
              <w:top w:val="nil"/>
              <w:left w:val="single" w:sz="4" w:space="0" w:color="auto"/>
              <w:bottom w:val="single" w:sz="4" w:space="0" w:color="auto"/>
              <w:right w:val="single" w:sz="4" w:space="0" w:color="auto"/>
            </w:tcBorders>
            <w:shd w:val="clear" w:color="000000" w:fill="FFFFFF"/>
            <w:noWrap/>
            <w:vAlign w:val="center"/>
            <w:hideMark/>
          </w:tcPr>
          <w:p w14:paraId="1999D699" w14:textId="77777777" w:rsidR="00266C8F" w:rsidRPr="00266C8F" w:rsidRDefault="00266C8F" w:rsidP="00266C8F">
            <w:pPr>
              <w:rPr>
                <w:rFonts w:ascii="Calibri" w:hAnsi="Calibri"/>
                <w:b/>
                <w:bCs/>
                <w:color w:val="000000"/>
                <w:sz w:val="22"/>
                <w:szCs w:val="22"/>
              </w:rPr>
            </w:pPr>
            <w:r w:rsidRPr="00266C8F">
              <w:rPr>
                <w:rFonts w:ascii="Calibri" w:hAnsi="Calibri"/>
                <w:b/>
                <w:bCs/>
                <w:color w:val="000000"/>
                <w:sz w:val="22"/>
                <w:szCs w:val="22"/>
              </w:rPr>
              <w:t>4-Year</w:t>
            </w:r>
          </w:p>
        </w:tc>
        <w:tc>
          <w:tcPr>
            <w:tcW w:w="1530" w:type="dxa"/>
            <w:tcBorders>
              <w:top w:val="nil"/>
              <w:left w:val="nil"/>
              <w:bottom w:val="single" w:sz="4" w:space="0" w:color="auto"/>
              <w:right w:val="single" w:sz="4" w:space="0" w:color="auto"/>
            </w:tcBorders>
            <w:shd w:val="clear" w:color="000000" w:fill="FFFFFF"/>
            <w:noWrap/>
            <w:vAlign w:val="bottom"/>
            <w:hideMark/>
          </w:tcPr>
          <w:p w14:paraId="3DCA7B4E" w14:textId="77777777" w:rsidR="00266C8F" w:rsidRPr="00266C8F" w:rsidRDefault="00266C8F" w:rsidP="00266C8F">
            <w:pPr>
              <w:jc w:val="center"/>
              <w:rPr>
                <w:rFonts w:ascii="Calibri" w:hAnsi="Calibri"/>
                <w:color w:val="000000"/>
                <w:sz w:val="22"/>
                <w:szCs w:val="22"/>
              </w:rPr>
            </w:pPr>
            <w:r w:rsidRPr="00266C8F">
              <w:rPr>
                <w:rFonts w:ascii="Calibri" w:hAnsi="Calibri"/>
                <w:color w:val="000000"/>
                <w:sz w:val="22"/>
                <w:szCs w:val="22"/>
              </w:rPr>
              <w:t>3</w:t>
            </w:r>
          </w:p>
        </w:tc>
        <w:tc>
          <w:tcPr>
            <w:tcW w:w="1530" w:type="dxa"/>
            <w:tcBorders>
              <w:top w:val="nil"/>
              <w:left w:val="nil"/>
              <w:bottom w:val="single" w:sz="4" w:space="0" w:color="auto"/>
              <w:right w:val="single" w:sz="4" w:space="0" w:color="auto"/>
            </w:tcBorders>
            <w:shd w:val="clear" w:color="000000" w:fill="FFFFFF"/>
            <w:noWrap/>
            <w:vAlign w:val="bottom"/>
            <w:hideMark/>
          </w:tcPr>
          <w:p w14:paraId="1BE9435E" w14:textId="77777777" w:rsidR="00266C8F" w:rsidRPr="00266C8F" w:rsidRDefault="00266C8F" w:rsidP="00266C8F">
            <w:pPr>
              <w:jc w:val="center"/>
              <w:rPr>
                <w:rFonts w:ascii="Calibri" w:hAnsi="Calibri"/>
                <w:color w:val="000000"/>
                <w:sz w:val="22"/>
                <w:szCs w:val="22"/>
              </w:rPr>
            </w:pPr>
            <w:r w:rsidRPr="00266C8F">
              <w:rPr>
                <w:rFonts w:ascii="Calibri" w:hAnsi="Calibri"/>
                <w:color w:val="000000"/>
                <w:sz w:val="22"/>
                <w:szCs w:val="22"/>
              </w:rPr>
              <w:t>10</w:t>
            </w:r>
          </w:p>
        </w:tc>
        <w:tc>
          <w:tcPr>
            <w:tcW w:w="1530" w:type="dxa"/>
            <w:tcBorders>
              <w:top w:val="nil"/>
              <w:left w:val="nil"/>
              <w:bottom w:val="single" w:sz="4" w:space="0" w:color="auto"/>
              <w:right w:val="single" w:sz="4" w:space="0" w:color="auto"/>
            </w:tcBorders>
            <w:shd w:val="clear" w:color="000000" w:fill="FFFFFF"/>
            <w:noWrap/>
            <w:vAlign w:val="bottom"/>
            <w:hideMark/>
          </w:tcPr>
          <w:p w14:paraId="5ECA336E" w14:textId="77777777" w:rsidR="00266C8F" w:rsidRPr="00266C8F" w:rsidRDefault="00266C8F" w:rsidP="00266C8F">
            <w:pPr>
              <w:jc w:val="center"/>
              <w:rPr>
                <w:rFonts w:ascii="Calibri" w:hAnsi="Calibri"/>
                <w:color w:val="000000"/>
                <w:sz w:val="22"/>
                <w:szCs w:val="22"/>
              </w:rPr>
            </w:pPr>
            <w:r w:rsidRPr="00266C8F">
              <w:rPr>
                <w:rFonts w:ascii="Calibri" w:hAnsi="Calibri"/>
                <w:color w:val="000000"/>
                <w:sz w:val="22"/>
                <w:szCs w:val="22"/>
              </w:rPr>
              <w:t>42</w:t>
            </w:r>
          </w:p>
        </w:tc>
        <w:tc>
          <w:tcPr>
            <w:tcW w:w="1440" w:type="dxa"/>
            <w:tcBorders>
              <w:top w:val="nil"/>
              <w:left w:val="nil"/>
              <w:bottom w:val="single" w:sz="4" w:space="0" w:color="auto"/>
              <w:right w:val="double" w:sz="6" w:space="0" w:color="auto"/>
            </w:tcBorders>
            <w:shd w:val="clear" w:color="000000" w:fill="FFFFFF"/>
            <w:noWrap/>
            <w:vAlign w:val="bottom"/>
            <w:hideMark/>
          </w:tcPr>
          <w:p w14:paraId="0E23EB57" w14:textId="77777777" w:rsidR="00266C8F" w:rsidRPr="00266C8F" w:rsidRDefault="00266C8F" w:rsidP="00266C8F">
            <w:pPr>
              <w:jc w:val="center"/>
              <w:rPr>
                <w:rFonts w:ascii="Calibri" w:hAnsi="Calibri"/>
                <w:color w:val="000000"/>
                <w:sz w:val="22"/>
                <w:szCs w:val="22"/>
              </w:rPr>
            </w:pPr>
            <w:r w:rsidRPr="00266C8F">
              <w:rPr>
                <w:rFonts w:ascii="Calibri" w:hAnsi="Calibri"/>
                <w:color w:val="000000"/>
                <w:sz w:val="22"/>
                <w:szCs w:val="22"/>
              </w:rPr>
              <w:t>13</w:t>
            </w:r>
          </w:p>
        </w:tc>
        <w:tc>
          <w:tcPr>
            <w:tcW w:w="1765" w:type="dxa"/>
            <w:tcBorders>
              <w:top w:val="nil"/>
              <w:left w:val="nil"/>
              <w:bottom w:val="single" w:sz="4" w:space="0" w:color="auto"/>
              <w:right w:val="single" w:sz="4" w:space="0" w:color="auto"/>
            </w:tcBorders>
            <w:shd w:val="clear" w:color="000000" w:fill="FFFFFF"/>
            <w:noWrap/>
            <w:vAlign w:val="bottom"/>
            <w:hideMark/>
          </w:tcPr>
          <w:p w14:paraId="13081D0F" w14:textId="77777777" w:rsidR="00266C8F" w:rsidRPr="00266C8F" w:rsidRDefault="00266C8F" w:rsidP="00266C8F">
            <w:pPr>
              <w:jc w:val="center"/>
              <w:rPr>
                <w:rFonts w:ascii="Calibri" w:hAnsi="Calibri"/>
                <w:b/>
                <w:bCs/>
                <w:color w:val="000000"/>
                <w:sz w:val="22"/>
                <w:szCs w:val="22"/>
              </w:rPr>
            </w:pPr>
            <w:r w:rsidRPr="00266C8F">
              <w:rPr>
                <w:rFonts w:ascii="Calibri" w:hAnsi="Calibri"/>
                <w:b/>
                <w:bCs/>
                <w:color w:val="000000"/>
                <w:sz w:val="22"/>
                <w:szCs w:val="22"/>
              </w:rPr>
              <w:t>68</w:t>
            </w:r>
          </w:p>
        </w:tc>
      </w:tr>
      <w:tr w:rsidR="00266C8F" w:rsidRPr="00266C8F" w14:paraId="48DAD101" w14:textId="77777777" w:rsidTr="00B3024A">
        <w:trPr>
          <w:trHeight w:val="375"/>
        </w:trPr>
        <w:tc>
          <w:tcPr>
            <w:tcW w:w="1365" w:type="dxa"/>
            <w:tcBorders>
              <w:top w:val="nil"/>
              <w:left w:val="single" w:sz="4" w:space="0" w:color="auto"/>
              <w:bottom w:val="double" w:sz="6" w:space="0" w:color="auto"/>
              <w:right w:val="single" w:sz="4" w:space="0" w:color="auto"/>
            </w:tcBorders>
            <w:shd w:val="clear" w:color="000000" w:fill="FFFFFF"/>
            <w:noWrap/>
            <w:vAlign w:val="center"/>
            <w:hideMark/>
          </w:tcPr>
          <w:p w14:paraId="3A2C7AF1" w14:textId="77777777" w:rsidR="00266C8F" w:rsidRPr="00266C8F" w:rsidRDefault="00266C8F" w:rsidP="00266C8F">
            <w:pPr>
              <w:rPr>
                <w:rFonts w:ascii="Calibri" w:hAnsi="Calibri"/>
                <w:b/>
                <w:bCs/>
                <w:color w:val="000000"/>
                <w:sz w:val="22"/>
                <w:szCs w:val="22"/>
              </w:rPr>
            </w:pPr>
            <w:r w:rsidRPr="00266C8F">
              <w:rPr>
                <w:rFonts w:ascii="Calibri" w:hAnsi="Calibri"/>
                <w:b/>
                <w:bCs/>
                <w:color w:val="000000"/>
                <w:sz w:val="22"/>
                <w:szCs w:val="22"/>
              </w:rPr>
              <w:t>Other</w:t>
            </w:r>
          </w:p>
        </w:tc>
        <w:tc>
          <w:tcPr>
            <w:tcW w:w="1530" w:type="dxa"/>
            <w:tcBorders>
              <w:top w:val="nil"/>
              <w:left w:val="nil"/>
              <w:bottom w:val="double" w:sz="6" w:space="0" w:color="auto"/>
              <w:right w:val="single" w:sz="4" w:space="0" w:color="auto"/>
            </w:tcBorders>
            <w:shd w:val="clear" w:color="000000" w:fill="FFFFFF"/>
            <w:noWrap/>
            <w:vAlign w:val="bottom"/>
            <w:hideMark/>
          </w:tcPr>
          <w:p w14:paraId="577542A5" w14:textId="77777777" w:rsidR="00266C8F" w:rsidRPr="00266C8F" w:rsidRDefault="00266C8F" w:rsidP="00266C8F">
            <w:pPr>
              <w:jc w:val="center"/>
              <w:rPr>
                <w:rFonts w:ascii="Calibri" w:hAnsi="Calibri"/>
                <w:color w:val="000000"/>
                <w:sz w:val="22"/>
                <w:szCs w:val="22"/>
              </w:rPr>
            </w:pPr>
            <w:r w:rsidRPr="00266C8F">
              <w:rPr>
                <w:rFonts w:ascii="Calibri" w:hAnsi="Calibri"/>
                <w:color w:val="000000"/>
                <w:sz w:val="22"/>
                <w:szCs w:val="22"/>
              </w:rPr>
              <w:t>8</w:t>
            </w:r>
          </w:p>
        </w:tc>
        <w:tc>
          <w:tcPr>
            <w:tcW w:w="1530" w:type="dxa"/>
            <w:tcBorders>
              <w:top w:val="nil"/>
              <w:left w:val="nil"/>
              <w:bottom w:val="double" w:sz="6" w:space="0" w:color="auto"/>
              <w:right w:val="single" w:sz="4" w:space="0" w:color="auto"/>
            </w:tcBorders>
            <w:shd w:val="clear" w:color="000000" w:fill="FFFFFF"/>
            <w:noWrap/>
            <w:vAlign w:val="bottom"/>
            <w:hideMark/>
          </w:tcPr>
          <w:p w14:paraId="488A9EA4" w14:textId="77777777" w:rsidR="00266C8F" w:rsidRPr="00266C8F" w:rsidRDefault="00266C8F" w:rsidP="00266C8F">
            <w:pPr>
              <w:jc w:val="center"/>
              <w:rPr>
                <w:rFonts w:ascii="Calibri" w:hAnsi="Calibri"/>
                <w:color w:val="000000"/>
                <w:sz w:val="22"/>
                <w:szCs w:val="22"/>
              </w:rPr>
            </w:pPr>
            <w:r w:rsidRPr="00266C8F">
              <w:rPr>
                <w:rFonts w:ascii="Calibri" w:hAnsi="Calibri"/>
                <w:color w:val="000000"/>
                <w:sz w:val="22"/>
                <w:szCs w:val="22"/>
              </w:rPr>
              <w:t>4</w:t>
            </w:r>
          </w:p>
        </w:tc>
        <w:tc>
          <w:tcPr>
            <w:tcW w:w="1530" w:type="dxa"/>
            <w:tcBorders>
              <w:top w:val="nil"/>
              <w:left w:val="nil"/>
              <w:bottom w:val="double" w:sz="6" w:space="0" w:color="auto"/>
              <w:right w:val="single" w:sz="4" w:space="0" w:color="auto"/>
            </w:tcBorders>
            <w:shd w:val="clear" w:color="000000" w:fill="FFFFFF"/>
            <w:noWrap/>
            <w:vAlign w:val="bottom"/>
            <w:hideMark/>
          </w:tcPr>
          <w:p w14:paraId="08F4C63C" w14:textId="77777777" w:rsidR="00266C8F" w:rsidRPr="00266C8F" w:rsidRDefault="00266C8F" w:rsidP="00266C8F">
            <w:pPr>
              <w:jc w:val="center"/>
              <w:rPr>
                <w:rFonts w:ascii="Calibri" w:hAnsi="Calibri"/>
                <w:color w:val="000000"/>
                <w:sz w:val="22"/>
                <w:szCs w:val="22"/>
              </w:rPr>
            </w:pPr>
            <w:r w:rsidRPr="00266C8F">
              <w:rPr>
                <w:rFonts w:ascii="Calibri" w:hAnsi="Calibri"/>
                <w:color w:val="000000"/>
                <w:sz w:val="22"/>
                <w:szCs w:val="22"/>
              </w:rPr>
              <w:t>11</w:t>
            </w:r>
          </w:p>
        </w:tc>
        <w:tc>
          <w:tcPr>
            <w:tcW w:w="1440" w:type="dxa"/>
            <w:tcBorders>
              <w:top w:val="nil"/>
              <w:left w:val="nil"/>
              <w:bottom w:val="double" w:sz="6" w:space="0" w:color="auto"/>
              <w:right w:val="double" w:sz="6" w:space="0" w:color="auto"/>
            </w:tcBorders>
            <w:shd w:val="clear" w:color="000000" w:fill="FFFFFF"/>
            <w:noWrap/>
            <w:vAlign w:val="bottom"/>
            <w:hideMark/>
          </w:tcPr>
          <w:p w14:paraId="3165984E" w14:textId="77777777" w:rsidR="00266C8F" w:rsidRPr="00266C8F" w:rsidRDefault="00266C8F" w:rsidP="00266C8F">
            <w:pPr>
              <w:jc w:val="center"/>
              <w:rPr>
                <w:rFonts w:ascii="Calibri" w:hAnsi="Calibri"/>
                <w:color w:val="000000"/>
                <w:sz w:val="22"/>
                <w:szCs w:val="22"/>
              </w:rPr>
            </w:pPr>
            <w:r w:rsidRPr="00266C8F">
              <w:rPr>
                <w:rFonts w:ascii="Calibri" w:hAnsi="Calibri"/>
                <w:color w:val="000000"/>
                <w:sz w:val="22"/>
                <w:szCs w:val="22"/>
              </w:rPr>
              <w:t>3</w:t>
            </w:r>
          </w:p>
        </w:tc>
        <w:tc>
          <w:tcPr>
            <w:tcW w:w="1765" w:type="dxa"/>
            <w:tcBorders>
              <w:top w:val="nil"/>
              <w:left w:val="nil"/>
              <w:bottom w:val="double" w:sz="6" w:space="0" w:color="auto"/>
              <w:right w:val="single" w:sz="4" w:space="0" w:color="auto"/>
            </w:tcBorders>
            <w:shd w:val="clear" w:color="000000" w:fill="FFFFFF"/>
            <w:noWrap/>
            <w:vAlign w:val="bottom"/>
            <w:hideMark/>
          </w:tcPr>
          <w:p w14:paraId="2190BE22" w14:textId="77777777" w:rsidR="00266C8F" w:rsidRPr="00266C8F" w:rsidRDefault="00266C8F" w:rsidP="00266C8F">
            <w:pPr>
              <w:jc w:val="center"/>
              <w:rPr>
                <w:rFonts w:ascii="Calibri" w:hAnsi="Calibri"/>
                <w:b/>
                <w:bCs/>
                <w:color w:val="000000"/>
                <w:sz w:val="22"/>
                <w:szCs w:val="22"/>
              </w:rPr>
            </w:pPr>
            <w:r w:rsidRPr="00266C8F">
              <w:rPr>
                <w:rFonts w:ascii="Calibri" w:hAnsi="Calibri"/>
                <w:b/>
                <w:bCs/>
                <w:color w:val="000000"/>
                <w:sz w:val="22"/>
                <w:szCs w:val="22"/>
              </w:rPr>
              <w:t>26</w:t>
            </w:r>
          </w:p>
        </w:tc>
      </w:tr>
      <w:tr w:rsidR="00B3024A" w:rsidRPr="00266C8F" w14:paraId="7EF761A4" w14:textId="77777777" w:rsidTr="00B3024A">
        <w:trPr>
          <w:trHeight w:val="360"/>
        </w:trPr>
        <w:tc>
          <w:tcPr>
            <w:tcW w:w="1365" w:type="dxa"/>
            <w:tcBorders>
              <w:top w:val="nil"/>
              <w:left w:val="single" w:sz="4" w:space="0" w:color="auto"/>
              <w:bottom w:val="single" w:sz="4" w:space="0" w:color="auto"/>
              <w:right w:val="single" w:sz="4" w:space="0" w:color="auto"/>
            </w:tcBorders>
            <w:shd w:val="clear" w:color="000000" w:fill="D9D9D9"/>
            <w:noWrap/>
            <w:vAlign w:val="center"/>
            <w:hideMark/>
          </w:tcPr>
          <w:p w14:paraId="0D90E51D" w14:textId="2BA7EC76" w:rsidR="00B3024A" w:rsidRPr="00266C8F" w:rsidRDefault="00B3024A" w:rsidP="00266C8F">
            <w:pPr>
              <w:rPr>
                <w:rFonts w:ascii="Calibri" w:hAnsi="Calibri"/>
                <w:b/>
                <w:bCs/>
                <w:color w:val="000000"/>
                <w:sz w:val="22"/>
                <w:szCs w:val="22"/>
              </w:rPr>
            </w:pPr>
            <w:r>
              <w:rPr>
                <w:rFonts w:ascii="Calibri" w:hAnsi="Calibri"/>
                <w:b/>
                <w:bCs/>
                <w:color w:val="000000"/>
                <w:sz w:val="22"/>
                <w:szCs w:val="22"/>
              </w:rPr>
              <w:t>Grand Total</w:t>
            </w:r>
          </w:p>
        </w:tc>
        <w:tc>
          <w:tcPr>
            <w:tcW w:w="1530" w:type="dxa"/>
            <w:tcBorders>
              <w:top w:val="nil"/>
              <w:left w:val="nil"/>
              <w:bottom w:val="single" w:sz="4" w:space="0" w:color="auto"/>
              <w:right w:val="single" w:sz="4" w:space="0" w:color="auto"/>
            </w:tcBorders>
            <w:shd w:val="clear" w:color="000000" w:fill="D9D9D9"/>
            <w:noWrap/>
            <w:vAlign w:val="center"/>
            <w:hideMark/>
          </w:tcPr>
          <w:p w14:paraId="0AB24389" w14:textId="505E729E" w:rsidR="00B3024A" w:rsidRPr="00266C8F" w:rsidRDefault="00B3024A" w:rsidP="00266C8F">
            <w:pPr>
              <w:jc w:val="center"/>
              <w:rPr>
                <w:rFonts w:ascii="Calibri" w:hAnsi="Calibri"/>
                <w:b/>
                <w:bCs/>
                <w:color w:val="000000"/>
                <w:sz w:val="22"/>
                <w:szCs w:val="22"/>
              </w:rPr>
            </w:pPr>
            <w:r>
              <w:rPr>
                <w:rFonts w:ascii="Calibri" w:hAnsi="Calibri"/>
                <w:b/>
                <w:bCs/>
                <w:color w:val="000000"/>
                <w:sz w:val="22"/>
                <w:szCs w:val="22"/>
              </w:rPr>
              <w:t>15</w:t>
            </w:r>
          </w:p>
        </w:tc>
        <w:tc>
          <w:tcPr>
            <w:tcW w:w="1530" w:type="dxa"/>
            <w:tcBorders>
              <w:top w:val="nil"/>
              <w:left w:val="nil"/>
              <w:bottom w:val="single" w:sz="4" w:space="0" w:color="auto"/>
              <w:right w:val="single" w:sz="4" w:space="0" w:color="auto"/>
            </w:tcBorders>
            <w:shd w:val="clear" w:color="000000" w:fill="D9D9D9"/>
            <w:noWrap/>
            <w:vAlign w:val="center"/>
            <w:hideMark/>
          </w:tcPr>
          <w:p w14:paraId="73D58282" w14:textId="45660674" w:rsidR="00B3024A" w:rsidRPr="00266C8F" w:rsidRDefault="00B3024A" w:rsidP="00266C8F">
            <w:pPr>
              <w:jc w:val="center"/>
              <w:rPr>
                <w:rFonts w:ascii="Calibri" w:hAnsi="Calibri"/>
                <w:b/>
                <w:bCs/>
                <w:color w:val="000000"/>
                <w:sz w:val="22"/>
                <w:szCs w:val="22"/>
              </w:rPr>
            </w:pPr>
            <w:r>
              <w:rPr>
                <w:rFonts w:ascii="Calibri" w:hAnsi="Calibri"/>
                <w:b/>
                <w:bCs/>
                <w:color w:val="000000"/>
                <w:sz w:val="22"/>
                <w:szCs w:val="22"/>
              </w:rPr>
              <w:t>27</w:t>
            </w:r>
          </w:p>
        </w:tc>
        <w:tc>
          <w:tcPr>
            <w:tcW w:w="1530" w:type="dxa"/>
            <w:tcBorders>
              <w:top w:val="nil"/>
              <w:left w:val="nil"/>
              <w:bottom w:val="single" w:sz="4" w:space="0" w:color="auto"/>
              <w:right w:val="single" w:sz="4" w:space="0" w:color="auto"/>
            </w:tcBorders>
            <w:shd w:val="clear" w:color="000000" w:fill="D9D9D9"/>
            <w:noWrap/>
            <w:vAlign w:val="center"/>
            <w:hideMark/>
          </w:tcPr>
          <w:p w14:paraId="60FCA7B7" w14:textId="3B72D41D" w:rsidR="00B3024A" w:rsidRPr="00266C8F" w:rsidRDefault="00B3024A" w:rsidP="00266C8F">
            <w:pPr>
              <w:jc w:val="center"/>
              <w:rPr>
                <w:rFonts w:ascii="Calibri" w:hAnsi="Calibri"/>
                <w:b/>
                <w:bCs/>
                <w:color w:val="000000"/>
                <w:sz w:val="22"/>
                <w:szCs w:val="22"/>
              </w:rPr>
            </w:pPr>
            <w:r>
              <w:rPr>
                <w:rFonts w:ascii="Calibri" w:hAnsi="Calibri"/>
                <w:b/>
                <w:bCs/>
                <w:color w:val="000000"/>
                <w:sz w:val="22"/>
                <w:szCs w:val="22"/>
              </w:rPr>
              <w:t>84</w:t>
            </w:r>
          </w:p>
        </w:tc>
        <w:tc>
          <w:tcPr>
            <w:tcW w:w="1440" w:type="dxa"/>
            <w:tcBorders>
              <w:top w:val="nil"/>
              <w:left w:val="nil"/>
              <w:bottom w:val="single" w:sz="4" w:space="0" w:color="auto"/>
              <w:right w:val="double" w:sz="6" w:space="0" w:color="auto"/>
            </w:tcBorders>
            <w:shd w:val="clear" w:color="000000" w:fill="D9D9D9"/>
            <w:noWrap/>
            <w:vAlign w:val="center"/>
            <w:hideMark/>
          </w:tcPr>
          <w:p w14:paraId="57BB064C" w14:textId="1E9DC519" w:rsidR="00B3024A" w:rsidRPr="00B4364C" w:rsidRDefault="00B3024A" w:rsidP="00B4364C">
            <w:pPr>
              <w:jc w:val="center"/>
            </w:pPr>
            <w:r w:rsidRPr="00B4364C">
              <w:t>25</w:t>
            </w:r>
          </w:p>
        </w:tc>
        <w:tc>
          <w:tcPr>
            <w:tcW w:w="1765" w:type="dxa"/>
            <w:tcBorders>
              <w:top w:val="nil"/>
              <w:left w:val="nil"/>
              <w:bottom w:val="single" w:sz="4" w:space="0" w:color="auto"/>
              <w:right w:val="single" w:sz="4" w:space="0" w:color="auto"/>
            </w:tcBorders>
            <w:shd w:val="clear" w:color="000000" w:fill="D9D9D9"/>
            <w:noWrap/>
            <w:vAlign w:val="center"/>
            <w:hideMark/>
          </w:tcPr>
          <w:p w14:paraId="3CED8440" w14:textId="6509E090" w:rsidR="00B3024A" w:rsidRPr="00266C8F" w:rsidRDefault="00B3024A" w:rsidP="00266C8F">
            <w:pPr>
              <w:jc w:val="center"/>
              <w:rPr>
                <w:rFonts w:ascii="Calibri" w:hAnsi="Calibri"/>
                <w:b/>
                <w:bCs/>
                <w:color w:val="000000"/>
                <w:sz w:val="22"/>
                <w:szCs w:val="22"/>
              </w:rPr>
            </w:pPr>
            <w:r>
              <w:rPr>
                <w:rFonts w:ascii="Calibri" w:hAnsi="Calibri"/>
                <w:b/>
                <w:bCs/>
                <w:color w:val="000000"/>
                <w:sz w:val="22"/>
                <w:szCs w:val="22"/>
              </w:rPr>
              <w:t>151</w:t>
            </w:r>
          </w:p>
        </w:tc>
      </w:tr>
    </w:tbl>
    <w:p w14:paraId="1E52375C" w14:textId="77777777" w:rsidR="00873657" w:rsidRDefault="00873657" w:rsidP="00E85591">
      <w:pPr>
        <w:keepNext/>
        <w:spacing w:line="276" w:lineRule="auto"/>
        <w:jc w:val="both"/>
        <w:rPr>
          <w:b/>
        </w:rPr>
      </w:pPr>
    </w:p>
    <w:p w14:paraId="1E52379E" w14:textId="77777777" w:rsidR="00EC528B" w:rsidRDefault="00EC528B" w:rsidP="00E85591">
      <w:pPr>
        <w:spacing w:line="276" w:lineRule="auto"/>
        <w:jc w:val="both"/>
      </w:pPr>
      <w:r w:rsidRPr="00EC528B">
        <w:rPr>
          <w:vertAlign w:val="superscript"/>
        </w:rPr>
        <w:t>a</w:t>
      </w:r>
      <w:r w:rsidR="007F43A7">
        <w:rPr>
          <w:vertAlign w:val="superscript"/>
        </w:rPr>
        <w:t xml:space="preserve"> </w:t>
      </w:r>
      <w:r w:rsidRPr="00EC528B">
        <w:t>Collapsed Census Regions are used, in which West and Pacific are grouped in a single collapse region, and Puerto Rico is included in the South.</w:t>
      </w:r>
    </w:p>
    <w:p w14:paraId="411DA02A" w14:textId="66181605" w:rsidR="00FD6842" w:rsidRPr="00EC528B" w:rsidRDefault="00FD6842" w:rsidP="00E85591">
      <w:pPr>
        <w:spacing w:line="276" w:lineRule="auto"/>
        <w:jc w:val="both"/>
      </w:pPr>
      <w:r>
        <w:t xml:space="preserve">ᵇ The total of 151 EOCs reflects </w:t>
      </w:r>
      <w:r w:rsidR="00E038EF">
        <w:t xml:space="preserve">unique EOC grantees. Grantees that received concurrent grants were only counted once. </w:t>
      </w:r>
      <w:r w:rsidR="000635C9">
        <w:t xml:space="preserve"> </w:t>
      </w:r>
    </w:p>
    <w:p w14:paraId="1E52379F" w14:textId="77777777" w:rsidR="00F81828" w:rsidRDefault="00F81828" w:rsidP="00E85591">
      <w:pPr>
        <w:keepNext/>
        <w:spacing w:line="276" w:lineRule="auto"/>
        <w:jc w:val="both"/>
      </w:pPr>
    </w:p>
    <w:p w14:paraId="1A60CE2F" w14:textId="002BCE78" w:rsidR="008B444D" w:rsidRDefault="008B444D" w:rsidP="008B444D">
      <w:pPr>
        <w:keepNext/>
        <w:spacing w:line="276" w:lineRule="auto"/>
        <w:jc w:val="both"/>
      </w:pPr>
      <w:r>
        <w:t xml:space="preserve">Site recruitment will begin by sending the full population of EOCs </w:t>
      </w:r>
      <w:r w:rsidRPr="00EC528B">
        <w:t>notification letter</w:t>
      </w:r>
      <w:r>
        <w:t>s</w:t>
      </w:r>
      <w:r w:rsidRPr="00EC528B">
        <w:t xml:space="preserve"> </w:t>
      </w:r>
      <w:r>
        <w:t xml:space="preserve">(Appendix F) </w:t>
      </w:r>
      <w:r w:rsidRPr="00EC528B">
        <w:t>and information packets</w:t>
      </w:r>
      <w:r>
        <w:t xml:space="preserve"> (Appendix G)</w:t>
      </w:r>
      <w:r w:rsidRPr="00EC528B">
        <w:t xml:space="preserve"> describing the study, the opportunity to participate, the benefits to grantees, and </w:t>
      </w:r>
      <w:r>
        <w:t xml:space="preserve">what is expected of </w:t>
      </w:r>
      <w:r w:rsidRPr="00EC528B">
        <w:t>participating</w:t>
      </w:r>
      <w:r>
        <w:t xml:space="preserve"> grantees</w:t>
      </w:r>
      <w:r w:rsidRPr="00EC528B">
        <w:t xml:space="preserve">.  </w:t>
      </w:r>
      <w:r>
        <w:t>EOCs will be invited to contact the study team to learn more about the study, including through informational webinars that the study team will host. The study team will then provide individualized follow-up to</w:t>
      </w:r>
      <w:r w:rsidRPr="00EC528B">
        <w:t xml:space="preserve"> interested EOC</w:t>
      </w:r>
      <w:r>
        <w:t>s</w:t>
      </w:r>
      <w:r w:rsidRPr="00EC528B">
        <w:t>.</w:t>
      </w:r>
      <w:r>
        <w:t xml:space="preserve"> The team will prioritize selecting a group of study EOCs that reflect the broader EOC population on the two key dimensions discussed above. </w:t>
      </w:r>
    </w:p>
    <w:p w14:paraId="7EE3420A" w14:textId="77777777" w:rsidR="00B74E9D" w:rsidRDefault="00B74E9D" w:rsidP="00E85591">
      <w:pPr>
        <w:keepNext/>
        <w:spacing w:line="276" w:lineRule="auto"/>
        <w:jc w:val="both"/>
      </w:pPr>
    </w:p>
    <w:p w14:paraId="28430E27" w14:textId="39370D3E" w:rsidR="00D669B4" w:rsidRDefault="00E67AF1" w:rsidP="00FB68AB">
      <w:pPr>
        <w:spacing w:line="276" w:lineRule="auto"/>
        <w:jc w:val="both"/>
      </w:pPr>
      <w:r>
        <w:rPr>
          <w:i/>
          <w:u w:val="single"/>
        </w:rPr>
        <w:t>C</w:t>
      </w:r>
      <w:r w:rsidR="00FB68AB" w:rsidRPr="00174ED4">
        <w:rPr>
          <w:i/>
          <w:u w:val="single"/>
        </w:rPr>
        <w:t>lient eligibility criteria:</w:t>
      </w:r>
      <w:r w:rsidR="00FB68AB">
        <w:t xml:space="preserve"> Eligible </w:t>
      </w:r>
      <w:r>
        <w:t xml:space="preserve">EOC </w:t>
      </w:r>
      <w:r w:rsidR="00FB68AB">
        <w:t xml:space="preserve">clients will be those clients who </w:t>
      </w:r>
      <w:r w:rsidR="00B1349C" w:rsidRPr="00CF0CC4">
        <w:t xml:space="preserve">(1) </w:t>
      </w:r>
      <w:r w:rsidR="00B1349C">
        <w:t xml:space="preserve">are age 18 and over; (2) </w:t>
      </w:r>
      <w:r w:rsidR="00B1349C" w:rsidRPr="00CF0CC4">
        <w:t>go through the EOC’s intake process during the study’s rolling random assignment period</w:t>
      </w:r>
      <w:r w:rsidR="00B1349C">
        <w:t xml:space="preserve">; (3) have their high school diploma or equivalent at the time of intake and are not currently enrolled in a postsecondary institution; (4) intend to enroll in postsecondary education by the fall of 2020; and (5) are willing and able to communicate </w:t>
      </w:r>
      <w:r w:rsidR="0041529D">
        <w:t xml:space="preserve">in English </w:t>
      </w:r>
      <w:r w:rsidR="00B1349C">
        <w:t xml:space="preserve">with their EOC via text message. Eligible clients who agree to participate in the study will be randomly assigned to receive the EOC’s typical services (control group) or to receive the EOC’s typical services plus the text messaging enhancement (treatment group).  </w:t>
      </w:r>
    </w:p>
    <w:p w14:paraId="1E5237AF" w14:textId="77777777" w:rsidR="0020199D" w:rsidRDefault="0020199D" w:rsidP="002E29B2">
      <w:pPr>
        <w:pStyle w:val="Heading2"/>
        <w:numPr>
          <w:ilvl w:val="0"/>
          <w:numId w:val="32"/>
        </w:numPr>
      </w:pPr>
      <w:bookmarkStart w:id="8" w:name="_Toc484499745"/>
      <w:r>
        <w:t xml:space="preserve">Procedures for </w:t>
      </w:r>
      <w:r w:rsidR="00EC528B">
        <w:t>the c</w:t>
      </w:r>
      <w:r>
        <w:t xml:space="preserve">ollection of </w:t>
      </w:r>
      <w:r w:rsidR="00EC528B">
        <w:t>i</w:t>
      </w:r>
      <w:r>
        <w:t>nformation</w:t>
      </w:r>
      <w:bookmarkEnd w:id="8"/>
    </w:p>
    <w:p w14:paraId="1E5237B0" w14:textId="77777777" w:rsidR="00C96C54" w:rsidRPr="00C96C54" w:rsidRDefault="00C96C54" w:rsidP="00C96C54"/>
    <w:p w14:paraId="1E5237B1" w14:textId="77777777" w:rsidR="00FA2945" w:rsidRPr="00C53164" w:rsidRDefault="00EC1242" w:rsidP="00C53164">
      <w:pPr>
        <w:tabs>
          <w:tab w:val="left" w:pos="-720"/>
          <w:tab w:val="left" w:pos="1247"/>
        </w:tabs>
        <w:suppressAutoHyphens/>
        <w:spacing w:line="276" w:lineRule="auto"/>
        <w:jc w:val="both"/>
        <w:rPr>
          <w:b/>
        </w:rPr>
      </w:pPr>
      <w:r w:rsidRPr="00C53164">
        <w:rPr>
          <w:b/>
        </w:rPr>
        <w:t>Statistical methodology for stratification and sample selection</w:t>
      </w:r>
    </w:p>
    <w:p w14:paraId="1E5237B2" w14:textId="77777777" w:rsidR="00FA2945" w:rsidRDefault="00FA2945" w:rsidP="006E17F1">
      <w:pPr>
        <w:tabs>
          <w:tab w:val="left" w:pos="-720"/>
          <w:tab w:val="left" w:pos="1247"/>
        </w:tabs>
        <w:suppressAutoHyphens/>
        <w:spacing w:line="276" w:lineRule="auto"/>
        <w:jc w:val="both"/>
        <w:rPr>
          <w:b/>
        </w:rPr>
      </w:pPr>
    </w:p>
    <w:p w14:paraId="1E5237B3" w14:textId="5750B0D4" w:rsidR="00EC1242" w:rsidRPr="00EC1242" w:rsidRDefault="00344DF2" w:rsidP="006E17F1">
      <w:pPr>
        <w:tabs>
          <w:tab w:val="left" w:pos="-720"/>
          <w:tab w:val="left" w:pos="1247"/>
        </w:tabs>
        <w:suppressAutoHyphens/>
        <w:spacing w:line="276" w:lineRule="auto"/>
        <w:jc w:val="both"/>
      </w:pPr>
      <w:r>
        <w:t xml:space="preserve">Major geographic regions and </w:t>
      </w:r>
      <w:r w:rsidR="00EC1242" w:rsidRPr="00EC1242">
        <w:t>type of institution housing the EOCs will be taken in</w:t>
      </w:r>
      <w:r>
        <w:t>to account when recruiting EOCs</w:t>
      </w:r>
      <w:r w:rsidR="00EC1242" w:rsidRPr="00EC1242">
        <w:t xml:space="preserve"> using purposive sampling as described above.</w:t>
      </w:r>
    </w:p>
    <w:p w14:paraId="1E5237B4" w14:textId="77777777" w:rsidR="00EC1242" w:rsidRDefault="00EC1242" w:rsidP="00E85591">
      <w:pPr>
        <w:numPr>
          <w:ilvl w:val="12"/>
          <w:numId w:val="0"/>
        </w:numPr>
        <w:tabs>
          <w:tab w:val="left" w:pos="-720"/>
        </w:tabs>
        <w:suppressAutoHyphens/>
        <w:spacing w:line="276" w:lineRule="auto"/>
        <w:ind w:left="340"/>
      </w:pPr>
    </w:p>
    <w:p w14:paraId="1E5237B5" w14:textId="77777777" w:rsidR="000B4B77" w:rsidRPr="00C53164" w:rsidRDefault="000B4B77" w:rsidP="00C53164">
      <w:pPr>
        <w:spacing w:line="276" w:lineRule="auto"/>
        <w:jc w:val="both"/>
        <w:rPr>
          <w:b/>
        </w:rPr>
      </w:pPr>
      <w:r w:rsidRPr="00C53164">
        <w:rPr>
          <w:b/>
        </w:rPr>
        <w:t>Estimation</w:t>
      </w:r>
      <w:r w:rsidR="00C96C54" w:rsidRPr="00C53164">
        <w:rPr>
          <w:b/>
        </w:rPr>
        <w:t xml:space="preserve"> Procedure</w:t>
      </w:r>
    </w:p>
    <w:p w14:paraId="1E5237B6" w14:textId="77777777" w:rsidR="000B4B77" w:rsidRDefault="000B4B77" w:rsidP="000B4B77">
      <w:pPr>
        <w:spacing w:line="276" w:lineRule="auto"/>
        <w:jc w:val="both"/>
        <w:rPr>
          <w:b/>
        </w:rPr>
      </w:pPr>
    </w:p>
    <w:p w14:paraId="1E5237B7" w14:textId="4A3E364C" w:rsidR="000B4B77" w:rsidRDefault="000B4B77" w:rsidP="000B4B77">
      <w:pPr>
        <w:spacing w:line="276" w:lineRule="auto"/>
        <w:jc w:val="both"/>
      </w:pPr>
      <w:r w:rsidRPr="00DC5937">
        <w:lastRenderedPageBreak/>
        <w:t xml:space="preserve">Our main focus is to estimate the cross-EOC mean effect </w:t>
      </w:r>
      <w:r w:rsidRPr="00DC5937">
        <w:rPr>
          <w:rFonts w:eastAsiaTheme="minorEastAsia"/>
        </w:rPr>
        <w:t>(</w:t>
      </w:r>
      <m:oMath>
        <m:r>
          <w:rPr>
            <w:rFonts w:ascii="Cambria Math" w:hAnsi="Cambria Math"/>
          </w:rPr>
          <m:t>β</m:t>
        </m:r>
      </m:oMath>
      <w:r w:rsidRPr="00DC5937">
        <w:rPr>
          <w:rFonts w:eastAsiaTheme="minorEastAsia"/>
        </w:rPr>
        <w:t>)</w:t>
      </w:r>
      <w:r w:rsidRPr="00DC5937">
        <w:t xml:space="preserve"> of the information strategy on FAFSA completion and college enrollment. To estimate </w:t>
      </w:r>
      <m:oMath>
        <m:r>
          <w:rPr>
            <w:rFonts w:ascii="Cambria Math" w:hAnsi="Cambria Math"/>
          </w:rPr>
          <m:t>β</m:t>
        </m:r>
      </m:oMath>
      <w:r w:rsidRPr="00DC5937">
        <w:rPr>
          <w:rFonts w:eastAsiaTheme="minorEastAsia"/>
        </w:rPr>
        <w:t xml:space="preserve"> </w:t>
      </w:r>
      <w:r w:rsidRPr="00DC5937">
        <w:t xml:space="preserve">for </w:t>
      </w:r>
      <w:r w:rsidR="007961DD">
        <w:t xml:space="preserve">this </w:t>
      </w:r>
      <w:r w:rsidRPr="00DC5937">
        <w:t>multisite trial, we will use the following two-level model discussed by Raudenbush (2015) with fixed EOC-specific intercepts (</w:t>
      </w:r>
      <m:oMath>
        <m:sSub>
          <m:sSubPr>
            <m:ctrlPr>
              <w:rPr>
                <w:rFonts w:ascii="Cambria Math" w:hAnsi="Cambria Math"/>
                <w:i/>
              </w:rPr>
            </m:ctrlPr>
          </m:sSubPr>
          <m:e>
            <m:r>
              <w:rPr>
                <w:rFonts w:ascii="Cambria Math" w:hAnsi="Cambria Math"/>
              </w:rPr>
              <m:t>α</m:t>
            </m:r>
          </m:e>
          <m:sub>
            <m:r>
              <w:rPr>
                <w:rFonts w:ascii="Cambria Math" w:hAnsi="Cambria Math"/>
              </w:rPr>
              <m:t>j</m:t>
            </m:r>
          </m:sub>
        </m:sSub>
      </m:oMath>
      <w:r w:rsidRPr="00DC5937">
        <w:t>) for each site, ran</w:t>
      </w:r>
      <w:r>
        <w:t>dom</w:t>
      </w:r>
      <w:r w:rsidRPr="00DC5937">
        <w:t xml:space="preserve"> EOC-specific impact coefficients (</w:t>
      </w:r>
      <m:oMath>
        <m:sSub>
          <m:sSubPr>
            <m:ctrlPr>
              <w:rPr>
                <w:rFonts w:ascii="Cambria Math" w:hAnsi="Cambria Math"/>
                <w:i/>
              </w:rPr>
            </m:ctrlPr>
          </m:sSubPr>
          <m:e>
            <m:r>
              <w:rPr>
                <w:rFonts w:ascii="Cambria Math" w:hAnsi="Cambria Math"/>
              </w:rPr>
              <m:t>B</m:t>
            </m:r>
          </m:e>
          <m:sub>
            <m:r>
              <w:rPr>
                <w:rFonts w:ascii="Cambria Math" w:hAnsi="Cambria Math"/>
              </w:rPr>
              <m:t>j</m:t>
            </m:r>
          </m:sub>
        </m:sSub>
      </m:oMath>
      <w:r w:rsidRPr="00DC5937">
        <w:t>), and fixed coefficients (</w:t>
      </w:r>
      <m:oMath>
        <m:sSub>
          <m:sSubPr>
            <m:ctrlPr>
              <w:rPr>
                <w:rFonts w:ascii="Cambria Math" w:hAnsi="Cambria Math"/>
                <w:i/>
              </w:rPr>
            </m:ctrlPr>
          </m:sSubPr>
          <m:e>
            <m:r>
              <w:rPr>
                <w:rFonts w:ascii="Cambria Math" w:hAnsi="Cambria Math"/>
              </w:rPr>
              <m:t>θ</m:t>
            </m:r>
          </m:e>
          <m:sub>
            <m:r>
              <w:rPr>
                <w:rFonts w:ascii="Cambria Math" w:hAnsi="Cambria Math"/>
              </w:rPr>
              <m:t>k</m:t>
            </m:r>
          </m:sub>
        </m:sSub>
      </m:oMath>
      <w:r w:rsidRPr="00DC5937">
        <w:t>) for individual-level baseline covariates (</w:t>
      </w:r>
      <m:oMath>
        <m:sSub>
          <m:sSubPr>
            <m:ctrlPr>
              <w:rPr>
                <w:rFonts w:ascii="Cambria Math" w:hAnsi="Cambria Math"/>
                <w:i/>
              </w:rPr>
            </m:ctrlPr>
          </m:sSubPr>
          <m:e>
            <m:r>
              <w:rPr>
                <w:rFonts w:ascii="Cambria Math" w:hAnsi="Cambria Math"/>
              </w:rPr>
              <m:t>X</m:t>
            </m:r>
          </m:e>
          <m:sub>
            <m:r>
              <w:rPr>
                <w:rFonts w:ascii="Cambria Math" w:hAnsi="Cambria Math"/>
              </w:rPr>
              <m:t>k</m:t>
            </m:r>
          </m:sub>
        </m:sSub>
      </m:oMath>
      <w:r w:rsidRPr="00DC5937">
        <w:t>):</w:t>
      </w:r>
    </w:p>
    <w:p w14:paraId="1E5237B8" w14:textId="77777777" w:rsidR="000B4B77" w:rsidRPr="00DC5937" w:rsidRDefault="000B4B77" w:rsidP="000B4B77">
      <w:pPr>
        <w:spacing w:line="276" w:lineRule="auto"/>
        <w:ind w:left="340"/>
      </w:pPr>
    </w:p>
    <w:p w14:paraId="1E5237B9" w14:textId="77777777" w:rsidR="000B4B77" w:rsidRPr="00DC5937" w:rsidRDefault="000B4B77" w:rsidP="000B4B77">
      <w:pPr>
        <w:keepNext/>
        <w:spacing w:line="276" w:lineRule="auto"/>
        <w:ind w:left="340"/>
        <w:rPr>
          <w:u w:val="single"/>
        </w:rPr>
      </w:pPr>
      <w:r w:rsidRPr="00DC5937">
        <w:tab/>
      </w:r>
      <w:r w:rsidRPr="00DC5937">
        <w:rPr>
          <w:u w:val="single"/>
        </w:rPr>
        <w:t>Level One: Individuals</w:t>
      </w:r>
    </w:p>
    <w:p w14:paraId="1E5237BA" w14:textId="77777777" w:rsidR="000B4B77" w:rsidRPr="00DC5937" w:rsidRDefault="000B4B77" w:rsidP="000B4B77">
      <w:pPr>
        <w:spacing w:line="276" w:lineRule="auto"/>
        <w:ind w:left="340"/>
      </w:pPr>
      <w:r w:rsidRPr="00DC5937">
        <w:tab/>
      </w:r>
      <m:oMath>
        <m:sSub>
          <m:sSubPr>
            <m:ctrlPr>
              <w:rPr>
                <w:rFonts w:ascii="Cambria Math" w:hAnsi="Cambria Math"/>
                <w:i/>
              </w:rPr>
            </m:ctrlPr>
          </m:sSubPr>
          <m:e>
            <m:r>
              <w:rPr>
                <w:rFonts w:ascii="Cambria Math" w:hAnsi="Cambria Math"/>
              </w:rPr>
              <m:t>Y</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j</m:t>
            </m:r>
          </m:sub>
        </m:sSub>
        <m:sSub>
          <m:sSubPr>
            <m:ctrlPr>
              <w:rPr>
                <w:rFonts w:ascii="Cambria Math" w:hAnsi="Cambria Math"/>
                <w:i/>
              </w:rPr>
            </m:ctrlPr>
          </m:sSubPr>
          <m:e>
            <m:r>
              <w:rPr>
                <w:rFonts w:ascii="Cambria Math" w:hAnsi="Cambria Math"/>
              </w:rPr>
              <m:t>T</m:t>
            </m:r>
          </m:e>
          <m:sub>
            <m:r>
              <w:rPr>
                <w:rFonts w:ascii="Cambria Math" w:hAnsi="Cambria Math"/>
              </w:rPr>
              <m:t>ij</m:t>
            </m:r>
          </m:sub>
        </m:sSub>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K</m:t>
            </m:r>
          </m:sup>
          <m:e>
            <m:sSub>
              <m:sSubPr>
                <m:ctrlPr>
                  <w:rPr>
                    <w:rFonts w:ascii="Cambria Math" w:hAnsi="Cambria Math"/>
                    <w:i/>
                  </w:rPr>
                </m:ctrlPr>
              </m:sSubPr>
              <m:e>
                <m:r>
                  <w:rPr>
                    <w:rFonts w:ascii="Cambria Math" w:hAnsi="Cambria Math"/>
                  </w:rPr>
                  <m:t>θ</m:t>
                </m:r>
              </m:e>
              <m:sub>
                <m:r>
                  <w:rPr>
                    <w:rFonts w:ascii="Cambria Math" w:hAnsi="Cambria Math"/>
                  </w:rPr>
                  <m:t>k</m:t>
                </m:r>
              </m:sub>
            </m:sSub>
            <m:sSub>
              <m:sSubPr>
                <m:ctrlPr>
                  <w:rPr>
                    <w:rFonts w:ascii="Cambria Math" w:hAnsi="Cambria Math"/>
                    <w:i/>
                  </w:rPr>
                </m:ctrlPr>
              </m:sSubPr>
              <m:e>
                <m:r>
                  <w:rPr>
                    <w:rFonts w:ascii="Cambria Math" w:hAnsi="Cambria Math"/>
                  </w:rPr>
                  <m:t>X</m:t>
                </m:r>
              </m:e>
              <m:sub>
                <m:r>
                  <w:rPr>
                    <w:rFonts w:ascii="Cambria Math" w:hAnsi="Cambria Math"/>
                  </w:rPr>
                  <m:t>kij</m:t>
                </m:r>
              </m:sub>
            </m:sSub>
          </m:e>
        </m:nary>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ij</m:t>
            </m:r>
          </m:sub>
        </m:sSub>
      </m:oMath>
      <w:r w:rsidRPr="00DC5937">
        <w:tab/>
      </w:r>
      <w:r w:rsidRPr="00DC5937">
        <w:tab/>
        <w:t xml:space="preserve">where: </w:t>
      </w:r>
      <m:oMath>
        <m:sSub>
          <m:sSubPr>
            <m:ctrlPr>
              <w:rPr>
                <w:rFonts w:ascii="Cambria Math" w:hAnsi="Cambria Math"/>
                <w:i/>
              </w:rPr>
            </m:ctrlPr>
          </m:sSubPr>
          <m:e>
            <m:r>
              <w:rPr>
                <w:rFonts w:ascii="Cambria Math" w:hAnsi="Cambria Math"/>
              </w:rPr>
              <m:t>e</m:t>
            </m:r>
          </m:e>
          <m:sub>
            <m:r>
              <w:rPr>
                <w:rFonts w:ascii="Cambria Math" w:hAnsi="Cambria Math"/>
              </w:rPr>
              <m:t>ij</m:t>
            </m:r>
          </m:sub>
        </m:sSub>
        <m:r>
          <w:rPr>
            <w:rFonts w:ascii="Cambria Math" w:hAnsi="Cambria Math"/>
          </w:rPr>
          <m:t>~N</m:t>
        </m:r>
        <m:d>
          <m:dPr>
            <m:ctrlPr>
              <w:rPr>
                <w:rFonts w:ascii="Cambria Math" w:hAnsi="Cambria Math"/>
                <w:i/>
              </w:rPr>
            </m:ctrlPr>
          </m:dPr>
          <m:e>
            <m:r>
              <w:rPr>
                <w:rFonts w:ascii="Cambria Math" w:hAnsi="Cambria Math"/>
              </w:rPr>
              <m:t>0,</m:t>
            </m:r>
            <m:sSubSup>
              <m:sSubSupPr>
                <m:ctrlPr>
                  <w:rPr>
                    <w:rFonts w:ascii="Cambria Math" w:hAnsi="Cambria Math"/>
                    <w:i/>
                  </w:rPr>
                </m:ctrlPr>
              </m:sSubSupPr>
              <m:e>
                <m:r>
                  <w:rPr>
                    <w:rFonts w:ascii="Cambria Math" w:hAnsi="Cambria Math"/>
                  </w:rPr>
                  <m:t>σ</m:t>
                </m:r>
              </m:e>
              <m:sub>
                <m:r>
                  <w:rPr>
                    <w:rFonts w:ascii="Cambria Math" w:hAnsi="Cambria Math"/>
                  </w:rPr>
                  <m:t>|</m:t>
                </m:r>
                <m:r>
                  <m:rPr>
                    <m:sty m:val="bi"/>
                  </m:rPr>
                  <w:rPr>
                    <w:rFonts w:ascii="Cambria Math" w:hAnsi="Cambria Math"/>
                  </w:rPr>
                  <m:t>X</m:t>
                </m:r>
                <m:sSub>
                  <m:sSubPr>
                    <m:ctrlPr>
                      <w:rPr>
                        <w:rFonts w:ascii="Cambria Math" w:hAnsi="Cambria Math"/>
                        <w:i/>
                      </w:rPr>
                    </m:ctrlPr>
                  </m:sSubPr>
                  <m:e>
                    <m:r>
                      <w:rPr>
                        <w:rFonts w:ascii="Cambria Math" w:hAnsi="Cambria Math"/>
                      </w:rPr>
                      <m:t>α</m:t>
                    </m:r>
                  </m:e>
                  <m:sub>
                    <m:r>
                      <w:rPr>
                        <w:rFonts w:ascii="Cambria Math" w:hAnsi="Cambria Math"/>
                      </w:rPr>
                      <m:t>j</m:t>
                    </m:r>
                  </m:sub>
                </m:sSub>
              </m:sub>
              <m:sup>
                <m:r>
                  <w:rPr>
                    <w:rFonts w:ascii="Cambria Math" w:hAnsi="Cambria Math"/>
                  </w:rPr>
                  <m:t>2</m:t>
                </m:r>
              </m:sup>
            </m:sSubSup>
          </m:e>
        </m:d>
      </m:oMath>
      <w:r w:rsidRPr="00DC5937">
        <w:tab/>
      </w:r>
      <w:r w:rsidRPr="00DC5937">
        <w:tab/>
        <w:t>(1)</w:t>
      </w:r>
    </w:p>
    <w:p w14:paraId="1E5237BB" w14:textId="77777777" w:rsidR="000B4B77" w:rsidRPr="00DC5937" w:rsidRDefault="000B4B77" w:rsidP="000B4B77">
      <w:pPr>
        <w:spacing w:line="276" w:lineRule="auto"/>
        <w:ind w:left="340"/>
      </w:pPr>
    </w:p>
    <w:p w14:paraId="1E5237BC" w14:textId="77777777" w:rsidR="000B4B77" w:rsidRPr="00DC5937" w:rsidRDefault="000B4B77" w:rsidP="000B4B77">
      <w:pPr>
        <w:keepNext/>
        <w:spacing w:line="276" w:lineRule="auto"/>
        <w:ind w:left="340"/>
        <w:rPr>
          <w:u w:val="single"/>
        </w:rPr>
      </w:pPr>
      <w:r w:rsidRPr="00DC5937">
        <w:tab/>
      </w:r>
      <w:r w:rsidRPr="00DC5937">
        <w:rPr>
          <w:u w:val="single"/>
        </w:rPr>
        <w:t>Level Two: EOCs</w:t>
      </w:r>
    </w:p>
    <w:p w14:paraId="1E5237BD" w14:textId="77777777" w:rsidR="000B4B77" w:rsidRPr="00DC5937" w:rsidRDefault="000B4B77" w:rsidP="001318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340"/>
      </w:pPr>
      <w:r w:rsidRPr="00DC5937">
        <w:tab/>
      </w:r>
      <m:oMath>
        <m:sSub>
          <m:sSubPr>
            <m:ctrlPr>
              <w:rPr>
                <w:rFonts w:ascii="Cambria Math" w:hAnsi="Cambria Math"/>
                <w:i/>
              </w:rPr>
            </m:ctrlPr>
          </m:sSubPr>
          <m:e>
            <m:r>
              <w:rPr>
                <w:rFonts w:ascii="Cambria Math" w:hAnsi="Cambria Math"/>
              </w:rPr>
              <m:t>α</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j</m:t>
            </m:r>
          </m:sub>
        </m:sSub>
      </m:oMath>
      <w:r w:rsidRPr="00DC5937">
        <w:tab/>
      </w:r>
      <w:r w:rsidRPr="00DC5937">
        <w:tab/>
      </w:r>
      <w:r w:rsidRPr="00DC5937">
        <w:tab/>
      </w:r>
      <w:r w:rsidRPr="00DC5937">
        <w:tab/>
      </w:r>
      <w:r w:rsidRPr="00DC5937">
        <w:tab/>
      </w:r>
      <w:r w:rsidRPr="00DC5937">
        <w:tab/>
      </w:r>
      <w:r w:rsidRPr="00DC5937">
        <w:tab/>
      </w:r>
      <w:r w:rsidRPr="00DC5937">
        <w:tab/>
      </w:r>
      <w:r w:rsidRPr="00DC5937">
        <w:tab/>
      </w:r>
      <w:r w:rsidRPr="00DC5937">
        <w:tab/>
        <w:t>(2)</w:t>
      </w:r>
      <w:r w:rsidR="00131859">
        <w:tab/>
      </w:r>
    </w:p>
    <w:p w14:paraId="1E5237BE" w14:textId="77777777" w:rsidR="000B4B77" w:rsidRPr="00DC5937" w:rsidRDefault="00AC43AD" w:rsidP="000B4B77">
      <w:pPr>
        <w:spacing w:line="276" w:lineRule="auto"/>
        <w:ind w:left="340" w:firstLine="380"/>
      </w:pPr>
      <m:oMath>
        <m:sSub>
          <m:sSubPr>
            <m:ctrlPr>
              <w:rPr>
                <w:rFonts w:ascii="Cambria Math" w:hAnsi="Cambria Math"/>
                <w:i/>
              </w:rPr>
            </m:ctrlPr>
          </m:sSubPr>
          <m:e>
            <m:r>
              <w:rPr>
                <w:rFonts w:ascii="Cambria Math" w:hAnsi="Cambria Math"/>
              </w:rPr>
              <m:t>B</m:t>
            </m:r>
          </m:e>
          <m:sub>
            <m:r>
              <w:rPr>
                <w:rFonts w:ascii="Cambria Math" w:hAnsi="Cambria Math"/>
              </w:rPr>
              <m:t>j</m:t>
            </m:r>
          </m:sub>
        </m:sSub>
        <m:r>
          <w:rPr>
            <w:rFonts w:ascii="Cambria Math" w:hAnsi="Cambria Math"/>
          </w:rPr>
          <m:t>=β+</m:t>
        </m:r>
        <m:sSub>
          <m:sSubPr>
            <m:ctrlPr>
              <w:rPr>
                <w:rFonts w:ascii="Cambria Math" w:hAnsi="Cambria Math"/>
                <w:i/>
              </w:rPr>
            </m:ctrlPr>
          </m:sSubPr>
          <m:e>
            <m:r>
              <w:rPr>
                <w:rFonts w:ascii="Cambria Math" w:hAnsi="Cambria Math"/>
              </w:rPr>
              <m:t>b</m:t>
            </m:r>
          </m:e>
          <m:sub>
            <m:r>
              <w:rPr>
                <w:rFonts w:ascii="Cambria Math" w:hAnsi="Cambria Math"/>
              </w:rPr>
              <m:t>j</m:t>
            </m:r>
          </m:sub>
        </m:sSub>
      </m:oMath>
      <w:r w:rsidR="000B4B77" w:rsidRPr="00DC5937">
        <w:tab/>
        <w:t xml:space="preserve">   </w:t>
      </w:r>
      <w:r w:rsidR="000B4B77" w:rsidRPr="00DC5937">
        <w:tab/>
      </w:r>
      <w:r w:rsidR="000B4B77" w:rsidRPr="00DC5937">
        <w:tab/>
      </w:r>
      <w:r w:rsidR="000B4B77" w:rsidRPr="00DC5937">
        <w:tab/>
      </w:r>
      <w:r w:rsidR="000B4B77" w:rsidRPr="00DC5937">
        <w:tab/>
        <w:t xml:space="preserve">where </w:t>
      </w:r>
      <m:oMath>
        <m:sSub>
          <m:sSubPr>
            <m:ctrlPr>
              <w:rPr>
                <w:rFonts w:ascii="Cambria Math" w:hAnsi="Cambria Math"/>
                <w:i/>
              </w:rPr>
            </m:ctrlPr>
          </m:sSubPr>
          <m:e>
            <m:r>
              <w:rPr>
                <w:rFonts w:ascii="Cambria Math" w:hAnsi="Cambria Math"/>
              </w:rPr>
              <m:t>b</m:t>
            </m:r>
          </m:e>
          <m:sub>
            <m:r>
              <w:rPr>
                <w:rFonts w:ascii="Cambria Math" w:hAnsi="Cambria Math"/>
              </w:rPr>
              <m:t>j</m:t>
            </m:r>
          </m:sub>
        </m:sSub>
        <m:r>
          <w:rPr>
            <w:rFonts w:ascii="Cambria Math" w:hAnsi="Cambria Math"/>
          </w:rPr>
          <m:t>~N(0,</m:t>
        </m:r>
        <m:sSup>
          <m:sSupPr>
            <m:ctrlPr>
              <w:rPr>
                <w:rFonts w:ascii="Cambria Math" w:hAnsi="Cambria Math"/>
                <w:i/>
              </w:rPr>
            </m:ctrlPr>
          </m:sSupPr>
          <m:e>
            <m:r>
              <w:rPr>
                <w:rFonts w:ascii="Cambria Math" w:hAnsi="Cambria Math"/>
              </w:rPr>
              <m:t>τ</m:t>
            </m:r>
          </m:e>
          <m:sup>
            <m:r>
              <w:rPr>
                <w:rFonts w:ascii="Cambria Math" w:hAnsi="Cambria Math"/>
              </w:rPr>
              <m:t>2</m:t>
            </m:r>
          </m:sup>
        </m:sSup>
        <m:r>
          <w:rPr>
            <w:rFonts w:ascii="Cambria Math" w:hAnsi="Cambria Math"/>
          </w:rPr>
          <m:t>)</m:t>
        </m:r>
      </m:oMath>
      <w:r w:rsidR="000B4B77" w:rsidRPr="00DC5937">
        <w:tab/>
      </w:r>
      <w:r w:rsidR="000B4B77" w:rsidRPr="00DC5937">
        <w:tab/>
      </w:r>
      <w:r w:rsidR="000B4B77" w:rsidRPr="00DC5937">
        <w:tab/>
        <w:t>(3)</w:t>
      </w:r>
    </w:p>
    <w:p w14:paraId="1E5237BF" w14:textId="77777777" w:rsidR="000B4B77" w:rsidRDefault="000B4B77" w:rsidP="000B4B77">
      <w:pPr>
        <w:spacing w:line="276" w:lineRule="auto"/>
      </w:pPr>
    </w:p>
    <w:p w14:paraId="1E5237C0" w14:textId="77777777" w:rsidR="000B4B77" w:rsidRDefault="000B4B77" w:rsidP="000B4B77">
      <w:pPr>
        <w:spacing w:line="276" w:lineRule="auto"/>
        <w:jc w:val="both"/>
      </w:pPr>
      <w:r w:rsidRPr="00DC5937">
        <w:t xml:space="preserve">Here, </w:t>
      </w:r>
      <m:oMath>
        <m:sSub>
          <m:sSubPr>
            <m:ctrlPr>
              <w:rPr>
                <w:rFonts w:ascii="Cambria Math" w:hAnsi="Cambria Math"/>
                <w:i/>
              </w:rPr>
            </m:ctrlPr>
          </m:sSubPr>
          <m:e>
            <m:r>
              <w:rPr>
                <w:rFonts w:ascii="Cambria Math" w:hAnsi="Cambria Math"/>
              </w:rPr>
              <m:t>Y</m:t>
            </m:r>
          </m:e>
          <m:sub>
            <m:r>
              <w:rPr>
                <w:rFonts w:ascii="Cambria Math" w:hAnsi="Cambria Math"/>
              </w:rPr>
              <m:t>ij</m:t>
            </m:r>
          </m:sub>
        </m:sSub>
      </m:oMath>
      <w:r w:rsidRPr="00DC5937">
        <w:rPr>
          <w:i/>
          <w:vertAlign w:val="subscript"/>
        </w:rPr>
        <w:t xml:space="preserve"> </w:t>
      </w:r>
      <w:r w:rsidRPr="00DC5937">
        <w:t xml:space="preserve">is the observed value of the outcome for individual </w:t>
      </w:r>
      <m:oMath>
        <m:r>
          <w:rPr>
            <w:rFonts w:ascii="Cambria Math" w:hAnsi="Cambria Math"/>
          </w:rPr>
          <m:t>i</m:t>
        </m:r>
      </m:oMath>
      <w:r w:rsidRPr="00DC5937">
        <w:t xml:space="preserve"> from EOC </w:t>
      </w:r>
      <m:oMath>
        <m:r>
          <w:rPr>
            <w:rFonts w:ascii="Cambria Math" w:hAnsi="Cambria Math"/>
          </w:rPr>
          <m:t>j</m:t>
        </m:r>
      </m:oMath>
      <w:r w:rsidRPr="00DC5937">
        <w:t xml:space="preserve">; </w:t>
      </w:r>
      <m:oMath>
        <m:sSub>
          <m:sSubPr>
            <m:ctrlPr>
              <w:rPr>
                <w:rFonts w:ascii="Cambria Math" w:hAnsi="Cambria Math"/>
                <w:i/>
              </w:rPr>
            </m:ctrlPr>
          </m:sSubPr>
          <m:e>
            <m:r>
              <w:rPr>
                <w:rFonts w:ascii="Cambria Math" w:hAnsi="Cambria Math"/>
              </w:rPr>
              <m:t>T</m:t>
            </m:r>
          </m:e>
          <m:sub>
            <m:r>
              <w:rPr>
                <w:rFonts w:ascii="Cambria Math" w:hAnsi="Cambria Math"/>
              </w:rPr>
              <m:t>ij</m:t>
            </m:r>
          </m:sub>
        </m:sSub>
      </m:oMath>
      <w:r w:rsidRPr="00DC5937">
        <w:rPr>
          <w:i/>
          <w:vertAlign w:val="subscript"/>
        </w:rPr>
        <w:t xml:space="preserve"> </w:t>
      </w:r>
      <w:r w:rsidRPr="00DC5937">
        <w:t xml:space="preserve">is 1 if individual </w:t>
      </w:r>
      <m:oMath>
        <m:r>
          <w:rPr>
            <w:rFonts w:ascii="Cambria Math" w:hAnsi="Cambria Math"/>
          </w:rPr>
          <m:t>i</m:t>
        </m:r>
      </m:oMath>
      <w:r w:rsidRPr="00DC5937">
        <w:rPr>
          <w:i/>
        </w:rPr>
        <w:t xml:space="preserve"> </w:t>
      </w:r>
      <w:r w:rsidRPr="00DC5937">
        <w:t xml:space="preserve">from EOC </w:t>
      </w:r>
      <m:oMath>
        <m:r>
          <w:rPr>
            <w:rFonts w:ascii="Cambria Math" w:hAnsi="Cambria Math"/>
          </w:rPr>
          <m:t>j</m:t>
        </m:r>
      </m:oMath>
      <w:r w:rsidRPr="00DC5937">
        <w:t xml:space="preserve"> was randomized to treatment and 0 otherwise; </w:t>
      </w:r>
      <m:oMath>
        <m:sSub>
          <m:sSubPr>
            <m:ctrlPr>
              <w:rPr>
                <w:rFonts w:ascii="Cambria Math" w:hAnsi="Cambria Math"/>
                <w:i/>
              </w:rPr>
            </m:ctrlPr>
          </m:sSubPr>
          <m:e>
            <m:r>
              <w:rPr>
                <w:rFonts w:ascii="Cambria Math" w:hAnsi="Cambria Math"/>
              </w:rPr>
              <m:t>X</m:t>
            </m:r>
          </m:e>
          <m:sub>
            <m:r>
              <w:rPr>
                <w:rFonts w:ascii="Cambria Math" w:hAnsi="Cambria Math"/>
              </w:rPr>
              <m:t>kij</m:t>
            </m:r>
          </m:sub>
        </m:sSub>
      </m:oMath>
      <w:r w:rsidRPr="00DC5937">
        <w:t xml:space="preserve"> is the value of baseline covariate </w:t>
      </w:r>
      <m:oMath>
        <m:r>
          <w:rPr>
            <w:rFonts w:ascii="Cambria Math" w:hAnsi="Cambria Math"/>
          </w:rPr>
          <m:t>k</m:t>
        </m:r>
      </m:oMath>
      <w:r w:rsidRPr="00DC5937">
        <w:t xml:space="preserve"> for individual </w:t>
      </w:r>
      <m:oMath>
        <m:r>
          <w:rPr>
            <w:rFonts w:ascii="Cambria Math" w:hAnsi="Cambria Math"/>
          </w:rPr>
          <m:t>i</m:t>
        </m:r>
      </m:oMath>
      <w:r w:rsidRPr="00DC5937">
        <w:t xml:space="preserve"> from EOC </w:t>
      </w:r>
      <m:oMath>
        <m:r>
          <w:rPr>
            <w:rFonts w:ascii="Cambria Math" w:hAnsi="Cambria Math"/>
          </w:rPr>
          <m:t>j</m:t>
        </m:r>
      </m:oMath>
      <w:r w:rsidRPr="00DC5937">
        <w:t xml:space="preserve">; </w:t>
      </w:r>
      <m:oMath>
        <m:sSub>
          <m:sSubPr>
            <m:ctrlPr>
              <w:rPr>
                <w:rFonts w:ascii="Cambria Math" w:hAnsi="Cambria Math"/>
                <w:i/>
              </w:rPr>
            </m:ctrlPr>
          </m:sSubPr>
          <m:e>
            <m:r>
              <w:rPr>
                <w:rFonts w:ascii="Cambria Math" w:hAnsi="Cambria Math"/>
              </w:rPr>
              <m:t>θ</m:t>
            </m:r>
          </m:e>
          <m:sub>
            <m:r>
              <w:rPr>
                <w:rFonts w:ascii="Cambria Math" w:hAnsi="Cambria Math"/>
              </w:rPr>
              <m:t>k</m:t>
            </m:r>
          </m:sub>
        </m:sSub>
      </m:oMath>
      <w:r w:rsidRPr="00DC5937">
        <w:t xml:space="preserve"> is the coefficient for covariate </w:t>
      </w:r>
      <m:oMath>
        <m:r>
          <w:rPr>
            <w:rFonts w:ascii="Cambria Math" w:hAnsi="Cambria Math"/>
          </w:rPr>
          <m:t>k</m:t>
        </m:r>
      </m:oMath>
      <w:r w:rsidRPr="00DC5937">
        <w:t xml:space="preserve">; </w:t>
      </w:r>
      <m:oMath>
        <m:sSub>
          <m:sSubPr>
            <m:ctrlPr>
              <w:rPr>
                <w:rFonts w:ascii="Cambria Math" w:hAnsi="Cambria Math"/>
                <w:i/>
              </w:rPr>
            </m:ctrlPr>
          </m:sSubPr>
          <m:e>
            <m:r>
              <w:rPr>
                <w:rFonts w:ascii="Cambria Math" w:hAnsi="Cambria Math"/>
              </w:rPr>
              <m:t>α</m:t>
            </m:r>
          </m:e>
          <m:sub>
            <m:r>
              <w:rPr>
                <w:rFonts w:ascii="Cambria Math" w:hAnsi="Cambria Math"/>
              </w:rPr>
              <m:t>j</m:t>
            </m:r>
          </m:sub>
        </m:sSub>
      </m:oMath>
      <w:r w:rsidRPr="00DC5937">
        <w:t xml:space="preserve"> are around 20 fixed EOC-specific intercepts; </w:t>
      </w:r>
      <m:oMath>
        <m:sSub>
          <m:sSubPr>
            <m:ctrlPr>
              <w:rPr>
                <w:rFonts w:ascii="Cambria Math" w:hAnsi="Cambria Math"/>
                <w:i/>
              </w:rPr>
            </m:ctrlPr>
          </m:sSubPr>
          <m:e>
            <m:r>
              <w:rPr>
                <w:rFonts w:ascii="Cambria Math" w:hAnsi="Cambria Math"/>
              </w:rPr>
              <m:t>B</m:t>
            </m:r>
          </m:e>
          <m:sub>
            <m:r>
              <w:rPr>
                <w:rFonts w:ascii="Cambria Math" w:hAnsi="Cambria Math"/>
              </w:rPr>
              <m:t>j</m:t>
            </m:r>
          </m:sub>
        </m:sSub>
      </m:oMath>
      <w:r w:rsidRPr="00DC5937">
        <w:t xml:space="preserve"> is the population mean treatment effect for EOC </w:t>
      </w:r>
      <m:oMath>
        <m:r>
          <w:rPr>
            <w:rFonts w:ascii="Cambria Math" w:hAnsi="Cambria Math"/>
          </w:rPr>
          <m:t>j</m:t>
        </m:r>
      </m:oMath>
      <w:r w:rsidRPr="00DC5937">
        <w:t xml:space="preserve">; </w:t>
      </w:r>
      <m:oMath>
        <m:r>
          <w:rPr>
            <w:rFonts w:ascii="Cambria Math" w:hAnsi="Cambria Math"/>
          </w:rPr>
          <m:t>β</m:t>
        </m:r>
      </m:oMath>
      <w:r w:rsidRPr="00DC5937">
        <w:t xml:space="preserve"> is the cross-site mean treatment effect for the population of EOCs; </w:t>
      </w:r>
      <m:oMath>
        <m:sSub>
          <m:sSubPr>
            <m:ctrlPr>
              <w:rPr>
                <w:rFonts w:ascii="Cambria Math" w:hAnsi="Cambria Math"/>
                <w:i/>
              </w:rPr>
            </m:ctrlPr>
          </m:sSubPr>
          <m:e>
            <m:r>
              <w:rPr>
                <w:rFonts w:ascii="Cambria Math" w:hAnsi="Cambria Math"/>
              </w:rPr>
              <m:t>e</m:t>
            </m:r>
          </m:e>
          <m:sub>
            <m:r>
              <w:rPr>
                <w:rFonts w:ascii="Cambria Math" w:hAnsi="Cambria Math"/>
              </w:rPr>
              <m:t>ij</m:t>
            </m:r>
          </m:sub>
        </m:sSub>
      </m:oMath>
      <w:r w:rsidRPr="00DC5937">
        <w:t xml:space="preserve"> is a random error that varies independently and identically across individuals within EOC and experimental conditions, with a mean of zero and a variance of </w:t>
      </w:r>
      <m:oMath>
        <m:sSubSup>
          <m:sSubSupPr>
            <m:ctrlPr>
              <w:rPr>
                <w:rFonts w:ascii="Cambria Math" w:hAnsi="Cambria Math"/>
                <w:i/>
              </w:rPr>
            </m:ctrlPr>
          </m:sSubSupPr>
          <m:e>
            <m:r>
              <w:rPr>
                <w:rFonts w:ascii="Cambria Math" w:hAnsi="Cambria Math"/>
              </w:rPr>
              <m:t>σ</m:t>
            </m:r>
          </m:e>
          <m:sub>
            <m:r>
              <w:rPr>
                <w:rFonts w:ascii="Cambria Math" w:hAnsi="Cambria Math"/>
              </w:rPr>
              <m:t>|</m:t>
            </m:r>
            <m:r>
              <m:rPr>
                <m:sty m:val="bi"/>
              </m:rPr>
              <w:rPr>
                <w:rFonts w:ascii="Cambria Math" w:hAnsi="Cambria Math"/>
              </w:rPr>
              <m:t>X</m:t>
            </m:r>
            <m:sSub>
              <m:sSubPr>
                <m:ctrlPr>
                  <w:rPr>
                    <w:rFonts w:ascii="Cambria Math" w:hAnsi="Cambria Math"/>
                    <w:i/>
                  </w:rPr>
                </m:ctrlPr>
              </m:sSubPr>
              <m:e>
                <m:r>
                  <w:rPr>
                    <w:rFonts w:ascii="Cambria Math" w:hAnsi="Cambria Math"/>
                  </w:rPr>
                  <m:t>α</m:t>
                </m:r>
              </m:e>
              <m:sub>
                <m:r>
                  <w:rPr>
                    <w:rFonts w:ascii="Cambria Math" w:hAnsi="Cambria Math"/>
                  </w:rPr>
                  <m:t>j</m:t>
                </m:r>
              </m:sub>
            </m:sSub>
          </m:sub>
          <m:sup>
            <m:r>
              <w:rPr>
                <w:rFonts w:ascii="Cambria Math" w:hAnsi="Cambria Math"/>
              </w:rPr>
              <m:t>2</m:t>
            </m:r>
          </m:sup>
        </m:sSubSup>
      </m:oMath>
      <w:r w:rsidRPr="00DC5937">
        <w:t xml:space="preserve">; and </w:t>
      </w:r>
      <m:oMath>
        <m:sSub>
          <m:sSubPr>
            <m:ctrlPr>
              <w:rPr>
                <w:rFonts w:ascii="Cambria Math" w:hAnsi="Cambria Math"/>
                <w:i/>
              </w:rPr>
            </m:ctrlPr>
          </m:sSubPr>
          <m:e>
            <m:r>
              <w:rPr>
                <w:rFonts w:ascii="Cambria Math" w:hAnsi="Cambria Math"/>
              </w:rPr>
              <m:t>b</m:t>
            </m:r>
          </m:e>
          <m:sub>
            <m:r>
              <w:rPr>
                <w:rFonts w:ascii="Cambria Math" w:hAnsi="Cambria Math"/>
              </w:rPr>
              <m:t>j</m:t>
            </m:r>
          </m:sub>
        </m:sSub>
      </m:oMath>
      <w:r w:rsidRPr="00DC5937">
        <w:rPr>
          <w:vertAlign w:val="subscript"/>
        </w:rPr>
        <w:t xml:space="preserve"> </w:t>
      </w:r>
      <w:r w:rsidRPr="00DC5937">
        <w:t>is a random error that varies independently and identically across EOCs in the population with a mean of 0 and a variance of (</w:t>
      </w:r>
      <m:oMath>
        <m:sSup>
          <m:sSupPr>
            <m:ctrlPr>
              <w:rPr>
                <w:rFonts w:ascii="Cambria Math" w:hAnsi="Cambria Math"/>
                <w:i/>
              </w:rPr>
            </m:ctrlPr>
          </m:sSupPr>
          <m:e>
            <m:r>
              <w:rPr>
                <w:rFonts w:ascii="Cambria Math" w:hAnsi="Cambria Math"/>
              </w:rPr>
              <m:t>τ</m:t>
            </m:r>
          </m:e>
          <m:sup>
            <m:r>
              <w:rPr>
                <w:rFonts w:ascii="Cambria Math" w:hAnsi="Cambria Math"/>
              </w:rPr>
              <m:t>2</m:t>
            </m:r>
          </m:sup>
        </m:sSup>
      </m:oMath>
      <w:r w:rsidRPr="00DC5937">
        <w:t>).</w:t>
      </w:r>
    </w:p>
    <w:p w14:paraId="1E5237C1" w14:textId="77777777" w:rsidR="000B4B77" w:rsidRDefault="000B4B77" w:rsidP="000B4B77">
      <w:pPr>
        <w:spacing w:line="276" w:lineRule="auto"/>
        <w:jc w:val="both"/>
        <w:rPr>
          <w:rFonts w:eastAsiaTheme="minorEastAsia"/>
        </w:rPr>
      </w:pPr>
    </w:p>
    <w:p w14:paraId="1E5237C2" w14:textId="4FB5CC76" w:rsidR="000B4B77" w:rsidRDefault="000B4B77" w:rsidP="000B4B77">
      <w:pPr>
        <w:spacing w:line="276" w:lineRule="auto"/>
        <w:jc w:val="both"/>
        <w:rPr>
          <w:rFonts w:eastAsiaTheme="minorEastAsia"/>
        </w:rPr>
      </w:pPr>
      <w:r>
        <w:rPr>
          <w:rFonts w:eastAsiaTheme="minorEastAsia"/>
        </w:rPr>
        <w:t>T</w:t>
      </w:r>
      <w:r w:rsidRPr="00DC5937">
        <w:rPr>
          <w:rFonts w:eastAsiaTheme="minorEastAsia"/>
        </w:rPr>
        <w:t xml:space="preserve">his model </w:t>
      </w:r>
      <w:r>
        <w:rPr>
          <w:rFonts w:eastAsiaTheme="minorEastAsia"/>
        </w:rPr>
        <w:t>allows</w:t>
      </w:r>
      <w:r w:rsidRPr="00DC5937">
        <w:rPr>
          <w:rFonts w:eastAsiaTheme="minorEastAsia"/>
        </w:rPr>
        <w:t xml:space="preserve"> </w:t>
      </w:r>
      <m:oMath>
        <m:r>
          <w:rPr>
            <w:rFonts w:ascii="Cambria Math" w:eastAsiaTheme="minorEastAsia" w:hAnsi="Cambria Math"/>
          </w:rPr>
          <m:t>τ</m:t>
        </m:r>
      </m:oMath>
      <w:r w:rsidRPr="00DC5937">
        <w:rPr>
          <w:rFonts w:eastAsiaTheme="minorEastAsia"/>
        </w:rPr>
        <w:t xml:space="preserve"> </w:t>
      </w:r>
      <w:r>
        <w:rPr>
          <w:rFonts w:eastAsiaTheme="minorEastAsia"/>
        </w:rPr>
        <w:t xml:space="preserve">to be </w:t>
      </w:r>
      <w:r w:rsidRPr="00DC5937">
        <w:rPr>
          <w:rFonts w:eastAsiaTheme="minorEastAsia"/>
        </w:rPr>
        <w:t xml:space="preserve">estimated. </w:t>
      </w:r>
      <m:oMath>
        <m:r>
          <w:rPr>
            <w:rFonts w:ascii="Cambria Math" w:eastAsiaTheme="minorEastAsia" w:hAnsi="Cambria Math"/>
          </w:rPr>
          <m:t>τ</m:t>
        </m:r>
      </m:oMath>
      <w:r w:rsidRPr="00DC5937">
        <w:rPr>
          <w:rFonts w:eastAsiaTheme="minorEastAsia"/>
        </w:rPr>
        <w:t xml:space="preserve"> is the standard deviation of the EOC-level treatment effect distribution</w:t>
      </w:r>
      <w:r>
        <w:rPr>
          <w:rFonts w:eastAsiaTheme="minorEastAsia"/>
        </w:rPr>
        <w:t xml:space="preserve">, and </w:t>
      </w:r>
      <w:r w:rsidRPr="00DC5937">
        <w:rPr>
          <w:rFonts w:eastAsiaTheme="minorEastAsia"/>
        </w:rPr>
        <w:t xml:space="preserve">, </w:t>
      </w:r>
      <m:oMath>
        <m:acc>
          <m:accPr>
            <m:ctrlPr>
              <w:rPr>
                <w:rFonts w:ascii="Cambria Math" w:eastAsiaTheme="minorEastAsia" w:hAnsi="Cambria Math"/>
                <w:i/>
              </w:rPr>
            </m:ctrlPr>
          </m:accPr>
          <m:e>
            <m:r>
              <w:rPr>
                <w:rFonts w:ascii="Cambria Math" w:eastAsiaTheme="minorEastAsia" w:hAnsi="Cambria Math"/>
              </w:rPr>
              <m:t>τ</m:t>
            </m:r>
          </m:e>
        </m:acc>
      </m:oMath>
      <w:r w:rsidRPr="00DC5937">
        <w:rPr>
          <w:rFonts w:eastAsiaTheme="minorEastAsia"/>
        </w:rPr>
        <w:t xml:space="preserve"> quantifies how much the effectiveness of the </w:t>
      </w:r>
      <w:r w:rsidRPr="00DC5937">
        <w:t xml:space="preserve">messaging strategy varies across EOCs, information relevant to the generalizability of findings. If </w:t>
      </w:r>
      <m:oMath>
        <m:acc>
          <m:accPr>
            <m:ctrlPr>
              <w:rPr>
                <w:rFonts w:ascii="Cambria Math" w:hAnsi="Cambria Math"/>
                <w:i/>
              </w:rPr>
            </m:ctrlPr>
          </m:accPr>
          <m:e>
            <m:r>
              <w:rPr>
                <w:rFonts w:ascii="Cambria Math" w:hAnsi="Cambria Math"/>
              </w:rPr>
              <m:t>τ</m:t>
            </m:r>
          </m:e>
        </m:acc>
      </m:oMath>
      <w:r w:rsidRPr="00DC5937">
        <w:rPr>
          <w:rFonts w:eastAsiaTheme="minorEastAsia"/>
        </w:rPr>
        <w:t xml:space="preserve"> is large, then the effectiveness of the </w:t>
      </w:r>
      <w:r w:rsidRPr="00DC5937">
        <w:t xml:space="preserve">information strategy varies a lot across EOCs. This </w:t>
      </w:r>
      <w:r>
        <w:t xml:space="preserve">would </w:t>
      </w:r>
      <w:r w:rsidRPr="00DC5937">
        <w:t>impl</w:t>
      </w:r>
      <w:r>
        <w:t>y</w:t>
      </w:r>
      <w:r w:rsidRPr="00DC5937">
        <w:t xml:space="preserve"> that, while </w:t>
      </w:r>
      <m:oMath>
        <m:acc>
          <m:accPr>
            <m:ctrlPr>
              <w:rPr>
                <w:rFonts w:ascii="Cambria Math" w:hAnsi="Cambria Math"/>
                <w:i/>
              </w:rPr>
            </m:ctrlPr>
          </m:accPr>
          <m:e>
            <m:r>
              <w:rPr>
                <w:rFonts w:ascii="Cambria Math" w:hAnsi="Cambria Math"/>
              </w:rPr>
              <m:t>β</m:t>
            </m:r>
          </m:e>
        </m:acc>
      </m:oMath>
      <w:r w:rsidRPr="00DC5937">
        <w:rPr>
          <w:rFonts w:eastAsiaTheme="minorEastAsia"/>
        </w:rPr>
        <w:t xml:space="preserve"> provides a useful summary of the overall average effectiveness of the information strategy, it masks that the information strategy is more/less effective at particular EOCs</w:t>
      </w:r>
      <w:r w:rsidRPr="00DC5937">
        <w:t xml:space="preserve">. In contrast, if </w:t>
      </w:r>
      <m:oMath>
        <m:acc>
          <m:accPr>
            <m:ctrlPr>
              <w:rPr>
                <w:rFonts w:ascii="Cambria Math" w:eastAsiaTheme="minorEastAsia" w:hAnsi="Cambria Math"/>
                <w:i/>
              </w:rPr>
            </m:ctrlPr>
          </m:accPr>
          <m:e>
            <m:r>
              <w:rPr>
                <w:rFonts w:ascii="Cambria Math" w:eastAsiaTheme="minorEastAsia" w:hAnsi="Cambria Math"/>
              </w:rPr>
              <m:t>τ</m:t>
            </m:r>
          </m:e>
        </m:acc>
      </m:oMath>
      <w:r w:rsidRPr="00DC5937">
        <w:rPr>
          <w:rFonts w:eastAsiaTheme="minorEastAsia"/>
        </w:rPr>
        <w:t xml:space="preserve"> is small, the effectiveness of the information strategy is fairly consistent across EOCs.</w:t>
      </w:r>
    </w:p>
    <w:p w14:paraId="1E5237C9" w14:textId="77777777" w:rsidR="000B4B77" w:rsidRDefault="000B4B77" w:rsidP="00E85591">
      <w:pPr>
        <w:numPr>
          <w:ilvl w:val="12"/>
          <w:numId w:val="0"/>
        </w:numPr>
        <w:tabs>
          <w:tab w:val="left" w:pos="-720"/>
        </w:tabs>
        <w:suppressAutoHyphens/>
        <w:spacing w:line="276" w:lineRule="auto"/>
        <w:ind w:left="340"/>
      </w:pPr>
    </w:p>
    <w:p w14:paraId="1E5237CA" w14:textId="77777777" w:rsidR="00E85591" w:rsidRPr="00C53164" w:rsidRDefault="00EC1242" w:rsidP="00C53164">
      <w:pPr>
        <w:tabs>
          <w:tab w:val="left" w:pos="-720"/>
          <w:tab w:val="left" w:pos="1247"/>
        </w:tabs>
        <w:suppressAutoHyphens/>
        <w:spacing w:line="276" w:lineRule="auto"/>
        <w:rPr>
          <w:b/>
        </w:rPr>
      </w:pPr>
      <w:r w:rsidRPr="00C53164">
        <w:rPr>
          <w:b/>
        </w:rPr>
        <w:t>Degree of accuracy needed for the purpose</w:t>
      </w:r>
      <w:r w:rsidR="00C96C54" w:rsidRPr="00C53164">
        <w:rPr>
          <w:b/>
        </w:rPr>
        <w:t xml:space="preserve"> described in the justification</w:t>
      </w:r>
    </w:p>
    <w:p w14:paraId="1E5237CB" w14:textId="77777777" w:rsidR="006E17F1" w:rsidRDefault="006E17F1" w:rsidP="006E17F1">
      <w:pPr>
        <w:tabs>
          <w:tab w:val="left" w:pos="-720"/>
          <w:tab w:val="left" w:pos="1247"/>
        </w:tabs>
        <w:suppressAutoHyphens/>
        <w:spacing w:line="276" w:lineRule="auto"/>
        <w:rPr>
          <w:b/>
          <w:i/>
        </w:rPr>
      </w:pPr>
    </w:p>
    <w:p w14:paraId="1E5237CC" w14:textId="77777777" w:rsidR="00EC1242" w:rsidRDefault="00EC1242" w:rsidP="00E85591">
      <w:pPr>
        <w:spacing w:line="276" w:lineRule="auto"/>
        <w:jc w:val="both"/>
      </w:pPr>
      <w:r w:rsidRPr="00EC1242">
        <w:rPr>
          <w:b/>
          <w:i/>
        </w:rPr>
        <w:t>Statistical Precision of the Design</w:t>
      </w:r>
      <w:r w:rsidRPr="00EC1242">
        <w:t xml:space="preserve">: </w:t>
      </w:r>
      <w:r w:rsidRPr="00EC1242">
        <w:rPr>
          <w:noProof/>
        </w:rPr>
        <w:t>Raudenbush and Liu (2000)</w:t>
      </w:r>
      <w:r w:rsidRPr="00EC1242">
        <w:t xml:space="preserve"> demonstrate how to determine the statistical power of impact estimates from multisite trials, where individuals are randomized within sites (e.g., EOC grantees). </w:t>
      </w:r>
      <w:r w:rsidRPr="00EC1242">
        <w:rPr>
          <w:noProof/>
        </w:rPr>
        <w:t>Dong and Maynard (2013)</w:t>
      </w:r>
      <w:r w:rsidRPr="00EC1242">
        <w:t xml:space="preserve"> and </w:t>
      </w:r>
      <w:r w:rsidRPr="00EC1242">
        <w:rPr>
          <w:noProof/>
        </w:rPr>
        <w:t>Spybrook and Bloom (under review)</w:t>
      </w:r>
      <w:r w:rsidRPr="00EC1242">
        <w:t xml:space="preserve"> describe how to assess the statistical precision of such estimates in terms of a minimum detectable </w:t>
      </w:r>
      <w:r w:rsidRPr="00EC1242">
        <w:rPr>
          <w:i/>
        </w:rPr>
        <w:t xml:space="preserve">effect </w:t>
      </w:r>
      <w:r w:rsidRPr="00EC1242">
        <w:t>(MDE).</w:t>
      </w:r>
      <w:r w:rsidRPr="00EC1242">
        <w:rPr>
          <w:rFonts w:eastAsiaTheme="minorEastAsia"/>
        </w:rPr>
        <w:t xml:space="preserve"> </w:t>
      </w:r>
      <w:r w:rsidRPr="00EC1242">
        <w:t xml:space="preserve">An MDE is the smallest true mean effect </w:t>
      </w:r>
      <w:r w:rsidRPr="00EC1242">
        <w:rPr>
          <w:rFonts w:eastAsiaTheme="minorEastAsia"/>
          <w:iCs/>
        </w:rPr>
        <w:t xml:space="preserve">that a study design can detect at a specified level of statistical significance with a specified level of statistical power (typically </w:t>
      </w:r>
      <w:r w:rsidRPr="00EC1242">
        <w:rPr>
          <w:rFonts w:eastAsiaTheme="minorEastAsia"/>
          <w:iCs/>
        </w:rPr>
        <w:lastRenderedPageBreak/>
        <w:t xml:space="preserve">80 percent). </w:t>
      </w:r>
      <w:r w:rsidRPr="00EC1242">
        <w:rPr>
          <w:noProof/>
        </w:rPr>
        <w:t>Spybrook and Bloom (under review)</w:t>
      </w:r>
      <w:r w:rsidRPr="00EC1242">
        <w:t xml:space="preserve"> derive the following formula, associated with the above estimation model, for calculating the MDE:</w:t>
      </w:r>
      <w:r w:rsidRPr="00EC1242">
        <w:rPr>
          <w:vertAlign w:val="superscript"/>
        </w:rPr>
        <w:footnoteReference w:id="2"/>
      </w:r>
    </w:p>
    <w:p w14:paraId="1E5237CD" w14:textId="77777777" w:rsidR="00807ED6" w:rsidRPr="00EC1242" w:rsidRDefault="00807ED6" w:rsidP="00E85591">
      <w:pPr>
        <w:spacing w:line="276" w:lineRule="auto"/>
        <w:jc w:val="both"/>
      </w:pPr>
    </w:p>
    <w:p w14:paraId="1E5237CE" w14:textId="77777777" w:rsidR="00EC1242" w:rsidRPr="00EC1242" w:rsidRDefault="00EC1242" w:rsidP="00E85591">
      <w:pPr>
        <w:spacing w:line="276" w:lineRule="auto"/>
        <w:ind w:left="340"/>
      </w:pPr>
      <w:bookmarkStart w:id="9" w:name="OLE_LINK1"/>
      <w:bookmarkStart w:id="10" w:name="OLE_LINK2"/>
      <m:oMath>
        <m:r>
          <w:rPr>
            <w:rFonts w:ascii="Cambria Math" w:hAnsi="Cambria Math"/>
          </w:rPr>
          <m:t>MDE=</m:t>
        </m:r>
        <m:sSub>
          <m:sSubPr>
            <m:ctrlPr>
              <w:rPr>
                <w:rFonts w:ascii="Cambria Math" w:hAnsi="Cambria Math"/>
                <w:i/>
                <w:iCs/>
              </w:rPr>
            </m:ctrlPr>
          </m:sSubPr>
          <m:e>
            <m:r>
              <w:rPr>
                <w:rFonts w:ascii="Cambria Math" w:hAnsi="Cambria Math"/>
              </w:rPr>
              <m:t>M</m:t>
            </m:r>
          </m:e>
          <m:sub>
            <m:r>
              <w:rPr>
                <w:rFonts w:ascii="Cambria Math" w:hAnsi="Cambria Math"/>
              </w:rPr>
              <m:t>J-1</m:t>
            </m:r>
          </m:sub>
        </m:sSub>
        <m:rad>
          <m:radPr>
            <m:degHide m:val="1"/>
            <m:ctrlPr>
              <w:rPr>
                <w:rFonts w:ascii="Cambria Math" w:hAnsi="Cambria Math"/>
                <w:i/>
                <w:iCs/>
              </w:rPr>
            </m:ctrlPr>
          </m:radPr>
          <m:deg/>
          <m:e>
            <m:d>
              <m:dPr>
                <m:ctrlPr>
                  <w:rPr>
                    <w:rFonts w:ascii="Cambria Math" w:hAnsi="Cambria Math"/>
                    <w:i/>
                    <w:iCs/>
                  </w:rPr>
                </m:ctrlPr>
              </m:dPr>
              <m:e>
                <m:f>
                  <m:fPr>
                    <m:ctrlPr>
                      <w:rPr>
                        <w:rFonts w:ascii="Cambria Math" w:hAnsi="Cambria Math"/>
                        <w:i/>
                        <w:iCs/>
                      </w:rPr>
                    </m:ctrlPr>
                  </m:fPr>
                  <m:num>
                    <m:r>
                      <w:rPr>
                        <w:rFonts w:ascii="Cambria Math" w:hAnsi="Cambria Math"/>
                      </w:rPr>
                      <m:t>1</m:t>
                    </m:r>
                  </m:num>
                  <m:den>
                    <m:r>
                      <w:rPr>
                        <w:rFonts w:ascii="Cambria Math" w:hAnsi="Cambria Math"/>
                      </w:rPr>
                      <m:t>J</m:t>
                    </m:r>
                  </m:den>
                </m:f>
              </m:e>
            </m:d>
            <m:d>
              <m:dPr>
                <m:ctrlPr>
                  <w:rPr>
                    <w:rFonts w:ascii="Cambria Math" w:hAnsi="Cambria Math"/>
                    <w:i/>
                    <w:iCs/>
                  </w:rPr>
                </m:ctrlPr>
              </m:dPr>
              <m:e>
                <m:sSup>
                  <m:sSupPr>
                    <m:ctrlPr>
                      <w:rPr>
                        <w:rFonts w:ascii="Cambria Math" w:hAnsi="Cambria Math"/>
                        <w:i/>
                        <w:iCs/>
                      </w:rPr>
                    </m:ctrlPr>
                  </m:sSupPr>
                  <m:e>
                    <m:r>
                      <w:rPr>
                        <w:rFonts w:ascii="Cambria Math" w:hAnsi="Cambria Math"/>
                      </w:rPr>
                      <m:t>τ</m:t>
                    </m:r>
                  </m:e>
                  <m:sup>
                    <m:r>
                      <w:rPr>
                        <w:rFonts w:ascii="Cambria Math" w:hAnsi="Cambria Math"/>
                      </w:rPr>
                      <m:t>2</m:t>
                    </m:r>
                  </m:sup>
                </m:sSup>
                <m:r>
                  <w:rPr>
                    <w:rFonts w:ascii="Cambria Math" w:hAnsi="Cambria Math"/>
                  </w:rPr>
                  <m:t>+</m:t>
                </m:r>
                <m:f>
                  <m:fPr>
                    <m:ctrlPr>
                      <w:rPr>
                        <w:rFonts w:ascii="Cambria Math" w:hAnsi="Cambria Math"/>
                        <w:i/>
                        <w:iCs/>
                      </w:rPr>
                    </m:ctrlPr>
                  </m:fPr>
                  <m:num>
                    <m:d>
                      <m:dPr>
                        <m:ctrlPr>
                          <w:rPr>
                            <w:rFonts w:ascii="Cambria Math" w:hAnsi="Cambria Math"/>
                            <w:i/>
                            <w:iCs/>
                          </w:rPr>
                        </m:ctrlPr>
                      </m:dPr>
                      <m:e>
                        <m:r>
                          <w:rPr>
                            <w:rFonts w:ascii="Cambria Math" w:hAnsi="Cambria Math"/>
                          </w:rPr>
                          <m:t>1-ICC</m:t>
                        </m:r>
                      </m:e>
                    </m:d>
                    <m:d>
                      <m:dPr>
                        <m:ctrlPr>
                          <w:rPr>
                            <w:rFonts w:ascii="Cambria Math" w:hAnsi="Cambria Math"/>
                            <w:i/>
                            <w:iCs/>
                          </w:rPr>
                        </m:ctrlPr>
                      </m:dPr>
                      <m:e>
                        <m:r>
                          <w:rPr>
                            <w:rFonts w:ascii="Cambria Math" w:hAnsi="Cambria Math"/>
                          </w:rPr>
                          <m:t>1-</m:t>
                        </m:r>
                        <m:sSubSup>
                          <m:sSubSupPr>
                            <m:ctrlPr>
                              <w:rPr>
                                <w:rFonts w:ascii="Cambria Math" w:hAnsi="Cambria Math"/>
                                <w:i/>
                                <w:iCs/>
                              </w:rPr>
                            </m:ctrlPr>
                          </m:sSubSupPr>
                          <m:e>
                            <m:r>
                              <w:rPr>
                                <w:rFonts w:ascii="Cambria Math" w:hAnsi="Cambria Math"/>
                              </w:rPr>
                              <m:t>r</m:t>
                            </m:r>
                          </m:e>
                          <m:sub>
                            <m:r>
                              <w:rPr>
                                <w:rFonts w:ascii="Cambria Math" w:hAnsi="Cambria Math"/>
                              </w:rPr>
                              <m:t>L1</m:t>
                            </m:r>
                          </m:sub>
                          <m:sup>
                            <m:r>
                              <w:rPr>
                                <w:rFonts w:ascii="Cambria Math" w:hAnsi="Cambria Math"/>
                              </w:rPr>
                              <m:t>2</m:t>
                            </m:r>
                          </m:sup>
                        </m:sSubSup>
                      </m:e>
                    </m:d>
                    <m:sSup>
                      <m:sSupPr>
                        <m:ctrlPr>
                          <w:rPr>
                            <w:rFonts w:ascii="Cambria Math" w:hAnsi="Cambria Math"/>
                            <w:i/>
                            <w:iCs/>
                          </w:rPr>
                        </m:ctrlPr>
                      </m:sSupPr>
                      <m:e>
                        <m:r>
                          <w:rPr>
                            <w:rFonts w:ascii="Cambria Math" w:hAnsi="Cambria Math"/>
                          </w:rPr>
                          <m:t>σ</m:t>
                        </m:r>
                      </m:e>
                      <m:sup>
                        <m:r>
                          <w:rPr>
                            <w:rFonts w:ascii="Cambria Math" w:hAnsi="Cambria Math"/>
                          </w:rPr>
                          <m:t>2</m:t>
                        </m:r>
                      </m:sup>
                    </m:sSup>
                  </m:num>
                  <m:den>
                    <m:r>
                      <w:rPr>
                        <w:rFonts w:ascii="Cambria Math" w:hAnsi="Cambria Math"/>
                      </w:rPr>
                      <m:t>n</m:t>
                    </m:r>
                    <m:acc>
                      <m:accPr>
                        <m:chr m:val="̅"/>
                        <m:ctrlPr>
                          <w:rPr>
                            <w:rFonts w:ascii="Cambria Math" w:hAnsi="Cambria Math"/>
                            <w:i/>
                            <w:iCs/>
                          </w:rPr>
                        </m:ctrlPr>
                      </m:accPr>
                      <m:e>
                        <m:r>
                          <w:rPr>
                            <w:rFonts w:ascii="Cambria Math" w:hAnsi="Cambria Math"/>
                          </w:rPr>
                          <m:t>T</m:t>
                        </m:r>
                      </m:e>
                    </m:acc>
                    <m:d>
                      <m:dPr>
                        <m:ctrlPr>
                          <w:rPr>
                            <w:rFonts w:ascii="Cambria Math" w:hAnsi="Cambria Math"/>
                            <w:i/>
                            <w:iCs/>
                          </w:rPr>
                        </m:ctrlPr>
                      </m:dPr>
                      <m:e>
                        <m:r>
                          <w:rPr>
                            <w:rFonts w:ascii="Cambria Math" w:hAnsi="Cambria Math"/>
                          </w:rPr>
                          <m:t>1-</m:t>
                        </m:r>
                        <m:acc>
                          <m:accPr>
                            <m:chr m:val="̅"/>
                            <m:ctrlPr>
                              <w:rPr>
                                <w:rFonts w:ascii="Cambria Math" w:hAnsi="Cambria Math"/>
                                <w:i/>
                                <w:iCs/>
                              </w:rPr>
                            </m:ctrlPr>
                          </m:accPr>
                          <m:e>
                            <m:r>
                              <w:rPr>
                                <w:rFonts w:ascii="Cambria Math" w:hAnsi="Cambria Math"/>
                              </w:rPr>
                              <m:t>T</m:t>
                            </m:r>
                          </m:e>
                        </m:acc>
                      </m:e>
                    </m:d>
                  </m:den>
                </m:f>
              </m:e>
            </m:d>
          </m:e>
        </m:rad>
      </m:oMath>
      <w:bookmarkEnd w:id="9"/>
      <w:bookmarkEnd w:id="10"/>
      <w:r w:rsidRPr="00EC1242">
        <w:rPr>
          <w:rFonts w:eastAsiaTheme="minorEastAsia"/>
          <w:iCs/>
        </w:rPr>
        <w:t xml:space="preserve"> </w:t>
      </w:r>
      <w:r w:rsidRPr="00EC1242">
        <w:rPr>
          <w:rFonts w:eastAsiaTheme="minorEastAsia"/>
          <w:iCs/>
        </w:rPr>
        <w:tab/>
      </w:r>
      <w:r w:rsidRPr="00EC1242">
        <w:rPr>
          <w:rFonts w:eastAsiaTheme="minorEastAsia"/>
          <w:iCs/>
        </w:rPr>
        <w:tab/>
      </w:r>
      <w:r w:rsidRPr="00EC1242">
        <w:rPr>
          <w:rFonts w:eastAsiaTheme="minorEastAsia"/>
          <w:iCs/>
        </w:rPr>
        <w:tab/>
      </w:r>
      <w:r w:rsidRPr="00EC1242">
        <w:rPr>
          <w:rFonts w:eastAsiaTheme="minorEastAsia"/>
          <w:iCs/>
        </w:rPr>
        <w:tab/>
      </w:r>
      <w:r w:rsidRPr="00EC1242">
        <w:rPr>
          <w:rFonts w:eastAsiaTheme="minorEastAsia"/>
          <w:iCs/>
        </w:rPr>
        <w:tab/>
      </w:r>
      <w:r w:rsidRPr="00EC1242">
        <w:rPr>
          <w:rFonts w:eastAsiaTheme="minorEastAsia"/>
          <w:iCs/>
        </w:rPr>
        <w:tab/>
        <w:t>(1)</w:t>
      </w:r>
    </w:p>
    <w:p w14:paraId="1E5237CF" w14:textId="77777777" w:rsidR="00EC1242" w:rsidRPr="00EC1242" w:rsidRDefault="00EC1242" w:rsidP="00E85591">
      <w:pPr>
        <w:spacing w:line="276" w:lineRule="auto"/>
      </w:pPr>
    </w:p>
    <w:p w14:paraId="1E5237D0" w14:textId="77777777" w:rsidR="00EC1242" w:rsidRPr="00EC1242" w:rsidRDefault="00EC1242" w:rsidP="00E85591">
      <w:pPr>
        <w:spacing w:line="276" w:lineRule="auto"/>
        <w:jc w:val="both"/>
        <w:rPr>
          <w:rFonts w:eastAsiaTheme="minorEastAsia"/>
        </w:rPr>
      </w:pPr>
      <w:r w:rsidRPr="00EC1242">
        <w:t xml:space="preserve">where </w:t>
      </w:r>
      <m:oMath>
        <m:r>
          <w:rPr>
            <w:rFonts w:ascii="Cambria Math" w:hAnsi="Cambria Math"/>
          </w:rPr>
          <m:t>J</m:t>
        </m:r>
      </m:oMath>
      <w:r w:rsidRPr="00EC1242">
        <w:t xml:space="preserve"> is the number of EOCs, </w:t>
      </w:r>
      <m:oMath>
        <m:sSup>
          <m:sSupPr>
            <m:ctrlPr>
              <w:rPr>
                <w:rFonts w:ascii="Cambria Math" w:hAnsi="Cambria Math"/>
                <w:i/>
                <w:iCs/>
              </w:rPr>
            </m:ctrlPr>
          </m:sSupPr>
          <m:e>
            <m:r>
              <w:rPr>
                <w:rFonts w:ascii="Cambria Math" w:hAnsi="Cambria Math"/>
              </w:rPr>
              <m:t>τ</m:t>
            </m:r>
          </m:e>
          <m:sup>
            <m:r>
              <w:rPr>
                <w:rFonts w:ascii="Cambria Math" w:hAnsi="Cambria Math"/>
              </w:rPr>
              <m:t>2</m:t>
            </m:r>
          </m:sup>
        </m:sSup>
      </m:oMath>
      <w:r w:rsidRPr="00EC1242">
        <w:rPr>
          <w:rFonts w:eastAsiaTheme="minorEastAsia"/>
          <w:iCs/>
        </w:rPr>
        <w:t xml:space="preserve"> is the cross-site standard deviation of EOC-level treatment effect distribution,</w:t>
      </w:r>
      <w:r w:rsidRPr="00EC1242">
        <w:t xml:space="preserve"> </w:t>
      </w:r>
      <m:oMath>
        <m:r>
          <w:rPr>
            <w:rFonts w:ascii="Cambria Math" w:hAnsi="Cambria Math"/>
          </w:rPr>
          <m:t>ICC</m:t>
        </m:r>
      </m:oMath>
      <w:r w:rsidRPr="00EC1242">
        <w:t xml:space="preserve"> is the intraclass correlation (the proportion of the total variance of the outcome that is between EOCs, which the </w:t>
      </w:r>
      <m:oMath>
        <m:sSub>
          <m:sSubPr>
            <m:ctrlPr>
              <w:rPr>
                <w:rFonts w:ascii="Cambria Math" w:hAnsi="Cambria Math"/>
                <w:i/>
              </w:rPr>
            </m:ctrlPr>
          </m:sSubPr>
          <m:e>
            <m:r>
              <w:rPr>
                <w:rFonts w:ascii="Cambria Math" w:hAnsi="Cambria Math"/>
              </w:rPr>
              <m:t>α</m:t>
            </m:r>
          </m:e>
          <m:sub>
            <m:r>
              <w:rPr>
                <w:rFonts w:ascii="Cambria Math" w:hAnsi="Cambria Math"/>
              </w:rPr>
              <m:t>j</m:t>
            </m:r>
          </m:sub>
        </m:sSub>
      </m:oMath>
      <w:r w:rsidRPr="00EC1242">
        <w:rPr>
          <w:rFonts w:eastAsiaTheme="minorEastAsia"/>
        </w:rPr>
        <w:t xml:space="preserve"> fully explain</w:t>
      </w:r>
      <w:r w:rsidRPr="00EC1242">
        <w:t xml:space="preserve">), </w:t>
      </w:r>
      <m:oMath>
        <m:sSubSup>
          <m:sSubSupPr>
            <m:ctrlPr>
              <w:rPr>
                <w:rFonts w:ascii="Cambria Math" w:hAnsi="Cambria Math"/>
                <w:i/>
                <w:iCs/>
              </w:rPr>
            </m:ctrlPr>
          </m:sSubSupPr>
          <m:e>
            <m:r>
              <w:rPr>
                <w:rFonts w:ascii="Cambria Math" w:hAnsi="Cambria Math"/>
              </w:rPr>
              <m:t>r</m:t>
            </m:r>
          </m:e>
          <m:sub>
            <m:r>
              <w:rPr>
                <w:rFonts w:ascii="Cambria Math" w:hAnsi="Cambria Math"/>
              </w:rPr>
              <m:t>L1</m:t>
            </m:r>
          </m:sub>
          <m:sup>
            <m:r>
              <w:rPr>
                <w:rFonts w:ascii="Cambria Math" w:hAnsi="Cambria Math"/>
              </w:rPr>
              <m:t>2</m:t>
            </m:r>
          </m:sup>
        </m:sSubSup>
      </m:oMath>
      <w:r w:rsidRPr="00EC1242">
        <w:rPr>
          <w:rFonts w:eastAsiaTheme="minorEastAsia"/>
          <w:iCs/>
        </w:rPr>
        <w:t xml:space="preserve"> is the proportion of within-EOC outcome variation that is explained by baseline covariates, </w:t>
      </w:r>
      <m:oMath>
        <m:sSup>
          <m:sSupPr>
            <m:ctrlPr>
              <w:rPr>
                <w:rFonts w:ascii="Cambria Math" w:hAnsi="Cambria Math"/>
                <w:i/>
              </w:rPr>
            </m:ctrlPr>
          </m:sSupPr>
          <m:e>
            <m:r>
              <w:rPr>
                <w:rFonts w:ascii="Cambria Math" w:hAnsi="Cambria Math"/>
              </w:rPr>
              <m:t>σ</m:t>
            </m:r>
          </m:e>
          <m:sup>
            <m:r>
              <w:rPr>
                <w:rFonts w:ascii="Cambria Math" w:hAnsi="Cambria Math"/>
              </w:rPr>
              <m:t>2</m:t>
            </m:r>
          </m:sup>
        </m:sSup>
      </m:oMath>
      <w:r w:rsidRPr="00EC1242">
        <w:rPr>
          <w:rFonts w:eastAsiaTheme="minorEastAsia"/>
        </w:rPr>
        <w:t xml:space="preserve"> </w:t>
      </w:r>
      <w:r w:rsidRPr="00EC1242">
        <w:t xml:space="preserve">is the </w:t>
      </w:r>
      <w:r w:rsidRPr="00EC1242">
        <w:rPr>
          <w:i/>
        </w:rPr>
        <w:t>total</w:t>
      </w:r>
      <w:r w:rsidRPr="00EC1242">
        <w:t xml:space="preserve"> variance of the outcome for the control group (within and between EOCs), </w:t>
      </w:r>
      <m:oMath>
        <m:r>
          <w:rPr>
            <w:rFonts w:ascii="Cambria Math" w:hAnsi="Cambria Math"/>
          </w:rPr>
          <m:t>n</m:t>
        </m:r>
      </m:oMath>
      <w:r w:rsidRPr="00EC1242">
        <w:t xml:space="preserve"> is the number of sample members per EOC, </w:t>
      </w:r>
      <m:oMath>
        <m:acc>
          <m:accPr>
            <m:chr m:val="̅"/>
            <m:ctrlPr>
              <w:rPr>
                <w:rFonts w:ascii="Cambria Math" w:hAnsi="Cambria Math"/>
                <w:i/>
                <w:iCs/>
              </w:rPr>
            </m:ctrlPr>
          </m:accPr>
          <m:e>
            <m:r>
              <w:rPr>
                <w:rFonts w:ascii="Cambria Math" w:hAnsi="Cambria Math"/>
              </w:rPr>
              <m:t>T</m:t>
            </m:r>
          </m:e>
        </m:acc>
      </m:oMath>
      <w:r w:rsidRPr="00EC1242">
        <w:t xml:space="preserve"> is the proportion of individuals randomly assigned to treatment, and </w:t>
      </w:r>
      <m:oMath>
        <m:sSub>
          <m:sSubPr>
            <m:ctrlPr>
              <w:rPr>
                <w:rFonts w:ascii="Cambria Math" w:hAnsi="Cambria Math"/>
                <w:i/>
                <w:iCs/>
              </w:rPr>
            </m:ctrlPr>
          </m:sSubPr>
          <m:e>
            <m:r>
              <w:rPr>
                <w:rFonts w:ascii="Cambria Math" w:hAnsi="Cambria Math"/>
              </w:rPr>
              <m:t>M</m:t>
            </m:r>
          </m:e>
          <m:sub>
            <m:r>
              <w:rPr>
                <w:rFonts w:ascii="Cambria Math" w:hAnsi="Cambria Math"/>
              </w:rPr>
              <m:t>J-1</m:t>
            </m:r>
          </m:sub>
        </m:sSub>
      </m:oMath>
      <w:r w:rsidRPr="00EC1242">
        <w:t xml:space="preserve"> is a multiplier that, for a two-tailed hypothesis test at the 0.05 significance level with 80 percent power, rapidly approaches 2.8 as </w:t>
      </w:r>
      <m:oMath>
        <m:r>
          <w:rPr>
            <w:rFonts w:ascii="Cambria Math" w:hAnsi="Cambria Math"/>
          </w:rPr>
          <m:t>J</m:t>
        </m:r>
      </m:oMath>
      <w:r w:rsidRPr="00EC1242">
        <w:t xml:space="preserve"> increases.</w:t>
      </w:r>
    </w:p>
    <w:p w14:paraId="1E5237D1" w14:textId="77777777" w:rsidR="00EC1242" w:rsidRPr="00EC1242" w:rsidRDefault="00EC1242" w:rsidP="00E85591">
      <w:pPr>
        <w:spacing w:line="276" w:lineRule="auto"/>
        <w:jc w:val="both"/>
        <w:rPr>
          <w:rFonts w:eastAsiaTheme="minorEastAsia"/>
        </w:rPr>
      </w:pPr>
    </w:p>
    <w:p w14:paraId="1E5237D2" w14:textId="77777777" w:rsidR="00EC1242" w:rsidRPr="00EC1242" w:rsidRDefault="00EC1242" w:rsidP="00E85591">
      <w:pPr>
        <w:spacing w:line="276" w:lineRule="auto"/>
        <w:jc w:val="both"/>
        <w:rPr>
          <w:rFonts w:eastAsiaTheme="minorEastAsia"/>
          <w:iCs/>
        </w:rPr>
      </w:pPr>
      <w:r w:rsidRPr="00EC1242">
        <w:rPr>
          <w:rFonts w:eastAsiaTheme="minorEastAsia"/>
        </w:rPr>
        <w:t xml:space="preserve">We present MDE in percentage points rather than standardized effect size units because the main outcomes of interest are easily interpretable in their natural units (e.g., enrollment rates). Several design parameters required for MDE calculation have limited empirical basis in higher education (e.g., </w:t>
      </w:r>
      <m:oMath>
        <m:sSup>
          <m:sSupPr>
            <m:ctrlPr>
              <w:rPr>
                <w:rFonts w:ascii="Cambria Math" w:hAnsi="Cambria Math"/>
                <w:i/>
                <w:iCs/>
              </w:rPr>
            </m:ctrlPr>
          </m:sSupPr>
          <m:e>
            <m:r>
              <w:rPr>
                <w:rFonts w:ascii="Cambria Math" w:hAnsi="Cambria Math"/>
              </w:rPr>
              <m:t>τ</m:t>
            </m:r>
          </m:e>
          <m:sup>
            <m:r>
              <w:rPr>
                <w:rFonts w:ascii="Cambria Math" w:hAnsi="Cambria Math"/>
              </w:rPr>
              <m:t>2</m:t>
            </m:r>
          </m:sup>
        </m:sSup>
      </m:oMath>
      <w:r w:rsidRPr="00EC1242">
        <w:rPr>
          <w:rFonts w:eastAsiaTheme="minorEastAsia"/>
          <w:iCs/>
        </w:rPr>
        <w:t xml:space="preserve">, </w:t>
      </w:r>
      <m:oMath>
        <m:r>
          <w:rPr>
            <w:rFonts w:ascii="Cambria Math" w:hAnsi="Cambria Math"/>
          </w:rPr>
          <m:t>ICC</m:t>
        </m:r>
      </m:oMath>
      <w:r w:rsidRPr="00EC1242">
        <w:rPr>
          <w:rFonts w:eastAsiaTheme="minorEastAsia"/>
        </w:rPr>
        <w:t xml:space="preserve">, and </w:t>
      </w:r>
      <m:oMath>
        <m:sSubSup>
          <m:sSubSupPr>
            <m:ctrlPr>
              <w:rPr>
                <w:rFonts w:ascii="Cambria Math" w:hAnsi="Cambria Math"/>
                <w:i/>
                <w:iCs/>
              </w:rPr>
            </m:ctrlPr>
          </m:sSubSupPr>
          <m:e>
            <m:r>
              <w:rPr>
                <w:rFonts w:ascii="Cambria Math" w:hAnsi="Cambria Math"/>
              </w:rPr>
              <m:t>r</m:t>
            </m:r>
          </m:e>
          <m:sub>
            <m:r>
              <w:rPr>
                <w:rFonts w:ascii="Cambria Math" w:hAnsi="Cambria Math"/>
              </w:rPr>
              <m:t>L1</m:t>
            </m:r>
          </m:sub>
          <m:sup>
            <m:r>
              <w:rPr>
                <w:rFonts w:ascii="Cambria Math" w:hAnsi="Cambria Math"/>
              </w:rPr>
              <m:t>2</m:t>
            </m:r>
          </m:sup>
        </m:sSubSup>
      </m:oMath>
      <w:r w:rsidRPr="00EC1242">
        <w:rPr>
          <w:rFonts w:eastAsiaTheme="minorEastAsia"/>
          <w:iCs/>
        </w:rPr>
        <w:t xml:space="preserve">); thus we make informed assumptions or, to be prudent, assumptions that upward bias the MDEs. </w:t>
      </w:r>
      <w:r w:rsidRPr="00EC1242">
        <w:rPr>
          <w:rFonts w:eastAsiaTheme="minorEastAsia"/>
        </w:rPr>
        <w:t xml:space="preserve">We set: </w:t>
      </w:r>
      <m:oMath>
        <m:sSup>
          <m:sSupPr>
            <m:ctrlPr>
              <w:rPr>
                <w:rFonts w:ascii="Cambria Math" w:hAnsi="Cambria Math"/>
                <w:i/>
                <w:iCs/>
              </w:rPr>
            </m:ctrlPr>
          </m:sSupPr>
          <m:e>
            <m:r>
              <w:rPr>
                <w:rFonts w:ascii="Cambria Math" w:hAnsi="Cambria Math"/>
              </w:rPr>
              <m:t>τ</m:t>
            </m:r>
          </m:e>
          <m:sup>
            <m:r>
              <w:rPr>
                <w:rFonts w:ascii="Cambria Math" w:hAnsi="Cambria Math"/>
              </w:rPr>
              <m:t>2</m:t>
            </m:r>
          </m:sup>
        </m:sSup>
      </m:oMath>
      <w:r w:rsidRPr="00EC1242">
        <w:rPr>
          <w:rFonts w:eastAsiaTheme="minorEastAsia"/>
          <w:iCs/>
        </w:rPr>
        <w:t>=.00625 based on recent empirical and theoretical work by Weiss et al. (2016);</w:t>
      </w:r>
      <w:r w:rsidRPr="00EC1242">
        <w:rPr>
          <w:rFonts w:eastAsiaTheme="minorEastAsia"/>
          <w:iCs/>
          <w:vertAlign w:val="superscript"/>
        </w:rPr>
        <w:footnoteReference w:id="3"/>
      </w:r>
      <w:r w:rsidRPr="00EC1242">
        <w:rPr>
          <w:rFonts w:eastAsiaTheme="minorEastAsia"/>
          <w:iCs/>
        </w:rPr>
        <w:t xml:space="preserve"> </w:t>
      </w:r>
      <m:oMath>
        <m:r>
          <w:rPr>
            <w:rFonts w:ascii="Cambria Math" w:hAnsi="Cambria Math"/>
          </w:rPr>
          <m:t>ICC</m:t>
        </m:r>
      </m:oMath>
      <w:r w:rsidRPr="00EC1242">
        <w:rPr>
          <w:rFonts w:eastAsiaTheme="minorEastAsia"/>
        </w:rPr>
        <w:t>=0.05 based on related estimates for behavioral outcomes in K-12 (Jacob et al 2009, Bloom et al, 2008);</w:t>
      </w:r>
      <w:r w:rsidRPr="00EC1242">
        <w:rPr>
          <w:rFonts w:eastAsiaTheme="minorEastAsia"/>
          <w:vertAlign w:val="superscript"/>
        </w:rPr>
        <w:footnoteReference w:id="4"/>
      </w:r>
      <w:r w:rsidRPr="00EC1242">
        <w:rPr>
          <w:rFonts w:eastAsiaTheme="minorEastAsia"/>
        </w:rPr>
        <w:t xml:space="preserve">  </w:t>
      </w:r>
      <m:oMath>
        <m:sSubSup>
          <m:sSubSupPr>
            <m:ctrlPr>
              <w:rPr>
                <w:rFonts w:ascii="Cambria Math" w:hAnsi="Cambria Math"/>
                <w:i/>
                <w:iCs/>
              </w:rPr>
            </m:ctrlPr>
          </m:sSubSupPr>
          <m:e>
            <m:r>
              <w:rPr>
                <w:rFonts w:ascii="Cambria Math" w:hAnsi="Cambria Math"/>
              </w:rPr>
              <m:t>r</m:t>
            </m:r>
          </m:e>
          <m:sub>
            <m:r>
              <w:rPr>
                <w:rFonts w:ascii="Cambria Math" w:hAnsi="Cambria Math"/>
              </w:rPr>
              <m:t>L1</m:t>
            </m:r>
          </m:sub>
          <m:sup>
            <m:r>
              <w:rPr>
                <w:rFonts w:ascii="Cambria Math" w:hAnsi="Cambria Math"/>
              </w:rPr>
              <m:t>2</m:t>
            </m:r>
          </m:sup>
        </m:sSubSup>
      </m:oMath>
      <w:r w:rsidRPr="00EC1242">
        <w:rPr>
          <w:rFonts w:eastAsiaTheme="minorEastAsia"/>
          <w:iCs/>
        </w:rPr>
        <w:t xml:space="preserve">=0 and </w:t>
      </w:r>
      <m:oMath>
        <m:sSup>
          <m:sSupPr>
            <m:ctrlPr>
              <w:rPr>
                <w:rFonts w:ascii="Cambria Math" w:hAnsi="Cambria Math"/>
                <w:i/>
              </w:rPr>
            </m:ctrlPr>
          </m:sSupPr>
          <m:e>
            <m:r>
              <w:rPr>
                <w:rFonts w:ascii="Cambria Math" w:hAnsi="Cambria Math"/>
              </w:rPr>
              <m:t>σ</m:t>
            </m:r>
          </m:e>
          <m:sup>
            <m:r>
              <w:rPr>
                <w:rFonts w:ascii="Cambria Math" w:hAnsi="Cambria Math"/>
              </w:rPr>
              <m:t>2</m:t>
            </m:r>
          </m:sup>
        </m:sSup>
      </m:oMath>
      <w:r w:rsidRPr="00EC1242">
        <w:rPr>
          <w:rFonts w:eastAsiaTheme="minorEastAsia"/>
        </w:rPr>
        <w:t>=0.25, both</w:t>
      </w:r>
      <w:r w:rsidRPr="00EC1242">
        <w:rPr>
          <w:rFonts w:eastAsiaTheme="minorEastAsia"/>
          <w:iCs/>
        </w:rPr>
        <w:t xml:space="preserve"> reflecting a worst case scenario for statistical precision;</w:t>
      </w:r>
      <w:r w:rsidRPr="00EC1242">
        <w:rPr>
          <w:rFonts w:eastAsiaTheme="minorEastAsia"/>
          <w:iCs/>
          <w:vertAlign w:val="superscript"/>
        </w:rPr>
        <w:footnoteReference w:id="5"/>
      </w:r>
      <w:r w:rsidRPr="00EC1242">
        <w:rPr>
          <w:rFonts w:eastAsiaTheme="minorEastAsia"/>
        </w:rPr>
        <w:t xml:space="preserve"> finally, we assume </w:t>
      </w:r>
      <m:oMath>
        <m:acc>
          <m:accPr>
            <m:chr m:val="̅"/>
            <m:ctrlPr>
              <w:rPr>
                <w:rFonts w:ascii="Cambria Math" w:hAnsi="Cambria Math"/>
                <w:i/>
                <w:iCs/>
              </w:rPr>
            </m:ctrlPr>
          </m:accPr>
          <m:e>
            <m:r>
              <w:rPr>
                <w:rFonts w:ascii="Cambria Math" w:hAnsi="Cambria Math"/>
              </w:rPr>
              <m:t>T</m:t>
            </m:r>
          </m:e>
        </m:acc>
      </m:oMath>
      <w:r w:rsidRPr="00EC1242">
        <w:rPr>
          <w:rFonts w:eastAsiaTheme="minorEastAsia"/>
          <w:iCs/>
        </w:rPr>
        <w:t>=.50.</w:t>
      </w:r>
      <w:r w:rsidRPr="00EC1242">
        <w:rPr>
          <w:rFonts w:eastAsiaTheme="minorEastAsia"/>
          <w:iCs/>
          <w:vertAlign w:val="superscript"/>
        </w:rPr>
        <w:footnoteReference w:id="6"/>
      </w:r>
    </w:p>
    <w:p w14:paraId="1E5237D3" w14:textId="77777777" w:rsidR="00EC1242" w:rsidRPr="00EC1242" w:rsidRDefault="00EC1242" w:rsidP="00E85591">
      <w:pPr>
        <w:spacing w:line="276" w:lineRule="auto"/>
        <w:jc w:val="both"/>
        <w:rPr>
          <w:rFonts w:eastAsiaTheme="minorEastAsia"/>
          <w:iCs/>
        </w:rPr>
      </w:pPr>
    </w:p>
    <w:p w14:paraId="1E5237D4" w14:textId="312BF443" w:rsidR="00EC1242" w:rsidRPr="00EC1242" w:rsidRDefault="00EC1242" w:rsidP="00E85591">
      <w:pPr>
        <w:spacing w:line="276" w:lineRule="auto"/>
        <w:jc w:val="both"/>
        <w:rPr>
          <w:rFonts w:eastAsiaTheme="minorEastAsia"/>
          <w:iCs/>
        </w:rPr>
      </w:pPr>
      <w:r w:rsidRPr="00EC1242">
        <w:rPr>
          <w:rFonts w:eastAsiaTheme="minorEastAsia"/>
          <w:iCs/>
        </w:rPr>
        <w:t xml:space="preserve">The design includes approximately 300 clients per EOC and 20 EOCs. Currently, all EOCs </w:t>
      </w:r>
      <w:r w:rsidR="005F7EA3">
        <w:rPr>
          <w:rFonts w:eastAsiaTheme="minorEastAsia"/>
          <w:iCs/>
        </w:rPr>
        <w:t>report</w:t>
      </w:r>
      <w:r w:rsidR="005F7EA3" w:rsidRPr="00EC1242">
        <w:rPr>
          <w:rFonts w:eastAsiaTheme="minorEastAsia"/>
          <w:iCs/>
        </w:rPr>
        <w:t xml:space="preserve"> </w:t>
      </w:r>
      <w:r w:rsidR="008D63C5">
        <w:rPr>
          <w:rFonts w:eastAsiaTheme="minorEastAsia"/>
          <w:iCs/>
        </w:rPr>
        <w:t>1,000</w:t>
      </w:r>
      <w:r w:rsidR="008D63C5" w:rsidRPr="00EC1242">
        <w:rPr>
          <w:rFonts w:eastAsiaTheme="minorEastAsia"/>
          <w:iCs/>
        </w:rPr>
        <w:t xml:space="preserve"> </w:t>
      </w:r>
      <w:r w:rsidRPr="00EC1242">
        <w:rPr>
          <w:rFonts w:eastAsiaTheme="minorEastAsia"/>
          <w:iCs/>
        </w:rPr>
        <w:t>clients minimum</w:t>
      </w:r>
      <w:r w:rsidR="00230790">
        <w:rPr>
          <w:rFonts w:eastAsiaTheme="minorEastAsia"/>
          <w:iCs/>
        </w:rPr>
        <w:t xml:space="preserve"> per year</w:t>
      </w:r>
      <w:r w:rsidRPr="00EC1242">
        <w:rPr>
          <w:rFonts w:eastAsiaTheme="minorEastAsia"/>
          <w:iCs/>
        </w:rPr>
        <w:t xml:space="preserve">, and many </w:t>
      </w:r>
      <w:r w:rsidR="005F7EA3">
        <w:rPr>
          <w:rFonts w:eastAsiaTheme="minorEastAsia"/>
          <w:iCs/>
        </w:rPr>
        <w:t>report</w:t>
      </w:r>
      <w:r w:rsidR="005F7EA3" w:rsidRPr="00EC1242">
        <w:rPr>
          <w:rFonts w:eastAsiaTheme="minorEastAsia"/>
          <w:iCs/>
        </w:rPr>
        <w:t xml:space="preserve"> </w:t>
      </w:r>
      <w:r w:rsidRPr="00EC1242">
        <w:rPr>
          <w:rFonts w:eastAsiaTheme="minorEastAsia"/>
          <w:iCs/>
        </w:rPr>
        <w:t>far more</w:t>
      </w:r>
      <w:r w:rsidR="00634619">
        <w:rPr>
          <w:rFonts w:eastAsiaTheme="minorEastAsia"/>
          <w:iCs/>
        </w:rPr>
        <w:t>,</w:t>
      </w:r>
      <w:r w:rsidR="00C616DE" w:rsidRPr="00EC1242" w:rsidDel="00C616DE">
        <w:rPr>
          <w:rFonts w:eastAsiaTheme="minorEastAsia"/>
          <w:iCs/>
        </w:rPr>
        <w:t xml:space="preserve"> </w:t>
      </w:r>
      <w:r w:rsidRPr="00EC1242">
        <w:rPr>
          <w:rFonts w:eastAsiaTheme="minorEastAsia"/>
          <w:iCs/>
        </w:rPr>
        <w:t xml:space="preserve">so a goal of averaging 300 clients for 20 EOCs over the course of the study period is reasonable. These assumptions yield an MDE of 4.1 percentage points with 20 EOCs. In other words: </w:t>
      </w:r>
      <w:r w:rsidRPr="00EC1242">
        <w:rPr>
          <w:rFonts w:eastAsiaTheme="minorEastAsia"/>
          <w:b/>
          <w:iCs/>
        </w:rPr>
        <w:t xml:space="preserve">if the average EOC’s </w:t>
      </w:r>
      <w:r w:rsidRPr="00EC1242">
        <w:rPr>
          <w:rFonts w:eastAsiaTheme="minorEastAsia"/>
          <w:b/>
          <w:i/>
          <w:iCs/>
        </w:rPr>
        <w:t>true</w:t>
      </w:r>
      <w:r w:rsidRPr="00EC1242">
        <w:rPr>
          <w:rFonts w:eastAsiaTheme="minorEastAsia"/>
          <w:b/>
          <w:iCs/>
        </w:rPr>
        <w:t xml:space="preserve"> treatment effect is 4.1 percentage points, then there is an 80 percent chance of finding </w:t>
      </w:r>
      <w:r w:rsidRPr="00EC1242">
        <w:rPr>
          <w:rFonts w:eastAsiaTheme="minorEastAsia"/>
          <w:b/>
          <w:iCs/>
        </w:rPr>
        <w:lastRenderedPageBreak/>
        <w:t>positive and statistically significant effects at the 5 percent level.</w:t>
      </w:r>
      <w:r w:rsidR="00EB0A7E">
        <w:rPr>
          <w:rStyle w:val="FootnoteReference"/>
          <w:rFonts w:eastAsiaTheme="minorEastAsia"/>
          <w:b/>
          <w:iCs/>
        </w:rPr>
        <w:footnoteReference w:id="7"/>
      </w:r>
      <w:r w:rsidRPr="00EC1242">
        <w:rPr>
          <w:rFonts w:eastAsiaTheme="minorEastAsia"/>
          <w:iCs/>
        </w:rPr>
        <w:t xml:space="preserve"> This increases to 4.3 percentage points if only 15 EOCs join the evaluation, with an average of 400 clients in the study per EOC. Given empirical results from past messaging campaign interventions (Castleman &amp; Page, 2015, 2016</w:t>
      </w:r>
      <w:r w:rsidR="007E27F5">
        <w:rPr>
          <w:rFonts w:eastAsiaTheme="minorEastAsia"/>
          <w:iCs/>
        </w:rPr>
        <w:t>a, 2016b</w:t>
      </w:r>
      <w:r w:rsidRPr="00EC1242">
        <w:rPr>
          <w:rFonts w:eastAsiaTheme="minorEastAsia"/>
          <w:iCs/>
        </w:rPr>
        <w:t>), this design and sample size are well positioned to detect meaningful effects.</w:t>
      </w:r>
    </w:p>
    <w:p w14:paraId="1E5237D5" w14:textId="77777777" w:rsidR="00EB0A7E" w:rsidRDefault="00EB0A7E" w:rsidP="00E85591">
      <w:pPr>
        <w:tabs>
          <w:tab w:val="left" w:pos="-720"/>
          <w:tab w:val="left" w:pos="1247"/>
        </w:tabs>
        <w:suppressAutoHyphens/>
        <w:spacing w:line="276" w:lineRule="auto"/>
        <w:rPr>
          <w:b/>
        </w:rPr>
      </w:pPr>
    </w:p>
    <w:p w14:paraId="1E5237D6" w14:textId="77777777" w:rsidR="00EC1242" w:rsidRPr="00C53164" w:rsidRDefault="00EC1242" w:rsidP="00C53164">
      <w:pPr>
        <w:tabs>
          <w:tab w:val="left" w:pos="-720"/>
          <w:tab w:val="left" w:pos="1247"/>
        </w:tabs>
        <w:suppressAutoHyphens/>
        <w:spacing w:line="276" w:lineRule="auto"/>
        <w:rPr>
          <w:b/>
        </w:rPr>
      </w:pPr>
      <w:r w:rsidRPr="00C53164">
        <w:rPr>
          <w:b/>
        </w:rPr>
        <w:t>Unusual problems requiring spec</w:t>
      </w:r>
      <w:r w:rsidR="001C3DBD" w:rsidRPr="00C53164">
        <w:rPr>
          <w:b/>
        </w:rPr>
        <w:t>ialized sampling procedures</w:t>
      </w:r>
    </w:p>
    <w:p w14:paraId="1E5237D7" w14:textId="77777777" w:rsidR="00C96C54" w:rsidRDefault="00C96C54" w:rsidP="00E85591">
      <w:pPr>
        <w:tabs>
          <w:tab w:val="left" w:pos="-720"/>
          <w:tab w:val="left" w:pos="1247"/>
        </w:tabs>
        <w:suppressAutoHyphens/>
        <w:spacing w:line="276" w:lineRule="auto"/>
      </w:pPr>
    </w:p>
    <w:p w14:paraId="1E5237D8" w14:textId="77777777" w:rsidR="00EC1242" w:rsidRPr="00EC1242" w:rsidRDefault="00C17156" w:rsidP="00E85591">
      <w:pPr>
        <w:tabs>
          <w:tab w:val="left" w:pos="-720"/>
          <w:tab w:val="left" w:pos="1247"/>
        </w:tabs>
        <w:suppressAutoHyphens/>
        <w:spacing w:line="276" w:lineRule="auto"/>
      </w:pPr>
      <w:r>
        <w:t>Not applicable.</w:t>
      </w:r>
    </w:p>
    <w:p w14:paraId="1E5237D9" w14:textId="77777777" w:rsidR="00EC1242" w:rsidRPr="00EC1242" w:rsidRDefault="00EC1242" w:rsidP="00E85591">
      <w:pPr>
        <w:numPr>
          <w:ilvl w:val="12"/>
          <w:numId w:val="0"/>
        </w:numPr>
        <w:tabs>
          <w:tab w:val="left" w:pos="-720"/>
        </w:tabs>
        <w:suppressAutoHyphens/>
        <w:spacing w:line="276" w:lineRule="auto"/>
      </w:pPr>
    </w:p>
    <w:p w14:paraId="1E5237DA" w14:textId="77777777" w:rsidR="00EC1242" w:rsidRPr="00C53164" w:rsidRDefault="00EC1242" w:rsidP="00C53164">
      <w:pPr>
        <w:tabs>
          <w:tab w:val="left" w:pos="-720"/>
          <w:tab w:val="left" w:pos="1247"/>
        </w:tabs>
        <w:suppressAutoHyphens/>
        <w:spacing w:line="276" w:lineRule="auto"/>
        <w:rPr>
          <w:b/>
        </w:rPr>
      </w:pPr>
      <w:r w:rsidRPr="00C53164">
        <w:rPr>
          <w:b/>
        </w:rPr>
        <w:t>Any use of periodic (less frequent than annual) data collection cycles to reduce burden</w:t>
      </w:r>
    </w:p>
    <w:p w14:paraId="1E5237DB" w14:textId="77777777" w:rsidR="00C96C54" w:rsidRDefault="00C96C54" w:rsidP="006E17F1">
      <w:pPr>
        <w:tabs>
          <w:tab w:val="left" w:pos="-720"/>
        </w:tabs>
        <w:suppressAutoHyphens/>
        <w:spacing w:line="276" w:lineRule="auto"/>
        <w:jc w:val="both"/>
      </w:pPr>
    </w:p>
    <w:p w14:paraId="1E5237DC" w14:textId="15961C60" w:rsidR="00925F11" w:rsidRDefault="00A478AB" w:rsidP="006E17F1">
      <w:pPr>
        <w:tabs>
          <w:tab w:val="left" w:pos="-720"/>
        </w:tabs>
        <w:suppressAutoHyphens/>
        <w:spacing w:line="276" w:lineRule="auto"/>
        <w:jc w:val="both"/>
      </w:pPr>
      <w:r>
        <w:t xml:space="preserve">Most of the data for the study will be obtained from administrative records.  </w:t>
      </w:r>
      <w:r w:rsidR="00A30860">
        <w:t>Table</w:t>
      </w:r>
      <w:r w:rsidR="00EC1242" w:rsidRPr="00EC1242">
        <w:t xml:space="preserve"> </w:t>
      </w:r>
      <w:r w:rsidR="00A30860">
        <w:t>B.2</w:t>
      </w:r>
      <w:r w:rsidR="00EC1242" w:rsidRPr="00EC1242">
        <w:t xml:space="preserve"> shows the data sources that will be collected, the frequency of the collection, and analysis purpose of each source.</w:t>
      </w:r>
      <w:r w:rsidR="00925F11" w:rsidRPr="00925F11">
        <w:t xml:space="preserve"> </w:t>
      </w:r>
    </w:p>
    <w:p w14:paraId="1E5237DD" w14:textId="77777777" w:rsidR="00E85591" w:rsidRPr="00EC1242" w:rsidRDefault="00E85591" w:rsidP="00E85591">
      <w:pPr>
        <w:spacing w:line="276" w:lineRule="auto"/>
      </w:pPr>
    </w:p>
    <w:p w14:paraId="1E5237DE" w14:textId="77777777" w:rsidR="00EC1242" w:rsidRPr="00EC1242" w:rsidRDefault="00355C9B" w:rsidP="00E85591">
      <w:pPr>
        <w:spacing w:line="276" w:lineRule="auto"/>
      </w:pPr>
      <w:r>
        <w:rPr>
          <w:b/>
        </w:rPr>
        <w:t>Table B.</w:t>
      </w:r>
      <w:r w:rsidR="00A30860">
        <w:rPr>
          <w:b/>
        </w:rPr>
        <w:t>2</w:t>
      </w:r>
      <w:r w:rsidR="00EC1242" w:rsidRPr="00EC1242">
        <w:rPr>
          <w:b/>
        </w:rPr>
        <w:t>: Data Sources, Frequency of Data Collection, and Analysis Purpose</w:t>
      </w:r>
    </w:p>
    <w:tbl>
      <w:tblPr>
        <w:tblStyle w:val="TableGrid1"/>
        <w:tblW w:w="9576" w:type="dxa"/>
        <w:tblLook w:val="0480" w:firstRow="0" w:lastRow="0" w:firstColumn="1" w:lastColumn="0" w:noHBand="0" w:noVBand="1"/>
      </w:tblPr>
      <w:tblGrid>
        <w:gridCol w:w="2898"/>
        <w:gridCol w:w="2610"/>
        <w:gridCol w:w="4068"/>
      </w:tblGrid>
      <w:tr w:rsidR="00EC1242" w:rsidRPr="00EC1242" w14:paraId="1E5237E2" w14:textId="77777777" w:rsidTr="006E1C3E">
        <w:trPr>
          <w:tblHeader/>
        </w:trPr>
        <w:tc>
          <w:tcPr>
            <w:tcW w:w="2898" w:type="dxa"/>
            <w:vAlign w:val="bottom"/>
          </w:tcPr>
          <w:p w14:paraId="1E5237DF" w14:textId="77777777" w:rsidR="00EC1242" w:rsidRPr="00EC1242" w:rsidRDefault="00EC1242" w:rsidP="00E85591">
            <w:pPr>
              <w:spacing w:line="276" w:lineRule="auto"/>
              <w:jc w:val="center"/>
              <w:rPr>
                <w:b/>
              </w:rPr>
            </w:pPr>
            <w:r w:rsidRPr="00EC1242">
              <w:rPr>
                <w:b/>
              </w:rPr>
              <w:t>Data Source</w:t>
            </w:r>
          </w:p>
        </w:tc>
        <w:tc>
          <w:tcPr>
            <w:tcW w:w="2610" w:type="dxa"/>
            <w:vAlign w:val="bottom"/>
          </w:tcPr>
          <w:p w14:paraId="1E5237E0" w14:textId="77777777" w:rsidR="00EC1242" w:rsidRPr="00EC1242" w:rsidRDefault="00EC1242" w:rsidP="00E85591">
            <w:pPr>
              <w:spacing w:line="276" w:lineRule="auto"/>
              <w:jc w:val="center"/>
              <w:rPr>
                <w:b/>
              </w:rPr>
            </w:pPr>
            <w:r w:rsidRPr="00EC1242">
              <w:rPr>
                <w:b/>
              </w:rPr>
              <w:t>Frequency</w:t>
            </w:r>
          </w:p>
        </w:tc>
        <w:tc>
          <w:tcPr>
            <w:tcW w:w="4068" w:type="dxa"/>
            <w:vAlign w:val="bottom"/>
          </w:tcPr>
          <w:p w14:paraId="1E5237E1" w14:textId="77777777" w:rsidR="00EC1242" w:rsidRPr="00EC1242" w:rsidRDefault="00EC1242" w:rsidP="00E85591">
            <w:pPr>
              <w:spacing w:line="276" w:lineRule="auto"/>
              <w:jc w:val="center"/>
              <w:rPr>
                <w:b/>
              </w:rPr>
            </w:pPr>
            <w:r w:rsidRPr="00EC1242">
              <w:rPr>
                <w:b/>
              </w:rPr>
              <w:t>Analysis Purpose</w:t>
            </w:r>
          </w:p>
        </w:tc>
      </w:tr>
      <w:tr w:rsidR="00FA3313" w:rsidRPr="00EC1242" w14:paraId="2EE8E2A2" w14:textId="77777777" w:rsidTr="005E5C0E">
        <w:tc>
          <w:tcPr>
            <w:tcW w:w="2898" w:type="dxa"/>
            <w:vAlign w:val="center"/>
          </w:tcPr>
          <w:p w14:paraId="277475FC" w14:textId="752E927C" w:rsidR="00FA3313" w:rsidRDefault="00FA3313" w:rsidP="0078705F">
            <w:pPr>
              <w:spacing w:line="276" w:lineRule="auto"/>
              <w:jc w:val="center"/>
            </w:pPr>
            <w:r>
              <w:t>Interviews with EOC staff</w:t>
            </w:r>
          </w:p>
        </w:tc>
        <w:tc>
          <w:tcPr>
            <w:tcW w:w="2610" w:type="dxa"/>
            <w:vAlign w:val="center"/>
          </w:tcPr>
          <w:p w14:paraId="39DEFA0C" w14:textId="16B69549" w:rsidR="00FA3313" w:rsidRPr="00EC1242" w:rsidRDefault="00FA3313" w:rsidP="00AE2A85">
            <w:pPr>
              <w:spacing w:line="276" w:lineRule="auto"/>
              <w:jc w:val="center"/>
            </w:pPr>
            <w:r>
              <w:t>Once prior to implementation of the intervention (Summer/Fall 2017)</w:t>
            </w:r>
          </w:p>
        </w:tc>
        <w:tc>
          <w:tcPr>
            <w:tcW w:w="4068" w:type="dxa"/>
            <w:vAlign w:val="center"/>
          </w:tcPr>
          <w:p w14:paraId="7589DD1F" w14:textId="77777777" w:rsidR="00FA3313" w:rsidRDefault="00FA3313" w:rsidP="00E43882">
            <w:pPr>
              <w:numPr>
                <w:ilvl w:val="0"/>
                <w:numId w:val="21"/>
              </w:numPr>
              <w:spacing w:line="276" w:lineRule="auto"/>
              <w:ind w:left="342" w:hanging="270"/>
              <w:contextualSpacing/>
            </w:pPr>
            <w:r>
              <w:t>Describe business as usual practices</w:t>
            </w:r>
          </w:p>
          <w:p w14:paraId="44F4D2AA" w14:textId="77777777" w:rsidR="00FA3313" w:rsidRDefault="00FA3313" w:rsidP="00E43882">
            <w:pPr>
              <w:numPr>
                <w:ilvl w:val="0"/>
                <w:numId w:val="21"/>
              </w:numPr>
              <w:spacing w:line="276" w:lineRule="auto"/>
              <w:ind w:left="342" w:hanging="270"/>
              <w:contextualSpacing/>
            </w:pPr>
            <w:r>
              <w:t>Inform the customization of the intervention</w:t>
            </w:r>
          </w:p>
          <w:p w14:paraId="3A2B6C5C" w14:textId="77777777" w:rsidR="00FA3313" w:rsidRPr="00EC1242" w:rsidRDefault="00FA3313" w:rsidP="0078311A">
            <w:pPr>
              <w:spacing w:line="276" w:lineRule="auto"/>
              <w:ind w:left="342"/>
              <w:contextualSpacing/>
            </w:pPr>
          </w:p>
        </w:tc>
      </w:tr>
      <w:tr w:rsidR="00FA3313" w:rsidRPr="00EC1242" w14:paraId="1E5237E8" w14:textId="77777777" w:rsidTr="005E5C0E">
        <w:tc>
          <w:tcPr>
            <w:tcW w:w="2898" w:type="dxa"/>
            <w:vAlign w:val="center"/>
          </w:tcPr>
          <w:p w14:paraId="1E5237E3" w14:textId="44328B73" w:rsidR="00FA3313" w:rsidRPr="00EC1242" w:rsidRDefault="00FA3313" w:rsidP="0078705F">
            <w:pPr>
              <w:spacing w:line="276" w:lineRule="auto"/>
              <w:jc w:val="center"/>
            </w:pPr>
            <w:r>
              <w:t>EOC Client Baseline Information Form</w:t>
            </w:r>
          </w:p>
        </w:tc>
        <w:tc>
          <w:tcPr>
            <w:tcW w:w="2610" w:type="dxa"/>
            <w:vAlign w:val="center"/>
          </w:tcPr>
          <w:p w14:paraId="1E5237E4" w14:textId="38962001" w:rsidR="00FA3313" w:rsidRPr="00EC1242" w:rsidRDefault="00FA3313" w:rsidP="00AE2A85">
            <w:pPr>
              <w:spacing w:line="276" w:lineRule="auto"/>
              <w:jc w:val="center"/>
            </w:pPr>
            <w:r w:rsidRPr="00EC1242">
              <w:t xml:space="preserve">Rolling </w:t>
            </w:r>
            <w:r>
              <w:t>or in batches during the study’s implementation period  (February 2018 through April 2020)</w:t>
            </w:r>
          </w:p>
        </w:tc>
        <w:tc>
          <w:tcPr>
            <w:tcW w:w="4068" w:type="dxa"/>
            <w:vAlign w:val="center"/>
          </w:tcPr>
          <w:p w14:paraId="5D691698" w14:textId="2394BEC1" w:rsidR="00B9272E" w:rsidRDefault="00B9272E" w:rsidP="00E85591">
            <w:pPr>
              <w:numPr>
                <w:ilvl w:val="0"/>
                <w:numId w:val="21"/>
              </w:numPr>
              <w:spacing w:line="276" w:lineRule="auto"/>
              <w:ind w:left="342" w:hanging="270"/>
              <w:contextualSpacing/>
            </w:pPr>
            <w:r w:rsidRPr="00EC1242">
              <w:t xml:space="preserve">Collect </w:t>
            </w:r>
            <w:r>
              <w:t>information needed to conduct random assignment</w:t>
            </w:r>
          </w:p>
          <w:p w14:paraId="1E5237E6" w14:textId="5813D0E9" w:rsidR="00FA3313" w:rsidRPr="00EC1242" w:rsidRDefault="00FA3313" w:rsidP="00E85591">
            <w:pPr>
              <w:numPr>
                <w:ilvl w:val="0"/>
                <w:numId w:val="21"/>
              </w:numPr>
              <w:spacing w:line="276" w:lineRule="auto"/>
              <w:ind w:left="342" w:hanging="270"/>
              <w:contextualSpacing/>
            </w:pPr>
            <w:r w:rsidRPr="00EC1242">
              <w:t xml:space="preserve">Obtain clients’ information in order to customize </w:t>
            </w:r>
            <w:r>
              <w:t xml:space="preserve">and send </w:t>
            </w:r>
            <w:r w:rsidRPr="00EC1242">
              <w:t>messages</w:t>
            </w:r>
          </w:p>
          <w:p w14:paraId="1E5237E7" w14:textId="01AC0B4C" w:rsidR="00FA3313" w:rsidRPr="00EC1242" w:rsidRDefault="00FA3313" w:rsidP="008B444D">
            <w:pPr>
              <w:spacing w:line="276" w:lineRule="auto"/>
              <w:ind w:left="72"/>
              <w:contextualSpacing/>
            </w:pPr>
          </w:p>
        </w:tc>
      </w:tr>
      <w:tr w:rsidR="00FA3313" w:rsidRPr="00EC1242" w14:paraId="0351FA17" w14:textId="77777777" w:rsidTr="005E5C0E">
        <w:tc>
          <w:tcPr>
            <w:tcW w:w="2898" w:type="dxa"/>
            <w:vAlign w:val="center"/>
          </w:tcPr>
          <w:p w14:paraId="181D3358" w14:textId="3BEF2DDF" w:rsidR="00FA3313" w:rsidRPr="00EC1242" w:rsidRDefault="00FA3313" w:rsidP="00E85591">
            <w:pPr>
              <w:spacing w:line="276" w:lineRule="auto"/>
              <w:jc w:val="center"/>
            </w:pPr>
            <w:r>
              <w:t>EOC Program Intake Form</w:t>
            </w:r>
          </w:p>
        </w:tc>
        <w:tc>
          <w:tcPr>
            <w:tcW w:w="2610" w:type="dxa"/>
            <w:vAlign w:val="center"/>
          </w:tcPr>
          <w:p w14:paraId="33476C05" w14:textId="0F84C0F5" w:rsidR="00FA3313" w:rsidRPr="00EC1242" w:rsidRDefault="00FA3313" w:rsidP="00E85591">
            <w:pPr>
              <w:spacing w:line="276" w:lineRule="auto"/>
              <w:jc w:val="center"/>
            </w:pPr>
            <w:r w:rsidRPr="00EC1242">
              <w:t xml:space="preserve">Rolling </w:t>
            </w:r>
            <w:r>
              <w:t>or in batches during the study’s implementation period  (February 2018 through April 2020)</w:t>
            </w:r>
          </w:p>
        </w:tc>
        <w:tc>
          <w:tcPr>
            <w:tcW w:w="4068" w:type="dxa"/>
            <w:vAlign w:val="center"/>
          </w:tcPr>
          <w:p w14:paraId="463A011F" w14:textId="77777777" w:rsidR="00FA3313" w:rsidRDefault="0078311A" w:rsidP="008B444D">
            <w:pPr>
              <w:pStyle w:val="ListParagraph"/>
              <w:numPr>
                <w:ilvl w:val="0"/>
                <w:numId w:val="45"/>
              </w:numPr>
              <w:spacing w:line="276" w:lineRule="auto"/>
              <w:ind w:left="342" w:hanging="270"/>
            </w:pPr>
            <w:r>
              <w:t>Collect information needed to obtain outcome data from FSA and NSC</w:t>
            </w:r>
          </w:p>
          <w:p w14:paraId="7C24BA55" w14:textId="2C7D7A67" w:rsidR="0078311A" w:rsidRDefault="0078311A" w:rsidP="008B444D">
            <w:pPr>
              <w:pStyle w:val="ListParagraph"/>
              <w:numPr>
                <w:ilvl w:val="0"/>
                <w:numId w:val="45"/>
              </w:numPr>
              <w:spacing w:line="276" w:lineRule="auto"/>
              <w:ind w:left="342" w:hanging="270"/>
            </w:pPr>
            <w:r>
              <w:t xml:space="preserve">Collect information needed to describe the study sample and conduct </w:t>
            </w:r>
            <w:r w:rsidR="00B9272E">
              <w:t xml:space="preserve">subgroup </w:t>
            </w:r>
            <w:r>
              <w:t>analysis</w:t>
            </w:r>
          </w:p>
          <w:p w14:paraId="5607C65E" w14:textId="280D4D96" w:rsidR="0078311A" w:rsidRPr="00EC1242" w:rsidRDefault="0078311A" w:rsidP="008B444D">
            <w:pPr>
              <w:pStyle w:val="ListParagraph"/>
              <w:numPr>
                <w:ilvl w:val="0"/>
                <w:numId w:val="45"/>
              </w:numPr>
              <w:spacing w:line="276" w:lineRule="auto"/>
              <w:ind w:left="342" w:hanging="270"/>
            </w:pPr>
            <w:r>
              <w:t>Collect alternate contact information to follow-up with clients if cell phone numbers become inactive</w:t>
            </w:r>
          </w:p>
        </w:tc>
      </w:tr>
      <w:tr w:rsidR="00FA3313" w:rsidRPr="00EC1242" w14:paraId="44B07BA1" w14:textId="77777777" w:rsidTr="005E5C0E">
        <w:tc>
          <w:tcPr>
            <w:tcW w:w="2898" w:type="dxa"/>
            <w:vAlign w:val="center"/>
          </w:tcPr>
          <w:p w14:paraId="11A3839C" w14:textId="3A49DE20" w:rsidR="00FA3313" w:rsidRPr="00EC1242" w:rsidRDefault="00FA3313" w:rsidP="00FA3313">
            <w:pPr>
              <w:spacing w:line="276" w:lineRule="auto"/>
              <w:jc w:val="center"/>
            </w:pPr>
            <w:r>
              <w:lastRenderedPageBreak/>
              <w:t>Biweekly client updates reported by EOC staff via the Text Ed technology platform</w:t>
            </w:r>
          </w:p>
        </w:tc>
        <w:tc>
          <w:tcPr>
            <w:tcW w:w="2610" w:type="dxa"/>
            <w:vAlign w:val="center"/>
          </w:tcPr>
          <w:p w14:paraId="48FCC3E0" w14:textId="6EB6D53F" w:rsidR="00FA3313" w:rsidRPr="00EC1242" w:rsidRDefault="00FA3313" w:rsidP="00AE2A85">
            <w:pPr>
              <w:spacing w:line="276" w:lineRule="auto"/>
              <w:jc w:val="center"/>
            </w:pPr>
            <w:r>
              <w:t>Biweekly during the study’s implementation period (February 2018 through Summer 2020)</w:t>
            </w:r>
          </w:p>
        </w:tc>
        <w:tc>
          <w:tcPr>
            <w:tcW w:w="4068" w:type="dxa"/>
            <w:vAlign w:val="center"/>
          </w:tcPr>
          <w:p w14:paraId="11DC6927" w14:textId="77777777" w:rsidR="00FA3313" w:rsidRDefault="00FA3313" w:rsidP="00A95CB2">
            <w:pPr>
              <w:numPr>
                <w:ilvl w:val="0"/>
                <w:numId w:val="21"/>
              </w:numPr>
              <w:spacing w:line="276" w:lineRule="auto"/>
              <w:ind w:left="342" w:hanging="270"/>
              <w:contextualSpacing/>
            </w:pPr>
            <w:r>
              <w:t>Update</w:t>
            </w:r>
            <w:r w:rsidRPr="00EC1242">
              <w:t xml:space="preserve"> clients’ </w:t>
            </w:r>
            <w:r>
              <w:t>cell phone number to ensure text messages are received</w:t>
            </w:r>
          </w:p>
          <w:p w14:paraId="23F337CD" w14:textId="21D8AC67" w:rsidR="00FA3313" w:rsidRPr="00EC1242" w:rsidRDefault="00FA3313" w:rsidP="00FA3313">
            <w:pPr>
              <w:numPr>
                <w:ilvl w:val="0"/>
                <w:numId w:val="21"/>
              </w:numPr>
              <w:spacing w:line="276" w:lineRule="auto"/>
              <w:ind w:left="342" w:hanging="270"/>
              <w:contextualSpacing/>
            </w:pPr>
            <w:r>
              <w:t xml:space="preserve">Update clients’ </w:t>
            </w:r>
            <w:r w:rsidRPr="00EC1242">
              <w:t xml:space="preserve">information </w:t>
            </w:r>
            <w:r>
              <w:t xml:space="preserve">to ensure appropriate customization of the intervention </w:t>
            </w:r>
          </w:p>
        </w:tc>
      </w:tr>
      <w:tr w:rsidR="00FA3313" w:rsidRPr="00EC1242" w14:paraId="60E58B95" w14:textId="77777777" w:rsidTr="005E5C0E">
        <w:tc>
          <w:tcPr>
            <w:tcW w:w="2898" w:type="dxa"/>
            <w:vAlign w:val="center"/>
          </w:tcPr>
          <w:p w14:paraId="49B384EB" w14:textId="33D5EB7A" w:rsidR="00FA3313" w:rsidRPr="00EC1242" w:rsidRDefault="00FA3313" w:rsidP="00E85591">
            <w:pPr>
              <w:spacing w:line="276" w:lineRule="auto"/>
              <w:jc w:val="center"/>
            </w:pPr>
            <w:r>
              <w:t>Communication data from t</w:t>
            </w:r>
            <w:r w:rsidRPr="00EC1242">
              <w:t>ext messag</w:t>
            </w:r>
            <w:r>
              <w:t>ing partner</w:t>
            </w:r>
          </w:p>
        </w:tc>
        <w:tc>
          <w:tcPr>
            <w:tcW w:w="2610" w:type="dxa"/>
            <w:vAlign w:val="center"/>
          </w:tcPr>
          <w:p w14:paraId="06FF0451" w14:textId="30B76690" w:rsidR="00FA3313" w:rsidRPr="00EC1242" w:rsidRDefault="00FA3313" w:rsidP="00E85591">
            <w:pPr>
              <w:spacing w:line="276" w:lineRule="auto"/>
              <w:jc w:val="center"/>
            </w:pPr>
            <w:r w:rsidRPr="00A5494A">
              <w:t>April 2018, July 2018, October 2018, October 2019, and October 2020</w:t>
            </w:r>
          </w:p>
        </w:tc>
        <w:tc>
          <w:tcPr>
            <w:tcW w:w="4068" w:type="dxa"/>
            <w:vAlign w:val="center"/>
          </w:tcPr>
          <w:p w14:paraId="00553BD8" w14:textId="06E6617B" w:rsidR="00FA3313" w:rsidRPr="00EC1242" w:rsidRDefault="00FA3313" w:rsidP="00A916C2">
            <w:pPr>
              <w:numPr>
                <w:ilvl w:val="0"/>
                <w:numId w:val="21"/>
              </w:numPr>
              <w:spacing w:line="276" w:lineRule="auto"/>
              <w:ind w:left="342" w:hanging="270"/>
              <w:contextualSpacing/>
            </w:pPr>
            <w:r w:rsidRPr="00EC1242">
              <w:t xml:space="preserve">Analyze </w:t>
            </w:r>
            <w:r>
              <w:t xml:space="preserve">text message communication data (i.e., </w:t>
            </w:r>
            <w:r w:rsidRPr="00EC1242">
              <w:t>number</w:t>
            </w:r>
            <w:r>
              <w:t>,</w:t>
            </w:r>
            <w:r w:rsidRPr="00EC1242">
              <w:t xml:space="preserve">  </w:t>
            </w:r>
            <w:r>
              <w:t xml:space="preserve">direction, </w:t>
            </w:r>
            <w:r w:rsidRPr="00EC1242">
              <w:t>timing</w:t>
            </w:r>
            <w:r>
              <w:t>, and message content) to provide descriptive information about the intervention</w:t>
            </w:r>
          </w:p>
        </w:tc>
      </w:tr>
      <w:tr w:rsidR="00FA3313" w:rsidRPr="00EC1242" w14:paraId="1E5237EC" w14:textId="77777777" w:rsidTr="005E5C0E">
        <w:tc>
          <w:tcPr>
            <w:tcW w:w="2898" w:type="dxa"/>
            <w:vAlign w:val="center"/>
          </w:tcPr>
          <w:p w14:paraId="1E5237E9" w14:textId="4FBAB789" w:rsidR="00FA3313" w:rsidRPr="00EC1242" w:rsidRDefault="00FA3313" w:rsidP="00E85591">
            <w:pPr>
              <w:spacing w:line="276" w:lineRule="auto"/>
              <w:jc w:val="center"/>
            </w:pPr>
            <w:r w:rsidRPr="00EC1242">
              <w:t>Federal financial aid data</w:t>
            </w:r>
            <w:r>
              <w:t xml:space="preserve"> from </w:t>
            </w:r>
            <w:r w:rsidRPr="00634619">
              <w:t>ED’s Federal Student Aid (FSA) office</w:t>
            </w:r>
          </w:p>
        </w:tc>
        <w:tc>
          <w:tcPr>
            <w:tcW w:w="2610" w:type="dxa"/>
            <w:vAlign w:val="center"/>
          </w:tcPr>
          <w:p w14:paraId="1E5237EA" w14:textId="77777777" w:rsidR="00FA3313" w:rsidRPr="00EC1242" w:rsidRDefault="00FA3313" w:rsidP="00E85591">
            <w:pPr>
              <w:spacing w:line="276" w:lineRule="auto"/>
              <w:jc w:val="center"/>
            </w:pPr>
            <w:r w:rsidRPr="00EC1242">
              <w:t>December 2018 and December 2020</w:t>
            </w:r>
          </w:p>
        </w:tc>
        <w:tc>
          <w:tcPr>
            <w:tcW w:w="4068" w:type="dxa"/>
            <w:vAlign w:val="center"/>
          </w:tcPr>
          <w:p w14:paraId="1E5237EB" w14:textId="27C7D630" w:rsidR="00FA3313" w:rsidRPr="00EC1242" w:rsidRDefault="00FA3313" w:rsidP="00A916C2">
            <w:pPr>
              <w:numPr>
                <w:ilvl w:val="0"/>
                <w:numId w:val="21"/>
              </w:numPr>
              <w:spacing w:line="276" w:lineRule="auto"/>
              <w:ind w:left="342" w:hanging="270"/>
              <w:contextualSpacing/>
            </w:pPr>
            <w:r w:rsidRPr="00EC1242">
              <w:t xml:space="preserve">Analyze FAFSA completion outcomes </w:t>
            </w:r>
          </w:p>
        </w:tc>
      </w:tr>
      <w:tr w:rsidR="00FA3313" w:rsidRPr="00EC1242" w14:paraId="1E5237F0" w14:textId="77777777" w:rsidTr="005E5C0E">
        <w:tc>
          <w:tcPr>
            <w:tcW w:w="2898" w:type="dxa"/>
            <w:vAlign w:val="center"/>
          </w:tcPr>
          <w:p w14:paraId="1E5237ED" w14:textId="63C09922" w:rsidR="00FA3313" w:rsidRPr="00EC1242" w:rsidRDefault="00FA3313" w:rsidP="00E85591">
            <w:pPr>
              <w:spacing w:line="276" w:lineRule="auto"/>
              <w:jc w:val="center"/>
            </w:pPr>
            <w:r>
              <w:t xml:space="preserve">Enrollment data from </w:t>
            </w:r>
            <w:r w:rsidRPr="00EC1242">
              <w:t>National Student Clearinghouse</w:t>
            </w:r>
            <w:r>
              <w:t xml:space="preserve"> (NSC)</w:t>
            </w:r>
          </w:p>
        </w:tc>
        <w:tc>
          <w:tcPr>
            <w:tcW w:w="2610" w:type="dxa"/>
            <w:vAlign w:val="center"/>
          </w:tcPr>
          <w:p w14:paraId="1E5237EE" w14:textId="77777777" w:rsidR="00FA3313" w:rsidRPr="00EC1242" w:rsidRDefault="00FA3313" w:rsidP="00E85591">
            <w:pPr>
              <w:spacing w:line="276" w:lineRule="auto"/>
              <w:jc w:val="center"/>
            </w:pPr>
            <w:r w:rsidRPr="00EC1242">
              <w:t>December 2018, December 2019, and December 2020</w:t>
            </w:r>
          </w:p>
        </w:tc>
        <w:tc>
          <w:tcPr>
            <w:tcW w:w="4068" w:type="dxa"/>
            <w:vAlign w:val="center"/>
          </w:tcPr>
          <w:p w14:paraId="1E5237EF" w14:textId="77777777" w:rsidR="00FA3313" w:rsidRPr="00EC1242" w:rsidRDefault="00FA3313" w:rsidP="00E85591">
            <w:pPr>
              <w:numPr>
                <w:ilvl w:val="0"/>
                <w:numId w:val="21"/>
              </w:numPr>
              <w:spacing w:line="276" w:lineRule="auto"/>
              <w:ind w:left="342" w:hanging="270"/>
              <w:contextualSpacing/>
            </w:pPr>
            <w:r w:rsidRPr="00EC1242">
              <w:t>Analyze client college enrollment outcomes</w:t>
            </w:r>
          </w:p>
        </w:tc>
      </w:tr>
    </w:tbl>
    <w:p w14:paraId="6E2A269B" w14:textId="77777777" w:rsidR="00B3158A" w:rsidRDefault="00B3158A" w:rsidP="00E85591">
      <w:pPr>
        <w:tabs>
          <w:tab w:val="left" w:pos="-720"/>
        </w:tabs>
        <w:suppressAutoHyphens/>
        <w:spacing w:line="276" w:lineRule="auto"/>
      </w:pPr>
    </w:p>
    <w:p w14:paraId="1E5237FA" w14:textId="77777777" w:rsidR="0020199D" w:rsidRDefault="00EC528B" w:rsidP="002E29B2">
      <w:pPr>
        <w:pStyle w:val="Heading2"/>
        <w:numPr>
          <w:ilvl w:val="0"/>
          <w:numId w:val="32"/>
        </w:numPr>
      </w:pPr>
      <w:bookmarkStart w:id="11" w:name="_Toc484499746"/>
      <w:r>
        <w:t xml:space="preserve">Methods to maximize </w:t>
      </w:r>
      <w:r w:rsidR="0020199D">
        <w:t xml:space="preserve">response </w:t>
      </w:r>
      <w:r>
        <w:t xml:space="preserve">rates </w:t>
      </w:r>
      <w:r w:rsidR="0020199D">
        <w:t>and deal</w:t>
      </w:r>
      <w:r>
        <w:t xml:space="preserve"> </w:t>
      </w:r>
      <w:r w:rsidR="0020199D">
        <w:t>with issues of non-response</w:t>
      </w:r>
      <w:bookmarkEnd w:id="11"/>
    </w:p>
    <w:p w14:paraId="1F1E8886" w14:textId="4446340A" w:rsidR="00B56839" w:rsidRDefault="00D100A6" w:rsidP="00E85591">
      <w:pPr>
        <w:spacing w:before="120" w:line="276" w:lineRule="auto"/>
        <w:jc w:val="both"/>
      </w:pPr>
      <w:r>
        <w:br/>
      </w:r>
      <w:r w:rsidR="00B56839" w:rsidRPr="00DC5937">
        <w:t>Ba</w:t>
      </w:r>
      <w:r w:rsidR="00B56839">
        <w:t>ckground information on clients</w:t>
      </w:r>
      <w:r w:rsidR="00B56839" w:rsidRPr="00DC5937">
        <w:t xml:space="preserve"> </w:t>
      </w:r>
      <w:r w:rsidR="00B56839">
        <w:t>will be collected through the regular EOC intake process for all sample members, including the fields necessary to request and obtain FSA data and NSC data</w:t>
      </w:r>
      <w:r w:rsidR="00B56839" w:rsidRPr="00DC5937">
        <w:t xml:space="preserve">. </w:t>
      </w:r>
      <w:r w:rsidR="00B56839">
        <w:t>Participating EOCs will administer the Baseline Information Form to clients who are eligible for and consent to participate in the study</w:t>
      </w:r>
    </w:p>
    <w:p w14:paraId="168A516F" w14:textId="716839BE" w:rsidR="00904DB9" w:rsidRDefault="00904DB9" w:rsidP="00E85591">
      <w:pPr>
        <w:spacing w:before="120" w:line="276" w:lineRule="auto"/>
        <w:jc w:val="both"/>
      </w:pPr>
      <w:r>
        <w:t>We expect no missing data in outcome measures. F</w:t>
      </w:r>
      <w:r w:rsidR="00E06617">
        <w:t xml:space="preserve">ederal </w:t>
      </w:r>
      <w:r>
        <w:t>S</w:t>
      </w:r>
      <w:r w:rsidR="00E06617">
        <w:t xml:space="preserve">tudent </w:t>
      </w:r>
      <w:r>
        <w:t>A</w:t>
      </w:r>
      <w:r w:rsidR="00E06617">
        <w:t>id (FSA)</w:t>
      </w:r>
      <w:r>
        <w:t xml:space="preserve"> data </w:t>
      </w:r>
      <w:r w:rsidR="00F12C35">
        <w:t xml:space="preserve">include all students who </w:t>
      </w:r>
      <w:r w:rsidR="00D71B8B">
        <w:t>complete their FAFSA, so l</w:t>
      </w:r>
      <w:r>
        <w:t xml:space="preserve">ack of a record in FSA will be coded as not completing </w:t>
      </w:r>
      <w:r w:rsidR="006727FB">
        <w:t xml:space="preserve">the </w:t>
      </w:r>
      <w:r>
        <w:t>FAFSA</w:t>
      </w:r>
      <w:r w:rsidR="00D71B8B">
        <w:t>. N</w:t>
      </w:r>
      <w:r w:rsidR="00E06617">
        <w:t xml:space="preserve">ational </w:t>
      </w:r>
      <w:r w:rsidR="00D71B8B">
        <w:t>S</w:t>
      </w:r>
      <w:r w:rsidR="00E06617">
        <w:t xml:space="preserve">tudent </w:t>
      </w:r>
      <w:r w:rsidR="00D71B8B">
        <w:t>C</w:t>
      </w:r>
      <w:r w:rsidR="00E06617">
        <w:t>learinghouse (NSC)</w:t>
      </w:r>
      <w:r w:rsidR="00D71B8B">
        <w:t xml:space="preserve"> data cover about 98 percent of higher education in the United States, so lack of a record in NSC data will be coded as</w:t>
      </w:r>
      <w:r>
        <w:t xml:space="preserve"> not enrolling in college. </w:t>
      </w:r>
      <w:r w:rsidR="001E4890" w:rsidDel="001E4890">
        <w:t xml:space="preserve"> </w:t>
      </w:r>
      <w:r>
        <w:t xml:space="preserve">Similarly, the lack of a text message record from the service provider will be coded as no text communication </w:t>
      </w:r>
      <w:r w:rsidR="00D71B8B">
        <w:t>occurring.</w:t>
      </w:r>
      <w:r w:rsidR="00216318">
        <w:t xml:space="preserve"> </w:t>
      </w:r>
    </w:p>
    <w:p w14:paraId="22624027" w14:textId="77777777" w:rsidR="00A317A7" w:rsidRDefault="0077125D" w:rsidP="00AF7F3F">
      <w:pPr>
        <w:spacing w:before="120" w:line="276" w:lineRule="auto"/>
        <w:jc w:val="both"/>
      </w:pPr>
      <w:r w:rsidRPr="00DC5937">
        <w:t xml:space="preserve">MDRC will use a combination of first name, last name, date of birth, and Social Security Number </w:t>
      </w:r>
      <w:r w:rsidR="00150C4A">
        <w:t xml:space="preserve">(SSN) </w:t>
      </w:r>
      <w:r w:rsidRPr="00DC5937">
        <w:t xml:space="preserve">to obtain match data for the research sample from NSC and FSA. This combination of identifiers yields a higher match rate than using name and birth date alone, and </w:t>
      </w:r>
      <w:r w:rsidRPr="00DC5937">
        <w:lastRenderedPageBreak/>
        <w:t xml:space="preserve">when combined with informed consent allows access to blocked </w:t>
      </w:r>
      <w:r w:rsidR="007415A3">
        <w:t xml:space="preserve">NSC </w:t>
      </w:r>
      <w:r w:rsidRPr="00DC5937">
        <w:t>records.</w:t>
      </w:r>
      <w:r w:rsidR="007415A3">
        <w:rPr>
          <w:rStyle w:val="FootnoteReference"/>
        </w:rPr>
        <w:footnoteReference w:id="8"/>
      </w:r>
      <w:r w:rsidRPr="00DC5937">
        <w:t xml:space="preserve"> </w:t>
      </w:r>
      <w:r w:rsidR="00196B21" w:rsidRPr="00DC5937" w:rsidDel="00196B21">
        <w:t xml:space="preserve"> </w:t>
      </w:r>
      <w:r w:rsidR="00632BE9">
        <w:t>T</w:t>
      </w:r>
      <w:r w:rsidR="005F3538">
        <w:t>hese</w:t>
      </w:r>
      <w:r w:rsidR="001B1AB9">
        <w:t xml:space="preserve"> </w:t>
      </w:r>
      <w:r w:rsidR="00632BE9">
        <w:t>data will thus</w:t>
      </w:r>
      <w:r w:rsidRPr="00DC5937">
        <w:t xml:space="preserve"> maximize</w:t>
      </w:r>
      <w:r w:rsidR="00632BE9">
        <w:t xml:space="preserve"> the study team’s</w:t>
      </w:r>
      <w:r w:rsidRPr="00DC5937">
        <w:t xml:space="preserve"> access to the most reliable and complete </w:t>
      </w:r>
      <w:r w:rsidR="00F67037">
        <w:t xml:space="preserve">NSC and </w:t>
      </w:r>
      <w:r w:rsidR="00196B21">
        <w:t xml:space="preserve">FSA </w:t>
      </w:r>
      <w:r w:rsidRPr="00DC5937">
        <w:t xml:space="preserve">records.   </w:t>
      </w:r>
    </w:p>
    <w:p w14:paraId="7BF37313" w14:textId="77777777" w:rsidR="00A317A7" w:rsidRDefault="00A317A7" w:rsidP="00AF7F3F">
      <w:pPr>
        <w:spacing w:before="120" w:line="276" w:lineRule="auto"/>
        <w:jc w:val="both"/>
      </w:pPr>
    </w:p>
    <w:p w14:paraId="766626C7" w14:textId="21D922CE" w:rsidR="00975218" w:rsidRDefault="00A317A7" w:rsidP="00AF7F3F">
      <w:pPr>
        <w:spacing w:before="120" w:line="276" w:lineRule="auto"/>
        <w:jc w:val="both"/>
        <w:rPr>
          <w:rFonts w:asciiTheme="majorHAnsi" w:eastAsiaTheme="majorEastAsia" w:hAnsiTheme="majorHAnsi" w:cstheme="majorBidi"/>
          <w:b/>
          <w:bCs/>
          <w:color w:val="000000" w:themeColor="accent1"/>
          <w:sz w:val="26"/>
          <w:szCs w:val="26"/>
        </w:rPr>
      </w:pPr>
      <w:r>
        <w:t xml:space="preserve">We expect a 100% </w:t>
      </w:r>
      <w:bookmarkStart w:id="12" w:name="_GoBack"/>
      <w:bookmarkEnd w:id="12"/>
      <w:r>
        <w:t>response rate on all data collections.</w:t>
      </w:r>
      <w:r w:rsidR="00975218">
        <w:br w:type="page"/>
      </w:r>
    </w:p>
    <w:p w14:paraId="1E523800" w14:textId="3344EDDE" w:rsidR="0020199D" w:rsidRDefault="00D3081D" w:rsidP="002E29B2">
      <w:pPr>
        <w:pStyle w:val="Heading2"/>
        <w:numPr>
          <w:ilvl w:val="0"/>
          <w:numId w:val="32"/>
        </w:numPr>
      </w:pPr>
      <w:bookmarkStart w:id="13" w:name="_Toc484499747"/>
      <w:r>
        <w:lastRenderedPageBreak/>
        <w:t>T</w:t>
      </w:r>
      <w:r w:rsidR="00EC528B">
        <w:t>esting</w:t>
      </w:r>
      <w:r>
        <w:t xml:space="preserve"> data collection procedures</w:t>
      </w:r>
      <w:bookmarkEnd w:id="13"/>
    </w:p>
    <w:p w14:paraId="1E523801" w14:textId="77777777" w:rsidR="0020199D" w:rsidRDefault="0020199D" w:rsidP="00E85591">
      <w:pPr>
        <w:spacing w:line="276" w:lineRule="auto"/>
      </w:pPr>
    </w:p>
    <w:p w14:paraId="3F8F791A" w14:textId="38844BE8" w:rsidR="00046787" w:rsidRDefault="002816BE" w:rsidP="00046787">
      <w:pPr>
        <w:numPr>
          <w:ilvl w:val="12"/>
          <w:numId w:val="0"/>
        </w:numPr>
        <w:tabs>
          <w:tab w:val="left" w:pos="-720"/>
        </w:tabs>
        <w:suppressAutoHyphens/>
        <w:spacing w:line="276" w:lineRule="auto"/>
        <w:jc w:val="both"/>
      </w:pPr>
      <w:r>
        <w:t>Because d</w:t>
      </w:r>
      <w:r w:rsidR="00896C29">
        <w:t xml:space="preserve">ata for the study </w:t>
      </w:r>
      <w:r w:rsidR="005F5E6E">
        <w:t>consists of</w:t>
      </w:r>
      <w:r w:rsidR="00896C29">
        <w:t xml:space="preserve"> </w:t>
      </w:r>
      <w:r w:rsidR="001D3677">
        <w:t xml:space="preserve">primarily administrative data from </w:t>
      </w:r>
      <w:r w:rsidR="00B10ED8">
        <w:t>FSA, NSC, and</w:t>
      </w:r>
      <w:r w:rsidR="001D3677">
        <w:t xml:space="preserve"> </w:t>
      </w:r>
      <w:r w:rsidR="00914517">
        <w:t xml:space="preserve">the technology </w:t>
      </w:r>
      <w:r w:rsidR="001D3677">
        <w:t>p</w:t>
      </w:r>
      <w:r w:rsidR="00024392">
        <w:t>artner</w:t>
      </w:r>
      <w:r w:rsidR="00914517">
        <w:t>,</w:t>
      </w:r>
      <w:r w:rsidR="00896C29">
        <w:t xml:space="preserve"> p</w:t>
      </w:r>
      <w:r w:rsidR="002D47EA">
        <w:t xml:space="preserve">rocedures and methods </w:t>
      </w:r>
      <w:r w:rsidR="0033086F">
        <w:t xml:space="preserve">for the collection of information </w:t>
      </w:r>
      <w:r w:rsidR="002D47EA">
        <w:t xml:space="preserve">do not </w:t>
      </w:r>
      <w:r w:rsidR="0033086F">
        <w:t xml:space="preserve">need to </w:t>
      </w:r>
      <w:r w:rsidR="002D47EA">
        <w:t>be</w:t>
      </w:r>
      <w:r w:rsidR="0033086F">
        <w:t xml:space="preserve"> tested.</w:t>
      </w:r>
      <w:r>
        <w:t xml:space="preserve"> In addition, most of the data being collected on the Baseline Information Form are data that are already typically</w:t>
      </w:r>
      <w:r w:rsidR="008305CD">
        <w:t xml:space="preserve"> collected (but not systematically) </w:t>
      </w:r>
      <w:r>
        <w:t>by EOCs</w:t>
      </w:r>
      <w:r w:rsidR="008305CD">
        <w:t xml:space="preserve"> and thus do not need to be tested. </w:t>
      </w:r>
      <w:r>
        <w:t xml:space="preserve"> </w:t>
      </w:r>
    </w:p>
    <w:p w14:paraId="442DFD97" w14:textId="77777777" w:rsidR="00234280" w:rsidRDefault="00234280" w:rsidP="0045526F">
      <w:pPr>
        <w:spacing w:after="200" w:line="276" w:lineRule="auto"/>
      </w:pPr>
    </w:p>
    <w:p w14:paraId="1E523803" w14:textId="77777777" w:rsidR="0020199D" w:rsidRPr="0020199D" w:rsidRDefault="00EC528B" w:rsidP="0045526F">
      <w:pPr>
        <w:pStyle w:val="Heading2"/>
        <w:numPr>
          <w:ilvl w:val="0"/>
          <w:numId w:val="32"/>
        </w:numPr>
      </w:pPr>
      <w:bookmarkStart w:id="14" w:name="_Toc484499748"/>
      <w:r>
        <w:t>I</w:t>
      </w:r>
      <w:r w:rsidR="0020199D">
        <w:t>ndividuals consulted on statistical aspects of design</w:t>
      </w:r>
      <w:bookmarkEnd w:id="14"/>
    </w:p>
    <w:p w14:paraId="1E523804" w14:textId="77777777" w:rsidR="0020199D" w:rsidRPr="0020199D" w:rsidRDefault="0020199D" w:rsidP="00E85591">
      <w:pPr>
        <w:spacing w:line="276" w:lineRule="auto"/>
      </w:pPr>
    </w:p>
    <w:p w14:paraId="5C963C5D" w14:textId="5F4DBC08" w:rsidR="00944D13" w:rsidRDefault="0077125D" w:rsidP="00E85591">
      <w:pPr>
        <w:spacing w:line="276" w:lineRule="auto"/>
        <w:jc w:val="both"/>
        <w:rPr>
          <w:rFonts w:eastAsia="Cambria"/>
        </w:rPr>
      </w:pPr>
      <w:r w:rsidRPr="00DC5937">
        <w:rPr>
          <w:rFonts w:eastAsia="Cambria"/>
        </w:rPr>
        <w:t xml:space="preserve">This project is being conducted under contract to the Department of Education by MDRC. The data collection strategy and instruments were developed by </w:t>
      </w:r>
      <w:r w:rsidR="00C17156">
        <w:rPr>
          <w:rFonts w:eastAsia="Cambria"/>
        </w:rPr>
        <w:t xml:space="preserve">the </w:t>
      </w:r>
      <w:r w:rsidRPr="00DC5937">
        <w:rPr>
          <w:rFonts w:eastAsia="Cambria"/>
        </w:rPr>
        <w:t>MDRC</w:t>
      </w:r>
      <w:r w:rsidR="00C17156">
        <w:rPr>
          <w:rFonts w:eastAsia="Cambria"/>
        </w:rPr>
        <w:t xml:space="preserve"> study team</w:t>
      </w:r>
      <w:r w:rsidRPr="00DC5937">
        <w:rPr>
          <w:rFonts w:eastAsia="Cambria"/>
        </w:rPr>
        <w:t xml:space="preserve"> and Lindsay Page of the University of Pittsburgh.  </w:t>
      </w:r>
      <w:r w:rsidR="00944D13">
        <w:rPr>
          <w:rFonts w:eastAsia="Cambria"/>
        </w:rPr>
        <w:t>The individuals that were consulted on the statistical aspect of the design are:</w:t>
      </w:r>
    </w:p>
    <w:p w14:paraId="47C49F32" w14:textId="77777777" w:rsidR="00944D13" w:rsidRDefault="00944D13" w:rsidP="00E85591">
      <w:pPr>
        <w:spacing w:line="276" w:lineRule="auto"/>
        <w:jc w:val="both"/>
        <w:rPr>
          <w:rFonts w:eastAsia="Cambria"/>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192"/>
        <w:gridCol w:w="3192"/>
        <w:gridCol w:w="3192"/>
      </w:tblGrid>
      <w:tr w:rsidR="00944D13" w:rsidRPr="00DC5937" w14:paraId="3078A49A" w14:textId="77777777" w:rsidTr="000D0368">
        <w:tc>
          <w:tcPr>
            <w:tcW w:w="3192" w:type="dxa"/>
            <w:shd w:val="clear" w:color="auto" w:fill="auto"/>
          </w:tcPr>
          <w:p w14:paraId="6A93D982" w14:textId="77777777" w:rsidR="00944D13" w:rsidRPr="00DC5937" w:rsidRDefault="00944D13" w:rsidP="000D0368">
            <w:pPr>
              <w:spacing w:line="276" w:lineRule="auto"/>
              <w:rPr>
                <w:rFonts w:eastAsia="Cambria"/>
                <w:b/>
              </w:rPr>
            </w:pPr>
            <w:r w:rsidRPr="00DC5937">
              <w:rPr>
                <w:rFonts w:eastAsia="Cambria"/>
                <w:b/>
              </w:rPr>
              <w:t>Organization</w:t>
            </w:r>
          </w:p>
        </w:tc>
        <w:tc>
          <w:tcPr>
            <w:tcW w:w="3192" w:type="dxa"/>
            <w:shd w:val="clear" w:color="auto" w:fill="auto"/>
          </w:tcPr>
          <w:p w14:paraId="450C4CC2" w14:textId="77777777" w:rsidR="00944D13" w:rsidRPr="00DC5937" w:rsidRDefault="00944D13" w:rsidP="000D0368">
            <w:pPr>
              <w:spacing w:line="276" w:lineRule="auto"/>
              <w:rPr>
                <w:rFonts w:eastAsia="Cambria"/>
                <w:b/>
              </w:rPr>
            </w:pPr>
            <w:r w:rsidRPr="00DC5937">
              <w:rPr>
                <w:rFonts w:eastAsia="Cambria"/>
                <w:b/>
              </w:rPr>
              <w:t xml:space="preserve">Primary Contact </w:t>
            </w:r>
          </w:p>
        </w:tc>
        <w:tc>
          <w:tcPr>
            <w:tcW w:w="3192" w:type="dxa"/>
            <w:shd w:val="clear" w:color="auto" w:fill="auto"/>
          </w:tcPr>
          <w:p w14:paraId="03E983F9" w14:textId="77777777" w:rsidR="00944D13" w:rsidRPr="00DC5937" w:rsidRDefault="00944D13" w:rsidP="000D0368">
            <w:pPr>
              <w:spacing w:line="276" w:lineRule="auto"/>
              <w:rPr>
                <w:rFonts w:eastAsia="Cambria"/>
                <w:b/>
              </w:rPr>
            </w:pPr>
            <w:r w:rsidRPr="00DC5937">
              <w:rPr>
                <w:rFonts w:eastAsia="Cambria"/>
                <w:b/>
              </w:rPr>
              <w:t xml:space="preserve">Phone Number </w:t>
            </w:r>
          </w:p>
        </w:tc>
      </w:tr>
      <w:tr w:rsidR="00944D13" w:rsidRPr="00DC5937" w14:paraId="4D8D7B6B" w14:textId="77777777" w:rsidTr="000D0368">
        <w:trPr>
          <w:trHeight w:val="305"/>
        </w:trPr>
        <w:tc>
          <w:tcPr>
            <w:tcW w:w="3192" w:type="dxa"/>
            <w:shd w:val="clear" w:color="auto" w:fill="auto"/>
          </w:tcPr>
          <w:p w14:paraId="1F4F63D1" w14:textId="77777777" w:rsidR="00944D13" w:rsidRPr="00DC5937" w:rsidRDefault="00944D13" w:rsidP="000D0368">
            <w:pPr>
              <w:spacing w:line="276" w:lineRule="auto"/>
              <w:rPr>
                <w:rFonts w:eastAsia="Cambria"/>
              </w:rPr>
            </w:pPr>
            <w:r w:rsidRPr="00DC5937">
              <w:rPr>
                <w:rFonts w:eastAsia="Cambria"/>
              </w:rPr>
              <w:t>MDRC</w:t>
            </w:r>
          </w:p>
        </w:tc>
        <w:tc>
          <w:tcPr>
            <w:tcW w:w="3192" w:type="dxa"/>
            <w:shd w:val="clear" w:color="auto" w:fill="auto"/>
          </w:tcPr>
          <w:p w14:paraId="43B5016C" w14:textId="4184A8A7" w:rsidR="00944D13" w:rsidRPr="00DC5937" w:rsidRDefault="00944D13" w:rsidP="000D0368">
            <w:pPr>
              <w:spacing w:line="276" w:lineRule="auto"/>
              <w:rPr>
                <w:rFonts w:eastAsia="Cambria"/>
              </w:rPr>
            </w:pPr>
            <w:r>
              <w:rPr>
                <w:rFonts w:eastAsia="Cambria"/>
              </w:rPr>
              <w:t xml:space="preserve">Alex Mayer </w:t>
            </w:r>
          </w:p>
        </w:tc>
        <w:tc>
          <w:tcPr>
            <w:tcW w:w="3192" w:type="dxa"/>
            <w:shd w:val="clear" w:color="auto" w:fill="auto"/>
          </w:tcPr>
          <w:p w14:paraId="1204646E" w14:textId="4CEF31C3" w:rsidR="00944D13" w:rsidRPr="00DC5937" w:rsidRDefault="00944D13" w:rsidP="000D0368">
            <w:pPr>
              <w:spacing w:line="276" w:lineRule="auto"/>
              <w:rPr>
                <w:rFonts w:eastAsia="Cambria"/>
              </w:rPr>
            </w:pPr>
            <w:r w:rsidRPr="00DC5937">
              <w:rPr>
                <w:rFonts w:eastAsia="Cambria"/>
              </w:rPr>
              <w:t>212-340</w:t>
            </w:r>
            <w:r>
              <w:rPr>
                <w:rFonts w:eastAsia="Cambria"/>
              </w:rPr>
              <w:t>-4476</w:t>
            </w:r>
          </w:p>
        </w:tc>
      </w:tr>
      <w:tr w:rsidR="00944D13" w:rsidRPr="00DC5937" w14:paraId="130067C8" w14:textId="77777777" w:rsidTr="000D0368">
        <w:trPr>
          <w:trHeight w:val="305"/>
        </w:trPr>
        <w:tc>
          <w:tcPr>
            <w:tcW w:w="3192" w:type="dxa"/>
            <w:shd w:val="clear" w:color="auto" w:fill="auto"/>
          </w:tcPr>
          <w:p w14:paraId="424FBDE8" w14:textId="79DDDC24" w:rsidR="00944D13" w:rsidRPr="00DC5937" w:rsidRDefault="008B444D" w:rsidP="000D0368">
            <w:pPr>
              <w:spacing w:line="276" w:lineRule="auto"/>
              <w:rPr>
                <w:rFonts w:eastAsia="Cambria"/>
              </w:rPr>
            </w:pPr>
            <w:r>
              <w:rPr>
                <w:rFonts w:eastAsia="Cambria"/>
              </w:rPr>
              <w:t>Insight Policy Research</w:t>
            </w:r>
          </w:p>
        </w:tc>
        <w:tc>
          <w:tcPr>
            <w:tcW w:w="3192" w:type="dxa"/>
            <w:shd w:val="clear" w:color="auto" w:fill="auto"/>
          </w:tcPr>
          <w:p w14:paraId="08354C38" w14:textId="2068874C" w:rsidR="00944D13" w:rsidRDefault="00944D13" w:rsidP="000D0368">
            <w:pPr>
              <w:spacing w:line="276" w:lineRule="auto"/>
              <w:rPr>
                <w:rFonts w:eastAsia="Cambria"/>
              </w:rPr>
            </w:pPr>
            <w:r>
              <w:rPr>
                <w:rFonts w:eastAsia="Cambria"/>
              </w:rPr>
              <w:t>Lashawn Richburg-Hayes</w:t>
            </w:r>
          </w:p>
        </w:tc>
        <w:tc>
          <w:tcPr>
            <w:tcW w:w="3192" w:type="dxa"/>
            <w:shd w:val="clear" w:color="auto" w:fill="auto"/>
          </w:tcPr>
          <w:p w14:paraId="7FB9B923" w14:textId="7AE6C032" w:rsidR="00944D13" w:rsidRPr="00DC5937" w:rsidRDefault="008B444D" w:rsidP="000D0368">
            <w:pPr>
              <w:spacing w:line="276" w:lineRule="auto"/>
              <w:rPr>
                <w:rFonts w:eastAsia="Cambria"/>
              </w:rPr>
            </w:pPr>
            <w:r>
              <w:rPr>
                <w:rStyle w:val="Hyperlink"/>
                <w:rFonts w:cs="Arial"/>
              </w:rPr>
              <w:t>703-504-9480</w:t>
            </w:r>
          </w:p>
        </w:tc>
      </w:tr>
      <w:tr w:rsidR="00944D13" w:rsidRPr="00DC5937" w14:paraId="1EBA84FB" w14:textId="77777777" w:rsidTr="000D0368">
        <w:trPr>
          <w:trHeight w:val="305"/>
        </w:trPr>
        <w:tc>
          <w:tcPr>
            <w:tcW w:w="3192" w:type="dxa"/>
            <w:shd w:val="clear" w:color="auto" w:fill="auto"/>
          </w:tcPr>
          <w:p w14:paraId="119A2512" w14:textId="12822DF0" w:rsidR="00944D13" w:rsidRPr="00DC5937" w:rsidRDefault="00944D13" w:rsidP="000D0368">
            <w:pPr>
              <w:spacing w:line="276" w:lineRule="auto"/>
              <w:rPr>
                <w:rFonts w:eastAsia="Cambria"/>
              </w:rPr>
            </w:pPr>
            <w:r w:rsidRPr="00DC5937">
              <w:rPr>
                <w:rFonts w:eastAsia="Cambria"/>
              </w:rPr>
              <w:t>MDRC</w:t>
            </w:r>
          </w:p>
        </w:tc>
        <w:tc>
          <w:tcPr>
            <w:tcW w:w="3192" w:type="dxa"/>
            <w:shd w:val="clear" w:color="auto" w:fill="auto"/>
          </w:tcPr>
          <w:p w14:paraId="618CECF8" w14:textId="27290EC1" w:rsidR="00944D13" w:rsidRDefault="00944D13" w:rsidP="000D0368">
            <w:pPr>
              <w:spacing w:line="276" w:lineRule="auto"/>
              <w:rPr>
                <w:rFonts w:eastAsia="Cambria"/>
              </w:rPr>
            </w:pPr>
            <w:r>
              <w:rPr>
                <w:rFonts w:eastAsia="Cambria"/>
              </w:rPr>
              <w:t xml:space="preserve">Mike Weiss </w:t>
            </w:r>
          </w:p>
        </w:tc>
        <w:tc>
          <w:tcPr>
            <w:tcW w:w="3192" w:type="dxa"/>
            <w:shd w:val="clear" w:color="auto" w:fill="auto"/>
          </w:tcPr>
          <w:p w14:paraId="766BC03B" w14:textId="6D27CF49" w:rsidR="00944D13" w:rsidRPr="00DC5937" w:rsidRDefault="00944D13" w:rsidP="000D0368">
            <w:pPr>
              <w:spacing w:line="276" w:lineRule="auto"/>
              <w:rPr>
                <w:rFonts w:eastAsia="Cambria"/>
              </w:rPr>
            </w:pPr>
            <w:r w:rsidRPr="00DC5937">
              <w:rPr>
                <w:rFonts w:eastAsia="Cambria"/>
              </w:rPr>
              <w:t>212-340</w:t>
            </w:r>
            <w:r>
              <w:rPr>
                <w:rFonts w:eastAsia="Cambria"/>
              </w:rPr>
              <w:t>-8651</w:t>
            </w:r>
          </w:p>
        </w:tc>
      </w:tr>
    </w:tbl>
    <w:p w14:paraId="1A202C3C" w14:textId="77777777" w:rsidR="00944D13" w:rsidRDefault="00944D13" w:rsidP="00E85591">
      <w:pPr>
        <w:spacing w:line="276" w:lineRule="auto"/>
        <w:jc w:val="both"/>
        <w:rPr>
          <w:rFonts w:eastAsia="Cambria"/>
        </w:rPr>
      </w:pPr>
    </w:p>
    <w:p w14:paraId="1E523815" w14:textId="39AAE588" w:rsidR="0084047F" w:rsidRDefault="0077125D">
      <w:pPr>
        <w:spacing w:after="200" w:line="276" w:lineRule="auto"/>
        <w:rPr>
          <w:rFonts w:eastAsia="Cambria"/>
        </w:rPr>
      </w:pPr>
      <w:r w:rsidRPr="00DC5937">
        <w:rPr>
          <w:rFonts w:eastAsia="Cambria"/>
        </w:rPr>
        <w:t xml:space="preserve">Alex Mayer of MDRC </w:t>
      </w:r>
      <w:r w:rsidR="00024392">
        <w:rPr>
          <w:rFonts w:eastAsia="Cambria"/>
        </w:rPr>
        <w:t>will</w:t>
      </w:r>
      <w:r w:rsidR="00024392" w:rsidRPr="00DC5937">
        <w:rPr>
          <w:rFonts w:eastAsia="Cambria"/>
        </w:rPr>
        <w:t xml:space="preserve"> </w:t>
      </w:r>
      <w:r w:rsidRPr="00DC5937">
        <w:rPr>
          <w:rFonts w:eastAsia="Cambria"/>
        </w:rPr>
        <w:t xml:space="preserve">lead the estimation of the impacts </w:t>
      </w:r>
      <w:r w:rsidR="00074880">
        <w:rPr>
          <w:rFonts w:eastAsia="Cambria"/>
        </w:rPr>
        <w:t xml:space="preserve">for the </w:t>
      </w:r>
      <w:r w:rsidR="00C57C1B" w:rsidRPr="00C57C1B">
        <w:rPr>
          <w:rFonts w:eastAsia="Cambria"/>
          <w:i/>
        </w:rPr>
        <w:t>Text Ed Study</w:t>
      </w:r>
      <w:r w:rsidRPr="00DC5937">
        <w:t>.</w:t>
      </w:r>
      <w:r w:rsidR="00F8006E">
        <w:t xml:space="preserve"> </w:t>
      </w:r>
      <w:r w:rsidR="00024392">
        <w:t>Dan Cullinan of MDRC (212-340-7603) will lead outcome data collection and provide consultation on impact estimation.</w:t>
      </w:r>
      <w:r w:rsidR="0084047F">
        <w:rPr>
          <w:rFonts w:eastAsia="Cambria"/>
        </w:rPr>
        <w:br w:type="page"/>
      </w:r>
    </w:p>
    <w:p w14:paraId="1E523838" w14:textId="77777777" w:rsidR="006C207D" w:rsidRDefault="006C207D" w:rsidP="006C207D">
      <w:pPr>
        <w:pStyle w:val="Heading1"/>
        <w:jc w:val="center"/>
        <w:rPr>
          <w:rFonts w:eastAsiaTheme="minorHAnsi"/>
        </w:rPr>
      </w:pPr>
      <w:bookmarkStart w:id="15" w:name="_Toc468198297"/>
      <w:bookmarkStart w:id="16" w:name="_Toc484499749"/>
      <w:r>
        <w:rPr>
          <w:rFonts w:eastAsiaTheme="minorHAnsi"/>
        </w:rPr>
        <w:lastRenderedPageBreak/>
        <w:t>References</w:t>
      </w:r>
      <w:bookmarkEnd w:id="15"/>
      <w:bookmarkEnd w:id="16"/>
    </w:p>
    <w:p w14:paraId="1E52383D" w14:textId="77777777" w:rsidR="00E011E1" w:rsidRPr="00E82234" w:rsidRDefault="00E011E1" w:rsidP="00B66262"/>
    <w:p w14:paraId="1E52383E" w14:textId="77777777" w:rsidR="00E011E1" w:rsidRPr="00E82234" w:rsidRDefault="00E011E1" w:rsidP="00E011E1">
      <w:pPr>
        <w:ind w:left="720" w:hanging="720"/>
      </w:pPr>
      <w:r w:rsidRPr="00E82234">
        <w:t xml:space="preserve">Bloom, H. S., Zhu, P., Jacob, R., Raudenbush, S., Martinez, A., </w:t>
      </w:r>
      <w:r>
        <w:t>and</w:t>
      </w:r>
      <w:r w:rsidRPr="00E82234">
        <w:t xml:space="preserve"> Lin, F. (2008). Empirical issues in the design of group-randomized studies to measure the effects of interventions for children. </w:t>
      </w:r>
      <w:r w:rsidRPr="00E82234">
        <w:rPr>
          <w:i/>
        </w:rPr>
        <w:t>MDRC Working Papers on Research Methodology.</w:t>
      </w:r>
      <w:r w:rsidRPr="00E82234">
        <w:t xml:space="preserve"> New York: MDRC.</w:t>
      </w:r>
    </w:p>
    <w:p w14:paraId="1E52383F" w14:textId="77777777" w:rsidR="00E011E1" w:rsidRPr="00E82234" w:rsidRDefault="00E011E1" w:rsidP="00E011E1">
      <w:pPr>
        <w:autoSpaceDE w:val="0"/>
        <w:autoSpaceDN w:val="0"/>
        <w:adjustRightInd w:val="0"/>
        <w:ind w:left="720" w:hanging="720"/>
        <w:jc w:val="both"/>
        <w:rPr>
          <w:rFonts w:eastAsia="Calibri"/>
          <w:noProof/>
          <w:color w:val="000000"/>
        </w:rPr>
      </w:pPr>
    </w:p>
    <w:p w14:paraId="1E523840" w14:textId="77777777" w:rsidR="00E011E1" w:rsidRPr="00E82234" w:rsidRDefault="00E011E1" w:rsidP="00E011E1">
      <w:pPr>
        <w:autoSpaceDE w:val="0"/>
        <w:autoSpaceDN w:val="0"/>
        <w:adjustRightInd w:val="0"/>
        <w:ind w:left="720" w:hanging="720"/>
        <w:jc w:val="both"/>
        <w:rPr>
          <w:rFonts w:eastAsia="Calibri"/>
          <w:noProof/>
          <w:color w:val="000000"/>
        </w:rPr>
      </w:pPr>
      <w:r w:rsidRPr="00E82234">
        <w:rPr>
          <w:rFonts w:eastAsia="Calibri"/>
          <w:noProof/>
          <w:color w:val="000000"/>
        </w:rPr>
        <w:t xml:space="preserve">Castleman, B. L. </w:t>
      </w:r>
      <w:r>
        <w:rPr>
          <w:rFonts w:eastAsia="Calibri"/>
          <w:noProof/>
          <w:color w:val="000000"/>
        </w:rPr>
        <w:t>and</w:t>
      </w:r>
      <w:r w:rsidRPr="00E82234">
        <w:rPr>
          <w:rFonts w:eastAsia="Calibri"/>
          <w:noProof/>
          <w:color w:val="000000"/>
        </w:rPr>
        <w:t xml:space="preserve"> Page, L. C. (2015). Summer nudging: Can personalized text messages and peer mentor outreach increase college going among low-income high school graduates? </w:t>
      </w:r>
      <w:r w:rsidRPr="00E82234">
        <w:rPr>
          <w:rFonts w:eastAsia="Calibri"/>
          <w:i/>
          <w:noProof/>
          <w:color w:val="000000"/>
        </w:rPr>
        <w:t>Journal of Economic Behavior and Organization, 115</w:t>
      </w:r>
      <w:r w:rsidRPr="00E82234">
        <w:rPr>
          <w:rFonts w:eastAsia="Calibri"/>
          <w:noProof/>
          <w:color w:val="000000"/>
        </w:rPr>
        <w:t xml:space="preserve">, 144 – 160.  </w:t>
      </w:r>
    </w:p>
    <w:p w14:paraId="1E523841" w14:textId="77777777" w:rsidR="00E011E1" w:rsidRPr="00E82234" w:rsidRDefault="00E011E1" w:rsidP="00E011E1">
      <w:pPr>
        <w:tabs>
          <w:tab w:val="center" w:pos="4320"/>
          <w:tab w:val="right" w:pos="8640"/>
        </w:tabs>
        <w:autoSpaceDE w:val="0"/>
        <w:autoSpaceDN w:val="0"/>
      </w:pPr>
    </w:p>
    <w:p w14:paraId="1E523842" w14:textId="77777777" w:rsidR="00E011E1" w:rsidRPr="00E82234" w:rsidRDefault="00E011E1" w:rsidP="00E011E1">
      <w:pPr>
        <w:tabs>
          <w:tab w:val="center" w:pos="4320"/>
          <w:tab w:val="right" w:pos="8640"/>
        </w:tabs>
        <w:autoSpaceDE w:val="0"/>
        <w:autoSpaceDN w:val="0"/>
        <w:ind w:left="720" w:hanging="720"/>
      </w:pPr>
      <w:r w:rsidRPr="00E82234">
        <w:t xml:space="preserve">Castleman, B. L. </w:t>
      </w:r>
      <w:r>
        <w:t>and</w:t>
      </w:r>
      <w:r w:rsidRPr="00E82234">
        <w:t xml:space="preserve"> Page, L. C. (2016</w:t>
      </w:r>
      <w:r w:rsidRPr="009350E5">
        <w:t>a</w:t>
      </w:r>
      <w:r w:rsidRPr="00E82234">
        <w:t xml:space="preserve">). “Freshman year financial aid nudges: An experiment to increase financial aid renewal and sophomore year persistence.” </w:t>
      </w:r>
      <w:r w:rsidRPr="00E82234">
        <w:rPr>
          <w:i/>
        </w:rPr>
        <w:t>Journal of Human Resources</w:t>
      </w:r>
      <w:r w:rsidRPr="00E82234">
        <w:t xml:space="preserve"> 51(2). </w:t>
      </w:r>
    </w:p>
    <w:p w14:paraId="1E523843" w14:textId="77777777" w:rsidR="00E011E1" w:rsidRPr="00E82234" w:rsidRDefault="00E011E1" w:rsidP="00E011E1">
      <w:pPr>
        <w:tabs>
          <w:tab w:val="center" w:pos="4320"/>
          <w:tab w:val="right" w:pos="8640"/>
        </w:tabs>
        <w:autoSpaceDE w:val="0"/>
        <w:autoSpaceDN w:val="0"/>
        <w:ind w:left="720" w:hanging="720"/>
      </w:pPr>
    </w:p>
    <w:p w14:paraId="1E523844" w14:textId="77777777" w:rsidR="00E011E1" w:rsidRPr="00E82234" w:rsidRDefault="00E011E1" w:rsidP="00E011E1">
      <w:pPr>
        <w:tabs>
          <w:tab w:val="center" w:pos="4320"/>
          <w:tab w:val="right" w:pos="8640"/>
        </w:tabs>
        <w:autoSpaceDE w:val="0"/>
        <w:autoSpaceDN w:val="0"/>
        <w:ind w:left="720" w:hanging="720"/>
      </w:pPr>
      <w:r w:rsidRPr="00E82234">
        <w:t xml:space="preserve">Castleman, B. L. </w:t>
      </w:r>
      <w:r>
        <w:t>and</w:t>
      </w:r>
      <w:r w:rsidRPr="00E82234">
        <w:t xml:space="preserve"> Page, L. C. (2016</w:t>
      </w:r>
      <w:r w:rsidRPr="009350E5">
        <w:t>b</w:t>
      </w:r>
      <w:r w:rsidRPr="00E82234">
        <w:t>). “Parental Influences on Postsecondary Decision-Making: Evidence from a Text Messaging Experiment”. Available at SSRN: https://ssrn.com/abstract=2778080 or http://dx.doi.org/10.2139/ssrn.2778080</w:t>
      </w:r>
    </w:p>
    <w:p w14:paraId="1E523847" w14:textId="77777777" w:rsidR="00E011E1" w:rsidRPr="00E82234" w:rsidRDefault="00E011E1" w:rsidP="00B66262">
      <w:pPr>
        <w:tabs>
          <w:tab w:val="center" w:pos="4320"/>
          <w:tab w:val="right" w:pos="8640"/>
        </w:tabs>
        <w:autoSpaceDE w:val="0"/>
        <w:autoSpaceDN w:val="0"/>
      </w:pPr>
    </w:p>
    <w:p w14:paraId="1E52384E" w14:textId="27112491" w:rsidR="00E011E1" w:rsidRPr="009350E5" w:rsidRDefault="00E011E1" w:rsidP="00B66262">
      <w:pPr>
        <w:ind w:left="720" w:hanging="720"/>
      </w:pPr>
      <w:r w:rsidRPr="00E82234">
        <w:t xml:space="preserve">Dong, N., </w:t>
      </w:r>
      <w:r>
        <w:t>and</w:t>
      </w:r>
      <w:r w:rsidRPr="00E82234">
        <w:t xml:space="preserve"> Maynard, R. (2013). PowerUp!: A tool for calculating minimum detectable effect sizes and minimum required sample sizes for experimental and quasi-experimental design studies. </w:t>
      </w:r>
      <w:r w:rsidRPr="00E82234">
        <w:rPr>
          <w:i/>
          <w:iCs/>
        </w:rPr>
        <w:t>Journal of Research on Educational Effectiveness, 6</w:t>
      </w:r>
      <w:r w:rsidRPr="00E82234">
        <w:t>(1</w:t>
      </w:r>
      <w:r w:rsidR="00B66262">
        <w:t>), 24-67.</w:t>
      </w:r>
    </w:p>
    <w:p w14:paraId="1BABF89B" w14:textId="77777777" w:rsidR="00CD7715" w:rsidRDefault="00CD7715" w:rsidP="00E011E1">
      <w:pPr>
        <w:ind w:left="720" w:hanging="720"/>
      </w:pPr>
    </w:p>
    <w:p w14:paraId="1E52384F" w14:textId="77777777" w:rsidR="00E011E1" w:rsidRPr="00E82234" w:rsidRDefault="00E011E1" w:rsidP="00E011E1">
      <w:pPr>
        <w:ind w:left="720" w:hanging="720"/>
      </w:pPr>
      <w:r w:rsidRPr="00E82234">
        <w:t xml:space="preserve">Jacob, R., Zhu, P., </w:t>
      </w:r>
      <w:r>
        <w:t>and</w:t>
      </w:r>
      <w:r w:rsidRPr="00E82234">
        <w:t xml:space="preserve"> Bloom, H. S. (2009). New empirical evidence for the design of group randomized trials in education. </w:t>
      </w:r>
      <w:r w:rsidRPr="00E82234">
        <w:rPr>
          <w:i/>
          <w:iCs/>
        </w:rPr>
        <w:t>MDRC Working Papers on Research Methodology</w:t>
      </w:r>
      <w:r w:rsidRPr="00E82234">
        <w:t>. New York: MDRC.</w:t>
      </w:r>
    </w:p>
    <w:p w14:paraId="1E523854" w14:textId="77777777" w:rsidR="00E011E1" w:rsidRPr="00E82234" w:rsidRDefault="00E011E1" w:rsidP="00E011E1"/>
    <w:p w14:paraId="1E523855" w14:textId="77777777" w:rsidR="00E011E1" w:rsidRDefault="00E011E1" w:rsidP="00E011E1">
      <w:pPr>
        <w:ind w:left="720" w:hanging="720"/>
      </w:pPr>
      <w:r w:rsidRPr="00E82234">
        <w:t xml:space="preserve">Raudenbush, S. W., </w:t>
      </w:r>
      <w:r>
        <w:t>and</w:t>
      </w:r>
      <w:r w:rsidRPr="00E82234">
        <w:t xml:space="preserve"> Liu, X. (2000). Statistical power and optimal design for multisite randomized trials. </w:t>
      </w:r>
      <w:r w:rsidRPr="00E82234">
        <w:rPr>
          <w:i/>
          <w:iCs/>
        </w:rPr>
        <w:t>Psychological Methods, 5</w:t>
      </w:r>
      <w:r w:rsidRPr="00E82234">
        <w:t>(2), 199-213.</w:t>
      </w:r>
    </w:p>
    <w:p w14:paraId="4294FFE6" w14:textId="77777777" w:rsidR="00CD7715" w:rsidRPr="00E82234" w:rsidRDefault="00CD7715" w:rsidP="00E011E1">
      <w:pPr>
        <w:ind w:left="720" w:hanging="720"/>
      </w:pPr>
    </w:p>
    <w:p w14:paraId="7BCEAB77" w14:textId="77777777" w:rsidR="00CD7715" w:rsidRDefault="00CD7715" w:rsidP="00CD7715">
      <w:pPr>
        <w:ind w:left="720" w:hanging="720"/>
      </w:pPr>
      <w:r w:rsidRPr="007F7614">
        <w:t>Raudenbush, S. W., (2015). Estimation of Means and Covariance Components in Multisite Randomized Trails.  Learning About and from Variation in Program Impacts (MDRC). New York, New York.</w:t>
      </w:r>
    </w:p>
    <w:p w14:paraId="1E523856" w14:textId="77777777" w:rsidR="00E011E1" w:rsidRPr="00E82234" w:rsidRDefault="00E011E1" w:rsidP="00E011E1">
      <w:pPr>
        <w:ind w:left="720" w:hanging="720"/>
      </w:pPr>
    </w:p>
    <w:p w14:paraId="1E523857" w14:textId="77777777" w:rsidR="00E011E1" w:rsidRPr="00E82234" w:rsidRDefault="00E011E1" w:rsidP="00E011E1">
      <w:pPr>
        <w:ind w:left="720" w:hanging="720"/>
      </w:pPr>
      <w:r w:rsidRPr="00E82234">
        <w:t xml:space="preserve">Spybrook, J., </w:t>
      </w:r>
      <w:r>
        <w:t>and</w:t>
      </w:r>
      <w:r w:rsidRPr="00E82234">
        <w:t xml:space="preserve"> Bloom, H. S. (under review). Determining minimum detectable cross-site mean effect sizes, minimum detectable cross-site variation in effect sizes and minimum detectable effect size differences for categories of sites for multi-site trials. </w:t>
      </w:r>
    </w:p>
    <w:p w14:paraId="1E523860" w14:textId="77777777" w:rsidR="00E011E1" w:rsidRPr="00E82234" w:rsidRDefault="00E011E1" w:rsidP="00B66262"/>
    <w:p w14:paraId="1E523863" w14:textId="6802A80D" w:rsidR="006C207D" w:rsidRDefault="00E011E1" w:rsidP="00C616DE">
      <w:pPr>
        <w:ind w:left="720" w:hanging="720"/>
        <w:rPr>
          <w:rFonts w:asciiTheme="majorHAnsi" w:eastAsiaTheme="minorHAnsi" w:hAnsiTheme="majorHAnsi" w:cstheme="majorBidi"/>
          <w:b/>
          <w:bCs/>
          <w:color w:val="000000" w:themeColor="accent1" w:themeShade="BF"/>
          <w:sz w:val="28"/>
          <w:szCs w:val="28"/>
        </w:rPr>
      </w:pPr>
      <w:r w:rsidRPr="00E82234">
        <w:t xml:space="preserve">Weiss, Bloom, Verbitsky-Savitz, Gupta, Vigil, Blake, </w:t>
      </w:r>
      <w:r>
        <w:t>and</w:t>
      </w:r>
      <w:r w:rsidRPr="00E82234">
        <w:t xml:space="preserve"> Armstrong (2016).  How much do the program effects vary across sites? Presented at the Society for Research on Educational Effectiveness spring conference.</w:t>
      </w:r>
    </w:p>
    <w:sectPr w:rsidR="006C20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E06AF" w14:textId="77777777" w:rsidR="00AC43AD" w:rsidRDefault="00AC43AD" w:rsidP="001D44B8">
      <w:r>
        <w:separator/>
      </w:r>
    </w:p>
  </w:endnote>
  <w:endnote w:type="continuationSeparator" w:id="0">
    <w:p w14:paraId="317DAE77" w14:textId="77777777" w:rsidR="00AC43AD" w:rsidRDefault="00AC43AD" w:rsidP="001D44B8">
      <w:r>
        <w:continuationSeparator/>
      </w:r>
    </w:p>
  </w:endnote>
  <w:endnote w:type="continuationNotice" w:id="1">
    <w:p w14:paraId="78C8E6ED" w14:textId="77777777" w:rsidR="00AC43AD" w:rsidRDefault="00AC43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8747"/>
      <w:docPartObj>
        <w:docPartGallery w:val="Page Numbers (Bottom of Page)"/>
        <w:docPartUnique/>
      </w:docPartObj>
    </w:sdtPr>
    <w:sdtEndPr>
      <w:rPr>
        <w:noProof/>
      </w:rPr>
    </w:sdtEndPr>
    <w:sdtContent>
      <w:p w14:paraId="1E5239A1" w14:textId="77777777" w:rsidR="002816BE" w:rsidRDefault="002816BE">
        <w:pPr>
          <w:pStyle w:val="Footer"/>
          <w:jc w:val="center"/>
        </w:pPr>
        <w:r>
          <w:fldChar w:fldCharType="begin"/>
        </w:r>
        <w:r>
          <w:instrText xml:space="preserve"> PAGE   \* MERGEFORMAT </w:instrText>
        </w:r>
        <w:r>
          <w:fldChar w:fldCharType="separate"/>
        </w:r>
        <w:r w:rsidR="002466FF">
          <w:rPr>
            <w:noProof/>
          </w:rPr>
          <w:t>10</w:t>
        </w:r>
        <w:r>
          <w:rPr>
            <w:noProof/>
          </w:rPr>
          <w:fldChar w:fldCharType="end"/>
        </w:r>
      </w:p>
    </w:sdtContent>
  </w:sdt>
  <w:p w14:paraId="1E5239A2" w14:textId="77777777" w:rsidR="002816BE" w:rsidRDefault="002816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C1120" w14:textId="77777777" w:rsidR="00AC43AD" w:rsidRDefault="00AC43AD" w:rsidP="001D44B8">
      <w:r>
        <w:separator/>
      </w:r>
    </w:p>
  </w:footnote>
  <w:footnote w:type="continuationSeparator" w:id="0">
    <w:p w14:paraId="514F48E6" w14:textId="77777777" w:rsidR="00AC43AD" w:rsidRDefault="00AC43AD" w:rsidP="001D44B8">
      <w:r>
        <w:continuationSeparator/>
      </w:r>
    </w:p>
  </w:footnote>
  <w:footnote w:type="continuationNotice" w:id="1">
    <w:p w14:paraId="1B9CA821" w14:textId="77777777" w:rsidR="00AC43AD" w:rsidRDefault="00AC43AD"/>
  </w:footnote>
  <w:footnote w:id="2">
    <w:p w14:paraId="1E5239A5" w14:textId="77777777" w:rsidR="002816BE" w:rsidRPr="002C76DA" w:rsidRDefault="002816BE" w:rsidP="00EC1242">
      <w:pPr>
        <w:pStyle w:val="FootnoteText"/>
      </w:pPr>
      <w:r w:rsidRPr="003F0DFD">
        <w:rPr>
          <w:rStyle w:val="FootnoteReference"/>
        </w:rPr>
        <w:footnoteRef/>
      </w:r>
      <w:r w:rsidRPr="003F0DFD">
        <w:t xml:space="preserve"> This formula assumes </w:t>
      </w:r>
      <m:oMath>
        <m:sSub>
          <m:sSubPr>
            <m:ctrlPr>
              <w:rPr>
                <w:rFonts w:ascii="Cambria Math" w:hAnsi="Cambria Math"/>
                <w:i/>
              </w:rPr>
            </m:ctrlPr>
          </m:sSubPr>
          <m:e>
            <m:r>
              <w:rPr>
                <w:rFonts w:ascii="Cambria Math" w:hAnsi="Cambria Math"/>
              </w:rPr>
              <m:t>n</m:t>
            </m:r>
          </m:e>
          <m:sub>
            <m:r>
              <w:rPr>
                <w:rFonts w:ascii="Cambria Math" w:hAnsi="Cambria Math"/>
              </w:rPr>
              <m:t>j</m:t>
            </m:r>
          </m:sub>
        </m:sSub>
      </m:oMath>
      <w:r w:rsidRPr="002C76DA">
        <w:rPr>
          <w:rFonts w:eastAsiaTheme="minorEastAsia"/>
        </w:rPr>
        <w:t xml:space="preserve"> and </w:t>
      </w:r>
      <m:oMath>
        <m:sSub>
          <m:sSubPr>
            <m:ctrlPr>
              <w:rPr>
                <w:rFonts w:ascii="Cambria Math" w:hAnsi="Cambria Math"/>
                <w:i/>
                <w:iCs/>
              </w:rPr>
            </m:ctrlPr>
          </m:sSubPr>
          <m:e>
            <m:acc>
              <m:accPr>
                <m:chr m:val="̅"/>
                <m:ctrlPr>
                  <w:rPr>
                    <w:rFonts w:ascii="Cambria Math" w:hAnsi="Cambria Math"/>
                    <w:i/>
                    <w:iCs/>
                  </w:rPr>
                </m:ctrlPr>
              </m:accPr>
              <m:e>
                <m:r>
                  <w:rPr>
                    <w:rFonts w:ascii="Cambria Math" w:hAnsi="Cambria Math"/>
                  </w:rPr>
                  <m:t>T</m:t>
                </m:r>
              </m:e>
            </m:acc>
          </m:e>
          <m:sub>
            <m:r>
              <w:rPr>
                <w:rFonts w:ascii="Cambria Math" w:hAnsi="Cambria Math"/>
              </w:rPr>
              <m:t>j</m:t>
            </m:r>
          </m:sub>
        </m:sSub>
      </m:oMath>
      <w:r w:rsidRPr="002C76DA">
        <w:rPr>
          <w:rFonts w:eastAsiaTheme="minorEastAsia"/>
        </w:rPr>
        <w:t xml:space="preserve"> are constant across sites and </w:t>
      </w:r>
      <m:oMath>
        <m:sSup>
          <m:sSupPr>
            <m:ctrlPr>
              <w:rPr>
                <w:rFonts w:ascii="Cambria Math" w:hAnsi="Cambria Math"/>
                <w:i/>
                <w:iCs/>
              </w:rPr>
            </m:ctrlPr>
          </m:sSupPr>
          <m:e>
            <m:r>
              <w:rPr>
                <w:rFonts w:ascii="Cambria Math" w:hAnsi="Cambria Math"/>
              </w:rPr>
              <m:t>σ</m:t>
            </m:r>
          </m:e>
          <m:sup>
            <m:r>
              <w:rPr>
                <w:rFonts w:ascii="Cambria Math" w:hAnsi="Cambria Math"/>
              </w:rPr>
              <m:t>2</m:t>
            </m:r>
          </m:sup>
        </m:sSup>
      </m:oMath>
      <w:r w:rsidRPr="002C76DA">
        <w:rPr>
          <w:rFonts w:eastAsiaTheme="minorEastAsia"/>
        </w:rPr>
        <w:t xml:space="preserve"> </w:t>
      </w:r>
      <w:r w:rsidRPr="002C76DA">
        <w:t>is approximately constant across sites and experimental conditions.</w:t>
      </w:r>
    </w:p>
  </w:footnote>
  <w:footnote w:id="3">
    <w:p w14:paraId="1E5239A6" w14:textId="77777777" w:rsidR="002816BE" w:rsidRPr="008E1DE3" w:rsidRDefault="002816BE" w:rsidP="008E1DE3">
      <w:pPr>
        <w:pStyle w:val="FootnoteText"/>
        <w:jc w:val="both"/>
      </w:pPr>
      <w:r w:rsidRPr="003C11CE">
        <w:rPr>
          <w:rStyle w:val="FootnoteReference"/>
        </w:rPr>
        <w:footnoteRef/>
      </w:r>
      <w:r w:rsidRPr="003C11CE">
        <w:t xml:space="preserve"> MDRC currently has an IES-funded research methods grant that focuses on filling the information void with respect to reasonable values of </w:t>
      </w:r>
      <m:oMath>
        <m:sSup>
          <m:sSupPr>
            <m:ctrlPr>
              <w:rPr>
                <w:rFonts w:ascii="Cambria Math" w:hAnsi="Cambria Math"/>
                <w:i/>
                <w:iCs/>
              </w:rPr>
            </m:ctrlPr>
          </m:sSupPr>
          <m:e>
            <m:r>
              <w:rPr>
                <w:rFonts w:ascii="Cambria Math" w:hAnsi="Cambria Math"/>
              </w:rPr>
              <m:t>τ</m:t>
            </m:r>
          </m:e>
          <m:sup>
            <m:r>
              <w:rPr>
                <w:rFonts w:ascii="Cambria Math" w:hAnsi="Cambria Math"/>
              </w:rPr>
              <m:t>2</m:t>
            </m:r>
          </m:sup>
        </m:sSup>
      </m:oMath>
      <w:r w:rsidRPr="003C11CE">
        <w:rPr>
          <w:rFonts w:eastAsiaTheme="minorEastAsia"/>
          <w:iCs/>
        </w:rPr>
        <w:t xml:space="preserve"> for designing multi-site trials like this one. The assumption that </w:t>
      </w:r>
      <m:oMath>
        <m:sSup>
          <m:sSupPr>
            <m:ctrlPr>
              <w:rPr>
                <w:rFonts w:ascii="Cambria Math" w:hAnsi="Cambria Math"/>
                <w:i/>
                <w:iCs/>
              </w:rPr>
            </m:ctrlPr>
          </m:sSupPr>
          <m:e>
            <m:r>
              <w:rPr>
                <w:rFonts w:ascii="Cambria Math" w:hAnsi="Cambria Math"/>
              </w:rPr>
              <m:t>τ</m:t>
            </m:r>
          </m:e>
          <m:sup>
            <m:r>
              <w:rPr>
                <w:rFonts w:ascii="Cambria Math" w:hAnsi="Cambria Math"/>
              </w:rPr>
              <m:t>2</m:t>
            </m:r>
          </m:sup>
        </m:sSup>
      </m:oMath>
      <w:r w:rsidRPr="003C11CE">
        <w:rPr>
          <w:rFonts w:eastAsiaTheme="minorEastAsia"/>
          <w:iCs/>
        </w:rPr>
        <w:t xml:space="preserve">=.00625 implies </w:t>
      </w:r>
      <m:oMath>
        <m:r>
          <w:rPr>
            <w:rFonts w:ascii="Cambria Math" w:hAnsi="Cambria Math"/>
          </w:rPr>
          <m:t>τ</m:t>
        </m:r>
      </m:oMath>
      <w:r w:rsidRPr="003C11CE">
        <w:rPr>
          <w:rFonts w:eastAsiaTheme="minorEastAsia"/>
        </w:rPr>
        <w:t>=0.025 percentage points. This means that if the EOC-level distribution of average treatment effects is normal, then the average treatment effect at 95 percent of the EOCs will fall within a  9.8 percentage point range (±1.96*0.025 yields a 0.098, or 9.8 percentage point range).</w:t>
      </w:r>
    </w:p>
  </w:footnote>
  <w:footnote w:id="4">
    <w:p w14:paraId="1E5239A7" w14:textId="77777777" w:rsidR="002816BE" w:rsidRPr="008E1DE3" w:rsidRDefault="002816BE" w:rsidP="008E1DE3">
      <w:pPr>
        <w:pStyle w:val="FootnoteText"/>
        <w:jc w:val="both"/>
      </w:pPr>
      <w:r w:rsidRPr="008E1DE3">
        <w:rPr>
          <w:rStyle w:val="FootnoteReference"/>
        </w:rPr>
        <w:footnoteRef/>
      </w:r>
      <w:r w:rsidRPr="008E1DE3">
        <w:t xml:space="preserve"> Given the proposed estimation model, the ICC is negatively associated with the MDE because the EOC fixed effects explain all the cross site variation in average outcome levels. This is in contrast to cluster-randomized trials, where the ICC is positively associated with the MDE. Therefore, this small ICC is a prudent assumption.</w:t>
      </w:r>
    </w:p>
  </w:footnote>
  <w:footnote w:id="5">
    <w:p w14:paraId="1E5239A8" w14:textId="77777777" w:rsidR="002816BE" w:rsidRPr="008E1DE3" w:rsidRDefault="002816BE" w:rsidP="008E1DE3">
      <w:pPr>
        <w:pStyle w:val="FootnoteText"/>
        <w:jc w:val="both"/>
      </w:pPr>
      <w:r w:rsidRPr="008E1DE3">
        <w:rPr>
          <w:rStyle w:val="FootnoteReference"/>
        </w:rPr>
        <w:footnoteRef/>
      </w:r>
      <w:r w:rsidRPr="008E1DE3">
        <w:t xml:space="preserve"> For a binary outcome the variance is p(1-p), where p is the probability of success. Therefore, </w:t>
      </w:r>
      <m:oMath>
        <m:sSup>
          <m:sSupPr>
            <m:ctrlPr>
              <w:rPr>
                <w:rFonts w:ascii="Cambria Math" w:hAnsi="Cambria Math"/>
                <w:i/>
              </w:rPr>
            </m:ctrlPr>
          </m:sSupPr>
          <m:e>
            <m:r>
              <w:rPr>
                <w:rFonts w:ascii="Cambria Math" w:hAnsi="Cambria Math"/>
              </w:rPr>
              <m:t>σ</m:t>
            </m:r>
          </m:e>
          <m:sup>
            <m:r>
              <w:rPr>
                <w:rFonts w:ascii="Cambria Math" w:hAnsi="Cambria Math"/>
              </w:rPr>
              <m:t>2</m:t>
            </m:r>
          </m:sup>
        </m:sSup>
      </m:oMath>
      <w:r w:rsidRPr="008E1DE3">
        <w:rPr>
          <w:rFonts w:eastAsiaTheme="minorEastAsia"/>
        </w:rPr>
        <w:t xml:space="preserve"> (and the MDE) are maximized when p=.50, yielding </w:t>
      </w:r>
      <m:oMath>
        <m:sSup>
          <m:sSupPr>
            <m:ctrlPr>
              <w:rPr>
                <w:rFonts w:ascii="Cambria Math" w:hAnsi="Cambria Math"/>
                <w:i/>
              </w:rPr>
            </m:ctrlPr>
          </m:sSupPr>
          <m:e>
            <m:r>
              <w:rPr>
                <w:rFonts w:ascii="Cambria Math" w:hAnsi="Cambria Math"/>
              </w:rPr>
              <m:t>σ</m:t>
            </m:r>
          </m:e>
          <m:sup>
            <m:r>
              <w:rPr>
                <w:rFonts w:ascii="Cambria Math" w:hAnsi="Cambria Math"/>
              </w:rPr>
              <m:t>2</m:t>
            </m:r>
          </m:sup>
        </m:sSup>
      </m:oMath>
      <w:r w:rsidRPr="008E1DE3">
        <w:rPr>
          <w:rFonts w:eastAsiaTheme="minorEastAsia"/>
        </w:rPr>
        <w:t>=0.25.  Unless p is fairly extreme (e.g., p&lt;.3 or p&gt;.7), the MDE remains stable.</w:t>
      </w:r>
    </w:p>
  </w:footnote>
  <w:footnote w:id="6">
    <w:p w14:paraId="1E5239A9" w14:textId="77777777" w:rsidR="002816BE" w:rsidRPr="0025048E" w:rsidRDefault="002816BE" w:rsidP="008E1DE3">
      <w:pPr>
        <w:pStyle w:val="FootnoteText"/>
        <w:jc w:val="both"/>
        <w:rPr>
          <w:rFonts w:ascii="Arial Narrow" w:hAnsi="Arial Narrow"/>
          <w:sz w:val="22"/>
          <w:szCs w:val="22"/>
        </w:rPr>
      </w:pPr>
      <w:r w:rsidRPr="008E1DE3">
        <w:rPr>
          <w:rStyle w:val="FootnoteReference"/>
        </w:rPr>
        <w:footnoteRef/>
      </w:r>
      <w:r w:rsidRPr="008E1DE3">
        <w:t xml:space="preserve"> This assumption minimizes the MDE; however, as long as .30&lt;</w:t>
      </w:r>
      <m:oMath>
        <m:acc>
          <m:accPr>
            <m:chr m:val="̅"/>
            <m:ctrlPr>
              <w:rPr>
                <w:rFonts w:ascii="Cambria Math" w:hAnsi="Cambria Math"/>
                <w:i/>
                <w:iCs/>
              </w:rPr>
            </m:ctrlPr>
          </m:accPr>
          <m:e>
            <m:r>
              <w:rPr>
                <w:rFonts w:ascii="Cambria Math" w:hAnsi="Cambria Math"/>
              </w:rPr>
              <m:t>T</m:t>
            </m:r>
          </m:e>
        </m:acc>
      </m:oMath>
      <w:r w:rsidRPr="008E1DE3">
        <w:t>&lt;.70 the MDE remains stable.</w:t>
      </w:r>
    </w:p>
  </w:footnote>
  <w:footnote w:id="7">
    <w:p w14:paraId="1E5239AA" w14:textId="5CB321AA" w:rsidR="002816BE" w:rsidRPr="00EB0A7E" w:rsidRDefault="002816BE" w:rsidP="00D87637">
      <w:r w:rsidRPr="00EB0A7E">
        <w:rPr>
          <w:rStyle w:val="FootnoteReference"/>
          <w:sz w:val="20"/>
          <w:szCs w:val="20"/>
        </w:rPr>
        <w:footnoteRef/>
      </w:r>
      <w:r w:rsidRPr="00D87637">
        <w:rPr>
          <w:color w:val="000000"/>
          <w:sz w:val="20"/>
          <w:szCs w:val="20"/>
        </w:rPr>
        <w:t xml:space="preserve">Values are </w:t>
      </w:r>
      <w:r>
        <w:rPr>
          <w:color w:val="000000"/>
          <w:sz w:val="20"/>
          <w:szCs w:val="20"/>
        </w:rPr>
        <w:t>for two-tailed significance=0.05</w:t>
      </w:r>
      <w:r w:rsidRPr="00D87637">
        <w:rPr>
          <w:color w:val="000000"/>
          <w:sz w:val="20"/>
          <w:szCs w:val="20"/>
        </w:rPr>
        <w:t xml:space="preserve">, power=80 percent, </w:t>
      </w:r>
      <m:oMath>
        <m:sSup>
          <m:sSupPr>
            <m:ctrlPr>
              <w:rPr>
                <w:rFonts w:ascii="Cambria Math" w:hAnsi="Cambria Math"/>
                <w:i/>
                <w:iCs/>
                <w:sz w:val="20"/>
                <w:szCs w:val="20"/>
              </w:rPr>
            </m:ctrlPr>
          </m:sSupPr>
          <m:e>
            <m:r>
              <w:rPr>
                <w:rFonts w:ascii="Cambria Math" w:hAnsi="Cambria Math"/>
                <w:sz w:val="20"/>
                <w:szCs w:val="20"/>
              </w:rPr>
              <m:t>τ</m:t>
            </m:r>
          </m:e>
          <m:sup>
            <m:r>
              <w:rPr>
                <w:rFonts w:ascii="Cambria Math" w:hAnsi="Cambria Math"/>
                <w:sz w:val="20"/>
                <w:szCs w:val="20"/>
              </w:rPr>
              <m:t>2</m:t>
            </m:r>
          </m:sup>
        </m:sSup>
      </m:oMath>
      <w:r w:rsidRPr="00D87637">
        <w:rPr>
          <w:rFonts w:eastAsiaTheme="minorEastAsia"/>
          <w:iCs/>
          <w:sz w:val="20"/>
          <w:szCs w:val="20"/>
        </w:rPr>
        <w:t>=.00625,</w:t>
      </w:r>
      <w:r w:rsidRPr="00D87637">
        <w:rPr>
          <w:color w:val="000000"/>
          <w:sz w:val="20"/>
          <w:szCs w:val="20"/>
        </w:rPr>
        <w:t xml:space="preserve"> </w:t>
      </w:r>
      <m:oMath>
        <m:r>
          <w:rPr>
            <w:rFonts w:ascii="Cambria Math" w:hAnsi="Cambria Math"/>
            <w:sz w:val="20"/>
            <w:szCs w:val="20"/>
          </w:rPr>
          <m:t>ICC</m:t>
        </m:r>
      </m:oMath>
      <w:r w:rsidRPr="00D87637">
        <w:rPr>
          <w:rFonts w:eastAsiaTheme="minorEastAsia"/>
          <w:sz w:val="20"/>
          <w:szCs w:val="20"/>
        </w:rPr>
        <w:t>=0.05</w:t>
      </w:r>
      <w:r w:rsidRPr="00D87637">
        <w:rPr>
          <w:color w:val="000000"/>
          <w:sz w:val="20"/>
          <w:szCs w:val="20"/>
        </w:rPr>
        <w:t xml:space="preserve">, </w:t>
      </w:r>
      <m:oMath>
        <m:sSubSup>
          <m:sSubSupPr>
            <m:ctrlPr>
              <w:rPr>
                <w:rFonts w:ascii="Cambria Math" w:hAnsi="Cambria Math"/>
                <w:i/>
                <w:iCs/>
                <w:sz w:val="20"/>
                <w:szCs w:val="20"/>
              </w:rPr>
            </m:ctrlPr>
          </m:sSubSupPr>
          <m:e>
            <m:r>
              <w:rPr>
                <w:rFonts w:ascii="Cambria Math" w:hAnsi="Cambria Math"/>
                <w:sz w:val="20"/>
                <w:szCs w:val="20"/>
              </w:rPr>
              <m:t>r</m:t>
            </m:r>
          </m:e>
          <m:sub>
            <m:r>
              <w:rPr>
                <w:rFonts w:ascii="Cambria Math" w:hAnsi="Cambria Math"/>
                <w:sz w:val="20"/>
                <w:szCs w:val="20"/>
              </w:rPr>
              <m:t>L1</m:t>
            </m:r>
          </m:sub>
          <m:sup>
            <m:r>
              <w:rPr>
                <w:rFonts w:ascii="Cambria Math" w:hAnsi="Cambria Math"/>
                <w:sz w:val="20"/>
                <w:szCs w:val="20"/>
              </w:rPr>
              <m:t>2</m:t>
            </m:r>
          </m:sup>
        </m:sSubSup>
      </m:oMath>
      <w:r w:rsidRPr="00D87637">
        <w:rPr>
          <w:rFonts w:eastAsiaTheme="minorEastAsia"/>
          <w:iCs/>
          <w:sz w:val="20"/>
          <w:szCs w:val="20"/>
        </w:rPr>
        <w:t xml:space="preserve">=0, </w:t>
      </w:r>
      <m:oMath>
        <m:sSup>
          <m:sSupPr>
            <m:ctrlPr>
              <w:rPr>
                <w:rFonts w:ascii="Cambria Math" w:hAnsi="Cambria Math"/>
                <w:i/>
                <w:sz w:val="20"/>
                <w:szCs w:val="20"/>
              </w:rPr>
            </m:ctrlPr>
          </m:sSupPr>
          <m:e>
            <m:r>
              <w:rPr>
                <w:rFonts w:ascii="Cambria Math" w:hAnsi="Cambria Math"/>
                <w:sz w:val="20"/>
                <w:szCs w:val="20"/>
              </w:rPr>
              <m:t>σ</m:t>
            </m:r>
          </m:e>
          <m:sup>
            <m:r>
              <w:rPr>
                <w:rFonts w:ascii="Cambria Math" w:hAnsi="Cambria Math"/>
                <w:sz w:val="20"/>
                <w:szCs w:val="20"/>
              </w:rPr>
              <m:t>2</m:t>
            </m:r>
          </m:sup>
        </m:sSup>
      </m:oMath>
      <w:r w:rsidRPr="00D87637">
        <w:rPr>
          <w:rFonts w:eastAsiaTheme="minorEastAsia"/>
          <w:sz w:val="20"/>
          <w:szCs w:val="20"/>
        </w:rPr>
        <w:t>=0.25,</w:t>
      </w:r>
      <w:r w:rsidRPr="00D87637">
        <w:rPr>
          <w:rFonts w:eastAsiaTheme="minorEastAsia"/>
          <w:iCs/>
          <w:sz w:val="20"/>
          <w:szCs w:val="20"/>
        </w:rPr>
        <w:t xml:space="preserve"> and</w:t>
      </w:r>
      <w:r w:rsidRPr="00D87637">
        <w:rPr>
          <w:color w:val="000000"/>
          <w:sz w:val="20"/>
          <w:szCs w:val="20"/>
        </w:rPr>
        <w:t xml:space="preserve"> </w:t>
      </w:r>
      <m:oMath>
        <m:acc>
          <m:accPr>
            <m:chr m:val="̅"/>
            <m:ctrlPr>
              <w:rPr>
                <w:rFonts w:ascii="Cambria Math" w:hAnsi="Cambria Math"/>
                <w:i/>
                <w:iCs/>
                <w:sz w:val="20"/>
                <w:szCs w:val="20"/>
              </w:rPr>
            </m:ctrlPr>
          </m:accPr>
          <m:e>
            <m:r>
              <w:rPr>
                <w:rFonts w:ascii="Cambria Math" w:hAnsi="Cambria Math"/>
                <w:sz w:val="20"/>
                <w:szCs w:val="20"/>
              </w:rPr>
              <m:t>T</m:t>
            </m:r>
          </m:e>
        </m:acc>
      </m:oMath>
      <w:r w:rsidRPr="00D87637">
        <w:rPr>
          <w:rFonts w:eastAsiaTheme="minorEastAsia"/>
          <w:iCs/>
          <w:sz w:val="20"/>
          <w:szCs w:val="20"/>
        </w:rPr>
        <w:t>=.50.</w:t>
      </w:r>
      <w:r w:rsidRPr="00EB0A7E">
        <w:rPr>
          <w:sz w:val="20"/>
          <w:szCs w:val="20"/>
        </w:rPr>
        <w:t xml:space="preserve"> </w:t>
      </w:r>
    </w:p>
  </w:footnote>
  <w:footnote w:id="8">
    <w:p w14:paraId="13099B0B" w14:textId="61905BE2" w:rsidR="002816BE" w:rsidRDefault="002816BE">
      <w:pPr>
        <w:pStyle w:val="FootnoteText"/>
      </w:pPr>
      <w:r>
        <w:rPr>
          <w:rStyle w:val="FootnoteReference"/>
        </w:rPr>
        <w:footnoteRef/>
      </w:r>
      <w:r>
        <w:t xml:space="preserve"> Some students opt out of being tracked by the NSC. In order to obtain records for those students, the Informed Consent Form must explicitly state that a student’s SSN will be used to access his or her Clearinghouse records and state that the </w:t>
      </w:r>
      <w:r w:rsidRPr="00172481">
        <w:t xml:space="preserve">“student agrees to waive their rights under FERPA and allow access to academic records from </w:t>
      </w:r>
      <w:r>
        <w:t>all</w:t>
      </w:r>
      <w:r w:rsidRPr="00172481">
        <w:t xml:space="preserve"> institutions they have attended.”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239A0" w14:textId="77777777" w:rsidR="002816BE" w:rsidRDefault="002816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3098"/>
    <w:multiLevelType w:val="hybridMultilevel"/>
    <w:tmpl w:val="8C1209EC"/>
    <w:lvl w:ilvl="0" w:tplc="BFE89A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F7974"/>
    <w:multiLevelType w:val="hybridMultilevel"/>
    <w:tmpl w:val="5064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E2452"/>
    <w:multiLevelType w:val="hybridMultilevel"/>
    <w:tmpl w:val="697AFF48"/>
    <w:lvl w:ilvl="0" w:tplc="2A92A9C0">
      <w:start w:val="1"/>
      <w:numFmt w:val="decimal"/>
      <w:lvlText w:val="(%1)"/>
      <w:lvlJc w:val="left"/>
      <w:pPr>
        <w:ind w:left="720" w:hanging="360"/>
      </w:pPr>
      <w:rPr>
        <w:rFonts w:hint="default"/>
      </w:rPr>
    </w:lvl>
    <w:lvl w:ilvl="1" w:tplc="F19ED7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4B5416"/>
    <w:multiLevelType w:val="hybridMultilevel"/>
    <w:tmpl w:val="5888DCD2"/>
    <w:lvl w:ilvl="0" w:tplc="6302CE36">
      <w:start w:val="1"/>
      <w:numFmt w:val="upperLetter"/>
      <w:lvlText w:val="%1."/>
      <w:lvlJc w:val="left"/>
      <w:pPr>
        <w:ind w:left="1080" w:hanging="360"/>
      </w:pPr>
      <w:rPr>
        <w:rFonts w:asciiTheme="majorHAnsi" w:eastAsiaTheme="minorHAnsi" w:hAnsiTheme="majorHAns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09394A"/>
    <w:multiLevelType w:val="hybridMultilevel"/>
    <w:tmpl w:val="DB3AC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A30BFD"/>
    <w:multiLevelType w:val="hybridMultilevel"/>
    <w:tmpl w:val="45486E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B1574E"/>
    <w:multiLevelType w:val="hybridMultilevel"/>
    <w:tmpl w:val="03C86D94"/>
    <w:lvl w:ilvl="0" w:tplc="57EC61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654353"/>
    <w:multiLevelType w:val="hybridMultilevel"/>
    <w:tmpl w:val="2F8ED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0A792C"/>
    <w:multiLevelType w:val="hybridMultilevel"/>
    <w:tmpl w:val="4F164F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9A163A"/>
    <w:multiLevelType w:val="hybridMultilevel"/>
    <w:tmpl w:val="769222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365D95"/>
    <w:multiLevelType w:val="hybridMultilevel"/>
    <w:tmpl w:val="1696F1D4"/>
    <w:lvl w:ilvl="0" w:tplc="B1A8F358">
      <w:start w:val="1"/>
      <w:numFmt w:val="lowerLetter"/>
      <w:lvlText w:val="%1."/>
      <w:lvlJc w:val="left"/>
      <w:pPr>
        <w:ind w:left="720" w:hanging="360"/>
      </w:pPr>
      <w:rPr>
        <w:rFonts w:eastAsia="Times New Roman"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530D13"/>
    <w:multiLevelType w:val="hybridMultilevel"/>
    <w:tmpl w:val="5C8E3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D91AA9"/>
    <w:multiLevelType w:val="hybridMultilevel"/>
    <w:tmpl w:val="1E8EAC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0382930"/>
    <w:multiLevelType w:val="hybridMultilevel"/>
    <w:tmpl w:val="B750FF5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BD29C1"/>
    <w:multiLevelType w:val="hybridMultilevel"/>
    <w:tmpl w:val="64EAD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927A9A"/>
    <w:multiLevelType w:val="hybridMultilevel"/>
    <w:tmpl w:val="047C5C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615216"/>
    <w:multiLevelType w:val="hybridMultilevel"/>
    <w:tmpl w:val="C534D7CE"/>
    <w:lvl w:ilvl="0" w:tplc="C380BE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DE699B"/>
    <w:multiLevelType w:val="hybridMultilevel"/>
    <w:tmpl w:val="1548D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7A80990"/>
    <w:multiLevelType w:val="hybridMultilevel"/>
    <w:tmpl w:val="B92E8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0">
    <w:nsid w:val="29380C46"/>
    <w:multiLevelType w:val="hybridMultilevel"/>
    <w:tmpl w:val="7E8681F6"/>
    <w:lvl w:ilvl="0" w:tplc="DC8C70B0">
      <w:start w:val="1"/>
      <w:numFmt w:val="upperLetter"/>
      <w:lvlText w:val="%1."/>
      <w:lvlJc w:val="left"/>
      <w:pPr>
        <w:ind w:left="720" w:hanging="360"/>
      </w:pPr>
      <w:rPr>
        <w:rFonts w:eastAsia="Cambria"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5078AA"/>
    <w:multiLevelType w:val="hybridMultilevel"/>
    <w:tmpl w:val="46D02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98167F"/>
    <w:multiLevelType w:val="hybridMultilevel"/>
    <w:tmpl w:val="6B26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0144A2"/>
    <w:multiLevelType w:val="hybridMultilevel"/>
    <w:tmpl w:val="83ACCC4A"/>
    <w:lvl w:ilvl="0" w:tplc="D0C0FE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BB1B74"/>
    <w:multiLevelType w:val="hybridMultilevel"/>
    <w:tmpl w:val="AA0AC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B957A57"/>
    <w:multiLevelType w:val="hybridMultilevel"/>
    <w:tmpl w:val="7AFA5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A14D42"/>
    <w:multiLevelType w:val="multilevel"/>
    <w:tmpl w:val="471690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3EA03B6E"/>
    <w:multiLevelType w:val="hybridMultilevel"/>
    <w:tmpl w:val="46F0C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171C63"/>
    <w:multiLevelType w:val="hybridMultilevel"/>
    <w:tmpl w:val="6A4ED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671A8A"/>
    <w:multiLevelType w:val="hybridMultilevel"/>
    <w:tmpl w:val="8DD83BE8"/>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0">
    <w:nsid w:val="53F1187D"/>
    <w:multiLevelType w:val="hybridMultilevel"/>
    <w:tmpl w:val="ADCA8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32">
    <w:nsid w:val="588E02E5"/>
    <w:multiLevelType w:val="hybridMultilevel"/>
    <w:tmpl w:val="71F426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B666EF"/>
    <w:multiLevelType w:val="hybridMultilevel"/>
    <w:tmpl w:val="8162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516A81"/>
    <w:multiLevelType w:val="hybridMultilevel"/>
    <w:tmpl w:val="274AAC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0821DEC"/>
    <w:multiLevelType w:val="hybridMultilevel"/>
    <w:tmpl w:val="3B020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E2307E"/>
    <w:multiLevelType w:val="hybridMultilevel"/>
    <w:tmpl w:val="C8E6C2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ED6861"/>
    <w:multiLevelType w:val="hybridMultilevel"/>
    <w:tmpl w:val="34ECA1D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E760568"/>
    <w:multiLevelType w:val="hybridMultilevel"/>
    <w:tmpl w:val="D9949388"/>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C637B8"/>
    <w:multiLevelType w:val="hybridMultilevel"/>
    <w:tmpl w:val="DBF8782E"/>
    <w:lvl w:ilvl="0" w:tplc="8AF083F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7E41B4"/>
    <w:multiLevelType w:val="hybridMultilevel"/>
    <w:tmpl w:val="B984AC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7B901186"/>
    <w:multiLevelType w:val="hybridMultilevel"/>
    <w:tmpl w:val="C6F8AA24"/>
    <w:lvl w:ilvl="0" w:tplc="21B4703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EB0CBA"/>
    <w:multiLevelType w:val="hybridMultilevel"/>
    <w:tmpl w:val="F8FC6BD6"/>
    <w:lvl w:ilvl="0" w:tplc="5E80DA5A">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A43C72"/>
    <w:multiLevelType w:val="hybridMultilevel"/>
    <w:tmpl w:val="3692CA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9"/>
  </w:num>
  <w:num w:numId="3">
    <w:abstractNumId w:val="33"/>
  </w:num>
  <w:num w:numId="4">
    <w:abstractNumId w:val="6"/>
  </w:num>
  <w:num w:numId="5">
    <w:abstractNumId w:val="42"/>
  </w:num>
  <w:num w:numId="6">
    <w:abstractNumId w:val="20"/>
  </w:num>
  <w:num w:numId="7">
    <w:abstractNumId w:val="30"/>
  </w:num>
  <w:num w:numId="8">
    <w:abstractNumId w:val="10"/>
  </w:num>
  <w:num w:numId="9">
    <w:abstractNumId w:val="36"/>
  </w:num>
  <w:num w:numId="10">
    <w:abstractNumId w:val="32"/>
  </w:num>
  <w:num w:numId="11">
    <w:abstractNumId w:val="9"/>
  </w:num>
  <w:num w:numId="12">
    <w:abstractNumId w:val="3"/>
  </w:num>
  <w:num w:numId="13">
    <w:abstractNumId w:val="37"/>
  </w:num>
  <w:num w:numId="14">
    <w:abstractNumId w:val="14"/>
  </w:num>
  <w:num w:numId="15">
    <w:abstractNumId w:val="15"/>
  </w:num>
  <w:num w:numId="16">
    <w:abstractNumId w:val="43"/>
  </w:num>
  <w:num w:numId="17">
    <w:abstractNumId w:val="7"/>
  </w:num>
  <w:num w:numId="18">
    <w:abstractNumId w:val="2"/>
  </w:num>
  <w:num w:numId="19">
    <w:abstractNumId w:val="23"/>
  </w:num>
  <w:num w:numId="20">
    <w:abstractNumId w:val="8"/>
  </w:num>
  <w:num w:numId="21">
    <w:abstractNumId w:val="22"/>
  </w:num>
  <w:num w:numId="22">
    <w:abstractNumId w:val="11"/>
  </w:num>
  <w:num w:numId="23">
    <w:abstractNumId w:val="31"/>
  </w:num>
  <w:num w:numId="24">
    <w:abstractNumId w:val="12"/>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4"/>
  </w:num>
  <w:num w:numId="30">
    <w:abstractNumId w:val="25"/>
  </w:num>
  <w:num w:numId="31">
    <w:abstractNumId w:val="18"/>
  </w:num>
  <w:num w:numId="32">
    <w:abstractNumId w:val="41"/>
  </w:num>
  <w:num w:numId="33">
    <w:abstractNumId w:val="13"/>
  </w:num>
  <w:num w:numId="34">
    <w:abstractNumId w:val="21"/>
  </w:num>
  <w:num w:numId="35">
    <w:abstractNumId w:val="28"/>
  </w:num>
  <w:num w:numId="36">
    <w:abstractNumId w:val="1"/>
  </w:num>
  <w:num w:numId="37">
    <w:abstractNumId w:val="5"/>
  </w:num>
  <w:num w:numId="38">
    <w:abstractNumId w:val="40"/>
  </w:num>
  <w:num w:numId="39">
    <w:abstractNumId w:val="35"/>
  </w:num>
  <w:num w:numId="40">
    <w:abstractNumId w:val="19"/>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38"/>
  </w:num>
  <w:num w:numId="44">
    <w:abstractNumId w:val="19"/>
    <w:lvlOverride w:ilvl="0">
      <w:startOverride w:val="1"/>
    </w:lvlOverride>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33E"/>
    <w:rsid w:val="00000888"/>
    <w:rsid w:val="00003976"/>
    <w:rsid w:val="000103E7"/>
    <w:rsid w:val="00021998"/>
    <w:rsid w:val="00024392"/>
    <w:rsid w:val="000264C2"/>
    <w:rsid w:val="00035342"/>
    <w:rsid w:val="00036253"/>
    <w:rsid w:val="00036731"/>
    <w:rsid w:val="0004127E"/>
    <w:rsid w:val="000413C0"/>
    <w:rsid w:val="00041722"/>
    <w:rsid w:val="00041EF6"/>
    <w:rsid w:val="00044AEF"/>
    <w:rsid w:val="00046787"/>
    <w:rsid w:val="000513EC"/>
    <w:rsid w:val="00061111"/>
    <w:rsid w:val="000635C9"/>
    <w:rsid w:val="00066D28"/>
    <w:rsid w:val="00073C3C"/>
    <w:rsid w:val="00073E90"/>
    <w:rsid w:val="00074880"/>
    <w:rsid w:val="000751CA"/>
    <w:rsid w:val="000760C9"/>
    <w:rsid w:val="000851DC"/>
    <w:rsid w:val="00085323"/>
    <w:rsid w:val="00086EB3"/>
    <w:rsid w:val="000B219C"/>
    <w:rsid w:val="000B2BE0"/>
    <w:rsid w:val="000B4B77"/>
    <w:rsid w:val="000B6825"/>
    <w:rsid w:val="000C0E6A"/>
    <w:rsid w:val="000C5416"/>
    <w:rsid w:val="000C7434"/>
    <w:rsid w:val="000D0368"/>
    <w:rsid w:val="000E0E8B"/>
    <w:rsid w:val="000E1F4A"/>
    <w:rsid w:val="000E22A7"/>
    <w:rsid w:val="000E538B"/>
    <w:rsid w:val="000F6F9C"/>
    <w:rsid w:val="0010035E"/>
    <w:rsid w:val="0010055C"/>
    <w:rsid w:val="00101028"/>
    <w:rsid w:val="001034C3"/>
    <w:rsid w:val="001043D0"/>
    <w:rsid w:val="001049D7"/>
    <w:rsid w:val="00105E4A"/>
    <w:rsid w:val="00106697"/>
    <w:rsid w:val="001175A2"/>
    <w:rsid w:val="00117E52"/>
    <w:rsid w:val="0012342D"/>
    <w:rsid w:val="00123CF2"/>
    <w:rsid w:val="00125AD6"/>
    <w:rsid w:val="0012603A"/>
    <w:rsid w:val="00131859"/>
    <w:rsid w:val="00140C06"/>
    <w:rsid w:val="001431A5"/>
    <w:rsid w:val="0014668A"/>
    <w:rsid w:val="00147495"/>
    <w:rsid w:val="00150C4A"/>
    <w:rsid w:val="00152115"/>
    <w:rsid w:val="001563E1"/>
    <w:rsid w:val="00160206"/>
    <w:rsid w:val="00164DE5"/>
    <w:rsid w:val="00165E60"/>
    <w:rsid w:val="001663A9"/>
    <w:rsid w:val="00167932"/>
    <w:rsid w:val="00170924"/>
    <w:rsid w:val="00170C9E"/>
    <w:rsid w:val="00171763"/>
    <w:rsid w:val="00172481"/>
    <w:rsid w:val="00182809"/>
    <w:rsid w:val="00187A39"/>
    <w:rsid w:val="00196469"/>
    <w:rsid w:val="00196B21"/>
    <w:rsid w:val="001972C1"/>
    <w:rsid w:val="001A23F3"/>
    <w:rsid w:val="001A5C1D"/>
    <w:rsid w:val="001A7817"/>
    <w:rsid w:val="001B1AB9"/>
    <w:rsid w:val="001B7689"/>
    <w:rsid w:val="001C29D0"/>
    <w:rsid w:val="001C3946"/>
    <w:rsid w:val="001C3DBD"/>
    <w:rsid w:val="001C68B4"/>
    <w:rsid w:val="001D25E3"/>
    <w:rsid w:val="001D3677"/>
    <w:rsid w:val="001D44B8"/>
    <w:rsid w:val="001D70D5"/>
    <w:rsid w:val="001E0FE1"/>
    <w:rsid w:val="001E4890"/>
    <w:rsid w:val="001E5362"/>
    <w:rsid w:val="001E5DA5"/>
    <w:rsid w:val="001F0AFF"/>
    <w:rsid w:val="001F21A5"/>
    <w:rsid w:val="001F458A"/>
    <w:rsid w:val="0020199D"/>
    <w:rsid w:val="0020389B"/>
    <w:rsid w:val="002066D5"/>
    <w:rsid w:val="0020676F"/>
    <w:rsid w:val="002079C9"/>
    <w:rsid w:val="00211928"/>
    <w:rsid w:val="00216318"/>
    <w:rsid w:val="00220F22"/>
    <w:rsid w:val="00221651"/>
    <w:rsid w:val="00223F82"/>
    <w:rsid w:val="00230790"/>
    <w:rsid w:val="002326DD"/>
    <w:rsid w:val="00234280"/>
    <w:rsid w:val="00234396"/>
    <w:rsid w:val="00245772"/>
    <w:rsid w:val="00245CBD"/>
    <w:rsid w:val="00245F3E"/>
    <w:rsid w:val="002466FF"/>
    <w:rsid w:val="002504DC"/>
    <w:rsid w:val="002526D9"/>
    <w:rsid w:val="00255EA1"/>
    <w:rsid w:val="00260C81"/>
    <w:rsid w:val="00264A27"/>
    <w:rsid w:val="002669D4"/>
    <w:rsid w:val="00266C8F"/>
    <w:rsid w:val="002816BE"/>
    <w:rsid w:val="002866B3"/>
    <w:rsid w:val="00292C90"/>
    <w:rsid w:val="00293699"/>
    <w:rsid w:val="002938B4"/>
    <w:rsid w:val="00293B5C"/>
    <w:rsid w:val="00294932"/>
    <w:rsid w:val="00295BC6"/>
    <w:rsid w:val="002968A8"/>
    <w:rsid w:val="002A09F3"/>
    <w:rsid w:val="002A497F"/>
    <w:rsid w:val="002A6FCE"/>
    <w:rsid w:val="002B2E86"/>
    <w:rsid w:val="002C06BA"/>
    <w:rsid w:val="002C76DA"/>
    <w:rsid w:val="002D2BF0"/>
    <w:rsid w:val="002D3502"/>
    <w:rsid w:val="002D47EA"/>
    <w:rsid w:val="002D7195"/>
    <w:rsid w:val="002E2567"/>
    <w:rsid w:val="002E29B2"/>
    <w:rsid w:val="002E65DC"/>
    <w:rsid w:val="002E77E5"/>
    <w:rsid w:val="002F1F0A"/>
    <w:rsid w:val="002F26FC"/>
    <w:rsid w:val="002F54B9"/>
    <w:rsid w:val="00304548"/>
    <w:rsid w:val="003070FC"/>
    <w:rsid w:val="00311682"/>
    <w:rsid w:val="00311CA7"/>
    <w:rsid w:val="00312713"/>
    <w:rsid w:val="00313B13"/>
    <w:rsid w:val="00321854"/>
    <w:rsid w:val="003279C4"/>
    <w:rsid w:val="00330692"/>
    <w:rsid w:val="0033086F"/>
    <w:rsid w:val="0033322B"/>
    <w:rsid w:val="003332DB"/>
    <w:rsid w:val="00334827"/>
    <w:rsid w:val="00334DAC"/>
    <w:rsid w:val="00344872"/>
    <w:rsid w:val="00344DF2"/>
    <w:rsid w:val="003451EB"/>
    <w:rsid w:val="00351708"/>
    <w:rsid w:val="003531FB"/>
    <w:rsid w:val="00353567"/>
    <w:rsid w:val="00355C9B"/>
    <w:rsid w:val="0036139E"/>
    <w:rsid w:val="00363344"/>
    <w:rsid w:val="00363A00"/>
    <w:rsid w:val="003648DC"/>
    <w:rsid w:val="003658E5"/>
    <w:rsid w:val="00365D73"/>
    <w:rsid w:val="00366041"/>
    <w:rsid w:val="0036683C"/>
    <w:rsid w:val="0037109D"/>
    <w:rsid w:val="0037361C"/>
    <w:rsid w:val="00375B22"/>
    <w:rsid w:val="00376235"/>
    <w:rsid w:val="00382F66"/>
    <w:rsid w:val="00384749"/>
    <w:rsid w:val="003956B9"/>
    <w:rsid w:val="00395F37"/>
    <w:rsid w:val="003962FD"/>
    <w:rsid w:val="00396C91"/>
    <w:rsid w:val="003A13F6"/>
    <w:rsid w:val="003A4654"/>
    <w:rsid w:val="003A57E7"/>
    <w:rsid w:val="003A5FB6"/>
    <w:rsid w:val="003A7EF7"/>
    <w:rsid w:val="003B1078"/>
    <w:rsid w:val="003C11CE"/>
    <w:rsid w:val="003C4CBD"/>
    <w:rsid w:val="003C7BFD"/>
    <w:rsid w:val="003D23C7"/>
    <w:rsid w:val="003D7AE1"/>
    <w:rsid w:val="003E15FA"/>
    <w:rsid w:val="003E68D0"/>
    <w:rsid w:val="003F0DFD"/>
    <w:rsid w:val="003F37D4"/>
    <w:rsid w:val="003F4E6E"/>
    <w:rsid w:val="003F5E56"/>
    <w:rsid w:val="003F7731"/>
    <w:rsid w:val="00403A91"/>
    <w:rsid w:val="00406225"/>
    <w:rsid w:val="00411434"/>
    <w:rsid w:val="004131C5"/>
    <w:rsid w:val="0041529D"/>
    <w:rsid w:val="00421380"/>
    <w:rsid w:val="00425046"/>
    <w:rsid w:val="00426C5B"/>
    <w:rsid w:val="00432F7A"/>
    <w:rsid w:val="00434483"/>
    <w:rsid w:val="0043505C"/>
    <w:rsid w:val="00436277"/>
    <w:rsid w:val="00436C7D"/>
    <w:rsid w:val="0043702E"/>
    <w:rsid w:val="00443A08"/>
    <w:rsid w:val="00443B9E"/>
    <w:rsid w:val="00444194"/>
    <w:rsid w:val="00447E62"/>
    <w:rsid w:val="0045357A"/>
    <w:rsid w:val="0045474E"/>
    <w:rsid w:val="0045526F"/>
    <w:rsid w:val="0045532D"/>
    <w:rsid w:val="00456CA8"/>
    <w:rsid w:val="00461429"/>
    <w:rsid w:val="00465D6A"/>
    <w:rsid w:val="00471551"/>
    <w:rsid w:val="00480259"/>
    <w:rsid w:val="00481100"/>
    <w:rsid w:val="0048214E"/>
    <w:rsid w:val="00482803"/>
    <w:rsid w:val="00485808"/>
    <w:rsid w:val="00493F48"/>
    <w:rsid w:val="004A2D5B"/>
    <w:rsid w:val="004A2E7F"/>
    <w:rsid w:val="004A3B3C"/>
    <w:rsid w:val="004C1D12"/>
    <w:rsid w:val="004C5223"/>
    <w:rsid w:val="004C6B75"/>
    <w:rsid w:val="004D254D"/>
    <w:rsid w:val="004E64A2"/>
    <w:rsid w:val="004E65F9"/>
    <w:rsid w:val="004F0CE3"/>
    <w:rsid w:val="004F145C"/>
    <w:rsid w:val="004F1BFF"/>
    <w:rsid w:val="004F6EE6"/>
    <w:rsid w:val="00503DA4"/>
    <w:rsid w:val="00504214"/>
    <w:rsid w:val="005070E4"/>
    <w:rsid w:val="00507E69"/>
    <w:rsid w:val="00507EBD"/>
    <w:rsid w:val="005112D6"/>
    <w:rsid w:val="005236C7"/>
    <w:rsid w:val="00524495"/>
    <w:rsid w:val="0054081B"/>
    <w:rsid w:val="00543BC0"/>
    <w:rsid w:val="00546C35"/>
    <w:rsid w:val="005521E1"/>
    <w:rsid w:val="00553145"/>
    <w:rsid w:val="00563361"/>
    <w:rsid w:val="00564ADB"/>
    <w:rsid w:val="00573A74"/>
    <w:rsid w:val="00577CA7"/>
    <w:rsid w:val="00580A47"/>
    <w:rsid w:val="005810C7"/>
    <w:rsid w:val="00590A89"/>
    <w:rsid w:val="00596884"/>
    <w:rsid w:val="005A0017"/>
    <w:rsid w:val="005A35F0"/>
    <w:rsid w:val="005A61DC"/>
    <w:rsid w:val="005B7797"/>
    <w:rsid w:val="005C22CC"/>
    <w:rsid w:val="005C2C02"/>
    <w:rsid w:val="005C3E87"/>
    <w:rsid w:val="005D1AA4"/>
    <w:rsid w:val="005D1CC8"/>
    <w:rsid w:val="005D4927"/>
    <w:rsid w:val="005D4AD5"/>
    <w:rsid w:val="005D662E"/>
    <w:rsid w:val="005D7AE3"/>
    <w:rsid w:val="005E225D"/>
    <w:rsid w:val="005E5545"/>
    <w:rsid w:val="005E5C0E"/>
    <w:rsid w:val="005F3538"/>
    <w:rsid w:val="005F5E6E"/>
    <w:rsid w:val="005F7EA3"/>
    <w:rsid w:val="006017D4"/>
    <w:rsid w:val="00606364"/>
    <w:rsid w:val="00612962"/>
    <w:rsid w:val="006173F9"/>
    <w:rsid w:val="006234B3"/>
    <w:rsid w:val="006248A6"/>
    <w:rsid w:val="00627093"/>
    <w:rsid w:val="00631E2A"/>
    <w:rsid w:val="00632BE9"/>
    <w:rsid w:val="00634619"/>
    <w:rsid w:val="006371B5"/>
    <w:rsid w:val="00640B93"/>
    <w:rsid w:val="00643098"/>
    <w:rsid w:val="00643A98"/>
    <w:rsid w:val="006514A4"/>
    <w:rsid w:val="006612C4"/>
    <w:rsid w:val="00666124"/>
    <w:rsid w:val="006668B8"/>
    <w:rsid w:val="00671404"/>
    <w:rsid w:val="00672519"/>
    <w:rsid w:val="006727FB"/>
    <w:rsid w:val="00673CB3"/>
    <w:rsid w:val="00681801"/>
    <w:rsid w:val="006903F2"/>
    <w:rsid w:val="00692361"/>
    <w:rsid w:val="006926A2"/>
    <w:rsid w:val="00693A30"/>
    <w:rsid w:val="0069556E"/>
    <w:rsid w:val="006A145F"/>
    <w:rsid w:val="006A2029"/>
    <w:rsid w:val="006A6ADA"/>
    <w:rsid w:val="006B0FB5"/>
    <w:rsid w:val="006B1C59"/>
    <w:rsid w:val="006B4C33"/>
    <w:rsid w:val="006B5E0C"/>
    <w:rsid w:val="006B7205"/>
    <w:rsid w:val="006C15DA"/>
    <w:rsid w:val="006C207D"/>
    <w:rsid w:val="006D533E"/>
    <w:rsid w:val="006E17F1"/>
    <w:rsid w:val="006E1C3E"/>
    <w:rsid w:val="006E6F43"/>
    <w:rsid w:val="006E7DE8"/>
    <w:rsid w:val="006F11C7"/>
    <w:rsid w:val="006F45E8"/>
    <w:rsid w:val="006F5659"/>
    <w:rsid w:val="00706CC5"/>
    <w:rsid w:val="00710B60"/>
    <w:rsid w:val="00713C14"/>
    <w:rsid w:val="00721048"/>
    <w:rsid w:val="007243C4"/>
    <w:rsid w:val="00726FFF"/>
    <w:rsid w:val="00727A21"/>
    <w:rsid w:val="00731505"/>
    <w:rsid w:val="0073236B"/>
    <w:rsid w:val="0073396E"/>
    <w:rsid w:val="00737304"/>
    <w:rsid w:val="007415A3"/>
    <w:rsid w:val="00744CF7"/>
    <w:rsid w:val="0075324C"/>
    <w:rsid w:val="007542BF"/>
    <w:rsid w:val="00755E05"/>
    <w:rsid w:val="00765B87"/>
    <w:rsid w:val="00765E92"/>
    <w:rsid w:val="0077125D"/>
    <w:rsid w:val="0078311A"/>
    <w:rsid w:val="0078413B"/>
    <w:rsid w:val="00784C85"/>
    <w:rsid w:val="00786E63"/>
    <w:rsid w:val="0078705F"/>
    <w:rsid w:val="00792B86"/>
    <w:rsid w:val="00794CEC"/>
    <w:rsid w:val="007961DD"/>
    <w:rsid w:val="007A6A89"/>
    <w:rsid w:val="007B1200"/>
    <w:rsid w:val="007B47E6"/>
    <w:rsid w:val="007B4DCF"/>
    <w:rsid w:val="007B5653"/>
    <w:rsid w:val="007C7FB7"/>
    <w:rsid w:val="007D07A7"/>
    <w:rsid w:val="007D1FE5"/>
    <w:rsid w:val="007D44C0"/>
    <w:rsid w:val="007D6505"/>
    <w:rsid w:val="007E1700"/>
    <w:rsid w:val="007E1830"/>
    <w:rsid w:val="007E27F5"/>
    <w:rsid w:val="007E6272"/>
    <w:rsid w:val="007F1E89"/>
    <w:rsid w:val="007F2F88"/>
    <w:rsid w:val="007F3F24"/>
    <w:rsid w:val="007F43A7"/>
    <w:rsid w:val="007F660C"/>
    <w:rsid w:val="007F7C7D"/>
    <w:rsid w:val="00807ED6"/>
    <w:rsid w:val="00811E33"/>
    <w:rsid w:val="00813E32"/>
    <w:rsid w:val="00822305"/>
    <w:rsid w:val="008305CD"/>
    <w:rsid w:val="00831467"/>
    <w:rsid w:val="00831476"/>
    <w:rsid w:val="00831F13"/>
    <w:rsid w:val="008347CE"/>
    <w:rsid w:val="00836215"/>
    <w:rsid w:val="0084047F"/>
    <w:rsid w:val="00847152"/>
    <w:rsid w:val="00847A36"/>
    <w:rsid w:val="00861CA2"/>
    <w:rsid w:val="00871D98"/>
    <w:rsid w:val="00872AF5"/>
    <w:rsid w:val="00873657"/>
    <w:rsid w:val="00873DDF"/>
    <w:rsid w:val="008856ED"/>
    <w:rsid w:val="00890D09"/>
    <w:rsid w:val="00896C29"/>
    <w:rsid w:val="008A7D25"/>
    <w:rsid w:val="008B0667"/>
    <w:rsid w:val="008B2957"/>
    <w:rsid w:val="008B3E13"/>
    <w:rsid w:val="008B444D"/>
    <w:rsid w:val="008B4814"/>
    <w:rsid w:val="008B6D93"/>
    <w:rsid w:val="008D38E9"/>
    <w:rsid w:val="008D4D9B"/>
    <w:rsid w:val="008D63C5"/>
    <w:rsid w:val="008E1DE3"/>
    <w:rsid w:val="008E7CC1"/>
    <w:rsid w:val="008F2E7A"/>
    <w:rsid w:val="008F5036"/>
    <w:rsid w:val="008F61C1"/>
    <w:rsid w:val="00901A36"/>
    <w:rsid w:val="00904DB9"/>
    <w:rsid w:val="00911174"/>
    <w:rsid w:val="0091408D"/>
    <w:rsid w:val="00914517"/>
    <w:rsid w:val="009150F1"/>
    <w:rsid w:val="00916872"/>
    <w:rsid w:val="009170A0"/>
    <w:rsid w:val="00924018"/>
    <w:rsid w:val="009243AD"/>
    <w:rsid w:val="00925F11"/>
    <w:rsid w:val="0093125F"/>
    <w:rsid w:val="009325D4"/>
    <w:rsid w:val="00932D29"/>
    <w:rsid w:val="00933E6C"/>
    <w:rsid w:val="00935052"/>
    <w:rsid w:val="00941E6C"/>
    <w:rsid w:val="00944D13"/>
    <w:rsid w:val="00950D11"/>
    <w:rsid w:val="00954869"/>
    <w:rsid w:val="0095596B"/>
    <w:rsid w:val="00956412"/>
    <w:rsid w:val="00956CA3"/>
    <w:rsid w:val="009603F0"/>
    <w:rsid w:val="009630BF"/>
    <w:rsid w:val="00973F9E"/>
    <w:rsid w:val="00974B2C"/>
    <w:rsid w:val="00975218"/>
    <w:rsid w:val="00976017"/>
    <w:rsid w:val="00987BBA"/>
    <w:rsid w:val="009904EB"/>
    <w:rsid w:val="00994A1C"/>
    <w:rsid w:val="00994F5E"/>
    <w:rsid w:val="00995DA2"/>
    <w:rsid w:val="009A4054"/>
    <w:rsid w:val="009A5602"/>
    <w:rsid w:val="009A6B99"/>
    <w:rsid w:val="009A6E49"/>
    <w:rsid w:val="009B06A9"/>
    <w:rsid w:val="009C146C"/>
    <w:rsid w:val="009D04BE"/>
    <w:rsid w:val="009D2ECE"/>
    <w:rsid w:val="009D3DC1"/>
    <w:rsid w:val="009D40B5"/>
    <w:rsid w:val="009D4342"/>
    <w:rsid w:val="009E037D"/>
    <w:rsid w:val="009E0602"/>
    <w:rsid w:val="009E206B"/>
    <w:rsid w:val="009E3235"/>
    <w:rsid w:val="009E5B91"/>
    <w:rsid w:val="009F67F4"/>
    <w:rsid w:val="009F7955"/>
    <w:rsid w:val="00A02CC6"/>
    <w:rsid w:val="00A046F1"/>
    <w:rsid w:val="00A20703"/>
    <w:rsid w:val="00A30860"/>
    <w:rsid w:val="00A317A7"/>
    <w:rsid w:val="00A320A2"/>
    <w:rsid w:val="00A33A20"/>
    <w:rsid w:val="00A4311E"/>
    <w:rsid w:val="00A43DDF"/>
    <w:rsid w:val="00A44F46"/>
    <w:rsid w:val="00A46E6B"/>
    <w:rsid w:val="00A478AB"/>
    <w:rsid w:val="00A50A3B"/>
    <w:rsid w:val="00A5494A"/>
    <w:rsid w:val="00A64BB8"/>
    <w:rsid w:val="00A86F7B"/>
    <w:rsid w:val="00A916C2"/>
    <w:rsid w:val="00A94B65"/>
    <w:rsid w:val="00A95CB2"/>
    <w:rsid w:val="00AA1911"/>
    <w:rsid w:val="00AB0969"/>
    <w:rsid w:val="00AB22F4"/>
    <w:rsid w:val="00AC04F4"/>
    <w:rsid w:val="00AC3F70"/>
    <w:rsid w:val="00AC43AD"/>
    <w:rsid w:val="00AD37E1"/>
    <w:rsid w:val="00AD38D5"/>
    <w:rsid w:val="00AD5EBB"/>
    <w:rsid w:val="00AD74F3"/>
    <w:rsid w:val="00AE2A85"/>
    <w:rsid w:val="00AE314D"/>
    <w:rsid w:val="00AE3E92"/>
    <w:rsid w:val="00AF023A"/>
    <w:rsid w:val="00AF3A01"/>
    <w:rsid w:val="00AF4BED"/>
    <w:rsid w:val="00AF6FC1"/>
    <w:rsid w:val="00AF75BD"/>
    <w:rsid w:val="00AF7F3F"/>
    <w:rsid w:val="00B10ED8"/>
    <w:rsid w:val="00B11200"/>
    <w:rsid w:val="00B1349C"/>
    <w:rsid w:val="00B1405D"/>
    <w:rsid w:val="00B20469"/>
    <w:rsid w:val="00B20F61"/>
    <w:rsid w:val="00B22278"/>
    <w:rsid w:val="00B226B5"/>
    <w:rsid w:val="00B3024A"/>
    <w:rsid w:val="00B302BF"/>
    <w:rsid w:val="00B3158A"/>
    <w:rsid w:val="00B327CA"/>
    <w:rsid w:val="00B43389"/>
    <w:rsid w:val="00B4364C"/>
    <w:rsid w:val="00B44C43"/>
    <w:rsid w:val="00B46DF4"/>
    <w:rsid w:val="00B55945"/>
    <w:rsid w:val="00B56839"/>
    <w:rsid w:val="00B5696C"/>
    <w:rsid w:val="00B57CB1"/>
    <w:rsid w:val="00B64B2F"/>
    <w:rsid w:val="00B6501C"/>
    <w:rsid w:val="00B66262"/>
    <w:rsid w:val="00B7005F"/>
    <w:rsid w:val="00B70E39"/>
    <w:rsid w:val="00B7110B"/>
    <w:rsid w:val="00B71E2F"/>
    <w:rsid w:val="00B744F5"/>
    <w:rsid w:val="00B74E9D"/>
    <w:rsid w:val="00B760E1"/>
    <w:rsid w:val="00B76162"/>
    <w:rsid w:val="00B805CD"/>
    <w:rsid w:val="00B80FB7"/>
    <w:rsid w:val="00B87E6A"/>
    <w:rsid w:val="00B87EE8"/>
    <w:rsid w:val="00B9272E"/>
    <w:rsid w:val="00B962A4"/>
    <w:rsid w:val="00BA02DF"/>
    <w:rsid w:val="00BA302A"/>
    <w:rsid w:val="00BA416C"/>
    <w:rsid w:val="00BA4678"/>
    <w:rsid w:val="00BB1004"/>
    <w:rsid w:val="00BB45E6"/>
    <w:rsid w:val="00BB66B0"/>
    <w:rsid w:val="00BB6C3D"/>
    <w:rsid w:val="00BB6F6E"/>
    <w:rsid w:val="00BC52AF"/>
    <w:rsid w:val="00BD00B0"/>
    <w:rsid w:val="00BD0C0F"/>
    <w:rsid w:val="00BD0D28"/>
    <w:rsid w:val="00BE04FD"/>
    <w:rsid w:val="00BF05C1"/>
    <w:rsid w:val="00BF07F5"/>
    <w:rsid w:val="00BF0BF3"/>
    <w:rsid w:val="00BF0D6F"/>
    <w:rsid w:val="00BF1530"/>
    <w:rsid w:val="00BF1F67"/>
    <w:rsid w:val="00BF3C27"/>
    <w:rsid w:val="00C00C2F"/>
    <w:rsid w:val="00C01098"/>
    <w:rsid w:val="00C01345"/>
    <w:rsid w:val="00C01F38"/>
    <w:rsid w:val="00C028C6"/>
    <w:rsid w:val="00C02B24"/>
    <w:rsid w:val="00C0603E"/>
    <w:rsid w:val="00C13BDE"/>
    <w:rsid w:val="00C162E8"/>
    <w:rsid w:val="00C17156"/>
    <w:rsid w:val="00C21AB9"/>
    <w:rsid w:val="00C31D54"/>
    <w:rsid w:val="00C32844"/>
    <w:rsid w:val="00C353C2"/>
    <w:rsid w:val="00C359E5"/>
    <w:rsid w:val="00C361EE"/>
    <w:rsid w:val="00C367CC"/>
    <w:rsid w:val="00C36DD4"/>
    <w:rsid w:val="00C45662"/>
    <w:rsid w:val="00C47BEF"/>
    <w:rsid w:val="00C50663"/>
    <w:rsid w:val="00C53164"/>
    <w:rsid w:val="00C57C1B"/>
    <w:rsid w:val="00C616DE"/>
    <w:rsid w:val="00C62A8D"/>
    <w:rsid w:val="00C62D67"/>
    <w:rsid w:val="00C63F7A"/>
    <w:rsid w:val="00C6510B"/>
    <w:rsid w:val="00C65A59"/>
    <w:rsid w:val="00C73A80"/>
    <w:rsid w:val="00C74349"/>
    <w:rsid w:val="00C74A08"/>
    <w:rsid w:val="00C801B5"/>
    <w:rsid w:val="00C85BBD"/>
    <w:rsid w:val="00C918DD"/>
    <w:rsid w:val="00C94041"/>
    <w:rsid w:val="00C950D8"/>
    <w:rsid w:val="00C9576D"/>
    <w:rsid w:val="00C96C54"/>
    <w:rsid w:val="00CA0114"/>
    <w:rsid w:val="00CA2686"/>
    <w:rsid w:val="00CA3D27"/>
    <w:rsid w:val="00CA51E3"/>
    <w:rsid w:val="00CB124A"/>
    <w:rsid w:val="00CB15EE"/>
    <w:rsid w:val="00CB1C94"/>
    <w:rsid w:val="00CB23B0"/>
    <w:rsid w:val="00CB6FE3"/>
    <w:rsid w:val="00CC2B27"/>
    <w:rsid w:val="00CD2701"/>
    <w:rsid w:val="00CD3C2B"/>
    <w:rsid w:val="00CD4D7E"/>
    <w:rsid w:val="00CD7715"/>
    <w:rsid w:val="00CE09D3"/>
    <w:rsid w:val="00CF38AB"/>
    <w:rsid w:val="00D0105B"/>
    <w:rsid w:val="00D01EF0"/>
    <w:rsid w:val="00D053DA"/>
    <w:rsid w:val="00D05FEB"/>
    <w:rsid w:val="00D0773E"/>
    <w:rsid w:val="00D100A6"/>
    <w:rsid w:val="00D10B33"/>
    <w:rsid w:val="00D12DB5"/>
    <w:rsid w:val="00D166EE"/>
    <w:rsid w:val="00D16DED"/>
    <w:rsid w:val="00D20742"/>
    <w:rsid w:val="00D22070"/>
    <w:rsid w:val="00D2694A"/>
    <w:rsid w:val="00D3081D"/>
    <w:rsid w:val="00D30CD2"/>
    <w:rsid w:val="00D333A3"/>
    <w:rsid w:val="00D460C0"/>
    <w:rsid w:val="00D54243"/>
    <w:rsid w:val="00D638A2"/>
    <w:rsid w:val="00D669B4"/>
    <w:rsid w:val="00D679BF"/>
    <w:rsid w:val="00D70213"/>
    <w:rsid w:val="00D71B8B"/>
    <w:rsid w:val="00D745E0"/>
    <w:rsid w:val="00D74926"/>
    <w:rsid w:val="00D765C3"/>
    <w:rsid w:val="00D80CF0"/>
    <w:rsid w:val="00D875A6"/>
    <w:rsid w:val="00D87637"/>
    <w:rsid w:val="00D90400"/>
    <w:rsid w:val="00D95041"/>
    <w:rsid w:val="00DA00FE"/>
    <w:rsid w:val="00DA30D2"/>
    <w:rsid w:val="00DA5045"/>
    <w:rsid w:val="00DA5510"/>
    <w:rsid w:val="00DA7446"/>
    <w:rsid w:val="00DB254D"/>
    <w:rsid w:val="00DB7242"/>
    <w:rsid w:val="00DB7261"/>
    <w:rsid w:val="00DC37D8"/>
    <w:rsid w:val="00DC7496"/>
    <w:rsid w:val="00DD0286"/>
    <w:rsid w:val="00DD7CC7"/>
    <w:rsid w:val="00DE13F4"/>
    <w:rsid w:val="00DF064B"/>
    <w:rsid w:val="00DF0D2F"/>
    <w:rsid w:val="00DF0E4F"/>
    <w:rsid w:val="00DF1B6D"/>
    <w:rsid w:val="00DF2959"/>
    <w:rsid w:val="00E011E1"/>
    <w:rsid w:val="00E01A65"/>
    <w:rsid w:val="00E038EF"/>
    <w:rsid w:val="00E06617"/>
    <w:rsid w:val="00E07A3B"/>
    <w:rsid w:val="00E11A92"/>
    <w:rsid w:val="00E1616A"/>
    <w:rsid w:val="00E22901"/>
    <w:rsid w:val="00E23903"/>
    <w:rsid w:val="00E24E67"/>
    <w:rsid w:val="00E27660"/>
    <w:rsid w:val="00E3053E"/>
    <w:rsid w:val="00E31E2A"/>
    <w:rsid w:val="00E36992"/>
    <w:rsid w:val="00E42BCE"/>
    <w:rsid w:val="00E43882"/>
    <w:rsid w:val="00E448E1"/>
    <w:rsid w:val="00E52EBF"/>
    <w:rsid w:val="00E55948"/>
    <w:rsid w:val="00E567DB"/>
    <w:rsid w:val="00E67AF1"/>
    <w:rsid w:val="00E70A3D"/>
    <w:rsid w:val="00E71DD6"/>
    <w:rsid w:val="00E72494"/>
    <w:rsid w:val="00E73D77"/>
    <w:rsid w:val="00E7589E"/>
    <w:rsid w:val="00E803A9"/>
    <w:rsid w:val="00E848C0"/>
    <w:rsid w:val="00E85591"/>
    <w:rsid w:val="00E916F1"/>
    <w:rsid w:val="00E95713"/>
    <w:rsid w:val="00EA3C3C"/>
    <w:rsid w:val="00EB0A7E"/>
    <w:rsid w:val="00EB0A8A"/>
    <w:rsid w:val="00EB13AC"/>
    <w:rsid w:val="00EB4729"/>
    <w:rsid w:val="00EC1242"/>
    <w:rsid w:val="00EC1C3E"/>
    <w:rsid w:val="00EC528B"/>
    <w:rsid w:val="00EC66A5"/>
    <w:rsid w:val="00EC7686"/>
    <w:rsid w:val="00ED2DA0"/>
    <w:rsid w:val="00ED4888"/>
    <w:rsid w:val="00ED601F"/>
    <w:rsid w:val="00EE2213"/>
    <w:rsid w:val="00EF1217"/>
    <w:rsid w:val="00EF7974"/>
    <w:rsid w:val="00F03416"/>
    <w:rsid w:val="00F12266"/>
    <w:rsid w:val="00F12C35"/>
    <w:rsid w:val="00F13A9E"/>
    <w:rsid w:val="00F23221"/>
    <w:rsid w:val="00F2778E"/>
    <w:rsid w:val="00F309A8"/>
    <w:rsid w:val="00F345BF"/>
    <w:rsid w:val="00F417A6"/>
    <w:rsid w:val="00F445AC"/>
    <w:rsid w:val="00F44C42"/>
    <w:rsid w:val="00F46B1E"/>
    <w:rsid w:val="00F4750E"/>
    <w:rsid w:val="00F47D31"/>
    <w:rsid w:val="00F51BCE"/>
    <w:rsid w:val="00F51D71"/>
    <w:rsid w:val="00F52C34"/>
    <w:rsid w:val="00F55430"/>
    <w:rsid w:val="00F55660"/>
    <w:rsid w:val="00F6121A"/>
    <w:rsid w:val="00F61AB5"/>
    <w:rsid w:val="00F67037"/>
    <w:rsid w:val="00F713DB"/>
    <w:rsid w:val="00F71992"/>
    <w:rsid w:val="00F71B7B"/>
    <w:rsid w:val="00F72147"/>
    <w:rsid w:val="00F75105"/>
    <w:rsid w:val="00F77E40"/>
    <w:rsid w:val="00F8006E"/>
    <w:rsid w:val="00F81828"/>
    <w:rsid w:val="00F81A11"/>
    <w:rsid w:val="00F86CE8"/>
    <w:rsid w:val="00F92709"/>
    <w:rsid w:val="00F94052"/>
    <w:rsid w:val="00FA0293"/>
    <w:rsid w:val="00FA2945"/>
    <w:rsid w:val="00FA3313"/>
    <w:rsid w:val="00FB1428"/>
    <w:rsid w:val="00FB27A4"/>
    <w:rsid w:val="00FB68AB"/>
    <w:rsid w:val="00FB6F4C"/>
    <w:rsid w:val="00FC2215"/>
    <w:rsid w:val="00FD133C"/>
    <w:rsid w:val="00FD2B58"/>
    <w:rsid w:val="00FD6842"/>
    <w:rsid w:val="00FD78D0"/>
    <w:rsid w:val="00FE21B6"/>
    <w:rsid w:val="00FE30C1"/>
    <w:rsid w:val="00FF4489"/>
    <w:rsid w:val="00FF5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2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3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146C"/>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9"/>
    <w:unhideWhenUsed/>
    <w:qFormat/>
    <w:rsid w:val="00E01A65"/>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Heading3">
    <w:name w:val="heading 3"/>
    <w:basedOn w:val="Normal"/>
    <w:next w:val="Normal"/>
    <w:link w:val="Heading3Char"/>
    <w:uiPriority w:val="9"/>
    <w:unhideWhenUsed/>
    <w:qFormat/>
    <w:rsid w:val="00B22278"/>
    <w:pPr>
      <w:keepNext/>
      <w:keepLines/>
      <w:spacing w:before="200"/>
      <w:outlineLvl w:val="2"/>
    </w:pPr>
    <w:rPr>
      <w:rFonts w:asciiTheme="majorHAnsi" w:eastAsiaTheme="majorEastAsia" w:hAnsiTheme="majorHAnsi" w:cstheme="majorBidi"/>
      <w:b/>
      <w:bCs/>
      <w:color w:val="000000" w:themeColor="accent1"/>
    </w:rPr>
  </w:style>
  <w:style w:type="paragraph" w:styleId="Heading5">
    <w:name w:val="heading 5"/>
    <w:basedOn w:val="Normal"/>
    <w:next w:val="Normal"/>
    <w:link w:val="Heading5Char"/>
    <w:semiHidden/>
    <w:unhideWhenUsed/>
    <w:qFormat/>
    <w:rsid w:val="006D533E"/>
    <w:pPr>
      <w:keepNext/>
      <w:outlineLvl w:val="4"/>
    </w:pPr>
    <w:rPr>
      <w:rFonts w:ascii="Book Antiqua" w:hAnsi="Book Antiqua"/>
      <w:b/>
      <w:bCs/>
      <w:smallCaps/>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6D533E"/>
    <w:rPr>
      <w:rFonts w:ascii="Book Antiqua" w:eastAsia="Times New Roman" w:hAnsi="Book Antiqua" w:cs="Times New Roman"/>
      <w:b/>
      <w:bCs/>
      <w:smallCaps/>
      <w:sz w:val="56"/>
      <w:szCs w:val="24"/>
    </w:rPr>
  </w:style>
  <w:style w:type="character" w:styleId="Hyperlink">
    <w:name w:val="Hyperlink"/>
    <w:uiPriority w:val="99"/>
    <w:unhideWhenUsed/>
    <w:rsid w:val="006D533E"/>
    <w:rPr>
      <w:color w:val="0000FF"/>
      <w:u w:val="single"/>
    </w:rPr>
  </w:style>
  <w:style w:type="paragraph" w:styleId="ListParagraph">
    <w:name w:val="List Paragraph"/>
    <w:basedOn w:val="Normal"/>
    <w:link w:val="ListParagraphChar"/>
    <w:uiPriority w:val="34"/>
    <w:qFormat/>
    <w:rsid w:val="001C29D0"/>
    <w:pPr>
      <w:ind w:left="720"/>
      <w:contextualSpacing/>
    </w:pPr>
  </w:style>
  <w:style w:type="character" w:customStyle="1" w:styleId="ListParagraphChar">
    <w:name w:val="List Paragraph Char"/>
    <w:basedOn w:val="DefaultParagraphFont"/>
    <w:link w:val="ListParagraph"/>
    <w:uiPriority w:val="34"/>
    <w:rsid w:val="001D44B8"/>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1D44B8"/>
    <w:rPr>
      <w:sz w:val="20"/>
      <w:szCs w:val="20"/>
    </w:rPr>
  </w:style>
  <w:style w:type="character" w:customStyle="1" w:styleId="FootnoteTextChar">
    <w:name w:val="Footnote Text Char"/>
    <w:basedOn w:val="DefaultParagraphFont"/>
    <w:link w:val="FootnoteText"/>
    <w:uiPriority w:val="99"/>
    <w:rsid w:val="001D44B8"/>
    <w:rPr>
      <w:rFonts w:ascii="Times New Roman" w:eastAsia="Times New Roman" w:hAnsi="Times New Roman" w:cs="Times New Roman"/>
      <w:sz w:val="20"/>
      <w:szCs w:val="20"/>
    </w:rPr>
  </w:style>
  <w:style w:type="character" w:styleId="FootnoteReference">
    <w:name w:val="footnote reference"/>
    <w:aliases w:val="*Footnote Reference"/>
    <w:uiPriority w:val="99"/>
    <w:rsid w:val="001D44B8"/>
    <w:rPr>
      <w:vertAlign w:val="superscript"/>
    </w:rPr>
  </w:style>
  <w:style w:type="table" w:styleId="TableGrid">
    <w:name w:val="Table Grid"/>
    <w:basedOn w:val="TableNormal"/>
    <w:uiPriority w:val="59"/>
    <w:rsid w:val="001D4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D44B8"/>
  </w:style>
  <w:style w:type="character" w:styleId="CommentReference">
    <w:name w:val="annotation reference"/>
    <w:basedOn w:val="DefaultParagraphFont"/>
    <w:uiPriority w:val="99"/>
    <w:semiHidden/>
    <w:unhideWhenUsed/>
    <w:rsid w:val="00171763"/>
    <w:rPr>
      <w:sz w:val="16"/>
      <w:szCs w:val="16"/>
    </w:rPr>
  </w:style>
  <w:style w:type="paragraph" w:styleId="CommentText">
    <w:name w:val="annotation text"/>
    <w:basedOn w:val="Normal"/>
    <w:link w:val="CommentTextChar"/>
    <w:uiPriority w:val="99"/>
    <w:unhideWhenUsed/>
    <w:rsid w:val="00171763"/>
    <w:rPr>
      <w:sz w:val="20"/>
      <w:szCs w:val="20"/>
    </w:rPr>
  </w:style>
  <w:style w:type="character" w:customStyle="1" w:styleId="CommentTextChar">
    <w:name w:val="Comment Text Char"/>
    <w:basedOn w:val="DefaultParagraphFont"/>
    <w:link w:val="CommentText"/>
    <w:uiPriority w:val="99"/>
    <w:rsid w:val="001717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1763"/>
    <w:rPr>
      <w:b/>
      <w:bCs/>
    </w:rPr>
  </w:style>
  <w:style w:type="character" w:customStyle="1" w:styleId="CommentSubjectChar">
    <w:name w:val="Comment Subject Char"/>
    <w:basedOn w:val="CommentTextChar"/>
    <w:link w:val="CommentSubject"/>
    <w:uiPriority w:val="99"/>
    <w:semiHidden/>
    <w:rsid w:val="0017176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71763"/>
    <w:rPr>
      <w:rFonts w:ascii="Tahoma" w:hAnsi="Tahoma" w:cs="Tahoma"/>
      <w:sz w:val="16"/>
      <w:szCs w:val="16"/>
    </w:rPr>
  </w:style>
  <w:style w:type="character" w:customStyle="1" w:styleId="BalloonTextChar">
    <w:name w:val="Balloon Text Char"/>
    <w:basedOn w:val="DefaultParagraphFont"/>
    <w:link w:val="BalloonText"/>
    <w:uiPriority w:val="99"/>
    <w:semiHidden/>
    <w:rsid w:val="00171763"/>
    <w:rPr>
      <w:rFonts w:ascii="Tahoma" w:eastAsia="Times New Roman" w:hAnsi="Tahoma" w:cs="Tahoma"/>
      <w:sz w:val="16"/>
      <w:szCs w:val="16"/>
    </w:rPr>
  </w:style>
  <w:style w:type="paragraph" w:styleId="Revision">
    <w:name w:val="Revision"/>
    <w:hidden/>
    <w:uiPriority w:val="99"/>
    <w:semiHidden/>
    <w:rsid w:val="0017176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2B27"/>
    <w:pPr>
      <w:tabs>
        <w:tab w:val="center" w:pos="4680"/>
        <w:tab w:val="right" w:pos="9360"/>
      </w:tabs>
    </w:pPr>
  </w:style>
  <w:style w:type="character" w:customStyle="1" w:styleId="HeaderChar">
    <w:name w:val="Header Char"/>
    <w:basedOn w:val="DefaultParagraphFont"/>
    <w:link w:val="Header"/>
    <w:uiPriority w:val="99"/>
    <w:rsid w:val="00CC2B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2B27"/>
    <w:pPr>
      <w:tabs>
        <w:tab w:val="center" w:pos="4680"/>
        <w:tab w:val="right" w:pos="9360"/>
      </w:tabs>
    </w:pPr>
  </w:style>
  <w:style w:type="character" w:customStyle="1" w:styleId="FooterChar">
    <w:name w:val="Footer Char"/>
    <w:basedOn w:val="DefaultParagraphFont"/>
    <w:link w:val="Footer"/>
    <w:uiPriority w:val="99"/>
    <w:rsid w:val="00CC2B2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C146C"/>
    <w:rPr>
      <w:rFonts w:asciiTheme="majorHAnsi" w:eastAsiaTheme="majorEastAsia" w:hAnsiTheme="majorHAnsi" w:cstheme="majorBidi"/>
      <w:b/>
      <w:bCs/>
      <w:color w:val="000000" w:themeColor="accent1" w:themeShade="BF"/>
      <w:sz w:val="28"/>
      <w:szCs w:val="28"/>
    </w:rPr>
  </w:style>
  <w:style w:type="character" w:customStyle="1" w:styleId="Heading2Char">
    <w:name w:val="Heading 2 Char"/>
    <w:basedOn w:val="DefaultParagraphFont"/>
    <w:link w:val="Heading2"/>
    <w:uiPriority w:val="9"/>
    <w:rsid w:val="00E01A65"/>
    <w:rPr>
      <w:rFonts w:asciiTheme="majorHAnsi" w:eastAsiaTheme="majorEastAsia" w:hAnsiTheme="majorHAnsi" w:cstheme="majorBidi"/>
      <w:b/>
      <w:bCs/>
      <w:color w:val="000000" w:themeColor="accent1"/>
      <w:sz w:val="26"/>
      <w:szCs w:val="26"/>
    </w:rPr>
  </w:style>
  <w:style w:type="paragraph" w:styleId="Title">
    <w:name w:val="Title"/>
    <w:basedOn w:val="Normal"/>
    <w:next w:val="Normal"/>
    <w:link w:val="TitleChar"/>
    <w:uiPriority w:val="10"/>
    <w:qFormat/>
    <w:rsid w:val="009D40B5"/>
    <w:pPr>
      <w:pBdr>
        <w:bottom w:val="single" w:sz="8" w:space="4" w:color="000000"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9D40B5"/>
    <w:rPr>
      <w:rFonts w:asciiTheme="majorHAnsi" w:eastAsiaTheme="majorEastAsia" w:hAnsiTheme="majorHAnsi" w:cstheme="majorBidi"/>
      <w:color w:val="000000" w:themeColor="text2" w:themeShade="BF"/>
      <w:spacing w:val="5"/>
      <w:kern w:val="28"/>
      <w:sz w:val="52"/>
      <w:szCs w:val="52"/>
    </w:rPr>
  </w:style>
  <w:style w:type="paragraph" w:styleId="TOCHeading">
    <w:name w:val="TOC Heading"/>
    <w:basedOn w:val="Heading1"/>
    <w:next w:val="Normal"/>
    <w:uiPriority w:val="39"/>
    <w:semiHidden/>
    <w:unhideWhenUsed/>
    <w:qFormat/>
    <w:rsid w:val="00F92709"/>
    <w:pPr>
      <w:spacing w:line="276" w:lineRule="auto"/>
      <w:outlineLvl w:val="9"/>
    </w:pPr>
    <w:rPr>
      <w:lang w:eastAsia="ja-JP"/>
    </w:rPr>
  </w:style>
  <w:style w:type="paragraph" w:styleId="TOC1">
    <w:name w:val="toc 1"/>
    <w:basedOn w:val="Normal"/>
    <w:next w:val="Normal"/>
    <w:autoRedefine/>
    <w:uiPriority w:val="39"/>
    <w:unhideWhenUsed/>
    <w:rsid w:val="002E29B2"/>
    <w:pPr>
      <w:tabs>
        <w:tab w:val="right" w:leader="dot" w:pos="9350"/>
      </w:tabs>
      <w:spacing w:after="100"/>
    </w:pPr>
  </w:style>
  <w:style w:type="paragraph" w:styleId="TOC2">
    <w:name w:val="toc 2"/>
    <w:basedOn w:val="Normal"/>
    <w:next w:val="Normal"/>
    <w:autoRedefine/>
    <w:uiPriority w:val="39"/>
    <w:unhideWhenUsed/>
    <w:rsid w:val="00F92709"/>
    <w:pPr>
      <w:spacing w:after="100"/>
      <w:ind w:left="240"/>
    </w:pPr>
  </w:style>
  <w:style w:type="character" w:customStyle="1" w:styleId="Heading3Char">
    <w:name w:val="Heading 3 Char"/>
    <w:basedOn w:val="DefaultParagraphFont"/>
    <w:link w:val="Heading3"/>
    <w:uiPriority w:val="9"/>
    <w:rsid w:val="00B22278"/>
    <w:rPr>
      <w:rFonts w:asciiTheme="majorHAnsi" w:eastAsiaTheme="majorEastAsia" w:hAnsiTheme="majorHAnsi" w:cstheme="majorBidi"/>
      <w:b/>
      <w:bCs/>
      <w:color w:val="000000" w:themeColor="accent1"/>
      <w:sz w:val="24"/>
      <w:szCs w:val="24"/>
    </w:rPr>
  </w:style>
  <w:style w:type="paragraph" w:styleId="TOC3">
    <w:name w:val="toc 3"/>
    <w:basedOn w:val="Normal"/>
    <w:next w:val="Normal"/>
    <w:autoRedefine/>
    <w:uiPriority w:val="39"/>
    <w:unhideWhenUsed/>
    <w:rsid w:val="00D638A2"/>
    <w:pPr>
      <w:spacing w:after="100"/>
      <w:ind w:left="480"/>
    </w:pPr>
  </w:style>
  <w:style w:type="table" w:customStyle="1" w:styleId="TableGrid1">
    <w:name w:val="Table Grid1"/>
    <w:basedOn w:val="TableNormal"/>
    <w:next w:val="TableGrid"/>
    <w:uiPriority w:val="59"/>
    <w:rsid w:val="001A7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4566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3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146C"/>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9"/>
    <w:unhideWhenUsed/>
    <w:qFormat/>
    <w:rsid w:val="00E01A65"/>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Heading3">
    <w:name w:val="heading 3"/>
    <w:basedOn w:val="Normal"/>
    <w:next w:val="Normal"/>
    <w:link w:val="Heading3Char"/>
    <w:uiPriority w:val="9"/>
    <w:unhideWhenUsed/>
    <w:qFormat/>
    <w:rsid w:val="00B22278"/>
    <w:pPr>
      <w:keepNext/>
      <w:keepLines/>
      <w:spacing w:before="200"/>
      <w:outlineLvl w:val="2"/>
    </w:pPr>
    <w:rPr>
      <w:rFonts w:asciiTheme="majorHAnsi" w:eastAsiaTheme="majorEastAsia" w:hAnsiTheme="majorHAnsi" w:cstheme="majorBidi"/>
      <w:b/>
      <w:bCs/>
      <w:color w:val="000000" w:themeColor="accent1"/>
    </w:rPr>
  </w:style>
  <w:style w:type="paragraph" w:styleId="Heading5">
    <w:name w:val="heading 5"/>
    <w:basedOn w:val="Normal"/>
    <w:next w:val="Normal"/>
    <w:link w:val="Heading5Char"/>
    <w:semiHidden/>
    <w:unhideWhenUsed/>
    <w:qFormat/>
    <w:rsid w:val="006D533E"/>
    <w:pPr>
      <w:keepNext/>
      <w:outlineLvl w:val="4"/>
    </w:pPr>
    <w:rPr>
      <w:rFonts w:ascii="Book Antiqua" w:hAnsi="Book Antiqua"/>
      <w:b/>
      <w:bCs/>
      <w:smallCaps/>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6D533E"/>
    <w:rPr>
      <w:rFonts w:ascii="Book Antiqua" w:eastAsia="Times New Roman" w:hAnsi="Book Antiqua" w:cs="Times New Roman"/>
      <w:b/>
      <w:bCs/>
      <w:smallCaps/>
      <w:sz w:val="56"/>
      <w:szCs w:val="24"/>
    </w:rPr>
  </w:style>
  <w:style w:type="character" w:styleId="Hyperlink">
    <w:name w:val="Hyperlink"/>
    <w:uiPriority w:val="99"/>
    <w:unhideWhenUsed/>
    <w:rsid w:val="006D533E"/>
    <w:rPr>
      <w:color w:val="0000FF"/>
      <w:u w:val="single"/>
    </w:rPr>
  </w:style>
  <w:style w:type="paragraph" w:styleId="ListParagraph">
    <w:name w:val="List Paragraph"/>
    <w:basedOn w:val="Normal"/>
    <w:link w:val="ListParagraphChar"/>
    <w:uiPriority w:val="34"/>
    <w:qFormat/>
    <w:rsid w:val="001C29D0"/>
    <w:pPr>
      <w:ind w:left="720"/>
      <w:contextualSpacing/>
    </w:pPr>
  </w:style>
  <w:style w:type="character" w:customStyle="1" w:styleId="ListParagraphChar">
    <w:name w:val="List Paragraph Char"/>
    <w:basedOn w:val="DefaultParagraphFont"/>
    <w:link w:val="ListParagraph"/>
    <w:uiPriority w:val="34"/>
    <w:rsid w:val="001D44B8"/>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1D44B8"/>
    <w:rPr>
      <w:sz w:val="20"/>
      <w:szCs w:val="20"/>
    </w:rPr>
  </w:style>
  <w:style w:type="character" w:customStyle="1" w:styleId="FootnoteTextChar">
    <w:name w:val="Footnote Text Char"/>
    <w:basedOn w:val="DefaultParagraphFont"/>
    <w:link w:val="FootnoteText"/>
    <w:uiPriority w:val="99"/>
    <w:rsid w:val="001D44B8"/>
    <w:rPr>
      <w:rFonts w:ascii="Times New Roman" w:eastAsia="Times New Roman" w:hAnsi="Times New Roman" w:cs="Times New Roman"/>
      <w:sz w:val="20"/>
      <w:szCs w:val="20"/>
    </w:rPr>
  </w:style>
  <w:style w:type="character" w:styleId="FootnoteReference">
    <w:name w:val="footnote reference"/>
    <w:aliases w:val="*Footnote Reference"/>
    <w:uiPriority w:val="99"/>
    <w:rsid w:val="001D44B8"/>
    <w:rPr>
      <w:vertAlign w:val="superscript"/>
    </w:rPr>
  </w:style>
  <w:style w:type="table" w:styleId="TableGrid">
    <w:name w:val="Table Grid"/>
    <w:basedOn w:val="TableNormal"/>
    <w:uiPriority w:val="59"/>
    <w:rsid w:val="001D4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D44B8"/>
  </w:style>
  <w:style w:type="character" w:styleId="CommentReference">
    <w:name w:val="annotation reference"/>
    <w:basedOn w:val="DefaultParagraphFont"/>
    <w:uiPriority w:val="99"/>
    <w:semiHidden/>
    <w:unhideWhenUsed/>
    <w:rsid w:val="00171763"/>
    <w:rPr>
      <w:sz w:val="16"/>
      <w:szCs w:val="16"/>
    </w:rPr>
  </w:style>
  <w:style w:type="paragraph" w:styleId="CommentText">
    <w:name w:val="annotation text"/>
    <w:basedOn w:val="Normal"/>
    <w:link w:val="CommentTextChar"/>
    <w:uiPriority w:val="99"/>
    <w:unhideWhenUsed/>
    <w:rsid w:val="00171763"/>
    <w:rPr>
      <w:sz w:val="20"/>
      <w:szCs w:val="20"/>
    </w:rPr>
  </w:style>
  <w:style w:type="character" w:customStyle="1" w:styleId="CommentTextChar">
    <w:name w:val="Comment Text Char"/>
    <w:basedOn w:val="DefaultParagraphFont"/>
    <w:link w:val="CommentText"/>
    <w:uiPriority w:val="99"/>
    <w:rsid w:val="001717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1763"/>
    <w:rPr>
      <w:b/>
      <w:bCs/>
    </w:rPr>
  </w:style>
  <w:style w:type="character" w:customStyle="1" w:styleId="CommentSubjectChar">
    <w:name w:val="Comment Subject Char"/>
    <w:basedOn w:val="CommentTextChar"/>
    <w:link w:val="CommentSubject"/>
    <w:uiPriority w:val="99"/>
    <w:semiHidden/>
    <w:rsid w:val="0017176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71763"/>
    <w:rPr>
      <w:rFonts w:ascii="Tahoma" w:hAnsi="Tahoma" w:cs="Tahoma"/>
      <w:sz w:val="16"/>
      <w:szCs w:val="16"/>
    </w:rPr>
  </w:style>
  <w:style w:type="character" w:customStyle="1" w:styleId="BalloonTextChar">
    <w:name w:val="Balloon Text Char"/>
    <w:basedOn w:val="DefaultParagraphFont"/>
    <w:link w:val="BalloonText"/>
    <w:uiPriority w:val="99"/>
    <w:semiHidden/>
    <w:rsid w:val="00171763"/>
    <w:rPr>
      <w:rFonts w:ascii="Tahoma" w:eastAsia="Times New Roman" w:hAnsi="Tahoma" w:cs="Tahoma"/>
      <w:sz w:val="16"/>
      <w:szCs w:val="16"/>
    </w:rPr>
  </w:style>
  <w:style w:type="paragraph" w:styleId="Revision">
    <w:name w:val="Revision"/>
    <w:hidden/>
    <w:uiPriority w:val="99"/>
    <w:semiHidden/>
    <w:rsid w:val="0017176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2B27"/>
    <w:pPr>
      <w:tabs>
        <w:tab w:val="center" w:pos="4680"/>
        <w:tab w:val="right" w:pos="9360"/>
      </w:tabs>
    </w:pPr>
  </w:style>
  <w:style w:type="character" w:customStyle="1" w:styleId="HeaderChar">
    <w:name w:val="Header Char"/>
    <w:basedOn w:val="DefaultParagraphFont"/>
    <w:link w:val="Header"/>
    <w:uiPriority w:val="99"/>
    <w:rsid w:val="00CC2B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2B27"/>
    <w:pPr>
      <w:tabs>
        <w:tab w:val="center" w:pos="4680"/>
        <w:tab w:val="right" w:pos="9360"/>
      </w:tabs>
    </w:pPr>
  </w:style>
  <w:style w:type="character" w:customStyle="1" w:styleId="FooterChar">
    <w:name w:val="Footer Char"/>
    <w:basedOn w:val="DefaultParagraphFont"/>
    <w:link w:val="Footer"/>
    <w:uiPriority w:val="99"/>
    <w:rsid w:val="00CC2B2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C146C"/>
    <w:rPr>
      <w:rFonts w:asciiTheme="majorHAnsi" w:eastAsiaTheme="majorEastAsia" w:hAnsiTheme="majorHAnsi" w:cstheme="majorBidi"/>
      <w:b/>
      <w:bCs/>
      <w:color w:val="000000" w:themeColor="accent1" w:themeShade="BF"/>
      <w:sz w:val="28"/>
      <w:szCs w:val="28"/>
    </w:rPr>
  </w:style>
  <w:style w:type="character" w:customStyle="1" w:styleId="Heading2Char">
    <w:name w:val="Heading 2 Char"/>
    <w:basedOn w:val="DefaultParagraphFont"/>
    <w:link w:val="Heading2"/>
    <w:uiPriority w:val="9"/>
    <w:rsid w:val="00E01A65"/>
    <w:rPr>
      <w:rFonts w:asciiTheme="majorHAnsi" w:eastAsiaTheme="majorEastAsia" w:hAnsiTheme="majorHAnsi" w:cstheme="majorBidi"/>
      <w:b/>
      <w:bCs/>
      <w:color w:val="000000" w:themeColor="accent1"/>
      <w:sz w:val="26"/>
      <w:szCs w:val="26"/>
    </w:rPr>
  </w:style>
  <w:style w:type="paragraph" w:styleId="Title">
    <w:name w:val="Title"/>
    <w:basedOn w:val="Normal"/>
    <w:next w:val="Normal"/>
    <w:link w:val="TitleChar"/>
    <w:uiPriority w:val="10"/>
    <w:qFormat/>
    <w:rsid w:val="009D40B5"/>
    <w:pPr>
      <w:pBdr>
        <w:bottom w:val="single" w:sz="8" w:space="4" w:color="000000"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9D40B5"/>
    <w:rPr>
      <w:rFonts w:asciiTheme="majorHAnsi" w:eastAsiaTheme="majorEastAsia" w:hAnsiTheme="majorHAnsi" w:cstheme="majorBidi"/>
      <w:color w:val="000000" w:themeColor="text2" w:themeShade="BF"/>
      <w:spacing w:val="5"/>
      <w:kern w:val="28"/>
      <w:sz w:val="52"/>
      <w:szCs w:val="52"/>
    </w:rPr>
  </w:style>
  <w:style w:type="paragraph" w:styleId="TOCHeading">
    <w:name w:val="TOC Heading"/>
    <w:basedOn w:val="Heading1"/>
    <w:next w:val="Normal"/>
    <w:uiPriority w:val="39"/>
    <w:semiHidden/>
    <w:unhideWhenUsed/>
    <w:qFormat/>
    <w:rsid w:val="00F92709"/>
    <w:pPr>
      <w:spacing w:line="276" w:lineRule="auto"/>
      <w:outlineLvl w:val="9"/>
    </w:pPr>
    <w:rPr>
      <w:lang w:eastAsia="ja-JP"/>
    </w:rPr>
  </w:style>
  <w:style w:type="paragraph" w:styleId="TOC1">
    <w:name w:val="toc 1"/>
    <w:basedOn w:val="Normal"/>
    <w:next w:val="Normal"/>
    <w:autoRedefine/>
    <w:uiPriority w:val="39"/>
    <w:unhideWhenUsed/>
    <w:rsid w:val="002E29B2"/>
    <w:pPr>
      <w:tabs>
        <w:tab w:val="right" w:leader="dot" w:pos="9350"/>
      </w:tabs>
      <w:spacing w:after="100"/>
    </w:pPr>
  </w:style>
  <w:style w:type="paragraph" w:styleId="TOC2">
    <w:name w:val="toc 2"/>
    <w:basedOn w:val="Normal"/>
    <w:next w:val="Normal"/>
    <w:autoRedefine/>
    <w:uiPriority w:val="39"/>
    <w:unhideWhenUsed/>
    <w:rsid w:val="00F92709"/>
    <w:pPr>
      <w:spacing w:after="100"/>
      <w:ind w:left="240"/>
    </w:pPr>
  </w:style>
  <w:style w:type="character" w:customStyle="1" w:styleId="Heading3Char">
    <w:name w:val="Heading 3 Char"/>
    <w:basedOn w:val="DefaultParagraphFont"/>
    <w:link w:val="Heading3"/>
    <w:uiPriority w:val="9"/>
    <w:rsid w:val="00B22278"/>
    <w:rPr>
      <w:rFonts w:asciiTheme="majorHAnsi" w:eastAsiaTheme="majorEastAsia" w:hAnsiTheme="majorHAnsi" w:cstheme="majorBidi"/>
      <w:b/>
      <w:bCs/>
      <w:color w:val="000000" w:themeColor="accent1"/>
      <w:sz w:val="24"/>
      <w:szCs w:val="24"/>
    </w:rPr>
  </w:style>
  <w:style w:type="paragraph" w:styleId="TOC3">
    <w:name w:val="toc 3"/>
    <w:basedOn w:val="Normal"/>
    <w:next w:val="Normal"/>
    <w:autoRedefine/>
    <w:uiPriority w:val="39"/>
    <w:unhideWhenUsed/>
    <w:rsid w:val="00D638A2"/>
    <w:pPr>
      <w:spacing w:after="100"/>
      <w:ind w:left="480"/>
    </w:pPr>
  </w:style>
  <w:style w:type="table" w:customStyle="1" w:styleId="TableGrid1">
    <w:name w:val="Table Grid1"/>
    <w:basedOn w:val="TableNormal"/>
    <w:next w:val="TableGrid"/>
    <w:uiPriority w:val="59"/>
    <w:rsid w:val="001A7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456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113">
      <w:bodyDiv w:val="1"/>
      <w:marLeft w:val="0"/>
      <w:marRight w:val="0"/>
      <w:marTop w:val="0"/>
      <w:marBottom w:val="0"/>
      <w:divBdr>
        <w:top w:val="none" w:sz="0" w:space="0" w:color="auto"/>
        <w:left w:val="none" w:sz="0" w:space="0" w:color="auto"/>
        <w:bottom w:val="none" w:sz="0" w:space="0" w:color="auto"/>
        <w:right w:val="none" w:sz="0" w:space="0" w:color="auto"/>
      </w:divBdr>
    </w:div>
    <w:div w:id="194075801">
      <w:bodyDiv w:val="1"/>
      <w:marLeft w:val="0"/>
      <w:marRight w:val="0"/>
      <w:marTop w:val="0"/>
      <w:marBottom w:val="0"/>
      <w:divBdr>
        <w:top w:val="none" w:sz="0" w:space="0" w:color="auto"/>
        <w:left w:val="none" w:sz="0" w:space="0" w:color="auto"/>
        <w:bottom w:val="none" w:sz="0" w:space="0" w:color="auto"/>
        <w:right w:val="none" w:sz="0" w:space="0" w:color="auto"/>
      </w:divBdr>
    </w:div>
    <w:div w:id="283006269">
      <w:bodyDiv w:val="1"/>
      <w:marLeft w:val="0"/>
      <w:marRight w:val="0"/>
      <w:marTop w:val="0"/>
      <w:marBottom w:val="0"/>
      <w:divBdr>
        <w:top w:val="none" w:sz="0" w:space="0" w:color="auto"/>
        <w:left w:val="none" w:sz="0" w:space="0" w:color="auto"/>
        <w:bottom w:val="none" w:sz="0" w:space="0" w:color="auto"/>
        <w:right w:val="none" w:sz="0" w:space="0" w:color="auto"/>
      </w:divBdr>
    </w:div>
    <w:div w:id="310141920">
      <w:bodyDiv w:val="1"/>
      <w:marLeft w:val="0"/>
      <w:marRight w:val="0"/>
      <w:marTop w:val="0"/>
      <w:marBottom w:val="0"/>
      <w:divBdr>
        <w:top w:val="none" w:sz="0" w:space="0" w:color="auto"/>
        <w:left w:val="none" w:sz="0" w:space="0" w:color="auto"/>
        <w:bottom w:val="none" w:sz="0" w:space="0" w:color="auto"/>
        <w:right w:val="none" w:sz="0" w:space="0" w:color="auto"/>
      </w:divBdr>
    </w:div>
    <w:div w:id="336274544">
      <w:bodyDiv w:val="1"/>
      <w:marLeft w:val="0"/>
      <w:marRight w:val="0"/>
      <w:marTop w:val="0"/>
      <w:marBottom w:val="0"/>
      <w:divBdr>
        <w:top w:val="none" w:sz="0" w:space="0" w:color="auto"/>
        <w:left w:val="none" w:sz="0" w:space="0" w:color="auto"/>
        <w:bottom w:val="none" w:sz="0" w:space="0" w:color="auto"/>
        <w:right w:val="none" w:sz="0" w:space="0" w:color="auto"/>
      </w:divBdr>
    </w:div>
    <w:div w:id="347949048">
      <w:bodyDiv w:val="1"/>
      <w:marLeft w:val="0"/>
      <w:marRight w:val="0"/>
      <w:marTop w:val="0"/>
      <w:marBottom w:val="0"/>
      <w:divBdr>
        <w:top w:val="none" w:sz="0" w:space="0" w:color="auto"/>
        <w:left w:val="none" w:sz="0" w:space="0" w:color="auto"/>
        <w:bottom w:val="none" w:sz="0" w:space="0" w:color="auto"/>
        <w:right w:val="none" w:sz="0" w:space="0" w:color="auto"/>
      </w:divBdr>
    </w:div>
    <w:div w:id="352734403">
      <w:bodyDiv w:val="1"/>
      <w:marLeft w:val="0"/>
      <w:marRight w:val="0"/>
      <w:marTop w:val="0"/>
      <w:marBottom w:val="0"/>
      <w:divBdr>
        <w:top w:val="none" w:sz="0" w:space="0" w:color="auto"/>
        <w:left w:val="none" w:sz="0" w:space="0" w:color="auto"/>
        <w:bottom w:val="none" w:sz="0" w:space="0" w:color="auto"/>
        <w:right w:val="none" w:sz="0" w:space="0" w:color="auto"/>
      </w:divBdr>
    </w:div>
    <w:div w:id="571548794">
      <w:bodyDiv w:val="1"/>
      <w:marLeft w:val="0"/>
      <w:marRight w:val="0"/>
      <w:marTop w:val="0"/>
      <w:marBottom w:val="0"/>
      <w:divBdr>
        <w:top w:val="none" w:sz="0" w:space="0" w:color="auto"/>
        <w:left w:val="none" w:sz="0" w:space="0" w:color="auto"/>
        <w:bottom w:val="none" w:sz="0" w:space="0" w:color="auto"/>
        <w:right w:val="none" w:sz="0" w:space="0" w:color="auto"/>
      </w:divBdr>
    </w:div>
    <w:div w:id="725488559">
      <w:bodyDiv w:val="1"/>
      <w:marLeft w:val="0"/>
      <w:marRight w:val="0"/>
      <w:marTop w:val="0"/>
      <w:marBottom w:val="0"/>
      <w:divBdr>
        <w:top w:val="none" w:sz="0" w:space="0" w:color="auto"/>
        <w:left w:val="none" w:sz="0" w:space="0" w:color="auto"/>
        <w:bottom w:val="none" w:sz="0" w:space="0" w:color="auto"/>
        <w:right w:val="none" w:sz="0" w:space="0" w:color="auto"/>
      </w:divBdr>
    </w:div>
    <w:div w:id="936015088">
      <w:bodyDiv w:val="1"/>
      <w:marLeft w:val="0"/>
      <w:marRight w:val="0"/>
      <w:marTop w:val="0"/>
      <w:marBottom w:val="0"/>
      <w:divBdr>
        <w:top w:val="none" w:sz="0" w:space="0" w:color="auto"/>
        <w:left w:val="none" w:sz="0" w:space="0" w:color="auto"/>
        <w:bottom w:val="none" w:sz="0" w:space="0" w:color="auto"/>
        <w:right w:val="none" w:sz="0" w:space="0" w:color="auto"/>
      </w:divBdr>
    </w:div>
    <w:div w:id="956839139">
      <w:bodyDiv w:val="1"/>
      <w:marLeft w:val="0"/>
      <w:marRight w:val="0"/>
      <w:marTop w:val="0"/>
      <w:marBottom w:val="0"/>
      <w:divBdr>
        <w:top w:val="none" w:sz="0" w:space="0" w:color="auto"/>
        <w:left w:val="none" w:sz="0" w:space="0" w:color="auto"/>
        <w:bottom w:val="none" w:sz="0" w:space="0" w:color="auto"/>
        <w:right w:val="none" w:sz="0" w:space="0" w:color="auto"/>
      </w:divBdr>
    </w:div>
    <w:div w:id="1183009545">
      <w:bodyDiv w:val="1"/>
      <w:marLeft w:val="0"/>
      <w:marRight w:val="0"/>
      <w:marTop w:val="0"/>
      <w:marBottom w:val="0"/>
      <w:divBdr>
        <w:top w:val="none" w:sz="0" w:space="0" w:color="auto"/>
        <w:left w:val="none" w:sz="0" w:space="0" w:color="auto"/>
        <w:bottom w:val="none" w:sz="0" w:space="0" w:color="auto"/>
        <w:right w:val="none" w:sz="0" w:space="0" w:color="auto"/>
      </w:divBdr>
    </w:div>
    <w:div w:id="1307278850">
      <w:bodyDiv w:val="1"/>
      <w:marLeft w:val="0"/>
      <w:marRight w:val="0"/>
      <w:marTop w:val="0"/>
      <w:marBottom w:val="0"/>
      <w:divBdr>
        <w:top w:val="none" w:sz="0" w:space="0" w:color="auto"/>
        <w:left w:val="none" w:sz="0" w:space="0" w:color="auto"/>
        <w:bottom w:val="none" w:sz="0" w:space="0" w:color="auto"/>
        <w:right w:val="none" w:sz="0" w:space="0" w:color="auto"/>
      </w:divBdr>
    </w:div>
    <w:div w:id="1613242878">
      <w:bodyDiv w:val="1"/>
      <w:marLeft w:val="0"/>
      <w:marRight w:val="0"/>
      <w:marTop w:val="0"/>
      <w:marBottom w:val="0"/>
      <w:divBdr>
        <w:top w:val="none" w:sz="0" w:space="0" w:color="auto"/>
        <w:left w:val="none" w:sz="0" w:space="0" w:color="auto"/>
        <w:bottom w:val="none" w:sz="0" w:space="0" w:color="auto"/>
        <w:right w:val="none" w:sz="0" w:space="0" w:color="auto"/>
      </w:divBdr>
    </w:div>
    <w:div w:id="1707828250">
      <w:bodyDiv w:val="1"/>
      <w:marLeft w:val="0"/>
      <w:marRight w:val="0"/>
      <w:marTop w:val="0"/>
      <w:marBottom w:val="0"/>
      <w:divBdr>
        <w:top w:val="none" w:sz="0" w:space="0" w:color="auto"/>
        <w:left w:val="none" w:sz="0" w:space="0" w:color="auto"/>
        <w:bottom w:val="none" w:sz="0" w:space="0" w:color="auto"/>
        <w:right w:val="none" w:sz="0" w:space="0" w:color="auto"/>
      </w:divBdr>
    </w:div>
    <w:div w:id="1718234973">
      <w:bodyDiv w:val="1"/>
      <w:marLeft w:val="0"/>
      <w:marRight w:val="0"/>
      <w:marTop w:val="0"/>
      <w:marBottom w:val="0"/>
      <w:divBdr>
        <w:top w:val="none" w:sz="0" w:space="0" w:color="auto"/>
        <w:left w:val="none" w:sz="0" w:space="0" w:color="auto"/>
        <w:bottom w:val="none" w:sz="0" w:space="0" w:color="auto"/>
        <w:right w:val="none" w:sz="0" w:space="0" w:color="auto"/>
      </w:divBdr>
    </w:div>
    <w:div w:id="1842499239">
      <w:bodyDiv w:val="1"/>
      <w:marLeft w:val="0"/>
      <w:marRight w:val="0"/>
      <w:marTop w:val="0"/>
      <w:marBottom w:val="0"/>
      <w:divBdr>
        <w:top w:val="none" w:sz="0" w:space="0" w:color="auto"/>
        <w:left w:val="none" w:sz="0" w:space="0" w:color="auto"/>
        <w:bottom w:val="none" w:sz="0" w:space="0" w:color="auto"/>
        <w:right w:val="none" w:sz="0" w:space="0" w:color="auto"/>
      </w:divBdr>
    </w:div>
    <w:div w:id="2102329424">
      <w:bodyDiv w:val="1"/>
      <w:marLeft w:val="0"/>
      <w:marRight w:val="0"/>
      <w:marTop w:val="0"/>
      <w:marBottom w:val="0"/>
      <w:divBdr>
        <w:top w:val="none" w:sz="0" w:space="0" w:color="auto"/>
        <w:left w:val="none" w:sz="0" w:space="0" w:color="auto"/>
        <w:bottom w:val="none" w:sz="0" w:space="0" w:color="auto"/>
        <w:right w:val="none" w:sz="0" w:space="0" w:color="auto"/>
      </w:divBdr>
    </w:div>
    <w:div w:id="213786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lexander.Mayer@mdr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9">
      <a:dk1>
        <a:sysClr val="windowText" lastClr="000000"/>
      </a:dk1>
      <a:lt1>
        <a:sysClr val="window" lastClr="FFFFFF"/>
      </a:lt1>
      <a:dk2>
        <a:srgbClr val="000000"/>
      </a:dk2>
      <a:lt2>
        <a:srgbClr val="EEECE1"/>
      </a:lt2>
      <a:accent1>
        <a:srgbClr val="000000"/>
      </a:accent1>
      <a:accent2>
        <a:srgbClr val="000000"/>
      </a:accent2>
      <a:accent3>
        <a:srgbClr val="9BBB59"/>
      </a:accent3>
      <a:accent4>
        <a:srgbClr val="8064A2"/>
      </a:accent4>
      <a:accent5>
        <a:srgbClr val="4BACC6"/>
      </a:accent5>
      <a:accent6>
        <a:srgbClr val="F79646"/>
      </a:accent6>
      <a:hlink>
        <a:srgbClr val="0000FF"/>
      </a:hlink>
      <a:folHlink>
        <a:srgbClr val="800080"/>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Type xmlns="370fa563-00d4-4994-9f8e-8ae48aed2f53">OMB Package</Document_x0020_Type>
    <Task xmlns="370fa563-00d4-4994-9f8e-8ae48aed2f53">Task 04</Task>
    <Site xmlns="f23c63e7-3264-4fa0-bbac-fd47573de8ba">
      <Value>N/A</Value>
    </Site>
    <Temporal xmlns="f23c63e7-3264-4fa0-bbac-fd47573de8ba">Collaboration</Temporal>
    <Sub-Team xmlns="f23c63e7-3264-4fa0-bbac-fd47573de8ba">
      <Value>N/A</Value>
    </Sub-Team>
    <RightsManagement xmlns="f23c63e7-3264-4fa0-bbac-fd47573de8ba">Universal</RightsManagement>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E90DAFB6530E8542BFD31B786978A60C" ma:contentTypeVersion="19" ma:contentTypeDescription="MDRC Project Documents - includes metadata - Document Type, Site, Team" ma:contentTypeScope="" ma:versionID="7cbe0686c2b491b92645ab2c852f60cb">
  <xsd:schema xmlns:xsd="http://www.w3.org/2001/XMLSchema" xmlns:p="http://schemas.microsoft.com/office/2006/metadata/properties" xmlns:ns1="f23c63e7-3264-4fa0-bbac-fd47573de8ba" xmlns:ns3="370fa563-00d4-4994-9f8e-8ae48aed2f53" targetNamespace="http://schemas.microsoft.com/office/2006/metadata/properties" ma:root="true" ma:fieldsID="27edc132549459a294700d816ff7ad3a" ns1:_="" ns3:_="">
    <xsd:import namespace="f23c63e7-3264-4fa0-bbac-fd47573de8ba"/>
    <xsd:import namespace="370fa563-00d4-4994-9f8e-8ae48aed2f53"/>
    <xsd:element name="properties">
      <xsd:complexType>
        <xsd:sequence>
          <xsd:element name="documentManagement">
            <xsd:complexType>
              <xsd:all>
                <xsd:element ref="ns1:RightsManagement" minOccurs="0"/>
                <xsd:element ref="ns1:Temporal"/>
                <xsd:element ref="ns1:Sub-Team" minOccurs="0"/>
                <xsd:element ref="ns1:Site" minOccurs="0"/>
                <xsd:element ref="ns3:Task" minOccurs="0"/>
                <xsd:element ref="ns3:Document_x0020_Type"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Sub-Team" ma:index="4"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ite" ma:index="5" nillable="true" ma:displayName="Site" ma:default="N/A" ma:internalName="Sit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schema>
  <xsd:schema xmlns:xsd="http://www.w3.org/2001/XMLSchema" xmlns:dms="http://schemas.microsoft.com/office/2006/documentManagement/types" targetNamespace="370fa563-00d4-4994-9f8e-8ae48aed2f53" elementFormDefault="qualified">
    <xsd:import namespace="http://schemas.microsoft.com/office/2006/documentManagement/types"/>
    <xsd:element name="Task" ma:index="12" nillable="true" ma:displayName="Task" ma:format="Dropdown" ma:internalName="Task">
      <xsd:simpleType>
        <xsd:restriction base="dms:Choice">
          <xsd:enumeration value="Task 01"/>
          <xsd:enumeration value="Task 02"/>
          <xsd:enumeration value="Task 03"/>
          <xsd:enumeration value="Task 04"/>
          <xsd:enumeration value="Task 05"/>
          <xsd:enumeration value="Task 06"/>
          <xsd:enumeration value="Task 07"/>
          <xsd:enumeration value="Task 08"/>
          <xsd:enumeration value="Task 09"/>
          <xsd:enumeration value="Task 10"/>
          <xsd:enumeration value="Task 11"/>
          <xsd:enumeration value="Task 12"/>
          <xsd:enumeration value="Task 13"/>
          <xsd:enumeration value="Task 14"/>
          <xsd:enumeration value="Task 15"/>
        </xsd:restriction>
      </xsd:simpleType>
    </xsd:element>
    <xsd:element name="Document_x0020_Type" ma:index="13" nillable="true" ma:displayName="Document Type" ma:format="Dropdown" ma:internalName="Document_x0020_Type">
      <xsd:simpleType>
        <xsd:restriction base="dms:Choice">
          <xsd:enumeration value="1st Meeting Materials"/>
          <xsd:enumeration value="Analysis Plan"/>
          <xsd:enumeration value="Bi-Weekly Check-in with IES"/>
          <xsd:enumeration value="Business Kickoff Meeting"/>
          <xsd:enumeration value="Collateral Materials"/>
          <xsd:enumeration value="Data Collection"/>
          <xsd:enumeration value="EOC Communication Documents"/>
          <xsd:enumeration value="EOC Data Files for Recruitment"/>
          <xsd:enumeration value="ICR Forms"/>
          <xsd:enumeration value="IES Kickoff Meeting"/>
          <xsd:enumeration value="Intervention Design"/>
          <xsd:enumeration value="MDRC Kickoff Meeting"/>
          <xsd:enumeration value="Monthly Reports"/>
          <xsd:enumeration value="OMB Package"/>
          <xsd:enumeration value="OMB Samples"/>
          <xsd:enumeration value="Planning"/>
          <xsd:enumeration value="Proposal &amp; Contract Documents"/>
          <xsd:enumeration value="Public Strategies"/>
          <xsd:enumeration value="Recruitment Screening Documents"/>
          <xsd:enumeration value="Recruitment Team Management"/>
          <xsd:enumeration value="Reporting Guidelines &amp; Templates"/>
          <xsd:enumeration value="Samples"/>
          <xsd:enumeration value="Security Clearance"/>
          <xsd:enumeration value="Team Meeting Notes"/>
          <xsd:enumeration value="Website"/>
          <xsd:enumeration value="Webina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77558-AD85-4A34-B970-B15B70642B5E}">
  <ds:schemaRefs>
    <ds:schemaRef ds:uri="http://schemas.microsoft.com/sharepoint/v3/contenttype/forms"/>
  </ds:schemaRefs>
</ds:datastoreItem>
</file>

<file path=customXml/itemProps2.xml><?xml version="1.0" encoding="utf-8"?>
<ds:datastoreItem xmlns:ds="http://schemas.openxmlformats.org/officeDocument/2006/customXml" ds:itemID="{2A774BBC-1876-453B-9DE4-FD4A7EA08408}">
  <ds:schemaRefs>
    <ds:schemaRef ds:uri="http://schemas.microsoft.com/office/2006/metadata/properties"/>
    <ds:schemaRef ds:uri="370fa563-00d4-4994-9f8e-8ae48aed2f53"/>
    <ds:schemaRef ds:uri="f23c63e7-3264-4fa0-bbac-fd47573de8ba"/>
  </ds:schemaRefs>
</ds:datastoreItem>
</file>

<file path=customXml/itemProps3.xml><?xml version="1.0" encoding="utf-8"?>
<ds:datastoreItem xmlns:ds="http://schemas.openxmlformats.org/officeDocument/2006/customXml" ds:itemID="{52D748BF-6CC8-4B6F-A285-16467A812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370fa563-00d4-4994-9f8e-8ae48aed2f5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4FFCC30-8F79-4ECA-88D8-C8C3E2E2A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2917</Words>
  <Characters>16632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19510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Jacklyn Willard</dc:creator>
  <cp:lastModifiedBy>Ingalls, Katrina</cp:lastModifiedBy>
  <cp:revision>2</cp:revision>
  <cp:lastPrinted>2017-06-07T11:58:00Z</cp:lastPrinted>
  <dcterms:created xsi:type="dcterms:W3CDTF">2017-06-15T17:54:00Z</dcterms:created>
  <dcterms:modified xsi:type="dcterms:W3CDTF">2017-06-15T17:54:00Z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0x010100D810F6CF721EB04581547F468DAB7A7A00E90DAFB6530E8542BFD31B786978A60C</vt:lpwstr>
  </property>
</Properties>
</file>