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392" w:rsidRPr="00B43481" w:rsidRDefault="00327392" w:rsidP="00327392">
      <w:pPr>
        <w:spacing w:after="0" w:line="240" w:lineRule="auto"/>
        <w:rPr>
          <w:rFonts w:ascii="Arial" w:eastAsia="Times New Roman" w:hAnsi="Arial" w:cs="Arial"/>
          <w:color w:val="32434F"/>
        </w:rPr>
      </w:pPr>
      <w:bookmarkStart w:id="0" w:name="hl1"/>
      <w:r w:rsidRPr="00B43481">
        <w:rPr>
          <w:rFonts w:ascii="Arial" w:eastAsia="Times New Roman" w:hAnsi="Arial" w:cs="Arial"/>
          <w:b/>
          <w:bCs/>
          <w:color w:val="32434F"/>
        </w:rPr>
        <w:t xml:space="preserve">49 USC </w:t>
      </w:r>
      <w:proofErr w:type="gramStart"/>
      <w:r w:rsidRPr="00B43481">
        <w:rPr>
          <w:rFonts w:ascii="Arial" w:eastAsia="Times New Roman" w:hAnsi="Arial" w:cs="Arial"/>
          <w:b/>
          <w:bCs/>
          <w:color w:val="32434F"/>
        </w:rPr>
        <w:t>60502</w:t>
      </w:r>
      <w:bookmarkEnd w:id="0"/>
      <w:r w:rsidRPr="00B43481">
        <w:rPr>
          <w:rFonts w:ascii="Arial" w:eastAsia="Times New Roman" w:hAnsi="Arial" w:cs="Arial"/>
          <w:b/>
          <w:bCs/>
          <w:color w:val="32434F"/>
        </w:rPr>
        <w:t xml:space="preserve"> :</w:t>
      </w:r>
      <w:proofErr w:type="gramEnd"/>
      <w:r w:rsidRPr="00B43481">
        <w:rPr>
          <w:rFonts w:ascii="Arial" w:eastAsia="Times New Roman" w:hAnsi="Arial" w:cs="Arial"/>
          <w:b/>
          <w:bCs/>
          <w:color w:val="32434F"/>
        </w:rPr>
        <w:t xml:space="preserve"> Federal Energy Regulatory Commission</w:t>
      </w:r>
      <w:r w:rsidRPr="00B43481">
        <w:rPr>
          <w:rFonts w:ascii="Arial" w:eastAsia="Times New Roman" w:hAnsi="Arial" w:cs="Arial"/>
          <w:color w:val="32434F"/>
        </w:rPr>
        <w:t xml:space="preserve"> Text contains those laws in effect on May 29, 2017 </w:t>
      </w:r>
    </w:p>
    <w:p w:rsidR="0052545C" w:rsidRDefault="00327392"/>
    <w:p w:rsidR="00327392" w:rsidRPr="00327392" w:rsidRDefault="00327392" w:rsidP="00327392">
      <w:pPr>
        <w:spacing w:before="150" w:after="45" w:line="240" w:lineRule="auto"/>
        <w:ind w:hanging="480"/>
        <w:outlineLvl w:val="2"/>
        <w:rPr>
          <w:rFonts w:ascii="Arial" w:eastAsia="Times New Roman" w:hAnsi="Arial" w:cs="Arial"/>
          <w:b/>
          <w:bCs/>
          <w:color w:val="32434F"/>
          <w:sz w:val="27"/>
          <w:szCs w:val="27"/>
        </w:rPr>
      </w:pPr>
      <w:r w:rsidRPr="00327392">
        <w:rPr>
          <w:rFonts w:ascii="Arial" w:eastAsia="Times New Roman" w:hAnsi="Arial" w:cs="Arial"/>
          <w:b/>
          <w:bCs/>
          <w:color w:val="32434F"/>
          <w:sz w:val="27"/>
          <w:szCs w:val="27"/>
        </w:rPr>
        <w:t>§60502. Federal Energy Regulatory Commission</w:t>
      </w:r>
    </w:p>
    <w:p w:rsidR="00327392" w:rsidRPr="00327392" w:rsidRDefault="00327392" w:rsidP="00327392">
      <w:pPr>
        <w:spacing w:after="0" w:line="240" w:lineRule="auto"/>
        <w:ind w:firstLine="240"/>
        <w:rPr>
          <w:rFonts w:ascii="Arial" w:eastAsia="Times New Roman" w:hAnsi="Arial" w:cs="Arial"/>
        </w:rPr>
      </w:pPr>
      <w:r w:rsidRPr="00327392">
        <w:rPr>
          <w:rFonts w:ascii="Arial" w:eastAsia="Times New Roman" w:hAnsi="Arial" w:cs="Arial"/>
        </w:rPr>
        <w:t>The Federal Energy Regulatory Commission has the duties and powers related to the establishment of a rate or charge for the transportation of oil by pipeline or the valuation of that pipeline that were vested on October 1, 1977, in the Interstate Commerce Commission or an officer or component of the Interstate Commerce Commission.</w:t>
      </w:r>
    </w:p>
    <w:p w:rsidR="00327392" w:rsidRPr="00327392" w:rsidRDefault="00327392" w:rsidP="00327392">
      <w:pPr>
        <w:spacing w:before="75" w:after="75" w:line="240" w:lineRule="auto"/>
        <w:rPr>
          <w:rFonts w:ascii="Arial" w:eastAsia="Times New Roman" w:hAnsi="Arial" w:cs="Arial"/>
        </w:rPr>
      </w:pPr>
      <w:r w:rsidRPr="00327392">
        <w:rPr>
          <w:rFonts w:ascii="Arial" w:eastAsia="Times New Roman" w:hAnsi="Arial" w:cs="Arial"/>
        </w:rPr>
        <w:t>(</w:t>
      </w:r>
      <w:hyperlink r:id="rId4" w:tgtFrame="_blank" w:history="1">
        <w:r w:rsidRPr="00327392">
          <w:rPr>
            <w:rFonts w:ascii="Arial" w:eastAsia="Times New Roman" w:hAnsi="Arial" w:cs="Arial"/>
            <w:color w:val="0F0D61"/>
          </w:rPr>
          <w:t>Pub. L. 103–272, §1(e), July 5, 1994, 108 Stat. 1329</w:t>
        </w:r>
      </w:hyperlink>
      <w:r w:rsidRPr="00327392">
        <w:rPr>
          <w:rFonts w:ascii="Arial" w:eastAsia="Times New Roman" w:hAnsi="Arial" w:cs="Arial"/>
        </w:rPr>
        <w:t>.)</w:t>
      </w:r>
    </w:p>
    <w:tbl>
      <w:tblPr>
        <w:tblW w:w="9750" w:type="dxa"/>
        <w:tblCellSpacing w:w="0" w:type="dxa"/>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1949"/>
        <w:gridCol w:w="3413"/>
        <w:gridCol w:w="4388"/>
      </w:tblGrid>
      <w:tr w:rsidR="00327392" w:rsidRPr="00327392" w:rsidTr="00327392">
        <w:trPr>
          <w:tblCellSpacing w:w="0" w:type="dxa"/>
        </w:trPr>
        <w:tc>
          <w:tcPr>
            <w:tcW w:w="0" w:type="auto"/>
            <w:gridSpan w:val="3"/>
            <w:tcBorders>
              <w:top w:val="nil"/>
              <w:left w:val="nil"/>
              <w:bottom w:val="nil"/>
              <w:right w:val="nil"/>
            </w:tcBorders>
            <w:vAlign w:val="center"/>
            <w:hideMark/>
          </w:tcPr>
          <w:p w:rsidR="00327392" w:rsidRPr="00327392" w:rsidRDefault="00327392" w:rsidP="00327392">
            <w:pPr>
              <w:spacing w:before="60" w:after="60" w:line="240" w:lineRule="auto"/>
              <w:ind w:left="60" w:right="60"/>
              <w:jc w:val="center"/>
              <w:rPr>
                <w:rFonts w:ascii="Times New Roman" w:eastAsia="Times New Roman" w:hAnsi="Times New Roman" w:cs="Times New Roman"/>
                <w:sz w:val="25"/>
                <w:szCs w:val="25"/>
              </w:rPr>
            </w:pPr>
            <w:r w:rsidRPr="00327392">
              <w:rPr>
                <w:rFonts w:ascii="Times New Roman" w:eastAsia="Times New Roman" w:hAnsi="Times New Roman" w:cs="Times New Roman"/>
                <w:sz w:val="25"/>
                <w:szCs w:val="25"/>
              </w:rPr>
              <w:t>Historical and Revision Notes</w:t>
            </w:r>
          </w:p>
        </w:tc>
      </w:tr>
      <w:tr w:rsidR="00327392" w:rsidRPr="00327392" w:rsidTr="00327392">
        <w:trPr>
          <w:tblCellSpacing w:w="0" w:type="dxa"/>
        </w:trPr>
        <w:tc>
          <w:tcPr>
            <w:tcW w:w="0" w:type="auto"/>
            <w:tcBorders>
              <w:top w:val="nil"/>
              <w:left w:val="nil"/>
              <w:bottom w:val="single" w:sz="6" w:space="0" w:color="auto"/>
              <w:right w:val="nil"/>
            </w:tcBorders>
            <w:vAlign w:val="center"/>
            <w:hideMark/>
          </w:tcPr>
          <w:p w:rsidR="00327392" w:rsidRPr="00327392" w:rsidRDefault="00327392" w:rsidP="00327392">
            <w:pPr>
              <w:spacing w:after="0" w:line="240" w:lineRule="auto"/>
              <w:jc w:val="center"/>
              <w:rPr>
                <w:rFonts w:ascii="Times New Roman" w:eastAsia="Times New Roman" w:hAnsi="Times New Roman" w:cs="Times New Roman"/>
                <w:i/>
                <w:iCs/>
                <w:sz w:val="24"/>
                <w:szCs w:val="24"/>
              </w:rPr>
            </w:pPr>
            <w:r w:rsidRPr="00327392">
              <w:rPr>
                <w:rFonts w:ascii="Times New Roman" w:eastAsia="Times New Roman" w:hAnsi="Times New Roman" w:cs="Times New Roman"/>
                <w:i/>
                <w:iCs/>
                <w:sz w:val="24"/>
                <w:szCs w:val="24"/>
              </w:rPr>
              <w:t xml:space="preserve">Revised </w:t>
            </w:r>
          </w:p>
          <w:p w:rsidR="00327392" w:rsidRPr="00327392" w:rsidRDefault="00327392" w:rsidP="00327392">
            <w:pPr>
              <w:spacing w:after="0" w:line="240" w:lineRule="auto"/>
              <w:ind w:hanging="240"/>
              <w:jc w:val="center"/>
              <w:rPr>
                <w:rFonts w:ascii="Times New Roman" w:eastAsia="Times New Roman" w:hAnsi="Times New Roman" w:cs="Times New Roman"/>
                <w:i/>
                <w:iCs/>
                <w:sz w:val="24"/>
                <w:szCs w:val="24"/>
              </w:rPr>
            </w:pPr>
            <w:r w:rsidRPr="00327392">
              <w:rPr>
                <w:rFonts w:ascii="Times New Roman" w:eastAsia="Times New Roman" w:hAnsi="Times New Roman" w:cs="Times New Roman"/>
                <w:i/>
                <w:iCs/>
                <w:sz w:val="24"/>
                <w:szCs w:val="24"/>
              </w:rPr>
              <w:t>Section</w:t>
            </w:r>
          </w:p>
        </w:tc>
        <w:tc>
          <w:tcPr>
            <w:tcW w:w="0" w:type="auto"/>
            <w:tcBorders>
              <w:top w:val="nil"/>
              <w:left w:val="nil"/>
              <w:bottom w:val="single" w:sz="6" w:space="0" w:color="auto"/>
              <w:right w:val="nil"/>
            </w:tcBorders>
            <w:vAlign w:val="center"/>
            <w:hideMark/>
          </w:tcPr>
          <w:p w:rsidR="00327392" w:rsidRPr="00327392" w:rsidRDefault="00327392" w:rsidP="00327392">
            <w:pPr>
              <w:spacing w:after="0" w:line="240" w:lineRule="auto"/>
              <w:jc w:val="center"/>
              <w:rPr>
                <w:rFonts w:ascii="Times New Roman" w:eastAsia="Times New Roman" w:hAnsi="Times New Roman" w:cs="Times New Roman"/>
                <w:sz w:val="24"/>
                <w:szCs w:val="24"/>
              </w:rPr>
            </w:pPr>
            <w:r w:rsidRPr="00327392">
              <w:rPr>
                <w:rFonts w:ascii="Times New Roman" w:eastAsia="Times New Roman" w:hAnsi="Times New Roman" w:cs="Times New Roman"/>
                <w:i/>
                <w:iCs/>
                <w:sz w:val="24"/>
                <w:szCs w:val="24"/>
              </w:rPr>
              <w:t>Source (U.S. Code)</w:t>
            </w:r>
          </w:p>
        </w:tc>
        <w:tc>
          <w:tcPr>
            <w:tcW w:w="0" w:type="auto"/>
            <w:tcBorders>
              <w:top w:val="nil"/>
              <w:left w:val="nil"/>
              <w:bottom w:val="single" w:sz="6" w:space="0" w:color="auto"/>
              <w:right w:val="nil"/>
            </w:tcBorders>
            <w:vAlign w:val="center"/>
            <w:hideMark/>
          </w:tcPr>
          <w:p w:rsidR="00327392" w:rsidRPr="00327392" w:rsidRDefault="00327392" w:rsidP="00327392">
            <w:pPr>
              <w:spacing w:after="0" w:line="240" w:lineRule="auto"/>
              <w:jc w:val="center"/>
              <w:rPr>
                <w:rFonts w:ascii="Times New Roman" w:eastAsia="Times New Roman" w:hAnsi="Times New Roman" w:cs="Times New Roman"/>
                <w:sz w:val="24"/>
                <w:szCs w:val="24"/>
              </w:rPr>
            </w:pPr>
            <w:r w:rsidRPr="00327392">
              <w:rPr>
                <w:rFonts w:ascii="Times New Roman" w:eastAsia="Times New Roman" w:hAnsi="Times New Roman" w:cs="Times New Roman"/>
                <w:i/>
                <w:iCs/>
                <w:sz w:val="24"/>
                <w:szCs w:val="24"/>
              </w:rPr>
              <w:t>Source (Statutes at Large)</w:t>
            </w:r>
          </w:p>
        </w:tc>
      </w:tr>
      <w:tr w:rsidR="00327392" w:rsidRPr="00327392" w:rsidTr="00327392">
        <w:trPr>
          <w:tblCellSpacing w:w="0" w:type="dxa"/>
        </w:trPr>
        <w:tc>
          <w:tcPr>
            <w:tcW w:w="1000" w:type="pct"/>
            <w:tcMar>
              <w:top w:w="15" w:type="dxa"/>
              <w:left w:w="480" w:type="dxa"/>
              <w:bottom w:w="15" w:type="dxa"/>
              <w:right w:w="120" w:type="dxa"/>
            </w:tcMar>
            <w:hideMark/>
          </w:tcPr>
          <w:p w:rsidR="00327392" w:rsidRPr="00327392" w:rsidRDefault="00327392" w:rsidP="00327392">
            <w:pPr>
              <w:spacing w:after="0" w:line="240" w:lineRule="auto"/>
              <w:ind w:hanging="240"/>
              <w:rPr>
                <w:rFonts w:ascii="Times New Roman" w:eastAsia="Times New Roman" w:hAnsi="Times New Roman" w:cs="Times New Roman"/>
                <w:sz w:val="24"/>
                <w:szCs w:val="24"/>
              </w:rPr>
            </w:pPr>
            <w:r w:rsidRPr="00327392">
              <w:rPr>
                <w:rFonts w:ascii="Times New Roman" w:eastAsia="Times New Roman" w:hAnsi="Times New Roman" w:cs="Times New Roman"/>
                <w:sz w:val="24"/>
                <w:szCs w:val="24"/>
              </w:rPr>
              <w:t>60502</w:t>
            </w:r>
          </w:p>
        </w:tc>
        <w:tc>
          <w:tcPr>
            <w:tcW w:w="1750" w:type="pct"/>
            <w:tcBorders>
              <w:left w:val="single" w:sz="6" w:space="0" w:color="auto"/>
              <w:right w:val="single" w:sz="6" w:space="0" w:color="auto"/>
            </w:tcBorders>
            <w:tcMar>
              <w:top w:w="15" w:type="dxa"/>
              <w:left w:w="300" w:type="dxa"/>
              <w:bottom w:w="15" w:type="dxa"/>
              <w:right w:w="120" w:type="dxa"/>
            </w:tcMar>
            <w:hideMark/>
          </w:tcPr>
          <w:p w:rsidR="00327392" w:rsidRPr="00327392" w:rsidRDefault="00327392" w:rsidP="00327392">
            <w:pPr>
              <w:spacing w:after="0" w:line="240" w:lineRule="auto"/>
              <w:ind w:hanging="240"/>
              <w:rPr>
                <w:rFonts w:ascii="Times New Roman" w:eastAsia="Times New Roman" w:hAnsi="Times New Roman" w:cs="Times New Roman"/>
                <w:sz w:val="24"/>
                <w:szCs w:val="24"/>
              </w:rPr>
            </w:pPr>
            <w:r w:rsidRPr="00327392">
              <w:rPr>
                <w:rFonts w:ascii="Times New Roman" w:eastAsia="Times New Roman" w:hAnsi="Times New Roman" w:cs="Times New Roman"/>
                <w:sz w:val="24"/>
                <w:szCs w:val="24"/>
              </w:rPr>
              <w:t>42:7172(b).</w:t>
            </w:r>
          </w:p>
        </w:tc>
        <w:tc>
          <w:tcPr>
            <w:tcW w:w="2250" w:type="pct"/>
            <w:tcMar>
              <w:top w:w="15" w:type="dxa"/>
              <w:left w:w="300" w:type="dxa"/>
              <w:bottom w:w="15" w:type="dxa"/>
              <w:right w:w="480" w:type="dxa"/>
            </w:tcMar>
            <w:hideMark/>
          </w:tcPr>
          <w:p w:rsidR="00327392" w:rsidRPr="00327392" w:rsidRDefault="00327392" w:rsidP="00327392">
            <w:pPr>
              <w:spacing w:after="0" w:line="240" w:lineRule="auto"/>
              <w:ind w:hanging="240"/>
              <w:rPr>
                <w:rFonts w:ascii="Times New Roman" w:eastAsia="Times New Roman" w:hAnsi="Times New Roman" w:cs="Times New Roman"/>
                <w:sz w:val="24"/>
                <w:szCs w:val="24"/>
              </w:rPr>
            </w:pPr>
            <w:r w:rsidRPr="00327392">
              <w:rPr>
                <w:rFonts w:ascii="Times New Roman" w:eastAsia="Times New Roman" w:hAnsi="Times New Roman" w:cs="Times New Roman"/>
                <w:sz w:val="24"/>
                <w:szCs w:val="24"/>
              </w:rPr>
              <w:t xml:space="preserve">Aug. 4, 1977, </w:t>
            </w:r>
            <w:hyperlink r:id="rId5" w:tgtFrame="_blank" w:history="1">
              <w:r w:rsidRPr="00327392">
                <w:rPr>
                  <w:rFonts w:ascii="Arial" w:eastAsia="Times New Roman" w:hAnsi="Arial" w:cs="Arial"/>
                  <w:color w:val="0F0D61"/>
                  <w:sz w:val="24"/>
                  <w:szCs w:val="24"/>
                </w:rPr>
                <w:t>Pub. L. 95–91, §402(b), 91 Stat. 584</w:t>
              </w:r>
            </w:hyperlink>
            <w:r w:rsidRPr="00327392">
              <w:rPr>
                <w:rFonts w:ascii="Times New Roman" w:eastAsia="Times New Roman" w:hAnsi="Times New Roman" w:cs="Times New Roman"/>
                <w:sz w:val="24"/>
                <w:szCs w:val="24"/>
              </w:rPr>
              <w:t>.</w:t>
            </w:r>
          </w:p>
        </w:tc>
      </w:tr>
      <w:tr w:rsidR="00327392" w:rsidRPr="00327392" w:rsidTr="00327392">
        <w:trPr>
          <w:tblCellSpacing w:w="0" w:type="dxa"/>
        </w:trPr>
        <w:tc>
          <w:tcPr>
            <w:tcW w:w="1000" w:type="pct"/>
            <w:tcMar>
              <w:top w:w="15" w:type="dxa"/>
              <w:left w:w="480" w:type="dxa"/>
              <w:bottom w:w="15" w:type="dxa"/>
              <w:right w:w="120" w:type="dxa"/>
            </w:tcMar>
            <w:hideMark/>
          </w:tcPr>
          <w:p w:rsidR="00327392" w:rsidRPr="00327392" w:rsidRDefault="00327392" w:rsidP="00327392">
            <w:pPr>
              <w:spacing w:after="0" w:line="240" w:lineRule="auto"/>
              <w:ind w:hanging="240"/>
              <w:rPr>
                <w:rFonts w:ascii="Times New Roman" w:eastAsia="Times New Roman" w:hAnsi="Times New Roman" w:cs="Times New Roman"/>
                <w:sz w:val="24"/>
                <w:szCs w:val="24"/>
              </w:rPr>
            </w:pPr>
            <w:r w:rsidRPr="00327392">
              <w:rPr>
                <w:rFonts w:ascii="Times New Roman" w:eastAsia="Times New Roman" w:hAnsi="Times New Roman" w:cs="Times New Roman"/>
                <w:sz w:val="24"/>
                <w:szCs w:val="24"/>
              </w:rPr>
              <w:t xml:space="preserve">  </w:t>
            </w:r>
          </w:p>
        </w:tc>
        <w:tc>
          <w:tcPr>
            <w:tcW w:w="1750" w:type="pct"/>
            <w:tcBorders>
              <w:left w:val="single" w:sz="6" w:space="0" w:color="auto"/>
              <w:right w:val="single" w:sz="6" w:space="0" w:color="auto"/>
            </w:tcBorders>
            <w:tcMar>
              <w:top w:w="15" w:type="dxa"/>
              <w:left w:w="300" w:type="dxa"/>
              <w:bottom w:w="15" w:type="dxa"/>
              <w:right w:w="120" w:type="dxa"/>
            </w:tcMar>
            <w:hideMark/>
          </w:tcPr>
          <w:p w:rsidR="00327392" w:rsidRPr="00327392" w:rsidRDefault="00327392" w:rsidP="00327392">
            <w:pPr>
              <w:spacing w:after="0" w:line="240" w:lineRule="auto"/>
              <w:ind w:hanging="240"/>
              <w:rPr>
                <w:rFonts w:ascii="Times New Roman" w:eastAsia="Times New Roman" w:hAnsi="Times New Roman" w:cs="Times New Roman"/>
                <w:sz w:val="24"/>
                <w:szCs w:val="24"/>
              </w:rPr>
            </w:pPr>
            <w:r w:rsidRPr="00327392">
              <w:rPr>
                <w:rFonts w:ascii="Times New Roman" w:eastAsia="Times New Roman" w:hAnsi="Times New Roman" w:cs="Times New Roman"/>
                <w:sz w:val="24"/>
                <w:szCs w:val="24"/>
              </w:rPr>
              <w:t>49:101 (note prec.).</w:t>
            </w:r>
          </w:p>
        </w:tc>
        <w:tc>
          <w:tcPr>
            <w:tcW w:w="2250" w:type="pct"/>
            <w:tcMar>
              <w:top w:w="15" w:type="dxa"/>
              <w:left w:w="300" w:type="dxa"/>
              <w:bottom w:w="15" w:type="dxa"/>
              <w:right w:w="480" w:type="dxa"/>
            </w:tcMar>
            <w:hideMark/>
          </w:tcPr>
          <w:p w:rsidR="00327392" w:rsidRPr="00327392" w:rsidRDefault="00327392" w:rsidP="00327392">
            <w:pPr>
              <w:spacing w:after="0" w:line="240" w:lineRule="auto"/>
              <w:ind w:hanging="240"/>
              <w:rPr>
                <w:rFonts w:ascii="Times New Roman" w:eastAsia="Times New Roman" w:hAnsi="Times New Roman" w:cs="Times New Roman"/>
                <w:sz w:val="24"/>
                <w:szCs w:val="24"/>
              </w:rPr>
            </w:pPr>
            <w:r w:rsidRPr="00327392">
              <w:rPr>
                <w:rFonts w:ascii="Times New Roman" w:eastAsia="Times New Roman" w:hAnsi="Times New Roman" w:cs="Times New Roman"/>
                <w:sz w:val="24"/>
                <w:szCs w:val="24"/>
              </w:rPr>
              <w:t xml:space="preserve">Oct. 17, 1978, </w:t>
            </w:r>
            <w:hyperlink r:id="rId6" w:tgtFrame="_blank" w:history="1">
              <w:r w:rsidRPr="00327392">
                <w:rPr>
                  <w:rFonts w:ascii="Arial" w:eastAsia="Times New Roman" w:hAnsi="Arial" w:cs="Arial"/>
                  <w:color w:val="0F0D61"/>
                  <w:sz w:val="24"/>
                  <w:szCs w:val="24"/>
                </w:rPr>
                <w:t>Pub. L. 95–473, §4(c</w:t>
              </w:r>
              <w:proofErr w:type="gramStart"/>
              <w:r w:rsidRPr="00327392">
                <w:rPr>
                  <w:rFonts w:ascii="Arial" w:eastAsia="Times New Roman" w:hAnsi="Arial" w:cs="Arial"/>
                  <w:color w:val="0F0D61"/>
                  <w:sz w:val="24"/>
                  <w:szCs w:val="24"/>
                </w:rPr>
                <w:t>)(</w:t>
              </w:r>
              <w:proofErr w:type="gramEnd"/>
              <w:r w:rsidRPr="00327392">
                <w:rPr>
                  <w:rFonts w:ascii="Arial" w:eastAsia="Times New Roman" w:hAnsi="Arial" w:cs="Arial"/>
                  <w:color w:val="0F0D61"/>
                  <w:sz w:val="24"/>
                  <w:szCs w:val="24"/>
                </w:rPr>
                <w:t>1)(B), (2) (related to §402(b) of Department of Energy Organization Act), 92 Stat. 1470</w:t>
              </w:r>
            </w:hyperlink>
            <w:r w:rsidRPr="00327392">
              <w:rPr>
                <w:rFonts w:ascii="Times New Roman" w:eastAsia="Times New Roman" w:hAnsi="Times New Roman" w:cs="Times New Roman"/>
                <w:sz w:val="24"/>
                <w:szCs w:val="24"/>
              </w:rPr>
              <w:t>.</w:t>
            </w:r>
          </w:p>
        </w:tc>
      </w:tr>
    </w:tbl>
    <w:p w:rsidR="00327392" w:rsidRPr="00327392" w:rsidRDefault="00327392" w:rsidP="00327392">
      <w:pPr>
        <w:spacing w:after="168" w:line="240" w:lineRule="auto"/>
        <w:ind w:firstLine="240"/>
        <w:rPr>
          <w:rFonts w:ascii="Arial" w:eastAsia="Times New Roman" w:hAnsi="Arial" w:cs="Arial"/>
        </w:rPr>
      </w:pPr>
      <w:r w:rsidRPr="00327392">
        <w:rPr>
          <w:rFonts w:ascii="Arial" w:eastAsia="Times New Roman" w:hAnsi="Arial" w:cs="Arial"/>
        </w:rPr>
        <w:t xml:space="preserve">The words "duties and </w:t>
      </w:r>
      <w:proofErr w:type="gramStart"/>
      <w:r w:rsidRPr="00327392">
        <w:rPr>
          <w:rFonts w:ascii="Arial" w:eastAsia="Times New Roman" w:hAnsi="Arial" w:cs="Arial"/>
        </w:rPr>
        <w:t>powers .</w:t>
      </w:r>
      <w:proofErr w:type="gramEnd"/>
      <w:r w:rsidRPr="00327392">
        <w:rPr>
          <w:rFonts w:ascii="Arial" w:eastAsia="Times New Roman" w:hAnsi="Arial" w:cs="Arial"/>
        </w:rPr>
        <w:t> . . that were vested . . . in" are coextensive with, and substituted for, "transferred to, and vested in . . . all functions and authority of" for clarity and to eliminate unnecessary words. The word "regulatory" is omitted as surplus. The words "on October 1, 1977" are added to reflect the effective date of the transfer of the duties and powers to the Federal Energy Regulatory Commission.</w:t>
      </w:r>
    </w:p>
    <w:p w:rsidR="00327392" w:rsidRPr="00327392" w:rsidRDefault="00327392" w:rsidP="00327392">
      <w:pPr>
        <w:spacing w:before="168" w:after="45" w:line="240" w:lineRule="auto"/>
        <w:ind w:hanging="480"/>
        <w:jc w:val="center"/>
        <w:outlineLvl w:val="3"/>
        <w:rPr>
          <w:rFonts w:ascii="Arial" w:eastAsia="Times New Roman" w:hAnsi="Arial" w:cs="Arial"/>
          <w:b/>
          <w:bCs/>
          <w:smallCaps/>
        </w:rPr>
      </w:pPr>
      <w:r w:rsidRPr="00327392">
        <w:rPr>
          <w:rFonts w:ascii="Arial" w:eastAsia="Times New Roman" w:hAnsi="Arial" w:cs="Arial"/>
          <w:b/>
          <w:bCs/>
          <w:smallCaps/>
        </w:rPr>
        <w:t>Abolition of Interstate Commerce Commission and Transfer of Functions</w:t>
      </w:r>
    </w:p>
    <w:p w:rsidR="00327392" w:rsidRPr="00327392" w:rsidRDefault="00327392" w:rsidP="00327392">
      <w:pPr>
        <w:spacing w:after="168" w:line="240" w:lineRule="auto"/>
        <w:ind w:firstLine="240"/>
        <w:rPr>
          <w:rFonts w:ascii="Arial" w:eastAsia="Times New Roman" w:hAnsi="Arial" w:cs="Arial"/>
        </w:rPr>
      </w:pPr>
      <w:r w:rsidRPr="00327392">
        <w:rPr>
          <w:rFonts w:ascii="Arial" w:eastAsia="Times New Roman" w:hAnsi="Arial" w:cs="Arial"/>
        </w:rPr>
        <w:t>Interstate Commerce Commission abolished and functions of Commission transferred, except as otherwise provided in Pub. L. 104–88, to Surface Transportation Board effective Jan. 1, 1996, by section 1302 of this title, and section 101 of Pub. L. 104–88, set out as a note under section 1301 of this title. References to Interstate Commerce Commission deemed to refer to Surface Transportation Board, a member or employee of the Board, or Secretary of Transportation, as appropriate, see section 205 of Pub. L. 104–88, set out as a note under section 1301 of this title.</w:t>
      </w:r>
    </w:p>
    <w:p w:rsidR="00327392" w:rsidRDefault="00327392">
      <w:bookmarkStart w:id="1" w:name="_GoBack"/>
      <w:bookmarkEnd w:id="1"/>
    </w:p>
    <w:sectPr w:rsidR="00327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92"/>
    <w:rsid w:val="00173CA3"/>
    <w:rsid w:val="00327392"/>
    <w:rsid w:val="007A3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863E0-9085-4D1E-821A-07B385FF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925724">
      <w:bodyDiv w:val="1"/>
      <w:marLeft w:val="720"/>
      <w:marRight w:val="0"/>
      <w:marTop w:val="0"/>
      <w:marBottom w:val="0"/>
      <w:divBdr>
        <w:top w:val="none" w:sz="0" w:space="0" w:color="auto"/>
        <w:left w:val="none" w:sz="0" w:space="0" w:color="auto"/>
        <w:bottom w:val="none" w:sz="0" w:space="0" w:color="auto"/>
        <w:right w:val="none" w:sz="0" w:space="0" w:color="auto"/>
      </w:divBdr>
      <w:divsChild>
        <w:div w:id="1538815512">
          <w:marLeft w:val="75"/>
          <w:marRight w:val="75"/>
          <w:marTop w:val="75"/>
          <w:marBottom w:val="75"/>
          <w:divBdr>
            <w:top w:val="none" w:sz="0" w:space="0" w:color="auto"/>
            <w:left w:val="none" w:sz="0" w:space="0" w:color="auto"/>
            <w:bottom w:val="none" w:sz="0" w:space="0" w:color="auto"/>
            <w:right w:val="none" w:sz="0" w:space="0" w:color="auto"/>
          </w:divBdr>
          <w:divsChild>
            <w:div w:id="1554077331">
              <w:marLeft w:val="0"/>
              <w:marRight w:val="0"/>
              <w:marTop w:val="0"/>
              <w:marBottom w:val="0"/>
              <w:divBdr>
                <w:top w:val="none" w:sz="0" w:space="0" w:color="auto"/>
                <w:left w:val="none" w:sz="0" w:space="0" w:color="auto"/>
                <w:bottom w:val="none" w:sz="0" w:space="0" w:color="auto"/>
                <w:right w:val="none" w:sz="0" w:space="0" w:color="auto"/>
              </w:divBdr>
              <w:divsChild>
                <w:div w:id="369696566">
                  <w:marLeft w:val="0"/>
                  <w:marRight w:val="0"/>
                  <w:marTop w:val="0"/>
                  <w:marBottom w:val="0"/>
                  <w:divBdr>
                    <w:top w:val="none" w:sz="0" w:space="0" w:color="auto"/>
                    <w:left w:val="none" w:sz="0" w:space="0" w:color="auto"/>
                    <w:bottom w:val="none" w:sz="0" w:space="0" w:color="auto"/>
                    <w:right w:val="none" w:sz="0" w:space="0" w:color="auto"/>
                  </w:divBdr>
                  <w:divsChild>
                    <w:div w:id="15188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scode.house.gov/statviewer.htm?volume=92&amp;page=1470" TargetMode="External"/><Relationship Id="rId5" Type="http://schemas.openxmlformats.org/officeDocument/2006/relationships/hyperlink" Target="http://uscode.house.gov/statviewer.htm?volume=91&amp;page=584" TargetMode="External"/><Relationship Id="rId4" Type="http://schemas.openxmlformats.org/officeDocument/2006/relationships/hyperlink" Target="http://uscode.house.gov/statviewer.htm?volume=108&amp;page=1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1</cp:revision>
  <dcterms:created xsi:type="dcterms:W3CDTF">2017-05-30T15:30:00Z</dcterms:created>
  <dcterms:modified xsi:type="dcterms:W3CDTF">2017-05-30T15:32:00Z</dcterms:modified>
</cp:coreProperties>
</file>