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6" w:rsidRDefault="00515CF4" w:rsidP="004F0626">
      <w:pPr>
        <w:rPr>
          <w:rFonts w:ascii="Arial" w:hAnsi="Arial" w:cs="Arial"/>
          <w:b/>
        </w:rPr>
      </w:pPr>
      <w:r>
        <w:rPr>
          <w:rFonts w:ascii="Arial" w:hAnsi="Arial" w:cs="Arial"/>
          <w:b/>
          <w:noProof/>
          <w:snapToGrid/>
        </w:rPr>
        <mc:AlternateContent>
          <mc:Choice Requires="wps">
            <w:drawing>
              <wp:anchor distT="0" distB="0" distL="114300" distR="114300" simplePos="0" relativeHeight="251660288" behindDoc="0" locked="0" layoutInCell="1" allowOverlap="1">
                <wp:simplePos x="0" y="0"/>
                <wp:positionH relativeFrom="column">
                  <wp:posOffset>1993265</wp:posOffset>
                </wp:positionH>
                <wp:positionV relativeFrom="paragraph">
                  <wp:posOffset>10160</wp:posOffset>
                </wp:positionV>
                <wp:extent cx="4378960" cy="1518285"/>
                <wp:effectExtent l="12065"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1518285"/>
                        </a:xfrm>
                        <a:prstGeom prst="rect">
                          <a:avLst/>
                        </a:prstGeom>
                        <a:solidFill>
                          <a:srgbClr val="FFFFFF"/>
                        </a:solidFill>
                        <a:ln w="9525">
                          <a:solidFill>
                            <a:srgbClr val="000000"/>
                          </a:solidFill>
                          <a:miter lim="800000"/>
                          <a:headEnd/>
                          <a:tailEnd/>
                        </a:ln>
                      </wps:spPr>
                      <wps:txbx>
                        <w:txbxContent>
                          <w:p w:rsidR="00260824" w:rsidRPr="006139D7" w:rsidRDefault="00260824" w:rsidP="004F0626">
                            <w:pPr>
                              <w:rPr>
                                <w:b/>
                                <w:sz w:val="28"/>
                                <w:szCs w:val="28"/>
                              </w:rPr>
                            </w:pPr>
                            <w:r w:rsidRPr="006139D7">
                              <w:rPr>
                                <w:b/>
                                <w:sz w:val="28"/>
                                <w:szCs w:val="28"/>
                              </w:rPr>
                              <w:t>U.S. Energy Information Administration</w:t>
                            </w:r>
                          </w:p>
                          <w:p w:rsidR="00260824" w:rsidRDefault="00260824" w:rsidP="004F0626">
                            <w:pPr>
                              <w:rPr>
                                <w:b/>
                                <w:sz w:val="28"/>
                                <w:szCs w:val="28"/>
                              </w:rPr>
                            </w:pPr>
                            <w:r w:rsidRPr="006139D7">
                              <w:rPr>
                                <w:b/>
                                <w:sz w:val="28"/>
                                <w:szCs w:val="28"/>
                              </w:rPr>
                              <w:t>Office of Energy Statistics</w:t>
                            </w:r>
                          </w:p>
                          <w:p w:rsidR="00260824" w:rsidRPr="006139D7" w:rsidRDefault="000455AC" w:rsidP="000455AC">
                            <w:pPr>
                              <w:jc w:val="left"/>
                              <w:rPr>
                                <w:b/>
                                <w:sz w:val="28"/>
                                <w:szCs w:val="28"/>
                              </w:rPr>
                            </w:pPr>
                            <w:r>
                              <w:rPr>
                                <w:b/>
                                <w:sz w:val="28"/>
                                <w:szCs w:val="28"/>
                              </w:rPr>
                              <w:t>Office of Electricity, Renewables, and Uranium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95pt;margin-top:.8pt;width:344.8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">
                <v:textbox>
                  <w:txbxContent>
                    <w:p w:rsidR="00260824" w:rsidRPr="006139D7" w:rsidRDefault="00260824" w:rsidP="004F0626">
                      <w:pPr>
                        <w:rPr>
                          <w:b/>
                          <w:sz w:val="28"/>
                          <w:szCs w:val="28"/>
                        </w:rPr>
                      </w:pPr>
                      <w:r w:rsidRPr="006139D7">
                        <w:rPr>
                          <w:b/>
                          <w:sz w:val="28"/>
                          <w:szCs w:val="28"/>
                        </w:rPr>
                        <w:t>U.S. Energy Information Administration</w:t>
                      </w:r>
                    </w:p>
                    <w:p w:rsidR="00260824" w:rsidRDefault="00260824" w:rsidP="004F0626">
                      <w:pPr>
                        <w:rPr>
                          <w:b/>
                          <w:sz w:val="28"/>
                          <w:szCs w:val="28"/>
                        </w:rPr>
                      </w:pPr>
                      <w:r w:rsidRPr="006139D7">
                        <w:rPr>
                          <w:b/>
                          <w:sz w:val="28"/>
                          <w:szCs w:val="28"/>
                        </w:rPr>
                        <w:t>Office of Energy Statistics</w:t>
                      </w:r>
                    </w:p>
                    <w:p w:rsidR="00260824" w:rsidRPr="006139D7" w:rsidRDefault="000455AC" w:rsidP="000455AC">
                      <w:pPr>
                        <w:jc w:val="left"/>
                        <w:rPr>
                          <w:b/>
                          <w:sz w:val="28"/>
                          <w:szCs w:val="28"/>
                        </w:rPr>
                      </w:pPr>
                      <w:r>
                        <w:rPr>
                          <w:b/>
                          <w:sz w:val="28"/>
                          <w:szCs w:val="28"/>
                        </w:rPr>
                        <w:t>Office of Electricity, Renewables, and Uranium Statistics</w:t>
                      </w:r>
                    </w:p>
                  </w:txbxContent>
                </v:textbox>
              </v:shape>
            </w:pict>
          </mc:Fallback>
        </mc:AlternateContent>
      </w:r>
      <w:r w:rsidR="004F0626">
        <w:rPr>
          <w:noProof/>
        </w:rPr>
        <w:drawing>
          <wp:inline distT="0" distB="0" distL="0" distR="0">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rsidR="004F0626" w:rsidRDefault="004F0626" w:rsidP="004F0626">
      <w:pPr>
        <w:ind w:left="4320"/>
      </w:pPr>
    </w:p>
    <w:p w:rsidR="004F0626" w:rsidRDefault="004F0626" w:rsidP="004F0626">
      <w:pPr>
        <w:rPr>
          <w:rFonts w:ascii="Arial Black" w:hAnsi="Arial Black"/>
          <w:sz w:val="28"/>
        </w:rPr>
      </w:pPr>
    </w:p>
    <w:p w:rsidR="004F0626" w:rsidRPr="006139D7" w:rsidRDefault="004F0626" w:rsidP="004F0626">
      <w:pPr>
        <w:rPr>
          <w:b/>
          <w:sz w:val="36"/>
          <w:szCs w:val="36"/>
        </w:rPr>
      </w:pPr>
      <w:r w:rsidRPr="006139D7">
        <w:rPr>
          <w:b/>
          <w:sz w:val="36"/>
          <w:szCs w:val="36"/>
        </w:rPr>
        <w:t>Supporting Statement for Survey Clearance</w:t>
      </w:r>
    </w:p>
    <w:p w:rsidR="004F0626" w:rsidRDefault="004F0626" w:rsidP="004F0626">
      <w:pPr>
        <w:rPr>
          <w:b/>
          <w:sz w:val="28"/>
          <w:szCs w:val="28"/>
        </w:rPr>
      </w:pPr>
    </w:p>
    <w:p w:rsidR="004F0626" w:rsidRDefault="000455AC" w:rsidP="004F0626">
      <w:pPr>
        <w:rPr>
          <w:b/>
          <w:sz w:val="32"/>
          <w:szCs w:val="32"/>
        </w:rPr>
      </w:pPr>
      <w:r>
        <w:rPr>
          <w:b/>
          <w:sz w:val="32"/>
          <w:szCs w:val="32"/>
        </w:rPr>
        <w:t>Uranium Data Program</w:t>
      </w:r>
    </w:p>
    <w:p w:rsidR="004F0626" w:rsidRDefault="004F0626" w:rsidP="004F0626">
      <w:pPr>
        <w:rPr>
          <w:b/>
          <w:sz w:val="32"/>
          <w:szCs w:val="32"/>
        </w:rPr>
      </w:pPr>
    </w:p>
    <w:p w:rsidR="004F0626" w:rsidRPr="005C233F" w:rsidRDefault="000455AC" w:rsidP="004F0626">
      <w:pPr>
        <w:rPr>
          <w:b/>
          <w:sz w:val="32"/>
          <w:szCs w:val="32"/>
        </w:rPr>
      </w:pPr>
      <w:r>
        <w:rPr>
          <w:b/>
          <w:sz w:val="32"/>
          <w:szCs w:val="32"/>
        </w:rPr>
        <w:t>OMB No. 1905-0160</w:t>
      </w:r>
    </w:p>
    <w:p w:rsidR="004F0626" w:rsidRPr="006139D7" w:rsidRDefault="004F0626" w:rsidP="004F0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4F0626" w:rsidRPr="006139D7" w:rsidTr="00DC715A">
        <w:tc>
          <w:tcPr>
            <w:tcW w:w="7488" w:type="dxa"/>
            <w:vAlign w:val="center"/>
          </w:tcPr>
          <w:p w:rsidR="004F0626" w:rsidRDefault="004F0626" w:rsidP="00DC715A">
            <w:pPr>
              <w:spacing w:before="360" w:after="360"/>
              <w:rPr>
                <w:b/>
                <w:sz w:val="32"/>
                <w:szCs w:val="32"/>
              </w:rPr>
            </w:pPr>
            <w:r>
              <w:rPr>
                <w:b/>
                <w:sz w:val="32"/>
                <w:szCs w:val="32"/>
              </w:rPr>
              <w:t>Statistical Methodology</w:t>
            </w:r>
          </w:p>
          <w:p w:rsidR="004F0626" w:rsidRPr="006139D7" w:rsidRDefault="004F0626" w:rsidP="00DC715A">
            <w:pPr>
              <w:spacing w:before="360" w:after="360"/>
              <w:rPr>
                <w:b/>
                <w:sz w:val="32"/>
                <w:szCs w:val="32"/>
              </w:rPr>
            </w:pPr>
            <w:r>
              <w:rPr>
                <w:b/>
                <w:sz w:val="32"/>
                <w:szCs w:val="32"/>
              </w:rPr>
              <w:t>Part B</w:t>
            </w:r>
          </w:p>
        </w:tc>
      </w:tr>
    </w:tbl>
    <w:p w:rsidR="004F0626" w:rsidRPr="006139D7" w:rsidRDefault="004F0626" w:rsidP="004F0626"/>
    <w:p w:rsidR="004F0626" w:rsidRPr="006139D7" w:rsidRDefault="004F0626" w:rsidP="004F0626"/>
    <w:p w:rsidR="004F0626" w:rsidRDefault="004F0626" w:rsidP="004F0626">
      <w:r w:rsidRPr="006139D7">
        <w:t>Original Date:</w:t>
      </w:r>
      <w:r>
        <w:t xml:space="preserve"> </w:t>
      </w:r>
      <w:r w:rsidR="00440B6F">
        <w:t>July</w:t>
      </w:r>
      <w:r w:rsidR="000455AC">
        <w:t xml:space="preserve"> </w:t>
      </w:r>
      <w:r w:rsidR="006C11B3">
        <w:t xml:space="preserve">7, </w:t>
      </w:r>
      <w:r w:rsidR="000455AC">
        <w:t>2014</w:t>
      </w:r>
    </w:p>
    <w:p w:rsidR="00C770C8" w:rsidRPr="006139D7" w:rsidRDefault="00F755CB" w:rsidP="004F0626">
      <w:r>
        <w:t>Updated 4/30</w:t>
      </w:r>
      <w:r w:rsidR="00281AEE">
        <w:t>/2015</w:t>
      </w:r>
    </w:p>
    <w:p w:rsidR="004F0626" w:rsidRDefault="004F0626" w:rsidP="004F0626">
      <w:pPr>
        <w:rPr>
          <w:b/>
        </w:rPr>
        <w:sectPr w:rsidR="004F0626" w:rsidSect="004F062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pPr>
    </w:p>
    <w:sdt>
      <w:sdtPr>
        <w:rPr>
          <w:rFonts w:ascii="Times New Roman" w:eastAsia="Times New Roman" w:hAnsi="Times New Roman" w:cs="Times New Roman"/>
          <w:b w:val="0"/>
          <w:bCs w:val="0"/>
          <w:snapToGrid w:val="0"/>
          <w:color w:val="auto"/>
          <w:sz w:val="32"/>
          <w:szCs w:val="32"/>
        </w:rPr>
        <w:id w:val="31527071"/>
        <w:docPartObj>
          <w:docPartGallery w:val="Table of Contents"/>
          <w:docPartUnique/>
        </w:docPartObj>
      </w:sdtPr>
      <w:sdtEndPr>
        <w:rPr>
          <w:sz w:val="18"/>
          <w:szCs w:val="18"/>
        </w:rPr>
      </w:sdtEndPr>
      <w:sdtContent>
        <w:p w:rsidR="00085A0F" w:rsidRPr="00F172C2" w:rsidRDefault="00085A0F" w:rsidP="00085A0F">
          <w:pPr>
            <w:pStyle w:val="TOCHeading"/>
            <w:spacing w:before="200" w:after="200"/>
            <w:rPr>
              <w:color w:val="auto"/>
            </w:rPr>
          </w:pPr>
          <w:r w:rsidRPr="00F172C2">
            <w:rPr>
              <w:color w:val="auto"/>
            </w:rPr>
            <w:t>Table of Contents</w:t>
          </w:r>
        </w:p>
        <w:p w:rsidR="00575474" w:rsidRDefault="00B625A0">
          <w:pPr>
            <w:pStyle w:val="TOC1"/>
            <w:tabs>
              <w:tab w:val="left" w:pos="480"/>
              <w:tab w:val="right" w:leader="dot" w:pos="9350"/>
            </w:tabs>
            <w:rPr>
              <w:rFonts w:asciiTheme="minorHAnsi" w:eastAsiaTheme="minorEastAsia" w:hAnsiTheme="minorHAnsi" w:cstheme="minorBidi"/>
              <w:noProof/>
              <w:snapToGrid/>
              <w:sz w:val="22"/>
              <w:szCs w:val="22"/>
            </w:rPr>
          </w:pPr>
          <w:r w:rsidRPr="00F172C2">
            <w:rPr>
              <w:sz w:val="20"/>
            </w:rPr>
            <w:fldChar w:fldCharType="begin"/>
          </w:r>
          <w:r w:rsidR="00085A0F" w:rsidRPr="00F172C2">
            <w:rPr>
              <w:sz w:val="20"/>
            </w:rPr>
            <w:instrText xml:space="preserve"> TOC \o "1-3" \h \z \u </w:instrText>
          </w:r>
          <w:r w:rsidRPr="00F172C2">
            <w:rPr>
              <w:sz w:val="20"/>
            </w:rPr>
            <w:fldChar w:fldCharType="separate"/>
          </w:r>
          <w:hyperlink w:anchor="_Toc410200126" w:history="1">
            <w:r w:rsidR="00575474" w:rsidRPr="00A329D7">
              <w:rPr>
                <w:rStyle w:val="Hyperlink"/>
                <w:rFonts w:eastAsiaTheme="majorEastAsia"/>
                <w:noProof/>
              </w:rPr>
              <w:t>B.</w:t>
            </w:r>
            <w:r w:rsidR="00575474">
              <w:rPr>
                <w:rFonts w:asciiTheme="minorHAnsi" w:eastAsiaTheme="minorEastAsia" w:hAnsiTheme="minorHAnsi" w:cstheme="minorBidi"/>
                <w:noProof/>
                <w:snapToGrid/>
                <w:sz w:val="22"/>
                <w:szCs w:val="22"/>
              </w:rPr>
              <w:tab/>
            </w:r>
            <w:r w:rsidR="00575474" w:rsidRPr="00A329D7">
              <w:rPr>
                <w:rStyle w:val="Hyperlink"/>
                <w:rFonts w:eastAsiaTheme="majorEastAsia"/>
                <w:noProof/>
              </w:rPr>
              <w:t>STATISTICAL METHODS</w:t>
            </w:r>
            <w:r w:rsidR="00575474">
              <w:rPr>
                <w:noProof/>
                <w:webHidden/>
              </w:rPr>
              <w:tab/>
            </w:r>
            <w:r w:rsidR="00575474">
              <w:rPr>
                <w:noProof/>
                <w:webHidden/>
              </w:rPr>
              <w:fldChar w:fldCharType="begin"/>
            </w:r>
            <w:r w:rsidR="00575474">
              <w:rPr>
                <w:noProof/>
                <w:webHidden/>
              </w:rPr>
              <w:instrText xml:space="preserve"> PAGEREF _Toc410200126 \h </w:instrText>
            </w:r>
            <w:r w:rsidR="00575474">
              <w:rPr>
                <w:noProof/>
                <w:webHidden/>
              </w:rPr>
            </w:r>
            <w:r w:rsidR="00575474">
              <w:rPr>
                <w:noProof/>
                <w:webHidden/>
              </w:rPr>
              <w:fldChar w:fldCharType="separate"/>
            </w:r>
            <w:r w:rsidR="00575474">
              <w:rPr>
                <w:noProof/>
                <w:webHidden/>
              </w:rPr>
              <w:t>1</w:t>
            </w:r>
            <w:r w:rsidR="00575474">
              <w:rPr>
                <w:noProof/>
                <w:webHidden/>
              </w:rPr>
              <w:fldChar w:fldCharType="end"/>
            </w:r>
          </w:hyperlink>
        </w:p>
        <w:p w:rsidR="00575474" w:rsidRDefault="002A6640">
          <w:pPr>
            <w:pStyle w:val="TOC2"/>
            <w:tabs>
              <w:tab w:val="left" w:pos="660"/>
              <w:tab w:val="right" w:leader="dot" w:pos="9350"/>
            </w:tabs>
            <w:rPr>
              <w:rFonts w:asciiTheme="minorHAnsi" w:eastAsiaTheme="minorEastAsia" w:hAnsiTheme="minorHAnsi" w:cstheme="minorBidi"/>
              <w:noProof/>
              <w:snapToGrid/>
              <w:sz w:val="22"/>
              <w:szCs w:val="22"/>
            </w:rPr>
          </w:pPr>
          <w:hyperlink w:anchor="_Toc410200127" w:history="1">
            <w:r w:rsidR="00575474" w:rsidRPr="00A329D7">
              <w:rPr>
                <w:rStyle w:val="Hyperlink"/>
                <w:rFonts w:eastAsiaTheme="majorEastAsia"/>
                <w:noProof/>
              </w:rPr>
              <w:t>1.</w:t>
            </w:r>
            <w:r w:rsidR="00575474">
              <w:rPr>
                <w:rFonts w:asciiTheme="minorHAnsi" w:eastAsiaTheme="minorEastAsia" w:hAnsiTheme="minorHAnsi" w:cstheme="minorBidi"/>
                <w:noProof/>
                <w:snapToGrid/>
                <w:sz w:val="22"/>
                <w:szCs w:val="22"/>
              </w:rPr>
              <w:tab/>
            </w:r>
            <w:r w:rsidR="00575474" w:rsidRPr="00A329D7">
              <w:rPr>
                <w:rStyle w:val="Hyperlink"/>
                <w:rFonts w:eastAsiaTheme="majorEastAsia"/>
                <w:noProof/>
              </w:rPr>
              <w:t>Respondent Universe</w:t>
            </w:r>
            <w:r w:rsidR="00575474">
              <w:rPr>
                <w:noProof/>
                <w:webHidden/>
              </w:rPr>
              <w:tab/>
            </w:r>
            <w:r w:rsidR="00575474">
              <w:rPr>
                <w:noProof/>
                <w:webHidden/>
              </w:rPr>
              <w:fldChar w:fldCharType="begin"/>
            </w:r>
            <w:r w:rsidR="00575474">
              <w:rPr>
                <w:noProof/>
                <w:webHidden/>
              </w:rPr>
              <w:instrText xml:space="preserve"> PAGEREF _Toc410200127 \h </w:instrText>
            </w:r>
            <w:r w:rsidR="00575474">
              <w:rPr>
                <w:noProof/>
                <w:webHidden/>
              </w:rPr>
            </w:r>
            <w:r w:rsidR="00575474">
              <w:rPr>
                <w:noProof/>
                <w:webHidden/>
              </w:rPr>
              <w:fldChar w:fldCharType="separate"/>
            </w:r>
            <w:r w:rsidR="00575474">
              <w:rPr>
                <w:noProof/>
                <w:webHidden/>
              </w:rPr>
              <w:t>1</w:t>
            </w:r>
            <w:r w:rsidR="00575474">
              <w:rPr>
                <w:noProof/>
                <w:webHidden/>
              </w:rPr>
              <w:fldChar w:fldCharType="end"/>
            </w:r>
          </w:hyperlink>
        </w:p>
        <w:p w:rsidR="00575474" w:rsidRDefault="002A6640">
          <w:pPr>
            <w:pStyle w:val="TOC2"/>
            <w:tabs>
              <w:tab w:val="left" w:pos="660"/>
              <w:tab w:val="right" w:leader="dot" w:pos="9350"/>
            </w:tabs>
            <w:rPr>
              <w:rFonts w:asciiTheme="minorHAnsi" w:eastAsiaTheme="minorEastAsia" w:hAnsiTheme="minorHAnsi" w:cstheme="minorBidi"/>
              <w:noProof/>
              <w:snapToGrid/>
              <w:sz w:val="22"/>
              <w:szCs w:val="22"/>
            </w:rPr>
          </w:pPr>
          <w:hyperlink w:anchor="_Toc410200128" w:history="1">
            <w:r w:rsidR="00575474" w:rsidRPr="00A329D7">
              <w:rPr>
                <w:rStyle w:val="Hyperlink"/>
                <w:rFonts w:eastAsiaTheme="majorEastAsia"/>
                <w:noProof/>
              </w:rPr>
              <w:t>2.</w:t>
            </w:r>
            <w:r w:rsidR="00575474">
              <w:rPr>
                <w:rFonts w:asciiTheme="minorHAnsi" w:eastAsiaTheme="minorEastAsia" w:hAnsiTheme="minorHAnsi" w:cstheme="minorBidi"/>
                <w:noProof/>
                <w:snapToGrid/>
                <w:sz w:val="22"/>
                <w:szCs w:val="22"/>
              </w:rPr>
              <w:tab/>
            </w:r>
            <w:r w:rsidR="00575474" w:rsidRPr="00A329D7">
              <w:rPr>
                <w:rStyle w:val="Hyperlink"/>
                <w:rFonts w:eastAsiaTheme="majorEastAsia"/>
                <w:noProof/>
              </w:rPr>
              <w:t>Sampling Methodology and Estimation Procedures</w:t>
            </w:r>
            <w:r w:rsidR="00575474">
              <w:rPr>
                <w:noProof/>
                <w:webHidden/>
              </w:rPr>
              <w:tab/>
            </w:r>
            <w:r w:rsidR="00575474">
              <w:rPr>
                <w:noProof/>
                <w:webHidden/>
              </w:rPr>
              <w:fldChar w:fldCharType="begin"/>
            </w:r>
            <w:r w:rsidR="00575474">
              <w:rPr>
                <w:noProof/>
                <w:webHidden/>
              </w:rPr>
              <w:instrText xml:space="preserve"> PAGEREF _Toc410200128 \h </w:instrText>
            </w:r>
            <w:r w:rsidR="00575474">
              <w:rPr>
                <w:noProof/>
                <w:webHidden/>
              </w:rPr>
            </w:r>
            <w:r w:rsidR="00575474">
              <w:rPr>
                <w:noProof/>
                <w:webHidden/>
              </w:rPr>
              <w:fldChar w:fldCharType="separate"/>
            </w:r>
            <w:r w:rsidR="00575474">
              <w:rPr>
                <w:noProof/>
                <w:webHidden/>
              </w:rPr>
              <w:t>1</w:t>
            </w:r>
            <w:r w:rsidR="00575474">
              <w:rPr>
                <w:noProof/>
                <w:webHidden/>
              </w:rPr>
              <w:fldChar w:fldCharType="end"/>
            </w:r>
          </w:hyperlink>
        </w:p>
        <w:p w:rsidR="00575474" w:rsidRDefault="002A6640">
          <w:pPr>
            <w:pStyle w:val="TOC2"/>
            <w:tabs>
              <w:tab w:val="left" w:pos="660"/>
              <w:tab w:val="right" w:leader="dot" w:pos="9350"/>
            </w:tabs>
            <w:rPr>
              <w:rFonts w:asciiTheme="minorHAnsi" w:eastAsiaTheme="minorEastAsia" w:hAnsiTheme="minorHAnsi" w:cstheme="minorBidi"/>
              <w:noProof/>
              <w:snapToGrid/>
              <w:sz w:val="22"/>
              <w:szCs w:val="22"/>
            </w:rPr>
          </w:pPr>
          <w:hyperlink w:anchor="_Toc410200129" w:history="1">
            <w:r w:rsidR="00575474" w:rsidRPr="00A329D7">
              <w:rPr>
                <w:rStyle w:val="Hyperlink"/>
                <w:rFonts w:eastAsiaTheme="majorEastAsia"/>
                <w:noProof/>
              </w:rPr>
              <w:t>3.</w:t>
            </w:r>
            <w:r w:rsidR="00575474">
              <w:rPr>
                <w:rFonts w:asciiTheme="minorHAnsi" w:eastAsiaTheme="minorEastAsia" w:hAnsiTheme="minorHAnsi" w:cstheme="minorBidi"/>
                <w:noProof/>
                <w:snapToGrid/>
                <w:sz w:val="22"/>
                <w:szCs w:val="22"/>
              </w:rPr>
              <w:tab/>
            </w:r>
            <w:r w:rsidR="00575474" w:rsidRPr="00A329D7">
              <w:rPr>
                <w:rStyle w:val="Hyperlink"/>
                <w:rFonts w:eastAsiaTheme="majorEastAsia"/>
                <w:noProof/>
              </w:rPr>
              <w:t>Test Procedures</w:t>
            </w:r>
            <w:r w:rsidR="00575474">
              <w:rPr>
                <w:noProof/>
                <w:webHidden/>
              </w:rPr>
              <w:tab/>
            </w:r>
            <w:r w:rsidR="00575474">
              <w:rPr>
                <w:noProof/>
                <w:webHidden/>
              </w:rPr>
              <w:fldChar w:fldCharType="begin"/>
            </w:r>
            <w:r w:rsidR="00575474">
              <w:rPr>
                <w:noProof/>
                <w:webHidden/>
              </w:rPr>
              <w:instrText xml:space="preserve"> PAGEREF _Toc410200129 \h </w:instrText>
            </w:r>
            <w:r w:rsidR="00575474">
              <w:rPr>
                <w:noProof/>
                <w:webHidden/>
              </w:rPr>
            </w:r>
            <w:r w:rsidR="00575474">
              <w:rPr>
                <w:noProof/>
                <w:webHidden/>
              </w:rPr>
              <w:fldChar w:fldCharType="separate"/>
            </w:r>
            <w:r w:rsidR="00575474">
              <w:rPr>
                <w:noProof/>
                <w:webHidden/>
              </w:rPr>
              <w:t>2</w:t>
            </w:r>
            <w:r w:rsidR="00575474">
              <w:rPr>
                <w:noProof/>
                <w:webHidden/>
              </w:rPr>
              <w:fldChar w:fldCharType="end"/>
            </w:r>
          </w:hyperlink>
        </w:p>
        <w:p w:rsidR="00575474" w:rsidRDefault="002A6640">
          <w:pPr>
            <w:pStyle w:val="TOC2"/>
            <w:tabs>
              <w:tab w:val="left" w:pos="660"/>
              <w:tab w:val="right" w:leader="dot" w:pos="9350"/>
            </w:tabs>
            <w:rPr>
              <w:rFonts w:asciiTheme="minorHAnsi" w:eastAsiaTheme="minorEastAsia" w:hAnsiTheme="minorHAnsi" w:cstheme="minorBidi"/>
              <w:noProof/>
              <w:snapToGrid/>
              <w:sz w:val="22"/>
              <w:szCs w:val="22"/>
            </w:rPr>
          </w:pPr>
          <w:hyperlink w:anchor="_Toc410200130" w:history="1">
            <w:r w:rsidR="00575474" w:rsidRPr="00A329D7">
              <w:rPr>
                <w:rStyle w:val="Hyperlink"/>
                <w:rFonts w:eastAsiaTheme="majorEastAsia"/>
                <w:noProof/>
              </w:rPr>
              <w:t>4.</w:t>
            </w:r>
            <w:r w:rsidR="00575474">
              <w:rPr>
                <w:rFonts w:asciiTheme="minorHAnsi" w:eastAsiaTheme="minorEastAsia" w:hAnsiTheme="minorHAnsi" w:cstheme="minorBidi"/>
                <w:noProof/>
                <w:snapToGrid/>
                <w:sz w:val="22"/>
                <w:szCs w:val="22"/>
              </w:rPr>
              <w:tab/>
            </w:r>
            <w:r w:rsidR="00575474" w:rsidRPr="00A329D7">
              <w:rPr>
                <w:rStyle w:val="Hyperlink"/>
                <w:rFonts w:eastAsiaTheme="majorEastAsia"/>
                <w:noProof/>
              </w:rPr>
              <w:t>Statistical Consultations</w:t>
            </w:r>
            <w:r w:rsidR="00575474">
              <w:rPr>
                <w:noProof/>
                <w:webHidden/>
              </w:rPr>
              <w:tab/>
            </w:r>
            <w:r w:rsidR="00575474">
              <w:rPr>
                <w:noProof/>
                <w:webHidden/>
              </w:rPr>
              <w:fldChar w:fldCharType="begin"/>
            </w:r>
            <w:r w:rsidR="00575474">
              <w:rPr>
                <w:noProof/>
                <w:webHidden/>
              </w:rPr>
              <w:instrText xml:space="preserve"> PAGEREF _Toc410200130 \h </w:instrText>
            </w:r>
            <w:r w:rsidR="00575474">
              <w:rPr>
                <w:noProof/>
                <w:webHidden/>
              </w:rPr>
            </w:r>
            <w:r w:rsidR="00575474">
              <w:rPr>
                <w:noProof/>
                <w:webHidden/>
              </w:rPr>
              <w:fldChar w:fldCharType="separate"/>
            </w:r>
            <w:r w:rsidR="00575474">
              <w:rPr>
                <w:noProof/>
                <w:webHidden/>
              </w:rPr>
              <w:t>2</w:t>
            </w:r>
            <w:r w:rsidR="00575474">
              <w:rPr>
                <w:noProof/>
                <w:webHidden/>
              </w:rPr>
              <w:fldChar w:fldCharType="end"/>
            </w:r>
          </w:hyperlink>
        </w:p>
        <w:p w:rsidR="004F0626" w:rsidRDefault="00B625A0" w:rsidP="00085A0F">
          <w:pPr>
            <w:rPr>
              <w:b/>
            </w:rPr>
          </w:pPr>
          <w:r w:rsidRPr="00F172C2">
            <w:rPr>
              <w:sz w:val="20"/>
            </w:rPr>
            <w:fldChar w:fldCharType="end"/>
          </w:r>
        </w:p>
      </w:sdtContent>
    </w:sdt>
    <w:p w:rsidR="004F0626" w:rsidRDefault="004F0626" w:rsidP="004F0626">
      <w:pPr>
        <w:rPr>
          <w:b/>
        </w:rPr>
      </w:pPr>
    </w:p>
    <w:p w:rsidR="004F0626" w:rsidRDefault="004F0626" w:rsidP="004F0626">
      <w:pPr>
        <w:rPr>
          <w:b/>
        </w:rPr>
        <w:sectPr w:rsidR="004F0626" w:rsidSect="00DC715A">
          <w:headerReference w:type="default" r:id="rId16"/>
          <w:footerReference w:type="default" r:id="rId17"/>
          <w:endnotePr>
            <w:numFmt w:val="decimal"/>
          </w:endnotePr>
          <w:pgSz w:w="12240" w:h="15840"/>
          <w:pgMar w:top="1440" w:right="1440" w:bottom="1440" w:left="1440" w:header="1440" w:footer="1440" w:gutter="0"/>
          <w:cols w:space="720"/>
          <w:noEndnote/>
        </w:sectPr>
      </w:pPr>
    </w:p>
    <w:p w:rsidR="004F0626" w:rsidRPr="00CB17D9" w:rsidRDefault="004F0626" w:rsidP="004F0626">
      <w:pPr>
        <w:pStyle w:val="Heading1"/>
      </w:pPr>
      <w:bookmarkStart w:id="0" w:name="_Toc336440336"/>
      <w:bookmarkStart w:id="1" w:name="_Toc336440660"/>
      <w:bookmarkStart w:id="2" w:name="_Toc410200126"/>
      <w:r w:rsidRPr="00CB17D9">
        <w:lastRenderedPageBreak/>
        <w:t>B</w:t>
      </w:r>
      <w:r w:rsidR="00085A0F">
        <w:t>.</w:t>
      </w:r>
      <w:r w:rsidRPr="00CB17D9">
        <w:tab/>
      </w:r>
      <w:r>
        <w:t>STATISTICAL METHODS</w:t>
      </w:r>
      <w:bookmarkEnd w:id="0"/>
      <w:bookmarkEnd w:id="1"/>
      <w:bookmarkEnd w:id="2"/>
    </w:p>
    <w:p w:rsidR="004F0626" w:rsidRPr="009F0181" w:rsidRDefault="004F0626" w:rsidP="004F0626">
      <w:pPr>
        <w:pStyle w:val="Heading2"/>
        <w:ind w:left="0" w:firstLine="0"/>
      </w:pPr>
      <w:bookmarkStart w:id="3" w:name="_Toc336440337"/>
      <w:bookmarkStart w:id="4" w:name="_Toc336440661"/>
      <w:bookmarkStart w:id="5" w:name="_Toc410200127"/>
      <w:r w:rsidRPr="009F0181">
        <w:t>Respondent Universe</w:t>
      </w:r>
      <w:bookmarkEnd w:id="3"/>
      <w:bookmarkEnd w:id="4"/>
      <w:bookmarkEnd w:id="5"/>
    </w:p>
    <w:p w:rsidR="008B3892" w:rsidRDefault="008B3892" w:rsidP="008B38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The EIA Uranium Data Program (UDP) </w:t>
      </w:r>
      <w:r w:rsidRPr="00D55E9B">
        <w:t xml:space="preserve">respondent </w:t>
      </w:r>
      <w:r w:rsidRPr="00D55E9B">
        <w:rPr>
          <w:rFonts w:eastAsia="Calibri"/>
        </w:rPr>
        <w:t xml:space="preserve">universe </w:t>
      </w:r>
      <w:r w:rsidRPr="00D55E9B">
        <w:t>consists of</w:t>
      </w:r>
      <w:bookmarkStart w:id="6" w:name="OLE_LINK3"/>
      <w:r w:rsidRPr="00D55E9B">
        <w:t xml:space="preserve"> </w:t>
      </w:r>
      <w:r w:rsidR="00672C90" w:rsidRPr="001F7285">
        <w:t>10</w:t>
      </w:r>
      <w:r w:rsidR="001F7285" w:rsidRPr="001F7285">
        <w:t>2</w:t>
      </w:r>
      <w:r w:rsidRPr="001F7285">
        <w:t xml:space="preserve"> </w:t>
      </w:r>
      <w:r>
        <w:t xml:space="preserve">respondents (this number may change over time as firms enter or leave the </w:t>
      </w:r>
      <w:r w:rsidRPr="00264E79">
        <w:t xml:space="preserve">industry).  </w:t>
      </w:r>
      <w:r w:rsidRPr="00031D6B">
        <w:t>The UDP collects information on f</w:t>
      </w:r>
      <w:r w:rsidRPr="00031D6B">
        <w:rPr>
          <w:color w:val="000000"/>
        </w:rPr>
        <w:t xml:space="preserve">irms and individuals that are involved in the (domestic) U.S. uranium industry.  See the form instructions for specifics on the populations surveyed by each form.  </w:t>
      </w:r>
      <w:r w:rsidRPr="00264E79">
        <w:t>F</w:t>
      </w:r>
      <w:r>
        <w:t>ourteen</w:t>
      </w:r>
      <w:r w:rsidRPr="00264E79">
        <w:t xml:space="preserve"> </w:t>
      </w:r>
      <w:r>
        <w:rPr>
          <w:rFonts w:eastAsia="Calibri"/>
        </w:rPr>
        <w:t>respondents with existing or planned uranium production facilities report</w:t>
      </w:r>
      <w:r w:rsidRPr="00D55E9B">
        <w:rPr>
          <w:rFonts w:eastAsia="Calibri"/>
        </w:rPr>
        <w:t xml:space="preserve"> (quarterly) on the Form EIA-851Q.  </w:t>
      </w:r>
      <w:r>
        <w:t>Fifty-</w:t>
      </w:r>
      <w:r w:rsidR="007233A3">
        <w:t>three</w:t>
      </w:r>
      <w:r w:rsidRPr="00D55E9B">
        <w:rPr>
          <w:rFonts w:eastAsia="Calibri"/>
        </w:rPr>
        <w:t xml:space="preserve"> respondents report (annually) on Form EIA-851A,</w:t>
      </w:r>
      <w:r>
        <w:rPr>
          <w:rFonts w:eastAsia="Calibri"/>
        </w:rPr>
        <w:t xml:space="preserve"> the</w:t>
      </w:r>
      <w:r w:rsidRPr="00D55E9B">
        <w:rPr>
          <w:rFonts w:eastAsia="Calibri"/>
        </w:rPr>
        <w:t xml:space="preserve"> 1</w:t>
      </w:r>
      <w:r>
        <w:rPr>
          <w:rFonts w:eastAsia="Calibri"/>
        </w:rPr>
        <w:t>4</w:t>
      </w:r>
      <w:r w:rsidRPr="00D55E9B">
        <w:rPr>
          <w:rFonts w:eastAsia="Calibri"/>
        </w:rPr>
        <w:t xml:space="preserve"> Form EIA-851Q respondents plus another </w:t>
      </w:r>
      <w:r w:rsidRPr="00534D42">
        <w:rPr>
          <w:rFonts w:eastAsia="Calibri"/>
        </w:rPr>
        <w:t>3</w:t>
      </w:r>
      <w:r w:rsidR="00534D42" w:rsidRPr="00534D42">
        <w:rPr>
          <w:rFonts w:eastAsia="Calibri"/>
        </w:rPr>
        <w:t>9</w:t>
      </w:r>
      <w:r w:rsidRPr="00D55E9B">
        <w:rPr>
          <w:rFonts w:eastAsia="Calibri"/>
        </w:rPr>
        <w:t xml:space="preserve"> respondents with uranium</w:t>
      </w:r>
      <w:r w:rsidRPr="00D55E9B">
        <w:t xml:space="preserve"> </w:t>
      </w:r>
      <w:r w:rsidRPr="00D55E9B">
        <w:rPr>
          <w:rFonts w:eastAsia="Calibri"/>
        </w:rPr>
        <w:t xml:space="preserve">land, exploration, drilling, mining, reserves, and/or reclamation activities in the United States.  </w:t>
      </w:r>
      <w:r w:rsidR="001F7285" w:rsidRPr="001F7285">
        <w:t>Sixty</w:t>
      </w:r>
      <w:r w:rsidRPr="001F7285">
        <w:t xml:space="preserve"> </w:t>
      </w:r>
      <w:r w:rsidRPr="00D55E9B">
        <w:rPr>
          <w:rFonts w:eastAsia="Calibri"/>
        </w:rPr>
        <w:t>respondents report (annually) on Form EIA-858</w:t>
      </w:r>
      <w:r>
        <w:rPr>
          <w:rFonts w:eastAsia="Calibri"/>
        </w:rPr>
        <w:t xml:space="preserve">, </w:t>
      </w:r>
      <w:r w:rsidR="00672C90" w:rsidRPr="00151A84">
        <w:rPr>
          <w:rFonts w:eastAsia="Calibri"/>
        </w:rPr>
        <w:t>3</w:t>
      </w:r>
      <w:r w:rsidR="00151A84" w:rsidRPr="00151A84">
        <w:rPr>
          <w:rFonts w:eastAsia="Calibri"/>
        </w:rPr>
        <w:t>2</w:t>
      </w:r>
      <w:r w:rsidRPr="00151A84">
        <w:rPr>
          <w:rFonts w:eastAsia="Calibri"/>
        </w:rPr>
        <w:t xml:space="preserve"> </w:t>
      </w:r>
      <w:r w:rsidRPr="00D55E9B">
        <w:rPr>
          <w:rFonts w:eastAsia="Calibri"/>
        </w:rPr>
        <w:t xml:space="preserve">owners and operators of U.S. civilian nuclear power reactors and </w:t>
      </w:r>
      <w:r w:rsidR="006E4C95" w:rsidRPr="00280822">
        <w:rPr>
          <w:rFonts w:eastAsia="Calibri"/>
        </w:rPr>
        <w:t>2</w:t>
      </w:r>
      <w:r w:rsidR="00280822" w:rsidRPr="00280822">
        <w:rPr>
          <w:rFonts w:eastAsia="Calibri"/>
        </w:rPr>
        <w:t>8</w:t>
      </w:r>
      <w:r w:rsidRPr="00280822">
        <w:rPr>
          <w:rFonts w:eastAsia="Calibri"/>
        </w:rPr>
        <w:t xml:space="preserve"> </w:t>
      </w:r>
      <w:r w:rsidRPr="00D55E9B">
        <w:rPr>
          <w:rFonts w:eastAsia="Calibri"/>
        </w:rPr>
        <w:t>U.S. suppliers.</w:t>
      </w:r>
      <w:r>
        <w:rPr>
          <w:rFonts w:eastAsia="Calibri"/>
        </w:rPr>
        <w:t xml:space="preserve">  </w:t>
      </w:r>
      <w:r>
        <w:t xml:space="preserve">There are a total of </w:t>
      </w:r>
      <w:r w:rsidR="00D10668" w:rsidRPr="00280822">
        <w:t>10</w:t>
      </w:r>
      <w:r w:rsidR="00280822" w:rsidRPr="00280822">
        <w:t>2</w:t>
      </w:r>
      <w:r w:rsidRPr="00280822">
        <w:t xml:space="preserve"> </w:t>
      </w:r>
      <w:r>
        <w:t xml:space="preserve">respondents who file a total of </w:t>
      </w:r>
      <w:r w:rsidRPr="00280822">
        <w:t>16</w:t>
      </w:r>
      <w:r w:rsidR="00280822" w:rsidRPr="00280822">
        <w:t>9</w:t>
      </w:r>
      <w:r w:rsidRPr="00280822">
        <w:t xml:space="preserve"> </w:t>
      </w:r>
      <w:r>
        <w:t>forms annually, as some respondents report on more than one of the UDP forms.</w:t>
      </w:r>
    </w:p>
    <w:tbl>
      <w:tblPr>
        <w:tblW w:w="9285" w:type="dxa"/>
        <w:tblInd w:w="93" w:type="dxa"/>
        <w:tblLook w:val="04A0" w:firstRow="1" w:lastRow="0" w:firstColumn="1" w:lastColumn="0" w:noHBand="0" w:noVBand="1"/>
      </w:tblPr>
      <w:tblGrid>
        <w:gridCol w:w="1603"/>
        <w:gridCol w:w="1523"/>
        <w:gridCol w:w="1523"/>
        <w:gridCol w:w="1523"/>
        <w:gridCol w:w="1602"/>
        <w:gridCol w:w="1511"/>
      </w:tblGrid>
      <w:tr w:rsidR="008B3892" w:rsidRPr="000D5106" w:rsidTr="006E480A">
        <w:trPr>
          <w:trHeight w:val="1515"/>
        </w:trPr>
        <w:tc>
          <w:tcPr>
            <w:tcW w:w="1627" w:type="dxa"/>
            <w:tcBorders>
              <w:top w:val="single" w:sz="8" w:space="0" w:color="auto"/>
              <w:left w:val="single" w:sz="8" w:space="0" w:color="auto"/>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EIA Form Number</w:t>
            </w:r>
          </w:p>
        </w:tc>
        <w:tc>
          <w:tcPr>
            <w:tcW w:w="1512" w:type="dxa"/>
            <w:tcBorders>
              <w:top w:val="single" w:sz="8" w:space="0" w:color="auto"/>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Number of Respondents submitting all 3 surveys</w:t>
            </w:r>
          </w:p>
        </w:tc>
        <w:tc>
          <w:tcPr>
            <w:tcW w:w="1515" w:type="dxa"/>
            <w:tcBorders>
              <w:top w:val="single" w:sz="8" w:space="0" w:color="auto"/>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Number of Respondents submitting EIA-851Q and EIA-851A</w:t>
            </w:r>
          </w:p>
        </w:tc>
        <w:tc>
          <w:tcPr>
            <w:tcW w:w="1512" w:type="dxa"/>
            <w:tcBorders>
              <w:top w:val="single" w:sz="8" w:space="0" w:color="auto"/>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Number of Respondents submitting EIA-851A and EIA-858</w:t>
            </w:r>
          </w:p>
        </w:tc>
        <w:tc>
          <w:tcPr>
            <w:tcW w:w="1605" w:type="dxa"/>
            <w:tcBorders>
              <w:top w:val="single" w:sz="8" w:space="0" w:color="auto"/>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Number of Respondents submitting only EIA-851A or EIA-858</w:t>
            </w:r>
          </w:p>
        </w:tc>
        <w:tc>
          <w:tcPr>
            <w:tcW w:w="1514" w:type="dxa"/>
            <w:tcBorders>
              <w:top w:val="single" w:sz="8" w:space="0" w:color="auto"/>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Total Respondent Universe</w:t>
            </w:r>
          </w:p>
        </w:tc>
      </w:tr>
      <w:tr w:rsidR="008B3892" w:rsidRPr="000D5106" w:rsidTr="006E480A">
        <w:trPr>
          <w:trHeight w:val="315"/>
        </w:trPr>
        <w:tc>
          <w:tcPr>
            <w:tcW w:w="1627" w:type="dxa"/>
            <w:tcBorders>
              <w:top w:val="nil"/>
              <w:left w:val="single" w:sz="8" w:space="0" w:color="auto"/>
              <w:bottom w:val="nil"/>
              <w:right w:val="single" w:sz="8" w:space="0" w:color="auto"/>
            </w:tcBorders>
            <w:shd w:val="clear" w:color="000000" w:fill="auto"/>
            <w:hideMark/>
          </w:tcPr>
          <w:p w:rsidR="008B3892" w:rsidRPr="005C268B" w:rsidRDefault="005C268B" w:rsidP="005C268B">
            <w:pPr>
              <w:spacing w:after="0"/>
              <w:jc w:val="left"/>
              <w:rPr>
                <w:szCs w:val="24"/>
              </w:rPr>
            </w:pPr>
            <w:r w:rsidRPr="005C268B">
              <w:rPr>
                <w:szCs w:val="24"/>
              </w:rPr>
              <w:t xml:space="preserve">Form </w:t>
            </w:r>
            <w:r w:rsidR="008B3892" w:rsidRPr="005C268B">
              <w:rPr>
                <w:szCs w:val="24"/>
              </w:rPr>
              <w:t>EIA-851Q</w:t>
            </w:r>
          </w:p>
        </w:tc>
        <w:tc>
          <w:tcPr>
            <w:tcW w:w="1512" w:type="dxa"/>
            <w:vMerge w:val="restart"/>
            <w:tcBorders>
              <w:top w:val="nil"/>
              <w:left w:val="single" w:sz="8" w:space="0" w:color="auto"/>
              <w:bottom w:val="single" w:sz="8" w:space="0" w:color="000000"/>
              <w:right w:val="single" w:sz="8" w:space="0" w:color="auto"/>
            </w:tcBorders>
            <w:shd w:val="clear" w:color="000000" w:fill="auto"/>
            <w:vAlign w:val="center"/>
            <w:hideMark/>
          </w:tcPr>
          <w:p w:rsidR="008B3892" w:rsidRPr="005C268B" w:rsidRDefault="009E629A" w:rsidP="00A02327">
            <w:pPr>
              <w:spacing w:after="0"/>
              <w:jc w:val="center"/>
              <w:rPr>
                <w:szCs w:val="24"/>
              </w:rPr>
            </w:pPr>
            <w:r w:rsidRPr="00FF72D7">
              <w:rPr>
                <w:szCs w:val="24"/>
              </w:rPr>
              <w:t>11</w:t>
            </w:r>
          </w:p>
        </w:tc>
        <w:tc>
          <w:tcPr>
            <w:tcW w:w="1515" w:type="dxa"/>
            <w:vMerge w:val="restart"/>
            <w:tcBorders>
              <w:top w:val="nil"/>
              <w:left w:val="single" w:sz="8" w:space="0" w:color="auto"/>
              <w:bottom w:val="single" w:sz="8" w:space="0" w:color="000000"/>
              <w:right w:val="single" w:sz="8" w:space="0" w:color="auto"/>
            </w:tcBorders>
            <w:shd w:val="clear" w:color="000000" w:fill="auto"/>
            <w:vAlign w:val="center"/>
            <w:hideMark/>
          </w:tcPr>
          <w:p w:rsidR="008B3892" w:rsidRPr="005C268B" w:rsidRDefault="008B3892" w:rsidP="00A02327">
            <w:pPr>
              <w:spacing w:after="0"/>
              <w:jc w:val="center"/>
              <w:rPr>
                <w:szCs w:val="24"/>
              </w:rPr>
            </w:pPr>
            <w:r w:rsidRPr="00FF72D7">
              <w:rPr>
                <w:szCs w:val="24"/>
              </w:rPr>
              <w:t>3</w:t>
            </w:r>
          </w:p>
        </w:tc>
        <w:tc>
          <w:tcPr>
            <w:tcW w:w="1512" w:type="dxa"/>
            <w:tcBorders>
              <w:top w:val="nil"/>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 </w:t>
            </w:r>
          </w:p>
        </w:tc>
        <w:tc>
          <w:tcPr>
            <w:tcW w:w="1605" w:type="dxa"/>
            <w:tcBorders>
              <w:top w:val="nil"/>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 </w:t>
            </w:r>
          </w:p>
        </w:tc>
        <w:tc>
          <w:tcPr>
            <w:tcW w:w="1514"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8B3892" w:rsidRPr="005C268B" w:rsidRDefault="008B3892" w:rsidP="00A02327">
            <w:pPr>
              <w:spacing w:after="0"/>
              <w:jc w:val="center"/>
              <w:rPr>
                <w:b/>
                <w:bCs/>
                <w:szCs w:val="24"/>
              </w:rPr>
            </w:pPr>
          </w:p>
        </w:tc>
      </w:tr>
      <w:tr w:rsidR="008B3892" w:rsidRPr="000D5106" w:rsidTr="006E480A">
        <w:trPr>
          <w:trHeight w:val="315"/>
        </w:trPr>
        <w:tc>
          <w:tcPr>
            <w:tcW w:w="1627" w:type="dxa"/>
            <w:tcBorders>
              <w:top w:val="single" w:sz="8" w:space="0" w:color="auto"/>
              <w:left w:val="single" w:sz="8" w:space="0" w:color="auto"/>
              <w:bottom w:val="nil"/>
              <w:right w:val="single" w:sz="8" w:space="0" w:color="auto"/>
            </w:tcBorders>
            <w:shd w:val="clear" w:color="000000" w:fill="auto"/>
            <w:hideMark/>
          </w:tcPr>
          <w:p w:rsidR="008B3892" w:rsidRPr="005C268B" w:rsidRDefault="008B3892" w:rsidP="005C268B">
            <w:pPr>
              <w:spacing w:after="0"/>
              <w:jc w:val="left"/>
              <w:rPr>
                <w:szCs w:val="24"/>
              </w:rPr>
            </w:pPr>
            <w:r w:rsidRPr="005C268B">
              <w:rPr>
                <w:szCs w:val="24"/>
              </w:rPr>
              <w:t>Form EIA-851A</w:t>
            </w:r>
          </w:p>
        </w:tc>
        <w:tc>
          <w:tcPr>
            <w:tcW w:w="1512" w:type="dxa"/>
            <w:vMerge/>
            <w:tcBorders>
              <w:top w:val="nil"/>
              <w:left w:val="single" w:sz="8" w:space="0" w:color="auto"/>
              <w:bottom w:val="single" w:sz="8" w:space="0" w:color="000000"/>
              <w:right w:val="single" w:sz="8" w:space="0" w:color="auto"/>
            </w:tcBorders>
            <w:vAlign w:val="center"/>
            <w:hideMark/>
          </w:tcPr>
          <w:p w:rsidR="008B3892" w:rsidRPr="005C268B" w:rsidRDefault="008B3892" w:rsidP="00A02327">
            <w:pPr>
              <w:spacing w:after="0"/>
              <w:rPr>
                <w:szCs w:val="24"/>
              </w:rPr>
            </w:pPr>
          </w:p>
        </w:tc>
        <w:tc>
          <w:tcPr>
            <w:tcW w:w="1515" w:type="dxa"/>
            <w:vMerge/>
            <w:tcBorders>
              <w:top w:val="nil"/>
              <w:left w:val="single" w:sz="8" w:space="0" w:color="auto"/>
              <w:bottom w:val="single" w:sz="8" w:space="0" w:color="000000"/>
              <w:right w:val="single" w:sz="8" w:space="0" w:color="auto"/>
            </w:tcBorders>
            <w:vAlign w:val="center"/>
            <w:hideMark/>
          </w:tcPr>
          <w:p w:rsidR="008B3892" w:rsidRPr="005C268B" w:rsidRDefault="008B3892" w:rsidP="00A02327">
            <w:pPr>
              <w:spacing w:after="0"/>
              <w:rPr>
                <w:szCs w:val="24"/>
              </w:rPr>
            </w:pPr>
          </w:p>
        </w:tc>
        <w:tc>
          <w:tcPr>
            <w:tcW w:w="1512" w:type="dxa"/>
            <w:vMerge w:val="restart"/>
            <w:tcBorders>
              <w:top w:val="nil"/>
              <w:left w:val="single" w:sz="8" w:space="0" w:color="auto"/>
              <w:bottom w:val="single" w:sz="8" w:space="0" w:color="000000"/>
              <w:right w:val="single" w:sz="8" w:space="0" w:color="auto"/>
            </w:tcBorders>
            <w:shd w:val="clear" w:color="000000" w:fill="auto"/>
            <w:vAlign w:val="center"/>
            <w:hideMark/>
          </w:tcPr>
          <w:p w:rsidR="008B3892" w:rsidRPr="005C268B" w:rsidRDefault="003C2A6A" w:rsidP="00A02327">
            <w:pPr>
              <w:spacing w:after="0"/>
              <w:jc w:val="center"/>
              <w:rPr>
                <w:szCs w:val="24"/>
              </w:rPr>
            </w:pPr>
            <w:r w:rsidRPr="00B117D9">
              <w:rPr>
                <w:szCs w:val="24"/>
              </w:rPr>
              <w:t>1</w:t>
            </w:r>
          </w:p>
        </w:tc>
        <w:tc>
          <w:tcPr>
            <w:tcW w:w="1605" w:type="dxa"/>
            <w:tcBorders>
              <w:top w:val="nil"/>
              <w:left w:val="nil"/>
              <w:bottom w:val="single" w:sz="8" w:space="0" w:color="auto"/>
              <w:right w:val="single" w:sz="8" w:space="0" w:color="auto"/>
            </w:tcBorders>
            <w:shd w:val="clear" w:color="000000" w:fill="auto"/>
            <w:hideMark/>
          </w:tcPr>
          <w:p w:rsidR="008B3892" w:rsidRPr="005C268B" w:rsidRDefault="00B117D9" w:rsidP="00A02327">
            <w:pPr>
              <w:spacing w:after="0"/>
              <w:jc w:val="center"/>
              <w:rPr>
                <w:szCs w:val="24"/>
              </w:rPr>
            </w:pPr>
            <w:r w:rsidRPr="00B117D9">
              <w:rPr>
                <w:szCs w:val="24"/>
              </w:rPr>
              <w:t>39</w:t>
            </w:r>
          </w:p>
        </w:tc>
        <w:tc>
          <w:tcPr>
            <w:tcW w:w="1514"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8B3892" w:rsidRPr="005C268B" w:rsidRDefault="008B3892" w:rsidP="00A02327">
            <w:pPr>
              <w:spacing w:after="0"/>
              <w:jc w:val="center"/>
              <w:rPr>
                <w:b/>
                <w:bCs/>
                <w:szCs w:val="24"/>
              </w:rPr>
            </w:pPr>
          </w:p>
        </w:tc>
      </w:tr>
      <w:tr w:rsidR="008B3892" w:rsidRPr="000D5106" w:rsidTr="006E480A">
        <w:trPr>
          <w:trHeight w:val="315"/>
        </w:trPr>
        <w:tc>
          <w:tcPr>
            <w:tcW w:w="1627" w:type="dxa"/>
            <w:tcBorders>
              <w:top w:val="single" w:sz="8" w:space="0" w:color="auto"/>
              <w:left w:val="single" w:sz="8" w:space="0" w:color="auto"/>
              <w:bottom w:val="nil"/>
              <w:right w:val="single" w:sz="8" w:space="0" w:color="auto"/>
            </w:tcBorders>
            <w:shd w:val="clear" w:color="000000" w:fill="auto"/>
            <w:hideMark/>
          </w:tcPr>
          <w:p w:rsidR="008B3892" w:rsidRPr="005C268B" w:rsidRDefault="008B3892" w:rsidP="005C268B">
            <w:pPr>
              <w:spacing w:after="0"/>
              <w:jc w:val="left"/>
              <w:rPr>
                <w:szCs w:val="24"/>
              </w:rPr>
            </w:pPr>
            <w:r w:rsidRPr="005C268B">
              <w:rPr>
                <w:szCs w:val="24"/>
              </w:rPr>
              <w:t>Form EIA-858</w:t>
            </w:r>
          </w:p>
        </w:tc>
        <w:tc>
          <w:tcPr>
            <w:tcW w:w="1512" w:type="dxa"/>
            <w:vMerge/>
            <w:tcBorders>
              <w:top w:val="nil"/>
              <w:left w:val="single" w:sz="8" w:space="0" w:color="auto"/>
              <w:bottom w:val="single" w:sz="8" w:space="0" w:color="000000"/>
              <w:right w:val="single" w:sz="8" w:space="0" w:color="auto"/>
            </w:tcBorders>
            <w:vAlign w:val="center"/>
            <w:hideMark/>
          </w:tcPr>
          <w:p w:rsidR="008B3892" w:rsidRPr="005C268B" w:rsidRDefault="008B3892" w:rsidP="00A02327">
            <w:pPr>
              <w:spacing w:after="0"/>
              <w:rPr>
                <w:szCs w:val="24"/>
              </w:rPr>
            </w:pPr>
          </w:p>
        </w:tc>
        <w:tc>
          <w:tcPr>
            <w:tcW w:w="1515" w:type="dxa"/>
            <w:tcBorders>
              <w:top w:val="nil"/>
              <w:left w:val="nil"/>
              <w:bottom w:val="single" w:sz="8" w:space="0" w:color="auto"/>
              <w:right w:val="single" w:sz="8" w:space="0" w:color="auto"/>
            </w:tcBorders>
            <w:shd w:val="clear" w:color="000000" w:fill="CCCCCC"/>
            <w:vAlign w:val="bottom"/>
            <w:hideMark/>
          </w:tcPr>
          <w:p w:rsidR="008B3892" w:rsidRPr="005C268B" w:rsidRDefault="008B3892" w:rsidP="00A02327">
            <w:pPr>
              <w:spacing w:after="0"/>
              <w:jc w:val="center"/>
              <w:rPr>
                <w:b/>
                <w:bCs/>
                <w:szCs w:val="24"/>
              </w:rPr>
            </w:pPr>
            <w:r w:rsidRPr="005C268B">
              <w:rPr>
                <w:b/>
                <w:bCs/>
                <w:szCs w:val="24"/>
              </w:rPr>
              <w:t> </w:t>
            </w:r>
          </w:p>
        </w:tc>
        <w:tc>
          <w:tcPr>
            <w:tcW w:w="1512" w:type="dxa"/>
            <w:vMerge/>
            <w:tcBorders>
              <w:top w:val="nil"/>
              <w:left w:val="single" w:sz="8" w:space="0" w:color="auto"/>
              <w:bottom w:val="single" w:sz="8" w:space="0" w:color="000000"/>
              <w:right w:val="single" w:sz="8" w:space="0" w:color="auto"/>
            </w:tcBorders>
            <w:vAlign w:val="center"/>
            <w:hideMark/>
          </w:tcPr>
          <w:p w:rsidR="008B3892" w:rsidRPr="005C268B" w:rsidRDefault="008B3892" w:rsidP="00A02327">
            <w:pPr>
              <w:spacing w:after="0"/>
              <w:rPr>
                <w:szCs w:val="24"/>
              </w:rPr>
            </w:pPr>
          </w:p>
        </w:tc>
        <w:tc>
          <w:tcPr>
            <w:tcW w:w="1605" w:type="dxa"/>
            <w:tcBorders>
              <w:top w:val="nil"/>
              <w:left w:val="nil"/>
              <w:bottom w:val="single" w:sz="8" w:space="0" w:color="auto"/>
              <w:right w:val="single" w:sz="8" w:space="0" w:color="auto"/>
            </w:tcBorders>
            <w:shd w:val="clear" w:color="000000" w:fill="auto"/>
            <w:hideMark/>
          </w:tcPr>
          <w:p w:rsidR="008B3892" w:rsidRPr="005C268B" w:rsidRDefault="00733216" w:rsidP="00A02327">
            <w:pPr>
              <w:spacing w:after="0"/>
              <w:jc w:val="center"/>
              <w:rPr>
                <w:szCs w:val="24"/>
              </w:rPr>
            </w:pPr>
            <w:r w:rsidRPr="00733216">
              <w:rPr>
                <w:szCs w:val="24"/>
              </w:rPr>
              <w:t>48</w:t>
            </w:r>
          </w:p>
        </w:tc>
        <w:tc>
          <w:tcPr>
            <w:tcW w:w="1514"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8B3892" w:rsidRPr="005C268B" w:rsidRDefault="008B3892" w:rsidP="00A02327">
            <w:pPr>
              <w:spacing w:after="0"/>
              <w:jc w:val="center"/>
              <w:rPr>
                <w:b/>
                <w:bCs/>
                <w:szCs w:val="24"/>
              </w:rPr>
            </w:pPr>
          </w:p>
        </w:tc>
      </w:tr>
      <w:tr w:rsidR="008B3892" w:rsidRPr="000D5106" w:rsidTr="006E480A">
        <w:trPr>
          <w:trHeight w:val="315"/>
        </w:trPr>
        <w:tc>
          <w:tcPr>
            <w:tcW w:w="1627" w:type="dxa"/>
            <w:tcBorders>
              <w:top w:val="single" w:sz="8" w:space="0" w:color="auto"/>
              <w:left w:val="single" w:sz="8" w:space="0" w:color="auto"/>
              <w:bottom w:val="single" w:sz="8" w:space="0" w:color="auto"/>
              <w:right w:val="single" w:sz="8" w:space="0" w:color="auto"/>
            </w:tcBorders>
            <w:shd w:val="clear" w:color="000000" w:fill="auto"/>
            <w:hideMark/>
          </w:tcPr>
          <w:p w:rsidR="008B3892" w:rsidRPr="005C268B" w:rsidRDefault="008B3892" w:rsidP="00A02327">
            <w:pPr>
              <w:spacing w:after="0"/>
              <w:rPr>
                <w:b/>
                <w:bCs/>
                <w:szCs w:val="24"/>
              </w:rPr>
            </w:pPr>
            <w:r w:rsidRPr="005C268B">
              <w:rPr>
                <w:b/>
                <w:bCs/>
                <w:szCs w:val="24"/>
              </w:rPr>
              <w:t>Total</w:t>
            </w:r>
          </w:p>
        </w:tc>
        <w:tc>
          <w:tcPr>
            <w:tcW w:w="1512" w:type="dxa"/>
            <w:tcBorders>
              <w:top w:val="nil"/>
              <w:left w:val="nil"/>
              <w:bottom w:val="single" w:sz="8" w:space="0" w:color="auto"/>
              <w:right w:val="single" w:sz="8" w:space="0" w:color="auto"/>
            </w:tcBorders>
            <w:shd w:val="clear" w:color="000000" w:fill="auto"/>
            <w:hideMark/>
          </w:tcPr>
          <w:p w:rsidR="008B3892" w:rsidRPr="004A32AF" w:rsidRDefault="009E629A" w:rsidP="00A02327">
            <w:pPr>
              <w:spacing w:after="0"/>
              <w:jc w:val="center"/>
              <w:rPr>
                <w:b/>
                <w:bCs/>
                <w:szCs w:val="24"/>
              </w:rPr>
            </w:pPr>
            <w:r w:rsidRPr="00FF72D7">
              <w:rPr>
                <w:b/>
                <w:bCs/>
                <w:szCs w:val="24"/>
              </w:rPr>
              <w:t>11</w:t>
            </w:r>
          </w:p>
        </w:tc>
        <w:tc>
          <w:tcPr>
            <w:tcW w:w="1515" w:type="dxa"/>
            <w:tcBorders>
              <w:top w:val="nil"/>
              <w:left w:val="nil"/>
              <w:bottom w:val="single" w:sz="8" w:space="0" w:color="auto"/>
              <w:right w:val="single" w:sz="8" w:space="0" w:color="auto"/>
            </w:tcBorders>
            <w:shd w:val="clear" w:color="000000" w:fill="auto"/>
            <w:hideMark/>
          </w:tcPr>
          <w:p w:rsidR="008B3892" w:rsidRPr="005C268B" w:rsidRDefault="008B3892" w:rsidP="00A02327">
            <w:pPr>
              <w:spacing w:after="0"/>
              <w:jc w:val="center"/>
              <w:rPr>
                <w:b/>
                <w:bCs/>
                <w:szCs w:val="24"/>
              </w:rPr>
            </w:pPr>
            <w:r w:rsidRPr="00FF72D7">
              <w:rPr>
                <w:b/>
                <w:bCs/>
                <w:szCs w:val="24"/>
              </w:rPr>
              <w:t>3</w:t>
            </w:r>
          </w:p>
        </w:tc>
        <w:tc>
          <w:tcPr>
            <w:tcW w:w="1512" w:type="dxa"/>
            <w:tcBorders>
              <w:top w:val="nil"/>
              <w:left w:val="nil"/>
              <w:bottom w:val="single" w:sz="8" w:space="0" w:color="auto"/>
              <w:right w:val="single" w:sz="8" w:space="0" w:color="auto"/>
            </w:tcBorders>
            <w:shd w:val="clear" w:color="000000" w:fill="auto"/>
            <w:hideMark/>
          </w:tcPr>
          <w:p w:rsidR="008B3892" w:rsidRPr="003C2A6A" w:rsidRDefault="008B3892" w:rsidP="00A02327">
            <w:pPr>
              <w:tabs>
                <w:tab w:val="left" w:pos="540"/>
                <w:tab w:val="center" w:pos="612"/>
              </w:tabs>
              <w:spacing w:after="0"/>
              <w:rPr>
                <w:b/>
                <w:bCs/>
                <w:szCs w:val="24"/>
              </w:rPr>
            </w:pPr>
            <w:r w:rsidRPr="005C268B">
              <w:rPr>
                <w:b/>
                <w:bCs/>
                <w:szCs w:val="24"/>
              </w:rPr>
              <w:tab/>
            </w:r>
            <w:r w:rsidRPr="005C268B">
              <w:rPr>
                <w:b/>
                <w:bCs/>
                <w:szCs w:val="24"/>
              </w:rPr>
              <w:tab/>
            </w:r>
            <w:r w:rsidR="003C2A6A" w:rsidRPr="00B117D9">
              <w:rPr>
                <w:b/>
                <w:bCs/>
                <w:szCs w:val="24"/>
              </w:rPr>
              <w:t>1</w:t>
            </w:r>
          </w:p>
        </w:tc>
        <w:tc>
          <w:tcPr>
            <w:tcW w:w="1605" w:type="dxa"/>
            <w:tcBorders>
              <w:top w:val="nil"/>
              <w:left w:val="nil"/>
              <w:bottom w:val="single" w:sz="8" w:space="0" w:color="auto"/>
              <w:right w:val="single" w:sz="8" w:space="0" w:color="auto"/>
            </w:tcBorders>
            <w:shd w:val="clear" w:color="000000" w:fill="auto"/>
            <w:hideMark/>
          </w:tcPr>
          <w:p w:rsidR="008B3892" w:rsidRPr="005C268B" w:rsidRDefault="00733216" w:rsidP="00A02327">
            <w:pPr>
              <w:spacing w:after="0"/>
              <w:jc w:val="center"/>
              <w:rPr>
                <w:b/>
                <w:bCs/>
                <w:szCs w:val="24"/>
              </w:rPr>
            </w:pPr>
            <w:r w:rsidRPr="00733216">
              <w:rPr>
                <w:b/>
                <w:bCs/>
                <w:szCs w:val="24"/>
              </w:rPr>
              <w:t>87</w:t>
            </w:r>
          </w:p>
        </w:tc>
        <w:tc>
          <w:tcPr>
            <w:tcW w:w="1514" w:type="dxa"/>
            <w:tcBorders>
              <w:top w:val="nil"/>
              <w:left w:val="nil"/>
              <w:bottom w:val="single" w:sz="8" w:space="0" w:color="auto"/>
              <w:right w:val="single" w:sz="8" w:space="0" w:color="auto"/>
            </w:tcBorders>
            <w:shd w:val="clear" w:color="000000" w:fill="auto"/>
            <w:hideMark/>
          </w:tcPr>
          <w:p w:rsidR="008B3892" w:rsidRPr="005C268B" w:rsidRDefault="00733216" w:rsidP="00A02327">
            <w:pPr>
              <w:spacing w:after="0"/>
              <w:jc w:val="center"/>
              <w:rPr>
                <w:b/>
                <w:bCs/>
                <w:szCs w:val="24"/>
              </w:rPr>
            </w:pPr>
            <w:r w:rsidRPr="00733216">
              <w:rPr>
                <w:b/>
                <w:bCs/>
                <w:szCs w:val="24"/>
              </w:rPr>
              <w:t>102</w:t>
            </w:r>
          </w:p>
        </w:tc>
      </w:tr>
    </w:tbl>
    <w:p w:rsidR="004F0626" w:rsidRPr="007200C5" w:rsidRDefault="004F0626" w:rsidP="004F0626">
      <w:pPr>
        <w:pStyle w:val="Heading2"/>
        <w:ind w:left="0" w:firstLine="0"/>
      </w:pPr>
      <w:bookmarkStart w:id="7" w:name="_Toc336440338"/>
      <w:bookmarkStart w:id="8" w:name="_Toc336440662"/>
      <w:bookmarkStart w:id="9" w:name="_Toc410200128"/>
      <w:bookmarkEnd w:id="6"/>
      <w:r w:rsidRPr="007200C5">
        <w:t>Sampling Methodology and Estimation Procedures</w:t>
      </w:r>
      <w:bookmarkEnd w:id="7"/>
      <w:bookmarkEnd w:id="8"/>
      <w:bookmarkEnd w:id="9"/>
    </w:p>
    <w:p w:rsidR="004F0626" w:rsidRDefault="00D65DDE" w:rsidP="004F0626">
      <w:r w:rsidRPr="001E75C4">
        <w:t xml:space="preserve">There are no </w:t>
      </w:r>
      <w:r>
        <w:t>sampling</w:t>
      </w:r>
      <w:r w:rsidRPr="001E75C4">
        <w:t xml:space="preserve"> methodologies used with th</w:t>
      </w:r>
      <w:r>
        <w:t>e EIA UDP</w:t>
      </w:r>
      <w:r w:rsidRPr="001E75C4">
        <w:t xml:space="preserve"> form</w:t>
      </w:r>
      <w:r>
        <w:t>s, as these surveys are censuses of the target populations</w:t>
      </w:r>
      <w:r w:rsidRPr="001E75C4">
        <w:t>.</w:t>
      </w:r>
    </w:p>
    <w:p w:rsidR="004F0626" w:rsidRDefault="004F0626" w:rsidP="004F0626"/>
    <w:p w:rsidR="004F0626" w:rsidRPr="00F41990" w:rsidRDefault="004F0626" w:rsidP="004F0626">
      <w:pPr>
        <w:pStyle w:val="Heading2"/>
        <w:ind w:left="0" w:firstLine="0"/>
      </w:pPr>
      <w:bookmarkStart w:id="10" w:name="_Toc336440344"/>
      <w:bookmarkStart w:id="11" w:name="_Toc336440668"/>
      <w:bookmarkStart w:id="12" w:name="_Toc410200129"/>
      <w:r w:rsidRPr="00F41990">
        <w:lastRenderedPageBreak/>
        <w:t>Test Procedures</w:t>
      </w:r>
      <w:bookmarkEnd w:id="10"/>
      <w:bookmarkEnd w:id="11"/>
      <w:bookmarkEnd w:id="12"/>
    </w:p>
    <w:p w:rsidR="006E480A" w:rsidRDefault="006E480A" w:rsidP="004F0626">
      <w:pPr>
        <w:spacing w:before="120" w:beforeAutospacing="0"/>
        <w:rPr>
          <w:rFonts w:eastAsia="Calibri"/>
        </w:rPr>
      </w:pPr>
      <w:r w:rsidRPr="009F10B3">
        <w:rPr>
          <w:rFonts w:eastAsia="Calibri"/>
        </w:rPr>
        <w:t>No tests are necessary</w:t>
      </w:r>
      <w:r>
        <w:rPr>
          <w:rFonts w:eastAsia="Calibri"/>
        </w:rPr>
        <w:t xml:space="preserve"> for the EIA UDP surveys</w:t>
      </w:r>
      <w:r w:rsidRPr="009F10B3">
        <w:rPr>
          <w:rFonts w:eastAsia="Calibri"/>
        </w:rPr>
        <w:t>.</w:t>
      </w:r>
    </w:p>
    <w:p w:rsidR="004F0626" w:rsidRDefault="004F0626" w:rsidP="004F0626">
      <w:pPr>
        <w:pStyle w:val="Heading2"/>
        <w:ind w:left="0" w:firstLine="0"/>
      </w:pPr>
      <w:bookmarkStart w:id="13" w:name="_Toc336440345"/>
      <w:bookmarkStart w:id="14" w:name="_Toc336440669"/>
      <w:bookmarkStart w:id="15" w:name="_Toc410200130"/>
      <w:r>
        <w:t>Statistical Consultations</w:t>
      </w:r>
      <w:bookmarkEnd w:id="13"/>
      <w:bookmarkEnd w:id="14"/>
      <w:bookmarkEnd w:id="15"/>
    </w:p>
    <w:p w:rsidR="000F5096" w:rsidRDefault="000F5096" w:rsidP="004F0626">
      <w:pPr>
        <w:spacing w:before="120" w:beforeAutospacing="0"/>
      </w:pPr>
      <w:bookmarkStart w:id="16" w:name="OLE_LINK1"/>
      <w:bookmarkStart w:id="17" w:name="OLE_LINK2"/>
      <w:r w:rsidRPr="00687383">
        <w:t xml:space="preserve">For additional information concerning </w:t>
      </w:r>
      <w:r w:rsidRPr="00665E6D">
        <w:t>this data collection</w:t>
      </w:r>
      <w:r w:rsidRPr="00687383">
        <w:t xml:space="preserve">, please contact </w:t>
      </w:r>
      <w:r>
        <w:t xml:space="preserve">Douglas Bonnar, </w:t>
      </w:r>
      <w:r w:rsidRPr="00687383">
        <w:t>at (202) 586-</w:t>
      </w:r>
      <w:r>
        <w:t>1085</w:t>
      </w:r>
      <w:r w:rsidR="00C21BF5">
        <w:t>,</w:t>
      </w:r>
      <w:r>
        <w:t xml:space="preserve"> </w:t>
      </w:r>
      <w:r w:rsidRPr="00687383">
        <w:t xml:space="preserve">or </w:t>
      </w:r>
      <w:hyperlink r:id="rId18" w:history="1">
        <w:r w:rsidRPr="001759A9">
          <w:rPr>
            <w:rStyle w:val="Hyperlink"/>
          </w:rPr>
          <w:t>douglas.bonnar@eia.gov</w:t>
        </w:r>
      </w:hyperlink>
      <w:r w:rsidRPr="00687383">
        <w:t xml:space="preserve">.  </w:t>
      </w:r>
    </w:p>
    <w:p w:rsidR="00FF5395" w:rsidRDefault="000F5096" w:rsidP="00691CB6">
      <w:pPr>
        <w:spacing w:before="120" w:beforeAutospacing="0"/>
      </w:pPr>
      <w:r w:rsidRPr="00687383">
        <w:t xml:space="preserve">For information concerning this request for OMB approval, please contact the </w:t>
      </w:r>
      <w:r>
        <w:t xml:space="preserve">EIA </w:t>
      </w:r>
      <w:r w:rsidRPr="00687383">
        <w:t xml:space="preserve">agency </w:t>
      </w:r>
      <w:r w:rsidR="00C21BF5">
        <w:t xml:space="preserve">Forms </w:t>
      </w:r>
      <w:r w:rsidRPr="00FB590B">
        <w:t xml:space="preserve">Clearance Officer, </w:t>
      </w:r>
      <w:r w:rsidR="00FF5395">
        <w:t xml:space="preserve">Lawrence Stroud, at (202) 586-6242, or </w:t>
      </w:r>
      <w:hyperlink r:id="rId19" w:history="1">
        <w:r w:rsidR="00FF5395" w:rsidRPr="007C0D68">
          <w:rPr>
            <w:rStyle w:val="Hyperlink"/>
          </w:rPr>
          <w:t>Lawrence.Stroud@eia.gov</w:t>
        </w:r>
      </w:hyperlink>
      <w:r w:rsidR="00FF5395">
        <w:t>.</w:t>
      </w:r>
    </w:p>
    <w:bookmarkEnd w:id="16"/>
    <w:bookmarkEnd w:id="17"/>
    <w:p w:rsidR="00DC715A" w:rsidRPr="00251D3B" w:rsidRDefault="00DC715A" w:rsidP="00E72BA9">
      <w:pPr>
        <w:spacing w:before="120" w:beforeAutospacing="0"/>
        <w:rPr>
          <w:rFonts w:ascii="Arial" w:hAnsi="Arial" w:cs="Arial"/>
        </w:rPr>
      </w:pPr>
    </w:p>
    <w:sectPr w:rsidR="00DC715A" w:rsidRPr="00251D3B" w:rsidSect="00DC715A">
      <w:headerReference w:type="default" r:id="rId20"/>
      <w:footerReference w:type="default" r:id="rId2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84" w:rsidRDefault="00C37984" w:rsidP="002961C5">
      <w:pPr>
        <w:spacing w:before="0" w:after="0"/>
      </w:pPr>
      <w:r>
        <w:separator/>
      </w:r>
    </w:p>
  </w:endnote>
  <w:endnote w:type="continuationSeparator" w:id="0">
    <w:p w:rsidR="00C37984" w:rsidRDefault="00C37984" w:rsidP="002961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0" w:rsidRDefault="002A6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24" w:rsidRDefault="0026082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0" w:rsidRDefault="002A66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24" w:rsidRDefault="00260824" w:rsidP="00DC715A">
    <w:pPr>
      <w:ind w:right="360"/>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rsidR="00260824" w:rsidRDefault="00260824" w:rsidP="00DC715A">
            <w:pPr>
              <w:pStyle w:val="Footer"/>
              <w:tabs>
                <w:tab w:val="clear" w:pos="8640"/>
                <w:tab w:val="right" w:pos="10080"/>
              </w:tabs>
              <w:jc w:val="right"/>
              <w:rPr>
                <w:sz w:val="20"/>
              </w:rPr>
            </w:pPr>
          </w:p>
          <w:p w:rsidR="00260824" w:rsidRPr="00217F0B" w:rsidRDefault="008B768E" w:rsidP="008B768E">
            <w:pPr>
              <w:pStyle w:val="Footer"/>
              <w:tabs>
                <w:tab w:val="clear" w:pos="8640"/>
                <w:tab w:val="right" w:pos="10080"/>
              </w:tabs>
              <w:jc w:val="left"/>
              <w:rPr>
                <w:sz w:val="20"/>
              </w:rPr>
            </w:pPr>
            <w:r>
              <w:rPr>
                <w:sz w:val="20"/>
              </w:rPr>
              <w:t>Uranium Data Program</w:t>
            </w:r>
            <w:r w:rsidR="00260824" w:rsidRPr="00C84F62">
              <w:rPr>
                <w:sz w:val="20"/>
              </w:rPr>
              <w:t xml:space="preserve"> Supporting Statement</w:t>
            </w:r>
            <w:r w:rsidR="00260824">
              <w:rPr>
                <w:sz w:val="20"/>
              </w:rPr>
              <w:t>, Part B</w:t>
            </w:r>
            <w:r w:rsidR="00260824" w:rsidRPr="00C84F62">
              <w:rPr>
                <w:sz w:val="20"/>
              </w:rPr>
              <w:tab/>
            </w:r>
            <w:r>
              <w:rPr>
                <w:sz w:val="20"/>
              </w:rPr>
              <w:tab/>
            </w:r>
            <w:r w:rsidR="00260824" w:rsidRPr="00C84F62">
              <w:rPr>
                <w:sz w:val="20"/>
              </w:rPr>
              <w:t xml:space="preserve">Page </w:t>
            </w:r>
            <w:r w:rsidR="00B625A0" w:rsidRPr="00C84F62">
              <w:rPr>
                <w:sz w:val="20"/>
              </w:rPr>
              <w:fldChar w:fldCharType="begin"/>
            </w:r>
            <w:r w:rsidR="00260824" w:rsidRPr="00C84F62">
              <w:rPr>
                <w:sz w:val="20"/>
              </w:rPr>
              <w:instrText xml:space="preserve"> PAGE </w:instrText>
            </w:r>
            <w:r w:rsidR="00B625A0" w:rsidRPr="00C84F62">
              <w:rPr>
                <w:sz w:val="20"/>
              </w:rPr>
              <w:fldChar w:fldCharType="separate"/>
            </w:r>
            <w:r w:rsidR="002A6640">
              <w:rPr>
                <w:noProof/>
                <w:sz w:val="20"/>
              </w:rPr>
              <w:t>1</w:t>
            </w:r>
            <w:r w:rsidR="00B625A0" w:rsidRPr="00C84F62">
              <w:rPr>
                <w:sz w:val="20"/>
              </w:rPr>
              <w:fldChar w:fldCharType="end"/>
            </w:r>
            <w:r w:rsidR="002A6640">
              <w:rPr>
                <w:sz w:val="20"/>
              </w:rPr>
              <w:t xml:space="preserve"> of 2</w:t>
            </w:r>
          </w:p>
          <w:bookmarkStart w:id="18" w:name="_GoBack" w:displacedByCustomXml="next"/>
          <w:bookmarkEnd w:id="18" w:displacedByCustomXml="nex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84" w:rsidRDefault="00C37984" w:rsidP="002961C5">
      <w:pPr>
        <w:spacing w:before="0" w:after="0"/>
      </w:pPr>
      <w:r>
        <w:separator/>
      </w:r>
    </w:p>
  </w:footnote>
  <w:footnote w:type="continuationSeparator" w:id="0">
    <w:p w:rsidR="00C37984" w:rsidRDefault="00C37984" w:rsidP="002961C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0" w:rsidRDefault="002A6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0" w:rsidRDefault="002A6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0" w:rsidRDefault="002A66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24" w:rsidRDefault="008B768E">
    <w:pPr>
      <w:pStyle w:val="Header"/>
    </w:pPr>
    <w:r>
      <w:t>Uranium Data Program</w:t>
    </w:r>
    <w:r w:rsidR="00260824">
      <w:t xml:space="preserve"> Supporting Statement, Part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24" w:rsidRDefault="00260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A41"/>
    <w:multiLevelType w:val="hybridMultilevel"/>
    <w:tmpl w:val="93F0E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C33D6"/>
    <w:multiLevelType w:val="hybridMultilevel"/>
    <w:tmpl w:val="982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4249A"/>
    <w:multiLevelType w:val="hybridMultilevel"/>
    <w:tmpl w:val="E1504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59C514E"/>
    <w:multiLevelType w:val="hybridMultilevel"/>
    <w:tmpl w:val="B3B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E35BC"/>
    <w:multiLevelType w:val="multilevel"/>
    <w:tmpl w:val="0AD04D40"/>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4EC66A5"/>
    <w:multiLevelType w:val="hybridMultilevel"/>
    <w:tmpl w:val="255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30284"/>
    <w:multiLevelType w:val="multilevel"/>
    <w:tmpl w:val="08AE63EC"/>
    <w:lvl w:ilvl="0">
      <w:start w:val="2"/>
      <w:numFmt w:val="decimal"/>
      <w:lvlText w:val="%1."/>
      <w:lvlJc w:val="left"/>
      <w:pPr>
        <w:tabs>
          <w:tab w:val="num" w:pos="360"/>
        </w:tabs>
        <w:ind w:left="360" w:hanging="360"/>
      </w:pPr>
      <w:rPr>
        <w:rFonts w:hint="default"/>
        <w:u w:val="none"/>
      </w:rPr>
    </w:lvl>
    <w:lvl w:ilvl="1">
      <w:start w:val="48"/>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7">
    <w:nsid w:val="7B682049"/>
    <w:multiLevelType w:val="multilevel"/>
    <w:tmpl w:val="3ECC7574"/>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0"/>
  </w:num>
  <w:num w:numId="12">
    <w:abstractNumId w:val="2"/>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26"/>
    <w:rsid w:val="00024303"/>
    <w:rsid w:val="000455AC"/>
    <w:rsid w:val="00061BCC"/>
    <w:rsid w:val="00074D2F"/>
    <w:rsid w:val="00085A0F"/>
    <w:rsid w:val="000D13EC"/>
    <w:rsid w:val="000F5096"/>
    <w:rsid w:val="00115672"/>
    <w:rsid w:val="00122B5E"/>
    <w:rsid w:val="00131564"/>
    <w:rsid w:val="00151A84"/>
    <w:rsid w:val="001B5179"/>
    <w:rsid w:val="001D0A72"/>
    <w:rsid w:val="001E52C2"/>
    <w:rsid w:val="001F7285"/>
    <w:rsid w:val="00204B50"/>
    <w:rsid w:val="002429AD"/>
    <w:rsid w:val="002463FF"/>
    <w:rsid w:val="00251D3B"/>
    <w:rsid w:val="00260824"/>
    <w:rsid w:val="00267461"/>
    <w:rsid w:val="00280822"/>
    <w:rsid w:val="00281AEE"/>
    <w:rsid w:val="002961C5"/>
    <w:rsid w:val="002A52A8"/>
    <w:rsid w:val="002A6640"/>
    <w:rsid w:val="002D45CB"/>
    <w:rsid w:val="002E57DB"/>
    <w:rsid w:val="002F1B68"/>
    <w:rsid w:val="00314F12"/>
    <w:rsid w:val="00346BF8"/>
    <w:rsid w:val="003801EA"/>
    <w:rsid w:val="003A3997"/>
    <w:rsid w:val="003A3F1F"/>
    <w:rsid w:val="003B714E"/>
    <w:rsid w:val="003C2A6A"/>
    <w:rsid w:val="003E443E"/>
    <w:rsid w:val="003E79AD"/>
    <w:rsid w:val="00403B4D"/>
    <w:rsid w:val="00412C2F"/>
    <w:rsid w:val="004314C8"/>
    <w:rsid w:val="00440B6F"/>
    <w:rsid w:val="004468F5"/>
    <w:rsid w:val="00461DD2"/>
    <w:rsid w:val="00484DD5"/>
    <w:rsid w:val="004850B0"/>
    <w:rsid w:val="00485DEA"/>
    <w:rsid w:val="004A32AF"/>
    <w:rsid w:val="004F0626"/>
    <w:rsid w:val="004F61E3"/>
    <w:rsid w:val="00513DBF"/>
    <w:rsid w:val="00515CF4"/>
    <w:rsid w:val="00534D42"/>
    <w:rsid w:val="00542B2E"/>
    <w:rsid w:val="00547EA4"/>
    <w:rsid w:val="00554CE1"/>
    <w:rsid w:val="0056165E"/>
    <w:rsid w:val="00575474"/>
    <w:rsid w:val="00585C95"/>
    <w:rsid w:val="005A4152"/>
    <w:rsid w:val="005A7ED7"/>
    <w:rsid w:val="005B2582"/>
    <w:rsid w:val="005C268B"/>
    <w:rsid w:val="005E3745"/>
    <w:rsid w:val="0061775D"/>
    <w:rsid w:val="00622568"/>
    <w:rsid w:val="006513A8"/>
    <w:rsid w:val="0066686D"/>
    <w:rsid w:val="00671113"/>
    <w:rsid w:val="00672C90"/>
    <w:rsid w:val="00674812"/>
    <w:rsid w:val="00691CB6"/>
    <w:rsid w:val="006B6C5A"/>
    <w:rsid w:val="006B7E72"/>
    <w:rsid w:val="006C11B3"/>
    <w:rsid w:val="006E480A"/>
    <w:rsid w:val="006E4C95"/>
    <w:rsid w:val="006F6353"/>
    <w:rsid w:val="00703D53"/>
    <w:rsid w:val="0070467D"/>
    <w:rsid w:val="0070556D"/>
    <w:rsid w:val="00713A29"/>
    <w:rsid w:val="00716C95"/>
    <w:rsid w:val="007233A3"/>
    <w:rsid w:val="00733216"/>
    <w:rsid w:val="00733604"/>
    <w:rsid w:val="00755DC1"/>
    <w:rsid w:val="00767E06"/>
    <w:rsid w:val="0079689D"/>
    <w:rsid w:val="007B583E"/>
    <w:rsid w:val="007C236A"/>
    <w:rsid w:val="007F7B60"/>
    <w:rsid w:val="00802461"/>
    <w:rsid w:val="0086552F"/>
    <w:rsid w:val="008A35B1"/>
    <w:rsid w:val="008B3892"/>
    <w:rsid w:val="008B768E"/>
    <w:rsid w:val="008C7040"/>
    <w:rsid w:val="008E54AD"/>
    <w:rsid w:val="008F22C9"/>
    <w:rsid w:val="00917144"/>
    <w:rsid w:val="00933CD7"/>
    <w:rsid w:val="009412D9"/>
    <w:rsid w:val="009C5CA3"/>
    <w:rsid w:val="009C64B1"/>
    <w:rsid w:val="009E3D7D"/>
    <w:rsid w:val="009E629A"/>
    <w:rsid w:val="00A36CDB"/>
    <w:rsid w:val="00A70FF8"/>
    <w:rsid w:val="00A8168B"/>
    <w:rsid w:val="00AF7B6D"/>
    <w:rsid w:val="00B041B2"/>
    <w:rsid w:val="00B117D9"/>
    <w:rsid w:val="00B365CA"/>
    <w:rsid w:val="00B4625A"/>
    <w:rsid w:val="00B52C70"/>
    <w:rsid w:val="00B625A0"/>
    <w:rsid w:val="00B7460F"/>
    <w:rsid w:val="00B8643A"/>
    <w:rsid w:val="00BD308A"/>
    <w:rsid w:val="00BE03EC"/>
    <w:rsid w:val="00BE2C32"/>
    <w:rsid w:val="00BF0608"/>
    <w:rsid w:val="00C1675D"/>
    <w:rsid w:val="00C21BF5"/>
    <w:rsid w:val="00C37984"/>
    <w:rsid w:val="00C41497"/>
    <w:rsid w:val="00C4505A"/>
    <w:rsid w:val="00C53BC7"/>
    <w:rsid w:val="00C6304C"/>
    <w:rsid w:val="00C7562C"/>
    <w:rsid w:val="00C770C8"/>
    <w:rsid w:val="00C93E85"/>
    <w:rsid w:val="00CF6045"/>
    <w:rsid w:val="00D05798"/>
    <w:rsid w:val="00D10668"/>
    <w:rsid w:val="00D65DDE"/>
    <w:rsid w:val="00D77024"/>
    <w:rsid w:val="00DA5F61"/>
    <w:rsid w:val="00DB3D87"/>
    <w:rsid w:val="00DC715A"/>
    <w:rsid w:val="00E15888"/>
    <w:rsid w:val="00E41CA8"/>
    <w:rsid w:val="00E44749"/>
    <w:rsid w:val="00E72BA9"/>
    <w:rsid w:val="00E92C47"/>
    <w:rsid w:val="00EB46A4"/>
    <w:rsid w:val="00F05BCC"/>
    <w:rsid w:val="00F62E9B"/>
    <w:rsid w:val="00F67998"/>
    <w:rsid w:val="00F755CB"/>
    <w:rsid w:val="00FC1EF2"/>
    <w:rsid w:val="00FC51AD"/>
    <w:rsid w:val="00FE038F"/>
    <w:rsid w:val="00FF5395"/>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26"/>
    <w:pPr>
      <w:widowControl w:val="0"/>
      <w:tabs>
        <w:tab w:val="left" w:pos="360"/>
      </w:tabs>
      <w:spacing w:before="100" w:beforeAutospacing="1" w:after="100" w:afterAutospacing="1"/>
      <w:jc w:val="both"/>
    </w:pPr>
    <w:rPr>
      <w:snapToGrid w:val="0"/>
      <w:sz w:val="24"/>
    </w:rPr>
  </w:style>
  <w:style w:type="paragraph" w:styleId="Heading1">
    <w:name w:val="heading 1"/>
    <w:basedOn w:val="ListParagraph"/>
    <w:next w:val="Normal"/>
    <w:link w:val="Heading1Char"/>
    <w:qFormat/>
    <w:rsid w:val="004F0626"/>
    <w:pPr>
      <w:spacing w:before="480" w:beforeAutospacing="0" w:after="0" w:afterAutospacing="0"/>
      <w:ind w:left="0"/>
      <w:contextualSpacing w:val="0"/>
      <w:jc w:val="left"/>
      <w:outlineLvl w:val="0"/>
    </w:pPr>
    <w:rPr>
      <w:rFonts w:eastAsiaTheme="majorEastAsia" w:cstheme="majorBidi"/>
      <w:b/>
      <w:sz w:val="28"/>
      <w:szCs w:val="28"/>
    </w:rPr>
  </w:style>
  <w:style w:type="paragraph" w:styleId="Heading2">
    <w:name w:val="heading 2"/>
    <w:basedOn w:val="ListParagraph"/>
    <w:next w:val="Normal"/>
    <w:link w:val="Heading2Char"/>
    <w:qFormat/>
    <w:rsid w:val="004F0626"/>
    <w:pPr>
      <w:numPr>
        <w:ilvl w:val="1"/>
        <w:numId w:val="9"/>
      </w:numPr>
      <w:spacing w:before="480" w:beforeAutospacing="0" w:after="0" w:afterAutospacing="0"/>
      <w:contextualSpacing w:val="0"/>
      <w:jc w:val="left"/>
      <w:outlineLvl w:val="1"/>
    </w:pPr>
    <w:rPr>
      <w:b/>
      <w:sz w:val="24"/>
      <w:szCs w:val="24"/>
    </w:rPr>
  </w:style>
  <w:style w:type="paragraph" w:styleId="Heading3">
    <w:name w:val="heading 3"/>
    <w:basedOn w:val="Normal"/>
    <w:next w:val="Normal"/>
    <w:link w:val="Heading3Char"/>
    <w:qFormat/>
    <w:rsid w:val="004F0626"/>
    <w:pPr>
      <w:keepNext/>
      <w:numPr>
        <w:ilvl w:val="2"/>
        <w:numId w:val="9"/>
      </w:numPr>
      <w:spacing w:before="480" w:beforeAutospacing="0" w:after="0" w:afterAutospacing="0"/>
      <w:jc w:val="left"/>
      <w:outlineLvl w:val="2"/>
    </w:pPr>
    <w:rPr>
      <w:b/>
    </w:rPr>
  </w:style>
  <w:style w:type="paragraph" w:styleId="Heading4">
    <w:name w:val="heading 4"/>
    <w:basedOn w:val="Normal"/>
    <w:next w:val="Normal"/>
    <w:link w:val="Heading4Char"/>
    <w:semiHidden/>
    <w:unhideWhenUsed/>
    <w:qFormat/>
    <w:rsid w:val="00C93E8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3E8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E8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93E8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93E8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93E8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626"/>
    <w:rPr>
      <w:rFonts w:eastAsiaTheme="majorEastAsia" w:cstheme="majorBidi"/>
      <w:b/>
      <w:sz w:val="28"/>
      <w:szCs w:val="28"/>
    </w:rPr>
  </w:style>
  <w:style w:type="paragraph" w:styleId="ListParagraph">
    <w:name w:val="List Paragraph"/>
    <w:basedOn w:val="Normal"/>
    <w:uiPriority w:val="34"/>
    <w:qFormat/>
    <w:rsid w:val="00C93E85"/>
    <w:pPr>
      <w:widowControl/>
      <w:ind w:left="720"/>
      <w:contextualSpacing/>
    </w:pPr>
    <w:rPr>
      <w:snapToGrid/>
      <w:sz w:val="20"/>
    </w:rPr>
  </w:style>
  <w:style w:type="character" w:customStyle="1" w:styleId="Heading2Char">
    <w:name w:val="Heading 2 Char"/>
    <w:basedOn w:val="DefaultParagraphFont"/>
    <w:link w:val="Heading2"/>
    <w:rsid w:val="004F0626"/>
    <w:rPr>
      <w:b/>
      <w:sz w:val="24"/>
      <w:szCs w:val="24"/>
    </w:rPr>
  </w:style>
  <w:style w:type="character" w:customStyle="1" w:styleId="Heading3Char">
    <w:name w:val="Heading 3 Char"/>
    <w:basedOn w:val="DefaultParagraphFont"/>
    <w:link w:val="Heading3"/>
    <w:rsid w:val="004F0626"/>
    <w:rPr>
      <w:b/>
      <w:snapToGrid w:val="0"/>
      <w:sz w:val="24"/>
    </w:rPr>
  </w:style>
  <w:style w:type="character" w:customStyle="1" w:styleId="Heading4Char">
    <w:name w:val="Heading 4 Char"/>
    <w:basedOn w:val="DefaultParagraphFont"/>
    <w:link w:val="Heading4"/>
    <w:semiHidden/>
    <w:rsid w:val="00C93E85"/>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C93E85"/>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C93E85"/>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C93E85"/>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C93E85"/>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C93E85"/>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Header">
    <w:name w:val="header"/>
    <w:basedOn w:val="Normal"/>
    <w:link w:val="HeaderChar"/>
    <w:rsid w:val="004F0626"/>
    <w:pPr>
      <w:tabs>
        <w:tab w:val="center" w:pos="4320"/>
        <w:tab w:val="right" w:pos="8640"/>
      </w:tabs>
    </w:pPr>
  </w:style>
  <w:style w:type="character" w:customStyle="1" w:styleId="HeaderChar">
    <w:name w:val="Header Char"/>
    <w:basedOn w:val="DefaultParagraphFont"/>
    <w:link w:val="Header"/>
    <w:rsid w:val="004F0626"/>
    <w:rPr>
      <w:snapToGrid w:val="0"/>
      <w:sz w:val="24"/>
    </w:rPr>
  </w:style>
  <w:style w:type="paragraph" w:styleId="Footer">
    <w:name w:val="footer"/>
    <w:basedOn w:val="Normal"/>
    <w:link w:val="FooterChar"/>
    <w:uiPriority w:val="99"/>
    <w:rsid w:val="004F0626"/>
    <w:pPr>
      <w:tabs>
        <w:tab w:val="center" w:pos="4320"/>
        <w:tab w:val="right" w:pos="8640"/>
      </w:tabs>
    </w:pPr>
  </w:style>
  <w:style w:type="character" w:customStyle="1" w:styleId="FooterChar">
    <w:name w:val="Footer Char"/>
    <w:basedOn w:val="DefaultParagraphFont"/>
    <w:link w:val="Footer"/>
    <w:uiPriority w:val="99"/>
    <w:rsid w:val="004F0626"/>
    <w:rPr>
      <w:snapToGrid w:val="0"/>
      <w:sz w:val="24"/>
    </w:rPr>
  </w:style>
  <w:style w:type="character" w:styleId="CommentReference">
    <w:name w:val="annotation reference"/>
    <w:basedOn w:val="DefaultParagraphFont"/>
    <w:semiHidden/>
    <w:rsid w:val="004F0626"/>
    <w:rPr>
      <w:sz w:val="16"/>
      <w:szCs w:val="16"/>
    </w:rPr>
  </w:style>
  <w:style w:type="paragraph" w:styleId="CommentText">
    <w:name w:val="annotation text"/>
    <w:basedOn w:val="Normal"/>
    <w:link w:val="CommentTextChar"/>
    <w:semiHidden/>
    <w:rsid w:val="004F0626"/>
    <w:rPr>
      <w:sz w:val="20"/>
    </w:rPr>
  </w:style>
  <w:style w:type="character" w:customStyle="1" w:styleId="CommentTextChar">
    <w:name w:val="Comment Text Char"/>
    <w:basedOn w:val="DefaultParagraphFont"/>
    <w:link w:val="CommentText"/>
    <w:semiHidden/>
    <w:rsid w:val="004F0626"/>
    <w:rPr>
      <w:snapToGrid w:val="0"/>
    </w:rPr>
  </w:style>
  <w:style w:type="paragraph" w:customStyle="1" w:styleId="Default">
    <w:name w:val="Default"/>
    <w:rsid w:val="004F062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F0626"/>
    <w:pPr>
      <w:widowControl/>
    </w:pPr>
    <w:rPr>
      <w:snapToGrid/>
      <w:szCs w:val="24"/>
    </w:rPr>
  </w:style>
  <w:style w:type="character" w:styleId="Hyperlink">
    <w:name w:val="Hyperlink"/>
    <w:basedOn w:val="DefaultParagraphFont"/>
    <w:uiPriority w:val="99"/>
    <w:rsid w:val="004F0626"/>
    <w:rPr>
      <w:rFonts w:cs="Times New Roman"/>
      <w:color w:val="0000FF"/>
      <w:u w:val="single"/>
    </w:rPr>
  </w:style>
  <w:style w:type="paragraph" w:styleId="BalloonText">
    <w:name w:val="Balloon Text"/>
    <w:basedOn w:val="Normal"/>
    <w:link w:val="BalloonTextChar"/>
    <w:uiPriority w:val="99"/>
    <w:semiHidden/>
    <w:unhideWhenUsed/>
    <w:rsid w:val="004F06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26"/>
    <w:rPr>
      <w:rFonts w:ascii="Tahoma" w:hAnsi="Tahoma" w:cs="Tahoma"/>
      <w:snapToGrid w:val="0"/>
      <w:sz w:val="16"/>
      <w:szCs w:val="16"/>
    </w:rPr>
  </w:style>
  <w:style w:type="paragraph" w:styleId="TOC1">
    <w:name w:val="toc 1"/>
    <w:basedOn w:val="Normal"/>
    <w:next w:val="Normal"/>
    <w:autoRedefine/>
    <w:uiPriority w:val="39"/>
    <w:unhideWhenUsed/>
    <w:rsid w:val="004F0626"/>
    <w:pPr>
      <w:tabs>
        <w:tab w:val="clear" w:pos="360"/>
      </w:tabs>
    </w:pPr>
  </w:style>
  <w:style w:type="paragraph" w:styleId="TOC2">
    <w:name w:val="toc 2"/>
    <w:basedOn w:val="Normal"/>
    <w:next w:val="Normal"/>
    <w:autoRedefine/>
    <w:uiPriority w:val="39"/>
    <w:unhideWhenUsed/>
    <w:rsid w:val="004F0626"/>
    <w:pPr>
      <w:tabs>
        <w:tab w:val="clear" w:pos="360"/>
      </w:tabs>
      <w:ind w:left="240"/>
    </w:pPr>
  </w:style>
  <w:style w:type="paragraph" w:styleId="TOC3">
    <w:name w:val="toc 3"/>
    <w:basedOn w:val="Normal"/>
    <w:next w:val="Normal"/>
    <w:autoRedefine/>
    <w:uiPriority w:val="39"/>
    <w:unhideWhenUsed/>
    <w:rsid w:val="004F0626"/>
    <w:pPr>
      <w:tabs>
        <w:tab w:val="clear" w:pos="360"/>
      </w:tabs>
      <w:ind w:left="480"/>
    </w:pPr>
  </w:style>
  <w:style w:type="paragraph" w:styleId="CommentSubject">
    <w:name w:val="annotation subject"/>
    <w:basedOn w:val="CommentText"/>
    <w:next w:val="CommentText"/>
    <w:link w:val="CommentSubjectChar"/>
    <w:uiPriority w:val="99"/>
    <w:semiHidden/>
    <w:unhideWhenUsed/>
    <w:rsid w:val="00554CE1"/>
    <w:rPr>
      <w:b/>
      <w:bCs/>
    </w:rPr>
  </w:style>
  <w:style w:type="character" w:customStyle="1" w:styleId="CommentSubjectChar">
    <w:name w:val="Comment Subject Char"/>
    <w:basedOn w:val="CommentTextChar"/>
    <w:link w:val="CommentSubject"/>
    <w:uiPriority w:val="99"/>
    <w:semiHidden/>
    <w:rsid w:val="00554CE1"/>
    <w:rPr>
      <w:b/>
      <w:bCs/>
      <w:snapToGrid w:val="0"/>
    </w:rPr>
  </w:style>
  <w:style w:type="character" w:styleId="FollowedHyperlink">
    <w:name w:val="FollowedHyperlink"/>
    <w:basedOn w:val="DefaultParagraphFont"/>
    <w:uiPriority w:val="99"/>
    <w:semiHidden/>
    <w:unhideWhenUsed/>
    <w:rsid w:val="00FC5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26"/>
    <w:pPr>
      <w:widowControl w:val="0"/>
      <w:tabs>
        <w:tab w:val="left" w:pos="360"/>
      </w:tabs>
      <w:spacing w:before="100" w:beforeAutospacing="1" w:after="100" w:afterAutospacing="1"/>
      <w:jc w:val="both"/>
    </w:pPr>
    <w:rPr>
      <w:snapToGrid w:val="0"/>
      <w:sz w:val="24"/>
    </w:rPr>
  </w:style>
  <w:style w:type="paragraph" w:styleId="Heading1">
    <w:name w:val="heading 1"/>
    <w:basedOn w:val="ListParagraph"/>
    <w:next w:val="Normal"/>
    <w:link w:val="Heading1Char"/>
    <w:qFormat/>
    <w:rsid w:val="004F0626"/>
    <w:pPr>
      <w:spacing w:before="480" w:beforeAutospacing="0" w:after="0" w:afterAutospacing="0"/>
      <w:ind w:left="0"/>
      <w:contextualSpacing w:val="0"/>
      <w:jc w:val="left"/>
      <w:outlineLvl w:val="0"/>
    </w:pPr>
    <w:rPr>
      <w:rFonts w:eastAsiaTheme="majorEastAsia" w:cstheme="majorBidi"/>
      <w:b/>
      <w:sz w:val="28"/>
      <w:szCs w:val="28"/>
    </w:rPr>
  </w:style>
  <w:style w:type="paragraph" w:styleId="Heading2">
    <w:name w:val="heading 2"/>
    <w:basedOn w:val="ListParagraph"/>
    <w:next w:val="Normal"/>
    <w:link w:val="Heading2Char"/>
    <w:qFormat/>
    <w:rsid w:val="004F0626"/>
    <w:pPr>
      <w:numPr>
        <w:ilvl w:val="1"/>
        <w:numId w:val="9"/>
      </w:numPr>
      <w:spacing w:before="480" w:beforeAutospacing="0" w:after="0" w:afterAutospacing="0"/>
      <w:contextualSpacing w:val="0"/>
      <w:jc w:val="left"/>
      <w:outlineLvl w:val="1"/>
    </w:pPr>
    <w:rPr>
      <w:b/>
      <w:sz w:val="24"/>
      <w:szCs w:val="24"/>
    </w:rPr>
  </w:style>
  <w:style w:type="paragraph" w:styleId="Heading3">
    <w:name w:val="heading 3"/>
    <w:basedOn w:val="Normal"/>
    <w:next w:val="Normal"/>
    <w:link w:val="Heading3Char"/>
    <w:qFormat/>
    <w:rsid w:val="004F0626"/>
    <w:pPr>
      <w:keepNext/>
      <w:numPr>
        <w:ilvl w:val="2"/>
        <w:numId w:val="9"/>
      </w:numPr>
      <w:spacing w:before="480" w:beforeAutospacing="0" w:after="0" w:afterAutospacing="0"/>
      <w:jc w:val="left"/>
      <w:outlineLvl w:val="2"/>
    </w:pPr>
    <w:rPr>
      <w:b/>
    </w:rPr>
  </w:style>
  <w:style w:type="paragraph" w:styleId="Heading4">
    <w:name w:val="heading 4"/>
    <w:basedOn w:val="Normal"/>
    <w:next w:val="Normal"/>
    <w:link w:val="Heading4Char"/>
    <w:semiHidden/>
    <w:unhideWhenUsed/>
    <w:qFormat/>
    <w:rsid w:val="00C93E8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93E8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E8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93E8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93E8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93E8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626"/>
    <w:rPr>
      <w:rFonts w:eastAsiaTheme="majorEastAsia" w:cstheme="majorBidi"/>
      <w:b/>
      <w:sz w:val="28"/>
      <w:szCs w:val="28"/>
    </w:rPr>
  </w:style>
  <w:style w:type="paragraph" w:styleId="ListParagraph">
    <w:name w:val="List Paragraph"/>
    <w:basedOn w:val="Normal"/>
    <w:uiPriority w:val="34"/>
    <w:qFormat/>
    <w:rsid w:val="00C93E85"/>
    <w:pPr>
      <w:widowControl/>
      <w:ind w:left="720"/>
      <w:contextualSpacing/>
    </w:pPr>
    <w:rPr>
      <w:snapToGrid/>
      <w:sz w:val="20"/>
    </w:rPr>
  </w:style>
  <w:style w:type="character" w:customStyle="1" w:styleId="Heading2Char">
    <w:name w:val="Heading 2 Char"/>
    <w:basedOn w:val="DefaultParagraphFont"/>
    <w:link w:val="Heading2"/>
    <w:rsid w:val="004F0626"/>
    <w:rPr>
      <w:b/>
      <w:sz w:val="24"/>
      <w:szCs w:val="24"/>
    </w:rPr>
  </w:style>
  <w:style w:type="character" w:customStyle="1" w:styleId="Heading3Char">
    <w:name w:val="Heading 3 Char"/>
    <w:basedOn w:val="DefaultParagraphFont"/>
    <w:link w:val="Heading3"/>
    <w:rsid w:val="004F0626"/>
    <w:rPr>
      <w:b/>
      <w:snapToGrid w:val="0"/>
      <w:sz w:val="24"/>
    </w:rPr>
  </w:style>
  <w:style w:type="character" w:customStyle="1" w:styleId="Heading4Char">
    <w:name w:val="Heading 4 Char"/>
    <w:basedOn w:val="DefaultParagraphFont"/>
    <w:link w:val="Heading4"/>
    <w:semiHidden/>
    <w:rsid w:val="00C93E85"/>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C93E85"/>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C93E85"/>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C93E85"/>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C93E85"/>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C93E85"/>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Header">
    <w:name w:val="header"/>
    <w:basedOn w:val="Normal"/>
    <w:link w:val="HeaderChar"/>
    <w:rsid w:val="004F0626"/>
    <w:pPr>
      <w:tabs>
        <w:tab w:val="center" w:pos="4320"/>
        <w:tab w:val="right" w:pos="8640"/>
      </w:tabs>
    </w:pPr>
  </w:style>
  <w:style w:type="character" w:customStyle="1" w:styleId="HeaderChar">
    <w:name w:val="Header Char"/>
    <w:basedOn w:val="DefaultParagraphFont"/>
    <w:link w:val="Header"/>
    <w:rsid w:val="004F0626"/>
    <w:rPr>
      <w:snapToGrid w:val="0"/>
      <w:sz w:val="24"/>
    </w:rPr>
  </w:style>
  <w:style w:type="paragraph" w:styleId="Footer">
    <w:name w:val="footer"/>
    <w:basedOn w:val="Normal"/>
    <w:link w:val="FooterChar"/>
    <w:uiPriority w:val="99"/>
    <w:rsid w:val="004F0626"/>
    <w:pPr>
      <w:tabs>
        <w:tab w:val="center" w:pos="4320"/>
        <w:tab w:val="right" w:pos="8640"/>
      </w:tabs>
    </w:pPr>
  </w:style>
  <w:style w:type="character" w:customStyle="1" w:styleId="FooterChar">
    <w:name w:val="Footer Char"/>
    <w:basedOn w:val="DefaultParagraphFont"/>
    <w:link w:val="Footer"/>
    <w:uiPriority w:val="99"/>
    <w:rsid w:val="004F0626"/>
    <w:rPr>
      <w:snapToGrid w:val="0"/>
      <w:sz w:val="24"/>
    </w:rPr>
  </w:style>
  <w:style w:type="character" w:styleId="CommentReference">
    <w:name w:val="annotation reference"/>
    <w:basedOn w:val="DefaultParagraphFont"/>
    <w:semiHidden/>
    <w:rsid w:val="004F0626"/>
    <w:rPr>
      <w:sz w:val="16"/>
      <w:szCs w:val="16"/>
    </w:rPr>
  </w:style>
  <w:style w:type="paragraph" w:styleId="CommentText">
    <w:name w:val="annotation text"/>
    <w:basedOn w:val="Normal"/>
    <w:link w:val="CommentTextChar"/>
    <w:semiHidden/>
    <w:rsid w:val="004F0626"/>
    <w:rPr>
      <w:sz w:val="20"/>
    </w:rPr>
  </w:style>
  <w:style w:type="character" w:customStyle="1" w:styleId="CommentTextChar">
    <w:name w:val="Comment Text Char"/>
    <w:basedOn w:val="DefaultParagraphFont"/>
    <w:link w:val="CommentText"/>
    <w:semiHidden/>
    <w:rsid w:val="004F0626"/>
    <w:rPr>
      <w:snapToGrid w:val="0"/>
    </w:rPr>
  </w:style>
  <w:style w:type="paragraph" w:customStyle="1" w:styleId="Default">
    <w:name w:val="Default"/>
    <w:rsid w:val="004F062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4F0626"/>
    <w:pPr>
      <w:widowControl/>
    </w:pPr>
    <w:rPr>
      <w:snapToGrid/>
      <w:szCs w:val="24"/>
    </w:rPr>
  </w:style>
  <w:style w:type="character" w:styleId="Hyperlink">
    <w:name w:val="Hyperlink"/>
    <w:basedOn w:val="DefaultParagraphFont"/>
    <w:uiPriority w:val="99"/>
    <w:rsid w:val="004F0626"/>
    <w:rPr>
      <w:rFonts w:cs="Times New Roman"/>
      <w:color w:val="0000FF"/>
      <w:u w:val="single"/>
    </w:rPr>
  </w:style>
  <w:style w:type="paragraph" w:styleId="BalloonText">
    <w:name w:val="Balloon Text"/>
    <w:basedOn w:val="Normal"/>
    <w:link w:val="BalloonTextChar"/>
    <w:uiPriority w:val="99"/>
    <w:semiHidden/>
    <w:unhideWhenUsed/>
    <w:rsid w:val="004F06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26"/>
    <w:rPr>
      <w:rFonts w:ascii="Tahoma" w:hAnsi="Tahoma" w:cs="Tahoma"/>
      <w:snapToGrid w:val="0"/>
      <w:sz w:val="16"/>
      <w:szCs w:val="16"/>
    </w:rPr>
  </w:style>
  <w:style w:type="paragraph" w:styleId="TOC1">
    <w:name w:val="toc 1"/>
    <w:basedOn w:val="Normal"/>
    <w:next w:val="Normal"/>
    <w:autoRedefine/>
    <w:uiPriority w:val="39"/>
    <w:unhideWhenUsed/>
    <w:rsid w:val="004F0626"/>
    <w:pPr>
      <w:tabs>
        <w:tab w:val="clear" w:pos="360"/>
      </w:tabs>
    </w:pPr>
  </w:style>
  <w:style w:type="paragraph" w:styleId="TOC2">
    <w:name w:val="toc 2"/>
    <w:basedOn w:val="Normal"/>
    <w:next w:val="Normal"/>
    <w:autoRedefine/>
    <w:uiPriority w:val="39"/>
    <w:unhideWhenUsed/>
    <w:rsid w:val="004F0626"/>
    <w:pPr>
      <w:tabs>
        <w:tab w:val="clear" w:pos="360"/>
      </w:tabs>
      <w:ind w:left="240"/>
    </w:pPr>
  </w:style>
  <w:style w:type="paragraph" w:styleId="TOC3">
    <w:name w:val="toc 3"/>
    <w:basedOn w:val="Normal"/>
    <w:next w:val="Normal"/>
    <w:autoRedefine/>
    <w:uiPriority w:val="39"/>
    <w:unhideWhenUsed/>
    <w:rsid w:val="004F0626"/>
    <w:pPr>
      <w:tabs>
        <w:tab w:val="clear" w:pos="360"/>
      </w:tabs>
      <w:ind w:left="480"/>
    </w:pPr>
  </w:style>
  <w:style w:type="paragraph" w:styleId="CommentSubject">
    <w:name w:val="annotation subject"/>
    <w:basedOn w:val="CommentText"/>
    <w:next w:val="CommentText"/>
    <w:link w:val="CommentSubjectChar"/>
    <w:uiPriority w:val="99"/>
    <w:semiHidden/>
    <w:unhideWhenUsed/>
    <w:rsid w:val="00554CE1"/>
    <w:rPr>
      <w:b/>
      <w:bCs/>
    </w:rPr>
  </w:style>
  <w:style w:type="character" w:customStyle="1" w:styleId="CommentSubjectChar">
    <w:name w:val="Comment Subject Char"/>
    <w:basedOn w:val="CommentTextChar"/>
    <w:link w:val="CommentSubject"/>
    <w:uiPriority w:val="99"/>
    <w:semiHidden/>
    <w:rsid w:val="00554CE1"/>
    <w:rPr>
      <w:b/>
      <w:bCs/>
      <w:snapToGrid w:val="0"/>
    </w:rPr>
  </w:style>
  <w:style w:type="character" w:styleId="FollowedHyperlink">
    <w:name w:val="FollowedHyperlink"/>
    <w:basedOn w:val="DefaultParagraphFont"/>
    <w:uiPriority w:val="99"/>
    <w:semiHidden/>
    <w:unhideWhenUsed/>
    <w:rsid w:val="00FC5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ouglas.bonnar@eia.go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Lawrence.Stroud@e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BA74-82ED-40FF-9C82-D22F7AC0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2340</Characters>
  <Application>Microsoft Office Word</Application>
  <DocSecurity>4</DocSecurity>
  <Lines>57</Lines>
  <Paragraphs>31</Paragraphs>
  <ScaleCrop>false</ScaleCrop>
  <HeadingPairs>
    <vt:vector size="2" baseType="variant">
      <vt:variant>
        <vt:lpstr>Title</vt:lpstr>
      </vt:variant>
      <vt:variant>
        <vt:i4>1</vt:i4>
      </vt:variant>
    </vt:vector>
  </HeadingPairs>
  <TitlesOfParts>
    <vt:vector size="1" baseType="lpstr">
      <vt:lpstr>PSRS Data Collection Supporting Statement, Part B</vt:lpstr>
    </vt:vector>
  </TitlesOfParts>
  <Company>EIA\DOE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PSRS Data Collection Supporting Statement, Part B</dc:title>
  <dc:subject>Petroleum Supply Reporting System OMB Forms Clearance Process Supporting Statement, Part B</dc:subject>
  <dc:creator>Sylvia Norris</dc:creator>
  <cp:keywords>PSRS, OMB Supporting Statement Part B</cp:keywords>
  <dc:description>Final version 10-19-2012.  Approved by and sent by the Program Office.  Table of contents updated and original date updated to November, 2012, when the document was forwarded to the EIA SDT Forms Clearance Officer.</dc:description>
  <cp:lastModifiedBy>Jennings, Alethea</cp:lastModifiedBy>
  <cp:revision>2</cp:revision>
  <cp:lastPrinted>2012-10-03T12:29:00Z</cp:lastPrinted>
  <dcterms:created xsi:type="dcterms:W3CDTF">2015-07-24T21:32:00Z</dcterms:created>
  <dcterms:modified xsi:type="dcterms:W3CDTF">2015-07-24T21:32:00Z</dcterms:modified>
</cp:coreProperties>
</file>