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158" w:rsidRDefault="00992158"/>
    <w:p w:rsidR="00992158" w:rsidRDefault="00992158" w:rsidP="00992158">
      <w:pPr>
        <w:jc w:val="center"/>
        <w:rPr>
          <w:b/>
        </w:rPr>
      </w:pPr>
    </w:p>
    <w:p w:rsidR="00992158" w:rsidRDefault="00992158" w:rsidP="00992158">
      <w:pPr>
        <w:jc w:val="center"/>
      </w:pPr>
      <w:r>
        <w:rPr>
          <w:b/>
        </w:rPr>
        <w:t>SUPPORTING STATEMENT</w:t>
      </w:r>
    </w:p>
    <w:p w:rsidR="00992158" w:rsidRDefault="00992158" w:rsidP="00992158"/>
    <w:p w:rsidR="00992158" w:rsidRDefault="00992158" w:rsidP="00992158">
      <w:r>
        <w:rPr>
          <w:b/>
        </w:rPr>
        <w:t xml:space="preserve">A.  </w:t>
      </w:r>
      <w:r>
        <w:rPr>
          <w:b/>
          <w:u w:val="single"/>
        </w:rPr>
        <w:t>Justification</w:t>
      </w:r>
      <w:r>
        <w:rPr>
          <w:b/>
        </w:rPr>
        <w:t>:</w:t>
      </w:r>
    </w:p>
    <w:p w:rsidR="00992158" w:rsidRDefault="00992158" w:rsidP="00992158"/>
    <w:p w:rsidR="000E5813" w:rsidRPr="000A2CA4" w:rsidRDefault="000E5813" w:rsidP="000E5813">
      <w:r>
        <w:t>1</w:t>
      </w:r>
      <w:r w:rsidR="005669CE">
        <w:t>.</w:t>
      </w:r>
      <w:r>
        <w:tab/>
      </w:r>
      <w:r w:rsidR="00992158" w:rsidRPr="000A2CA4">
        <w:t>The Federal Communications Commission (</w:t>
      </w:r>
      <w:r w:rsidRPr="000A2CA4">
        <w:t>“</w:t>
      </w:r>
      <w:r w:rsidR="005669CE" w:rsidRPr="000A2CA4">
        <w:t xml:space="preserve">the </w:t>
      </w:r>
      <w:r w:rsidR="00992158" w:rsidRPr="000A2CA4">
        <w:t>Commission</w:t>
      </w:r>
      <w:r w:rsidRPr="000A2CA4">
        <w:t>”</w:t>
      </w:r>
      <w:r w:rsidR="00992158" w:rsidRPr="000A2CA4">
        <w:t xml:space="preserve">) </w:t>
      </w:r>
      <w:r w:rsidR="00680345" w:rsidRPr="000A2CA4">
        <w:t xml:space="preserve">requests </w:t>
      </w:r>
      <w:r w:rsidRPr="000A2CA4">
        <w:t>a revision to this information collection, titled</w:t>
      </w:r>
      <w:r w:rsidR="00E46AE0" w:rsidRPr="000A2CA4">
        <w:t>,</w:t>
      </w:r>
      <w:r w:rsidRPr="000A2CA4">
        <w:t xml:space="preserve"> “Regulations Applicable to Common Carrier and Aeronautical Radio Licensees Under Section 310(b)(4) of the Communications Act of 1934, as amended” (OMB Control Number 3060-1163) from the Office of Management and Budget (OMB).   </w:t>
      </w:r>
    </w:p>
    <w:p w:rsidR="000E5813" w:rsidRPr="000A2CA4" w:rsidRDefault="000E5813" w:rsidP="000E5813"/>
    <w:p w:rsidR="000E5813" w:rsidRPr="000A2CA4" w:rsidRDefault="000E5813" w:rsidP="000E5813">
      <w:pPr>
        <w:ind w:left="720"/>
        <w:rPr>
          <w:b/>
          <w:u w:val="single"/>
        </w:rPr>
      </w:pPr>
    </w:p>
    <w:p w:rsidR="000E5813" w:rsidRPr="000A2CA4" w:rsidRDefault="000E5813" w:rsidP="00992158">
      <w:r w:rsidRPr="000A2CA4">
        <w:rPr>
          <w:b/>
          <w:u w:val="single"/>
        </w:rPr>
        <w:t>Information Collection Requirements Which Require OMB Review and Approval</w:t>
      </w:r>
      <w:r w:rsidRPr="000A2CA4">
        <w:t>:</w:t>
      </w:r>
    </w:p>
    <w:p w:rsidR="000E5813" w:rsidRPr="000A2CA4" w:rsidRDefault="000E5813" w:rsidP="00992158"/>
    <w:p w:rsidR="00465B9E" w:rsidRDefault="00B85F78" w:rsidP="00992158">
      <w:pPr>
        <w:rPr>
          <w:szCs w:val="22"/>
        </w:rPr>
      </w:pPr>
      <w:r w:rsidRPr="000A2CA4">
        <w:t xml:space="preserve">On September 29, 2016, the Commission adopted final rules in </w:t>
      </w:r>
      <w:r w:rsidRPr="000A2CA4">
        <w:rPr>
          <w:i/>
        </w:rPr>
        <w:t>Review of Foreign Ownership Policies for Broadcast, Common Carrier and</w:t>
      </w:r>
      <w:r w:rsidRPr="000043E8">
        <w:rPr>
          <w:i/>
        </w:rPr>
        <w:t xml:space="preserve"> Aeronautical Radio Licensees under Section 310(b)(4) of the Communications Act of 1934, as Amended</w:t>
      </w:r>
      <w:r>
        <w:t>,</w:t>
      </w:r>
      <w:r w:rsidRPr="00BF612D">
        <w:t xml:space="preserve"> </w:t>
      </w:r>
      <w:r w:rsidRPr="00BF612D">
        <w:rPr>
          <w:szCs w:val="22"/>
        </w:rPr>
        <w:t xml:space="preserve">IB Docket No. </w:t>
      </w:r>
      <w:r>
        <w:rPr>
          <w:szCs w:val="22"/>
        </w:rPr>
        <w:t>15</w:t>
      </w:r>
      <w:r w:rsidRPr="00BF612D">
        <w:rPr>
          <w:szCs w:val="22"/>
        </w:rPr>
        <w:t>-</w:t>
      </w:r>
      <w:r>
        <w:rPr>
          <w:szCs w:val="22"/>
        </w:rPr>
        <w:t xml:space="preserve">236, Report and Order, </w:t>
      </w:r>
      <w:r w:rsidR="00247FE0">
        <w:rPr>
          <w:szCs w:val="22"/>
        </w:rPr>
        <w:t>31 FCC Rcd 11272 (</w:t>
      </w:r>
      <w:r w:rsidRPr="00BF612D">
        <w:rPr>
          <w:szCs w:val="22"/>
        </w:rPr>
        <w:t>201</w:t>
      </w:r>
      <w:r>
        <w:rPr>
          <w:szCs w:val="22"/>
        </w:rPr>
        <w:t>6</w:t>
      </w:r>
      <w:r w:rsidRPr="00BF612D">
        <w:rPr>
          <w:szCs w:val="22"/>
        </w:rPr>
        <w:t>)</w:t>
      </w:r>
      <w:r>
        <w:rPr>
          <w:szCs w:val="22"/>
        </w:rPr>
        <w:t xml:space="preserve"> (2016 Foreign Ownership </w:t>
      </w:r>
      <w:r w:rsidR="00733AA3">
        <w:rPr>
          <w:szCs w:val="22"/>
        </w:rPr>
        <w:t xml:space="preserve">Report and </w:t>
      </w:r>
      <w:r>
        <w:rPr>
          <w:szCs w:val="22"/>
        </w:rPr>
        <w:t xml:space="preserve">Order).  </w:t>
      </w:r>
      <w:r w:rsidR="00B96488">
        <w:rPr>
          <w:szCs w:val="22"/>
        </w:rPr>
        <w:t>I</w:t>
      </w:r>
      <w:r>
        <w:rPr>
          <w:szCs w:val="22"/>
        </w:rPr>
        <w:t>n the 2016 Foreign Ownership Order</w:t>
      </w:r>
      <w:r w:rsidR="00B96488">
        <w:rPr>
          <w:szCs w:val="22"/>
        </w:rPr>
        <w:t>, the Commission:</w:t>
      </w:r>
      <w:r>
        <w:rPr>
          <w:szCs w:val="22"/>
        </w:rPr>
        <w:t xml:space="preserve"> </w:t>
      </w:r>
    </w:p>
    <w:p w:rsidR="00465B9E" w:rsidRDefault="00465B9E" w:rsidP="00992158">
      <w:pPr>
        <w:rPr>
          <w:szCs w:val="22"/>
        </w:rPr>
      </w:pPr>
    </w:p>
    <w:p w:rsidR="00465B9E" w:rsidRPr="00465B9E" w:rsidRDefault="00465B9E" w:rsidP="00465B9E">
      <w:pPr>
        <w:pStyle w:val="ListParagraph"/>
        <w:numPr>
          <w:ilvl w:val="0"/>
          <w:numId w:val="17"/>
        </w:numPr>
        <w:rPr>
          <w:szCs w:val="22"/>
        </w:rPr>
      </w:pPr>
      <w:r>
        <w:rPr>
          <w:szCs w:val="22"/>
        </w:rPr>
        <w:t>M</w:t>
      </w:r>
      <w:r w:rsidR="00B85F78" w:rsidRPr="00465B9E">
        <w:rPr>
          <w:szCs w:val="22"/>
        </w:rPr>
        <w:t xml:space="preserve">odified </w:t>
      </w:r>
      <w:r w:rsidR="00B96488" w:rsidRPr="00465B9E">
        <w:rPr>
          <w:szCs w:val="22"/>
        </w:rPr>
        <w:t xml:space="preserve">its </w:t>
      </w:r>
      <w:r w:rsidR="00B85F78" w:rsidRPr="00465B9E">
        <w:rPr>
          <w:szCs w:val="22"/>
        </w:rPr>
        <w:t xml:space="preserve">foreign ownership filing and review process for broadcast licensees by extending </w:t>
      </w:r>
      <w:r w:rsidR="00B96488" w:rsidRPr="00465B9E">
        <w:rPr>
          <w:szCs w:val="22"/>
        </w:rPr>
        <w:t xml:space="preserve">to such licensees </w:t>
      </w:r>
      <w:r w:rsidR="00B85F78" w:rsidRPr="00465B9E">
        <w:rPr>
          <w:szCs w:val="22"/>
        </w:rPr>
        <w:t xml:space="preserve">the streamlined rules and procedures developed for foreign ownership reviews </w:t>
      </w:r>
      <w:r w:rsidR="00B96488" w:rsidRPr="00465B9E">
        <w:rPr>
          <w:szCs w:val="22"/>
        </w:rPr>
        <w:t xml:space="preserve">of </w:t>
      </w:r>
      <w:r w:rsidR="00B85F78" w:rsidRPr="00465B9E">
        <w:rPr>
          <w:szCs w:val="22"/>
        </w:rPr>
        <w:t>common carrier and certain aeronautical licensees under Section 310(b)(4) of the Communications Act of 1934, as amended (the Act)</w:t>
      </w:r>
      <w:r w:rsidR="00B96488" w:rsidRPr="00465B9E">
        <w:rPr>
          <w:szCs w:val="22"/>
        </w:rPr>
        <w:t xml:space="preserve"> with certain</w:t>
      </w:r>
      <w:r w:rsidR="00CB56AE">
        <w:rPr>
          <w:szCs w:val="22"/>
        </w:rPr>
        <w:t xml:space="preserve"> modifications to tailor them to the broadcast context</w:t>
      </w:r>
      <w:r w:rsidR="00B96488" w:rsidRPr="00465B9E">
        <w:rPr>
          <w:szCs w:val="22"/>
        </w:rPr>
        <w:t xml:space="preserve">; and </w:t>
      </w:r>
    </w:p>
    <w:p w:rsidR="00465B9E" w:rsidRDefault="00465B9E" w:rsidP="00992158">
      <w:pPr>
        <w:rPr>
          <w:szCs w:val="22"/>
        </w:rPr>
      </w:pPr>
    </w:p>
    <w:p w:rsidR="00B85F78" w:rsidRDefault="00465B9E" w:rsidP="00465B9E">
      <w:pPr>
        <w:pStyle w:val="ListParagraph"/>
        <w:numPr>
          <w:ilvl w:val="0"/>
          <w:numId w:val="17"/>
        </w:numPr>
      </w:pPr>
      <w:r>
        <w:rPr>
          <w:szCs w:val="22"/>
        </w:rPr>
        <w:t>R</w:t>
      </w:r>
      <w:r w:rsidR="00B96488" w:rsidRPr="00465B9E">
        <w:rPr>
          <w:szCs w:val="22"/>
        </w:rPr>
        <w:t>eformed the methodology used by both common carrier and broadcast licensees that are, or are controlled by, U.S. publicly traded companies to assess their compliance with the fore</w:t>
      </w:r>
      <w:r w:rsidRPr="00465B9E">
        <w:rPr>
          <w:szCs w:val="22"/>
        </w:rPr>
        <w:t>ig</w:t>
      </w:r>
      <w:r w:rsidR="00B96488" w:rsidRPr="00465B9E">
        <w:rPr>
          <w:szCs w:val="22"/>
        </w:rPr>
        <w:t>n owners</w:t>
      </w:r>
      <w:r w:rsidRPr="00465B9E">
        <w:rPr>
          <w:szCs w:val="22"/>
        </w:rPr>
        <w:t>h</w:t>
      </w:r>
      <w:r w:rsidR="00B96488" w:rsidRPr="00465B9E">
        <w:rPr>
          <w:szCs w:val="22"/>
        </w:rPr>
        <w:t>ip limits in Sections 310(b)(3) and 310(b)(4) of the Act, respectively.</w:t>
      </w:r>
      <w:r w:rsidR="00B85F78" w:rsidRPr="00465B9E">
        <w:rPr>
          <w:szCs w:val="22"/>
        </w:rPr>
        <w:t xml:space="preserve">  </w:t>
      </w:r>
    </w:p>
    <w:p w:rsidR="00B85F78" w:rsidRDefault="00B85F78" w:rsidP="00992158"/>
    <w:p w:rsidR="001B42C3" w:rsidRDefault="00BD0707" w:rsidP="00BD0707">
      <w:pPr>
        <w:rPr>
          <w:szCs w:val="22"/>
        </w:rPr>
      </w:pPr>
      <w:r>
        <w:t xml:space="preserve">The Commission therefore requests approval of substantial changes to the above-referenced information collection in order to apply to broadcast licensees substantially the same foreign ownership rules and procedures that apply to common carrier </w:t>
      </w:r>
      <w:r w:rsidR="005F1AF5">
        <w:t xml:space="preserve">licensees and spectrum lessees </w:t>
      </w:r>
      <w:r>
        <w:t>and certa</w:t>
      </w:r>
      <w:r w:rsidR="00733AA3">
        <w:t xml:space="preserve">in aeronautical licensees </w:t>
      </w:r>
      <w:r w:rsidR="004F6937">
        <w:t xml:space="preserve">(collectively, “common carrier” licensees) </w:t>
      </w:r>
      <w:r w:rsidR="00733AA3">
        <w:t xml:space="preserve">under this information collection and the </w:t>
      </w:r>
      <w:r w:rsidR="00992158">
        <w:t xml:space="preserve">rules </w:t>
      </w:r>
      <w:r>
        <w:t xml:space="preserve">adopted </w:t>
      </w:r>
      <w:r w:rsidR="00992158">
        <w:t xml:space="preserve">in </w:t>
      </w:r>
      <w:r w:rsidR="00992158" w:rsidRPr="000043E8">
        <w:rPr>
          <w:i/>
        </w:rPr>
        <w:t>Review of Foreign Ownership Policies for Common Carrier and Aeronautical Radio Licensees under Section 310(b)(4) of the Communications Act of 1934, as Amended</w:t>
      </w:r>
      <w:r w:rsidR="00992158">
        <w:t>,</w:t>
      </w:r>
      <w:r w:rsidR="00992158" w:rsidRPr="00BF612D">
        <w:t xml:space="preserve"> </w:t>
      </w:r>
      <w:r w:rsidR="00992158" w:rsidRPr="00BF612D">
        <w:rPr>
          <w:szCs w:val="22"/>
        </w:rPr>
        <w:t xml:space="preserve">IB Docket No. </w:t>
      </w:r>
      <w:r w:rsidR="00992158">
        <w:rPr>
          <w:szCs w:val="22"/>
        </w:rPr>
        <w:t>11</w:t>
      </w:r>
      <w:r w:rsidR="00992158" w:rsidRPr="00BF612D">
        <w:rPr>
          <w:szCs w:val="22"/>
        </w:rPr>
        <w:t>-1</w:t>
      </w:r>
      <w:r w:rsidR="00992158">
        <w:rPr>
          <w:szCs w:val="22"/>
        </w:rPr>
        <w:t xml:space="preserve">33, Second Report and Order, </w:t>
      </w:r>
      <w:r w:rsidR="00247FE0">
        <w:rPr>
          <w:szCs w:val="22"/>
        </w:rPr>
        <w:t>28 FCC Rcd 5741</w:t>
      </w:r>
      <w:r w:rsidR="00992158" w:rsidRPr="00BF612D">
        <w:rPr>
          <w:szCs w:val="22"/>
        </w:rPr>
        <w:t>(2013)</w:t>
      </w:r>
      <w:r w:rsidR="00992158">
        <w:rPr>
          <w:szCs w:val="22"/>
        </w:rPr>
        <w:t xml:space="preserve"> (Second Report and Order).</w:t>
      </w:r>
    </w:p>
    <w:p w:rsidR="001B42C3" w:rsidRDefault="001B42C3" w:rsidP="00BD0707">
      <w:pPr>
        <w:rPr>
          <w:szCs w:val="22"/>
        </w:rPr>
      </w:pPr>
    </w:p>
    <w:p w:rsidR="00B0478D" w:rsidRDefault="001B42C3" w:rsidP="00BD0707">
      <w:pPr>
        <w:rPr>
          <w:szCs w:val="22"/>
        </w:rPr>
      </w:pPr>
      <w:r>
        <w:rPr>
          <w:szCs w:val="22"/>
        </w:rPr>
        <w:t xml:space="preserve">We also </w:t>
      </w:r>
      <w:r w:rsidRPr="005C7853">
        <w:rPr>
          <w:b/>
          <w:szCs w:val="22"/>
        </w:rPr>
        <w:t xml:space="preserve">seek </w:t>
      </w:r>
      <w:r w:rsidR="005C7853" w:rsidRPr="005C7853">
        <w:rPr>
          <w:b/>
          <w:szCs w:val="22"/>
        </w:rPr>
        <w:t>approval</w:t>
      </w:r>
      <w:r w:rsidR="005C7853">
        <w:rPr>
          <w:szCs w:val="22"/>
        </w:rPr>
        <w:t xml:space="preserve"> </w:t>
      </w:r>
      <w:r>
        <w:rPr>
          <w:szCs w:val="22"/>
        </w:rPr>
        <w:t xml:space="preserve">to change the title of this information collection to read: Regulations Applicable to Broadcast, Common Carrier and Aeronautical Radio Licensees under Section 310(b) of the Communications Act of 1934, as amended.  This change adds </w:t>
      </w:r>
      <w:r>
        <w:rPr>
          <w:szCs w:val="22"/>
        </w:rPr>
        <w:lastRenderedPageBreak/>
        <w:t xml:space="preserve">“Broadcast” to the title </w:t>
      </w:r>
      <w:r w:rsidR="005C7853">
        <w:rPr>
          <w:szCs w:val="22"/>
        </w:rPr>
        <w:t xml:space="preserve">of the collection </w:t>
      </w:r>
      <w:r>
        <w:rPr>
          <w:szCs w:val="22"/>
        </w:rPr>
        <w:t>recognizing that the 2016 Foreign Ownership Report and Order</w:t>
      </w:r>
      <w:r w:rsidR="00992158">
        <w:rPr>
          <w:szCs w:val="22"/>
        </w:rPr>
        <w:t xml:space="preserve"> </w:t>
      </w:r>
      <w:r>
        <w:rPr>
          <w:szCs w:val="22"/>
        </w:rPr>
        <w:t>incorporat</w:t>
      </w:r>
      <w:r w:rsidR="005C7853">
        <w:rPr>
          <w:szCs w:val="22"/>
        </w:rPr>
        <w:t xml:space="preserve">es broadcast licensees into the </w:t>
      </w:r>
      <w:r w:rsidR="00263A76">
        <w:rPr>
          <w:szCs w:val="22"/>
        </w:rPr>
        <w:t xml:space="preserve">Section 310(b)(4) </w:t>
      </w:r>
      <w:r w:rsidR="005C7853">
        <w:rPr>
          <w:szCs w:val="22"/>
        </w:rPr>
        <w:t xml:space="preserve">regulatory framework </w:t>
      </w:r>
      <w:r>
        <w:rPr>
          <w:szCs w:val="22"/>
        </w:rPr>
        <w:t xml:space="preserve">applicable to common carrier licensees.  </w:t>
      </w:r>
      <w:r w:rsidR="005C7853">
        <w:rPr>
          <w:szCs w:val="22"/>
        </w:rPr>
        <w:t>This change</w:t>
      </w:r>
      <w:r>
        <w:rPr>
          <w:szCs w:val="22"/>
        </w:rPr>
        <w:t xml:space="preserve"> also </w:t>
      </w:r>
      <w:r w:rsidR="005C7853">
        <w:rPr>
          <w:szCs w:val="22"/>
        </w:rPr>
        <w:t xml:space="preserve">replaces the specific reference to Section 310(b)(4) of the Act with a general reference to Section 310(b) of the Act.  This change </w:t>
      </w:r>
      <w:r w:rsidR="005F1AF5">
        <w:rPr>
          <w:szCs w:val="22"/>
        </w:rPr>
        <w:t xml:space="preserve">reflects </w:t>
      </w:r>
      <w:r w:rsidR="005C7853">
        <w:rPr>
          <w:szCs w:val="22"/>
        </w:rPr>
        <w:t>the Commission’s earlier decision, i</w:t>
      </w:r>
      <w:r>
        <w:rPr>
          <w:szCs w:val="22"/>
        </w:rPr>
        <w:t xml:space="preserve">n the Second Report and Order, </w:t>
      </w:r>
      <w:r w:rsidR="005C7853">
        <w:rPr>
          <w:szCs w:val="22"/>
        </w:rPr>
        <w:t xml:space="preserve">to adopt </w:t>
      </w:r>
      <w:r>
        <w:rPr>
          <w:szCs w:val="22"/>
        </w:rPr>
        <w:t xml:space="preserve">rules that </w:t>
      </w:r>
      <w:r w:rsidR="00263A76">
        <w:rPr>
          <w:szCs w:val="22"/>
        </w:rPr>
        <w:t xml:space="preserve">address the foreign restrictions in Section 310(b)(3) of the Act as they apply to common carrier (but not aeronautical) licensees.  These rules </w:t>
      </w:r>
      <w:r>
        <w:rPr>
          <w:szCs w:val="22"/>
        </w:rPr>
        <w:t xml:space="preserve">permit common carrier licensees to request approval of foreign ownership </w:t>
      </w:r>
      <w:r w:rsidR="00E65C89">
        <w:rPr>
          <w:szCs w:val="22"/>
        </w:rPr>
        <w:t xml:space="preserve">interests that would be held in the licensee indirectly through a non-controlling, U.S.-organized entity in an amount </w:t>
      </w:r>
      <w:r>
        <w:rPr>
          <w:szCs w:val="22"/>
        </w:rPr>
        <w:t xml:space="preserve">that would exceed the 20 percent limit </w:t>
      </w:r>
      <w:r w:rsidR="00E65C89">
        <w:rPr>
          <w:szCs w:val="22"/>
        </w:rPr>
        <w:t>on such interests in Section 310(b)(3) of the Act.</w:t>
      </w:r>
      <w:r w:rsidR="00263A76">
        <w:rPr>
          <w:rStyle w:val="FootnoteReference"/>
          <w:szCs w:val="22"/>
        </w:rPr>
        <w:footnoteReference w:id="1"/>
      </w:r>
      <w:r w:rsidR="00E65C89">
        <w:rPr>
          <w:szCs w:val="22"/>
        </w:rPr>
        <w:t xml:space="preserve">  </w:t>
      </w:r>
      <w:r w:rsidR="005C7853">
        <w:rPr>
          <w:szCs w:val="22"/>
        </w:rPr>
        <w:t xml:space="preserve">The Commission </w:t>
      </w:r>
      <w:r w:rsidR="00E65C89">
        <w:rPr>
          <w:szCs w:val="22"/>
        </w:rPr>
        <w:t xml:space="preserve">sought and received OMB approval for </w:t>
      </w:r>
      <w:r w:rsidR="00263A76">
        <w:rPr>
          <w:szCs w:val="22"/>
        </w:rPr>
        <w:t xml:space="preserve">the Section 310(b)(3) rules </w:t>
      </w:r>
      <w:r w:rsidR="00E65C89">
        <w:rPr>
          <w:szCs w:val="22"/>
        </w:rPr>
        <w:t xml:space="preserve">under Control No. 3060-1163 but did not seek to change the title of the collection at that time.  </w:t>
      </w:r>
      <w:r w:rsidR="005C7853">
        <w:rPr>
          <w:szCs w:val="22"/>
        </w:rPr>
        <w:t xml:space="preserve">  </w:t>
      </w:r>
    </w:p>
    <w:p w:rsidR="00263A76" w:rsidRDefault="00263A76" w:rsidP="00BD0707">
      <w:pPr>
        <w:rPr>
          <w:szCs w:val="22"/>
        </w:rPr>
      </w:pPr>
    </w:p>
    <w:p w:rsidR="00B0478D" w:rsidRDefault="00B0478D" w:rsidP="00BD0707">
      <w:pPr>
        <w:rPr>
          <w:szCs w:val="22"/>
        </w:rPr>
      </w:pPr>
      <w:r>
        <w:rPr>
          <w:szCs w:val="22"/>
        </w:rPr>
        <w:t>The Commission is also making non-substantial changes to this information collection to renumber the foreign ownership rules, which currently are codified in Part 1, Subpart F, Section 1.990 through 1.994 of the Commission’s rules.  The new rules, as adopted in the 2016 Foreign Ownership Report and Order, will be codified in Part 1, Subpart T, Section 1.5000 through 1.5004 of the Commission’s rules.</w:t>
      </w:r>
    </w:p>
    <w:p w:rsidR="00974B80" w:rsidRDefault="00974B80" w:rsidP="00BD0707">
      <w:pPr>
        <w:rPr>
          <w:szCs w:val="22"/>
        </w:rPr>
      </w:pPr>
    </w:p>
    <w:p w:rsidR="00974B80" w:rsidRDefault="00974B80" w:rsidP="00BD0707">
      <w:pPr>
        <w:rPr>
          <w:szCs w:val="22"/>
        </w:rPr>
      </w:pPr>
      <w:r>
        <w:rPr>
          <w:szCs w:val="22"/>
        </w:rPr>
        <w:t>There is for the most part a one-to-one correlation between the existing rules (1.990-1.994) and the new rules (1.5000-1.5004).   We have incorp</w:t>
      </w:r>
      <w:r w:rsidR="001F7B11">
        <w:rPr>
          <w:szCs w:val="22"/>
        </w:rPr>
        <w:t xml:space="preserve">orated broadcasters into </w:t>
      </w:r>
      <w:r w:rsidR="001E2C4E">
        <w:rPr>
          <w:szCs w:val="22"/>
        </w:rPr>
        <w:t>the rules</w:t>
      </w:r>
      <w:r>
        <w:rPr>
          <w:szCs w:val="22"/>
        </w:rPr>
        <w:t xml:space="preserve"> by adding new text to certain paragraphs of the rules</w:t>
      </w:r>
      <w:r w:rsidR="001F7B11">
        <w:rPr>
          <w:szCs w:val="22"/>
        </w:rPr>
        <w:t xml:space="preserve"> (see e.g. introductory text to Section 1.5000)</w:t>
      </w:r>
      <w:r>
        <w:rPr>
          <w:szCs w:val="22"/>
        </w:rPr>
        <w:t>, by adding Notes to certain paragraphs</w:t>
      </w:r>
      <w:r w:rsidR="001F7B11">
        <w:rPr>
          <w:szCs w:val="22"/>
        </w:rPr>
        <w:t xml:space="preserve"> (see e.g. Note t</w:t>
      </w:r>
      <w:r w:rsidR="006066E8">
        <w:rPr>
          <w:szCs w:val="22"/>
        </w:rPr>
        <w:t>o paragraph (i)(1) of Section 1.5001(i)</w:t>
      </w:r>
      <w:r w:rsidR="001F7B11">
        <w:rPr>
          <w:szCs w:val="22"/>
        </w:rPr>
        <w:t>)</w:t>
      </w:r>
      <w:r>
        <w:rPr>
          <w:szCs w:val="22"/>
        </w:rPr>
        <w:t>,</w:t>
      </w:r>
      <w:r w:rsidR="001F7B11">
        <w:rPr>
          <w:szCs w:val="22"/>
        </w:rPr>
        <w:t xml:space="preserve"> and by adding new paragraphs where needed.  Specifically, </w:t>
      </w:r>
      <w:r w:rsidR="006066E8">
        <w:rPr>
          <w:szCs w:val="22"/>
        </w:rPr>
        <w:t xml:space="preserve">we have added new paragraph (e) to Section 1.5000, which sets forth </w:t>
      </w:r>
      <w:r w:rsidR="001F7B11">
        <w:rPr>
          <w:szCs w:val="22"/>
        </w:rPr>
        <w:t>the new methodology for eligible public companies – both broadcast and common carrier –and</w:t>
      </w:r>
      <w:r w:rsidR="006066E8">
        <w:rPr>
          <w:szCs w:val="22"/>
        </w:rPr>
        <w:t xml:space="preserve"> new paragraphs (f)(2)-(3) of Section 1.5004, which sets forth</w:t>
      </w:r>
      <w:r w:rsidR="001F7B11">
        <w:rPr>
          <w:szCs w:val="22"/>
        </w:rPr>
        <w:t xml:space="preserve"> new compliance provi</w:t>
      </w:r>
      <w:r w:rsidR="006066E8">
        <w:rPr>
          <w:szCs w:val="22"/>
        </w:rPr>
        <w:t>sions for such companies (as explained below)</w:t>
      </w:r>
      <w:r w:rsidR="001F7B11">
        <w:rPr>
          <w:szCs w:val="22"/>
        </w:rPr>
        <w:t>.</w:t>
      </w:r>
    </w:p>
    <w:p w:rsidR="004F6937" w:rsidRDefault="004F6937" w:rsidP="00BD0707">
      <w:pPr>
        <w:rPr>
          <w:szCs w:val="22"/>
        </w:rPr>
      </w:pPr>
    </w:p>
    <w:p w:rsidR="00F81881" w:rsidRDefault="004F6937" w:rsidP="00BD0707">
      <w:pPr>
        <w:rPr>
          <w:szCs w:val="22"/>
        </w:rPr>
      </w:pPr>
      <w:r>
        <w:rPr>
          <w:szCs w:val="22"/>
        </w:rPr>
        <w:t xml:space="preserve">The </w:t>
      </w:r>
      <w:r w:rsidR="00F81881">
        <w:rPr>
          <w:szCs w:val="22"/>
        </w:rPr>
        <w:t>rules adopted in the 2016 Fore</w:t>
      </w:r>
      <w:r w:rsidR="00B0478D">
        <w:rPr>
          <w:szCs w:val="22"/>
        </w:rPr>
        <w:t>i</w:t>
      </w:r>
      <w:r w:rsidR="00F81881">
        <w:rPr>
          <w:szCs w:val="22"/>
        </w:rPr>
        <w:t>gn Own</w:t>
      </w:r>
      <w:r w:rsidR="00B0478D">
        <w:rPr>
          <w:szCs w:val="22"/>
        </w:rPr>
        <w:t xml:space="preserve">ership Report </w:t>
      </w:r>
      <w:r w:rsidR="00F81881">
        <w:rPr>
          <w:szCs w:val="22"/>
        </w:rPr>
        <w:t>a</w:t>
      </w:r>
      <w:r w:rsidR="00B0478D">
        <w:rPr>
          <w:szCs w:val="22"/>
        </w:rPr>
        <w:t>n</w:t>
      </w:r>
      <w:r w:rsidR="00F81881">
        <w:rPr>
          <w:szCs w:val="22"/>
        </w:rPr>
        <w:t>d Order include the following broadcast-specific provisions in lieu of provisions applicable to common carrier licensees:</w:t>
      </w:r>
    </w:p>
    <w:p w:rsidR="00F81881" w:rsidRDefault="00F81881" w:rsidP="00BD0707">
      <w:pPr>
        <w:rPr>
          <w:szCs w:val="22"/>
        </w:rPr>
      </w:pPr>
    </w:p>
    <w:p w:rsidR="000E5813" w:rsidRDefault="00F81881" w:rsidP="00F81881">
      <w:pPr>
        <w:pStyle w:val="ListParagraph"/>
        <w:numPr>
          <w:ilvl w:val="0"/>
          <w:numId w:val="18"/>
        </w:numPr>
        <w:rPr>
          <w:szCs w:val="22"/>
        </w:rPr>
      </w:pPr>
      <w:r>
        <w:rPr>
          <w:szCs w:val="22"/>
        </w:rPr>
        <w:t>Broadcast licensees filing a petition for declarato</w:t>
      </w:r>
      <w:r w:rsidR="000E5813">
        <w:rPr>
          <w:szCs w:val="22"/>
        </w:rPr>
        <w:t>ry ruling (petition) to request</w:t>
      </w:r>
    </w:p>
    <w:p w:rsidR="003C3137" w:rsidRDefault="00F81881" w:rsidP="000E5813">
      <w:pPr>
        <w:pStyle w:val="ListParagraph"/>
        <w:ind w:left="840"/>
        <w:rPr>
          <w:szCs w:val="22"/>
        </w:rPr>
      </w:pPr>
      <w:r>
        <w:rPr>
          <w:szCs w:val="22"/>
        </w:rPr>
        <w:t xml:space="preserve">Commission approval of foreign ownership in excess of the 25 percent benchmark in Section 310(b)(4) will use the broadcast </w:t>
      </w:r>
      <w:r w:rsidR="00040D1C">
        <w:rPr>
          <w:szCs w:val="22"/>
        </w:rPr>
        <w:t>“</w:t>
      </w:r>
      <w:r>
        <w:rPr>
          <w:szCs w:val="22"/>
        </w:rPr>
        <w:t>attribution</w:t>
      </w:r>
      <w:r w:rsidR="00040D1C">
        <w:rPr>
          <w:szCs w:val="22"/>
        </w:rPr>
        <w:t>”</w:t>
      </w:r>
      <w:r>
        <w:rPr>
          <w:szCs w:val="22"/>
        </w:rPr>
        <w:t xml:space="preserve"> criteria to determine those U.S. and foreign </w:t>
      </w:r>
      <w:r w:rsidR="003C3137">
        <w:rPr>
          <w:szCs w:val="22"/>
        </w:rPr>
        <w:t xml:space="preserve">ownership </w:t>
      </w:r>
      <w:r>
        <w:rPr>
          <w:szCs w:val="22"/>
        </w:rPr>
        <w:t>interests that must be disclosed in the petition.</w:t>
      </w:r>
    </w:p>
    <w:p w:rsidR="003C3137" w:rsidRDefault="003C3137" w:rsidP="003C3137">
      <w:pPr>
        <w:pStyle w:val="ListParagraph"/>
        <w:numPr>
          <w:ilvl w:val="1"/>
          <w:numId w:val="18"/>
        </w:numPr>
        <w:rPr>
          <w:szCs w:val="22"/>
        </w:rPr>
      </w:pPr>
      <w:r>
        <w:rPr>
          <w:szCs w:val="22"/>
        </w:rPr>
        <w:t>The disclosure requirement is designed to ensure the Commission has sufficient information to understand the licensee’s ownership structure and to verify the identity and ultimate control of the foreign investor for which the petitioner seeks specific approval.</w:t>
      </w:r>
    </w:p>
    <w:p w:rsidR="003C3137" w:rsidRDefault="003C3137" w:rsidP="003C3137">
      <w:pPr>
        <w:pStyle w:val="ListParagraph"/>
        <w:numPr>
          <w:ilvl w:val="1"/>
          <w:numId w:val="18"/>
        </w:numPr>
        <w:rPr>
          <w:szCs w:val="22"/>
        </w:rPr>
      </w:pPr>
      <w:r>
        <w:rPr>
          <w:szCs w:val="22"/>
        </w:rPr>
        <w:t>Broadcasters are familiar with the attribution rule</w:t>
      </w:r>
      <w:r w:rsidR="00040D1C">
        <w:rPr>
          <w:szCs w:val="22"/>
        </w:rPr>
        <w:t xml:space="preserve">s, as they are used in ensuring compliance with </w:t>
      </w:r>
      <w:r>
        <w:rPr>
          <w:szCs w:val="22"/>
        </w:rPr>
        <w:t>the Commission’s rules on multiple ownership</w:t>
      </w:r>
      <w:r w:rsidR="00040D1C">
        <w:rPr>
          <w:szCs w:val="22"/>
        </w:rPr>
        <w:t xml:space="preserve">; broadcasters have structured their organizations in reliance on the attribution standards; and applying the common carrier requirement to disclose ownership interests of 10 percent or more would result in undue hardship on broadcasters without producing any discernable public interest benefits. </w:t>
      </w:r>
      <w:r>
        <w:rPr>
          <w:szCs w:val="22"/>
        </w:rPr>
        <w:t xml:space="preserve">  </w:t>
      </w:r>
      <w:r w:rsidR="00F81881">
        <w:rPr>
          <w:szCs w:val="22"/>
        </w:rPr>
        <w:t xml:space="preserve">  </w:t>
      </w:r>
    </w:p>
    <w:p w:rsidR="00F81881" w:rsidRDefault="00F81881" w:rsidP="00F81881">
      <w:pPr>
        <w:rPr>
          <w:szCs w:val="22"/>
        </w:rPr>
      </w:pPr>
    </w:p>
    <w:p w:rsidR="00395121" w:rsidRDefault="00F81881" w:rsidP="00395121">
      <w:pPr>
        <w:pStyle w:val="ListParagraph"/>
        <w:numPr>
          <w:ilvl w:val="0"/>
          <w:numId w:val="18"/>
        </w:numPr>
        <w:rPr>
          <w:szCs w:val="22"/>
        </w:rPr>
      </w:pPr>
      <w:r>
        <w:rPr>
          <w:szCs w:val="22"/>
        </w:rPr>
        <w:t xml:space="preserve">Broadcast licensees will use the broadcast </w:t>
      </w:r>
      <w:r w:rsidR="00395121">
        <w:rPr>
          <w:szCs w:val="22"/>
        </w:rPr>
        <w:t>“</w:t>
      </w:r>
      <w:r>
        <w:rPr>
          <w:szCs w:val="22"/>
        </w:rPr>
        <w:t>insulation criteria</w:t>
      </w:r>
      <w:r w:rsidR="00395121">
        <w:rPr>
          <w:szCs w:val="22"/>
        </w:rPr>
        <w:t>”</w:t>
      </w:r>
      <w:r>
        <w:rPr>
          <w:szCs w:val="22"/>
        </w:rPr>
        <w:t xml:space="preserve"> </w:t>
      </w:r>
      <w:r w:rsidR="00395121">
        <w:rPr>
          <w:szCs w:val="22"/>
        </w:rPr>
        <w:t xml:space="preserve">set forth in the broadcast attribution rules </w:t>
      </w:r>
      <w:r>
        <w:rPr>
          <w:szCs w:val="22"/>
        </w:rPr>
        <w:t>in determining whether the broadcast</w:t>
      </w:r>
      <w:r w:rsidR="00156F4F">
        <w:rPr>
          <w:szCs w:val="22"/>
        </w:rPr>
        <w:t>er must include in its</w:t>
      </w:r>
      <w:r>
        <w:rPr>
          <w:szCs w:val="22"/>
        </w:rPr>
        <w:t xml:space="preserve"> petition a request for “specific approval” of a particular foreign investor</w:t>
      </w:r>
      <w:r w:rsidR="00040D1C">
        <w:rPr>
          <w:szCs w:val="22"/>
        </w:rPr>
        <w:t xml:space="preserve"> because the investor holds, or would hold, directly and/or indirectly, more than 5 percent (or, in the case of certain passive investors, more than</w:t>
      </w:r>
      <w:r w:rsidR="00395121">
        <w:rPr>
          <w:szCs w:val="22"/>
        </w:rPr>
        <w:t xml:space="preserve"> </w:t>
      </w:r>
      <w:r w:rsidR="00040D1C">
        <w:rPr>
          <w:szCs w:val="22"/>
        </w:rPr>
        <w:t xml:space="preserve">10 percent) </w:t>
      </w:r>
      <w:r w:rsidR="00395121">
        <w:rPr>
          <w:szCs w:val="22"/>
        </w:rPr>
        <w:t xml:space="preserve">of the total outstanding capital stock (equity) and/or voting stock (or a controlling share) of </w:t>
      </w:r>
      <w:r w:rsidR="00040D1C">
        <w:rPr>
          <w:szCs w:val="22"/>
        </w:rPr>
        <w:t>the licensee’s controlling U.S.-organized parent company</w:t>
      </w:r>
      <w:r w:rsidR="00245443">
        <w:rPr>
          <w:szCs w:val="22"/>
        </w:rPr>
        <w:t>.</w:t>
      </w:r>
      <w:r w:rsidR="00245443" w:rsidRPr="00395121">
        <w:rPr>
          <w:szCs w:val="22"/>
        </w:rPr>
        <w:t xml:space="preserve"> </w:t>
      </w:r>
    </w:p>
    <w:p w:rsidR="00040D1C" w:rsidRPr="00395121" w:rsidRDefault="00395121" w:rsidP="00395121">
      <w:pPr>
        <w:pStyle w:val="ListParagraph"/>
        <w:numPr>
          <w:ilvl w:val="1"/>
          <w:numId w:val="18"/>
        </w:numPr>
        <w:rPr>
          <w:szCs w:val="22"/>
        </w:rPr>
      </w:pPr>
      <w:r>
        <w:rPr>
          <w:szCs w:val="22"/>
        </w:rPr>
        <w:t>Broadcasters are familiar with the broadcast insulation criteria</w:t>
      </w:r>
      <w:r w:rsidR="00472AE9">
        <w:rPr>
          <w:szCs w:val="22"/>
        </w:rPr>
        <w:t>; many have relied upon and executed their organizational documents based on these insulation criteria; and there is no corresponding public interest benefit to requiring broadcasters to use the common carrier insulation standards in the foreign ownership context.</w:t>
      </w:r>
      <w:r>
        <w:rPr>
          <w:szCs w:val="22"/>
        </w:rPr>
        <w:t xml:space="preserve"> </w:t>
      </w:r>
      <w:r w:rsidR="00245443" w:rsidRPr="00395121">
        <w:rPr>
          <w:szCs w:val="22"/>
        </w:rPr>
        <w:t xml:space="preserve"> </w:t>
      </w:r>
    </w:p>
    <w:p w:rsidR="00992158" w:rsidRPr="00F81881" w:rsidRDefault="00245443" w:rsidP="00040D1C">
      <w:pPr>
        <w:pStyle w:val="ListParagraph"/>
        <w:numPr>
          <w:ilvl w:val="1"/>
          <w:numId w:val="18"/>
        </w:numPr>
        <w:rPr>
          <w:szCs w:val="22"/>
        </w:rPr>
      </w:pPr>
      <w:r>
        <w:rPr>
          <w:szCs w:val="22"/>
        </w:rPr>
        <w:t>The insulation criteria for common carrier licensees differ somewhat from the broadcast insulation criteria and will continue to apply to common carrier licensees that have, or propose, foreign ownership in excess of the 25 percent benchmark in Section 310(b)(4)</w:t>
      </w:r>
      <w:r w:rsidR="00040D1C">
        <w:rPr>
          <w:szCs w:val="22"/>
        </w:rPr>
        <w:t>.</w:t>
      </w:r>
    </w:p>
    <w:p w:rsidR="00992158" w:rsidRDefault="00992158" w:rsidP="00992158">
      <w:pPr>
        <w:rPr>
          <w:szCs w:val="22"/>
        </w:rPr>
      </w:pPr>
    </w:p>
    <w:p w:rsidR="00905376" w:rsidRDefault="006066E8" w:rsidP="00992158">
      <w:r>
        <w:t>The Commission does not anticipate that these broadcast-specific provisions will impact the time per response for broadcast companies filing a Section 310(b)(4) petition</w:t>
      </w:r>
      <w:r w:rsidR="00905376">
        <w:t xml:space="preserve">.  Thus, we estimate the same time per response for broadcast as for common carrier petitions (see infra Answer to Question 12). </w:t>
      </w:r>
      <w:r>
        <w:t xml:space="preserve"> </w:t>
      </w:r>
    </w:p>
    <w:p w:rsidR="00905376" w:rsidRDefault="00905376" w:rsidP="00992158"/>
    <w:p w:rsidR="00992158" w:rsidRDefault="00733AA3" w:rsidP="00992158">
      <w:pPr>
        <w:rPr>
          <w:snapToGrid w:val="0"/>
          <w:kern w:val="28"/>
        </w:rPr>
      </w:pPr>
      <w:r>
        <w:t xml:space="preserve">The </w:t>
      </w:r>
      <w:r w:rsidRPr="00733AA3">
        <w:t xml:space="preserve">Commission believes that </w:t>
      </w:r>
      <w:r>
        <w:t xml:space="preserve">incorporating broadcast licensees into the </w:t>
      </w:r>
      <w:r w:rsidR="004F6937">
        <w:t xml:space="preserve">foreign ownership filing and review process applicable to common carrier licensees </w:t>
      </w:r>
      <w:r w:rsidRPr="00733AA3">
        <w:rPr>
          <w:snapToGrid w:val="0"/>
          <w:kern w:val="28"/>
        </w:rPr>
        <w:t xml:space="preserve">will facilitate investment from new sources of capital at a time of growing need for investment in this important sector of our nation’s economy, while continuing to satisfy the requirements of Section 310 </w:t>
      </w:r>
      <w:r w:rsidR="004F6937">
        <w:rPr>
          <w:snapToGrid w:val="0"/>
          <w:kern w:val="28"/>
        </w:rPr>
        <w:t xml:space="preserve">of the Act </w:t>
      </w:r>
      <w:r w:rsidRPr="00733AA3">
        <w:rPr>
          <w:snapToGrid w:val="0"/>
          <w:kern w:val="28"/>
        </w:rPr>
        <w:t>and the policies reflected in th</w:t>
      </w:r>
      <w:r w:rsidR="004F6937">
        <w:rPr>
          <w:snapToGrid w:val="0"/>
          <w:kern w:val="28"/>
        </w:rPr>
        <w:t>e 2016</w:t>
      </w:r>
      <w:r w:rsidRPr="00733AA3">
        <w:rPr>
          <w:snapToGrid w:val="0"/>
          <w:kern w:val="28"/>
        </w:rPr>
        <w:t xml:space="preserve"> Report and Order.  </w:t>
      </w:r>
      <w:r w:rsidR="004F6937">
        <w:rPr>
          <w:snapToGrid w:val="0"/>
          <w:kern w:val="28"/>
        </w:rPr>
        <w:t xml:space="preserve">The Commission also finds </w:t>
      </w:r>
      <w:r w:rsidRPr="00733AA3">
        <w:rPr>
          <w:snapToGrid w:val="0"/>
          <w:kern w:val="28"/>
        </w:rPr>
        <w:t>that a</w:t>
      </w:r>
      <w:r w:rsidRPr="00733AA3" w:rsidDel="00662DC1">
        <w:rPr>
          <w:snapToGrid w:val="0"/>
          <w:kern w:val="28"/>
        </w:rPr>
        <w:t xml:space="preserve">dopting a standardized filing and review process for broadcast licensees’ requests to exceed the </w:t>
      </w:r>
      <w:r w:rsidRPr="00733AA3">
        <w:rPr>
          <w:snapToGrid w:val="0"/>
          <w:kern w:val="28"/>
        </w:rPr>
        <w:t>25 percent foreign ownership benchmark in S</w:t>
      </w:r>
      <w:r w:rsidRPr="00733AA3" w:rsidDel="00662DC1">
        <w:rPr>
          <w:snapToGrid w:val="0"/>
          <w:kern w:val="28"/>
        </w:rPr>
        <w:t xml:space="preserve">ection 310(b)(4), as </w:t>
      </w:r>
      <w:r w:rsidR="004F6937">
        <w:rPr>
          <w:snapToGrid w:val="0"/>
          <w:kern w:val="28"/>
        </w:rPr>
        <w:t>the Commission has</w:t>
      </w:r>
      <w:r w:rsidRPr="00733AA3">
        <w:rPr>
          <w:snapToGrid w:val="0"/>
          <w:kern w:val="28"/>
        </w:rPr>
        <w:t xml:space="preserve"> done for common carrier</w:t>
      </w:r>
      <w:r w:rsidRPr="00733AA3" w:rsidDel="00662DC1">
        <w:rPr>
          <w:snapToGrid w:val="0"/>
          <w:kern w:val="28"/>
        </w:rPr>
        <w:t xml:space="preserve"> licensees, will provide the broadcast sector with greater transparency</w:t>
      </w:r>
      <w:r w:rsidRPr="00733AA3">
        <w:rPr>
          <w:snapToGrid w:val="0"/>
          <w:kern w:val="28"/>
        </w:rPr>
        <w:t xml:space="preserve"> and </w:t>
      </w:r>
      <w:r w:rsidRPr="00733AA3" w:rsidDel="00662DC1">
        <w:rPr>
          <w:snapToGrid w:val="0"/>
          <w:kern w:val="28"/>
        </w:rPr>
        <w:t>more predictability</w:t>
      </w:r>
      <w:r w:rsidRPr="00733AA3">
        <w:rPr>
          <w:snapToGrid w:val="0"/>
          <w:kern w:val="28"/>
        </w:rPr>
        <w:t>,</w:t>
      </w:r>
      <w:r w:rsidRPr="00733AA3" w:rsidDel="00662DC1">
        <w:rPr>
          <w:snapToGrid w:val="0"/>
          <w:kern w:val="28"/>
        </w:rPr>
        <w:t xml:space="preserve"> and reduce regulatory burdens and costs.  As is the case with common carrier licensees, </w:t>
      </w:r>
      <w:r w:rsidRPr="00733AA3">
        <w:rPr>
          <w:snapToGrid w:val="0"/>
          <w:kern w:val="28"/>
        </w:rPr>
        <w:t xml:space="preserve">this standardized filing and review process </w:t>
      </w:r>
      <w:r w:rsidRPr="00733AA3" w:rsidDel="00662DC1">
        <w:rPr>
          <w:snapToGrid w:val="0"/>
          <w:kern w:val="28"/>
        </w:rPr>
        <w:t xml:space="preserve">will </w:t>
      </w:r>
      <w:r w:rsidRPr="00733AA3">
        <w:rPr>
          <w:snapToGrid w:val="0"/>
          <w:kern w:val="28"/>
        </w:rPr>
        <w:t>provide a clearer path for fo</w:t>
      </w:r>
      <w:r w:rsidRPr="00733AA3" w:rsidDel="00662DC1">
        <w:rPr>
          <w:snapToGrid w:val="0"/>
          <w:kern w:val="28"/>
        </w:rPr>
        <w:t xml:space="preserve">reign investment in broadcast licensees </w:t>
      </w:r>
      <w:r w:rsidRPr="00733AA3">
        <w:rPr>
          <w:snapToGrid w:val="0"/>
          <w:kern w:val="28"/>
        </w:rPr>
        <w:t xml:space="preserve">that is more consistent with the U.S. domestic investment process, </w:t>
      </w:r>
      <w:r w:rsidRPr="00733AA3" w:rsidDel="00662DC1">
        <w:rPr>
          <w:snapToGrid w:val="0"/>
          <w:kern w:val="28"/>
        </w:rPr>
        <w:t>while continuing to protect important interests related to national security, law enforcement, foreign policy</w:t>
      </w:r>
      <w:r w:rsidRPr="00733AA3">
        <w:rPr>
          <w:snapToGrid w:val="0"/>
          <w:kern w:val="28"/>
        </w:rPr>
        <w:t>,</w:t>
      </w:r>
      <w:r w:rsidRPr="00733AA3" w:rsidDel="00662DC1">
        <w:rPr>
          <w:snapToGrid w:val="0"/>
          <w:kern w:val="28"/>
        </w:rPr>
        <w:t xml:space="preserve"> trade policy</w:t>
      </w:r>
      <w:r w:rsidRPr="00733AA3">
        <w:rPr>
          <w:snapToGrid w:val="0"/>
          <w:kern w:val="28"/>
        </w:rPr>
        <w:t>, and other public policy goals</w:t>
      </w:r>
      <w:r w:rsidR="004F6937">
        <w:rPr>
          <w:snapToGrid w:val="0"/>
          <w:kern w:val="28"/>
        </w:rPr>
        <w:t xml:space="preserve">.  </w:t>
      </w:r>
    </w:p>
    <w:p w:rsidR="004F6937" w:rsidRDefault="004F6937" w:rsidP="00992158">
      <w:pPr>
        <w:rPr>
          <w:szCs w:val="22"/>
        </w:rPr>
      </w:pPr>
    </w:p>
    <w:p w:rsidR="00CB56AE" w:rsidRDefault="00743C66" w:rsidP="00743C66">
      <w:pPr>
        <w:rPr>
          <w:szCs w:val="22"/>
        </w:rPr>
      </w:pPr>
      <w:r>
        <w:rPr>
          <w:szCs w:val="22"/>
        </w:rPr>
        <w:t xml:space="preserve">In addition to these </w:t>
      </w:r>
      <w:r w:rsidR="008C47D5">
        <w:rPr>
          <w:szCs w:val="22"/>
        </w:rPr>
        <w:t xml:space="preserve">tailored </w:t>
      </w:r>
      <w:r>
        <w:rPr>
          <w:szCs w:val="22"/>
        </w:rPr>
        <w:t>changes</w:t>
      </w:r>
      <w:r w:rsidR="00F64BFF">
        <w:rPr>
          <w:szCs w:val="22"/>
        </w:rPr>
        <w:t xml:space="preserve"> to incorporate broadcast licensees into the existing </w:t>
      </w:r>
      <w:r w:rsidR="00D0359E">
        <w:rPr>
          <w:szCs w:val="22"/>
        </w:rPr>
        <w:t xml:space="preserve">foreign ownership </w:t>
      </w:r>
      <w:r w:rsidR="00B0478D">
        <w:rPr>
          <w:szCs w:val="22"/>
        </w:rPr>
        <w:t xml:space="preserve">rules </w:t>
      </w:r>
      <w:r w:rsidR="00D0359E">
        <w:rPr>
          <w:szCs w:val="22"/>
        </w:rPr>
        <w:t xml:space="preserve">applicable to </w:t>
      </w:r>
      <w:r w:rsidR="00B0478D">
        <w:rPr>
          <w:szCs w:val="22"/>
        </w:rPr>
        <w:t>common carrier</w:t>
      </w:r>
      <w:r w:rsidR="00D0359E">
        <w:rPr>
          <w:szCs w:val="22"/>
        </w:rPr>
        <w:t xml:space="preserve"> licensees</w:t>
      </w:r>
      <w:r w:rsidR="00B0478D">
        <w:rPr>
          <w:szCs w:val="22"/>
        </w:rPr>
        <w:t xml:space="preserve"> </w:t>
      </w:r>
      <w:r w:rsidR="00D0359E">
        <w:rPr>
          <w:szCs w:val="22"/>
        </w:rPr>
        <w:t>under Section 310(b)(4)</w:t>
      </w:r>
      <w:r w:rsidR="00742C9B">
        <w:rPr>
          <w:szCs w:val="22"/>
        </w:rPr>
        <w:t>,</w:t>
      </w:r>
      <w:r w:rsidR="00D0359E">
        <w:rPr>
          <w:szCs w:val="22"/>
        </w:rPr>
        <w:t xml:space="preserve"> </w:t>
      </w:r>
      <w:r>
        <w:rPr>
          <w:szCs w:val="22"/>
        </w:rPr>
        <w:t xml:space="preserve">the 2016 Foreign Ownership Report and Order </w:t>
      </w:r>
      <w:r w:rsidR="00FB2706">
        <w:rPr>
          <w:szCs w:val="22"/>
        </w:rPr>
        <w:t xml:space="preserve">clarifies the Commission’s foreign ownership compliance procedures specifically </w:t>
      </w:r>
      <w:r w:rsidR="00742C9B">
        <w:rPr>
          <w:szCs w:val="22"/>
        </w:rPr>
        <w:t xml:space="preserve">to </w:t>
      </w:r>
      <w:r w:rsidR="00F64BFF">
        <w:rPr>
          <w:szCs w:val="22"/>
        </w:rPr>
        <w:t xml:space="preserve">allow a broadcast or common carrier licensee to file a petition for declaratory ruling to remedy the licensee’s inadvertent non-compliance with the </w:t>
      </w:r>
      <w:r w:rsidR="00742C9B">
        <w:rPr>
          <w:szCs w:val="22"/>
        </w:rPr>
        <w:t xml:space="preserve">statutory </w:t>
      </w:r>
      <w:r w:rsidR="00F64BFF">
        <w:rPr>
          <w:szCs w:val="22"/>
        </w:rPr>
        <w:t xml:space="preserve">foreign ownership </w:t>
      </w:r>
      <w:r w:rsidR="00FB2706">
        <w:rPr>
          <w:szCs w:val="22"/>
        </w:rPr>
        <w:t xml:space="preserve">limits </w:t>
      </w:r>
      <w:r w:rsidR="00F64BFF">
        <w:rPr>
          <w:szCs w:val="22"/>
        </w:rPr>
        <w:t xml:space="preserve">or the terms and conditions of the licensee’s existing </w:t>
      </w:r>
      <w:r w:rsidR="00FB2706">
        <w:rPr>
          <w:szCs w:val="22"/>
        </w:rPr>
        <w:t xml:space="preserve">foreign ownership </w:t>
      </w:r>
      <w:r w:rsidR="00F64BFF">
        <w:rPr>
          <w:szCs w:val="22"/>
        </w:rPr>
        <w:t>ruling with reasonable assurance that the Com</w:t>
      </w:r>
      <w:r w:rsidR="00B0478D">
        <w:rPr>
          <w:szCs w:val="22"/>
        </w:rPr>
        <w:t>m</w:t>
      </w:r>
      <w:r w:rsidR="00F64BFF">
        <w:rPr>
          <w:szCs w:val="22"/>
        </w:rPr>
        <w:t xml:space="preserve">ission will not take enforcement action.  This new provision </w:t>
      </w:r>
      <w:r w:rsidR="00FB2706">
        <w:rPr>
          <w:szCs w:val="22"/>
        </w:rPr>
        <w:t xml:space="preserve">(to be codified in Section 1.5004(f)(3)-(4)) </w:t>
      </w:r>
      <w:r w:rsidR="00F64BFF">
        <w:rPr>
          <w:szCs w:val="22"/>
        </w:rPr>
        <w:t xml:space="preserve">formalizes in the limited context of U.S. </w:t>
      </w:r>
      <w:r w:rsidR="008C47D5">
        <w:rPr>
          <w:szCs w:val="22"/>
        </w:rPr>
        <w:t xml:space="preserve">public </w:t>
      </w:r>
      <w:r w:rsidR="00F64BFF">
        <w:rPr>
          <w:szCs w:val="22"/>
        </w:rPr>
        <w:t xml:space="preserve">company compliance with Section 310(b) what has been the equitable practice of the Commission in recognizing a licensee’s </w:t>
      </w:r>
      <w:r w:rsidR="005D02AE">
        <w:rPr>
          <w:szCs w:val="22"/>
        </w:rPr>
        <w:t>g</w:t>
      </w:r>
      <w:r w:rsidR="00F64BFF">
        <w:rPr>
          <w:szCs w:val="22"/>
        </w:rPr>
        <w:t xml:space="preserve">ood faith efforts to comply with the Section 310(b) statutory requirements, the terms and conditions of a licensee’s </w:t>
      </w:r>
      <w:r w:rsidR="00FB2706">
        <w:rPr>
          <w:szCs w:val="22"/>
        </w:rPr>
        <w:t xml:space="preserve">foreign ownership </w:t>
      </w:r>
      <w:r w:rsidR="00F64BFF">
        <w:rPr>
          <w:szCs w:val="22"/>
        </w:rPr>
        <w:t>ruling, and the Commission’s rules.</w:t>
      </w:r>
    </w:p>
    <w:p w:rsidR="00CB56AE" w:rsidRDefault="00CB56AE" w:rsidP="00743C66">
      <w:pPr>
        <w:rPr>
          <w:szCs w:val="22"/>
        </w:rPr>
      </w:pPr>
    </w:p>
    <w:p w:rsidR="00743C66" w:rsidRDefault="00CB56AE" w:rsidP="00743C66">
      <w:pPr>
        <w:rPr>
          <w:szCs w:val="22"/>
        </w:rPr>
      </w:pPr>
      <w:r>
        <w:rPr>
          <w:szCs w:val="22"/>
        </w:rPr>
        <w:t xml:space="preserve">Finally, as noted above, the 2016 Foreign Ownership Report and Order </w:t>
      </w:r>
      <w:r w:rsidR="008C47D5">
        <w:rPr>
          <w:szCs w:val="22"/>
        </w:rPr>
        <w:t xml:space="preserve">codifies </w:t>
      </w:r>
      <w:r w:rsidRPr="00465B9E">
        <w:rPr>
          <w:szCs w:val="22"/>
        </w:rPr>
        <w:t xml:space="preserve">the methodology </w:t>
      </w:r>
      <w:r w:rsidR="008C47D5">
        <w:rPr>
          <w:szCs w:val="22"/>
        </w:rPr>
        <w:t xml:space="preserve">to be </w:t>
      </w:r>
      <w:r w:rsidRPr="00465B9E">
        <w:rPr>
          <w:szCs w:val="22"/>
        </w:rPr>
        <w:t xml:space="preserve">used by both common carrier and broadcast licensees that are, or are controlled by, U.S. publicly traded companies to </w:t>
      </w:r>
      <w:r w:rsidR="008C47D5">
        <w:rPr>
          <w:szCs w:val="22"/>
        </w:rPr>
        <w:t xml:space="preserve">monitor the licensee’s </w:t>
      </w:r>
      <w:r w:rsidRPr="00465B9E">
        <w:rPr>
          <w:szCs w:val="22"/>
        </w:rPr>
        <w:t>compliance with the foreign ownership limits in Sections 310(b)(3) and 310(b)(4) of the Act, respectively</w:t>
      </w:r>
      <w:r w:rsidR="008C47D5">
        <w:rPr>
          <w:szCs w:val="22"/>
        </w:rPr>
        <w:t>, and with the terms and conditions of a licensee’s foreign ownership ruling</w:t>
      </w:r>
      <w:r>
        <w:rPr>
          <w:szCs w:val="22"/>
        </w:rPr>
        <w:t>.</w:t>
      </w:r>
      <w:r w:rsidR="008C47D5">
        <w:rPr>
          <w:szCs w:val="22"/>
        </w:rPr>
        <w:t xml:space="preserve">  Th</w:t>
      </w:r>
      <w:r w:rsidR="00E71F43">
        <w:rPr>
          <w:szCs w:val="22"/>
        </w:rPr>
        <w:t>e</w:t>
      </w:r>
      <w:r w:rsidR="008C47D5">
        <w:rPr>
          <w:szCs w:val="22"/>
        </w:rPr>
        <w:t xml:space="preserve"> </w:t>
      </w:r>
      <w:r w:rsidR="00E71F43">
        <w:rPr>
          <w:szCs w:val="22"/>
        </w:rPr>
        <w:t xml:space="preserve">methodology rule </w:t>
      </w:r>
      <w:r w:rsidR="00742C9B">
        <w:rPr>
          <w:szCs w:val="22"/>
        </w:rPr>
        <w:t xml:space="preserve">would </w:t>
      </w:r>
      <w:r w:rsidR="008C47D5">
        <w:rPr>
          <w:szCs w:val="22"/>
        </w:rPr>
        <w:t>be codified in Section 1.5000(e)</w:t>
      </w:r>
      <w:r w:rsidR="00E71F43">
        <w:rPr>
          <w:szCs w:val="22"/>
        </w:rPr>
        <w:t xml:space="preserve"> of the Commission’s rules</w:t>
      </w:r>
      <w:r w:rsidR="008C47D5">
        <w:rPr>
          <w:szCs w:val="22"/>
        </w:rPr>
        <w:t xml:space="preserve">.    </w:t>
      </w:r>
      <w:r>
        <w:rPr>
          <w:szCs w:val="22"/>
        </w:rPr>
        <w:t xml:space="preserve"> </w:t>
      </w:r>
      <w:r w:rsidR="00FB2706">
        <w:rPr>
          <w:szCs w:val="22"/>
        </w:rPr>
        <w:t xml:space="preserve">  </w:t>
      </w:r>
    </w:p>
    <w:p w:rsidR="00743C66" w:rsidRDefault="00743C66" w:rsidP="00743C66">
      <w:pPr>
        <w:rPr>
          <w:szCs w:val="22"/>
        </w:rPr>
      </w:pPr>
    </w:p>
    <w:p w:rsidR="00992158" w:rsidRDefault="00FB2706" w:rsidP="00093A13">
      <w:r>
        <w:rPr>
          <w:szCs w:val="22"/>
        </w:rPr>
        <w:t xml:space="preserve">As </w:t>
      </w:r>
      <w:r w:rsidR="008B1F74">
        <w:rPr>
          <w:szCs w:val="22"/>
        </w:rPr>
        <w:t xml:space="preserve">previously </w:t>
      </w:r>
      <w:r>
        <w:rPr>
          <w:szCs w:val="22"/>
        </w:rPr>
        <w:t xml:space="preserve">noted in the </w:t>
      </w:r>
      <w:r w:rsidR="008B1F74">
        <w:rPr>
          <w:szCs w:val="22"/>
        </w:rPr>
        <w:t>September 2015 supporting statement requesting a three-year extension,</w:t>
      </w:r>
      <w:r w:rsidR="008B1F74">
        <w:t xml:space="preserve"> this information collection</w:t>
      </w:r>
      <w:r w:rsidR="00992158">
        <w:t xml:space="preserve"> </w:t>
      </w:r>
      <w:r w:rsidR="008B1F74">
        <w:t xml:space="preserve">does </w:t>
      </w:r>
      <w:r w:rsidR="00992158">
        <w:t xml:space="preserve">not replace the information collection for </w:t>
      </w:r>
      <w:r w:rsidR="008B1F74">
        <w:t>S</w:t>
      </w:r>
      <w:r w:rsidR="00992158">
        <w:t>ection 310(b) of the Act</w:t>
      </w:r>
      <w:r w:rsidR="008673C3">
        <w:t xml:space="preserve"> </w:t>
      </w:r>
      <w:r w:rsidR="008B1F74">
        <w:t xml:space="preserve">under </w:t>
      </w:r>
      <w:r w:rsidR="008673C3">
        <w:t>OMB Control Number 3060-0686</w:t>
      </w:r>
      <w:r w:rsidR="00992158">
        <w:t xml:space="preserve">.  Licensees that received foreign ownership rulings prior to the </w:t>
      </w:r>
      <w:r w:rsidR="008B1F74">
        <w:t xml:space="preserve">August 9, 2013, </w:t>
      </w:r>
      <w:r w:rsidR="00992158">
        <w:t xml:space="preserve">effective date of the rules </w:t>
      </w:r>
      <w:r w:rsidR="008B1F74">
        <w:t xml:space="preserve">adopted in the Second Report and Order </w:t>
      </w:r>
      <w:r w:rsidR="00992158">
        <w:t>will continue to be subject to the Commission’s foreign ownership policies and procedures within the parameters of their rulings, until they seek and obtain a new ruling</w:t>
      </w:r>
      <w:r w:rsidR="008B1F74">
        <w:t>.</w:t>
      </w:r>
      <w:r w:rsidR="00992158">
        <w:t xml:space="preserve">  The Commission determined in the Second Report and Order that it would permit such licensees to file a new petition for declaratory ruling under the rules</w:t>
      </w:r>
      <w:r w:rsidR="008B1F74">
        <w:t xml:space="preserve"> adopted in such Order, </w:t>
      </w:r>
      <w:r w:rsidR="00992158">
        <w:t>but would not require them to do so.</w:t>
      </w:r>
      <w:r w:rsidR="008673C3">
        <w:t xml:space="preserve">  The burdens associated with </w:t>
      </w:r>
      <w:r w:rsidR="00E7741C">
        <w:t xml:space="preserve">new petitions filed by licensees that received a ruling prior to the </w:t>
      </w:r>
      <w:r w:rsidR="008B1F74">
        <w:t xml:space="preserve">August 9, 2013, </w:t>
      </w:r>
      <w:r w:rsidR="00E7741C">
        <w:t xml:space="preserve">effective date of the </w:t>
      </w:r>
      <w:r w:rsidR="008B1F74">
        <w:t xml:space="preserve">2013 </w:t>
      </w:r>
      <w:r w:rsidR="00E7741C">
        <w:t>rules were included in our previous OMB submission</w:t>
      </w:r>
      <w:r w:rsidR="008B1F74">
        <w:t>s for Control Number 3060-1163 and are incorporated herein (</w:t>
      </w:r>
      <w:r w:rsidR="00E71F43">
        <w:t xml:space="preserve">updated </w:t>
      </w:r>
      <w:r w:rsidR="008B1F74">
        <w:t>to reflect an estimated reduction in the number of such filings)</w:t>
      </w:r>
      <w:r w:rsidR="00E7741C">
        <w:t>.</w:t>
      </w:r>
    </w:p>
    <w:p w:rsidR="00FB2706" w:rsidRDefault="00FB2706" w:rsidP="00093A13"/>
    <w:p w:rsidR="000E5813" w:rsidRDefault="000E5813" w:rsidP="00093A13"/>
    <w:p w:rsidR="000E5813" w:rsidRDefault="000E5813" w:rsidP="00093A13"/>
    <w:p w:rsidR="000E5813" w:rsidRDefault="000E5813" w:rsidP="00093A13"/>
    <w:p w:rsidR="000E5813" w:rsidRDefault="000E5813" w:rsidP="00093A13"/>
    <w:p w:rsidR="00992158" w:rsidRDefault="00992158" w:rsidP="00992158">
      <w:r>
        <w:t xml:space="preserve">The </w:t>
      </w:r>
      <w:r w:rsidR="000E5813">
        <w:t xml:space="preserve">statutory authority </w:t>
      </w:r>
      <w:r>
        <w:t xml:space="preserve">for this information collection </w:t>
      </w:r>
      <w:r w:rsidR="000E5813">
        <w:t xml:space="preserve">is contained </w:t>
      </w:r>
      <w:r>
        <w:t xml:space="preserve">under </w:t>
      </w:r>
      <w:r>
        <w:rPr>
          <w:szCs w:val="22"/>
        </w:rPr>
        <w:t>Sections 1, 2, 4(i), 4(j), 10, 303(r), 309, 310 and 403 of the Communications Act of 1934, as amended, 47 U.S.C. §§ 151, 152, 154(i), 154(j), 160, 303(r), 309, 310, 403.</w:t>
      </w:r>
    </w:p>
    <w:p w:rsidR="00992158" w:rsidRDefault="00992158" w:rsidP="00992158">
      <w:pPr>
        <w:rPr>
          <w:szCs w:val="22"/>
        </w:rPr>
      </w:pPr>
    </w:p>
    <w:p w:rsidR="00992158" w:rsidRDefault="00992158" w:rsidP="00992158">
      <w:pPr>
        <w:rPr>
          <w:szCs w:val="22"/>
        </w:rPr>
      </w:pPr>
      <w:r w:rsidRPr="008517E0">
        <w:rPr>
          <w:szCs w:val="22"/>
        </w:rPr>
        <w:t xml:space="preserve">This information collection </w:t>
      </w:r>
      <w:r>
        <w:rPr>
          <w:szCs w:val="22"/>
        </w:rPr>
        <w:t xml:space="preserve">does not raise any issues </w:t>
      </w:r>
      <w:r w:rsidRPr="008517E0">
        <w:rPr>
          <w:szCs w:val="22"/>
        </w:rPr>
        <w:t>under the Privacy Act.</w:t>
      </w:r>
    </w:p>
    <w:p w:rsidR="00742C9B" w:rsidRPr="008517E0" w:rsidRDefault="00742C9B" w:rsidP="00992158">
      <w:pPr>
        <w:rPr>
          <w:szCs w:val="22"/>
        </w:rPr>
      </w:pPr>
    </w:p>
    <w:p w:rsidR="00992158" w:rsidRDefault="00992158" w:rsidP="00992158">
      <w:pPr>
        <w:rPr>
          <w:szCs w:val="22"/>
        </w:rPr>
      </w:pPr>
      <w:r w:rsidRPr="008517E0">
        <w:rPr>
          <w:szCs w:val="22"/>
        </w:rPr>
        <w:t xml:space="preserve">2.  </w:t>
      </w:r>
      <w:r>
        <w:rPr>
          <w:szCs w:val="22"/>
        </w:rPr>
        <w:t>Section 310(b)(4) of the Act requires that t</w:t>
      </w:r>
      <w:r w:rsidRPr="008517E0">
        <w:rPr>
          <w:szCs w:val="22"/>
        </w:rPr>
        <w:t>he Commission</w:t>
      </w:r>
      <w:r>
        <w:rPr>
          <w:szCs w:val="22"/>
        </w:rPr>
        <w:t xml:space="preserve"> pass upon the propriety of foreign ownership of U.S. parent companies that control common carrier and aeronautical radio licensees before such ownership exceeds 25 percent.  The Commission’s section 310(b)(3) forbearance approach </w:t>
      </w:r>
      <w:r w:rsidR="00742C9B">
        <w:rPr>
          <w:szCs w:val="22"/>
        </w:rPr>
        <w:t xml:space="preserve">(applicable to common carrier licensees only) </w:t>
      </w:r>
      <w:r>
        <w:rPr>
          <w:szCs w:val="22"/>
        </w:rPr>
        <w:t>requires that t</w:t>
      </w:r>
      <w:r w:rsidRPr="008517E0">
        <w:rPr>
          <w:szCs w:val="22"/>
        </w:rPr>
        <w:t>he Commission</w:t>
      </w:r>
      <w:r>
        <w:rPr>
          <w:szCs w:val="22"/>
        </w:rPr>
        <w:t xml:space="preserve"> pass upon the propriety of foreign ownership of common carrier radio licensees before such ownership exceeds 20 percent.  The Commission will use the information collected under the final rules to make the required public interest findings.  The information collection will preserve the Commission’s ability to disallow foreign investment that may pose a risk of harm to </w:t>
      </w:r>
      <w:r w:rsidRPr="0097120C">
        <w:rPr>
          <w:szCs w:val="22"/>
        </w:rPr>
        <w:t>competition</w:t>
      </w:r>
      <w:r w:rsidRPr="001F0042">
        <w:rPr>
          <w:szCs w:val="22"/>
        </w:rPr>
        <w:t xml:space="preserve"> </w:t>
      </w:r>
      <w:r>
        <w:rPr>
          <w:szCs w:val="22"/>
        </w:rPr>
        <w:t>or national security, law enforcement, foreign policy, or trade policy.  As explained in response to Question 1, the collection would not replace the approved information</w:t>
      </w:r>
      <w:r w:rsidR="00E7741C">
        <w:rPr>
          <w:szCs w:val="22"/>
        </w:rPr>
        <w:t xml:space="preserve"> collection for </w:t>
      </w:r>
      <w:r w:rsidR="00742C9B">
        <w:rPr>
          <w:szCs w:val="22"/>
        </w:rPr>
        <w:t xml:space="preserve">common carrier licensees that received a foreign ownership ruling under </w:t>
      </w:r>
      <w:r w:rsidR="00E7741C">
        <w:rPr>
          <w:szCs w:val="22"/>
        </w:rPr>
        <w:t xml:space="preserve">section 310(b) </w:t>
      </w:r>
      <w:r w:rsidR="00742C9B">
        <w:rPr>
          <w:szCs w:val="22"/>
        </w:rPr>
        <w:t xml:space="preserve">prior to the August 9, 2013 effective date of the rules adopted in the Second Report and Order </w:t>
      </w:r>
      <w:r w:rsidR="00E7741C">
        <w:rPr>
          <w:szCs w:val="22"/>
        </w:rPr>
        <w:t>(OMB Control No. 3060-0686)</w:t>
      </w:r>
      <w:r>
        <w:rPr>
          <w:szCs w:val="22"/>
        </w:rPr>
        <w:t xml:space="preserve">.  The final rules will apply to </w:t>
      </w:r>
      <w:r w:rsidR="00742C9B">
        <w:rPr>
          <w:szCs w:val="22"/>
        </w:rPr>
        <w:t xml:space="preserve">broadcast </w:t>
      </w:r>
      <w:r>
        <w:rPr>
          <w:szCs w:val="22"/>
        </w:rPr>
        <w:t xml:space="preserve">licensees </w:t>
      </w:r>
      <w:r w:rsidR="008F7487">
        <w:rPr>
          <w:szCs w:val="22"/>
        </w:rPr>
        <w:t xml:space="preserve">that seek and obtain </w:t>
      </w:r>
      <w:r w:rsidRPr="008F7487">
        <w:rPr>
          <w:szCs w:val="22"/>
        </w:rPr>
        <w:t>a foreign ownership ruling under the new rules</w:t>
      </w:r>
      <w:r>
        <w:rPr>
          <w:szCs w:val="22"/>
        </w:rPr>
        <w:t xml:space="preserve">, </w:t>
      </w:r>
      <w:r w:rsidR="008F7487">
        <w:rPr>
          <w:szCs w:val="22"/>
        </w:rPr>
        <w:t>and to common carrier (and certain aeronautical) licensees that received a ruling under the rules adopted in the Second Report and Order (i.e., under the currently effective rules) or under the new rules</w:t>
      </w:r>
      <w:r w:rsidR="00F52059">
        <w:rPr>
          <w:szCs w:val="22"/>
        </w:rPr>
        <w:t xml:space="preserve">, </w:t>
      </w:r>
      <w:r w:rsidR="008F7487">
        <w:rPr>
          <w:szCs w:val="22"/>
        </w:rPr>
        <w:t>adopted in the 2016 Foreign Ownership Report and Order, for which OMB approval is here sought.</w:t>
      </w:r>
      <w:r>
        <w:rPr>
          <w:szCs w:val="22"/>
        </w:rPr>
        <w:t xml:space="preserve">  </w:t>
      </w:r>
    </w:p>
    <w:p w:rsidR="00992158" w:rsidRDefault="00992158" w:rsidP="00992158">
      <w:pPr>
        <w:rPr>
          <w:szCs w:val="22"/>
        </w:rPr>
      </w:pPr>
    </w:p>
    <w:p w:rsidR="00992158" w:rsidRDefault="00992158" w:rsidP="00992158">
      <w:pPr>
        <w:pStyle w:val="ParaNum"/>
        <w:numPr>
          <w:ilvl w:val="0"/>
          <w:numId w:val="0"/>
        </w:numPr>
        <w:tabs>
          <w:tab w:val="left" w:pos="720"/>
        </w:tabs>
        <w:jc w:val="left"/>
        <w:rPr>
          <w:b/>
          <w:sz w:val="24"/>
          <w:szCs w:val="24"/>
        </w:rPr>
      </w:pPr>
      <w:r w:rsidRPr="00B05DCB">
        <w:rPr>
          <w:sz w:val="24"/>
          <w:szCs w:val="24"/>
        </w:rPr>
        <w:t>3.</w:t>
      </w:r>
      <w:r>
        <w:rPr>
          <w:sz w:val="24"/>
          <w:szCs w:val="24"/>
        </w:rPr>
        <w:t xml:space="preserve">  </w:t>
      </w:r>
      <w:r w:rsidR="005669CE" w:rsidRPr="000A2CA4">
        <w:rPr>
          <w:sz w:val="24"/>
          <w:szCs w:val="24"/>
        </w:rPr>
        <w:t xml:space="preserve">This collection </w:t>
      </w:r>
      <w:r w:rsidR="00F52059" w:rsidRPr="000A2CA4">
        <w:rPr>
          <w:sz w:val="24"/>
          <w:szCs w:val="24"/>
        </w:rPr>
        <w:t>will</w:t>
      </w:r>
      <w:r w:rsidR="00F52059">
        <w:rPr>
          <w:sz w:val="24"/>
          <w:szCs w:val="24"/>
        </w:rPr>
        <w:t xml:space="preserve"> continue to </w:t>
      </w:r>
      <w:r>
        <w:rPr>
          <w:sz w:val="24"/>
          <w:szCs w:val="24"/>
        </w:rPr>
        <w:t xml:space="preserve">require that </w:t>
      </w:r>
      <w:r w:rsidR="00F52059">
        <w:rPr>
          <w:sz w:val="24"/>
          <w:szCs w:val="24"/>
        </w:rPr>
        <w:t xml:space="preserve">common carrier entities </w:t>
      </w:r>
      <w:r w:rsidRPr="004142C6">
        <w:rPr>
          <w:sz w:val="24"/>
          <w:szCs w:val="24"/>
        </w:rPr>
        <w:t>file their information</w:t>
      </w:r>
      <w:r>
        <w:rPr>
          <w:sz w:val="24"/>
          <w:szCs w:val="24"/>
        </w:rPr>
        <w:t xml:space="preserve"> electronically via the internet using the International Bureau Filing System (IBFS).  The International Bureau assigns an IBFS File No. to the petition, and the petition is publicly available via the internet in IBFS.</w:t>
      </w:r>
      <w:r w:rsidR="00F52059">
        <w:rPr>
          <w:sz w:val="24"/>
          <w:szCs w:val="24"/>
        </w:rPr>
        <w:t xml:space="preserve">  Broadcast entities will file their information</w:t>
      </w:r>
      <w:r w:rsidR="00130532">
        <w:rPr>
          <w:sz w:val="24"/>
          <w:szCs w:val="24"/>
        </w:rPr>
        <w:t xml:space="preserve"> </w:t>
      </w:r>
      <w:r w:rsidR="00130532" w:rsidRPr="00BE0122">
        <w:rPr>
          <w:sz w:val="24"/>
          <w:szCs w:val="24"/>
        </w:rPr>
        <w:t>electronically in CDBS as an attachment to the underlying applications for a construction permit, assignment, or transfer of control.  A broadcast petition filed in the absence of an underlying broadcast construction permit, assignment, or transfer of control application shall be initially submitted electronically with the Commission’s Office of the Secretary via</w:t>
      </w:r>
      <w:r w:rsidR="00130532">
        <w:rPr>
          <w:sz w:val="24"/>
          <w:szCs w:val="24"/>
        </w:rPr>
        <w:t xml:space="preserve"> the</w:t>
      </w:r>
      <w:r w:rsidR="00130532" w:rsidRPr="00BE0122">
        <w:rPr>
          <w:sz w:val="24"/>
          <w:szCs w:val="24"/>
        </w:rPr>
        <w:t xml:space="preserve"> E</w:t>
      </w:r>
      <w:r w:rsidR="00130532">
        <w:rPr>
          <w:sz w:val="24"/>
          <w:szCs w:val="24"/>
        </w:rPr>
        <w:t xml:space="preserve">lectronic </w:t>
      </w:r>
      <w:r w:rsidR="00130532" w:rsidRPr="00BE0122">
        <w:rPr>
          <w:sz w:val="24"/>
          <w:szCs w:val="24"/>
        </w:rPr>
        <w:t>C</w:t>
      </w:r>
      <w:r w:rsidR="00130532">
        <w:rPr>
          <w:sz w:val="24"/>
          <w:szCs w:val="24"/>
        </w:rPr>
        <w:t xml:space="preserve">omment </w:t>
      </w:r>
      <w:r w:rsidR="00130532" w:rsidRPr="00BE0122">
        <w:rPr>
          <w:sz w:val="24"/>
          <w:szCs w:val="24"/>
        </w:rPr>
        <w:t>F</w:t>
      </w:r>
      <w:r w:rsidR="00130532">
        <w:rPr>
          <w:sz w:val="24"/>
          <w:szCs w:val="24"/>
        </w:rPr>
        <w:t xml:space="preserve">iling </w:t>
      </w:r>
      <w:r w:rsidR="00130532" w:rsidRPr="00BE0122">
        <w:rPr>
          <w:sz w:val="24"/>
          <w:szCs w:val="24"/>
        </w:rPr>
        <w:t>S</w:t>
      </w:r>
      <w:r w:rsidR="00130532">
        <w:rPr>
          <w:sz w:val="24"/>
          <w:szCs w:val="24"/>
        </w:rPr>
        <w:t>ystem (ECFS)</w:t>
      </w:r>
      <w:r w:rsidR="00130532" w:rsidRPr="00BE0122">
        <w:rPr>
          <w:sz w:val="24"/>
          <w:szCs w:val="24"/>
        </w:rPr>
        <w:t xml:space="preserve"> as a non-docketed filing.</w:t>
      </w:r>
      <w:r w:rsidR="00130532">
        <w:rPr>
          <w:sz w:val="24"/>
          <w:szCs w:val="24"/>
        </w:rPr>
        <w:t xml:space="preserve">  The petition will receive a docket number, and a public notice seeking comment will be released.</w:t>
      </w:r>
      <w:r w:rsidR="00130532">
        <w:t xml:space="preserve"> </w:t>
      </w:r>
    </w:p>
    <w:p w:rsidR="00992158" w:rsidRPr="00216A2B" w:rsidRDefault="00992158" w:rsidP="00992158">
      <w:pPr>
        <w:pStyle w:val="ParaNum"/>
        <w:numPr>
          <w:ilvl w:val="0"/>
          <w:numId w:val="0"/>
        </w:numPr>
        <w:tabs>
          <w:tab w:val="left" w:pos="720"/>
        </w:tabs>
        <w:jc w:val="left"/>
        <w:rPr>
          <w:sz w:val="24"/>
          <w:szCs w:val="24"/>
        </w:rPr>
      </w:pPr>
      <w:r w:rsidRPr="00216A2B">
        <w:rPr>
          <w:spacing w:val="-3"/>
          <w:sz w:val="24"/>
          <w:szCs w:val="24"/>
        </w:rPr>
        <w:t>4.  T</w:t>
      </w:r>
      <w:r w:rsidRPr="00216A2B">
        <w:rPr>
          <w:sz w:val="24"/>
          <w:szCs w:val="24"/>
        </w:rPr>
        <w:t>his information collection requirement is not duplicated elsewhere in the Commission’s rules.</w:t>
      </w:r>
    </w:p>
    <w:p w:rsidR="00992158" w:rsidRDefault="00992158" w:rsidP="00992158">
      <w:pPr>
        <w:suppressAutoHyphens/>
        <w:spacing w:line="240" w:lineRule="atLeast"/>
        <w:rPr>
          <w:spacing w:val="-3"/>
        </w:rPr>
      </w:pPr>
      <w:r>
        <w:t xml:space="preserve">5.  </w:t>
      </w:r>
      <w:r w:rsidRPr="000A2CA4">
        <w:t>Th</w:t>
      </w:r>
      <w:r w:rsidR="000E5813" w:rsidRPr="000A2CA4">
        <w:t>e collection of information is</w:t>
      </w:r>
      <w:r w:rsidR="000E5813">
        <w:t xml:space="preserve"> </w:t>
      </w:r>
      <w:r>
        <w:t xml:space="preserve">intended to </w:t>
      </w:r>
      <w:r>
        <w:rPr>
          <w:spacing w:val="-3"/>
        </w:rPr>
        <w:t>minimize the economic impact on small entities to the greatest extent possible, while ensuring that the Commission gets the complete information it needs to discharge its regulatory obligations.</w:t>
      </w:r>
    </w:p>
    <w:p w:rsidR="00992158" w:rsidRDefault="00992158" w:rsidP="00992158">
      <w:pPr>
        <w:suppressAutoHyphens/>
        <w:spacing w:line="240" w:lineRule="atLeast"/>
        <w:rPr>
          <w:spacing w:val="-3"/>
        </w:rPr>
      </w:pPr>
    </w:p>
    <w:p w:rsidR="00992158" w:rsidRDefault="00992158" w:rsidP="00992158">
      <w:pPr>
        <w:suppressAutoHyphens/>
        <w:spacing w:line="240" w:lineRule="atLeast"/>
        <w:rPr>
          <w:spacing w:val="-3"/>
        </w:rPr>
      </w:pPr>
      <w:r>
        <w:rPr>
          <w:spacing w:val="-3"/>
        </w:rPr>
        <w:t xml:space="preserve">6.   If the information collection were not conducted or were conducted less frequently than proposed, the Commission would not be able to carry out its statutory mandate under section 310(b) of the Act, and its section 310(b)(3) forbearance policy, to disallow foreign investment that the Commission finds would be contrary to the U.S. public interest.  In particular, the Commission would lack the </w:t>
      </w:r>
      <w:r>
        <w:rPr>
          <w:szCs w:val="22"/>
        </w:rPr>
        <w:t xml:space="preserve">information it needs to determine whether proposed foreign investment in U.S. </w:t>
      </w:r>
      <w:r w:rsidR="00F52059">
        <w:rPr>
          <w:szCs w:val="22"/>
        </w:rPr>
        <w:t xml:space="preserve">broadcast, </w:t>
      </w:r>
      <w:r>
        <w:rPr>
          <w:szCs w:val="22"/>
        </w:rPr>
        <w:t>common carrier</w:t>
      </w:r>
      <w:r w:rsidR="00F52059">
        <w:rPr>
          <w:szCs w:val="22"/>
        </w:rPr>
        <w:t>,</w:t>
      </w:r>
      <w:r>
        <w:rPr>
          <w:szCs w:val="22"/>
        </w:rPr>
        <w:t xml:space="preserve"> and aeronautical radio licensees may pose a risk of harm </w:t>
      </w:r>
      <w:r w:rsidRPr="001F0042">
        <w:rPr>
          <w:szCs w:val="22"/>
        </w:rPr>
        <w:t xml:space="preserve">to </w:t>
      </w:r>
      <w:r w:rsidRPr="0097120C">
        <w:rPr>
          <w:szCs w:val="22"/>
        </w:rPr>
        <w:t>competition</w:t>
      </w:r>
      <w:r>
        <w:rPr>
          <w:szCs w:val="22"/>
        </w:rPr>
        <w:t xml:space="preserve"> or national security, law enforcement, foreign policy, or trade policy.  </w:t>
      </w:r>
      <w:r>
        <w:rPr>
          <w:spacing w:val="-3"/>
        </w:rPr>
        <w:tab/>
      </w:r>
    </w:p>
    <w:p w:rsidR="00992158" w:rsidRDefault="00992158" w:rsidP="00992158">
      <w:pPr>
        <w:suppressAutoHyphens/>
        <w:spacing w:line="240" w:lineRule="atLeast"/>
        <w:rPr>
          <w:spacing w:val="-3"/>
        </w:rPr>
      </w:pPr>
    </w:p>
    <w:p w:rsidR="00992158" w:rsidRDefault="00992158" w:rsidP="00992158">
      <w:pPr>
        <w:suppressAutoHyphens/>
        <w:spacing w:line="240" w:lineRule="atLeast"/>
        <w:ind w:right="540"/>
        <w:rPr>
          <w:spacing w:val="-3"/>
        </w:rPr>
      </w:pPr>
      <w:r>
        <w:rPr>
          <w:spacing w:val="-3"/>
        </w:rPr>
        <w:t>7.   There are no special circumstances that would prevent the Commission from following all guidelines regarding the information collection.</w:t>
      </w:r>
    </w:p>
    <w:p w:rsidR="00992158" w:rsidRDefault="00992158" w:rsidP="00992158">
      <w:pPr>
        <w:suppressAutoHyphens/>
        <w:spacing w:line="240" w:lineRule="atLeast"/>
        <w:rPr>
          <w:spacing w:val="-3"/>
        </w:rPr>
      </w:pPr>
    </w:p>
    <w:p w:rsidR="00992158" w:rsidRDefault="00992158" w:rsidP="00992158">
      <w:r w:rsidRPr="008D6A05">
        <w:rPr>
          <w:spacing w:val="-3"/>
        </w:rPr>
        <w:t>8.</w:t>
      </w:r>
      <w:r>
        <w:rPr>
          <w:spacing w:val="-3"/>
        </w:rPr>
        <w:t xml:space="preserve">   </w:t>
      </w:r>
      <w:r w:rsidR="000E5813">
        <w:t xml:space="preserve">The Commission </w:t>
      </w:r>
      <w:r w:rsidR="000E5813" w:rsidRPr="000A2CA4">
        <w:t>published</w:t>
      </w:r>
      <w:r w:rsidRPr="00364487">
        <w:t xml:space="preserve"> a 60</w:t>
      </w:r>
      <w:r w:rsidR="000E5813">
        <w:t>-</w:t>
      </w:r>
      <w:r w:rsidRPr="00364487">
        <w:t xml:space="preserve">day notice in the </w:t>
      </w:r>
      <w:r w:rsidRPr="00364487">
        <w:rPr>
          <w:i/>
          <w:iCs/>
        </w:rPr>
        <w:t>Federal Register</w:t>
      </w:r>
      <w:r w:rsidRPr="00364487">
        <w:t xml:space="preserve"> pursuant to 5 CFR § 1320.8(d).  </w:t>
      </w:r>
      <w:r w:rsidRPr="00364487">
        <w:rPr>
          <w:i/>
          <w:iCs/>
        </w:rPr>
        <w:t>See</w:t>
      </w:r>
      <w:r w:rsidRPr="00364487">
        <w:t xml:space="preserve"> </w:t>
      </w:r>
      <w:r w:rsidR="00D974DC">
        <w:t>81</w:t>
      </w:r>
      <w:r w:rsidRPr="004C6825">
        <w:rPr>
          <w:b/>
        </w:rPr>
        <w:t xml:space="preserve"> </w:t>
      </w:r>
      <w:r w:rsidRPr="00D974DC">
        <w:t>FR</w:t>
      </w:r>
      <w:r w:rsidR="00F52059" w:rsidRPr="00D974DC">
        <w:t xml:space="preserve"> </w:t>
      </w:r>
      <w:r w:rsidR="00D974DC" w:rsidRPr="00D974DC">
        <w:t>95993</w:t>
      </w:r>
      <w:r w:rsidRPr="00364487">
        <w:t xml:space="preserve">, dated </w:t>
      </w:r>
      <w:r w:rsidR="00D974DC">
        <w:t>December 29, 2016</w:t>
      </w:r>
      <w:r w:rsidRPr="00364487">
        <w:t xml:space="preserve">, seeking comments from the public on the information collection requirements contained in this supporting statement. </w:t>
      </w:r>
      <w:r w:rsidRPr="00D974DC">
        <w:t xml:space="preserve">No comments </w:t>
      </w:r>
      <w:r w:rsidR="00E7741C" w:rsidRPr="00D974DC">
        <w:t xml:space="preserve">were </w:t>
      </w:r>
      <w:r w:rsidRPr="00D974DC">
        <w:t>received from the public.</w:t>
      </w:r>
    </w:p>
    <w:p w:rsidR="00F52059" w:rsidRPr="00A32CF2" w:rsidRDefault="00F52059" w:rsidP="00992158">
      <w:pPr>
        <w:rPr>
          <w:rFonts w:ascii="Arial" w:hAnsi="Arial" w:cs="Arial"/>
          <w:sz w:val="20"/>
        </w:rPr>
      </w:pPr>
    </w:p>
    <w:p w:rsidR="00992158" w:rsidRDefault="00992158" w:rsidP="00992158">
      <w:pPr>
        <w:suppressAutoHyphens/>
        <w:spacing w:line="240" w:lineRule="atLeast"/>
        <w:rPr>
          <w:spacing w:val="-3"/>
        </w:rPr>
      </w:pPr>
      <w:r>
        <w:rPr>
          <w:spacing w:val="-3"/>
        </w:rPr>
        <w:t>9.   The Commission will not provide any payment or gift to respondents.</w:t>
      </w:r>
    </w:p>
    <w:p w:rsidR="00992158" w:rsidRDefault="00992158" w:rsidP="00992158">
      <w:pPr>
        <w:suppressAutoHyphens/>
        <w:spacing w:line="240" w:lineRule="atLeast"/>
        <w:rPr>
          <w:spacing w:val="-3"/>
        </w:rPr>
      </w:pPr>
    </w:p>
    <w:p w:rsidR="00992158" w:rsidRDefault="00992158" w:rsidP="00992158">
      <w:pPr>
        <w:suppressAutoHyphens/>
        <w:spacing w:line="240" w:lineRule="atLeast"/>
      </w:pPr>
      <w:r>
        <w:rPr>
          <w:spacing w:val="-3"/>
        </w:rPr>
        <w:t xml:space="preserve">10.  </w:t>
      </w:r>
      <w:r w:rsidRPr="00CC2B85">
        <w:rPr>
          <w:spacing w:val="-3"/>
        </w:rPr>
        <w:t>T</w:t>
      </w:r>
      <w:r w:rsidRPr="00CC2B85">
        <w:t xml:space="preserve">he Commission has </w:t>
      </w:r>
      <w:r>
        <w:t xml:space="preserve">not proposed to grant assurances of confidentiality to those parties submitting the information.  Petitioners </w:t>
      </w:r>
      <w:r w:rsidRPr="00224189">
        <w:t xml:space="preserve">that seek to protect the confidentiality of particular </w:t>
      </w:r>
      <w:r>
        <w:t xml:space="preserve">information </w:t>
      </w:r>
      <w:r w:rsidRPr="00224189">
        <w:t>may request such treatment under section 0.459 of the Commission’s rules</w:t>
      </w:r>
      <w:r>
        <w:t>, 47 C.F.R. § 0.459</w:t>
      </w:r>
      <w:r w:rsidRPr="00224189">
        <w:t xml:space="preserve">.  </w:t>
      </w:r>
      <w:r>
        <w:t xml:space="preserve">Under section 0.459, the petitioner would be required to </w:t>
      </w:r>
      <w:r w:rsidRPr="00224189">
        <w:t xml:space="preserve">justify fully its request for confidentiality by providing enough information for the Commission to determine the need for confidential treatment.  The rule requires a </w:t>
      </w:r>
      <w:r>
        <w:t xml:space="preserve">party </w:t>
      </w:r>
      <w:r w:rsidRPr="00224189">
        <w:t>requesting confidentiality to submit an unredacted version of its</w:t>
      </w:r>
      <w:r>
        <w:t xml:space="preserve"> information</w:t>
      </w:r>
      <w:r w:rsidRPr="00224189">
        <w:t>, as well as a redacted version to be made publicly available.  Should the Commission decide to grant a request for confidential treatment of information that does not fall within a specific exemption pursuant to the Freedom of Information Act (FOIA), that Act requires the Commission to disclose publicly the information upon an</w:t>
      </w:r>
      <w:r>
        <w:t xml:space="preserve"> a</w:t>
      </w:r>
      <w:r w:rsidRPr="00224189">
        <w:t xml:space="preserve">ppropriate request.  The Commission may grant requests for confidential treatment either conditionally or unconditionally.  </w:t>
      </w:r>
      <w:r>
        <w:t>T</w:t>
      </w:r>
      <w:r w:rsidRPr="00224189">
        <w:t>he Commission has the discretion to release on public interest grounds information that fall</w:t>
      </w:r>
      <w:r>
        <w:t>s w</w:t>
      </w:r>
      <w:r w:rsidRPr="00224189">
        <w:t>ithin the scope of a FOIA exemption.</w:t>
      </w:r>
      <w:r>
        <w:t xml:space="preserve">  </w:t>
      </w:r>
    </w:p>
    <w:p w:rsidR="00992158" w:rsidRDefault="00992158" w:rsidP="00992158">
      <w:pPr>
        <w:suppressAutoHyphens/>
        <w:spacing w:line="240" w:lineRule="atLeast"/>
        <w:ind w:left="360"/>
      </w:pPr>
    </w:p>
    <w:p w:rsidR="00992158" w:rsidRPr="000F78F0" w:rsidRDefault="00992158" w:rsidP="00992158">
      <w:pPr>
        <w:pStyle w:val="ParaNum"/>
        <w:numPr>
          <w:ilvl w:val="0"/>
          <w:numId w:val="0"/>
        </w:numPr>
        <w:tabs>
          <w:tab w:val="left" w:pos="720"/>
        </w:tabs>
        <w:jc w:val="left"/>
        <w:rPr>
          <w:sz w:val="24"/>
          <w:szCs w:val="24"/>
        </w:rPr>
      </w:pPr>
      <w:r w:rsidRPr="000F78F0">
        <w:rPr>
          <w:sz w:val="24"/>
          <w:szCs w:val="24"/>
        </w:rPr>
        <w:t>11.   This collection does not include any questions of a sensitive nature.</w:t>
      </w:r>
      <w:r w:rsidR="008E3E72" w:rsidRPr="000F78F0">
        <w:rPr>
          <w:b/>
          <w:sz w:val="24"/>
          <w:szCs w:val="24"/>
        </w:rPr>
        <w:t xml:space="preserve">  </w:t>
      </w:r>
    </w:p>
    <w:p w:rsidR="00992158" w:rsidRPr="000F78F0" w:rsidRDefault="00992158" w:rsidP="00992158">
      <w:pPr>
        <w:pStyle w:val="ParaNum"/>
        <w:numPr>
          <w:ilvl w:val="0"/>
          <w:numId w:val="0"/>
        </w:numPr>
        <w:tabs>
          <w:tab w:val="left" w:pos="720"/>
        </w:tabs>
        <w:jc w:val="left"/>
        <w:rPr>
          <w:sz w:val="24"/>
          <w:szCs w:val="24"/>
        </w:rPr>
      </w:pPr>
      <w:r w:rsidRPr="000F78F0">
        <w:rPr>
          <w:sz w:val="24"/>
          <w:szCs w:val="24"/>
        </w:rPr>
        <w:t xml:space="preserve">12.  </w:t>
      </w:r>
      <w:r w:rsidRPr="000F78F0">
        <w:rPr>
          <w:b/>
          <w:sz w:val="24"/>
          <w:szCs w:val="24"/>
        </w:rPr>
        <w:t xml:space="preserve"> Estimate of Burden Hours for Information Collection:</w:t>
      </w:r>
      <w:r w:rsidRPr="000F78F0">
        <w:rPr>
          <w:sz w:val="24"/>
          <w:szCs w:val="24"/>
        </w:rPr>
        <w:t xml:space="preserve">  </w:t>
      </w:r>
    </w:p>
    <w:p w:rsidR="00BA45B3" w:rsidRPr="000F78F0" w:rsidRDefault="00992158" w:rsidP="00235F48">
      <w:pPr>
        <w:pStyle w:val="ParaNum"/>
        <w:numPr>
          <w:ilvl w:val="0"/>
          <w:numId w:val="0"/>
        </w:numPr>
        <w:tabs>
          <w:tab w:val="left" w:pos="720"/>
        </w:tabs>
        <w:jc w:val="left"/>
        <w:rPr>
          <w:spacing w:val="-3"/>
          <w:sz w:val="24"/>
          <w:szCs w:val="24"/>
        </w:rPr>
      </w:pPr>
      <w:r w:rsidRPr="000F78F0">
        <w:rPr>
          <w:spacing w:val="-3"/>
          <w:sz w:val="24"/>
          <w:szCs w:val="24"/>
        </w:rPr>
        <w:t xml:space="preserve">The </w:t>
      </w:r>
      <w:r w:rsidR="00EC0C30" w:rsidRPr="000F78F0">
        <w:rPr>
          <w:spacing w:val="-3"/>
          <w:sz w:val="24"/>
          <w:szCs w:val="24"/>
        </w:rPr>
        <w:t xml:space="preserve">Commission estimates </w:t>
      </w:r>
      <w:r w:rsidR="008E667F" w:rsidRPr="000F78F0">
        <w:rPr>
          <w:spacing w:val="-3"/>
          <w:sz w:val="24"/>
          <w:szCs w:val="24"/>
        </w:rPr>
        <w:t xml:space="preserve">the final burden estimates for this collection as </w:t>
      </w:r>
      <w:r w:rsidR="0073690E" w:rsidRPr="000F78F0">
        <w:rPr>
          <w:spacing w:val="-3"/>
          <w:sz w:val="24"/>
          <w:szCs w:val="24"/>
        </w:rPr>
        <w:t>set forth in the table below.</w:t>
      </w:r>
      <w:r w:rsidR="00595199" w:rsidRPr="000F78F0">
        <w:rPr>
          <w:spacing w:val="-3"/>
          <w:sz w:val="24"/>
          <w:szCs w:val="24"/>
        </w:rPr>
        <w:t xml:space="preserve">  </w:t>
      </w:r>
    </w:p>
    <w:p w:rsidR="00E21E88" w:rsidRPr="000F78F0" w:rsidRDefault="00595199" w:rsidP="00235F48">
      <w:pPr>
        <w:pStyle w:val="ParaNum"/>
        <w:numPr>
          <w:ilvl w:val="0"/>
          <w:numId w:val="0"/>
        </w:numPr>
        <w:tabs>
          <w:tab w:val="left" w:pos="720"/>
        </w:tabs>
        <w:jc w:val="left"/>
        <w:rPr>
          <w:sz w:val="24"/>
          <w:szCs w:val="24"/>
        </w:rPr>
      </w:pPr>
      <w:r w:rsidRPr="000F78F0">
        <w:rPr>
          <w:spacing w:val="-3"/>
          <w:sz w:val="24"/>
          <w:szCs w:val="24"/>
        </w:rPr>
        <w:t>While t</w:t>
      </w:r>
      <w:r w:rsidRPr="000F78F0">
        <w:rPr>
          <w:sz w:val="24"/>
          <w:szCs w:val="24"/>
        </w:rPr>
        <w:t xml:space="preserve">here is for the most part a one-to-one correlation between the existing rules (1.990-1.994) and the new rules (1.5000-1.5004), in the course of preparing this statement we have identified </w:t>
      </w:r>
      <w:r w:rsidR="00235F48" w:rsidRPr="000F78F0">
        <w:rPr>
          <w:sz w:val="24"/>
          <w:szCs w:val="24"/>
        </w:rPr>
        <w:t>an inadvertent error</w:t>
      </w:r>
      <w:r w:rsidRPr="000F78F0">
        <w:rPr>
          <w:sz w:val="24"/>
          <w:szCs w:val="24"/>
        </w:rPr>
        <w:t xml:space="preserve"> in </w:t>
      </w:r>
      <w:r w:rsidR="00235F48" w:rsidRPr="000F78F0">
        <w:rPr>
          <w:sz w:val="24"/>
          <w:szCs w:val="24"/>
        </w:rPr>
        <w:t xml:space="preserve">earlier tables </w:t>
      </w:r>
      <w:r w:rsidRPr="000F78F0">
        <w:rPr>
          <w:sz w:val="24"/>
          <w:szCs w:val="24"/>
        </w:rPr>
        <w:t>cit</w:t>
      </w:r>
      <w:r w:rsidR="00481BBB" w:rsidRPr="000F78F0">
        <w:rPr>
          <w:sz w:val="24"/>
          <w:szCs w:val="24"/>
        </w:rPr>
        <w:t>ing to current Section 1.994</w:t>
      </w:r>
      <w:r w:rsidR="00BA45B3" w:rsidRPr="000F78F0">
        <w:rPr>
          <w:sz w:val="24"/>
          <w:szCs w:val="24"/>
        </w:rPr>
        <w:t xml:space="preserve"> (to be renumbered 1.5004)</w:t>
      </w:r>
      <w:r w:rsidR="00481BBB" w:rsidRPr="000F78F0">
        <w:rPr>
          <w:sz w:val="24"/>
          <w:szCs w:val="24"/>
        </w:rPr>
        <w:t>.</w:t>
      </w:r>
      <w:r w:rsidR="00BA45B3" w:rsidRPr="000F78F0">
        <w:rPr>
          <w:sz w:val="24"/>
          <w:szCs w:val="24"/>
        </w:rPr>
        <w:t xml:space="preserve">  </w:t>
      </w:r>
      <w:r w:rsidR="00E21E88" w:rsidRPr="000F78F0">
        <w:rPr>
          <w:sz w:val="24"/>
          <w:szCs w:val="24"/>
        </w:rPr>
        <w:t>T</w:t>
      </w:r>
      <w:r w:rsidR="00481BBB" w:rsidRPr="000F78F0">
        <w:rPr>
          <w:sz w:val="24"/>
          <w:szCs w:val="24"/>
        </w:rPr>
        <w:t xml:space="preserve">he </w:t>
      </w:r>
      <w:r w:rsidR="00BA45B3" w:rsidRPr="000F78F0">
        <w:rPr>
          <w:sz w:val="24"/>
          <w:szCs w:val="24"/>
        </w:rPr>
        <w:t xml:space="preserve">Question 12 </w:t>
      </w:r>
      <w:r w:rsidR="00481BBB" w:rsidRPr="000F78F0">
        <w:rPr>
          <w:sz w:val="24"/>
          <w:szCs w:val="24"/>
        </w:rPr>
        <w:t xml:space="preserve">tables of estimated burden hours submitted </w:t>
      </w:r>
      <w:r w:rsidR="004D1F10" w:rsidRPr="000F78F0">
        <w:rPr>
          <w:sz w:val="24"/>
          <w:szCs w:val="24"/>
        </w:rPr>
        <w:t xml:space="preserve">for this collection </w:t>
      </w:r>
      <w:r w:rsidR="00481BBB" w:rsidRPr="000F78F0">
        <w:rPr>
          <w:sz w:val="24"/>
          <w:szCs w:val="24"/>
        </w:rPr>
        <w:t xml:space="preserve">in 2013 </w:t>
      </w:r>
      <w:r w:rsidR="007B1371" w:rsidRPr="000F78F0">
        <w:rPr>
          <w:sz w:val="24"/>
          <w:szCs w:val="24"/>
        </w:rPr>
        <w:t xml:space="preserve">(final approval) </w:t>
      </w:r>
      <w:r w:rsidR="00481BBB" w:rsidRPr="000F78F0">
        <w:rPr>
          <w:sz w:val="24"/>
          <w:szCs w:val="24"/>
        </w:rPr>
        <w:t>and 2015 (three-year extension)</w:t>
      </w:r>
      <w:r w:rsidR="00E21E88" w:rsidRPr="000F78F0">
        <w:rPr>
          <w:sz w:val="24"/>
          <w:szCs w:val="24"/>
        </w:rPr>
        <w:t xml:space="preserve"> cite</w:t>
      </w:r>
      <w:r w:rsidR="00BA45B3" w:rsidRPr="000F78F0">
        <w:rPr>
          <w:sz w:val="24"/>
          <w:szCs w:val="24"/>
        </w:rPr>
        <w:t xml:space="preserve"> </w:t>
      </w:r>
      <w:r w:rsidR="002F7920" w:rsidRPr="000F78F0">
        <w:rPr>
          <w:sz w:val="24"/>
          <w:szCs w:val="24"/>
        </w:rPr>
        <w:t xml:space="preserve">to </w:t>
      </w:r>
      <w:r w:rsidR="00BA45B3" w:rsidRPr="000F78F0">
        <w:rPr>
          <w:sz w:val="24"/>
          <w:szCs w:val="24"/>
        </w:rPr>
        <w:t xml:space="preserve">“Rule </w:t>
      </w:r>
      <w:r w:rsidR="004D1F10" w:rsidRPr="000F78F0">
        <w:rPr>
          <w:sz w:val="24"/>
          <w:szCs w:val="24"/>
        </w:rPr>
        <w:t xml:space="preserve">Section </w:t>
      </w:r>
      <w:r w:rsidR="00E21E88" w:rsidRPr="000F78F0">
        <w:rPr>
          <w:sz w:val="24"/>
          <w:szCs w:val="24"/>
        </w:rPr>
        <w:t xml:space="preserve">… </w:t>
      </w:r>
      <w:r w:rsidR="004D1F10" w:rsidRPr="000F78F0">
        <w:rPr>
          <w:sz w:val="24"/>
          <w:szCs w:val="24"/>
        </w:rPr>
        <w:t>1.994(d)</w:t>
      </w:r>
      <w:r w:rsidR="00E21E88" w:rsidRPr="000F78F0">
        <w:rPr>
          <w:sz w:val="24"/>
          <w:szCs w:val="24"/>
        </w:rPr>
        <w:t>….</w:t>
      </w:r>
      <w:r w:rsidR="00BA45B3" w:rsidRPr="000F78F0">
        <w:rPr>
          <w:sz w:val="24"/>
          <w:szCs w:val="24"/>
        </w:rPr>
        <w:t>”</w:t>
      </w:r>
      <w:r w:rsidR="00DC5B28" w:rsidRPr="000F78F0">
        <w:rPr>
          <w:sz w:val="24"/>
          <w:szCs w:val="24"/>
        </w:rPr>
        <w:t xml:space="preserve"> (in the first column under the subheading “Explanation of Burden Estimate”).</w:t>
      </w:r>
      <w:r w:rsidR="00BA45B3" w:rsidRPr="000F78F0">
        <w:rPr>
          <w:sz w:val="24"/>
          <w:szCs w:val="24"/>
        </w:rPr>
        <w:t xml:space="preserve"> </w:t>
      </w:r>
      <w:r w:rsidR="00DC5B28" w:rsidRPr="000F78F0">
        <w:rPr>
          <w:sz w:val="24"/>
          <w:szCs w:val="24"/>
        </w:rPr>
        <w:t xml:space="preserve"> </w:t>
      </w:r>
      <w:r w:rsidR="00E21E88" w:rsidRPr="000F78F0">
        <w:rPr>
          <w:sz w:val="24"/>
          <w:szCs w:val="24"/>
        </w:rPr>
        <w:t xml:space="preserve">This citation </w:t>
      </w:r>
      <w:r w:rsidR="00BA45B3" w:rsidRPr="000F78F0">
        <w:rPr>
          <w:sz w:val="24"/>
          <w:szCs w:val="24"/>
        </w:rPr>
        <w:t xml:space="preserve">should have read “Rule Section </w:t>
      </w:r>
      <w:r w:rsidR="00E21E88" w:rsidRPr="000F78F0">
        <w:rPr>
          <w:sz w:val="24"/>
          <w:szCs w:val="24"/>
        </w:rPr>
        <w:t xml:space="preserve">… </w:t>
      </w:r>
      <w:r w:rsidR="00BA45B3" w:rsidRPr="000F78F0">
        <w:rPr>
          <w:sz w:val="24"/>
          <w:szCs w:val="24"/>
        </w:rPr>
        <w:t>1.994(c)-(d)</w:t>
      </w:r>
      <w:r w:rsidR="00E21E88" w:rsidRPr="000F78F0">
        <w:rPr>
          <w:sz w:val="24"/>
          <w:szCs w:val="24"/>
        </w:rPr>
        <w:t>…</w:t>
      </w:r>
      <w:r w:rsidR="00BA45B3" w:rsidRPr="000F78F0">
        <w:rPr>
          <w:sz w:val="24"/>
          <w:szCs w:val="24"/>
        </w:rPr>
        <w:t>.”</w:t>
      </w:r>
      <w:r w:rsidR="00E21E88" w:rsidRPr="000F78F0">
        <w:rPr>
          <w:sz w:val="24"/>
          <w:szCs w:val="24"/>
        </w:rPr>
        <w:t xml:space="preserve">  Thus, the table below cites to Section 1.5004(c)-(d)</w:t>
      </w:r>
      <w:r w:rsidR="00DC5B28" w:rsidRPr="000F78F0">
        <w:rPr>
          <w:sz w:val="24"/>
          <w:szCs w:val="24"/>
        </w:rPr>
        <w:t xml:space="preserve"> (among other rule sections) in the first column under the subheading “Explanation of Burden Estimate.”</w:t>
      </w:r>
      <w:r w:rsidR="00E21E88" w:rsidRPr="000F78F0">
        <w:rPr>
          <w:sz w:val="24"/>
          <w:szCs w:val="24"/>
        </w:rPr>
        <w:t xml:space="preserve"> </w:t>
      </w:r>
      <w:r w:rsidR="002F7920" w:rsidRPr="000F78F0">
        <w:rPr>
          <w:sz w:val="24"/>
          <w:szCs w:val="24"/>
        </w:rPr>
        <w:t xml:space="preserve">  </w:t>
      </w:r>
    </w:p>
    <w:p w:rsidR="00861593" w:rsidRPr="000F78F0" w:rsidRDefault="009F4F8A" w:rsidP="00235F48">
      <w:pPr>
        <w:pStyle w:val="ParaNum"/>
        <w:numPr>
          <w:ilvl w:val="0"/>
          <w:numId w:val="0"/>
        </w:numPr>
        <w:tabs>
          <w:tab w:val="left" w:pos="720"/>
        </w:tabs>
        <w:jc w:val="left"/>
        <w:rPr>
          <w:sz w:val="24"/>
          <w:szCs w:val="24"/>
        </w:rPr>
      </w:pPr>
      <w:r w:rsidRPr="000F78F0">
        <w:rPr>
          <w:sz w:val="24"/>
          <w:szCs w:val="24"/>
        </w:rPr>
        <w:t xml:space="preserve">Like Section 1.994(c)-(d), Section 1.5004(c)-(d) </w:t>
      </w:r>
      <w:r w:rsidR="002F7920" w:rsidRPr="000F78F0">
        <w:rPr>
          <w:sz w:val="24"/>
          <w:szCs w:val="24"/>
        </w:rPr>
        <w:t>permit</w:t>
      </w:r>
      <w:r w:rsidRPr="000F78F0">
        <w:rPr>
          <w:sz w:val="24"/>
          <w:szCs w:val="24"/>
        </w:rPr>
        <w:t>s</w:t>
      </w:r>
      <w:r w:rsidR="002F7920" w:rsidRPr="000F78F0">
        <w:rPr>
          <w:sz w:val="24"/>
          <w:szCs w:val="24"/>
        </w:rPr>
        <w:t xml:space="preserve"> licensees to file a pos</w:t>
      </w:r>
      <w:r w:rsidR="00821B82" w:rsidRPr="000F78F0">
        <w:rPr>
          <w:sz w:val="24"/>
          <w:szCs w:val="24"/>
        </w:rPr>
        <w:t>t-closing</w:t>
      </w:r>
      <w:r w:rsidR="004329B5">
        <w:rPr>
          <w:sz w:val="24"/>
          <w:szCs w:val="24"/>
        </w:rPr>
        <w:t xml:space="preserve"> letter</w:t>
      </w:r>
      <w:r w:rsidR="00821B82" w:rsidRPr="000F78F0">
        <w:rPr>
          <w:sz w:val="24"/>
          <w:szCs w:val="24"/>
        </w:rPr>
        <w:t xml:space="preserve"> notification</w:t>
      </w:r>
      <w:r w:rsidR="00235F48" w:rsidRPr="000F78F0">
        <w:rPr>
          <w:sz w:val="24"/>
          <w:szCs w:val="24"/>
        </w:rPr>
        <w:t>,</w:t>
      </w:r>
      <w:r w:rsidR="002F7920" w:rsidRPr="000F78F0">
        <w:rPr>
          <w:sz w:val="24"/>
          <w:szCs w:val="24"/>
        </w:rPr>
        <w:t xml:space="preserve"> rather than a petition for declaratory ruling for </w:t>
      </w:r>
      <w:r w:rsidR="00235F48" w:rsidRPr="000F78F0">
        <w:rPr>
          <w:sz w:val="24"/>
          <w:szCs w:val="24"/>
        </w:rPr>
        <w:t>pre-</w:t>
      </w:r>
      <w:r w:rsidR="002F7920" w:rsidRPr="000F78F0">
        <w:rPr>
          <w:sz w:val="24"/>
          <w:szCs w:val="24"/>
        </w:rPr>
        <w:t>approval of certain</w:t>
      </w:r>
      <w:r w:rsidR="00235F48" w:rsidRPr="000F78F0">
        <w:rPr>
          <w:sz w:val="24"/>
          <w:szCs w:val="24"/>
        </w:rPr>
        <w:t xml:space="preserve"> internal corporate reorganizations involving the introduction of new, foreign-organized entities into a previously-approved foreign investor’s vertical chain of ownership.</w:t>
      </w:r>
      <w:r w:rsidR="00821B82" w:rsidRPr="000F78F0">
        <w:rPr>
          <w:sz w:val="24"/>
          <w:szCs w:val="24"/>
        </w:rPr>
        <w:t xml:space="preserve">  </w:t>
      </w:r>
      <w:r w:rsidRPr="000F78F0">
        <w:rPr>
          <w:sz w:val="24"/>
          <w:szCs w:val="24"/>
        </w:rPr>
        <w:t xml:space="preserve">The rule also provides </w:t>
      </w:r>
      <w:r w:rsidR="00BD340B" w:rsidRPr="000F78F0">
        <w:rPr>
          <w:sz w:val="24"/>
          <w:szCs w:val="24"/>
        </w:rPr>
        <w:t xml:space="preserve">that the licensee need not file </w:t>
      </w:r>
      <w:r w:rsidRPr="000F78F0">
        <w:rPr>
          <w:sz w:val="24"/>
          <w:szCs w:val="24"/>
        </w:rPr>
        <w:t xml:space="preserve">a </w:t>
      </w:r>
      <w:r w:rsidR="00BD340B" w:rsidRPr="000F78F0">
        <w:rPr>
          <w:sz w:val="24"/>
          <w:szCs w:val="24"/>
        </w:rPr>
        <w:t xml:space="preserve">letter notification (or a petition for declaratory ruling) if the reorganization is instead the subject of a </w:t>
      </w:r>
      <w:r w:rsidR="00BD340B" w:rsidRPr="000F78F0">
        <w:rPr>
          <w:i/>
          <w:sz w:val="24"/>
          <w:szCs w:val="24"/>
        </w:rPr>
        <w:t>pro</w:t>
      </w:r>
      <w:r w:rsidR="00BD340B" w:rsidRPr="000F78F0">
        <w:rPr>
          <w:sz w:val="24"/>
          <w:szCs w:val="24"/>
        </w:rPr>
        <w:t xml:space="preserve"> </w:t>
      </w:r>
      <w:r w:rsidR="00BD340B" w:rsidRPr="000F78F0">
        <w:rPr>
          <w:i/>
          <w:sz w:val="24"/>
          <w:szCs w:val="24"/>
        </w:rPr>
        <w:t>forma</w:t>
      </w:r>
      <w:r w:rsidR="00BD340B" w:rsidRPr="000F78F0">
        <w:rPr>
          <w:sz w:val="24"/>
          <w:szCs w:val="24"/>
        </w:rPr>
        <w:t xml:space="preserve"> application or </w:t>
      </w:r>
      <w:r w:rsidR="00BD340B" w:rsidRPr="000F78F0">
        <w:rPr>
          <w:i/>
          <w:sz w:val="24"/>
          <w:szCs w:val="24"/>
        </w:rPr>
        <w:t>pro</w:t>
      </w:r>
      <w:r w:rsidR="00BD340B" w:rsidRPr="000F78F0">
        <w:rPr>
          <w:sz w:val="24"/>
          <w:szCs w:val="24"/>
        </w:rPr>
        <w:t xml:space="preserve"> </w:t>
      </w:r>
      <w:r w:rsidR="00BD340B" w:rsidRPr="000F78F0">
        <w:rPr>
          <w:i/>
          <w:sz w:val="24"/>
          <w:szCs w:val="24"/>
        </w:rPr>
        <w:t>forma</w:t>
      </w:r>
      <w:r w:rsidR="00BD340B" w:rsidRPr="000F78F0">
        <w:rPr>
          <w:sz w:val="24"/>
          <w:szCs w:val="24"/>
        </w:rPr>
        <w:t xml:space="preserve"> notification already filed with the Commission pursuant to the relevant </w:t>
      </w:r>
      <w:r w:rsidRPr="000F78F0">
        <w:rPr>
          <w:sz w:val="24"/>
          <w:szCs w:val="24"/>
        </w:rPr>
        <w:t xml:space="preserve">broadcast or common carrier </w:t>
      </w:r>
      <w:r w:rsidR="00BD340B" w:rsidRPr="000F78F0">
        <w:rPr>
          <w:sz w:val="24"/>
          <w:szCs w:val="24"/>
        </w:rPr>
        <w:t>service rules applicable to the licensee.</w:t>
      </w:r>
      <w:r w:rsidRPr="000F78F0">
        <w:rPr>
          <w:sz w:val="24"/>
          <w:szCs w:val="24"/>
        </w:rPr>
        <w:t xml:space="preserve">  Because the broadcast service rules always require the filing of a </w:t>
      </w:r>
      <w:r w:rsidRPr="000F78F0">
        <w:rPr>
          <w:i/>
          <w:sz w:val="24"/>
          <w:szCs w:val="24"/>
        </w:rPr>
        <w:t>pro forma</w:t>
      </w:r>
      <w:r w:rsidRPr="000F78F0">
        <w:rPr>
          <w:sz w:val="24"/>
          <w:szCs w:val="24"/>
        </w:rPr>
        <w:t xml:space="preserve"> application and Commission consent to the application before a broadcast licensee undertakes a restructuring in the circumstances covered by Section 1.5004(c), broadcast licensees will not need to make any additional filings with the Commission under this rule</w:t>
      </w:r>
      <w:r w:rsidR="00A91EB3" w:rsidRPr="000F78F0">
        <w:rPr>
          <w:sz w:val="24"/>
          <w:szCs w:val="24"/>
        </w:rPr>
        <w:t>.  T</w:t>
      </w:r>
      <w:r w:rsidRPr="000F78F0">
        <w:rPr>
          <w:sz w:val="24"/>
          <w:szCs w:val="24"/>
        </w:rPr>
        <w:t>herefore, we have not included any estimated burdens</w:t>
      </w:r>
      <w:r w:rsidR="00A91EB3" w:rsidRPr="000F78F0">
        <w:rPr>
          <w:sz w:val="24"/>
          <w:szCs w:val="24"/>
        </w:rPr>
        <w:t xml:space="preserve"> for broadcasters under Section 1.5004(c). </w:t>
      </w:r>
      <w:r w:rsidRPr="000F78F0">
        <w:rPr>
          <w:sz w:val="24"/>
          <w:szCs w:val="24"/>
        </w:rPr>
        <w:t xml:space="preserve"> </w:t>
      </w:r>
    </w:p>
    <w:p w:rsidR="00144FC3" w:rsidRDefault="000F78F0" w:rsidP="00235F48">
      <w:pPr>
        <w:pStyle w:val="ParaNum"/>
        <w:numPr>
          <w:ilvl w:val="0"/>
          <w:numId w:val="0"/>
        </w:numPr>
        <w:tabs>
          <w:tab w:val="left" w:pos="720"/>
        </w:tabs>
        <w:jc w:val="left"/>
        <w:rPr>
          <w:sz w:val="24"/>
          <w:szCs w:val="24"/>
        </w:rPr>
      </w:pPr>
      <w:r w:rsidRPr="000F78F0">
        <w:rPr>
          <w:sz w:val="24"/>
          <w:szCs w:val="24"/>
        </w:rPr>
        <w:t xml:space="preserve">The table below does not include burden hours associated with the “transition filings” that currently are included in the inventory for this collection.   The “transition filings” were shown in the 2013 and 2015 tables as a separate category of petitions for declaratory ruling.  </w:t>
      </w:r>
      <w:r w:rsidR="001C3085">
        <w:rPr>
          <w:sz w:val="24"/>
          <w:szCs w:val="24"/>
        </w:rPr>
        <w:t>We are eliminating the separate category for transition filings and the estimated burden hours</w:t>
      </w:r>
      <w:r w:rsidR="00EA523C">
        <w:rPr>
          <w:sz w:val="24"/>
          <w:szCs w:val="24"/>
        </w:rPr>
        <w:t xml:space="preserve"> for common carrier licensees</w:t>
      </w:r>
      <w:r w:rsidR="001C3085">
        <w:rPr>
          <w:sz w:val="24"/>
          <w:szCs w:val="24"/>
        </w:rPr>
        <w:t xml:space="preserve">.  </w:t>
      </w:r>
      <w:r w:rsidRPr="000F78F0">
        <w:rPr>
          <w:sz w:val="24"/>
          <w:szCs w:val="24"/>
        </w:rPr>
        <w:t xml:space="preserve">This category was intended to </w:t>
      </w:r>
      <w:r w:rsidR="001C3085">
        <w:rPr>
          <w:sz w:val="24"/>
          <w:szCs w:val="24"/>
        </w:rPr>
        <w:t xml:space="preserve">account for </w:t>
      </w:r>
      <w:r w:rsidRPr="000F78F0">
        <w:rPr>
          <w:sz w:val="24"/>
          <w:szCs w:val="24"/>
        </w:rPr>
        <w:t xml:space="preserve">petitions </w:t>
      </w:r>
      <w:r w:rsidR="001C3085">
        <w:rPr>
          <w:sz w:val="24"/>
          <w:szCs w:val="24"/>
        </w:rPr>
        <w:t xml:space="preserve">for declaratory ruling </w:t>
      </w:r>
      <w:r w:rsidRPr="000F78F0">
        <w:rPr>
          <w:sz w:val="24"/>
          <w:szCs w:val="24"/>
        </w:rPr>
        <w:t>filed by common carrier licensees that had received a foreign ownership ruling prior to the August 9, 2013</w:t>
      </w:r>
      <w:r w:rsidR="00EA523C">
        <w:rPr>
          <w:sz w:val="24"/>
          <w:szCs w:val="24"/>
        </w:rPr>
        <w:t>,</w:t>
      </w:r>
      <w:r w:rsidRPr="000F78F0">
        <w:rPr>
          <w:sz w:val="24"/>
          <w:szCs w:val="24"/>
        </w:rPr>
        <w:t xml:space="preserve"> effective date of the current rules </w:t>
      </w:r>
      <w:r w:rsidR="001C3085">
        <w:rPr>
          <w:sz w:val="24"/>
          <w:szCs w:val="24"/>
        </w:rPr>
        <w:t xml:space="preserve">and </w:t>
      </w:r>
      <w:r w:rsidRPr="000F78F0">
        <w:rPr>
          <w:sz w:val="24"/>
          <w:szCs w:val="24"/>
        </w:rPr>
        <w:t>that sought to obtain a new ruling under the 2013 rules</w:t>
      </w:r>
      <w:r w:rsidR="001C3085">
        <w:rPr>
          <w:sz w:val="24"/>
          <w:szCs w:val="24"/>
        </w:rPr>
        <w:t>.</w:t>
      </w:r>
      <w:r w:rsidRPr="000F78F0">
        <w:rPr>
          <w:sz w:val="24"/>
          <w:szCs w:val="24"/>
        </w:rPr>
        <w:t xml:space="preserve"> </w:t>
      </w:r>
      <w:r w:rsidR="001C3085">
        <w:rPr>
          <w:sz w:val="24"/>
          <w:szCs w:val="24"/>
        </w:rPr>
        <w:t xml:space="preserve"> (Rulings issued under the 2013 rules</w:t>
      </w:r>
      <w:r w:rsidR="00144FC3">
        <w:rPr>
          <w:sz w:val="24"/>
          <w:szCs w:val="24"/>
        </w:rPr>
        <w:t xml:space="preserve"> (and that will be issued under the 2016 rules) </w:t>
      </w:r>
      <w:r w:rsidR="001C3085">
        <w:rPr>
          <w:sz w:val="24"/>
          <w:szCs w:val="24"/>
        </w:rPr>
        <w:t xml:space="preserve">provide broader authority to accommodate post-ruling changes in a licensee’s foreign ownership than the rulings issued prior to </w:t>
      </w:r>
      <w:r w:rsidR="00144FC3">
        <w:rPr>
          <w:sz w:val="24"/>
          <w:szCs w:val="24"/>
        </w:rPr>
        <w:t xml:space="preserve">August 9, </w:t>
      </w:r>
      <w:r w:rsidR="001C3085">
        <w:rPr>
          <w:sz w:val="24"/>
          <w:szCs w:val="24"/>
        </w:rPr>
        <w:t>2013)</w:t>
      </w:r>
      <w:r w:rsidR="00144FC3">
        <w:rPr>
          <w:sz w:val="24"/>
          <w:szCs w:val="24"/>
        </w:rPr>
        <w:t>.</w:t>
      </w:r>
      <w:r w:rsidR="001C3085">
        <w:rPr>
          <w:sz w:val="24"/>
          <w:szCs w:val="24"/>
        </w:rPr>
        <w:t xml:space="preserve">  </w:t>
      </w:r>
    </w:p>
    <w:p w:rsidR="00C548F2" w:rsidRDefault="007E6393" w:rsidP="00235F48">
      <w:pPr>
        <w:pStyle w:val="ParaNum"/>
        <w:numPr>
          <w:ilvl w:val="0"/>
          <w:numId w:val="0"/>
        </w:numPr>
        <w:tabs>
          <w:tab w:val="left" w:pos="720"/>
        </w:tabs>
        <w:jc w:val="left"/>
        <w:rPr>
          <w:sz w:val="24"/>
          <w:szCs w:val="24"/>
        </w:rPr>
      </w:pPr>
      <w:r>
        <w:rPr>
          <w:sz w:val="24"/>
          <w:szCs w:val="24"/>
        </w:rPr>
        <w:t xml:space="preserve">Since the effective date of the 2013 rules, we have not received any petitions for declaratory ruling filed by a licensee with a “pre-August 9, 2013 ruling” for the sole purpose of obtaining a “new” ruling under the 2013 rules.  </w:t>
      </w:r>
      <w:r w:rsidR="001C3085">
        <w:rPr>
          <w:sz w:val="24"/>
          <w:szCs w:val="24"/>
        </w:rPr>
        <w:t xml:space="preserve">Instead, these licensees </w:t>
      </w:r>
      <w:r w:rsidR="00144FC3">
        <w:rPr>
          <w:sz w:val="24"/>
          <w:szCs w:val="24"/>
        </w:rPr>
        <w:t xml:space="preserve">have been </w:t>
      </w:r>
      <w:r w:rsidR="001C3085">
        <w:rPr>
          <w:sz w:val="24"/>
          <w:szCs w:val="24"/>
        </w:rPr>
        <w:t xml:space="preserve">filing petitions under the 2013 rules when </w:t>
      </w:r>
      <w:r w:rsidR="004252D5">
        <w:rPr>
          <w:sz w:val="24"/>
          <w:szCs w:val="24"/>
        </w:rPr>
        <w:t xml:space="preserve">consummation of a particular planned transaction would render the licensee out of compliance with the terms and conditions of its </w:t>
      </w:r>
      <w:r w:rsidR="00144FC3">
        <w:rPr>
          <w:sz w:val="24"/>
          <w:szCs w:val="24"/>
        </w:rPr>
        <w:t xml:space="preserve">pre-August 9, 2013 </w:t>
      </w:r>
      <w:r w:rsidR="004252D5">
        <w:rPr>
          <w:sz w:val="24"/>
          <w:szCs w:val="24"/>
        </w:rPr>
        <w:t>ruling (e.g., the planned acquisition of an equity and/or voting interest greater than five percent in the controlling U.S. parent of the licensee by a new foreign investor).  Given the</w:t>
      </w:r>
      <w:r w:rsidR="00144FC3">
        <w:rPr>
          <w:sz w:val="24"/>
          <w:szCs w:val="24"/>
        </w:rPr>
        <w:t xml:space="preserve">se </w:t>
      </w:r>
      <w:r w:rsidR="004252D5">
        <w:rPr>
          <w:sz w:val="24"/>
          <w:szCs w:val="24"/>
        </w:rPr>
        <w:t>circumstances, and the fact that the 2013</w:t>
      </w:r>
      <w:r w:rsidR="00CA0674">
        <w:rPr>
          <w:sz w:val="24"/>
          <w:szCs w:val="24"/>
        </w:rPr>
        <w:t xml:space="preserve"> rules have been in effect for </w:t>
      </w:r>
      <w:r w:rsidR="004252D5">
        <w:rPr>
          <w:sz w:val="24"/>
          <w:szCs w:val="24"/>
        </w:rPr>
        <w:t xml:space="preserve">more than three years, we believe a more appropriate approach for this collection </w:t>
      </w:r>
      <w:r w:rsidR="00C548F2">
        <w:rPr>
          <w:sz w:val="24"/>
          <w:szCs w:val="24"/>
        </w:rPr>
        <w:t xml:space="preserve">going-forward </w:t>
      </w:r>
      <w:r w:rsidR="004252D5">
        <w:rPr>
          <w:sz w:val="24"/>
          <w:szCs w:val="24"/>
        </w:rPr>
        <w:t xml:space="preserve">is to eliminate the separate category and burden hours for common carrier licensees’ “transition filings.”  </w:t>
      </w:r>
    </w:p>
    <w:p w:rsidR="00B94281" w:rsidRDefault="00CA0674" w:rsidP="00235F48">
      <w:pPr>
        <w:pStyle w:val="ParaNum"/>
        <w:numPr>
          <w:ilvl w:val="0"/>
          <w:numId w:val="0"/>
        </w:numPr>
        <w:tabs>
          <w:tab w:val="left" w:pos="720"/>
        </w:tabs>
        <w:jc w:val="left"/>
        <w:rPr>
          <w:sz w:val="24"/>
          <w:szCs w:val="24"/>
        </w:rPr>
      </w:pPr>
      <w:r>
        <w:rPr>
          <w:sz w:val="24"/>
          <w:szCs w:val="24"/>
        </w:rPr>
        <w:t xml:space="preserve">The current inventory for </w:t>
      </w:r>
      <w:r w:rsidR="00144FC3">
        <w:rPr>
          <w:sz w:val="24"/>
          <w:szCs w:val="24"/>
        </w:rPr>
        <w:t xml:space="preserve">common carrier licensees’ </w:t>
      </w:r>
      <w:r>
        <w:rPr>
          <w:sz w:val="24"/>
          <w:szCs w:val="24"/>
        </w:rPr>
        <w:t xml:space="preserve">“Petitions to Extend Existing Ruling” </w:t>
      </w:r>
      <w:r w:rsidR="00144FC3">
        <w:rPr>
          <w:sz w:val="24"/>
          <w:szCs w:val="24"/>
        </w:rPr>
        <w:t xml:space="preserve">(as we refer to this category of petitions in the 2013 and 2015 tables) consists of </w:t>
      </w:r>
      <w:r>
        <w:rPr>
          <w:sz w:val="24"/>
          <w:szCs w:val="24"/>
        </w:rPr>
        <w:t xml:space="preserve">216 </w:t>
      </w:r>
      <w:r w:rsidR="00144FC3">
        <w:rPr>
          <w:sz w:val="24"/>
          <w:szCs w:val="24"/>
        </w:rPr>
        <w:t xml:space="preserve">estimated </w:t>
      </w:r>
      <w:r>
        <w:rPr>
          <w:sz w:val="24"/>
          <w:szCs w:val="24"/>
        </w:rPr>
        <w:t>burden hours</w:t>
      </w:r>
      <w:r w:rsidR="00144FC3">
        <w:rPr>
          <w:sz w:val="24"/>
          <w:szCs w:val="24"/>
        </w:rPr>
        <w:t xml:space="preserve">.  </w:t>
      </w:r>
      <w:r w:rsidR="00B94281">
        <w:rPr>
          <w:sz w:val="24"/>
          <w:szCs w:val="24"/>
        </w:rPr>
        <w:t xml:space="preserve">Based on our experience, we anticipate that the existing 216 burden hour estimate for </w:t>
      </w:r>
      <w:r w:rsidR="00A738C0">
        <w:rPr>
          <w:sz w:val="24"/>
          <w:szCs w:val="24"/>
        </w:rPr>
        <w:t>these petitions is</w:t>
      </w:r>
      <w:r w:rsidR="00B94281">
        <w:rPr>
          <w:sz w:val="24"/>
          <w:szCs w:val="24"/>
        </w:rPr>
        <w:t xml:space="preserve"> sufficient to accommodate all petitions filed by common carrier licensees </w:t>
      </w:r>
      <w:r>
        <w:rPr>
          <w:sz w:val="24"/>
          <w:szCs w:val="24"/>
        </w:rPr>
        <w:t xml:space="preserve">to modify the terms of their </w:t>
      </w:r>
      <w:r w:rsidR="00C548F2">
        <w:rPr>
          <w:sz w:val="24"/>
          <w:szCs w:val="24"/>
        </w:rPr>
        <w:t xml:space="preserve">existing </w:t>
      </w:r>
      <w:r>
        <w:rPr>
          <w:sz w:val="24"/>
          <w:szCs w:val="24"/>
        </w:rPr>
        <w:t>rulings</w:t>
      </w:r>
      <w:r w:rsidR="00C548F2">
        <w:rPr>
          <w:sz w:val="24"/>
          <w:szCs w:val="24"/>
        </w:rPr>
        <w:t xml:space="preserve">, regardless of whether the licensee received its initial ruling before or after </w:t>
      </w:r>
      <w:r w:rsidR="00144FC3">
        <w:rPr>
          <w:sz w:val="24"/>
          <w:szCs w:val="24"/>
        </w:rPr>
        <w:t xml:space="preserve">August 9, </w:t>
      </w:r>
      <w:r w:rsidR="00C548F2">
        <w:rPr>
          <w:sz w:val="24"/>
          <w:szCs w:val="24"/>
        </w:rPr>
        <w:t>2013.</w:t>
      </w:r>
      <w:r w:rsidR="00A738C0">
        <w:rPr>
          <w:sz w:val="24"/>
          <w:szCs w:val="24"/>
        </w:rPr>
        <w:t xml:space="preserve">  We note that we have re-named this category of petitions in the table below as “Petitions to Modify Existing Ruling.”</w:t>
      </w:r>
      <w:r>
        <w:rPr>
          <w:sz w:val="24"/>
          <w:szCs w:val="24"/>
        </w:rPr>
        <w:t xml:space="preserve"> </w:t>
      </w:r>
      <w:r w:rsidR="00144FC3">
        <w:rPr>
          <w:sz w:val="24"/>
          <w:szCs w:val="24"/>
        </w:rPr>
        <w:t xml:space="preserve"> </w:t>
      </w:r>
    </w:p>
    <w:p w:rsidR="00A738C0" w:rsidRDefault="00B94281" w:rsidP="00235F48">
      <w:pPr>
        <w:pStyle w:val="ParaNum"/>
        <w:numPr>
          <w:ilvl w:val="0"/>
          <w:numId w:val="0"/>
        </w:numPr>
        <w:tabs>
          <w:tab w:val="left" w:pos="720"/>
        </w:tabs>
        <w:jc w:val="left"/>
        <w:rPr>
          <w:sz w:val="24"/>
          <w:szCs w:val="24"/>
        </w:rPr>
      </w:pPr>
      <w:r>
        <w:rPr>
          <w:sz w:val="24"/>
          <w:szCs w:val="24"/>
        </w:rPr>
        <w:t>Similarly</w:t>
      </w:r>
      <w:r w:rsidR="005669CE">
        <w:rPr>
          <w:sz w:val="24"/>
          <w:szCs w:val="24"/>
        </w:rPr>
        <w:t>,</w:t>
      </w:r>
      <w:r>
        <w:rPr>
          <w:sz w:val="24"/>
          <w:szCs w:val="24"/>
        </w:rPr>
        <w:t xml:space="preserve"> in the table below, b</w:t>
      </w:r>
      <w:r w:rsidR="000F78F0" w:rsidRPr="000F78F0">
        <w:rPr>
          <w:sz w:val="24"/>
          <w:szCs w:val="24"/>
        </w:rPr>
        <w:t xml:space="preserve">roadcast </w:t>
      </w:r>
      <w:r w:rsidR="00144FC3">
        <w:rPr>
          <w:sz w:val="24"/>
          <w:szCs w:val="24"/>
        </w:rPr>
        <w:t xml:space="preserve">licensees </w:t>
      </w:r>
      <w:r w:rsidR="000F78F0" w:rsidRPr="000F78F0">
        <w:rPr>
          <w:sz w:val="24"/>
          <w:szCs w:val="24"/>
        </w:rPr>
        <w:t xml:space="preserve">that </w:t>
      </w:r>
      <w:r w:rsidR="00C548F2">
        <w:rPr>
          <w:sz w:val="24"/>
          <w:szCs w:val="24"/>
        </w:rPr>
        <w:t xml:space="preserve">have </w:t>
      </w:r>
      <w:r w:rsidR="000F78F0" w:rsidRPr="000F78F0">
        <w:rPr>
          <w:sz w:val="24"/>
          <w:szCs w:val="24"/>
        </w:rPr>
        <w:t>obtain</w:t>
      </w:r>
      <w:r w:rsidR="00C548F2">
        <w:rPr>
          <w:sz w:val="24"/>
          <w:szCs w:val="24"/>
        </w:rPr>
        <w:t>ed</w:t>
      </w:r>
      <w:r w:rsidR="000F78F0" w:rsidRPr="000F78F0">
        <w:rPr>
          <w:sz w:val="24"/>
          <w:szCs w:val="24"/>
        </w:rPr>
        <w:t xml:space="preserve"> a </w:t>
      </w:r>
      <w:r w:rsidR="00C548F2">
        <w:rPr>
          <w:sz w:val="24"/>
          <w:szCs w:val="24"/>
        </w:rPr>
        <w:t xml:space="preserve">foreign ownership </w:t>
      </w:r>
      <w:r w:rsidR="000F78F0" w:rsidRPr="000F78F0">
        <w:rPr>
          <w:sz w:val="24"/>
          <w:szCs w:val="24"/>
        </w:rPr>
        <w:t xml:space="preserve">ruling before the effective date </w:t>
      </w:r>
      <w:r w:rsidR="00C548F2">
        <w:rPr>
          <w:sz w:val="24"/>
          <w:szCs w:val="24"/>
        </w:rPr>
        <w:t xml:space="preserve">of the 2016 rules </w:t>
      </w:r>
      <w:r w:rsidR="000F78F0" w:rsidRPr="000F78F0">
        <w:rPr>
          <w:sz w:val="24"/>
          <w:szCs w:val="24"/>
        </w:rPr>
        <w:t xml:space="preserve">and that </w:t>
      </w:r>
      <w:r w:rsidR="00C548F2">
        <w:rPr>
          <w:sz w:val="24"/>
          <w:szCs w:val="24"/>
        </w:rPr>
        <w:t xml:space="preserve">seek </w:t>
      </w:r>
      <w:r>
        <w:rPr>
          <w:sz w:val="24"/>
          <w:szCs w:val="24"/>
        </w:rPr>
        <w:t xml:space="preserve">to obtain </w:t>
      </w:r>
      <w:r w:rsidR="005831E2">
        <w:rPr>
          <w:sz w:val="24"/>
          <w:szCs w:val="24"/>
        </w:rPr>
        <w:t xml:space="preserve">a modified </w:t>
      </w:r>
      <w:r w:rsidR="000F78F0" w:rsidRPr="000F78F0">
        <w:rPr>
          <w:sz w:val="24"/>
          <w:szCs w:val="24"/>
        </w:rPr>
        <w:t>ruling</w:t>
      </w:r>
      <w:r w:rsidR="00C548F2">
        <w:rPr>
          <w:sz w:val="24"/>
          <w:szCs w:val="24"/>
        </w:rPr>
        <w:t xml:space="preserve"> under the 2016 rules </w:t>
      </w:r>
      <w:r w:rsidR="004D4065">
        <w:rPr>
          <w:sz w:val="24"/>
          <w:szCs w:val="24"/>
        </w:rPr>
        <w:t>are included in the category “P</w:t>
      </w:r>
      <w:r w:rsidR="000F78F0" w:rsidRPr="000F78F0">
        <w:rPr>
          <w:sz w:val="24"/>
          <w:szCs w:val="24"/>
        </w:rPr>
        <w:t xml:space="preserve">etitions to </w:t>
      </w:r>
      <w:r w:rsidR="004D4065">
        <w:rPr>
          <w:sz w:val="24"/>
          <w:szCs w:val="24"/>
        </w:rPr>
        <w:t>M</w:t>
      </w:r>
      <w:r w:rsidR="000F78F0" w:rsidRPr="000F78F0">
        <w:rPr>
          <w:sz w:val="24"/>
          <w:szCs w:val="24"/>
        </w:rPr>
        <w:t xml:space="preserve">odify </w:t>
      </w:r>
      <w:r w:rsidR="004D4065">
        <w:rPr>
          <w:sz w:val="24"/>
          <w:szCs w:val="24"/>
        </w:rPr>
        <w:t>Existing R</w:t>
      </w:r>
      <w:r w:rsidR="000F78F0" w:rsidRPr="000F78F0">
        <w:rPr>
          <w:sz w:val="24"/>
          <w:szCs w:val="24"/>
        </w:rPr>
        <w:t>uling.”</w:t>
      </w:r>
      <w:r w:rsidR="005831E2">
        <w:rPr>
          <w:sz w:val="24"/>
          <w:szCs w:val="24"/>
        </w:rPr>
        <w:t xml:space="preserve">  Because very few broadcast petitions will have been granted by the time the 2016 rules take effect (as compared to the number of common carrier rulings that had been </w:t>
      </w:r>
      <w:r w:rsidR="004D4065">
        <w:rPr>
          <w:sz w:val="24"/>
          <w:szCs w:val="24"/>
        </w:rPr>
        <w:t xml:space="preserve">granted </w:t>
      </w:r>
      <w:r w:rsidR="00A738C0">
        <w:rPr>
          <w:sz w:val="24"/>
          <w:szCs w:val="24"/>
        </w:rPr>
        <w:t xml:space="preserve">before </w:t>
      </w:r>
      <w:r w:rsidR="004D4065">
        <w:rPr>
          <w:sz w:val="24"/>
          <w:szCs w:val="24"/>
        </w:rPr>
        <w:t>August 9, 2013),</w:t>
      </w:r>
      <w:r w:rsidR="005831E2">
        <w:rPr>
          <w:sz w:val="24"/>
          <w:szCs w:val="24"/>
        </w:rPr>
        <w:t xml:space="preserve"> we believe it is not necessary or helpful to monitor any broadcast “transition” filings by creating a separate category</w:t>
      </w:r>
      <w:r w:rsidR="004D4065">
        <w:rPr>
          <w:sz w:val="24"/>
          <w:szCs w:val="24"/>
        </w:rPr>
        <w:t xml:space="preserve"> in this collection</w:t>
      </w:r>
      <w:r w:rsidR="00A738C0">
        <w:rPr>
          <w:sz w:val="24"/>
          <w:szCs w:val="24"/>
        </w:rPr>
        <w:t xml:space="preserve"> as did for common carrier licensees in 2013</w:t>
      </w:r>
      <w:r w:rsidR="005831E2">
        <w:rPr>
          <w:sz w:val="24"/>
          <w:szCs w:val="24"/>
        </w:rPr>
        <w:t>.</w:t>
      </w:r>
    </w:p>
    <w:p w:rsidR="00F531BC" w:rsidRDefault="00A738C0" w:rsidP="00F531BC">
      <w:pPr>
        <w:pStyle w:val="ParaNum"/>
        <w:numPr>
          <w:ilvl w:val="0"/>
          <w:numId w:val="0"/>
        </w:numPr>
        <w:tabs>
          <w:tab w:val="left" w:pos="720"/>
        </w:tabs>
        <w:jc w:val="left"/>
        <w:rPr>
          <w:sz w:val="24"/>
          <w:szCs w:val="24"/>
        </w:rPr>
      </w:pPr>
      <w:r>
        <w:rPr>
          <w:sz w:val="24"/>
          <w:szCs w:val="24"/>
        </w:rPr>
        <w:t xml:space="preserve">As reflected in the table below, we estimate the </w:t>
      </w:r>
      <w:r w:rsidR="009B0B3D">
        <w:rPr>
          <w:sz w:val="24"/>
          <w:szCs w:val="24"/>
        </w:rPr>
        <w:t xml:space="preserve">same time per response for broadcast as for common carrier responses.  We do not expect any difference in </w:t>
      </w:r>
      <w:r>
        <w:rPr>
          <w:sz w:val="24"/>
          <w:szCs w:val="24"/>
        </w:rPr>
        <w:t xml:space="preserve">burden hours </w:t>
      </w:r>
      <w:r w:rsidR="009B0B3D">
        <w:rPr>
          <w:sz w:val="24"/>
          <w:szCs w:val="24"/>
        </w:rPr>
        <w:t>per response, but we do estimate a different number of responses for broadcast respondents as compared to common carrier respondents.</w:t>
      </w:r>
      <w:r w:rsidR="00F531BC">
        <w:rPr>
          <w:sz w:val="24"/>
          <w:szCs w:val="24"/>
        </w:rPr>
        <w:t xml:space="preserve"> </w:t>
      </w:r>
    </w:p>
    <w:p w:rsidR="00D45E1D" w:rsidRDefault="000B123D" w:rsidP="00F531BC">
      <w:pPr>
        <w:pStyle w:val="ParaNum"/>
        <w:numPr>
          <w:ilvl w:val="0"/>
          <w:numId w:val="0"/>
        </w:numPr>
        <w:tabs>
          <w:tab w:val="left" w:pos="720"/>
        </w:tabs>
        <w:jc w:val="left"/>
        <w:rPr>
          <w:sz w:val="24"/>
          <w:szCs w:val="24"/>
        </w:rPr>
      </w:pPr>
      <w:r>
        <w:rPr>
          <w:sz w:val="24"/>
          <w:szCs w:val="24"/>
        </w:rPr>
        <w:t xml:space="preserve">In addition, </w:t>
      </w:r>
      <w:r w:rsidR="009B0B3D" w:rsidRPr="00F531BC">
        <w:rPr>
          <w:sz w:val="24"/>
          <w:szCs w:val="24"/>
        </w:rPr>
        <w:t>we do not estimate a change in the time per response for “I</w:t>
      </w:r>
      <w:r w:rsidR="00F531BC">
        <w:rPr>
          <w:sz w:val="24"/>
          <w:szCs w:val="24"/>
        </w:rPr>
        <w:t xml:space="preserve">nitial </w:t>
      </w:r>
      <w:r w:rsidR="009B0B3D" w:rsidRPr="00F531BC">
        <w:rPr>
          <w:sz w:val="24"/>
          <w:szCs w:val="24"/>
        </w:rPr>
        <w:t>Petitions,” “Petitions to Modify Existing Ruling,” or notifications filed under rule section 1.5004(f)(1) (currently, 1.994(f)(1).  We have no basis to estimate a higher or lower number of burden hours for</w:t>
      </w:r>
      <w:r w:rsidR="00F531BC" w:rsidRPr="00F531BC">
        <w:rPr>
          <w:sz w:val="24"/>
          <w:szCs w:val="24"/>
        </w:rPr>
        <w:t xml:space="preserve"> these responses.  As noted in response to Question 1, Section 1.5000(e) of the 2016 </w:t>
      </w:r>
      <w:r w:rsidR="00F531BC">
        <w:rPr>
          <w:sz w:val="24"/>
          <w:szCs w:val="24"/>
        </w:rPr>
        <w:t xml:space="preserve">rules </w:t>
      </w:r>
      <w:r w:rsidR="00F531BC" w:rsidRPr="00F531BC">
        <w:rPr>
          <w:sz w:val="24"/>
          <w:szCs w:val="24"/>
        </w:rPr>
        <w:t>codifies a revised methodology to be used by both common carrier and broadcast licensees that are, or are controlled by, U.S. publicly traded companies to assess their compliance with the foreign ownership limits in Sections 310(b)(3) and 310(b)(4) of the Act, respectively.</w:t>
      </w:r>
      <w:r w:rsidR="00F531BC">
        <w:rPr>
          <w:sz w:val="24"/>
          <w:szCs w:val="24"/>
        </w:rPr>
        <w:t xml:space="preserve">  The Commission found</w:t>
      </w:r>
      <w:r w:rsidR="00E07EF9">
        <w:rPr>
          <w:sz w:val="24"/>
          <w:szCs w:val="24"/>
        </w:rPr>
        <w:t>, based on the record</w:t>
      </w:r>
      <w:r w:rsidR="00F531BC">
        <w:rPr>
          <w:sz w:val="24"/>
          <w:szCs w:val="24"/>
        </w:rPr>
        <w:t xml:space="preserve"> in the 2016 Foreign Ownership Report and Order</w:t>
      </w:r>
      <w:r w:rsidR="00E07EF9">
        <w:rPr>
          <w:sz w:val="24"/>
          <w:szCs w:val="24"/>
        </w:rPr>
        <w:t>,</w:t>
      </w:r>
      <w:r w:rsidR="00D974DC">
        <w:rPr>
          <w:sz w:val="24"/>
          <w:szCs w:val="24"/>
        </w:rPr>
        <w:t xml:space="preserve"> </w:t>
      </w:r>
      <w:r w:rsidR="00F531BC">
        <w:rPr>
          <w:sz w:val="24"/>
          <w:szCs w:val="24"/>
        </w:rPr>
        <w:t xml:space="preserve">that this methodology </w:t>
      </w:r>
      <w:r w:rsidR="00E07EF9">
        <w:rPr>
          <w:sz w:val="24"/>
          <w:szCs w:val="24"/>
        </w:rPr>
        <w:t xml:space="preserve">would rationalize the process for such companies’ determinations of compliance with the statutory foreign ownership limits, with concomitant reductions in </w:t>
      </w:r>
      <w:r w:rsidR="007E0F9E">
        <w:rPr>
          <w:sz w:val="24"/>
          <w:szCs w:val="24"/>
        </w:rPr>
        <w:t>the costs and burdens associated with determinations of compliance</w:t>
      </w:r>
      <w:r w:rsidR="00E07EF9">
        <w:rPr>
          <w:sz w:val="24"/>
          <w:szCs w:val="24"/>
        </w:rPr>
        <w:t xml:space="preserve">.  Although the comments supported this finding, commenters did not attempt to quantify such reductions.  We decline to estimate a particular reduction in burden hours at this time, but will evaluate whether an inventory reduction is warranted </w:t>
      </w:r>
      <w:r>
        <w:rPr>
          <w:sz w:val="24"/>
          <w:szCs w:val="24"/>
        </w:rPr>
        <w:t xml:space="preserve">to the extent we receive comments on the information collection requirements contained in this supporting statement and </w:t>
      </w:r>
      <w:r w:rsidR="00E07EF9">
        <w:rPr>
          <w:sz w:val="24"/>
          <w:szCs w:val="24"/>
        </w:rPr>
        <w:t>as the new rules are implemented.</w:t>
      </w:r>
    </w:p>
    <w:p w:rsidR="00D45E1D" w:rsidRDefault="00D45E1D" w:rsidP="00F531BC">
      <w:pPr>
        <w:pStyle w:val="ParaNum"/>
        <w:numPr>
          <w:ilvl w:val="0"/>
          <w:numId w:val="0"/>
        </w:numPr>
        <w:tabs>
          <w:tab w:val="left" w:pos="720"/>
        </w:tabs>
        <w:jc w:val="left"/>
        <w:rPr>
          <w:sz w:val="24"/>
          <w:szCs w:val="24"/>
        </w:rPr>
      </w:pPr>
      <w:r>
        <w:rPr>
          <w:sz w:val="24"/>
          <w:szCs w:val="24"/>
        </w:rPr>
        <w:t xml:space="preserve">We also make no change in the number of responses for common carrier licensees’ </w:t>
      </w:r>
      <w:r w:rsidRPr="00F531BC">
        <w:rPr>
          <w:sz w:val="24"/>
          <w:szCs w:val="24"/>
        </w:rPr>
        <w:t>“I</w:t>
      </w:r>
      <w:r>
        <w:rPr>
          <w:sz w:val="24"/>
          <w:szCs w:val="24"/>
        </w:rPr>
        <w:t xml:space="preserve">nitial </w:t>
      </w:r>
      <w:r w:rsidRPr="00F531BC">
        <w:rPr>
          <w:sz w:val="24"/>
          <w:szCs w:val="24"/>
        </w:rPr>
        <w:t>Petitions,” “Petitions to Modify Existing Ruling,” or notifications filed under rule section 1.5004(f)(1) (currently, 1.994(f)(1)</w:t>
      </w:r>
      <w:r w:rsidR="002E3517">
        <w:rPr>
          <w:sz w:val="24"/>
          <w:szCs w:val="24"/>
        </w:rPr>
        <w:t>)</w:t>
      </w:r>
      <w:r w:rsidRPr="00F531BC">
        <w:rPr>
          <w:sz w:val="24"/>
          <w:szCs w:val="24"/>
        </w:rPr>
        <w:t>.</w:t>
      </w:r>
      <w:r>
        <w:rPr>
          <w:sz w:val="24"/>
          <w:szCs w:val="24"/>
        </w:rPr>
        <w:t xml:space="preserve">  While we have not received as many </w:t>
      </w:r>
      <w:r w:rsidRPr="00F531BC">
        <w:rPr>
          <w:sz w:val="24"/>
          <w:szCs w:val="24"/>
        </w:rPr>
        <w:t>“I</w:t>
      </w:r>
      <w:r>
        <w:rPr>
          <w:sz w:val="24"/>
          <w:szCs w:val="24"/>
        </w:rPr>
        <w:t xml:space="preserve">nitial </w:t>
      </w:r>
      <w:r w:rsidRPr="00F531BC">
        <w:rPr>
          <w:sz w:val="24"/>
          <w:szCs w:val="24"/>
        </w:rPr>
        <w:t>Petitions”</w:t>
      </w:r>
      <w:r>
        <w:rPr>
          <w:sz w:val="24"/>
          <w:szCs w:val="24"/>
        </w:rPr>
        <w:t xml:space="preserve"> or</w:t>
      </w:r>
      <w:r w:rsidRPr="00F531BC">
        <w:rPr>
          <w:sz w:val="24"/>
          <w:szCs w:val="24"/>
        </w:rPr>
        <w:t xml:space="preserve"> “Petitions to Modify Existing Ruling,” </w:t>
      </w:r>
      <w:r w:rsidRPr="00D45E1D">
        <w:rPr>
          <w:sz w:val="24"/>
          <w:szCs w:val="24"/>
        </w:rPr>
        <w:t>as we have allowed for in the</w:t>
      </w:r>
      <w:r>
        <w:rPr>
          <w:sz w:val="24"/>
          <w:szCs w:val="24"/>
        </w:rPr>
        <w:t xml:space="preserve"> current inventory</w:t>
      </w:r>
      <w:r w:rsidRPr="00D45E1D">
        <w:rPr>
          <w:sz w:val="24"/>
          <w:szCs w:val="24"/>
        </w:rPr>
        <w:t>,</w:t>
      </w:r>
      <w:r w:rsidRPr="000F78F0">
        <w:rPr>
          <w:b/>
          <w:sz w:val="24"/>
          <w:szCs w:val="24"/>
        </w:rPr>
        <w:t xml:space="preserve"> </w:t>
      </w:r>
      <w:r w:rsidRPr="00D45E1D">
        <w:rPr>
          <w:sz w:val="24"/>
          <w:szCs w:val="24"/>
        </w:rPr>
        <w:t>we do not seek to reduce the inventory at this time out of an abundance of caution.</w:t>
      </w:r>
    </w:p>
    <w:p w:rsidR="005C09C5" w:rsidRPr="007E6393" w:rsidRDefault="000B123D" w:rsidP="002B6D62">
      <w:pPr>
        <w:pStyle w:val="ParaNum"/>
        <w:numPr>
          <w:ilvl w:val="0"/>
          <w:numId w:val="0"/>
        </w:numPr>
        <w:tabs>
          <w:tab w:val="left" w:pos="720"/>
        </w:tabs>
        <w:jc w:val="left"/>
        <w:rPr>
          <w:szCs w:val="22"/>
        </w:rPr>
      </w:pPr>
      <w:r>
        <w:rPr>
          <w:sz w:val="24"/>
          <w:szCs w:val="24"/>
        </w:rPr>
        <w:t>Finally, Section</w:t>
      </w:r>
      <w:r w:rsidR="000E2F1B">
        <w:rPr>
          <w:sz w:val="24"/>
          <w:szCs w:val="24"/>
        </w:rPr>
        <w:t xml:space="preserve"> 1.5004(f)</w:t>
      </w:r>
      <w:r>
        <w:rPr>
          <w:sz w:val="24"/>
          <w:szCs w:val="24"/>
        </w:rPr>
        <w:t xml:space="preserve">(3) </w:t>
      </w:r>
      <w:r w:rsidR="009B0B3D" w:rsidRPr="00F531BC">
        <w:rPr>
          <w:sz w:val="24"/>
          <w:szCs w:val="24"/>
        </w:rPr>
        <w:t xml:space="preserve">sets forth new compliance provisions for </w:t>
      </w:r>
      <w:r w:rsidRPr="00F531BC">
        <w:rPr>
          <w:sz w:val="24"/>
          <w:szCs w:val="24"/>
        </w:rPr>
        <w:t>both common carrier and broadcast licensees that are, or are controlled by, U.S. publicly traded companies.</w:t>
      </w:r>
      <w:r>
        <w:rPr>
          <w:sz w:val="24"/>
          <w:szCs w:val="24"/>
        </w:rPr>
        <w:t xml:space="preserve">  Section 1.5004(f)(3) provides such companies a 30-day period, subject to certain conditions, to file a petition for declaratory ruling seeking post-hoc approval of foreign ownership in excess of the </w:t>
      </w:r>
      <w:r w:rsidR="000E2F1B">
        <w:rPr>
          <w:sz w:val="24"/>
          <w:szCs w:val="24"/>
        </w:rPr>
        <w:t xml:space="preserve">statutory limits </w:t>
      </w:r>
      <w:r>
        <w:rPr>
          <w:sz w:val="24"/>
          <w:szCs w:val="24"/>
        </w:rPr>
        <w:t xml:space="preserve">or approval of any particular foreign interests that require specific approval under the licensee’s existing </w:t>
      </w:r>
      <w:r w:rsidR="000E2F1B">
        <w:rPr>
          <w:sz w:val="24"/>
          <w:szCs w:val="24"/>
        </w:rPr>
        <w:t xml:space="preserve">foreign ownership </w:t>
      </w:r>
      <w:r w:rsidR="00C145AA">
        <w:rPr>
          <w:sz w:val="24"/>
          <w:szCs w:val="24"/>
        </w:rPr>
        <w:t>ruling, where the after-the-fact filing is due solely to circumstances beyond the licensee’s control that were not reasonably foreseeable to or known by the li</w:t>
      </w:r>
      <w:r w:rsidR="000E2F1B">
        <w:rPr>
          <w:sz w:val="24"/>
          <w:szCs w:val="24"/>
        </w:rPr>
        <w:t>c</w:t>
      </w:r>
      <w:r w:rsidR="00C145AA">
        <w:rPr>
          <w:sz w:val="24"/>
          <w:szCs w:val="24"/>
        </w:rPr>
        <w:t>ensee with the exercise of the required due diligence.</w:t>
      </w:r>
      <w:r>
        <w:rPr>
          <w:sz w:val="24"/>
          <w:szCs w:val="24"/>
        </w:rPr>
        <w:t xml:space="preserve"> </w:t>
      </w:r>
      <w:r w:rsidR="00821B82">
        <w:rPr>
          <w:szCs w:val="22"/>
        </w:rPr>
        <w:t xml:space="preserve">  </w:t>
      </w:r>
      <w:r w:rsidR="004D1F10">
        <w:rPr>
          <w:szCs w:val="22"/>
        </w:rPr>
        <w:t xml:space="preserve"> </w:t>
      </w:r>
      <w:r w:rsidR="00481BBB">
        <w:rPr>
          <w:szCs w:val="22"/>
        </w:rPr>
        <w:t xml:space="preserve">       </w:t>
      </w:r>
    </w:p>
    <w:tbl>
      <w:tblPr>
        <w:tblW w:w="4887"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5"/>
        <w:gridCol w:w="1185"/>
        <w:gridCol w:w="44"/>
        <w:gridCol w:w="1402"/>
        <w:gridCol w:w="1403"/>
        <w:gridCol w:w="1229"/>
        <w:gridCol w:w="1317"/>
      </w:tblGrid>
      <w:tr w:rsidR="005C09C5" w:rsidRPr="005C09C5" w:rsidTr="004329B5">
        <w:trPr>
          <w:trHeight w:val="2"/>
        </w:trPr>
        <w:tc>
          <w:tcPr>
            <w:tcW w:w="7305" w:type="dxa"/>
            <w:gridSpan w:val="6"/>
            <w:shd w:val="clear" w:color="auto" w:fill="auto"/>
            <w:noWrap/>
          </w:tcPr>
          <w:p w:rsidR="005C09C5" w:rsidRPr="005C09C5" w:rsidRDefault="005C09C5" w:rsidP="005C09C5">
            <w:pPr>
              <w:rPr>
                <w:bCs/>
              </w:rPr>
            </w:pPr>
            <w:r w:rsidRPr="005C09C5">
              <w:br w:type="page"/>
            </w:r>
            <w:r w:rsidRPr="005C09C5">
              <w:br w:type="page"/>
            </w:r>
            <w:r w:rsidRPr="005C09C5">
              <w:rPr>
                <w:spacing w:val="-3"/>
              </w:rPr>
              <w:br w:type="page"/>
            </w:r>
            <w:r w:rsidRPr="005C09C5">
              <w:rPr>
                <w:b/>
                <w:bCs/>
              </w:rPr>
              <w:t>Estimate of Burden Hours:</w:t>
            </w:r>
          </w:p>
        </w:tc>
        <w:tc>
          <w:tcPr>
            <w:tcW w:w="1351" w:type="dxa"/>
            <w:shd w:val="clear" w:color="auto" w:fill="auto"/>
            <w:noWrap/>
            <w:vAlign w:val="bottom"/>
          </w:tcPr>
          <w:p w:rsidR="005C09C5" w:rsidRPr="005C09C5" w:rsidRDefault="005C09C5" w:rsidP="005C09C5">
            <w:pPr>
              <w:rPr>
                <w:rFonts w:ascii="Arial" w:hAnsi="Arial" w:cs="Arial"/>
                <w:sz w:val="20"/>
              </w:rPr>
            </w:pPr>
          </w:p>
        </w:tc>
      </w:tr>
      <w:tr w:rsidR="00130424" w:rsidRPr="005C09C5" w:rsidTr="004329B5">
        <w:trPr>
          <w:trHeight w:val="828"/>
        </w:trPr>
        <w:tc>
          <w:tcPr>
            <w:tcW w:w="1906" w:type="dxa"/>
            <w:shd w:val="clear" w:color="auto" w:fill="auto"/>
            <w:noWrap/>
            <w:vAlign w:val="bottom"/>
          </w:tcPr>
          <w:p w:rsidR="00130424" w:rsidRPr="005C09C5" w:rsidRDefault="00130424" w:rsidP="005C09C5">
            <w:pPr>
              <w:tabs>
                <w:tab w:val="left" w:pos="2127"/>
              </w:tabs>
              <w:jc w:val="center"/>
              <w:rPr>
                <w:b/>
                <w:bCs/>
              </w:rPr>
            </w:pPr>
            <w:r w:rsidRPr="005C09C5">
              <w:rPr>
                <w:b/>
                <w:bCs/>
              </w:rPr>
              <w:t>Explanation</w:t>
            </w:r>
          </w:p>
          <w:p w:rsidR="00130424" w:rsidRPr="005C09C5" w:rsidRDefault="00130424" w:rsidP="005C09C5">
            <w:pPr>
              <w:jc w:val="center"/>
              <w:rPr>
                <w:b/>
                <w:bCs/>
              </w:rPr>
            </w:pPr>
            <w:r w:rsidRPr="005C09C5">
              <w:rPr>
                <w:b/>
                <w:bCs/>
              </w:rPr>
              <w:t>of Burden Estimate</w:t>
            </w:r>
          </w:p>
        </w:tc>
        <w:tc>
          <w:tcPr>
            <w:tcW w:w="2699" w:type="dxa"/>
            <w:gridSpan w:val="3"/>
            <w:shd w:val="clear" w:color="auto" w:fill="auto"/>
            <w:vAlign w:val="bottom"/>
          </w:tcPr>
          <w:p w:rsidR="00130424" w:rsidRPr="005C09C5" w:rsidRDefault="00130424" w:rsidP="005C09C5">
            <w:pPr>
              <w:tabs>
                <w:tab w:val="left" w:pos="2127"/>
              </w:tabs>
              <w:jc w:val="center"/>
              <w:rPr>
                <w:b/>
                <w:bCs/>
              </w:rPr>
            </w:pPr>
            <w:r w:rsidRPr="005C09C5">
              <w:rPr>
                <w:b/>
                <w:bCs/>
              </w:rPr>
              <w:t>Number</w:t>
            </w:r>
          </w:p>
          <w:p w:rsidR="00130424" w:rsidRPr="005C09C5" w:rsidRDefault="00130424" w:rsidP="005C09C5">
            <w:pPr>
              <w:jc w:val="center"/>
              <w:rPr>
                <w:b/>
                <w:bCs/>
              </w:rPr>
            </w:pPr>
            <w:r w:rsidRPr="005C09C5">
              <w:rPr>
                <w:b/>
                <w:bCs/>
              </w:rPr>
              <w:t>Of Responses</w:t>
            </w:r>
          </w:p>
        </w:tc>
        <w:tc>
          <w:tcPr>
            <w:tcW w:w="1440" w:type="dxa"/>
            <w:shd w:val="clear" w:color="auto" w:fill="auto"/>
            <w:noWrap/>
            <w:vAlign w:val="bottom"/>
          </w:tcPr>
          <w:p w:rsidR="00130424" w:rsidRPr="005C09C5" w:rsidRDefault="00130424" w:rsidP="005C09C5">
            <w:pPr>
              <w:jc w:val="center"/>
              <w:rPr>
                <w:b/>
                <w:bCs/>
              </w:rPr>
            </w:pPr>
            <w:r w:rsidRPr="005C09C5">
              <w:rPr>
                <w:b/>
                <w:bCs/>
              </w:rPr>
              <w:t xml:space="preserve">Frequency </w:t>
            </w:r>
          </w:p>
          <w:p w:rsidR="00130424" w:rsidRPr="005C09C5" w:rsidRDefault="00130424" w:rsidP="005C09C5">
            <w:pPr>
              <w:jc w:val="center"/>
              <w:rPr>
                <w:b/>
                <w:bCs/>
              </w:rPr>
            </w:pPr>
            <w:r w:rsidRPr="005C09C5">
              <w:rPr>
                <w:b/>
                <w:bCs/>
              </w:rPr>
              <w:t>of Responses</w:t>
            </w:r>
          </w:p>
        </w:tc>
        <w:tc>
          <w:tcPr>
            <w:tcW w:w="1260" w:type="dxa"/>
            <w:shd w:val="clear" w:color="auto" w:fill="auto"/>
            <w:noWrap/>
            <w:vAlign w:val="bottom"/>
          </w:tcPr>
          <w:p w:rsidR="00130424" w:rsidRPr="005C09C5" w:rsidRDefault="00130424" w:rsidP="005C09C5">
            <w:pPr>
              <w:jc w:val="center"/>
              <w:rPr>
                <w:b/>
                <w:bCs/>
              </w:rPr>
            </w:pPr>
            <w:r w:rsidRPr="005C09C5">
              <w:rPr>
                <w:b/>
                <w:bCs/>
              </w:rPr>
              <w:t>Time</w:t>
            </w:r>
          </w:p>
          <w:p w:rsidR="00130424" w:rsidRPr="005C09C5" w:rsidRDefault="00130424" w:rsidP="005C09C5">
            <w:pPr>
              <w:jc w:val="center"/>
              <w:rPr>
                <w:b/>
                <w:bCs/>
              </w:rPr>
            </w:pPr>
            <w:r w:rsidRPr="005C09C5">
              <w:rPr>
                <w:b/>
                <w:bCs/>
              </w:rPr>
              <w:t>Per Response</w:t>
            </w:r>
          </w:p>
        </w:tc>
        <w:tc>
          <w:tcPr>
            <w:tcW w:w="1351" w:type="dxa"/>
            <w:shd w:val="clear" w:color="auto" w:fill="auto"/>
            <w:noWrap/>
            <w:vAlign w:val="bottom"/>
          </w:tcPr>
          <w:p w:rsidR="00130424" w:rsidRPr="005C09C5" w:rsidRDefault="00130424" w:rsidP="005C09C5">
            <w:pPr>
              <w:jc w:val="center"/>
              <w:rPr>
                <w:b/>
                <w:bCs/>
              </w:rPr>
            </w:pPr>
            <w:r w:rsidRPr="005C09C5">
              <w:rPr>
                <w:b/>
                <w:bCs/>
              </w:rPr>
              <w:t>Annual</w:t>
            </w:r>
          </w:p>
          <w:p w:rsidR="00130424" w:rsidRPr="005C09C5" w:rsidRDefault="00130424" w:rsidP="005C09C5">
            <w:pPr>
              <w:jc w:val="center"/>
              <w:rPr>
                <w:b/>
                <w:bCs/>
              </w:rPr>
            </w:pPr>
            <w:r w:rsidRPr="005C09C5">
              <w:rPr>
                <w:b/>
                <w:bCs/>
              </w:rPr>
              <w:t>Burden  Hours</w:t>
            </w:r>
          </w:p>
        </w:tc>
      </w:tr>
      <w:tr w:rsidR="00130424" w:rsidRPr="005C09C5" w:rsidTr="004329B5">
        <w:trPr>
          <w:trHeight w:val="2"/>
        </w:trPr>
        <w:tc>
          <w:tcPr>
            <w:tcW w:w="1906" w:type="dxa"/>
            <w:shd w:val="clear" w:color="auto" w:fill="auto"/>
            <w:noWrap/>
            <w:vAlign w:val="bottom"/>
          </w:tcPr>
          <w:p w:rsidR="00130424" w:rsidRPr="005C09C5" w:rsidRDefault="00130424" w:rsidP="005C09C5"/>
        </w:tc>
        <w:tc>
          <w:tcPr>
            <w:tcW w:w="1260" w:type="dxa"/>
            <w:gridSpan w:val="2"/>
            <w:shd w:val="clear" w:color="auto" w:fill="auto"/>
            <w:vAlign w:val="bottom"/>
          </w:tcPr>
          <w:p w:rsidR="00130424" w:rsidRPr="000E5813" w:rsidRDefault="00130424" w:rsidP="005C09C5">
            <w:pPr>
              <w:rPr>
                <w:b/>
              </w:rPr>
            </w:pPr>
            <w:r w:rsidRPr="000E5813">
              <w:rPr>
                <w:b/>
              </w:rPr>
              <w:t>Common</w:t>
            </w:r>
          </w:p>
          <w:p w:rsidR="00130424" w:rsidRPr="005C09C5" w:rsidRDefault="00130424" w:rsidP="005C09C5">
            <w:r w:rsidRPr="000E5813">
              <w:rPr>
                <w:b/>
              </w:rPr>
              <w:t>Carrier</w:t>
            </w:r>
          </w:p>
        </w:tc>
        <w:tc>
          <w:tcPr>
            <w:tcW w:w="1439" w:type="dxa"/>
            <w:shd w:val="clear" w:color="auto" w:fill="auto"/>
            <w:vAlign w:val="bottom"/>
          </w:tcPr>
          <w:p w:rsidR="00130424" w:rsidRPr="000E5813" w:rsidRDefault="00130424" w:rsidP="005C09C5">
            <w:pPr>
              <w:rPr>
                <w:b/>
              </w:rPr>
            </w:pPr>
            <w:r w:rsidRPr="000E5813">
              <w:rPr>
                <w:b/>
              </w:rPr>
              <w:t>Broadcast</w:t>
            </w:r>
          </w:p>
        </w:tc>
        <w:tc>
          <w:tcPr>
            <w:tcW w:w="1440" w:type="dxa"/>
            <w:shd w:val="clear" w:color="auto" w:fill="auto"/>
            <w:noWrap/>
            <w:vAlign w:val="bottom"/>
          </w:tcPr>
          <w:p w:rsidR="00130424" w:rsidRPr="005C09C5" w:rsidRDefault="00130424" w:rsidP="005C09C5"/>
        </w:tc>
        <w:tc>
          <w:tcPr>
            <w:tcW w:w="1260" w:type="dxa"/>
            <w:shd w:val="clear" w:color="auto" w:fill="auto"/>
            <w:noWrap/>
            <w:vAlign w:val="bottom"/>
          </w:tcPr>
          <w:p w:rsidR="00130424" w:rsidRPr="005C09C5" w:rsidRDefault="00130424" w:rsidP="005C09C5"/>
        </w:tc>
        <w:tc>
          <w:tcPr>
            <w:tcW w:w="1351" w:type="dxa"/>
            <w:shd w:val="clear" w:color="auto" w:fill="auto"/>
            <w:noWrap/>
            <w:vAlign w:val="bottom"/>
          </w:tcPr>
          <w:p w:rsidR="00130424" w:rsidRPr="005C09C5" w:rsidRDefault="00130424" w:rsidP="005C09C5"/>
        </w:tc>
      </w:tr>
      <w:tr w:rsidR="00130424" w:rsidRPr="005C09C5" w:rsidTr="004329B5">
        <w:trPr>
          <w:trHeight w:val="1088"/>
        </w:trPr>
        <w:tc>
          <w:tcPr>
            <w:tcW w:w="1906" w:type="dxa"/>
            <w:vMerge w:val="restart"/>
            <w:shd w:val="clear" w:color="auto" w:fill="auto"/>
            <w:noWrap/>
          </w:tcPr>
          <w:p w:rsidR="00130424" w:rsidRPr="006C1A2D" w:rsidRDefault="00130424" w:rsidP="00BC22DA">
            <w:pPr>
              <w:jc w:val="center"/>
              <w:rPr>
                <w:b/>
                <w:bCs/>
                <w:color w:val="000000"/>
              </w:rPr>
            </w:pPr>
            <w:r w:rsidRPr="006C1A2D">
              <w:rPr>
                <w:b/>
                <w:bCs/>
                <w:color w:val="000000"/>
              </w:rPr>
              <w:t xml:space="preserve">Rule Sections </w:t>
            </w:r>
            <w:r w:rsidRPr="008E31E8">
              <w:rPr>
                <w:b/>
              </w:rPr>
              <w:t>1.5000, 1.5001(a)-(k), 1.5004(a),   1.5004(e)</w:t>
            </w:r>
            <w:r w:rsidRPr="006C1A2D">
              <w:t xml:space="preserve">  </w:t>
            </w:r>
            <w:r>
              <w:t xml:space="preserve">                                                                                                                                                           </w:t>
            </w:r>
          </w:p>
        </w:tc>
        <w:tc>
          <w:tcPr>
            <w:tcW w:w="1260" w:type="dxa"/>
            <w:gridSpan w:val="2"/>
            <w:shd w:val="clear" w:color="auto" w:fill="auto"/>
          </w:tcPr>
          <w:p w:rsidR="00130424" w:rsidRPr="005C09C5" w:rsidRDefault="00130424" w:rsidP="005C09C5">
            <w:pPr>
              <w:rPr>
                <w:bCs/>
                <w:color w:val="000000"/>
              </w:rPr>
            </w:pPr>
            <w:r w:rsidRPr="005C09C5">
              <w:rPr>
                <w:bCs/>
                <w:color w:val="000000"/>
              </w:rPr>
              <w:t>7 “Initial Petitions”</w:t>
            </w:r>
            <w:r w:rsidR="005B2E55">
              <w:rPr>
                <w:rStyle w:val="FootnoteReference"/>
                <w:bCs/>
                <w:color w:val="000000"/>
              </w:rPr>
              <w:footnoteReference w:id="2"/>
            </w:r>
          </w:p>
          <w:p w:rsidR="00130424" w:rsidRPr="005C09C5" w:rsidRDefault="00130424" w:rsidP="005C09C5">
            <w:pPr>
              <w:jc w:val="center"/>
              <w:rPr>
                <w:bCs/>
                <w:color w:val="000000"/>
              </w:rPr>
            </w:pPr>
          </w:p>
        </w:tc>
        <w:tc>
          <w:tcPr>
            <w:tcW w:w="1439" w:type="dxa"/>
            <w:shd w:val="clear" w:color="auto" w:fill="auto"/>
          </w:tcPr>
          <w:p w:rsidR="00130424" w:rsidRPr="005C09C5" w:rsidRDefault="00FB0891" w:rsidP="00801AFD">
            <w:pPr>
              <w:ind w:left="-63"/>
              <w:jc w:val="center"/>
            </w:pPr>
            <w:r>
              <w:t>25 “Initial Petitions”</w:t>
            </w:r>
            <w:r w:rsidR="00801AFD">
              <w:rPr>
                <w:rStyle w:val="FootnoteReference"/>
              </w:rPr>
              <w:footnoteReference w:customMarkFollows="1" w:id="3"/>
              <w:t>2</w:t>
            </w:r>
          </w:p>
        </w:tc>
        <w:tc>
          <w:tcPr>
            <w:tcW w:w="1440" w:type="dxa"/>
            <w:shd w:val="clear" w:color="auto" w:fill="auto"/>
          </w:tcPr>
          <w:p w:rsidR="00130424" w:rsidRPr="005C09C5" w:rsidRDefault="00130424" w:rsidP="005C09C5">
            <w:r w:rsidRPr="005C09C5">
              <w:rPr>
                <w:spacing w:val="-3"/>
              </w:rPr>
              <w:t>On occasion</w:t>
            </w:r>
          </w:p>
        </w:tc>
        <w:tc>
          <w:tcPr>
            <w:tcW w:w="1260" w:type="dxa"/>
            <w:shd w:val="clear" w:color="auto" w:fill="auto"/>
          </w:tcPr>
          <w:p w:rsidR="00130424" w:rsidRPr="005C09C5" w:rsidRDefault="00130424" w:rsidP="005C09C5">
            <w:pPr>
              <w:jc w:val="center"/>
            </w:pPr>
            <w:r w:rsidRPr="005C09C5">
              <w:t>46 Hours</w:t>
            </w:r>
          </w:p>
          <w:p w:rsidR="00130424" w:rsidRPr="005C09C5" w:rsidRDefault="00130424" w:rsidP="005C09C5">
            <w:pPr>
              <w:jc w:val="center"/>
            </w:pPr>
          </w:p>
          <w:p w:rsidR="00130424" w:rsidRPr="005C09C5" w:rsidRDefault="00130424" w:rsidP="005C09C5">
            <w:pPr>
              <w:jc w:val="center"/>
            </w:pPr>
          </w:p>
        </w:tc>
        <w:tc>
          <w:tcPr>
            <w:tcW w:w="1351" w:type="dxa"/>
            <w:shd w:val="clear" w:color="auto" w:fill="auto"/>
          </w:tcPr>
          <w:p w:rsidR="00130424" w:rsidRPr="005C09C5" w:rsidRDefault="00FD2B96" w:rsidP="005C09C5">
            <w:pPr>
              <w:jc w:val="center"/>
              <w:rPr>
                <w:b/>
              </w:rPr>
            </w:pPr>
            <w:r w:rsidRPr="008E31E8">
              <w:rPr>
                <w:b/>
              </w:rPr>
              <w:t>1</w:t>
            </w:r>
            <w:r w:rsidR="000E5813">
              <w:rPr>
                <w:b/>
              </w:rPr>
              <w:t>,</w:t>
            </w:r>
            <w:r w:rsidRPr="008E31E8">
              <w:rPr>
                <w:b/>
              </w:rPr>
              <w:t>472</w:t>
            </w:r>
            <w:r w:rsidR="00130424" w:rsidRPr="005C09C5">
              <w:rPr>
                <w:b/>
              </w:rPr>
              <w:t xml:space="preserve"> Hours</w:t>
            </w:r>
          </w:p>
          <w:p w:rsidR="00130424" w:rsidRPr="005C09C5" w:rsidRDefault="00130424" w:rsidP="005C09C5">
            <w:pPr>
              <w:jc w:val="center"/>
              <w:rPr>
                <w:b/>
              </w:rPr>
            </w:pPr>
          </w:p>
          <w:p w:rsidR="00130424" w:rsidRPr="005C09C5" w:rsidRDefault="00130424" w:rsidP="005C09C5">
            <w:pPr>
              <w:jc w:val="center"/>
              <w:rPr>
                <w:b/>
              </w:rPr>
            </w:pPr>
          </w:p>
        </w:tc>
      </w:tr>
      <w:tr w:rsidR="00FB0891" w:rsidRPr="005C09C5" w:rsidTr="004329B5">
        <w:trPr>
          <w:trHeight w:val="1241"/>
        </w:trPr>
        <w:tc>
          <w:tcPr>
            <w:tcW w:w="1906" w:type="dxa"/>
            <w:vMerge/>
            <w:shd w:val="clear" w:color="auto" w:fill="auto"/>
            <w:noWrap/>
          </w:tcPr>
          <w:p w:rsidR="00FB0891" w:rsidRPr="006C1A2D" w:rsidRDefault="00FB0891" w:rsidP="005C09C5">
            <w:pPr>
              <w:jc w:val="center"/>
              <w:rPr>
                <w:b/>
                <w:bCs/>
                <w:color w:val="000000"/>
              </w:rPr>
            </w:pPr>
          </w:p>
        </w:tc>
        <w:tc>
          <w:tcPr>
            <w:tcW w:w="1260" w:type="dxa"/>
            <w:gridSpan w:val="2"/>
            <w:shd w:val="clear" w:color="auto" w:fill="auto"/>
          </w:tcPr>
          <w:p w:rsidR="00FB0891" w:rsidRPr="005C09C5" w:rsidRDefault="00FB0891" w:rsidP="005C09C5">
            <w:pPr>
              <w:jc w:val="center"/>
              <w:rPr>
                <w:bCs/>
                <w:color w:val="000000"/>
              </w:rPr>
            </w:pPr>
            <w:r w:rsidRPr="00235F48">
              <w:rPr>
                <w:bCs/>
                <w:color w:val="000000"/>
              </w:rPr>
              <w:t>18</w:t>
            </w:r>
            <w:r w:rsidRPr="005C09C5">
              <w:rPr>
                <w:bCs/>
                <w:color w:val="000000"/>
              </w:rPr>
              <w:t xml:space="preserve"> “Petitions to </w:t>
            </w:r>
            <w:r w:rsidRPr="008E31E8">
              <w:rPr>
                <w:bCs/>
                <w:color w:val="000000"/>
              </w:rPr>
              <w:t>Modify</w:t>
            </w:r>
            <w:r>
              <w:rPr>
                <w:bCs/>
                <w:color w:val="000000"/>
              </w:rPr>
              <w:t xml:space="preserve"> </w:t>
            </w:r>
            <w:r w:rsidRPr="005C09C5">
              <w:rPr>
                <w:bCs/>
                <w:color w:val="000000"/>
              </w:rPr>
              <w:t>Existing Ruling”</w:t>
            </w:r>
            <w:r w:rsidR="005B2E55">
              <w:rPr>
                <w:rStyle w:val="FootnoteReference"/>
                <w:bCs/>
                <w:color w:val="000000"/>
              </w:rPr>
              <w:footnoteReference w:id="4"/>
            </w:r>
          </w:p>
        </w:tc>
        <w:tc>
          <w:tcPr>
            <w:tcW w:w="1439" w:type="dxa"/>
            <w:shd w:val="clear" w:color="auto" w:fill="auto"/>
          </w:tcPr>
          <w:p w:rsidR="00FB0891" w:rsidRPr="005C09C5" w:rsidRDefault="00FB0891" w:rsidP="00801AFD">
            <w:pPr>
              <w:jc w:val="center"/>
              <w:rPr>
                <w:bCs/>
                <w:color w:val="000000"/>
              </w:rPr>
            </w:pPr>
            <w:r>
              <w:rPr>
                <w:bCs/>
                <w:color w:val="000000"/>
              </w:rPr>
              <w:t>5 “Petitions to Modify Existing Rulings</w:t>
            </w:r>
            <w:r w:rsidR="00F52558">
              <w:rPr>
                <w:bCs/>
                <w:color w:val="000000"/>
              </w:rPr>
              <w:t>”</w:t>
            </w:r>
            <w:r w:rsidR="00801AFD">
              <w:rPr>
                <w:rStyle w:val="FootnoteReference"/>
                <w:bCs/>
                <w:color w:val="000000"/>
              </w:rPr>
              <w:footnoteReference w:customMarkFollows="1" w:id="5"/>
              <w:t>3</w:t>
            </w:r>
          </w:p>
        </w:tc>
        <w:tc>
          <w:tcPr>
            <w:tcW w:w="1440" w:type="dxa"/>
            <w:shd w:val="clear" w:color="auto" w:fill="auto"/>
          </w:tcPr>
          <w:p w:rsidR="00FB0891" w:rsidRPr="005C09C5" w:rsidRDefault="00FB0891" w:rsidP="005C09C5">
            <w:pPr>
              <w:rPr>
                <w:bCs/>
                <w:color w:val="000000"/>
              </w:rPr>
            </w:pPr>
            <w:r w:rsidRPr="005C09C5">
              <w:rPr>
                <w:spacing w:val="-3"/>
              </w:rPr>
              <w:t>On occasion</w:t>
            </w:r>
          </w:p>
        </w:tc>
        <w:tc>
          <w:tcPr>
            <w:tcW w:w="1260" w:type="dxa"/>
            <w:shd w:val="clear" w:color="auto" w:fill="auto"/>
          </w:tcPr>
          <w:p w:rsidR="00FB0891" w:rsidRPr="005C09C5" w:rsidRDefault="00FB0891" w:rsidP="005C09C5">
            <w:pPr>
              <w:jc w:val="center"/>
              <w:rPr>
                <w:bCs/>
              </w:rPr>
            </w:pPr>
            <w:r w:rsidRPr="005C09C5">
              <w:t>12 Hours</w:t>
            </w:r>
          </w:p>
        </w:tc>
        <w:tc>
          <w:tcPr>
            <w:tcW w:w="1351" w:type="dxa"/>
            <w:shd w:val="clear" w:color="auto" w:fill="auto"/>
          </w:tcPr>
          <w:p w:rsidR="00FB0891" w:rsidRPr="005C09C5" w:rsidRDefault="002E3517" w:rsidP="005C09C5">
            <w:pPr>
              <w:jc w:val="center"/>
              <w:rPr>
                <w:b/>
              </w:rPr>
            </w:pPr>
            <w:r>
              <w:rPr>
                <w:b/>
              </w:rPr>
              <w:t>276</w:t>
            </w:r>
          </w:p>
          <w:p w:rsidR="00FB0891" w:rsidRPr="005C09C5" w:rsidRDefault="00FB0891" w:rsidP="005C09C5">
            <w:pPr>
              <w:jc w:val="center"/>
              <w:rPr>
                <w:bCs/>
                <w:color w:val="000000"/>
              </w:rPr>
            </w:pPr>
            <w:r w:rsidRPr="005C09C5">
              <w:rPr>
                <w:b/>
              </w:rPr>
              <w:t>Hours</w:t>
            </w:r>
          </w:p>
        </w:tc>
      </w:tr>
      <w:tr w:rsidR="00705F98" w:rsidRPr="005C09C5" w:rsidTr="004329B5">
        <w:trPr>
          <w:trHeight w:val="370"/>
        </w:trPr>
        <w:tc>
          <w:tcPr>
            <w:tcW w:w="1906" w:type="dxa"/>
            <w:shd w:val="clear" w:color="auto" w:fill="auto"/>
            <w:noWrap/>
          </w:tcPr>
          <w:p w:rsidR="00705F98" w:rsidRPr="006C1A2D" w:rsidRDefault="001206A2" w:rsidP="005C09C5">
            <w:pPr>
              <w:jc w:val="center"/>
              <w:rPr>
                <w:b/>
                <w:bCs/>
                <w:color w:val="000000"/>
              </w:rPr>
            </w:pPr>
            <w:r>
              <w:rPr>
                <w:b/>
                <w:bCs/>
                <w:color w:val="000000"/>
              </w:rPr>
              <w:t xml:space="preserve">Rule Section </w:t>
            </w:r>
            <w:r w:rsidR="00705F98">
              <w:rPr>
                <w:b/>
                <w:bCs/>
                <w:color w:val="000000"/>
              </w:rPr>
              <w:t>1.5004(c)-(d)</w:t>
            </w:r>
            <w:r w:rsidR="00297FCF">
              <w:rPr>
                <w:rStyle w:val="FootnoteReference"/>
                <w:b/>
                <w:bCs/>
                <w:color w:val="000000"/>
              </w:rPr>
              <w:footnoteReference w:id="6"/>
            </w:r>
            <w:r w:rsidR="00DB151C">
              <w:rPr>
                <w:b/>
                <w:bCs/>
                <w:color w:val="000000"/>
              </w:rPr>
              <w:t xml:space="preserve"> </w:t>
            </w:r>
            <w:r w:rsidR="00297FCF">
              <w:rPr>
                <w:b/>
                <w:bCs/>
                <w:color w:val="000000"/>
              </w:rPr>
              <w:t xml:space="preserve"> </w:t>
            </w:r>
          </w:p>
        </w:tc>
        <w:tc>
          <w:tcPr>
            <w:tcW w:w="1215" w:type="dxa"/>
            <w:shd w:val="clear" w:color="auto" w:fill="auto"/>
          </w:tcPr>
          <w:p w:rsidR="00705F98" w:rsidRPr="005C09C5" w:rsidRDefault="001F0042" w:rsidP="005C09C5">
            <w:pPr>
              <w:suppressAutoHyphens/>
              <w:spacing w:line="240" w:lineRule="atLeast"/>
              <w:jc w:val="center"/>
              <w:rPr>
                <w:spacing w:val="-3"/>
              </w:rPr>
            </w:pPr>
            <w:r w:rsidRPr="00FD2B96">
              <w:rPr>
                <w:spacing w:val="-3"/>
              </w:rPr>
              <w:t>4</w:t>
            </w:r>
          </w:p>
        </w:tc>
        <w:tc>
          <w:tcPr>
            <w:tcW w:w="1484" w:type="dxa"/>
            <w:gridSpan w:val="2"/>
            <w:shd w:val="clear" w:color="auto" w:fill="auto"/>
          </w:tcPr>
          <w:p w:rsidR="00705F98" w:rsidRPr="00705F98" w:rsidRDefault="00085A42" w:rsidP="005C09C5">
            <w:pPr>
              <w:suppressAutoHyphens/>
              <w:spacing w:line="240" w:lineRule="atLeast"/>
              <w:jc w:val="center"/>
              <w:rPr>
                <w:spacing w:val="-3"/>
                <w:highlight w:val="yellow"/>
              </w:rPr>
            </w:pPr>
            <w:r w:rsidRPr="00085A42">
              <w:rPr>
                <w:spacing w:val="-3"/>
              </w:rPr>
              <w:t>10</w:t>
            </w:r>
          </w:p>
        </w:tc>
        <w:tc>
          <w:tcPr>
            <w:tcW w:w="1440" w:type="dxa"/>
            <w:shd w:val="clear" w:color="auto" w:fill="auto"/>
            <w:noWrap/>
          </w:tcPr>
          <w:p w:rsidR="00705F98" w:rsidRPr="005C09C5" w:rsidRDefault="00085A42" w:rsidP="005C09C5">
            <w:pPr>
              <w:suppressAutoHyphens/>
              <w:spacing w:line="240" w:lineRule="atLeast"/>
              <w:jc w:val="center"/>
              <w:rPr>
                <w:spacing w:val="-3"/>
              </w:rPr>
            </w:pPr>
            <w:r w:rsidRPr="00085A42">
              <w:rPr>
                <w:spacing w:val="-3"/>
              </w:rPr>
              <w:t>On occasion</w:t>
            </w:r>
          </w:p>
        </w:tc>
        <w:tc>
          <w:tcPr>
            <w:tcW w:w="1260" w:type="dxa"/>
            <w:shd w:val="clear" w:color="auto" w:fill="auto"/>
            <w:noWrap/>
          </w:tcPr>
          <w:p w:rsidR="00705F98" w:rsidRPr="005C09C5" w:rsidRDefault="00085A42" w:rsidP="005C09C5">
            <w:pPr>
              <w:suppressAutoHyphens/>
              <w:spacing w:line="240" w:lineRule="atLeast"/>
              <w:jc w:val="center"/>
              <w:rPr>
                <w:spacing w:val="-3"/>
              </w:rPr>
            </w:pPr>
            <w:r w:rsidRPr="00085A42">
              <w:rPr>
                <w:spacing w:val="-3"/>
              </w:rPr>
              <w:t>2 Hours</w:t>
            </w:r>
          </w:p>
        </w:tc>
        <w:tc>
          <w:tcPr>
            <w:tcW w:w="1351" w:type="dxa"/>
            <w:shd w:val="clear" w:color="auto" w:fill="auto"/>
            <w:noWrap/>
          </w:tcPr>
          <w:p w:rsidR="00705F98" w:rsidRPr="005C09C5" w:rsidRDefault="00FD2B96" w:rsidP="005C09C5">
            <w:pPr>
              <w:suppressAutoHyphens/>
              <w:spacing w:line="240" w:lineRule="atLeast"/>
              <w:jc w:val="center"/>
              <w:rPr>
                <w:b/>
                <w:spacing w:val="-3"/>
              </w:rPr>
            </w:pPr>
            <w:r w:rsidRPr="00FD2B96">
              <w:rPr>
                <w:b/>
                <w:spacing w:val="-3"/>
              </w:rPr>
              <w:t>28</w:t>
            </w:r>
            <w:r w:rsidR="001206A2" w:rsidRPr="00FD2B96">
              <w:rPr>
                <w:b/>
                <w:spacing w:val="-3"/>
              </w:rPr>
              <w:t xml:space="preserve"> Hours</w:t>
            </w:r>
          </w:p>
        </w:tc>
      </w:tr>
      <w:tr w:rsidR="00F52558" w:rsidRPr="005C09C5" w:rsidTr="004329B5">
        <w:trPr>
          <w:trHeight w:val="370"/>
        </w:trPr>
        <w:tc>
          <w:tcPr>
            <w:tcW w:w="1906" w:type="dxa"/>
            <w:shd w:val="clear" w:color="auto" w:fill="auto"/>
            <w:noWrap/>
          </w:tcPr>
          <w:p w:rsidR="00F52558" w:rsidRPr="008E31E8" w:rsidRDefault="00F52558" w:rsidP="005C09C5">
            <w:pPr>
              <w:jc w:val="center"/>
              <w:rPr>
                <w:b/>
                <w:bCs/>
                <w:color w:val="000000"/>
              </w:rPr>
            </w:pPr>
            <w:r w:rsidRPr="008E31E8">
              <w:rPr>
                <w:b/>
                <w:bCs/>
                <w:color w:val="000000"/>
              </w:rPr>
              <w:t>Rule Section</w:t>
            </w:r>
          </w:p>
          <w:p w:rsidR="00F52558" w:rsidRPr="006C1A2D" w:rsidRDefault="00F52558" w:rsidP="005C09C5">
            <w:pPr>
              <w:jc w:val="center"/>
              <w:rPr>
                <w:b/>
                <w:bCs/>
                <w:color w:val="000000"/>
              </w:rPr>
            </w:pPr>
            <w:r w:rsidRPr="008E31E8">
              <w:rPr>
                <w:b/>
                <w:bCs/>
                <w:color w:val="000000"/>
              </w:rPr>
              <w:t>1.5004(f)(1)</w:t>
            </w:r>
            <w:r w:rsidR="00297FCF" w:rsidRPr="008E31E8">
              <w:rPr>
                <w:rStyle w:val="FootnoteReference"/>
                <w:b/>
                <w:bCs/>
                <w:color w:val="000000"/>
              </w:rPr>
              <w:footnoteReference w:id="7"/>
            </w:r>
            <w:r w:rsidR="00705F98">
              <w:rPr>
                <w:b/>
                <w:bCs/>
                <w:color w:val="000000"/>
              </w:rPr>
              <w:t xml:space="preserve"> </w:t>
            </w:r>
          </w:p>
          <w:p w:rsidR="00F52558" w:rsidRPr="006C1A2D" w:rsidRDefault="00F52558" w:rsidP="005C09C5">
            <w:pPr>
              <w:jc w:val="center"/>
              <w:rPr>
                <w:spacing w:val="-3"/>
              </w:rPr>
            </w:pPr>
          </w:p>
        </w:tc>
        <w:tc>
          <w:tcPr>
            <w:tcW w:w="1215" w:type="dxa"/>
            <w:shd w:val="clear" w:color="auto" w:fill="auto"/>
          </w:tcPr>
          <w:p w:rsidR="00F52558" w:rsidRPr="005C09C5" w:rsidRDefault="00F52558" w:rsidP="005C09C5">
            <w:pPr>
              <w:suppressAutoHyphens/>
              <w:spacing w:line="240" w:lineRule="atLeast"/>
              <w:jc w:val="center"/>
              <w:rPr>
                <w:spacing w:val="-3"/>
              </w:rPr>
            </w:pPr>
            <w:r w:rsidRPr="005C09C5">
              <w:rPr>
                <w:spacing w:val="-3"/>
              </w:rPr>
              <w:t>2</w:t>
            </w:r>
          </w:p>
        </w:tc>
        <w:tc>
          <w:tcPr>
            <w:tcW w:w="1484" w:type="dxa"/>
            <w:gridSpan w:val="2"/>
            <w:shd w:val="clear" w:color="auto" w:fill="auto"/>
          </w:tcPr>
          <w:p w:rsidR="00F52558" w:rsidRPr="005C09C5" w:rsidRDefault="00085A42" w:rsidP="005C09C5">
            <w:pPr>
              <w:suppressAutoHyphens/>
              <w:spacing w:line="240" w:lineRule="atLeast"/>
              <w:jc w:val="center"/>
              <w:rPr>
                <w:spacing w:val="-3"/>
              </w:rPr>
            </w:pPr>
            <w:r w:rsidRPr="00FD2B96">
              <w:rPr>
                <w:spacing w:val="-3"/>
              </w:rPr>
              <w:t>5</w:t>
            </w:r>
          </w:p>
        </w:tc>
        <w:tc>
          <w:tcPr>
            <w:tcW w:w="1440" w:type="dxa"/>
            <w:shd w:val="clear" w:color="auto" w:fill="auto"/>
            <w:noWrap/>
          </w:tcPr>
          <w:p w:rsidR="00F52558" w:rsidRPr="005C09C5" w:rsidRDefault="00F52558" w:rsidP="005C09C5">
            <w:pPr>
              <w:suppressAutoHyphens/>
              <w:spacing w:line="240" w:lineRule="atLeast"/>
              <w:jc w:val="center"/>
              <w:rPr>
                <w:spacing w:val="-3"/>
              </w:rPr>
            </w:pPr>
            <w:r w:rsidRPr="005C09C5">
              <w:rPr>
                <w:spacing w:val="-3"/>
              </w:rPr>
              <w:t>On occasion</w:t>
            </w:r>
          </w:p>
        </w:tc>
        <w:tc>
          <w:tcPr>
            <w:tcW w:w="1260" w:type="dxa"/>
            <w:shd w:val="clear" w:color="auto" w:fill="auto"/>
            <w:noWrap/>
          </w:tcPr>
          <w:p w:rsidR="00F52558" w:rsidRPr="005C09C5" w:rsidRDefault="00085A42" w:rsidP="005C09C5">
            <w:pPr>
              <w:suppressAutoHyphens/>
              <w:spacing w:line="240" w:lineRule="atLeast"/>
              <w:jc w:val="center"/>
              <w:rPr>
                <w:spacing w:val="-3"/>
              </w:rPr>
            </w:pPr>
            <w:r>
              <w:rPr>
                <w:spacing w:val="-3"/>
              </w:rPr>
              <w:t>2</w:t>
            </w:r>
            <w:r w:rsidR="00F52558" w:rsidRPr="005C09C5">
              <w:rPr>
                <w:spacing w:val="-3"/>
              </w:rPr>
              <w:t xml:space="preserve"> Hour</w:t>
            </w:r>
            <w:r>
              <w:rPr>
                <w:spacing w:val="-3"/>
              </w:rPr>
              <w:t>s</w:t>
            </w:r>
          </w:p>
        </w:tc>
        <w:tc>
          <w:tcPr>
            <w:tcW w:w="1351" w:type="dxa"/>
            <w:shd w:val="clear" w:color="auto" w:fill="auto"/>
            <w:noWrap/>
          </w:tcPr>
          <w:p w:rsidR="00F52558" w:rsidRPr="005C09C5" w:rsidRDefault="00FD2B96" w:rsidP="005C09C5">
            <w:pPr>
              <w:suppressAutoHyphens/>
              <w:spacing w:line="240" w:lineRule="atLeast"/>
              <w:jc w:val="center"/>
              <w:rPr>
                <w:b/>
                <w:spacing w:val="-3"/>
              </w:rPr>
            </w:pPr>
            <w:r w:rsidRPr="00FD2B96">
              <w:rPr>
                <w:b/>
                <w:spacing w:val="-3"/>
              </w:rPr>
              <w:t>14</w:t>
            </w:r>
            <w:r w:rsidR="00F52558" w:rsidRPr="005C09C5">
              <w:rPr>
                <w:b/>
                <w:spacing w:val="-3"/>
              </w:rPr>
              <w:t xml:space="preserve"> Hours</w:t>
            </w:r>
          </w:p>
        </w:tc>
      </w:tr>
      <w:tr w:rsidR="00F52558" w:rsidRPr="005C09C5" w:rsidTr="004329B5">
        <w:trPr>
          <w:trHeight w:val="835"/>
        </w:trPr>
        <w:tc>
          <w:tcPr>
            <w:tcW w:w="1906" w:type="dxa"/>
            <w:shd w:val="clear" w:color="auto" w:fill="auto"/>
            <w:noWrap/>
          </w:tcPr>
          <w:p w:rsidR="00F52558" w:rsidRPr="005C09C5" w:rsidRDefault="00297FCF" w:rsidP="00297FCF">
            <w:pPr>
              <w:jc w:val="center"/>
              <w:rPr>
                <w:b/>
                <w:bCs/>
                <w:color w:val="000000"/>
              </w:rPr>
            </w:pPr>
            <w:r>
              <w:rPr>
                <w:b/>
                <w:bCs/>
                <w:color w:val="000000"/>
              </w:rPr>
              <w:t xml:space="preserve">Rule </w:t>
            </w:r>
            <w:r w:rsidR="00F52558">
              <w:rPr>
                <w:b/>
                <w:bCs/>
                <w:color w:val="000000"/>
              </w:rPr>
              <w:t>Section 1.5004(f)(3)</w:t>
            </w:r>
            <w:r>
              <w:rPr>
                <w:rStyle w:val="FootnoteReference"/>
                <w:b/>
                <w:bCs/>
                <w:color w:val="000000"/>
              </w:rPr>
              <w:footnoteReference w:id="8"/>
            </w:r>
            <w:r w:rsidR="00705F98">
              <w:rPr>
                <w:b/>
                <w:bCs/>
                <w:color w:val="000000"/>
              </w:rPr>
              <w:t xml:space="preserve"> </w:t>
            </w:r>
          </w:p>
        </w:tc>
        <w:tc>
          <w:tcPr>
            <w:tcW w:w="1215" w:type="dxa"/>
            <w:shd w:val="clear" w:color="auto" w:fill="auto"/>
          </w:tcPr>
          <w:p w:rsidR="00F52558" w:rsidRPr="000E2F1B" w:rsidRDefault="001F0042" w:rsidP="005C09C5">
            <w:pPr>
              <w:suppressAutoHyphens/>
              <w:spacing w:line="240" w:lineRule="atLeast"/>
              <w:jc w:val="center"/>
              <w:rPr>
                <w:b/>
                <w:bCs/>
                <w:spacing w:val="-3"/>
                <w:highlight w:val="yellow"/>
              </w:rPr>
            </w:pPr>
            <w:r w:rsidRPr="00FD2B96">
              <w:rPr>
                <w:b/>
                <w:bCs/>
                <w:spacing w:val="-3"/>
              </w:rPr>
              <w:t>2</w:t>
            </w:r>
          </w:p>
        </w:tc>
        <w:tc>
          <w:tcPr>
            <w:tcW w:w="1484" w:type="dxa"/>
            <w:gridSpan w:val="2"/>
            <w:shd w:val="clear" w:color="auto" w:fill="auto"/>
          </w:tcPr>
          <w:p w:rsidR="00F52558" w:rsidRPr="000E2F1B" w:rsidRDefault="00085A42" w:rsidP="005C09C5">
            <w:pPr>
              <w:suppressAutoHyphens/>
              <w:spacing w:line="240" w:lineRule="atLeast"/>
              <w:jc w:val="center"/>
              <w:rPr>
                <w:b/>
                <w:bCs/>
                <w:spacing w:val="-3"/>
                <w:highlight w:val="yellow"/>
              </w:rPr>
            </w:pPr>
            <w:r w:rsidRPr="00085A42">
              <w:rPr>
                <w:b/>
                <w:bCs/>
                <w:spacing w:val="-3"/>
              </w:rPr>
              <w:t>3</w:t>
            </w:r>
          </w:p>
        </w:tc>
        <w:tc>
          <w:tcPr>
            <w:tcW w:w="1440" w:type="dxa"/>
            <w:shd w:val="clear" w:color="auto" w:fill="auto"/>
            <w:noWrap/>
          </w:tcPr>
          <w:p w:rsidR="00F52558" w:rsidRPr="005C09C5" w:rsidRDefault="00351FE5" w:rsidP="005C09C5">
            <w:pPr>
              <w:suppressAutoHyphens/>
              <w:spacing w:line="240" w:lineRule="atLeast"/>
              <w:jc w:val="center"/>
              <w:rPr>
                <w:b/>
                <w:bCs/>
                <w:spacing w:val="-3"/>
              </w:rPr>
            </w:pPr>
            <w:r>
              <w:rPr>
                <w:b/>
                <w:bCs/>
                <w:spacing w:val="-3"/>
              </w:rPr>
              <w:t>On occasion</w:t>
            </w:r>
          </w:p>
        </w:tc>
        <w:tc>
          <w:tcPr>
            <w:tcW w:w="1260" w:type="dxa"/>
            <w:shd w:val="clear" w:color="auto" w:fill="auto"/>
            <w:noWrap/>
          </w:tcPr>
          <w:p w:rsidR="00F52558" w:rsidRPr="005C09C5" w:rsidRDefault="001F0042" w:rsidP="005C09C5">
            <w:pPr>
              <w:suppressAutoHyphens/>
              <w:spacing w:line="240" w:lineRule="atLeast"/>
              <w:jc w:val="center"/>
              <w:rPr>
                <w:bCs/>
                <w:spacing w:val="-3"/>
              </w:rPr>
            </w:pPr>
            <w:r>
              <w:rPr>
                <w:bCs/>
                <w:spacing w:val="-3"/>
              </w:rPr>
              <w:t>8</w:t>
            </w:r>
            <w:r w:rsidR="00351FE5">
              <w:rPr>
                <w:bCs/>
                <w:spacing w:val="-3"/>
              </w:rPr>
              <w:t xml:space="preserve"> Hours</w:t>
            </w:r>
          </w:p>
        </w:tc>
        <w:tc>
          <w:tcPr>
            <w:tcW w:w="1351" w:type="dxa"/>
            <w:shd w:val="clear" w:color="auto" w:fill="auto"/>
            <w:noWrap/>
          </w:tcPr>
          <w:p w:rsidR="00F52558" w:rsidRPr="000E2F1B" w:rsidRDefault="00FD2B96" w:rsidP="005C09C5">
            <w:pPr>
              <w:suppressAutoHyphens/>
              <w:spacing w:line="240" w:lineRule="atLeast"/>
              <w:jc w:val="center"/>
              <w:rPr>
                <w:b/>
                <w:bCs/>
                <w:spacing w:val="-3"/>
                <w:highlight w:val="yellow"/>
              </w:rPr>
            </w:pPr>
            <w:r w:rsidRPr="00FD2B96">
              <w:rPr>
                <w:b/>
                <w:bCs/>
                <w:spacing w:val="-3"/>
              </w:rPr>
              <w:t>40</w:t>
            </w:r>
            <w:r w:rsidR="00351FE5" w:rsidRPr="00FD2B96">
              <w:rPr>
                <w:b/>
                <w:bCs/>
                <w:spacing w:val="-3"/>
              </w:rPr>
              <w:t xml:space="preserve"> Hours</w:t>
            </w:r>
          </w:p>
        </w:tc>
      </w:tr>
      <w:tr w:rsidR="005C09C5" w:rsidRPr="005C09C5" w:rsidTr="004329B5">
        <w:trPr>
          <w:trHeight w:val="835"/>
        </w:trPr>
        <w:tc>
          <w:tcPr>
            <w:tcW w:w="1906" w:type="dxa"/>
            <w:shd w:val="clear" w:color="auto" w:fill="auto"/>
            <w:noWrap/>
          </w:tcPr>
          <w:p w:rsidR="005C09C5" w:rsidRPr="005C09C5" w:rsidRDefault="005C09C5" w:rsidP="005C09C5">
            <w:pPr>
              <w:jc w:val="center"/>
              <w:rPr>
                <w:b/>
                <w:bCs/>
                <w:color w:val="000000"/>
              </w:rPr>
            </w:pPr>
            <w:r w:rsidRPr="005C09C5">
              <w:rPr>
                <w:b/>
                <w:bCs/>
                <w:color w:val="000000"/>
              </w:rPr>
              <w:t>Totals</w:t>
            </w:r>
          </w:p>
        </w:tc>
        <w:tc>
          <w:tcPr>
            <w:tcW w:w="2699" w:type="dxa"/>
            <w:gridSpan w:val="3"/>
            <w:shd w:val="clear" w:color="auto" w:fill="auto"/>
          </w:tcPr>
          <w:p w:rsidR="005C09C5" w:rsidRPr="000A2CA4" w:rsidRDefault="00FD2B96" w:rsidP="005C09C5">
            <w:pPr>
              <w:suppressAutoHyphens/>
              <w:spacing w:line="240" w:lineRule="atLeast"/>
              <w:jc w:val="center"/>
              <w:rPr>
                <w:b/>
                <w:bCs/>
                <w:spacing w:val="-3"/>
              </w:rPr>
            </w:pPr>
            <w:r w:rsidRPr="000A2CA4">
              <w:rPr>
                <w:b/>
                <w:bCs/>
                <w:spacing w:val="-3"/>
              </w:rPr>
              <w:t>81</w:t>
            </w:r>
          </w:p>
          <w:p w:rsidR="00B17115" w:rsidRPr="000A2CA4" w:rsidRDefault="00B17115" w:rsidP="005C09C5">
            <w:pPr>
              <w:suppressAutoHyphens/>
              <w:spacing w:line="240" w:lineRule="atLeast"/>
              <w:jc w:val="center"/>
              <w:rPr>
                <w:b/>
                <w:bCs/>
                <w:spacing w:val="-3"/>
              </w:rPr>
            </w:pPr>
            <w:r w:rsidRPr="000A2CA4">
              <w:rPr>
                <w:b/>
                <w:bCs/>
                <w:spacing w:val="-3"/>
              </w:rPr>
              <w:t>Respondents/Responses</w:t>
            </w:r>
          </w:p>
        </w:tc>
        <w:tc>
          <w:tcPr>
            <w:tcW w:w="1440" w:type="dxa"/>
            <w:shd w:val="clear" w:color="auto" w:fill="auto"/>
            <w:noWrap/>
          </w:tcPr>
          <w:p w:rsidR="005C09C5" w:rsidRPr="000A2CA4" w:rsidRDefault="005C09C5" w:rsidP="005C09C5">
            <w:pPr>
              <w:suppressAutoHyphens/>
              <w:spacing w:line="240" w:lineRule="atLeast"/>
              <w:jc w:val="center"/>
              <w:rPr>
                <w:b/>
                <w:bCs/>
                <w:spacing w:val="-3"/>
              </w:rPr>
            </w:pPr>
          </w:p>
        </w:tc>
        <w:tc>
          <w:tcPr>
            <w:tcW w:w="1260" w:type="dxa"/>
            <w:shd w:val="clear" w:color="auto" w:fill="auto"/>
            <w:noWrap/>
          </w:tcPr>
          <w:p w:rsidR="005C09C5" w:rsidRPr="005C09C5" w:rsidRDefault="005C09C5" w:rsidP="005C09C5">
            <w:pPr>
              <w:suppressAutoHyphens/>
              <w:spacing w:line="240" w:lineRule="atLeast"/>
              <w:jc w:val="center"/>
              <w:rPr>
                <w:bCs/>
                <w:spacing w:val="-3"/>
              </w:rPr>
            </w:pPr>
          </w:p>
        </w:tc>
        <w:tc>
          <w:tcPr>
            <w:tcW w:w="1351" w:type="dxa"/>
            <w:shd w:val="clear" w:color="auto" w:fill="auto"/>
            <w:noWrap/>
          </w:tcPr>
          <w:p w:rsidR="005C09C5" w:rsidRPr="005C09C5" w:rsidRDefault="002E3517" w:rsidP="005C09C5">
            <w:pPr>
              <w:suppressAutoHyphens/>
              <w:spacing w:line="240" w:lineRule="atLeast"/>
              <w:jc w:val="center"/>
              <w:rPr>
                <w:b/>
                <w:bCs/>
                <w:spacing w:val="-3"/>
              </w:rPr>
            </w:pPr>
            <w:r>
              <w:rPr>
                <w:b/>
                <w:bCs/>
                <w:spacing w:val="-3"/>
              </w:rPr>
              <w:t>1</w:t>
            </w:r>
            <w:r w:rsidR="000E5813">
              <w:rPr>
                <w:b/>
                <w:bCs/>
                <w:spacing w:val="-3"/>
              </w:rPr>
              <w:t>,</w:t>
            </w:r>
            <w:r>
              <w:rPr>
                <w:b/>
                <w:bCs/>
                <w:spacing w:val="-3"/>
              </w:rPr>
              <w:t>830</w:t>
            </w:r>
            <w:r w:rsidR="000E2F1B">
              <w:rPr>
                <w:b/>
                <w:bCs/>
                <w:spacing w:val="-3"/>
              </w:rPr>
              <w:t xml:space="preserve"> </w:t>
            </w:r>
            <w:r w:rsidR="005C09C5" w:rsidRPr="005C09C5">
              <w:rPr>
                <w:b/>
                <w:bCs/>
                <w:spacing w:val="-3"/>
              </w:rPr>
              <w:t>Hours</w:t>
            </w:r>
          </w:p>
        </w:tc>
      </w:tr>
    </w:tbl>
    <w:p w:rsidR="006C1A2D" w:rsidRDefault="006C1A2D" w:rsidP="00992158">
      <w:pPr>
        <w:suppressAutoHyphens/>
        <w:spacing w:line="240" w:lineRule="atLeast"/>
      </w:pPr>
    </w:p>
    <w:p w:rsidR="00093A13" w:rsidRPr="000A2CA4" w:rsidRDefault="00992158" w:rsidP="00992158">
      <w:pPr>
        <w:suppressAutoHyphens/>
        <w:spacing w:line="240" w:lineRule="atLeast"/>
      </w:pPr>
      <w:r w:rsidRPr="00202183">
        <w:rPr>
          <w:b/>
        </w:rPr>
        <w:t>In-House Cost</w:t>
      </w:r>
      <w:r>
        <w:rPr>
          <w:b/>
        </w:rPr>
        <w:t>s</w:t>
      </w:r>
      <w:r>
        <w:t>:  We estimate that in-house staff equivalent to a GS-11/Step 5 ($</w:t>
      </w:r>
      <w:r w:rsidR="000E5813" w:rsidRPr="000A2CA4">
        <w:t>35.11</w:t>
      </w:r>
      <w:r w:rsidRPr="000A2CA4">
        <w:t>/hour)</w:t>
      </w:r>
      <w:r>
        <w:t xml:space="preserve"> will fulfill </w:t>
      </w:r>
      <w:r w:rsidR="003D113D">
        <w:t xml:space="preserve">a portion </w:t>
      </w:r>
      <w:r>
        <w:t>of the hourly requirements and that in-house staff equivalent to a GS-15/</w:t>
      </w:r>
      <w:r w:rsidRPr="000A2CA4">
        <w:t>Step 5 ($</w:t>
      </w:r>
      <w:r w:rsidR="000E5813" w:rsidRPr="000A2CA4">
        <w:t>69.56</w:t>
      </w:r>
      <w:r w:rsidRPr="000A2CA4">
        <w:t xml:space="preserve">/hour) will fulfill the remaining hourly </w:t>
      </w:r>
    </w:p>
    <w:p w:rsidR="00992158" w:rsidRPr="000A2CA4" w:rsidRDefault="00992158" w:rsidP="00992158">
      <w:pPr>
        <w:suppressAutoHyphens/>
        <w:spacing w:line="240" w:lineRule="atLeast"/>
      </w:pPr>
      <w:r w:rsidRPr="000A2CA4">
        <w:t>requirements.  Ther</w:t>
      </w:r>
      <w:r w:rsidR="00284C13" w:rsidRPr="000A2CA4">
        <w:t>e</w:t>
      </w:r>
      <w:r w:rsidR="000E5813" w:rsidRPr="000A2CA4">
        <w:t xml:space="preserve">fore, the in-house costs total </w:t>
      </w:r>
      <w:r w:rsidR="000E5813" w:rsidRPr="000A2CA4">
        <w:rPr>
          <w:b/>
          <w:u w:val="single"/>
        </w:rPr>
        <w:t>$76,860.00</w:t>
      </w:r>
      <w:r w:rsidRPr="000A2CA4">
        <w:t xml:space="preserve"> as follows:  </w:t>
      </w:r>
    </w:p>
    <w:p w:rsidR="00992158" w:rsidRPr="000A2CA4" w:rsidRDefault="00992158" w:rsidP="00992158">
      <w:pPr>
        <w:suppressAutoHyphens/>
        <w:spacing w:line="240" w:lineRule="atLeast"/>
      </w:pPr>
    </w:p>
    <w:p w:rsidR="00992158" w:rsidRPr="000A2CA4" w:rsidRDefault="002E3517" w:rsidP="00992158">
      <w:pPr>
        <w:suppressAutoHyphens/>
        <w:spacing w:line="240" w:lineRule="atLeast"/>
      </w:pPr>
      <w:r w:rsidRPr="000A2CA4">
        <w:t>1</w:t>
      </w:r>
      <w:r w:rsidR="000E5813" w:rsidRPr="000A2CA4">
        <w:t>,</w:t>
      </w:r>
      <w:r w:rsidRPr="000A2CA4">
        <w:t>464</w:t>
      </w:r>
      <w:r w:rsidR="00284C13" w:rsidRPr="000A2CA4">
        <w:t xml:space="preserve"> </w:t>
      </w:r>
      <w:r w:rsidR="00992158" w:rsidRPr="000A2CA4">
        <w:t>hours x $</w:t>
      </w:r>
      <w:r w:rsidR="000E5813" w:rsidRPr="000A2CA4">
        <w:t>35.11/hour = $51,401.04</w:t>
      </w:r>
    </w:p>
    <w:p w:rsidR="00992158" w:rsidRPr="000A2CA4" w:rsidRDefault="002E3517" w:rsidP="003D113D">
      <w:pPr>
        <w:suppressAutoHyphens/>
        <w:spacing w:line="240" w:lineRule="atLeast"/>
      </w:pPr>
      <w:r w:rsidRPr="000A2CA4">
        <w:t>366</w:t>
      </w:r>
      <w:r w:rsidR="00284C13" w:rsidRPr="000A2CA4">
        <w:t xml:space="preserve"> hours x $</w:t>
      </w:r>
      <w:r w:rsidR="000E5813" w:rsidRPr="000A2CA4">
        <w:t>69.56</w:t>
      </w:r>
      <w:r w:rsidR="00284C13" w:rsidRPr="000A2CA4">
        <w:t xml:space="preserve"> </w:t>
      </w:r>
      <w:r w:rsidR="003D113D" w:rsidRPr="000A2CA4">
        <w:t xml:space="preserve">        </w:t>
      </w:r>
      <w:r w:rsidR="000E5813" w:rsidRPr="000A2CA4">
        <w:t xml:space="preserve">   </w:t>
      </w:r>
      <w:r w:rsidR="00284C13" w:rsidRPr="000A2CA4">
        <w:t xml:space="preserve">= </w:t>
      </w:r>
      <w:r w:rsidR="00284C13" w:rsidRPr="000A2CA4">
        <w:rPr>
          <w:u w:val="single"/>
        </w:rPr>
        <w:t>$</w:t>
      </w:r>
      <w:r w:rsidR="000E5813" w:rsidRPr="000A2CA4">
        <w:rPr>
          <w:u w:val="single"/>
        </w:rPr>
        <w:t>25,458.96</w:t>
      </w:r>
    </w:p>
    <w:p w:rsidR="00992158" w:rsidRPr="008E667F" w:rsidRDefault="00992158" w:rsidP="00992158">
      <w:pPr>
        <w:suppressAutoHyphens/>
        <w:spacing w:line="240" w:lineRule="atLeast"/>
        <w:rPr>
          <w:b/>
        </w:rPr>
      </w:pPr>
      <w:r w:rsidRPr="000A2CA4">
        <w:t xml:space="preserve"> </w:t>
      </w:r>
      <w:r w:rsidR="003D113D" w:rsidRPr="000A2CA4">
        <w:t xml:space="preserve">                                          </w:t>
      </w:r>
      <w:r w:rsidR="000E5813" w:rsidRPr="000A2CA4">
        <w:t xml:space="preserve">   </w:t>
      </w:r>
      <w:r w:rsidRPr="000A2CA4">
        <w:rPr>
          <w:b/>
        </w:rPr>
        <w:t>$</w:t>
      </w:r>
      <w:r w:rsidR="000E5813" w:rsidRPr="000A2CA4">
        <w:rPr>
          <w:b/>
        </w:rPr>
        <w:t>76,860.00</w:t>
      </w:r>
    </w:p>
    <w:p w:rsidR="00992158" w:rsidRDefault="00992158" w:rsidP="00992158">
      <w:pPr>
        <w:suppressAutoHyphens/>
        <w:spacing w:line="240" w:lineRule="atLeast"/>
        <w:rPr>
          <w:spacing w:val="-3"/>
        </w:rPr>
      </w:pPr>
    </w:p>
    <w:p w:rsidR="00992158" w:rsidRDefault="00992158" w:rsidP="00992158">
      <w:pPr>
        <w:suppressAutoHyphens/>
        <w:spacing w:line="240" w:lineRule="atLeast"/>
        <w:rPr>
          <w:spacing w:val="-3"/>
        </w:rPr>
      </w:pPr>
      <w:r>
        <w:rPr>
          <w:spacing w:val="-3"/>
        </w:rPr>
        <w:t xml:space="preserve">13. </w:t>
      </w:r>
      <w:r w:rsidRPr="009A2D28">
        <w:rPr>
          <w:b/>
          <w:spacing w:val="-3"/>
        </w:rPr>
        <w:t>Estimated Annual Cost Burden to Respondents to Comply with Information Collection</w:t>
      </w:r>
      <w:r>
        <w:rPr>
          <w:b/>
          <w:spacing w:val="-3"/>
        </w:rPr>
        <w:t xml:space="preserve"> is as follows</w:t>
      </w:r>
      <w:r w:rsidRPr="009A2D28">
        <w:rPr>
          <w:b/>
          <w:spacing w:val="-3"/>
        </w:rPr>
        <w:t>:</w:t>
      </w:r>
    </w:p>
    <w:p w:rsidR="00992158" w:rsidRDefault="00992158" w:rsidP="00992158">
      <w:pPr>
        <w:suppressAutoHyphens/>
        <w:spacing w:line="240" w:lineRule="atLeast"/>
        <w:rPr>
          <w:spacing w:val="-3"/>
        </w:rPr>
      </w:pPr>
    </w:p>
    <w:p w:rsidR="00992158" w:rsidRPr="009E5094" w:rsidRDefault="00992158" w:rsidP="00992158">
      <w:pPr>
        <w:suppressAutoHyphens/>
        <w:spacing w:line="240" w:lineRule="atLeast"/>
        <w:rPr>
          <w:b/>
          <w:spacing w:val="-3"/>
        </w:rPr>
      </w:pPr>
      <w:r>
        <w:rPr>
          <w:spacing w:val="-3"/>
        </w:rPr>
        <w:t xml:space="preserve">(a)  Total Capital and Start-up Costs:  </w:t>
      </w:r>
      <w:r w:rsidRPr="009E5094">
        <w:rPr>
          <w:b/>
          <w:spacing w:val="-3"/>
        </w:rPr>
        <w:t>Zero</w:t>
      </w:r>
    </w:p>
    <w:p w:rsidR="00992158" w:rsidRDefault="00992158" w:rsidP="00992158">
      <w:pPr>
        <w:suppressAutoHyphens/>
        <w:spacing w:line="240" w:lineRule="atLeast"/>
        <w:rPr>
          <w:spacing w:val="-3"/>
        </w:rPr>
      </w:pPr>
    </w:p>
    <w:p w:rsidR="00992158" w:rsidRDefault="00992158" w:rsidP="00992158">
      <w:pPr>
        <w:suppressAutoHyphens/>
        <w:spacing w:line="240" w:lineRule="atLeast"/>
        <w:rPr>
          <w:spacing w:val="-3"/>
        </w:rPr>
      </w:pPr>
      <w:r>
        <w:rPr>
          <w:spacing w:val="-3"/>
        </w:rPr>
        <w:t>(b)  Total Operation and Maintenance and Purchase of Services</w:t>
      </w:r>
      <w:r w:rsidRPr="000A2CA4">
        <w:rPr>
          <w:spacing w:val="-3"/>
        </w:rPr>
        <w:t xml:space="preserve">:  </w:t>
      </w:r>
      <w:r w:rsidRPr="000A2CA4">
        <w:rPr>
          <w:b/>
          <w:spacing w:val="-3"/>
        </w:rPr>
        <w:t>$</w:t>
      </w:r>
      <w:r w:rsidR="00A431B6" w:rsidRPr="000A2CA4">
        <w:rPr>
          <w:b/>
          <w:spacing w:val="-3"/>
        </w:rPr>
        <w:t>524,4</w:t>
      </w:r>
      <w:r w:rsidRPr="000A2CA4">
        <w:rPr>
          <w:b/>
          <w:spacing w:val="-3"/>
        </w:rPr>
        <w:t>0</w:t>
      </w:r>
      <w:r w:rsidR="00284C13" w:rsidRPr="000A2CA4">
        <w:rPr>
          <w:b/>
          <w:spacing w:val="-3"/>
        </w:rPr>
        <w:t>0</w:t>
      </w:r>
    </w:p>
    <w:p w:rsidR="00992158" w:rsidRDefault="00992158" w:rsidP="00992158">
      <w:pPr>
        <w:suppressAutoHyphens/>
        <w:spacing w:line="240" w:lineRule="atLeast"/>
        <w:rPr>
          <w:spacing w:val="-3"/>
        </w:rPr>
      </w:pPr>
    </w:p>
    <w:p w:rsidR="000E5813" w:rsidRDefault="00992158" w:rsidP="00992158">
      <w:pPr>
        <w:suppressAutoHyphens/>
        <w:spacing w:line="240" w:lineRule="atLeast"/>
        <w:rPr>
          <w:spacing w:val="-3"/>
        </w:rPr>
      </w:pPr>
      <w:r>
        <w:rPr>
          <w:spacing w:val="-3"/>
        </w:rPr>
        <w:t xml:space="preserve">Compliance with </w:t>
      </w:r>
      <w:r w:rsidR="008E667F">
        <w:rPr>
          <w:spacing w:val="-3"/>
        </w:rPr>
        <w:t>S</w:t>
      </w:r>
      <w:r>
        <w:rPr>
          <w:spacing w:val="-3"/>
        </w:rPr>
        <w:t xml:space="preserve">ection 310(b)(4) rules will not require respondents to maintain any special equipment.  Compliance may require respondents to hire outside attorneys and/or consultants.   </w:t>
      </w:r>
      <w:r w:rsidRPr="00A92ADF">
        <w:rPr>
          <w:spacing w:val="-3"/>
        </w:rPr>
        <w:t xml:space="preserve">The estimate below assumes that respondents will also contract with outside counsel/consultants and it will also take </w:t>
      </w:r>
      <w:r w:rsidR="00284C13">
        <w:rPr>
          <w:spacing w:val="-3"/>
        </w:rPr>
        <w:t xml:space="preserve">these consultants a total </w:t>
      </w:r>
      <w:r w:rsidR="00284C13" w:rsidRPr="000A2CA4">
        <w:rPr>
          <w:spacing w:val="-3"/>
        </w:rPr>
        <w:t xml:space="preserve">of </w:t>
      </w:r>
      <w:r w:rsidR="0080295C" w:rsidRPr="000A2CA4">
        <w:rPr>
          <w:spacing w:val="-3"/>
        </w:rPr>
        <w:t>1,748</w:t>
      </w:r>
      <w:r w:rsidRPr="00A92ADF">
        <w:rPr>
          <w:spacing w:val="-3"/>
        </w:rPr>
        <w:t xml:space="preserve"> burden hours to fulfill the requirements on beha</w:t>
      </w:r>
      <w:r w:rsidR="00284C13">
        <w:rPr>
          <w:spacing w:val="-3"/>
        </w:rPr>
        <w:t xml:space="preserve">lf of the respondents for all </w:t>
      </w:r>
      <w:r w:rsidR="00532A5E" w:rsidRPr="00532A5E">
        <w:rPr>
          <w:spacing w:val="-3"/>
        </w:rPr>
        <w:t>81</w:t>
      </w:r>
      <w:r w:rsidRPr="00532A5E">
        <w:rPr>
          <w:spacing w:val="-3"/>
        </w:rPr>
        <w:t xml:space="preserve"> r</w:t>
      </w:r>
      <w:r w:rsidRPr="00A92ADF">
        <w:rPr>
          <w:spacing w:val="-3"/>
        </w:rPr>
        <w:t>esponses.</w:t>
      </w:r>
      <w:r w:rsidRPr="00A92ADF">
        <w:rPr>
          <w:rStyle w:val="FootnoteReference"/>
          <w:spacing w:val="-3"/>
        </w:rPr>
        <w:footnoteReference w:id="9"/>
      </w:r>
      <w:r w:rsidRPr="00A92ADF">
        <w:rPr>
          <w:spacing w:val="-3"/>
        </w:rPr>
        <w:t xml:space="preserve"> Therefore, the total annual cost burden to the respondents is as follows:</w:t>
      </w:r>
      <w:r>
        <w:rPr>
          <w:spacing w:val="-3"/>
        </w:rPr>
        <w:t xml:space="preserve"> </w:t>
      </w:r>
    </w:p>
    <w:p w:rsidR="000E5813" w:rsidRDefault="000E5813" w:rsidP="00992158">
      <w:pPr>
        <w:suppressAutoHyphens/>
        <w:spacing w:line="240" w:lineRule="atLeast"/>
        <w:rPr>
          <w:spacing w:val="-3"/>
        </w:rPr>
      </w:pPr>
    </w:p>
    <w:p w:rsidR="000E5813" w:rsidRDefault="000E5813" w:rsidP="00992158">
      <w:pPr>
        <w:suppressAutoHyphens/>
        <w:spacing w:line="240" w:lineRule="atLeast"/>
        <w:rPr>
          <w:spacing w:val="-3"/>
        </w:rPr>
      </w:pPr>
    </w:p>
    <w:p w:rsidR="000E5813" w:rsidRDefault="000E5813" w:rsidP="00992158">
      <w:pPr>
        <w:suppressAutoHyphens/>
        <w:spacing w:line="240" w:lineRule="atLeast"/>
        <w:rPr>
          <w:spacing w:val="-3"/>
        </w:rPr>
      </w:pPr>
    </w:p>
    <w:p w:rsidR="000E5813" w:rsidRDefault="000E5813" w:rsidP="00992158">
      <w:pPr>
        <w:suppressAutoHyphens/>
        <w:spacing w:line="240" w:lineRule="atLeast"/>
        <w:rPr>
          <w:spacing w:val="-3"/>
        </w:rPr>
      </w:pPr>
    </w:p>
    <w:p w:rsidR="000E5813" w:rsidRDefault="000E5813" w:rsidP="00992158">
      <w:pPr>
        <w:suppressAutoHyphens/>
        <w:spacing w:line="240" w:lineRule="atLeast"/>
        <w:rPr>
          <w:spacing w:val="-3"/>
        </w:rPr>
      </w:pPr>
    </w:p>
    <w:p w:rsidR="000E5813" w:rsidRDefault="000E5813" w:rsidP="00992158">
      <w:pPr>
        <w:suppressAutoHyphens/>
        <w:spacing w:line="240" w:lineRule="atLeast"/>
        <w:rPr>
          <w:spacing w:val="-3"/>
        </w:rPr>
      </w:pPr>
    </w:p>
    <w:p w:rsidR="000E5813" w:rsidRDefault="000E5813" w:rsidP="00992158">
      <w:pPr>
        <w:suppressAutoHyphens/>
        <w:spacing w:line="240" w:lineRule="atLeast"/>
        <w:rPr>
          <w:spacing w:val="-3"/>
        </w:rPr>
      </w:pPr>
    </w:p>
    <w:p w:rsidR="000E5813" w:rsidRDefault="000E5813" w:rsidP="00992158">
      <w:pPr>
        <w:suppressAutoHyphens/>
        <w:spacing w:line="240" w:lineRule="atLeast"/>
        <w:rPr>
          <w:spacing w:val="-3"/>
        </w:rPr>
      </w:pPr>
    </w:p>
    <w:p w:rsidR="000E5813" w:rsidRDefault="000E5813" w:rsidP="00992158">
      <w:pPr>
        <w:suppressAutoHyphens/>
        <w:spacing w:line="240" w:lineRule="atLeast"/>
        <w:rPr>
          <w:spacing w:val="-3"/>
        </w:rPr>
      </w:pPr>
    </w:p>
    <w:p w:rsidR="000E5813" w:rsidRDefault="000E5813" w:rsidP="00992158">
      <w:pPr>
        <w:suppressAutoHyphens/>
        <w:spacing w:line="240" w:lineRule="atLeast"/>
        <w:rPr>
          <w:spacing w:val="-3"/>
        </w:rPr>
      </w:pPr>
    </w:p>
    <w:p w:rsidR="000E5813" w:rsidRDefault="000E5813" w:rsidP="00992158">
      <w:pPr>
        <w:suppressAutoHyphens/>
        <w:spacing w:line="240" w:lineRule="atLeast"/>
        <w:rPr>
          <w:spacing w:val="-3"/>
        </w:rPr>
      </w:pPr>
    </w:p>
    <w:p w:rsidR="00992158" w:rsidRDefault="00992158" w:rsidP="00992158">
      <w:pPr>
        <w:suppressAutoHyphens/>
        <w:spacing w:line="240" w:lineRule="atLeast"/>
        <w:rPr>
          <w:spacing w:val="-3"/>
        </w:rPr>
      </w:pPr>
      <w:r>
        <w:rPr>
          <w:spacing w:val="-3"/>
        </w:rPr>
        <w:t xml:space="preserve"> </w:t>
      </w:r>
    </w:p>
    <w:p w:rsidR="006D7497" w:rsidRDefault="006D7497" w:rsidP="00992158">
      <w:pPr>
        <w:suppressAutoHyphens/>
        <w:spacing w:line="240" w:lineRule="atLeast"/>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1720"/>
        <w:gridCol w:w="1633"/>
        <w:gridCol w:w="1750"/>
      </w:tblGrid>
      <w:tr w:rsidR="00992158" w:rsidRPr="003563F1">
        <w:tc>
          <w:tcPr>
            <w:tcW w:w="2359" w:type="dxa"/>
            <w:shd w:val="clear" w:color="auto" w:fill="E6E6E6"/>
          </w:tcPr>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Description</w:t>
            </w:r>
          </w:p>
        </w:tc>
        <w:tc>
          <w:tcPr>
            <w:tcW w:w="1720" w:type="dxa"/>
            <w:shd w:val="clear" w:color="auto" w:fill="E6E6E6"/>
          </w:tcPr>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Costs per Hour</w:t>
            </w:r>
          </w:p>
        </w:tc>
        <w:tc>
          <w:tcPr>
            <w:tcW w:w="1633" w:type="dxa"/>
            <w:shd w:val="clear" w:color="auto" w:fill="E6E6E6"/>
          </w:tcPr>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 xml:space="preserve">Total Annual Hours for Outside Consultants </w:t>
            </w:r>
          </w:p>
        </w:tc>
        <w:tc>
          <w:tcPr>
            <w:tcW w:w="1750" w:type="dxa"/>
            <w:shd w:val="clear" w:color="auto" w:fill="E6E6E6"/>
          </w:tcPr>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p>
          <w:p w:rsidR="00992158" w:rsidRPr="003563F1"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3563F1">
              <w:rPr>
                <w:b/>
                <w:spacing w:val="-3"/>
              </w:rPr>
              <w:t>Total Costs</w:t>
            </w:r>
          </w:p>
        </w:tc>
      </w:tr>
      <w:tr w:rsidR="00992158" w:rsidRPr="000A2CA4">
        <w:tc>
          <w:tcPr>
            <w:tcW w:w="2359" w:type="dxa"/>
            <w:shd w:val="clear" w:color="auto" w:fill="auto"/>
          </w:tcPr>
          <w:p w:rsidR="00992158" w:rsidRPr="000A2CA4" w:rsidRDefault="00992158" w:rsidP="00992158">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Outside Legal Counsel </w:t>
            </w:r>
          </w:p>
          <w:p w:rsidR="00992158" w:rsidRPr="000A2CA4" w:rsidRDefault="00992158" w:rsidP="00992158">
            <w:pPr>
              <w:widowControl w:val="0"/>
              <w:suppressAutoHyphens/>
              <w:overflowPunct w:val="0"/>
              <w:autoSpaceDE w:val="0"/>
              <w:autoSpaceDN w:val="0"/>
              <w:adjustRightInd w:val="0"/>
              <w:spacing w:line="240" w:lineRule="atLeast"/>
              <w:textAlignment w:val="baseline"/>
              <w:rPr>
                <w:spacing w:val="-3"/>
              </w:rPr>
            </w:pPr>
          </w:p>
        </w:tc>
        <w:tc>
          <w:tcPr>
            <w:tcW w:w="1720" w:type="dxa"/>
            <w:shd w:val="clear" w:color="auto" w:fill="auto"/>
          </w:tcPr>
          <w:p w:rsidR="00992158" w:rsidRPr="000A2CA4" w:rsidRDefault="00992158" w:rsidP="00992158">
            <w:pPr>
              <w:widowControl w:val="0"/>
              <w:suppressAutoHyphens/>
              <w:overflowPunct w:val="0"/>
              <w:autoSpaceDE w:val="0"/>
              <w:autoSpaceDN w:val="0"/>
              <w:adjustRightInd w:val="0"/>
              <w:spacing w:line="240" w:lineRule="atLeast"/>
              <w:jc w:val="center"/>
              <w:textAlignment w:val="baseline"/>
              <w:rPr>
                <w:spacing w:val="-3"/>
              </w:rPr>
            </w:pPr>
            <w:r w:rsidRPr="000A2CA4">
              <w:rPr>
                <w:spacing w:val="-3"/>
              </w:rPr>
              <w:t>$300 per Hour</w:t>
            </w:r>
          </w:p>
          <w:p w:rsidR="00992158" w:rsidRPr="000A2CA4" w:rsidRDefault="00992158" w:rsidP="00992158">
            <w:pPr>
              <w:widowControl w:val="0"/>
              <w:suppressAutoHyphens/>
              <w:overflowPunct w:val="0"/>
              <w:autoSpaceDE w:val="0"/>
              <w:autoSpaceDN w:val="0"/>
              <w:adjustRightInd w:val="0"/>
              <w:spacing w:line="240" w:lineRule="atLeast"/>
              <w:jc w:val="center"/>
              <w:textAlignment w:val="baseline"/>
              <w:rPr>
                <w:spacing w:val="-3"/>
              </w:rPr>
            </w:pPr>
          </w:p>
        </w:tc>
        <w:tc>
          <w:tcPr>
            <w:tcW w:w="1633" w:type="dxa"/>
            <w:shd w:val="clear" w:color="auto" w:fill="auto"/>
          </w:tcPr>
          <w:p w:rsidR="00992158" w:rsidRPr="000A2CA4" w:rsidRDefault="002E3517" w:rsidP="00992158">
            <w:pPr>
              <w:widowControl w:val="0"/>
              <w:suppressAutoHyphens/>
              <w:overflowPunct w:val="0"/>
              <w:autoSpaceDE w:val="0"/>
              <w:autoSpaceDN w:val="0"/>
              <w:adjustRightInd w:val="0"/>
              <w:spacing w:line="240" w:lineRule="atLeast"/>
              <w:jc w:val="center"/>
              <w:textAlignment w:val="baseline"/>
              <w:rPr>
                <w:spacing w:val="-3"/>
              </w:rPr>
            </w:pPr>
            <w:r w:rsidRPr="000A2CA4">
              <w:rPr>
                <w:spacing w:val="-3"/>
              </w:rPr>
              <w:t>1</w:t>
            </w:r>
            <w:r w:rsidR="0080295C" w:rsidRPr="000A2CA4">
              <w:rPr>
                <w:spacing w:val="-3"/>
              </w:rPr>
              <w:t>,748</w:t>
            </w:r>
            <w:r w:rsidR="00992158" w:rsidRPr="000A2CA4">
              <w:rPr>
                <w:spacing w:val="-3"/>
              </w:rPr>
              <w:t xml:space="preserve"> Hours</w:t>
            </w:r>
          </w:p>
        </w:tc>
        <w:tc>
          <w:tcPr>
            <w:tcW w:w="1750" w:type="dxa"/>
            <w:shd w:val="clear" w:color="auto" w:fill="auto"/>
          </w:tcPr>
          <w:p w:rsidR="00992158" w:rsidRPr="000A2CA4" w:rsidRDefault="00992158" w:rsidP="00992158">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w:t>
            </w:r>
            <w:r w:rsidR="0080295C" w:rsidRPr="000A2CA4">
              <w:rPr>
                <w:b/>
                <w:spacing w:val="-3"/>
              </w:rPr>
              <w:t>524,400</w:t>
            </w:r>
          </w:p>
          <w:p w:rsidR="00992158" w:rsidRPr="000A2CA4" w:rsidRDefault="00992158" w:rsidP="00992158">
            <w:pPr>
              <w:widowControl w:val="0"/>
              <w:suppressAutoHyphens/>
              <w:overflowPunct w:val="0"/>
              <w:autoSpaceDE w:val="0"/>
              <w:autoSpaceDN w:val="0"/>
              <w:adjustRightInd w:val="0"/>
              <w:spacing w:line="240" w:lineRule="atLeast"/>
              <w:jc w:val="center"/>
              <w:textAlignment w:val="baseline"/>
              <w:rPr>
                <w:spacing w:val="-3"/>
              </w:rPr>
            </w:pPr>
            <w:r w:rsidRPr="000A2CA4">
              <w:rPr>
                <w:spacing w:val="-3"/>
              </w:rPr>
              <w:t>(O&amp;M)</w:t>
            </w:r>
          </w:p>
        </w:tc>
      </w:tr>
    </w:tbl>
    <w:p w:rsidR="00992158" w:rsidRPr="000A2CA4" w:rsidRDefault="00992158" w:rsidP="00992158">
      <w:pPr>
        <w:suppressAutoHyphens/>
        <w:spacing w:line="240" w:lineRule="atLeast"/>
        <w:rPr>
          <w:b/>
          <w:spacing w:val="-3"/>
        </w:rPr>
      </w:pPr>
    </w:p>
    <w:p w:rsidR="00992158" w:rsidRDefault="00992158" w:rsidP="00992158">
      <w:pPr>
        <w:suppressAutoHyphens/>
        <w:spacing w:line="240" w:lineRule="atLeast"/>
        <w:rPr>
          <w:b/>
          <w:spacing w:val="-3"/>
        </w:rPr>
      </w:pPr>
      <w:r w:rsidRPr="000A2CA4">
        <w:rPr>
          <w:b/>
          <w:spacing w:val="-3"/>
        </w:rPr>
        <w:t>(c)  Total Annual Costs:  $</w:t>
      </w:r>
      <w:r w:rsidR="0080295C" w:rsidRPr="000A2CA4">
        <w:rPr>
          <w:b/>
          <w:spacing w:val="-3"/>
        </w:rPr>
        <w:t>524,400</w:t>
      </w:r>
    </w:p>
    <w:p w:rsidR="005559AF" w:rsidRDefault="005559AF" w:rsidP="00992158">
      <w:pPr>
        <w:suppressAutoHyphens/>
        <w:spacing w:line="240" w:lineRule="atLeast"/>
        <w:rPr>
          <w:b/>
          <w:spacing w:val="-3"/>
        </w:rPr>
      </w:pPr>
    </w:p>
    <w:p w:rsidR="0080295C" w:rsidRDefault="0080295C">
      <w:pPr>
        <w:rPr>
          <w:spacing w:val="-3"/>
        </w:rPr>
      </w:pPr>
    </w:p>
    <w:p w:rsidR="001D1DB1" w:rsidRDefault="00093A13">
      <w:pPr>
        <w:rPr>
          <w:spacing w:val="-3"/>
        </w:rPr>
      </w:pPr>
      <w:r>
        <w:rPr>
          <w:spacing w:val="-3"/>
        </w:rPr>
        <w:t xml:space="preserve">14.  </w:t>
      </w:r>
      <w:r w:rsidR="008E667F" w:rsidRPr="008E667F">
        <w:rPr>
          <w:spacing w:val="-3"/>
        </w:rPr>
        <w:t>Estimated Annual Costs to the Federal Government for the information collection requirements are as follows:</w:t>
      </w:r>
    </w:p>
    <w:p w:rsidR="007E6393" w:rsidRDefault="007E63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487"/>
        <w:gridCol w:w="2081"/>
      </w:tblGrid>
      <w:tr w:rsidR="0072097B" w:rsidRPr="008E667F" w:rsidTr="00EE6683">
        <w:trPr>
          <w:trHeight w:val="530"/>
        </w:trPr>
        <w:tc>
          <w:tcPr>
            <w:tcW w:w="3142" w:type="dxa"/>
            <w:shd w:val="clear" w:color="auto" w:fill="BFBFBF"/>
          </w:tcPr>
          <w:p w:rsidR="0072097B" w:rsidRPr="0072097B" w:rsidRDefault="0072097B" w:rsidP="0072097B">
            <w:pPr>
              <w:jc w:val="center"/>
              <w:rPr>
                <w:b/>
              </w:rPr>
            </w:pPr>
            <w:r w:rsidRPr="0072097B">
              <w:rPr>
                <w:b/>
              </w:rPr>
              <w:t>Government Staff</w:t>
            </w:r>
          </w:p>
        </w:tc>
        <w:tc>
          <w:tcPr>
            <w:tcW w:w="3596" w:type="dxa"/>
            <w:shd w:val="clear" w:color="auto" w:fill="BFBFBF"/>
          </w:tcPr>
          <w:p w:rsidR="0072097B" w:rsidRPr="0072097B" w:rsidRDefault="0072097B" w:rsidP="0072097B">
            <w:pPr>
              <w:jc w:val="center"/>
              <w:rPr>
                <w:b/>
              </w:rPr>
            </w:pPr>
            <w:r w:rsidRPr="0072097B">
              <w:rPr>
                <w:b/>
              </w:rPr>
              <w:t>Annual Burden Hours</w:t>
            </w:r>
          </w:p>
        </w:tc>
        <w:tc>
          <w:tcPr>
            <w:tcW w:w="2118" w:type="dxa"/>
            <w:shd w:val="clear" w:color="auto" w:fill="BFBFBF"/>
          </w:tcPr>
          <w:p w:rsidR="0072097B" w:rsidRPr="0072097B" w:rsidRDefault="0072097B" w:rsidP="0072097B">
            <w:pPr>
              <w:jc w:val="center"/>
              <w:rPr>
                <w:b/>
              </w:rPr>
            </w:pPr>
            <w:r w:rsidRPr="0072097B">
              <w:rPr>
                <w:b/>
              </w:rPr>
              <w:t>Costs</w:t>
            </w:r>
          </w:p>
        </w:tc>
      </w:tr>
      <w:tr w:rsidR="001E2C4E" w:rsidRPr="008E667F" w:rsidTr="001D1DB1">
        <w:trPr>
          <w:trHeight w:val="1658"/>
        </w:trPr>
        <w:tc>
          <w:tcPr>
            <w:tcW w:w="3142" w:type="dxa"/>
            <w:vMerge w:val="restart"/>
            <w:shd w:val="clear" w:color="auto" w:fill="auto"/>
          </w:tcPr>
          <w:p w:rsidR="001E2C4E" w:rsidRPr="008E667F" w:rsidRDefault="001E2C4E" w:rsidP="008E667F">
            <w:pPr>
              <w:widowControl w:val="0"/>
              <w:suppressAutoHyphens/>
              <w:overflowPunct w:val="0"/>
              <w:autoSpaceDE w:val="0"/>
              <w:autoSpaceDN w:val="0"/>
              <w:adjustRightInd w:val="0"/>
              <w:spacing w:line="240" w:lineRule="atLeast"/>
              <w:textAlignment w:val="baseline"/>
              <w:rPr>
                <w:spacing w:val="-3"/>
              </w:rPr>
            </w:pPr>
          </w:p>
          <w:p w:rsidR="001D1DB1" w:rsidRDefault="001D1DB1" w:rsidP="008E667F">
            <w:pPr>
              <w:widowControl w:val="0"/>
              <w:suppressAutoHyphens/>
              <w:overflowPunct w:val="0"/>
              <w:autoSpaceDE w:val="0"/>
              <w:autoSpaceDN w:val="0"/>
              <w:adjustRightInd w:val="0"/>
              <w:spacing w:line="240" w:lineRule="atLeast"/>
              <w:textAlignment w:val="baseline"/>
              <w:rPr>
                <w:spacing w:val="-3"/>
              </w:rPr>
            </w:pPr>
            <w:r w:rsidRPr="008E667F">
              <w:rPr>
                <w:b/>
                <w:bCs/>
                <w:color w:val="000000"/>
              </w:rPr>
              <w:t xml:space="preserve">Sections </w:t>
            </w:r>
            <w:r w:rsidRPr="008E667F">
              <w:rPr>
                <w:b/>
              </w:rPr>
              <w:t>1.</w:t>
            </w:r>
            <w:r>
              <w:rPr>
                <w:b/>
              </w:rPr>
              <w:t>5000</w:t>
            </w:r>
            <w:r w:rsidRPr="008E667F">
              <w:rPr>
                <w:b/>
              </w:rPr>
              <w:t>, 1.</w:t>
            </w:r>
            <w:r>
              <w:rPr>
                <w:b/>
              </w:rPr>
              <w:t>5001</w:t>
            </w:r>
            <w:r w:rsidRPr="008E667F">
              <w:rPr>
                <w:b/>
              </w:rPr>
              <w:t>(a</w:t>
            </w:r>
            <w:r w:rsidRPr="00A343D0">
              <w:rPr>
                <w:b/>
              </w:rPr>
              <w:t>)-(k), 1.</w:t>
            </w:r>
            <w:r>
              <w:rPr>
                <w:b/>
              </w:rPr>
              <w:t>5004</w:t>
            </w:r>
            <w:r w:rsidRPr="00A343D0">
              <w:rPr>
                <w:b/>
              </w:rPr>
              <w:t xml:space="preserve">(a), </w:t>
            </w:r>
            <w:r w:rsidR="007602A4">
              <w:rPr>
                <w:b/>
              </w:rPr>
              <w:t>1.5004</w:t>
            </w:r>
            <w:r w:rsidRPr="00A343D0">
              <w:rPr>
                <w:b/>
              </w:rPr>
              <w:t>(e)</w:t>
            </w:r>
          </w:p>
          <w:p w:rsidR="001D1DB1" w:rsidRDefault="001D1DB1" w:rsidP="008E667F">
            <w:pPr>
              <w:widowControl w:val="0"/>
              <w:suppressAutoHyphens/>
              <w:overflowPunct w:val="0"/>
              <w:autoSpaceDE w:val="0"/>
              <w:autoSpaceDN w:val="0"/>
              <w:adjustRightInd w:val="0"/>
              <w:spacing w:line="240" w:lineRule="atLeast"/>
              <w:textAlignment w:val="baseline"/>
              <w:rPr>
                <w:spacing w:val="-3"/>
              </w:rPr>
            </w:pPr>
          </w:p>
          <w:p w:rsidR="001D1DB1" w:rsidRDefault="001D1DB1" w:rsidP="008E667F">
            <w:pPr>
              <w:widowControl w:val="0"/>
              <w:suppressAutoHyphens/>
              <w:overflowPunct w:val="0"/>
              <w:autoSpaceDE w:val="0"/>
              <w:autoSpaceDN w:val="0"/>
              <w:adjustRightInd w:val="0"/>
              <w:spacing w:line="240" w:lineRule="atLeast"/>
              <w:textAlignment w:val="baseline"/>
              <w:rPr>
                <w:spacing w:val="-3"/>
              </w:rPr>
            </w:pPr>
          </w:p>
          <w:p w:rsidR="001D1DB1" w:rsidRDefault="001D1DB1" w:rsidP="008E667F">
            <w:pPr>
              <w:widowControl w:val="0"/>
              <w:suppressAutoHyphens/>
              <w:overflowPunct w:val="0"/>
              <w:autoSpaceDE w:val="0"/>
              <w:autoSpaceDN w:val="0"/>
              <w:adjustRightInd w:val="0"/>
              <w:spacing w:line="240" w:lineRule="atLeast"/>
              <w:textAlignment w:val="baseline"/>
              <w:rPr>
                <w:spacing w:val="-3"/>
              </w:rPr>
            </w:pPr>
          </w:p>
          <w:p w:rsidR="001E2C4E" w:rsidRPr="008E667F" w:rsidRDefault="001E2C4E" w:rsidP="008E667F">
            <w:pPr>
              <w:widowControl w:val="0"/>
              <w:suppressAutoHyphens/>
              <w:overflowPunct w:val="0"/>
              <w:autoSpaceDE w:val="0"/>
              <w:autoSpaceDN w:val="0"/>
              <w:adjustRightInd w:val="0"/>
              <w:spacing w:line="240" w:lineRule="atLeast"/>
              <w:textAlignment w:val="baseline"/>
              <w:rPr>
                <w:spacing w:val="-3"/>
              </w:rPr>
            </w:pPr>
            <w:r w:rsidRPr="008E667F">
              <w:rPr>
                <w:spacing w:val="-3"/>
              </w:rPr>
              <w:t>GS-15/Step 5</w:t>
            </w:r>
          </w:p>
          <w:p w:rsidR="001E2C4E" w:rsidRPr="008E667F" w:rsidRDefault="001E2C4E" w:rsidP="00D974DC">
            <w:pPr>
              <w:widowControl w:val="0"/>
              <w:suppressAutoHyphens/>
              <w:overflowPunct w:val="0"/>
              <w:autoSpaceDE w:val="0"/>
              <w:autoSpaceDN w:val="0"/>
              <w:adjustRightInd w:val="0"/>
              <w:spacing w:line="240" w:lineRule="atLeast"/>
              <w:textAlignment w:val="baseline"/>
              <w:rPr>
                <w:spacing w:val="-3"/>
              </w:rPr>
            </w:pPr>
            <w:r w:rsidRPr="008E667F">
              <w:rPr>
                <w:spacing w:val="-3"/>
              </w:rPr>
              <w:t xml:space="preserve">Hourly Rate: </w:t>
            </w:r>
            <w:r w:rsidRPr="00344784">
              <w:rPr>
                <w:spacing w:val="-3"/>
              </w:rPr>
              <w:t>$</w:t>
            </w:r>
            <w:r w:rsidR="00D974DC">
              <w:rPr>
                <w:spacing w:val="-3"/>
              </w:rPr>
              <w:t>71.56</w:t>
            </w:r>
          </w:p>
        </w:tc>
        <w:tc>
          <w:tcPr>
            <w:tcW w:w="3596" w:type="dxa"/>
            <w:shd w:val="clear" w:color="auto" w:fill="auto"/>
          </w:tcPr>
          <w:p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r w:rsidRPr="000A2CA4">
              <w:rPr>
                <w:spacing w:val="-3"/>
              </w:rPr>
              <w:t>Common Carrier Review and Process 100% of the “Initial Petitions” = 7 petitions (@ 30 hrs. for 3 of the petitions; 80 hrs. for 4 of the petitions) = 410 hours for staff</w:t>
            </w:r>
          </w:p>
          <w:p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p>
          <w:p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Common Carrier Review and Process 100 % of the “Petitions to </w:t>
            </w:r>
            <w:r w:rsidR="007367D2" w:rsidRPr="000A2CA4">
              <w:rPr>
                <w:spacing w:val="-3"/>
              </w:rPr>
              <w:t>Modify</w:t>
            </w:r>
            <w:r w:rsidRPr="000A2CA4">
              <w:rPr>
                <w:spacing w:val="-3"/>
              </w:rPr>
              <w:t xml:space="preserve"> Existing Ruling” = 18 petitions (@ 8 hrs./petition) = 144 hours for staff</w:t>
            </w:r>
          </w:p>
          <w:p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p>
          <w:p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p>
        </w:tc>
        <w:tc>
          <w:tcPr>
            <w:tcW w:w="2118" w:type="dxa"/>
            <w:shd w:val="clear" w:color="auto" w:fill="auto"/>
          </w:tcPr>
          <w:p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rsidR="001E2C4E" w:rsidRPr="000A2CA4" w:rsidRDefault="000E5813" w:rsidP="008E667F">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$2</w:t>
            </w:r>
            <w:r w:rsidR="00D974DC">
              <w:rPr>
                <w:b/>
                <w:spacing w:val="-3"/>
              </w:rPr>
              <w:t>9,339.60</w:t>
            </w:r>
          </w:p>
          <w:p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rsidR="001E2C4E" w:rsidRPr="000A2CA4" w:rsidRDefault="000E5813" w:rsidP="00D974DC">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$10,</w:t>
            </w:r>
            <w:r w:rsidR="00D974DC">
              <w:rPr>
                <w:b/>
                <w:spacing w:val="-3"/>
              </w:rPr>
              <w:t>304.64</w:t>
            </w:r>
          </w:p>
        </w:tc>
      </w:tr>
      <w:tr w:rsidR="001E2C4E" w:rsidRPr="008E667F" w:rsidTr="001D1DB1">
        <w:trPr>
          <w:trHeight w:val="1657"/>
        </w:trPr>
        <w:tc>
          <w:tcPr>
            <w:tcW w:w="3142" w:type="dxa"/>
            <w:vMerge/>
            <w:shd w:val="clear" w:color="auto" w:fill="auto"/>
          </w:tcPr>
          <w:p w:rsidR="001E2C4E" w:rsidRPr="008E667F" w:rsidRDefault="001E2C4E" w:rsidP="008E667F">
            <w:pPr>
              <w:widowControl w:val="0"/>
              <w:suppressAutoHyphens/>
              <w:overflowPunct w:val="0"/>
              <w:autoSpaceDE w:val="0"/>
              <w:autoSpaceDN w:val="0"/>
              <w:adjustRightInd w:val="0"/>
              <w:spacing w:line="240" w:lineRule="atLeast"/>
              <w:textAlignment w:val="baseline"/>
              <w:rPr>
                <w:spacing w:val="-3"/>
              </w:rPr>
            </w:pPr>
          </w:p>
        </w:tc>
        <w:tc>
          <w:tcPr>
            <w:tcW w:w="3596" w:type="dxa"/>
            <w:shd w:val="clear" w:color="auto" w:fill="auto"/>
          </w:tcPr>
          <w:p w:rsidR="001E2C4E" w:rsidRPr="000A2CA4" w:rsidRDefault="001E2C4E" w:rsidP="001E2C4E">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Broadcast Review and Process  100% of the “Initial Petitions” = </w:t>
            </w:r>
            <w:r w:rsidR="00920C1B" w:rsidRPr="000A2CA4">
              <w:rPr>
                <w:spacing w:val="-3"/>
              </w:rPr>
              <w:t>25</w:t>
            </w:r>
            <w:r w:rsidRPr="000A2CA4">
              <w:rPr>
                <w:spacing w:val="-3"/>
              </w:rPr>
              <w:t xml:space="preserve"> petitions (@ 30 hrs. for </w:t>
            </w:r>
            <w:r w:rsidR="00920C1B" w:rsidRPr="000A2CA4">
              <w:rPr>
                <w:spacing w:val="-3"/>
              </w:rPr>
              <w:t>10</w:t>
            </w:r>
            <w:r w:rsidRPr="000A2CA4">
              <w:rPr>
                <w:spacing w:val="-3"/>
              </w:rPr>
              <w:t xml:space="preserve"> of the petitions; 80 hrs. for </w:t>
            </w:r>
            <w:r w:rsidR="00920C1B" w:rsidRPr="000A2CA4">
              <w:rPr>
                <w:spacing w:val="-3"/>
              </w:rPr>
              <w:t xml:space="preserve">15 </w:t>
            </w:r>
            <w:r w:rsidRPr="000A2CA4">
              <w:rPr>
                <w:spacing w:val="-3"/>
              </w:rPr>
              <w:t xml:space="preserve">of the petitions) = </w:t>
            </w:r>
            <w:r w:rsidR="00920C1B" w:rsidRPr="000A2CA4">
              <w:rPr>
                <w:spacing w:val="-3"/>
              </w:rPr>
              <w:t>1</w:t>
            </w:r>
            <w:r w:rsidR="000E5813" w:rsidRPr="000A2CA4">
              <w:rPr>
                <w:spacing w:val="-3"/>
              </w:rPr>
              <w:t>,</w:t>
            </w:r>
            <w:r w:rsidR="00920C1B" w:rsidRPr="000A2CA4">
              <w:rPr>
                <w:spacing w:val="-3"/>
              </w:rPr>
              <w:t>500</w:t>
            </w:r>
            <w:r w:rsidRPr="000A2CA4">
              <w:rPr>
                <w:spacing w:val="-3"/>
              </w:rPr>
              <w:t xml:space="preserve"> hours for staff</w:t>
            </w:r>
          </w:p>
          <w:p w:rsidR="00920C1B" w:rsidRPr="000A2CA4" w:rsidRDefault="00920C1B" w:rsidP="001E2C4E">
            <w:pPr>
              <w:widowControl w:val="0"/>
              <w:suppressAutoHyphens/>
              <w:overflowPunct w:val="0"/>
              <w:autoSpaceDE w:val="0"/>
              <w:autoSpaceDN w:val="0"/>
              <w:adjustRightInd w:val="0"/>
              <w:spacing w:line="240" w:lineRule="atLeast"/>
              <w:textAlignment w:val="baseline"/>
              <w:rPr>
                <w:spacing w:val="-3"/>
              </w:rPr>
            </w:pPr>
          </w:p>
          <w:p w:rsidR="001E2C4E" w:rsidRPr="000A2CA4" w:rsidRDefault="00920C1B" w:rsidP="001E2C4E">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Broadcast </w:t>
            </w:r>
            <w:r w:rsidR="001E2C4E" w:rsidRPr="000A2CA4">
              <w:rPr>
                <w:spacing w:val="-3"/>
              </w:rPr>
              <w:t>Review and Process 100 % of the “</w:t>
            </w:r>
            <w:r w:rsidR="007367D2" w:rsidRPr="000A2CA4">
              <w:rPr>
                <w:spacing w:val="-3"/>
              </w:rPr>
              <w:t>Petitions to Modify</w:t>
            </w:r>
            <w:r w:rsidR="001E2C4E" w:rsidRPr="000A2CA4">
              <w:rPr>
                <w:spacing w:val="-3"/>
              </w:rPr>
              <w:t xml:space="preserve"> Existing Ruling” = </w:t>
            </w:r>
            <w:r w:rsidRPr="000A2CA4">
              <w:rPr>
                <w:spacing w:val="-3"/>
              </w:rPr>
              <w:t>5</w:t>
            </w:r>
            <w:r w:rsidR="001E2C4E" w:rsidRPr="000A2CA4">
              <w:rPr>
                <w:spacing w:val="-3"/>
              </w:rPr>
              <w:t xml:space="preserve"> petitions (@ 8 hrs./petition) = </w:t>
            </w:r>
            <w:r w:rsidRPr="000A2CA4">
              <w:rPr>
                <w:spacing w:val="-3"/>
              </w:rPr>
              <w:t xml:space="preserve">40 </w:t>
            </w:r>
            <w:r w:rsidR="001E2C4E" w:rsidRPr="000A2CA4">
              <w:rPr>
                <w:spacing w:val="-3"/>
              </w:rPr>
              <w:t>hours for staff</w:t>
            </w:r>
          </w:p>
          <w:p w:rsidR="001E2C4E" w:rsidRPr="000A2CA4" w:rsidRDefault="001E2C4E" w:rsidP="008E667F">
            <w:pPr>
              <w:widowControl w:val="0"/>
              <w:suppressAutoHyphens/>
              <w:overflowPunct w:val="0"/>
              <w:autoSpaceDE w:val="0"/>
              <w:autoSpaceDN w:val="0"/>
              <w:adjustRightInd w:val="0"/>
              <w:spacing w:line="240" w:lineRule="atLeast"/>
              <w:textAlignment w:val="baseline"/>
              <w:rPr>
                <w:spacing w:val="-3"/>
              </w:rPr>
            </w:pPr>
          </w:p>
        </w:tc>
        <w:tc>
          <w:tcPr>
            <w:tcW w:w="2118" w:type="dxa"/>
            <w:shd w:val="clear" w:color="auto" w:fill="auto"/>
          </w:tcPr>
          <w:p w:rsidR="001E2C4E" w:rsidRPr="000A2CA4" w:rsidRDefault="001E2C4E" w:rsidP="008E667F">
            <w:pPr>
              <w:widowControl w:val="0"/>
              <w:suppressAutoHyphens/>
              <w:overflowPunct w:val="0"/>
              <w:autoSpaceDE w:val="0"/>
              <w:autoSpaceDN w:val="0"/>
              <w:adjustRightInd w:val="0"/>
              <w:spacing w:line="240" w:lineRule="atLeast"/>
              <w:jc w:val="center"/>
              <w:textAlignment w:val="baseline"/>
              <w:rPr>
                <w:spacing w:val="-3"/>
              </w:rPr>
            </w:pPr>
          </w:p>
          <w:p w:rsidR="00920C1B" w:rsidRPr="000A2CA4" w:rsidRDefault="00920C1B" w:rsidP="008E667F">
            <w:pPr>
              <w:widowControl w:val="0"/>
              <w:suppressAutoHyphens/>
              <w:overflowPunct w:val="0"/>
              <w:autoSpaceDE w:val="0"/>
              <w:autoSpaceDN w:val="0"/>
              <w:adjustRightInd w:val="0"/>
              <w:spacing w:line="240" w:lineRule="atLeast"/>
              <w:jc w:val="center"/>
              <w:textAlignment w:val="baseline"/>
              <w:rPr>
                <w:spacing w:val="-3"/>
              </w:rPr>
            </w:pPr>
          </w:p>
          <w:p w:rsidR="00920C1B" w:rsidRPr="000A2CA4" w:rsidRDefault="000E5813" w:rsidP="008E667F">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$10</w:t>
            </w:r>
            <w:r w:rsidR="00D974DC">
              <w:rPr>
                <w:b/>
                <w:spacing w:val="-3"/>
              </w:rPr>
              <w:t>7,340</w:t>
            </w:r>
            <w:r w:rsidRPr="000A2CA4">
              <w:rPr>
                <w:b/>
                <w:spacing w:val="-3"/>
              </w:rPr>
              <w:t>.00</w:t>
            </w:r>
          </w:p>
          <w:p w:rsidR="00920C1B" w:rsidRPr="000A2CA4" w:rsidRDefault="00920C1B" w:rsidP="008E667F">
            <w:pPr>
              <w:widowControl w:val="0"/>
              <w:suppressAutoHyphens/>
              <w:overflowPunct w:val="0"/>
              <w:autoSpaceDE w:val="0"/>
              <w:autoSpaceDN w:val="0"/>
              <w:adjustRightInd w:val="0"/>
              <w:spacing w:line="240" w:lineRule="atLeast"/>
              <w:jc w:val="center"/>
              <w:textAlignment w:val="baseline"/>
              <w:rPr>
                <w:spacing w:val="-3"/>
              </w:rPr>
            </w:pPr>
          </w:p>
          <w:p w:rsidR="00920C1B" w:rsidRPr="000A2CA4" w:rsidRDefault="00920C1B" w:rsidP="008E667F">
            <w:pPr>
              <w:widowControl w:val="0"/>
              <w:suppressAutoHyphens/>
              <w:overflowPunct w:val="0"/>
              <w:autoSpaceDE w:val="0"/>
              <w:autoSpaceDN w:val="0"/>
              <w:adjustRightInd w:val="0"/>
              <w:spacing w:line="240" w:lineRule="atLeast"/>
              <w:jc w:val="center"/>
              <w:textAlignment w:val="baseline"/>
              <w:rPr>
                <w:spacing w:val="-3"/>
              </w:rPr>
            </w:pPr>
          </w:p>
          <w:p w:rsidR="00920C1B" w:rsidRPr="000A2CA4" w:rsidRDefault="00920C1B" w:rsidP="008E667F">
            <w:pPr>
              <w:widowControl w:val="0"/>
              <w:suppressAutoHyphens/>
              <w:overflowPunct w:val="0"/>
              <w:autoSpaceDE w:val="0"/>
              <w:autoSpaceDN w:val="0"/>
              <w:adjustRightInd w:val="0"/>
              <w:spacing w:line="240" w:lineRule="atLeast"/>
              <w:jc w:val="center"/>
              <w:textAlignment w:val="baseline"/>
              <w:rPr>
                <w:spacing w:val="-3"/>
              </w:rPr>
            </w:pPr>
          </w:p>
          <w:p w:rsidR="00920C1B" w:rsidRPr="000A2CA4" w:rsidRDefault="00920C1B" w:rsidP="008E667F">
            <w:pPr>
              <w:widowControl w:val="0"/>
              <w:suppressAutoHyphens/>
              <w:overflowPunct w:val="0"/>
              <w:autoSpaceDE w:val="0"/>
              <w:autoSpaceDN w:val="0"/>
              <w:adjustRightInd w:val="0"/>
              <w:spacing w:line="240" w:lineRule="atLeast"/>
              <w:jc w:val="center"/>
              <w:textAlignment w:val="baseline"/>
              <w:rPr>
                <w:spacing w:val="-3"/>
              </w:rPr>
            </w:pPr>
          </w:p>
          <w:p w:rsidR="00920C1B" w:rsidRPr="000A2CA4" w:rsidRDefault="000E5813" w:rsidP="00D974DC">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$2,</w:t>
            </w:r>
            <w:r w:rsidR="00D974DC">
              <w:rPr>
                <w:b/>
                <w:spacing w:val="-3"/>
              </w:rPr>
              <w:t>862.40</w:t>
            </w:r>
          </w:p>
        </w:tc>
      </w:tr>
      <w:tr w:rsidR="001D1DB1" w:rsidRPr="008E667F" w:rsidTr="00205FB1">
        <w:trPr>
          <w:trHeight w:val="1666"/>
        </w:trPr>
        <w:tc>
          <w:tcPr>
            <w:tcW w:w="3142" w:type="dxa"/>
            <w:shd w:val="clear" w:color="auto" w:fill="auto"/>
          </w:tcPr>
          <w:p w:rsidR="001D1DB1" w:rsidRPr="002073A4" w:rsidRDefault="001D1DB1" w:rsidP="008E667F">
            <w:pPr>
              <w:widowControl w:val="0"/>
              <w:suppressAutoHyphens/>
              <w:overflowPunct w:val="0"/>
              <w:autoSpaceDE w:val="0"/>
              <w:autoSpaceDN w:val="0"/>
              <w:adjustRightInd w:val="0"/>
              <w:spacing w:line="240" w:lineRule="atLeast"/>
              <w:textAlignment w:val="baseline"/>
              <w:rPr>
                <w:b/>
                <w:spacing w:val="-3"/>
              </w:rPr>
            </w:pPr>
            <w:r w:rsidRPr="002073A4">
              <w:rPr>
                <w:b/>
                <w:spacing w:val="-3"/>
              </w:rPr>
              <w:t>Section 1.5004(c)-(d)</w:t>
            </w:r>
          </w:p>
          <w:p w:rsidR="001D1DB1" w:rsidRPr="000A2CA4" w:rsidRDefault="001D1DB1" w:rsidP="008E667F">
            <w:pPr>
              <w:widowControl w:val="0"/>
              <w:suppressAutoHyphens/>
              <w:overflowPunct w:val="0"/>
              <w:autoSpaceDE w:val="0"/>
              <w:autoSpaceDN w:val="0"/>
              <w:adjustRightInd w:val="0"/>
              <w:spacing w:line="240" w:lineRule="atLeast"/>
              <w:textAlignment w:val="baseline"/>
              <w:rPr>
                <w:spacing w:val="-3"/>
              </w:rPr>
            </w:pPr>
          </w:p>
          <w:p w:rsidR="001D1DB1" w:rsidRPr="000A2CA4" w:rsidRDefault="000E5813" w:rsidP="001D1DB1">
            <w:pPr>
              <w:widowControl w:val="0"/>
              <w:suppressAutoHyphens/>
              <w:overflowPunct w:val="0"/>
              <w:autoSpaceDE w:val="0"/>
              <w:autoSpaceDN w:val="0"/>
              <w:adjustRightInd w:val="0"/>
              <w:spacing w:line="240" w:lineRule="atLeast"/>
              <w:textAlignment w:val="baseline"/>
              <w:rPr>
                <w:spacing w:val="-3"/>
              </w:rPr>
            </w:pPr>
            <w:r w:rsidRPr="000A2CA4">
              <w:rPr>
                <w:spacing w:val="-3"/>
              </w:rPr>
              <w:t>GS-12/Step 5</w:t>
            </w:r>
          </w:p>
          <w:p w:rsidR="001D1DB1" w:rsidRPr="000A2CA4" w:rsidRDefault="001D1DB1" w:rsidP="001D1DB1">
            <w:pPr>
              <w:widowControl w:val="0"/>
              <w:suppressAutoHyphens/>
              <w:overflowPunct w:val="0"/>
              <w:autoSpaceDE w:val="0"/>
              <w:autoSpaceDN w:val="0"/>
              <w:adjustRightInd w:val="0"/>
              <w:spacing w:line="240" w:lineRule="atLeast"/>
              <w:textAlignment w:val="baseline"/>
              <w:rPr>
                <w:spacing w:val="-3"/>
              </w:rPr>
            </w:pPr>
            <w:r w:rsidRPr="000A2CA4">
              <w:rPr>
                <w:spacing w:val="-3"/>
              </w:rPr>
              <w:t>Hourly Rate: $</w:t>
            </w:r>
            <w:r w:rsidR="000E5813" w:rsidRPr="000A2CA4">
              <w:rPr>
                <w:spacing w:val="-3"/>
              </w:rPr>
              <w:t>4</w:t>
            </w:r>
            <w:r w:rsidR="00D974DC">
              <w:rPr>
                <w:spacing w:val="-3"/>
              </w:rPr>
              <w:t>3.29</w:t>
            </w:r>
          </w:p>
          <w:p w:rsidR="001D1DB1" w:rsidRPr="000A2CA4" w:rsidRDefault="001D1DB1" w:rsidP="008E667F">
            <w:pPr>
              <w:widowControl w:val="0"/>
              <w:suppressAutoHyphens/>
              <w:overflowPunct w:val="0"/>
              <w:autoSpaceDE w:val="0"/>
              <w:autoSpaceDN w:val="0"/>
              <w:adjustRightInd w:val="0"/>
              <w:spacing w:line="240" w:lineRule="atLeast"/>
              <w:textAlignment w:val="baseline"/>
              <w:rPr>
                <w:spacing w:val="-3"/>
              </w:rPr>
            </w:pPr>
          </w:p>
        </w:tc>
        <w:tc>
          <w:tcPr>
            <w:tcW w:w="3596" w:type="dxa"/>
            <w:shd w:val="clear" w:color="auto" w:fill="auto"/>
          </w:tcPr>
          <w:p w:rsidR="001D1DB1" w:rsidRPr="000A2CA4" w:rsidRDefault="001D1DB1" w:rsidP="007367D2">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Common Carrier and Broadcast Review and Process 100% of the filings = </w:t>
            </w:r>
            <w:r w:rsidR="004A5375" w:rsidRPr="000A2CA4">
              <w:rPr>
                <w:spacing w:val="-3"/>
              </w:rPr>
              <w:t>14</w:t>
            </w:r>
            <w:r w:rsidRPr="000A2CA4">
              <w:rPr>
                <w:spacing w:val="-3"/>
              </w:rPr>
              <w:t xml:space="preserve"> filings (@ 2 hr./filing) = </w:t>
            </w:r>
            <w:r w:rsidR="00532A5E" w:rsidRPr="000A2CA4">
              <w:rPr>
                <w:spacing w:val="-3"/>
              </w:rPr>
              <w:t>28</w:t>
            </w:r>
            <w:r w:rsidRPr="000A2CA4">
              <w:rPr>
                <w:spacing w:val="-3"/>
              </w:rPr>
              <w:t xml:space="preserve"> hours for staff</w:t>
            </w:r>
          </w:p>
          <w:p w:rsidR="001D1DB1" w:rsidRPr="000A2CA4" w:rsidRDefault="001D1DB1" w:rsidP="003E2CAB">
            <w:pPr>
              <w:widowControl w:val="0"/>
              <w:suppressAutoHyphens/>
              <w:overflowPunct w:val="0"/>
              <w:autoSpaceDE w:val="0"/>
              <w:autoSpaceDN w:val="0"/>
              <w:adjustRightInd w:val="0"/>
              <w:spacing w:line="240" w:lineRule="atLeast"/>
              <w:textAlignment w:val="baseline"/>
              <w:rPr>
                <w:spacing w:val="-3"/>
              </w:rPr>
            </w:pPr>
          </w:p>
        </w:tc>
        <w:tc>
          <w:tcPr>
            <w:tcW w:w="2118" w:type="dxa"/>
            <w:shd w:val="clear" w:color="auto" w:fill="auto"/>
          </w:tcPr>
          <w:p w:rsidR="001D1DB1" w:rsidRPr="000A2CA4" w:rsidRDefault="001D1DB1" w:rsidP="008E667F">
            <w:pPr>
              <w:widowControl w:val="0"/>
              <w:suppressAutoHyphens/>
              <w:overflowPunct w:val="0"/>
              <w:autoSpaceDE w:val="0"/>
              <w:autoSpaceDN w:val="0"/>
              <w:adjustRightInd w:val="0"/>
              <w:spacing w:line="240" w:lineRule="atLeast"/>
              <w:jc w:val="center"/>
              <w:textAlignment w:val="baseline"/>
              <w:rPr>
                <w:b/>
                <w:spacing w:val="-3"/>
              </w:rPr>
            </w:pPr>
          </w:p>
          <w:p w:rsidR="001D1DB1" w:rsidRPr="000A2CA4" w:rsidRDefault="001D1DB1" w:rsidP="008E667F">
            <w:pPr>
              <w:widowControl w:val="0"/>
              <w:suppressAutoHyphens/>
              <w:overflowPunct w:val="0"/>
              <w:autoSpaceDE w:val="0"/>
              <w:autoSpaceDN w:val="0"/>
              <w:adjustRightInd w:val="0"/>
              <w:spacing w:line="240" w:lineRule="atLeast"/>
              <w:jc w:val="center"/>
              <w:textAlignment w:val="baseline"/>
              <w:rPr>
                <w:b/>
                <w:spacing w:val="-3"/>
              </w:rPr>
            </w:pPr>
          </w:p>
          <w:p w:rsidR="001D1DB1" w:rsidRPr="000A2CA4" w:rsidRDefault="001D1DB1" w:rsidP="00D974DC">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w:t>
            </w:r>
            <w:r w:rsidR="000E5813" w:rsidRPr="000A2CA4">
              <w:rPr>
                <w:b/>
                <w:spacing w:val="-3"/>
              </w:rPr>
              <w:t>1,</w:t>
            </w:r>
            <w:r w:rsidR="00D974DC">
              <w:rPr>
                <w:b/>
                <w:spacing w:val="-3"/>
              </w:rPr>
              <w:t>212.12</w:t>
            </w:r>
          </w:p>
        </w:tc>
      </w:tr>
      <w:tr w:rsidR="008E667F" w:rsidRPr="008E667F" w:rsidTr="00D16FC5">
        <w:trPr>
          <w:trHeight w:val="1043"/>
        </w:trPr>
        <w:tc>
          <w:tcPr>
            <w:tcW w:w="3142" w:type="dxa"/>
            <w:shd w:val="clear" w:color="auto" w:fill="auto"/>
          </w:tcPr>
          <w:p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p>
          <w:p w:rsidR="003232E4" w:rsidRPr="000A2CA4" w:rsidRDefault="003232E4" w:rsidP="008E667F">
            <w:pPr>
              <w:widowControl w:val="0"/>
              <w:suppressAutoHyphens/>
              <w:overflowPunct w:val="0"/>
              <w:autoSpaceDE w:val="0"/>
              <w:autoSpaceDN w:val="0"/>
              <w:adjustRightInd w:val="0"/>
              <w:spacing w:line="240" w:lineRule="atLeast"/>
              <w:textAlignment w:val="baseline"/>
              <w:rPr>
                <w:spacing w:val="-3"/>
              </w:rPr>
            </w:pPr>
            <w:r w:rsidRPr="000A2CA4">
              <w:rPr>
                <w:b/>
                <w:spacing w:val="-3"/>
              </w:rPr>
              <w:t>Section 1.</w:t>
            </w:r>
            <w:r w:rsidR="00920C1B" w:rsidRPr="000A2CA4">
              <w:rPr>
                <w:b/>
                <w:spacing w:val="-3"/>
              </w:rPr>
              <w:t>5004</w:t>
            </w:r>
            <w:r w:rsidRPr="000A2CA4">
              <w:rPr>
                <w:b/>
                <w:spacing w:val="-3"/>
              </w:rPr>
              <w:t>(f)(1</w:t>
            </w:r>
            <w:r w:rsidR="008E667F" w:rsidRPr="000A2CA4">
              <w:rPr>
                <w:b/>
                <w:spacing w:val="-3"/>
              </w:rPr>
              <w:t>)</w:t>
            </w:r>
            <w:r w:rsidR="00920C1B" w:rsidRPr="000A2CA4" w:rsidDel="00920C1B">
              <w:rPr>
                <w:rStyle w:val="FootnoteReference"/>
                <w:b/>
                <w:spacing w:val="-3"/>
              </w:rPr>
              <w:t xml:space="preserve"> </w:t>
            </w:r>
          </w:p>
          <w:p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r w:rsidRPr="000A2CA4">
              <w:rPr>
                <w:spacing w:val="-3"/>
              </w:rPr>
              <w:t>GS-15/Step 5</w:t>
            </w:r>
          </w:p>
          <w:p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r w:rsidRPr="000A2CA4">
              <w:rPr>
                <w:spacing w:val="-3"/>
              </w:rPr>
              <w:t>Hourly Rate: $</w:t>
            </w:r>
            <w:r w:rsidR="00D974DC">
              <w:rPr>
                <w:spacing w:val="-3"/>
              </w:rPr>
              <w:t>71.56</w:t>
            </w:r>
          </w:p>
          <w:p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p>
          <w:p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p>
          <w:p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p>
          <w:p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p>
        </w:tc>
        <w:tc>
          <w:tcPr>
            <w:tcW w:w="3596" w:type="dxa"/>
            <w:shd w:val="clear" w:color="auto" w:fill="auto"/>
          </w:tcPr>
          <w:p w:rsidR="008E667F" w:rsidRPr="000A2CA4" w:rsidRDefault="008E667F" w:rsidP="003E2CAB">
            <w:pPr>
              <w:widowControl w:val="0"/>
              <w:suppressAutoHyphens/>
              <w:overflowPunct w:val="0"/>
              <w:autoSpaceDE w:val="0"/>
              <w:autoSpaceDN w:val="0"/>
              <w:adjustRightInd w:val="0"/>
              <w:spacing w:line="240" w:lineRule="atLeast"/>
              <w:textAlignment w:val="baseline"/>
              <w:rPr>
                <w:spacing w:val="-3"/>
              </w:rPr>
            </w:pPr>
          </w:p>
          <w:p w:rsidR="008E667F" w:rsidRPr="000A2CA4"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0A2CA4"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3232E4" w:rsidRPr="000A2CA4" w:rsidRDefault="007367D2" w:rsidP="003232E4">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Common Carrier and Broadcast </w:t>
            </w:r>
            <w:r w:rsidR="003232E4" w:rsidRPr="000A2CA4">
              <w:rPr>
                <w:spacing w:val="-3"/>
              </w:rPr>
              <w:t xml:space="preserve">Review and Process 100% of the filings = </w:t>
            </w:r>
            <w:r w:rsidRPr="000A2CA4">
              <w:rPr>
                <w:spacing w:val="-3"/>
              </w:rPr>
              <w:t>7</w:t>
            </w:r>
            <w:r w:rsidR="003232E4" w:rsidRPr="000A2CA4">
              <w:rPr>
                <w:spacing w:val="-3"/>
              </w:rPr>
              <w:t xml:space="preserve"> filings (@ </w:t>
            </w:r>
            <w:r w:rsidRPr="000A2CA4">
              <w:rPr>
                <w:spacing w:val="-3"/>
              </w:rPr>
              <w:t>2</w:t>
            </w:r>
            <w:r w:rsidR="003232E4" w:rsidRPr="000A2CA4">
              <w:rPr>
                <w:spacing w:val="-3"/>
              </w:rPr>
              <w:t xml:space="preserve"> hr./filing) = </w:t>
            </w:r>
            <w:r w:rsidRPr="000A2CA4">
              <w:rPr>
                <w:spacing w:val="-3"/>
              </w:rPr>
              <w:t>14</w:t>
            </w:r>
            <w:r w:rsidR="003232E4" w:rsidRPr="000A2CA4">
              <w:rPr>
                <w:spacing w:val="-3"/>
              </w:rPr>
              <w:t xml:space="preserve"> hours for staff</w:t>
            </w:r>
          </w:p>
          <w:p w:rsidR="008E667F" w:rsidRPr="000A2CA4" w:rsidRDefault="008E667F" w:rsidP="003232E4">
            <w:pPr>
              <w:widowControl w:val="0"/>
              <w:suppressAutoHyphens/>
              <w:overflowPunct w:val="0"/>
              <w:autoSpaceDE w:val="0"/>
              <w:autoSpaceDN w:val="0"/>
              <w:adjustRightInd w:val="0"/>
              <w:spacing w:line="240" w:lineRule="atLeast"/>
              <w:jc w:val="right"/>
              <w:textAlignment w:val="baseline"/>
              <w:rPr>
                <w:spacing w:val="-3"/>
              </w:rPr>
            </w:pPr>
          </w:p>
          <w:p w:rsidR="008E667F" w:rsidRPr="000A2CA4" w:rsidRDefault="008E667F" w:rsidP="00D16FC5">
            <w:pPr>
              <w:widowControl w:val="0"/>
              <w:suppressAutoHyphens/>
              <w:overflowPunct w:val="0"/>
              <w:autoSpaceDE w:val="0"/>
              <w:autoSpaceDN w:val="0"/>
              <w:adjustRightInd w:val="0"/>
              <w:spacing w:line="240" w:lineRule="atLeast"/>
              <w:textAlignment w:val="baseline"/>
              <w:rPr>
                <w:spacing w:val="-3"/>
              </w:rPr>
            </w:pPr>
          </w:p>
          <w:p w:rsidR="008E667F" w:rsidRPr="000A2CA4" w:rsidRDefault="008E667F" w:rsidP="008E667F">
            <w:pPr>
              <w:widowControl w:val="0"/>
              <w:suppressAutoHyphens/>
              <w:overflowPunct w:val="0"/>
              <w:autoSpaceDE w:val="0"/>
              <w:autoSpaceDN w:val="0"/>
              <w:adjustRightInd w:val="0"/>
              <w:spacing w:line="240" w:lineRule="atLeast"/>
              <w:jc w:val="center"/>
              <w:textAlignment w:val="baseline"/>
              <w:rPr>
                <w:spacing w:val="-3"/>
              </w:rPr>
            </w:pPr>
          </w:p>
        </w:tc>
        <w:tc>
          <w:tcPr>
            <w:tcW w:w="2118" w:type="dxa"/>
            <w:shd w:val="clear" w:color="auto" w:fill="auto"/>
          </w:tcPr>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3232E4" w:rsidRPr="002E3517" w:rsidRDefault="003232E4" w:rsidP="003232E4">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w:t>
            </w:r>
            <w:r w:rsidR="00D974DC">
              <w:rPr>
                <w:b/>
                <w:spacing w:val="-3"/>
              </w:rPr>
              <w:t>1,001.84</w:t>
            </w: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8E667F" w:rsidRDefault="008E667F" w:rsidP="008E667F">
            <w:pPr>
              <w:widowControl w:val="0"/>
              <w:suppressAutoHyphens/>
              <w:overflowPunct w:val="0"/>
              <w:autoSpaceDE w:val="0"/>
              <w:autoSpaceDN w:val="0"/>
              <w:adjustRightInd w:val="0"/>
              <w:spacing w:line="240" w:lineRule="atLeast"/>
              <w:jc w:val="center"/>
              <w:textAlignment w:val="baseline"/>
              <w:rPr>
                <w:b/>
                <w:spacing w:val="-3"/>
              </w:rPr>
            </w:pPr>
          </w:p>
        </w:tc>
      </w:tr>
      <w:tr w:rsidR="007367D2" w:rsidRPr="000A2CA4" w:rsidTr="001D1DB1">
        <w:tc>
          <w:tcPr>
            <w:tcW w:w="3142" w:type="dxa"/>
            <w:shd w:val="clear" w:color="auto" w:fill="auto"/>
          </w:tcPr>
          <w:p w:rsidR="007367D2" w:rsidRPr="002073A4" w:rsidRDefault="007367D2" w:rsidP="008E667F">
            <w:pPr>
              <w:widowControl w:val="0"/>
              <w:suppressAutoHyphens/>
              <w:overflowPunct w:val="0"/>
              <w:autoSpaceDE w:val="0"/>
              <w:autoSpaceDN w:val="0"/>
              <w:adjustRightInd w:val="0"/>
              <w:spacing w:line="240" w:lineRule="atLeast"/>
              <w:textAlignment w:val="baseline"/>
              <w:rPr>
                <w:b/>
                <w:spacing w:val="-3"/>
              </w:rPr>
            </w:pPr>
            <w:r w:rsidRPr="002073A4">
              <w:rPr>
                <w:b/>
                <w:spacing w:val="-3"/>
              </w:rPr>
              <w:t>Section 1.5004(f)(3)</w:t>
            </w:r>
          </w:p>
          <w:p w:rsidR="007367D2" w:rsidRPr="000A2CA4" w:rsidRDefault="007367D2" w:rsidP="008E667F">
            <w:pPr>
              <w:widowControl w:val="0"/>
              <w:suppressAutoHyphens/>
              <w:overflowPunct w:val="0"/>
              <w:autoSpaceDE w:val="0"/>
              <w:autoSpaceDN w:val="0"/>
              <w:adjustRightInd w:val="0"/>
              <w:spacing w:line="240" w:lineRule="atLeast"/>
              <w:textAlignment w:val="baseline"/>
              <w:rPr>
                <w:spacing w:val="-3"/>
              </w:rPr>
            </w:pPr>
            <w:bookmarkStart w:id="0" w:name="_GoBack"/>
            <w:bookmarkEnd w:id="0"/>
          </w:p>
          <w:p w:rsidR="007367D2" w:rsidRPr="000A2CA4" w:rsidRDefault="007367D2" w:rsidP="007367D2">
            <w:pPr>
              <w:widowControl w:val="0"/>
              <w:suppressAutoHyphens/>
              <w:overflowPunct w:val="0"/>
              <w:autoSpaceDE w:val="0"/>
              <w:autoSpaceDN w:val="0"/>
              <w:adjustRightInd w:val="0"/>
              <w:spacing w:line="240" w:lineRule="atLeast"/>
              <w:textAlignment w:val="baseline"/>
              <w:rPr>
                <w:spacing w:val="-3"/>
              </w:rPr>
            </w:pPr>
            <w:r w:rsidRPr="000A2CA4">
              <w:rPr>
                <w:spacing w:val="-3"/>
              </w:rPr>
              <w:t>GS-15/Step 5</w:t>
            </w:r>
          </w:p>
          <w:p w:rsidR="007367D2" w:rsidRPr="000A2CA4" w:rsidRDefault="007367D2" w:rsidP="007367D2">
            <w:pPr>
              <w:widowControl w:val="0"/>
              <w:suppressAutoHyphens/>
              <w:overflowPunct w:val="0"/>
              <w:autoSpaceDE w:val="0"/>
              <w:autoSpaceDN w:val="0"/>
              <w:adjustRightInd w:val="0"/>
              <w:spacing w:line="240" w:lineRule="atLeast"/>
              <w:textAlignment w:val="baseline"/>
              <w:rPr>
                <w:spacing w:val="-3"/>
              </w:rPr>
            </w:pPr>
            <w:r w:rsidRPr="000A2CA4">
              <w:rPr>
                <w:spacing w:val="-3"/>
              </w:rPr>
              <w:t>Hourly Rate: $</w:t>
            </w:r>
            <w:r w:rsidR="00D974DC">
              <w:rPr>
                <w:spacing w:val="-3"/>
              </w:rPr>
              <w:t>71.56</w:t>
            </w:r>
          </w:p>
          <w:p w:rsidR="007367D2" w:rsidRPr="000A2CA4" w:rsidRDefault="007367D2" w:rsidP="008E667F">
            <w:pPr>
              <w:widowControl w:val="0"/>
              <w:suppressAutoHyphens/>
              <w:overflowPunct w:val="0"/>
              <w:autoSpaceDE w:val="0"/>
              <w:autoSpaceDN w:val="0"/>
              <w:adjustRightInd w:val="0"/>
              <w:spacing w:line="240" w:lineRule="atLeast"/>
              <w:textAlignment w:val="baseline"/>
              <w:rPr>
                <w:spacing w:val="-3"/>
              </w:rPr>
            </w:pPr>
          </w:p>
        </w:tc>
        <w:tc>
          <w:tcPr>
            <w:tcW w:w="3596" w:type="dxa"/>
            <w:shd w:val="clear" w:color="auto" w:fill="auto"/>
          </w:tcPr>
          <w:p w:rsidR="007367D2" w:rsidRPr="000A2CA4" w:rsidRDefault="007367D2" w:rsidP="007367D2">
            <w:pPr>
              <w:widowControl w:val="0"/>
              <w:suppressAutoHyphens/>
              <w:overflowPunct w:val="0"/>
              <w:autoSpaceDE w:val="0"/>
              <w:autoSpaceDN w:val="0"/>
              <w:adjustRightInd w:val="0"/>
              <w:spacing w:line="240" w:lineRule="atLeast"/>
              <w:textAlignment w:val="baseline"/>
              <w:rPr>
                <w:spacing w:val="-3"/>
              </w:rPr>
            </w:pPr>
            <w:r w:rsidRPr="000A2CA4">
              <w:rPr>
                <w:spacing w:val="-3"/>
              </w:rPr>
              <w:t xml:space="preserve">Common Carrier and Broadcast Review and Process 100% of the filings = </w:t>
            </w:r>
            <w:r w:rsidR="00532A5E" w:rsidRPr="000A2CA4">
              <w:rPr>
                <w:spacing w:val="-3"/>
              </w:rPr>
              <w:t>5</w:t>
            </w:r>
            <w:r w:rsidRPr="000A2CA4">
              <w:rPr>
                <w:spacing w:val="-3"/>
              </w:rPr>
              <w:t xml:space="preserve"> filings (@ </w:t>
            </w:r>
            <w:r w:rsidR="00532A5E" w:rsidRPr="000A2CA4">
              <w:rPr>
                <w:spacing w:val="-3"/>
              </w:rPr>
              <w:t>8</w:t>
            </w:r>
            <w:r w:rsidRPr="000A2CA4">
              <w:rPr>
                <w:spacing w:val="-3"/>
              </w:rPr>
              <w:t xml:space="preserve"> hr./filing) = </w:t>
            </w:r>
            <w:r w:rsidR="00532A5E" w:rsidRPr="000A2CA4">
              <w:rPr>
                <w:spacing w:val="-3"/>
              </w:rPr>
              <w:t>40</w:t>
            </w:r>
            <w:r w:rsidRPr="000A2CA4">
              <w:rPr>
                <w:spacing w:val="-3"/>
              </w:rPr>
              <w:t xml:space="preserve"> hours for staff</w:t>
            </w:r>
          </w:p>
          <w:p w:rsidR="007367D2" w:rsidRPr="000A2CA4" w:rsidRDefault="007367D2" w:rsidP="003E2CAB">
            <w:pPr>
              <w:widowControl w:val="0"/>
              <w:suppressAutoHyphens/>
              <w:overflowPunct w:val="0"/>
              <w:autoSpaceDE w:val="0"/>
              <w:autoSpaceDN w:val="0"/>
              <w:adjustRightInd w:val="0"/>
              <w:spacing w:line="240" w:lineRule="atLeast"/>
              <w:textAlignment w:val="baseline"/>
              <w:rPr>
                <w:spacing w:val="-3"/>
              </w:rPr>
            </w:pPr>
          </w:p>
        </w:tc>
        <w:tc>
          <w:tcPr>
            <w:tcW w:w="2118" w:type="dxa"/>
            <w:shd w:val="clear" w:color="auto" w:fill="auto"/>
          </w:tcPr>
          <w:p w:rsidR="007367D2" w:rsidRPr="000A2CA4" w:rsidRDefault="000E5813" w:rsidP="00D974DC">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w:t>
            </w:r>
            <w:r w:rsidR="00D974DC">
              <w:rPr>
                <w:b/>
                <w:spacing w:val="-3"/>
              </w:rPr>
              <w:t>2,862.40</w:t>
            </w:r>
          </w:p>
        </w:tc>
      </w:tr>
      <w:tr w:rsidR="008E667F" w:rsidRPr="000A2CA4" w:rsidTr="001D1DB1">
        <w:tc>
          <w:tcPr>
            <w:tcW w:w="3142" w:type="dxa"/>
            <w:shd w:val="clear" w:color="auto" w:fill="auto"/>
          </w:tcPr>
          <w:p w:rsidR="008E667F" w:rsidRPr="000A2CA4" w:rsidRDefault="008E667F" w:rsidP="008E667F">
            <w:pPr>
              <w:widowControl w:val="0"/>
              <w:suppressAutoHyphens/>
              <w:overflowPunct w:val="0"/>
              <w:autoSpaceDE w:val="0"/>
              <w:autoSpaceDN w:val="0"/>
              <w:adjustRightInd w:val="0"/>
              <w:spacing w:line="240" w:lineRule="atLeast"/>
              <w:textAlignment w:val="baseline"/>
              <w:rPr>
                <w:spacing w:val="-3"/>
              </w:rPr>
            </w:pPr>
            <w:r w:rsidRPr="000A2CA4">
              <w:rPr>
                <w:b/>
                <w:spacing w:val="-3"/>
              </w:rPr>
              <w:t>Total Costs to the Federal Government</w:t>
            </w:r>
            <w:r w:rsidRPr="000A2CA4">
              <w:rPr>
                <w:spacing w:val="-3"/>
              </w:rPr>
              <w:t>:</w:t>
            </w:r>
          </w:p>
        </w:tc>
        <w:tc>
          <w:tcPr>
            <w:tcW w:w="3596" w:type="dxa"/>
            <w:shd w:val="clear" w:color="auto" w:fill="auto"/>
          </w:tcPr>
          <w:p w:rsidR="008E667F" w:rsidRPr="000A2CA4" w:rsidRDefault="008E667F" w:rsidP="008E667F">
            <w:pPr>
              <w:widowControl w:val="0"/>
              <w:suppressAutoHyphens/>
              <w:overflowPunct w:val="0"/>
              <w:autoSpaceDE w:val="0"/>
              <w:autoSpaceDN w:val="0"/>
              <w:adjustRightInd w:val="0"/>
              <w:spacing w:line="240" w:lineRule="atLeast"/>
              <w:jc w:val="center"/>
              <w:textAlignment w:val="baseline"/>
              <w:rPr>
                <w:spacing w:val="-3"/>
              </w:rPr>
            </w:pPr>
          </w:p>
        </w:tc>
        <w:tc>
          <w:tcPr>
            <w:tcW w:w="2118" w:type="dxa"/>
            <w:shd w:val="clear" w:color="auto" w:fill="auto"/>
          </w:tcPr>
          <w:p w:rsidR="008E667F" w:rsidRPr="000A2CA4" w:rsidRDefault="008E667F" w:rsidP="008E667F">
            <w:pPr>
              <w:widowControl w:val="0"/>
              <w:suppressAutoHyphens/>
              <w:overflowPunct w:val="0"/>
              <w:autoSpaceDE w:val="0"/>
              <w:autoSpaceDN w:val="0"/>
              <w:adjustRightInd w:val="0"/>
              <w:spacing w:line="240" w:lineRule="atLeast"/>
              <w:jc w:val="center"/>
              <w:textAlignment w:val="baseline"/>
              <w:rPr>
                <w:spacing w:val="-3"/>
              </w:rPr>
            </w:pPr>
          </w:p>
          <w:p w:rsidR="008E667F" w:rsidRPr="000A2CA4" w:rsidRDefault="002E3517" w:rsidP="003E2CAB">
            <w:pPr>
              <w:widowControl w:val="0"/>
              <w:suppressAutoHyphens/>
              <w:overflowPunct w:val="0"/>
              <w:autoSpaceDE w:val="0"/>
              <w:autoSpaceDN w:val="0"/>
              <w:adjustRightInd w:val="0"/>
              <w:spacing w:line="240" w:lineRule="atLeast"/>
              <w:jc w:val="center"/>
              <w:textAlignment w:val="baseline"/>
              <w:rPr>
                <w:b/>
                <w:spacing w:val="-3"/>
              </w:rPr>
            </w:pPr>
            <w:r w:rsidRPr="000A2CA4">
              <w:rPr>
                <w:b/>
                <w:spacing w:val="-3"/>
              </w:rPr>
              <w:t>$</w:t>
            </w:r>
            <w:r w:rsidR="00D974DC">
              <w:rPr>
                <w:b/>
                <w:spacing w:val="-3"/>
              </w:rPr>
              <w:t>154,923.00</w:t>
            </w:r>
          </w:p>
        </w:tc>
      </w:tr>
    </w:tbl>
    <w:p w:rsidR="008675DD" w:rsidRPr="000A2CA4" w:rsidRDefault="008675DD" w:rsidP="00992158">
      <w:pPr>
        <w:suppressAutoHyphens/>
        <w:spacing w:line="240" w:lineRule="atLeast"/>
        <w:rPr>
          <w:spacing w:val="-3"/>
        </w:rPr>
      </w:pPr>
    </w:p>
    <w:p w:rsidR="00992158" w:rsidRPr="000A2CA4" w:rsidRDefault="00992158" w:rsidP="00992158">
      <w:pPr>
        <w:suppressAutoHyphens/>
        <w:spacing w:line="240" w:lineRule="atLeast"/>
        <w:rPr>
          <w:spacing w:val="-3"/>
        </w:rPr>
      </w:pPr>
      <w:r w:rsidRPr="000A2CA4">
        <w:rPr>
          <w:spacing w:val="-3"/>
        </w:rPr>
        <w:t>15</w:t>
      </w:r>
      <w:r w:rsidR="007A0BAC" w:rsidRPr="000A2CA4">
        <w:rPr>
          <w:spacing w:val="-3"/>
        </w:rPr>
        <w:t xml:space="preserve">.   The Commission has the following program changes/increases to this information collection which are due to the information collection requirements which were adopted in FCC 16-128:  34 to the number of respondents, </w:t>
      </w:r>
      <w:r w:rsidR="00B17115" w:rsidRPr="000A2CA4">
        <w:rPr>
          <w:spacing w:val="-3"/>
        </w:rPr>
        <w:t xml:space="preserve">34 to the number of annual responses, </w:t>
      </w:r>
      <w:r w:rsidR="007A0BAC" w:rsidRPr="000A2CA4">
        <w:rPr>
          <w:spacing w:val="-3"/>
        </w:rPr>
        <w:t>1,170 to the annual burden hours and $326,400 to the annual cost burden.</w:t>
      </w:r>
    </w:p>
    <w:p w:rsidR="007A0BAC" w:rsidRPr="000A2CA4" w:rsidRDefault="007A0BAC" w:rsidP="00992158">
      <w:pPr>
        <w:suppressAutoHyphens/>
        <w:spacing w:line="240" w:lineRule="atLeast"/>
        <w:rPr>
          <w:spacing w:val="-3"/>
        </w:rPr>
      </w:pPr>
    </w:p>
    <w:p w:rsidR="007A0BAC" w:rsidRDefault="007A0BAC" w:rsidP="00992158">
      <w:pPr>
        <w:suppressAutoHyphens/>
        <w:spacing w:line="240" w:lineRule="atLeast"/>
        <w:rPr>
          <w:spacing w:val="-3"/>
        </w:rPr>
      </w:pPr>
      <w:r w:rsidRPr="000A2CA4">
        <w:rPr>
          <w:spacing w:val="-3"/>
        </w:rPr>
        <w:t>There are no adjustments to this collection.</w:t>
      </w:r>
    </w:p>
    <w:p w:rsidR="00992158" w:rsidRDefault="00992158" w:rsidP="00992158">
      <w:pPr>
        <w:suppressAutoHyphens/>
        <w:spacing w:line="240" w:lineRule="atLeast"/>
        <w:rPr>
          <w:spacing w:val="-3"/>
        </w:rPr>
      </w:pPr>
    </w:p>
    <w:p w:rsidR="00992158" w:rsidRDefault="00992158" w:rsidP="00992158">
      <w:pPr>
        <w:suppressAutoHyphens/>
        <w:spacing w:line="240" w:lineRule="atLeast"/>
        <w:rPr>
          <w:spacing w:val="-3"/>
        </w:rPr>
      </w:pPr>
      <w:r>
        <w:rPr>
          <w:spacing w:val="-3"/>
        </w:rPr>
        <w:t xml:space="preserve">16.   The FCC </w:t>
      </w:r>
      <w:r w:rsidRPr="00E81B22">
        <w:rPr>
          <w:spacing w:val="-3"/>
        </w:rPr>
        <w:t>has not proposed</w:t>
      </w:r>
      <w:r>
        <w:rPr>
          <w:spacing w:val="-3"/>
        </w:rPr>
        <w:t xml:space="preserve"> to publish the information that will be collected.</w:t>
      </w:r>
    </w:p>
    <w:p w:rsidR="00992158" w:rsidRDefault="00992158" w:rsidP="00992158">
      <w:pPr>
        <w:suppressAutoHyphens/>
        <w:spacing w:line="240" w:lineRule="atLeast"/>
        <w:rPr>
          <w:spacing w:val="-3"/>
        </w:rPr>
      </w:pPr>
    </w:p>
    <w:p w:rsidR="00992158" w:rsidRDefault="00992158" w:rsidP="00992158">
      <w:pPr>
        <w:suppressAutoHyphens/>
        <w:spacing w:line="240" w:lineRule="atLeast"/>
        <w:rPr>
          <w:spacing w:val="-3"/>
        </w:rPr>
      </w:pPr>
      <w:r>
        <w:rPr>
          <w:spacing w:val="-3"/>
        </w:rPr>
        <w:t xml:space="preserve">17.  All OMB-approved information collections </w:t>
      </w:r>
      <w:r w:rsidRPr="00E81B22">
        <w:rPr>
          <w:spacing w:val="-3"/>
        </w:rPr>
        <w:t>(including this one)</w:t>
      </w:r>
      <w:r>
        <w:rPr>
          <w:spacing w:val="-3"/>
        </w:rPr>
        <w:t xml:space="preserve"> will be published in 47 CFR 0.408, which “displays” the title, OMB control number and OMB expiration date.  The FCC </w:t>
      </w:r>
      <w:r w:rsidRPr="00E81B22">
        <w:rPr>
          <w:spacing w:val="-3"/>
        </w:rPr>
        <w:t>has not proposed to issue an FCC Form specifically</w:t>
      </w:r>
      <w:r>
        <w:rPr>
          <w:spacing w:val="-3"/>
        </w:rPr>
        <w:t xml:space="preserve"> for the purpose of this collection.</w:t>
      </w:r>
    </w:p>
    <w:p w:rsidR="00992158" w:rsidRDefault="00992158" w:rsidP="00992158">
      <w:pPr>
        <w:suppressAutoHyphens/>
        <w:spacing w:line="240" w:lineRule="atLeast"/>
      </w:pPr>
    </w:p>
    <w:p w:rsidR="005631C0" w:rsidRDefault="005631C0" w:rsidP="005631C0">
      <w:pPr>
        <w:pStyle w:val="ParaNum"/>
        <w:numPr>
          <w:ilvl w:val="0"/>
          <w:numId w:val="0"/>
        </w:numPr>
        <w:spacing w:after="0"/>
        <w:rPr>
          <w:sz w:val="24"/>
          <w:szCs w:val="24"/>
        </w:rPr>
      </w:pPr>
      <w:r w:rsidRPr="003F46C2">
        <w:rPr>
          <w:sz w:val="24"/>
          <w:szCs w:val="24"/>
        </w:rPr>
        <w:t xml:space="preserve">18. There are no exceptions to the certification statement.  </w:t>
      </w:r>
    </w:p>
    <w:p w:rsidR="005631C0" w:rsidRPr="003F46C2" w:rsidRDefault="005631C0" w:rsidP="005631C0">
      <w:pPr>
        <w:pStyle w:val="ParaNum"/>
        <w:numPr>
          <w:ilvl w:val="0"/>
          <w:numId w:val="0"/>
        </w:numPr>
        <w:spacing w:after="0"/>
        <w:rPr>
          <w:sz w:val="24"/>
          <w:szCs w:val="24"/>
        </w:rPr>
      </w:pPr>
    </w:p>
    <w:p w:rsidR="005631C0" w:rsidRDefault="005631C0" w:rsidP="005631C0">
      <w:pPr>
        <w:ind w:left="360"/>
        <w:rPr>
          <w:b/>
        </w:rPr>
      </w:pPr>
      <w:r>
        <w:rPr>
          <w:b/>
        </w:rPr>
        <w:t xml:space="preserve">B.  </w:t>
      </w:r>
      <w:r w:rsidRPr="001E6E9E">
        <w:rPr>
          <w:b/>
        </w:rPr>
        <w:t>Collections of Information Employing Statistical Methods:</w:t>
      </w:r>
    </w:p>
    <w:p w:rsidR="005631C0" w:rsidRPr="001E6E9E" w:rsidRDefault="005631C0" w:rsidP="005631C0">
      <w:pPr>
        <w:rPr>
          <w:b/>
        </w:rPr>
      </w:pPr>
    </w:p>
    <w:p w:rsidR="005631C0" w:rsidRPr="003F46C2" w:rsidRDefault="005631C0" w:rsidP="00C17EB0">
      <w:pPr>
        <w:suppressAutoHyphens/>
        <w:ind w:firstLine="360"/>
      </w:pPr>
      <w:r w:rsidRPr="003F46C2">
        <w:t xml:space="preserve">This information collection does not use any statistical methods.  </w:t>
      </w:r>
    </w:p>
    <w:p w:rsidR="00992158" w:rsidRDefault="00992158"/>
    <w:sectPr w:rsidR="00992158" w:rsidSect="00992158">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E40" w:rsidRDefault="00282E40">
      <w:r>
        <w:separator/>
      </w:r>
    </w:p>
  </w:endnote>
  <w:endnote w:type="continuationSeparator" w:id="0">
    <w:p w:rsidR="00282E40" w:rsidRDefault="0028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B16" w:rsidRDefault="00E56B16" w:rsidP="00992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6B16" w:rsidRDefault="00E56B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B16" w:rsidRDefault="00E56B16" w:rsidP="00992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73A4">
      <w:rPr>
        <w:rStyle w:val="PageNumber"/>
        <w:noProof/>
      </w:rPr>
      <w:t>12</w:t>
    </w:r>
    <w:r>
      <w:rPr>
        <w:rStyle w:val="PageNumber"/>
      </w:rPr>
      <w:fldChar w:fldCharType="end"/>
    </w:r>
  </w:p>
  <w:p w:rsidR="00E56B16" w:rsidRDefault="00E56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E40" w:rsidRDefault="00282E40">
      <w:r>
        <w:separator/>
      </w:r>
    </w:p>
  </w:footnote>
  <w:footnote w:type="continuationSeparator" w:id="0">
    <w:p w:rsidR="00282E40" w:rsidRDefault="00282E40">
      <w:r>
        <w:continuationSeparator/>
      </w:r>
    </w:p>
  </w:footnote>
  <w:footnote w:id="1">
    <w:p w:rsidR="00263A76" w:rsidRPr="005F1AF5" w:rsidRDefault="00263A76">
      <w:pPr>
        <w:pStyle w:val="FootnoteText"/>
        <w:rPr>
          <w:rFonts w:ascii="Times New Roman" w:hAnsi="Times New Roman"/>
          <w:sz w:val="20"/>
        </w:rPr>
      </w:pPr>
      <w:r w:rsidRPr="005F1AF5">
        <w:rPr>
          <w:rStyle w:val="FootnoteReference"/>
          <w:rFonts w:ascii="Times New Roman" w:hAnsi="Times New Roman"/>
          <w:sz w:val="20"/>
        </w:rPr>
        <w:footnoteRef/>
      </w:r>
      <w:r w:rsidRPr="005F1AF5">
        <w:rPr>
          <w:rFonts w:ascii="Times New Roman" w:hAnsi="Times New Roman"/>
          <w:sz w:val="20"/>
        </w:rPr>
        <w:t xml:space="preserve"> The Commission adopted the Section 310(b)(3) </w:t>
      </w:r>
      <w:r w:rsidR="005F1AF5">
        <w:rPr>
          <w:rFonts w:ascii="Times New Roman" w:hAnsi="Times New Roman"/>
          <w:sz w:val="20"/>
        </w:rPr>
        <w:t xml:space="preserve">foreign ownership </w:t>
      </w:r>
      <w:r w:rsidRPr="005F1AF5">
        <w:rPr>
          <w:rFonts w:ascii="Times New Roman" w:hAnsi="Times New Roman"/>
          <w:sz w:val="20"/>
        </w:rPr>
        <w:t xml:space="preserve">rules for common carrier licensees pursuant to its forbearance authority </w:t>
      </w:r>
      <w:r w:rsidR="005F1AF5" w:rsidRPr="005F1AF5">
        <w:rPr>
          <w:rFonts w:ascii="Times New Roman" w:hAnsi="Times New Roman"/>
          <w:sz w:val="20"/>
        </w:rPr>
        <w:t xml:space="preserve">under 47 U.S.C. § 160.  </w:t>
      </w:r>
      <w:r w:rsidRPr="005F1AF5">
        <w:rPr>
          <w:rFonts w:ascii="Times New Roman" w:hAnsi="Times New Roman"/>
          <w:sz w:val="20"/>
        </w:rPr>
        <w:t>The Commission’s forbearance authority does not extend to broadcast or aeronautical radio station licensees</w:t>
      </w:r>
      <w:r w:rsidR="005F1AF5" w:rsidRPr="005F1AF5">
        <w:rPr>
          <w:rFonts w:ascii="Times New Roman" w:hAnsi="Times New Roman"/>
          <w:sz w:val="20"/>
        </w:rPr>
        <w:t>.</w:t>
      </w:r>
    </w:p>
  </w:footnote>
  <w:footnote w:id="2">
    <w:p w:rsidR="005B2E55" w:rsidRPr="004329B5" w:rsidRDefault="005B2E55" w:rsidP="004329B5">
      <w:pPr>
        <w:pStyle w:val="FootnoteText"/>
        <w:rPr>
          <w:rFonts w:ascii="Times New Roman" w:hAnsi="Times New Roman"/>
          <w:sz w:val="20"/>
        </w:rPr>
      </w:pPr>
      <w:r w:rsidRPr="004329B5">
        <w:rPr>
          <w:rStyle w:val="FootnoteReference"/>
          <w:rFonts w:ascii="Times New Roman" w:hAnsi="Times New Roman"/>
          <w:sz w:val="20"/>
        </w:rPr>
        <w:footnoteRef/>
      </w:r>
      <w:r w:rsidR="00BC22DA" w:rsidRPr="00BC22DA">
        <w:rPr>
          <w:rFonts w:ascii="Times New Roman" w:hAnsi="Times New Roman"/>
          <w:sz w:val="20"/>
        </w:rPr>
        <w:t xml:space="preserve"> These include</w:t>
      </w:r>
      <w:r w:rsidR="00801AFD">
        <w:rPr>
          <w:rFonts w:ascii="Times New Roman" w:hAnsi="Times New Roman"/>
          <w:sz w:val="20"/>
        </w:rPr>
        <w:t xml:space="preserve"> remedial petitions for declaratory ruling where the licensee exceeded the foreign ownership rules (without prior Commission approval) and had not previously received a foreign ownership ruling.</w:t>
      </w:r>
      <w:r w:rsidRPr="004329B5">
        <w:rPr>
          <w:rFonts w:ascii="Times New Roman" w:hAnsi="Times New Roman"/>
          <w:sz w:val="20"/>
        </w:rPr>
        <w:t xml:space="preserve"> </w:t>
      </w:r>
    </w:p>
  </w:footnote>
  <w:footnote w:id="3">
    <w:p w:rsidR="00801AFD" w:rsidRDefault="00801AFD">
      <w:pPr>
        <w:pStyle w:val="FootnoteText"/>
      </w:pPr>
    </w:p>
  </w:footnote>
  <w:footnote w:id="4">
    <w:p w:rsidR="005B2E55" w:rsidRPr="004329B5" w:rsidRDefault="005B2E55" w:rsidP="004329B5">
      <w:pPr>
        <w:pStyle w:val="FootnoteText"/>
        <w:rPr>
          <w:rFonts w:ascii="Times New Roman" w:hAnsi="Times New Roman"/>
        </w:rPr>
      </w:pPr>
      <w:r w:rsidRPr="004329B5">
        <w:rPr>
          <w:rStyle w:val="FootnoteReference"/>
          <w:rFonts w:ascii="Times New Roman" w:hAnsi="Times New Roman"/>
          <w:sz w:val="20"/>
        </w:rPr>
        <w:footnoteRef/>
      </w:r>
      <w:r w:rsidR="00BC22DA" w:rsidRPr="004329B5">
        <w:rPr>
          <w:rFonts w:ascii="Times New Roman" w:hAnsi="Times New Roman"/>
          <w:sz w:val="20"/>
        </w:rPr>
        <w:t xml:space="preserve"> These in</w:t>
      </w:r>
      <w:r w:rsidRPr="004329B5">
        <w:rPr>
          <w:rFonts w:ascii="Times New Roman" w:hAnsi="Times New Roman"/>
          <w:sz w:val="20"/>
        </w:rPr>
        <w:t>cl</w:t>
      </w:r>
      <w:r w:rsidR="001206A2" w:rsidRPr="004329B5">
        <w:rPr>
          <w:rFonts w:ascii="Times New Roman" w:hAnsi="Times New Roman"/>
          <w:sz w:val="20"/>
        </w:rPr>
        <w:t xml:space="preserve">ude </w:t>
      </w:r>
      <w:r w:rsidR="00085A42">
        <w:rPr>
          <w:rFonts w:ascii="Times New Roman" w:hAnsi="Times New Roman"/>
          <w:sz w:val="20"/>
        </w:rPr>
        <w:t>re</w:t>
      </w:r>
      <w:r w:rsidR="00801AFD">
        <w:rPr>
          <w:rFonts w:ascii="Times New Roman" w:hAnsi="Times New Roman"/>
          <w:sz w:val="20"/>
        </w:rPr>
        <w:t>medial p</w:t>
      </w:r>
      <w:r w:rsidR="001206A2" w:rsidRPr="004329B5">
        <w:rPr>
          <w:rFonts w:ascii="Times New Roman" w:hAnsi="Times New Roman"/>
          <w:sz w:val="20"/>
        </w:rPr>
        <w:t>etitions</w:t>
      </w:r>
      <w:r w:rsidR="00801AFD">
        <w:rPr>
          <w:rFonts w:ascii="Times New Roman" w:hAnsi="Times New Roman"/>
          <w:sz w:val="20"/>
        </w:rPr>
        <w:t xml:space="preserve"> for declaratory ruling where the licensee is no longer in compliance with it</w:t>
      </w:r>
      <w:r w:rsidR="00AE34A0">
        <w:rPr>
          <w:rFonts w:ascii="Times New Roman" w:hAnsi="Times New Roman"/>
          <w:sz w:val="20"/>
        </w:rPr>
        <w:t>s</w:t>
      </w:r>
      <w:r w:rsidR="00085A42">
        <w:rPr>
          <w:rFonts w:ascii="Times New Roman" w:hAnsi="Times New Roman"/>
          <w:sz w:val="20"/>
        </w:rPr>
        <w:t xml:space="preserve"> foreign ownership ruling or the Commission’s rules relating to foreign ownership.</w:t>
      </w:r>
    </w:p>
  </w:footnote>
  <w:footnote w:id="5">
    <w:p w:rsidR="00801AFD" w:rsidRDefault="00801AFD">
      <w:pPr>
        <w:pStyle w:val="FootnoteText"/>
      </w:pPr>
    </w:p>
  </w:footnote>
  <w:footnote w:id="6">
    <w:p w:rsidR="00297FCF" w:rsidRDefault="00297FCF">
      <w:pPr>
        <w:pStyle w:val="FootnoteText"/>
        <w:rPr>
          <w:rFonts w:ascii="Times New Roman" w:hAnsi="Times New Roman"/>
          <w:sz w:val="20"/>
        </w:rPr>
      </w:pPr>
      <w:r w:rsidRPr="004329B5">
        <w:rPr>
          <w:rStyle w:val="FootnoteReference"/>
          <w:rFonts w:ascii="Times New Roman" w:hAnsi="Times New Roman"/>
          <w:sz w:val="20"/>
        </w:rPr>
        <w:footnoteRef/>
      </w:r>
      <w:r w:rsidRPr="004329B5">
        <w:rPr>
          <w:rFonts w:ascii="Times New Roman" w:hAnsi="Times New Roman"/>
          <w:sz w:val="20"/>
        </w:rPr>
        <w:t xml:space="preserve"> </w:t>
      </w:r>
      <w:r w:rsidR="00085A42">
        <w:rPr>
          <w:rFonts w:ascii="Times New Roman" w:hAnsi="Times New Roman"/>
          <w:sz w:val="20"/>
        </w:rPr>
        <w:t>Consisting of “notification(s) of insertion of new, foreign-organized entity in ownership chain”</w:t>
      </w:r>
      <w:r w:rsidR="008D3292">
        <w:rPr>
          <w:rFonts w:ascii="Times New Roman" w:hAnsi="Times New Roman"/>
          <w:sz w:val="20"/>
        </w:rPr>
        <w:t xml:space="preserve"> via letter f</w:t>
      </w:r>
      <w:r w:rsidR="00085A42">
        <w:rPr>
          <w:rFonts w:ascii="Times New Roman" w:hAnsi="Times New Roman"/>
          <w:sz w:val="20"/>
        </w:rPr>
        <w:t>iling.</w:t>
      </w:r>
    </w:p>
    <w:p w:rsidR="000E5813" w:rsidRPr="004329B5" w:rsidRDefault="000E5813">
      <w:pPr>
        <w:pStyle w:val="FootnoteText"/>
        <w:rPr>
          <w:rFonts w:ascii="Times New Roman" w:hAnsi="Times New Roman"/>
          <w:sz w:val="20"/>
        </w:rPr>
      </w:pPr>
    </w:p>
  </w:footnote>
  <w:footnote w:id="7">
    <w:p w:rsidR="00297FCF" w:rsidRPr="004329B5" w:rsidRDefault="00297FCF">
      <w:pPr>
        <w:pStyle w:val="FootnoteText"/>
        <w:rPr>
          <w:rFonts w:ascii="Times New Roman" w:hAnsi="Times New Roman"/>
          <w:sz w:val="20"/>
        </w:rPr>
      </w:pPr>
      <w:r w:rsidRPr="004329B5">
        <w:rPr>
          <w:rStyle w:val="FootnoteReference"/>
          <w:rFonts w:ascii="Times New Roman" w:hAnsi="Times New Roman"/>
          <w:sz w:val="20"/>
        </w:rPr>
        <w:footnoteRef/>
      </w:r>
      <w:r w:rsidRPr="004329B5">
        <w:rPr>
          <w:rFonts w:ascii="Times New Roman" w:hAnsi="Times New Roman"/>
          <w:sz w:val="20"/>
        </w:rPr>
        <w:t xml:space="preserve"> </w:t>
      </w:r>
      <w:r w:rsidR="00085A42">
        <w:rPr>
          <w:rFonts w:ascii="Times New Roman" w:hAnsi="Times New Roman"/>
          <w:sz w:val="20"/>
        </w:rPr>
        <w:t xml:space="preserve">Consisting of </w:t>
      </w:r>
      <w:r w:rsidRPr="004329B5">
        <w:rPr>
          <w:rFonts w:ascii="Times New Roman" w:hAnsi="Times New Roman"/>
          <w:sz w:val="20"/>
        </w:rPr>
        <w:t>“</w:t>
      </w:r>
      <w:r w:rsidR="00085A42">
        <w:rPr>
          <w:rFonts w:ascii="Times New Roman" w:hAnsi="Times New Roman"/>
          <w:sz w:val="20"/>
        </w:rPr>
        <w:t>n</w:t>
      </w:r>
      <w:r w:rsidRPr="00297FCF">
        <w:rPr>
          <w:rFonts w:ascii="Times New Roman" w:hAnsi="Times New Roman"/>
          <w:sz w:val="20"/>
        </w:rPr>
        <w:t>otification</w:t>
      </w:r>
      <w:r w:rsidR="00085A42">
        <w:rPr>
          <w:rFonts w:ascii="Times New Roman" w:hAnsi="Times New Roman"/>
          <w:sz w:val="20"/>
        </w:rPr>
        <w:t>(s)</w:t>
      </w:r>
      <w:r w:rsidRPr="004329B5">
        <w:rPr>
          <w:rFonts w:ascii="Times New Roman" w:hAnsi="Times New Roman"/>
          <w:sz w:val="20"/>
        </w:rPr>
        <w:t xml:space="preserve"> of </w:t>
      </w:r>
      <w:r w:rsidR="00085A42">
        <w:rPr>
          <w:rFonts w:ascii="Times New Roman" w:hAnsi="Times New Roman"/>
          <w:sz w:val="20"/>
        </w:rPr>
        <w:t>n</w:t>
      </w:r>
      <w:r w:rsidRPr="004329B5">
        <w:rPr>
          <w:rFonts w:ascii="Times New Roman" w:hAnsi="Times New Roman"/>
          <w:sz w:val="20"/>
        </w:rPr>
        <w:t>on-</w:t>
      </w:r>
      <w:r w:rsidR="00085A42">
        <w:rPr>
          <w:rFonts w:ascii="Times New Roman" w:hAnsi="Times New Roman"/>
          <w:sz w:val="20"/>
        </w:rPr>
        <w:t>c</w:t>
      </w:r>
      <w:r w:rsidRPr="00297FCF">
        <w:rPr>
          <w:rFonts w:ascii="Times New Roman" w:hAnsi="Times New Roman"/>
          <w:sz w:val="20"/>
        </w:rPr>
        <w:t>ompliance</w:t>
      </w:r>
      <w:r w:rsidRPr="004329B5">
        <w:rPr>
          <w:rFonts w:ascii="Times New Roman" w:hAnsi="Times New Roman"/>
          <w:sz w:val="20"/>
        </w:rPr>
        <w:t>” via letter</w:t>
      </w:r>
      <w:r w:rsidR="008D3292">
        <w:rPr>
          <w:rFonts w:ascii="Times New Roman" w:hAnsi="Times New Roman"/>
          <w:sz w:val="20"/>
        </w:rPr>
        <w:t xml:space="preserve"> filing</w:t>
      </w:r>
      <w:r w:rsidRPr="004329B5">
        <w:rPr>
          <w:rFonts w:ascii="Times New Roman" w:hAnsi="Times New Roman"/>
          <w:sz w:val="20"/>
        </w:rPr>
        <w:t>.</w:t>
      </w:r>
    </w:p>
  </w:footnote>
  <w:footnote w:id="8">
    <w:p w:rsidR="00297FCF" w:rsidRDefault="00297FCF">
      <w:pPr>
        <w:pStyle w:val="FootnoteText"/>
      </w:pPr>
      <w:r w:rsidRPr="004329B5">
        <w:rPr>
          <w:rStyle w:val="FootnoteReference"/>
          <w:rFonts w:ascii="Times New Roman" w:hAnsi="Times New Roman"/>
          <w:sz w:val="20"/>
        </w:rPr>
        <w:footnoteRef/>
      </w:r>
      <w:r w:rsidRPr="004329B5">
        <w:rPr>
          <w:rFonts w:ascii="Times New Roman" w:hAnsi="Times New Roman"/>
          <w:sz w:val="20"/>
        </w:rPr>
        <w:t xml:space="preserve"> </w:t>
      </w:r>
      <w:r w:rsidR="00085A42">
        <w:rPr>
          <w:rFonts w:ascii="Times New Roman" w:hAnsi="Times New Roman"/>
          <w:sz w:val="20"/>
        </w:rPr>
        <w:t xml:space="preserve">Consisting of </w:t>
      </w:r>
      <w:r w:rsidRPr="004329B5">
        <w:rPr>
          <w:rFonts w:ascii="Times New Roman" w:hAnsi="Times New Roman"/>
          <w:sz w:val="20"/>
        </w:rPr>
        <w:t>“</w:t>
      </w:r>
      <w:r w:rsidR="00085A42">
        <w:rPr>
          <w:rFonts w:ascii="Times New Roman" w:hAnsi="Times New Roman"/>
          <w:bCs/>
          <w:color w:val="000000"/>
          <w:sz w:val="20"/>
        </w:rPr>
        <w:t>notification(s) of n</w:t>
      </w:r>
      <w:r w:rsidRPr="004329B5">
        <w:rPr>
          <w:rFonts w:ascii="Times New Roman" w:hAnsi="Times New Roman"/>
          <w:bCs/>
          <w:color w:val="000000"/>
          <w:sz w:val="20"/>
        </w:rPr>
        <w:t>on</w:t>
      </w:r>
      <w:r w:rsidR="004A5375">
        <w:rPr>
          <w:rFonts w:ascii="Times New Roman" w:hAnsi="Times New Roman"/>
          <w:bCs/>
          <w:color w:val="000000"/>
          <w:sz w:val="20"/>
        </w:rPr>
        <w:t>-</w:t>
      </w:r>
      <w:r w:rsidRPr="004329B5">
        <w:rPr>
          <w:rFonts w:ascii="Times New Roman" w:hAnsi="Times New Roman"/>
          <w:bCs/>
          <w:color w:val="000000"/>
          <w:sz w:val="20"/>
        </w:rPr>
        <w:t>compliance</w:t>
      </w:r>
      <w:r w:rsidR="001E2C4E">
        <w:rPr>
          <w:rFonts w:ascii="Times New Roman" w:hAnsi="Times New Roman"/>
          <w:bCs/>
          <w:color w:val="000000"/>
          <w:sz w:val="20"/>
        </w:rPr>
        <w:t xml:space="preserve"> by</w:t>
      </w:r>
      <w:r w:rsidR="00085A42">
        <w:rPr>
          <w:rFonts w:ascii="Times New Roman" w:hAnsi="Times New Roman"/>
          <w:bCs/>
          <w:color w:val="000000"/>
          <w:sz w:val="20"/>
        </w:rPr>
        <w:t xml:space="preserve"> U.S. public c</w:t>
      </w:r>
      <w:r w:rsidRPr="004329B5">
        <w:rPr>
          <w:rFonts w:ascii="Times New Roman" w:hAnsi="Times New Roman"/>
          <w:bCs/>
          <w:color w:val="000000"/>
          <w:sz w:val="20"/>
        </w:rPr>
        <w:t>ompanies”</w:t>
      </w:r>
      <w:r w:rsidR="00085A42">
        <w:rPr>
          <w:rFonts w:ascii="Times New Roman" w:hAnsi="Times New Roman"/>
          <w:bCs/>
          <w:color w:val="000000"/>
          <w:sz w:val="20"/>
        </w:rPr>
        <w:t xml:space="preserve"> via letter filing.</w:t>
      </w:r>
    </w:p>
  </w:footnote>
  <w:footnote w:id="9">
    <w:p w:rsidR="00E56B16" w:rsidRPr="005C1C6D" w:rsidRDefault="00E56B16">
      <w:pPr>
        <w:pStyle w:val="FootnoteText"/>
        <w:rPr>
          <w:rFonts w:ascii="Times New Roman" w:hAnsi="Times New Roman"/>
          <w:sz w:val="20"/>
        </w:rPr>
      </w:pPr>
      <w:r w:rsidRPr="005C1C6D">
        <w:rPr>
          <w:rStyle w:val="FootnoteReference"/>
          <w:sz w:val="20"/>
        </w:rPr>
        <w:footnoteRef/>
      </w:r>
      <w:r w:rsidRPr="005C1C6D">
        <w:rPr>
          <w:rFonts w:ascii="Times New Roman" w:hAnsi="Times New Roman"/>
          <w:sz w:val="20"/>
        </w:rPr>
        <w:t xml:space="preserve"> </w:t>
      </w:r>
      <w:r w:rsidRPr="005C1C6D">
        <w:rPr>
          <w:rFonts w:ascii="Times New Roman" w:hAnsi="Times New Roman"/>
          <w:i/>
          <w:sz w:val="20"/>
        </w:rPr>
        <w:t>See</w:t>
      </w:r>
      <w:r w:rsidRPr="005C1C6D">
        <w:rPr>
          <w:rFonts w:ascii="Times New Roman" w:hAnsi="Times New Roman"/>
          <w:sz w:val="20"/>
        </w:rPr>
        <w:t xml:space="preserve"> question 12 for the respondent’s burden.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B16" w:rsidRPr="008517E0" w:rsidRDefault="00E56B16">
    <w:pPr>
      <w:pStyle w:val="Header"/>
      <w:rPr>
        <w:b/>
      </w:rPr>
    </w:pPr>
    <w:r w:rsidRPr="008517E0">
      <w:rPr>
        <w:b/>
      </w:rPr>
      <w:t>OMB Control Number:  3060-</w:t>
    </w:r>
    <w:r w:rsidR="00E31537" w:rsidRPr="006C1A2D">
      <w:rPr>
        <w:b/>
      </w:rPr>
      <w:t>1163</w:t>
    </w:r>
    <w:r w:rsidRPr="008517E0">
      <w:rPr>
        <w:b/>
      </w:rPr>
      <w:tab/>
    </w:r>
    <w:r w:rsidRPr="008517E0">
      <w:rPr>
        <w:b/>
      </w:rPr>
      <w:tab/>
    </w:r>
    <w:r w:rsidR="000759CD">
      <w:rPr>
        <w:b/>
      </w:rPr>
      <w:t>February 2017</w:t>
    </w:r>
  </w:p>
  <w:p w:rsidR="00E56B16" w:rsidRPr="008517E0" w:rsidRDefault="00E56B16" w:rsidP="00992158">
    <w:pPr>
      <w:pStyle w:val="Header"/>
      <w:rPr>
        <w:b/>
      </w:rPr>
    </w:pPr>
    <w:r w:rsidRPr="008517E0">
      <w:rPr>
        <w:b/>
      </w:rPr>
      <w:t xml:space="preserve">Title: </w:t>
    </w:r>
    <w:r>
      <w:rPr>
        <w:b/>
      </w:rPr>
      <w:t xml:space="preserve">Regulations Applicable to </w:t>
    </w:r>
    <w:r w:rsidR="005D02AE">
      <w:rPr>
        <w:b/>
      </w:rPr>
      <w:t xml:space="preserve">Broadcasters, </w:t>
    </w:r>
    <w:r>
      <w:rPr>
        <w:b/>
      </w:rPr>
      <w:t>Common Carrier</w:t>
    </w:r>
    <w:r w:rsidR="005D02AE">
      <w:rPr>
        <w:b/>
      </w:rPr>
      <w:t>,</w:t>
    </w:r>
    <w:r>
      <w:rPr>
        <w:b/>
      </w:rPr>
      <w:t xml:space="preserve"> and Aeronautical Radio Licensees Under Section 310(b) of the Communications Act of 1934, as amended</w:t>
    </w:r>
    <w:r w:rsidRPr="008517E0">
      <w:rPr>
        <w:b/>
      </w:rPr>
      <w:t xml:space="preserve"> </w:t>
    </w:r>
  </w:p>
  <w:p w:rsidR="00E56B16" w:rsidRPr="00E105A4" w:rsidRDefault="00E56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B16" w:rsidRPr="008517E0" w:rsidRDefault="00E56B16" w:rsidP="00992158">
    <w:pPr>
      <w:pStyle w:val="Header"/>
      <w:rPr>
        <w:b/>
      </w:rPr>
    </w:pPr>
    <w:r w:rsidRPr="008517E0">
      <w:rPr>
        <w:b/>
      </w:rPr>
      <w:t>OMB Control Number:  3060-</w:t>
    </w:r>
    <w:r>
      <w:rPr>
        <w:b/>
      </w:rPr>
      <w:t>1163</w:t>
    </w:r>
    <w:r w:rsidRPr="008517E0">
      <w:rPr>
        <w:b/>
      </w:rPr>
      <w:tab/>
    </w:r>
    <w:r w:rsidRPr="008517E0">
      <w:rPr>
        <w:b/>
      </w:rPr>
      <w:tab/>
    </w:r>
    <w:r w:rsidR="00D974DC">
      <w:rPr>
        <w:b/>
      </w:rPr>
      <w:t>March</w:t>
    </w:r>
    <w:r w:rsidR="000E5813">
      <w:rPr>
        <w:b/>
      </w:rPr>
      <w:t xml:space="preserve"> 2017</w:t>
    </w:r>
  </w:p>
  <w:p w:rsidR="00E56B16" w:rsidRPr="008517E0" w:rsidRDefault="00E56B16" w:rsidP="00992158">
    <w:pPr>
      <w:pStyle w:val="Header"/>
      <w:rPr>
        <w:b/>
      </w:rPr>
    </w:pPr>
    <w:r w:rsidRPr="008517E0">
      <w:rPr>
        <w:b/>
      </w:rPr>
      <w:t xml:space="preserve">Title: </w:t>
    </w:r>
    <w:r>
      <w:rPr>
        <w:b/>
      </w:rPr>
      <w:t xml:space="preserve">Regulations Applicable to </w:t>
    </w:r>
    <w:r w:rsidR="005D02AE">
      <w:rPr>
        <w:b/>
      </w:rPr>
      <w:t xml:space="preserve">Broadcast, </w:t>
    </w:r>
    <w:r>
      <w:rPr>
        <w:b/>
      </w:rPr>
      <w:t>Common Carrier</w:t>
    </w:r>
    <w:r w:rsidR="005D02AE">
      <w:rPr>
        <w:b/>
      </w:rPr>
      <w:t>,</w:t>
    </w:r>
    <w:r>
      <w:rPr>
        <w:b/>
      </w:rPr>
      <w:t xml:space="preserve"> and Aeronautical Radio Licensees Under Section 310(b) of the Communications Act of 1934, as amended</w:t>
    </w:r>
    <w:r w:rsidRPr="008517E0">
      <w:rPr>
        <w:b/>
      </w:rPr>
      <w:t xml:space="preserve"> </w:t>
    </w:r>
  </w:p>
  <w:p w:rsidR="00E56B16" w:rsidRDefault="00E56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615"/>
    <w:multiLevelType w:val="hybridMultilevel"/>
    <w:tmpl w:val="78ACC6C2"/>
    <w:lvl w:ilvl="0" w:tplc="076C1A7C">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317015"/>
    <w:multiLevelType w:val="hybridMultilevel"/>
    <w:tmpl w:val="908CC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A365D"/>
    <w:multiLevelType w:val="hybridMultilevel"/>
    <w:tmpl w:val="BB34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E7E2D"/>
    <w:multiLevelType w:val="hybridMultilevel"/>
    <w:tmpl w:val="7B84E990"/>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5" w15:restartNumberingAfterBreak="0">
    <w:nsid w:val="235C4798"/>
    <w:multiLevelType w:val="hybridMultilevel"/>
    <w:tmpl w:val="607869AE"/>
    <w:lvl w:ilvl="0" w:tplc="761EDF9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D4055"/>
    <w:multiLevelType w:val="hybridMultilevel"/>
    <w:tmpl w:val="7758E46A"/>
    <w:lvl w:ilvl="0" w:tplc="04090015">
      <w:start w:val="1"/>
      <w:numFmt w:val="upperLetter"/>
      <w:lvlText w:val="%1."/>
      <w:lvlJc w:val="left"/>
      <w:pPr>
        <w:tabs>
          <w:tab w:val="num" w:pos="720"/>
        </w:tabs>
        <w:ind w:left="720" w:hanging="360"/>
      </w:pPr>
      <w:rPr>
        <w:rFonts w:hint="default"/>
        <w:u w:val="none"/>
      </w:rPr>
    </w:lvl>
    <w:lvl w:ilvl="1" w:tplc="04090001">
      <w:start w:val="1"/>
      <w:numFmt w:val="bullet"/>
      <w:lvlText w:val=""/>
      <w:lvlJc w:val="left"/>
      <w:pPr>
        <w:tabs>
          <w:tab w:val="num" w:pos="1440"/>
        </w:tabs>
        <w:ind w:left="1440" w:hanging="360"/>
      </w:pPr>
      <w:rPr>
        <w:rFonts w:ascii="Symbol" w:hAnsi="Symbol" w:hint="default"/>
        <w:u w:val="none"/>
      </w:rPr>
    </w:lvl>
    <w:lvl w:ilvl="2" w:tplc="04090003">
      <w:start w:val="1"/>
      <w:numFmt w:val="bullet"/>
      <w:lvlText w:val="o"/>
      <w:lvlJc w:val="left"/>
      <w:pPr>
        <w:tabs>
          <w:tab w:val="num" w:pos="2340"/>
        </w:tabs>
        <w:ind w:left="2340" w:hanging="360"/>
      </w:pPr>
      <w:rPr>
        <w:rFonts w:ascii="Courier New" w:hAnsi="Courier New" w:cs="Courier New"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F16455"/>
    <w:multiLevelType w:val="hybridMultilevel"/>
    <w:tmpl w:val="778E085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rPr>
    </w:lvl>
  </w:abstractNum>
  <w:abstractNum w:abstractNumId="9" w15:restartNumberingAfterBreak="0">
    <w:nsid w:val="3E626F4D"/>
    <w:multiLevelType w:val="hybridMultilevel"/>
    <w:tmpl w:val="5366FB48"/>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A1B03"/>
    <w:multiLevelType w:val="hybridMultilevel"/>
    <w:tmpl w:val="FE406592"/>
    <w:lvl w:ilvl="0" w:tplc="2480A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310CA"/>
    <w:multiLevelType w:val="hybridMultilevel"/>
    <w:tmpl w:val="ACE08B92"/>
    <w:lvl w:ilvl="0" w:tplc="AA528396">
      <w:start w:val="2"/>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483185"/>
    <w:multiLevelType w:val="hybridMultilevel"/>
    <w:tmpl w:val="7A72DF72"/>
    <w:lvl w:ilvl="0" w:tplc="DC5689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FA16FB"/>
    <w:multiLevelType w:val="hybridMultilevel"/>
    <w:tmpl w:val="413A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05D99"/>
    <w:multiLevelType w:val="hybridMultilevel"/>
    <w:tmpl w:val="C9FC7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63943"/>
    <w:multiLevelType w:val="hybridMultilevel"/>
    <w:tmpl w:val="6A9EBD58"/>
    <w:lvl w:ilvl="0" w:tplc="5044D9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E3A16"/>
    <w:multiLevelType w:val="hybridMultilevel"/>
    <w:tmpl w:val="D5662660"/>
    <w:lvl w:ilvl="0" w:tplc="5A0C11A2">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BC260E"/>
    <w:multiLevelType w:val="hybridMultilevel"/>
    <w:tmpl w:val="4F56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1555F"/>
    <w:multiLevelType w:val="hybridMultilevel"/>
    <w:tmpl w:val="47A0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60DBB"/>
    <w:multiLevelType w:val="hybridMultilevel"/>
    <w:tmpl w:val="7F066D8C"/>
    <w:lvl w:ilvl="0" w:tplc="C598DE44">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9B1857"/>
    <w:multiLevelType w:val="hybridMultilevel"/>
    <w:tmpl w:val="3E3AB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22" w15:restartNumberingAfterBreak="0">
    <w:nsid w:val="63FF7804"/>
    <w:multiLevelType w:val="hybridMultilevel"/>
    <w:tmpl w:val="965EF89A"/>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9599B"/>
    <w:multiLevelType w:val="hybridMultilevel"/>
    <w:tmpl w:val="5AFE1526"/>
    <w:lvl w:ilvl="0" w:tplc="0EF8B9FA">
      <w:start w:val="1"/>
      <w:numFmt w:val="lowerLetter"/>
      <w:lvlText w:val="(%1)"/>
      <w:lvlJc w:val="left"/>
      <w:pPr>
        <w:tabs>
          <w:tab w:val="num" w:pos="735"/>
        </w:tabs>
        <w:ind w:left="735" w:hanging="375"/>
      </w:pPr>
      <w:rPr>
        <w:rFonts w:hint="default"/>
      </w:rPr>
    </w:lvl>
    <w:lvl w:ilvl="1" w:tplc="55809E02" w:tentative="1">
      <w:start w:val="1"/>
      <w:numFmt w:val="lowerLetter"/>
      <w:lvlText w:val="%2."/>
      <w:lvlJc w:val="left"/>
      <w:pPr>
        <w:tabs>
          <w:tab w:val="num" w:pos="1440"/>
        </w:tabs>
        <w:ind w:left="1440" w:hanging="360"/>
      </w:pPr>
    </w:lvl>
    <w:lvl w:ilvl="2" w:tplc="48AC5BBA" w:tentative="1">
      <w:start w:val="1"/>
      <w:numFmt w:val="lowerRoman"/>
      <w:lvlText w:val="%3."/>
      <w:lvlJc w:val="right"/>
      <w:pPr>
        <w:tabs>
          <w:tab w:val="num" w:pos="2160"/>
        </w:tabs>
        <w:ind w:left="2160" w:hanging="180"/>
      </w:pPr>
    </w:lvl>
    <w:lvl w:ilvl="3" w:tplc="539CFF82" w:tentative="1">
      <w:start w:val="1"/>
      <w:numFmt w:val="decimal"/>
      <w:lvlText w:val="%4."/>
      <w:lvlJc w:val="left"/>
      <w:pPr>
        <w:tabs>
          <w:tab w:val="num" w:pos="2880"/>
        </w:tabs>
        <w:ind w:left="2880" w:hanging="360"/>
      </w:pPr>
    </w:lvl>
    <w:lvl w:ilvl="4" w:tplc="E2927EE2" w:tentative="1">
      <w:start w:val="1"/>
      <w:numFmt w:val="lowerLetter"/>
      <w:lvlText w:val="%5."/>
      <w:lvlJc w:val="left"/>
      <w:pPr>
        <w:tabs>
          <w:tab w:val="num" w:pos="3600"/>
        </w:tabs>
        <w:ind w:left="3600" w:hanging="360"/>
      </w:pPr>
    </w:lvl>
    <w:lvl w:ilvl="5" w:tplc="2098BC06" w:tentative="1">
      <w:start w:val="1"/>
      <w:numFmt w:val="lowerRoman"/>
      <w:lvlText w:val="%6."/>
      <w:lvlJc w:val="right"/>
      <w:pPr>
        <w:tabs>
          <w:tab w:val="num" w:pos="4320"/>
        </w:tabs>
        <w:ind w:left="4320" w:hanging="180"/>
      </w:pPr>
    </w:lvl>
    <w:lvl w:ilvl="6" w:tplc="B17C98FC" w:tentative="1">
      <w:start w:val="1"/>
      <w:numFmt w:val="decimal"/>
      <w:lvlText w:val="%7."/>
      <w:lvlJc w:val="left"/>
      <w:pPr>
        <w:tabs>
          <w:tab w:val="num" w:pos="5040"/>
        </w:tabs>
        <w:ind w:left="5040" w:hanging="360"/>
      </w:pPr>
    </w:lvl>
    <w:lvl w:ilvl="7" w:tplc="88FCA57E" w:tentative="1">
      <w:start w:val="1"/>
      <w:numFmt w:val="lowerLetter"/>
      <w:lvlText w:val="%8."/>
      <w:lvlJc w:val="left"/>
      <w:pPr>
        <w:tabs>
          <w:tab w:val="num" w:pos="5760"/>
        </w:tabs>
        <w:ind w:left="5760" w:hanging="360"/>
      </w:pPr>
    </w:lvl>
    <w:lvl w:ilvl="8" w:tplc="509A99CA" w:tentative="1">
      <w:start w:val="1"/>
      <w:numFmt w:val="lowerRoman"/>
      <w:lvlText w:val="%9."/>
      <w:lvlJc w:val="right"/>
      <w:pPr>
        <w:tabs>
          <w:tab w:val="num" w:pos="6480"/>
        </w:tabs>
        <w:ind w:left="6480" w:hanging="180"/>
      </w:pPr>
    </w:lvl>
  </w:abstractNum>
  <w:abstractNum w:abstractNumId="24" w15:restartNumberingAfterBreak="0">
    <w:nsid w:val="6F24090E"/>
    <w:multiLevelType w:val="hybridMultilevel"/>
    <w:tmpl w:val="E3942250"/>
    <w:lvl w:ilvl="0" w:tplc="364EA3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245549"/>
    <w:multiLevelType w:val="hybridMultilevel"/>
    <w:tmpl w:val="D74C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358C5"/>
    <w:multiLevelType w:val="hybridMultilevel"/>
    <w:tmpl w:val="A25AE0EA"/>
    <w:lvl w:ilvl="0" w:tplc="04090001">
      <w:start w:val="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87C48"/>
    <w:multiLevelType w:val="hybridMultilevel"/>
    <w:tmpl w:val="376A686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112D44"/>
    <w:multiLevelType w:val="hybridMultilevel"/>
    <w:tmpl w:val="642EA4EE"/>
    <w:lvl w:ilvl="0" w:tplc="6DD4FF30">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9835AC"/>
    <w:multiLevelType w:val="hybridMultilevel"/>
    <w:tmpl w:val="F11A1060"/>
    <w:lvl w:ilvl="0" w:tplc="761EDF92">
      <w:start w:val="1"/>
      <w:numFmt w:val="bullet"/>
      <w:lvlText w:val="-"/>
      <w:lvlJc w:val="left"/>
      <w:pPr>
        <w:tabs>
          <w:tab w:val="num" w:pos="720"/>
        </w:tabs>
        <w:ind w:left="72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781CEE"/>
    <w:multiLevelType w:val="hybridMultilevel"/>
    <w:tmpl w:val="12D6E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8"/>
  </w:num>
  <w:num w:numId="4">
    <w:abstractNumId w:val="19"/>
  </w:num>
  <w:num w:numId="5">
    <w:abstractNumId w:val="24"/>
  </w:num>
  <w:num w:numId="6">
    <w:abstractNumId w:val="16"/>
  </w:num>
  <w:num w:numId="7">
    <w:abstractNumId w:val="27"/>
  </w:num>
  <w:num w:numId="8">
    <w:abstractNumId w:val="11"/>
  </w:num>
  <w:num w:numId="9">
    <w:abstractNumId w:val="28"/>
  </w:num>
  <w:num w:numId="10">
    <w:abstractNumId w:val="0"/>
  </w:num>
  <w:num w:numId="11">
    <w:abstractNumId w:val="29"/>
  </w:num>
  <w:num w:numId="12">
    <w:abstractNumId w:val="5"/>
  </w:num>
  <w:num w:numId="13">
    <w:abstractNumId w:val="22"/>
  </w:num>
  <w:num w:numId="14">
    <w:abstractNumId w:val="9"/>
  </w:num>
  <w:num w:numId="15">
    <w:abstractNumId w:val="3"/>
  </w:num>
  <w:num w:numId="16">
    <w:abstractNumId w:val="26"/>
  </w:num>
  <w:num w:numId="17">
    <w:abstractNumId w:val="17"/>
  </w:num>
  <w:num w:numId="18">
    <w:abstractNumId w:val="7"/>
  </w:num>
  <w:num w:numId="19">
    <w:abstractNumId w:val="21"/>
  </w:num>
  <w:num w:numId="20">
    <w:abstractNumId w:val="2"/>
  </w:num>
  <w:num w:numId="21">
    <w:abstractNumId w:val="18"/>
  </w:num>
  <w:num w:numId="22">
    <w:abstractNumId w:val="10"/>
  </w:num>
  <w:num w:numId="23">
    <w:abstractNumId w:val="30"/>
  </w:num>
  <w:num w:numId="24">
    <w:abstractNumId w:val="14"/>
  </w:num>
  <w:num w:numId="25">
    <w:abstractNumId w:val="25"/>
  </w:num>
  <w:num w:numId="26">
    <w:abstractNumId w:val="13"/>
  </w:num>
  <w:num w:numId="27">
    <w:abstractNumId w:val="20"/>
  </w:num>
  <w:num w:numId="28">
    <w:abstractNumId w:val="1"/>
  </w:num>
  <w:num w:numId="29">
    <w:abstractNumId w:val="15"/>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86"/>
    <w:rsid w:val="00040D1C"/>
    <w:rsid w:val="000759CD"/>
    <w:rsid w:val="00085A42"/>
    <w:rsid w:val="000874F4"/>
    <w:rsid w:val="00091213"/>
    <w:rsid w:val="00093A13"/>
    <w:rsid w:val="000A2CA4"/>
    <w:rsid w:val="000A7FCF"/>
    <w:rsid w:val="000B123D"/>
    <w:rsid w:val="000C600C"/>
    <w:rsid w:val="000E2F1B"/>
    <w:rsid w:val="000E5813"/>
    <w:rsid w:val="000F78F0"/>
    <w:rsid w:val="001206A2"/>
    <w:rsid w:val="00130424"/>
    <w:rsid w:val="00130532"/>
    <w:rsid w:val="00144FC3"/>
    <w:rsid w:val="00156F4F"/>
    <w:rsid w:val="00160828"/>
    <w:rsid w:val="00164C9D"/>
    <w:rsid w:val="00187DDA"/>
    <w:rsid w:val="001918B2"/>
    <w:rsid w:val="001B42C3"/>
    <w:rsid w:val="001C3085"/>
    <w:rsid w:val="001D16EA"/>
    <w:rsid w:val="001D1DB1"/>
    <w:rsid w:val="001E2C4E"/>
    <w:rsid w:val="001E3E6C"/>
    <w:rsid w:val="001F0042"/>
    <w:rsid w:val="001F7B11"/>
    <w:rsid w:val="00205FB1"/>
    <w:rsid w:val="002073A4"/>
    <w:rsid w:val="00235F48"/>
    <w:rsid w:val="00245443"/>
    <w:rsid w:val="00247FE0"/>
    <w:rsid w:val="00263A76"/>
    <w:rsid w:val="00271F52"/>
    <w:rsid w:val="00280CFD"/>
    <w:rsid w:val="00282864"/>
    <w:rsid w:val="00282E40"/>
    <w:rsid w:val="00284C13"/>
    <w:rsid w:val="00297FCF"/>
    <w:rsid w:val="002B6D62"/>
    <w:rsid w:val="002C7C9A"/>
    <w:rsid w:val="002E2291"/>
    <w:rsid w:val="002E3517"/>
    <w:rsid w:val="002F7920"/>
    <w:rsid w:val="003232E4"/>
    <w:rsid w:val="00332EB3"/>
    <w:rsid w:val="0033594F"/>
    <w:rsid w:val="00344784"/>
    <w:rsid w:val="00351FE5"/>
    <w:rsid w:val="00352D96"/>
    <w:rsid w:val="00360434"/>
    <w:rsid w:val="003627D7"/>
    <w:rsid w:val="00371119"/>
    <w:rsid w:val="00395121"/>
    <w:rsid w:val="003A564B"/>
    <w:rsid w:val="003B425C"/>
    <w:rsid w:val="003C3137"/>
    <w:rsid w:val="003D113D"/>
    <w:rsid w:val="003E2CAB"/>
    <w:rsid w:val="00407210"/>
    <w:rsid w:val="004252D5"/>
    <w:rsid w:val="004329B5"/>
    <w:rsid w:val="00451438"/>
    <w:rsid w:val="00465B9E"/>
    <w:rsid w:val="00472AE9"/>
    <w:rsid w:val="00481BBB"/>
    <w:rsid w:val="004A5375"/>
    <w:rsid w:val="004C0ED5"/>
    <w:rsid w:val="004C6825"/>
    <w:rsid w:val="004D1F10"/>
    <w:rsid w:val="004D4065"/>
    <w:rsid w:val="004F6937"/>
    <w:rsid w:val="005041DB"/>
    <w:rsid w:val="00532A5E"/>
    <w:rsid w:val="0054356B"/>
    <w:rsid w:val="005559AF"/>
    <w:rsid w:val="005631C0"/>
    <w:rsid w:val="005669CE"/>
    <w:rsid w:val="005831E2"/>
    <w:rsid w:val="00595199"/>
    <w:rsid w:val="005B2E55"/>
    <w:rsid w:val="005C09C5"/>
    <w:rsid w:val="005C406C"/>
    <w:rsid w:val="005C7853"/>
    <w:rsid w:val="005D02AE"/>
    <w:rsid w:val="005D4497"/>
    <w:rsid w:val="005D77BE"/>
    <w:rsid w:val="005E49F8"/>
    <w:rsid w:val="005F1AF5"/>
    <w:rsid w:val="005F6666"/>
    <w:rsid w:val="006066E8"/>
    <w:rsid w:val="00633171"/>
    <w:rsid w:val="00642E4D"/>
    <w:rsid w:val="006466D4"/>
    <w:rsid w:val="00680345"/>
    <w:rsid w:val="006932BE"/>
    <w:rsid w:val="006C1A2D"/>
    <w:rsid w:val="006C332E"/>
    <w:rsid w:val="006D522D"/>
    <w:rsid w:val="006D7497"/>
    <w:rsid w:val="006E1388"/>
    <w:rsid w:val="006E33D5"/>
    <w:rsid w:val="00705F98"/>
    <w:rsid w:val="0072097B"/>
    <w:rsid w:val="00733AA3"/>
    <w:rsid w:val="007367D2"/>
    <w:rsid w:val="0073690E"/>
    <w:rsid w:val="00740281"/>
    <w:rsid w:val="00742301"/>
    <w:rsid w:val="00742C9B"/>
    <w:rsid w:val="00743C66"/>
    <w:rsid w:val="00751398"/>
    <w:rsid w:val="007530D0"/>
    <w:rsid w:val="00753187"/>
    <w:rsid w:val="007602A4"/>
    <w:rsid w:val="007A0BAC"/>
    <w:rsid w:val="007B1371"/>
    <w:rsid w:val="007D1194"/>
    <w:rsid w:val="007D67D2"/>
    <w:rsid w:val="007E0F9E"/>
    <w:rsid w:val="007E6393"/>
    <w:rsid w:val="007F1B2C"/>
    <w:rsid w:val="007F335B"/>
    <w:rsid w:val="00801AFD"/>
    <w:rsid w:val="0080295C"/>
    <w:rsid w:val="00821B82"/>
    <w:rsid w:val="00847544"/>
    <w:rsid w:val="00861593"/>
    <w:rsid w:val="008673C3"/>
    <w:rsid w:val="008675DD"/>
    <w:rsid w:val="008B1F74"/>
    <w:rsid w:val="008C47D5"/>
    <w:rsid w:val="008D3292"/>
    <w:rsid w:val="008D3B88"/>
    <w:rsid w:val="008E31E8"/>
    <w:rsid w:val="008E3E72"/>
    <w:rsid w:val="008E667F"/>
    <w:rsid w:val="008F7487"/>
    <w:rsid w:val="00905376"/>
    <w:rsid w:val="00912A6F"/>
    <w:rsid w:val="00920C1B"/>
    <w:rsid w:val="009431ED"/>
    <w:rsid w:val="009447D4"/>
    <w:rsid w:val="0097120C"/>
    <w:rsid w:val="00974253"/>
    <w:rsid w:val="00974B80"/>
    <w:rsid w:val="00992158"/>
    <w:rsid w:val="009A0153"/>
    <w:rsid w:val="009A06C6"/>
    <w:rsid w:val="009A3DA9"/>
    <w:rsid w:val="009B0B3D"/>
    <w:rsid w:val="009C009C"/>
    <w:rsid w:val="009C1AB0"/>
    <w:rsid w:val="009D3EFC"/>
    <w:rsid w:val="009F4F8A"/>
    <w:rsid w:val="00A233C8"/>
    <w:rsid w:val="00A343D0"/>
    <w:rsid w:val="00A3640B"/>
    <w:rsid w:val="00A37EB3"/>
    <w:rsid w:val="00A431B6"/>
    <w:rsid w:val="00A738C0"/>
    <w:rsid w:val="00A76FAA"/>
    <w:rsid w:val="00A778D8"/>
    <w:rsid w:val="00A83828"/>
    <w:rsid w:val="00A91EB3"/>
    <w:rsid w:val="00A94543"/>
    <w:rsid w:val="00AB3E82"/>
    <w:rsid w:val="00AE34A0"/>
    <w:rsid w:val="00B01237"/>
    <w:rsid w:val="00B0478D"/>
    <w:rsid w:val="00B17115"/>
    <w:rsid w:val="00B447E7"/>
    <w:rsid w:val="00B85F78"/>
    <w:rsid w:val="00B93007"/>
    <w:rsid w:val="00B94281"/>
    <w:rsid w:val="00B96488"/>
    <w:rsid w:val="00BA33DD"/>
    <w:rsid w:val="00BA45B3"/>
    <w:rsid w:val="00BC22DA"/>
    <w:rsid w:val="00BD0707"/>
    <w:rsid w:val="00BD340B"/>
    <w:rsid w:val="00BE2886"/>
    <w:rsid w:val="00BE648A"/>
    <w:rsid w:val="00C1430B"/>
    <w:rsid w:val="00C145AA"/>
    <w:rsid w:val="00C15EDF"/>
    <w:rsid w:val="00C17EB0"/>
    <w:rsid w:val="00C266F9"/>
    <w:rsid w:val="00C548F2"/>
    <w:rsid w:val="00C60C02"/>
    <w:rsid w:val="00C955D0"/>
    <w:rsid w:val="00CA0674"/>
    <w:rsid w:val="00CA43F1"/>
    <w:rsid w:val="00CB56AE"/>
    <w:rsid w:val="00CF5E43"/>
    <w:rsid w:val="00D0359E"/>
    <w:rsid w:val="00D16FC5"/>
    <w:rsid w:val="00D175D8"/>
    <w:rsid w:val="00D45E1D"/>
    <w:rsid w:val="00D631B8"/>
    <w:rsid w:val="00D65001"/>
    <w:rsid w:val="00D8316E"/>
    <w:rsid w:val="00D974DC"/>
    <w:rsid w:val="00D97CE1"/>
    <w:rsid w:val="00DA647E"/>
    <w:rsid w:val="00DB151C"/>
    <w:rsid w:val="00DC5B28"/>
    <w:rsid w:val="00DF1C1C"/>
    <w:rsid w:val="00E07EF9"/>
    <w:rsid w:val="00E170A6"/>
    <w:rsid w:val="00E21E88"/>
    <w:rsid w:val="00E2598E"/>
    <w:rsid w:val="00E31537"/>
    <w:rsid w:val="00E32782"/>
    <w:rsid w:val="00E3708D"/>
    <w:rsid w:val="00E4331F"/>
    <w:rsid w:val="00E46AE0"/>
    <w:rsid w:val="00E470CF"/>
    <w:rsid w:val="00E564A9"/>
    <w:rsid w:val="00E56B16"/>
    <w:rsid w:val="00E64095"/>
    <w:rsid w:val="00E65C89"/>
    <w:rsid w:val="00E71F43"/>
    <w:rsid w:val="00E755FD"/>
    <w:rsid w:val="00E76036"/>
    <w:rsid w:val="00E7741C"/>
    <w:rsid w:val="00E802A5"/>
    <w:rsid w:val="00E82D0E"/>
    <w:rsid w:val="00E84714"/>
    <w:rsid w:val="00E84C78"/>
    <w:rsid w:val="00EA2447"/>
    <w:rsid w:val="00EA37F8"/>
    <w:rsid w:val="00EA523C"/>
    <w:rsid w:val="00EC0C30"/>
    <w:rsid w:val="00ED0FE9"/>
    <w:rsid w:val="00EE0208"/>
    <w:rsid w:val="00EE2918"/>
    <w:rsid w:val="00EE6683"/>
    <w:rsid w:val="00F03CC3"/>
    <w:rsid w:val="00F17842"/>
    <w:rsid w:val="00F2428C"/>
    <w:rsid w:val="00F52059"/>
    <w:rsid w:val="00F52558"/>
    <w:rsid w:val="00F531BC"/>
    <w:rsid w:val="00F64BFF"/>
    <w:rsid w:val="00F65E36"/>
    <w:rsid w:val="00F739F8"/>
    <w:rsid w:val="00F81881"/>
    <w:rsid w:val="00F950AA"/>
    <w:rsid w:val="00F97FF2"/>
    <w:rsid w:val="00FB0891"/>
    <w:rsid w:val="00FB2706"/>
    <w:rsid w:val="00FD2B82"/>
    <w:rsid w:val="00FD2B96"/>
    <w:rsid w:val="00FD6EA5"/>
    <w:rsid w:val="00FF6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300"/>
  <w15:docId w15:val="{5D8CA87C-9F43-478D-8C98-96086416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93A13"/>
    <w:pPr>
      <w:keepNext/>
      <w:keepLines/>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2886"/>
    <w:pPr>
      <w:tabs>
        <w:tab w:val="center" w:pos="4320"/>
        <w:tab w:val="right" w:pos="8640"/>
      </w:tabs>
    </w:pPr>
  </w:style>
  <w:style w:type="paragraph" w:styleId="Footer">
    <w:name w:val="footer"/>
    <w:basedOn w:val="Normal"/>
    <w:rsid w:val="00BE2886"/>
    <w:pPr>
      <w:tabs>
        <w:tab w:val="center" w:pos="4320"/>
        <w:tab w:val="right" w:pos="8640"/>
      </w:tabs>
    </w:pPr>
  </w:style>
  <w:style w:type="paragraph" w:styleId="BodyText2">
    <w:name w:val="Body Text 2"/>
    <w:basedOn w:val="Normal"/>
    <w:rsid w:val="004E522C"/>
    <w:pPr>
      <w:widowControl w:val="0"/>
      <w:suppressAutoHyphens/>
      <w:overflowPunct w:val="0"/>
      <w:autoSpaceDE w:val="0"/>
      <w:autoSpaceDN w:val="0"/>
      <w:adjustRightInd w:val="0"/>
      <w:spacing w:line="240" w:lineRule="atLeast"/>
      <w:jc w:val="both"/>
      <w:textAlignment w:val="baseline"/>
    </w:pPr>
    <w:rPr>
      <w:b/>
      <w:spacing w:val="-3"/>
      <w:szCs w:val="20"/>
    </w:rPr>
  </w:style>
  <w:style w:type="paragraph" w:customStyle="1" w:styleId="ParaNum">
    <w:name w:val="ParaNum"/>
    <w:basedOn w:val="Normal"/>
    <w:link w:val="ParaNumChar2"/>
    <w:rsid w:val="004E522C"/>
    <w:pPr>
      <w:widowControl w:val="0"/>
      <w:numPr>
        <w:numId w:val="3"/>
      </w:numPr>
      <w:tabs>
        <w:tab w:val="clear" w:pos="1080"/>
        <w:tab w:val="left" w:pos="1440"/>
      </w:tabs>
      <w:spacing w:after="220"/>
      <w:jc w:val="both"/>
    </w:pPr>
    <w:rPr>
      <w:sz w:val="22"/>
      <w:szCs w:val="20"/>
    </w:rPr>
  </w:style>
  <w:style w:type="character" w:styleId="FootnoteReference">
    <w:name w:val="footnote reference"/>
    <w:aliases w:val="Style 12,(NECG) Footnote Reference,Style 13,Appel note de bas de p,Style 124,fr,o,Style 3,FR,Style 17,Footnote Reference/,Style 6"/>
    <w:semiHidden/>
    <w:rsid w:val="008E3C0F"/>
    <w:rPr>
      <w:vertAlign w:val="superscript"/>
    </w:rPr>
  </w:style>
  <w:style w:type="character" w:customStyle="1" w:styleId="ParaNumChar2">
    <w:name w:val="ParaNum Char2"/>
    <w:link w:val="ParaNum"/>
    <w:rsid w:val="008E3C0F"/>
    <w:rPr>
      <w:sz w:val="22"/>
      <w:lang w:val="en-US" w:eastAsia="en-US" w:bidi="ar-SA"/>
    </w:rPr>
  </w:style>
  <w:style w:type="paragraph" w:styleId="FootnoteText">
    <w:name w:val="footnote text"/>
    <w:aliases w:val="ALTS FOOTNOTE,fn,Footnote Text Char,Footnote Text Char2 Char2,Footnote Text Char Char1 Char,Footnote Text Char2 Char2 Char Char,Footnote Text Char Char1 Char Char Char,Footnote Text Char1 Char1 Char Char Char Char,fn Char1"/>
    <w:basedOn w:val="Normal"/>
    <w:link w:val="FootnoteTextChar1"/>
    <w:semiHidden/>
    <w:rsid w:val="008E4EA6"/>
    <w:pPr>
      <w:widowControl w:val="0"/>
      <w:overflowPunct w:val="0"/>
      <w:autoSpaceDE w:val="0"/>
      <w:autoSpaceDN w:val="0"/>
      <w:adjustRightInd w:val="0"/>
      <w:textAlignment w:val="baseline"/>
    </w:pPr>
    <w:rPr>
      <w:rFonts w:ascii="Courier New" w:hAnsi="Courier New"/>
      <w:szCs w:val="20"/>
    </w:rPr>
  </w:style>
  <w:style w:type="table" w:styleId="TableGrid">
    <w:name w:val="Table Grid"/>
    <w:basedOn w:val="TableNormal"/>
    <w:rsid w:val="008E4EA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ALTS FOOTNOTE Char,fn Char,Footnote Text Char Char,Footnote Text Char2 Char2 Char,Footnote Text Char Char1 Char Char,Footnote Text Char2 Char2 Char Char Char,Footnote Text Char Char1 Char Char Char Char,fn Char1 Char"/>
    <w:link w:val="FootnoteText"/>
    <w:rsid w:val="008E4EA6"/>
    <w:rPr>
      <w:rFonts w:ascii="Courier New" w:hAnsi="Courier New"/>
      <w:sz w:val="24"/>
      <w:lang w:val="en-US" w:eastAsia="en-US" w:bidi="ar-SA"/>
    </w:rPr>
  </w:style>
  <w:style w:type="paragraph" w:styleId="BalloonText">
    <w:name w:val="Balloon Text"/>
    <w:basedOn w:val="Normal"/>
    <w:semiHidden/>
    <w:rsid w:val="001B5641"/>
    <w:rPr>
      <w:rFonts w:ascii="Tahoma" w:hAnsi="Tahoma" w:cs="Tahoma"/>
      <w:sz w:val="16"/>
      <w:szCs w:val="16"/>
    </w:rPr>
  </w:style>
  <w:style w:type="character" w:styleId="PageNumber">
    <w:name w:val="page number"/>
    <w:basedOn w:val="DefaultParagraphFont"/>
    <w:rsid w:val="00875540"/>
  </w:style>
  <w:style w:type="paragraph" w:styleId="ListParagraph">
    <w:name w:val="List Paragraph"/>
    <w:basedOn w:val="Normal"/>
    <w:uiPriority w:val="34"/>
    <w:qFormat/>
    <w:rsid w:val="000A7FCF"/>
    <w:pPr>
      <w:ind w:left="720"/>
      <w:contextualSpacing/>
    </w:pPr>
  </w:style>
  <w:style w:type="character" w:customStyle="1" w:styleId="Heading1Char">
    <w:name w:val="Heading 1 Char"/>
    <w:link w:val="Heading1"/>
    <w:uiPriority w:val="9"/>
    <w:rsid w:val="00093A13"/>
    <w:rPr>
      <w:rFonts w:ascii="Calibri" w:eastAsia="MS Gothic" w:hAnsi="Calibri" w:cs="Times New Roman"/>
      <w:b/>
      <w:bCs/>
      <w:color w:val="345A8A"/>
      <w:sz w:val="32"/>
      <w:szCs w:val="32"/>
    </w:rPr>
  </w:style>
  <w:style w:type="character" w:customStyle="1" w:styleId="HeaderChar">
    <w:name w:val="Header Char"/>
    <w:link w:val="Header"/>
    <w:uiPriority w:val="99"/>
    <w:rsid w:val="00093A13"/>
    <w:rPr>
      <w:sz w:val="24"/>
      <w:szCs w:val="24"/>
    </w:rPr>
  </w:style>
  <w:style w:type="character" w:customStyle="1" w:styleId="ParaNumChar">
    <w:name w:val="ParaNum Char"/>
    <w:rsid w:val="003C3137"/>
    <w:rPr>
      <w:snapToGrid w:val="0"/>
      <w:kern w:val="28"/>
      <w:sz w:val="22"/>
    </w:rPr>
  </w:style>
  <w:style w:type="character" w:styleId="CommentReference">
    <w:name w:val="annotation reference"/>
    <w:uiPriority w:val="99"/>
    <w:semiHidden/>
    <w:unhideWhenUsed/>
    <w:rsid w:val="008675DD"/>
    <w:rPr>
      <w:sz w:val="16"/>
      <w:szCs w:val="16"/>
    </w:rPr>
  </w:style>
  <w:style w:type="paragraph" w:styleId="CommentText">
    <w:name w:val="annotation text"/>
    <w:basedOn w:val="Normal"/>
    <w:link w:val="CommentTextChar"/>
    <w:uiPriority w:val="99"/>
    <w:semiHidden/>
    <w:unhideWhenUsed/>
    <w:rsid w:val="008675DD"/>
    <w:rPr>
      <w:sz w:val="20"/>
      <w:szCs w:val="20"/>
    </w:rPr>
  </w:style>
  <w:style w:type="character" w:customStyle="1" w:styleId="CommentTextChar">
    <w:name w:val="Comment Text Char"/>
    <w:basedOn w:val="DefaultParagraphFont"/>
    <w:link w:val="CommentText"/>
    <w:uiPriority w:val="99"/>
    <w:semiHidden/>
    <w:rsid w:val="008675DD"/>
  </w:style>
  <w:style w:type="paragraph" w:styleId="CommentSubject">
    <w:name w:val="annotation subject"/>
    <w:basedOn w:val="CommentText"/>
    <w:next w:val="CommentText"/>
    <w:link w:val="CommentSubjectChar"/>
    <w:uiPriority w:val="99"/>
    <w:semiHidden/>
    <w:unhideWhenUsed/>
    <w:rsid w:val="008675DD"/>
    <w:rPr>
      <w:b/>
      <w:bCs/>
    </w:rPr>
  </w:style>
  <w:style w:type="character" w:customStyle="1" w:styleId="CommentSubjectChar">
    <w:name w:val="Comment Subject Char"/>
    <w:link w:val="CommentSubject"/>
    <w:uiPriority w:val="99"/>
    <w:semiHidden/>
    <w:rsid w:val="008675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24C2F-E0AC-4F33-8B9F-787CC8DC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4385</Words>
  <Characters>25231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29557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frederick copes</dc:creator>
  <cp:keywords/>
  <cp:lastModifiedBy>Cathy Williams</cp:lastModifiedBy>
  <cp:revision>5</cp:revision>
  <cp:lastPrinted>2016-12-15T18:00:00Z</cp:lastPrinted>
  <dcterms:created xsi:type="dcterms:W3CDTF">2016-12-21T20:31:00Z</dcterms:created>
  <dcterms:modified xsi:type="dcterms:W3CDTF">2017-03-02T14:26:00Z</dcterms:modified>
</cp:coreProperties>
</file>