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02E" w:rsidRDefault="00BF402E"/>
    <w:p w:rsidR="00EF4558" w:rsidRPr="00EF4558" w:rsidRDefault="00EF4558" w:rsidP="00EF4558">
      <w:pPr>
        <w:tabs>
          <w:tab w:val="left" w:pos="5040"/>
        </w:tabs>
        <w:rPr>
          <w:rFonts w:eastAsia="Times New Roman"/>
          <w:color w:val="auto"/>
          <w:szCs w:val="20"/>
        </w:rPr>
      </w:pPr>
      <w:r w:rsidRPr="00EF4558">
        <w:rPr>
          <w:rFonts w:eastAsia="Times New Roman"/>
          <w:color w:val="auto"/>
          <w:szCs w:val="20"/>
        </w:rPr>
        <w:tab/>
      </w:r>
      <w:r w:rsidRPr="00EF4558">
        <w:rPr>
          <w:rFonts w:eastAsia="Times New Roman"/>
          <w:color w:val="auto"/>
          <w:szCs w:val="20"/>
        </w:rPr>
        <w:tab/>
      </w:r>
      <w:r w:rsidR="00BA4D29">
        <w:rPr>
          <w:rFonts w:eastAsia="Times New Roman"/>
          <w:color w:val="auto"/>
          <w:szCs w:val="20"/>
        </w:rPr>
        <w:t xml:space="preserve">October </w:t>
      </w:r>
      <w:r w:rsidR="005B4878">
        <w:rPr>
          <w:rFonts w:eastAsia="Times New Roman"/>
          <w:color w:val="auto"/>
          <w:szCs w:val="20"/>
        </w:rPr>
        <w:t>30</w:t>
      </w:r>
      <w:r w:rsidR="00592AE6">
        <w:rPr>
          <w:rFonts w:eastAsia="Times New Roman"/>
          <w:color w:val="auto"/>
          <w:szCs w:val="20"/>
        </w:rPr>
        <w:t xml:space="preserve">, </w:t>
      </w:r>
      <w:r w:rsidRPr="00EF4558">
        <w:rPr>
          <w:rFonts w:eastAsia="Times New Roman"/>
          <w:color w:val="auto"/>
          <w:szCs w:val="20"/>
        </w:rPr>
        <w:t>2015</w:t>
      </w:r>
    </w:p>
    <w:p w:rsidR="00EF4558" w:rsidRPr="00EF4558" w:rsidRDefault="00EF4558" w:rsidP="00EF4558">
      <w:pPr>
        <w:tabs>
          <w:tab w:val="left" w:pos="5040"/>
        </w:tabs>
        <w:rPr>
          <w:rFonts w:eastAsia="Times New Roman"/>
          <w:color w:val="auto"/>
          <w:szCs w:val="20"/>
        </w:rPr>
      </w:pP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Memorandum to:        </w:t>
      </w:r>
      <w:r w:rsidR="00592AE6">
        <w:rPr>
          <w:rFonts w:eastAsia="Times New Roman"/>
          <w:color w:val="auto"/>
          <w:szCs w:val="20"/>
        </w:rPr>
        <w:t>Shagufta Ahmed</w:t>
      </w:r>
    </w:p>
    <w:p w:rsidR="00EF4558" w:rsidRPr="00EF4558" w:rsidRDefault="00EF4558" w:rsidP="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Policy Analyst </w:t>
      </w:r>
    </w:p>
    <w:p w:rsidR="00EF4558" w:rsidRPr="00EF4558" w:rsidRDefault="00EF4558" w:rsidP="00EF4558">
      <w:pPr>
        <w:rPr>
          <w:rFonts w:eastAsia="Times New Roman"/>
          <w:color w:val="auto"/>
          <w:szCs w:val="20"/>
        </w:rPr>
      </w:pPr>
      <w:r w:rsidRPr="00EF4558">
        <w:rPr>
          <w:rFonts w:eastAsia="Times New Roman"/>
          <w:color w:val="auto"/>
          <w:szCs w:val="20"/>
        </w:rPr>
        <w:t>                                    Office of Information and Regulatory Affairs</w:t>
      </w:r>
    </w:p>
    <w:p w:rsidR="00EF4558" w:rsidRPr="00EF4558" w:rsidRDefault="00EF4558" w:rsidP="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Office of Management and Budget</w:t>
      </w: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From:   </w:t>
      </w:r>
      <w:r w:rsidRPr="00EF4558">
        <w:rPr>
          <w:rFonts w:eastAsia="Times New Roman"/>
          <w:color w:val="auto"/>
          <w:szCs w:val="20"/>
        </w:rPr>
        <w:tab/>
        <w:t>            Gary A. Kuiper /s/ Gary A. Kuiper</w:t>
      </w:r>
    </w:p>
    <w:p w:rsidR="00EF4558" w:rsidRPr="00EF4558" w:rsidRDefault="00EF4558" w:rsidP="00EF4558">
      <w:pPr>
        <w:ind w:left="1440" w:firstLine="720"/>
        <w:rPr>
          <w:rFonts w:eastAsia="Times New Roman"/>
          <w:color w:val="auto"/>
          <w:szCs w:val="20"/>
        </w:rPr>
      </w:pPr>
      <w:r w:rsidRPr="00EF4558">
        <w:rPr>
          <w:rFonts w:eastAsia="Times New Roman"/>
          <w:color w:val="auto"/>
          <w:szCs w:val="20"/>
        </w:rPr>
        <w:t>Counsel</w:t>
      </w:r>
    </w:p>
    <w:p w:rsidR="00EF4558" w:rsidRPr="00EF4558" w:rsidRDefault="00EF4558" w:rsidP="00EF4558">
      <w:pPr>
        <w:rPr>
          <w:rFonts w:eastAsia="Times New Roman"/>
          <w:color w:val="auto"/>
          <w:szCs w:val="20"/>
        </w:rPr>
      </w:pPr>
      <w:r w:rsidRPr="00EF4558">
        <w:rPr>
          <w:rFonts w:eastAsia="Times New Roman"/>
          <w:color w:val="auto"/>
          <w:szCs w:val="20"/>
        </w:rPr>
        <w:t>                                    Federal Deposit Insurance Corporation</w:t>
      </w:r>
    </w:p>
    <w:p w:rsidR="00EF4558" w:rsidRPr="00EF4558" w:rsidRDefault="00EF4558" w:rsidP="00EF4558">
      <w:pPr>
        <w:rPr>
          <w:rFonts w:eastAsia="Times New Roman"/>
          <w:color w:val="auto"/>
          <w:szCs w:val="20"/>
        </w:rPr>
      </w:pPr>
      <w:r w:rsidRPr="00EF4558">
        <w:rPr>
          <w:rFonts w:eastAsia="Times New Roman"/>
          <w:color w:val="auto"/>
          <w:szCs w:val="20"/>
        </w:rPr>
        <w:t> </w:t>
      </w:r>
    </w:p>
    <w:p w:rsidR="008D19B9" w:rsidRDefault="00EF4558" w:rsidP="00EF4558">
      <w:pPr>
        <w:spacing w:before="240"/>
        <w:rPr>
          <w:rFonts w:eastAsia="Calibri"/>
          <w:color w:val="auto"/>
        </w:rPr>
      </w:pPr>
      <w:r w:rsidRPr="00EF4558">
        <w:rPr>
          <w:rFonts w:eastAsia="Calibri"/>
          <w:color w:val="auto"/>
        </w:rPr>
        <w:t xml:space="preserve">RE:  Bank Efforts Qualitative Research Phase </w:t>
      </w:r>
      <w:r w:rsidR="0062607F">
        <w:rPr>
          <w:rFonts w:eastAsia="Calibri"/>
          <w:color w:val="auto"/>
        </w:rPr>
        <w:t>3</w:t>
      </w:r>
      <w:r w:rsidRPr="00EF4558">
        <w:rPr>
          <w:rFonts w:eastAsia="Calibri"/>
          <w:color w:val="auto"/>
        </w:rPr>
        <w:t xml:space="preserve"> </w:t>
      </w:r>
      <w:r w:rsidR="0062607F">
        <w:rPr>
          <w:rFonts w:eastAsia="Calibri"/>
          <w:color w:val="auto"/>
        </w:rPr>
        <w:t>Focus Groups</w:t>
      </w:r>
      <w:r w:rsidRPr="00EF4558">
        <w:rPr>
          <w:rFonts w:eastAsia="Calibri"/>
          <w:color w:val="auto"/>
        </w:rPr>
        <w:t xml:space="preserve"> – </w:t>
      </w:r>
      <w:r w:rsidR="00592AE6" w:rsidRPr="00592AE6">
        <w:rPr>
          <w:rFonts w:eastAsia="Calibri"/>
          <w:color w:val="auto"/>
        </w:rPr>
        <w:t xml:space="preserve">Non-Profit </w:t>
      </w:r>
      <w:r w:rsidR="0062607F">
        <w:rPr>
          <w:rFonts w:eastAsia="Calibri"/>
          <w:color w:val="auto"/>
        </w:rPr>
        <w:t>Counselors and Phase 4 Focus Groups – Unbanked and Underbanked Consumers</w:t>
      </w:r>
    </w:p>
    <w:p w:rsidR="003A31E1" w:rsidRDefault="00EF4558" w:rsidP="00EF4558">
      <w:pPr>
        <w:spacing w:before="240"/>
        <w:rPr>
          <w:rFonts w:eastAsia="Calibri"/>
          <w:color w:val="auto"/>
        </w:rPr>
      </w:pPr>
      <w:r w:rsidRPr="00EF4558">
        <w:rPr>
          <w:rFonts w:eastAsia="Calibri"/>
          <w:color w:val="auto"/>
        </w:rPr>
        <w:t xml:space="preserve">Under the generic clearance entitled, “Occasional Qualitative Surveys” (3064-0127), the FDIC hereby submits for OMB review the </w:t>
      </w:r>
      <w:r w:rsidR="003A31E1">
        <w:rPr>
          <w:rFonts w:eastAsia="Calibri"/>
          <w:color w:val="auto"/>
        </w:rPr>
        <w:t xml:space="preserve">generic survey </w:t>
      </w:r>
      <w:r w:rsidRPr="00EF4558">
        <w:rPr>
          <w:rFonts w:eastAsia="Calibri"/>
          <w:color w:val="auto"/>
        </w:rPr>
        <w:t xml:space="preserve">Bank </w:t>
      </w:r>
      <w:r w:rsidR="000B59D1">
        <w:rPr>
          <w:rFonts w:eastAsia="Calibri"/>
          <w:color w:val="auto"/>
        </w:rPr>
        <w:t xml:space="preserve">Economic Inclusion </w:t>
      </w:r>
      <w:r w:rsidRPr="00EF4558">
        <w:rPr>
          <w:rFonts w:eastAsia="Calibri"/>
          <w:color w:val="auto"/>
        </w:rPr>
        <w:t>Efforts Qualitative Research</w:t>
      </w:r>
      <w:r w:rsidR="000B59D1">
        <w:rPr>
          <w:rFonts w:eastAsia="Calibri"/>
          <w:color w:val="auto"/>
        </w:rPr>
        <w:t>,</w:t>
      </w:r>
      <w:r w:rsidRPr="00EF4558">
        <w:rPr>
          <w:rFonts w:eastAsia="Calibri"/>
          <w:color w:val="auto"/>
        </w:rPr>
        <w:t xml:space="preserve"> Phase </w:t>
      </w:r>
      <w:r w:rsidR="0062607F">
        <w:rPr>
          <w:rFonts w:eastAsia="Calibri"/>
          <w:color w:val="auto"/>
        </w:rPr>
        <w:t>3</w:t>
      </w:r>
      <w:r w:rsidRPr="00EF4558">
        <w:rPr>
          <w:rFonts w:eastAsia="Calibri"/>
          <w:color w:val="auto"/>
        </w:rPr>
        <w:t xml:space="preserve"> </w:t>
      </w:r>
      <w:r w:rsidR="0062607F">
        <w:rPr>
          <w:rFonts w:eastAsia="Calibri"/>
          <w:color w:val="auto"/>
        </w:rPr>
        <w:t>Focus Groups with nonprofit financial counselors and Phase 4 Focus Groups with unbanked and underbanked consumers</w:t>
      </w:r>
      <w:r w:rsidR="00294C85">
        <w:rPr>
          <w:rFonts w:eastAsia="Calibri"/>
          <w:color w:val="auto"/>
        </w:rPr>
        <w:t xml:space="preserve">.  </w:t>
      </w:r>
      <w:r w:rsidR="003A31E1">
        <w:rPr>
          <w:rFonts w:eastAsia="Calibri"/>
          <w:color w:val="auto"/>
        </w:rPr>
        <w:t xml:space="preserve">These instruments will be fielded in November </w:t>
      </w:r>
      <w:r w:rsidR="00A21AFE">
        <w:rPr>
          <w:rFonts w:eastAsia="Calibri"/>
          <w:color w:val="auto"/>
        </w:rPr>
        <w:t xml:space="preserve">2015 </w:t>
      </w:r>
      <w:r w:rsidR="003A31E1">
        <w:rPr>
          <w:rFonts w:eastAsia="Calibri"/>
          <w:color w:val="auto"/>
        </w:rPr>
        <w:t xml:space="preserve">and December 2015 as part of a </w:t>
      </w:r>
      <w:r w:rsidR="00FC1FBC" w:rsidRPr="00EF4558">
        <w:rPr>
          <w:rFonts w:eastAsia="Times New Roman"/>
          <w:color w:val="auto"/>
          <w:szCs w:val="20"/>
        </w:rPr>
        <w:t>larger qualitative research study of efforts used by banks to encourage unbanked and low-to-moderate income (LMI) consumers to open and retain insured deposit accounts at banks.</w:t>
      </w:r>
    </w:p>
    <w:p w:rsidR="00FC1FBC" w:rsidRDefault="00FC1FBC" w:rsidP="00FC1FBC">
      <w:pPr>
        <w:spacing w:before="240"/>
        <w:rPr>
          <w:rFonts w:eastAsia="Times New Roman"/>
          <w:color w:val="auto"/>
          <w:szCs w:val="20"/>
        </w:rPr>
      </w:pPr>
      <w:r w:rsidRPr="00EF4558">
        <w:rPr>
          <w:rFonts w:eastAsia="Times New Roman"/>
          <w:color w:val="auto"/>
          <w:szCs w:val="20"/>
        </w:rPr>
        <w:t>The FDIC recognize</w:t>
      </w:r>
      <w:r>
        <w:rPr>
          <w:rFonts w:eastAsia="Times New Roman"/>
          <w:color w:val="auto"/>
          <w:szCs w:val="20"/>
        </w:rPr>
        <w:t>s</w:t>
      </w:r>
      <w:r w:rsidRPr="00EF4558">
        <w:rPr>
          <w:rFonts w:eastAsia="Times New Roman"/>
          <w:color w:val="auto"/>
          <w:szCs w:val="20"/>
        </w:rPr>
        <w:t xml:space="preserve"> that public confidence in the banking system is strengthened when banks effectively serve the broadest possible set of consumers.  As a result, the Agency </w:t>
      </w:r>
      <w:r>
        <w:rPr>
          <w:rFonts w:eastAsia="Times New Roman"/>
          <w:color w:val="auto"/>
          <w:szCs w:val="20"/>
        </w:rPr>
        <w:t>is</w:t>
      </w:r>
      <w:r w:rsidRPr="00EF4558">
        <w:rPr>
          <w:rFonts w:eastAsia="Times New Roman"/>
          <w:color w:val="auto"/>
          <w:szCs w:val="20"/>
        </w:rPr>
        <w:t xml:space="preserve"> committed to increasing the participation of unbanked and underbanked households in the financial mainstream by ensuring that all Americans have access to safe, secure, and affordable banking services. </w:t>
      </w:r>
      <w:r>
        <w:rPr>
          <w:rFonts w:eastAsia="Times New Roman"/>
          <w:color w:val="auto"/>
          <w:szCs w:val="20"/>
        </w:rPr>
        <w:t xml:space="preserve"> </w:t>
      </w:r>
      <w:r w:rsidRPr="00EF4558">
        <w:rPr>
          <w:rFonts w:eastAsia="Times New Roman"/>
          <w:color w:val="auto"/>
          <w:szCs w:val="20"/>
        </w:rPr>
        <w:t xml:space="preserve">Information from this </w:t>
      </w:r>
      <w:r>
        <w:rPr>
          <w:rFonts w:eastAsia="Times New Roman"/>
          <w:color w:val="auto"/>
          <w:szCs w:val="20"/>
        </w:rPr>
        <w:t>project</w:t>
      </w:r>
      <w:r w:rsidRPr="00EF4558">
        <w:rPr>
          <w:rFonts w:eastAsia="Times New Roman"/>
          <w:color w:val="auto"/>
          <w:szCs w:val="20"/>
        </w:rPr>
        <w:t xml:space="preserve"> will inform ongoing efforts by the FDIC to promote the widespread availability and effective use of safe, affordable, and sustainable products and services from insured depository institutions that help people meet their financial goals.  </w:t>
      </w:r>
    </w:p>
    <w:p w:rsidR="003A31E1" w:rsidRDefault="003A31E1" w:rsidP="00EF4558">
      <w:pPr>
        <w:spacing w:before="240"/>
        <w:rPr>
          <w:rFonts w:eastAsia="Calibri"/>
          <w:color w:val="auto"/>
        </w:rPr>
      </w:pPr>
      <w:r>
        <w:rPr>
          <w:rFonts w:eastAsia="Calibri"/>
          <w:color w:val="auto"/>
        </w:rPr>
        <w:t xml:space="preserve">The purpose of this data collection is to inform the FDIC’s research efforts into effective methods </w:t>
      </w:r>
      <w:r w:rsidR="00936FDF">
        <w:rPr>
          <w:rFonts w:eastAsia="Calibri"/>
          <w:color w:val="auto"/>
        </w:rPr>
        <w:t xml:space="preserve">that </w:t>
      </w:r>
      <w:r>
        <w:rPr>
          <w:rFonts w:eastAsia="Calibri"/>
          <w:color w:val="auto"/>
        </w:rPr>
        <w:t xml:space="preserve">banks </w:t>
      </w:r>
      <w:r w:rsidR="00936FDF">
        <w:rPr>
          <w:rFonts w:eastAsia="Calibri"/>
          <w:color w:val="auto"/>
        </w:rPr>
        <w:t xml:space="preserve">are using </w:t>
      </w:r>
      <w:r>
        <w:rPr>
          <w:rFonts w:eastAsia="Calibri"/>
          <w:color w:val="auto"/>
        </w:rPr>
        <w:t>to encourage unbanked consumers to open accounts and to retain those accounts.</w:t>
      </w:r>
      <w:r w:rsidR="00936FDF">
        <w:rPr>
          <w:rFonts w:eastAsia="Calibri"/>
          <w:color w:val="auto"/>
        </w:rPr>
        <w:t xml:space="preserve">  Earlier phases of this project, which involved </w:t>
      </w:r>
      <w:r w:rsidR="00EC7D3E">
        <w:rPr>
          <w:rFonts w:eastAsia="Calibri"/>
          <w:color w:val="auto"/>
        </w:rPr>
        <w:t xml:space="preserve">interviews of bank executives and interviews of non-profit executives, were conducted in </w:t>
      </w:r>
      <w:r w:rsidR="00737C13">
        <w:rPr>
          <w:rFonts w:eastAsia="Calibri"/>
          <w:color w:val="auto"/>
        </w:rPr>
        <w:t xml:space="preserve">August </w:t>
      </w:r>
      <w:r w:rsidR="00EC7D3E">
        <w:rPr>
          <w:rFonts w:eastAsia="Calibri"/>
          <w:color w:val="auto"/>
        </w:rPr>
        <w:t xml:space="preserve">2015 and </w:t>
      </w:r>
      <w:r w:rsidR="00737C13">
        <w:rPr>
          <w:rFonts w:eastAsia="Calibri"/>
          <w:color w:val="auto"/>
        </w:rPr>
        <w:t xml:space="preserve">September </w:t>
      </w:r>
      <w:r w:rsidR="00EC7D3E">
        <w:rPr>
          <w:rFonts w:eastAsia="Calibri"/>
          <w:color w:val="auto"/>
        </w:rPr>
        <w:t xml:space="preserve">2015, respectively. </w:t>
      </w:r>
      <w:r w:rsidR="008231A1">
        <w:rPr>
          <w:rFonts w:eastAsia="Calibri"/>
          <w:color w:val="auto"/>
        </w:rPr>
        <w:t>In the third phase of this project, the FDIC plans to conduct eight focus groups of nonprofit financial counselors.  And in the fourth phase of this project, the FDIC plans to conduct eight focus groups of unbanked and underbanked consumers.</w:t>
      </w:r>
      <w:r w:rsidR="00EC7D3E">
        <w:rPr>
          <w:rFonts w:eastAsia="Calibri"/>
          <w:color w:val="auto"/>
        </w:rPr>
        <w:t xml:space="preserve"> </w:t>
      </w:r>
      <w:r w:rsidR="00737C13">
        <w:rPr>
          <w:rFonts w:eastAsia="Calibri"/>
          <w:color w:val="auto"/>
        </w:rPr>
        <w:t xml:space="preserve">The Phase 3 and Phase 4 focus groups will be conducted over the same time period.  </w:t>
      </w:r>
      <w:r w:rsidR="004D08A6">
        <w:rPr>
          <w:rFonts w:eastAsia="Calibri"/>
          <w:color w:val="auto"/>
        </w:rPr>
        <w:t>The focus group findings will be used to identify broad themes around these issues and will be represented as qualitative in nature.</w:t>
      </w:r>
      <w:r w:rsidR="00936FDF">
        <w:rPr>
          <w:rFonts w:eastAsia="Calibri"/>
          <w:color w:val="auto"/>
        </w:rPr>
        <w:t xml:space="preserve"> </w:t>
      </w:r>
    </w:p>
    <w:p w:rsidR="00FE0332" w:rsidRDefault="00FE0332" w:rsidP="00EF4558">
      <w:pPr>
        <w:spacing w:before="240"/>
        <w:rPr>
          <w:rFonts w:eastAsia="Calibri"/>
          <w:color w:val="auto"/>
        </w:rPr>
      </w:pPr>
      <w:r>
        <w:rPr>
          <w:rFonts w:eastAsia="Calibri"/>
          <w:color w:val="auto"/>
        </w:rPr>
        <w:t xml:space="preserve">For the Phase 3 focus groups with nonprofit financial counselors, </w:t>
      </w:r>
      <w:r w:rsidR="00F06A97">
        <w:rPr>
          <w:rFonts w:eastAsia="Calibri"/>
          <w:color w:val="auto"/>
        </w:rPr>
        <w:t xml:space="preserve">the recruitment process will involve reaching out to </w:t>
      </w:r>
      <w:r w:rsidR="00B61B73">
        <w:rPr>
          <w:rFonts w:eastAsia="Calibri"/>
          <w:color w:val="auto"/>
        </w:rPr>
        <w:t xml:space="preserve">solicit the participation of </w:t>
      </w:r>
      <w:r w:rsidR="00F06A97">
        <w:rPr>
          <w:rFonts w:eastAsia="Calibri"/>
          <w:color w:val="auto"/>
        </w:rPr>
        <w:t xml:space="preserve">nonprofits identified by </w:t>
      </w:r>
      <w:r w:rsidR="00B61B73">
        <w:rPr>
          <w:rFonts w:eastAsia="Calibri"/>
          <w:color w:val="auto"/>
        </w:rPr>
        <w:t xml:space="preserve">either </w:t>
      </w:r>
      <w:r w:rsidR="00F06A97">
        <w:rPr>
          <w:rFonts w:eastAsia="Calibri"/>
          <w:color w:val="auto"/>
        </w:rPr>
        <w:t xml:space="preserve">banks that </w:t>
      </w:r>
      <w:r w:rsidR="00F06A97">
        <w:rPr>
          <w:rFonts w:eastAsia="Calibri"/>
          <w:color w:val="auto"/>
        </w:rPr>
        <w:lastRenderedPageBreak/>
        <w:t xml:space="preserve">participated in Phase 1 </w:t>
      </w:r>
      <w:r w:rsidR="00B61B73">
        <w:rPr>
          <w:rFonts w:eastAsia="Calibri"/>
          <w:color w:val="auto"/>
        </w:rPr>
        <w:t xml:space="preserve">or by </w:t>
      </w:r>
      <w:r w:rsidR="00F06A97">
        <w:rPr>
          <w:rFonts w:eastAsia="Calibri"/>
          <w:color w:val="auto"/>
        </w:rPr>
        <w:t>nonprofits interviewed in Phase 2</w:t>
      </w:r>
      <w:r w:rsidR="00B61B73">
        <w:rPr>
          <w:rFonts w:eastAsia="Calibri"/>
          <w:color w:val="auto"/>
        </w:rPr>
        <w:t xml:space="preserve">.  </w:t>
      </w:r>
      <w:r w:rsidR="00634775">
        <w:rPr>
          <w:rFonts w:eastAsia="Calibri"/>
          <w:color w:val="auto"/>
        </w:rPr>
        <w:t>The research process will involve participation in the focus groups themselves.</w:t>
      </w:r>
    </w:p>
    <w:p w:rsidR="00EF4558" w:rsidRPr="00EF4558" w:rsidRDefault="00EF4558" w:rsidP="00EF4558">
      <w:r w:rsidRPr="00EF4558">
        <w:t xml:space="preserve">The estimated burden </w:t>
      </w:r>
      <w:r w:rsidR="009E4BF9">
        <w:t xml:space="preserve">for Phase 3 </w:t>
      </w:r>
      <w:r w:rsidRPr="00EF4558">
        <w:t>is set out below:</w:t>
      </w:r>
    </w:p>
    <w:p w:rsidR="00EF4558" w:rsidRDefault="00EF4558" w:rsidP="00EF4558"/>
    <w:p w:rsidR="00FC1FBC" w:rsidRDefault="00FC1FBC" w:rsidP="00EF4558">
      <w:r>
        <w:tab/>
        <w:t>Screening:</w:t>
      </w:r>
    </w:p>
    <w:p w:rsidR="00FC1FBC" w:rsidRPr="006D7A10" w:rsidRDefault="00FC1FBC" w:rsidP="00737C13">
      <w:pPr>
        <w:ind w:left="720" w:firstLine="720"/>
        <w:rPr>
          <w:i/>
        </w:rPr>
      </w:pPr>
      <w:r w:rsidRPr="006D7A10">
        <w:rPr>
          <w:rFonts w:ascii="Times New Roman Italic" w:hAnsi="Times New Roman Italic"/>
          <w:i/>
        </w:rPr>
        <w:t xml:space="preserve">Estimated Number of </w:t>
      </w:r>
      <w:r>
        <w:rPr>
          <w:rFonts w:ascii="Times New Roman Italic" w:hAnsi="Times New Roman Italic"/>
          <w:i/>
        </w:rPr>
        <w:t>respondents</w:t>
      </w:r>
      <w:r w:rsidRPr="006D7A10">
        <w:rPr>
          <w:rFonts w:ascii="Times New Roman Italic" w:hAnsi="Times New Roman Italic"/>
          <w:i/>
        </w:rPr>
        <w:t>:</w:t>
      </w:r>
      <w:r w:rsidRPr="006D7A10">
        <w:rPr>
          <w:i/>
        </w:rPr>
        <w:t xml:space="preserve">  </w:t>
      </w:r>
      <w:r>
        <w:rPr>
          <w:i/>
        </w:rPr>
        <w:tab/>
      </w:r>
      <w:r>
        <w:rPr>
          <w:i/>
        </w:rPr>
        <w:tab/>
      </w:r>
      <w:r>
        <w:rPr>
          <w:i/>
        </w:rPr>
        <w:tab/>
      </w:r>
      <w:r>
        <w:rPr>
          <w:i/>
        </w:rPr>
        <w:tab/>
      </w:r>
      <w:r>
        <w:rPr>
          <w:i/>
        </w:rPr>
        <w:tab/>
        <w:t>120</w:t>
      </w:r>
    </w:p>
    <w:p w:rsidR="00FC1FBC" w:rsidRPr="006D7A10" w:rsidRDefault="00FC1FBC" w:rsidP="00FC1FBC">
      <w:pPr>
        <w:rPr>
          <w:i/>
        </w:rPr>
      </w:pPr>
      <w:r w:rsidRPr="006D7A10">
        <w:rPr>
          <w:rFonts w:ascii="Times New Roman Italic" w:hAnsi="Times New Roman Italic"/>
          <w:i/>
        </w:rPr>
        <w:tab/>
      </w:r>
      <w:r>
        <w:rPr>
          <w:rFonts w:ascii="Times New Roman Italic" w:hAnsi="Times New Roman Italic"/>
          <w:i/>
        </w:rPr>
        <w:tab/>
      </w:r>
      <w:r w:rsidRPr="006D7A10">
        <w:rPr>
          <w:rFonts w:ascii="Times New Roman Italic" w:hAnsi="Times New Roman Italic"/>
          <w:i/>
        </w:rPr>
        <w:t xml:space="preserve">Estimated Time per </w:t>
      </w:r>
      <w:r>
        <w:rPr>
          <w:rFonts w:ascii="Times New Roman Italic" w:hAnsi="Times New Roman Italic"/>
          <w:i/>
        </w:rPr>
        <w:t>response</w:t>
      </w:r>
      <w:r w:rsidRPr="006D7A10">
        <w:rPr>
          <w:rFonts w:ascii="Times New Roman Italic" w:hAnsi="Times New Roman Italic"/>
          <w:i/>
        </w:rPr>
        <w:t>:</w:t>
      </w:r>
      <w:r w:rsidRPr="006D7A10">
        <w:rPr>
          <w:i/>
        </w:rPr>
        <w:t xml:space="preserve"> </w:t>
      </w:r>
      <w:r>
        <w:rPr>
          <w:i/>
        </w:rPr>
        <w:tab/>
      </w:r>
      <w:r>
        <w:rPr>
          <w:i/>
        </w:rPr>
        <w:tab/>
      </w:r>
      <w:r>
        <w:rPr>
          <w:i/>
        </w:rPr>
        <w:tab/>
      </w:r>
      <w:r>
        <w:rPr>
          <w:i/>
        </w:rPr>
        <w:tab/>
      </w:r>
      <w:r>
        <w:rPr>
          <w:i/>
        </w:rPr>
        <w:tab/>
      </w:r>
      <w:r w:rsidRPr="005B4878">
        <w:rPr>
          <w:i/>
          <w:u w:val="single"/>
        </w:rPr>
        <w:t>5 minutes</w:t>
      </w:r>
    </w:p>
    <w:p w:rsidR="00FC1FBC" w:rsidRPr="006D7A10" w:rsidRDefault="00FC1FBC" w:rsidP="00FC1FBC">
      <w:pPr>
        <w:rPr>
          <w:rFonts w:eastAsia="Times New Roman"/>
          <w:i/>
          <w:color w:val="auto"/>
          <w:szCs w:val="20"/>
        </w:rPr>
      </w:pPr>
      <w:r w:rsidRPr="006D7A10">
        <w:rPr>
          <w:rFonts w:ascii="Times New Roman Italic" w:hAnsi="Times New Roman Italic"/>
          <w:i/>
        </w:rPr>
        <w:tab/>
      </w:r>
      <w:r>
        <w:rPr>
          <w:rFonts w:ascii="Times New Roman Italic" w:hAnsi="Times New Roman Italic"/>
          <w:i/>
        </w:rPr>
        <w:tab/>
      </w:r>
      <w:r w:rsidRPr="006D7A10">
        <w:rPr>
          <w:rFonts w:ascii="Times New Roman Italic" w:hAnsi="Times New Roman Italic"/>
          <w:i/>
        </w:rPr>
        <w:t>Total Estimated Annual Burden:</w:t>
      </w:r>
      <w:r w:rsidRPr="006D7A10">
        <w:rPr>
          <w:i/>
        </w:rPr>
        <w:t xml:space="preserve">  </w:t>
      </w:r>
      <w:r>
        <w:rPr>
          <w:i/>
        </w:rPr>
        <w:tab/>
      </w:r>
      <w:r>
        <w:rPr>
          <w:i/>
        </w:rPr>
        <w:tab/>
      </w:r>
      <w:r>
        <w:rPr>
          <w:i/>
        </w:rPr>
        <w:tab/>
      </w:r>
      <w:r>
        <w:rPr>
          <w:i/>
        </w:rPr>
        <w:tab/>
      </w:r>
      <w:r>
        <w:rPr>
          <w:i/>
        </w:rPr>
        <w:tab/>
        <w:t>1</w:t>
      </w:r>
      <w:r w:rsidRPr="006D7A10">
        <w:rPr>
          <w:i/>
        </w:rPr>
        <w:t>0 hours</w:t>
      </w:r>
    </w:p>
    <w:p w:rsidR="00FC1FBC" w:rsidRDefault="00FC1FBC" w:rsidP="00EF4558"/>
    <w:p w:rsidR="00FC1FBC" w:rsidRDefault="00FC1FBC" w:rsidP="00EF4558">
      <w:r>
        <w:tab/>
        <w:t>Focus group:</w:t>
      </w:r>
    </w:p>
    <w:p w:rsidR="00EF4558" w:rsidRPr="006D7A10" w:rsidRDefault="00EF4558" w:rsidP="00EF4558">
      <w:pPr>
        <w:rPr>
          <w:i/>
        </w:rPr>
      </w:pPr>
      <w:r w:rsidRPr="006D7A10">
        <w:rPr>
          <w:i/>
        </w:rPr>
        <w:tab/>
      </w:r>
      <w:r w:rsidR="00FC1FBC">
        <w:rPr>
          <w:i/>
        </w:rPr>
        <w:tab/>
      </w:r>
      <w:r w:rsidRPr="006D7A10">
        <w:rPr>
          <w:rFonts w:ascii="Times New Roman Italic" w:hAnsi="Times New Roman Italic"/>
          <w:i/>
        </w:rPr>
        <w:t xml:space="preserve">Estimated Number of </w:t>
      </w:r>
      <w:r w:rsidR="009E4BF9" w:rsidRPr="006D7A10">
        <w:rPr>
          <w:rFonts w:ascii="Times New Roman Italic" w:hAnsi="Times New Roman Italic"/>
          <w:i/>
        </w:rPr>
        <w:t>participants</w:t>
      </w:r>
      <w:r w:rsidRPr="006D7A10">
        <w:rPr>
          <w:rFonts w:ascii="Times New Roman Italic" w:hAnsi="Times New Roman Italic"/>
          <w:i/>
        </w:rPr>
        <w:t>:</w:t>
      </w:r>
      <w:r w:rsidR="009E4BF9" w:rsidRPr="006D7A10">
        <w:rPr>
          <w:i/>
        </w:rPr>
        <w:t xml:space="preserve"> </w:t>
      </w:r>
      <w:r w:rsidR="006D7A10">
        <w:rPr>
          <w:i/>
        </w:rPr>
        <w:tab/>
      </w:r>
      <w:r w:rsidR="006D7A10">
        <w:rPr>
          <w:i/>
        </w:rPr>
        <w:tab/>
      </w:r>
      <w:r w:rsidR="006D7A10">
        <w:rPr>
          <w:i/>
        </w:rPr>
        <w:tab/>
      </w:r>
      <w:r w:rsidR="006D7A10">
        <w:rPr>
          <w:i/>
        </w:rPr>
        <w:tab/>
      </w:r>
      <w:r w:rsidR="006D7A10">
        <w:rPr>
          <w:i/>
        </w:rPr>
        <w:tab/>
      </w:r>
      <w:r w:rsidR="009E4BF9" w:rsidRPr="006D7A10">
        <w:rPr>
          <w:i/>
        </w:rPr>
        <w:t>80</w:t>
      </w:r>
    </w:p>
    <w:p w:rsidR="00EF4558" w:rsidRPr="006D7A10" w:rsidRDefault="00EF4558" w:rsidP="00EF4558">
      <w:pPr>
        <w:rPr>
          <w:i/>
        </w:rPr>
      </w:pPr>
      <w:r w:rsidRPr="006D7A10">
        <w:rPr>
          <w:rFonts w:ascii="Times New Roman Italic" w:hAnsi="Times New Roman Italic"/>
          <w:i/>
        </w:rPr>
        <w:tab/>
      </w:r>
      <w:r w:rsidR="00FC1FBC">
        <w:rPr>
          <w:rFonts w:ascii="Times New Roman Italic" w:hAnsi="Times New Roman Italic"/>
          <w:i/>
        </w:rPr>
        <w:tab/>
      </w:r>
      <w:r w:rsidRPr="006D7A10">
        <w:rPr>
          <w:rFonts w:ascii="Times New Roman Italic" w:hAnsi="Times New Roman Italic"/>
          <w:i/>
        </w:rPr>
        <w:t xml:space="preserve">Estimated Time per </w:t>
      </w:r>
      <w:r w:rsidR="009E4BF9" w:rsidRPr="006D7A10">
        <w:rPr>
          <w:rFonts w:ascii="Times New Roman Italic" w:hAnsi="Times New Roman Italic"/>
          <w:i/>
        </w:rPr>
        <w:t>focus groups</w:t>
      </w:r>
      <w:r w:rsidRPr="006D7A10">
        <w:rPr>
          <w:rFonts w:ascii="Times New Roman Italic" w:hAnsi="Times New Roman Italic"/>
          <w:i/>
        </w:rPr>
        <w:t>:</w:t>
      </w:r>
      <w:r w:rsidRPr="006D7A10">
        <w:rPr>
          <w:i/>
        </w:rPr>
        <w:t xml:space="preserve"> </w:t>
      </w:r>
      <w:r w:rsidR="006D7A10">
        <w:rPr>
          <w:i/>
        </w:rPr>
        <w:tab/>
      </w:r>
      <w:r w:rsidR="006D7A10">
        <w:rPr>
          <w:i/>
        </w:rPr>
        <w:tab/>
      </w:r>
      <w:r w:rsidR="006D7A10">
        <w:rPr>
          <w:i/>
        </w:rPr>
        <w:tab/>
      </w:r>
      <w:r w:rsidR="006D7A10">
        <w:rPr>
          <w:i/>
        </w:rPr>
        <w:tab/>
      </w:r>
      <w:r w:rsidR="006D7A10">
        <w:rPr>
          <w:i/>
        </w:rPr>
        <w:tab/>
      </w:r>
      <w:r w:rsidR="00ED2B9D">
        <w:rPr>
          <w:i/>
        </w:rPr>
        <w:t>2</w:t>
      </w:r>
      <w:r w:rsidRPr="006D7A10">
        <w:rPr>
          <w:i/>
        </w:rPr>
        <w:t xml:space="preserve"> hour</w:t>
      </w:r>
      <w:r w:rsidR="00217C61" w:rsidRPr="006D7A10">
        <w:rPr>
          <w:i/>
        </w:rPr>
        <w:t>s</w:t>
      </w:r>
    </w:p>
    <w:p w:rsidR="009E4BF9" w:rsidRPr="006D7A10" w:rsidRDefault="009E4BF9" w:rsidP="00737C13">
      <w:pPr>
        <w:ind w:left="720" w:firstLine="720"/>
        <w:rPr>
          <w:i/>
        </w:rPr>
      </w:pPr>
      <w:r w:rsidRPr="006D7A10">
        <w:rPr>
          <w:rFonts w:ascii="Times New Roman Italic" w:hAnsi="Times New Roman Italic"/>
          <w:i/>
        </w:rPr>
        <w:t xml:space="preserve">Estimated Time per Intake Questionnaire: </w:t>
      </w:r>
      <w:r w:rsidR="006D7A10">
        <w:rPr>
          <w:i/>
        </w:rPr>
        <w:tab/>
      </w:r>
      <w:r w:rsidR="006D7A10">
        <w:rPr>
          <w:i/>
        </w:rPr>
        <w:tab/>
      </w:r>
      <w:r w:rsidR="006D7A10">
        <w:rPr>
          <w:i/>
        </w:rPr>
        <w:tab/>
      </w:r>
      <w:r w:rsidR="006D7A10">
        <w:rPr>
          <w:i/>
        </w:rPr>
        <w:tab/>
      </w:r>
      <w:r w:rsidRPr="005B4878">
        <w:rPr>
          <w:i/>
          <w:u w:val="single"/>
        </w:rPr>
        <w:t>.</w:t>
      </w:r>
      <w:r w:rsidR="006D7A10" w:rsidRPr="005B4878">
        <w:rPr>
          <w:i/>
          <w:u w:val="single"/>
        </w:rPr>
        <w:t>2</w:t>
      </w:r>
      <w:r w:rsidRPr="005B4878">
        <w:rPr>
          <w:i/>
          <w:u w:val="single"/>
        </w:rPr>
        <w:t>5 hours</w:t>
      </w:r>
    </w:p>
    <w:p w:rsidR="00EF4558" w:rsidRDefault="00EF4558" w:rsidP="00EF4558">
      <w:pPr>
        <w:rPr>
          <w:i/>
        </w:rPr>
      </w:pPr>
      <w:r w:rsidRPr="006D7A10">
        <w:rPr>
          <w:rFonts w:ascii="Times New Roman Italic" w:hAnsi="Times New Roman Italic"/>
          <w:i/>
        </w:rPr>
        <w:tab/>
      </w:r>
      <w:r w:rsidR="00FC1FBC">
        <w:rPr>
          <w:rFonts w:ascii="Times New Roman Italic" w:hAnsi="Times New Roman Italic"/>
          <w:i/>
        </w:rPr>
        <w:tab/>
      </w:r>
      <w:r w:rsidRPr="006D7A10">
        <w:rPr>
          <w:rFonts w:ascii="Times New Roman Italic" w:hAnsi="Times New Roman Italic"/>
          <w:i/>
        </w:rPr>
        <w:t>Total Estimated Annual Burden:</w:t>
      </w:r>
      <w:r w:rsidRPr="006D7A10">
        <w:rPr>
          <w:i/>
        </w:rPr>
        <w:t xml:space="preserve">  </w:t>
      </w:r>
      <w:r w:rsidR="006D7A10">
        <w:rPr>
          <w:i/>
        </w:rPr>
        <w:tab/>
      </w:r>
      <w:r w:rsidR="006D7A10">
        <w:rPr>
          <w:i/>
        </w:rPr>
        <w:tab/>
      </w:r>
      <w:r w:rsidR="006D7A10">
        <w:rPr>
          <w:i/>
        </w:rPr>
        <w:tab/>
      </w:r>
      <w:r w:rsidR="006D7A10">
        <w:rPr>
          <w:i/>
        </w:rPr>
        <w:tab/>
      </w:r>
      <w:r w:rsidR="006D7A10">
        <w:rPr>
          <w:i/>
        </w:rPr>
        <w:tab/>
      </w:r>
      <w:r w:rsidR="006D7A10" w:rsidRPr="006D7A10">
        <w:rPr>
          <w:i/>
        </w:rPr>
        <w:t>1</w:t>
      </w:r>
      <w:r w:rsidR="007E6ADD">
        <w:rPr>
          <w:i/>
        </w:rPr>
        <w:t>8</w:t>
      </w:r>
      <w:r w:rsidR="005712A5" w:rsidRPr="006D7A10">
        <w:rPr>
          <w:i/>
        </w:rPr>
        <w:t>0</w:t>
      </w:r>
      <w:r w:rsidRPr="006D7A10">
        <w:rPr>
          <w:i/>
        </w:rPr>
        <w:t xml:space="preserve"> hours</w:t>
      </w:r>
    </w:p>
    <w:p w:rsidR="005523B4" w:rsidRDefault="005523B4" w:rsidP="00EF4558">
      <w:pPr>
        <w:rPr>
          <w:i/>
        </w:rPr>
      </w:pPr>
    </w:p>
    <w:p w:rsidR="00E07CD5" w:rsidRDefault="005523B4" w:rsidP="005523B4">
      <w:pPr>
        <w:ind w:firstLine="720"/>
        <w:rPr>
          <w:rFonts w:eastAsia="Times New Roman"/>
          <w:color w:val="auto"/>
          <w:szCs w:val="20"/>
        </w:rPr>
      </w:pPr>
      <w:r w:rsidRPr="006D7A10">
        <w:rPr>
          <w:rFonts w:ascii="Times New Roman Italic" w:hAnsi="Times New Roman Italic"/>
          <w:i/>
        </w:rPr>
        <w:t>Total Estimated Annual Burden</w:t>
      </w:r>
      <w:r>
        <w:rPr>
          <w:rFonts w:ascii="Times New Roman Italic" w:hAnsi="Times New Roman Italic"/>
          <w:i/>
        </w:rPr>
        <w:t xml:space="preserve"> for Phase 3</w:t>
      </w:r>
      <w:r w:rsidRPr="006D7A10">
        <w:rPr>
          <w:rFonts w:ascii="Times New Roman Italic" w:hAnsi="Times New Roman Italic"/>
          <w:i/>
        </w:rPr>
        <w:t>:</w:t>
      </w:r>
      <w:r w:rsidRPr="006D7A10">
        <w:rPr>
          <w:i/>
        </w:rPr>
        <w:t xml:space="preserve">  </w:t>
      </w:r>
      <w:r>
        <w:rPr>
          <w:i/>
        </w:rPr>
        <w:tab/>
      </w:r>
      <w:r>
        <w:rPr>
          <w:i/>
        </w:rPr>
        <w:tab/>
      </w:r>
      <w:r>
        <w:rPr>
          <w:i/>
        </w:rPr>
        <w:tab/>
      </w:r>
      <w:r>
        <w:rPr>
          <w:i/>
        </w:rPr>
        <w:tab/>
      </w:r>
      <w:r w:rsidR="00A1338E">
        <w:rPr>
          <w:i/>
        </w:rPr>
        <w:t>1</w:t>
      </w:r>
      <w:r>
        <w:rPr>
          <w:i/>
        </w:rPr>
        <w:t>9</w:t>
      </w:r>
      <w:r w:rsidRPr="006D7A10">
        <w:rPr>
          <w:i/>
        </w:rPr>
        <w:t>0 hours</w:t>
      </w:r>
    </w:p>
    <w:p w:rsidR="00E07CD5" w:rsidRDefault="00E07CD5" w:rsidP="00E07CD5">
      <w:pPr>
        <w:spacing w:before="240"/>
        <w:rPr>
          <w:rFonts w:eastAsia="Calibri"/>
          <w:color w:val="auto"/>
        </w:rPr>
      </w:pPr>
      <w:r>
        <w:rPr>
          <w:rFonts w:eastAsia="Calibri"/>
          <w:color w:val="auto"/>
        </w:rPr>
        <w:t xml:space="preserve">For the Phase 4 focus groups with unbanked and underbanked consumers, the recruitment process will involve the use of a screening questionnaire to recruit respondents.  The research process will include an intake questionnaire completed by participants at the time of the focus groups, and participation in the focus groups themselves. </w:t>
      </w:r>
      <w:r w:rsidR="00D2432A">
        <w:rPr>
          <w:rFonts w:eastAsia="Calibri"/>
          <w:color w:val="auto"/>
        </w:rPr>
        <w:t>In recognition of the time and expense required for Phase 4 respondents to participate in the focus groups, we plan to reimburse each participant $100 (Jackson, Mobile and Cleveland) or $125 (New York City and Los Angeles).</w:t>
      </w:r>
    </w:p>
    <w:p w:rsidR="00ED2B9D" w:rsidRDefault="00ED2B9D" w:rsidP="009E4BF9"/>
    <w:p w:rsidR="009E4BF9" w:rsidRPr="00EF4558" w:rsidRDefault="009E4BF9" w:rsidP="009E4BF9">
      <w:r w:rsidRPr="00EF4558">
        <w:t xml:space="preserve">The estimated burden </w:t>
      </w:r>
      <w:r w:rsidR="005712A5">
        <w:t>for Phase 4</w:t>
      </w:r>
      <w:r>
        <w:t xml:space="preserve"> </w:t>
      </w:r>
      <w:r w:rsidRPr="00EF4558">
        <w:t>is set out below:</w:t>
      </w:r>
    </w:p>
    <w:p w:rsidR="009E4BF9" w:rsidRDefault="009E4BF9" w:rsidP="009E4BF9"/>
    <w:p w:rsidR="00ED2B9D" w:rsidRPr="00EF4558" w:rsidRDefault="00ED2B9D" w:rsidP="009E4BF9">
      <w:r>
        <w:tab/>
        <w:t>Screening:</w:t>
      </w:r>
    </w:p>
    <w:p w:rsidR="006D7A10" w:rsidRPr="006D7A10" w:rsidRDefault="006D7A10" w:rsidP="009E4BF9">
      <w:pPr>
        <w:rPr>
          <w:i/>
        </w:rPr>
      </w:pPr>
      <w:r>
        <w:tab/>
      </w:r>
      <w:r w:rsidR="00ED2B9D">
        <w:tab/>
      </w:r>
      <w:r>
        <w:rPr>
          <w:i/>
        </w:rPr>
        <w:t xml:space="preserve">Estimated Number of </w:t>
      </w:r>
      <w:r w:rsidR="00ED2B9D">
        <w:rPr>
          <w:i/>
        </w:rPr>
        <w:t>respondents</w:t>
      </w:r>
      <w:r>
        <w:rPr>
          <w:i/>
        </w:rPr>
        <w:t xml:space="preserve">:  </w:t>
      </w:r>
      <w:r>
        <w:rPr>
          <w:i/>
        </w:rPr>
        <w:tab/>
      </w:r>
      <w:r>
        <w:rPr>
          <w:i/>
        </w:rPr>
        <w:tab/>
      </w:r>
      <w:r w:rsidR="00ED2B9D">
        <w:rPr>
          <w:i/>
        </w:rPr>
        <w:tab/>
      </w:r>
      <w:r w:rsidR="00ED2B9D">
        <w:rPr>
          <w:i/>
        </w:rPr>
        <w:tab/>
      </w:r>
      <w:r w:rsidR="00ED2B9D">
        <w:rPr>
          <w:i/>
        </w:rPr>
        <w:tab/>
      </w:r>
      <w:r w:rsidRPr="006D7A10">
        <w:rPr>
          <w:i/>
        </w:rPr>
        <w:t>800</w:t>
      </w:r>
    </w:p>
    <w:p w:rsidR="006D7A10" w:rsidRDefault="006D7A10" w:rsidP="00ED2B9D">
      <w:pPr>
        <w:rPr>
          <w:i/>
        </w:rPr>
      </w:pPr>
      <w:r w:rsidRPr="006D7A10">
        <w:rPr>
          <w:i/>
        </w:rPr>
        <w:tab/>
      </w:r>
      <w:r w:rsidRPr="006D7A10">
        <w:rPr>
          <w:i/>
        </w:rPr>
        <w:tab/>
      </w:r>
      <w:r w:rsidR="00ED2B9D">
        <w:rPr>
          <w:i/>
        </w:rPr>
        <w:t>Estimated time per response</w:t>
      </w:r>
      <w:r w:rsidRPr="006D7A10">
        <w:rPr>
          <w:i/>
        </w:rPr>
        <w:t>:</w:t>
      </w:r>
      <w:r w:rsidRPr="006D7A10">
        <w:rPr>
          <w:i/>
        </w:rPr>
        <w:tab/>
      </w:r>
      <w:r w:rsidR="00ED2B9D">
        <w:rPr>
          <w:i/>
        </w:rPr>
        <w:tab/>
      </w:r>
      <w:r w:rsidR="00ED2B9D">
        <w:rPr>
          <w:i/>
        </w:rPr>
        <w:tab/>
      </w:r>
      <w:r w:rsidR="00ED2B9D">
        <w:rPr>
          <w:i/>
        </w:rPr>
        <w:tab/>
      </w:r>
      <w:r w:rsidR="00ED2B9D">
        <w:rPr>
          <w:i/>
        </w:rPr>
        <w:tab/>
      </w:r>
      <w:r w:rsidR="00ED2B9D">
        <w:rPr>
          <w:i/>
        </w:rPr>
        <w:tab/>
      </w:r>
      <w:r w:rsidRPr="005B4878">
        <w:rPr>
          <w:i/>
          <w:u w:val="single"/>
        </w:rPr>
        <w:t>.</w:t>
      </w:r>
      <w:r w:rsidR="00ED2B9D" w:rsidRPr="005B4878">
        <w:rPr>
          <w:i/>
          <w:u w:val="single"/>
        </w:rPr>
        <w:t>2</w:t>
      </w:r>
      <w:r w:rsidRPr="005B4878">
        <w:rPr>
          <w:i/>
          <w:u w:val="single"/>
        </w:rPr>
        <w:t xml:space="preserve"> hours</w:t>
      </w:r>
    </w:p>
    <w:p w:rsidR="006D7A10" w:rsidRDefault="006D7A10" w:rsidP="009E4BF9">
      <w:pPr>
        <w:rPr>
          <w:i/>
        </w:rPr>
      </w:pPr>
      <w:r>
        <w:rPr>
          <w:i/>
        </w:rPr>
        <w:tab/>
      </w:r>
      <w:r w:rsidR="00ED2B9D">
        <w:rPr>
          <w:i/>
        </w:rPr>
        <w:tab/>
        <w:t>Total Estimated Annual Burden</w:t>
      </w:r>
      <w:r>
        <w:rPr>
          <w:i/>
        </w:rPr>
        <w:t>:</w:t>
      </w:r>
      <w:r>
        <w:rPr>
          <w:i/>
        </w:rPr>
        <w:tab/>
      </w:r>
      <w:r>
        <w:rPr>
          <w:i/>
        </w:rPr>
        <w:tab/>
      </w:r>
      <w:r>
        <w:rPr>
          <w:i/>
        </w:rPr>
        <w:tab/>
      </w:r>
      <w:r>
        <w:rPr>
          <w:i/>
        </w:rPr>
        <w:tab/>
      </w:r>
      <w:r w:rsidR="00ED2B9D">
        <w:rPr>
          <w:i/>
        </w:rPr>
        <w:tab/>
      </w:r>
      <w:r>
        <w:rPr>
          <w:i/>
        </w:rPr>
        <w:t>160 hours</w:t>
      </w:r>
    </w:p>
    <w:p w:rsidR="006D7A10" w:rsidRDefault="006D7A10" w:rsidP="009E4BF9">
      <w:pPr>
        <w:rPr>
          <w:i/>
        </w:rPr>
      </w:pPr>
    </w:p>
    <w:p w:rsidR="00ED2B9D" w:rsidRPr="00737C13" w:rsidRDefault="00ED2B9D" w:rsidP="009E4BF9">
      <w:r>
        <w:rPr>
          <w:i/>
        </w:rPr>
        <w:tab/>
      </w:r>
      <w:r>
        <w:t>Focus Group:</w:t>
      </w:r>
    </w:p>
    <w:p w:rsidR="006D7A10" w:rsidRPr="006D7A10" w:rsidRDefault="009E4BF9" w:rsidP="009E4BF9">
      <w:pPr>
        <w:rPr>
          <w:i/>
        </w:rPr>
      </w:pPr>
      <w:r w:rsidRPr="006D7A10">
        <w:rPr>
          <w:i/>
        </w:rPr>
        <w:tab/>
      </w:r>
      <w:r w:rsidR="00ED2B9D">
        <w:rPr>
          <w:i/>
        </w:rPr>
        <w:tab/>
      </w:r>
      <w:r w:rsidRPr="006D7A10">
        <w:rPr>
          <w:rFonts w:ascii="Times New Roman Italic" w:hAnsi="Times New Roman Italic"/>
          <w:i/>
        </w:rPr>
        <w:t>Estimated Number of participants:</w:t>
      </w:r>
      <w:r w:rsidRPr="006D7A10">
        <w:rPr>
          <w:i/>
        </w:rPr>
        <w:t xml:space="preserve">  </w:t>
      </w:r>
      <w:r w:rsidR="006D7A10" w:rsidRPr="006D7A10">
        <w:rPr>
          <w:i/>
        </w:rPr>
        <w:tab/>
      </w:r>
      <w:r w:rsidR="006D7A10" w:rsidRPr="006D7A10">
        <w:rPr>
          <w:i/>
        </w:rPr>
        <w:tab/>
      </w:r>
      <w:r w:rsidR="006D7A10" w:rsidRPr="006D7A10">
        <w:rPr>
          <w:i/>
        </w:rPr>
        <w:tab/>
      </w:r>
      <w:r w:rsidR="006D7A10" w:rsidRPr="006D7A10">
        <w:rPr>
          <w:i/>
        </w:rPr>
        <w:tab/>
      </w:r>
      <w:r w:rsidR="006D7A10" w:rsidRPr="006D7A10">
        <w:rPr>
          <w:i/>
        </w:rPr>
        <w:tab/>
      </w:r>
      <w:r w:rsidRPr="006D7A10">
        <w:rPr>
          <w:i/>
        </w:rPr>
        <w:t>80</w:t>
      </w:r>
    </w:p>
    <w:p w:rsidR="009E4BF9" w:rsidRPr="006D7A10" w:rsidRDefault="009E4BF9" w:rsidP="009E4BF9">
      <w:pPr>
        <w:rPr>
          <w:i/>
        </w:rPr>
      </w:pPr>
      <w:r w:rsidRPr="006D7A10">
        <w:rPr>
          <w:rFonts w:ascii="Times New Roman Italic" w:hAnsi="Times New Roman Italic"/>
          <w:i/>
        </w:rPr>
        <w:tab/>
      </w:r>
      <w:r w:rsidR="00ED2B9D">
        <w:rPr>
          <w:rFonts w:ascii="Times New Roman Italic" w:hAnsi="Times New Roman Italic"/>
          <w:i/>
        </w:rPr>
        <w:tab/>
      </w:r>
      <w:r w:rsidRPr="006D7A10">
        <w:rPr>
          <w:rFonts w:ascii="Times New Roman Italic" w:hAnsi="Times New Roman Italic"/>
          <w:i/>
        </w:rPr>
        <w:t>Estimated Time per focus groups:</w:t>
      </w:r>
      <w:r w:rsidRPr="006D7A10">
        <w:rPr>
          <w:i/>
        </w:rPr>
        <w:t xml:space="preserve"> </w:t>
      </w:r>
      <w:r w:rsidR="006D7A10">
        <w:rPr>
          <w:i/>
        </w:rPr>
        <w:tab/>
      </w:r>
      <w:r w:rsidR="006D7A10">
        <w:rPr>
          <w:i/>
        </w:rPr>
        <w:tab/>
      </w:r>
      <w:r w:rsidR="006D7A10">
        <w:rPr>
          <w:i/>
        </w:rPr>
        <w:tab/>
      </w:r>
      <w:r w:rsidR="006D7A10">
        <w:rPr>
          <w:i/>
        </w:rPr>
        <w:tab/>
      </w:r>
      <w:r w:rsidR="006D7A10">
        <w:rPr>
          <w:i/>
        </w:rPr>
        <w:tab/>
      </w:r>
      <w:r w:rsidR="00ED2B9D">
        <w:rPr>
          <w:i/>
        </w:rPr>
        <w:t>2</w:t>
      </w:r>
      <w:r w:rsidRPr="006D7A10">
        <w:rPr>
          <w:i/>
        </w:rPr>
        <w:t xml:space="preserve"> hours</w:t>
      </w:r>
    </w:p>
    <w:p w:rsidR="009E4BF9" w:rsidRPr="006D7A10" w:rsidRDefault="009E4BF9" w:rsidP="00737C13">
      <w:pPr>
        <w:ind w:left="720" w:firstLine="720"/>
        <w:rPr>
          <w:i/>
        </w:rPr>
      </w:pPr>
      <w:r w:rsidRPr="006D7A10">
        <w:rPr>
          <w:rFonts w:ascii="Times New Roman Italic" w:hAnsi="Times New Roman Italic"/>
          <w:i/>
        </w:rPr>
        <w:t>Estimated Time per Intake Questionnaire:</w:t>
      </w:r>
      <w:r w:rsidR="006D7A10">
        <w:rPr>
          <w:rFonts w:ascii="Times New Roman Italic" w:hAnsi="Times New Roman Italic"/>
          <w:i/>
        </w:rPr>
        <w:tab/>
      </w:r>
      <w:r w:rsidR="006D7A10">
        <w:rPr>
          <w:rFonts w:ascii="Times New Roman Italic" w:hAnsi="Times New Roman Italic"/>
          <w:i/>
        </w:rPr>
        <w:tab/>
      </w:r>
      <w:r w:rsidR="006D7A10">
        <w:rPr>
          <w:rFonts w:ascii="Times New Roman Italic" w:hAnsi="Times New Roman Italic"/>
          <w:i/>
        </w:rPr>
        <w:tab/>
      </w:r>
      <w:r w:rsidR="006D7A10">
        <w:rPr>
          <w:rFonts w:ascii="Times New Roman Italic" w:hAnsi="Times New Roman Italic"/>
          <w:i/>
        </w:rPr>
        <w:tab/>
      </w:r>
      <w:bookmarkStart w:id="0" w:name="_GoBack"/>
      <w:r w:rsidRPr="005B4878">
        <w:rPr>
          <w:i/>
          <w:u w:val="single"/>
        </w:rPr>
        <w:t>.</w:t>
      </w:r>
      <w:r w:rsidR="00ED2B9D" w:rsidRPr="005B4878">
        <w:rPr>
          <w:i/>
          <w:u w:val="single"/>
        </w:rPr>
        <w:t>2</w:t>
      </w:r>
      <w:r w:rsidRPr="005B4878">
        <w:rPr>
          <w:i/>
          <w:u w:val="single"/>
        </w:rPr>
        <w:t>5 hours</w:t>
      </w:r>
      <w:bookmarkEnd w:id="0"/>
    </w:p>
    <w:p w:rsidR="006D7A10" w:rsidRDefault="009E4BF9" w:rsidP="009E4BF9">
      <w:pPr>
        <w:rPr>
          <w:rFonts w:ascii="Times New Roman Italic" w:hAnsi="Times New Roman Italic"/>
          <w:i/>
        </w:rPr>
      </w:pPr>
      <w:r w:rsidRPr="006D7A10">
        <w:rPr>
          <w:rFonts w:ascii="Times New Roman Italic" w:hAnsi="Times New Roman Italic"/>
          <w:i/>
        </w:rPr>
        <w:tab/>
      </w:r>
      <w:r w:rsidR="006D7A10">
        <w:rPr>
          <w:rFonts w:ascii="Times New Roman Italic" w:hAnsi="Times New Roman Italic"/>
          <w:i/>
        </w:rPr>
        <w:t>Estimated Burden for Phase 4 Focus Group Administration</w:t>
      </w:r>
      <w:r w:rsidR="006D7A10">
        <w:rPr>
          <w:rFonts w:ascii="Times New Roman Italic" w:hAnsi="Times New Roman Italic"/>
          <w:i/>
        </w:rPr>
        <w:tab/>
      </w:r>
      <w:r w:rsidR="006D7A10">
        <w:rPr>
          <w:rFonts w:ascii="Times New Roman Italic" w:hAnsi="Times New Roman Italic"/>
          <w:i/>
        </w:rPr>
        <w:tab/>
      </w:r>
      <w:r w:rsidR="006D7A10">
        <w:rPr>
          <w:rFonts w:ascii="Times New Roman Italic" w:hAnsi="Times New Roman Italic"/>
          <w:i/>
        </w:rPr>
        <w:tab/>
        <w:t>1</w:t>
      </w:r>
      <w:r w:rsidR="007E6ADD">
        <w:rPr>
          <w:rFonts w:ascii="Times New Roman Italic" w:hAnsi="Times New Roman Italic"/>
          <w:i/>
        </w:rPr>
        <w:t>8</w:t>
      </w:r>
      <w:r w:rsidR="006D7A10">
        <w:rPr>
          <w:rFonts w:ascii="Times New Roman Italic" w:hAnsi="Times New Roman Italic"/>
          <w:i/>
        </w:rPr>
        <w:t>0 hours</w:t>
      </w:r>
    </w:p>
    <w:p w:rsidR="006D7A10" w:rsidRDefault="006D7A10" w:rsidP="009E4BF9">
      <w:pPr>
        <w:rPr>
          <w:rFonts w:ascii="Times New Roman Italic" w:hAnsi="Times New Roman Italic"/>
          <w:i/>
        </w:rPr>
      </w:pPr>
    </w:p>
    <w:p w:rsidR="009E4BF9" w:rsidRPr="006D7A10" w:rsidRDefault="009E4BF9" w:rsidP="006D7A10">
      <w:pPr>
        <w:ind w:firstLine="720"/>
        <w:rPr>
          <w:rFonts w:eastAsia="Times New Roman"/>
          <w:i/>
          <w:color w:val="auto"/>
          <w:szCs w:val="20"/>
        </w:rPr>
      </w:pPr>
      <w:r w:rsidRPr="006D7A10">
        <w:rPr>
          <w:rFonts w:ascii="Times New Roman Italic" w:hAnsi="Times New Roman Italic"/>
          <w:i/>
        </w:rPr>
        <w:t>Total Estimated Annual Burden</w:t>
      </w:r>
      <w:r w:rsidR="006D7A10">
        <w:rPr>
          <w:rFonts w:ascii="Times New Roman Italic" w:hAnsi="Times New Roman Italic"/>
          <w:i/>
        </w:rPr>
        <w:t xml:space="preserve"> for Phase 4</w:t>
      </w:r>
      <w:r w:rsidRPr="006D7A10">
        <w:rPr>
          <w:rFonts w:ascii="Times New Roman Italic" w:hAnsi="Times New Roman Italic"/>
          <w:i/>
        </w:rPr>
        <w:t>:</w:t>
      </w:r>
      <w:r w:rsidRPr="006D7A10">
        <w:rPr>
          <w:i/>
        </w:rPr>
        <w:t xml:space="preserve">  </w:t>
      </w:r>
      <w:r w:rsidR="006D7A10">
        <w:rPr>
          <w:i/>
        </w:rPr>
        <w:tab/>
      </w:r>
      <w:r w:rsidR="006D7A10">
        <w:rPr>
          <w:i/>
        </w:rPr>
        <w:tab/>
      </w:r>
      <w:r w:rsidR="006D7A10">
        <w:rPr>
          <w:i/>
        </w:rPr>
        <w:tab/>
      </w:r>
      <w:r w:rsidR="006D7A10">
        <w:rPr>
          <w:i/>
        </w:rPr>
        <w:tab/>
        <w:t>3</w:t>
      </w:r>
      <w:r w:rsidR="007E6ADD">
        <w:rPr>
          <w:i/>
        </w:rPr>
        <w:t>4</w:t>
      </w:r>
      <w:r w:rsidRPr="006D7A10">
        <w:rPr>
          <w:i/>
        </w:rPr>
        <w:t>0 hours</w:t>
      </w:r>
    </w:p>
    <w:p w:rsidR="009E4BF9" w:rsidRDefault="005712A5" w:rsidP="00EF4558">
      <w:pPr>
        <w:spacing w:before="200"/>
        <w:rPr>
          <w:rFonts w:eastAsia="Times New Roman"/>
          <w:color w:val="auto"/>
          <w:szCs w:val="20"/>
        </w:rPr>
      </w:pPr>
      <w:r>
        <w:rPr>
          <w:rFonts w:eastAsia="Times New Roman"/>
          <w:color w:val="auto"/>
          <w:szCs w:val="20"/>
        </w:rPr>
        <w:t>The total estimated burden for Phase 3 and Phase 4 combined</w:t>
      </w:r>
      <w:r w:rsidR="006D7A10">
        <w:rPr>
          <w:rFonts w:eastAsia="Times New Roman"/>
          <w:color w:val="auto"/>
          <w:szCs w:val="20"/>
        </w:rPr>
        <w:t xml:space="preserve"> is </w:t>
      </w:r>
      <w:r w:rsidR="007E6ADD">
        <w:rPr>
          <w:rFonts w:eastAsia="Times New Roman"/>
          <w:color w:val="auto"/>
          <w:szCs w:val="20"/>
        </w:rPr>
        <w:t>5</w:t>
      </w:r>
      <w:r w:rsidR="005523B4">
        <w:rPr>
          <w:rFonts w:eastAsia="Times New Roman"/>
          <w:color w:val="auto"/>
          <w:szCs w:val="20"/>
        </w:rPr>
        <w:t>3</w:t>
      </w:r>
      <w:r>
        <w:rPr>
          <w:rFonts w:eastAsia="Times New Roman"/>
          <w:color w:val="auto"/>
          <w:szCs w:val="20"/>
        </w:rPr>
        <w:t>0 hours.</w:t>
      </w:r>
    </w:p>
    <w:p w:rsidR="00EF4558" w:rsidRPr="00EF4558" w:rsidRDefault="00EF4558" w:rsidP="00EF4558">
      <w:pPr>
        <w:spacing w:before="200"/>
        <w:rPr>
          <w:rFonts w:eastAsia="Times New Roman"/>
          <w:color w:val="auto"/>
          <w:szCs w:val="20"/>
        </w:rPr>
      </w:pPr>
      <w:r w:rsidRPr="00EF4558">
        <w:rPr>
          <w:rFonts w:eastAsia="Times New Roman"/>
          <w:color w:val="auto"/>
          <w:szCs w:val="20"/>
        </w:rPr>
        <w:t>If you have any questions, please let me know.  Thank you for your consideration.</w:t>
      </w:r>
      <w:r w:rsidR="00E64FC7" w:rsidRPr="00EF4558" w:rsidDel="00E64FC7">
        <w:rPr>
          <w:rFonts w:eastAsia="Times New Roman"/>
          <w:color w:val="auto"/>
        </w:rPr>
        <w:t xml:space="preserve"> </w:t>
      </w:r>
    </w:p>
    <w:p w:rsidR="00BF402E" w:rsidRDefault="00BF402E">
      <w:pPr>
        <w:spacing w:after="200"/>
        <w:rPr>
          <w:rFonts w:eastAsia="Times New Roman"/>
          <w:color w:val="auto"/>
          <w:sz w:val="20"/>
          <w:lang w:bidi="x-none"/>
        </w:rPr>
      </w:pPr>
    </w:p>
    <w:sectPr w:rsidR="00BF402E">
      <w:headerReference w:type="even" r:id="rId7"/>
      <w:headerReference w:type="default" r:id="rId8"/>
      <w:headerReference w:type="first" r:id="rId9"/>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034" w:rsidRDefault="00234034">
      <w:r>
        <w:separator/>
      </w:r>
    </w:p>
  </w:endnote>
  <w:endnote w:type="continuationSeparator" w:id="0">
    <w:p w:rsidR="00234034" w:rsidRDefault="0023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Italic">
    <w:panose1 w:val="02020503050405090304"/>
    <w:charset w:val="00"/>
    <w:family w:val="roman"/>
    <w:pitch w:val="default"/>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034" w:rsidRDefault="00234034">
      <w:r>
        <w:separator/>
      </w:r>
    </w:p>
  </w:footnote>
  <w:footnote w:type="continuationSeparator" w:id="0">
    <w:p w:rsidR="00234034" w:rsidRDefault="00234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">
              <v:fill o:detectmouseclick="t"/>
              <w10:wrap anchorx="page" anchory="page"/>
            </v:line>
          </w:pict>
        </mc:Fallback>
      </mc:AlternateContent>
    </w:r>
    <w:r>
      <w:rPr>
        <w:noProof/>
      </w:rPr>
      <w:drawing>
        <wp:anchor distT="0" distB="0" distL="114300" distR="114300" simplePos="0" relativeHeight="251659776" behindDoc="1" locked="0" layoutInCell="1" allowOverlap="1">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rsidR="00BF402E" w:rsidRDefault="00BF402E">
                    <w:pPr>
                      <w:jc w:val="right"/>
                      <w:rPr>
                        <w:rFonts w:eastAsia="Times New Roman"/>
                        <w:color w:val="auto"/>
                        <w:sz w:val="20"/>
                        <w:lang w:bidi="x-none"/>
                      </w:rPr>
                    </w:pPr>
                    <w:r>
                      <w:rPr>
                        <w:rFonts w:ascii="Arial Narrow" w:hAnsi="Arial Narrow"/>
                        <w:sz w:val="18"/>
                      </w:rPr>
                      <w:t>Legal Division</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EF"/>
    <w:rsid w:val="00041821"/>
    <w:rsid w:val="00091AAF"/>
    <w:rsid w:val="000A1EA8"/>
    <w:rsid w:val="000B59D1"/>
    <w:rsid w:val="001011DA"/>
    <w:rsid w:val="00124D94"/>
    <w:rsid w:val="0018506F"/>
    <w:rsid w:val="001B770C"/>
    <w:rsid w:val="00217C61"/>
    <w:rsid w:val="00234034"/>
    <w:rsid w:val="00294C85"/>
    <w:rsid w:val="002969EF"/>
    <w:rsid w:val="00360D9B"/>
    <w:rsid w:val="003A31E1"/>
    <w:rsid w:val="003E0A8A"/>
    <w:rsid w:val="00423511"/>
    <w:rsid w:val="00471558"/>
    <w:rsid w:val="004A3101"/>
    <w:rsid w:val="004D08A6"/>
    <w:rsid w:val="005523B4"/>
    <w:rsid w:val="005712A5"/>
    <w:rsid w:val="00572D23"/>
    <w:rsid w:val="00592AE6"/>
    <w:rsid w:val="005B4878"/>
    <w:rsid w:val="0062607F"/>
    <w:rsid w:val="00634775"/>
    <w:rsid w:val="006D7A10"/>
    <w:rsid w:val="00737C13"/>
    <w:rsid w:val="00752659"/>
    <w:rsid w:val="007C7CD8"/>
    <w:rsid w:val="007E6ADD"/>
    <w:rsid w:val="008231A1"/>
    <w:rsid w:val="008D19B9"/>
    <w:rsid w:val="00936FDF"/>
    <w:rsid w:val="00995B1D"/>
    <w:rsid w:val="009A28D8"/>
    <w:rsid w:val="009B2F12"/>
    <w:rsid w:val="009E4BF9"/>
    <w:rsid w:val="009F7DE9"/>
    <w:rsid w:val="00A1338E"/>
    <w:rsid w:val="00A21AFE"/>
    <w:rsid w:val="00B61B73"/>
    <w:rsid w:val="00BA4D29"/>
    <w:rsid w:val="00BC7FFB"/>
    <w:rsid w:val="00BF402E"/>
    <w:rsid w:val="00C33312"/>
    <w:rsid w:val="00D2432A"/>
    <w:rsid w:val="00D43735"/>
    <w:rsid w:val="00D91F61"/>
    <w:rsid w:val="00DF0133"/>
    <w:rsid w:val="00E07CD5"/>
    <w:rsid w:val="00E21631"/>
    <w:rsid w:val="00E64FC7"/>
    <w:rsid w:val="00EA4629"/>
    <w:rsid w:val="00EC7D3E"/>
    <w:rsid w:val="00ED2B9D"/>
    <w:rsid w:val="00EF4558"/>
    <w:rsid w:val="00F06A97"/>
    <w:rsid w:val="00F46D50"/>
    <w:rsid w:val="00F529DB"/>
    <w:rsid w:val="00FC1FBC"/>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FDIC Macros Ver. 5.5</vt:lpstr>
    </vt:vector>
  </TitlesOfParts>
  <Company>FDIC</Company>
  <LinksUpToDate>false</LinksUpToDate>
  <CharactersWithSpaces>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FDIC Macros Ver. 5.5</dc:title>
  <dc:creator>gkuiper</dc:creator>
  <cp:lastModifiedBy>Kuiper, Gary</cp:lastModifiedBy>
  <cp:revision>2</cp:revision>
  <cp:lastPrinted>2015-10-30T20:49:00Z</cp:lastPrinted>
  <dcterms:created xsi:type="dcterms:W3CDTF">2015-10-30T20:49:00Z</dcterms:created>
  <dcterms:modified xsi:type="dcterms:W3CDTF">2015-10-30T20:49:00Z</dcterms:modified>
</cp:coreProperties>
</file>