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/>
    <w:p w:rsidR="00EF4558" w:rsidRPr="00C665AB" w:rsidRDefault="00EF4558" w:rsidP="00EF4558">
      <w:pPr>
        <w:tabs>
          <w:tab w:val="left" w:pos="5040"/>
        </w:tabs>
        <w:rPr>
          <w:rFonts w:eastAsia="Times New Roman"/>
          <w:color w:val="auto"/>
          <w:sz w:val="20"/>
          <w:szCs w:val="20"/>
        </w:rPr>
      </w:pPr>
      <w:r w:rsidRPr="00C665AB">
        <w:rPr>
          <w:rFonts w:eastAsia="Times New Roman"/>
          <w:color w:val="auto"/>
          <w:sz w:val="20"/>
          <w:szCs w:val="20"/>
        </w:rPr>
        <w:tab/>
      </w:r>
      <w:r w:rsidRPr="00C665AB">
        <w:rPr>
          <w:rFonts w:eastAsia="Times New Roman"/>
          <w:color w:val="auto"/>
          <w:sz w:val="20"/>
          <w:szCs w:val="20"/>
        </w:rPr>
        <w:tab/>
      </w:r>
      <w:r w:rsidR="00C665AB" w:rsidRPr="00C665AB">
        <w:rPr>
          <w:rFonts w:eastAsia="Times New Roman"/>
          <w:color w:val="auto"/>
          <w:sz w:val="20"/>
          <w:szCs w:val="20"/>
        </w:rPr>
        <w:t>February</w:t>
      </w:r>
      <w:r w:rsidR="001F0C8F" w:rsidRPr="00C665AB">
        <w:rPr>
          <w:rFonts w:eastAsia="Times New Roman"/>
          <w:color w:val="auto"/>
          <w:sz w:val="20"/>
          <w:szCs w:val="20"/>
        </w:rPr>
        <w:t xml:space="preserve"> </w:t>
      </w:r>
      <w:r w:rsidR="00C665AB" w:rsidRPr="00C665AB">
        <w:rPr>
          <w:rFonts w:eastAsia="Times New Roman"/>
          <w:color w:val="auto"/>
          <w:sz w:val="20"/>
          <w:szCs w:val="20"/>
        </w:rPr>
        <w:t>9</w:t>
      </w:r>
      <w:r w:rsidR="001F0C8F" w:rsidRPr="00C665AB">
        <w:rPr>
          <w:rFonts w:eastAsia="Times New Roman"/>
          <w:color w:val="auto"/>
          <w:sz w:val="20"/>
          <w:szCs w:val="20"/>
        </w:rPr>
        <w:t>, 2017</w:t>
      </w:r>
    </w:p>
    <w:p w:rsidR="00EF4558" w:rsidRPr="00C665AB" w:rsidRDefault="00EF4558" w:rsidP="00EF4558">
      <w:pPr>
        <w:tabs>
          <w:tab w:val="left" w:pos="5040"/>
        </w:tabs>
        <w:rPr>
          <w:rFonts w:eastAsia="Times New Roman"/>
          <w:color w:val="auto"/>
          <w:sz w:val="20"/>
          <w:szCs w:val="20"/>
        </w:rPr>
      </w:pPr>
    </w:p>
    <w:p w:rsidR="00EF4558" w:rsidRPr="00C665AB" w:rsidRDefault="00C665AB" w:rsidP="00EF4558">
      <w:pPr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MEMORANDUM</w:t>
      </w:r>
    </w:p>
    <w:p w:rsidR="00C665AB" w:rsidRDefault="00C665AB" w:rsidP="00EF4558">
      <w:pPr>
        <w:rPr>
          <w:rFonts w:eastAsia="Times New Roman"/>
          <w:color w:val="auto"/>
          <w:sz w:val="20"/>
          <w:szCs w:val="20"/>
        </w:rPr>
      </w:pPr>
    </w:p>
    <w:p w:rsidR="00EF4558" w:rsidRPr="00C665AB" w:rsidRDefault="00C665AB" w:rsidP="00EF4558">
      <w:pPr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TO:</w:t>
      </w:r>
      <w:r>
        <w:rPr>
          <w:rFonts w:eastAsia="Times New Roman"/>
          <w:color w:val="auto"/>
          <w:sz w:val="20"/>
          <w:szCs w:val="20"/>
        </w:rPr>
        <w:tab/>
      </w:r>
      <w:r>
        <w:rPr>
          <w:rFonts w:eastAsia="Times New Roman"/>
          <w:color w:val="auto"/>
          <w:sz w:val="20"/>
          <w:szCs w:val="20"/>
        </w:rPr>
        <w:tab/>
      </w:r>
      <w:r w:rsidR="00592AE6" w:rsidRPr="00C665AB">
        <w:rPr>
          <w:rFonts w:eastAsia="Times New Roman"/>
          <w:color w:val="auto"/>
          <w:sz w:val="20"/>
          <w:szCs w:val="20"/>
        </w:rPr>
        <w:t>Shagufta Ahmed</w:t>
      </w:r>
    </w:p>
    <w:p w:rsidR="00EF4558" w:rsidRPr="00C665AB" w:rsidRDefault="00EF4558" w:rsidP="00C665AB">
      <w:pPr>
        <w:ind w:left="720" w:firstLine="720"/>
        <w:rPr>
          <w:rFonts w:eastAsia="Times New Roman"/>
          <w:color w:val="auto"/>
          <w:sz w:val="20"/>
          <w:szCs w:val="20"/>
        </w:rPr>
      </w:pPr>
      <w:r w:rsidRPr="00C665AB">
        <w:rPr>
          <w:rFonts w:eastAsia="Times New Roman"/>
          <w:color w:val="auto"/>
          <w:sz w:val="20"/>
          <w:szCs w:val="20"/>
        </w:rPr>
        <w:t>Policy Analyst </w:t>
      </w:r>
    </w:p>
    <w:p w:rsidR="00EF4558" w:rsidRPr="00C665AB" w:rsidRDefault="00EF4558" w:rsidP="00C665AB">
      <w:pPr>
        <w:ind w:left="720" w:firstLine="720"/>
        <w:rPr>
          <w:rFonts w:eastAsia="Times New Roman"/>
          <w:color w:val="auto"/>
          <w:sz w:val="20"/>
          <w:szCs w:val="20"/>
        </w:rPr>
      </w:pPr>
      <w:r w:rsidRPr="00C665AB">
        <w:rPr>
          <w:rFonts w:eastAsia="Times New Roman"/>
          <w:color w:val="auto"/>
          <w:sz w:val="20"/>
          <w:szCs w:val="20"/>
        </w:rPr>
        <w:t>Office of Information and Regulatory Affairs</w:t>
      </w:r>
    </w:p>
    <w:p w:rsidR="00EF4558" w:rsidRPr="00C665AB" w:rsidRDefault="00EF4558" w:rsidP="00C665AB">
      <w:pPr>
        <w:ind w:left="720" w:firstLine="720"/>
        <w:rPr>
          <w:rFonts w:eastAsia="Times New Roman"/>
          <w:color w:val="auto"/>
          <w:sz w:val="20"/>
          <w:szCs w:val="20"/>
        </w:rPr>
      </w:pPr>
      <w:r w:rsidRPr="00C665AB">
        <w:rPr>
          <w:rFonts w:eastAsia="Times New Roman"/>
          <w:color w:val="auto"/>
          <w:sz w:val="20"/>
          <w:szCs w:val="20"/>
        </w:rPr>
        <w:t>Office of Management and Budget</w:t>
      </w:r>
    </w:p>
    <w:p w:rsidR="00EF4558" w:rsidRPr="00C665AB" w:rsidRDefault="00EF4558" w:rsidP="00EF4558">
      <w:pPr>
        <w:rPr>
          <w:rFonts w:eastAsia="Times New Roman"/>
          <w:color w:val="auto"/>
          <w:sz w:val="20"/>
          <w:szCs w:val="20"/>
        </w:rPr>
      </w:pPr>
      <w:r w:rsidRPr="00C665AB">
        <w:rPr>
          <w:rFonts w:eastAsia="Times New Roman"/>
          <w:color w:val="auto"/>
          <w:sz w:val="20"/>
          <w:szCs w:val="20"/>
        </w:rPr>
        <w:t> </w:t>
      </w:r>
    </w:p>
    <w:p w:rsidR="00EF4558" w:rsidRPr="00C665AB" w:rsidRDefault="00C665AB" w:rsidP="00EF4558">
      <w:pPr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FROM:</w:t>
      </w:r>
      <w:r>
        <w:rPr>
          <w:rFonts w:eastAsia="Times New Roman"/>
          <w:color w:val="auto"/>
          <w:sz w:val="20"/>
          <w:szCs w:val="20"/>
        </w:rPr>
        <w:tab/>
      </w:r>
      <w:r>
        <w:rPr>
          <w:rFonts w:eastAsia="Times New Roman"/>
          <w:color w:val="auto"/>
          <w:sz w:val="20"/>
          <w:szCs w:val="20"/>
        </w:rPr>
        <w:tab/>
      </w:r>
      <w:r w:rsidR="00D24551" w:rsidRPr="00C665AB">
        <w:rPr>
          <w:rFonts w:eastAsia="Times New Roman"/>
          <w:color w:val="auto"/>
          <w:sz w:val="20"/>
          <w:szCs w:val="20"/>
        </w:rPr>
        <w:t>Manuel E. Cabeza</w:t>
      </w:r>
    </w:p>
    <w:p w:rsidR="00EF4558" w:rsidRPr="00C665AB" w:rsidRDefault="00EF4558" w:rsidP="00C665AB">
      <w:pPr>
        <w:ind w:left="720" w:firstLine="720"/>
        <w:rPr>
          <w:rFonts w:eastAsia="Times New Roman"/>
          <w:color w:val="auto"/>
          <w:sz w:val="20"/>
          <w:szCs w:val="20"/>
        </w:rPr>
      </w:pPr>
      <w:r w:rsidRPr="00C665AB">
        <w:rPr>
          <w:rFonts w:eastAsia="Times New Roman"/>
          <w:color w:val="auto"/>
          <w:sz w:val="20"/>
          <w:szCs w:val="20"/>
        </w:rPr>
        <w:t>Counsel</w:t>
      </w:r>
    </w:p>
    <w:p w:rsidR="00EF4558" w:rsidRPr="00C665AB" w:rsidRDefault="00EF4558" w:rsidP="00C665AB">
      <w:pPr>
        <w:ind w:left="720" w:firstLine="720"/>
        <w:rPr>
          <w:rFonts w:eastAsia="Times New Roman"/>
          <w:color w:val="auto"/>
          <w:sz w:val="20"/>
          <w:szCs w:val="20"/>
        </w:rPr>
      </w:pPr>
      <w:r w:rsidRPr="00C665AB">
        <w:rPr>
          <w:rFonts w:eastAsia="Times New Roman"/>
          <w:color w:val="auto"/>
          <w:sz w:val="20"/>
          <w:szCs w:val="20"/>
        </w:rPr>
        <w:t>Federal Deposit Insurance Corporation</w:t>
      </w:r>
    </w:p>
    <w:p w:rsidR="00EF4558" w:rsidRPr="00C665AB" w:rsidRDefault="00EF4558" w:rsidP="00EF4558">
      <w:pPr>
        <w:rPr>
          <w:rFonts w:eastAsia="Times New Roman"/>
          <w:color w:val="auto"/>
          <w:sz w:val="20"/>
          <w:szCs w:val="20"/>
        </w:rPr>
      </w:pPr>
    </w:p>
    <w:p w:rsidR="008D19B9" w:rsidRPr="00C665AB" w:rsidRDefault="00EF4558" w:rsidP="00EF4558">
      <w:pPr>
        <w:spacing w:before="240"/>
        <w:rPr>
          <w:rFonts w:eastAsia="Calibri"/>
          <w:color w:val="auto"/>
          <w:sz w:val="20"/>
          <w:szCs w:val="20"/>
        </w:rPr>
      </w:pPr>
      <w:r w:rsidRPr="00C665AB">
        <w:rPr>
          <w:rFonts w:eastAsia="Calibri"/>
          <w:color w:val="auto"/>
          <w:sz w:val="20"/>
          <w:szCs w:val="20"/>
        </w:rPr>
        <w:t xml:space="preserve">RE:  </w:t>
      </w:r>
      <w:r w:rsidR="00C665AB" w:rsidRPr="00C665AB">
        <w:rPr>
          <w:rFonts w:eastAsia="Calibri"/>
          <w:sz w:val="20"/>
          <w:szCs w:val="20"/>
        </w:rPr>
        <w:t xml:space="preserve">Money Smart for Adults </w:t>
      </w:r>
      <w:r w:rsidR="00C665AB" w:rsidRPr="00C665AB">
        <w:rPr>
          <w:rFonts w:eastAsia="Calibri"/>
          <w:sz w:val="20"/>
          <w:szCs w:val="20"/>
        </w:rPr>
        <w:t>I</w:t>
      </w:r>
      <w:r w:rsidR="00C665AB" w:rsidRPr="00C665AB">
        <w:rPr>
          <w:rFonts w:eastAsia="Calibri"/>
          <w:sz w:val="20"/>
          <w:szCs w:val="20"/>
        </w:rPr>
        <w:t xml:space="preserve">nstructor-led </w:t>
      </w:r>
      <w:r w:rsidR="00C665AB" w:rsidRPr="00C665AB">
        <w:rPr>
          <w:rFonts w:eastAsia="Calibri"/>
          <w:sz w:val="20"/>
          <w:szCs w:val="20"/>
        </w:rPr>
        <w:t>C</w:t>
      </w:r>
      <w:r w:rsidR="00C665AB" w:rsidRPr="00C665AB">
        <w:rPr>
          <w:rFonts w:eastAsia="Calibri"/>
          <w:sz w:val="20"/>
          <w:szCs w:val="20"/>
        </w:rPr>
        <w:t>urriculum</w:t>
      </w:r>
      <w:r w:rsidR="00C665AB" w:rsidRPr="00C665AB">
        <w:rPr>
          <w:rFonts w:eastAsia="Calibri"/>
          <w:sz w:val="20"/>
          <w:szCs w:val="20"/>
        </w:rPr>
        <w:t xml:space="preserve"> Focus Groups</w:t>
      </w:r>
    </w:p>
    <w:p w:rsidR="00C665AB" w:rsidRPr="00C665AB" w:rsidRDefault="00C665AB" w:rsidP="00C665AB">
      <w:pPr>
        <w:spacing w:before="200"/>
        <w:rPr>
          <w:rFonts w:eastAsia="Calibri"/>
          <w:color w:val="auto"/>
          <w:sz w:val="20"/>
          <w:szCs w:val="20"/>
        </w:rPr>
      </w:pPr>
      <w:r w:rsidRPr="00C665AB">
        <w:rPr>
          <w:rFonts w:eastAsia="Calibri"/>
          <w:color w:val="auto"/>
          <w:sz w:val="20"/>
          <w:szCs w:val="20"/>
        </w:rPr>
        <w:t>Under the generic clearance entitled, “Occasional Qualitative Surveys” (3064-0127), the FDIC hereby submits for OMB review and approval our plans for conducting four focus groups</w:t>
      </w:r>
      <w:proofErr w:type="gramStart"/>
      <w:r w:rsidRPr="00C665AB">
        <w:rPr>
          <w:rFonts w:eastAsia="Calibri"/>
          <w:color w:val="auto"/>
          <w:sz w:val="20"/>
          <w:szCs w:val="20"/>
        </w:rPr>
        <w:t xml:space="preserve">. </w:t>
      </w:r>
      <w:proofErr w:type="gramEnd"/>
      <w:r w:rsidRPr="00C665AB">
        <w:rPr>
          <w:rFonts w:eastAsia="Calibri"/>
          <w:color w:val="auto"/>
          <w:sz w:val="20"/>
          <w:szCs w:val="20"/>
        </w:rPr>
        <w:t>Each of the groups will consist of six to eight financial educators who are users or potential users of our Money Smart for Adults instructor-led curriculum who have volunteered to take part in this research</w:t>
      </w:r>
      <w:proofErr w:type="gramStart"/>
      <w:r w:rsidRPr="00C665AB">
        <w:rPr>
          <w:rFonts w:eastAsia="Calibri"/>
          <w:color w:val="auto"/>
          <w:sz w:val="20"/>
          <w:szCs w:val="20"/>
        </w:rPr>
        <w:t xml:space="preserve">. </w:t>
      </w:r>
      <w:proofErr w:type="gramEnd"/>
      <w:r w:rsidRPr="00C665AB">
        <w:rPr>
          <w:rFonts w:eastAsia="Calibri"/>
          <w:color w:val="auto"/>
          <w:sz w:val="20"/>
          <w:szCs w:val="20"/>
        </w:rPr>
        <w:t>Money Smart is FDIC’s comprehensive financial education curriculum designed to help low- and moderate-income individuals outside the financial mainstream enhance their financial skills and create positive banking relationships</w:t>
      </w:r>
      <w:proofErr w:type="gramStart"/>
      <w:r w:rsidRPr="00C665AB">
        <w:rPr>
          <w:rFonts w:eastAsia="Calibri"/>
          <w:color w:val="auto"/>
          <w:sz w:val="20"/>
          <w:szCs w:val="20"/>
        </w:rPr>
        <w:t xml:space="preserve">. </w:t>
      </w:r>
      <w:proofErr w:type="gramEnd"/>
      <w:r w:rsidRPr="00C665AB">
        <w:rPr>
          <w:rFonts w:eastAsia="Calibri"/>
          <w:color w:val="auto"/>
          <w:sz w:val="20"/>
          <w:szCs w:val="20"/>
        </w:rPr>
        <w:t>These focus groups continue the FDIC practice of using qualitative information to help make quality improvements to our products and services.</w:t>
      </w:r>
    </w:p>
    <w:p w:rsidR="00C665AB" w:rsidRPr="00C665AB" w:rsidRDefault="00C665AB" w:rsidP="00C665AB">
      <w:pPr>
        <w:spacing w:before="200"/>
        <w:rPr>
          <w:rFonts w:eastAsia="Calibri"/>
          <w:color w:val="auto"/>
          <w:sz w:val="20"/>
          <w:szCs w:val="20"/>
        </w:rPr>
      </w:pPr>
      <w:r w:rsidRPr="00C665AB">
        <w:rPr>
          <w:rFonts w:eastAsia="Calibri"/>
          <w:color w:val="auto"/>
          <w:sz w:val="20"/>
          <w:szCs w:val="20"/>
        </w:rPr>
        <w:t>The purpose of these 90-minute focus groups is to collect information from users and potential users of FDIC’s Money Smart for Adults instructor-led curriculum about its strengths and weaknesses, as well as ways that the curriculum could be improved to make it more useful and effective</w:t>
      </w:r>
      <w:proofErr w:type="gramStart"/>
      <w:r w:rsidRPr="00C665AB">
        <w:rPr>
          <w:rFonts w:eastAsia="Calibri"/>
          <w:color w:val="auto"/>
          <w:sz w:val="20"/>
          <w:szCs w:val="20"/>
        </w:rPr>
        <w:t xml:space="preserve">. </w:t>
      </w:r>
      <w:proofErr w:type="gramEnd"/>
      <w:r w:rsidRPr="00C665AB">
        <w:rPr>
          <w:rFonts w:eastAsia="Calibri"/>
          <w:color w:val="auto"/>
          <w:sz w:val="20"/>
          <w:szCs w:val="20"/>
        </w:rPr>
        <w:t xml:space="preserve">The information that is collected through these focus groups will inform the FDIC’s current effort to review and improve its Money Smart for Adults instructor-led curriculum. </w:t>
      </w:r>
    </w:p>
    <w:p w:rsidR="00C665AB" w:rsidRPr="00C665AB" w:rsidRDefault="00C665AB" w:rsidP="00C665AB">
      <w:pPr>
        <w:spacing w:before="200"/>
        <w:rPr>
          <w:rFonts w:eastAsia="Calibri"/>
          <w:color w:val="auto"/>
          <w:sz w:val="20"/>
          <w:szCs w:val="20"/>
        </w:rPr>
      </w:pPr>
      <w:proofErr w:type="gramStart"/>
      <w:r w:rsidRPr="00C665AB">
        <w:rPr>
          <w:rFonts w:eastAsia="Calibri"/>
          <w:color w:val="auto"/>
          <w:sz w:val="20"/>
          <w:szCs w:val="20"/>
        </w:rPr>
        <w:t>The topics that will be covered in each of the four focus groups include (a) participants’ current use of Money Smart for Adults and non-Money Smart programs in their financial education work; (b) perceived strengths of the Money Smart for Adults program, and aspects of the program that should be left intact; (c) recommended improvements to the program in terms of its financial content, format, and structure; and (d) participants’ experiences using Money Smart for Adults to train individuals with disabilities and feedback on how the FDIC could make the curriculum more effective for that audience.</w:t>
      </w:r>
      <w:proofErr w:type="gramEnd"/>
      <w:r w:rsidRPr="00C665AB">
        <w:rPr>
          <w:rFonts w:eastAsia="Calibri"/>
          <w:color w:val="auto"/>
          <w:sz w:val="20"/>
          <w:szCs w:val="20"/>
        </w:rPr>
        <w:t xml:space="preserve"> </w:t>
      </w:r>
    </w:p>
    <w:p w:rsidR="00C665AB" w:rsidRPr="00C665AB" w:rsidRDefault="00C665AB" w:rsidP="00C665AB">
      <w:pPr>
        <w:spacing w:before="200"/>
        <w:rPr>
          <w:rFonts w:eastAsia="Calibri"/>
          <w:color w:val="auto"/>
          <w:sz w:val="20"/>
          <w:szCs w:val="20"/>
        </w:rPr>
      </w:pPr>
      <w:r w:rsidRPr="00C665AB">
        <w:rPr>
          <w:rFonts w:eastAsia="Calibri"/>
          <w:color w:val="auto"/>
          <w:sz w:val="20"/>
          <w:szCs w:val="20"/>
        </w:rPr>
        <w:t>Findings from these focus groups will be used by the FDIC to inform its decisions about how to revise its Money Smart for Adults instructor-led curriculum.</w:t>
      </w:r>
    </w:p>
    <w:p w:rsidR="00C665AB" w:rsidRPr="00C665AB" w:rsidRDefault="00C665AB" w:rsidP="00C665AB">
      <w:pPr>
        <w:spacing w:before="200"/>
        <w:rPr>
          <w:rFonts w:eastAsia="Calibri"/>
          <w:color w:val="auto"/>
          <w:sz w:val="20"/>
          <w:szCs w:val="20"/>
        </w:rPr>
      </w:pPr>
      <w:r w:rsidRPr="00C665AB">
        <w:rPr>
          <w:rFonts w:eastAsia="Calibri"/>
          <w:color w:val="auto"/>
          <w:sz w:val="20"/>
          <w:szCs w:val="20"/>
        </w:rPr>
        <w:t>The estimated burden is set out below:</w:t>
      </w:r>
    </w:p>
    <w:p w:rsidR="00C665AB" w:rsidRPr="00C665AB" w:rsidRDefault="00C665AB" w:rsidP="00C665AB">
      <w:pPr>
        <w:spacing w:before="200"/>
        <w:rPr>
          <w:rFonts w:eastAsia="Calibri"/>
          <w:color w:val="auto"/>
          <w:sz w:val="20"/>
          <w:szCs w:val="20"/>
        </w:rPr>
      </w:pPr>
      <w:r w:rsidRPr="00C665AB">
        <w:rPr>
          <w:rFonts w:eastAsia="Calibri"/>
          <w:color w:val="auto"/>
          <w:sz w:val="20"/>
          <w:szCs w:val="20"/>
        </w:rPr>
        <w:tab/>
      </w:r>
      <w:r w:rsidRPr="00C665AB">
        <w:rPr>
          <w:rFonts w:eastAsia="Calibri"/>
          <w:i/>
          <w:color w:val="auto"/>
          <w:sz w:val="20"/>
          <w:szCs w:val="20"/>
        </w:rPr>
        <w:t>Estimated Number of Respondents:</w:t>
      </w:r>
      <w:r w:rsidRPr="00C665AB">
        <w:rPr>
          <w:rFonts w:eastAsia="Calibri"/>
          <w:color w:val="auto"/>
          <w:sz w:val="20"/>
          <w:szCs w:val="20"/>
        </w:rPr>
        <w:t xml:space="preserve">  </w:t>
      </w:r>
      <w:r w:rsidRPr="00C665AB">
        <w:rPr>
          <w:rFonts w:eastAsia="Calibri"/>
          <w:color w:val="auto"/>
          <w:sz w:val="20"/>
          <w:szCs w:val="20"/>
        </w:rPr>
        <w:tab/>
        <w:t xml:space="preserve">32  </w:t>
      </w:r>
    </w:p>
    <w:p w:rsidR="00C665AB" w:rsidRPr="00C665AB" w:rsidRDefault="00C665AB" w:rsidP="00C665AB">
      <w:pPr>
        <w:spacing w:before="200"/>
        <w:rPr>
          <w:rFonts w:eastAsia="Calibri"/>
          <w:i/>
          <w:color w:val="auto"/>
          <w:sz w:val="20"/>
          <w:szCs w:val="20"/>
        </w:rPr>
      </w:pPr>
      <w:r w:rsidRPr="00C665AB">
        <w:rPr>
          <w:rFonts w:eastAsia="Calibri"/>
          <w:i/>
          <w:color w:val="auto"/>
          <w:sz w:val="20"/>
          <w:szCs w:val="20"/>
        </w:rPr>
        <w:tab/>
        <w:t xml:space="preserve">Estimated Time per Response:  </w:t>
      </w:r>
      <w:r w:rsidRPr="00C665AB"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 w:rsidRPr="00C665AB">
        <w:rPr>
          <w:rFonts w:eastAsia="Calibri"/>
          <w:color w:val="auto"/>
          <w:sz w:val="20"/>
          <w:szCs w:val="20"/>
        </w:rPr>
        <w:t>90 minutes</w:t>
      </w:r>
    </w:p>
    <w:p w:rsidR="00C665AB" w:rsidRPr="00C665AB" w:rsidRDefault="00C665AB" w:rsidP="00C665AB">
      <w:pPr>
        <w:spacing w:before="200"/>
        <w:rPr>
          <w:rFonts w:eastAsia="Calibri"/>
          <w:color w:val="auto"/>
          <w:sz w:val="20"/>
          <w:szCs w:val="20"/>
        </w:rPr>
      </w:pPr>
      <w:r w:rsidRPr="00C665AB">
        <w:rPr>
          <w:rFonts w:eastAsia="Calibri"/>
          <w:i/>
          <w:color w:val="auto"/>
          <w:sz w:val="20"/>
          <w:szCs w:val="20"/>
        </w:rPr>
        <w:tab/>
        <w:t>Frequency of Response:</w:t>
      </w:r>
      <w:r w:rsidRPr="00C665AB">
        <w:rPr>
          <w:rFonts w:eastAsia="Calibri"/>
          <w:color w:val="auto"/>
          <w:sz w:val="20"/>
          <w:szCs w:val="20"/>
        </w:rPr>
        <w:t xml:space="preserve"> </w:t>
      </w:r>
      <w:r w:rsidRPr="00C665AB">
        <w:rPr>
          <w:rFonts w:eastAsia="Calibri"/>
          <w:color w:val="auto"/>
          <w:sz w:val="20"/>
          <w:szCs w:val="20"/>
        </w:rPr>
        <w:tab/>
      </w:r>
      <w:r w:rsidRPr="00C665AB"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 w:rsidRPr="00C665AB">
        <w:rPr>
          <w:rFonts w:eastAsia="Calibri"/>
          <w:color w:val="auto"/>
          <w:sz w:val="20"/>
          <w:szCs w:val="20"/>
        </w:rPr>
        <w:t>Once</w:t>
      </w:r>
    </w:p>
    <w:p w:rsidR="00C665AB" w:rsidRPr="00C665AB" w:rsidRDefault="00C665AB" w:rsidP="00C665AB">
      <w:pPr>
        <w:spacing w:before="200"/>
        <w:rPr>
          <w:rFonts w:eastAsia="Calibri"/>
          <w:color w:val="auto"/>
          <w:sz w:val="20"/>
          <w:szCs w:val="20"/>
        </w:rPr>
      </w:pPr>
      <w:r w:rsidRPr="00C665AB">
        <w:rPr>
          <w:rFonts w:eastAsia="Calibri"/>
          <w:i/>
          <w:color w:val="auto"/>
          <w:sz w:val="20"/>
          <w:szCs w:val="20"/>
        </w:rPr>
        <w:tab/>
        <w:t>Total estimated annual burden:</w:t>
      </w:r>
      <w:r w:rsidRPr="00C665AB">
        <w:rPr>
          <w:rFonts w:eastAsia="Calibri"/>
          <w:color w:val="auto"/>
          <w:sz w:val="20"/>
          <w:szCs w:val="20"/>
        </w:rPr>
        <w:t xml:space="preserve">  </w:t>
      </w:r>
      <w:r w:rsidRPr="00C665AB"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 w:rsidRPr="00C665AB">
        <w:rPr>
          <w:rFonts w:eastAsia="Calibri"/>
          <w:color w:val="auto"/>
          <w:sz w:val="20"/>
          <w:szCs w:val="20"/>
        </w:rPr>
        <w:t>48 hours</w:t>
      </w:r>
    </w:p>
    <w:p w:rsidR="00C665AB" w:rsidRPr="00C665AB" w:rsidRDefault="00C665AB" w:rsidP="00C665AB">
      <w:pPr>
        <w:spacing w:before="200"/>
        <w:rPr>
          <w:rFonts w:eastAsia="Calibri"/>
          <w:color w:val="auto"/>
          <w:sz w:val="20"/>
          <w:szCs w:val="20"/>
        </w:rPr>
      </w:pPr>
    </w:p>
    <w:p w:rsidR="00BF402E" w:rsidRPr="00C665AB" w:rsidRDefault="00C665AB" w:rsidP="00C665AB">
      <w:pPr>
        <w:spacing w:before="200"/>
        <w:rPr>
          <w:rFonts w:eastAsia="Times New Roman"/>
          <w:color w:val="auto"/>
          <w:sz w:val="20"/>
          <w:szCs w:val="20"/>
        </w:rPr>
      </w:pPr>
      <w:r w:rsidRPr="00C665AB">
        <w:rPr>
          <w:rFonts w:eastAsia="Calibri"/>
          <w:color w:val="auto"/>
          <w:sz w:val="20"/>
          <w:szCs w:val="20"/>
        </w:rPr>
        <w:t>Your expeditious response to this request would be appreciated</w:t>
      </w:r>
      <w:proofErr w:type="gramStart"/>
      <w:r w:rsidRPr="00C665AB">
        <w:rPr>
          <w:rFonts w:eastAsia="Calibri"/>
          <w:color w:val="auto"/>
          <w:sz w:val="20"/>
          <w:szCs w:val="20"/>
        </w:rPr>
        <w:t xml:space="preserve">. </w:t>
      </w:r>
      <w:proofErr w:type="gramEnd"/>
      <w:r w:rsidRPr="00C665AB">
        <w:rPr>
          <w:rFonts w:eastAsia="Calibri"/>
          <w:color w:val="auto"/>
          <w:sz w:val="20"/>
          <w:szCs w:val="20"/>
        </w:rPr>
        <w:t>If you have any questions, please let me know.  Thank you for your consideration.</w:t>
      </w:r>
      <w:bookmarkStart w:id="0" w:name="_GoBack"/>
      <w:bookmarkEnd w:id="0"/>
    </w:p>
    <w:sectPr w:rsidR="00BF402E" w:rsidRPr="00C66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77" w:rsidRDefault="005D7477">
      <w:r>
        <w:separator/>
      </w:r>
    </w:p>
  </w:endnote>
  <w:endnote w:type="continuationSeparator" w:id="0">
    <w:p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77" w:rsidRDefault="005D7477">
      <w:r>
        <w:separator/>
      </w:r>
    </w:p>
  </w:footnote>
  <w:footnote w:type="continuationSeparator" w:id="0">
    <w:p w:rsidR="005D7477" w:rsidRDefault="005D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Legal Division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91AAF"/>
    <w:rsid w:val="000A1EA8"/>
    <w:rsid w:val="000B59D1"/>
    <w:rsid w:val="001011DA"/>
    <w:rsid w:val="00124D94"/>
    <w:rsid w:val="0018506F"/>
    <w:rsid w:val="001A2298"/>
    <w:rsid w:val="001B770C"/>
    <w:rsid w:val="001C77DF"/>
    <w:rsid w:val="001F0C8F"/>
    <w:rsid w:val="002151CA"/>
    <w:rsid w:val="00217C61"/>
    <w:rsid w:val="00234034"/>
    <w:rsid w:val="00294C85"/>
    <w:rsid w:val="002969EF"/>
    <w:rsid w:val="00360D9B"/>
    <w:rsid w:val="003A31E1"/>
    <w:rsid w:val="003C01EF"/>
    <w:rsid w:val="003D321B"/>
    <w:rsid w:val="003E0A8A"/>
    <w:rsid w:val="00423511"/>
    <w:rsid w:val="00471558"/>
    <w:rsid w:val="004A2C97"/>
    <w:rsid w:val="004A3101"/>
    <w:rsid w:val="004A49E7"/>
    <w:rsid w:val="004D08A6"/>
    <w:rsid w:val="004D377C"/>
    <w:rsid w:val="00506AFA"/>
    <w:rsid w:val="005523B4"/>
    <w:rsid w:val="005712A5"/>
    <w:rsid w:val="00572D23"/>
    <w:rsid w:val="00592AE6"/>
    <w:rsid w:val="005B4878"/>
    <w:rsid w:val="005D7477"/>
    <w:rsid w:val="006135A6"/>
    <w:rsid w:val="0062607F"/>
    <w:rsid w:val="00634775"/>
    <w:rsid w:val="006D7A10"/>
    <w:rsid w:val="00737C13"/>
    <w:rsid w:val="00752659"/>
    <w:rsid w:val="007C7CD8"/>
    <w:rsid w:val="007E6ADD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026B6"/>
    <w:rsid w:val="00A1338E"/>
    <w:rsid w:val="00A21AFE"/>
    <w:rsid w:val="00A34542"/>
    <w:rsid w:val="00B61B73"/>
    <w:rsid w:val="00BA4D29"/>
    <w:rsid w:val="00BC7FFB"/>
    <w:rsid w:val="00BF402E"/>
    <w:rsid w:val="00C33312"/>
    <w:rsid w:val="00C665AB"/>
    <w:rsid w:val="00CD0E8C"/>
    <w:rsid w:val="00D2432A"/>
    <w:rsid w:val="00D24551"/>
    <w:rsid w:val="00D43735"/>
    <w:rsid w:val="00D91F61"/>
    <w:rsid w:val="00DF0133"/>
    <w:rsid w:val="00E07CD5"/>
    <w:rsid w:val="00E21631"/>
    <w:rsid w:val="00E64FC7"/>
    <w:rsid w:val="00EA4629"/>
    <w:rsid w:val="00EC7D3E"/>
    <w:rsid w:val="00ED2B9D"/>
    <w:rsid w:val="00EF4558"/>
    <w:rsid w:val="00F06A97"/>
    <w:rsid w:val="00F46D50"/>
    <w:rsid w:val="00F529DB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2017-02-09T19:11:00Z</dcterms:created>
  <dcterms:modified xsi:type="dcterms:W3CDTF">2017-02-09T19:11:00Z</dcterms:modified>
</cp:coreProperties>
</file>