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17" w:rsidRPr="00F60117" w:rsidRDefault="00F60117" w:rsidP="00F60117">
      <w:pPr>
        <w:rPr>
          <w:rFonts w:eastAsia="Times New Roman"/>
          <w:color w:val="auto"/>
          <w:szCs w:val="20"/>
        </w:rPr>
      </w:pPr>
      <w:bookmarkStart w:id="0" w:name="_GoBack"/>
      <w:bookmarkEnd w:id="0"/>
      <w:r w:rsidRPr="00F60117">
        <w:rPr>
          <w:rFonts w:eastAsia="Times New Roman"/>
          <w:color w:val="auto"/>
          <w:szCs w:val="20"/>
        </w:rPr>
        <w:tab/>
      </w:r>
      <w:r w:rsidRPr="00F60117">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sidRPr="00F60117">
        <w:rPr>
          <w:rFonts w:eastAsia="Times New Roman"/>
          <w:color w:val="auto"/>
          <w:szCs w:val="20"/>
        </w:rPr>
        <w:t xml:space="preserve">June </w:t>
      </w:r>
      <w:r>
        <w:rPr>
          <w:rFonts w:eastAsia="Times New Roman"/>
          <w:color w:val="auto"/>
          <w:szCs w:val="20"/>
        </w:rPr>
        <w:t>11</w:t>
      </w:r>
      <w:r w:rsidRPr="00F60117">
        <w:rPr>
          <w:rFonts w:eastAsia="Times New Roman"/>
          <w:color w:val="auto"/>
          <w:szCs w:val="20"/>
        </w:rPr>
        <w:t>, 2019</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w:t>
      </w:r>
    </w:p>
    <w:p w:rsidR="00F60117" w:rsidRPr="00F60117" w:rsidRDefault="00F60117" w:rsidP="00F60117">
      <w:pPr>
        <w:rPr>
          <w:rFonts w:eastAsia="Times New Roman"/>
          <w:color w:val="auto"/>
          <w:szCs w:val="20"/>
        </w:rPr>
      </w:pPr>
      <w:r w:rsidRPr="00F60117">
        <w:rPr>
          <w:rFonts w:eastAsia="Times New Roman"/>
          <w:color w:val="auto"/>
          <w:szCs w:val="20"/>
        </w:rPr>
        <w:t>Memorandum to:</w:t>
      </w:r>
      <w:r w:rsidRPr="00F60117">
        <w:rPr>
          <w:rFonts w:eastAsia="Times New Roman"/>
          <w:color w:val="auto"/>
          <w:szCs w:val="20"/>
        </w:rPr>
        <w:tab/>
      </w:r>
      <w:r>
        <w:rPr>
          <w:rFonts w:eastAsia="Times New Roman"/>
          <w:color w:val="auto"/>
          <w:szCs w:val="20"/>
        </w:rPr>
        <w:t>William E. Bestani</w:t>
      </w:r>
    </w:p>
    <w:p w:rsidR="00F60117" w:rsidRP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Policy Analyst</w:t>
      </w:r>
    </w:p>
    <w:p w:rsid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Office of Information and Regulatory Affairs</w:t>
      </w:r>
    </w:p>
    <w:p w:rsid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Office of Management and Budget</w:t>
      </w:r>
    </w:p>
    <w:p w:rsidR="00F60117" w:rsidRP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Executive Office of the President</w:t>
      </w:r>
      <w:r w:rsidRPr="00F60117">
        <w:rPr>
          <w:rFonts w:eastAsia="Times New Roman"/>
          <w:color w:val="auto"/>
          <w:szCs w:val="20"/>
        </w:rPr>
        <w:t>                            </w:t>
      </w:r>
      <w:r w:rsidRPr="00F60117">
        <w:rPr>
          <w:rFonts w:eastAsia="Times New Roman"/>
          <w:color w:val="auto"/>
          <w:szCs w:val="20"/>
        </w:rPr>
        <w:tab/>
      </w:r>
    </w:p>
    <w:p w:rsidR="00F60117" w:rsidRPr="00F60117" w:rsidRDefault="00F60117" w:rsidP="00F60117">
      <w:pPr>
        <w:rPr>
          <w:rFonts w:eastAsia="Times New Roman"/>
          <w:color w:val="auto"/>
          <w:szCs w:val="20"/>
        </w:rPr>
      </w:pPr>
      <w:r w:rsidRPr="00F60117">
        <w:rPr>
          <w:rFonts w:eastAsia="Times New Roman"/>
          <w:color w:val="auto"/>
          <w:szCs w:val="20"/>
        </w:rPr>
        <w:t>                                    </w:t>
      </w:r>
    </w:p>
    <w:p w:rsidR="00F60117" w:rsidRDefault="00F60117" w:rsidP="00F60117">
      <w:pPr>
        <w:rPr>
          <w:rFonts w:eastAsia="Times New Roman"/>
          <w:color w:val="auto"/>
          <w:szCs w:val="20"/>
        </w:rPr>
      </w:pPr>
      <w:r w:rsidRPr="00F60117">
        <w:rPr>
          <w:rFonts w:eastAsia="Times New Roman"/>
          <w:color w:val="auto"/>
          <w:szCs w:val="20"/>
        </w:rPr>
        <w:t>From:</w:t>
      </w: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Manny Cabeza</w:t>
      </w:r>
    </w:p>
    <w:p w:rsidR="00F60117" w:rsidRP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Regulatory Counsel</w:t>
      </w:r>
    </w:p>
    <w:p w:rsid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Assessments and Legislation Group</w:t>
      </w:r>
    </w:p>
    <w:p w:rsid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Legal Division</w:t>
      </w:r>
    </w:p>
    <w:p w:rsidR="00F60117" w:rsidRPr="00F60117" w:rsidRDefault="00F60117" w:rsidP="00F60117">
      <w:pPr>
        <w:ind w:left="1440" w:firstLine="720"/>
        <w:rPr>
          <w:rFonts w:eastAsia="Times New Roman"/>
          <w:color w:val="auto"/>
          <w:szCs w:val="20"/>
        </w:rPr>
      </w:pPr>
      <w:r>
        <w:rPr>
          <w:rFonts w:eastAsia="Times New Roman"/>
          <w:color w:val="auto"/>
          <w:szCs w:val="20"/>
        </w:rPr>
        <w:t>Federal Deposit Insurance Corporation</w:t>
      </w:r>
      <w:r w:rsidRPr="00F60117">
        <w:rPr>
          <w:rFonts w:eastAsia="Times New Roman"/>
          <w:color w:val="auto"/>
          <w:szCs w:val="20"/>
        </w:rPr>
        <w:t>      </w:t>
      </w:r>
    </w:p>
    <w:p w:rsidR="00F60117" w:rsidRP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t xml:space="preserve">      </w:t>
      </w:r>
    </w:p>
    <w:p w:rsidR="00F60117" w:rsidRPr="00F60117" w:rsidRDefault="00F60117" w:rsidP="00F60117">
      <w:pPr>
        <w:rPr>
          <w:rFonts w:eastAsia="Times New Roman"/>
          <w:color w:val="auto"/>
          <w:szCs w:val="20"/>
        </w:rPr>
      </w:pPr>
    </w:p>
    <w:p w:rsidR="00F60117" w:rsidRDefault="00F60117" w:rsidP="00F60117">
      <w:pPr>
        <w:rPr>
          <w:rFonts w:eastAsia="Times New Roman"/>
          <w:color w:val="auto"/>
          <w:szCs w:val="20"/>
          <w:u w:val="single"/>
        </w:rPr>
      </w:pPr>
      <w:r w:rsidRPr="00F60117">
        <w:rPr>
          <w:rFonts w:eastAsia="Times New Roman"/>
          <w:color w:val="auto"/>
          <w:szCs w:val="20"/>
        </w:rPr>
        <w:t xml:space="preserve">RE:  </w:t>
      </w:r>
      <w:r w:rsidRPr="00F60117">
        <w:rPr>
          <w:rFonts w:eastAsia="Times New Roman"/>
          <w:color w:val="auto"/>
          <w:szCs w:val="20"/>
          <w:u w:val="single"/>
        </w:rPr>
        <w:t>FDIC 2019 Post-Examination Survey (</w:t>
      </w:r>
      <w:r w:rsidR="0032261F">
        <w:rPr>
          <w:rFonts w:eastAsia="Times New Roman"/>
          <w:color w:val="auto"/>
          <w:szCs w:val="20"/>
          <w:u w:val="single"/>
        </w:rPr>
        <w:t xml:space="preserve">Joint </w:t>
      </w:r>
      <w:r w:rsidRPr="00F60117">
        <w:rPr>
          <w:rFonts w:eastAsia="Times New Roman"/>
          <w:color w:val="auto"/>
          <w:szCs w:val="20"/>
          <w:u w:val="single"/>
        </w:rPr>
        <w:t xml:space="preserve">Compliance </w:t>
      </w:r>
      <w:r w:rsidR="0032261F">
        <w:rPr>
          <w:rFonts w:eastAsia="Times New Roman"/>
          <w:color w:val="auto"/>
          <w:szCs w:val="20"/>
          <w:u w:val="single"/>
        </w:rPr>
        <w:t xml:space="preserve">and CRA </w:t>
      </w:r>
      <w:r w:rsidRPr="00F60117">
        <w:rPr>
          <w:rFonts w:eastAsia="Times New Roman"/>
          <w:color w:val="auto"/>
          <w:szCs w:val="20"/>
          <w:u w:val="single"/>
        </w:rPr>
        <w:t>Examination)</w:t>
      </w:r>
    </w:p>
    <w:p w:rsidR="00F60117" w:rsidRPr="00F60117" w:rsidRDefault="00F60117" w:rsidP="00F60117">
      <w:pPr>
        <w:rPr>
          <w:rFonts w:eastAsia="Times New Roman"/>
          <w:color w:val="auto"/>
          <w:szCs w:val="20"/>
        </w:rPr>
      </w:pPr>
    </w:p>
    <w:p w:rsidR="00F60117" w:rsidRDefault="00F60117" w:rsidP="00F60117">
      <w:pPr>
        <w:rPr>
          <w:rFonts w:eastAsia="Times New Roman"/>
          <w:color w:val="auto"/>
          <w:szCs w:val="20"/>
        </w:rPr>
      </w:pPr>
      <w:r w:rsidRPr="00F60117">
        <w:rPr>
          <w:rFonts w:eastAsia="Times New Roman"/>
          <w:color w:val="auto"/>
          <w:szCs w:val="20"/>
        </w:rPr>
        <w:t>Under FDIC</w:t>
      </w:r>
      <w:r w:rsidR="00AC7767">
        <w:rPr>
          <w:rFonts w:eastAsia="Times New Roman"/>
          <w:color w:val="auto"/>
          <w:szCs w:val="20"/>
        </w:rPr>
        <w:t>’s</w:t>
      </w:r>
      <w:r w:rsidRPr="00F60117">
        <w:rPr>
          <w:rFonts w:eastAsia="Times New Roman"/>
          <w:color w:val="auto"/>
          <w:szCs w:val="20"/>
        </w:rPr>
        <w:t xml:space="preserve"> “fast-track” generic clearance entitled “Occasional Qualitative Surveys” (3064-0127), the FDIC hereby submits for OMB review the generic survey “FDIC 2019 Post-Examination Survey</w:t>
      </w:r>
      <w:r w:rsidR="00AC7767">
        <w:rPr>
          <w:rFonts w:eastAsia="Times New Roman"/>
          <w:color w:val="auto"/>
          <w:szCs w:val="20"/>
        </w:rPr>
        <w:t xml:space="preserve"> (</w:t>
      </w:r>
      <w:r w:rsidR="0032261F">
        <w:rPr>
          <w:rFonts w:eastAsia="Times New Roman"/>
          <w:color w:val="auto"/>
          <w:szCs w:val="20"/>
        </w:rPr>
        <w:t xml:space="preserve">Joint </w:t>
      </w:r>
      <w:r w:rsidR="00AC7767">
        <w:rPr>
          <w:rFonts w:eastAsia="Times New Roman"/>
          <w:color w:val="auto"/>
          <w:szCs w:val="20"/>
        </w:rPr>
        <w:t xml:space="preserve">Compliance </w:t>
      </w:r>
      <w:r w:rsidR="0032261F">
        <w:rPr>
          <w:rFonts w:eastAsia="Times New Roman"/>
          <w:color w:val="auto"/>
          <w:szCs w:val="20"/>
        </w:rPr>
        <w:t xml:space="preserve">and CRA </w:t>
      </w:r>
      <w:r w:rsidR="00AC7767">
        <w:rPr>
          <w:rFonts w:eastAsia="Times New Roman"/>
          <w:color w:val="auto"/>
          <w:szCs w:val="20"/>
        </w:rPr>
        <w:t>Examination)</w:t>
      </w:r>
      <w:r w:rsidRPr="00F60117">
        <w:rPr>
          <w:rFonts w:eastAsia="Times New Roman"/>
          <w:color w:val="auto"/>
          <w:szCs w:val="20"/>
        </w:rPr>
        <w:t xml:space="preserve">.”  This survey will be transmitted to each financial institution after FDIC’s completion of a </w:t>
      </w:r>
      <w:r w:rsidR="0032261F">
        <w:rPr>
          <w:rFonts w:eastAsia="Times New Roman"/>
          <w:color w:val="auto"/>
          <w:szCs w:val="20"/>
        </w:rPr>
        <w:t>joint c</w:t>
      </w:r>
      <w:r w:rsidRPr="00F60117">
        <w:rPr>
          <w:rFonts w:eastAsia="Times New Roman"/>
          <w:color w:val="auto"/>
          <w:szCs w:val="20"/>
        </w:rPr>
        <w:t>ompliance</w:t>
      </w:r>
      <w:r w:rsidR="0032261F">
        <w:rPr>
          <w:rFonts w:eastAsia="Times New Roman"/>
          <w:color w:val="auto"/>
          <w:szCs w:val="20"/>
        </w:rPr>
        <w:t xml:space="preserve"> and Community Reinvestment Act (CRA)</w:t>
      </w:r>
      <w:r w:rsidRPr="00F60117">
        <w:rPr>
          <w:rFonts w:eastAsia="Times New Roman"/>
          <w:color w:val="auto"/>
          <w:szCs w:val="20"/>
        </w:rPr>
        <w:t xml:space="preserve"> examination to obtain feedback from these financial institutions regarding the </w:t>
      </w:r>
      <w:r w:rsidR="0032261F">
        <w:rPr>
          <w:rFonts w:eastAsia="Times New Roman"/>
          <w:color w:val="auto"/>
          <w:szCs w:val="20"/>
        </w:rPr>
        <w:t xml:space="preserve">joint </w:t>
      </w:r>
      <w:r w:rsidR="00AC7767">
        <w:rPr>
          <w:rFonts w:eastAsia="Times New Roman"/>
          <w:color w:val="auto"/>
          <w:szCs w:val="20"/>
        </w:rPr>
        <w:t>compliance</w:t>
      </w:r>
      <w:r w:rsidR="0032261F">
        <w:rPr>
          <w:rFonts w:eastAsia="Times New Roman"/>
          <w:color w:val="auto"/>
          <w:szCs w:val="20"/>
        </w:rPr>
        <w:t xml:space="preserve"> and CRA</w:t>
      </w:r>
      <w:r w:rsidR="00AC7767">
        <w:rPr>
          <w:rFonts w:eastAsia="Times New Roman"/>
          <w:color w:val="auto"/>
          <w:szCs w:val="20"/>
        </w:rPr>
        <w:t xml:space="preserve"> </w:t>
      </w:r>
      <w:r w:rsidRPr="00F60117">
        <w:rPr>
          <w:rFonts w:eastAsia="Times New Roman"/>
          <w:color w:val="auto"/>
          <w:szCs w:val="20"/>
        </w:rPr>
        <w:t>examination process.  The survey will be sent to a senior bank official after the examination is conducted.</w:t>
      </w:r>
    </w:p>
    <w:p w:rsidR="00AC7767" w:rsidRPr="00F60117" w:rsidRDefault="00AC776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The purpose of the survey is to gauge bankers’ views on the effectiveness and quality of the </w:t>
      </w:r>
      <w:r w:rsidR="0032261F">
        <w:rPr>
          <w:rFonts w:eastAsia="Times New Roman"/>
          <w:color w:val="auto"/>
          <w:szCs w:val="20"/>
        </w:rPr>
        <w:t xml:space="preserve">joint </w:t>
      </w:r>
      <w:r w:rsidR="00AC7767">
        <w:rPr>
          <w:rFonts w:eastAsia="Times New Roman"/>
          <w:color w:val="auto"/>
          <w:szCs w:val="20"/>
        </w:rPr>
        <w:t>compliance</w:t>
      </w:r>
      <w:r w:rsidR="0032261F">
        <w:rPr>
          <w:rFonts w:eastAsia="Times New Roman"/>
          <w:color w:val="auto"/>
          <w:szCs w:val="20"/>
        </w:rPr>
        <w:t xml:space="preserve"> and CRA</w:t>
      </w:r>
      <w:r w:rsidR="00AC7767">
        <w:rPr>
          <w:rFonts w:eastAsia="Times New Roman"/>
          <w:color w:val="auto"/>
          <w:szCs w:val="20"/>
        </w:rPr>
        <w:t xml:space="preserve"> </w:t>
      </w:r>
      <w:r w:rsidRPr="00F60117">
        <w:rPr>
          <w:rFonts w:eastAsia="Times New Roman"/>
          <w:color w:val="auto"/>
          <w:szCs w:val="20"/>
        </w:rPr>
        <w:t>examination, as well as to identify ways to improve the examination process.</w:t>
      </w:r>
      <w:r w:rsidR="0032261F">
        <w:rPr>
          <w:rFonts w:eastAsia="Times New Roman"/>
          <w:color w:val="auto"/>
          <w:szCs w:val="20"/>
        </w:rPr>
        <w:t xml:space="preserve"> </w:t>
      </w:r>
      <w:r w:rsidRPr="00F60117">
        <w:rPr>
          <w:rFonts w:eastAsia="Times New Roman"/>
          <w:color w:val="auto"/>
          <w:szCs w:val="20"/>
        </w:rPr>
        <w:t xml:space="preserve">Bankers will be asked to rate the efficiency of the pre-examination process; examiners’ professionalism and their understanding of the laws and regulations; </w:t>
      </w:r>
      <w:r w:rsidR="00AC7767">
        <w:rPr>
          <w:rFonts w:eastAsia="Times New Roman"/>
          <w:color w:val="auto"/>
          <w:szCs w:val="20"/>
        </w:rPr>
        <w:t xml:space="preserve">the </w:t>
      </w:r>
      <w:r w:rsidR="0032261F">
        <w:rPr>
          <w:rFonts w:eastAsia="Times New Roman"/>
          <w:color w:val="auto"/>
          <w:szCs w:val="20"/>
        </w:rPr>
        <w:t xml:space="preserve">joint </w:t>
      </w:r>
      <w:r w:rsidR="00AC7767">
        <w:rPr>
          <w:rFonts w:eastAsia="Times New Roman"/>
          <w:color w:val="auto"/>
          <w:szCs w:val="20"/>
        </w:rPr>
        <w:t xml:space="preserve">compliance </w:t>
      </w:r>
      <w:r w:rsidR="0032261F">
        <w:rPr>
          <w:rFonts w:eastAsia="Times New Roman"/>
          <w:color w:val="auto"/>
          <w:szCs w:val="20"/>
        </w:rPr>
        <w:t xml:space="preserve">and CRA </w:t>
      </w:r>
      <w:r w:rsidRPr="00F60117">
        <w:rPr>
          <w:rFonts w:eastAsia="Times New Roman"/>
          <w:color w:val="auto"/>
          <w:szCs w:val="20"/>
        </w:rPr>
        <w:t xml:space="preserve">examination process; and </w:t>
      </w:r>
      <w:r w:rsidR="0032261F">
        <w:rPr>
          <w:rFonts w:eastAsia="Times New Roman"/>
          <w:color w:val="auto"/>
          <w:szCs w:val="20"/>
        </w:rPr>
        <w:t xml:space="preserve">compliance/CRA </w:t>
      </w:r>
      <w:r w:rsidRPr="00F60117">
        <w:rPr>
          <w:rFonts w:eastAsia="Times New Roman"/>
          <w:color w:val="auto"/>
          <w:szCs w:val="20"/>
        </w:rPr>
        <w:t>examination report quality.  Bankers will also be allowed to provide feedback on any areas for improvement and will be given an option to have someone from the FDIC Office of the Ombudsman confidentially contact the institution about its recent examination or any other matters.</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The FDIC estimates that there will be approximately </w:t>
      </w:r>
      <w:r w:rsidR="0032261F">
        <w:rPr>
          <w:rFonts w:eastAsia="Times New Roman"/>
          <w:color w:val="auto"/>
          <w:szCs w:val="20"/>
        </w:rPr>
        <w:t>219</w:t>
      </w:r>
      <w:r w:rsidRPr="00F60117">
        <w:rPr>
          <w:rFonts w:eastAsia="Times New Roman"/>
          <w:color w:val="auto"/>
          <w:szCs w:val="20"/>
        </w:rPr>
        <w:t xml:space="preserve"> responses per quarter based on examination’s historical data.  </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i/>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i/>
          <w:color w:val="auto"/>
          <w:szCs w:val="20"/>
        </w:rPr>
        <w:t xml:space="preserve">Annual Estimated Number of respondents:    </w:t>
      </w:r>
      <w:r w:rsidR="0032261F">
        <w:rPr>
          <w:rFonts w:eastAsia="Times New Roman"/>
          <w:i/>
          <w:color w:val="auto"/>
          <w:szCs w:val="20"/>
        </w:rPr>
        <w:t>876</w:t>
      </w:r>
      <w:r w:rsidRPr="00F60117">
        <w:rPr>
          <w:rFonts w:eastAsia="Times New Roman"/>
          <w:i/>
          <w:color w:val="auto"/>
          <w:szCs w:val="20"/>
        </w:rPr>
        <w:t xml:space="preserve">  </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i/>
          <w:color w:val="auto"/>
          <w:szCs w:val="20"/>
        </w:rPr>
      </w:pPr>
      <w:r w:rsidRPr="00F60117">
        <w:rPr>
          <w:rFonts w:eastAsia="Times New Roman"/>
          <w:i/>
          <w:color w:val="auto"/>
          <w:szCs w:val="20"/>
        </w:rPr>
        <w:tab/>
      </w:r>
      <w:r w:rsidRPr="00F60117">
        <w:rPr>
          <w:rFonts w:eastAsia="Times New Roman"/>
          <w:i/>
          <w:color w:val="auto"/>
          <w:szCs w:val="20"/>
        </w:rPr>
        <w:tab/>
        <w:t xml:space="preserve">Estimated Time per response:                        </w:t>
      </w:r>
      <w:r w:rsidRPr="00F60117">
        <w:rPr>
          <w:rFonts w:eastAsia="Times New Roman"/>
          <w:i/>
          <w:color w:val="auto"/>
          <w:szCs w:val="20"/>
          <w:u w:val="single"/>
        </w:rPr>
        <w:t>45 minutes</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i/>
          <w:color w:val="auto"/>
          <w:szCs w:val="20"/>
        </w:rPr>
      </w:pPr>
      <w:r w:rsidRPr="00F60117">
        <w:rPr>
          <w:rFonts w:eastAsia="Times New Roman"/>
          <w:i/>
          <w:color w:val="auto"/>
          <w:szCs w:val="20"/>
        </w:rPr>
        <w:tab/>
      </w:r>
      <w:r w:rsidRPr="00F60117">
        <w:rPr>
          <w:rFonts w:eastAsia="Times New Roman"/>
          <w:i/>
          <w:color w:val="auto"/>
          <w:szCs w:val="20"/>
        </w:rPr>
        <w:tab/>
        <w:t xml:space="preserve">Total Estimated Annual Burden:  </w:t>
      </w:r>
      <w:r w:rsidRPr="00F60117">
        <w:rPr>
          <w:rFonts w:eastAsia="Times New Roman"/>
          <w:i/>
          <w:color w:val="auto"/>
          <w:szCs w:val="20"/>
        </w:rPr>
        <w:tab/>
        <w:t xml:space="preserve">           </w:t>
      </w:r>
      <w:r w:rsidR="0032261F">
        <w:rPr>
          <w:rFonts w:eastAsia="Times New Roman"/>
          <w:i/>
          <w:color w:val="auto"/>
          <w:szCs w:val="20"/>
        </w:rPr>
        <w:t>657</w:t>
      </w:r>
      <w:r w:rsidRPr="00F60117">
        <w:rPr>
          <w:rFonts w:eastAsia="Times New Roman"/>
          <w:i/>
          <w:color w:val="auto"/>
          <w:szCs w:val="20"/>
        </w:rPr>
        <w:t xml:space="preserve"> hours</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Total estimated </w:t>
      </w:r>
      <w:r w:rsidR="004A23D5">
        <w:rPr>
          <w:rFonts w:eastAsia="Times New Roman"/>
          <w:color w:val="auto"/>
          <w:szCs w:val="20"/>
        </w:rPr>
        <w:t xml:space="preserve">annual </w:t>
      </w:r>
      <w:r w:rsidRPr="00F60117">
        <w:rPr>
          <w:rFonts w:eastAsia="Times New Roman"/>
          <w:color w:val="auto"/>
          <w:szCs w:val="20"/>
        </w:rPr>
        <w:t xml:space="preserve">burden for the collection of this information is </w:t>
      </w:r>
      <w:r w:rsidR="0032261F">
        <w:rPr>
          <w:rFonts w:eastAsia="Times New Roman"/>
          <w:color w:val="auto"/>
          <w:szCs w:val="20"/>
        </w:rPr>
        <w:t>657</w:t>
      </w:r>
      <w:r w:rsidRPr="00F60117">
        <w:rPr>
          <w:rFonts w:eastAsia="Times New Roman"/>
          <w:color w:val="auto"/>
          <w:szCs w:val="20"/>
        </w:rPr>
        <w:t xml:space="preserve"> hours.  If you have any questions, please let me know.  Thank you for your consideration.</w:t>
      </w:r>
    </w:p>
    <w:p w:rsidR="00BF402E" w:rsidRPr="00F60117" w:rsidRDefault="00BF402E" w:rsidP="00F60117"/>
    <w:sectPr w:rsidR="00BF402E" w:rsidRPr="00F60117">
      <w:headerReference w:type="even" r:id="rId7"/>
      <w:headerReference w:type="default" r:id="rId8"/>
      <w:footerReference w:type="even" r:id="rId9"/>
      <w:footerReference w:type="default" r:id="rId10"/>
      <w:headerReference w:type="first" r:id="rId11"/>
      <w:footerReference w:type="first" r:id="rId12"/>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EE" w:rsidRDefault="00920DEE">
      <w:r>
        <w:separator/>
      </w:r>
    </w:p>
  </w:endnote>
  <w:endnote w:type="continuationSeparator" w:id="0">
    <w:p w:rsidR="00920DEE" w:rsidRDefault="0092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A00002EF" w:usb1="4000207B" w:usb2="00000000" w:usb3="00000000" w:csb0="FFFFFF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EE" w:rsidRDefault="00920DEE">
      <w:r>
        <w:separator/>
      </w:r>
    </w:p>
  </w:footnote>
  <w:footnote w:type="continuationSeparator" w:id="0">
    <w:p w:rsidR="00920DEE" w:rsidRDefault="00920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3812E86C" wp14:editId="486B5994">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595858EF" wp14:editId="2D589E52">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4963824F" wp14:editId="098AF063">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3234B7B8" wp14:editId="2B78D8B3">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08999726" wp14:editId="07482F80">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7752F8CB" wp14:editId="451F85E6">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F1448F"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14:anchorId="65608FA9" wp14:editId="44742EB2">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38303682" wp14:editId="2CA7FCE2">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439D33E8" wp14:editId="00DD21E7">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A1EA8"/>
    <w:rsid w:val="000B59D1"/>
    <w:rsid w:val="001011DA"/>
    <w:rsid w:val="00103D4D"/>
    <w:rsid w:val="00124D94"/>
    <w:rsid w:val="0018506F"/>
    <w:rsid w:val="001A2298"/>
    <w:rsid w:val="001B770C"/>
    <w:rsid w:val="001C77DF"/>
    <w:rsid w:val="001F0C8F"/>
    <w:rsid w:val="002151CA"/>
    <w:rsid w:val="00217C61"/>
    <w:rsid w:val="00234034"/>
    <w:rsid w:val="00235E11"/>
    <w:rsid w:val="00294C85"/>
    <w:rsid w:val="002969EF"/>
    <w:rsid w:val="002A24F1"/>
    <w:rsid w:val="002A618D"/>
    <w:rsid w:val="002F4CF1"/>
    <w:rsid w:val="0032261F"/>
    <w:rsid w:val="00360D9B"/>
    <w:rsid w:val="003A31E1"/>
    <w:rsid w:val="003C01EF"/>
    <w:rsid w:val="003D321B"/>
    <w:rsid w:val="003E0A8A"/>
    <w:rsid w:val="00401028"/>
    <w:rsid w:val="00423511"/>
    <w:rsid w:val="00471558"/>
    <w:rsid w:val="004A15B5"/>
    <w:rsid w:val="004A23D5"/>
    <w:rsid w:val="004A2C97"/>
    <w:rsid w:val="004A3101"/>
    <w:rsid w:val="004A49E7"/>
    <w:rsid w:val="004D08A6"/>
    <w:rsid w:val="004D377C"/>
    <w:rsid w:val="00506AFA"/>
    <w:rsid w:val="005523B4"/>
    <w:rsid w:val="005712A5"/>
    <w:rsid w:val="00572D23"/>
    <w:rsid w:val="00592AE6"/>
    <w:rsid w:val="005B4878"/>
    <w:rsid w:val="005D7477"/>
    <w:rsid w:val="006135A6"/>
    <w:rsid w:val="0062607F"/>
    <w:rsid w:val="00634775"/>
    <w:rsid w:val="006D7A10"/>
    <w:rsid w:val="00700560"/>
    <w:rsid w:val="00737C13"/>
    <w:rsid w:val="00752659"/>
    <w:rsid w:val="007C7CD8"/>
    <w:rsid w:val="007E6ADD"/>
    <w:rsid w:val="008231A1"/>
    <w:rsid w:val="008D19B9"/>
    <w:rsid w:val="008D303D"/>
    <w:rsid w:val="00920DEE"/>
    <w:rsid w:val="00936FDF"/>
    <w:rsid w:val="00995B1D"/>
    <w:rsid w:val="00997D46"/>
    <w:rsid w:val="009A28D8"/>
    <w:rsid w:val="009B2F12"/>
    <w:rsid w:val="009E4BF9"/>
    <w:rsid w:val="009F7DE9"/>
    <w:rsid w:val="00A026B6"/>
    <w:rsid w:val="00A1338E"/>
    <w:rsid w:val="00A21AFE"/>
    <w:rsid w:val="00A34542"/>
    <w:rsid w:val="00A95EBD"/>
    <w:rsid w:val="00AC7767"/>
    <w:rsid w:val="00AD2CDD"/>
    <w:rsid w:val="00B320F6"/>
    <w:rsid w:val="00B61B73"/>
    <w:rsid w:val="00BA4D29"/>
    <w:rsid w:val="00BC7FFB"/>
    <w:rsid w:val="00BE2752"/>
    <w:rsid w:val="00BF402E"/>
    <w:rsid w:val="00C33312"/>
    <w:rsid w:val="00C46A38"/>
    <w:rsid w:val="00C55694"/>
    <w:rsid w:val="00CD0E8C"/>
    <w:rsid w:val="00D2432A"/>
    <w:rsid w:val="00D24551"/>
    <w:rsid w:val="00D43735"/>
    <w:rsid w:val="00D90B94"/>
    <w:rsid w:val="00D91F61"/>
    <w:rsid w:val="00DF0133"/>
    <w:rsid w:val="00E05068"/>
    <w:rsid w:val="00E07CD5"/>
    <w:rsid w:val="00E21631"/>
    <w:rsid w:val="00E64FC7"/>
    <w:rsid w:val="00EA4629"/>
    <w:rsid w:val="00EC7D3E"/>
    <w:rsid w:val="00ED2B9D"/>
    <w:rsid w:val="00EF1957"/>
    <w:rsid w:val="00EF4558"/>
    <w:rsid w:val="00F06A97"/>
    <w:rsid w:val="00F13331"/>
    <w:rsid w:val="00F46D50"/>
    <w:rsid w:val="00F529DB"/>
    <w:rsid w:val="00F60117"/>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2019-06-11T15:27:00Z</dcterms:created>
  <dcterms:modified xsi:type="dcterms:W3CDTF">2019-06-11T15:27:00Z</dcterms:modified>
</cp:coreProperties>
</file>