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117" w:rsidRPr="00F60117" w:rsidRDefault="00F60117" w:rsidP="00F60117">
      <w:pPr>
        <w:rPr>
          <w:rFonts w:eastAsia="Times New Roman"/>
          <w:color w:val="auto"/>
          <w:szCs w:val="20"/>
        </w:rPr>
      </w:pPr>
      <w:bookmarkStart w:id="0" w:name="_GoBack"/>
      <w:bookmarkEnd w:id="0"/>
      <w:r w:rsidRPr="00F60117">
        <w:rPr>
          <w:rFonts w:eastAsia="Times New Roman"/>
          <w:color w:val="auto"/>
          <w:szCs w:val="20"/>
        </w:rPr>
        <w:tab/>
      </w:r>
      <w:r w:rsidRPr="00F60117">
        <w:rPr>
          <w:rFonts w:eastAsia="Times New Roman"/>
          <w:color w:val="auto"/>
          <w:szCs w:val="20"/>
        </w:rPr>
        <w:tab/>
      </w:r>
      <w:r>
        <w:rPr>
          <w:rFonts w:eastAsia="Times New Roman"/>
          <w:color w:val="auto"/>
          <w:szCs w:val="20"/>
        </w:rPr>
        <w:tab/>
      </w:r>
      <w:r>
        <w:rPr>
          <w:rFonts w:eastAsia="Times New Roman"/>
          <w:color w:val="auto"/>
          <w:szCs w:val="20"/>
        </w:rPr>
        <w:tab/>
      </w:r>
      <w:r>
        <w:rPr>
          <w:rFonts w:eastAsia="Times New Roman"/>
          <w:color w:val="auto"/>
          <w:szCs w:val="20"/>
        </w:rPr>
        <w:tab/>
      </w:r>
      <w:r>
        <w:rPr>
          <w:rFonts w:eastAsia="Times New Roman"/>
          <w:color w:val="auto"/>
          <w:szCs w:val="20"/>
        </w:rPr>
        <w:tab/>
      </w:r>
      <w:r>
        <w:rPr>
          <w:rFonts w:eastAsia="Times New Roman"/>
          <w:color w:val="auto"/>
          <w:szCs w:val="20"/>
        </w:rPr>
        <w:tab/>
      </w:r>
      <w:r>
        <w:rPr>
          <w:rFonts w:eastAsia="Times New Roman"/>
          <w:color w:val="auto"/>
          <w:szCs w:val="20"/>
        </w:rPr>
        <w:tab/>
      </w:r>
      <w:r>
        <w:rPr>
          <w:rFonts w:eastAsia="Times New Roman"/>
          <w:color w:val="auto"/>
          <w:szCs w:val="20"/>
        </w:rPr>
        <w:tab/>
      </w:r>
      <w:r w:rsidR="00127DF3">
        <w:rPr>
          <w:rFonts w:eastAsia="Times New Roman"/>
          <w:color w:val="auto"/>
          <w:szCs w:val="20"/>
        </w:rPr>
        <w:t>September</w:t>
      </w:r>
      <w:r w:rsidRPr="00F60117">
        <w:rPr>
          <w:rFonts w:eastAsia="Times New Roman"/>
          <w:color w:val="auto"/>
          <w:szCs w:val="20"/>
        </w:rPr>
        <w:t xml:space="preserve"> </w:t>
      </w:r>
      <w:r>
        <w:rPr>
          <w:rFonts w:eastAsia="Times New Roman"/>
          <w:color w:val="auto"/>
          <w:szCs w:val="20"/>
        </w:rPr>
        <w:t>1</w:t>
      </w:r>
      <w:r w:rsidR="00127DF3">
        <w:rPr>
          <w:rFonts w:eastAsia="Times New Roman"/>
          <w:color w:val="auto"/>
          <w:szCs w:val="20"/>
        </w:rPr>
        <w:t>8</w:t>
      </w:r>
      <w:r w:rsidRPr="00F60117">
        <w:rPr>
          <w:rFonts w:eastAsia="Times New Roman"/>
          <w:color w:val="auto"/>
          <w:szCs w:val="20"/>
        </w:rPr>
        <w:t>, 2019</w:t>
      </w:r>
    </w:p>
    <w:p w:rsidR="00F60117" w:rsidRPr="00F60117" w:rsidRDefault="00F60117" w:rsidP="00F60117">
      <w:pPr>
        <w:rPr>
          <w:rFonts w:eastAsia="Times New Roman"/>
          <w:color w:val="auto"/>
          <w:szCs w:val="20"/>
        </w:rPr>
      </w:pPr>
    </w:p>
    <w:p w:rsidR="00F60117" w:rsidRPr="00F60117" w:rsidRDefault="00F60117" w:rsidP="00F60117">
      <w:pPr>
        <w:rPr>
          <w:rFonts w:eastAsia="Times New Roman"/>
          <w:color w:val="auto"/>
          <w:szCs w:val="20"/>
        </w:rPr>
      </w:pPr>
      <w:r w:rsidRPr="00F60117">
        <w:rPr>
          <w:rFonts w:eastAsia="Times New Roman"/>
          <w:color w:val="auto"/>
          <w:szCs w:val="20"/>
        </w:rPr>
        <w:t> </w:t>
      </w:r>
    </w:p>
    <w:p w:rsidR="00F60117" w:rsidRPr="00F60117" w:rsidRDefault="00F60117" w:rsidP="00F60117">
      <w:pPr>
        <w:rPr>
          <w:rFonts w:eastAsia="Times New Roman"/>
          <w:color w:val="auto"/>
          <w:szCs w:val="20"/>
        </w:rPr>
      </w:pPr>
      <w:r w:rsidRPr="00F60117">
        <w:rPr>
          <w:rFonts w:eastAsia="Times New Roman"/>
          <w:color w:val="auto"/>
          <w:szCs w:val="20"/>
        </w:rPr>
        <w:t>Memorandum to:</w:t>
      </w:r>
      <w:r w:rsidRPr="00F60117">
        <w:rPr>
          <w:rFonts w:eastAsia="Times New Roman"/>
          <w:color w:val="auto"/>
          <w:szCs w:val="20"/>
        </w:rPr>
        <w:tab/>
      </w:r>
      <w:r>
        <w:rPr>
          <w:rFonts w:eastAsia="Times New Roman"/>
          <w:color w:val="auto"/>
          <w:szCs w:val="20"/>
        </w:rPr>
        <w:t>William E. Bestani</w:t>
      </w:r>
    </w:p>
    <w:p w:rsidR="00F60117" w:rsidRPr="00F60117" w:rsidRDefault="00F60117" w:rsidP="00F60117">
      <w:pPr>
        <w:rPr>
          <w:rFonts w:eastAsia="Times New Roman"/>
          <w:color w:val="auto"/>
          <w:szCs w:val="20"/>
        </w:rPr>
      </w:pPr>
      <w:r w:rsidRPr="00F60117">
        <w:rPr>
          <w:rFonts w:eastAsia="Times New Roman"/>
          <w:color w:val="auto"/>
          <w:szCs w:val="20"/>
        </w:rPr>
        <w:tab/>
      </w:r>
      <w:r w:rsidRPr="00F60117">
        <w:rPr>
          <w:rFonts w:eastAsia="Times New Roman"/>
          <w:color w:val="auto"/>
          <w:szCs w:val="20"/>
        </w:rPr>
        <w:tab/>
      </w:r>
      <w:r w:rsidRPr="00F60117">
        <w:rPr>
          <w:rFonts w:eastAsia="Times New Roman"/>
          <w:color w:val="auto"/>
          <w:szCs w:val="20"/>
        </w:rPr>
        <w:tab/>
      </w:r>
      <w:r>
        <w:rPr>
          <w:rFonts w:eastAsia="Times New Roman"/>
          <w:color w:val="auto"/>
          <w:szCs w:val="20"/>
        </w:rPr>
        <w:t>Policy Analyst</w:t>
      </w:r>
    </w:p>
    <w:p w:rsidR="00F60117" w:rsidRDefault="00F60117" w:rsidP="00F60117">
      <w:pPr>
        <w:rPr>
          <w:rFonts w:eastAsia="Times New Roman"/>
          <w:color w:val="auto"/>
          <w:szCs w:val="20"/>
        </w:rPr>
      </w:pPr>
      <w:r w:rsidRPr="00F60117">
        <w:rPr>
          <w:rFonts w:eastAsia="Times New Roman"/>
          <w:color w:val="auto"/>
          <w:szCs w:val="20"/>
        </w:rPr>
        <w:tab/>
      </w:r>
      <w:r w:rsidRPr="00F60117">
        <w:rPr>
          <w:rFonts w:eastAsia="Times New Roman"/>
          <w:color w:val="auto"/>
          <w:szCs w:val="20"/>
        </w:rPr>
        <w:tab/>
      </w:r>
      <w:r w:rsidRPr="00F60117">
        <w:rPr>
          <w:rFonts w:eastAsia="Times New Roman"/>
          <w:color w:val="auto"/>
          <w:szCs w:val="20"/>
        </w:rPr>
        <w:tab/>
      </w:r>
      <w:r>
        <w:rPr>
          <w:rFonts w:eastAsia="Times New Roman"/>
          <w:color w:val="auto"/>
          <w:szCs w:val="20"/>
        </w:rPr>
        <w:t>Office of Information and Regulatory Affairs</w:t>
      </w:r>
    </w:p>
    <w:p w:rsidR="00F60117" w:rsidRDefault="00F60117" w:rsidP="00F60117">
      <w:pPr>
        <w:rPr>
          <w:rFonts w:eastAsia="Times New Roman"/>
          <w:color w:val="auto"/>
          <w:szCs w:val="20"/>
        </w:rPr>
      </w:pPr>
      <w:r>
        <w:rPr>
          <w:rFonts w:eastAsia="Times New Roman"/>
          <w:color w:val="auto"/>
          <w:szCs w:val="20"/>
        </w:rPr>
        <w:tab/>
      </w:r>
      <w:r>
        <w:rPr>
          <w:rFonts w:eastAsia="Times New Roman"/>
          <w:color w:val="auto"/>
          <w:szCs w:val="20"/>
        </w:rPr>
        <w:tab/>
      </w:r>
      <w:r>
        <w:rPr>
          <w:rFonts w:eastAsia="Times New Roman"/>
          <w:color w:val="auto"/>
          <w:szCs w:val="20"/>
        </w:rPr>
        <w:tab/>
        <w:t>Office of Management and Budget</w:t>
      </w:r>
    </w:p>
    <w:p w:rsidR="00F60117" w:rsidRPr="00F60117" w:rsidRDefault="00F60117" w:rsidP="00F60117">
      <w:pPr>
        <w:rPr>
          <w:rFonts w:eastAsia="Times New Roman"/>
          <w:color w:val="auto"/>
          <w:szCs w:val="20"/>
        </w:rPr>
      </w:pPr>
      <w:r>
        <w:rPr>
          <w:rFonts w:eastAsia="Times New Roman"/>
          <w:color w:val="auto"/>
          <w:szCs w:val="20"/>
        </w:rPr>
        <w:tab/>
      </w:r>
      <w:r>
        <w:rPr>
          <w:rFonts w:eastAsia="Times New Roman"/>
          <w:color w:val="auto"/>
          <w:szCs w:val="20"/>
        </w:rPr>
        <w:tab/>
      </w:r>
      <w:r>
        <w:rPr>
          <w:rFonts w:eastAsia="Times New Roman"/>
          <w:color w:val="auto"/>
          <w:szCs w:val="20"/>
        </w:rPr>
        <w:tab/>
        <w:t>Executive Office of the President</w:t>
      </w:r>
      <w:r w:rsidRPr="00F60117">
        <w:rPr>
          <w:rFonts w:eastAsia="Times New Roman"/>
          <w:color w:val="auto"/>
          <w:szCs w:val="20"/>
        </w:rPr>
        <w:t>                            </w:t>
      </w:r>
      <w:r w:rsidRPr="00F60117">
        <w:rPr>
          <w:rFonts w:eastAsia="Times New Roman"/>
          <w:color w:val="auto"/>
          <w:szCs w:val="20"/>
        </w:rPr>
        <w:tab/>
      </w:r>
    </w:p>
    <w:p w:rsidR="00F60117" w:rsidRPr="00F60117" w:rsidRDefault="00F60117" w:rsidP="00F60117">
      <w:pPr>
        <w:rPr>
          <w:rFonts w:eastAsia="Times New Roman"/>
          <w:color w:val="auto"/>
          <w:szCs w:val="20"/>
        </w:rPr>
      </w:pPr>
      <w:r w:rsidRPr="00F60117">
        <w:rPr>
          <w:rFonts w:eastAsia="Times New Roman"/>
          <w:color w:val="auto"/>
          <w:szCs w:val="20"/>
        </w:rPr>
        <w:t>                                    </w:t>
      </w:r>
    </w:p>
    <w:p w:rsidR="00F60117" w:rsidRDefault="00F60117" w:rsidP="00F60117">
      <w:pPr>
        <w:rPr>
          <w:rFonts w:eastAsia="Times New Roman"/>
          <w:color w:val="auto"/>
          <w:szCs w:val="20"/>
        </w:rPr>
      </w:pPr>
      <w:r w:rsidRPr="00F60117">
        <w:rPr>
          <w:rFonts w:eastAsia="Times New Roman"/>
          <w:color w:val="auto"/>
          <w:szCs w:val="20"/>
        </w:rPr>
        <w:t>From:</w:t>
      </w:r>
      <w:r w:rsidRPr="00F60117">
        <w:rPr>
          <w:rFonts w:eastAsia="Times New Roman"/>
          <w:color w:val="auto"/>
          <w:szCs w:val="20"/>
        </w:rPr>
        <w:tab/>
      </w:r>
      <w:r w:rsidRPr="00F60117">
        <w:rPr>
          <w:rFonts w:eastAsia="Times New Roman"/>
          <w:color w:val="auto"/>
          <w:szCs w:val="20"/>
        </w:rPr>
        <w:tab/>
      </w:r>
      <w:r w:rsidRPr="00F60117">
        <w:rPr>
          <w:rFonts w:eastAsia="Times New Roman"/>
          <w:color w:val="auto"/>
          <w:szCs w:val="20"/>
        </w:rPr>
        <w:tab/>
      </w:r>
      <w:r>
        <w:rPr>
          <w:rFonts w:eastAsia="Times New Roman"/>
          <w:color w:val="auto"/>
          <w:szCs w:val="20"/>
        </w:rPr>
        <w:t>Manny Cabeza</w:t>
      </w:r>
    </w:p>
    <w:p w:rsidR="00F60117" w:rsidRPr="00F60117" w:rsidRDefault="00F60117" w:rsidP="00F60117">
      <w:pPr>
        <w:rPr>
          <w:rFonts w:eastAsia="Times New Roman"/>
          <w:color w:val="auto"/>
          <w:szCs w:val="20"/>
        </w:rPr>
      </w:pPr>
      <w:r>
        <w:rPr>
          <w:rFonts w:eastAsia="Times New Roman"/>
          <w:color w:val="auto"/>
          <w:szCs w:val="20"/>
        </w:rPr>
        <w:tab/>
      </w:r>
      <w:r>
        <w:rPr>
          <w:rFonts w:eastAsia="Times New Roman"/>
          <w:color w:val="auto"/>
          <w:szCs w:val="20"/>
        </w:rPr>
        <w:tab/>
      </w:r>
      <w:r>
        <w:rPr>
          <w:rFonts w:eastAsia="Times New Roman"/>
          <w:color w:val="auto"/>
          <w:szCs w:val="20"/>
        </w:rPr>
        <w:tab/>
        <w:t>Regulatory Counsel</w:t>
      </w:r>
    </w:p>
    <w:p w:rsidR="00F60117" w:rsidRDefault="00F60117" w:rsidP="00F60117">
      <w:pPr>
        <w:rPr>
          <w:rFonts w:eastAsia="Times New Roman"/>
          <w:color w:val="auto"/>
          <w:szCs w:val="20"/>
        </w:rPr>
      </w:pPr>
      <w:r w:rsidRPr="00F60117">
        <w:rPr>
          <w:rFonts w:eastAsia="Times New Roman"/>
          <w:color w:val="auto"/>
          <w:szCs w:val="20"/>
        </w:rPr>
        <w:tab/>
      </w:r>
      <w:r w:rsidRPr="00F60117">
        <w:rPr>
          <w:rFonts w:eastAsia="Times New Roman"/>
          <w:color w:val="auto"/>
          <w:szCs w:val="20"/>
        </w:rPr>
        <w:tab/>
      </w:r>
      <w:r w:rsidRPr="00F60117">
        <w:rPr>
          <w:rFonts w:eastAsia="Times New Roman"/>
          <w:color w:val="auto"/>
          <w:szCs w:val="20"/>
        </w:rPr>
        <w:tab/>
      </w:r>
      <w:r>
        <w:rPr>
          <w:rFonts w:eastAsia="Times New Roman"/>
          <w:color w:val="auto"/>
          <w:szCs w:val="20"/>
        </w:rPr>
        <w:t>Assessments and Legislation Group</w:t>
      </w:r>
    </w:p>
    <w:p w:rsidR="00F60117" w:rsidRDefault="00F60117" w:rsidP="00F60117">
      <w:pPr>
        <w:rPr>
          <w:rFonts w:eastAsia="Times New Roman"/>
          <w:color w:val="auto"/>
          <w:szCs w:val="20"/>
        </w:rPr>
      </w:pPr>
      <w:r>
        <w:rPr>
          <w:rFonts w:eastAsia="Times New Roman"/>
          <w:color w:val="auto"/>
          <w:szCs w:val="20"/>
        </w:rPr>
        <w:tab/>
      </w:r>
      <w:r>
        <w:rPr>
          <w:rFonts w:eastAsia="Times New Roman"/>
          <w:color w:val="auto"/>
          <w:szCs w:val="20"/>
        </w:rPr>
        <w:tab/>
      </w:r>
      <w:r>
        <w:rPr>
          <w:rFonts w:eastAsia="Times New Roman"/>
          <w:color w:val="auto"/>
          <w:szCs w:val="20"/>
        </w:rPr>
        <w:tab/>
        <w:t>Legal Division</w:t>
      </w:r>
    </w:p>
    <w:p w:rsidR="00F60117" w:rsidRPr="00F60117" w:rsidRDefault="00F60117" w:rsidP="00F60117">
      <w:pPr>
        <w:ind w:left="1440" w:firstLine="720"/>
        <w:rPr>
          <w:rFonts w:eastAsia="Times New Roman"/>
          <w:color w:val="auto"/>
          <w:szCs w:val="20"/>
        </w:rPr>
      </w:pPr>
      <w:r>
        <w:rPr>
          <w:rFonts w:eastAsia="Times New Roman"/>
          <w:color w:val="auto"/>
          <w:szCs w:val="20"/>
        </w:rPr>
        <w:t>Federal Deposit Insurance Corporation</w:t>
      </w:r>
      <w:r w:rsidRPr="00F60117">
        <w:rPr>
          <w:rFonts w:eastAsia="Times New Roman"/>
          <w:color w:val="auto"/>
          <w:szCs w:val="20"/>
        </w:rPr>
        <w:t>      </w:t>
      </w:r>
    </w:p>
    <w:p w:rsidR="00F60117" w:rsidRPr="00F60117" w:rsidRDefault="00F60117" w:rsidP="00F60117">
      <w:pPr>
        <w:rPr>
          <w:rFonts w:eastAsia="Times New Roman"/>
          <w:color w:val="auto"/>
          <w:szCs w:val="20"/>
        </w:rPr>
      </w:pPr>
      <w:r w:rsidRPr="00F60117">
        <w:rPr>
          <w:rFonts w:eastAsia="Times New Roman"/>
          <w:color w:val="auto"/>
          <w:szCs w:val="20"/>
        </w:rPr>
        <w:tab/>
      </w:r>
      <w:r w:rsidRPr="00F60117">
        <w:rPr>
          <w:rFonts w:eastAsia="Times New Roman"/>
          <w:color w:val="auto"/>
          <w:szCs w:val="20"/>
        </w:rPr>
        <w:tab/>
      </w:r>
      <w:r w:rsidRPr="00F60117">
        <w:rPr>
          <w:rFonts w:eastAsia="Times New Roman"/>
          <w:color w:val="auto"/>
          <w:szCs w:val="20"/>
        </w:rPr>
        <w:tab/>
        <w:t xml:space="preserve">      </w:t>
      </w:r>
    </w:p>
    <w:p w:rsidR="00F60117" w:rsidRPr="00F60117" w:rsidRDefault="00F60117" w:rsidP="00F60117">
      <w:pPr>
        <w:rPr>
          <w:rFonts w:eastAsia="Times New Roman"/>
          <w:color w:val="auto"/>
          <w:szCs w:val="20"/>
        </w:rPr>
      </w:pPr>
    </w:p>
    <w:p w:rsidR="00F60117" w:rsidRDefault="00F60117" w:rsidP="00B46249">
      <w:pPr>
        <w:ind w:left="720" w:hanging="720"/>
        <w:rPr>
          <w:rFonts w:eastAsia="Times New Roman"/>
          <w:color w:val="auto"/>
          <w:szCs w:val="20"/>
          <w:u w:val="single"/>
        </w:rPr>
      </w:pPr>
      <w:r w:rsidRPr="00F60117">
        <w:rPr>
          <w:rFonts w:eastAsia="Times New Roman"/>
          <w:color w:val="auto"/>
          <w:szCs w:val="20"/>
        </w:rPr>
        <w:t xml:space="preserve">RE:  </w:t>
      </w:r>
      <w:r w:rsidR="00B46249">
        <w:rPr>
          <w:rFonts w:eastAsia="Times New Roman"/>
          <w:color w:val="auto"/>
          <w:szCs w:val="20"/>
        </w:rPr>
        <w:tab/>
      </w:r>
      <w:r w:rsidR="00B46249">
        <w:rPr>
          <w:rFonts w:eastAsia="Calibri" w:hAnsi="Calibri"/>
          <w:u w:val="single"/>
        </w:rPr>
        <w:t>Listening Session on Supervisory Appeals and Dispute Resolution Process and Session Feedback Survey</w:t>
      </w:r>
    </w:p>
    <w:p w:rsidR="00F60117" w:rsidRPr="00F60117" w:rsidRDefault="00F60117" w:rsidP="00F60117">
      <w:pPr>
        <w:rPr>
          <w:rFonts w:eastAsia="Times New Roman"/>
          <w:color w:val="auto"/>
          <w:szCs w:val="20"/>
        </w:rPr>
      </w:pPr>
    </w:p>
    <w:p w:rsidR="00F60117" w:rsidRDefault="00127DF3" w:rsidP="00F60117">
      <w:pPr>
        <w:rPr>
          <w:rFonts w:eastAsia="Times New Roman"/>
          <w:color w:val="auto"/>
          <w:szCs w:val="20"/>
        </w:rPr>
      </w:pPr>
      <w:r>
        <w:rPr>
          <w:rFonts w:eastAsia="Calibri" w:hAnsi="Calibri"/>
        </w:rPr>
        <w:t xml:space="preserve">Under FDIC </w:t>
      </w:r>
      <w:r>
        <w:rPr>
          <w:rFonts w:eastAsia="Calibri" w:hAnsi="Calibri"/>
        </w:rPr>
        <w:t>“</w:t>
      </w:r>
      <w:r>
        <w:rPr>
          <w:rFonts w:eastAsia="Calibri" w:hAnsi="Calibri"/>
        </w:rPr>
        <w:t>fast-track</w:t>
      </w:r>
      <w:r>
        <w:rPr>
          <w:rFonts w:eastAsia="Calibri" w:hAnsi="Calibri"/>
        </w:rPr>
        <w:t>”</w:t>
      </w:r>
      <w:r>
        <w:rPr>
          <w:rFonts w:eastAsia="Calibri" w:hAnsi="Calibri"/>
        </w:rPr>
        <w:t xml:space="preserve"> generic clearance entitled </w:t>
      </w:r>
      <w:r>
        <w:rPr>
          <w:rFonts w:eastAsia="Calibri" w:hAnsi="Calibri"/>
        </w:rPr>
        <w:t>“</w:t>
      </w:r>
      <w:r>
        <w:rPr>
          <w:rFonts w:eastAsia="Calibri" w:hAnsi="Calibri"/>
        </w:rPr>
        <w:t>Occasional Qualitative Surveys</w:t>
      </w:r>
      <w:r>
        <w:rPr>
          <w:rFonts w:eastAsia="Calibri" w:hAnsi="Calibri"/>
        </w:rPr>
        <w:t>”</w:t>
      </w:r>
      <w:r>
        <w:rPr>
          <w:rFonts w:eastAsia="Calibri" w:hAnsi="Calibri"/>
        </w:rPr>
        <w:t xml:space="preserve"> (3064-0127), the FDIC hereby submits for OMB review our plan for conducting listening sessions regarding the FDIC appeals and dispute resolution process (Process).  Each of the nine sessions will consist of approximately 25 banking industry representatives that have registered to take part in the session.  Each session will begin with an overview of the Process, followed by </w:t>
      </w:r>
      <w:r>
        <w:rPr>
          <w:rFonts w:eastAsia="Calibri" w:hAnsi="Calibri"/>
        </w:rPr>
        <w:t>“</w:t>
      </w:r>
      <w:r>
        <w:rPr>
          <w:rFonts w:eastAsia="Calibri" w:hAnsi="Calibri"/>
        </w:rPr>
        <w:t>Listening Session on Supervisory Appeals and Dispute Resolution Process open discussion topics,</w:t>
      </w:r>
      <w:r>
        <w:rPr>
          <w:rFonts w:eastAsia="Calibri" w:hAnsi="Calibri"/>
        </w:rPr>
        <w:t>”</w:t>
      </w:r>
      <w:r>
        <w:rPr>
          <w:rFonts w:eastAsia="Calibri" w:hAnsi="Calibri"/>
        </w:rPr>
        <w:t xml:space="preserve"> and concluding with a discussion recap.  In addition, participants will be given an </w:t>
      </w:r>
      <w:r>
        <w:rPr>
          <w:rFonts w:eastAsia="Calibri" w:hAnsi="Calibri"/>
        </w:rPr>
        <w:t>“</w:t>
      </w:r>
      <w:r>
        <w:rPr>
          <w:rFonts w:eastAsia="Calibri" w:hAnsi="Calibri"/>
        </w:rPr>
        <w:t>Appeals and Dispute Process Listening Session Evaluation</w:t>
      </w:r>
      <w:r w:rsidR="00F60117" w:rsidRPr="00F60117">
        <w:rPr>
          <w:rFonts w:eastAsia="Times New Roman"/>
          <w:color w:val="auto"/>
          <w:szCs w:val="20"/>
        </w:rPr>
        <w:t>.</w:t>
      </w:r>
      <w:r>
        <w:rPr>
          <w:rFonts w:eastAsia="Times New Roman"/>
          <w:color w:val="auto"/>
          <w:szCs w:val="20"/>
        </w:rPr>
        <w:t>”</w:t>
      </w:r>
    </w:p>
    <w:p w:rsidR="00F60117" w:rsidRPr="00F60117" w:rsidRDefault="00127DF3" w:rsidP="00127DF3">
      <w:pPr>
        <w:spacing w:before="240"/>
        <w:rPr>
          <w:rFonts w:eastAsia="Times New Roman"/>
          <w:color w:val="auto"/>
          <w:szCs w:val="20"/>
        </w:rPr>
      </w:pPr>
      <w:r>
        <w:rPr>
          <w:rFonts w:eastAsia="Calibri" w:hAnsi="Calibri"/>
        </w:rPr>
        <w:t>The purpose of the listening sessions is to gain information regarding the bankers</w:t>
      </w:r>
      <w:r>
        <w:rPr>
          <w:rFonts w:eastAsia="Calibri" w:hAnsi="Calibri"/>
        </w:rPr>
        <w:t>’</w:t>
      </w:r>
      <w:r>
        <w:rPr>
          <w:rFonts w:eastAsia="Calibri" w:hAnsi="Calibri"/>
        </w:rPr>
        <w:t xml:space="preserve"> views on the current appeals and dispute resolution process, as well as to identify potential areas for improvement. </w:t>
      </w:r>
      <w:r w:rsidRPr="00D649A8">
        <w:rPr>
          <w:rFonts w:eastAsia="Calibri"/>
          <w:color w:val="auto"/>
        </w:rPr>
        <w:t>Participants will be asked to provide feedback on the following potential topics: opportunities for informally resolving disagreements between banks and FDIC Field and Regional management and staff; general processes and timeframes for pursuing formal reviews at the Division Director and Supervisory Appeals Review Committee (SARC) levels; material supervisory determinations (MSDs) in the FDIC Appeals Guidelines; the composition and functions of the SARC; the role of the Office of the Ombudsman in resolving formal a</w:t>
      </w:r>
      <w:r>
        <w:rPr>
          <w:rFonts w:eastAsia="Calibri"/>
          <w:color w:val="auto"/>
        </w:rPr>
        <w:t xml:space="preserve">nd informal disagreements; </w:t>
      </w:r>
      <w:r w:rsidRPr="00D649A8">
        <w:rPr>
          <w:rFonts w:eastAsia="Calibri"/>
          <w:color w:val="auto"/>
        </w:rPr>
        <w:t>other observations, recommendations, or concerns relative to the FDIC’s processes for resolving disagreements</w:t>
      </w:r>
      <w:r>
        <w:rPr>
          <w:rFonts w:eastAsia="Calibri"/>
          <w:color w:val="auto"/>
        </w:rPr>
        <w:t>; and, opportunities for additional transparency on agency operations by expanding information available on the FDIC website</w:t>
      </w:r>
      <w:r w:rsidRPr="00D649A8">
        <w:rPr>
          <w:rFonts w:eastAsia="Calibri"/>
          <w:color w:val="auto"/>
        </w:rPr>
        <w:t>.</w:t>
      </w:r>
      <w:r>
        <w:rPr>
          <w:rFonts w:eastAsia="Calibri"/>
          <w:color w:val="auto"/>
        </w:rPr>
        <w:t xml:space="preserve">  In addition, each participant will be provided a survey soliciting feedback on the listening sessions.</w:t>
      </w:r>
    </w:p>
    <w:p w:rsidR="00F60117" w:rsidRPr="00F60117" w:rsidRDefault="00F60117" w:rsidP="00F60117">
      <w:pPr>
        <w:rPr>
          <w:rFonts w:eastAsia="Times New Roman"/>
          <w:color w:val="auto"/>
          <w:szCs w:val="20"/>
        </w:rPr>
      </w:pPr>
    </w:p>
    <w:p w:rsidR="00F60117" w:rsidRPr="00F60117" w:rsidRDefault="00F60117" w:rsidP="00F60117">
      <w:pPr>
        <w:rPr>
          <w:rFonts w:eastAsia="Times New Roman"/>
          <w:color w:val="auto"/>
          <w:szCs w:val="20"/>
        </w:rPr>
      </w:pPr>
      <w:r w:rsidRPr="00F60117">
        <w:rPr>
          <w:rFonts w:eastAsia="Times New Roman"/>
          <w:color w:val="auto"/>
          <w:szCs w:val="20"/>
        </w:rPr>
        <w:t xml:space="preserve">The FDIC estimates that there will be </w:t>
      </w:r>
      <w:r w:rsidR="00127DF3">
        <w:rPr>
          <w:rFonts w:eastAsia="Times New Roman"/>
          <w:color w:val="auto"/>
          <w:szCs w:val="20"/>
        </w:rPr>
        <w:t>9 sessions held during the year each attended by 25 respondents for a total of 225 respondents.  The estimated annual burden is as follows:</w:t>
      </w:r>
      <w:r w:rsidRPr="00F60117">
        <w:rPr>
          <w:rFonts w:eastAsia="Times New Roman"/>
          <w:color w:val="auto"/>
          <w:szCs w:val="20"/>
        </w:rPr>
        <w:t xml:space="preserve">  </w:t>
      </w:r>
    </w:p>
    <w:p w:rsidR="00127DF3" w:rsidRDefault="00127DF3">
      <w:pPr>
        <w:rPr>
          <w:rFonts w:eastAsia="Times New Roman"/>
          <w:color w:val="auto"/>
          <w:szCs w:val="20"/>
        </w:rPr>
      </w:pPr>
      <w:r>
        <w:rPr>
          <w:rFonts w:eastAsia="Times New Roman"/>
          <w:color w:val="auto"/>
          <w:szCs w:val="20"/>
        </w:rPr>
        <w:br w:type="page"/>
      </w:r>
    </w:p>
    <w:p w:rsidR="00F60117" w:rsidRPr="00F60117" w:rsidRDefault="00F60117" w:rsidP="00F60117">
      <w:pPr>
        <w:rPr>
          <w:rFonts w:eastAsia="Times New Roman"/>
          <w:color w:val="auto"/>
          <w:szCs w:val="20"/>
        </w:rPr>
      </w:pPr>
    </w:p>
    <w:p w:rsidR="00127DF3" w:rsidRDefault="00127DF3" w:rsidP="00F60117">
      <w:pPr>
        <w:rPr>
          <w:rFonts w:eastAsia="Times New Roman"/>
          <w:i/>
          <w:color w:val="auto"/>
          <w:szCs w:val="20"/>
        </w:rPr>
      </w:pPr>
      <w:r>
        <w:rPr>
          <w:rFonts w:eastAsia="Times New Roman"/>
          <w:i/>
          <w:color w:val="auto"/>
          <w:szCs w:val="20"/>
        </w:rPr>
        <w:t>Number of Sessions</w:t>
      </w:r>
      <w:r w:rsidRPr="00F60117">
        <w:rPr>
          <w:rFonts w:eastAsia="Times New Roman"/>
          <w:i/>
          <w:color w:val="auto"/>
          <w:szCs w:val="20"/>
        </w:rPr>
        <w:t>:</w:t>
      </w:r>
      <w:r>
        <w:rPr>
          <w:rFonts w:eastAsia="Times New Roman"/>
          <w:i/>
          <w:color w:val="auto"/>
          <w:szCs w:val="20"/>
        </w:rPr>
        <w:tab/>
      </w:r>
      <w:r>
        <w:rPr>
          <w:rFonts w:eastAsia="Times New Roman"/>
          <w:i/>
          <w:color w:val="auto"/>
          <w:szCs w:val="20"/>
        </w:rPr>
        <w:tab/>
      </w:r>
      <w:r>
        <w:rPr>
          <w:rFonts w:eastAsia="Times New Roman"/>
          <w:i/>
          <w:color w:val="auto"/>
          <w:szCs w:val="20"/>
        </w:rPr>
        <w:tab/>
      </w:r>
      <w:r>
        <w:rPr>
          <w:rFonts w:eastAsia="Times New Roman"/>
          <w:i/>
          <w:color w:val="auto"/>
          <w:szCs w:val="20"/>
        </w:rPr>
        <w:tab/>
      </w:r>
      <w:r>
        <w:rPr>
          <w:rFonts w:eastAsia="Times New Roman"/>
          <w:i/>
          <w:color w:val="auto"/>
          <w:szCs w:val="20"/>
        </w:rPr>
        <w:tab/>
        <w:t>9</w:t>
      </w:r>
    </w:p>
    <w:p w:rsidR="00127DF3" w:rsidRDefault="00127DF3" w:rsidP="00F60117">
      <w:pPr>
        <w:rPr>
          <w:rFonts w:ascii="Times New Roman Italic" w:eastAsia="Times New Roman Italic" w:hAnsi="Times New Roman Italic"/>
          <w:i/>
        </w:rPr>
      </w:pPr>
      <w:r>
        <w:rPr>
          <w:rFonts w:ascii="Times New Roman Italic" w:eastAsia="Times New Roman Italic" w:hAnsi="Times New Roman Italic"/>
          <w:i/>
        </w:rPr>
        <w:t>Estimated Number of respondents per session:</w:t>
      </w:r>
      <w:r>
        <w:rPr>
          <w:rFonts w:ascii="Times New Roman Italic" w:eastAsia="Times New Roman Italic" w:hAnsi="Times New Roman Italic"/>
          <w:i/>
        </w:rPr>
        <w:tab/>
        <w:t>25</w:t>
      </w:r>
    </w:p>
    <w:p w:rsidR="00127DF3" w:rsidRDefault="00127DF3" w:rsidP="00127DF3">
      <w:pPr>
        <w:spacing w:after="240"/>
        <w:rPr>
          <w:rFonts w:ascii="Times New Roman Italic" w:eastAsia="Times New Roman Italic" w:hAnsi="Times New Roman Italic"/>
          <w:i/>
        </w:rPr>
      </w:pPr>
      <w:r>
        <w:rPr>
          <w:rFonts w:ascii="Times New Roman Italic" w:eastAsia="Times New Roman Italic" w:hAnsi="Times New Roman Italic"/>
          <w:i/>
        </w:rPr>
        <w:t>Total Estimated Annual Respondents:</w:t>
      </w:r>
      <w:r>
        <w:rPr>
          <w:rFonts w:ascii="Times New Roman Italic" w:eastAsia="Times New Roman Italic" w:hAnsi="Times New Roman Italic"/>
          <w:i/>
        </w:rPr>
        <w:tab/>
      </w:r>
      <w:r>
        <w:rPr>
          <w:rFonts w:ascii="Times New Roman Italic" w:eastAsia="Times New Roman Italic" w:hAnsi="Times New Roman Italic"/>
          <w:i/>
        </w:rPr>
        <w:tab/>
      </w:r>
      <w:r w:rsidRPr="00127DF3">
        <w:rPr>
          <w:rFonts w:ascii="Times New Roman Italic" w:eastAsia="Times New Roman Italic" w:hAnsi="Times New Roman Italic"/>
          <w:i/>
          <w:u w:val="single"/>
        </w:rPr>
        <w:t>225</w:t>
      </w:r>
    </w:p>
    <w:p w:rsidR="00127DF3" w:rsidRDefault="00127DF3" w:rsidP="00F60117">
      <w:pPr>
        <w:rPr>
          <w:rFonts w:eastAsia="Times New Roman"/>
          <w:i/>
          <w:color w:val="auto"/>
          <w:szCs w:val="20"/>
        </w:rPr>
      </w:pPr>
      <w:r>
        <w:rPr>
          <w:rFonts w:eastAsia="Times New Roman"/>
          <w:i/>
          <w:color w:val="auto"/>
          <w:szCs w:val="20"/>
        </w:rPr>
        <w:t>Estimated Time to Respond:</w:t>
      </w:r>
    </w:p>
    <w:p w:rsidR="00127DF3" w:rsidRDefault="00127DF3" w:rsidP="00F60117">
      <w:pPr>
        <w:rPr>
          <w:rFonts w:eastAsia="Times New Roman"/>
          <w:i/>
          <w:color w:val="auto"/>
          <w:szCs w:val="20"/>
        </w:rPr>
      </w:pPr>
      <w:r>
        <w:rPr>
          <w:rFonts w:eastAsia="Times New Roman"/>
          <w:i/>
          <w:color w:val="auto"/>
          <w:szCs w:val="20"/>
        </w:rPr>
        <w:tab/>
        <w:t xml:space="preserve">Listening Sessions - </w:t>
      </w:r>
      <w:r>
        <w:rPr>
          <w:rFonts w:eastAsia="Times New Roman"/>
          <w:i/>
          <w:color w:val="auto"/>
          <w:szCs w:val="20"/>
        </w:rPr>
        <w:tab/>
      </w:r>
      <w:r>
        <w:rPr>
          <w:rFonts w:eastAsia="Times New Roman"/>
          <w:i/>
          <w:color w:val="auto"/>
          <w:szCs w:val="20"/>
        </w:rPr>
        <w:tab/>
        <w:t>2.5 hours</w:t>
      </w:r>
    </w:p>
    <w:p w:rsidR="00E8127F" w:rsidRDefault="00127DF3" w:rsidP="00F60117">
      <w:pPr>
        <w:rPr>
          <w:rFonts w:eastAsia="Times New Roman"/>
          <w:i/>
          <w:color w:val="auto"/>
          <w:szCs w:val="20"/>
        </w:rPr>
      </w:pPr>
      <w:r>
        <w:rPr>
          <w:rFonts w:eastAsia="Times New Roman"/>
          <w:i/>
          <w:color w:val="auto"/>
          <w:szCs w:val="20"/>
        </w:rPr>
        <w:tab/>
        <w:t>Evaluation Survey -</w:t>
      </w:r>
      <w:r>
        <w:rPr>
          <w:rFonts w:eastAsia="Times New Roman"/>
          <w:i/>
          <w:color w:val="auto"/>
          <w:szCs w:val="20"/>
        </w:rPr>
        <w:tab/>
      </w:r>
      <w:r>
        <w:rPr>
          <w:rFonts w:eastAsia="Times New Roman"/>
          <w:i/>
          <w:color w:val="auto"/>
          <w:szCs w:val="20"/>
        </w:rPr>
        <w:tab/>
        <w:t xml:space="preserve"> .25 hours</w:t>
      </w:r>
    </w:p>
    <w:p w:rsidR="00E8127F" w:rsidRDefault="00E8127F" w:rsidP="00E8127F">
      <w:pPr>
        <w:spacing w:after="240"/>
        <w:ind w:firstLine="720"/>
        <w:rPr>
          <w:rFonts w:eastAsia="Times New Roman"/>
          <w:i/>
          <w:color w:val="auto"/>
          <w:szCs w:val="20"/>
        </w:rPr>
      </w:pPr>
      <w:r>
        <w:rPr>
          <w:rFonts w:eastAsia="Times New Roman"/>
          <w:i/>
          <w:color w:val="auto"/>
          <w:szCs w:val="20"/>
        </w:rPr>
        <w:t>Total Estimated Time to Respond</w:t>
      </w:r>
      <w:r>
        <w:rPr>
          <w:rFonts w:eastAsia="Times New Roman"/>
          <w:i/>
          <w:color w:val="auto"/>
          <w:szCs w:val="20"/>
        </w:rPr>
        <w:tab/>
      </w:r>
      <w:r>
        <w:rPr>
          <w:rFonts w:eastAsia="Times New Roman"/>
          <w:i/>
          <w:color w:val="auto"/>
          <w:szCs w:val="20"/>
        </w:rPr>
        <w:tab/>
      </w:r>
      <w:r w:rsidRPr="00E8127F">
        <w:rPr>
          <w:rFonts w:eastAsia="Times New Roman"/>
          <w:i/>
          <w:color w:val="auto"/>
          <w:szCs w:val="20"/>
          <w:u w:val="single"/>
        </w:rPr>
        <w:t>2.75</w:t>
      </w:r>
      <w:r>
        <w:rPr>
          <w:rFonts w:eastAsia="Times New Roman"/>
          <w:i/>
          <w:color w:val="auto"/>
          <w:szCs w:val="20"/>
        </w:rPr>
        <w:t xml:space="preserve"> hours</w:t>
      </w:r>
    </w:p>
    <w:p w:rsidR="00F60117" w:rsidRPr="00F60117" w:rsidRDefault="00E8127F" w:rsidP="00E8127F">
      <w:pPr>
        <w:spacing w:after="240"/>
        <w:rPr>
          <w:rFonts w:eastAsia="Times New Roman"/>
          <w:i/>
          <w:color w:val="auto"/>
          <w:szCs w:val="20"/>
        </w:rPr>
      </w:pPr>
      <w:r>
        <w:rPr>
          <w:rFonts w:eastAsia="Times New Roman"/>
          <w:i/>
          <w:color w:val="auto"/>
          <w:szCs w:val="20"/>
        </w:rPr>
        <w:t>Total Estimated Annual Burden:</w:t>
      </w:r>
      <w:r>
        <w:rPr>
          <w:rFonts w:eastAsia="Times New Roman"/>
          <w:i/>
          <w:color w:val="auto"/>
          <w:szCs w:val="20"/>
        </w:rPr>
        <w:tab/>
      </w:r>
      <w:r>
        <w:rPr>
          <w:rFonts w:eastAsia="Times New Roman"/>
          <w:i/>
          <w:color w:val="auto"/>
          <w:szCs w:val="20"/>
        </w:rPr>
        <w:tab/>
      </w:r>
      <w:r>
        <w:rPr>
          <w:rFonts w:eastAsia="Times New Roman"/>
          <w:i/>
          <w:color w:val="auto"/>
          <w:szCs w:val="20"/>
        </w:rPr>
        <w:tab/>
      </w:r>
      <w:r w:rsidRPr="00E8127F">
        <w:rPr>
          <w:rFonts w:ascii="Times New Roman Italic" w:eastAsia="Times New Roman" w:hAnsi="Times New Roman Italic"/>
          <w:i/>
          <w:color w:val="auto"/>
          <w:szCs w:val="20"/>
          <w:u w:val="double"/>
        </w:rPr>
        <w:t>618.75</w:t>
      </w:r>
      <w:r>
        <w:rPr>
          <w:rFonts w:eastAsia="Times New Roman"/>
          <w:i/>
          <w:color w:val="auto"/>
          <w:szCs w:val="20"/>
        </w:rPr>
        <w:t xml:space="preserve"> hours</w:t>
      </w:r>
    </w:p>
    <w:p w:rsidR="00F60117" w:rsidRPr="00F60117" w:rsidRDefault="00F60117" w:rsidP="00F60117">
      <w:pPr>
        <w:rPr>
          <w:rFonts w:eastAsia="Times New Roman"/>
          <w:color w:val="auto"/>
          <w:szCs w:val="20"/>
        </w:rPr>
      </w:pPr>
    </w:p>
    <w:p w:rsidR="00F60117" w:rsidRPr="00F60117" w:rsidRDefault="00F60117" w:rsidP="00F60117">
      <w:pPr>
        <w:rPr>
          <w:rFonts w:eastAsia="Times New Roman"/>
          <w:color w:val="auto"/>
          <w:szCs w:val="20"/>
        </w:rPr>
      </w:pPr>
      <w:r w:rsidRPr="00F60117">
        <w:rPr>
          <w:rFonts w:eastAsia="Times New Roman"/>
          <w:color w:val="auto"/>
          <w:szCs w:val="20"/>
        </w:rPr>
        <w:t xml:space="preserve">Total estimated </w:t>
      </w:r>
      <w:r w:rsidR="004A23D5">
        <w:rPr>
          <w:rFonts w:eastAsia="Times New Roman"/>
          <w:color w:val="auto"/>
          <w:szCs w:val="20"/>
        </w:rPr>
        <w:t xml:space="preserve">annual </w:t>
      </w:r>
      <w:r w:rsidRPr="00F60117">
        <w:rPr>
          <w:rFonts w:eastAsia="Times New Roman"/>
          <w:color w:val="auto"/>
          <w:szCs w:val="20"/>
        </w:rPr>
        <w:t xml:space="preserve">burden for the collection of this information is </w:t>
      </w:r>
      <w:r w:rsidR="00E8127F">
        <w:rPr>
          <w:rFonts w:eastAsia="Times New Roman"/>
          <w:color w:val="auto"/>
          <w:szCs w:val="20"/>
        </w:rPr>
        <w:t>618.75</w:t>
      </w:r>
      <w:r w:rsidRPr="00F60117">
        <w:rPr>
          <w:rFonts w:eastAsia="Times New Roman"/>
          <w:color w:val="auto"/>
          <w:szCs w:val="20"/>
        </w:rPr>
        <w:t xml:space="preserve"> hours.  If you have any questions, please let me know.  Thank you for your consideration.</w:t>
      </w:r>
    </w:p>
    <w:p w:rsidR="00BF402E" w:rsidRPr="00F60117" w:rsidRDefault="00BF402E" w:rsidP="00F60117"/>
    <w:sectPr w:rsidR="00BF402E" w:rsidRPr="00F60117">
      <w:headerReference w:type="even" r:id="rId7"/>
      <w:headerReference w:type="default" r:id="rId8"/>
      <w:footerReference w:type="even" r:id="rId9"/>
      <w:footerReference w:type="default" r:id="rId10"/>
      <w:headerReference w:type="first" r:id="rId11"/>
      <w:footerReference w:type="first" r:id="rId12"/>
      <w:pgSz w:w="12240" w:h="15840"/>
      <w:pgMar w:top="1872" w:right="1440" w:bottom="1440"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DEE" w:rsidRDefault="00920DEE">
      <w:r>
        <w:separator/>
      </w:r>
    </w:p>
  </w:endnote>
  <w:endnote w:type="continuationSeparator" w:id="0">
    <w:p w:rsidR="00920DEE" w:rsidRDefault="0092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auto"/>
    <w:pitch w:val="variable"/>
    <w:sig w:usb0="00000000" w:usb1="4000207B" w:usb2="00000000" w:usb3="00000000" w:csb0="FFFFFF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Italic">
    <w:panose1 w:val="02020503050405090304"/>
    <w:charset w:val="00"/>
    <w:family w:val="auto"/>
    <w:pitch w:val="variable"/>
    <w:sig w:usb0="A00002EF" w:usb1="4000207B" w:usb2="00000000" w:usb3="00000000" w:csb0="FFFFFFFF" w:csb1="00000000"/>
  </w:font>
  <w:font w:name="Arial Bold">
    <w:panose1 w:val="020B0704020202020204"/>
    <w:charset w:val="00"/>
    <w:family w:val="auto"/>
    <w:pitch w:val="variable"/>
    <w:sig w:usb0="A00002EF" w:usb1="4000207B" w:usb2="00000000" w:usb3="00000000" w:csb0="FFFFFF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DEE" w:rsidRDefault="00920DEE">
      <w:r>
        <w:separator/>
      </w:r>
    </w:p>
  </w:footnote>
  <w:footnote w:type="continuationSeparator" w:id="0">
    <w:p w:rsidR="00920DEE" w:rsidRDefault="00920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5680" behindDoc="1" locked="0" layoutInCell="1" allowOverlap="1" wp14:anchorId="2EB88CAA" wp14:editId="78F9172B">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4.75pt;margin-top:1in;width:196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14:anchorId="06FABC6B" wp14:editId="5C1B08A5">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417.8pt;margin-top:1in;width:116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" filled="f" stroked="f">
              <v:stroke joinstyle="round"/>
              <v:path arrowok="t"/>
              <v:textbox inset="3pt,3pt,3pt,3pt">
                <w:txbxContent>
                  <w:p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3632" behindDoc="1" locked="0" layoutInCell="1" allowOverlap="1" wp14:anchorId="085359B4" wp14:editId="00A4FAE7">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64.75pt;margin-top:1in;width:196pt;height:2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14:anchorId="543A1F59" wp14:editId="54D17259">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r>
                            <w:t>May 7, 2014</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417.8pt;margin-top:1in;width:116pt;height: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" filled="f" stroked="f">
              <v:stroke joinstyle="round"/>
              <v:path arrowok="t"/>
              <v:textbox inset="3pt,3pt,3pt,3pt">
                <w:txbxContent>
                  <w:p w:rsidR="00BF402E" w:rsidRDefault="00BF402E">
                    <w:pPr>
                      <w:jc w:val="right"/>
                      <w:rPr>
                        <w:rFonts w:eastAsia="Times New Roman"/>
                        <w:color w:val="auto"/>
                        <w:sz w:val="20"/>
                        <w:lang w:bidi="x-none"/>
                      </w:rPr>
                    </w:pPr>
                    <w:r>
                      <w:t>May 7, 2014</w:t>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spacing w:line="203" w:lineRule="auto"/>
    </w:pPr>
  </w:p>
  <w:p w:rsidR="00BF402E" w:rsidRDefault="00BF402E">
    <w:pPr>
      <w:spacing w:line="203" w:lineRule="auto"/>
    </w:pPr>
  </w:p>
  <w:p w:rsidR="00BF402E" w:rsidRDefault="00BF402E">
    <w:pPr>
      <w:pStyle w:val="Header1"/>
      <w:rPr>
        <w:rFonts w:ascii="Arial Bold" w:hAnsi="Arial Bold"/>
      </w:rPr>
    </w:pPr>
  </w:p>
  <w:p w:rsidR="00BF402E" w:rsidRDefault="00BF402E">
    <w:pPr>
      <w:pStyle w:val="Header1"/>
      <w:rPr>
        <w:rFonts w:ascii="Arial Bold" w:hAnsi="Arial Bold"/>
      </w:rPr>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7728" behindDoc="1" locked="0" layoutInCell="1" allowOverlap="1" wp14:anchorId="209CF93E" wp14:editId="41127060">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64.8pt;margin-top:53.3pt;width:25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" filled="f" stroked="f">
              <v:stroke joinstyle="round"/>
              <v:path arrowok="t"/>
              <v:textbox inset="0,0,0,0">
                <w:txbxContent>
                  <w:p w:rsidR="00BF402E" w:rsidRDefault="00BF402E">
                    <w:pPr>
                      <w:rPr>
                        <w:rFonts w:eastAsia="Times New Roman"/>
                        <w:color w:val="auto"/>
                        <w:sz w:val="20"/>
                        <w:lang w:bidi="x-none"/>
                      </w:rPr>
                    </w:pPr>
                    <w:r>
                      <w:rPr>
                        <w:rFonts w:ascii="Arial Bold" w:hAnsi="Arial Bold"/>
                        <w:sz w:val="20"/>
                      </w:rPr>
                      <w:t>Federal Deposit Insurance Corporation</w:t>
                    </w: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14:anchorId="7B6DFD32" wp14:editId="45975DB3">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AB5F882"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U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">
              <w10:wrap anchorx="page" anchory="page"/>
            </v:line>
          </w:pict>
        </mc:Fallback>
      </mc:AlternateContent>
    </w:r>
    <w:r>
      <w:rPr>
        <w:noProof/>
      </w:rPr>
      <w:drawing>
        <wp:anchor distT="0" distB="0" distL="114300" distR="114300" simplePos="0" relativeHeight="251659776" behindDoc="1" locked="0" layoutInCell="1" allowOverlap="1" wp14:anchorId="5AF28381" wp14:editId="24ABBFC9">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14:anchorId="6BE94647" wp14:editId="6F39FDD6">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64.8pt;margin-top:64.75pt;width:281.8pt;height:1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14:anchorId="1ECBF819" wp14:editId="11F9AC94">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margin-left:338.4pt;margin-top:66.2pt;width:202.6pt;height:10.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9EF"/>
    <w:rsid w:val="00041821"/>
    <w:rsid w:val="00091AAF"/>
    <w:rsid w:val="000A1EA8"/>
    <w:rsid w:val="000B59D1"/>
    <w:rsid w:val="001011DA"/>
    <w:rsid w:val="00103D4D"/>
    <w:rsid w:val="00124D94"/>
    <w:rsid w:val="00127DF3"/>
    <w:rsid w:val="0018506F"/>
    <w:rsid w:val="001A2298"/>
    <w:rsid w:val="001B770C"/>
    <w:rsid w:val="001C77DF"/>
    <w:rsid w:val="001F0C8F"/>
    <w:rsid w:val="002151CA"/>
    <w:rsid w:val="00217C61"/>
    <w:rsid w:val="00234034"/>
    <w:rsid w:val="00235E11"/>
    <w:rsid w:val="00294C85"/>
    <w:rsid w:val="002969EF"/>
    <w:rsid w:val="002A24F1"/>
    <w:rsid w:val="002D5F73"/>
    <w:rsid w:val="002F4CF1"/>
    <w:rsid w:val="00360D9B"/>
    <w:rsid w:val="003A31E1"/>
    <w:rsid w:val="003C01EF"/>
    <w:rsid w:val="003D321B"/>
    <w:rsid w:val="003E0A8A"/>
    <w:rsid w:val="00401028"/>
    <w:rsid w:val="00423511"/>
    <w:rsid w:val="00471558"/>
    <w:rsid w:val="004A15B5"/>
    <w:rsid w:val="004A23D5"/>
    <w:rsid w:val="004A2C97"/>
    <w:rsid w:val="004A3101"/>
    <w:rsid w:val="004A49E7"/>
    <w:rsid w:val="004D08A6"/>
    <w:rsid w:val="004D377C"/>
    <w:rsid w:val="00506AFA"/>
    <w:rsid w:val="005523B4"/>
    <w:rsid w:val="005712A5"/>
    <w:rsid w:val="00572D23"/>
    <w:rsid w:val="00592AE6"/>
    <w:rsid w:val="005B4878"/>
    <w:rsid w:val="005D7477"/>
    <w:rsid w:val="006135A6"/>
    <w:rsid w:val="0062607F"/>
    <w:rsid w:val="00634775"/>
    <w:rsid w:val="006D7A10"/>
    <w:rsid w:val="00700560"/>
    <w:rsid w:val="00737C13"/>
    <w:rsid w:val="00752659"/>
    <w:rsid w:val="007C7CD8"/>
    <w:rsid w:val="007E6ADD"/>
    <w:rsid w:val="008231A1"/>
    <w:rsid w:val="008D19B9"/>
    <w:rsid w:val="008D303D"/>
    <w:rsid w:val="00920DEE"/>
    <w:rsid w:val="00936FDF"/>
    <w:rsid w:val="00995B1D"/>
    <w:rsid w:val="00997D46"/>
    <w:rsid w:val="009A28D8"/>
    <w:rsid w:val="009B2F12"/>
    <w:rsid w:val="009B787B"/>
    <w:rsid w:val="009E4BF9"/>
    <w:rsid w:val="009F7DE9"/>
    <w:rsid w:val="00A026B6"/>
    <w:rsid w:val="00A1338E"/>
    <w:rsid w:val="00A21AFE"/>
    <w:rsid w:val="00A34542"/>
    <w:rsid w:val="00A95EBD"/>
    <w:rsid w:val="00AC7767"/>
    <w:rsid w:val="00AD2CDD"/>
    <w:rsid w:val="00B320F6"/>
    <w:rsid w:val="00B44100"/>
    <w:rsid w:val="00B46249"/>
    <w:rsid w:val="00B61B73"/>
    <w:rsid w:val="00BA4D29"/>
    <w:rsid w:val="00BC7FFB"/>
    <w:rsid w:val="00BF402E"/>
    <w:rsid w:val="00C33312"/>
    <w:rsid w:val="00C46A38"/>
    <w:rsid w:val="00C55694"/>
    <w:rsid w:val="00CD0E8C"/>
    <w:rsid w:val="00D2432A"/>
    <w:rsid w:val="00D24551"/>
    <w:rsid w:val="00D43735"/>
    <w:rsid w:val="00D90B94"/>
    <w:rsid w:val="00D91F61"/>
    <w:rsid w:val="00DF0133"/>
    <w:rsid w:val="00E05068"/>
    <w:rsid w:val="00E07CD5"/>
    <w:rsid w:val="00E21631"/>
    <w:rsid w:val="00E64FC7"/>
    <w:rsid w:val="00E8127F"/>
    <w:rsid w:val="00EA4629"/>
    <w:rsid w:val="00EC7D3E"/>
    <w:rsid w:val="00ED2B9D"/>
    <w:rsid w:val="00EF1957"/>
    <w:rsid w:val="00EF4558"/>
    <w:rsid w:val="00F06A97"/>
    <w:rsid w:val="00F13331"/>
    <w:rsid w:val="00F46D50"/>
    <w:rsid w:val="00F529DB"/>
    <w:rsid w:val="00F60117"/>
    <w:rsid w:val="00FC1FBC"/>
    <w:rsid w:val="00FE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2019-09-18T13:16:00Z</dcterms:created>
  <dcterms:modified xsi:type="dcterms:W3CDTF">2019-09-18T13:16:00Z</dcterms:modified>
</cp:coreProperties>
</file>