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C3" w:rsidRDefault="00A909C3" w:rsidP="004F23B4">
      <w:pPr>
        <w:pStyle w:val="Cell"/>
        <w:tabs>
          <w:tab w:val="left" w:pos="540"/>
          <w:tab w:val="left" w:pos="1080"/>
          <w:tab w:val="left" w:pos="6480"/>
          <w:tab w:val="left" w:pos="7920"/>
        </w:tabs>
        <w:ind w:right="360"/>
        <w:jc w:val="center"/>
        <w:rPr>
          <w:rFonts w:ascii="Times New Roman" w:hAnsi="Times New Roman"/>
          <w:noProof w:val="0"/>
        </w:rPr>
      </w:pPr>
      <w:r w:rsidRPr="00A909C3">
        <w:rPr>
          <w:rFonts w:ascii="Times New Roman" w:hAnsi="Times New Roman"/>
          <w:b/>
          <w:bCs/>
          <w:noProof w:val="0"/>
        </w:rPr>
        <w:t>Substitute Blocks for Unit Rate, Weighted Average, or</w:t>
      </w:r>
      <w:r>
        <w:rPr>
          <w:rFonts w:ascii="Times New Roman" w:hAnsi="Times New Roman"/>
          <w:b/>
          <w:bCs/>
          <w:noProof w:val="0"/>
        </w:rPr>
        <w:t xml:space="preserve"> </w:t>
      </w:r>
      <w:r w:rsidRPr="00A909C3">
        <w:rPr>
          <w:rFonts w:ascii="Times New Roman" w:hAnsi="Times New Roman"/>
          <w:b/>
          <w:bCs/>
          <w:noProof w:val="0"/>
        </w:rPr>
        <w:t>Total Sale Value Bidding</w:t>
      </w:r>
      <w:bookmarkStart w:id="0" w:name="_GoBack"/>
      <w:bookmarkEnd w:id="0"/>
    </w:p>
    <w:p w:rsidR="00A909C3" w:rsidRDefault="00A909C3" w:rsidP="004F23B4">
      <w:pPr>
        <w:pStyle w:val="Cell"/>
        <w:tabs>
          <w:tab w:val="left" w:pos="540"/>
          <w:tab w:val="left" w:pos="1080"/>
          <w:tab w:val="left" w:pos="6480"/>
          <w:tab w:val="left" w:pos="7920"/>
        </w:tabs>
        <w:ind w:right="360"/>
        <w:rPr>
          <w:rFonts w:ascii="Times New Roman" w:hAnsi="Times New Roman"/>
          <w:noProof w:val="0"/>
        </w:rPr>
      </w:pPr>
    </w:p>
    <w:p w:rsidR="00E955B5" w:rsidRDefault="00E955B5" w:rsidP="004F23B4">
      <w:pPr>
        <w:pStyle w:val="Cell"/>
        <w:tabs>
          <w:tab w:val="left" w:pos="540"/>
          <w:tab w:val="left" w:pos="1080"/>
          <w:tab w:val="left" w:pos="6480"/>
          <w:tab w:val="left" w:pos="7920"/>
        </w:tabs>
        <w:ind w:right="360"/>
        <w:rPr>
          <w:rFonts w:ascii="Times New Roman" w:hAnsi="Times New Roman"/>
          <w:noProof w:val="0"/>
        </w:rPr>
      </w:pPr>
      <w:r>
        <w:rPr>
          <w:rFonts w:ascii="Times New Roman" w:hAnsi="Times New Roman"/>
          <w:noProof w:val="0"/>
        </w:rPr>
        <w:t>Substitute the following block A when sale contains specified roads to a higher standard than is needed to remove timber and the specified road construction cost is $50,000 or greater:</w:t>
      </w: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 X Box if Bidder is a small business and wishes to have Forest Service construct all specified roads.</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 X Box if Bidder wishes to have Forest Service construct only the </w:t>
            </w:r>
            <w:r>
              <w:rPr>
                <w:rFonts w:ascii="Arial" w:hAnsi="Arial" w:cs="Arial"/>
                <w:color w:val="auto"/>
                <w:sz w:val="16"/>
                <w:szCs w:val="20"/>
              </w:rPr>
              <w:t xml:space="preserve">higher standard segments of the </w:t>
            </w:r>
            <w:r>
              <w:rPr>
                <w:rFonts w:ascii="Arial" w:hAnsi="Arial" w:cs="Arial"/>
                <w:noProof w:val="0"/>
                <w:sz w:val="16"/>
                <w:szCs w:val="16"/>
              </w:rPr>
              <w:t>specified roads listed in instruction 13.</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You may not change an election once made.  Failure to mark box constitutes agreement to build roads.  Election may not be changed subsequent to time set for opening bids (See also Instructions 11 and 13).                                         </w:t>
            </w:r>
          </w:p>
        </w:tc>
      </w:tr>
    </w:tbl>
    <w:p w:rsidR="00E955B5" w:rsidRDefault="00E955B5">
      <w:pPr>
        <w:widowControl/>
        <w:tabs>
          <w:tab w:val="left" w:pos="540"/>
          <w:tab w:val="left" w:pos="1080"/>
          <w:tab w:val="left" w:pos="6480"/>
          <w:tab w:val="left" w:pos="7920"/>
        </w:tabs>
        <w:ind w:left="360" w:right="360"/>
        <w:rPr>
          <w:rFonts w:ascii="Times New Roman" w:hAnsi="Times New Roman"/>
          <w:noProof w:val="0"/>
          <w:sz w:val="16"/>
        </w:rPr>
      </w:pP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r>
        <w:rPr>
          <w:rFonts w:ascii="Times New Roman" w:hAnsi="Times New Roman"/>
          <w:noProof w:val="0"/>
        </w:rPr>
        <w:t>Substitute the following block B when sale contains specified roads to a higher standard than is needed to remove timber and the specified road construction cost is less than $50,000:</w:t>
      </w:r>
    </w:p>
    <w:p w:rsidR="00E955B5" w:rsidRDefault="00E955B5">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 X Box if Bidder wishes to have Forest Service construct only the </w:t>
            </w:r>
            <w:r>
              <w:rPr>
                <w:rFonts w:ascii="Arial" w:hAnsi="Arial" w:cs="Arial"/>
                <w:color w:val="auto"/>
                <w:sz w:val="16"/>
                <w:szCs w:val="20"/>
              </w:rPr>
              <w:t>higher standard segments of</w:t>
            </w:r>
            <w:r>
              <w:rPr>
                <w:rFonts w:ascii="Arial" w:hAnsi="Arial" w:cs="Arial"/>
                <w:noProof w:val="0"/>
                <w:sz w:val="16"/>
                <w:szCs w:val="16"/>
              </w:rPr>
              <w:t xml:space="preserve"> the specified roads listed in instruction 13.</w:t>
            </w:r>
          </w:p>
          <w:p w:rsidR="00E955B5" w:rsidRDefault="00E955B5">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You may not change an election once made.  Failure to mark box constitutes agreement to build roads.  Election may not be changed subsequent to time set for opening bids (See also Instructions 11 and 13).</w:t>
            </w:r>
          </w:p>
        </w:tc>
      </w:tr>
    </w:tbl>
    <w:p w:rsidR="00E955B5" w:rsidRDefault="00E955B5">
      <w:pPr>
        <w:widowControl/>
        <w:ind w:left="360" w:right="720"/>
        <w:rPr>
          <w:rFonts w:ascii="Times New Roman" w:hAnsi="Times New Roman"/>
          <w:noProof w:val="0"/>
        </w:rPr>
      </w:pPr>
    </w:p>
    <w:p w:rsidR="00E955B5" w:rsidRDefault="00E955B5">
      <w:pPr>
        <w:widowControl/>
        <w:ind w:left="360" w:right="720"/>
        <w:rPr>
          <w:rFonts w:ascii="Times New Roman" w:hAnsi="Times New Roman"/>
          <w:noProof w:val="0"/>
        </w:rPr>
      </w:pPr>
      <w:r>
        <w:rPr>
          <w:rFonts w:ascii="Times New Roman" w:hAnsi="Times New Roman"/>
          <w:noProof w:val="0"/>
        </w:rPr>
        <w:t>Substitute for Region 10.</w:t>
      </w:r>
    </w:p>
    <w:p w:rsidR="00E955B5" w:rsidRDefault="00E955B5">
      <w:pPr>
        <w:widowControl/>
        <w:tabs>
          <w:tab w:val="left" w:pos="540"/>
          <w:tab w:val="left" w:pos="1080"/>
          <w:tab w:val="left" w:pos="6480"/>
          <w:tab w:val="left" w:pos="7920"/>
        </w:tabs>
        <w:ind w:left="360" w:right="360"/>
        <w:rPr>
          <w:rFonts w:ascii="Times New Roman" w:hAnsi="Times New Roman"/>
          <w:noProof w:val="0"/>
        </w:rPr>
      </w:pPr>
    </w:p>
    <w:tbl>
      <w:tblPr>
        <w:tblW w:w="0" w:type="auto"/>
        <w:tblInd w:w="426" w:type="dxa"/>
        <w:tblLayout w:type="fixed"/>
        <w:tblCellMar>
          <w:left w:w="0" w:type="dxa"/>
          <w:right w:w="0" w:type="dxa"/>
        </w:tblCellMar>
        <w:tblLook w:val="0000" w:firstRow="0" w:lastRow="0" w:firstColumn="0" w:lastColumn="0" w:noHBand="0" w:noVBand="0"/>
      </w:tblPr>
      <w:tblGrid>
        <w:gridCol w:w="9360"/>
      </w:tblGrid>
      <w:tr w:rsidR="00E955B5">
        <w:tc>
          <w:tcPr>
            <w:tcW w:w="9360" w:type="dxa"/>
            <w:tcBorders>
              <w:top w:val="single" w:sz="2" w:space="0" w:color="000000"/>
              <w:left w:val="single" w:sz="2" w:space="0" w:color="000000"/>
              <w:bottom w:val="single" w:sz="2" w:space="0" w:color="000000"/>
              <w:right w:val="single" w:sz="2" w:space="0" w:color="000000"/>
            </w:tcBorders>
          </w:tcPr>
          <w:p w:rsidR="00E955B5" w:rsidRDefault="00E955B5">
            <w:pPr>
              <w:widowControl/>
              <w:ind w:left="72" w:right="72"/>
              <w:jc w:val="both"/>
              <w:rPr>
                <w:rFonts w:ascii="Arial" w:hAnsi="Arial" w:cs="Arial"/>
                <w:noProof w:val="0"/>
                <w:sz w:val="16"/>
              </w:rPr>
            </w:pPr>
            <w:r>
              <w:rPr>
                <w:rFonts w:ascii="Arial" w:hAnsi="Arial" w:cs="Arial"/>
                <w:b/>
                <w:bCs/>
                <w:noProof w:val="0"/>
                <w:sz w:val="16"/>
                <w:szCs w:val="16"/>
              </w:rPr>
              <w:t xml:space="preserve">25.  SMALL BUSINESS SET-ASIDE </w:t>
            </w:r>
            <w:smartTag w:uri="urn:schemas-microsoft-com:office:smarttags" w:element="place">
              <w:smartTag w:uri="urn:schemas-microsoft-com:office:smarttags" w:element="City">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Section 15 of the Small Business Act of 1958 authorizes award of this sale to a qualified small business as stated in 13 CFR 121.507.  If the Contracting Officer or another interested party questions the representation of the high bidder within 5 working days of bid opening, the Contracting Officer may defer award of this sale pending consideration by the Small Business Administration.  </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 xml:space="preserve">In addition to certifying Bidder's small business status, small businesses awarded set-aside sales will also be required to execute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  </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a.  In sales of National Forest timber, a small business is a concern that is primarily engaged in the logging or forest products industry, is independently owned and operated, is not dominant in its field of operation, and together with its affiliates, does not employ more than 500 persons.</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b.  In sales of National Forest timber with any part to be resold, a small business is a concern that meets the requirements of item (a), above, and agrees that it will not sell or exchange more than 50 percent of the advertised sawtimber quantities to a concern that does not qualify as small business.</w:t>
            </w:r>
          </w:p>
          <w:p w:rsidR="00E955B5" w:rsidRDefault="00E955B5">
            <w:pPr>
              <w:widowControl/>
              <w:ind w:left="72" w:right="72"/>
              <w:jc w:val="both"/>
              <w:rPr>
                <w:rFonts w:ascii="Arial" w:hAnsi="Arial" w:cs="Arial"/>
                <w:noProof w:val="0"/>
                <w:sz w:val="16"/>
              </w:rPr>
            </w:pPr>
          </w:p>
          <w:p w:rsidR="00E955B5" w:rsidRDefault="00E955B5">
            <w:pPr>
              <w:widowControl/>
              <w:ind w:left="72" w:right="72" w:firstLine="360"/>
              <w:jc w:val="both"/>
              <w:rPr>
                <w:rFonts w:ascii="Arial" w:hAnsi="Arial" w:cs="Arial"/>
                <w:noProof w:val="0"/>
                <w:sz w:val="16"/>
              </w:rPr>
            </w:pPr>
            <w:r>
              <w:rPr>
                <w:rFonts w:ascii="Arial" w:hAnsi="Arial" w:cs="Arial"/>
                <w:noProof w:val="0"/>
                <w:sz w:val="16"/>
                <w:szCs w:val="16"/>
              </w:rPr>
              <w:t>c.  In sales of National Forest timber not to be resold for manufacture into lumber and timbers, a concern is a small business when it meets the requirements of item (a) above, and it agrees that in manufacturing lumber or timbers from National Forest timber, it will do so only with its own facilities or those of concerns that qualify as small businesses.</w:t>
            </w:r>
          </w:p>
        </w:tc>
      </w:tr>
    </w:tbl>
    <w:p w:rsidR="00E955B5" w:rsidRDefault="00E955B5">
      <w:pPr>
        <w:widowControl/>
        <w:ind w:left="360"/>
      </w:pPr>
    </w:p>
    <w:sectPr w:rsidR="00E955B5">
      <w:headerReference w:type="default" r:id="rId6"/>
      <w:footerReference w:type="default" r:id="rId7"/>
      <w:type w:val="continuous"/>
      <w:pgSz w:w="12240" w:h="15840"/>
      <w:pgMar w:top="144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8B" w:rsidRDefault="00D1358B">
      <w:r>
        <w:separator/>
      </w:r>
    </w:p>
  </w:endnote>
  <w:endnote w:type="continuationSeparator" w:id="0">
    <w:p w:rsidR="00D1358B" w:rsidRDefault="00D1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92946"/>
      <w:docPartObj>
        <w:docPartGallery w:val="Page Numbers (Bottom of Page)"/>
        <w:docPartUnique/>
      </w:docPartObj>
    </w:sdtPr>
    <w:sdtEndPr/>
    <w:sdtContent>
      <w:sdt>
        <w:sdtPr>
          <w:id w:val="98381352"/>
          <w:docPartObj>
            <w:docPartGallery w:val="Page Numbers (Top of Page)"/>
            <w:docPartUnique/>
          </w:docPartObj>
        </w:sdtPr>
        <w:sdtEndPr/>
        <w:sdtContent>
          <w:p w:rsidR="00A909C3" w:rsidRDefault="00A909C3" w:rsidP="00A909C3">
            <w:pPr>
              <w:pStyle w:val="Footer"/>
              <w:jc w:val="center"/>
            </w:pPr>
            <w:r w:rsidRPr="00A909C3">
              <w:rPr>
                <w:rFonts w:ascii="Arial" w:hAnsi="Arial" w:cs="Arial"/>
                <w:sz w:val="16"/>
                <w:szCs w:val="16"/>
              </w:rPr>
              <w:t xml:space="preserve">Page </w:t>
            </w:r>
            <w:r w:rsidRPr="00A909C3">
              <w:rPr>
                <w:rFonts w:ascii="Arial" w:hAnsi="Arial" w:cs="Arial"/>
                <w:b/>
                <w:bCs/>
                <w:sz w:val="16"/>
                <w:szCs w:val="16"/>
              </w:rPr>
              <w:fldChar w:fldCharType="begin"/>
            </w:r>
            <w:r w:rsidRPr="00A909C3">
              <w:rPr>
                <w:rFonts w:ascii="Arial" w:hAnsi="Arial" w:cs="Arial"/>
                <w:b/>
                <w:bCs/>
                <w:sz w:val="16"/>
                <w:szCs w:val="16"/>
              </w:rPr>
              <w:instrText xml:space="preserve"> PAGE </w:instrText>
            </w:r>
            <w:r w:rsidRPr="00A909C3">
              <w:rPr>
                <w:rFonts w:ascii="Arial" w:hAnsi="Arial" w:cs="Arial"/>
                <w:b/>
                <w:bCs/>
                <w:sz w:val="16"/>
                <w:szCs w:val="16"/>
              </w:rPr>
              <w:fldChar w:fldCharType="separate"/>
            </w:r>
            <w:r w:rsidR="004C037D">
              <w:rPr>
                <w:rFonts w:ascii="Arial" w:hAnsi="Arial" w:cs="Arial"/>
                <w:b/>
                <w:bCs/>
                <w:sz w:val="16"/>
                <w:szCs w:val="16"/>
              </w:rPr>
              <w:t>1</w:t>
            </w:r>
            <w:r w:rsidRPr="00A909C3">
              <w:rPr>
                <w:rFonts w:ascii="Arial" w:hAnsi="Arial" w:cs="Arial"/>
                <w:b/>
                <w:bCs/>
                <w:sz w:val="16"/>
                <w:szCs w:val="16"/>
              </w:rPr>
              <w:fldChar w:fldCharType="end"/>
            </w:r>
            <w:r w:rsidRPr="00A909C3">
              <w:rPr>
                <w:rFonts w:ascii="Arial" w:hAnsi="Arial" w:cs="Arial"/>
                <w:sz w:val="16"/>
                <w:szCs w:val="16"/>
              </w:rPr>
              <w:t xml:space="preserve"> of </w:t>
            </w:r>
            <w:r w:rsidRPr="00A909C3">
              <w:rPr>
                <w:rFonts w:ascii="Arial" w:hAnsi="Arial" w:cs="Arial"/>
                <w:b/>
                <w:bCs/>
                <w:sz w:val="16"/>
                <w:szCs w:val="16"/>
              </w:rPr>
              <w:fldChar w:fldCharType="begin"/>
            </w:r>
            <w:r w:rsidRPr="00A909C3">
              <w:rPr>
                <w:rFonts w:ascii="Arial" w:hAnsi="Arial" w:cs="Arial"/>
                <w:b/>
                <w:bCs/>
                <w:sz w:val="16"/>
                <w:szCs w:val="16"/>
              </w:rPr>
              <w:instrText xml:space="preserve"> NUMPAGES  </w:instrText>
            </w:r>
            <w:r w:rsidRPr="00A909C3">
              <w:rPr>
                <w:rFonts w:ascii="Arial" w:hAnsi="Arial" w:cs="Arial"/>
                <w:b/>
                <w:bCs/>
                <w:sz w:val="16"/>
                <w:szCs w:val="16"/>
              </w:rPr>
              <w:fldChar w:fldCharType="separate"/>
            </w:r>
            <w:r w:rsidR="004C037D">
              <w:rPr>
                <w:rFonts w:ascii="Arial" w:hAnsi="Arial" w:cs="Arial"/>
                <w:b/>
                <w:bCs/>
                <w:sz w:val="16"/>
                <w:szCs w:val="16"/>
              </w:rPr>
              <w:t>1</w:t>
            </w:r>
            <w:r w:rsidRPr="00A909C3">
              <w:rPr>
                <w:rFonts w:ascii="Arial" w:hAnsi="Arial" w:cs="Arial"/>
                <w:b/>
                <w:bCs/>
                <w:sz w:val="16"/>
                <w:szCs w:val="16"/>
              </w:rPr>
              <w:fldChar w:fldCharType="end"/>
            </w:r>
          </w:p>
        </w:sdtContent>
      </w:sdt>
    </w:sdtContent>
  </w:sdt>
  <w:p w:rsidR="00A909C3" w:rsidRDefault="00A9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8B" w:rsidRDefault="00D1358B">
      <w:r>
        <w:separator/>
      </w:r>
    </w:p>
  </w:footnote>
  <w:footnote w:type="continuationSeparator" w:id="0">
    <w:p w:rsidR="00D1358B" w:rsidRDefault="00D1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B5" w:rsidRDefault="00A909C3">
    <w:pPr>
      <w:widowControl/>
      <w:tabs>
        <w:tab w:val="left" w:pos="6840"/>
      </w:tabs>
      <w:ind w:left="360"/>
      <w:rPr>
        <w:rFonts w:ascii="Arial" w:hAnsi="Arial" w:cs="Arial"/>
      </w:rPr>
    </w:pPr>
    <w:r w:rsidRPr="00A909C3">
      <w:rPr>
        <w:rFonts w:ascii="Arial" w:hAnsi="Arial" w:cs="Arial"/>
        <w:bCs/>
        <w:sz w:val="16"/>
        <w:szCs w:val="16"/>
      </w:rPr>
      <w:t>USDA Forest Service</w:t>
    </w:r>
    <w:r w:rsidR="00E955B5">
      <w:rPr>
        <w:rFonts w:ascii="Arial" w:hAnsi="Arial" w:cs="Arial"/>
      </w:rPr>
      <w:t xml:space="preserve">                           </w:t>
    </w:r>
    <w:r w:rsidR="00E955B5">
      <w:rPr>
        <w:rFonts w:ascii="Arial" w:hAnsi="Arial" w:cs="Arial"/>
      </w:rPr>
      <w:tab/>
    </w:r>
    <w:r>
      <w:rPr>
        <w:rFonts w:ascii="Arial" w:hAnsi="Arial" w:cs="Arial"/>
      </w:rPr>
      <w:t xml:space="preserve">        </w:t>
    </w:r>
    <w:r w:rsidR="00E955B5">
      <w:rPr>
        <w:rFonts w:ascii="Arial" w:hAnsi="Arial" w:cs="Arial"/>
        <w:sz w:val="16"/>
        <w:szCs w:val="16"/>
      </w:rPr>
      <w:t>FS-2400-14 (</w:t>
    </w:r>
    <w:r w:rsidR="004C037D">
      <w:rPr>
        <w:rFonts w:ascii="Arial" w:hAnsi="Arial" w:cs="Arial"/>
        <w:sz w:val="16"/>
        <w:szCs w:val="16"/>
      </w:rPr>
      <w:t>v 03/2017</w:t>
    </w:r>
    <w:r w:rsidR="00E955B5">
      <w:rPr>
        <w:rFonts w:ascii="Arial" w:hAnsi="Arial" w:cs="Arial"/>
        <w:sz w:val="16"/>
        <w:szCs w:val="16"/>
      </w:rPr>
      <w:t xml:space="preserve">) </w:t>
    </w:r>
  </w:p>
  <w:p w:rsidR="00E955B5" w:rsidRDefault="00E955B5">
    <w:pPr>
      <w:pStyle w:val="HdrFtr"/>
      <w:widowControl/>
      <w:tabs>
        <w:tab w:val="clear" w:pos="5040"/>
        <w:tab w:val="left" w:pos="6840"/>
      </w:tabs>
      <w:ind w:left="360"/>
      <w:rPr>
        <w:rFonts w:ascii="Arial" w:hAnsi="Arial" w:cs="Arial"/>
      </w:rPr>
    </w:pPr>
    <w:r>
      <w:rPr>
        <w:rFonts w:ascii="Arial" w:hAnsi="Arial" w:cs="Arial"/>
        <w:b/>
        <w:bCs/>
        <w:sz w:val="16"/>
        <w:szCs w:val="16"/>
      </w:rPr>
      <w:tab/>
    </w:r>
    <w:r>
      <w:rPr>
        <w:rFonts w:ascii="Arial" w:hAnsi="Arial" w:cs="Arial"/>
        <w:sz w:val="16"/>
        <w:szCs w:val="16"/>
      </w:rPr>
      <w:t xml:space="preserve">OMB No. 0596-0066 Exp. </w:t>
    </w:r>
    <w:r w:rsidR="00915D1E">
      <w:rPr>
        <w:rFonts w:ascii="Arial" w:hAnsi="Arial" w:cs="Arial"/>
        <w:sz w:val="16"/>
        <w:szCs w:val="16"/>
      </w:rPr>
      <w:t>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7F"/>
    <w:rsid w:val="003C3F7F"/>
    <w:rsid w:val="004C037D"/>
    <w:rsid w:val="004D4021"/>
    <w:rsid w:val="004F23B4"/>
    <w:rsid w:val="0050115E"/>
    <w:rsid w:val="008473D9"/>
    <w:rsid w:val="00915D1E"/>
    <w:rsid w:val="00A909C3"/>
    <w:rsid w:val="00B7133E"/>
    <w:rsid w:val="00BB73DC"/>
    <w:rsid w:val="00D1358B"/>
    <w:rsid w:val="00E30A91"/>
    <w:rsid w:val="00E955B5"/>
    <w:rsid w:val="00FA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EB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A909C3"/>
    <w:rPr>
      <w:rFonts w:ascii="Tahoma" w:hAnsi="Tahoma" w:cs="Tahoma"/>
      <w:sz w:val="16"/>
      <w:szCs w:val="16"/>
    </w:rPr>
  </w:style>
  <w:style w:type="character" w:customStyle="1" w:styleId="BalloonTextChar">
    <w:name w:val="Balloon Text Char"/>
    <w:basedOn w:val="DefaultParagraphFont"/>
    <w:link w:val="BalloonText"/>
    <w:rsid w:val="00A909C3"/>
    <w:rPr>
      <w:rFonts w:ascii="Tahoma" w:hAnsi="Tahoma" w:cs="Tahoma"/>
      <w:noProof/>
      <w:color w:val="000000"/>
      <w:sz w:val="16"/>
      <w:szCs w:val="16"/>
    </w:rPr>
  </w:style>
  <w:style w:type="character" w:customStyle="1" w:styleId="FooterChar">
    <w:name w:val="Footer Char"/>
    <w:basedOn w:val="DefaultParagraphFont"/>
    <w:link w:val="Footer"/>
    <w:uiPriority w:val="99"/>
    <w:rsid w:val="00A909C3"/>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2013-03-07T18:14:00Z</dcterms:created>
  <dcterms:modified xsi:type="dcterms:W3CDTF">2017-06-12T13:52:00Z</dcterms:modified>
</cp:coreProperties>
</file>