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87F10" w14:textId="2CA7451C" w:rsidR="006F4FC9" w:rsidRPr="00E77692" w:rsidRDefault="006F4FC9" w:rsidP="006F4FC9">
      <w:pPr>
        <w:tabs>
          <w:tab w:val="center" w:pos="4680"/>
        </w:tabs>
        <w:spacing w:after="240"/>
        <w:jc w:val="center"/>
        <w:rPr>
          <w:rFonts w:asciiTheme="minorHAnsi" w:hAnsiTheme="minorHAnsi"/>
          <w:b/>
          <w:bCs/>
          <w:sz w:val="28"/>
          <w:szCs w:val="22"/>
        </w:rPr>
      </w:pPr>
      <w:bookmarkStart w:id="0" w:name="_GoBack"/>
      <w:bookmarkEnd w:id="0"/>
      <w:r w:rsidRPr="00E77692">
        <w:rPr>
          <w:rFonts w:asciiTheme="minorHAnsi" w:hAnsiTheme="minorHAnsi"/>
          <w:b/>
          <w:bCs/>
          <w:sz w:val="28"/>
          <w:szCs w:val="22"/>
        </w:rPr>
        <w:t xml:space="preserve">Supporting Statement </w:t>
      </w:r>
      <w:r>
        <w:rPr>
          <w:rFonts w:asciiTheme="minorHAnsi" w:hAnsiTheme="minorHAnsi"/>
          <w:b/>
          <w:bCs/>
          <w:sz w:val="28"/>
          <w:szCs w:val="22"/>
        </w:rPr>
        <w:t>B</w:t>
      </w:r>
    </w:p>
    <w:p w14:paraId="0A1F863F" w14:textId="77777777" w:rsidR="006F4FC9" w:rsidRPr="00E77692" w:rsidRDefault="006F4FC9" w:rsidP="006F4FC9">
      <w:pPr>
        <w:pStyle w:val="NoSpacing"/>
        <w:jc w:val="center"/>
        <w:rPr>
          <w:b/>
          <w:sz w:val="28"/>
        </w:rPr>
      </w:pPr>
      <w:r w:rsidRPr="00E77692">
        <w:rPr>
          <w:b/>
          <w:sz w:val="28"/>
        </w:rPr>
        <w:t>Title V Maternal and Child Health (MCH) Block Grant Jurisdictional MCH Survey Instrument</w:t>
      </w:r>
    </w:p>
    <w:p w14:paraId="766DD50F" w14:textId="77777777" w:rsidR="006F4FC9" w:rsidRPr="00E77692" w:rsidRDefault="006F4FC9" w:rsidP="006F4FC9">
      <w:pPr>
        <w:tabs>
          <w:tab w:val="center" w:pos="4680"/>
        </w:tabs>
        <w:spacing w:before="120"/>
        <w:jc w:val="center"/>
        <w:rPr>
          <w:rFonts w:asciiTheme="minorHAnsi" w:hAnsiTheme="minorHAnsi"/>
          <w:b/>
          <w:bCs/>
          <w:sz w:val="28"/>
          <w:szCs w:val="22"/>
        </w:rPr>
      </w:pPr>
      <w:r w:rsidRPr="00E77692">
        <w:rPr>
          <w:rFonts w:asciiTheme="minorHAnsi" w:hAnsiTheme="minorHAnsi"/>
          <w:b/>
          <w:bCs/>
          <w:sz w:val="28"/>
          <w:szCs w:val="22"/>
        </w:rPr>
        <w:t>OMB Control No. 0915-0379</w:t>
      </w:r>
    </w:p>
    <w:p w14:paraId="7733CBBD" w14:textId="77777777" w:rsidR="00D142C6" w:rsidRPr="005151E7" w:rsidRDefault="00D142C6" w:rsidP="001568CA">
      <w:pPr>
        <w:tabs>
          <w:tab w:val="center" w:pos="4680"/>
        </w:tabs>
        <w:jc w:val="center"/>
        <w:rPr>
          <w:rFonts w:asciiTheme="minorHAnsi" w:hAnsiTheme="minorHAnsi"/>
          <w:b/>
          <w:sz w:val="22"/>
          <w:szCs w:val="22"/>
        </w:rPr>
      </w:pPr>
    </w:p>
    <w:p w14:paraId="369DB06F" w14:textId="649C2299" w:rsidR="000A1032" w:rsidRDefault="00AB1ED1" w:rsidP="005151E7">
      <w:pPr>
        <w:pStyle w:val="Heading1"/>
        <w:spacing w:before="120" w:after="120"/>
        <w:rPr>
          <w:rFonts w:asciiTheme="minorHAnsi" w:hAnsiTheme="minorHAnsi"/>
          <w:sz w:val="22"/>
          <w:szCs w:val="22"/>
        </w:rPr>
      </w:pPr>
      <w:bookmarkStart w:id="1" w:name="_Toc509998945"/>
      <w:r w:rsidRPr="005151E7">
        <w:rPr>
          <w:rFonts w:asciiTheme="minorHAnsi" w:hAnsiTheme="minorHAnsi"/>
          <w:sz w:val="22"/>
          <w:szCs w:val="22"/>
        </w:rPr>
        <w:t>B. Collection</w:t>
      </w:r>
      <w:r w:rsidR="00844607" w:rsidRPr="005151E7">
        <w:rPr>
          <w:rFonts w:asciiTheme="minorHAnsi" w:hAnsiTheme="minorHAnsi"/>
          <w:sz w:val="22"/>
          <w:szCs w:val="22"/>
        </w:rPr>
        <w:t xml:space="preserve"> of Information Employing Statistical Methods</w:t>
      </w:r>
      <w:bookmarkEnd w:id="1"/>
    </w:p>
    <w:p w14:paraId="004C0A6D" w14:textId="77777777" w:rsidR="00D709C9" w:rsidRPr="00D709C9" w:rsidRDefault="00D709C9" w:rsidP="00D709C9"/>
    <w:p w14:paraId="1D75C2D1" w14:textId="2FD86EA1" w:rsidR="00177B05" w:rsidRPr="005151E7" w:rsidRDefault="000A1032" w:rsidP="006C57B3">
      <w:pPr>
        <w:pStyle w:val="Heading2"/>
        <w:spacing w:before="120" w:after="120"/>
        <w:rPr>
          <w:rFonts w:asciiTheme="minorHAnsi" w:hAnsiTheme="minorHAnsi" w:cs="Times New Roman"/>
          <w:i w:val="0"/>
          <w:sz w:val="22"/>
          <w:szCs w:val="22"/>
        </w:rPr>
      </w:pPr>
      <w:bookmarkStart w:id="2" w:name="_Toc151782199"/>
      <w:bookmarkStart w:id="3" w:name="_Toc158526235"/>
      <w:bookmarkStart w:id="4" w:name="_Toc509998946"/>
      <w:r w:rsidRPr="005151E7">
        <w:rPr>
          <w:rFonts w:asciiTheme="minorHAnsi" w:hAnsiTheme="minorHAnsi" w:cs="Times New Roman"/>
          <w:i w:val="0"/>
          <w:sz w:val="22"/>
          <w:szCs w:val="22"/>
        </w:rPr>
        <w:t xml:space="preserve">1. </w:t>
      </w:r>
      <w:r w:rsidR="00844607" w:rsidRPr="00A9771B">
        <w:rPr>
          <w:rFonts w:asciiTheme="minorHAnsi" w:hAnsiTheme="minorHAnsi" w:cs="Times New Roman"/>
          <w:i w:val="0"/>
          <w:sz w:val="22"/>
          <w:szCs w:val="22"/>
          <w:u w:val="single"/>
        </w:rPr>
        <w:t xml:space="preserve">Respondent </w:t>
      </w:r>
      <w:r w:rsidRPr="00A9771B">
        <w:rPr>
          <w:rFonts w:asciiTheme="minorHAnsi" w:hAnsiTheme="minorHAnsi" w:cs="Times New Roman"/>
          <w:i w:val="0"/>
          <w:sz w:val="22"/>
          <w:szCs w:val="22"/>
          <w:u w:val="single"/>
        </w:rPr>
        <w:t xml:space="preserve">Universe </w:t>
      </w:r>
      <w:r w:rsidR="00844607" w:rsidRPr="00A9771B">
        <w:rPr>
          <w:rFonts w:asciiTheme="minorHAnsi" w:hAnsiTheme="minorHAnsi" w:cs="Times New Roman"/>
          <w:i w:val="0"/>
          <w:sz w:val="22"/>
          <w:szCs w:val="22"/>
          <w:u w:val="single"/>
        </w:rPr>
        <w:t xml:space="preserve">and </w:t>
      </w:r>
      <w:r w:rsidRPr="00A9771B">
        <w:rPr>
          <w:rFonts w:asciiTheme="minorHAnsi" w:hAnsiTheme="minorHAnsi" w:cs="Times New Roman"/>
          <w:i w:val="0"/>
          <w:sz w:val="22"/>
          <w:szCs w:val="22"/>
          <w:u w:val="single"/>
        </w:rPr>
        <w:t xml:space="preserve">Sampling </w:t>
      </w:r>
      <w:bookmarkEnd w:id="2"/>
      <w:bookmarkEnd w:id="3"/>
      <w:r w:rsidRPr="00A9771B">
        <w:rPr>
          <w:rFonts w:asciiTheme="minorHAnsi" w:hAnsiTheme="minorHAnsi" w:cs="Times New Roman"/>
          <w:i w:val="0"/>
          <w:sz w:val="22"/>
          <w:szCs w:val="22"/>
          <w:u w:val="single"/>
        </w:rPr>
        <w:t>Methods</w:t>
      </w:r>
      <w:bookmarkEnd w:id="4"/>
    </w:p>
    <w:p w14:paraId="0FBFC5A9" w14:textId="7D1D654B" w:rsidR="000A1032" w:rsidRPr="006F4FC9" w:rsidRDefault="000A1032" w:rsidP="006C57B3">
      <w:pPr>
        <w:rPr>
          <w:rFonts w:asciiTheme="minorHAnsi" w:hAnsiTheme="minorHAnsi"/>
          <w:b/>
          <w:i/>
          <w:sz w:val="22"/>
          <w:szCs w:val="22"/>
        </w:rPr>
      </w:pPr>
      <w:r w:rsidRPr="006F4FC9">
        <w:rPr>
          <w:rFonts w:asciiTheme="minorHAnsi" w:hAnsiTheme="minorHAnsi"/>
          <w:b/>
          <w:i/>
          <w:sz w:val="22"/>
          <w:szCs w:val="22"/>
        </w:rPr>
        <w:t>Respondent Universe</w:t>
      </w:r>
    </w:p>
    <w:p w14:paraId="49BF8146" w14:textId="38923EF2" w:rsidR="00F87C51" w:rsidRPr="005151E7" w:rsidRDefault="009731C4" w:rsidP="00844607">
      <w:pPr>
        <w:spacing w:before="120" w:after="120"/>
        <w:rPr>
          <w:rFonts w:asciiTheme="minorHAnsi" w:hAnsiTheme="minorHAnsi"/>
          <w:sz w:val="22"/>
          <w:szCs w:val="22"/>
        </w:rPr>
      </w:pPr>
      <w:r w:rsidRPr="005151E7">
        <w:rPr>
          <w:rFonts w:asciiTheme="minorHAnsi" w:hAnsiTheme="minorHAnsi"/>
          <w:sz w:val="22"/>
          <w:szCs w:val="22"/>
        </w:rPr>
        <w:t xml:space="preserve">The respondent universe for the </w:t>
      </w:r>
      <w:r w:rsidR="00D142C6" w:rsidRPr="005151E7">
        <w:rPr>
          <w:rFonts w:asciiTheme="minorHAnsi" w:hAnsiTheme="minorHAnsi"/>
          <w:sz w:val="22"/>
          <w:szCs w:val="22"/>
        </w:rPr>
        <w:t xml:space="preserve">Pretest </w:t>
      </w:r>
      <w:r w:rsidRPr="005151E7">
        <w:rPr>
          <w:rFonts w:asciiTheme="minorHAnsi" w:hAnsiTheme="minorHAnsi"/>
          <w:sz w:val="22"/>
          <w:szCs w:val="22"/>
        </w:rPr>
        <w:t xml:space="preserve">is </w:t>
      </w:r>
      <w:r w:rsidR="00CC20E9">
        <w:rPr>
          <w:rFonts w:asciiTheme="minorHAnsi" w:hAnsiTheme="minorHAnsi"/>
          <w:sz w:val="22"/>
          <w:szCs w:val="22"/>
        </w:rPr>
        <w:t>women</w:t>
      </w:r>
      <w:r w:rsidRPr="005151E7">
        <w:rPr>
          <w:rFonts w:asciiTheme="minorHAnsi" w:hAnsiTheme="minorHAnsi"/>
          <w:sz w:val="22"/>
          <w:szCs w:val="22"/>
        </w:rPr>
        <w:t xml:space="preserve"> age 18 or older who live in </w:t>
      </w:r>
      <w:r w:rsidR="00985CFB" w:rsidRPr="005151E7">
        <w:rPr>
          <w:rFonts w:asciiTheme="minorHAnsi" w:hAnsiTheme="minorHAnsi"/>
          <w:sz w:val="22"/>
          <w:szCs w:val="22"/>
        </w:rPr>
        <w:t xml:space="preserve">one of the eight </w:t>
      </w:r>
      <w:r w:rsidRPr="005151E7">
        <w:rPr>
          <w:rFonts w:asciiTheme="minorHAnsi" w:hAnsiTheme="minorHAnsi"/>
          <w:sz w:val="22"/>
          <w:szCs w:val="22"/>
        </w:rPr>
        <w:t>U.S.</w:t>
      </w:r>
      <w:r w:rsidR="00985CFB" w:rsidRPr="005151E7">
        <w:rPr>
          <w:rFonts w:asciiTheme="minorHAnsi" w:hAnsiTheme="minorHAnsi"/>
          <w:sz w:val="22"/>
          <w:szCs w:val="22"/>
        </w:rPr>
        <w:t xml:space="preserve"> jurisdictions (Puerto Rico, U.S. Virgin Islands, Guam, Northern Mariana Islands, American Samoa, Palau, Marshall Islands, or Federated States of Micronesia) </w:t>
      </w:r>
      <w:r w:rsidRPr="005151E7">
        <w:rPr>
          <w:rFonts w:asciiTheme="minorHAnsi" w:hAnsiTheme="minorHAnsi"/>
          <w:sz w:val="22"/>
          <w:szCs w:val="22"/>
        </w:rPr>
        <w:t xml:space="preserve">and who are </w:t>
      </w:r>
      <w:r w:rsidR="00CC20E9">
        <w:rPr>
          <w:rFonts w:asciiTheme="minorHAnsi" w:hAnsiTheme="minorHAnsi"/>
          <w:sz w:val="22"/>
          <w:szCs w:val="22"/>
        </w:rPr>
        <w:t>mothers</w:t>
      </w:r>
      <w:r w:rsidRPr="005151E7">
        <w:rPr>
          <w:rFonts w:asciiTheme="minorHAnsi" w:hAnsiTheme="minorHAnsi"/>
          <w:sz w:val="22"/>
          <w:szCs w:val="22"/>
        </w:rPr>
        <w:t xml:space="preserve"> or guardians of at least one child aged 0-17 years living in the same household.  </w:t>
      </w:r>
    </w:p>
    <w:p w14:paraId="2AFF2446" w14:textId="654EE8A4" w:rsidR="000A1032" w:rsidRPr="006F4FC9" w:rsidRDefault="000A1032" w:rsidP="006C57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
          <w:i/>
          <w:sz w:val="22"/>
        </w:rPr>
      </w:pPr>
      <w:r w:rsidRPr="006F4FC9">
        <w:rPr>
          <w:rFonts w:asciiTheme="minorHAnsi" w:hAnsiTheme="minorHAnsi"/>
          <w:b/>
          <w:i/>
          <w:sz w:val="22"/>
        </w:rPr>
        <w:t>Sampling Methods</w:t>
      </w:r>
    </w:p>
    <w:p w14:paraId="36311212" w14:textId="72436690" w:rsidR="002412F1" w:rsidRPr="002412F1" w:rsidRDefault="00EB5B4E" w:rsidP="002412F1">
      <w:pPr>
        <w:spacing w:after="240"/>
        <w:rPr>
          <w:rFonts w:asciiTheme="minorHAnsi" w:hAnsiTheme="minorHAnsi"/>
          <w:sz w:val="22"/>
          <w:szCs w:val="22"/>
        </w:rPr>
      </w:pPr>
      <w:r w:rsidRPr="005151E7">
        <w:rPr>
          <w:rFonts w:asciiTheme="minorHAnsi" w:hAnsiTheme="minorHAnsi"/>
          <w:sz w:val="22"/>
          <w:szCs w:val="22"/>
        </w:rPr>
        <w:t xml:space="preserve">NORC anticipates completing 25 interviews per jurisdiction, for a total of 200 completed interviews. </w:t>
      </w:r>
      <w:r w:rsidR="00985CFB" w:rsidRPr="005151E7">
        <w:rPr>
          <w:rFonts w:asciiTheme="minorHAnsi" w:hAnsiTheme="minorHAnsi"/>
          <w:sz w:val="22"/>
          <w:szCs w:val="22"/>
        </w:rPr>
        <w:t>The sampling method will differ for the five jurisdictions with in-person data collection (Northern Mariana Islands, American Samoa, Palau, Marshall Islands, and Federated States of Micronesia) and the three jurisdictions with telephone data collection (Puerto Rico, U.S. Virgin Islands, and Guam)</w:t>
      </w:r>
      <w:r w:rsidRPr="005151E7">
        <w:rPr>
          <w:rFonts w:asciiTheme="minorHAnsi" w:hAnsiTheme="minorHAnsi"/>
          <w:sz w:val="22"/>
          <w:szCs w:val="22"/>
        </w:rPr>
        <w:t>.</w:t>
      </w:r>
      <w:r w:rsidR="002412F1">
        <w:rPr>
          <w:rFonts w:asciiTheme="minorHAnsi" w:hAnsiTheme="minorHAnsi"/>
          <w:sz w:val="22"/>
          <w:szCs w:val="22"/>
        </w:rPr>
        <w:t xml:space="preserve"> </w:t>
      </w:r>
      <w:r w:rsidR="002412F1">
        <w:rPr>
          <w:rFonts w:asciiTheme="minorHAnsi" w:hAnsiTheme="minorHAnsi" w:cs="Tahoma"/>
          <w:sz w:val="22"/>
          <w:szCs w:val="22"/>
        </w:rPr>
        <w:t>If</w:t>
      </w:r>
      <w:r w:rsidR="002412F1" w:rsidRPr="00AE6560">
        <w:rPr>
          <w:rFonts w:asciiTheme="minorHAnsi" w:hAnsiTheme="minorHAnsi" w:cs="Tahoma"/>
          <w:sz w:val="22"/>
          <w:szCs w:val="22"/>
        </w:rPr>
        <w:t xml:space="preserve"> </w:t>
      </w:r>
      <w:r w:rsidR="002412F1">
        <w:rPr>
          <w:rFonts w:asciiTheme="minorHAnsi" w:hAnsiTheme="minorHAnsi" w:cs="Tahoma"/>
          <w:sz w:val="22"/>
          <w:szCs w:val="22"/>
        </w:rPr>
        <w:t xml:space="preserve">respondent concern regarding using cell-phone minutes </w:t>
      </w:r>
      <w:r w:rsidR="002412F1" w:rsidRPr="00AE6560">
        <w:rPr>
          <w:rFonts w:asciiTheme="minorHAnsi" w:hAnsiTheme="minorHAnsi" w:cs="Tahoma"/>
          <w:sz w:val="22"/>
          <w:szCs w:val="22"/>
        </w:rPr>
        <w:t>in Guam</w:t>
      </w:r>
      <w:r w:rsidR="002412F1">
        <w:rPr>
          <w:rFonts w:asciiTheme="minorHAnsi" w:hAnsiTheme="minorHAnsi" w:cs="Tahoma"/>
          <w:sz w:val="22"/>
          <w:szCs w:val="22"/>
        </w:rPr>
        <w:t xml:space="preserve">, where pre-paid cell-phones are more common than in Puerto Rico or </w:t>
      </w:r>
      <w:r w:rsidR="002412F1" w:rsidRPr="002D0525">
        <w:rPr>
          <w:rFonts w:asciiTheme="minorHAnsi" w:hAnsiTheme="minorHAnsi"/>
          <w:sz w:val="22"/>
          <w:szCs w:val="22"/>
        </w:rPr>
        <w:t>the U.S. Virgin Islands</w:t>
      </w:r>
      <w:r w:rsidR="002412F1">
        <w:rPr>
          <w:rFonts w:asciiTheme="minorHAnsi" w:hAnsiTheme="minorHAnsi"/>
          <w:sz w:val="22"/>
          <w:szCs w:val="22"/>
        </w:rPr>
        <w:t>,</w:t>
      </w:r>
      <w:r w:rsidR="002412F1" w:rsidRPr="00AE6560">
        <w:rPr>
          <w:rFonts w:asciiTheme="minorHAnsi" w:hAnsiTheme="minorHAnsi" w:cs="Tahoma"/>
          <w:sz w:val="22"/>
          <w:szCs w:val="22"/>
        </w:rPr>
        <w:t xml:space="preserve"> </w:t>
      </w:r>
      <w:r w:rsidR="002412F1">
        <w:rPr>
          <w:rFonts w:asciiTheme="minorHAnsi" w:hAnsiTheme="minorHAnsi" w:cs="Tahoma"/>
          <w:sz w:val="22"/>
          <w:szCs w:val="22"/>
        </w:rPr>
        <w:t>results in difficulty completing</w:t>
      </w:r>
      <w:r w:rsidR="002412F1" w:rsidRPr="00AE6560">
        <w:rPr>
          <w:rFonts w:asciiTheme="minorHAnsi" w:hAnsiTheme="minorHAnsi" w:cs="Tahoma"/>
          <w:sz w:val="22"/>
          <w:szCs w:val="22"/>
        </w:rPr>
        <w:t xml:space="preserve"> 25 interviews, </w:t>
      </w:r>
      <w:r w:rsidR="002412F1">
        <w:rPr>
          <w:rFonts w:asciiTheme="minorHAnsi" w:hAnsiTheme="minorHAnsi" w:cs="Tahoma"/>
          <w:sz w:val="22"/>
          <w:szCs w:val="22"/>
        </w:rPr>
        <w:t xml:space="preserve">then </w:t>
      </w:r>
      <w:r w:rsidR="002412F1" w:rsidRPr="00AE6560">
        <w:rPr>
          <w:rFonts w:asciiTheme="minorHAnsi" w:hAnsiTheme="minorHAnsi" w:cs="Tahoma"/>
          <w:sz w:val="22"/>
          <w:szCs w:val="22"/>
        </w:rPr>
        <w:t xml:space="preserve">data collection in Guam will be </w:t>
      </w:r>
      <w:r w:rsidR="002412F1">
        <w:rPr>
          <w:rFonts w:asciiTheme="minorHAnsi" w:hAnsiTheme="minorHAnsi" w:cs="Tahoma"/>
          <w:sz w:val="22"/>
          <w:szCs w:val="22"/>
        </w:rPr>
        <w:t>converted</w:t>
      </w:r>
      <w:r w:rsidR="002412F1" w:rsidRPr="00AE6560">
        <w:rPr>
          <w:rFonts w:asciiTheme="minorHAnsi" w:hAnsiTheme="minorHAnsi" w:cs="Tahoma"/>
          <w:sz w:val="22"/>
          <w:szCs w:val="22"/>
        </w:rPr>
        <w:t xml:space="preserve"> to in-person mode.</w:t>
      </w:r>
    </w:p>
    <w:p w14:paraId="65A17000" w14:textId="6C2844CB" w:rsidR="006C47F3" w:rsidRPr="005151E7" w:rsidRDefault="002412F1" w:rsidP="002412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Theme="minorHAnsi" w:hAnsiTheme="minorHAnsi"/>
          <w:sz w:val="22"/>
          <w:szCs w:val="22"/>
        </w:rPr>
      </w:pPr>
      <w:r>
        <w:rPr>
          <w:rFonts w:asciiTheme="minorHAnsi" w:hAnsiTheme="minorHAnsi"/>
          <w:sz w:val="22"/>
          <w:szCs w:val="22"/>
        </w:rPr>
        <w:t>T</w:t>
      </w:r>
      <w:r w:rsidR="00215666" w:rsidRPr="005151E7">
        <w:rPr>
          <w:rFonts w:asciiTheme="minorHAnsi" w:hAnsiTheme="minorHAnsi"/>
          <w:sz w:val="22"/>
          <w:szCs w:val="22"/>
        </w:rPr>
        <w:t>he target sample</w:t>
      </w:r>
      <w:r w:rsidR="00D142C6" w:rsidRPr="005151E7">
        <w:rPr>
          <w:rFonts w:asciiTheme="minorHAnsi" w:hAnsiTheme="minorHAnsi"/>
          <w:sz w:val="22"/>
          <w:szCs w:val="22"/>
        </w:rPr>
        <w:t xml:space="preserve"> for the </w:t>
      </w:r>
      <w:r w:rsidR="006275A8">
        <w:rPr>
          <w:rFonts w:asciiTheme="minorHAnsi" w:hAnsiTheme="minorHAnsi"/>
          <w:b/>
          <w:sz w:val="22"/>
          <w:szCs w:val="22"/>
        </w:rPr>
        <w:t>In-</w:t>
      </w:r>
      <w:r w:rsidR="00D142C6" w:rsidRPr="005151E7">
        <w:rPr>
          <w:rFonts w:asciiTheme="minorHAnsi" w:hAnsiTheme="minorHAnsi"/>
          <w:b/>
          <w:sz w:val="22"/>
          <w:szCs w:val="22"/>
        </w:rPr>
        <w:t>Person</w:t>
      </w:r>
      <w:r w:rsidR="00D142C6" w:rsidRPr="005151E7">
        <w:rPr>
          <w:rFonts w:asciiTheme="minorHAnsi" w:hAnsiTheme="minorHAnsi"/>
          <w:sz w:val="22"/>
          <w:szCs w:val="22"/>
        </w:rPr>
        <w:t xml:space="preserve"> </w:t>
      </w:r>
      <w:r w:rsidR="00D142C6" w:rsidRPr="006275A8">
        <w:rPr>
          <w:rFonts w:asciiTheme="minorHAnsi" w:hAnsiTheme="minorHAnsi"/>
          <w:b/>
          <w:sz w:val="22"/>
          <w:szCs w:val="22"/>
        </w:rPr>
        <w:t>mode</w:t>
      </w:r>
      <w:r w:rsidR="00215666" w:rsidRPr="005151E7">
        <w:rPr>
          <w:rFonts w:asciiTheme="minorHAnsi" w:hAnsiTheme="minorHAnsi"/>
          <w:sz w:val="22"/>
          <w:szCs w:val="22"/>
        </w:rPr>
        <w:t xml:space="preserve"> is </w:t>
      </w:r>
      <w:r w:rsidR="00D142C6" w:rsidRPr="005151E7">
        <w:rPr>
          <w:rFonts w:asciiTheme="minorHAnsi" w:hAnsiTheme="minorHAnsi"/>
          <w:sz w:val="22"/>
          <w:szCs w:val="22"/>
        </w:rPr>
        <w:t xml:space="preserve">125 </w:t>
      </w:r>
      <w:r w:rsidR="00396EE4" w:rsidRPr="005151E7">
        <w:rPr>
          <w:rFonts w:asciiTheme="minorHAnsi" w:hAnsiTheme="minorHAnsi"/>
          <w:sz w:val="22"/>
          <w:szCs w:val="22"/>
        </w:rPr>
        <w:t>completed interviews</w:t>
      </w:r>
      <w:r w:rsidR="00D142C6" w:rsidRPr="005151E7">
        <w:rPr>
          <w:rFonts w:asciiTheme="minorHAnsi" w:hAnsiTheme="minorHAnsi"/>
          <w:sz w:val="22"/>
          <w:szCs w:val="22"/>
        </w:rPr>
        <w:t xml:space="preserve">, divided evenly across </w:t>
      </w:r>
      <w:r w:rsidR="00985CFB" w:rsidRPr="005151E7">
        <w:rPr>
          <w:rFonts w:asciiTheme="minorHAnsi" w:hAnsiTheme="minorHAnsi"/>
          <w:sz w:val="22"/>
          <w:szCs w:val="22"/>
        </w:rPr>
        <w:t xml:space="preserve">the </w:t>
      </w:r>
      <w:r w:rsidR="00D142C6" w:rsidRPr="005151E7">
        <w:rPr>
          <w:rFonts w:asciiTheme="minorHAnsi" w:hAnsiTheme="minorHAnsi"/>
          <w:sz w:val="22"/>
          <w:szCs w:val="22"/>
        </w:rPr>
        <w:t xml:space="preserve">five </w:t>
      </w:r>
      <w:r w:rsidR="00396EE4" w:rsidRPr="005151E7">
        <w:rPr>
          <w:rFonts w:asciiTheme="minorHAnsi" w:hAnsiTheme="minorHAnsi"/>
          <w:sz w:val="22"/>
          <w:szCs w:val="22"/>
        </w:rPr>
        <w:t xml:space="preserve">in-person-mode </w:t>
      </w:r>
      <w:r w:rsidR="00D142C6" w:rsidRPr="005151E7">
        <w:rPr>
          <w:rFonts w:asciiTheme="minorHAnsi" w:hAnsiTheme="minorHAnsi"/>
          <w:sz w:val="22"/>
          <w:szCs w:val="22"/>
        </w:rPr>
        <w:t xml:space="preserve">jurisdictions (25 </w:t>
      </w:r>
      <w:r w:rsidR="00396EE4" w:rsidRPr="005151E7">
        <w:rPr>
          <w:rFonts w:asciiTheme="minorHAnsi" w:hAnsiTheme="minorHAnsi"/>
          <w:sz w:val="22"/>
          <w:szCs w:val="22"/>
        </w:rPr>
        <w:t xml:space="preserve">completes </w:t>
      </w:r>
      <w:r w:rsidR="00D142C6" w:rsidRPr="005151E7">
        <w:rPr>
          <w:rFonts w:asciiTheme="minorHAnsi" w:hAnsiTheme="minorHAnsi"/>
          <w:sz w:val="22"/>
          <w:szCs w:val="22"/>
        </w:rPr>
        <w:t xml:space="preserve">in each jurisdiction). </w:t>
      </w:r>
      <w:r w:rsidR="00F87C51" w:rsidRPr="005151E7">
        <w:rPr>
          <w:rFonts w:asciiTheme="minorHAnsi" w:hAnsiTheme="minorHAnsi"/>
          <w:sz w:val="22"/>
          <w:szCs w:val="22"/>
        </w:rPr>
        <w:t xml:space="preserve"> </w:t>
      </w:r>
      <w:r w:rsidR="003675E7" w:rsidRPr="005151E7">
        <w:rPr>
          <w:rFonts w:asciiTheme="minorHAnsi" w:hAnsiTheme="minorHAnsi"/>
          <w:sz w:val="22"/>
          <w:szCs w:val="22"/>
        </w:rPr>
        <w:t xml:space="preserve">Participants </w:t>
      </w:r>
      <w:r w:rsidR="00F87C51" w:rsidRPr="005151E7">
        <w:rPr>
          <w:rFonts w:asciiTheme="minorHAnsi" w:hAnsiTheme="minorHAnsi"/>
          <w:sz w:val="22"/>
          <w:szCs w:val="22"/>
        </w:rPr>
        <w:t>will be recruited through flyers posted in public areas (e.g., shopping malls, telephone poles, community boards, bus stops)</w:t>
      </w:r>
      <w:r w:rsidR="008F6946" w:rsidRPr="005151E7">
        <w:rPr>
          <w:rFonts w:asciiTheme="minorHAnsi" w:hAnsiTheme="minorHAnsi"/>
          <w:sz w:val="22"/>
          <w:szCs w:val="22"/>
        </w:rPr>
        <w:t>, as well as by word of mouth</w:t>
      </w:r>
      <w:r w:rsidR="00F87C51" w:rsidRPr="005151E7">
        <w:rPr>
          <w:rFonts w:asciiTheme="minorHAnsi" w:hAnsiTheme="minorHAnsi"/>
          <w:sz w:val="22"/>
          <w:szCs w:val="22"/>
        </w:rPr>
        <w:t xml:space="preserve">.  </w:t>
      </w:r>
      <w:r w:rsidR="000C345F" w:rsidRPr="005151E7">
        <w:rPr>
          <w:rFonts w:asciiTheme="minorHAnsi" w:hAnsiTheme="minorHAnsi"/>
          <w:sz w:val="22"/>
          <w:szCs w:val="22"/>
        </w:rPr>
        <w:t xml:space="preserve">Respondents for this component will not be selected through a random process, but rather </w:t>
      </w:r>
      <w:r w:rsidR="00334088" w:rsidRPr="005151E7">
        <w:rPr>
          <w:rFonts w:asciiTheme="minorHAnsi" w:hAnsiTheme="minorHAnsi"/>
          <w:sz w:val="22"/>
          <w:szCs w:val="22"/>
        </w:rPr>
        <w:t xml:space="preserve">will be </w:t>
      </w:r>
      <w:r w:rsidR="000C345F" w:rsidRPr="005151E7">
        <w:rPr>
          <w:rFonts w:asciiTheme="minorHAnsi" w:hAnsiTheme="minorHAnsi"/>
          <w:sz w:val="22"/>
          <w:szCs w:val="22"/>
        </w:rPr>
        <w:t>selected for specific characteristics</w:t>
      </w:r>
      <w:r w:rsidR="00CC20E9">
        <w:rPr>
          <w:rFonts w:asciiTheme="minorHAnsi" w:hAnsiTheme="minorHAnsi"/>
          <w:sz w:val="22"/>
          <w:szCs w:val="22"/>
        </w:rPr>
        <w:t>,</w:t>
      </w:r>
      <w:r w:rsidR="000C345F" w:rsidRPr="005151E7">
        <w:rPr>
          <w:rFonts w:asciiTheme="minorHAnsi" w:hAnsiTheme="minorHAnsi"/>
          <w:sz w:val="22"/>
          <w:szCs w:val="22"/>
        </w:rPr>
        <w:t xml:space="preserve"> such as their child’s health status or age</w:t>
      </w:r>
      <w:r w:rsidR="001205A3" w:rsidRPr="005151E7">
        <w:rPr>
          <w:rFonts w:asciiTheme="minorHAnsi" w:hAnsiTheme="minorHAnsi"/>
          <w:sz w:val="22"/>
          <w:szCs w:val="22"/>
        </w:rPr>
        <w:t>.  For the purposes of this study</w:t>
      </w:r>
      <w:r w:rsidR="00CC20E9">
        <w:rPr>
          <w:rFonts w:asciiTheme="minorHAnsi" w:hAnsiTheme="minorHAnsi"/>
          <w:sz w:val="22"/>
          <w:szCs w:val="22"/>
        </w:rPr>
        <w:t>,</w:t>
      </w:r>
      <w:r w:rsidR="000C345F" w:rsidRPr="005151E7">
        <w:rPr>
          <w:rFonts w:asciiTheme="minorHAnsi" w:hAnsiTheme="minorHAnsi"/>
          <w:sz w:val="22"/>
          <w:szCs w:val="22"/>
        </w:rPr>
        <w:t xml:space="preserve"> a randomly drawn sample is not required</w:t>
      </w:r>
      <w:r w:rsidR="001205A3" w:rsidRPr="005151E7">
        <w:rPr>
          <w:rFonts w:asciiTheme="minorHAnsi" w:hAnsiTheme="minorHAnsi"/>
          <w:sz w:val="22"/>
          <w:szCs w:val="22"/>
        </w:rPr>
        <w:t xml:space="preserve"> to assess the reliability, validity, </w:t>
      </w:r>
      <w:r w:rsidR="00AA736A" w:rsidRPr="005151E7">
        <w:rPr>
          <w:rFonts w:asciiTheme="minorHAnsi" w:hAnsiTheme="minorHAnsi"/>
          <w:sz w:val="22"/>
          <w:szCs w:val="22"/>
        </w:rPr>
        <w:t>and</w:t>
      </w:r>
      <w:r w:rsidR="001205A3" w:rsidRPr="005151E7">
        <w:rPr>
          <w:rFonts w:asciiTheme="minorHAnsi" w:hAnsiTheme="minorHAnsi"/>
          <w:sz w:val="22"/>
          <w:szCs w:val="22"/>
        </w:rPr>
        <w:t xml:space="preserve"> clarity of the survey instruments. </w:t>
      </w:r>
      <w:r w:rsidR="006C47F3" w:rsidRPr="005151E7">
        <w:rPr>
          <w:rFonts w:asciiTheme="minorHAnsi" w:hAnsiTheme="minorHAnsi"/>
          <w:sz w:val="22"/>
          <w:szCs w:val="22"/>
        </w:rPr>
        <w:t xml:space="preserve">Interviewers will be instructed to </w:t>
      </w:r>
      <w:r w:rsidR="00985CFB" w:rsidRPr="005151E7">
        <w:rPr>
          <w:rFonts w:asciiTheme="minorHAnsi" w:hAnsiTheme="minorHAnsi"/>
          <w:sz w:val="22"/>
          <w:szCs w:val="22"/>
        </w:rPr>
        <w:t>recruit</w:t>
      </w:r>
      <w:r w:rsidR="006C47F3" w:rsidRPr="005151E7">
        <w:rPr>
          <w:rFonts w:asciiTheme="minorHAnsi" w:hAnsiTheme="minorHAnsi"/>
          <w:sz w:val="22"/>
          <w:szCs w:val="22"/>
        </w:rPr>
        <w:t xml:space="preserve"> individuals in different locations and through different modes of introduction (e.g</w:t>
      </w:r>
      <w:r w:rsidR="00985CFB" w:rsidRPr="005151E7">
        <w:rPr>
          <w:rFonts w:asciiTheme="minorHAnsi" w:hAnsiTheme="minorHAnsi"/>
          <w:sz w:val="22"/>
          <w:szCs w:val="22"/>
        </w:rPr>
        <w:t>.</w:t>
      </w:r>
      <w:r w:rsidR="006C47F3" w:rsidRPr="005151E7">
        <w:rPr>
          <w:rFonts w:asciiTheme="minorHAnsi" w:hAnsiTheme="minorHAnsi"/>
          <w:sz w:val="22"/>
          <w:szCs w:val="22"/>
        </w:rPr>
        <w:t xml:space="preserve">, through a hospital, door-to-door knocking, etc.). In each of the jurisdictions, for both phone and in-person data collection, NORC will attempt to obtain: </w:t>
      </w:r>
    </w:p>
    <w:p w14:paraId="7D52A75C" w14:textId="6490B131" w:rsidR="006C47F3" w:rsidRPr="005151E7" w:rsidRDefault="006C47F3" w:rsidP="00CC20E9">
      <w:pPr>
        <w:pStyle w:val="ListParagraph"/>
        <w:numPr>
          <w:ilvl w:val="0"/>
          <w:numId w:val="10"/>
        </w:numPr>
        <w:ind w:left="720" w:hanging="360"/>
        <w:rPr>
          <w:rFonts w:asciiTheme="minorHAnsi" w:hAnsiTheme="minorHAnsi"/>
          <w:sz w:val="22"/>
          <w:szCs w:val="22"/>
        </w:rPr>
      </w:pPr>
      <w:r w:rsidRPr="005151E7">
        <w:rPr>
          <w:rFonts w:asciiTheme="minorHAnsi" w:hAnsiTheme="minorHAnsi"/>
          <w:sz w:val="22"/>
          <w:szCs w:val="22"/>
        </w:rPr>
        <w:t xml:space="preserve">At least five completes in each </w:t>
      </w:r>
      <w:r w:rsidR="00396EE4" w:rsidRPr="005151E7">
        <w:rPr>
          <w:rFonts w:asciiTheme="minorHAnsi" w:hAnsiTheme="minorHAnsi"/>
          <w:sz w:val="22"/>
          <w:szCs w:val="22"/>
        </w:rPr>
        <w:t xml:space="preserve">child </w:t>
      </w:r>
      <w:r w:rsidRPr="005151E7">
        <w:rPr>
          <w:rFonts w:asciiTheme="minorHAnsi" w:hAnsiTheme="minorHAnsi"/>
          <w:sz w:val="22"/>
          <w:szCs w:val="22"/>
        </w:rPr>
        <w:t xml:space="preserve">age category: 0-5, 6-11, 12-17 </w:t>
      </w:r>
    </w:p>
    <w:p w14:paraId="66EB72D3" w14:textId="126EFECC" w:rsidR="006C47F3" w:rsidRPr="005151E7" w:rsidRDefault="006C47F3" w:rsidP="00CC20E9">
      <w:pPr>
        <w:pStyle w:val="ListParagraph"/>
        <w:numPr>
          <w:ilvl w:val="0"/>
          <w:numId w:val="10"/>
        </w:numPr>
        <w:ind w:left="720" w:hanging="360"/>
        <w:rPr>
          <w:rFonts w:asciiTheme="minorHAnsi" w:hAnsiTheme="minorHAnsi"/>
          <w:sz w:val="22"/>
          <w:szCs w:val="22"/>
        </w:rPr>
      </w:pPr>
      <w:r w:rsidRPr="005151E7">
        <w:rPr>
          <w:rFonts w:asciiTheme="minorHAnsi" w:hAnsiTheme="minorHAnsi"/>
          <w:sz w:val="22"/>
          <w:szCs w:val="22"/>
        </w:rPr>
        <w:t>At least two Children with Special Health Care Needs completes</w:t>
      </w:r>
    </w:p>
    <w:p w14:paraId="71A0F2F9" w14:textId="325102A5" w:rsidR="006C47F3" w:rsidRPr="005151E7" w:rsidRDefault="006C47F3" w:rsidP="00CC20E9">
      <w:pPr>
        <w:pStyle w:val="ListParagraph"/>
        <w:numPr>
          <w:ilvl w:val="0"/>
          <w:numId w:val="10"/>
        </w:numPr>
        <w:ind w:left="720" w:hanging="360"/>
        <w:rPr>
          <w:rFonts w:asciiTheme="minorHAnsi" w:hAnsiTheme="minorHAnsi"/>
          <w:sz w:val="22"/>
          <w:szCs w:val="22"/>
        </w:rPr>
      </w:pPr>
      <w:r w:rsidRPr="005151E7">
        <w:rPr>
          <w:rFonts w:asciiTheme="minorHAnsi" w:hAnsiTheme="minorHAnsi"/>
          <w:sz w:val="22"/>
          <w:szCs w:val="22"/>
        </w:rPr>
        <w:t>At least one complete in each language offered in each of the jurisdictions.</w:t>
      </w:r>
    </w:p>
    <w:p w14:paraId="73F7F702" w14:textId="1B16F5F1" w:rsidR="004666EF" w:rsidRPr="005151E7" w:rsidRDefault="006C47F3" w:rsidP="00CC20E9">
      <w:pPr>
        <w:spacing w:before="240"/>
        <w:rPr>
          <w:rFonts w:asciiTheme="minorHAnsi" w:hAnsiTheme="minorHAnsi"/>
          <w:sz w:val="22"/>
          <w:szCs w:val="22"/>
        </w:rPr>
      </w:pPr>
      <w:r w:rsidRPr="005151E7">
        <w:rPr>
          <w:rFonts w:asciiTheme="minorHAnsi" w:hAnsiTheme="minorHAnsi"/>
          <w:sz w:val="22"/>
          <w:szCs w:val="22"/>
        </w:rPr>
        <w:t>Note that these are guidelines and actual respondent composition may vary depending on factors that occur in the field.</w:t>
      </w:r>
    </w:p>
    <w:p w14:paraId="1DEA7E31" w14:textId="66314A64" w:rsidR="00396EE4" w:rsidRPr="005151E7" w:rsidRDefault="00D142C6" w:rsidP="00EB5B4E">
      <w:pPr>
        <w:spacing w:before="120" w:after="120"/>
        <w:rPr>
          <w:rFonts w:asciiTheme="minorHAnsi" w:hAnsiTheme="minorHAnsi"/>
          <w:sz w:val="22"/>
          <w:szCs w:val="22"/>
        </w:rPr>
      </w:pPr>
      <w:r w:rsidRPr="005151E7">
        <w:rPr>
          <w:rFonts w:asciiTheme="minorHAnsi" w:hAnsiTheme="minorHAnsi"/>
          <w:sz w:val="22"/>
          <w:szCs w:val="22"/>
        </w:rPr>
        <w:t xml:space="preserve">The target sample for the </w:t>
      </w:r>
      <w:r w:rsidRPr="005151E7">
        <w:rPr>
          <w:rFonts w:asciiTheme="minorHAnsi" w:hAnsiTheme="minorHAnsi"/>
          <w:b/>
          <w:sz w:val="22"/>
          <w:szCs w:val="22"/>
        </w:rPr>
        <w:t>Telephone mode</w:t>
      </w:r>
      <w:r w:rsidRPr="005151E7">
        <w:rPr>
          <w:rFonts w:asciiTheme="minorHAnsi" w:hAnsiTheme="minorHAnsi"/>
          <w:sz w:val="22"/>
          <w:szCs w:val="22"/>
        </w:rPr>
        <w:t xml:space="preserve"> is </w:t>
      </w:r>
      <w:r w:rsidR="00396EE4" w:rsidRPr="005151E7">
        <w:rPr>
          <w:rFonts w:asciiTheme="minorHAnsi" w:hAnsiTheme="minorHAnsi"/>
          <w:sz w:val="22"/>
          <w:szCs w:val="22"/>
        </w:rPr>
        <w:t xml:space="preserve">75 completed interviews, divided evenly across the three </w:t>
      </w:r>
      <w:r w:rsidR="00396EE4" w:rsidRPr="005151E7">
        <w:rPr>
          <w:rFonts w:asciiTheme="minorHAnsi" w:hAnsiTheme="minorHAnsi"/>
          <w:sz w:val="22"/>
          <w:szCs w:val="22"/>
        </w:rPr>
        <w:lastRenderedPageBreak/>
        <w:t>telephone-mode jurisdictions (25 completes in each jurisdiction). To obtain these completed interviews, NORC will utilize a random-digit-dial (RDD) sample of cell phones in each of these jurisdictions. A sample of approximately 17,577 cell-phone numbers will be drawn across the three jurisdictions, plus a 200% buffer for a total of 52,731 cell-phone numbers. The samples will be randomly selected from cell-phone sampling frames constructed by Marketing Systems Group (MSG) consisting of all cell-phone numbers in active telephone exchanges. The sample of phone numbers will yield approximately 764 completed screeners to identify respondents with children, from which the 75 completed interviews will be obtained.</w:t>
      </w:r>
      <w:r w:rsidR="00FD02FD">
        <w:rPr>
          <w:rFonts w:asciiTheme="minorHAnsi" w:hAnsiTheme="minorHAnsi"/>
          <w:sz w:val="22"/>
          <w:szCs w:val="22"/>
        </w:rPr>
        <w:t xml:space="preserve"> </w:t>
      </w:r>
    </w:p>
    <w:p w14:paraId="15121619" w14:textId="0BFFD9D0" w:rsidR="00D142C6" w:rsidRDefault="00D142C6" w:rsidP="006F4FC9">
      <w:pPr>
        <w:spacing w:before="120" w:after="120"/>
        <w:rPr>
          <w:rFonts w:asciiTheme="minorHAnsi" w:hAnsiTheme="minorHAnsi"/>
          <w:sz w:val="22"/>
          <w:szCs w:val="22"/>
        </w:rPr>
      </w:pPr>
      <w:r w:rsidRPr="005151E7">
        <w:rPr>
          <w:rFonts w:asciiTheme="minorHAnsi" w:hAnsiTheme="minorHAnsi"/>
          <w:sz w:val="22"/>
          <w:szCs w:val="22"/>
        </w:rPr>
        <w:t xml:space="preserve">The </w:t>
      </w:r>
      <w:r w:rsidR="008F698E" w:rsidRPr="005151E7">
        <w:rPr>
          <w:rFonts w:asciiTheme="minorHAnsi" w:hAnsiTheme="minorHAnsi"/>
          <w:sz w:val="22"/>
          <w:szCs w:val="22"/>
        </w:rPr>
        <w:t>number of completed screeners needed</w:t>
      </w:r>
      <w:r w:rsidRPr="005151E7">
        <w:rPr>
          <w:rFonts w:asciiTheme="minorHAnsi" w:hAnsiTheme="minorHAnsi"/>
          <w:sz w:val="22"/>
          <w:szCs w:val="22"/>
        </w:rPr>
        <w:t xml:space="preserve"> </w:t>
      </w:r>
      <w:r w:rsidR="0053021C" w:rsidRPr="005151E7">
        <w:rPr>
          <w:rFonts w:asciiTheme="minorHAnsi" w:hAnsiTheme="minorHAnsi"/>
          <w:sz w:val="22"/>
          <w:szCs w:val="22"/>
        </w:rPr>
        <w:t xml:space="preserve">(see Table 1) </w:t>
      </w:r>
      <w:r w:rsidRPr="005151E7">
        <w:rPr>
          <w:rFonts w:asciiTheme="minorHAnsi" w:hAnsiTheme="minorHAnsi"/>
          <w:sz w:val="22"/>
          <w:szCs w:val="22"/>
        </w:rPr>
        <w:t>was determined based</w:t>
      </w:r>
      <w:r w:rsidR="00FF1DE1" w:rsidRPr="005151E7">
        <w:rPr>
          <w:rFonts w:asciiTheme="minorHAnsi" w:hAnsiTheme="minorHAnsi"/>
          <w:sz w:val="22"/>
          <w:szCs w:val="22"/>
        </w:rPr>
        <w:t xml:space="preserve"> on</w:t>
      </w:r>
      <w:r w:rsidR="00094EF9" w:rsidRPr="005151E7">
        <w:rPr>
          <w:rFonts w:asciiTheme="minorHAnsi" w:hAnsiTheme="minorHAnsi"/>
          <w:sz w:val="22"/>
          <w:szCs w:val="22"/>
        </w:rPr>
        <w:t xml:space="preserve"> assumptions for the eligibility rate and interview completion rate in each </w:t>
      </w:r>
      <w:r w:rsidR="008F698E" w:rsidRPr="005151E7">
        <w:rPr>
          <w:rFonts w:asciiTheme="minorHAnsi" w:hAnsiTheme="minorHAnsi"/>
          <w:sz w:val="22"/>
          <w:szCs w:val="22"/>
        </w:rPr>
        <w:t>jurisdiction</w:t>
      </w:r>
      <w:r w:rsidR="00094EF9" w:rsidRPr="005151E7">
        <w:rPr>
          <w:rFonts w:asciiTheme="minorHAnsi" w:hAnsiTheme="minorHAnsi"/>
          <w:sz w:val="22"/>
          <w:szCs w:val="22"/>
        </w:rPr>
        <w:t xml:space="preserve">. </w:t>
      </w:r>
      <w:r w:rsidR="00422164">
        <w:rPr>
          <w:rFonts w:asciiTheme="minorHAnsi" w:hAnsiTheme="minorHAnsi"/>
          <w:sz w:val="22"/>
          <w:szCs w:val="22"/>
        </w:rPr>
        <w:t>See further description of assumptions used to inform this plan below.</w:t>
      </w:r>
    </w:p>
    <w:p w14:paraId="03E103D1" w14:textId="0B372AD6" w:rsidR="00EB5B4E" w:rsidRPr="005151E7" w:rsidRDefault="00EB5B4E" w:rsidP="00F676C4">
      <w:pPr>
        <w:spacing w:before="240"/>
        <w:rPr>
          <w:rFonts w:asciiTheme="minorHAnsi" w:hAnsiTheme="minorHAnsi"/>
          <w:b/>
        </w:rPr>
      </w:pPr>
      <w:r w:rsidRPr="005151E7">
        <w:rPr>
          <w:rFonts w:asciiTheme="minorHAnsi" w:hAnsiTheme="minorHAnsi"/>
          <w:b/>
        </w:rPr>
        <w:t xml:space="preserve">Table 1: </w:t>
      </w:r>
      <w:r w:rsidR="00F676C4">
        <w:rPr>
          <w:rFonts w:asciiTheme="minorHAnsi" w:hAnsiTheme="minorHAnsi"/>
          <w:b/>
        </w:rPr>
        <w:t xml:space="preserve">  </w:t>
      </w:r>
      <w:r w:rsidRPr="005151E7">
        <w:rPr>
          <w:rFonts w:asciiTheme="minorHAnsi" w:hAnsiTheme="minorHAnsi"/>
          <w:b/>
        </w:rPr>
        <w:t>Mode of Survey Data Collection and Target Number of Respondents</w:t>
      </w:r>
    </w:p>
    <w:tbl>
      <w:tblPr>
        <w:tblW w:w="5001" w:type="pct"/>
        <w:tblCellMar>
          <w:left w:w="0" w:type="dxa"/>
          <w:right w:w="0" w:type="dxa"/>
        </w:tblCellMar>
        <w:tblLook w:val="04A0" w:firstRow="1" w:lastRow="0" w:firstColumn="1" w:lastColumn="0" w:noHBand="0" w:noVBand="1"/>
        <w:tblCaption w:val="Table 1"/>
        <w:tblDescription w:val="Table 1: Mode of Survey Data Collection "/>
      </w:tblPr>
      <w:tblGrid>
        <w:gridCol w:w="2752"/>
        <w:gridCol w:w="2331"/>
        <w:gridCol w:w="1465"/>
        <w:gridCol w:w="1465"/>
        <w:gridCol w:w="1462"/>
      </w:tblGrid>
      <w:tr w:rsidR="00094EF9" w:rsidRPr="005151E7" w14:paraId="1AA57884" w14:textId="7A957740" w:rsidTr="005151E7">
        <w:trPr>
          <w:cantSplit/>
          <w:trHeight w:val="330"/>
          <w:tblHeader/>
        </w:trPr>
        <w:tc>
          <w:tcPr>
            <w:tcW w:w="1445" w:type="pct"/>
            <w:tcBorders>
              <w:top w:val="single" w:sz="8" w:space="0" w:color="366175"/>
              <w:left w:val="single" w:sz="8" w:space="0" w:color="366175"/>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14:paraId="6A5C20AC" w14:textId="77777777" w:rsidR="00094EF9" w:rsidRPr="005151E7" w:rsidRDefault="00094EF9" w:rsidP="00094EF9">
            <w:pPr>
              <w:jc w:val="center"/>
              <w:rPr>
                <w:rFonts w:asciiTheme="minorHAnsi" w:hAnsiTheme="minorHAnsi"/>
                <w:b/>
                <w:bCs/>
              </w:rPr>
            </w:pPr>
            <w:bookmarkStart w:id="5" w:name="_Toc502000086"/>
            <w:r w:rsidRPr="005151E7">
              <w:rPr>
                <w:rFonts w:asciiTheme="minorHAnsi" w:hAnsiTheme="minorHAnsi"/>
                <w:b/>
                <w:bCs/>
              </w:rPr>
              <w:t>Title V Jurisdictions</w:t>
            </w:r>
          </w:p>
        </w:tc>
        <w:tc>
          <w:tcPr>
            <w:tcW w:w="1232" w:type="pct"/>
            <w:tcBorders>
              <w:top w:val="single" w:sz="8" w:space="0" w:color="366175"/>
              <w:left w:val="nil"/>
              <w:bottom w:val="single" w:sz="8" w:space="0" w:color="366175"/>
              <w:right w:val="single" w:sz="4" w:space="0" w:color="auto"/>
            </w:tcBorders>
            <w:shd w:val="clear" w:color="auto" w:fill="auto"/>
            <w:noWrap/>
            <w:tcMar>
              <w:top w:w="0" w:type="dxa"/>
              <w:left w:w="108" w:type="dxa"/>
              <w:bottom w:w="0" w:type="dxa"/>
              <w:right w:w="108" w:type="dxa"/>
            </w:tcMar>
            <w:vAlign w:val="center"/>
            <w:hideMark/>
          </w:tcPr>
          <w:p w14:paraId="6B5E45B7" w14:textId="77777777" w:rsidR="00094EF9" w:rsidRPr="005151E7" w:rsidRDefault="00094EF9" w:rsidP="00094EF9">
            <w:pPr>
              <w:jc w:val="center"/>
              <w:rPr>
                <w:rFonts w:asciiTheme="minorHAnsi" w:hAnsiTheme="minorHAnsi"/>
                <w:b/>
                <w:bCs/>
              </w:rPr>
            </w:pPr>
            <w:r w:rsidRPr="005151E7">
              <w:rPr>
                <w:rFonts w:asciiTheme="minorHAnsi" w:hAnsiTheme="minorHAnsi"/>
                <w:b/>
                <w:bCs/>
              </w:rPr>
              <w:t>Mode of Data Collection</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3D07FF7" w14:textId="18A853DE" w:rsidR="00094EF9" w:rsidRPr="005151E7" w:rsidRDefault="00094EF9" w:rsidP="00094EF9">
            <w:pPr>
              <w:jc w:val="center"/>
              <w:rPr>
                <w:rFonts w:asciiTheme="minorHAnsi" w:hAnsiTheme="minorHAnsi"/>
                <w:b/>
                <w:bCs/>
              </w:rPr>
            </w:pPr>
            <w:r w:rsidRPr="005151E7">
              <w:rPr>
                <w:rFonts w:asciiTheme="minorHAnsi" w:hAnsiTheme="minorHAnsi"/>
                <w:b/>
                <w:bCs/>
              </w:rPr>
              <w:t>Telephone Sample Size/Sample Plus 200% Buffer</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B845E88" w14:textId="49138FBD" w:rsidR="00094EF9" w:rsidRPr="005151E7" w:rsidRDefault="00094EF9" w:rsidP="00094EF9">
            <w:pPr>
              <w:jc w:val="center"/>
              <w:rPr>
                <w:rFonts w:asciiTheme="minorHAnsi" w:hAnsiTheme="minorHAnsi"/>
                <w:b/>
                <w:bCs/>
              </w:rPr>
            </w:pPr>
            <w:r w:rsidRPr="005151E7">
              <w:rPr>
                <w:rFonts w:asciiTheme="minorHAnsi" w:hAnsiTheme="minorHAnsi"/>
                <w:b/>
                <w:bCs/>
              </w:rPr>
              <w:t>Anticipated Screener Completes Needed</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38C2EA8" w14:textId="6AA06BBF" w:rsidR="00094EF9" w:rsidRPr="005151E7" w:rsidRDefault="00094EF9" w:rsidP="00094EF9">
            <w:pPr>
              <w:jc w:val="center"/>
              <w:rPr>
                <w:rFonts w:asciiTheme="minorHAnsi" w:hAnsiTheme="minorHAnsi"/>
                <w:b/>
                <w:bCs/>
              </w:rPr>
            </w:pPr>
            <w:r w:rsidRPr="005151E7">
              <w:rPr>
                <w:rFonts w:asciiTheme="minorHAnsi" w:hAnsiTheme="minorHAnsi"/>
                <w:b/>
                <w:bCs/>
              </w:rPr>
              <w:t>Target Number of Respondents</w:t>
            </w:r>
          </w:p>
        </w:tc>
      </w:tr>
      <w:tr w:rsidR="00094EF9" w:rsidRPr="005151E7" w14:paraId="69D19DCE" w14:textId="2FCCC87A"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590D1D51" w14:textId="77777777" w:rsidR="00094EF9" w:rsidRPr="005151E7" w:rsidRDefault="00094EF9" w:rsidP="00094EF9">
            <w:pPr>
              <w:rPr>
                <w:rFonts w:asciiTheme="minorHAnsi" w:hAnsiTheme="minorHAnsi"/>
              </w:rPr>
            </w:pPr>
            <w:r w:rsidRPr="005151E7">
              <w:rPr>
                <w:rFonts w:asciiTheme="minorHAnsi" w:hAnsiTheme="minorHAnsi"/>
              </w:rPr>
              <w:t>Puerto Rico</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hideMark/>
          </w:tcPr>
          <w:p w14:paraId="672AA38F" w14:textId="77777777" w:rsidR="00094EF9" w:rsidRPr="005151E7" w:rsidRDefault="00094EF9" w:rsidP="00094EF9">
            <w:pPr>
              <w:jc w:val="center"/>
              <w:rPr>
                <w:rFonts w:asciiTheme="minorHAnsi" w:hAnsiTheme="minorHAnsi"/>
              </w:rPr>
            </w:pPr>
            <w:r w:rsidRPr="005151E7">
              <w:rPr>
                <w:rFonts w:asciiTheme="minorHAnsi" w:hAnsiTheme="minorHAnsi"/>
              </w:rPr>
              <w:t>Telephone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961D72" w14:textId="33FCDDDB" w:rsidR="00094EF9" w:rsidRPr="005151E7" w:rsidRDefault="00094EF9" w:rsidP="00094EF9">
            <w:pPr>
              <w:jc w:val="center"/>
              <w:rPr>
                <w:rFonts w:asciiTheme="minorHAnsi" w:hAnsiTheme="minorHAnsi"/>
                <w:b/>
                <w:bCs/>
              </w:rPr>
            </w:pPr>
            <w:r w:rsidRPr="005151E7">
              <w:rPr>
                <w:rFonts w:asciiTheme="minorHAnsi" w:hAnsiTheme="minorHAnsi"/>
                <w:b/>
                <w:bCs/>
              </w:rPr>
              <w:t>4,678/14,035</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60575" w14:textId="12F0926A" w:rsidR="00094EF9" w:rsidRPr="005151E7" w:rsidRDefault="00094EF9" w:rsidP="00094EF9">
            <w:pPr>
              <w:jc w:val="center"/>
              <w:rPr>
                <w:rFonts w:asciiTheme="minorHAnsi" w:hAnsiTheme="minorHAnsi"/>
                <w:b/>
                <w:bCs/>
              </w:rPr>
            </w:pPr>
            <w:r w:rsidRPr="005151E7">
              <w:rPr>
                <w:rFonts w:asciiTheme="minorHAnsi" w:hAnsiTheme="minorHAnsi"/>
                <w:b/>
                <w:bCs/>
              </w:rPr>
              <w:t>263</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5F662" w14:textId="27527467"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603A397D" w14:textId="7FA3A952"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299FE784" w14:textId="77777777" w:rsidR="00094EF9" w:rsidRPr="005151E7" w:rsidRDefault="00094EF9" w:rsidP="00094EF9">
            <w:pPr>
              <w:rPr>
                <w:rFonts w:asciiTheme="minorHAnsi" w:hAnsiTheme="minorHAnsi"/>
              </w:rPr>
            </w:pPr>
            <w:r w:rsidRPr="005151E7">
              <w:rPr>
                <w:rFonts w:asciiTheme="minorHAnsi" w:hAnsiTheme="minorHAnsi"/>
              </w:rPr>
              <w:t>USVI</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hideMark/>
          </w:tcPr>
          <w:p w14:paraId="76817A35" w14:textId="77777777" w:rsidR="00094EF9" w:rsidRPr="005151E7" w:rsidRDefault="00094EF9" w:rsidP="00094EF9">
            <w:pPr>
              <w:jc w:val="center"/>
              <w:rPr>
                <w:rFonts w:asciiTheme="minorHAnsi" w:hAnsiTheme="minorHAnsi"/>
              </w:rPr>
            </w:pPr>
            <w:r w:rsidRPr="005151E7">
              <w:rPr>
                <w:rFonts w:asciiTheme="minorHAnsi" w:hAnsiTheme="minorHAnsi"/>
              </w:rPr>
              <w:t>Telephone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49294D9F" w14:textId="5851E43E" w:rsidR="00094EF9" w:rsidRPr="005151E7" w:rsidRDefault="00094EF9" w:rsidP="00094EF9">
            <w:pPr>
              <w:jc w:val="center"/>
              <w:rPr>
                <w:rFonts w:asciiTheme="minorHAnsi" w:hAnsiTheme="minorHAnsi"/>
                <w:b/>
                <w:bCs/>
              </w:rPr>
            </w:pPr>
            <w:r w:rsidRPr="005151E7">
              <w:rPr>
                <w:rFonts w:asciiTheme="minorHAnsi" w:hAnsiTheme="minorHAnsi"/>
                <w:b/>
                <w:bCs/>
              </w:rPr>
              <w:t>6,334/19,003</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CC6C6" w14:textId="0E693A36" w:rsidR="00094EF9" w:rsidRPr="005151E7" w:rsidRDefault="00094EF9" w:rsidP="00094EF9">
            <w:pPr>
              <w:jc w:val="center"/>
              <w:rPr>
                <w:rFonts w:asciiTheme="minorHAnsi" w:hAnsiTheme="minorHAnsi"/>
                <w:b/>
                <w:bCs/>
              </w:rPr>
            </w:pPr>
            <w:r w:rsidRPr="005151E7">
              <w:rPr>
                <w:rFonts w:asciiTheme="minorHAnsi" w:hAnsiTheme="minorHAnsi"/>
                <w:b/>
                <w:bCs/>
              </w:rPr>
              <w:t>309</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1290E" w14:textId="21484A1E"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775A1DB2" w14:textId="538919F5"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34BC6287" w14:textId="77777777" w:rsidR="00094EF9" w:rsidRPr="005151E7" w:rsidRDefault="00094EF9" w:rsidP="00094EF9">
            <w:pPr>
              <w:rPr>
                <w:rFonts w:asciiTheme="minorHAnsi" w:hAnsiTheme="minorHAnsi"/>
              </w:rPr>
            </w:pPr>
            <w:r w:rsidRPr="005151E7">
              <w:rPr>
                <w:rFonts w:asciiTheme="minorHAnsi" w:hAnsiTheme="minorHAnsi"/>
              </w:rPr>
              <w:t>Guam</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hideMark/>
          </w:tcPr>
          <w:p w14:paraId="3A1CA105" w14:textId="77777777" w:rsidR="00094EF9" w:rsidRPr="005151E7" w:rsidRDefault="00094EF9" w:rsidP="00094EF9">
            <w:pPr>
              <w:jc w:val="center"/>
              <w:rPr>
                <w:rFonts w:asciiTheme="minorHAnsi" w:hAnsiTheme="minorHAnsi"/>
              </w:rPr>
            </w:pPr>
            <w:r w:rsidRPr="005151E7">
              <w:rPr>
                <w:rFonts w:asciiTheme="minorHAnsi" w:hAnsiTheme="minorHAnsi"/>
              </w:rPr>
              <w:t>Telephone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0E2CE" w14:textId="7B512B0A" w:rsidR="00094EF9" w:rsidRPr="005151E7" w:rsidRDefault="00094EF9" w:rsidP="00094EF9">
            <w:pPr>
              <w:jc w:val="center"/>
              <w:rPr>
                <w:rFonts w:asciiTheme="minorHAnsi" w:hAnsiTheme="minorHAnsi"/>
                <w:b/>
                <w:bCs/>
              </w:rPr>
            </w:pPr>
            <w:r w:rsidRPr="005151E7">
              <w:rPr>
                <w:rFonts w:asciiTheme="minorHAnsi" w:hAnsiTheme="minorHAnsi"/>
                <w:b/>
                <w:bCs/>
              </w:rPr>
              <w:t>6,565/19</w:t>
            </w:r>
            <w:r w:rsidR="00396EE4" w:rsidRPr="005151E7">
              <w:rPr>
                <w:rFonts w:asciiTheme="minorHAnsi" w:hAnsiTheme="minorHAnsi"/>
                <w:b/>
                <w:bCs/>
              </w:rPr>
              <w:t>,</w:t>
            </w:r>
            <w:r w:rsidRPr="005151E7">
              <w:rPr>
                <w:rFonts w:asciiTheme="minorHAnsi" w:hAnsiTheme="minorHAnsi"/>
                <w:b/>
                <w:bCs/>
              </w:rPr>
              <w:t>964</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9FD12" w14:textId="0FF3F7C6" w:rsidR="00094EF9" w:rsidRPr="005151E7" w:rsidRDefault="00094EF9" w:rsidP="00094EF9">
            <w:pPr>
              <w:jc w:val="center"/>
              <w:rPr>
                <w:rFonts w:asciiTheme="minorHAnsi" w:hAnsiTheme="minorHAnsi"/>
                <w:b/>
                <w:bCs/>
              </w:rPr>
            </w:pPr>
            <w:r w:rsidRPr="005151E7">
              <w:rPr>
                <w:rFonts w:asciiTheme="minorHAnsi" w:hAnsiTheme="minorHAnsi"/>
                <w:b/>
                <w:bCs/>
              </w:rPr>
              <w:t>192</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39BC" w14:textId="6D502B4D"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4F205FF1" w14:textId="4E09B13C"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5732308C" w14:textId="77777777" w:rsidR="00094EF9" w:rsidRPr="005151E7" w:rsidRDefault="00094EF9" w:rsidP="00094EF9">
            <w:pPr>
              <w:rPr>
                <w:rFonts w:asciiTheme="minorHAnsi" w:hAnsiTheme="minorHAnsi"/>
              </w:rPr>
            </w:pPr>
            <w:r w:rsidRPr="005151E7">
              <w:rPr>
                <w:rFonts w:asciiTheme="minorHAnsi" w:hAnsiTheme="minorHAnsi"/>
              </w:rPr>
              <w:t>American Samoa</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tcPr>
          <w:p w14:paraId="3B7D4081" w14:textId="77777777" w:rsidR="00094EF9" w:rsidRPr="005151E7" w:rsidRDefault="00094EF9" w:rsidP="00094EF9">
            <w:pPr>
              <w:jc w:val="center"/>
              <w:rPr>
                <w:rFonts w:asciiTheme="minorHAnsi" w:hAnsiTheme="minorHAnsi"/>
              </w:rPr>
            </w:pPr>
            <w:r w:rsidRPr="005151E7">
              <w:rPr>
                <w:rFonts w:asciiTheme="minorHAnsi" w:hAnsiTheme="minorHAnsi"/>
              </w:rPr>
              <w:t>In-Person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686F7" w14:textId="0D12EE44" w:rsidR="00094EF9" w:rsidRPr="005151E7" w:rsidRDefault="00094EF9" w:rsidP="00094EF9">
            <w:pPr>
              <w:jc w:val="center"/>
              <w:rPr>
                <w:rFonts w:asciiTheme="minorHAnsi" w:hAnsiTheme="minorHAnsi"/>
                <w:b/>
                <w:bCs/>
              </w:rPr>
            </w:pPr>
            <w:r w:rsidRPr="005151E7">
              <w:rPr>
                <w:rFonts w:asciiTheme="minorHAnsi" w:hAnsiTheme="minorHAnsi"/>
                <w:b/>
                <w:bCs/>
              </w:rPr>
              <w:t>n/a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C1839" w14:textId="11CBA0A0" w:rsidR="00094EF9" w:rsidRPr="005151E7" w:rsidRDefault="00094EF9" w:rsidP="00094EF9">
            <w:pPr>
              <w:jc w:val="center"/>
              <w:rPr>
                <w:rFonts w:asciiTheme="minorHAnsi" w:hAnsiTheme="minorHAnsi"/>
                <w:b/>
                <w:bCs/>
              </w:rPr>
            </w:pPr>
            <w:r w:rsidRPr="005151E7">
              <w:rPr>
                <w:rFonts w:asciiTheme="minorHAnsi" w:hAnsiTheme="minorHAnsi"/>
                <w:b/>
                <w:bCs/>
              </w:rPr>
              <w:t>156</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99A06" w14:textId="379A10F9"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5CEE4D2B" w14:textId="2AFCC1C3"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80D7A8B" w14:textId="77777777" w:rsidR="00094EF9" w:rsidRPr="005151E7" w:rsidRDefault="00094EF9" w:rsidP="00094EF9">
            <w:pPr>
              <w:rPr>
                <w:rFonts w:asciiTheme="minorHAnsi" w:hAnsiTheme="minorHAnsi"/>
              </w:rPr>
            </w:pPr>
            <w:r w:rsidRPr="005151E7">
              <w:rPr>
                <w:rFonts w:asciiTheme="minorHAnsi" w:hAnsiTheme="minorHAnsi"/>
              </w:rPr>
              <w:t>Federated States of Micronesia</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tcPr>
          <w:p w14:paraId="2822DFBE" w14:textId="77777777" w:rsidR="00094EF9" w:rsidRPr="005151E7" w:rsidRDefault="00094EF9" w:rsidP="00094EF9">
            <w:pPr>
              <w:jc w:val="center"/>
              <w:rPr>
                <w:rFonts w:asciiTheme="minorHAnsi" w:hAnsiTheme="minorHAnsi"/>
              </w:rPr>
            </w:pPr>
            <w:r w:rsidRPr="005151E7">
              <w:rPr>
                <w:rFonts w:asciiTheme="minorHAnsi" w:hAnsiTheme="minorHAnsi"/>
              </w:rPr>
              <w:t>In-Person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37C" w14:textId="2B1102E1" w:rsidR="00094EF9" w:rsidRPr="005151E7" w:rsidRDefault="00094EF9" w:rsidP="00094EF9">
            <w:pPr>
              <w:jc w:val="center"/>
              <w:rPr>
                <w:rFonts w:asciiTheme="minorHAnsi" w:hAnsiTheme="minorHAnsi"/>
                <w:b/>
                <w:bCs/>
              </w:rPr>
            </w:pPr>
            <w:r w:rsidRPr="005151E7">
              <w:rPr>
                <w:rFonts w:asciiTheme="minorHAnsi" w:hAnsiTheme="minorHAnsi"/>
                <w:b/>
                <w:bCs/>
              </w:rPr>
              <w:t>n/a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6E2A3" w14:textId="59947124" w:rsidR="00094EF9" w:rsidRPr="005151E7" w:rsidRDefault="00094EF9" w:rsidP="00094EF9">
            <w:pPr>
              <w:jc w:val="center"/>
              <w:rPr>
                <w:rFonts w:asciiTheme="minorHAnsi" w:hAnsiTheme="minorHAnsi"/>
                <w:b/>
                <w:bCs/>
              </w:rPr>
            </w:pPr>
            <w:r w:rsidRPr="005151E7">
              <w:rPr>
                <w:rFonts w:asciiTheme="minorHAnsi" w:hAnsiTheme="minorHAnsi"/>
                <w:b/>
                <w:bCs/>
              </w:rPr>
              <w:t>156</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F65F6" w14:textId="2C89FECB"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7C7C3964" w14:textId="0E434378"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3D135FF6" w14:textId="77777777" w:rsidR="00094EF9" w:rsidRPr="005151E7" w:rsidRDefault="00094EF9" w:rsidP="00094EF9">
            <w:pPr>
              <w:rPr>
                <w:rFonts w:asciiTheme="minorHAnsi" w:hAnsiTheme="minorHAnsi"/>
              </w:rPr>
            </w:pPr>
            <w:r w:rsidRPr="005151E7">
              <w:rPr>
                <w:rFonts w:asciiTheme="minorHAnsi" w:hAnsiTheme="minorHAnsi"/>
              </w:rPr>
              <w:t>Marshall Islands</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tcPr>
          <w:p w14:paraId="2B552514" w14:textId="77777777" w:rsidR="00094EF9" w:rsidRPr="005151E7" w:rsidRDefault="00094EF9" w:rsidP="00094EF9">
            <w:pPr>
              <w:jc w:val="center"/>
              <w:rPr>
                <w:rFonts w:asciiTheme="minorHAnsi" w:hAnsiTheme="minorHAnsi"/>
              </w:rPr>
            </w:pPr>
            <w:r w:rsidRPr="005151E7">
              <w:rPr>
                <w:rFonts w:asciiTheme="minorHAnsi" w:hAnsiTheme="minorHAnsi"/>
              </w:rPr>
              <w:t>In-Person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09B297F0" w14:textId="20BF9CE0" w:rsidR="00094EF9" w:rsidRPr="005151E7" w:rsidRDefault="00094EF9" w:rsidP="00094EF9">
            <w:pPr>
              <w:jc w:val="center"/>
              <w:rPr>
                <w:rFonts w:asciiTheme="minorHAnsi" w:hAnsiTheme="minorHAnsi"/>
                <w:b/>
                <w:bCs/>
              </w:rPr>
            </w:pPr>
            <w:r w:rsidRPr="005151E7">
              <w:rPr>
                <w:rFonts w:asciiTheme="minorHAnsi" w:hAnsiTheme="minorHAnsi"/>
                <w:b/>
                <w:bCs/>
              </w:rPr>
              <w:t>n/a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41E73" w14:textId="0687B08B" w:rsidR="00094EF9" w:rsidRPr="005151E7" w:rsidRDefault="00094EF9" w:rsidP="00094EF9">
            <w:pPr>
              <w:jc w:val="center"/>
              <w:rPr>
                <w:rFonts w:asciiTheme="minorHAnsi" w:hAnsiTheme="minorHAnsi"/>
                <w:b/>
                <w:bCs/>
              </w:rPr>
            </w:pPr>
            <w:r w:rsidRPr="005151E7">
              <w:rPr>
                <w:rFonts w:asciiTheme="minorHAnsi" w:hAnsiTheme="minorHAnsi"/>
                <w:b/>
                <w:bCs/>
              </w:rPr>
              <w:t>156</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1D25" w14:textId="45007F86"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5749C8C8" w14:textId="5C8C85AA" w:rsidTr="00094EF9">
        <w:trPr>
          <w:cantSplit/>
          <w:trHeight w:val="330"/>
        </w:trPr>
        <w:tc>
          <w:tcPr>
            <w:tcW w:w="1445"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44B2BC52" w14:textId="77777777" w:rsidR="00094EF9" w:rsidRPr="005151E7" w:rsidRDefault="00094EF9" w:rsidP="00094EF9">
            <w:pPr>
              <w:rPr>
                <w:rFonts w:asciiTheme="minorHAnsi" w:hAnsiTheme="minorHAnsi"/>
              </w:rPr>
            </w:pPr>
            <w:r w:rsidRPr="005151E7">
              <w:rPr>
                <w:rFonts w:asciiTheme="minorHAnsi" w:hAnsiTheme="minorHAnsi"/>
              </w:rPr>
              <w:t>Northern Mariana Islands</w:t>
            </w:r>
          </w:p>
        </w:tc>
        <w:tc>
          <w:tcPr>
            <w:tcW w:w="1232" w:type="pct"/>
            <w:tcBorders>
              <w:top w:val="nil"/>
              <w:left w:val="nil"/>
              <w:bottom w:val="single" w:sz="8" w:space="0" w:color="366175"/>
              <w:right w:val="single" w:sz="4" w:space="0" w:color="auto"/>
            </w:tcBorders>
            <w:shd w:val="clear" w:color="auto" w:fill="FFFFFF" w:themeFill="background1"/>
            <w:noWrap/>
            <w:tcMar>
              <w:top w:w="0" w:type="dxa"/>
              <w:left w:w="108" w:type="dxa"/>
              <w:bottom w:w="0" w:type="dxa"/>
              <w:right w:w="108" w:type="dxa"/>
            </w:tcMar>
            <w:vAlign w:val="center"/>
          </w:tcPr>
          <w:p w14:paraId="17EF6D88" w14:textId="77777777" w:rsidR="00094EF9" w:rsidRPr="005151E7" w:rsidRDefault="00094EF9" w:rsidP="00094EF9">
            <w:pPr>
              <w:jc w:val="center"/>
              <w:rPr>
                <w:rFonts w:asciiTheme="minorHAnsi" w:hAnsiTheme="minorHAnsi"/>
              </w:rPr>
            </w:pPr>
            <w:r w:rsidRPr="005151E7">
              <w:rPr>
                <w:rFonts w:asciiTheme="minorHAnsi" w:hAnsiTheme="minorHAnsi"/>
              </w:rPr>
              <w:t>In-Person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537ECB0B" w14:textId="39FA9CAA" w:rsidR="00094EF9" w:rsidRPr="005151E7" w:rsidRDefault="00094EF9" w:rsidP="00094EF9">
            <w:pPr>
              <w:jc w:val="center"/>
              <w:rPr>
                <w:rFonts w:asciiTheme="minorHAnsi" w:hAnsiTheme="minorHAnsi"/>
                <w:b/>
                <w:bCs/>
              </w:rPr>
            </w:pPr>
            <w:r w:rsidRPr="005151E7">
              <w:rPr>
                <w:rFonts w:asciiTheme="minorHAnsi" w:hAnsiTheme="minorHAnsi"/>
                <w:b/>
                <w:bCs/>
              </w:rPr>
              <w:t>n/a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79F78" w14:textId="229FBEA9" w:rsidR="00094EF9" w:rsidRPr="005151E7" w:rsidRDefault="00094EF9" w:rsidP="00094EF9">
            <w:pPr>
              <w:jc w:val="center"/>
              <w:rPr>
                <w:rFonts w:asciiTheme="minorHAnsi" w:hAnsiTheme="minorHAnsi"/>
                <w:b/>
                <w:bCs/>
              </w:rPr>
            </w:pPr>
            <w:r w:rsidRPr="005151E7">
              <w:rPr>
                <w:rFonts w:asciiTheme="minorHAnsi" w:hAnsiTheme="minorHAnsi"/>
                <w:b/>
                <w:bCs/>
              </w:rPr>
              <w:t>169</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946A" w14:textId="3F28FFFC"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094EF9" w:rsidRPr="005151E7" w14:paraId="23C0A9CF" w14:textId="4F2BCD9F" w:rsidTr="0053199A">
        <w:trPr>
          <w:cantSplit/>
          <w:trHeight w:val="330"/>
        </w:trPr>
        <w:tc>
          <w:tcPr>
            <w:tcW w:w="1445" w:type="pct"/>
            <w:tcBorders>
              <w:top w:val="nil"/>
              <w:left w:val="single" w:sz="8" w:space="0" w:color="366175"/>
              <w:bottom w:val="single" w:sz="4" w:space="0" w:color="auto"/>
              <w:right w:val="single" w:sz="8" w:space="0" w:color="366175"/>
            </w:tcBorders>
            <w:shd w:val="clear" w:color="auto" w:fill="FFFFFF" w:themeFill="background1"/>
            <w:noWrap/>
            <w:tcMar>
              <w:top w:w="0" w:type="dxa"/>
              <w:left w:w="108" w:type="dxa"/>
              <w:bottom w:w="0" w:type="dxa"/>
              <w:right w:w="108" w:type="dxa"/>
            </w:tcMar>
            <w:vAlign w:val="center"/>
          </w:tcPr>
          <w:p w14:paraId="44A87A58" w14:textId="77777777" w:rsidR="00094EF9" w:rsidRPr="005151E7" w:rsidRDefault="00094EF9" w:rsidP="00094EF9">
            <w:pPr>
              <w:rPr>
                <w:rFonts w:asciiTheme="minorHAnsi" w:hAnsiTheme="minorHAnsi"/>
              </w:rPr>
            </w:pPr>
            <w:r w:rsidRPr="005151E7">
              <w:rPr>
                <w:rFonts w:asciiTheme="minorHAnsi" w:hAnsiTheme="minorHAnsi"/>
              </w:rPr>
              <w:t>Palau</w:t>
            </w:r>
          </w:p>
        </w:tc>
        <w:tc>
          <w:tcPr>
            <w:tcW w:w="1232" w:type="pct"/>
            <w:tcBorders>
              <w:top w:val="nil"/>
              <w:left w:val="nil"/>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0E6A6C12" w14:textId="77777777" w:rsidR="00094EF9" w:rsidRPr="005151E7" w:rsidRDefault="00094EF9" w:rsidP="00094EF9">
            <w:pPr>
              <w:jc w:val="center"/>
              <w:rPr>
                <w:rFonts w:asciiTheme="minorHAnsi" w:hAnsiTheme="minorHAnsi"/>
              </w:rPr>
            </w:pPr>
            <w:r w:rsidRPr="005151E7">
              <w:rPr>
                <w:rFonts w:asciiTheme="minorHAnsi" w:hAnsiTheme="minorHAnsi"/>
              </w:rPr>
              <w:t>In-Person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36724102" w14:textId="7F91D3E1" w:rsidR="00094EF9" w:rsidRPr="005151E7" w:rsidRDefault="00094EF9" w:rsidP="00094EF9">
            <w:pPr>
              <w:jc w:val="center"/>
              <w:rPr>
                <w:rFonts w:asciiTheme="minorHAnsi" w:hAnsiTheme="minorHAnsi"/>
                <w:b/>
                <w:bCs/>
              </w:rPr>
            </w:pPr>
            <w:r w:rsidRPr="005151E7">
              <w:rPr>
                <w:rFonts w:asciiTheme="minorHAnsi" w:hAnsiTheme="minorHAnsi"/>
                <w:b/>
                <w:bCs/>
              </w:rPr>
              <w:t>n/a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FE84D" w14:textId="1F9BEF10" w:rsidR="00094EF9" w:rsidRPr="005151E7" w:rsidRDefault="00094EF9" w:rsidP="00094EF9">
            <w:pPr>
              <w:jc w:val="center"/>
              <w:rPr>
                <w:rFonts w:asciiTheme="minorHAnsi" w:hAnsiTheme="minorHAnsi"/>
                <w:b/>
                <w:bCs/>
              </w:rPr>
            </w:pPr>
            <w:r w:rsidRPr="005151E7">
              <w:rPr>
                <w:rFonts w:asciiTheme="minorHAnsi" w:hAnsiTheme="minorHAnsi"/>
                <w:b/>
                <w:bCs/>
              </w:rPr>
              <w:t>156</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DEF4" w14:textId="22F14B41" w:rsidR="00094EF9" w:rsidRPr="005151E7" w:rsidRDefault="00094EF9" w:rsidP="00094EF9">
            <w:pPr>
              <w:jc w:val="center"/>
              <w:rPr>
                <w:rFonts w:asciiTheme="minorHAnsi" w:hAnsiTheme="minorHAnsi"/>
              </w:rPr>
            </w:pPr>
            <w:r w:rsidRPr="005151E7">
              <w:rPr>
                <w:rFonts w:asciiTheme="minorHAnsi" w:hAnsiTheme="minorHAnsi"/>
                <w:b/>
                <w:bCs/>
              </w:rPr>
              <w:t>25</w:t>
            </w:r>
          </w:p>
        </w:tc>
      </w:tr>
      <w:tr w:rsidR="0053199A" w:rsidRPr="005151E7" w14:paraId="2CB51FB9" w14:textId="77777777" w:rsidTr="00880ACA">
        <w:trPr>
          <w:cantSplit/>
          <w:trHeight w:val="330"/>
        </w:trPr>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6750967B" w14:textId="10AF5861" w:rsidR="0053199A" w:rsidRPr="0053199A" w:rsidRDefault="0053199A" w:rsidP="00094EF9">
            <w:pPr>
              <w:rPr>
                <w:rFonts w:asciiTheme="minorHAnsi" w:hAnsiTheme="minorHAnsi"/>
                <w:b/>
              </w:rPr>
            </w:pPr>
            <w:r w:rsidRPr="0053199A">
              <w:rPr>
                <w:rFonts w:asciiTheme="minorHAnsi" w:hAnsiTheme="minorHAnsi"/>
                <w:b/>
              </w:rPr>
              <w:t>Total</w:t>
            </w: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19A9CCBF" w14:textId="77777777" w:rsidR="0053199A" w:rsidRPr="005151E7" w:rsidRDefault="0053199A" w:rsidP="00094EF9">
            <w:pPr>
              <w:jc w:val="center"/>
              <w:rPr>
                <w:rFonts w:asciiTheme="minorHAnsi" w:hAnsiTheme="minorHAnsi"/>
              </w:rPr>
            </w:pP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0699F" w14:textId="2E521AE7" w:rsidR="0053199A" w:rsidRPr="005151E7" w:rsidRDefault="0053199A" w:rsidP="00880ACA">
            <w:pPr>
              <w:jc w:val="center"/>
              <w:rPr>
                <w:rFonts w:asciiTheme="minorHAnsi" w:hAnsiTheme="minorHAnsi"/>
                <w:b/>
                <w:bCs/>
              </w:rPr>
            </w:pPr>
            <w:r>
              <w:rPr>
                <w:rFonts w:asciiTheme="minorHAnsi" w:hAnsiTheme="minorHAnsi"/>
                <w:b/>
                <w:bCs/>
              </w:rPr>
              <w:t>52,731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0AF02" w14:textId="725639A2" w:rsidR="0053199A" w:rsidRPr="005151E7" w:rsidRDefault="0053199A" w:rsidP="00094EF9">
            <w:pPr>
              <w:jc w:val="center"/>
              <w:rPr>
                <w:rFonts w:asciiTheme="minorHAnsi" w:hAnsiTheme="minorHAnsi"/>
                <w:b/>
                <w:bCs/>
              </w:rPr>
            </w:pPr>
            <w:r>
              <w:rPr>
                <w:rFonts w:asciiTheme="minorHAnsi" w:hAnsiTheme="minorHAnsi"/>
                <w:b/>
                <w:bCs/>
              </w:rPr>
              <w:t>1,557</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6CD0B" w14:textId="15B05522" w:rsidR="0053199A" w:rsidRPr="005151E7" w:rsidRDefault="0053199A" w:rsidP="00094EF9">
            <w:pPr>
              <w:jc w:val="center"/>
              <w:rPr>
                <w:rFonts w:asciiTheme="minorHAnsi" w:hAnsiTheme="minorHAnsi"/>
                <w:b/>
                <w:bCs/>
              </w:rPr>
            </w:pPr>
            <w:r>
              <w:rPr>
                <w:rFonts w:asciiTheme="minorHAnsi" w:hAnsiTheme="minorHAnsi"/>
                <w:b/>
                <w:bCs/>
              </w:rPr>
              <w:t>200</w:t>
            </w:r>
          </w:p>
        </w:tc>
      </w:tr>
    </w:tbl>
    <w:p w14:paraId="1E178983" w14:textId="77777777" w:rsidR="00A6314E" w:rsidRDefault="00A6314E" w:rsidP="00A6314E">
      <w:pPr>
        <w:rPr>
          <w:color w:val="1F497D"/>
          <w:szCs w:val="22"/>
        </w:rPr>
      </w:pPr>
      <w:bookmarkStart w:id="6" w:name="_Toc509998947"/>
      <w:bookmarkStart w:id="7" w:name="_Toc151782200"/>
      <w:bookmarkStart w:id="8" w:name="_Toc158526236"/>
      <w:bookmarkEnd w:id="5"/>
    </w:p>
    <w:p w14:paraId="1126F9A9" w14:textId="20F80D1E" w:rsidR="00A6314E" w:rsidRPr="00680B1F" w:rsidRDefault="00A6314E" w:rsidP="00A631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i/>
          <w:sz w:val="22"/>
        </w:rPr>
      </w:pPr>
      <w:r>
        <w:rPr>
          <w:rFonts w:asciiTheme="minorHAnsi" w:hAnsiTheme="minorHAnsi"/>
          <w:i/>
          <w:sz w:val="22"/>
        </w:rPr>
        <w:t xml:space="preserve">Further Description of Assumptions used in Table 1 </w:t>
      </w:r>
    </w:p>
    <w:p w14:paraId="08031DF7" w14:textId="402D54D8" w:rsidR="00A6314E" w:rsidRPr="00680B1F" w:rsidRDefault="00A6314E" w:rsidP="00A6314E">
      <w:pPr>
        <w:rPr>
          <w:rFonts w:asciiTheme="minorHAnsi" w:hAnsiTheme="minorHAnsi"/>
          <w:sz w:val="22"/>
          <w:szCs w:val="22"/>
        </w:rPr>
      </w:pPr>
      <w:r>
        <w:rPr>
          <w:rFonts w:asciiTheme="minorHAnsi" w:hAnsiTheme="minorHAnsi"/>
          <w:sz w:val="22"/>
          <w:szCs w:val="22"/>
        </w:rPr>
        <w:t xml:space="preserve">For </w:t>
      </w:r>
      <w:r w:rsidRPr="00680B1F">
        <w:rPr>
          <w:rFonts w:asciiTheme="minorHAnsi" w:hAnsiTheme="minorHAnsi"/>
          <w:sz w:val="22"/>
          <w:szCs w:val="22"/>
        </w:rPr>
        <w:t xml:space="preserve">the </w:t>
      </w:r>
      <w:r w:rsidRPr="006275A8">
        <w:rPr>
          <w:rFonts w:asciiTheme="minorHAnsi" w:hAnsiTheme="minorHAnsi"/>
          <w:b/>
          <w:sz w:val="22"/>
          <w:szCs w:val="22"/>
        </w:rPr>
        <w:t>Telephone mode</w:t>
      </w:r>
      <w:r w:rsidRPr="00680B1F">
        <w:rPr>
          <w:rFonts w:asciiTheme="minorHAnsi" w:hAnsiTheme="minorHAnsi"/>
          <w:sz w:val="22"/>
          <w:szCs w:val="22"/>
        </w:rPr>
        <w:t xml:space="preserve"> (Guam, Puerto Rico, U.S. Virgin Islands) we are targeting 25 </w:t>
      </w:r>
      <w:r>
        <w:rPr>
          <w:rFonts w:asciiTheme="minorHAnsi" w:hAnsiTheme="minorHAnsi"/>
          <w:sz w:val="22"/>
          <w:szCs w:val="22"/>
        </w:rPr>
        <w:t xml:space="preserve">survey </w:t>
      </w:r>
      <w:r w:rsidRPr="00680B1F">
        <w:rPr>
          <w:rFonts w:asciiTheme="minorHAnsi" w:hAnsiTheme="minorHAnsi"/>
          <w:sz w:val="22"/>
          <w:szCs w:val="22"/>
        </w:rPr>
        <w:t xml:space="preserve">completes. The </w:t>
      </w:r>
      <w:r>
        <w:rPr>
          <w:rFonts w:asciiTheme="minorHAnsi" w:hAnsiTheme="minorHAnsi"/>
          <w:sz w:val="22"/>
          <w:szCs w:val="22"/>
        </w:rPr>
        <w:t xml:space="preserve">following formula was used to calculate the number of screener completes to </w:t>
      </w:r>
      <w:r w:rsidR="00FD02FD">
        <w:rPr>
          <w:rFonts w:asciiTheme="minorHAnsi" w:hAnsiTheme="minorHAnsi"/>
          <w:sz w:val="22"/>
          <w:szCs w:val="22"/>
        </w:rPr>
        <w:t>reach this goal</w:t>
      </w:r>
      <w:r w:rsidRPr="00680B1F">
        <w:rPr>
          <w:rFonts w:asciiTheme="minorHAnsi" w:hAnsiTheme="minorHAnsi"/>
          <w:sz w:val="22"/>
          <w:szCs w:val="22"/>
        </w:rPr>
        <w:t>:</w:t>
      </w:r>
    </w:p>
    <w:p w14:paraId="5E1D508D" w14:textId="2E225DED" w:rsidR="00A6314E" w:rsidRPr="0055520F" w:rsidRDefault="00A6314E" w:rsidP="002412F1">
      <w:pPr>
        <w:spacing w:before="240" w:after="240"/>
        <w:rPr>
          <w:rFonts w:asciiTheme="minorHAnsi" w:hAnsiTheme="minorHAnsi"/>
          <w:szCs w:val="22"/>
        </w:rPr>
      </w:pPr>
      <m:oMathPara>
        <m:oMath>
          <m:r>
            <w:rPr>
              <w:rFonts w:ascii="Cambria Math" w:hAnsi="Cambria Math"/>
              <w:szCs w:val="22"/>
            </w:rPr>
            <m:t>Screener completes=</m:t>
          </m:r>
          <m:f>
            <m:fPr>
              <m:ctrlPr>
                <w:rPr>
                  <w:rFonts w:ascii="Cambria Math" w:eastAsiaTheme="minorHAnsi" w:hAnsi="Cambria Math"/>
                  <w:i/>
                  <w:iCs/>
                  <w:szCs w:val="22"/>
                </w:rPr>
              </m:ctrlPr>
            </m:fPr>
            <m:num>
              <m:r>
                <w:rPr>
                  <w:rFonts w:ascii="Cambria Math" w:hAnsi="Cambria Math"/>
                  <w:szCs w:val="22"/>
                </w:rPr>
                <m:t>25</m:t>
              </m:r>
            </m:num>
            <m:den>
              <m:r>
                <w:rPr>
                  <w:rFonts w:ascii="Cambria Math" w:hAnsi="Cambria Math"/>
                  <w:szCs w:val="22"/>
                </w:rPr>
                <m:t>eligibility rate x interview completion rate</m:t>
              </m:r>
            </m:den>
          </m:f>
        </m:oMath>
      </m:oMathPara>
    </w:p>
    <w:p w14:paraId="25A80CA3" w14:textId="7E25BD35" w:rsidR="00A6314E" w:rsidRPr="00680B1F" w:rsidRDefault="00A6314E" w:rsidP="00A6314E">
      <w:pPr>
        <w:rPr>
          <w:rFonts w:asciiTheme="minorHAnsi" w:hAnsiTheme="minorHAnsi"/>
          <w:sz w:val="22"/>
          <w:szCs w:val="22"/>
        </w:rPr>
      </w:pPr>
      <w:r>
        <w:rPr>
          <w:rFonts w:asciiTheme="minorHAnsi" w:hAnsiTheme="minorHAnsi"/>
          <w:sz w:val="22"/>
          <w:szCs w:val="22"/>
        </w:rPr>
        <w:t xml:space="preserve">In this formula, </w:t>
      </w:r>
      <w:r w:rsidRPr="00680B1F">
        <w:rPr>
          <w:rFonts w:asciiTheme="minorHAnsi" w:hAnsiTheme="minorHAnsi"/>
          <w:sz w:val="22"/>
          <w:szCs w:val="22"/>
        </w:rPr>
        <w:t xml:space="preserve">“eligibility rate” is the proportion of screener completes that will be eligible (i.e., the </w:t>
      </w:r>
      <w:r w:rsidR="00E66AE3" w:rsidRPr="00680B1F">
        <w:rPr>
          <w:rFonts w:asciiTheme="minorHAnsi" w:hAnsiTheme="minorHAnsi"/>
          <w:sz w:val="22"/>
          <w:szCs w:val="22"/>
        </w:rPr>
        <w:t>cell phone</w:t>
      </w:r>
      <w:r w:rsidRPr="00680B1F">
        <w:rPr>
          <w:rFonts w:asciiTheme="minorHAnsi" w:hAnsiTheme="minorHAnsi"/>
          <w:sz w:val="22"/>
          <w:szCs w:val="22"/>
        </w:rPr>
        <w:t xml:space="preserve"> must be used by an adult and the adult’s household must contain a child under age 18) and “interview completion rate” is the proportion of identified eligible respondents that </w:t>
      </w:r>
      <w:r>
        <w:rPr>
          <w:rFonts w:asciiTheme="minorHAnsi" w:hAnsiTheme="minorHAnsi"/>
          <w:sz w:val="22"/>
          <w:szCs w:val="22"/>
        </w:rPr>
        <w:t>will</w:t>
      </w:r>
      <w:r w:rsidRPr="00680B1F">
        <w:rPr>
          <w:rFonts w:asciiTheme="minorHAnsi" w:hAnsiTheme="minorHAnsi"/>
          <w:sz w:val="22"/>
          <w:szCs w:val="22"/>
        </w:rPr>
        <w:t xml:space="preserve"> go on to complete the interview. </w:t>
      </w:r>
      <w:r>
        <w:rPr>
          <w:rFonts w:asciiTheme="minorHAnsi" w:hAnsiTheme="minorHAnsi"/>
          <w:sz w:val="22"/>
          <w:szCs w:val="22"/>
        </w:rPr>
        <w:t>Next,</w:t>
      </w:r>
      <w:r w:rsidRPr="00680B1F">
        <w:rPr>
          <w:rFonts w:asciiTheme="minorHAnsi" w:hAnsiTheme="minorHAnsi"/>
          <w:sz w:val="22"/>
          <w:szCs w:val="22"/>
        </w:rPr>
        <w:t xml:space="preserve"> to convert screener completes into </w:t>
      </w:r>
      <w:r>
        <w:rPr>
          <w:rFonts w:asciiTheme="minorHAnsi" w:hAnsiTheme="minorHAnsi"/>
          <w:sz w:val="22"/>
          <w:szCs w:val="22"/>
        </w:rPr>
        <w:t xml:space="preserve">the </w:t>
      </w:r>
      <w:r w:rsidRPr="00680B1F">
        <w:rPr>
          <w:rFonts w:asciiTheme="minorHAnsi" w:hAnsiTheme="minorHAnsi"/>
          <w:sz w:val="22"/>
          <w:szCs w:val="22"/>
        </w:rPr>
        <w:t xml:space="preserve">number of sampled telephone numbers needed, we </w:t>
      </w:r>
      <w:r>
        <w:rPr>
          <w:rFonts w:asciiTheme="minorHAnsi" w:hAnsiTheme="minorHAnsi"/>
          <w:sz w:val="22"/>
          <w:szCs w:val="22"/>
        </w:rPr>
        <w:t>used the following formula</w:t>
      </w:r>
      <w:r w:rsidRPr="00680B1F">
        <w:rPr>
          <w:rFonts w:asciiTheme="minorHAnsi" w:hAnsiTheme="minorHAnsi"/>
          <w:sz w:val="22"/>
          <w:szCs w:val="22"/>
        </w:rPr>
        <w:t>:</w:t>
      </w:r>
    </w:p>
    <w:p w14:paraId="13A6BC25" w14:textId="77777777" w:rsidR="00A6314E" w:rsidRPr="00680B1F" w:rsidRDefault="00A6314E" w:rsidP="002412F1">
      <w:pPr>
        <w:spacing w:before="240" w:after="240"/>
        <w:rPr>
          <w:rFonts w:asciiTheme="minorHAnsi" w:hAnsiTheme="minorHAnsi"/>
          <w:szCs w:val="22"/>
        </w:rPr>
      </w:pPr>
      <m:oMathPara>
        <m:oMath>
          <m:r>
            <w:rPr>
              <w:rFonts w:ascii="Cambria Math" w:hAnsi="Cambria Math"/>
              <w:szCs w:val="22"/>
            </w:rPr>
            <m:t>Sampled telephone numbers=</m:t>
          </m:r>
          <m:f>
            <m:fPr>
              <m:ctrlPr>
                <w:rPr>
                  <w:rFonts w:ascii="Cambria Math" w:eastAsiaTheme="minorHAnsi" w:hAnsi="Cambria Math"/>
                  <w:i/>
                  <w:iCs/>
                  <w:szCs w:val="22"/>
                </w:rPr>
              </m:ctrlPr>
            </m:fPr>
            <m:num>
              <m:r>
                <w:rPr>
                  <w:rFonts w:ascii="Cambria Math" w:hAnsi="Cambria Math"/>
                  <w:szCs w:val="22"/>
                </w:rPr>
                <m:t>Screener completes</m:t>
              </m:r>
            </m:num>
            <m:den>
              <m:r>
                <w:rPr>
                  <w:rFonts w:ascii="Cambria Math" w:hAnsi="Cambria Math"/>
                  <w:szCs w:val="22"/>
                </w:rPr>
                <m:t>resolution rate x APCN rate x screener completion rate</m:t>
              </m:r>
            </m:den>
          </m:f>
        </m:oMath>
      </m:oMathPara>
    </w:p>
    <w:p w14:paraId="1E37B125" w14:textId="77777777" w:rsidR="00117CDF" w:rsidRDefault="00117CDF">
      <w:pPr>
        <w:widowControl/>
        <w:autoSpaceDE/>
        <w:autoSpaceDN/>
        <w:adjustRightInd/>
        <w:rPr>
          <w:rFonts w:asciiTheme="minorHAnsi" w:hAnsiTheme="minorHAnsi"/>
          <w:sz w:val="22"/>
          <w:szCs w:val="22"/>
        </w:rPr>
      </w:pPr>
      <w:r>
        <w:rPr>
          <w:rFonts w:asciiTheme="minorHAnsi" w:hAnsiTheme="minorHAnsi"/>
          <w:sz w:val="22"/>
          <w:szCs w:val="22"/>
        </w:rPr>
        <w:br w:type="page"/>
      </w:r>
    </w:p>
    <w:p w14:paraId="702A7182" w14:textId="542EB08B" w:rsidR="00A6314E" w:rsidRPr="00680B1F" w:rsidRDefault="00A6314E" w:rsidP="00A6314E">
      <w:pPr>
        <w:rPr>
          <w:rFonts w:asciiTheme="minorHAnsi" w:hAnsiTheme="minorHAnsi"/>
          <w:sz w:val="22"/>
          <w:szCs w:val="22"/>
        </w:rPr>
      </w:pPr>
      <w:r>
        <w:rPr>
          <w:rFonts w:asciiTheme="minorHAnsi" w:hAnsiTheme="minorHAnsi"/>
          <w:sz w:val="22"/>
          <w:szCs w:val="22"/>
        </w:rPr>
        <w:lastRenderedPageBreak/>
        <w:t xml:space="preserve">In this formula, </w:t>
      </w:r>
      <w:r w:rsidRPr="00680B1F">
        <w:rPr>
          <w:rFonts w:asciiTheme="minorHAnsi" w:hAnsiTheme="minorHAnsi"/>
          <w:sz w:val="22"/>
          <w:szCs w:val="22"/>
        </w:rPr>
        <w:t>“resolution rate” is the proportion of dialed numbers we are able to resolve as either (1) active personal cell-phone number, (2) non-working number, or (3) business number; “APCN rate” is, out of the resolved numbers, the proportion that were resolved as active personal cell-phone numbers; and “screener completion rate” is, out of the identified active personal cell-phone numbers, the proportion that that go on to complete the screener.</w:t>
      </w:r>
    </w:p>
    <w:p w14:paraId="27516FDB" w14:textId="77777777" w:rsidR="00A6314E" w:rsidRPr="00680B1F" w:rsidRDefault="00A6314E" w:rsidP="00A6314E">
      <w:pPr>
        <w:rPr>
          <w:rFonts w:asciiTheme="minorHAnsi" w:hAnsiTheme="minorHAnsi"/>
          <w:sz w:val="22"/>
          <w:szCs w:val="22"/>
        </w:rPr>
      </w:pPr>
    </w:p>
    <w:p w14:paraId="4EA2C18C" w14:textId="034CA353" w:rsidR="002203DE" w:rsidRPr="002203DE" w:rsidRDefault="00686965" w:rsidP="002203DE">
      <w:pPr>
        <w:spacing w:after="240"/>
        <w:rPr>
          <w:rFonts w:asciiTheme="minorHAnsi" w:hAnsiTheme="minorHAnsi"/>
          <w:sz w:val="22"/>
          <w:szCs w:val="22"/>
        </w:rPr>
      </w:pPr>
      <w:r w:rsidRPr="002203DE">
        <w:rPr>
          <w:rFonts w:asciiTheme="minorHAnsi" w:hAnsiTheme="minorHAnsi"/>
          <w:sz w:val="22"/>
          <w:szCs w:val="22"/>
        </w:rPr>
        <w:t xml:space="preserve">This is a new data collection, so rates </w:t>
      </w:r>
      <w:r w:rsidR="002203DE">
        <w:rPr>
          <w:rFonts w:asciiTheme="minorHAnsi" w:hAnsiTheme="minorHAnsi"/>
          <w:sz w:val="22"/>
          <w:szCs w:val="22"/>
        </w:rPr>
        <w:t xml:space="preserve">we informed by prior similar experience </w:t>
      </w:r>
      <w:r w:rsidRPr="002203DE">
        <w:rPr>
          <w:rFonts w:asciiTheme="minorHAnsi" w:hAnsiTheme="minorHAnsi"/>
          <w:sz w:val="22"/>
          <w:szCs w:val="22"/>
        </w:rPr>
        <w:t xml:space="preserve">(see Table 2). Assumptions for the resolution rate and APCN rate are based on </w:t>
      </w:r>
      <w:r w:rsidR="002203DE">
        <w:rPr>
          <w:rFonts w:asciiTheme="minorHAnsi" w:hAnsiTheme="minorHAnsi"/>
          <w:sz w:val="22"/>
          <w:szCs w:val="22"/>
        </w:rPr>
        <w:t>previous</w:t>
      </w:r>
      <w:r w:rsidRPr="002203DE">
        <w:rPr>
          <w:rFonts w:asciiTheme="minorHAnsi" w:hAnsiTheme="minorHAnsi"/>
          <w:sz w:val="22"/>
          <w:szCs w:val="22"/>
        </w:rPr>
        <w:t xml:space="preserve"> experience with a large, telephone-based, federal survey in Guam, Puerto Rico, U.S. Virgin Islands. </w:t>
      </w:r>
      <w:r w:rsidR="002203DE" w:rsidRPr="002203DE">
        <w:rPr>
          <w:rFonts w:asciiTheme="minorHAnsi" w:hAnsiTheme="minorHAnsi"/>
          <w:sz w:val="22"/>
          <w:szCs w:val="22"/>
        </w:rPr>
        <w:t>The assumptions f</w:t>
      </w:r>
      <w:r w:rsidR="002203DE">
        <w:rPr>
          <w:rFonts w:asciiTheme="minorHAnsi" w:hAnsiTheme="minorHAnsi"/>
          <w:sz w:val="22"/>
          <w:szCs w:val="22"/>
        </w:rPr>
        <w:t>or the screener completion rate</w:t>
      </w:r>
      <w:r w:rsidR="0064062B">
        <w:rPr>
          <w:rFonts w:asciiTheme="minorHAnsi" w:hAnsiTheme="minorHAnsi"/>
          <w:sz w:val="22"/>
          <w:szCs w:val="22"/>
        </w:rPr>
        <w:t xml:space="preserve"> and</w:t>
      </w:r>
      <w:r w:rsidR="002203DE">
        <w:rPr>
          <w:rFonts w:asciiTheme="minorHAnsi" w:hAnsiTheme="minorHAnsi"/>
          <w:sz w:val="22"/>
          <w:szCs w:val="22"/>
        </w:rPr>
        <w:t xml:space="preserve"> </w:t>
      </w:r>
      <w:r w:rsidR="002203DE" w:rsidRPr="002203DE">
        <w:rPr>
          <w:rFonts w:asciiTheme="minorHAnsi" w:hAnsiTheme="minorHAnsi"/>
          <w:sz w:val="22"/>
          <w:szCs w:val="22"/>
        </w:rPr>
        <w:t>interview completion rate</w:t>
      </w:r>
      <w:r w:rsidR="002203DE">
        <w:rPr>
          <w:rFonts w:asciiTheme="minorHAnsi" w:hAnsiTheme="minorHAnsi"/>
          <w:sz w:val="22"/>
          <w:szCs w:val="22"/>
        </w:rPr>
        <w:t xml:space="preserve"> </w:t>
      </w:r>
      <w:r w:rsidR="002203DE" w:rsidRPr="002203DE">
        <w:rPr>
          <w:rFonts w:asciiTheme="minorHAnsi" w:hAnsiTheme="minorHAnsi"/>
          <w:sz w:val="22"/>
          <w:szCs w:val="22"/>
        </w:rPr>
        <w:t xml:space="preserve">were based on experience </w:t>
      </w:r>
      <w:r w:rsidR="002203DE">
        <w:rPr>
          <w:rFonts w:asciiTheme="minorHAnsi" w:hAnsiTheme="minorHAnsi"/>
          <w:sz w:val="22"/>
          <w:szCs w:val="22"/>
        </w:rPr>
        <w:t xml:space="preserve">with a </w:t>
      </w:r>
      <w:r w:rsidR="002203DE" w:rsidRPr="002203DE">
        <w:rPr>
          <w:rFonts w:asciiTheme="minorHAnsi" w:hAnsiTheme="minorHAnsi"/>
          <w:sz w:val="22"/>
          <w:szCs w:val="22"/>
        </w:rPr>
        <w:t>mode effects experiment</w:t>
      </w:r>
      <w:r w:rsidR="002203DE">
        <w:rPr>
          <w:rFonts w:asciiTheme="minorHAnsi" w:hAnsiTheme="minorHAnsi"/>
          <w:sz w:val="22"/>
          <w:szCs w:val="22"/>
        </w:rPr>
        <w:t xml:space="preserve"> of a similar children’s health survey</w:t>
      </w:r>
      <w:r w:rsidR="002203DE" w:rsidRPr="002203DE">
        <w:rPr>
          <w:rFonts w:asciiTheme="minorHAnsi" w:hAnsiTheme="minorHAnsi"/>
          <w:sz w:val="22"/>
          <w:szCs w:val="22"/>
        </w:rPr>
        <w:t>.</w:t>
      </w:r>
      <w:r w:rsidR="0064062B">
        <w:rPr>
          <w:rFonts w:asciiTheme="minorHAnsi" w:hAnsiTheme="minorHAnsi"/>
          <w:sz w:val="22"/>
          <w:szCs w:val="22"/>
        </w:rPr>
        <w:t xml:space="preserve"> The assumptions for the eligibility rate were based on previous experience with this survey, in conjunction with t</w:t>
      </w:r>
      <w:r w:rsidR="002203DE">
        <w:rPr>
          <w:rFonts w:asciiTheme="minorHAnsi" w:hAnsiTheme="minorHAnsi"/>
          <w:sz w:val="22"/>
          <w:szCs w:val="22"/>
        </w:rPr>
        <w:t xml:space="preserve">he </w:t>
      </w:r>
      <w:r w:rsidR="002203DE" w:rsidRPr="002203DE">
        <w:rPr>
          <w:rFonts w:asciiTheme="minorHAnsi" w:hAnsiTheme="minorHAnsi"/>
          <w:sz w:val="22"/>
          <w:szCs w:val="22"/>
        </w:rPr>
        <w:t xml:space="preserve">relative eligibility rates </w:t>
      </w:r>
      <w:r w:rsidR="0064062B">
        <w:rPr>
          <w:rFonts w:asciiTheme="minorHAnsi" w:hAnsiTheme="minorHAnsi"/>
          <w:sz w:val="22"/>
          <w:szCs w:val="22"/>
        </w:rPr>
        <w:t>from</w:t>
      </w:r>
      <w:r w:rsidR="002203DE" w:rsidRPr="002203DE">
        <w:rPr>
          <w:rFonts w:asciiTheme="minorHAnsi" w:hAnsiTheme="minorHAnsi"/>
          <w:sz w:val="22"/>
          <w:szCs w:val="22"/>
        </w:rPr>
        <w:t xml:space="preserve"> a large, telephone-based, federal survey in Guam, Puerto Rico, U.S. Virgin Islands</w:t>
      </w:r>
      <w:r w:rsidR="002203DE">
        <w:rPr>
          <w:rFonts w:asciiTheme="minorHAnsi" w:hAnsiTheme="minorHAnsi"/>
          <w:sz w:val="22"/>
          <w:szCs w:val="22"/>
        </w:rPr>
        <w:t>.</w:t>
      </w:r>
    </w:p>
    <w:p w14:paraId="21C7116B" w14:textId="72735C24" w:rsidR="00A6314E" w:rsidRPr="00686965" w:rsidRDefault="00686965" w:rsidP="0055520F">
      <w:pPr>
        <w:rPr>
          <w:rFonts w:asciiTheme="minorHAnsi" w:hAnsiTheme="minorHAnsi"/>
          <w:b/>
        </w:rPr>
      </w:pPr>
      <w:r>
        <w:rPr>
          <w:rFonts w:asciiTheme="minorHAnsi" w:hAnsiTheme="minorHAnsi"/>
          <w:b/>
        </w:rPr>
        <w:t>Table 2</w:t>
      </w:r>
      <w:r w:rsidRPr="005151E7">
        <w:rPr>
          <w:rFonts w:asciiTheme="minorHAnsi" w:hAnsiTheme="minorHAnsi"/>
          <w:b/>
        </w:rPr>
        <w:t xml:space="preserve">: </w:t>
      </w:r>
      <w:r>
        <w:rPr>
          <w:rFonts w:asciiTheme="minorHAnsi" w:hAnsiTheme="minorHAnsi"/>
          <w:b/>
        </w:rPr>
        <w:t xml:space="preserve">  </w:t>
      </w:r>
      <w:r w:rsidRPr="005151E7">
        <w:rPr>
          <w:rFonts w:asciiTheme="minorHAnsi" w:hAnsiTheme="minorHAnsi"/>
          <w:b/>
        </w:rPr>
        <w:t>Mode of Survey Data Collection and Target Number of Respondents</w:t>
      </w:r>
    </w:p>
    <w:tbl>
      <w:tblPr>
        <w:tblW w:w="8594" w:type="dxa"/>
        <w:tblInd w:w="2" w:type="dxa"/>
        <w:tblLayout w:type="fixed"/>
        <w:tblCellMar>
          <w:left w:w="0" w:type="dxa"/>
          <w:right w:w="0" w:type="dxa"/>
        </w:tblCellMar>
        <w:tblLook w:val="04A0" w:firstRow="1" w:lastRow="0" w:firstColumn="1" w:lastColumn="0" w:noHBand="0" w:noVBand="1"/>
      </w:tblPr>
      <w:tblGrid>
        <w:gridCol w:w="3228"/>
        <w:gridCol w:w="894"/>
        <w:gridCol w:w="894"/>
        <w:gridCol w:w="895"/>
        <w:gridCol w:w="894"/>
        <w:gridCol w:w="894"/>
        <w:gridCol w:w="895"/>
      </w:tblGrid>
      <w:tr w:rsidR="00680B1F" w:rsidRPr="00680B1F" w14:paraId="0BF09D92" w14:textId="77777777" w:rsidTr="00686965">
        <w:trPr>
          <w:trHeight w:val="367"/>
        </w:trPr>
        <w:tc>
          <w:tcPr>
            <w:tcW w:w="3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F3FCAD" w14:textId="77777777" w:rsidR="00680B1F" w:rsidRPr="00686965" w:rsidRDefault="00680B1F">
            <w:pPr>
              <w:rPr>
                <w:rFonts w:asciiTheme="minorHAnsi" w:hAnsiTheme="minorHAnsi"/>
                <w:b/>
                <w:bCs/>
                <w:szCs w:val="20"/>
              </w:rPr>
            </w:pPr>
            <w:r w:rsidRPr="00686965">
              <w:rPr>
                <w:rFonts w:asciiTheme="minorHAnsi" w:hAnsiTheme="minorHAnsi"/>
                <w:b/>
                <w:bCs/>
                <w:szCs w:val="20"/>
              </w:rPr>
              <w:t>Cell-Phone Sample</w:t>
            </w:r>
          </w:p>
        </w:tc>
        <w:tc>
          <w:tcPr>
            <w:tcW w:w="1788"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14:paraId="67316BA3" w14:textId="77777777" w:rsidR="00680B1F" w:rsidRPr="00686965" w:rsidRDefault="00680B1F">
            <w:pPr>
              <w:jc w:val="center"/>
              <w:rPr>
                <w:rFonts w:asciiTheme="minorHAnsi" w:hAnsiTheme="minorHAnsi"/>
                <w:b/>
                <w:bCs/>
                <w:szCs w:val="20"/>
              </w:rPr>
            </w:pPr>
            <w:r w:rsidRPr="00686965">
              <w:rPr>
                <w:rFonts w:asciiTheme="minorHAnsi" w:hAnsiTheme="minorHAnsi"/>
                <w:b/>
                <w:bCs/>
                <w:szCs w:val="20"/>
              </w:rPr>
              <w:t>Puerto Rico</w:t>
            </w:r>
          </w:p>
        </w:tc>
        <w:tc>
          <w:tcPr>
            <w:tcW w:w="1789" w:type="dxa"/>
            <w:gridSpan w:val="2"/>
            <w:tcBorders>
              <w:top w:val="single" w:sz="4" w:space="0" w:color="auto"/>
              <w:left w:val="single" w:sz="12" w:space="0" w:color="auto"/>
              <w:bottom w:val="single" w:sz="4" w:space="0" w:color="auto"/>
              <w:right w:val="single" w:sz="12" w:space="0" w:color="auto"/>
            </w:tcBorders>
            <w:vAlign w:val="center"/>
          </w:tcPr>
          <w:p w14:paraId="274080F3" w14:textId="5F20A5F3" w:rsidR="00680B1F" w:rsidRPr="00686965" w:rsidRDefault="00680B1F" w:rsidP="00680B1F">
            <w:pPr>
              <w:jc w:val="center"/>
              <w:rPr>
                <w:rFonts w:asciiTheme="minorHAnsi" w:hAnsiTheme="minorHAnsi"/>
                <w:b/>
                <w:bCs/>
                <w:szCs w:val="20"/>
              </w:rPr>
            </w:pPr>
            <w:r w:rsidRPr="00686965">
              <w:rPr>
                <w:rFonts w:asciiTheme="minorHAnsi" w:hAnsiTheme="minorHAnsi"/>
                <w:b/>
                <w:bCs/>
                <w:szCs w:val="20"/>
              </w:rPr>
              <w:t>U.S. Virgin Islands</w:t>
            </w:r>
          </w:p>
        </w:tc>
        <w:tc>
          <w:tcPr>
            <w:tcW w:w="1789" w:type="dxa"/>
            <w:gridSpan w:val="2"/>
            <w:tcBorders>
              <w:top w:val="single" w:sz="4" w:space="0" w:color="auto"/>
              <w:left w:val="single" w:sz="12" w:space="0" w:color="auto"/>
              <w:bottom w:val="single" w:sz="4" w:space="0" w:color="auto"/>
              <w:right w:val="single" w:sz="4" w:space="0" w:color="auto"/>
            </w:tcBorders>
            <w:vAlign w:val="center"/>
          </w:tcPr>
          <w:p w14:paraId="235BD551" w14:textId="7A0510BC" w:rsidR="00680B1F" w:rsidRPr="00686965" w:rsidRDefault="00680B1F" w:rsidP="00680B1F">
            <w:pPr>
              <w:jc w:val="center"/>
              <w:rPr>
                <w:rFonts w:asciiTheme="minorHAnsi" w:hAnsiTheme="minorHAnsi"/>
                <w:b/>
                <w:bCs/>
                <w:szCs w:val="20"/>
              </w:rPr>
            </w:pPr>
            <w:r w:rsidRPr="00686965">
              <w:rPr>
                <w:rFonts w:asciiTheme="minorHAnsi" w:hAnsiTheme="minorHAnsi"/>
                <w:b/>
                <w:bCs/>
                <w:szCs w:val="20"/>
              </w:rPr>
              <w:t>Guam</w:t>
            </w:r>
          </w:p>
        </w:tc>
      </w:tr>
      <w:tr w:rsidR="00680B1F" w:rsidRPr="00680B1F" w14:paraId="5760FABF" w14:textId="77777777" w:rsidTr="00686965">
        <w:trPr>
          <w:trHeight w:val="300"/>
        </w:trPr>
        <w:tc>
          <w:tcPr>
            <w:tcW w:w="3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D9AF46" w14:textId="77777777" w:rsidR="00680B1F" w:rsidRPr="00686965" w:rsidRDefault="00680B1F" w:rsidP="00680B1F">
            <w:pPr>
              <w:rPr>
                <w:rFonts w:asciiTheme="minorHAnsi" w:hAnsiTheme="minorHAnsi"/>
                <w:b/>
                <w:bCs/>
                <w:szCs w:val="20"/>
              </w:rPr>
            </w:pPr>
          </w:p>
        </w:tc>
        <w:tc>
          <w:tcPr>
            <w:tcW w:w="8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25E3FA" w14:textId="77777777" w:rsidR="00680B1F" w:rsidRPr="00686965" w:rsidRDefault="00680B1F" w:rsidP="00680B1F">
            <w:pPr>
              <w:jc w:val="center"/>
              <w:rPr>
                <w:rFonts w:asciiTheme="minorHAnsi" w:eastAsiaTheme="minorHAnsi" w:hAnsiTheme="minorHAnsi" w:cs="Arial"/>
                <w:b/>
                <w:bCs/>
                <w:szCs w:val="20"/>
              </w:rPr>
            </w:pPr>
            <w:r w:rsidRPr="00686965">
              <w:rPr>
                <w:rFonts w:asciiTheme="minorHAnsi" w:hAnsiTheme="minorHAnsi" w:cs="Arial"/>
                <w:b/>
                <w:bCs/>
                <w:szCs w:val="20"/>
              </w:rPr>
              <w:t>Factor</w:t>
            </w:r>
          </w:p>
        </w:tc>
        <w:tc>
          <w:tcPr>
            <w:tcW w:w="894" w:type="dxa"/>
            <w:tcBorders>
              <w:top w:val="single" w:sz="4" w:space="0" w:color="auto"/>
              <w:left w:val="single" w:sz="4" w:space="0" w:color="auto"/>
              <w:bottom w:val="single" w:sz="4" w:space="0" w:color="auto"/>
              <w:right w:val="single" w:sz="12" w:space="0" w:color="auto"/>
            </w:tcBorders>
            <w:noWrap/>
            <w:tcMar>
              <w:top w:w="0" w:type="dxa"/>
              <w:left w:w="108" w:type="dxa"/>
              <w:bottom w:w="0" w:type="dxa"/>
              <w:right w:w="108" w:type="dxa"/>
            </w:tcMar>
            <w:vAlign w:val="center"/>
            <w:hideMark/>
          </w:tcPr>
          <w:p w14:paraId="42A7B59A" w14:textId="77777777" w:rsidR="00680B1F" w:rsidRPr="00686965" w:rsidRDefault="00680B1F" w:rsidP="00680B1F">
            <w:pPr>
              <w:jc w:val="center"/>
              <w:rPr>
                <w:rFonts w:asciiTheme="minorHAnsi" w:hAnsiTheme="minorHAnsi" w:cs="Arial"/>
                <w:b/>
                <w:bCs/>
                <w:szCs w:val="20"/>
              </w:rPr>
            </w:pPr>
            <w:r w:rsidRPr="00686965">
              <w:rPr>
                <w:rFonts w:asciiTheme="minorHAnsi" w:hAnsiTheme="minorHAnsi" w:cs="Arial"/>
                <w:b/>
                <w:bCs/>
                <w:szCs w:val="20"/>
              </w:rPr>
              <w:t>Count</w:t>
            </w:r>
          </w:p>
        </w:tc>
        <w:tc>
          <w:tcPr>
            <w:tcW w:w="895" w:type="dxa"/>
            <w:tcBorders>
              <w:top w:val="nil"/>
              <w:left w:val="single" w:sz="12" w:space="0" w:color="auto"/>
              <w:bottom w:val="single" w:sz="8" w:space="0" w:color="auto"/>
              <w:right w:val="single" w:sz="8" w:space="0" w:color="auto"/>
            </w:tcBorders>
            <w:vAlign w:val="center"/>
          </w:tcPr>
          <w:p w14:paraId="1F31FC82" w14:textId="01B49EF4" w:rsidR="00680B1F" w:rsidRPr="00686965" w:rsidRDefault="00680B1F" w:rsidP="00680B1F">
            <w:pPr>
              <w:jc w:val="center"/>
              <w:rPr>
                <w:rFonts w:asciiTheme="minorHAnsi" w:hAnsiTheme="minorHAnsi" w:cs="Arial"/>
                <w:b/>
                <w:bCs/>
                <w:szCs w:val="20"/>
              </w:rPr>
            </w:pPr>
            <w:r w:rsidRPr="00686965">
              <w:rPr>
                <w:rFonts w:asciiTheme="minorHAnsi" w:hAnsiTheme="minorHAnsi" w:cs="Arial"/>
                <w:b/>
                <w:bCs/>
                <w:szCs w:val="20"/>
              </w:rPr>
              <w:t>Factor</w:t>
            </w:r>
          </w:p>
        </w:tc>
        <w:tc>
          <w:tcPr>
            <w:tcW w:w="894" w:type="dxa"/>
            <w:tcBorders>
              <w:top w:val="nil"/>
              <w:left w:val="nil"/>
              <w:bottom w:val="single" w:sz="8" w:space="0" w:color="auto"/>
              <w:right w:val="single" w:sz="12" w:space="0" w:color="auto"/>
            </w:tcBorders>
            <w:vAlign w:val="center"/>
          </w:tcPr>
          <w:p w14:paraId="3811B42A" w14:textId="0942AB18" w:rsidR="00680B1F" w:rsidRPr="00686965" w:rsidRDefault="00680B1F" w:rsidP="00680B1F">
            <w:pPr>
              <w:jc w:val="center"/>
              <w:rPr>
                <w:rFonts w:asciiTheme="minorHAnsi" w:hAnsiTheme="minorHAnsi" w:cs="Arial"/>
                <w:b/>
                <w:bCs/>
                <w:szCs w:val="20"/>
              </w:rPr>
            </w:pPr>
            <w:r w:rsidRPr="00686965">
              <w:rPr>
                <w:rFonts w:asciiTheme="minorHAnsi" w:hAnsiTheme="minorHAnsi" w:cs="Arial"/>
                <w:b/>
                <w:bCs/>
                <w:szCs w:val="20"/>
              </w:rPr>
              <w:t>Count</w:t>
            </w:r>
          </w:p>
        </w:tc>
        <w:tc>
          <w:tcPr>
            <w:tcW w:w="894" w:type="dxa"/>
            <w:tcBorders>
              <w:top w:val="single" w:sz="4" w:space="0" w:color="auto"/>
              <w:left w:val="single" w:sz="12" w:space="0" w:color="auto"/>
              <w:bottom w:val="single" w:sz="8" w:space="0" w:color="auto"/>
              <w:right w:val="single" w:sz="8" w:space="0" w:color="auto"/>
            </w:tcBorders>
            <w:vAlign w:val="center"/>
          </w:tcPr>
          <w:p w14:paraId="6768105E" w14:textId="4EA390DB" w:rsidR="00680B1F" w:rsidRPr="00686965" w:rsidRDefault="00680B1F" w:rsidP="00680B1F">
            <w:pPr>
              <w:jc w:val="center"/>
              <w:rPr>
                <w:rFonts w:asciiTheme="minorHAnsi" w:hAnsiTheme="minorHAnsi" w:cs="Arial"/>
                <w:b/>
                <w:bCs/>
                <w:szCs w:val="20"/>
              </w:rPr>
            </w:pPr>
            <w:r w:rsidRPr="00686965">
              <w:rPr>
                <w:rFonts w:asciiTheme="minorHAnsi" w:hAnsiTheme="minorHAnsi" w:cs="Arial"/>
                <w:b/>
                <w:bCs/>
                <w:szCs w:val="20"/>
              </w:rPr>
              <w:t>Factor</w:t>
            </w:r>
          </w:p>
        </w:tc>
        <w:tc>
          <w:tcPr>
            <w:tcW w:w="895" w:type="dxa"/>
            <w:tcBorders>
              <w:top w:val="single" w:sz="4" w:space="0" w:color="auto"/>
              <w:left w:val="nil"/>
              <w:bottom w:val="single" w:sz="8" w:space="0" w:color="auto"/>
              <w:right w:val="single" w:sz="8" w:space="0" w:color="auto"/>
            </w:tcBorders>
            <w:vAlign w:val="center"/>
          </w:tcPr>
          <w:p w14:paraId="21791ADF" w14:textId="73F8FAA5" w:rsidR="00680B1F" w:rsidRPr="00686965" w:rsidRDefault="00680B1F" w:rsidP="00680B1F">
            <w:pPr>
              <w:jc w:val="center"/>
              <w:rPr>
                <w:rFonts w:asciiTheme="minorHAnsi" w:hAnsiTheme="minorHAnsi" w:cs="Arial"/>
                <w:b/>
                <w:bCs/>
                <w:szCs w:val="20"/>
              </w:rPr>
            </w:pPr>
            <w:r w:rsidRPr="00686965">
              <w:rPr>
                <w:rFonts w:asciiTheme="minorHAnsi" w:hAnsiTheme="minorHAnsi" w:cs="Arial"/>
                <w:b/>
                <w:bCs/>
                <w:szCs w:val="20"/>
              </w:rPr>
              <w:t>Count</w:t>
            </w:r>
          </w:p>
        </w:tc>
      </w:tr>
      <w:tr w:rsidR="00680B1F" w:rsidRPr="00680B1F" w14:paraId="6E8FA074" w14:textId="77777777" w:rsidTr="00686965">
        <w:trPr>
          <w:trHeight w:val="300"/>
        </w:trPr>
        <w:tc>
          <w:tcPr>
            <w:tcW w:w="3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8043BC"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Sample with 200% buffer</w:t>
            </w:r>
          </w:p>
        </w:tc>
        <w:tc>
          <w:tcPr>
            <w:tcW w:w="8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B34EAC" w14:textId="323D14E4"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4" w:type="dxa"/>
            <w:tcBorders>
              <w:top w:val="single" w:sz="4" w:space="0" w:color="auto"/>
              <w:left w:val="single" w:sz="4" w:space="0" w:color="auto"/>
              <w:bottom w:val="single" w:sz="4" w:space="0" w:color="auto"/>
              <w:right w:val="single" w:sz="12" w:space="0" w:color="auto"/>
            </w:tcBorders>
            <w:noWrap/>
            <w:tcMar>
              <w:top w:w="0" w:type="dxa"/>
              <w:left w:w="108" w:type="dxa"/>
              <w:bottom w:w="0" w:type="dxa"/>
              <w:right w:w="108" w:type="dxa"/>
            </w:tcMar>
            <w:vAlign w:val="center"/>
            <w:hideMark/>
          </w:tcPr>
          <w:p w14:paraId="4EDE1259"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14,035</w:t>
            </w:r>
          </w:p>
        </w:tc>
        <w:tc>
          <w:tcPr>
            <w:tcW w:w="895" w:type="dxa"/>
            <w:tcBorders>
              <w:top w:val="nil"/>
              <w:left w:val="single" w:sz="12" w:space="0" w:color="auto"/>
              <w:bottom w:val="single" w:sz="8" w:space="0" w:color="auto"/>
              <w:right w:val="nil"/>
            </w:tcBorders>
            <w:vAlign w:val="center"/>
          </w:tcPr>
          <w:p w14:paraId="297834B7" w14:textId="6A43E889"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4" w:type="dxa"/>
            <w:tcBorders>
              <w:top w:val="nil"/>
              <w:left w:val="single" w:sz="8" w:space="0" w:color="auto"/>
              <w:bottom w:val="single" w:sz="8" w:space="0" w:color="auto"/>
              <w:right w:val="single" w:sz="12" w:space="0" w:color="auto"/>
            </w:tcBorders>
            <w:vAlign w:val="center"/>
          </w:tcPr>
          <w:p w14:paraId="298FF550" w14:textId="6EB9BC00"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19,003</w:t>
            </w:r>
          </w:p>
        </w:tc>
        <w:tc>
          <w:tcPr>
            <w:tcW w:w="894" w:type="dxa"/>
            <w:tcBorders>
              <w:top w:val="nil"/>
              <w:left w:val="single" w:sz="12" w:space="0" w:color="auto"/>
              <w:bottom w:val="single" w:sz="8" w:space="0" w:color="auto"/>
              <w:right w:val="nil"/>
            </w:tcBorders>
            <w:vAlign w:val="center"/>
          </w:tcPr>
          <w:p w14:paraId="6844DB38" w14:textId="159C87D4"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5" w:type="dxa"/>
            <w:tcBorders>
              <w:top w:val="nil"/>
              <w:left w:val="single" w:sz="8" w:space="0" w:color="auto"/>
              <w:bottom w:val="single" w:sz="8" w:space="0" w:color="auto"/>
              <w:right w:val="single" w:sz="8" w:space="0" w:color="auto"/>
            </w:tcBorders>
            <w:vAlign w:val="center"/>
          </w:tcPr>
          <w:p w14:paraId="6B9E65EE" w14:textId="76461B0D"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19,694</w:t>
            </w:r>
          </w:p>
        </w:tc>
      </w:tr>
      <w:tr w:rsidR="00680B1F" w:rsidRPr="00680B1F" w14:paraId="3A03BB86" w14:textId="77777777" w:rsidTr="00686965">
        <w:trPr>
          <w:trHeight w:val="315"/>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B6F04"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Required Sample of Telephone Numbers</w:t>
            </w:r>
          </w:p>
        </w:tc>
        <w:tc>
          <w:tcPr>
            <w:tcW w:w="8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AE9D15" w14:textId="6C57401F"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4" w:type="dxa"/>
            <w:tcBorders>
              <w:top w:val="single" w:sz="4" w:space="0" w:color="auto"/>
              <w:left w:val="single" w:sz="4" w:space="0" w:color="auto"/>
              <w:bottom w:val="single" w:sz="4" w:space="0" w:color="auto"/>
              <w:right w:val="single" w:sz="12" w:space="0" w:color="auto"/>
            </w:tcBorders>
            <w:noWrap/>
            <w:tcMar>
              <w:top w:w="0" w:type="dxa"/>
              <w:left w:w="108" w:type="dxa"/>
              <w:bottom w:w="0" w:type="dxa"/>
              <w:right w:w="108" w:type="dxa"/>
            </w:tcMar>
            <w:vAlign w:val="center"/>
            <w:hideMark/>
          </w:tcPr>
          <w:p w14:paraId="41CD040C"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4,678</w:t>
            </w:r>
          </w:p>
        </w:tc>
        <w:tc>
          <w:tcPr>
            <w:tcW w:w="895" w:type="dxa"/>
            <w:tcBorders>
              <w:top w:val="nil"/>
              <w:left w:val="single" w:sz="12" w:space="0" w:color="auto"/>
              <w:bottom w:val="single" w:sz="4" w:space="0" w:color="auto"/>
              <w:right w:val="single" w:sz="8" w:space="0" w:color="auto"/>
            </w:tcBorders>
            <w:vAlign w:val="center"/>
          </w:tcPr>
          <w:p w14:paraId="09DB4062" w14:textId="4A3CB29A"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4" w:type="dxa"/>
            <w:tcBorders>
              <w:top w:val="nil"/>
              <w:left w:val="nil"/>
              <w:bottom w:val="single" w:sz="4" w:space="0" w:color="auto"/>
              <w:right w:val="single" w:sz="12" w:space="0" w:color="auto"/>
            </w:tcBorders>
            <w:vAlign w:val="center"/>
          </w:tcPr>
          <w:p w14:paraId="5346FF9D" w14:textId="2BC54E3C"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6,334</w:t>
            </w:r>
          </w:p>
        </w:tc>
        <w:tc>
          <w:tcPr>
            <w:tcW w:w="894" w:type="dxa"/>
            <w:tcBorders>
              <w:top w:val="nil"/>
              <w:left w:val="single" w:sz="12" w:space="0" w:color="auto"/>
              <w:bottom w:val="single" w:sz="4" w:space="0" w:color="auto"/>
              <w:right w:val="single" w:sz="8" w:space="0" w:color="auto"/>
            </w:tcBorders>
            <w:vAlign w:val="center"/>
          </w:tcPr>
          <w:p w14:paraId="32DDC8D1" w14:textId="3113873D" w:rsidR="00680B1F" w:rsidRPr="00686965" w:rsidRDefault="00686965" w:rsidP="00686965">
            <w:pPr>
              <w:jc w:val="center"/>
              <w:rPr>
                <w:rFonts w:asciiTheme="minorHAnsi" w:hAnsiTheme="minorHAnsi" w:cs="Arial"/>
                <w:szCs w:val="20"/>
              </w:rPr>
            </w:pPr>
            <w:r>
              <w:rPr>
                <w:rFonts w:asciiTheme="minorHAnsi" w:hAnsiTheme="minorHAnsi" w:cs="Arial"/>
                <w:szCs w:val="20"/>
              </w:rPr>
              <w:t>--</w:t>
            </w:r>
          </w:p>
        </w:tc>
        <w:tc>
          <w:tcPr>
            <w:tcW w:w="895" w:type="dxa"/>
            <w:tcBorders>
              <w:top w:val="nil"/>
              <w:left w:val="nil"/>
              <w:bottom w:val="single" w:sz="4" w:space="0" w:color="auto"/>
              <w:right w:val="single" w:sz="8" w:space="0" w:color="auto"/>
            </w:tcBorders>
            <w:vAlign w:val="center"/>
          </w:tcPr>
          <w:p w14:paraId="7E9CCA55" w14:textId="69372D6E"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6,565</w:t>
            </w:r>
          </w:p>
        </w:tc>
      </w:tr>
      <w:tr w:rsidR="00680B1F" w:rsidRPr="00680B1F" w14:paraId="023A4ACD"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E7A2"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Resolved Phone Numbers – Resolution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DEC1788"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45.0%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554F828A"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2,105</w:t>
            </w: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600E8874" w14:textId="4B571D14"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65.0%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6BD477FA" w14:textId="680354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4,117</w:t>
            </w: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690C49CB" w14:textId="04D6BD31"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45.0%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6DC4D22" w14:textId="3D24A750"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2,954</w:t>
            </w:r>
          </w:p>
        </w:tc>
      </w:tr>
      <w:tr w:rsidR="00680B1F" w:rsidRPr="00680B1F" w14:paraId="61E9D18F" w14:textId="77777777" w:rsidTr="00686965">
        <w:trPr>
          <w:trHeight w:val="258"/>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4554B"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Households Identified – Active Personal Cell Phone Number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B58E846"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25.0%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4CD3C7F4"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526</w:t>
            </w: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1227CA2F" w14:textId="62CC4F04"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15.0%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4486524B" w14:textId="53003AF9"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618</w:t>
            </w: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6C3E9B9F" w14:textId="42338FD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13.0%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13D57AE" w14:textId="4F21F489"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384</w:t>
            </w:r>
          </w:p>
        </w:tc>
      </w:tr>
      <w:tr w:rsidR="00680B1F" w:rsidRPr="00680B1F" w14:paraId="24DEA27B"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194A11"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Households Screened – Screening Completion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F3B5653"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50.0%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226B9A6D"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263</w:t>
            </w: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36E192E5" w14:textId="4AE33939"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50.0%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2E37A3C6" w14:textId="0A172696"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309</w:t>
            </w: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48A958FE" w14:textId="64AF05E8"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50.0%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62AA16C" w14:textId="298282D4"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192</w:t>
            </w:r>
          </w:p>
        </w:tc>
      </w:tr>
      <w:tr w:rsidR="00680B1F" w:rsidRPr="00680B1F" w14:paraId="3636B049"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0C1A5C"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Adult Cell-Phone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75BEE73"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95.0%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2CD78001" w14:textId="60C6B39F" w:rsidR="00680B1F" w:rsidRPr="00686965" w:rsidRDefault="00680B1F" w:rsidP="00686965">
            <w:pPr>
              <w:jc w:val="center"/>
              <w:rPr>
                <w:rFonts w:asciiTheme="minorHAnsi" w:hAnsiTheme="minorHAnsi" w:cs="Arial"/>
                <w:szCs w:val="20"/>
              </w:rPr>
            </w:pP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0967065C" w14:textId="35300B08"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92.0%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433E24CA" w14:textId="41E5C0D0" w:rsidR="00680B1F" w:rsidRPr="00686965" w:rsidRDefault="00680B1F" w:rsidP="00686965">
            <w:pPr>
              <w:jc w:val="center"/>
              <w:rPr>
                <w:rFonts w:asciiTheme="minorHAnsi" w:hAnsiTheme="minorHAnsi" w:cs="Arial"/>
                <w:szCs w:val="20"/>
              </w:rPr>
            </w:pP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4756D767" w14:textId="0EE1C7ED"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93.0%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DB598B8" w14:textId="2622D48A" w:rsidR="00680B1F" w:rsidRPr="00686965" w:rsidRDefault="00680B1F" w:rsidP="00686965">
            <w:pPr>
              <w:jc w:val="center"/>
              <w:rPr>
                <w:rFonts w:asciiTheme="minorHAnsi" w:hAnsiTheme="minorHAnsi" w:cs="Arial"/>
                <w:szCs w:val="20"/>
              </w:rPr>
            </w:pPr>
          </w:p>
        </w:tc>
      </w:tr>
      <w:tr w:rsidR="00680B1F" w:rsidRPr="00680B1F" w14:paraId="464DA6F1"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15C020"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Household Has Child Under Age 18</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C788323"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25.0%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764BA4C3" w14:textId="214077F8" w:rsidR="00680B1F" w:rsidRPr="00686965" w:rsidRDefault="00680B1F" w:rsidP="00686965">
            <w:pPr>
              <w:jc w:val="center"/>
              <w:rPr>
                <w:rFonts w:asciiTheme="minorHAnsi" w:hAnsiTheme="minorHAnsi" w:cs="Arial"/>
                <w:szCs w:val="20"/>
              </w:rPr>
            </w:pP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4B6BA38A" w14:textId="70D89E9D"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22.0%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6A501103" w14:textId="414723A9" w:rsidR="00680B1F" w:rsidRPr="00686965" w:rsidRDefault="00680B1F" w:rsidP="00686965">
            <w:pPr>
              <w:jc w:val="center"/>
              <w:rPr>
                <w:rFonts w:asciiTheme="minorHAnsi" w:hAnsiTheme="minorHAnsi" w:cs="Arial"/>
                <w:szCs w:val="20"/>
              </w:rPr>
            </w:pP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3225523E" w14:textId="7A7D0488"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35.0%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73D0D23" w14:textId="612FD792" w:rsidR="00680B1F" w:rsidRPr="00686965" w:rsidRDefault="00680B1F" w:rsidP="00686965">
            <w:pPr>
              <w:jc w:val="center"/>
              <w:rPr>
                <w:rFonts w:asciiTheme="minorHAnsi" w:hAnsiTheme="minorHAnsi" w:cs="Arial"/>
                <w:szCs w:val="20"/>
              </w:rPr>
            </w:pPr>
          </w:p>
        </w:tc>
      </w:tr>
      <w:tr w:rsidR="00680B1F" w:rsidRPr="00680B1F" w14:paraId="0FDD86F0"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A3A27"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Overall eligible HHs – Eligibility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F65B267"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23.8%</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1B79D0CB" w14:textId="77777777"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63</w:t>
            </w: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3D525BF9" w14:textId="4A2AE569"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20.2%</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30F04082" w14:textId="6AAFC1A9"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63</w:t>
            </w: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53B77597" w14:textId="5BD8553F"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32.6%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A47C725" w14:textId="154B3AA4" w:rsidR="00680B1F" w:rsidRPr="00686965" w:rsidRDefault="00680B1F" w:rsidP="00686965">
            <w:pPr>
              <w:jc w:val="center"/>
              <w:rPr>
                <w:rFonts w:asciiTheme="minorHAnsi" w:hAnsiTheme="minorHAnsi" w:cs="Arial"/>
                <w:szCs w:val="20"/>
              </w:rPr>
            </w:pPr>
            <w:r w:rsidRPr="00686965">
              <w:rPr>
                <w:rFonts w:asciiTheme="minorHAnsi" w:hAnsiTheme="minorHAnsi" w:cs="Arial"/>
                <w:szCs w:val="20"/>
              </w:rPr>
              <w:t>63</w:t>
            </w:r>
          </w:p>
        </w:tc>
      </w:tr>
      <w:tr w:rsidR="00680B1F" w:rsidRPr="00680B1F" w14:paraId="5717BE57" w14:textId="77777777" w:rsidTr="00686965">
        <w:trPr>
          <w:trHeight w:val="330"/>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E59B6" w14:textId="77777777" w:rsidR="00680B1F" w:rsidRPr="00686965" w:rsidRDefault="00680B1F" w:rsidP="00680B1F">
            <w:pPr>
              <w:rPr>
                <w:rFonts w:asciiTheme="minorHAnsi" w:hAnsiTheme="minorHAnsi" w:cs="Arial"/>
                <w:szCs w:val="20"/>
              </w:rPr>
            </w:pPr>
            <w:r w:rsidRPr="00686965">
              <w:rPr>
                <w:rFonts w:asciiTheme="minorHAnsi" w:hAnsiTheme="minorHAnsi" w:cs="Arial"/>
                <w:szCs w:val="20"/>
              </w:rPr>
              <w:t>Completed interviews – Interview Completion Rate</w:t>
            </w:r>
          </w:p>
        </w:tc>
        <w:tc>
          <w:tcPr>
            <w:tcW w:w="8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014819F" w14:textId="2BB3F1C9" w:rsidR="00680B1F" w:rsidRPr="00686965" w:rsidRDefault="00680B1F" w:rsidP="0064062B">
            <w:pPr>
              <w:jc w:val="center"/>
              <w:rPr>
                <w:rFonts w:asciiTheme="minorHAnsi" w:hAnsiTheme="minorHAnsi" w:cs="Arial"/>
                <w:szCs w:val="20"/>
              </w:rPr>
            </w:pPr>
            <w:r w:rsidRPr="00686965">
              <w:rPr>
                <w:rFonts w:asciiTheme="minorHAnsi" w:hAnsiTheme="minorHAnsi" w:cs="Arial"/>
                <w:szCs w:val="20"/>
              </w:rPr>
              <w:t>40.0%</w:t>
            </w:r>
          </w:p>
        </w:tc>
        <w:tc>
          <w:tcPr>
            <w:tcW w:w="894" w:type="dxa"/>
            <w:tcBorders>
              <w:top w:val="single" w:sz="4" w:space="0" w:color="auto"/>
              <w:left w:val="single" w:sz="4" w:space="0" w:color="auto"/>
              <w:bottom w:val="single" w:sz="4" w:space="0" w:color="auto"/>
              <w:right w:val="single" w:sz="12" w:space="0" w:color="auto"/>
            </w:tcBorders>
            <w:shd w:val="clear" w:color="auto" w:fill="auto"/>
            <w:noWrap/>
            <w:tcMar>
              <w:top w:w="0" w:type="dxa"/>
              <w:left w:w="108" w:type="dxa"/>
              <w:bottom w:w="0" w:type="dxa"/>
              <w:right w:w="108" w:type="dxa"/>
            </w:tcMar>
            <w:vAlign w:val="center"/>
            <w:hideMark/>
          </w:tcPr>
          <w:p w14:paraId="1DBD76D2" w14:textId="77777777" w:rsidR="00680B1F" w:rsidRPr="00686965" w:rsidRDefault="00680B1F" w:rsidP="00686965">
            <w:pPr>
              <w:jc w:val="center"/>
              <w:rPr>
                <w:rFonts w:asciiTheme="minorHAnsi" w:hAnsiTheme="minorHAnsi" w:cs="Arial"/>
                <w:b/>
                <w:bCs/>
                <w:szCs w:val="20"/>
              </w:rPr>
            </w:pPr>
            <w:r w:rsidRPr="00686965">
              <w:rPr>
                <w:rFonts w:asciiTheme="minorHAnsi" w:hAnsiTheme="minorHAnsi" w:cs="Arial"/>
                <w:b/>
                <w:bCs/>
                <w:szCs w:val="20"/>
              </w:rPr>
              <w:t>25</w:t>
            </w:r>
          </w:p>
        </w:tc>
        <w:tc>
          <w:tcPr>
            <w:tcW w:w="895" w:type="dxa"/>
            <w:tcBorders>
              <w:top w:val="single" w:sz="4" w:space="0" w:color="auto"/>
              <w:left w:val="single" w:sz="12" w:space="0" w:color="auto"/>
              <w:bottom w:val="single" w:sz="4" w:space="0" w:color="auto"/>
              <w:right w:val="single" w:sz="4" w:space="0" w:color="auto"/>
            </w:tcBorders>
            <w:shd w:val="clear" w:color="auto" w:fill="auto"/>
            <w:vAlign w:val="center"/>
          </w:tcPr>
          <w:p w14:paraId="45C4F186" w14:textId="314F7440" w:rsidR="00680B1F" w:rsidRPr="00686965" w:rsidRDefault="00680B1F" w:rsidP="0064062B">
            <w:pPr>
              <w:jc w:val="center"/>
              <w:rPr>
                <w:rFonts w:asciiTheme="minorHAnsi" w:hAnsiTheme="minorHAnsi" w:cs="Arial"/>
                <w:b/>
                <w:bCs/>
                <w:szCs w:val="20"/>
              </w:rPr>
            </w:pPr>
            <w:r w:rsidRPr="00686965">
              <w:rPr>
                <w:rFonts w:asciiTheme="minorHAnsi" w:hAnsiTheme="minorHAnsi" w:cs="Arial"/>
                <w:szCs w:val="20"/>
              </w:rPr>
              <w:t>40.0%</w:t>
            </w:r>
          </w:p>
        </w:tc>
        <w:tc>
          <w:tcPr>
            <w:tcW w:w="894" w:type="dxa"/>
            <w:tcBorders>
              <w:top w:val="single" w:sz="4" w:space="0" w:color="auto"/>
              <w:left w:val="single" w:sz="4" w:space="0" w:color="auto"/>
              <w:bottom w:val="single" w:sz="4" w:space="0" w:color="auto"/>
              <w:right w:val="single" w:sz="12" w:space="0" w:color="auto"/>
            </w:tcBorders>
            <w:shd w:val="clear" w:color="auto" w:fill="auto"/>
            <w:vAlign w:val="center"/>
          </w:tcPr>
          <w:p w14:paraId="4BFE597D" w14:textId="2C3C767F" w:rsidR="00680B1F" w:rsidRPr="00686965" w:rsidRDefault="00680B1F" w:rsidP="00686965">
            <w:pPr>
              <w:jc w:val="center"/>
              <w:rPr>
                <w:rFonts w:asciiTheme="minorHAnsi" w:hAnsiTheme="minorHAnsi" w:cs="Arial"/>
                <w:b/>
                <w:bCs/>
                <w:szCs w:val="20"/>
              </w:rPr>
            </w:pPr>
            <w:r w:rsidRPr="00686965">
              <w:rPr>
                <w:rFonts w:asciiTheme="minorHAnsi" w:hAnsiTheme="minorHAnsi" w:cs="Arial"/>
                <w:b/>
                <w:bCs/>
                <w:szCs w:val="20"/>
              </w:rPr>
              <w:t>25</w:t>
            </w:r>
          </w:p>
        </w:tc>
        <w:tc>
          <w:tcPr>
            <w:tcW w:w="894" w:type="dxa"/>
            <w:tcBorders>
              <w:top w:val="single" w:sz="4" w:space="0" w:color="auto"/>
              <w:left w:val="single" w:sz="12" w:space="0" w:color="auto"/>
              <w:bottom w:val="single" w:sz="4" w:space="0" w:color="auto"/>
              <w:right w:val="single" w:sz="4" w:space="0" w:color="auto"/>
            </w:tcBorders>
            <w:shd w:val="clear" w:color="auto" w:fill="auto"/>
            <w:vAlign w:val="center"/>
          </w:tcPr>
          <w:p w14:paraId="32AC8C2C" w14:textId="502B98FC" w:rsidR="00680B1F" w:rsidRPr="00686965" w:rsidRDefault="00680B1F" w:rsidP="0064062B">
            <w:pPr>
              <w:jc w:val="center"/>
              <w:rPr>
                <w:rFonts w:asciiTheme="minorHAnsi" w:hAnsiTheme="minorHAnsi" w:cs="Arial"/>
                <w:b/>
                <w:bCs/>
                <w:szCs w:val="20"/>
              </w:rPr>
            </w:pPr>
            <w:r w:rsidRPr="00686965">
              <w:rPr>
                <w:rFonts w:asciiTheme="minorHAnsi" w:hAnsiTheme="minorHAnsi" w:cs="Arial"/>
                <w:szCs w:val="20"/>
              </w:rPr>
              <w:t>40.0%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84C2666" w14:textId="07A48429" w:rsidR="00680B1F" w:rsidRPr="00686965" w:rsidRDefault="00680B1F" w:rsidP="00686965">
            <w:pPr>
              <w:jc w:val="center"/>
              <w:rPr>
                <w:rFonts w:asciiTheme="minorHAnsi" w:hAnsiTheme="minorHAnsi" w:cs="Arial"/>
                <w:b/>
                <w:bCs/>
                <w:szCs w:val="20"/>
              </w:rPr>
            </w:pPr>
            <w:r w:rsidRPr="00686965">
              <w:rPr>
                <w:rFonts w:asciiTheme="minorHAnsi" w:hAnsiTheme="minorHAnsi" w:cs="Arial"/>
                <w:b/>
                <w:bCs/>
                <w:szCs w:val="20"/>
              </w:rPr>
              <w:t>25</w:t>
            </w:r>
          </w:p>
        </w:tc>
      </w:tr>
    </w:tbl>
    <w:p w14:paraId="44EDE4A6" w14:textId="77777777" w:rsidR="00A6314E" w:rsidRPr="00680B1F" w:rsidRDefault="00A6314E" w:rsidP="00A6314E">
      <w:pPr>
        <w:rPr>
          <w:rFonts w:asciiTheme="minorHAnsi" w:eastAsiaTheme="minorHAnsi" w:hAnsiTheme="minorHAnsi"/>
          <w:sz w:val="22"/>
          <w:szCs w:val="22"/>
        </w:rPr>
      </w:pPr>
    </w:p>
    <w:p w14:paraId="7569945C" w14:textId="0D2D7954" w:rsidR="00A6314E" w:rsidRPr="00680B1F" w:rsidRDefault="00686965" w:rsidP="00A6314E">
      <w:pPr>
        <w:rPr>
          <w:rFonts w:asciiTheme="minorHAnsi" w:hAnsiTheme="minorHAnsi"/>
          <w:sz w:val="22"/>
          <w:szCs w:val="22"/>
        </w:rPr>
      </w:pPr>
      <w:r>
        <w:rPr>
          <w:rFonts w:asciiTheme="minorHAnsi" w:hAnsiTheme="minorHAnsi"/>
          <w:sz w:val="22"/>
          <w:szCs w:val="22"/>
        </w:rPr>
        <w:t>B</w:t>
      </w:r>
      <w:r w:rsidR="00A6314E" w:rsidRPr="00680B1F">
        <w:rPr>
          <w:rFonts w:asciiTheme="minorHAnsi" w:hAnsiTheme="minorHAnsi"/>
          <w:sz w:val="22"/>
          <w:szCs w:val="22"/>
        </w:rPr>
        <w:t xml:space="preserve">ecause these rates are </w:t>
      </w:r>
      <w:r>
        <w:rPr>
          <w:rFonts w:asciiTheme="minorHAnsi" w:hAnsiTheme="minorHAnsi"/>
          <w:sz w:val="22"/>
          <w:szCs w:val="22"/>
        </w:rPr>
        <w:t>assumptions, it is a best practice to anticipate possible error and draw</w:t>
      </w:r>
      <w:r w:rsidR="00A6314E" w:rsidRPr="00680B1F">
        <w:rPr>
          <w:rFonts w:asciiTheme="minorHAnsi" w:hAnsiTheme="minorHAnsi"/>
          <w:sz w:val="22"/>
          <w:szCs w:val="22"/>
        </w:rPr>
        <w:t xml:space="preserve"> </w:t>
      </w:r>
      <w:r>
        <w:rPr>
          <w:rFonts w:asciiTheme="minorHAnsi" w:hAnsiTheme="minorHAnsi"/>
          <w:sz w:val="22"/>
          <w:szCs w:val="22"/>
        </w:rPr>
        <w:t xml:space="preserve">larger </w:t>
      </w:r>
      <w:r w:rsidR="00A6314E" w:rsidRPr="00680B1F">
        <w:rPr>
          <w:rFonts w:asciiTheme="minorHAnsi" w:hAnsiTheme="minorHAnsi"/>
          <w:sz w:val="22"/>
          <w:szCs w:val="22"/>
        </w:rPr>
        <w:t xml:space="preserve">samples of telephone numbers </w:t>
      </w:r>
      <w:r>
        <w:rPr>
          <w:rFonts w:asciiTheme="minorHAnsi" w:hAnsiTheme="minorHAnsi"/>
          <w:sz w:val="22"/>
          <w:szCs w:val="22"/>
        </w:rPr>
        <w:t>in case there is a</w:t>
      </w:r>
      <w:r w:rsidR="00A6314E" w:rsidRPr="00680B1F">
        <w:rPr>
          <w:rFonts w:asciiTheme="minorHAnsi" w:hAnsiTheme="minorHAnsi"/>
          <w:sz w:val="22"/>
          <w:szCs w:val="22"/>
        </w:rPr>
        <w:t xml:space="preserve"> need to release more sample than </w:t>
      </w:r>
      <w:r>
        <w:rPr>
          <w:rFonts w:asciiTheme="minorHAnsi" w:hAnsiTheme="minorHAnsi"/>
          <w:sz w:val="22"/>
          <w:szCs w:val="22"/>
        </w:rPr>
        <w:t>planned. If all assumptions are correct, or underestimates, than</w:t>
      </w:r>
      <w:r w:rsidR="00A6314E" w:rsidRPr="00680B1F">
        <w:rPr>
          <w:rFonts w:asciiTheme="minorHAnsi" w:hAnsiTheme="minorHAnsi"/>
          <w:sz w:val="22"/>
          <w:szCs w:val="22"/>
        </w:rPr>
        <w:t xml:space="preserve"> this buffer sample </w:t>
      </w:r>
      <w:r>
        <w:rPr>
          <w:rFonts w:asciiTheme="minorHAnsi" w:hAnsiTheme="minorHAnsi"/>
          <w:sz w:val="22"/>
          <w:szCs w:val="22"/>
        </w:rPr>
        <w:t>will not</w:t>
      </w:r>
      <w:r w:rsidR="00A6314E" w:rsidRPr="00680B1F">
        <w:rPr>
          <w:rFonts w:asciiTheme="minorHAnsi" w:hAnsiTheme="minorHAnsi"/>
          <w:sz w:val="22"/>
          <w:szCs w:val="22"/>
        </w:rPr>
        <w:t xml:space="preserve"> </w:t>
      </w:r>
      <w:r>
        <w:rPr>
          <w:rFonts w:asciiTheme="minorHAnsi" w:hAnsiTheme="minorHAnsi"/>
          <w:sz w:val="22"/>
          <w:szCs w:val="22"/>
        </w:rPr>
        <w:t>have to be utilized</w:t>
      </w:r>
      <w:r w:rsidR="00A6314E" w:rsidRPr="00680B1F">
        <w:rPr>
          <w:rFonts w:asciiTheme="minorHAnsi" w:hAnsiTheme="minorHAnsi"/>
          <w:sz w:val="22"/>
          <w:szCs w:val="22"/>
        </w:rPr>
        <w:t>.</w:t>
      </w:r>
    </w:p>
    <w:p w14:paraId="6E6D8860" w14:textId="77777777" w:rsidR="00A6314E" w:rsidRPr="00680B1F" w:rsidRDefault="00A6314E" w:rsidP="00A6314E">
      <w:pPr>
        <w:rPr>
          <w:rFonts w:asciiTheme="minorHAnsi" w:hAnsiTheme="minorHAnsi"/>
          <w:sz w:val="22"/>
          <w:szCs w:val="22"/>
        </w:rPr>
      </w:pPr>
    </w:p>
    <w:p w14:paraId="7B15CDEC" w14:textId="32B623E9" w:rsidR="00A6314E" w:rsidRPr="00680B1F" w:rsidRDefault="00A6314E" w:rsidP="00A6314E">
      <w:pPr>
        <w:rPr>
          <w:rFonts w:asciiTheme="minorHAnsi" w:hAnsiTheme="minorHAnsi"/>
          <w:sz w:val="22"/>
          <w:szCs w:val="22"/>
        </w:rPr>
      </w:pPr>
      <w:r w:rsidRPr="00680B1F">
        <w:rPr>
          <w:rFonts w:asciiTheme="minorHAnsi" w:hAnsiTheme="minorHAnsi"/>
          <w:sz w:val="22"/>
          <w:szCs w:val="22"/>
        </w:rPr>
        <w:t xml:space="preserve">For the </w:t>
      </w:r>
      <w:r w:rsidR="006275A8">
        <w:rPr>
          <w:rFonts w:asciiTheme="minorHAnsi" w:hAnsiTheme="minorHAnsi"/>
          <w:b/>
          <w:sz w:val="22"/>
          <w:szCs w:val="22"/>
        </w:rPr>
        <w:t>In-P</w:t>
      </w:r>
      <w:r w:rsidRPr="006275A8">
        <w:rPr>
          <w:rFonts w:asciiTheme="minorHAnsi" w:hAnsiTheme="minorHAnsi"/>
          <w:b/>
          <w:sz w:val="22"/>
          <w:szCs w:val="22"/>
        </w:rPr>
        <w:t xml:space="preserve">erson </w:t>
      </w:r>
      <w:r w:rsidR="006275A8" w:rsidRPr="006275A8">
        <w:rPr>
          <w:rFonts w:asciiTheme="minorHAnsi" w:hAnsiTheme="minorHAnsi"/>
          <w:b/>
          <w:sz w:val="22"/>
          <w:szCs w:val="22"/>
        </w:rPr>
        <w:t>m</w:t>
      </w:r>
      <w:r w:rsidR="00686965" w:rsidRPr="006275A8">
        <w:rPr>
          <w:rFonts w:asciiTheme="minorHAnsi" w:hAnsiTheme="minorHAnsi"/>
          <w:b/>
          <w:sz w:val="22"/>
          <w:szCs w:val="22"/>
        </w:rPr>
        <w:t>ode</w:t>
      </w:r>
      <w:r w:rsidRPr="00680B1F">
        <w:rPr>
          <w:rFonts w:asciiTheme="minorHAnsi" w:hAnsiTheme="minorHAnsi"/>
          <w:sz w:val="22"/>
          <w:szCs w:val="22"/>
        </w:rPr>
        <w:t xml:space="preserve">, the number of </w:t>
      </w:r>
      <w:r w:rsidR="006275A8">
        <w:rPr>
          <w:rFonts w:asciiTheme="minorHAnsi" w:hAnsiTheme="minorHAnsi"/>
          <w:sz w:val="22"/>
          <w:szCs w:val="22"/>
        </w:rPr>
        <w:t>survey</w:t>
      </w:r>
      <w:r w:rsidRPr="00680B1F">
        <w:rPr>
          <w:rFonts w:asciiTheme="minorHAnsi" w:hAnsiTheme="minorHAnsi"/>
          <w:sz w:val="22"/>
          <w:szCs w:val="22"/>
        </w:rPr>
        <w:t xml:space="preserve"> completes </w:t>
      </w:r>
      <w:r w:rsidR="006275A8">
        <w:rPr>
          <w:rFonts w:asciiTheme="minorHAnsi" w:hAnsiTheme="minorHAnsi"/>
          <w:sz w:val="22"/>
          <w:szCs w:val="22"/>
        </w:rPr>
        <w:t xml:space="preserve">and the formula used to calculate screener completes </w:t>
      </w:r>
      <w:r w:rsidR="00686965">
        <w:rPr>
          <w:rFonts w:asciiTheme="minorHAnsi" w:hAnsiTheme="minorHAnsi"/>
          <w:sz w:val="22"/>
          <w:szCs w:val="22"/>
        </w:rPr>
        <w:t>is the same as for telephone</w:t>
      </w:r>
      <w:r w:rsidR="006275A8">
        <w:rPr>
          <w:rFonts w:asciiTheme="minorHAnsi" w:hAnsiTheme="minorHAnsi"/>
          <w:sz w:val="22"/>
          <w:szCs w:val="22"/>
        </w:rPr>
        <w:t xml:space="preserve"> mode</w:t>
      </w:r>
      <w:r w:rsidR="00686965">
        <w:rPr>
          <w:rFonts w:asciiTheme="minorHAnsi" w:hAnsiTheme="minorHAnsi"/>
          <w:sz w:val="22"/>
          <w:szCs w:val="22"/>
        </w:rPr>
        <w:t>.</w:t>
      </w:r>
    </w:p>
    <w:p w14:paraId="57415B5E" w14:textId="77777777" w:rsidR="00A6314E" w:rsidRPr="00680B1F" w:rsidRDefault="00A6314E" w:rsidP="002412F1">
      <w:pPr>
        <w:spacing w:before="240" w:after="240"/>
        <w:rPr>
          <w:rFonts w:asciiTheme="minorHAnsi" w:hAnsiTheme="minorHAnsi"/>
          <w:szCs w:val="22"/>
        </w:rPr>
      </w:pPr>
      <m:oMathPara>
        <m:oMath>
          <m:r>
            <w:rPr>
              <w:rFonts w:ascii="Cambria Math" w:hAnsi="Cambria Math"/>
              <w:szCs w:val="22"/>
            </w:rPr>
            <m:t>Screener completes=</m:t>
          </m:r>
          <m:f>
            <m:fPr>
              <m:ctrlPr>
                <w:rPr>
                  <w:rFonts w:ascii="Cambria Math" w:eastAsiaTheme="minorHAnsi" w:hAnsi="Cambria Math"/>
                  <w:i/>
                  <w:iCs/>
                  <w:szCs w:val="22"/>
                </w:rPr>
              </m:ctrlPr>
            </m:fPr>
            <m:num>
              <m:r>
                <w:rPr>
                  <w:rFonts w:ascii="Cambria Math" w:hAnsi="Cambria Math"/>
                  <w:szCs w:val="22"/>
                </w:rPr>
                <m:t>25</m:t>
              </m:r>
            </m:num>
            <m:den>
              <m:r>
                <w:rPr>
                  <w:rFonts w:ascii="Cambria Math" w:hAnsi="Cambria Math"/>
                  <w:szCs w:val="22"/>
                </w:rPr>
                <m:t>eligibility rate x interview completion rate</m:t>
              </m:r>
            </m:den>
          </m:f>
        </m:oMath>
      </m:oMathPara>
    </w:p>
    <w:p w14:paraId="66360379" w14:textId="6A3DDC12" w:rsidR="006275A8" w:rsidRDefault="006275A8" w:rsidP="006275A8">
      <w:pPr>
        <w:spacing w:before="120" w:after="120"/>
        <w:rPr>
          <w:rFonts w:asciiTheme="minorHAnsi" w:hAnsiTheme="minorHAnsi"/>
          <w:sz w:val="22"/>
          <w:szCs w:val="22"/>
        </w:rPr>
      </w:pPr>
      <w:r>
        <w:rPr>
          <w:rFonts w:asciiTheme="minorHAnsi" w:hAnsiTheme="minorHAnsi"/>
          <w:sz w:val="22"/>
          <w:szCs w:val="22"/>
        </w:rPr>
        <w:t xml:space="preserve">An interview completion rate of </w:t>
      </w:r>
      <w:r w:rsidR="00A6314E" w:rsidRPr="00680B1F">
        <w:rPr>
          <w:rFonts w:asciiTheme="minorHAnsi" w:hAnsiTheme="minorHAnsi"/>
          <w:sz w:val="22"/>
          <w:szCs w:val="22"/>
        </w:rPr>
        <w:t>40%</w:t>
      </w:r>
      <w:r w:rsidR="0064062B">
        <w:rPr>
          <w:rFonts w:asciiTheme="minorHAnsi" w:hAnsiTheme="minorHAnsi"/>
          <w:sz w:val="22"/>
          <w:szCs w:val="22"/>
        </w:rPr>
        <w:t xml:space="preserve"> </w:t>
      </w:r>
      <w:r>
        <w:rPr>
          <w:rFonts w:asciiTheme="minorHAnsi" w:hAnsiTheme="minorHAnsi"/>
          <w:sz w:val="22"/>
          <w:szCs w:val="22"/>
        </w:rPr>
        <w:t xml:space="preserve">was chosen </w:t>
      </w:r>
      <w:r w:rsidR="002203DE" w:rsidRPr="002203DE">
        <w:rPr>
          <w:rFonts w:asciiTheme="minorHAnsi" w:hAnsiTheme="minorHAnsi"/>
          <w:sz w:val="22"/>
          <w:szCs w:val="22"/>
        </w:rPr>
        <w:t xml:space="preserve">based on experience </w:t>
      </w:r>
      <w:r w:rsidR="002203DE">
        <w:rPr>
          <w:rFonts w:asciiTheme="minorHAnsi" w:hAnsiTheme="minorHAnsi"/>
          <w:sz w:val="22"/>
          <w:szCs w:val="22"/>
        </w:rPr>
        <w:t xml:space="preserve">with a </w:t>
      </w:r>
      <w:r w:rsidR="002203DE" w:rsidRPr="002203DE">
        <w:rPr>
          <w:rFonts w:asciiTheme="minorHAnsi" w:hAnsiTheme="minorHAnsi"/>
          <w:sz w:val="22"/>
          <w:szCs w:val="22"/>
        </w:rPr>
        <w:t>mode effects experiment</w:t>
      </w:r>
      <w:r w:rsidR="002203DE">
        <w:rPr>
          <w:rFonts w:asciiTheme="minorHAnsi" w:hAnsiTheme="minorHAnsi"/>
          <w:sz w:val="22"/>
          <w:szCs w:val="22"/>
        </w:rPr>
        <w:t xml:space="preserve"> of a similar children’s health survey</w:t>
      </w:r>
      <w:r w:rsidR="00A6314E" w:rsidRPr="00680B1F">
        <w:rPr>
          <w:rFonts w:asciiTheme="minorHAnsi" w:hAnsiTheme="minorHAnsi"/>
          <w:sz w:val="22"/>
          <w:szCs w:val="22"/>
        </w:rPr>
        <w:t xml:space="preserve">. </w:t>
      </w:r>
      <w:r w:rsidRPr="005151E7">
        <w:rPr>
          <w:rFonts w:asciiTheme="minorHAnsi" w:hAnsiTheme="minorHAnsi"/>
          <w:sz w:val="22"/>
          <w:szCs w:val="22"/>
        </w:rPr>
        <w:t>For the in-person jurisdictions, it is likely that through the flyers and word of mouth recruitment we will identify eligible survey respondents faster, requiring fewer screener</w:t>
      </w:r>
      <w:r w:rsidR="00F13F93">
        <w:rPr>
          <w:rFonts w:asciiTheme="minorHAnsi" w:hAnsiTheme="minorHAnsi"/>
          <w:sz w:val="22"/>
          <w:szCs w:val="22"/>
        </w:rPr>
        <w:t xml:space="preserve"> </w:t>
      </w:r>
      <w:r w:rsidRPr="005151E7">
        <w:rPr>
          <w:rFonts w:asciiTheme="minorHAnsi" w:hAnsiTheme="minorHAnsi"/>
          <w:sz w:val="22"/>
          <w:szCs w:val="22"/>
        </w:rPr>
        <w:t>completes</w:t>
      </w:r>
      <w:r w:rsidR="0064062B">
        <w:rPr>
          <w:rFonts w:asciiTheme="minorHAnsi" w:hAnsiTheme="minorHAnsi"/>
          <w:sz w:val="22"/>
          <w:szCs w:val="22"/>
        </w:rPr>
        <w:t>; therefore we assumed a somewhat higher eligibility rate for the In-Person mode (40%) than for the Telephone mode.</w:t>
      </w:r>
    </w:p>
    <w:p w14:paraId="6B73C8D8" w14:textId="413027DA" w:rsidR="00A6314E" w:rsidRPr="00680B1F" w:rsidRDefault="00A6314E" w:rsidP="006275A8">
      <w:pPr>
        <w:spacing w:before="120" w:after="120"/>
        <w:rPr>
          <w:rFonts w:asciiTheme="minorHAnsi" w:hAnsiTheme="minorHAnsi"/>
          <w:sz w:val="22"/>
          <w:szCs w:val="22"/>
        </w:rPr>
      </w:pPr>
      <w:r w:rsidRPr="00680B1F">
        <w:rPr>
          <w:rFonts w:asciiTheme="minorHAnsi" w:hAnsiTheme="minorHAnsi"/>
          <w:sz w:val="22"/>
          <w:szCs w:val="22"/>
        </w:rPr>
        <w:t xml:space="preserve">For both </w:t>
      </w:r>
      <w:r w:rsidR="006275A8">
        <w:rPr>
          <w:rFonts w:asciiTheme="minorHAnsi" w:hAnsiTheme="minorHAnsi"/>
          <w:sz w:val="22"/>
          <w:szCs w:val="22"/>
        </w:rPr>
        <w:t>modes,</w:t>
      </w:r>
      <w:r w:rsidRPr="00680B1F">
        <w:rPr>
          <w:rFonts w:asciiTheme="minorHAnsi" w:hAnsiTheme="minorHAnsi"/>
          <w:sz w:val="22"/>
          <w:szCs w:val="22"/>
        </w:rPr>
        <w:t xml:space="preserve"> </w:t>
      </w:r>
      <w:r w:rsidR="006275A8">
        <w:rPr>
          <w:rFonts w:asciiTheme="minorHAnsi" w:hAnsiTheme="minorHAnsi"/>
          <w:sz w:val="22"/>
          <w:szCs w:val="22"/>
        </w:rPr>
        <w:t xml:space="preserve">in each jurisdiction, recruitment and screening will only last as long as is </w:t>
      </w:r>
      <w:r w:rsidRPr="00680B1F">
        <w:rPr>
          <w:rFonts w:asciiTheme="minorHAnsi" w:hAnsiTheme="minorHAnsi"/>
          <w:sz w:val="22"/>
          <w:szCs w:val="22"/>
        </w:rPr>
        <w:t>necessar</w:t>
      </w:r>
      <w:r w:rsidR="006275A8">
        <w:rPr>
          <w:rFonts w:asciiTheme="minorHAnsi" w:hAnsiTheme="minorHAnsi"/>
          <w:sz w:val="22"/>
          <w:szCs w:val="22"/>
        </w:rPr>
        <w:t>y to complete the 25 interviews</w:t>
      </w:r>
      <w:r w:rsidRPr="00680B1F">
        <w:rPr>
          <w:rFonts w:asciiTheme="minorHAnsi" w:hAnsiTheme="minorHAnsi"/>
          <w:sz w:val="22"/>
          <w:szCs w:val="22"/>
        </w:rPr>
        <w:t>.</w:t>
      </w:r>
    </w:p>
    <w:p w14:paraId="72782507" w14:textId="53ECEC5F" w:rsidR="006C47F3" w:rsidRPr="005151E7" w:rsidRDefault="00A6314E" w:rsidP="00A6314E">
      <w:pPr>
        <w:pStyle w:val="Heading2"/>
        <w:spacing w:before="120" w:after="120"/>
        <w:rPr>
          <w:rFonts w:asciiTheme="minorHAnsi" w:hAnsiTheme="minorHAnsi" w:cs="Times New Roman"/>
          <w:i w:val="0"/>
          <w:sz w:val="22"/>
          <w:szCs w:val="22"/>
        </w:rPr>
      </w:pPr>
      <w:r w:rsidRPr="005151E7">
        <w:rPr>
          <w:rFonts w:asciiTheme="minorHAnsi" w:hAnsiTheme="minorHAnsi" w:cs="Times New Roman"/>
          <w:i w:val="0"/>
          <w:sz w:val="22"/>
          <w:szCs w:val="22"/>
        </w:rPr>
        <w:t xml:space="preserve"> </w:t>
      </w:r>
      <w:r w:rsidR="00844607" w:rsidRPr="005151E7">
        <w:rPr>
          <w:rFonts w:asciiTheme="minorHAnsi" w:hAnsiTheme="minorHAnsi" w:cs="Times New Roman"/>
          <w:i w:val="0"/>
          <w:sz w:val="22"/>
          <w:szCs w:val="22"/>
        </w:rPr>
        <w:t>2.</w:t>
      </w:r>
      <w:r w:rsidR="000A1032" w:rsidRPr="005151E7">
        <w:rPr>
          <w:rFonts w:asciiTheme="minorHAnsi" w:hAnsiTheme="minorHAnsi" w:cs="Times New Roman"/>
          <w:i w:val="0"/>
          <w:sz w:val="22"/>
          <w:szCs w:val="22"/>
        </w:rPr>
        <w:t xml:space="preserve"> </w:t>
      </w:r>
      <w:r w:rsidR="000A1032" w:rsidRPr="00A9771B">
        <w:rPr>
          <w:rFonts w:asciiTheme="minorHAnsi" w:hAnsiTheme="minorHAnsi" w:cs="Times New Roman"/>
          <w:i w:val="0"/>
          <w:sz w:val="22"/>
          <w:szCs w:val="22"/>
          <w:u w:val="single"/>
        </w:rPr>
        <w:t>Procedures for Collection of</w:t>
      </w:r>
      <w:r w:rsidR="00844607" w:rsidRPr="00A9771B">
        <w:rPr>
          <w:rFonts w:asciiTheme="minorHAnsi" w:hAnsiTheme="minorHAnsi" w:cs="Times New Roman"/>
          <w:i w:val="0"/>
          <w:sz w:val="22"/>
          <w:szCs w:val="22"/>
          <w:u w:val="single"/>
        </w:rPr>
        <w:t xml:space="preserve"> Information Collection</w:t>
      </w:r>
      <w:bookmarkEnd w:id="6"/>
      <w:r w:rsidR="00844607" w:rsidRPr="005151E7">
        <w:rPr>
          <w:rFonts w:asciiTheme="minorHAnsi" w:hAnsiTheme="minorHAnsi" w:cs="Times New Roman"/>
          <w:i w:val="0"/>
          <w:sz w:val="22"/>
          <w:szCs w:val="22"/>
        </w:rPr>
        <w:t xml:space="preserve"> </w:t>
      </w:r>
    </w:p>
    <w:p w14:paraId="3B38269C" w14:textId="5CD9F70D" w:rsidR="00FF1DE1" w:rsidRPr="005151E7" w:rsidRDefault="006C47F3" w:rsidP="006F4FC9">
      <w:pPr>
        <w:spacing w:after="240"/>
        <w:rPr>
          <w:rFonts w:asciiTheme="minorHAnsi" w:hAnsiTheme="minorHAnsi"/>
          <w:sz w:val="22"/>
          <w:szCs w:val="22"/>
        </w:rPr>
      </w:pPr>
      <w:r w:rsidRPr="005151E7">
        <w:rPr>
          <w:rFonts w:asciiTheme="minorHAnsi" w:hAnsiTheme="minorHAnsi"/>
          <w:sz w:val="22"/>
          <w:szCs w:val="22"/>
        </w:rPr>
        <w:t xml:space="preserve">For the </w:t>
      </w:r>
      <w:r w:rsidRPr="005151E7">
        <w:rPr>
          <w:rFonts w:asciiTheme="minorHAnsi" w:hAnsiTheme="minorHAnsi"/>
          <w:b/>
          <w:sz w:val="22"/>
          <w:szCs w:val="22"/>
        </w:rPr>
        <w:t>Telephone mode</w:t>
      </w:r>
      <w:r w:rsidRPr="005151E7">
        <w:rPr>
          <w:rFonts w:asciiTheme="minorHAnsi" w:hAnsiTheme="minorHAnsi"/>
          <w:sz w:val="22"/>
          <w:szCs w:val="22"/>
        </w:rPr>
        <w:t xml:space="preserve">, data will be collected from respondents via a combination of Computer Assisted Telephone Interview (CATI) software and Paper and Pencil Interviews (PAPI).  </w:t>
      </w:r>
    </w:p>
    <w:p w14:paraId="619E75BC" w14:textId="684291A3" w:rsidR="006C47F3" w:rsidRPr="005151E7" w:rsidRDefault="006C47F3" w:rsidP="006F4FC9">
      <w:pPr>
        <w:spacing w:after="240"/>
        <w:rPr>
          <w:rFonts w:asciiTheme="minorHAnsi" w:hAnsiTheme="minorHAnsi"/>
          <w:sz w:val="22"/>
          <w:szCs w:val="22"/>
        </w:rPr>
      </w:pPr>
      <w:r w:rsidRPr="005151E7">
        <w:rPr>
          <w:rFonts w:asciiTheme="minorHAnsi" w:hAnsiTheme="minorHAnsi"/>
          <w:sz w:val="22"/>
          <w:szCs w:val="22"/>
        </w:rPr>
        <w:t xml:space="preserve">The </w:t>
      </w:r>
      <w:r w:rsidR="00FF1DE1" w:rsidRPr="005151E7">
        <w:rPr>
          <w:rFonts w:asciiTheme="minorHAnsi" w:hAnsiTheme="minorHAnsi"/>
          <w:sz w:val="22"/>
          <w:szCs w:val="22"/>
        </w:rPr>
        <w:t xml:space="preserve">CATI </w:t>
      </w:r>
      <w:r w:rsidRPr="005151E7">
        <w:rPr>
          <w:rFonts w:asciiTheme="minorHAnsi" w:hAnsiTheme="minorHAnsi"/>
          <w:sz w:val="22"/>
          <w:szCs w:val="22"/>
        </w:rPr>
        <w:t xml:space="preserve">screener asks respondents to verify that they are a member of the household age 18 or older; respondents who meet these eligibility criteria will be asked questions regarding the number of children in the household; the ages, gender, and special-health-care-needs status of each child; as well as the respondent’s level of comfort with English or Spanish (additional languages will be available for in-person data collection). </w:t>
      </w:r>
    </w:p>
    <w:p w14:paraId="78E8588E" w14:textId="30E78996" w:rsidR="006C47F3" w:rsidRPr="005151E7" w:rsidRDefault="006C47F3" w:rsidP="006F4FC9">
      <w:pPr>
        <w:spacing w:after="240"/>
        <w:rPr>
          <w:rFonts w:asciiTheme="minorHAnsi" w:hAnsiTheme="minorHAnsi"/>
          <w:sz w:val="22"/>
          <w:szCs w:val="22"/>
        </w:rPr>
      </w:pPr>
      <w:r w:rsidRPr="005151E7">
        <w:rPr>
          <w:rFonts w:asciiTheme="minorHAnsi" w:hAnsiTheme="minorHAnsi"/>
          <w:sz w:val="22"/>
          <w:szCs w:val="22"/>
        </w:rPr>
        <w:t xml:space="preserve">Once the screener is completed for an eligible household, the interviewer will administer the main questionnaire using PAPI. One child who is 17 years of age or under per household will be selected to be the subject of the main questionnaire; </w:t>
      </w:r>
      <w:r w:rsidR="00FF1DE1" w:rsidRPr="005151E7">
        <w:rPr>
          <w:rFonts w:asciiTheme="minorHAnsi" w:hAnsiTheme="minorHAnsi"/>
          <w:sz w:val="22"/>
          <w:szCs w:val="22"/>
        </w:rPr>
        <w:t>the</w:t>
      </w:r>
      <w:r w:rsidRPr="005151E7">
        <w:rPr>
          <w:rFonts w:asciiTheme="minorHAnsi" w:hAnsiTheme="minorHAnsi"/>
          <w:sz w:val="22"/>
          <w:szCs w:val="22"/>
        </w:rPr>
        <w:t xml:space="preserve"> interviewer will have leeway to choose </w:t>
      </w:r>
      <w:r w:rsidR="00FF1DE1" w:rsidRPr="005151E7">
        <w:rPr>
          <w:rFonts w:asciiTheme="minorHAnsi" w:hAnsiTheme="minorHAnsi"/>
          <w:sz w:val="22"/>
          <w:szCs w:val="22"/>
        </w:rPr>
        <w:t>the child</w:t>
      </w:r>
      <w:r w:rsidRPr="005151E7">
        <w:rPr>
          <w:rFonts w:asciiTheme="minorHAnsi" w:hAnsiTheme="minorHAnsi"/>
          <w:sz w:val="22"/>
          <w:szCs w:val="22"/>
        </w:rPr>
        <w:t xml:space="preserve"> to ensure a mix of interviews by child age and special-needs status. A topical survey will be administered for each selected child and will cover the following content areas:   demographic information; child’s health and functional status; health insurance coverage; health care access and utilization; medical home; early childhood; middle childhood and adolescence; family functioning; parental health; and health insurance experience. Following the topical survey, the Jurisdiction-specific survey will be administered, asking questions specific to that jurisdiction. </w:t>
      </w:r>
    </w:p>
    <w:p w14:paraId="20793ED6" w14:textId="6D227FFF" w:rsidR="006C47F3" w:rsidRPr="005151E7" w:rsidRDefault="00462AE9" w:rsidP="006F4FC9">
      <w:pPr>
        <w:spacing w:after="240"/>
        <w:rPr>
          <w:rFonts w:asciiTheme="minorHAnsi" w:hAnsiTheme="minorHAnsi"/>
          <w:sz w:val="22"/>
          <w:szCs w:val="22"/>
        </w:rPr>
      </w:pPr>
      <w:r w:rsidRPr="005151E7">
        <w:rPr>
          <w:rFonts w:asciiTheme="minorHAnsi" w:hAnsiTheme="minorHAnsi"/>
          <w:sz w:val="22"/>
          <w:szCs w:val="22"/>
        </w:rPr>
        <w:t xml:space="preserve">With the respondent’s permission, screeners and interviews will be recorded to allow for review and validation of responses. </w:t>
      </w:r>
    </w:p>
    <w:p w14:paraId="68C754B6" w14:textId="15312057" w:rsidR="00FF1DE1" w:rsidRPr="006F4FC9" w:rsidRDefault="006C47F3" w:rsidP="006F4FC9">
      <w:pPr>
        <w:spacing w:before="240" w:after="240"/>
        <w:rPr>
          <w:rFonts w:asciiTheme="minorHAnsi" w:hAnsiTheme="minorHAnsi"/>
          <w:sz w:val="22"/>
          <w:szCs w:val="22"/>
        </w:rPr>
      </w:pPr>
      <w:r w:rsidRPr="005151E7">
        <w:rPr>
          <w:rFonts w:asciiTheme="minorHAnsi" w:hAnsiTheme="minorHAnsi"/>
          <w:sz w:val="22"/>
          <w:szCs w:val="22"/>
        </w:rPr>
        <w:t xml:space="preserve">For the </w:t>
      </w:r>
      <w:r w:rsidRPr="005151E7">
        <w:rPr>
          <w:rFonts w:asciiTheme="minorHAnsi" w:hAnsiTheme="minorHAnsi"/>
          <w:b/>
          <w:sz w:val="22"/>
          <w:szCs w:val="22"/>
        </w:rPr>
        <w:t>In-person mode</w:t>
      </w:r>
      <w:r w:rsidRPr="005151E7">
        <w:rPr>
          <w:rFonts w:asciiTheme="minorHAnsi" w:hAnsiTheme="minorHAnsi"/>
          <w:sz w:val="22"/>
          <w:szCs w:val="22"/>
        </w:rPr>
        <w:t xml:space="preserve">, </w:t>
      </w:r>
      <w:r w:rsidR="00FF1DE1" w:rsidRPr="005151E7">
        <w:rPr>
          <w:rFonts w:asciiTheme="minorHAnsi" w:hAnsiTheme="minorHAnsi"/>
          <w:sz w:val="22"/>
          <w:szCs w:val="22"/>
        </w:rPr>
        <w:t xml:space="preserve">the topical survey, and the Jurisdiction-specific survey </w:t>
      </w:r>
      <w:r w:rsidRPr="005151E7">
        <w:rPr>
          <w:rFonts w:asciiTheme="minorHAnsi" w:hAnsiTheme="minorHAnsi"/>
          <w:sz w:val="22"/>
          <w:szCs w:val="22"/>
        </w:rPr>
        <w:t xml:space="preserve">data will be collected from respondents </w:t>
      </w:r>
      <w:r w:rsidR="00FF1DE1" w:rsidRPr="005151E7">
        <w:rPr>
          <w:rFonts w:asciiTheme="minorHAnsi" w:hAnsiTheme="minorHAnsi"/>
          <w:sz w:val="22"/>
          <w:szCs w:val="22"/>
        </w:rPr>
        <w:t>using the PAPI method described in the telephone mode section.  For the in-person mode, the screener will also be conducted on paper.</w:t>
      </w:r>
      <w:r w:rsidRPr="005151E7">
        <w:rPr>
          <w:rFonts w:asciiTheme="minorHAnsi" w:hAnsiTheme="minorHAnsi"/>
          <w:sz w:val="22"/>
          <w:szCs w:val="22"/>
        </w:rPr>
        <w:t xml:space="preserve"> For respondent recruitment, NORC will work with each jurisdiction to tailor a plan for recruiting respondents based on the sample guidelines described </w:t>
      </w:r>
      <w:r w:rsidR="00FF1DE1" w:rsidRPr="005151E7">
        <w:rPr>
          <w:rFonts w:asciiTheme="minorHAnsi" w:hAnsiTheme="minorHAnsi"/>
          <w:sz w:val="22"/>
          <w:szCs w:val="22"/>
        </w:rPr>
        <w:t>in section B1</w:t>
      </w:r>
      <w:r w:rsidRPr="005151E7">
        <w:rPr>
          <w:rFonts w:asciiTheme="minorHAnsi" w:hAnsiTheme="minorHAnsi"/>
          <w:sz w:val="22"/>
          <w:szCs w:val="22"/>
        </w:rPr>
        <w:t>. Pretest data collection will occur in more populated areas that are less difficult to reach, if travel to villages or islands is not feasible. Based on information collected through informational interviews with experts in the jurisdictions, NORC has identified the initial ap</w:t>
      </w:r>
      <w:r w:rsidR="00686965">
        <w:rPr>
          <w:rFonts w:asciiTheme="minorHAnsi" w:hAnsiTheme="minorHAnsi"/>
          <w:sz w:val="22"/>
          <w:szCs w:val="22"/>
        </w:rPr>
        <w:t>proaches to recruitment (Table 3</w:t>
      </w:r>
      <w:r w:rsidRPr="005151E7">
        <w:rPr>
          <w:rFonts w:asciiTheme="minorHAnsi" w:hAnsiTheme="minorHAnsi"/>
          <w:sz w:val="22"/>
          <w:szCs w:val="22"/>
        </w:rPr>
        <w:t>).</w:t>
      </w:r>
    </w:p>
    <w:p w14:paraId="3CBFDDE1" w14:textId="6A7408C9" w:rsidR="006C47F3" w:rsidRPr="006F4FC9" w:rsidRDefault="00686965" w:rsidP="006C47F3">
      <w:pPr>
        <w:pStyle w:val="Heading5"/>
        <w:rPr>
          <w:rFonts w:asciiTheme="minorHAnsi" w:hAnsiTheme="minorHAnsi"/>
          <w:b/>
          <w:color w:val="auto"/>
        </w:rPr>
      </w:pPr>
      <w:r>
        <w:rPr>
          <w:rFonts w:asciiTheme="minorHAnsi" w:hAnsiTheme="minorHAnsi"/>
          <w:b/>
          <w:color w:val="auto"/>
        </w:rPr>
        <w:t>Table 3</w:t>
      </w:r>
      <w:r w:rsidR="006C47F3" w:rsidRPr="006F4FC9">
        <w:rPr>
          <w:rFonts w:asciiTheme="minorHAnsi" w:hAnsiTheme="minorHAnsi"/>
          <w:b/>
          <w:color w:val="auto"/>
        </w:rPr>
        <w:t>:</w:t>
      </w:r>
      <w:r w:rsidR="00F676C4">
        <w:rPr>
          <w:rFonts w:asciiTheme="minorHAnsi" w:hAnsiTheme="minorHAnsi"/>
          <w:b/>
          <w:color w:val="auto"/>
        </w:rPr>
        <w:t xml:space="preserve">  </w:t>
      </w:r>
      <w:r w:rsidR="006C47F3" w:rsidRPr="006F4FC9">
        <w:rPr>
          <w:rFonts w:asciiTheme="minorHAnsi" w:hAnsiTheme="minorHAnsi"/>
          <w:b/>
          <w:color w:val="auto"/>
        </w:rPr>
        <w:t xml:space="preserve"> Considerations for Recruiting Respondents</w:t>
      </w:r>
    </w:p>
    <w:tbl>
      <w:tblPr>
        <w:tblStyle w:val="TableGrid"/>
        <w:tblW w:w="0" w:type="auto"/>
        <w:tblLook w:val="04A0" w:firstRow="1" w:lastRow="0" w:firstColumn="1" w:lastColumn="0" w:noHBand="0" w:noVBand="1"/>
        <w:tblCaption w:val="Table 5"/>
        <w:tblDescription w:val="Table 5: Considerations for Recruiting Respondents"/>
      </w:tblPr>
      <w:tblGrid>
        <w:gridCol w:w="2155"/>
        <w:gridCol w:w="7195"/>
      </w:tblGrid>
      <w:tr w:rsidR="006C47F3" w:rsidRPr="005151E7" w14:paraId="00C0144D" w14:textId="77777777" w:rsidTr="005151E7">
        <w:trPr>
          <w:tblHeader/>
        </w:trPr>
        <w:tc>
          <w:tcPr>
            <w:tcW w:w="2155" w:type="dxa"/>
            <w:shd w:val="clear" w:color="auto" w:fill="auto"/>
            <w:vAlign w:val="center"/>
          </w:tcPr>
          <w:p w14:paraId="27AFDF3A" w14:textId="77777777" w:rsidR="006C47F3" w:rsidRPr="005151E7" w:rsidRDefault="006C47F3" w:rsidP="00462AE9">
            <w:pPr>
              <w:jc w:val="center"/>
              <w:rPr>
                <w:rStyle w:val="NORCInlineHeadingL2"/>
                <w:rFonts w:asciiTheme="minorHAnsi" w:hAnsiTheme="minorHAnsi"/>
              </w:rPr>
            </w:pPr>
            <w:r w:rsidRPr="005151E7">
              <w:rPr>
                <w:rFonts w:asciiTheme="minorHAnsi" w:hAnsiTheme="minorHAnsi"/>
                <w:b/>
                <w:bCs/>
                <w:color w:val="000000" w:themeColor="text1"/>
              </w:rPr>
              <w:t>Jurisdiction</w:t>
            </w:r>
          </w:p>
        </w:tc>
        <w:tc>
          <w:tcPr>
            <w:tcW w:w="7195" w:type="dxa"/>
            <w:shd w:val="clear" w:color="auto" w:fill="auto"/>
            <w:vAlign w:val="center"/>
          </w:tcPr>
          <w:p w14:paraId="2113696C" w14:textId="77777777" w:rsidR="006C47F3" w:rsidRPr="005151E7" w:rsidRDefault="006C47F3" w:rsidP="00462AE9">
            <w:pPr>
              <w:jc w:val="center"/>
              <w:rPr>
                <w:rFonts w:asciiTheme="minorHAnsi" w:hAnsiTheme="minorHAnsi"/>
                <w:color w:val="000000" w:themeColor="text1"/>
              </w:rPr>
            </w:pPr>
            <w:r w:rsidRPr="005151E7">
              <w:rPr>
                <w:rFonts w:asciiTheme="minorHAnsi" w:hAnsiTheme="minorHAnsi"/>
                <w:b/>
                <w:bCs/>
                <w:color w:val="000000" w:themeColor="text1"/>
              </w:rPr>
              <w:t>Considerations</w:t>
            </w:r>
          </w:p>
        </w:tc>
      </w:tr>
      <w:tr w:rsidR="006C47F3" w:rsidRPr="005151E7" w14:paraId="6D0A3FAE" w14:textId="77777777" w:rsidTr="00462AE9">
        <w:tc>
          <w:tcPr>
            <w:tcW w:w="2155" w:type="dxa"/>
          </w:tcPr>
          <w:p w14:paraId="63D78D0F" w14:textId="77777777" w:rsidR="006C47F3" w:rsidRPr="005151E7" w:rsidRDefault="006C47F3" w:rsidP="00462AE9">
            <w:pPr>
              <w:rPr>
                <w:rFonts w:asciiTheme="minorHAnsi" w:hAnsiTheme="minorHAnsi"/>
                <w:b/>
                <w:i/>
              </w:rPr>
            </w:pPr>
            <w:r w:rsidRPr="005151E7">
              <w:rPr>
                <w:rStyle w:val="NORCInlineHeadingL2"/>
                <w:rFonts w:asciiTheme="minorHAnsi" w:hAnsiTheme="minorHAnsi"/>
              </w:rPr>
              <w:t>American Samoa</w:t>
            </w:r>
          </w:p>
        </w:tc>
        <w:tc>
          <w:tcPr>
            <w:tcW w:w="7195" w:type="dxa"/>
          </w:tcPr>
          <w:p w14:paraId="5F4B7667" w14:textId="77777777" w:rsidR="006C47F3" w:rsidRPr="005151E7" w:rsidRDefault="006C47F3" w:rsidP="00462AE9">
            <w:pPr>
              <w:rPr>
                <w:rFonts w:asciiTheme="minorHAnsi" w:hAnsiTheme="minorHAnsi"/>
              </w:rPr>
            </w:pPr>
            <w:r w:rsidRPr="005151E7">
              <w:rPr>
                <w:rFonts w:asciiTheme="minorHAnsi" w:hAnsiTheme="minorHAnsi"/>
              </w:rPr>
              <w:t>Recruiting pilot test respondents through churches would be very effective. Different groups that exist in the villages (such as women’s groups) can also assist with recruiting pilot respondents. Recruitment at health centers is also an option.</w:t>
            </w:r>
          </w:p>
        </w:tc>
      </w:tr>
      <w:tr w:rsidR="006C47F3" w:rsidRPr="005151E7" w14:paraId="0C9FB1FF" w14:textId="77777777" w:rsidTr="00462AE9">
        <w:tc>
          <w:tcPr>
            <w:tcW w:w="2155" w:type="dxa"/>
          </w:tcPr>
          <w:p w14:paraId="3D39F67D" w14:textId="77777777" w:rsidR="006C47F3" w:rsidRPr="005151E7" w:rsidRDefault="006C47F3" w:rsidP="00462AE9">
            <w:pPr>
              <w:rPr>
                <w:rFonts w:asciiTheme="minorHAnsi" w:hAnsiTheme="minorHAnsi"/>
                <w:b/>
                <w:i/>
              </w:rPr>
            </w:pPr>
            <w:r w:rsidRPr="005151E7">
              <w:rPr>
                <w:rStyle w:val="NORCInlineHeadingL2"/>
                <w:rFonts w:asciiTheme="minorHAnsi" w:hAnsiTheme="minorHAnsi"/>
              </w:rPr>
              <w:t>Federated States of Micronesia</w:t>
            </w:r>
          </w:p>
        </w:tc>
        <w:tc>
          <w:tcPr>
            <w:tcW w:w="7195" w:type="dxa"/>
          </w:tcPr>
          <w:p w14:paraId="73B1F20C" w14:textId="7476D07E" w:rsidR="006C47F3" w:rsidRPr="005151E7" w:rsidRDefault="006C47F3" w:rsidP="00462AE9">
            <w:pPr>
              <w:rPr>
                <w:rFonts w:asciiTheme="minorHAnsi" w:hAnsiTheme="minorHAnsi"/>
              </w:rPr>
            </w:pPr>
            <w:r w:rsidRPr="005151E7">
              <w:rPr>
                <w:rFonts w:asciiTheme="minorHAnsi" w:hAnsiTheme="minorHAnsi"/>
              </w:rPr>
              <w:t>State hospitals and public health programs could also be helpful partners for recruitment.</w:t>
            </w:r>
          </w:p>
        </w:tc>
      </w:tr>
      <w:tr w:rsidR="006C47F3" w:rsidRPr="005151E7" w14:paraId="27FA03D4" w14:textId="77777777" w:rsidTr="00462AE9">
        <w:tc>
          <w:tcPr>
            <w:tcW w:w="2155" w:type="dxa"/>
          </w:tcPr>
          <w:p w14:paraId="657C2C05" w14:textId="77777777" w:rsidR="006C47F3" w:rsidRPr="005151E7" w:rsidRDefault="006C47F3" w:rsidP="00462AE9">
            <w:pPr>
              <w:rPr>
                <w:rFonts w:asciiTheme="minorHAnsi" w:hAnsiTheme="minorHAnsi"/>
                <w:b/>
                <w:i/>
              </w:rPr>
            </w:pPr>
            <w:r w:rsidRPr="005151E7">
              <w:rPr>
                <w:rStyle w:val="NORCInlineHeadingL2"/>
                <w:rFonts w:asciiTheme="minorHAnsi" w:hAnsiTheme="minorHAnsi"/>
              </w:rPr>
              <w:t>Marshall Islands</w:t>
            </w:r>
          </w:p>
        </w:tc>
        <w:tc>
          <w:tcPr>
            <w:tcW w:w="7195" w:type="dxa"/>
          </w:tcPr>
          <w:p w14:paraId="67B1B858" w14:textId="77777777" w:rsidR="006C47F3" w:rsidRPr="005151E7" w:rsidRDefault="006C47F3" w:rsidP="00462AE9">
            <w:pPr>
              <w:spacing w:after="160"/>
              <w:contextualSpacing/>
              <w:rPr>
                <w:rFonts w:asciiTheme="minorHAnsi" w:hAnsiTheme="minorHAnsi"/>
              </w:rPr>
            </w:pPr>
            <w:r w:rsidRPr="005151E7">
              <w:rPr>
                <w:rFonts w:asciiTheme="minorHAnsi" w:hAnsiTheme="minorHAnsi"/>
              </w:rPr>
              <w:t>In recruiting respondents for the pilot, it is possible to go door-to-door, although it may be easiest to recruit at the hospital. It would be best to include residents of the outer islands although travel to the islands would be difficult.</w:t>
            </w:r>
          </w:p>
        </w:tc>
      </w:tr>
      <w:tr w:rsidR="006C47F3" w:rsidRPr="005151E7" w14:paraId="016B98B4" w14:textId="77777777" w:rsidTr="00462AE9">
        <w:tc>
          <w:tcPr>
            <w:tcW w:w="2155" w:type="dxa"/>
          </w:tcPr>
          <w:p w14:paraId="3D719928" w14:textId="77777777" w:rsidR="006C47F3" w:rsidRPr="005151E7" w:rsidRDefault="006C47F3" w:rsidP="00462AE9">
            <w:pPr>
              <w:rPr>
                <w:rFonts w:asciiTheme="minorHAnsi" w:hAnsiTheme="minorHAnsi"/>
                <w:b/>
                <w:i/>
              </w:rPr>
            </w:pPr>
            <w:r w:rsidRPr="005151E7">
              <w:rPr>
                <w:rStyle w:val="NORCInlineHeadingL2"/>
                <w:rFonts w:asciiTheme="minorHAnsi" w:hAnsiTheme="minorHAnsi"/>
              </w:rPr>
              <w:t>Northern Mariana Islands</w:t>
            </w:r>
          </w:p>
        </w:tc>
        <w:tc>
          <w:tcPr>
            <w:tcW w:w="7195" w:type="dxa"/>
          </w:tcPr>
          <w:p w14:paraId="4A0D75C3" w14:textId="77777777" w:rsidR="006C47F3" w:rsidRPr="005151E7" w:rsidRDefault="006C47F3" w:rsidP="00462AE9">
            <w:pPr>
              <w:rPr>
                <w:rFonts w:asciiTheme="minorHAnsi" w:hAnsiTheme="minorHAnsi"/>
              </w:rPr>
            </w:pPr>
            <w:r w:rsidRPr="005151E7">
              <w:rPr>
                <w:rFonts w:asciiTheme="minorHAnsi" w:hAnsiTheme="minorHAnsi"/>
              </w:rPr>
              <w:t>Experts indicated that recruiting at grocery stores and clinics could work. As needed, we will reach out to jurisdictional leadership to find local leads to endorse the survey and to identify appropriate locations for interviewers to recruit respondents.</w:t>
            </w:r>
          </w:p>
        </w:tc>
      </w:tr>
      <w:tr w:rsidR="006C47F3" w:rsidRPr="005151E7" w14:paraId="260A1716" w14:textId="77777777" w:rsidTr="00462AE9">
        <w:tc>
          <w:tcPr>
            <w:tcW w:w="2155" w:type="dxa"/>
          </w:tcPr>
          <w:p w14:paraId="17CDE339" w14:textId="77777777" w:rsidR="006C47F3" w:rsidRPr="005151E7" w:rsidRDefault="006C47F3" w:rsidP="00462AE9">
            <w:pPr>
              <w:rPr>
                <w:rFonts w:asciiTheme="minorHAnsi" w:hAnsiTheme="minorHAnsi"/>
                <w:b/>
                <w:i/>
              </w:rPr>
            </w:pPr>
            <w:r w:rsidRPr="005151E7">
              <w:rPr>
                <w:rStyle w:val="NORCInlineHeadingL2"/>
                <w:rFonts w:asciiTheme="minorHAnsi" w:hAnsiTheme="minorHAnsi"/>
              </w:rPr>
              <w:t>Palau</w:t>
            </w:r>
          </w:p>
        </w:tc>
        <w:tc>
          <w:tcPr>
            <w:tcW w:w="7195" w:type="dxa"/>
          </w:tcPr>
          <w:p w14:paraId="5092AD2A" w14:textId="77777777" w:rsidR="006C47F3" w:rsidRPr="005151E7" w:rsidRDefault="006C47F3" w:rsidP="00462AE9">
            <w:pPr>
              <w:rPr>
                <w:rFonts w:asciiTheme="minorHAnsi" w:hAnsiTheme="minorHAnsi"/>
              </w:rPr>
            </w:pPr>
            <w:r w:rsidRPr="005151E7">
              <w:rPr>
                <w:rFonts w:asciiTheme="minorHAnsi" w:hAnsiTheme="minorHAnsi"/>
              </w:rPr>
              <w:t>Plan to reach out to the bureau of public health to request advice in recruitment of respondents.</w:t>
            </w:r>
          </w:p>
        </w:tc>
      </w:tr>
    </w:tbl>
    <w:p w14:paraId="6BA0DE0E" w14:textId="2899BCCC" w:rsidR="006C47F3" w:rsidRPr="005151E7" w:rsidRDefault="006C47F3" w:rsidP="006F4FC9">
      <w:pPr>
        <w:spacing w:before="240" w:after="240"/>
        <w:rPr>
          <w:rFonts w:asciiTheme="minorHAnsi" w:hAnsiTheme="minorHAnsi"/>
          <w:sz w:val="22"/>
          <w:szCs w:val="22"/>
        </w:rPr>
      </w:pPr>
      <w:r w:rsidRPr="005151E7">
        <w:rPr>
          <w:rFonts w:asciiTheme="minorHAnsi" w:hAnsiTheme="minorHAnsi"/>
          <w:sz w:val="22"/>
          <w:szCs w:val="22"/>
        </w:rPr>
        <w:t xml:space="preserve">NORC will ensure that all needed supplies, including copies of the screener and </w:t>
      </w:r>
      <w:r w:rsidR="00FF1DE1" w:rsidRPr="005151E7">
        <w:rPr>
          <w:rFonts w:asciiTheme="minorHAnsi" w:hAnsiTheme="minorHAnsi"/>
          <w:sz w:val="22"/>
          <w:szCs w:val="22"/>
        </w:rPr>
        <w:t>surveys</w:t>
      </w:r>
      <w:r w:rsidRPr="005151E7">
        <w:rPr>
          <w:rFonts w:asciiTheme="minorHAnsi" w:hAnsiTheme="minorHAnsi"/>
          <w:sz w:val="22"/>
          <w:szCs w:val="22"/>
        </w:rPr>
        <w:t xml:space="preserve">, will be shipped to each interviewer. NORC </w:t>
      </w:r>
      <w:r w:rsidR="00FF1DE1" w:rsidRPr="005151E7">
        <w:rPr>
          <w:rFonts w:asciiTheme="minorHAnsi" w:hAnsiTheme="minorHAnsi"/>
          <w:sz w:val="22"/>
          <w:szCs w:val="22"/>
        </w:rPr>
        <w:t xml:space="preserve">will provide each interviewer with a project laptop and scanner to allow for secure transmission of the screener and survey data. Once the data has been transmitted and verified as received by NORC’s Central Office, the interviewer will destroy the </w:t>
      </w:r>
      <w:r w:rsidR="00FD5DCE">
        <w:rPr>
          <w:rFonts w:asciiTheme="minorHAnsi" w:hAnsiTheme="minorHAnsi"/>
          <w:sz w:val="22"/>
          <w:szCs w:val="22"/>
        </w:rPr>
        <w:t xml:space="preserve">paper copies. </w:t>
      </w:r>
    </w:p>
    <w:p w14:paraId="777F8D85" w14:textId="624678A8" w:rsidR="006C47F3" w:rsidRPr="005151E7" w:rsidRDefault="006C47F3" w:rsidP="00C70189">
      <w:pPr>
        <w:widowControl/>
        <w:autoSpaceDE/>
        <w:autoSpaceDN/>
        <w:adjustRightInd/>
        <w:spacing w:after="240"/>
        <w:rPr>
          <w:rFonts w:asciiTheme="minorHAnsi" w:hAnsiTheme="minorHAnsi"/>
          <w:sz w:val="22"/>
          <w:szCs w:val="22"/>
        </w:rPr>
      </w:pPr>
      <w:r w:rsidRPr="005151E7">
        <w:rPr>
          <w:rFonts w:asciiTheme="minorHAnsi" w:hAnsiTheme="minorHAnsi"/>
          <w:sz w:val="22"/>
          <w:szCs w:val="22"/>
        </w:rPr>
        <w:t xml:space="preserve">For both modes, all interviewers will be trained on informal cognitive probing regarding the comprehension, skip patterns, and wording of the survey instrument, with an emphasis on the jurisdiction-specific questions. Interviewers will be given a set of questions that help assess each respondent’s ability to answer the questions and a standardized form for recording this feedback. Once data collection is complete, NORC will hold a debriefing phone call with each interviewer to capture additional information regarding their experience administering the instrument. </w:t>
      </w:r>
      <w:r w:rsidR="00462AE9" w:rsidRPr="005151E7">
        <w:rPr>
          <w:rFonts w:asciiTheme="minorHAnsi" w:hAnsiTheme="minorHAnsi"/>
          <w:sz w:val="22"/>
          <w:szCs w:val="22"/>
        </w:rPr>
        <w:t xml:space="preserve">All interviewers will also have undergone human subjects protections training and have signed a confidentiality agreement prior to conducting interviews.  </w:t>
      </w:r>
    </w:p>
    <w:p w14:paraId="76233F04" w14:textId="5E3C158B" w:rsidR="00844607" w:rsidRPr="005151E7" w:rsidRDefault="00844607" w:rsidP="00844607">
      <w:pPr>
        <w:pStyle w:val="Heading2"/>
        <w:spacing w:before="120" w:after="120"/>
        <w:rPr>
          <w:rFonts w:asciiTheme="minorHAnsi" w:hAnsiTheme="minorHAnsi" w:cs="Times New Roman"/>
          <w:i w:val="0"/>
          <w:sz w:val="22"/>
          <w:szCs w:val="22"/>
        </w:rPr>
      </w:pPr>
      <w:bookmarkStart w:id="9" w:name="_Toc151782201"/>
      <w:bookmarkStart w:id="10" w:name="_Toc158526237"/>
      <w:bookmarkStart w:id="11" w:name="_Toc509998948"/>
      <w:bookmarkEnd w:id="7"/>
      <w:bookmarkEnd w:id="8"/>
      <w:r w:rsidRPr="005151E7">
        <w:rPr>
          <w:rFonts w:asciiTheme="minorHAnsi" w:hAnsiTheme="minorHAnsi" w:cs="Times New Roman"/>
          <w:i w:val="0"/>
          <w:sz w:val="22"/>
          <w:szCs w:val="22"/>
        </w:rPr>
        <w:t xml:space="preserve">3. </w:t>
      </w:r>
      <w:r w:rsidRPr="00A9771B">
        <w:rPr>
          <w:rFonts w:asciiTheme="minorHAnsi" w:hAnsiTheme="minorHAnsi" w:cs="Times New Roman"/>
          <w:i w:val="0"/>
          <w:sz w:val="22"/>
          <w:szCs w:val="22"/>
          <w:u w:val="single"/>
        </w:rPr>
        <w:t xml:space="preserve">Methods to Maximize </w:t>
      </w:r>
      <w:r w:rsidR="0017502A" w:rsidRPr="00A9771B">
        <w:rPr>
          <w:rFonts w:asciiTheme="minorHAnsi" w:hAnsiTheme="minorHAnsi" w:cs="Times New Roman"/>
          <w:i w:val="0"/>
          <w:sz w:val="22"/>
          <w:szCs w:val="22"/>
          <w:u w:val="single"/>
        </w:rPr>
        <w:t xml:space="preserve">Participation </w:t>
      </w:r>
      <w:bookmarkEnd w:id="9"/>
      <w:bookmarkEnd w:id="10"/>
      <w:r w:rsidR="000A1032" w:rsidRPr="00A9771B">
        <w:rPr>
          <w:rFonts w:asciiTheme="minorHAnsi" w:hAnsiTheme="minorHAnsi" w:cs="Times New Roman"/>
          <w:i w:val="0"/>
          <w:sz w:val="22"/>
          <w:szCs w:val="22"/>
          <w:u w:val="single"/>
        </w:rPr>
        <w:t>Rates and</w:t>
      </w:r>
      <w:r w:rsidR="009D3E7E" w:rsidRPr="00A9771B">
        <w:rPr>
          <w:rFonts w:asciiTheme="minorHAnsi" w:hAnsiTheme="minorHAnsi" w:cs="Times New Roman"/>
          <w:i w:val="0"/>
          <w:sz w:val="22"/>
          <w:szCs w:val="22"/>
          <w:u w:val="single"/>
        </w:rPr>
        <w:t xml:space="preserve"> Deal with Nonresponse</w:t>
      </w:r>
      <w:bookmarkEnd w:id="11"/>
    </w:p>
    <w:p w14:paraId="39052CEC" w14:textId="679720A6" w:rsidR="005F11C1" w:rsidRPr="005151E7" w:rsidRDefault="005F11C1" w:rsidP="005F11C1">
      <w:pPr>
        <w:rPr>
          <w:rFonts w:asciiTheme="minorHAnsi" w:hAnsiTheme="minorHAnsi"/>
          <w:sz w:val="22"/>
          <w:szCs w:val="22"/>
        </w:rPr>
      </w:pPr>
      <w:r w:rsidRPr="005151E7">
        <w:rPr>
          <w:rFonts w:asciiTheme="minorHAnsi" w:hAnsiTheme="minorHAnsi"/>
          <w:sz w:val="22"/>
          <w:szCs w:val="22"/>
        </w:rPr>
        <w:t xml:space="preserve">In designing the </w:t>
      </w:r>
      <w:r w:rsidR="00462AE9" w:rsidRPr="005151E7">
        <w:rPr>
          <w:rFonts w:asciiTheme="minorHAnsi" w:hAnsiTheme="minorHAnsi"/>
          <w:sz w:val="22"/>
          <w:szCs w:val="22"/>
        </w:rPr>
        <w:t>Jurisdictional MCH Survey Instrument</w:t>
      </w:r>
      <w:r w:rsidRPr="005151E7">
        <w:rPr>
          <w:rFonts w:asciiTheme="minorHAnsi" w:hAnsiTheme="minorHAnsi"/>
          <w:sz w:val="22"/>
          <w:szCs w:val="22"/>
        </w:rPr>
        <w:t>, attention will be placed on the following design elements to help increase coopera</w:t>
      </w:r>
      <w:r w:rsidR="006F4FC9">
        <w:rPr>
          <w:rFonts w:asciiTheme="minorHAnsi" w:hAnsiTheme="minorHAnsi"/>
          <w:sz w:val="22"/>
          <w:szCs w:val="22"/>
        </w:rPr>
        <w:t>tion by prospective respondents:</w:t>
      </w:r>
      <w:r w:rsidRPr="005151E7">
        <w:rPr>
          <w:rFonts w:asciiTheme="minorHAnsi" w:hAnsiTheme="minorHAnsi"/>
          <w:sz w:val="22"/>
          <w:szCs w:val="22"/>
        </w:rPr>
        <w:t xml:space="preserve">  </w:t>
      </w:r>
    </w:p>
    <w:p w14:paraId="16992185" w14:textId="4C52C7E7" w:rsidR="005F11C1" w:rsidRPr="005151E7" w:rsidRDefault="00FD5DCE" w:rsidP="005F11C1">
      <w:pPr>
        <w:widowControl/>
        <w:numPr>
          <w:ilvl w:val="0"/>
          <w:numId w:val="7"/>
        </w:numPr>
        <w:autoSpaceDE/>
        <w:autoSpaceDN/>
        <w:adjustRightInd/>
        <w:contextualSpacing/>
        <w:rPr>
          <w:rFonts w:asciiTheme="minorHAnsi" w:hAnsiTheme="minorHAnsi"/>
          <w:sz w:val="22"/>
          <w:szCs w:val="22"/>
        </w:rPr>
      </w:pPr>
      <w:r>
        <w:rPr>
          <w:rFonts w:asciiTheme="minorHAnsi" w:hAnsiTheme="minorHAnsi"/>
          <w:sz w:val="22"/>
          <w:szCs w:val="22"/>
        </w:rPr>
        <w:t xml:space="preserve">In developing </w:t>
      </w:r>
      <w:r w:rsidR="005F11C1" w:rsidRPr="005151E7">
        <w:rPr>
          <w:rFonts w:asciiTheme="minorHAnsi" w:hAnsiTheme="minorHAnsi"/>
          <w:sz w:val="22"/>
          <w:szCs w:val="22"/>
        </w:rPr>
        <w:t>and refining specific questions, the goal will be to create a logical, clear questionnaire with concrete question wording and simple grammar</w:t>
      </w:r>
    </w:p>
    <w:p w14:paraId="3894E2A5" w14:textId="77777777" w:rsidR="005F11C1" w:rsidRPr="005151E7" w:rsidRDefault="005F11C1" w:rsidP="005F11C1">
      <w:pPr>
        <w:widowControl/>
        <w:numPr>
          <w:ilvl w:val="0"/>
          <w:numId w:val="7"/>
        </w:numPr>
        <w:autoSpaceDE/>
        <w:autoSpaceDN/>
        <w:adjustRightInd/>
        <w:contextualSpacing/>
        <w:rPr>
          <w:rFonts w:asciiTheme="minorHAnsi" w:hAnsiTheme="minorHAnsi"/>
          <w:sz w:val="22"/>
          <w:szCs w:val="22"/>
        </w:rPr>
      </w:pPr>
      <w:r w:rsidRPr="005151E7">
        <w:rPr>
          <w:rFonts w:asciiTheme="minorHAnsi" w:hAnsiTheme="minorHAnsi"/>
          <w:sz w:val="22"/>
          <w:szCs w:val="22"/>
        </w:rPr>
        <w:t>Questions will be grouped according to subject areas</w:t>
      </w:r>
    </w:p>
    <w:p w14:paraId="01A8D5AD" w14:textId="77777777" w:rsidR="00462AE9" w:rsidRPr="005151E7" w:rsidRDefault="00462AE9" w:rsidP="006F4FC9">
      <w:pPr>
        <w:pStyle w:val="BodyText"/>
        <w:spacing w:before="240"/>
        <w:rPr>
          <w:rFonts w:asciiTheme="minorHAnsi" w:hAnsiTheme="minorHAnsi"/>
        </w:rPr>
      </w:pPr>
      <w:r w:rsidRPr="005151E7">
        <w:rPr>
          <w:rFonts w:asciiTheme="minorHAnsi" w:hAnsiTheme="minorHAnsi"/>
        </w:rPr>
        <w:t xml:space="preserve">The experience of the experts from CDC, jurisdictional leads, and other organizations indicates that the Jurisdictional MCH survey for American Samoa, Marshall Islands, and Palau will need to be fielded in English and at least one of the multiple local languages. In Guam, Northern Mariana Islands, and Federated States of Micronesia, the survey will be administered in English. In Puerto Rico and USVI, the survey will be fielded in both English and Spanish. </w:t>
      </w:r>
    </w:p>
    <w:p w14:paraId="451A000D" w14:textId="5E65E42C" w:rsidR="00462AE9" w:rsidRPr="005151E7" w:rsidRDefault="00462AE9" w:rsidP="00462AE9">
      <w:pPr>
        <w:pStyle w:val="BodyText"/>
        <w:rPr>
          <w:rFonts w:asciiTheme="minorHAnsi" w:hAnsiTheme="minorHAnsi"/>
        </w:rPr>
      </w:pPr>
      <w:r w:rsidRPr="005151E7">
        <w:rPr>
          <w:rFonts w:asciiTheme="minorHAnsi" w:hAnsiTheme="minorHAnsi"/>
        </w:rPr>
        <w:t>During review of the OMB package, the jurisdictions will have the opportunity to review and provide feedback on the translations before data col</w:t>
      </w:r>
      <w:r w:rsidR="00FD5DCE">
        <w:rPr>
          <w:rFonts w:asciiTheme="minorHAnsi" w:hAnsiTheme="minorHAnsi"/>
        </w:rPr>
        <w:t>lection begins. This may result</w:t>
      </w:r>
      <w:r w:rsidRPr="005151E7">
        <w:rPr>
          <w:rFonts w:asciiTheme="minorHAnsi" w:hAnsiTheme="minorHAnsi"/>
        </w:rPr>
        <w:t xml:space="preserve"> in small changes in wording that enhance clarity, but do not change fundamental survey content. </w:t>
      </w:r>
    </w:p>
    <w:p w14:paraId="12D87857" w14:textId="77777777" w:rsidR="001701D8" w:rsidRDefault="001701D8">
      <w:pPr>
        <w:widowControl/>
        <w:autoSpaceDE/>
        <w:autoSpaceDN/>
        <w:adjustRightInd/>
        <w:rPr>
          <w:rFonts w:asciiTheme="minorHAnsi" w:eastAsiaTheme="majorEastAsia" w:hAnsiTheme="minorHAnsi" w:cstheme="majorBidi"/>
          <w:b/>
        </w:rPr>
      </w:pPr>
      <w:r>
        <w:rPr>
          <w:rFonts w:asciiTheme="minorHAnsi" w:hAnsiTheme="minorHAnsi"/>
          <w:b/>
        </w:rPr>
        <w:br w:type="page"/>
      </w:r>
    </w:p>
    <w:p w14:paraId="4C8B53DA" w14:textId="50EA5D13" w:rsidR="00117CDF" w:rsidRPr="00117CDF" w:rsidRDefault="00686965" w:rsidP="00117CDF">
      <w:pPr>
        <w:pStyle w:val="Heading5"/>
      </w:pPr>
      <w:r>
        <w:rPr>
          <w:rFonts w:asciiTheme="minorHAnsi" w:hAnsiTheme="minorHAnsi"/>
          <w:b/>
          <w:color w:val="auto"/>
        </w:rPr>
        <w:t>Table 4</w:t>
      </w:r>
      <w:r w:rsidR="00462AE9" w:rsidRPr="006F4FC9">
        <w:rPr>
          <w:rFonts w:asciiTheme="minorHAnsi" w:hAnsiTheme="minorHAnsi"/>
          <w:b/>
          <w:color w:val="auto"/>
        </w:rPr>
        <w:t>:</w:t>
      </w:r>
      <w:r w:rsidR="00F676C4">
        <w:rPr>
          <w:rFonts w:asciiTheme="minorHAnsi" w:hAnsiTheme="minorHAnsi"/>
          <w:b/>
          <w:color w:val="auto"/>
        </w:rPr>
        <w:t xml:space="preserve">  </w:t>
      </w:r>
      <w:r w:rsidR="00462AE9" w:rsidRPr="006F4FC9">
        <w:rPr>
          <w:rFonts w:asciiTheme="minorHAnsi" w:hAnsiTheme="minorHAnsi"/>
          <w:b/>
          <w:color w:val="auto"/>
        </w:rPr>
        <w:t xml:space="preserve"> Languages</w:t>
      </w:r>
    </w:p>
    <w:tbl>
      <w:tblPr>
        <w:tblW w:w="3162" w:type="pct"/>
        <w:tblCellMar>
          <w:left w:w="0" w:type="dxa"/>
          <w:right w:w="0" w:type="dxa"/>
        </w:tblCellMar>
        <w:tblLook w:val="04A0" w:firstRow="1" w:lastRow="0" w:firstColumn="1" w:lastColumn="0" w:noHBand="0" w:noVBand="1"/>
      </w:tblPr>
      <w:tblGrid>
        <w:gridCol w:w="3021"/>
        <w:gridCol w:w="3035"/>
      </w:tblGrid>
      <w:tr w:rsidR="00462AE9" w:rsidRPr="005151E7" w14:paraId="145EC476" w14:textId="77777777" w:rsidTr="005151E7">
        <w:trPr>
          <w:cantSplit/>
          <w:trHeight w:val="330"/>
          <w:tblHeader/>
        </w:trPr>
        <w:tc>
          <w:tcPr>
            <w:tcW w:w="2494" w:type="pct"/>
            <w:tcBorders>
              <w:top w:val="single" w:sz="8" w:space="0" w:color="366175"/>
              <w:left w:val="single" w:sz="8" w:space="0" w:color="366175"/>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14:paraId="1379E15E" w14:textId="77777777" w:rsidR="00462AE9" w:rsidRPr="005151E7" w:rsidRDefault="00462AE9" w:rsidP="00462AE9">
            <w:pPr>
              <w:jc w:val="center"/>
              <w:rPr>
                <w:rFonts w:asciiTheme="minorHAnsi" w:hAnsiTheme="minorHAnsi"/>
                <w:b/>
                <w:bCs/>
              </w:rPr>
            </w:pPr>
            <w:r w:rsidRPr="005151E7">
              <w:rPr>
                <w:rFonts w:asciiTheme="minorHAnsi" w:hAnsiTheme="minorHAnsi"/>
                <w:b/>
                <w:bCs/>
              </w:rPr>
              <w:t>Title V Jurisdictions</w:t>
            </w:r>
          </w:p>
        </w:tc>
        <w:tc>
          <w:tcPr>
            <w:tcW w:w="2506" w:type="pct"/>
            <w:tcBorders>
              <w:top w:val="single" w:sz="8" w:space="0" w:color="366175"/>
              <w:left w:val="nil"/>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14:paraId="45C792FD" w14:textId="77777777" w:rsidR="00462AE9" w:rsidRPr="005151E7" w:rsidRDefault="00462AE9" w:rsidP="00462AE9">
            <w:pPr>
              <w:jc w:val="center"/>
              <w:rPr>
                <w:rFonts w:asciiTheme="minorHAnsi" w:hAnsiTheme="minorHAnsi"/>
                <w:b/>
                <w:bCs/>
              </w:rPr>
            </w:pPr>
            <w:r w:rsidRPr="005151E7">
              <w:rPr>
                <w:rFonts w:asciiTheme="minorHAnsi" w:hAnsiTheme="minorHAnsi"/>
                <w:b/>
                <w:bCs/>
              </w:rPr>
              <w:t>Languages</w:t>
            </w:r>
          </w:p>
        </w:tc>
      </w:tr>
      <w:tr w:rsidR="00462AE9" w:rsidRPr="005151E7" w14:paraId="490E6735"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12A3A076" w14:textId="77777777" w:rsidR="00462AE9" w:rsidRPr="005151E7" w:rsidRDefault="00462AE9" w:rsidP="00462AE9">
            <w:pPr>
              <w:rPr>
                <w:rFonts w:asciiTheme="minorHAnsi" w:hAnsiTheme="minorHAnsi"/>
              </w:rPr>
            </w:pPr>
            <w:r w:rsidRPr="005151E7">
              <w:rPr>
                <w:rFonts w:asciiTheme="minorHAnsi" w:hAnsiTheme="minorHAnsi"/>
              </w:rPr>
              <w:t>Puerto Rico</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2A4F8E2F" w14:textId="77777777" w:rsidR="00462AE9" w:rsidRPr="005151E7" w:rsidRDefault="00462AE9" w:rsidP="00462AE9">
            <w:pPr>
              <w:rPr>
                <w:rFonts w:asciiTheme="minorHAnsi" w:hAnsiTheme="minorHAnsi"/>
              </w:rPr>
            </w:pPr>
            <w:r w:rsidRPr="005151E7">
              <w:rPr>
                <w:rFonts w:asciiTheme="minorHAnsi" w:hAnsiTheme="minorHAnsi"/>
              </w:rPr>
              <w:t xml:space="preserve">English, Spanish </w:t>
            </w:r>
          </w:p>
        </w:tc>
      </w:tr>
      <w:tr w:rsidR="00462AE9" w:rsidRPr="005151E7" w14:paraId="76F40CD7"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489A36B1" w14:textId="77777777" w:rsidR="00462AE9" w:rsidRPr="005151E7" w:rsidRDefault="00462AE9" w:rsidP="00462AE9">
            <w:pPr>
              <w:rPr>
                <w:rFonts w:asciiTheme="minorHAnsi" w:hAnsiTheme="minorHAnsi"/>
              </w:rPr>
            </w:pPr>
            <w:r w:rsidRPr="005151E7">
              <w:rPr>
                <w:rFonts w:asciiTheme="minorHAnsi" w:hAnsiTheme="minorHAnsi"/>
              </w:rPr>
              <w:t>USVI</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5F31075B" w14:textId="77777777" w:rsidR="00462AE9" w:rsidRPr="005151E7" w:rsidRDefault="00462AE9" w:rsidP="00462AE9">
            <w:pPr>
              <w:rPr>
                <w:rFonts w:asciiTheme="minorHAnsi" w:hAnsiTheme="minorHAnsi"/>
              </w:rPr>
            </w:pPr>
            <w:r w:rsidRPr="005151E7">
              <w:rPr>
                <w:rFonts w:asciiTheme="minorHAnsi" w:hAnsiTheme="minorHAnsi"/>
              </w:rPr>
              <w:t xml:space="preserve">English, Spanish </w:t>
            </w:r>
          </w:p>
        </w:tc>
      </w:tr>
      <w:tr w:rsidR="00462AE9" w:rsidRPr="005151E7" w14:paraId="735BC079"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0B9D8BB2" w14:textId="77777777" w:rsidR="00462AE9" w:rsidRPr="005151E7" w:rsidRDefault="00462AE9" w:rsidP="00462AE9">
            <w:pPr>
              <w:rPr>
                <w:rFonts w:asciiTheme="minorHAnsi" w:hAnsiTheme="minorHAnsi"/>
              </w:rPr>
            </w:pPr>
            <w:r w:rsidRPr="005151E7">
              <w:rPr>
                <w:rFonts w:asciiTheme="minorHAnsi" w:hAnsiTheme="minorHAnsi"/>
              </w:rPr>
              <w:t>Guam</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3604DB3F" w14:textId="77777777" w:rsidR="00462AE9" w:rsidRPr="005151E7" w:rsidRDefault="00462AE9" w:rsidP="00462AE9">
            <w:pPr>
              <w:rPr>
                <w:rFonts w:asciiTheme="minorHAnsi" w:hAnsiTheme="minorHAnsi"/>
              </w:rPr>
            </w:pPr>
            <w:r w:rsidRPr="005151E7">
              <w:rPr>
                <w:rFonts w:asciiTheme="minorHAnsi" w:hAnsiTheme="minorHAnsi"/>
              </w:rPr>
              <w:t>English</w:t>
            </w:r>
          </w:p>
        </w:tc>
      </w:tr>
      <w:tr w:rsidR="00462AE9" w:rsidRPr="005151E7" w14:paraId="2DED17C6"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1F3D1D4" w14:textId="77777777" w:rsidR="00462AE9" w:rsidRPr="005151E7" w:rsidRDefault="00462AE9" w:rsidP="00462AE9">
            <w:pPr>
              <w:rPr>
                <w:rFonts w:asciiTheme="minorHAnsi" w:hAnsiTheme="minorHAnsi"/>
              </w:rPr>
            </w:pPr>
            <w:r w:rsidRPr="005151E7">
              <w:rPr>
                <w:rFonts w:asciiTheme="minorHAnsi" w:hAnsiTheme="minorHAnsi"/>
              </w:rPr>
              <w:t>American Samoa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1C56CD6" w14:textId="77777777" w:rsidR="00462AE9" w:rsidRPr="005151E7" w:rsidRDefault="00462AE9" w:rsidP="00462AE9">
            <w:pPr>
              <w:rPr>
                <w:rFonts w:asciiTheme="minorHAnsi" w:hAnsiTheme="minorHAnsi"/>
              </w:rPr>
            </w:pPr>
            <w:r w:rsidRPr="005151E7">
              <w:rPr>
                <w:rFonts w:asciiTheme="minorHAnsi" w:hAnsiTheme="minorHAnsi"/>
              </w:rPr>
              <w:t>English, Samoan</w:t>
            </w:r>
          </w:p>
        </w:tc>
      </w:tr>
      <w:tr w:rsidR="00462AE9" w:rsidRPr="005151E7" w14:paraId="66A44EE0"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7BB5CC16" w14:textId="77777777" w:rsidR="00462AE9" w:rsidRPr="005151E7" w:rsidRDefault="00462AE9" w:rsidP="00462AE9">
            <w:pPr>
              <w:rPr>
                <w:rFonts w:asciiTheme="minorHAnsi" w:hAnsiTheme="minorHAnsi"/>
              </w:rPr>
            </w:pPr>
            <w:r w:rsidRPr="005151E7">
              <w:rPr>
                <w:rFonts w:asciiTheme="minorHAnsi" w:hAnsiTheme="minorHAnsi"/>
              </w:rPr>
              <w:t>Federated States of Micronesia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08635AF0" w14:textId="77777777" w:rsidR="00462AE9" w:rsidRPr="005151E7" w:rsidRDefault="00462AE9" w:rsidP="00462AE9">
            <w:pPr>
              <w:rPr>
                <w:rFonts w:asciiTheme="minorHAnsi" w:hAnsiTheme="minorHAnsi"/>
              </w:rPr>
            </w:pPr>
            <w:r w:rsidRPr="005151E7">
              <w:rPr>
                <w:rFonts w:asciiTheme="minorHAnsi" w:hAnsiTheme="minorHAnsi"/>
              </w:rPr>
              <w:t>English</w:t>
            </w:r>
          </w:p>
        </w:tc>
      </w:tr>
      <w:tr w:rsidR="00462AE9" w:rsidRPr="005151E7" w14:paraId="390C359D"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4872CF3A" w14:textId="77777777" w:rsidR="00462AE9" w:rsidRPr="005151E7" w:rsidRDefault="00462AE9" w:rsidP="00462AE9">
            <w:pPr>
              <w:rPr>
                <w:rFonts w:asciiTheme="minorHAnsi" w:hAnsiTheme="minorHAnsi"/>
              </w:rPr>
            </w:pPr>
            <w:r w:rsidRPr="005151E7">
              <w:rPr>
                <w:rFonts w:asciiTheme="minorHAnsi" w:hAnsiTheme="minorHAnsi"/>
              </w:rPr>
              <w:t>Marshall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7784B477" w14:textId="77777777" w:rsidR="00462AE9" w:rsidRPr="005151E7" w:rsidRDefault="00462AE9" w:rsidP="00462AE9">
            <w:pPr>
              <w:rPr>
                <w:rFonts w:asciiTheme="minorHAnsi" w:hAnsiTheme="minorHAnsi"/>
              </w:rPr>
            </w:pPr>
            <w:r w:rsidRPr="005151E7">
              <w:rPr>
                <w:rFonts w:asciiTheme="minorHAnsi" w:hAnsiTheme="minorHAnsi"/>
              </w:rPr>
              <w:t xml:space="preserve">English, Marshallese </w:t>
            </w:r>
          </w:p>
        </w:tc>
      </w:tr>
      <w:tr w:rsidR="00462AE9" w:rsidRPr="005151E7" w14:paraId="6292186D"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4718F98" w14:textId="77777777" w:rsidR="00462AE9" w:rsidRPr="005151E7" w:rsidRDefault="00462AE9" w:rsidP="00462AE9">
            <w:pPr>
              <w:rPr>
                <w:rFonts w:asciiTheme="minorHAnsi" w:hAnsiTheme="minorHAnsi"/>
              </w:rPr>
            </w:pPr>
            <w:r w:rsidRPr="005151E7">
              <w:rPr>
                <w:rFonts w:asciiTheme="minorHAnsi" w:hAnsiTheme="minorHAnsi"/>
              </w:rPr>
              <w:t>Northern Mariana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339E7F9A" w14:textId="77777777" w:rsidR="00462AE9" w:rsidRPr="005151E7" w:rsidRDefault="00462AE9" w:rsidP="00462AE9">
            <w:pPr>
              <w:rPr>
                <w:rFonts w:asciiTheme="minorHAnsi" w:hAnsiTheme="minorHAnsi"/>
              </w:rPr>
            </w:pPr>
            <w:r w:rsidRPr="005151E7">
              <w:rPr>
                <w:rFonts w:asciiTheme="minorHAnsi" w:hAnsiTheme="minorHAnsi"/>
              </w:rPr>
              <w:t>English</w:t>
            </w:r>
          </w:p>
        </w:tc>
      </w:tr>
      <w:tr w:rsidR="00462AE9" w:rsidRPr="005151E7" w14:paraId="72378C35" w14:textId="77777777" w:rsidTr="00462AE9">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19BFF381" w14:textId="77777777" w:rsidR="00462AE9" w:rsidRPr="005151E7" w:rsidRDefault="00462AE9" w:rsidP="00462AE9">
            <w:pPr>
              <w:rPr>
                <w:rFonts w:asciiTheme="minorHAnsi" w:hAnsiTheme="minorHAnsi"/>
              </w:rPr>
            </w:pPr>
            <w:r w:rsidRPr="005151E7">
              <w:rPr>
                <w:rFonts w:asciiTheme="minorHAnsi" w:hAnsiTheme="minorHAnsi"/>
              </w:rPr>
              <w:t>Palau</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73ED5089" w14:textId="25711021" w:rsidR="00462AE9" w:rsidRPr="005151E7" w:rsidRDefault="00462AE9" w:rsidP="002412F1">
            <w:pPr>
              <w:rPr>
                <w:rFonts w:asciiTheme="minorHAnsi" w:hAnsiTheme="minorHAnsi"/>
              </w:rPr>
            </w:pPr>
            <w:r w:rsidRPr="005151E7">
              <w:rPr>
                <w:rFonts w:asciiTheme="minorHAnsi" w:hAnsiTheme="minorHAnsi"/>
              </w:rPr>
              <w:t xml:space="preserve">English, Palauan, and </w:t>
            </w:r>
            <w:r w:rsidR="002412F1">
              <w:rPr>
                <w:rFonts w:asciiTheme="minorHAnsi" w:hAnsiTheme="minorHAnsi"/>
              </w:rPr>
              <w:t>Tagalog</w:t>
            </w:r>
          </w:p>
        </w:tc>
      </w:tr>
    </w:tbl>
    <w:p w14:paraId="48C89CAD" w14:textId="77777777" w:rsidR="006F4FC9" w:rsidRDefault="006F4FC9" w:rsidP="00462AE9">
      <w:pPr>
        <w:pStyle w:val="Heading4"/>
        <w:rPr>
          <w:rFonts w:asciiTheme="minorHAnsi" w:hAnsiTheme="minorHAnsi"/>
        </w:rPr>
      </w:pPr>
    </w:p>
    <w:p w14:paraId="426C88E4" w14:textId="42135DA6" w:rsidR="00844607" w:rsidRPr="00A9771B" w:rsidRDefault="00844607" w:rsidP="00844607">
      <w:pPr>
        <w:pStyle w:val="Heading2"/>
        <w:spacing w:before="120" w:after="120"/>
        <w:rPr>
          <w:rFonts w:asciiTheme="minorHAnsi" w:hAnsiTheme="minorHAnsi" w:cs="Times New Roman"/>
          <w:i w:val="0"/>
          <w:sz w:val="22"/>
          <w:szCs w:val="22"/>
          <w:u w:val="single"/>
        </w:rPr>
      </w:pPr>
      <w:bookmarkStart w:id="12" w:name="_Toc151782202"/>
      <w:bookmarkStart w:id="13" w:name="_Toc158526238"/>
      <w:bookmarkStart w:id="14" w:name="_Toc509998949"/>
      <w:r w:rsidRPr="005151E7">
        <w:rPr>
          <w:rFonts w:asciiTheme="minorHAnsi" w:hAnsiTheme="minorHAnsi" w:cs="Times New Roman"/>
          <w:i w:val="0"/>
          <w:sz w:val="22"/>
          <w:szCs w:val="22"/>
        </w:rPr>
        <w:t xml:space="preserve">4. </w:t>
      </w:r>
      <w:r w:rsidR="000A1032" w:rsidRPr="00A9771B">
        <w:rPr>
          <w:rFonts w:asciiTheme="minorHAnsi" w:hAnsiTheme="minorHAnsi" w:cs="Times New Roman"/>
          <w:i w:val="0"/>
          <w:sz w:val="22"/>
          <w:szCs w:val="22"/>
          <w:u w:val="single"/>
        </w:rPr>
        <w:t>Test of Procedures or Methods to be Undertaken</w:t>
      </w:r>
      <w:r w:rsidR="000A1032" w:rsidRPr="00A9771B" w:rsidDel="000A1032">
        <w:rPr>
          <w:rFonts w:asciiTheme="minorHAnsi" w:hAnsiTheme="minorHAnsi" w:cs="Times New Roman"/>
          <w:i w:val="0"/>
          <w:sz w:val="22"/>
          <w:szCs w:val="22"/>
          <w:u w:val="single"/>
        </w:rPr>
        <w:t xml:space="preserve"> </w:t>
      </w:r>
      <w:bookmarkStart w:id="15" w:name="_Toc151782203"/>
      <w:bookmarkStart w:id="16" w:name="_Toc158526239"/>
      <w:bookmarkEnd w:id="12"/>
      <w:bookmarkEnd w:id="13"/>
      <w:bookmarkEnd w:id="14"/>
    </w:p>
    <w:p w14:paraId="368575FD" w14:textId="5AD2D1DB" w:rsidR="000A1032" w:rsidRPr="00FD5DCE" w:rsidRDefault="00281B76" w:rsidP="006F4FC9">
      <w:pPr>
        <w:spacing w:after="240"/>
        <w:rPr>
          <w:rFonts w:asciiTheme="minorHAnsi" w:hAnsiTheme="minorHAnsi"/>
          <w:sz w:val="22"/>
          <w:szCs w:val="22"/>
        </w:rPr>
      </w:pPr>
      <w:r w:rsidRPr="00FD5DCE">
        <w:rPr>
          <w:rFonts w:asciiTheme="minorHAnsi" w:hAnsiTheme="minorHAnsi"/>
          <w:sz w:val="22"/>
          <w:szCs w:val="22"/>
        </w:rPr>
        <w:t>This is a pretest to e</w:t>
      </w:r>
      <w:r w:rsidR="00FD5DCE">
        <w:rPr>
          <w:rFonts w:asciiTheme="minorHAnsi" w:hAnsiTheme="minorHAnsi"/>
          <w:sz w:val="22"/>
          <w:szCs w:val="22"/>
        </w:rPr>
        <w:t>valuate the screener and survey</w:t>
      </w:r>
      <w:r w:rsidRPr="00FD5DCE">
        <w:rPr>
          <w:rFonts w:asciiTheme="minorHAnsi" w:hAnsiTheme="minorHAnsi"/>
          <w:sz w:val="22"/>
          <w:szCs w:val="22"/>
        </w:rPr>
        <w:t xml:space="preserve"> for comprehension, skip patterns, and accurate wording prior.</w:t>
      </w:r>
      <w:r w:rsidR="00346DB0" w:rsidRPr="00FD5DCE">
        <w:rPr>
          <w:rFonts w:asciiTheme="minorHAnsi" w:hAnsiTheme="minorHAnsi"/>
          <w:sz w:val="22"/>
          <w:szCs w:val="22"/>
        </w:rPr>
        <w:t xml:space="preserve"> </w:t>
      </w:r>
      <w:r w:rsidRPr="00FD5DCE">
        <w:rPr>
          <w:rFonts w:asciiTheme="minorHAnsi" w:hAnsiTheme="minorHAnsi"/>
          <w:sz w:val="22"/>
          <w:szCs w:val="22"/>
        </w:rPr>
        <w:t xml:space="preserve">Feedback from </w:t>
      </w:r>
      <w:r w:rsidR="00346DB0" w:rsidRPr="00FD5DCE">
        <w:rPr>
          <w:rFonts w:asciiTheme="minorHAnsi" w:hAnsiTheme="minorHAnsi"/>
          <w:sz w:val="22"/>
          <w:szCs w:val="22"/>
        </w:rPr>
        <w:t>this pretest will be</w:t>
      </w:r>
      <w:r w:rsidRPr="00FD5DCE">
        <w:rPr>
          <w:rFonts w:asciiTheme="minorHAnsi" w:hAnsiTheme="minorHAnsi"/>
          <w:sz w:val="22"/>
          <w:szCs w:val="22"/>
        </w:rPr>
        <w:t xml:space="preserve"> incorporated into the final version of the study </w:t>
      </w:r>
      <w:r w:rsidR="00346DB0" w:rsidRPr="00FD5DCE">
        <w:rPr>
          <w:rFonts w:asciiTheme="minorHAnsi" w:hAnsiTheme="minorHAnsi"/>
          <w:sz w:val="22"/>
          <w:szCs w:val="22"/>
        </w:rPr>
        <w:t>questionnaires</w:t>
      </w:r>
      <w:r w:rsidRPr="00FD5DCE">
        <w:rPr>
          <w:rFonts w:asciiTheme="minorHAnsi" w:hAnsiTheme="minorHAnsi"/>
          <w:sz w:val="22"/>
          <w:szCs w:val="22"/>
        </w:rPr>
        <w:t xml:space="preserve">. The estimates of time burden presented in Part A of the Supporting Statement were generated from usability testing </w:t>
      </w:r>
      <w:r w:rsidR="00346DB0" w:rsidRPr="00FD5DCE">
        <w:rPr>
          <w:rFonts w:asciiTheme="minorHAnsi" w:hAnsiTheme="minorHAnsi"/>
          <w:sz w:val="22"/>
          <w:szCs w:val="22"/>
        </w:rPr>
        <w:t>conducted with four English-speaking mothers with children ranging in age from 0-15</w:t>
      </w:r>
      <w:r w:rsidR="00FD5DCE">
        <w:rPr>
          <w:rFonts w:asciiTheme="minorHAnsi" w:hAnsiTheme="minorHAnsi"/>
          <w:sz w:val="22"/>
          <w:szCs w:val="22"/>
        </w:rPr>
        <w:t xml:space="preserve"> years old</w:t>
      </w:r>
      <w:r w:rsidR="00346DB0" w:rsidRPr="00FD5DCE">
        <w:rPr>
          <w:rFonts w:asciiTheme="minorHAnsi" w:hAnsiTheme="minorHAnsi"/>
          <w:sz w:val="22"/>
          <w:szCs w:val="22"/>
        </w:rPr>
        <w:t>.</w:t>
      </w:r>
    </w:p>
    <w:p w14:paraId="034D17FD" w14:textId="633C5C72" w:rsidR="000A1032" w:rsidRPr="00FD5DCE" w:rsidRDefault="000A1032" w:rsidP="00DA4E3F">
      <w:pPr>
        <w:rPr>
          <w:rFonts w:asciiTheme="minorHAnsi" w:hAnsiTheme="minorHAnsi"/>
          <w:sz w:val="22"/>
          <w:szCs w:val="22"/>
        </w:rPr>
      </w:pPr>
      <w:r w:rsidRPr="00FD5DCE">
        <w:rPr>
          <w:rFonts w:asciiTheme="minorHAnsi" w:hAnsiTheme="minorHAnsi"/>
          <w:sz w:val="22"/>
          <w:szCs w:val="22"/>
        </w:rPr>
        <w:t xml:space="preserve">Items included in </w:t>
      </w:r>
      <w:r w:rsidR="00F06829" w:rsidRPr="00FD5DCE">
        <w:rPr>
          <w:rFonts w:asciiTheme="minorHAnsi" w:hAnsiTheme="minorHAnsi"/>
          <w:sz w:val="22"/>
          <w:szCs w:val="22"/>
        </w:rPr>
        <w:t>the screener and</w:t>
      </w:r>
      <w:r w:rsidRPr="00FD5DCE">
        <w:rPr>
          <w:rFonts w:asciiTheme="minorHAnsi" w:hAnsiTheme="minorHAnsi"/>
          <w:sz w:val="22"/>
          <w:szCs w:val="22"/>
        </w:rPr>
        <w:t xml:space="preserve"> surveys were taken from validated, national surveys </w:t>
      </w:r>
      <w:r w:rsidR="00F06829" w:rsidRPr="00FD5DCE">
        <w:rPr>
          <w:rFonts w:asciiTheme="minorHAnsi" w:hAnsiTheme="minorHAnsi"/>
          <w:sz w:val="22"/>
          <w:szCs w:val="22"/>
        </w:rPr>
        <w:t>including:</w:t>
      </w:r>
    </w:p>
    <w:p w14:paraId="34A53B74" w14:textId="77777777" w:rsidR="00281B76" w:rsidRPr="00FD5DCE" w:rsidRDefault="00F06829" w:rsidP="006C57B3">
      <w:pPr>
        <w:pStyle w:val="ListParagraph"/>
        <w:numPr>
          <w:ilvl w:val="0"/>
          <w:numId w:val="12"/>
        </w:numPr>
        <w:rPr>
          <w:rFonts w:asciiTheme="minorHAnsi" w:hAnsiTheme="minorHAnsi"/>
          <w:sz w:val="22"/>
          <w:szCs w:val="22"/>
        </w:rPr>
      </w:pPr>
      <w:r w:rsidRPr="00FD5DCE">
        <w:rPr>
          <w:rFonts w:asciiTheme="minorHAnsi" w:hAnsiTheme="minorHAnsi"/>
          <w:sz w:val="22"/>
          <w:szCs w:val="22"/>
        </w:rPr>
        <w:t>Behavioral Risk Factor Surveillance System (BRFSS)</w:t>
      </w:r>
    </w:p>
    <w:p w14:paraId="4654BE4F" w14:textId="77777777" w:rsidR="00281B76" w:rsidRPr="00FD5DCE" w:rsidRDefault="00281B76" w:rsidP="006C57B3">
      <w:pPr>
        <w:pStyle w:val="ListParagraph"/>
        <w:numPr>
          <w:ilvl w:val="0"/>
          <w:numId w:val="12"/>
        </w:numPr>
        <w:rPr>
          <w:rFonts w:asciiTheme="minorHAnsi" w:hAnsiTheme="minorHAnsi"/>
          <w:sz w:val="22"/>
          <w:szCs w:val="22"/>
        </w:rPr>
      </w:pPr>
      <w:r w:rsidRPr="00FD5DCE">
        <w:rPr>
          <w:rFonts w:asciiTheme="minorHAnsi" w:hAnsiTheme="minorHAnsi"/>
          <w:sz w:val="22"/>
          <w:szCs w:val="22"/>
        </w:rPr>
        <w:t>National Immunization Surveys (NIS)</w:t>
      </w:r>
    </w:p>
    <w:p w14:paraId="41ED60C8" w14:textId="764E987F" w:rsidR="00281B76" w:rsidRPr="00FD5DCE" w:rsidRDefault="00281B76" w:rsidP="006C57B3">
      <w:pPr>
        <w:pStyle w:val="ListParagraph"/>
        <w:numPr>
          <w:ilvl w:val="0"/>
          <w:numId w:val="12"/>
        </w:numPr>
        <w:rPr>
          <w:rFonts w:asciiTheme="minorHAnsi" w:hAnsiTheme="minorHAnsi"/>
          <w:sz w:val="22"/>
          <w:szCs w:val="22"/>
        </w:rPr>
      </w:pPr>
      <w:r w:rsidRPr="00FD5DCE">
        <w:rPr>
          <w:rFonts w:asciiTheme="minorHAnsi" w:hAnsiTheme="minorHAnsi"/>
          <w:sz w:val="22"/>
          <w:szCs w:val="22"/>
        </w:rPr>
        <w:t>National Survey of Children's Health (NSCH)</w:t>
      </w:r>
    </w:p>
    <w:p w14:paraId="409CE478" w14:textId="77777777" w:rsidR="00FD5DCE" w:rsidRDefault="00281B76" w:rsidP="00FD5DCE">
      <w:pPr>
        <w:pStyle w:val="ListParagraph"/>
        <w:numPr>
          <w:ilvl w:val="0"/>
          <w:numId w:val="12"/>
        </w:numPr>
        <w:rPr>
          <w:rFonts w:asciiTheme="minorHAnsi" w:hAnsiTheme="minorHAnsi"/>
          <w:sz w:val="22"/>
          <w:szCs w:val="22"/>
        </w:rPr>
      </w:pPr>
      <w:r w:rsidRPr="00FD5DCE">
        <w:rPr>
          <w:rFonts w:asciiTheme="minorHAnsi" w:hAnsiTheme="minorHAnsi"/>
          <w:sz w:val="22"/>
          <w:szCs w:val="22"/>
        </w:rPr>
        <w:t>National Survey of Children with Special Health Care Needs (NS-CSHCN)</w:t>
      </w:r>
    </w:p>
    <w:p w14:paraId="4A9F5360" w14:textId="6C7BF037" w:rsidR="00FD5DCE" w:rsidRDefault="00281B76" w:rsidP="00FD5DCE">
      <w:pPr>
        <w:pStyle w:val="ListParagraph"/>
        <w:numPr>
          <w:ilvl w:val="0"/>
          <w:numId w:val="12"/>
        </w:numPr>
        <w:rPr>
          <w:rFonts w:asciiTheme="minorHAnsi" w:hAnsiTheme="minorHAnsi"/>
          <w:sz w:val="22"/>
          <w:szCs w:val="22"/>
        </w:rPr>
      </w:pPr>
      <w:r w:rsidRPr="00FD5DCE">
        <w:rPr>
          <w:rFonts w:asciiTheme="minorHAnsi" w:hAnsiTheme="minorHAnsi"/>
          <w:sz w:val="22"/>
          <w:szCs w:val="22"/>
        </w:rPr>
        <w:t xml:space="preserve">Pregnancy Risk Assessment Monitoring System </w:t>
      </w:r>
      <w:r w:rsidR="00FD5DCE">
        <w:rPr>
          <w:rFonts w:asciiTheme="minorHAnsi" w:hAnsiTheme="minorHAnsi"/>
          <w:sz w:val="22"/>
          <w:szCs w:val="22"/>
        </w:rPr>
        <w:t>(</w:t>
      </w:r>
      <w:r w:rsidR="00F06829" w:rsidRPr="00FD5DCE">
        <w:rPr>
          <w:rFonts w:asciiTheme="minorHAnsi" w:hAnsiTheme="minorHAnsi"/>
          <w:sz w:val="22"/>
          <w:szCs w:val="22"/>
        </w:rPr>
        <w:t>PRAMS</w:t>
      </w:r>
      <w:r w:rsidR="00FD5DCE">
        <w:rPr>
          <w:rFonts w:asciiTheme="minorHAnsi" w:hAnsiTheme="minorHAnsi"/>
          <w:sz w:val="22"/>
          <w:szCs w:val="22"/>
        </w:rPr>
        <w:t>)</w:t>
      </w:r>
    </w:p>
    <w:p w14:paraId="32EDCAC3" w14:textId="5D4E680F" w:rsidR="00DA4E3F" w:rsidRPr="00FD5DCE" w:rsidRDefault="00281B76" w:rsidP="00FD5DCE">
      <w:pPr>
        <w:pStyle w:val="ListParagraph"/>
        <w:numPr>
          <w:ilvl w:val="0"/>
          <w:numId w:val="12"/>
        </w:numPr>
        <w:rPr>
          <w:rFonts w:asciiTheme="minorHAnsi" w:hAnsiTheme="minorHAnsi"/>
          <w:sz w:val="22"/>
          <w:szCs w:val="22"/>
        </w:rPr>
      </w:pPr>
      <w:r w:rsidRPr="00FD5DCE">
        <w:rPr>
          <w:rFonts w:asciiTheme="minorHAnsi" w:hAnsiTheme="minorHAnsi"/>
          <w:sz w:val="22"/>
          <w:szCs w:val="22"/>
        </w:rPr>
        <w:t>Youth Risk Behavior Surveillance System (YRBSS)</w:t>
      </w:r>
    </w:p>
    <w:p w14:paraId="678876A0" w14:textId="7BFC6F36" w:rsidR="00844607" w:rsidRPr="005151E7" w:rsidRDefault="00844607" w:rsidP="00844607">
      <w:pPr>
        <w:pStyle w:val="Heading2"/>
        <w:spacing w:before="120" w:after="120"/>
        <w:rPr>
          <w:rFonts w:asciiTheme="minorHAnsi" w:hAnsiTheme="minorHAnsi" w:cs="Times New Roman"/>
          <w:i w:val="0"/>
          <w:sz w:val="22"/>
          <w:szCs w:val="22"/>
        </w:rPr>
      </w:pPr>
      <w:bookmarkStart w:id="17" w:name="_Toc509998950"/>
      <w:r w:rsidRPr="005151E7">
        <w:rPr>
          <w:rFonts w:asciiTheme="minorHAnsi" w:hAnsiTheme="minorHAnsi" w:cs="Times New Roman"/>
          <w:i w:val="0"/>
          <w:sz w:val="22"/>
          <w:szCs w:val="22"/>
        </w:rPr>
        <w:t xml:space="preserve">5. </w:t>
      </w:r>
      <w:r w:rsidRPr="00A9771B">
        <w:rPr>
          <w:rFonts w:asciiTheme="minorHAnsi" w:hAnsiTheme="minorHAnsi" w:cs="Times New Roman"/>
          <w:i w:val="0"/>
          <w:sz w:val="22"/>
          <w:szCs w:val="22"/>
          <w:u w:val="single"/>
        </w:rPr>
        <w:t>Statistical Consultants</w:t>
      </w:r>
      <w:bookmarkEnd w:id="15"/>
      <w:bookmarkEnd w:id="16"/>
      <w:bookmarkEnd w:id="17"/>
    </w:p>
    <w:p w14:paraId="793BC584" w14:textId="77777777" w:rsidR="00E56983" w:rsidRPr="005151E7" w:rsidRDefault="00DA4E3F" w:rsidP="00844607">
      <w:pPr>
        <w:spacing w:before="120" w:after="120"/>
        <w:rPr>
          <w:rFonts w:asciiTheme="minorHAnsi" w:hAnsiTheme="minorHAnsi"/>
          <w:sz w:val="22"/>
          <w:szCs w:val="22"/>
        </w:rPr>
      </w:pPr>
      <w:r w:rsidRPr="005151E7">
        <w:rPr>
          <w:rFonts w:asciiTheme="minorHAnsi" w:hAnsiTheme="minorHAnsi"/>
          <w:sz w:val="22"/>
          <w:szCs w:val="22"/>
        </w:rPr>
        <w:t xml:space="preserve">The contractor, NORC, will collect the information on behalf of MCHB.  </w:t>
      </w:r>
      <w:r w:rsidR="000410EE" w:rsidRPr="005151E7">
        <w:rPr>
          <w:rFonts w:asciiTheme="minorHAnsi" w:hAnsiTheme="minorHAnsi"/>
          <w:sz w:val="22"/>
          <w:szCs w:val="22"/>
        </w:rPr>
        <w:t xml:space="preserve">Contact information for NORC’s principal staff on the project </w:t>
      </w:r>
      <w:r w:rsidR="0046635E" w:rsidRPr="005151E7">
        <w:rPr>
          <w:rFonts w:asciiTheme="minorHAnsi" w:hAnsiTheme="minorHAnsi"/>
          <w:sz w:val="22"/>
          <w:szCs w:val="22"/>
        </w:rPr>
        <w:t>is</w:t>
      </w:r>
      <w:r w:rsidR="000410EE" w:rsidRPr="005151E7">
        <w:rPr>
          <w:rFonts w:asciiTheme="minorHAnsi" w:hAnsiTheme="minorHAnsi"/>
          <w:sz w:val="22"/>
          <w:szCs w:val="22"/>
        </w:rPr>
        <w:t xml:space="preserve"> listed below:</w:t>
      </w:r>
    </w:p>
    <w:p w14:paraId="20299859" w14:textId="510FAB7D" w:rsidR="000410EE" w:rsidRPr="005151E7" w:rsidRDefault="007C03EE" w:rsidP="000410EE">
      <w:pPr>
        <w:rPr>
          <w:rFonts w:asciiTheme="minorHAnsi" w:hAnsiTheme="minorHAnsi"/>
          <w:b/>
          <w:sz w:val="22"/>
          <w:szCs w:val="22"/>
        </w:rPr>
      </w:pPr>
      <w:r>
        <w:rPr>
          <w:rFonts w:asciiTheme="minorHAnsi" w:hAnsiTheme="minorHAnsi"/>
          <w:b/>
          <w:sz w:val="22"/>
          <w:szCs w:val="22"/>
        </w:rPr>
        <w:t>Anna Wiencrot</w:t>
      </w:r>
    </w:p>
    <w:p w14:paraId="76C65237" w14:textId="19154EE5" w:rsidR="000410EE" w:rsidRPr="005151E7" w:rsidRDefault="000A1032" w:rsidP="000410EE">
      <w:pPr>
        <w:rPr>
          <w:rFonts w:asciiTheme="minorHAnsi" w:hAnsiTheme="minorHAnsi"/>
          <w:sz w:val="22"/>
          <w:szCs w:val="22"/>
        </w:rPr>
      </w:pPr>
      <w:r w:rsidRPr="005151E7">
        <w:rPr>
          <w:rFonts w:asciiTheme="minorHAnsi" w:hAnsiTheme="minorHAnsi"/>
          <w:sz w:val="22"/>
          <w:szCs w:val="22"/>
        </w:rPr>
        <w:t>Project Director</w:t>
      </w:r>
    </w:p>
    <w:p w14:paraId="314CF78D" w14:textId="6180720B"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55 East Monroe Street, </w:t>
      </w:r>
      <w:r w:rsidR="000A1032" w:rsidRPr="005151E7">
        <w:rPr>
          <w:rFonts w:asciiTheme="minorHAnsi" w:hAnsiTheme="minorHAnsi"/>
          <w:sz w:val="22"/>
          <w:szCs w:val="22"/>
        </w:rPr>
        <w:t>30</w:t>
      </w:r>
      <w:r w:rsidR="000A1032" w:rsidRPr="005151E7">
        <w:rPr>
          <w:rFonts w:asciiTheme="minorHAnsi" w:hAnsiTheme="minorHAnsi"/>
          <w:sz w:val="22"/>
          <w:szCs w:val="22"/>
          <w:vertAlign w:val="superscript"/>
        </w:rPr>
        <w:t>th</w:t>
      </w:r>
      <w:r w:rsidR="000A1032" w:rsidRPr="005151E7">
        <w:rPr>
          <w:rFonts w:asciiTheme="minorHAnsi" w:hAnsiTheme="minorHAnsi"/>
          <w:sz w:val="22"/>
          <w:szCs w:val="22"/>
        </w:rPr>
        <w:t xml:space="preserve"> </w:t>
      </w:r>
      <w:r w:rsidRPr="005151E7">
        <w:rPr>
          <w:rFonts w:asciiTheme="minorHAnsi" w:hAnsiTheme="minorHAnsi"/>
          <w:sz w:val="22"/>
          <w:szCs w:val="22"/>
        </w:rPr>
        <w:t xml:space="preserve">Floor </w:t>
      </w:r>
    </w:p>
    <w:p w14:paraId="70C1A187" w14:textId="77777777"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Chicago, IL 60603 </w:t>
      </w:r>
    </w:p>
    <w:p w14:paraId="4F5EB8EB" w14:textId="49BB3872"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Phone:  </w:t>
      </w:r>
      <w:r w:rsidR="000A1032" w:rsidRPr="005151E7">
        <w:rPr>
          <w:rFonts w:asciiTheme="minorHAnsi" w:hAnsiTheme="minorHAnsi"/>
          <w:sz w:val="22"/>
          <w:szCs w:val="22"/>
        </w:rPr>
        <w:t>(312)</w:t>
      </w:r>
      <w:r w:rsidR="001701D8">
        <w:rPr>
          <w:rFonts w:asciiTheme="minorHAnsi" w:hAnsiTheme="minorHAnsi"/>
          <w:sz w:val="22"/>
          <w:szCs w:val="22"/>
        </w:rPr>
        <w:t xml:space="preserve"> </w:t>
      </w:r>
      <w:r w:rsidR="007C03EE">
        <w:rPr>
          <w:rFonts w:asciiTheme="minorHAnsi" w:hAnsiTheme="minorHAnsi"/>
          <w:sz w:val="22"/>
          <w:szCs w:val="22"/>
        </w:rPr>
        <w:t>357</w:t>
      </w:r>
      <w:r w:rsidR="000A1032" w:rsidRPr="005151E7">
        <w:rPr>
          <w:rFonts w:asciiTheme="minorHAnsi" w:hAnsiTheme="minorHAnsi"/>
          <w:sz w:val="22"/>
          <w:szCs w:val="22"/>
        </w:rPr>
        <w:t>-</w:t>
      </w:r>
      <w:r w:rsidR="007C03EE">
        <w:rPr>
          <w:rFonts w:asciiTheme="minorHAnsi" w:hAnsiTheme="minorHAnsi"/>
          <w:sz w:val="22"/>
          <w:szCs w:val="22"/>
        </w:rPr>
        <w:t>3754</w:t>
      </w:r>
      <w:r w:rsidR="000A1032" w:rsidRPr="005151E7" w:rsidDel="000A1032">
        <w:rPr>
          <w:rFonts w:asciiTheme="minorHAnsi" w:hAnsiTheme="minorHAnsi"/>
          <w:sz w:val="22"/>
          <w:szCs w:val="22"/>
        </w:rPr>
        <w:t xml:space="preserve"> </w:t>
      </w:r>
    </w:p>
    <w:p w14:paraId="7FE8F964" w14:textId="233F79E5"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Email:  </w:t>
      </w:r>
      <w:r w:rsidR="007C03EE">
        <w:rPr>
          <w:rFonts w:asciiTheme="minorHAnsi" w:hAnsiTheme="minorHAnsi"/>
          <w:sz w:val="22"/>
          <w:szCs w:val="22"/>
        </w:rPr>
        <w:t>wiencrot</w:t>
      </w:r>
      <w:r w:rsidR="00D63CDA" w:rsidRPr="005151E7">
        <w:rPr>
          <w:rFonts w:asciiTheme="minorHAnsi" w:hAnsiTheme="minorHAnsi"/>
          <w:sz w:val="22"/>
          <w:szCs w:val="22"/>
        </w:rPr>
        <w:t>-</w:t>
      </w:r>
      <w:r w:rsidR="007C03EE">
        <w:rPr>
          <w:rFonts w:asciiTheme="minorHAnsi" w:hAnsiTheme="minorHAnsi"/>
          <w:sz w:val="22"/>
          <w:szCs w:val="22"/>
        </w:rPr>
        <w:t>anna</w:t>
      </w:r>
      <w:r w:rsidR="00D63CDA" w:rsidRPr="005151E7">
        <w:rPr>
          <w:rFonts w:asciiTheme="minorHAnsi" w:hAnsiTheme="minorHAnsi"/>
          <w:sz w:val="22"/>
          <w:szCs w:val="22"/>
        </w:rPr>
        <w:t>@norc.org</w:t>
      </w:r>
    </w:p>
    <w:p w14:paraId="27B4725B" w14:textId="77777777" w:rsidR="000410EE" w:rsidRPr="005151E7" w:rsidRDefault="000410EE" w:rsidP="000410EE">
      <w:pPr>
        <w:rPr>
          <w:rFonts w:asciiTheme="minorHAnsi" w:hAnsiTheme="minorHAnsi"/>
          <w:b/>
          <w:sz w:val="22"/>
          <w:szCs w:val="22"/>
        </w:rPr>
      </w:pPr>
    </w:p>
    <w:p w14:paraId="5093DECE" w14:textId="632275BE" w:rsidR="000410EE" w:rsidRPr="005151E7" w:rsidRDefault="000410EE" w:rsidP="000410EE">
      <w:pPr>
        <w:rPr>
          <w:rFonts w:asciiTheme="minorHAnsi" w:hAnsiTheme="minorHAnsi"/>
          <w:b/>
          <w:sz w:val="22"/>
          <w:szCs w:val="22"/>
        </w:rPr>
      </w:pPr>
      <w:r w:rsidRPr="005151E7">
        <w:rPr>
          <w:rFonts w:asciiTheme="minorHAnsi" w:hAnsiTheme="minorHAnsi"/>
          <w:b/>
          <w:sz w:val="22"/>
          <w:szCs w:val="22"/>
        </w:rPr>
        <w:t>Michael Stern</w:t>
      </w:r>
      <w:r w:rsidR="00A64348" w:rsidRPr="005151E7">
        <w:rPr>
          <w:rFonts w:asciiTheme="minorHAnsi" w:hAnsiTheme="minorHAnsi"/>
          <w:b/>
          <w:sz w:val="22"/>
          <w:szCs w:val="22"/>
        </w:rPr>
        <w:t xml:space="preserve"> PhD</w:t>
      </w:r>
    </w:p>
    <w:p w14:paraId="3091C9D9" w14:textId="77777777" w:rsidR="000A1032" w:rsidRPr="005151E7" w:rsidRDefault="000A1032" w:rsidP="000410EE">
      <w:pPr>
        <w:rPr>
          <w:rFonts w:asciiTheme="minorHAnsi" w:hAnsiTheme="minorHAnsi"/>
          <w:sz w:val="22"/>
          <w:szCs w:val="22"/>
        </w:rPr>
      </w:pPr>
      <w:r w:rsidRPr="005151E7">
        <w:rPr>
          <w:rFonts w:asciiTheme="minorHAnsi" w:hAnsiTheme="minorHAnsi"/>
          <w:sz w:val="22"/>
          <w:szCs w:val="22"/>
        </w:rPr>
        <w:t xml:space="preserve">Technical Expert </w:t>
      </w:r>
    </w:p>
    <w:p w14:paraId="0951F946" w14:textId="2BA10420"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55 East Monroe Street, </w:t>
      </w:r>
      <w:r w:rsidR="000A1032" w:rsidRPr="005151E7">
        <w:rPr>
          <w:rFonts w:asciiTheme="minorHAnsi" w:hAnsiTheme="minorHAnsi"/>
          <w:sz w:val="22"/>
          <w:szCs w:val="22"/>
        </w:rPr>
        <w:t>31</w:t>
      </w:r>
      <w:r w:rsidR="000A1032" w:rsidRPr="005151E7">
        <w:rPr>
          <w:rFonts w:asciiTheme="minorHAnsi" w:hAnsiTheme="minorHAnsi"/>
          <w:sz w:val="22"/>
          <w:szCs w:val="22"/>
          <w:vertAlign w:val="superscript"/>
        </w:rPr>
        <w:t>st</w:t>
      </w:r>
      <w:r w:rsidR="000A1032" w:rsidRPr="005151E7">
        <w:rPr>
          <w:rFonts w:asciiTheme="minorHAnsi" w:hAnsiTheme="minorHAnsi"/>
          <w:sz w:val="22"/>
          <w:szCs w:val="22"/>
        </w:rPr>
        <w:t xml:space="preserve"> </w:t>
      </w:r>
      <w:r w:rsidRPr="005151E7">
        <w:rPr>
          <w:rFonts w:asciiTheme="minorHAnsi" w:hAnsiTheme="minorHAnsi"/>
          <w:sz w:val="22"/>
          <w:szCs w:val="22"/>
        </w:rPr>
        <w:t xml:space="preserve">Floor </w:t>
      </w:r>
    </w:p>
    <w:p w14:paraId="28D49832" w14:textId="77777777" w:rsidR="000410EE" w:rsidRPr="005151E7" w:rsidRDefault="000410EE" w:rsidP="000410EE">
      <w:pPr>
        <w:rPr>
          <w:rFonts w:asciiTheme="minorHAnsi" w:hAnsiTheme="minorHAnsi"/>
          <w:sz w:val="22"/>
          <w:szCs w:val="22"/>
        </w:rPr>
      </w:pPr>
      <w:r w:rsidRPr="005151E7">
        <w:rPr>
          <w:rFonts w:asciiTheme="minorHAnsi" w:hAnsiTheme="minorHAnsi"/>
          <w:sz w:val="22"/>
          <w:szCs w:val="22"/>
        </w:rPr>
        <w:t xml:space="preserve">Chicago, IL 60603 </w:t>
      </w:r>
    </w:p>
    <w:p w14:paraId="7EDF7E9E" w14:textId="77777777" w:rsidR="000410EE" w:rsidRPr="005151E7" w:rsidRDefault="000410EE" w:rsidP="000410EE">
      <w:pPr>
        <w:rPr>
          <w:rFonts w:asciiTheme="minorHAnsi" w:hAnsiTheme="minorHAnsi"/>
          <w:sz w:val="22"/>
          <w:szCs w:val="22"/>
        </w:rPr>
      </w:pPr>
      <w:r w:rsidRPr="005151E7">
        <w:rPr>
          <w:rFonts w:asciiTheme="minorHAnsi" w:hAnsiTheme="minorHAnsi"/>
          <w:sz w:val="22"/>
          <w:szCs w:val="22"/>
        </w:rPr>
        <w:t>Phone:  (312) 357-3891</w:t>
      </w:r>
    </w:p>
    <w:p w14:paraId="069C642E" w14:textId="158D66FE" w:rsidR="00631630" w:rsidRPr="005151E7" w:rsidRDefault="000410EE" w:rsidP="001701D8">
      <w:pPr>
        <w:rPr>
          <w:rFonts w:asciiTheme="minorHAnsi" w:hAnsiTheme="minorHAnsi"/>
          <w:sz w:val="22"/>
          <w:szCs w:val="22"/>
        </w:rPr>
      </w:pPr>
      <w:r w:rsidRPr="005151E7">
        <w:rPr>
          <w:rFonts w:asciiTheme="minorHAnsi" w:hAnsiTheme="minorHAnsi"/>
          <w:sz w:val="22"/>
          <w:szCs w:val="22"/>
        </w:rPr>
        <w:t>Email:  stern-michael@norc.org</w:t>
      </w:r>
    </w:p>
    <w:sectPr w:rsidR="00631630" w:rsidRPr="005151E7"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83BF3" w14:textId="77777777" w:rsidR="006F624F" w:rsidRDefault="006F624F">
      <w:r>
        <w:separator/>
      </w:r>
    </w:p>
  </w:endnote>
  <w:endnote w:type="continuationSeparator" w:id="0">
    <w:p w14:paraId="2A629BF8" w14:textId="77777777" w:rsidR="006F624F" w:rsidRDefault="006F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E06F7" w14:textId="77777777" w:rsidR="00F06829" w:rsidRDefault="00F06829">
    <w:pPr>
      <w:spacing w:line="240" w:lineRule="exact"/>
    </w:pPr>
  </w:p>
  <w:p w14:paraId="22EE0A4C" w14:textId="1915445A" w:rsidR="00F06829" w:rsidRPr="006F4FC9" w:rsidRDefault="00F06829" w:rsidP="001701D8">
    <w:pPr>
      <w:framePr w:w="9361" w:wrap="notBeside" w:vAnchor="text" w:hAnchor="page" w:x="1261" w:y="412"/>
      <w:jc w:val="center"/>
      <w:rPr>
        <w:rFonts w:asciiTheme="minorHAnsi" w:hAnsiTheme="minorHAnsi"/>
        <w:sz w:val="22"/>
      </w:rPr>
    </w:pPr>
    <w:r w:rsidRPr="006F4FC9">
      <w:rPr>
        <w:rFonts w:asciiTheme="minorHAnsi" w:hAnsiTheme="minorHAnsi"/>
        <w:sz w:val="22"/>
      </w:rPr>
      <w:fldChar w:fldCharType="begin"/>
    </w:r>
    <w:r w:rsidRPr="006F4FC9">
      <w:rPr>
        <w:rFonts w:asciiTheme="minorHAnsi" w:hAnsiTheme="minorHAnsi"/>
        <w:sz w:val="22"/>
      </w:rPr>
      <w:instrText xml:space="preserve">PAGE </w:instrText>
    </w:r>
    <w:r w:rsidRPr="006F4FC9">
      <w:rPr>
        <w:rFonts w:asciiTheme="minorHAnsi" w:hAnsiTheme="minorHAnsi"/>
        <w:sz w:val="22"/>
      </w:rPr>
      <w:fldChar w:fldCharType="separate"/>
    </w:r>
    <w:r w:rsidR="00373689">
      <w:rPr>
        <w:rFonts w:asciiTheme="minorHAnsi" w:hAnsiTheme="minorHAnsi"/>
        <w:noProof/>
        <w:sz w:val="22"/>
      </w:rPr>
      <w:t>1</w:t>
    </w:r>
    <w:r w:rsidRPr="006F4FC9">
      <w:rPr>
        <w:rFonts w:asciiTheme="minorHAnsi" w:hAnsiTheme="minorHAnsi"/>
        <w:sz w:val="22"/>
      </w:rPr>
      <w:fldChar w:fldCharType="end"/>
    </w:r>
  </w:p>
  <w:p w14:paraId="210DD3E9" w14:textId="77777777" w:rsidR="00F06829" w:rsidRDefault="00F06829" w:rsidP="001701D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E23B2" w14:textId="77777777" w:rsidR="006F624F" w:rsidRDefault="006F624F">
      <w:r>
        <w:separator/>
      </w:r>
    </w:p>
  </w:footnote>
  <w:footnote w:type="continuationSeparator" w:id="0">
    <w:p w14:paraId="0C7F20DE" w14:textId="77777777" w:rsidR="006F624F" w:rsidRDefault="006F6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AB8"/>
    <w:multiLevelType w:val="hybridMultilevel"/>
    <w:tmpl w:val="1AA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12A08"/>
    <w:multiLevelType w:val="hybridMultilevel"/>
    <w:tmpl w:val="85C2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C0920"/>
    <w:multiLevelType w:val="hybridMultilevel"/>
    <w:tmpl w:val="6106895A"/>
    <w:lvl w:ilvl="0" w:tplc="C65084B0">
      <w:numFmt w:val="bullet"/>
      <w:lvlText w:val="•"/>
      <w:lvlJc w:val="left"/>
      <w:pPr>
        <w:ind w:left="1080" w:hanging="72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CB1D49"/>
    <w:multiLevelType w:val="hybridMultilevel"/>
    <w:tmpl w:val="49DA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7C423AF5"/>
    <w:multiLevelType w:val="hybridMultilevel"/>
    <w:tmpl w:val="055A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11"/>
  </w:num>
  <w:num w:numId="7">
    <w:abstractNumId w:val="1"/>
  </w:num>
  <w:num w:numId="8">
    <w:abstractNumId w:val="10"/>
  </w:num>
  <w:num w:numId="9">
    <w:abstractNumId w:val="0"/>
  </w:num>
  <w:num w:numId="10">
    <w:abstractNumId w:val="7"/>
  </w:num>
  <w:num w:numId="11">
    <w:abstractNumId w:val="9"/>
  </w:num>
  <w:num w:numId="12">
    <w:abstractNumId w:val="12"/>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765C"/>
    <w:rsid w:val="00040E8A"/>
    <w:rsid w:val="000410EE"/>
    <w:rsid w:val="0005679A"/>
    <w:rsid w:val="0008370D"/>
    <w:rsid w:val="00093C74"/>
    <w:rsid w:val="00094EF9"/>
    <w:rsid w:val="000A0B63"/>
    <w:rsid w:val="000A1032"/>
    <w:rsid w:val="000B74EB"/>
    <w:rsid w:val="000C1D0E"/>
    <w:rsid w:val="000C345F"/>
    <w:rsid w:val="000C5CC6"/>
    <w:rsid w:val="000D5CCF"/>
    <w:rsid w:val="000E1AD0"/>
    <w:rsid w:val="000E2E05"/>
    <w:rsid w:val="000E3D74"/>
    <w:rsid w:val="000F6B38"/>
    <w:rsid w:val="000F76AB"/>
    <w:rsid w:val="000F7B5C"/>
    <w:rsid w:val="0010438F"/>
    <w:rsid w:val="00105517"/>
    <w:rsid w:val="00106AE2"/>
    <w:rsid w:val="001127FC"/>
    <w:rsid w:val="001131FA"/>
    <w:rsid w:val="001145A4"/>
    <w:rsid w:val="00117CDF"/>
    <w:rsid w:val="001205A3"/>
    <w:rsid w:val="00131117"/>
    <w:rsid w:val="00134B33"/>
    <w:rsid w:val="00141D0B"/>
    <w:rsid w:val="00142FEE"/>
    <w:rsid w:val="001568CA"/>
    <w:rsid w:val="001611AC"/>
    <w:rsid w:val="001701D8"/>
    <w:rsid w:val="00174003"/>
    <w:rsid w:val="001746F8"/>
    <w:rsid w:val="00174B3D"/>
    <w:rsid w:val="0017502A"/>
    <w:rsid w:val="00177B05"/>
    <w:rsid w:val="001931BA"/>
    <w:rsid w:val="001B548D"/>
    <w:rsid w:val="001B6119"/>
    <w:rsid w:val="001E2454"/>
    <w:rsid w:val="001F5C6F"/>
    <w:rsid w:val="00201694"/>
    <w:rsid w:val="00215666"/>
    <w:rsid w:val="002203DE"/>
    <w:rsid w:val="002412F1"/>
    <w:rsid w:val="00274905"/>
    <w:rsid w:val="00281B76"/>
    <w:rsid w:val="00285E37"/>
    <w:rsid w:val="00290C06"/>
    <w:rsid w:val="002C3D1F"/>
    <w:rsid w:val="002C5F27"/>
    <w:rsid w:val="002E1C40"/>
    <w:rsid w:val="002E4E41"/>
    <w:rsid w:val="00301651"/>
    <w:rsid w:val="00332526"/>
    <w:rsid w:val="00334088"/>
    <w:rsid w:val="00336E66"/>
    <w:rsid w:val="00341863"/>
    <w:rsid w:val="00346DB0"/>
    <w:rsid w:val="003577F7"/>
    <w:rsid w:val="0036686C"/>
    <w:rsid w:val="003675E7"/>
    <w:rsid w:val="00372C49"/>
    <w:rsid w:val="00373526"/>
    <w:rsid w:val="00373689"/>
    <w:rsid w:val="00396EE4"/>
    <w:rsid w:val="00397A59"/>
    <w:rsid w:val="00397DCD"/>
    <w:rsid w:val="003E23E6"/>
    <w:rsid w:val="003F2B59"/>
    <w:rsid w:val="0041432C"/>
    <w:rsid w:val="00422164"/>
    <w:rsid w:val="00431407"/>
    <w:rsid w:val="00441509"/>
    <w:rsid w:val="00462AE9"/>
    <w:rsid w:val="0046635E"/>
    <w:rsid w:val="004666EF"/>
    <w:rsid w:val="004702EA"/>
    <w:rsid w:val="00481614"/>
    <w:rsid w:val="004850B0"/>
    <w:rsid w:val="004978F2"/>
    <w:rsid w:val="004A42C3"/>
    <w:rsid w:val="004B229D"/>
    <w:rsid w:val="004C5C96"/>
    <w:rsid w:val="004D3ACD"/>
    <w:rsid w:val="00506311"/>
    <w:rsid w:val="005151E7"/>
    <w:rsid w:val="0053021C"/>
    <w:rsid w:val="0053199A"/>
    <w:rsid w:val="00542A85"/>
    <w:rsid w:val="0055520F"/>
    <w:rsid w:val="00595A6D"/>
    <w:rsid w:val="005A2C6B"/>
    <w:rsid w:val="005A36F3"/>
    <w:rsid w:val="005A39B4"/>
    <w:rsid w:val="005A6AAD"/>
    <w:rsid w:val="005B1A03"/>
    <w:rsid w:val="005B384C"/>
    <w:rsid w:val="005C74FE"/>
    <w:rsid w:val="005C7A43"/>
    <w:rsid w:val="005E22EB"/>
    <w:rsid w:val="005E5DFA"/>
    <w:rsid w:val="005F11C1"/>
    <w:rsid w:val="00605BA4"/>
    <w:rsid w:val="00610E36"/>
    <w:rsid w:val="00620554"/>
    <w:rsid w:val="006275A8"/>
    <w:rsid w:val="006309FA"/>
    <w:rsid w:val="00631630"/>
    <w:rsid w:val="00634D31"/>
    <w:rsid w:val="0064062B"/>
    <w:rsid w:val="006465B9"/>
    <w:rsid w:val="00653514"/>
    <w:rsid w:val="00680B1F"/>
    <w:rsid w:val="00683EC5"/>
    <w:rsid w:val="00686965"/>
    <w:rsid w:val="006934CF"/>
    <w:rsid w:val="006963CA"/>
    <w:rsid w:val="006B1FCF"/>
    <w:rsid w:val="006B7A3A"/>
    <w:rsid w:val="006C47F3"/>
    <w:rsid w:val="006C57B3"/>
    <w:rsid w:val="006C68A7"/>
    <w:rsid w:val="006D15FF"/>
    <w:rsid w:val="006E20C9"/>
    <w:rsid w:val="006F0CD5"/>
    <w:rsid w:val="006F4FC9"/>
    <w:rsid w:val="006F624F"/>
    <w:rsid w:val="00737304"/>
    <w:rsid w:val="00742150"/>
    <w:rsid w:val="007443C9"/>
    <w:rsid w:val="007557BB"/>
    <w:rsid w:val="00776581"/>
    <w:rsid w:val="00781206"/>
    <w:rsid w:val="007A0CBB"/>
    <w:rsid w:val="007A3159"/>
    <w:rsid w:val="007B1778"/>
    <w:rsid w:val="007B248F"/>
    <w:rsid w:val="007C03EE"/>
    <w:rsid w:val="007D33F0"/>
    <w:rsid w:val="00802387"/>
    <w:rsid w:val="00824C3E"/>
    <w:rsid w:val="00826643"/>
    <w:rsid w:val="0084396C"/>
    <w:rsid w:val="00844607"/>
    <w:rsid w:val="0086126E"/>
    <w:rsid w:val="00880ACA"/>
    <w:rsid w:val="008902AE"/>
    <w:rsid w:val="008C1434"/>
    <w:rsid w:val="008C1D7C"/>
    <w:rsid w:val="008D74A9"/>
    <w:rsid w:val="008E57EB"/>
    <w:rsid w:val="008E6CEF"/>
    <w:rsid w:val="008F6946"/>
    <w:rsid w:val="008F698E"/>
    <w:rsid w:val="0091189F"/>
    <w:rsid w:val="0092268E"/>
    <w:rsid w:val="009248CA"/>
    <w:rsid w:val="00961BCD"/>
    <w:rsid w:val="00964426"/>
    <w:rsid w:val="009731C4"/>
    <w:rsid w:val="00983A12"/>
    <w:rsid w:val="00985CFB"/>
    <w:rsid w:val="0098639E"/>
    <w:rsid w:val="009A1202"/>
    <w:rsid w:val="009A2C24"/>
    <w:rsid w:val="009D3E7E"/>
    <w:rsid w:val="009F7411"/>
    <w:rsid w:val="00A00408"/>
    <w:rsid w:val="00A14706"/>
    <w:rsid w:val="00A23108"/>
    <w:rsid w:val="00A3298C"/>
    <w:rsid w:val="00A34D14"/>
    <w:rsid w:val="00A61EA2"/>
    <w:rsid w:val="00A6314E"/>
    <w:rsid w:val="00A64348"/>
    <w:rsid w:val="00A65FF1"/>
    <w:rsid w:val="00A743F9"/>
    <w:rsid w:val="00A75053"/>
    <w:rsid w:val="00A76D85"/>
    <w:rsid w:val="00A83265"/>
    <w:rsid w:val="00A9771B"/>
    <w:rsid w:val="00AA68ED"/>
    <w:rsid w:val="00AA736A"/>
    <w:rsid w:val="00AB1ED1"/>
    <w:rsid w:val="00AD1E0B"/>
    <w:rsid w:val="00AD4F1A"/>
    <w:rsid w:val="00AE11CF"/>
    <w:rsid w:val="00AF15C3"/>
    <w:rsid w:val="00AF7B8D"/>
    <w:rsid w:val="00B055E2"/>
    <w:rsid w:val="00B262EF"/>
    <w:rsid w:val="00B3463C"/>
    <w:rsid w:val="00B63A4F"/>
    <w:rsid w:val="00B83C7D"/>
    <w:rsid w:val="00BA1757"/>
    <w:rsid w:val="00BA58CA"/>
    <w:rsid w:val="00BB3A59"/>
    <w:rsid w:val="00BB3E1D"/>
    <w:rsid w:val="00BD60E9"/>
    <w:rsid w:val="00BE07F8"/>
    <w:rsid w:val="00BF4DB7"/>
    <w:rsid w:val="00C33C2D"/>
    <w:rsid w:val="00C40A14"/>
    <w:rsid w:val="00C41552"/>
    <w:rsid w:val="00C47A73"/>
    <w:rsid w:val="00C6512E"/>
    <w:rsid w:val="00C67DC9"/>
    <w:rsid w:val="00C70189"/>
    <w:rsid w:val="00C73C8E"/>
    <w:rsid w:val="00CB126A"/>
    <w:rsid w:val="00CB6AD0"/>
    <w:rsid w:val="00CC20E9"/>
    <w:rsid w:val="00CD30F8"/>
    <w:rsid w:val="00CE7699"/>
    <w:rsid w:val="00CF6B13"/>
    <w:rsid w:val="00D142C6"/>
    <w:rsid w:val="00D14542"/>
    <w:rsid w:val="00D20E14"/>
    <w:rsid w:val="00D41BBE"/>
    <w:rsid w:val="00D52E37"/>
    <w:rsid w:val="00D57D49"/>
    <w:rsid w:val="00D63CDA"/>
    <w:rsid w:val="00D709C9"/>
    <w:rsid w:val="00D7761A"/>
    <w:rsid w:val="00D87545"/>
    <w:rsid w:val="00DA4E3F"/>
    <w:rsid w:val="00DD7678"/>
    <w:rsid w:val="00E01023"/>
    <w:rsid w:val="00E059AC"/>
    <w:rsid w:val="00E31CDF"/>
    <w:rsid w:val="00E47DF1"/>
    <w:rsid w:val="00E52A87"/>
    <w:rsid w:val="00E56983"/>
    <w:rsid w:val="00E60151"/>
    <w:rsid w:val="00E63A84"/>
    <w:rsid w:val="00E648F4"/>
    <w:rsid w:val="00E6519B"/>
    <w:rsid w:val="00E66AE3"/>
    <w:rsid w:val="00E77B87"/>
    <w:rsid w:val="00EB5B4E"/>
    <w:rsid w:val="00F00654"/>
    <w:rsid w:val="00F06829"/>
    <w:rsid w:val="00F104A9"/>
    <w:rsid w:val="00F13F93"/>
    <w:rsid w:val="00F22DC5"/>
    <w:rsid w:val="00F326EA"/>
    <w:rsid w:val="00F46EBF"/>
    <w:rsid w:val="00F51F42"/>
    <w:rsid w:val="00F5276E"/>
    <w:rsid w:val="00F54355"/>
    <w:rsid w:val="00F67142"/>
    <w:rsid w:val="00F676C4"/>
    <w:rsid w:val="00F817B2"/>
    <w:rsid w:val="00F825A6"/>
    <w:rsid w:val="00F825F4"/>
    <w:rsid w:val="00F87C51"/>
    <w:rsid w:val="00F927DA"/>
    <w:rsid w:val="00FA0B30"/>
    <w:rsid w:val="00FB0388"/>
    <w:rsid w:val="00FC4AAC"/>
    <w:rsid w:val="00FD02FD"/>
    <w:rsid w:val="00FD5DCE"/>
    <w:rsid w:val="00FF1DE1"/>
    <w:rsid w:val="00FF3E3D"/>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1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5167">
      <w:bodyDiv w:val="1"/>
      <w:marLeft w:val="0"/>
      <w:marRight w:val="0"/>
      <w:marTop w:val="0"/>
      <w:marBottom w:val="0"/>
      <w:divBdr>
        <w:top w:val="none" w:sz="0" w:space="0" w:color="auto"/>
        <w:left w:val="none" w:sz="0" w:space="0" w:color="auto"/>
        <w:bottom w:val="none" w:sz="0" w:space="0" w:color="auto"/>
        <w:right w:val="none" w:sz="0" w:space="0" w:color="auto"/>
      </w:divBdr>
    </w:div>
    <w:div w:id="376854898">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523521813">
      <w:bodyDiv w:val="1"/>
      <w:marLeft w:val="0"/>
      <w:marRight w:val="0"/>
      <w:marTop w:val="0"/>
      <w:marBottom w:val="0"/>
      <w:divBdr>
        <w:top w:val="none" w:sz="0" w:space="0" w:color="auto"/>
        <w:left w:val="none" w:sz="0" w:space="0" w:color="auto"/>
        <w:bottom w:val="none" w:sz="0" w:space="0" w:color="auto"/>
        <w:right w:val="none" w:sz="0" w:space="0" w:color="auto"/>
      </w:divBdr>
    </w:div>
    <w:div w:id="620764672">
      <w:bodyDiv w:val="1"/>
      <w:marLeft w:val="0"/>
      <w:marRight w:val="0"/>
      <w:marTop w:val="0"/>
      <w:marBottom w:val="0"/>
      <w:divBdr>
        <w:top w:val="none" w:sz="0" w:space="0" w:color="auto"/>
        <w:left w:val="none" w:sz="0" w:space="0" w:color="auto"/>
        <w:bottom w:val="none" w:sz="0" w:space="0" w:color="auto"/>
        <w:right w:val="none" w:sz="0" w:space="0" w:color="auto"/>
      </w:divBdr>
    </w:div>
    <w:div w:id="751320070">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1006127199">
      <w:bodyDiv w:val="1"/>
      <w:marLeft w:val="0"/>
      <w:marRight w:val="0"/>
      <w:marTop w:val="0"/>
      <w:marBottom w:val="0"/>
      <w:divBdr>
        <w:top w:val="none" w:sz="0" w:space="0" w:color="auto"/>
        <w:left w:val="none" w:sz="0" w:space="0" w:color="auto"/>
        <w:bottom w:val="none" w:sz="0" w:space="0" w:color="auto"/>
        <w:right w:val="none" w:sz="0" w:space="0" w:color="auto"/>
      </w:divBdr>
    </w:div>
    <w:div w:id="1007101363">
      <w:bodyDiv w:val="1"/>
      <w:marLeft w:val="0"/>
      <w:marRight w:val="0"/>
      <w:marTop w:val="0"/>
      <w:marBottom w:val="0"/>
      <w:divBdr>
        <w:top w:val="none" w:sz="0" w:space="0" w:color="auto"/>
        <w:left w:val="none" w:sz="0" w:space="0" w:color="auto"/>
        <w:bottom w:val="none" w:sz="0" w:space="0" w:color="auto"/>
        <w:right w:val="none" w:sz="0" w:space="0" w:color="auto"/>
      </w:divBdr>
    </w:div>
    <w:div w:id="1556548216">
      <w:bodyDiv w:val="1"/>
      <w:marLeft w:val="0"/>
      <w:marRight w:val="0"/>
      <w:marTop w:val="0"/>
      <w:marBottom w:val="0"/>
      <w:divBdr>
        <w:top w:val="none" w:sz="0" w:space="0" w:color="auto"/>
        <w:left w:val="none" w:sz="0" w:space="0" w:color="auto"/>
        <w:bottom w:val="none" w:sz="0" w:space="0" w:color="auto"/>
        <w:right w:val="none" w:sz="0" w:space="0" w:color="auto"/>
      </w:divBdr>
    </w:div>
    <w:div w:id="1814830015">
      <w:bodyDiv w:val="1"/>
      <w:marLeft w:val="0"/>
      <w:marRight w:val="0"/>
      <w:marTop w:val="0"/>
      <w:marBottom w:val="0"/>
      <w:divBdr>
        <w:top w:val="none" w:sz="0" w:space="0" w:color="auto"/>
        <w:left w:val="none" w:sz="0" w:space="0" w:color="auto"/>
        <w:bottom w:val="none" w:sz="0" w:space="0" w:color="auto"/>
        <w:right w:val="none" w:sz="0" w:space="0" w:color="auto"/>
      </w:divBdr>
    </w:div>
    <w:div w:id="1922450497">
      <w:bodyDiv w:val="1"/>
      <w:marLeft w:val="0"/>
      <w:marRight w:val="0"/>
      <w:marTop w:val="0"/>
      <w:marBottom w:val="0"/>
      <w:divBdr>
        <w:top w:val="none" w:sz="0" w:space="0" w:color="auto"/>
        <w:left w:val="none" w:sz="0" w:space="0" w:color="auto"/>
        <w:bottom w:val="none" w:sz="0" w:space="0" w:color="auto"/>
        <w:right w:val="none" w:sz="0" w:space="0" w:color="auto"/>
      </w:divBdr>
    </w:div>
    <w:div w:id="1993214617">
      <w:bodyDiv w:val="1"/>
      <w:marLeft w:val="0"/>
      <w:marRight w:val="0"/>
      <w:marTop w:val="0"/>
      <w:marBottom w:val="0"/>
      <w:divBdr>
        <w:top w:val="none" w:sz="0" w:space="0" w:color="auto"/>
        <w:left w:val="none" w:sz="0" w:space="0" w:color="auto"/>
        <w:bottom w:val="none" w:sz="0" w:space="0" w:color="auto"/>
        <w:right w:val="none" w:sz="0" w:space="0" w:color="auto"/>
      </w:divBdr>
    </w:div>
    <w:div w:id="2011181306">
      <w:bodyDiv w:val="1"/>
      <w:marLeft w:val="0"/>
      <w:marRight w:val="0"/>
      <w:marTop w:val="0"/>
      <w:marBottom w:val="0"/>
      <w:divBdr>
        <w:top w:val="none" w:sz="0" w:space="0" w:color="auto"/>
        <w:left w:val="none" w:sz="0" w:space="0" w:color="auto"/>
        <w:bottom w:val="none" w:sz="0" w:space="0" w:color="auto"/>
        <w:right w:val="none" w:sz="0" w:space="0" w:color="auto"/>
      </w:divBdr>
    </w:div>
    <w:div w:id="2060936790">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C2AC-48EC-49A2-B428-7B1CFDB1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Jessica (HRSA)</dc:creator>
  <cp:lastModifiedBy>SYSTEM</cp:lastModifiedBy>
  <cp:revision>2</cp:revision>
  <dcterms:created xsi:type="dcterms:W3CDTF">2018-07-12T16:41:00Z</dcterms:created>
  <dcterms:modified xsi:type="dcterms:W3CDTF">2018-07-12T16:41:00Z</dcterms:modified>
</cp:coreProperties>
</file>