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30E00" w14:textId="77777777" w:rsidR="001568CA" w:rsidRDefault="001568CA" w:rsidP="001568CA">
      <w:pPr>
        <w:tabs>
          <w:tab w:val="center" w:pos="4680"/>
        </w:tabs>
        <w:jc w:val="center"/>
        <w:rPr>
          <w:b/>
          <w:bCs/>
          <w:sz w:val="32"/>
          <w:szCs w:val="32"/>
        </w:rPr>
      </w:pPr>
      <w:bookmarkStart w:id="0" w:name="_GoBack"/>
      <w:bookmarkEnd w:id="0"/>
      <w:r>
        <w:rPr>
          <w:b/>
          <w:bCs/>
          <w:sz w:val="32"/>
          <w:szCs w:val="32"/>
        </w:rPr>
        <w:t>Supporting Statement B</w:t>
      </w:r>
    </w:p>
    <w:p w14:paraId="15ECFB75" w14:textId="77777777" w:rsidR="001568CA" w:rsidRDefault="001568CA" w:rsidP="001568CA">
      <w:pPr>
        <w:tabs>
          <w:tab w:val="center" w:pos="4680"/>
        </w:tabs>
        <w:jc w:val="center"/>
        <w:rPr>
          <w:b/>
          <w:bCs/>
          <w:sz w:val="32"/>
          <w:szCs w:val="32"/>
        </w:rPr>
      </w:pPr>
    </w:p>
    <w:p w14:paraId="590E1060" w14:textId="77777777" w:rsidR="00BA629A" w:rsidRPr="00F22556" w:rsidRDefault="00BA629A" w:rsidP="00BA629A">
      <w:pPr>
        <w:tabs>
          <w:tab w:val="left" w:pos="-720"/>
          <w:tab w:val="right" w:pos="8622"/>
        </w:tabs>
        <w:jc w:val="center"/>
        <w:rPr>
          <w:b/>
          <w:sz w:val="32"/>
          <w:szCs w:val="32"/>
        </w:rPr>
      </w:pPr>
      <w:r w:rsidRPr="00F22556">
        <w:rPr>
          <w:b/>
          <w:sz w:val="32"/>
          <w:szCs w:val="32"/>
        </w:rPr>
        <w:t>Health Center Patient Survey:  Cognitive Pre-Testing to Support the Development of Survey Questions</w:t>
      </w:r>
    </w:p>
    <w:p w14:paraId="64B180F2" w14:textId="77777777" w:rsidR="001568CA" w:rsidRDefault="001568CA" w:rsidP="001568CA">
      <w:pPr>
        <w:tabs>
          <w:tab w:val="center" w:pos="4680"/>
        </w:tabs>
        <w:jc w:val="center"/>
        <w:rPr>
          <w:b/>
          <w:bCs/>
          <w:sz w:val="32"/>
          <w:szCs w:val="32"/>
        </w:rPr>
      </w:pPr>
    </w:p>
    <w:p w14:paraId="08ACBB81" w14:textId="0C2CA65E" w:rsidR="001568CA" w:rsidRDefault="001568CA" w:rsidP="001568CA">
      <w:pPr>
        <w:tabs>
          <w:tab w:val="center" w:pos="4680"/>
        </w:tabs>
        <w:jc w:val="center"/>
        <w:rPr>
          <w:b/>
          <w:bCs/>
          <w:sz w:val="32"/>
          <w:szCs w:val="32"/>
        </w:rPr>
      </w:pPr>
      <w:r>
        <w:rPr>
          <w:b/>
          <w:bCs/>
          <w:sz w:val="32"/>
          <w:szCs w:val="32"/>
        </w:rPr>
        <w:t>OMB Control No. 09</w:t>
      </w:r>
      <w:r w:rsidR="00B055E2">
        <w:rPr>
          <w:b/>
          <w:bCs/>
          <w:sz w:val="32"/>
          <w:szCs w:val="32"/>
        </w:rPr>
        <w:t>15</w:t>
      </w:r>
      <w:r>
        <w:rPr>
          <w:b/>
          <w:bCs/>
          <w:sz w:val="32"/>
          <w:szCs w:val="32"/>
        </w:rPr>
        <w:t>-</w:t>
      </w:r>
      <w:r w:rsidR="005F381D">
        <w:rPr>
          <w:b/>
          <w:bCs/>
          <w:sz w:val="32"/>
          <w:szCs w:val="32"/>
        </w:rPr>
        <w:t>0379</w:t>
      </w:r>
    </w:p>
    <w:p w14:paraId="65A1F371" w14:textId="77777777" w:rsidR="001568CA" w:rsidRDefault="001568CA" w:rsidP="001568CA">
      <w:pPr>
        <w:pStyle w:val="Heading1"/>
        <w:ind w:left="720"/>
        <w:jc w:val="center"/>
      </w:pPr>
    </w:p>
    <w:p w14:paraId="11051D01" w14:textId="77777777" w:rsidR="001568CA" w:rsidRDefault="001568CA" w:rsidP="00BA1757">
      <w:pPr>
        <w:pStyle w:val="Heading1"/>
        <w:ind w:left="720"/>
      </w:pPr>
    </w:p>
    <w:p w14:paraId="0C3678DF" w14:textId="77777777" w:rsidR="001568CA" w:rsidRDefault="00BA1757" w:rsidP="00F22556">
      <w:pPr>
        <w:pStyle w:val="Heading1"/>
        <w:numPr>
          <w:ilvl w:val="0"/>
          <w:numId w:val="1"/>
        </w:numPr>
        <w:tabs>
          <w:tab w:val="clear" w:pos="1080"/>
        </w:tabs>
        <w:spacing w:before="120"/>
        <w:ind w:left="0" w:firstLine="0"/>
      </w:pPr>
      <w:r>
        <w:t xml:space="preserve">Collection of Information Employing Statistical Methods </w:t>
      </w:r>
    </w:p>
    <w:p w14:paraId="20C7BDC2" w14:textId="77777777" w:rsidR="00BA1757" w:rsidRDefault="00BA1757" w:rsidP="00F22556">
      <w:pPr>
        <w:pStyle w:val="Heading1"/>
        <w:spacing w:before="120"/>
      </w:pPr>
      <w:r>
        <w:t xml:space="preserve">If statistical methods will not be used to select </w:t>
      </w:r>
      <w:r w:rsidR="001568CA">
        <w:t xml:space="preserve">respondents and the corresponding item is </w:t>
      </w:r>
      <w:r>
        <w:t>checked “No”</w:t>
      </w:r>
      <w:r w:rsidR="001568CA">
        <w:t xml:space="preserve">, this section does not have to be completed. </w:t>
      </w:r>
      <w:r>
        <w:t xml:space="preserve">  </w:t>
      </w:r>
    </w:p>
    <w:p w14:paraId="654E3D69" w14:textId="689242E6" w:rsidR="0062748A" w:rsidRPr="00E9278B" w:rsidRDefault="0062748A" w:rsidP="00F22556">
      <w:pPr>
        <w:spacing w:before="120"/>
        <w:rPr>
          <w:b/>
          <w:bCs/>
          <w:sz w:val="24"/>
        </w:rPr>
      </w:pPr>
      <w:r w:rsidRPr="0062748A">
        <w:rPr>
          <w:sz w:val="24"/>
        </w:rPr>
        <w:t xml:space="preserve">For the </w:t>
      </w:r>
      <w:r>
        <w:rPr>
          <w:sz w:val="24"/>
        </w:rPr>
        <w:t xml:space="preserve">pretest (cognitive interviews), </w:t>
      </w:r>
      <w:r w:rsidR="00F4064E">
        <w:rPr>
          <w:sz w:val="24"/>
        </w:rPr>
        <w:t xml:space="preserve">the Health Resources and Services Administration (HRSA) </w:t>
      </w:r>
      <w:r w:rsidR="00DC770A">
        <w:rPr>
          <w:sz w:val="24"/>
        </w:rPr>
        <w:t xml:space="preserve">will not use statistical methods to select respondents. </w:t>
      </w:r>
      <w:r w:rsidR="00216451">
        <w:rPr>
          <w:sz w:val="24"/>
        </w:rPr>
        <w:t xml:space="preserve"> </w:t>
      </w:r>
      <w:r w:rsidR="00DC770A">
        <w:rPr>
          <w:sz w:val="24"/>
        </w:rPr>
        <w:t xml:space="preserve">Instead, </w:t>
      </w:r>
      <w:r w:rsidR="00F4064E">
        <w:rPr>
          <w:sz w:val="24"/>
        </w:rPr>
        <w:t>HRSA will</w:t>
      </w:r>
      <w:r>
        <w:rPr>
          <w:sz w:val="24"/>
        </w:rPr>
        <w:t xml:space="preserve"> u</w:t>
      </w:r>
      <w:r w:rsidR="00F4064E">
        <w:rPr>
          <w:sz w:val="24"/>
        </w:rPr>
        <w:t>tilize the</w:t>
      </w:r>
      <w:r w:rsidR="0004571D">
        <w:rPr>
          <w:sz w:val="24"/>
        </w:rPr>
        <w:t xml:space="preserve"> </w:t>
      </w:r>
      <w:r w:rsidR="00DC770A">
        <w:rPr>
          <w:sz w:val="24"/>
        </w:rPr>
        <w:t>convenient sampling</w:t>
      </w:r>
      <w:r w:rsidR="00F4064E">
        <w:rPr>
          <w:sz w:val="24"/>
        </w:rPr>
        <w:t xml:space="preserve"> approach.</w:t>
      </w:r>
      <w:r w:rsidRPr="00DC770A">
        <w:rPr>
          <w:sz w:val="24"/>
        </w:rPr>
        <w:t xml:space="preserve"> </w:t>
      </w:r>
      <w:r w:rsidR="00F4064E">
        <w:rPr>
          <w:sz w:val="24"/>
        </w:rPr>
        <w:t xml:space="preserve"> </w:t>
      </w:r>
      <w:r w:rsidR="00A811BC">
        <w:rPr>
          <w:sz w:val="24"/>
        </w:rPr>
        <w:t xml:space="preserve">HRSA contracted </w:t>
      </w:r>
      <w:r w:rsidR="00163B3A">
        <w:rPr>
          <w:sz w:val="24"/>
        </w:rPr>
        <w:t xml:space="preserve">with </w:t>
      </w:r>
      <w:r w:rsidR="00A811BC">
        <w:rPr>
          <w:sz w:val="24"/>
        </w:rPr>
        <w:t>RTI International to conduct the pretest</w:t>
      </w:r>
      <w:r w:rsidR="00163B3A">
        <w:rPr>
          <w:sz w:val="24"/>
        </w:rPr>
        <w:t xml:space="preserve"> for the 2019 Health Center Patient Survey</w:t>
      </w:r>
      <w:r w:rsidR="00A811BC">
        <w:rPr>
          <w:sz w:val="24"/>
        </w:rPr>
        <w:t xml:space="preserve">. </w:t>
      </w:r>
      <w:r w:rsidR="009A44E1">
        <w:rPr>
          <w:sz w:val="24"/>
        </w:rPr>
        <w:t xml:space="preserve"> </w:t>
      </w:r>
      <w:r w:rsidR="00F4064E">
        <w:rPr>
          <w:sz w:val="24"/>
        </w:rPr>
        <w:t xml:space="preserve">Under convenient sampling, </w:t>
      </w:r>
      <w:r w:rsidR="00B456D9">
        <w:rPr>
          <w:sz w:val="24"/>
        </w:rPr>
        <w:t xml:space="preserve">HRSA will select </w:t>
      </w:r>
      <w:r w:rsidR="00F4064E">
        <w:rPr>
          <w:sz w:val="24"/>
        </w:rPr>
        <w:t>p</w:t>
      </w:r>
      <w:r w:rsidR="00DC770A" w:rsidRPr="00DC770A">
        <w:rPr>
          <w:sz w:val="24"/>
        </w:rPr>
        <w:t xml:space="preserve">articipants </w:t>
      </w:r>
      <w:r w:rsidR="00DC770A" w:rsidRPr="00B94934">
        <w:rPr>
          <w:color w:val="222222"/>
          <w:sz w:val="24"/>
          <w:shd w:val="clear" w:color="auto" w:fill="FFFFFF"/>
        </w:rPr>
        <w:t>based on their </w:t>
      </w:r>
      <w:r w:rsidR="00DC770A" w:rsidRPr="00B94934">
        <w:rPr>
          <w:bCs/>
          <w:color w:val="222222"/>
          <w:sz w:val="24"/>
          <w:shd w:val="clear" w:color="auto" w:fill="FFFFFF"/>
        </w:rPr>
        <w:t>convenient</w:t>
      </w:r>
      <w:r w:rsidR="00DC770A" w:rsidRPr="00B94934">
        <w:rPr>
          <w:color w:val="222222"/>
          <w:sz w:val="24"/>
          <w:shd w:val="clear" w:color="auto" w:fill="FFFFFF"/>
        </w:rPr>
        <w:t> accessibility and proxim</w:t>
      </w:r>
      <w:r w:rsidR="00DC770A" w:rsidRPr="00DC770A">
        <w:rPr>
          <w:color w:val="222222"/>
          <w:sz w:val="24"/>
          <w:shd w:val="clear" w:color="auto" w:fill="FFFFFF"/>
        </w:rPr>
        <w:t xml:space="preserve">ity to </w:t>
      </w:r>
      <w:r w:rsidR="00037B53">
        <w:rPr>
          <w:color w:val="222222"/>
          <w:sz w:val="24"/>
          <w:shd w:val="clear" w:color="auto" w:fill="FFFFFF"/>
        </w:rPr>
        <w:t>RTI offices</w:t>
      </w:r>
      <w:r w:rsidR="00F4064E">
        <w:rPr>
          <w:color w:val="222222"/>
          <w:sz w:val="24"/>
          <w:shd w:val="clear" w:color="auto" w:fill="FFFFFF"/>
        </w:rPr>
        <w:t>, which will</w:t>
      </w:r>
      <w:r>
        <w:rPr>
          <w:sz w:val="24"/>
        </w:rPr>
        <w:t xml:space="preserve"> ensure the appropriate distribution of participants</w:t>
      </w:r>
      <w:r w:rsidR="0048129F">
        <w:rPr>
          <w:sz w:val="24"/>
        </w:rPr>
        <w:t xml:space="preserve"> in terms of age and gender</w:t>
      </w:r>
      <w:r>
        <w:rPr>
          <w:sz w:val="24"/>
        </w:rPr>
        <w:t xml:space="preserve"> to test </w:t>
      </w:r>
      <w:r w:rsidR="009A44E1">
        <w:rPr>
          <w:sz w:val="24"/>
        </w:rPr>
        <w:t>the survey in each of the five</w:t>
      </w:r>
      <w:r>
        <w:rPr>
          <w:sz w:val="24"/>
        </w:rPr>
        <w:t xml:space="preserve"> languages</w:t>
      </w:r>
      <w:r w:rsidR="00D326B5">
        <w:rPr>
          <w:sz w:val="24"/>
        </w:rPr>
        <w:t xml:space="preserve"> (English, Spanish, Tagalog, Chinese</w:t>
      </w:r>
      <w:r w:rsidR="009A44E1">
        <w:rPr>
          <w:sz w:val="24"/>
        </w:rPr>
        <w:t>,</w:t>
      </w:r>
      <w:r w:rsidR="00D326B5">
        <w:rPr>
          <w:sz w:val="24"/>
        </w:rPr>
        <w:t xml:space="preserve"> and Vietnamese)</w:t>
      </w:r>
      <w:r>
        <w:rPr>
          <w:sz w:val="24"/>
        </w:rPr>
        <w:t xml:space="preserve">. </w:t>
      </w:r>
      <w:r w:rsidR="009A44E1">
        <w:rPr>
          <w:sz w:val="24"/>
        </w:rPr>
        <w:t xml:space="preserve"> </w:t>
      </w:r>
      <w:r w:rsidR="00163B3A">
        <w:rPr>
          <w:sz w:val="24"/>
        </w:rPr>
        <w:t>HRSA</w:t>
      </w:r>
      <w:r w:rsidR="00890075">
        <w:rPr>
          <w:sz w:val="24"/>
        </w:rPr>
        <w:t xml:space="preserve"> will recruit </w:t>
      </w:r>
      <w:r w:rsidR="009312D1">
        <w:rPr>
          <w:sz w:val="24"/>
        </w:rPr>
        <w:t>English- and Spanish-speaking p</w:t>
      </w:r>
      <w:r>
        <w:rPr>
          <w:sz w:val="24"/>
        </w:rPr>
        <w:t xml:space="preserve">articipants at urban and rural health </w:t>
      </w:r>
      <w:r w:rsidRPr="00E9278B">
        <w:rPr>
          <w:sz w:val="24"/>
        </w:rPr>
        <w:t>center</w:t>
      </w:r>
      <w:r w:rsidR="000953F8">
        <w:rPr>
          <w:sz w:val="24"/>
        </w:rPr>
        <w:t>s</w:t>
      </w:r>
      <w:r w:rsidR="00F4064E">
        <w:rPr>
          <w:sz w:val="24"/>
        </w:rPr>
        <w:t xml:space="preserve">, which will </w:t>
      </w:r>
      <w:r w:rsidRPr="00E9278B">
        <w:rPr>
          <w:sz w:val="24"/>
        </w:rPr>
        <w:t xml:space="preserve">allow </w:t>
      </w:r>
      <w:r w:rsidR="00F4064E">
        <w:rPr>
          <w:sz w:val="24"/>
        </w:rPr>
        <w:t>for</w:t>
      </w:r>
      <w:r w:rsidRPr="00E9278B">
        <w:rPr>
          <w:sz w:val="24"/>
        </w:rPr>
        <w:t xml:space="preserve"> pretest</w:t>
      </w:r>
      <w:r w:rsidR="00F4064E">
        <w:rPr>
          <w:sz w:val="24"/>
        </w:rPr>
        <w:t>ing of</w:t>
      </w:r>
      <w:r w:rsidRPr="00E9278B">
        <w:rPr>
          <w:sz w:val="24"/>
        </w:rPr>
        <w:t xml:space="preserve"> on-site recruitment procedures </w:t>
      </w:r>
      <w:r w:rsidR="009A44E1">
        <w:rPr>
          <w:sz w:val="24"/>
        </w:rPr>
        <w:t>and pre</w:t>
      </w:r>
      <w:r w:rsidRPr="00E9278B">
        <w:rPr>
          <w:sz w:val="24"/>
        </w:rPr>
        <w:t xml:space="preserve">testing the questionnaire.  </w:t>
      </w:r>
      <w:r w:rsidR="009312D1">
        <w:rPr>
          <w:sz w:val="24"/>
        </w:rPr>
        <w:t>Tagalog</w:t>
      </w:r>
      <w:r w:rsidR="00EC11FE">
        <w:rPr>
          <w:sz w:val="24"/>
        </w:rPr>
        <w:t>-</w:t>
      </w:r>
      <w:r w:rsidR="009312D1">
        <w:rPr>
          <w:sz w:val="24"/>
        </w:rPr>
        <w:t>, Chinese</w:t>
      </w:r>
      <w:r w:rsidR="00EC11FE">
        <w:rPr>
          <w:sz w:val="24"/>
        </w:rPr>
        <w:t>-</w:t>
      </w:r>
      <w:r w:rsidR="009312D1">
        <w:rPr>
          <w:sz w:val="24"/>
        </w:rPr>
        <w:t xml:space="preserve">, and Vietnamese-speaking </w:t>
      </w:r>
      <w:r w:rsidR="00163B3A">
        <w:rPr>
          <w:sz w:val="24"/>
        </w:rPr>
        <w:t>participants</w:t>
      </w:r>
      <w:r w:rsidR="00163B3A" w:rsidRPr="00E9278B">
        <w:rPr>
          <w:sz w:val="24"/>
        </w:rPr>
        <w:t xml:space="preserve"> </w:t>
      </w:r>
      <w:r w:rsidRPr="00E9278B">
        <w:rPr>
          <w:sz w:val="24"/>
        </w:rPr>
        <w:t>will be recruited through traditional</w:t>
      </w:r>
      <w:r w:rsidR="001F5D8F" w:rsidRPr="00E9278B">
        <w:rPr>
          <w:sz w:val="24"/>
        </w:rPr>
        <w:t xml:space="preserve"> ads, </w:t>
      </w:r>
      <w:r w:rsidR="00ED2189">
        <w:rPr>
          <w:sz w:val="24"/>
        </w:rPr>
        <w:t>including</w:t>
      </w:r>
      <w:r w:rsidR="001F5D8F" w:rsidRPr="00E9278B">
        <w:rPr>
          <w:sz w:val="24"/>
        </w:rPr>
        <w:t xml:space="preserve"> posting </w:t>
      </w:r>
      <w:r w:rsidRPr="00E9278B">
        <w:rPr>
          <w:sz w:val="24"/>
        </w:rPr>
        <w:t>flyers and online advertising.</w:t>
      </w:r>
    </w:p>
    <w:p w14:paraId="0596D7B7" w14:textId="77777777" w:rsidR="0062748A" w:rsidRPr="00E9278B" w:rsidRDefault="0062748A" w:rsidP="001746F8">
      <w:pPr>
        <w:spacing w:before="120"/>
        <w:ind w:left="720"/>
        <w:rPr>
          <w:b/>
          <w:bCs/>
          <w:sz w:val="24"/>
        </w:rPr>
      </w:pPr>
    </w:p>
    <w:p w14:paraId="06DE308C" w14:textId="77777777" w:rsidR="00BA1757" w:rsidRPr="00E9278B" w:rsidRDefault="00BA1757" w:rsidP="00953014">
      <w:pPr>
        <w:spacing w:before="120"/>
        <w:rPr>
          <w:b/>
          <w:bCs/>
          <w:sz w:val="24"/>
        </w:rPr>
      </w:pPr>
      <w:r w:rsidRPr="00E9278B">
        <w:rPr>
          <w:b/>
          <w:bCs/>
          <w:sz w:val="24"/>
        </w:rPr>
        <w:t>1. Respondent Universe and Sampling Methods</w:t>
      </w:r>
    </w:p>
    <w:p w14:paraId="14F90CA8" w14:textId="2CB5C6C4" w:rsidR="0062748A" w:rsidRPr="00E9278B" w:rsidRDefault="0062748A" w:rsidP="00953014">
      <w:pPr>
        <w:spacing w:before="120"/>
        <w:rPr>
          <w:sz w:val="24"/>
        </w:rPr>
      </w:pPr>
      <w:r w:rsidRPr="00E9278B">
        <w:rPr>
          <w:sz w:val="24"/>
        </w:rPr>
        <w:t xml:space="preserve">The respondent universe </w:t>
      </w:r>
      <w:r w:rsidR="008777AF">
        <w:rPr>
          <w:sz w:val="24"/>
        </w:rPr>
        <w:t xml:space="preserve">for the pretest </w:t>
      </w:r>
      <w:r w:rsidRPr="00E9278B">
        <w:rPr>
          <w:sz w:val="24"/>
        </w:rPr>
        <w:t xml:space="preserve">includes parents of children 12 and younger, adolescents 13-17, and adults 18 and over that have received services at a </w:t>
      </w:r>
      <w:r w:rsidR="00A811BC">
        <w:rPr>
          <w:sz w:val="24"/>
        </w:rPr>
        <w:t>h</w:t>
      </w:r>
      <w:r w:rsidRPr="00E9278B">
        <w:rPr>
          <w:sz w:val="24"/>
        </w:rPr>
        <w:t>ealth center in the past 12 months</w:t>
      </w:r>
      <w:r w:rsidR="00216451">
        <w:rPr>
          <w:sz w:val="24"/>
        </w:rPr>
        <w:t xml:space="preserve">.  </w:t>
      </w:r>
      <w:r w:rsidR="00163B3A">
        <w:rPr>
          <w:sz w:val="24"/>
        </w:rPr>
        <w:t>HRSA</w:t>
      </w:r>
      <w:r w:rsidR="00A811BC">
        <w:rPr>
          <w:sz w:val="24"/>
        </w:rPr>
        <w:t xml:space="preserve"> will not use</w:t>
      </w:r>
      <w:r w:rsidR="00037B53">
        <w:rPr>
          <w:sz w:val="24"/>
        </w:rPr>
        <w:t xml:space="preserve"> statistical methods to select patients during </w:t>
      </w:r>
      <w:r w:rsidR="0048129F">
        <w:rPr>
          <w:sz w:val="24"/>
        </w:rPr>
        <w:t xml:space="preserve">the </w:t>
      </w:r>
      <w:r w:rsidR="00037B53">
        <w:rPr>
          <w:sz w:val="24"/>
        </w:rPr>
        <w:t>pretest.</w:t>
      </w:r>
    </w:p>
    <w:p w14:paraId="3E666503" w14:textId="69096008" w:rsidR="00047C7C" w:rsidRPr="00047C7C" w:rsidRDefault="00D64FDB" w:rsidP="00953014">
      <w:pPr>
        <w:spacing w:before="120"/>
        <w:rPr>
          <w:sz w:val="24"/>
        </w:rPr>
      </w:pPr>
      <w:r w:rsidRPr="00E9278B">
        <w:rPr>
          <w:sz w:val="24"/>
        </w:rPr>
        <w:t>The pretest (cognitive interviews) will involve t</w:t>
      </w:r>
      <w:r w:rsidR="00542CCA">
        <w:rPr>
          <w:sz w:val="24"/>
        </w:rPr>
        <w:t>wo</w:t>
      </w:r>
      <w:r w:rsidRPr="00E9278B">
        <w:rPr>
          <w:sz w:val="24"/>
        </w:rPr>
        <w:t xml:space="preserve"> rounds of testing. </w:t>
      </w:r>
      <w:r w:rsidR="00E01F83">
        <w:rPr>
          <w:sz w:val="24"/>
        </w:rPr>
        <w:t xml:space="preserve"> </w:t>
      </w:r>
      <w:r w:rsidRPr="00E9278B">
        <w:rPr>
          <w:sz w:val="24"/>
        </w:rPr>
        <w:t>In round 1</w:t>
      </w:r>
      <w:r w:rsidR="00F510AF">
        <w:rPr>
          <w:sz w:val="24"/>
        </w:rPr>
        <w:t xml:space="preserve"> (</w:t>
      </w:r>
      <w:r w:rsidR="00F510AF" w:rsidRPr="003B26DE">
        <w:rPr>
          <w:sz w:val="24"/>
        </w:rPr>
        <w:t>Table 1</w:t>
      </w:r>
      <w:r w:rsidR="00F510AF">
        <w:rPr>
          <w:sz w:val="24"/>
        </w:rPr>
        <w:t>)</w:t>
      </w:r>
      <w:r w:rsidRPr="00E9278B">
        <w:rPr>
          <w:sz w:val="24"/>
        </w:rPr>
        <w:t xml:space="preserve">, </w:t>
      </w:r>
      <w:r w:rsidR="00047C7C">
        <w:rPr>
          <w:sz w:val="24"/>
        </w:rPr>
        <w:t>34</w:t>
      </w:r>
      <w:r w:rsidRPr="00E9278B">
        <w:rPr>
          <w:sz w:val="24"/>
        </w:rPr>
        <w:t xml:space="preserve"> interviews will be conducted using </w:t>
      </w:r>
      <w:r w:rsidR="00047C7C">
        <w:rPr>
          <w:sz w:val="24"/>
        </w:rPr>
        <w:t>computer-assisted personal interviewing (</w:t>
      </w:r>
      <w:r w:rsidR="00047C7C" w:rsidRPr="00047C7C">
        <w:rPr>
          <w:sz w:val="24"/>
        </w:rPr>
        <w:t>CAPI)</w:t>
      </w:r>
      <w:r w:rsidRPr="00047C7C">
        <w:rPr>
          <w:sz w:val="24"/>
        </w:rPr>
        <w:t xml:space="preserve">. </w:t>
      </w:r>
      <w:r w:rsidR="00216451">
        <w:rPr>
          <w:sz w:val="24"/>
        </w:rPr>
        <w:t xml:space="preserve"> </w:t>
      </w:r>
      <w:r w:rsidR="00163B3A">
        <w:rPr>
          <w:sz w:val="24"/>
        </w:rPr>
        <w:t>HRSA</w:t>
      </w:r>
      <w:r w:rsidR="00047C7C" w:rsidRPr="00047C7C">
        <w:rPr>
          <w:sz w:val="24"/>
        </w:rPr>
        <w:t xml:space="preserve"> will recruit one rural and one urban health center within </w:t>
      </w:r>
      <w:r w:rsidR="00981235">
        <w:rPr>
          <w:sz w:val="24"/>
        </w:rPr>
        <w:t>150</w:t>
      </w:r>
      <w:r w:rsidR="00047C7C" w:rsidRPr="00047C7C">
        <w:rPr>
          <w:sz w:val="24"/>
        </w:rPr>
        <w:t xml:space="preserve"> miles of Durham, NC, to conduct on-site interviews. </w:t>
      </w:r>
      <w:r w:rsidR="00216451">
        <w:rPr>
          <w:sz w:val="24"/>
        </w:rPr>
        <w:t xml:space="preserve"> </w:t>
      </w:r>
      <w:r w:rsidR="00163B3A">
        <w:rPr>
          <w:sz w:val="24"/>
        </w:rPr>
        <w:t>HRSA</w:t>
      </w:r>
      <w:r w:rsidR="00C0540B" w:rsidRPr="00047C7C">
        <w:rPr>
          <w:sz w:val="24"/>
        </w:rPr>
        <w:t xml:space="preserve"> </w:t>
      </w:r>
      <w:r w:rsidR="00047C7C" w:rsidRPr="00047C7C">
        <w:rPr>
          <w:sz w:val="24"/>
        </w:rPr>
        <w:t xml:space="preserve">may recruit a health center within 100 miles of </w:t>
      </w:r>
      <w:r w:rsidR="00B41595">
        <w:rPr>
          <w:sz w:val="24"/>
        </w:rPr>
        <w:t xml:space="preserve">the Chicago </w:t>
      </w:r>
      <w:r w:rsidR="00047C7C" w:rsidRPr="00047C7C">
        <w:rPr>
          <w:sz w:val="24"/>
        </w:rPr>
        <w:t xml:space="preserve">RTI office because </w:t>
      </w:r>
      <w:r w:rsidR="00CB6C05">
        <w:rPr>
          <w:sz w:val="24"/>
        </w:rPr>
        <w:t>RTI has</w:t>
      </w:r>
      <w:r w:rsidR="00047C7C" w:rsidRPr="00047C7C">
        <w:rPr>
          <w:sz w:val="24"/>
        </w:rPr>
        <w:t xml:space="preserve"> staff </w:t>
      </w:r>
      <w:r w:rsidR="00B41595">
        <w:rPr>
          <w:sz w:val="24"/>
        </w:rPr>
        <w:t xml:space="preserve">geographically positioned to </w:t>
      </w:r>
      <w:r w:rsidR="00047C7C" w:rsidRPr="00047C7C">
        <w:rPr>
          <w:sz w:val="24"/>
        </w:rPr>
        <w:t xml:space="preserve">conduct these interviews. </w:t>
      </w:r>
      <w:r w:rsidR="00216451">
        <w:rPr>
          <w:sz w:val="24"/>
        </w:rPr>
        <w:t xml:space="preserve"> </w:t>
      </w:r>
      <w:r w:rsidR="00163B3A">
        <w:rPr>
          <w:sz w:val="24"/>
        </w:rPr>
        <w:t>HRSA</w:t>
      </w:r>
      <w:r w:rsidR="003B26DE">
        <w:rPr>
          <w:sz w:val="24"/>
        </w:rPr>
        <w:t xml:space="preserve"> will recruit and interview </w:t>
      </w:r>
      <w:r w:rsidR="00047C7C" w:rsidRPr="00047C7C">
        <w:rPr>
          <w:sz w:val="24"/>
        </w:rPr>
        <w:t xml:space="preserve">16 participants (eight English and eight Spanish) </w:t>
      </w:r>
      <w:r w:rsidR="003B26DE">
        <w:rPr>
          <w:sz w:val="24"/>
        </w:rPr>
        <w:t>at</w:t>
      </w:r>
      <w:r w:rsidR="00047C7C" w:rsidRPr="00047C7C">
        <w:rPr>
          <w:sz w:val="24"/>
        </w:rPr>
        <w:t xml:space="preserve"> </w:t>
      </w:r>
      <w:r w:rsidR="003B26DE">
        <w:rPr>
          <w:sz w:val="24"/>
        </w:rPr>
        <w:t xml:space="preserve">participating </w:t>
      </w:r>
      <w:r w:rsidR="00047C7C" w:rsidRPr="00047C7C">
        <w:rPr>
          <w:sz w:val="24"/>
        </w:rPr>
        <w:t>health centers</w:t>
      </w:r>
      <w:r w:rsidR="00216451">
        <w:rPr>
          <w:sz w:val="24"/>
        </w:rPr>
        <w:t xml:space="preserve"> </w:t>
      </w:r>
      <w:r w:rsidR="003B26DE">
        <w:rPr>
          <w:sz w:val="24"/>
        </w:rPr>
        <w:t xml:space="preserve">and interview </w:t>
      </w:r>
      <w:r w:rsidR="006D3E96">
        <w:rPr>
          <w:sz w:val="24"/>
        </w:rPr>
        <w:t xml:space="preserve">an </w:t>
      </w:r>
      <w:r w:rsidR="00047C7C" w:rsidRPr="00047C7C">
        <w:rPr>
          <w:sz w:val="24"/>
        </w:rPr>
        <w:t>additional 18 participants (six Tagalog, six Vietnamese, and six Chinese [Mandarin and Cantonese]) who recently visited a health center for a health-related service</w:t>
      </w:r>
      <w:r w:rsidR="00B41595">
        <w:rPr>
          <w:sz w:val="24"/>
        </w:rPr>
        <w:t xml:space="preserve">. </w:t>
      </w:r>
      <w:r w:rsidR="00216451">
        <w:rPr>
          <w:sz w:val="24"/>
        </w:rPr>
        <w:t xml:space="preserve"> </w:t>
      </w:r>
      <w:r w:rsidR="003B26DE">
        <w:rPr>
          <w:sz w:val="24"/>
        </w:rPr>
        <w:t xml:space="preserve">To effectively recruit 18 </w:t>
      </w:r>
      <w:r w:rsidR="00047C7C" w:rsidRPr="00047C7C">
        <w:rPr>
          <w:sz w:val="24"/>
        </w:rPr>
        <w:t xml:space="preserve">respondents </w:t>
      </w:r>
      <w:r w:rsidR="003B26DE">
        <w:rPr>
          <w:sz w:val="24"/>
        </w:rPr>
        <w:t xml:space="preserve">speaking languages other than English and Spanish, RTI </w:t>
      </w:r>
      <w:r w:rsidR="00047C7C" w:rsidRPr="00047C7C">
        <w:rPr>
          <w:sz w:val="24"/>
        </w:rPr>
        <w:t xml:space="preserve">will </w:t>
      </w:r>
      <w:r w:rsidR="003B26DE">
        <w:rPr>
          <w:sz w:val="24"/>
        </w:rPr>
        <w:t xml:space="preserve">post </w:t>
      </w:r>
      <w:r w:rsidR="00047C7C" w:rsidRPr="00047C7C">
        <w:rPr>
          <w:sz w:val="24"/>
        </w:rPr>
        <w:t>advertisements in community forums</w:t>
      </w:r>
      <w:r w:rsidR="003B26DE">
        <w:rPr>
          <w:sz w:val="24"/>
        </w:rPr>
        <w:t xml:space="preserve"> and post flyers</w:t>
      </w:r>
      <w:r w:rsidR="00047C7C" w:rsidRPr="00047C7C">
        <w:rPr>
          <w:sz w:val="24"/>
        </w:rPr>
        <w:t xml:space="preserve"> at local health centers, community centers, and libraries in Raleigh-Durham, NC, and Chicago, IL. </w:t>
      </w:r>
      <w:r w:rsidR="00216451">
        <w:rPr>
          <w:sz w:val="24"/>
        </w:rPr>
        <w:t xml:space="preserve"> </w:t>
      </w:r>
      <w:r w:rsidR="00047C7C" w:rsidRPr="00047C7C">
        <w:rPr>
          <w:sz w:val="24"/>
        </w:rPr>
        <w:t>Other potential locations include Washington, D</w:t>
      </w:r>
      <w:r w:rsidR="00B917E2">
        <w:rPr>
          <w:sz w:val="24"/>
        </w:rPr>
        <w:t>.</w:t>
      </w:r>
      <w:r w:rsidR="00047C7C" w:rsidRPr="00047C7C">
        <w:rPr>
          <w:sz w:val="24"/>
        </w:rPr>
        <w:t>C</w:t>
      </w:r>
      <w:r w:rsidR="00B917E2">
        <w:rPr>
          <w:sz w:val="24"/>
        </w:rPr>
        <w:t>.</w:t>
      </w:r>
      <w:r w:rsidR="00047C7C" w:rsidRPr="00047C7C">
        <w:rPr>
          <w:sz w:val="24"/>
        </w:rPr>
        <w:t xml:space="preserve"> and San Francisco, CA.</w:t>
      </w:r>
      <w:r w:rsidR="006D6E48">
        <w:rPr>
          <w:sz w:val="24"/>
        </w:rPr>
        <w:t xml:space="preserve"> </w:t>
      </w:r>
      <w:r w:rsidR="00216451">
        <w:rPr>
          <w:sz w:val="24"/>
        </w:rPr>
        <w:t xml:space="preserve"> HRSA cho</w:t>
      </w:r>
      <w:r w:rsidR="00B456D9">
        <w:rPr>
          <w:sz w:val="24"/>
        </w:rPr>
        <w:t>se t</w:t>
      </w:r>
      <w:r w:rsidR="006D6E48">
        <w:rPr>
          <w:sz w:val="24"/>
        </w:rPr>
        <w:t xml:space="preserve">hese locations </w:t>
      </w:r>
      <w:r w:rsidR="00B456D9">
        <w:rPr>
          <w:sz w:val="24"/>
        </w:rPr>
        <w:t xml:space="preserve">due to </w:t>
      </w:r>
      <w:r w:rsidR="00ED2189">
        <w:rPr>
          <w:sz w:val="24"/>
        </w:rPr>
        <w:t xml:space="preserve">a </w:t>
      </w:r>
      <w:r w:rsidR="006D6E48">
        <w:rPr>
          <w:sz w:val="24"/>
        </w:rPr>
        <w:t>higher concentration of populations speaking Chinese, Tagalog</w:t>
      </w:r>
      <w:r w:rsidR="00216451">
        <w:rPr>
          <w:sz w:val="24"/>
        </w:rPr>
        <w:t>,</w:t>
      </w:r>
      <w:r w:rsidR="006D6E48">
        <w:rPr>
          <w:sz w:val="24"/>
        </w:rPr>
        <w:t xml:space="preserve"> or Vietnamese</w:t>
      </w:r>
      <w:r w:rsidR="00ED2189">
        <w:rPr>
          <w:sz w:val="24"/>
        </w:rPr>
        <w:t xml:space="preserve"> and</w:t>
      </w:r>
      <w:r w:rsidR="00216451">
        <w:rPr>
          <w:sz w:val="24"/>
        </w:rPr>
        <w:t xml:space="preserve"> </w:t>
      </w:r>
      <w:r w:rsidR="00890075">
        <w:rPr>
          <w:sz w:val="24"/>
        </w:rPr>
        <w:t xml:space="preserve">close </w:t>
      </w:r>
      <w:r w:rsidR="0048129F">
        <w:rPr>
          <w:sz w:val="24"/>
        </w:rPr>
        <w:t xml:space="preserve">proximity </w:t>
      </w:r>
      <w:r w:rsidR="00953014">
        <w:rPr>
          <w:sz w:val="24"/>
        </w:rPr>
        <w:t xml:space="preserve">to </w:t>
      </w:r>
      <w:r w:rsidR="00953014">
        <w:rPr>
          <w:sz w:val="24"/>
        </w:rPr>
        <w:lastRenderedPageBreak/>
        <w:t xml:space="preserve">RTI offices and </w:t>
      </w:r>
      <w:r w:rsidR="0048129F">
        <w:rPr>
          <w:sz w:val="24"/>
        </w:rPr>
        <w:t>staff</w:t>
      </w:r>
      <w:r w:rsidR="006D6E48">
        <w:rPr>
          <w:sz w:val="24"/>
        </w:rPr>
        <w:t>.</w:t>
      </w:r>
    </w:p>
    <w:p w14:paraId="6296BDB0" w14:textId="4B1C6BBD" w:rsidR="00BA629A" w:rsidRDefault="00047C7C" w:rsidP="00953014">
      <w:pPr>
        <w:spacing w:before="120"/>
        <w:rPr>
          <w:sz w:val="24"/>
        </w:rPr>
      </w:pPr>
      <w:r w:rsidRPr="00047C7C">
        <w:rPr>
          <w:sz w:val="24"/>
        </w:rPr>
        <w:t xml:space="preserve">Each sampled respondent will receive approximately one-half of the </w:t>
      </w:r>
      <w:r w:rsidR="00C50846">
        <w:rPr>
          <w:sz w:val="24"/>
        </w:rPr>
        <w:t>questionnaire</w:t>
      </w:r>
      <w:r w:rsidR="00216451">
        <w:rPr>
          <w:sz w:val="24"/>
        </w:rPr>
        <w:t xml:space="preserve"> to </w:t>
      </w:r>
      <w:r w:rsidR="0048129F">
        <w:rPr>
          <w:sz w:val="24"/>
        </w:rPr>
        <w:t xml:space="preserve">ensure that the respondent is not </w:t>
      </w:r>
      <w:r w:rsidR="00B456D9">
        <w:rPr>
          <w:sz w:val="24"/>
        </w:rPr>
        <w:t>overly burdened</w:t>
      </w:r>
      <w:r w:rsidR="00216451">
        <w:rPr>
          <w:sz w:val="24"/>
        </w:rPr>
        <w:t>.  The</w:t>
      </w:r>
      <w:r w:rsidR="0048129F">
        <w:rPr>
          <w:sz w:val="24"/>
        </w:rPr>
        <w:t xml:space="preserve"> whole questionnaire</w:t>
      </w:r>
      <w:r w:rsidR="0004571D">
        <w:rPr>
          <w:sz w:val="24"/>
        </w:rPr>
        <w:t>,</w:t>
      </w:r>
      <w:r w:rsidR="0048129F">
        <w:rPr>
          <w:sz w:val="24"/>
        </w:rPr>
        <w:t xml:space="preserve"> along with the cogn</w:t>
      </w:r>
      <w:r w:rsidR="00216451">
        <w:rPr>
          <w:sz w:val="24"/>
        </w:rPr>
        <w:t>itive probes, would take about two</w:t>
      </w:r>
      <w:r w:rsidR="0048129F">
        <w:rPr>
          <w:sz w:val="24"/>
        </w:rPr>
        <w:t xml:space="preserve"> hours to complete. </w:t>
      </w:r>
      <w:r w:rsidR="00216451">
        <w:rPr>
          <w:sz w:val="24"/>
        </w:rPr>
        <w:t xml:space="preserve"> </w:t>
      </w:r>
      <w:r w:rsidR="00C0540B">
        <w:rPr>
          <w:sz w:val="24"/>
        </w:rPr>
        <w:t>As a result, t</w:t>
      </w:r>
      <w:r w:rsidRPr="00047C7C">
        <w:rPr>
          <w:sz w:val="24"/>
        </w:rPr>
        <w:t xml:space="preserve">he </w:t>
      </w:r>
      <w:r w:rsidR="000953F8">
        <w:rPr>
          <w:sz w:val="24"/>
        </w:rPr>
        <w:t>interviewer</w:t>
      </w:r>
      <w:r w:rsidRPr="00047C7C">
        <w:rPr>
          <w:sz w:val="24"/>
        </w:rPr>
        <w:t xml:space="preserve"> will administer a sample of modules to each respondent. </w:t>
      </w:r>
      <w:r w:rsidR="00216451">
        <w:rPr>
          <w:sz w:val="24"/>
        </w:rPr>
        <w:t xml:space="preserve"> </w:t>
      </w:r>
      <w:r w:rsidR="00B020DA">
        <w:rPr>
          <w:sz w:val="24"/>
        </w:rPr>
        <w:t>HRSA</w:t>
      </w:r>
      <w:r w:rsidR="00C0540B">
        <w:rPr>
          <w:sz w:val="24"/>
        </w:rPr>
        <w:t xml:space="preserve"> pre-selected modules for respondents to receive based on age and gender to ensure that, collectively, </w:t>
      </w:r>
      <w:r w:rsidR="00A0011D">
        <w:rPr>
          <w:sz w:val="24"/>
        </w:rPr>
        <w:t xml:space="preserve">there </w:t>
      </w:r>
      <w:r w:rsidR="004C486F">
        <w:rPr>
          <w:sz w:val="24"/>
        </w:rPr>
        <w:t>are</w:t>
      </w:r>
      <w:r w:rsidR="00A0011D">
        <w:rPr>
          <w:sz w:val="24"/>
        </w:rPr>
        <w:t xml:space="preserve"> </w:t>
      </w:r>
      <w:r w:rsidR="00C0540B">
        <w:rPr>
          <w:sz w:val="24"/>
        </w:rPr>
        <w:t xml:space="preserve">enough data from each module to accurately assess the </w:t>
      </w:r>
      <w:r w:rsidR="00890075">
        <w:rPr>
          <w:sz w:val="24"/>
        </w:rPr>
        <w:t>questionnaire</w:t>
      </w:r>
      <w:r w:rsidR="00C0540B">
        <w:rPr>
          <w:sz w:val="24"/>
        </w:rPr>
        <w:t xml:space="preserve">. </w:t>
      </w:r>
      <w:r w:rsidR="00216451">
        <w:rPr>
          <w:sz w:val="24"/>
        </w:rPr>
        <w:t xml:space="preserve"> </w:t>
      </w:r>
      <w:r w:rsidRPr="00047C7C">
        <w:rPr>
          <w:sz w:val="24"/>
        </w:rPr>
        <w:t xml:space="preserve">Each respondent will receive all the questions in </w:t>
      </w:r>
      <w:r w:rsidRPr="00712500">
        <w:rPr>
          <w:sz w:val="24"/>
        </w:rPr>
        <w:t xml:space="preserve">the </w:t>
      </w:r>
      <w:r w:rsidR="00B020DA">
        <w:rPr>
          <w:sz w:val="24"/>
        </w:rPr>
        <w:t xml:space="preserve">selected </w:t>
      </w:r>
      <w:r w:rsidRPr="00712500">
        <w:rPr>
          <w:sz w:val="24"/>
        </w:rPr>
        <w:t>module.</w:t>
      </w:r>
      <w:r w:rsidR="00712500" w:rsidRPr="00712500">
        <w:rPr>
          <w:sz w:val="24"/>
        </w:rPr>
        <w:t xml:space="preserve"> </w:t>
      </w:r>
      <w:r w:rsidR="00216451">
        <w:rPr>
          <w:sz w:val="24"/>
        </w:rPr>
        <w:t xml:space="preserve"> </w:t>
      </w:r>
      <w:r w:rsidR="00712500" w:rsidRPr="00712500">
        <w:rPr>
          <w:sz w:val="24"/>
        </w:rPr>
        <w:t>Cognitive testing will use scripted and spontaneous probing techniques, along with “think-aloud” methods to identify potential problems during administration.</w:t>
      </w:r>
    </w:p>
    <w:p w14:paraId="5687535C" w14:textId="77777777" w:rsidR="00BA629A" w:rsidRPr="00047C7C" w:rsidRDefault="00BA629A" w:rsidP="00953014">
      <w:pPr>
        <w:spacing w:before="120"/>
        <w:ind w:left="720"/>
        <w:rPr>
          <w:sz w:val="24"/>
        </w:rPr>
      </w:pPr>
    </w:p>
    <w:p w14:paraId="100A6F6C" w14:textId="37968C2A" w:rsidR="00F510AF" w:rsidRPr="00953014" w:rsidRDefault="00F510AF" w:rsidP="00953014">
      <w:pPr>
        <w:spacing w:before="120"/>
        <w:rPr>
          <w:sz w:val="24"/>
        </w:rPr>
      </w:pPr>
      <w:r w:rsidRPr="00953014">
        <w:rPr>
          <w:b/>
          <w:sz w:val="24"/>
        </w:rPr>
        <w:t>Table 1: Round 1 of Cognitive Interviews</w:t>
      </w:r>
    </w:p>
    <w:tbl>
      <w:tblPr>
        <w:tblStyle w:val="format4"/>
        <w:tblW w:w="4999" w:type="pct"/>
        <w:tblLook w:val="05E0" w:firstRow="1" w:lastRow="1" w:firstColumn="1" w:lastColumn="1" w:noHBand="0" w:noVBand="1"/>
      </w:tblPr>
      <w:tblGrid>
        <w:gridCol w:w="1296"/>
        <w:gridCol w:w="2503"/>
        <w:gridCol w:w="1975"/>
        <w:gridCol w:w="2552"/>
        <w:gridCol w:w="1176"/>
      </w:tblGrid>
      <w:tr w:rsidR="00D41531" w:rsidRPr="00BA629A" w14:paraId="465ED8D2" w14:textId="77777777" w:rsidTr="00B776CE">
        <w:trPr>
          <w:cnfStyle w:val="100000000000" w:firstRow="1" w:lastRow="0" w:firstColumn="0" w:lastColumn="0" w:oddVBand="0" w:evenVBand="0" w:oddHBand="0" w:evenHBand="0" w:firstRowFirstColumn="0" w:firstRowLastColumn="0" w:lastRowFirstColumn="0" w:lastRowLastColumn="0"/>
          <w:trHeight w:val="20"/>
        </w:trPr>
        <w:tc>
          <w:tcPr>
            <w:tcW w:w="682" w:type="pct"/>
          </w:tcPr>
          <w:p w14:paraId="7B614A63" w14:textId="77777777" w:rsidR="00F510AF" w:rsidRPr="00953014" w:rsidRDefault="00F510AF" w:rsidP="000A61CA">
            <w:pPr>
              <w:pStyle w:val="TableHeaders"/>
              <w:rPr>
                <w:rFonts w:ascii="Times New Roman" w:hAnsi="Times New Roman"/>
                <w:sz w:val="24"/>
                <w:szCs w:val="24"/>
              </w:rPr>
            </w:pPr>
            <w:r w:rsidRPr="00953014">
              <w:rPr>
                <w:rFonts w:ascii="Times New Roman" w:hAnsi="Times New Roman"/>
                <w:sz w:val="24"/>
                <w:szCs w:val="24"/>
              </w:rPr>
              <w:t>Cohort</w:t>
            </w:r>
          </w:p>
        </w:tc>
        <w:tc>
          <w:tcPr>
            <w:tcW w:w="1317" w:type="pct"/>
          </w:tcPr>
          <w:p w14:paraId="5E6FB518" w14:textId="77777777" w:rsidR="00F510AF" w:rsidRPr="00953014" w:rsidRDefault="00F510AF" w:rsidP="000A61CA">
            <w:pPr>
              <w:pStyle w:val="TableHeaders"/>
              <w:rPr>
                <w:rFonts w:ascii="Times New Roman" w:hAnsi="Times New Roman"/>
                <w:sz w:val="24"/>
                <w:szCs w:val="24"/>
              </w:rPr>
            </w:pPr>
            <w:r w:rsidRPr="00953014">
              <w:rPr>
                <w:rFonts w:ascii="Times New Roman" w:hAnsi="Times New Roman"/>
                <w:sz w:val="24"/>
                <w:szCs w:val="24"/>
              </w:rPr>
              <w:t>Test</w:t>
            </w:r>
          </w:p>
        </w:tc>
        <w:tc>
          <w:tcPr>
            <w:tcW w:w="1039" w:type="pct"/>
          </w:tcPr>
          <w:p w14:paraId="7E8340BE" w14:textId="77777777" w:rsidR="00F510AF" w:rsidRPr="00953014" w:rsidRDefault="00F510AF" w:rsidP="000A61CA">
            <w:pPr>
              <w:pStyle w:val="TableHeaders"/>
              <w:rPr>
                <w:rFonts w:ascii="Times New Roman" w:hAnsi="Times New Roman"/>
                <w:sz w:val="24"/>
                <w:szCs w:val="24"/>
              </w:rPr>
            </w:pPr>
            <w:r w:rsidRPr="00953014">
              <w:rPr>
                <w:rFonts w:ascii="Times New Roman" w:hAnsi="Times New Roman"/>
                <w:sz w:val="24"/>
                <w:szCs w:val="24"/>
              </w:rPr>
              <w:t>Recruited and Conducted at Clinic</w:t>
            </w:r>
          </w:p>
        </w:tc>
        <w:tc>
          <w:tcPr>
            <w:tcW w:w="1343" w:type="pct"/>
          </w:tcPr>
          <w:p w14:paraId="0C57AFDD" w14:textId="77777777" w:rsidR="00F510AF" w:rsidRPr="00953014" w:rsidRDefault="00F510AF" w:rsidP="000A61CA">
            <w:pPr>
              <w:pStyle w:val="TableHeaders"/>
              <w:rPr>
                <w:rFonts w:ascii="Times New Roman" w:hAnsi="Times New Roman"/>
                <w:sz w:val="24"/>
                <w:szCs w:val="24"/>
              </w:rPr>
            </w:pPr>
            <w:r w:rsidRPr="00953014">
              <w:rPr>
                <w:rFonts w:ascii="Times New Roman" w:hAnsi="Times New Roman"/>
                <w:sz w:val="24"/>
                <w:szCs w:val="24"/>
              </w:rPr>
              <w:t>Recruited through Local Ads and Conducted at RTI / Other Location</w:t>
            </w:r>
          </w:p>
        </w:tc>
        <w:tc>
          <w:tcPr>
            <w:tcW w:w="620" w:type="pct"/>
          </w:tcPr>
          <w:p w14:paraId="1B02680F" w14:textId="77777777" w:rsidR="00F510AF" w:rsidRPr="00953014" w:rsidRDefault="00F510AF" w:rsidP="000A61CA">
            <w:pPr>
              <w:pStyle w:val="TableHeaders"/>
              <w:rPr>
                <w:rFonts w:ascii="Times New Roman" w:hAnsi="Times New Roman"/>
                <w:sz w:val="24"/>
                <w:szCs w:val="24"/>
              </w:rPr>
            </w:pPr>
            <w:r w:rsidRPr="00953014">
              <w:rPr>
                <w:rFonts w:ascii="Times New Roman" w:hAnsi="Times New Roman"/>
                <w:sz w:val="24"/>
                <w:szCs w:val="24"/>
              </w:rPr>
              <w:t>Total</w:t>
            </w:r>
          </w:p>
        </w:tc>
      </w:tr>
      <w:tr w:rsidR="00D41531" w:rsidRPr="00CB6C05" w14:paraId="3FB2C0E9" w14:textId="77777777" w:rsidTr="00B776CE">
        <w:trPr>
          <w:trHeight w:val="20"/>
        </w:trPr>
        <w:tc>
          <w:tcPr>
            <w:tcW w:w="682" w:type="pct"/>
          </w:tcPr>
          <w:p w14:paraId="3FB0D42B" w14:textId="77777777" w:rsidR="00F510AF" w:rsidRPr="00953014" w:rsidRDefault="00F510AF" w:rsidP="000A61CA">
            <w:pPr>
              <w:pStyle w:val="TableText"/>
              <w:spacing w:before="0"/>
              <w:rPr>
                <w:rFonts w:ascii="Times New Roman" w:hAnsi="Times New Roman" w:cs="Times New Roman"/>
                <w:sz w:val="24"/>
                <w:szCs w:val="24"/>
              </w:rPr>
            </w:pPr>
            <w:r w:rsidRPr="00953014">
              <w:rPr>
                <w:rFonts w:ascii="Times New Roman" w:hAnsi="Times New Roman" w:cs="Times New Roman"/>
                <w:sz w:val="24"/>
                <w:szCs w:val="24"/>
              </w:rPr>
              <w:t>English</w:t>
            </w:r>
          </w:p>
        </w:tc>
        <w:tc>
          <w:tcPr>
            <w:tcW w:w="1317" w:type="pct"/>
          </w:tcPr>
          <w:p w14:paraId="7DC85454" w14:textId="29D3D7C5" w:rsidR="00F510AF" w:rsidRPr="00953014" w:rsidRDefault="00F510AF" w:rsidP="00953014">
            <w:pPr>
              <w:pStyle w:val="TableText"/>
              <w:spacing w:before="0"/>
              <w:jc w:val="center"/>
              <w:rPr>
                <w:rFonts w:ascii="Times New Roman" w:hAnsi="Times New Roman" w:cs="Times New Roman"/>
                <w:sz w:val="24"/>
                <w:szCs w:val="24"/>
              </w:rPr>
            </w:pPr>
            <w:r w:rsidRPr="00953014">
              <w:rPr>
                <w:rFonts w:ascii="Times New Roman" w:hAnsi="Times New Roman" w:cs="Times New Roman"/>
                <w:sz w:val="24"/>
                <w:szCs w:val="24"/>
              </w:rPr>
              <w:t>1/2 of the questionnaire per participant</w:t>
            </w:r>
          </w:p>
        </w:tc>
        <w:tc>
          <w:tcPr>
            <w:tcW w:w="1039" w:type="pct"/>
          </w:tcPr>
          <w:p w14:paraId="09580B23" w14:textId="77777777" w:rsidR="00F510AF" w:rsidRPr="00953014" w:rsidRDefault="00F510AF" w:rsidP="001D32A2">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8</w:t>
            </w:r>
          </w:p>
        </w:tc>
        <w:tc>
          <w:tcPr>
            <w:tcW w:w="1343" w:type="pct"/>
          </w:tcPr>
          <w:p w14:paraId="11AFF17E" w14:textId="77777777" w:rsidR="00F510AF" w:rsidRPr="00953014" w:rsidRDefault="00F510AF" w:rsidP="000A61CA">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0</w:t>
            </w:r>
          </w:p>
        </w:tc>
        <w:tc>
          <w:tcPr>
            <w:tcW w:w="620" w:type="pct"/>
          </w:tcPr>
          <w:p w14:paraId="25D035F5" w14:textId="77777777" w:rsidR="00F510AF" w:rsidRPr="00953014" w:rsidRDefault="00F510AF" w:rsidP="000A61CA">
            <w:pPr>
              <w:pStyle w:val="TableTextDec"/>
              <w:tabs>
                <w:tab w:val="clear" w:pos="1015"/>
                <w:tab w:val="decimal" w:pos="915"/>
              </w:tabs>
              <w:spacing w:before="0"/>
              <w:rPr>
                <w:rFonts w:ascii="Times New Roman" w:hAnsi="Times New Roman"/>
                <w:sz w:val="24"/>
                <w:szCs w:val="24"/>
              </w:rPr>
            </w:pPr>
            <w:r w:rsidRPr="00953014">
              <w:rPr>
                <w:rFonts w:ascii="Times New Roman" w:hAnsi="Times New Roman"/>
                <w:sz w:val="24"/>
                <w:szCs w:val="24"/>
              </w:rPr>
              <w:t>8</w:t>
            </w:r>
          </w:p>
        </w:tc>
      </w:tr>
      <w:tr w:rsidR="00D41531" w:rsidRPr="00BA629A" w14:paraId="2BB2434E" w14:textId="77777777" w:rsidTr="00B776CE">
        <w:trPr>
          <w:trHeight w:val="20"/>
        </w:trPr>
        <w:tc>
          <w:tcPr>
            <w:tcW w:w="682" w:type="pct"/>
          </w:tcPr>
          <w:p w14:paraId="479F7A5E" w14:textId="77777777" w:rsidR="00F510AF" w:rsidRPr="00953014" w:rsidRDefault="00F510AF" w:rsidP="000A61CA">
            <w:pPr>
              <w:pStyle w:val="TableText"/>
              <w:spacing w:before="0"/>
              <w:rPr>
                <w:rFonts w:ascii="Times New Roman" w:hAnsi="Times New Roman" w:cs="Times New Roman"/>
                <w:sz w:val="24"/>
                <w:szCs w:val="24"/>
              </w:rPr>
            </w:pPr>
            <w:r w:rsidRPr="00953014">
              <w:rPr>
                <w:rFonts w:ascii="Times New Roman" w:hAnsi="Times New Roman" w:cs="Times New Roman"/>
                <w:sz w:val="24"/>
                <w:szCs w:val="24"/>
              </w:rPr>
              <w:t>Spanish</w:t>
            </w:r>
          </w:p>
        </w:tc>
        <w:tc>
          <w:tcPr>
            <w:tcW w:w="1317" w:type="pct"/>
          </w:tcPr>
          <w:p w14:paraId="4C264C2D" w14:textId="77777777" w:rsidR="00F510AF" w:rsidRPr="00953014" w:rsidRDefault="00F510AF" w:rsidP="000A61CA">
            <w:pPr>
              <w:pStyle w:val="TableText"/>
              <w:spacing w:before="0"/>
              <w:jc w:val="center"/>
              <w:rPr>
                <w:rFonts w:ascii="Times New Roman" w:hAnsi="Times New Roman" w:cs="Times New Roman"/>
                <w:sz w:val="24"/>
                <w:szCs w:val="24"/>
              </w:rPr>
            </w:pPr>
            <w:r w:rsidRPr="00953014">
              <w:rPr>
                <w:rFonts w:ascii="Times New Roman" w:hAnsi="Times New Roman" w:cs="Times New Roman"/>
                <w:sz w:val="24"/>
                <w:szCs w:val="24"/>
              </w:rPr>
              <w:t>NA</w:t>
            </w:r>
          </w:p>
        </w:tc>
        <w:tc>
          <w:tcPr>
            <w:tcW w:w="1039" w:type="pct"/>
          </w:tcPr>
          <w:p w14:paraId="744546FE" w14:textId="77777777" w:rsidR="00F510AF" w:rsidRPr="00953014" w:rsidRDefault="00F510AF" w:rsidP="001D32A2">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8</w:t>
            </w:r>
          </w:p>
        </w:tc>
        <w:tc>
          <w:tcPr>
            <w:tcW w:w="1343" w:type="pct"/>
          </w:tcPr>
          <w:p w14:paraId="20C166A7" w14:textId="77777777" w:rsidR="00F510AF" w:rsidRPr="00953014" w:rsidRDefault="00F510AF" w:rsidP="000A61CA">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 xml:space="preserve"> 0</w:t>
            </w:r>
          </w:p>
        </w:tc>
        <w:tc>
          <w:tcPr>
            <w:tcW w:w="620" w:type="pct"/>
          </w:tcPr>
          <w:p w14:paraId="368BC932" w14:textId="77777777" w:rsidR="00F510AF" w:rsidRPr="00953014" w:rsidRDefault="00F510AF" w:rsidP="000A61CA">
            <w:pPr>
              <w:pStyle w:val="TableTextDec"/>
              <w:tabs>
                <w:tab w:val="clear" w:pos="1015"/>
                <w:tab w:val="decimal" w:pos="915"/>
              </w:tabs>
              <w:spacing w:before="0"/>
              <w:rPr>
                <w:rFonts w:ascii="Times New Roman" w:hAnsi="Times New Roman"/>
                <w:sz w:val="24"/>
                <w:szCs w:val="24"/>
              </w:rPr>
            </w:pPr>
            <w:r w:rsidRPr="00953014">
              <w:rPr>
                <w:rFonts w:ascii="Times New Roman" w:hAnsi="Times New Roman"/>
                <w:sz w:val="24"/>
                <w:szCs w:val="24"/>
              </w:rPr>
              <w:t>8</w:t>
            </w:r>
          </w:p>
        </w:tc>
      </w:tr>
      <w:tr w:rsidR="00D41531" w:rsidRPr="00BA629A" w14:paraId="056582AA" w14:textId="77777777" w:rsidTr="00B776CE">
        <w:trPr>
          <w:trHeight w:val="20"/>
        </w:trPr>
        <w:tc>
          <w:tcPr>
            <w:tcW w:w="682" w:type="pct"/>
          </w:tcPr>
          <w:p w14:paraId="70CCCD64" w14:textId="77777777" w:rsidR="00F510AF" w:rsidRPr="00953014" w:rsidRDefault="00F510AF" w:rsidP="000A61CA">
            <w:pPr>
              <w:pStyle w:val="TableText"/>
              <w:spacing w:before="0"/>
              <w:rPr>
                <w:rFonts w:ascii="Times New Roman" w:hAnsi="Times New Roman" w:cs="Times New Roman"/>
                <w:sz w:val="24"/>
                <w:szCs w:val="24"/>
              </w:rPr>
            </w:pPr>
            <w:r w:rsidRPr="00953014">
              <w:rPr>
                <w:rFonts w:ascii="Times New Roman" w:hAnsi="Times New Roman" w:cs="Times New Roman"/>
                <w:sz w:val="24"/>
                <w:szCs w:val="24"/>
              </w:rPr>
              <w:t>Tagalog</w:t>
            </w:r>
          </w:p>
        </w:tc>
        <w:tc>
          <w:tcPr>
            <w:tcW w:w="1317" w:type="pct"/>
          </w:tcPr>
          <w:p w14:paraId="7BF06F29" w14:textId="77777777" w:rsidR="00F510AF" w:rsidRPr="00953014" w:rsidRDefault="00F510AF" w:rsidP="000A61CA">
            <w:pPr>
              <w:pStyle w:val="TableText"/>
              <w:spacing w:before="0"/>
              <w:jc w:val="center"/>
              <w:rPr>
                <w:rFonts w:ascii="Times New Roman" w:hAnsi="Times New Roman" w:cs="Times New Roman"/>
                <w:sz w:val="24"/>
                <w:szCs w:val="24"/>
              </w:rPr>
            </w:pPr>
            <w:r w:rsidRPr="00953014">
              <w:rPr>
                <w:rFonts w:ascii="Times New Roman" w:hAnsi="Times New Roman" w:cs="Times New Roman"/>
                <w:sz w:val="24"/>
                <w:szCs w:val="24"/>
              </w:rPr>
              <w:t>NA</w:t>
            </w:r>
          </w:p>
        </w:tc>
        <w:tc>
          <w:tcPr>
            <w:tcW w:w="1039" w:type="pct"/>
          </w:tcPr>
          <w:p w14:paraId="51E55F38" w14:textId="77777777" w:rsidR="00F510AF" w:rsidRPr="00953014" w:rsidRDefault="00F510AF" w:rsidP="001D32A2">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0</w:t>
            </w:r>
          </w:p>
        </w:tc>
        <w:tc>
          <w:tcPr>
            <w:tcW w:w="1343" w:type="pct"/>
          </w:tcPr>
          <w:p w14:paraId="6782D3C3" w14:textId="77777777" w:rsidR="00F510AF" w:rsidRPr="00953014" w:rsidRDefault="00F510AF" w:rsidP="000A61CA">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 xml:space="preserve"> 6</w:t>
            </w:r>
          </w:p>
        </w:tc>
        <w:tc>
          <w:tcPr>
            <w:tcW w:w="620" w:type="pct"/>
          </w:tcPr>
          <w:p w14:paraId="2102D9AD" w14:textId="77777777" w:rsidR="00F510AF" w:rsidRPr="00953014" w:rsidRDefault="00F510AF" w:rsidP="000A61CA">
            <w:pPr>
              <w:pStyle w:val="TableTextDec"/>
              <w:tabs>
                <w:tab w:val="clear" w:pos="1015"/>
                <w:tab w:val="decimal" w:pos="915"/>
              </w:tabs>
              <w:spacing w:before="0"/>
              <w:rPr>
                <w:rFonts w:ascii="Times New Roman" w:hAnsi="Times New Roman"/>
                <w:sz w:val="24"/>
                <w:szCs w:val="24"/>
              </w:rPr>
            </w:pPr>
            <w:r w:rsidRPr="00953014">
              <w:rPr>
                <w:rFonts w:ascii="Times New Roman" w:hAnsi="Times New Roman"/>
                <w:sz w:val="24"/>
                <w:szCs w:val="24"/>
              </w:rPr>
              <w:t>6</w:t>
            </w:r>
          </w:p>
        </w:tc>
      </w:tr>
      <w:tr w:rsidR="00D41531" w:rsidRPr="00BA629A" w14:paraId="4E9B88D8" w14:textId="77777777" w:rsidTr="00B776CE">
        <w:trPr>
          <w:trHeight w:val="20"/>
        </w:trPr>
        <w:tc>
          <w:tcPr>
            <w:tcW w:w="682" w:type="pct"/>
          </w:tcPr>
          <w:p w14:paraId="22526BCE" w14:textId="77777777" w:rsidR="00F510AF" w:rsidRPr="00953014" w:rsidRDefault="00F510AF" w:rsidP="000A61CA">
            <w:pPr>
              <w:pStyle w:val="TableText"/>
              <w:spacing w:before="0"/>
              <w:rPr>
                <w:rFonts w:ascii="Times New Roman" w:hAnsi="Times New Roman" w:cs="Times New Roman"/>
                <w:sz w:val="24"/>
                <w:szCs w:val="24"/>
              </w:rPr>
            </w:pPr>
            <w:r w:rsidRPr="00953014">
              <w:rPr>
                <w:rFonts w:ascii="Times New Roman" w:hAnsi="Times New Roman" w:cs="Times New Roman"/>
                <w:sz w:val="24"/>
                <w:szCs w:val="24"/>
              </w:rPr>
              <w:t>Chinese</w:t>
            </w:r>
          </w:p>
        </w:tc>
        <w:tc>
          <w:tcPr>
            <w:tcW w:w="1317" w:type="pct"/>
          </w:tcPr>
          <w:p w14:paraId="4EFE9294" w14:textId="77777777" w:rsidR="00F510AF" w:rsidRPr="00953014" w:rsidRDefault="00F510AF" w:rsidP="000A61CA">
            <w:pPr>
              <w:pStyle w:val="TableText"/>
              <w:spacing w:before="0"/>
              <w:jc w:val="center"/>
              <w:rPr>
                <w:rFonts w:ascii="Times New Roman" w:hAnsi="Times New Roman" w:cs="Times New Roman"/>
                <w:sz w:val="24"/>
                <w:szCs w:val="24"/>
              </w:rPr>
            </w:pPr>
            <w:r w:rsidRPr="00953014">
              <w:rPr>
                <w:rFonts w:ascii="Times New Roman" w:hAnsi="Times New Roman" w:cs="Times New Roman"/>
                <w:sz w:val="24"/>
                <w:szCs w:val="24"/>
              </w:rPr>
              <w:t>NA</w:t>
            </w:r>
          </w:p>
        </w:tc>
        <w:tc>
          <w:tcPr>
            <w:tcW w:w="1039" w:type="pct"/>
          </w:tcPr>
          <w:p w14:paraId="174A2251" w14:textId="77777777" w:rsidR="00F510AF" w:rsidRPr="00953014" w:rsidRDefault="00F510AF" w:rsidP="001D32A2">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0</w:t>
            </w:r>
          </w:p>
        </w:tc>
        <w:tc>
          <w:tcPr>
            <w:tcW w:w="1343" w:type="pct"/>
          </w:tcPr>
          <w:p w14:paraId="12133C25" w14:textId="77777777" w:rsidR="00F510AF" w:rsidRPr="00953014" w:rsidRDefault="00F510AF" w:rsidP="000A61CA">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 xml:space="preserve"> 6</w:t>
            </w:r>
          </w:p>
        </w:tc>
        <w:tc>
          <w:tcPr>
            <w:tcW w:w="620" w:type="pct"/>
          </w:tcPr>
          <w:p w14:paraId="06F70C32" w14:textId="77777777" w:rsidR="00F510AF" w:rsidRPr="00953014" w:rsidRDefault="00F510AF" w:rsidP="000A61CA">
            <w:pPr>
              <w:pStyle w:val="TableTextDec"/>
              <w:tabs>
                <w:tab w:val="clear" w:pos="1015"/>
                <w:tab w:val="decimal" w:pos="915"/>
              </w:tabs>
              <w:spacing w:before="0"/>
              <w:rPr>
                <w:rFonts w:ascii="Times New Roman" w:hAnsi="Times New Roman"/>
                <w:sz w:val="24"/>
                <w:szCs w:val="24"/>
              </w:rPr>
            </w:pPr>
            <w:r w:rsidRPr="00953014">
              <w:rPr>
                <w:rFonts w:ascii="Times New Roman" w:hAnsi="Times New Roman"/>
                <w:sz w:val="24"/>
                <w:szCs w:val="24"/>
              </w:rPr>
              <w:t>6</w:t>
            </w:r>
          </w:p>
        </w:tc>
      </w:tr>
      <w:tr w:rsidR="00D41531" w:rsidRPr="00BA629A" w14:paraId="3D1D1EE1" w14:textId="77777777" w:rsidTr="00B776CE">
        <w:trPr>
          <w:trHeight w:val="20"/>
        </w:trPr>
        <w:tc>
          <w:tcPr>
            <w:tcW w:w="682" w:type="pct"/>
          </w:tcPr>
          <w:p w14:paraId="3FDDA687" w14:textId="77777777" w:rsidR="00F510AF" w:rsidRPr="00953014" w:rsidRDefault="00F510AF" w:rsidP="000A61CA">
            <w:pPr>
              <w:pStyle w:val="TableText"/>
              <w:spacing w:before="0"/>
              <w:rPr>
                <w:rFonts w:ascii="Times New Roman" w:hAnsi="Times New Roman" w:cs="Times New Roman"/>
                <w:sz w:val="24"/>
                <w:szCs w:val="24"/>
              </w:rPr>
            </w:pPr>
            <w:r w:rsidRPr="00953014">
              <w:rPr>
                <w:rFonts w:ascii="Times New Roman" w:hAnsi="Times New Roman" w:cs="Times New Roman"/>
                <w:sz w:val="24"/>
                <w:szCs w:val="24"/>
              </w:rPr>
              <w:t>Vietnamese</w:t>
            </w:r>
          </w:p>
        </w:tc>
        <w:tc>
          <w:tcPr>
            <w:tcW w:w="1317" w:type="pct"/>
          </w:tcPr>
          <w:p w14:paraId="354A5DA3" w14:textId="77777777" w:rsidR="00F510AF" w:rsidRPr="00953014" w:rsidRDefault="00F510AF" w:rsidP="000A61CA">
            <w:pPr>
              <w:pStyle w:val="TableText"/>
              <w:spacing w:before="0"/>
              <w:jc w:val="center"/>
              <w:rPr>
                <w:rFonts w:ascii="Times New Roman" w:hAnsi="Times New Roman" w:cs="Times New Roman"/>
                <w:sz w:val="24"/>
                <w:szCs w:val="24"/>
              </w:rPr>
            </w:pPr>
            <w:r w:rsidRPr="00953014">
              <w:rPr>
                <w:rFonts w:ascii="Times New Roman" w:hAnsi="Times New Roman" w:cs="Times New Roman"/>
                <w:sz w:val="24"/>
                <w:szCs w:val="24"/>
              </w:rPr>
              <w:t>NA</w:t>
            </w:r>
          </w:p>
        </w:tc>
        <w:tc>
          <w:tcPr>
            <w:tcW w:w="1039" w:type="pct"/>
          </w:tcPr>
          <w:p w14:paraId="00F712D5" w14:textId="77777777" w:rsidR="00F510AF" w:rsidRPr="00953014" w:rsidRDefault="00F510AF" w:rsidP="001D32A2">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0</w:t>
            </w:r>
          </w:p>
        </w:tc>
        <w:tc>
          <w:tcPr>
            <w:tcW w:w="1343" w:type="pct"/>
          </w:tcPr>
          <w:p w14:paraId="219A15FA" w14:textId="77777777" w:rsidR="00F510AF" w:rsidRPr="00953014" w:rsidRDefault="00F510AF" w:rsidP="000A61CA">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 xml:space="preserve"> 6</w:t>
            </w:r>
          </w:p>
        </w:tc>
        <w:tc>
          <w:tcPr>
            <w:tcW w:w="620" w:type="pct"/>
          </w:tcPr>
          <w:p w14:paraId="2F49CBD3" w14:textId="77777777" w:rsidR="00F510AF" w:rsidRPr="00953014" w:rsidRDefault="00F510AF" w:rsidP="000A61CA">
            <w:pPr>
              <w:pStyle w:val="TableTextDec"/>
              <w:tabs>
                <w:tab w:val="clear" w:pos="1015"/>
                <w:tab w:val="decimal" w:pos="915"/>
              </w:tabs>
              <w:spacing w:before="0"/>
              <w:rPr>
                <w:rFonts w:ascii="Times New Roman" w:hAnsi="Times New Roman"/>
                <w:sz w:val="24"/>
                <w:szCs w:val="24"/>
              </w:rPr>
            </w:pPr>
            <w:r w:rsidRPr="00953014">
              <w:rPr>
                <w:rFonts w:ascii="Times New Roman" w:hAnsi="Times New Roman"/>
                <w:sz w:val="24"/>
                <w:szCs w:val="24"/>
              </w:rPr>
              <w:t>6</w:t>
            </w:r>
          </w:p>
        </w:tc>
      </w:tr>
      <w:tr w:rsidR="00D41531" w:rsidRPr="00BA629A" w14:paraId="29C8D521" w14:textId="77777777" w:rsidTr="00B776CE">
        <w:trPr>
          <w:cnfStyle w:val="010000000000" w:firstRow="0" w:lastRow="1" w:firstColumn="0" w:lastColumn="0" w:oddVBand="0" w:evenVBand="0" w:oddHBand="0" w:evenHBand="0" w:firstRowFirstColumn="0" w:firstRowLastColumn="0" w:lastRowFirstColumn="0" w:lastRowLastColumn="0"/>
          <w:trHeight w:val="20"/>
        </w:trPr>
        <w:tc>
          <w:tcPr>
            <w:tcW w:w="682" w:type="pct"/>
          </w:tcPr>
          <w:p w14:paraId="213668EE" w14:textId="77777777" w:rsidR="00F510AF" w:rsidRPr="00953014" w:rsidRDefault="00F510AF" w:rsidP="000A61CA">
            <w:pPr>
              <w:pStyle w:val="TableText"/>
              <w:spacing w:before="0"/>
              <w:rPr>
                <w:rFonts w:ascii="Times New Roman" w:hAnsi="Times New Roman" w:cs="Times New Roman"/>
                <w:sz w:val="24"/>
                <w:szCs w:val="24"/>
              </w:rPr>
            </w:pPr>
            <w:r w:rsidRPr="00953014">
              <w:rPr>
                <w:rFonts w:ascii="Times New Roman" w:hAnsi="Times New Roman" w:cs="Times New Roman"/>
                <w:sz w:val="24"/>
                <w:szCs w:val="24"/>
              </w:rPr>
              <w:t>TOTAL</w:t>
            </w:r>
          </w:p>
        </w:tc>
        <w:tc>
          <w:tcPr>
            <w:tcW w:w="1317" w:type="pct"/>
          </w:tcPr>
          <w:p w14:paraId="3F6443AF" w14:textId="77777777" w:rsidR="00F510AF" w:rsidRPr="00953014" w:rsidRDefault="00F510AF" w:rsidP="000A61CA">
            <w:pPr>
              <w:pStyle w:val="TableText"/>
              <w:spacing w:before="0"/>
              <w:jc w:val="center"/>
              <w:rPr>
                <w:rFonts w:ascii="Times New Roman" w:hAnsi="Times New Roman" w:cs="Times New Roman"/>
                <w:sz w:val="24"/>
                <w:szCs w:val="24"/>
              </w:rPr>
            </w:pPr>
            <w:r w:rsidRPr="00953014">
              <w:rPr>
                <w:rFonts w:ascii="Times New Roman" w:hAnsi="Times New Roman" w:cs="Times New Roman"/>
                <w:sz w:val="24"/>
                <w:szCs w:val="24"/>
              </w:rPr>
              <w:t>NA</w:t>
            </w:r>
          </w:p>
        </w:tc>
        <w:tc>
          <w:tcPr>
            <w:tcW w:w="1039" w:type="pct"/>
          </w:tcPr>
          <w:p w14:paraId="04856685" w14:textId="77777777" w:rsidR="00F510AF" w:rsidRPr="00953014" w:rsidRDefault="00F510AF" w:rsidP="001D32A2">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16</w:t>
            </w:r>
          </w:p>
        </w:tc>
        <w:tc>
          <w:tcPr>
            <w:tcW w:w="1343" w:type="pct"/>
          </w:tcPr>
          <w:p w14:paraId="0CBABCE8" w14:textId="77777777" w:rsidR="00F510AF" w:rsidRPr="00953014" w:rsidRDefault="00F510AF" w:rsidP="000A61CA">
            <w:pPr>
              <w:pStyle w:val="TableTextDec"/>
              <w:tabs>
                <w:tab w:val="clear" w:pos="1015"/>
                <w:tab w:val="decimal" w:pos="1279"/>
              </w:tabs>
              <w:spacing w:before="0"/>
              <w:rPr>
                <w:rFonts w:ascii="Times New Roman" w:hAnsi="Times New Roman"/>
                <w:sz w:val="24"/>
                <w:szCs w:val="24"/>
              </w:rPr>
            </w:pPr>
            <w:r w:rsidRPr="00953014">
              <w:rPr>
                <w:rFonts w:ascii="Times New Roman" w:hAnsi="Times New Roman"/>
                <w:sz w:val="24"/>
                <w:szCs w:val="24"/>
              </w:rPr>
              <w:t xml:space="preserve"> 18</w:t>
            </w:r>
          </w:p>
        </w:tc>
        <w:tc>
          <w:tcPr>
            <w:tcW w:w="620" w:type="pct"/>
          </w:tcPr>
          <w:p w14:paraId="72EDD9C8" w14:textId="77777777" w:rsidR="00F510AF" w:rsidRPr="00953014" w:rsidRDefault="00F510AF" w:rsidP="000A61CA">
            <w:pPr>
              <w:pStyle w:val="TableTextDec"/>
              <w:tabs>
                <w:tab w:val="clear" w:pos="1015"/>
                <w:tab w:val="decimal" w:pos="915"/>
              </w:tabs>
              <w:spacing w:before="0"/>
              <w:rPr>
                <w:rFonts w:ascii="Times New Roman" w:hAnsi="Times New Roman"/>
                <w:sz w:val="24"/>
                <w:szCs w:val="24"/>
              </w:rPr>
            </w:pPr>
            <w:r w:rsidRPr="00953014">
              <w:rPr>
                <w:rFonts w:ascii="Times New Roman" w:hAnsi="Times New Roman"/>
                <w:sz w:val="24"/>
                <w:szCs w:val="24"/>
              </w:rPr>
              <w:t>34</w:t>
            </w:r>
          </w:p>
        </w:tc>
      </w:tr>
    </w:tbl>
    <w:p w14:paraId="399EDAF2" w14:textId="1E4246D7" w:rsidR="00F510AF" w:rsidRDefault="00F510AF" w:rsidP="001F5D8F">
      <w:pPr>
        <w:spacing w:before="120"/>
        <w:ind w:left="1440"/>
        <w:rPr>
          <w:sz w:val="24"/>
        </w:rPr>
      </w:pPr>
    </w:p>
    <w:p w14:paraId="6F70FA6B" w14:textId="46D98F0B" w:rsidR="00EC11FE" w:rsidRPr="00037255" w:rsidRDefault="00AA2313" w:rsidP="00DB0714">
      <w:pPr>
        <w:spacing w:before="120"/>
        <w:rPr>
          <w:sz w:val="24"/>
        </w:rPr>
      </w:pPr>
      <w:r w:rsidRPr="00F510AF">
        <w:rPr>
          <w:sz w:val="24"/>
        </w:rPr>
        <w:t xml:space="preserve">Following the first round of testing, </w:t>
      </w:r>
      <w:r w:rsidR="00B020DA">
        <w:rPr>
          <w:sz w:val="24"/>
        </w:rPr>
        <w:t>HRSA</w:t>
      </w:r>
      <w:r w:rsidR="00C0540B">
        <w:rPr>
          <w:sz w:val="24"/>
        </w:rPr>
        <w:t xml:space="preserve"> </w:t>
      </w:r>
      <w:r w:rsidR="002208AE">
        <w:rPr>
          <w:sz w:val="24"/>
        </w:rPr>
        <w:t xml:space="preserve">will make </w:t>
      </w:r>
      <w:r w:rsidRPr="00F510AF">
        <w:rPr>
          <w:sz w:val="24"/>
        </w:rPr>
        <w:t xml:space="preserve">edits to the </w:t>
      </w:r>
      <w:r w:rsidR="00C50846">
        <w:rPr>
          <w:sz w:val="24"/>
        </w:rPr>
        <w:t>questionnaire</w:t>
      </w:r>
      <w:r w:rsidR="002208AE" w:rsidRPr="00F510AF">
        <w:rPr>
          <w:sz w:val="24"/>
        </w:rPr>
        <w:t xml:space="preserve"> </w:t>
      </w:r>
      <w:r w:rsidRPr="00F510AF">
        <w:rPr>
          <w:sz w:val="24"/>
        </w:rPr>
        <w:t>in each of the languages</w:t>
      </w:r>
      <w:r w:rsidR="00A4130E">
        <w:rPr>
          <w:sz w:val="24"/>
        </w:rPr>
        <w:t xml:space="preserve"> </w:t>
      </w:r>
      <w:r w:rsidR="002208AE">
        <w:rPr>
          <w:sz w:val="24"/>
        </w:rPr>
        <w:t>and administer the</w:t>
      </w:r>
      <w:r w:rsidR="00F510AF" w:rsidRPr="00F510AF">
        <w:rPr>
          <w:sz w:val="24"/>
        </w:rPr>
        <w:t xml:space="preserve"> revised </w:t>
      </w:r>
      <w:r w:rsidR="00890075">
        <w:rPr>
          <w:sz w:val="24"/>
        </w:rPr>
        <w:t>version</w:t>
      </w:r>
      <w:r w:rsidR="00F510AF" w:rsidRPr="00F510AF">
        <w:rPr>
          <w:sz w:val="24"/>
        </w:rPr>
        <w:t xml:space="preserve"> </w:t>
      </w:r>
      <w:r w:rsidR="00D326B5">
        <w:rPr>
          <w:sz w:val="24"/>
        </w:rPr>
        <w:t xml:space="preserve">in the second round of cognitive testing. </w:t>
      </w:r>
      <w:r w:rsidR="00216451">
        <w:rPr>
          <w:sz w:val="24"/>
        </w:rPr>
        <w:t xml:space="preserve"> </w:t>
      </w:r>
      <w:r w:rsidR="00B020DA">
        <w:rPr>
          <w:sz w:val="24"/>
        </w:rPr>
        <w:t>HRSA</w:t>
      </w:r>
      <w:r w:rsidR="00B020DA" w:rsidRPr="00F510AF">
        <w:rPr>
          <w:sz w:val="24"/>
        </w:rPr>
        <w:t xml:space="preserve"> </w:t>
      </w:r>
      <w:r w:rsidRPr="00F510AF">
        <w:rPr>
          <w:sz w:val="24"/>
        </w:rPr>
        <w:t>will conduct a total of six English and six Spanish interviews on site</w:t>
      </w:r>
      <w:r w:rsidR="00F510AF" w:rsidRPr="00F510AF">
        <w:rPr>
          <w:sz w:val="24"/>
        </w:rPr>
        <w:t xml:space="preserve"> </w:t>
      </w:r>
      <w:r w:rsidR="00AF28B3">
        <w:rPr>
          <w:sz w:val="24"/>
        </w:rPr>
        <w:t xml:space="preserve">at the health center </w:t>
      </w:r>
      <w:r w:rsidR="00F510AF" w:rsidRPr="00F510AF">
        <w:rPr>
          <w:sz w:val="24"/>
        </w:rPr>
        <w:t>(</w:t>
      </w:r>
      <w:r w:rsidR="00F510AF" w:rsidRPr="00953014">
        <w:rPr>
          <w:sz w:val="24"/>
        </w:rPr>
        <w:t>Table 2</w:t>
      </w:r>
      <w:r w:rsidR="00F510AF" w:rsidRPr="00F510AF">
        <w:rPr>
          <w:sz w:val="24"/>
        </w:rPr>
        <w:t>)</w:t>
      </w:r>
      <w:r w:rsidRPr="00F510AF">
        <w:rPr>
          <w:sz w:val="24"/>
        </w:rPr>
        <w:t xml:space="preserve">. </w:t>
      </w:r>
      <w:r w:rsidR="00216451">
        <w:rPr>
          <w:sz w:val="24"/>
        </w:rPr>
        <w:t xml:space="preserve"> </w:t>
      </w:r>
      <w:r w:rsidRPr="00F510AF">
        <w:rPr>
          <w:sz w:val="24"/>
        </w:rPr>
        <w:t xml:space="preserve">In addition to the </w:t>
      </w:r>
      <w:r w:rsidR="00AF28B3">
        <w:rPr>
          <w:sz w:val="24"/>
        </w:rPr>
        <w:t xml:space="preserve">12 </w:t>
      </w:r>
      <w:r w:rsidRPr="00F510AF">
        <w:rPr>
          <w:sz w:val="24"/>
        </w:rPr>
        <w:t xml:space="preserve">on-site interviews, </w:t>
      </w:r>
      <w:r w:rsidR="00B020DA">
        <w:rPr>
          <w:sz w:val="24"/>
        </w:rPr>
        <w:t>HRSA</w:t>
      </w:r>
      <w:r w:rsidR="002208AE" w:rsidRPr="00F510AF">
        <w:rPr>
          <w:sz w:val="24"/>
        </w:rPr>
        <w:t xml:space="preserve"> </w:t>
      </w:r>
      <w:r w:rsidRPr="00F510AF">
        <w:rPr>
          <w:sz w:val="24"/>
        </w:rPr>
        <w:t>will recruit and conduct four interviews in Tagalog, four in Chinese (Mandarin and Cantonese), and four in Vietnamese</w:t>
      </w:r>
      <w:r w:rsidR="00AF28B3">
        <w:rPr>
          <w:sz w:val="24"/>
        </w:rPr>
        <w:t xml:space="preserve"> through</w:t>
      </w:r>
      <w:r w:rsidR="00AF28B3" w:rsidRPr="00AF28B3">
        <w:rPr>
          <w:sz w:val="24"/>
        </w:rPr>
        <w:t xml:space="preserve"> </w:t>
      </w:r>
      <w:r w:rsidR="00AF28B3" w:rsidRPr="00F510AF">
        <w:rPr>
          <w:sz w:val="24"/>
        </w:rPr>
        <w:t xml:space="preserve">advertisements posted in community forums </w:t>
      </w:r>
      <w:r w:rsidR="00AF28B3">
        <w:rPr>
          <w:sz w:val="24"/>
        </w:rPr>
        <w:t xml:space="preserve">at </w:t>
      </w:r>
      <w:r w:rsidR="00C0540B" w:rsidRPr="00047C7C">
        <w:rPr>
          <w:sz w:val="24"/>
        </w:rPr>
        <w:t>Raleigh-Durham</w:t>
      </w:r>
      <w:r w:rsidR="004C486F">
        <w:rPr>
          <w:sz w:val="24"/>
        </w:rPr>
        <w:t>, NC</w:t>
      </w:r>
      <w:r w:rsidR="00C0540B" w:rsidRPr="00047C7C">
        <w:rPr>
          <w:sz w:val="24"/>
        </w:rPr>
        <w:t>, Chicago, IL</w:t>
      </w:r>
      <w:r w:rsidR="00216451">
        <w:rPr>
          <w:sz w:val="24"/>
        </w:rPr>
        <w:t>,</w:t>
      </w:r>
      <w:r w:rsidR="00C0540B">
        <w:rPr>
          <w:sz w:val="24"/>
        </w:rPr>
        <w:t xml:space="preserve"> and </w:t>
      </w:r>
      <w:r w:rsidR="00C0540B" w:rsidRPr="00047C7C">
        <w:rPr>
          <w:sz w:val="24"/>
        </w:rPr>
        <w:t>potential</w:t>
      </w:r>
      <w:r w:rsidR="00C0540B">
        <w:rPr>
          <w:sz w:val="24"/>
        </w:rPr>
        <w:t>ly</w:t>
      </w:r>
      <w:r w:rsidR="00C0540B" w:rsidRPr="00047C7C">
        <w:rPr>
          <w:sz w:val="24"/>
        </w:rPr>
        <w:t xml:space="preserve"> </w:t>
      </w:r>
      <w:r w:rsidR="00216451">
        <w:rPr>
          <w:sz w:val="24"/>
        </w:rPr>
        <w:t xml:space="preserve">at </w:t>
      </w:r>
      <w:r w:rsidR="00C0540B" w:rsidRPr="00047C7C">
        <w:rPr>
          <w:sz w:val="24"/>
        </w:rPr>
        <w:t>Washington, D</w:t>
      </w:r>
      <w:r w:rsidR="00C0540B">
        <w:rPr>
          <w:sz w:val="24"/>
        </w:rPr>
        <w:t>.</w:t>
      </w:r>
      <w:r w:rsidR="00C0540B" w:rsidRPr="00047C7C">
        <w:rPr>
          <w:sz w:val="24"/>
        </w:rPr>
        <w:t>C</w:t>
      </w:r>
      <w:r w:rsidR="00C0540B">
        <w:rPr>
          <w:sz w:val="24"/>
        </w:rPr>
        <w:t>.</w:t>
      </w:r>
      <w:r w:rsidR="00C0540B" w:rsidRPr="00047C7C">
        <w:rPr>
          <w:sz w:val="24"/>
        </w:rPr>
        <w:t xml:space="preserve"> and San Francisco</w:t>
      </w:r>
      <w:r w:rsidR="004C486F">
        <w:rPr>
          <w:sz w:val="24"/>
        </w:rPr>
        <w:t>, CA</w:t>
      </w:r>
      <w:r w:rsidRPr="00F510AF">
        <w:rPr>
          <w:sz w:val="24"/>
        </w:rPr>
        <w:t>.</w:t>
      </w:r>
      <w:r w:rsidR="00C0540B">
        <w:rPr>
          <w:sz w:val="24"/>
        </w:rPr>
        <w:t xml:space="preserve"> </w:t>
      </w:r>
      <w:r w:rsidR="00216451">
        <w:rPr>
          <w:sz w:val="24"/>
        </w:rPr>
        <w:t xml:space="preserve"> </w:t>
      </w:r>
      <w:r w:rsidR="00C0540B">
        <w:rPr>
          <w:sz w:val="24"/>
        </w:rPr>
        <w:t>R</w:t>
      </w:r>
      <w:r w:rsidR="00AF28B3">
        <w:rPr>
          <w:sz w:val="24"/>
        </w:rPr>
        <w:t xml:space="preserve">ound </w:t>
      </w:r>
      <w:r w:rsidR="001D32A2">
        <w:rPr>
          <w:sz w:val="24"/>
        </w:rPr>
        <w:t>2</w:t>
      </w:r>
      <w:r w:rsidR="00AF28B3">
        <w:rPr>
          <w:sz w:val="24"/>
        </w:rPr>
        <w:t xml:space="preserve"> of the pretest</w:t>
      </w:r>
      <w:r w:rsidRPr="00F510AF">
        <w:rPr>
          <w:sz w:val="24"/>
        </w:rPr>
        <w:t xml:space="preserve"> will </w:t>
      </w:r>
      <w:r w:rsidR="00AF28B3">
        <w:rPr>
          <w:sz w:val="24"/>
        </w:rPr>
        <w:t>include a total of 24 cognitive interviews</w:t>
      </w:r>
      <w:r w:rsidRPr="00F510AF">
        <w:rPr>
          <w:sz w:val="24"/>
        </w:rPr>
        <w:t xml:space="preserve">. </w:t>
      </w:r>
      <w:r w:rsidR="00216451">
        <w:rPr>
          <w:sz w:val="24"/>
        </w:rPr>
        <w:t xml:space="preserve"> </w:t>
      </w:r>
      <w:r w:rsidR="00F510AF" w:rsidRPr="00F510AF">
        <w:rPr>
          <w:sz w:val="24"/>
        </w:rPr>
        <w:t>All efforts will be made to recruit a diverse sample in terms of respondent age, gender, and race/ethnicity.</w:t>
      </w:r>
      <w:r w:rsidR="00C0540B">
        <w:rPr>
          <w:sz w:val="24"/>
        </w:rPr>
        <w:t xml:space="preserve"> </w:t>
      </w:r>
      <w:r w:rsidR="00216451">
        <w:rPr>
          <w:sz w:val="24"/>
        </w:rPr>
        <w:t xml:space="preserve"> </w:t>
      </w:r>
      <w:r w:rsidR="00B020DA">
        <w:rPr>
          <w:sz w:val="24"/>
        </w:rPr>
        <w:t>HRSA</w:t>
      </w:r>
      <w:r w:rsidR="003E4CBD">
        <w:rPr>
          <w:sz w:val="24"/>
        </w:rPr>
        <w:t xml:space="preserve"> will continue to recruit until the </w:t>
      </w:r>
      <w:r w:rsidR="00216451">
        <w:rPr>
          <w:sz w:val="24"/>
        </w:rPr>
        <w:t xml:space="preserve">pretest achieves the </w:t>
      </w:r>
      <w:r w:rsidR="003E4CBD">
        <w:rPr>
          <w:sz w:val="24"/>
        </w:rPr>
        <w:t xml:space="preserve">targeted </w:t>
      </w:r>
      <w:r w:rsidR="003E4CBD" w:rsidRPr="00037255">
        <w:rPr>
          <w:sz w:val="24"/>
        </w:rPr>
        <w:t xml:space="preserve">number </w:t>
      </w:r>
      <w:r w:rsidR="00EF6B0B" w:rsidRPr="00037255">
        <w:rPr>
          <w:sz w:val="24"/>
        </w:rPr>
        <w:t xml:space="preserve">of participants in </w:t>
      </w:r>
      <w:r w:rsidR="00EF6B0B" w:rsidRPr="00895B29">
        <w:rPr>
          <w:sz w:val="24"/>
        </w:rPr>
        <w:t>each demog</w:t>
      </w:r>
      <w:r w:rsidR="00EF6B0B" w:rsidRPr="00037255">
        <w:rPr>
          <w:sz w:val="24"/>
        </w:rPr>
        <w:t xml:space="preserve">raphic category </w:t>
      </w:r>
      <w:r w:rsidR="00B020DA">
        <w:rPr>
          <w:sz w:val="24"/>
        </w:rPr>
        <w:t>in each location via advertisements and flyers</w:t>
      </w:r>
      <w:r w:rsidR="003E4CBD" w:rsidRPr="00037255">
        <w:rPr>
          <w:sz w:val="24"/>
        </w:rPr>
        <w:t xml:space="preserve">. </w:t>
      </w:r>
      <w:r w:rsidR="00216451">
        <w:rPr>
          <w:sz w:val="24"/>
        </w:rPr>
        <w:t xml:space="preserve"> </w:t>
      </w:r>
      <w:r w:rsidR="00B020DA">
        <w:rPr>
          <w:sz w:val="24"/>
        </w:rPr>
        <w:t>Experience from the 2014 Health Center Patient Survey suggest</w:t>
      </w:r>
      <w:r w:rsidR="00216451">
        <w:rPr>
          <w:sz w:val="24"/>
        </w:rPr>
        <w:t>s</w:t>
      </w:r>
      <w:r w:rsidR="00B020DA">
        <w:rPr>
          <w:sz w:val="24"/>
        </w:rPr>
        <w:t xml:space="preserve"> that HRSA will </w:t>
      </w:r>
      <w:r w:rsidR="00A4130E" w:rsidRPr="00037255">
        <w:rPr>
          <w:sz w:val="24"/>
        </w:rPr>
        <w:t xml:space="preserve">receive </w:t>
      </w:r>
      <w:r w:rsidR="00B020DA">
        <w:rPr>
          <w:sz w:val="24"/>
        </w:rPr>
        <w:t xml:space="preserve">a sufficient number of </w:t>
      </w:r>
      <w:r w:rsidR="00A4130E" w:rsidRPr="00037255">
        <w:rPr>
          <w:sz w:val="24"/>
        </w:rPr>
        <w:t>inquiries to participate in the interview to ensure a diverse selection.</w:t>
      </w:r>
    </w:p>
    <w:p w14:paraId="3CCC19C4" w14:textId="5B90F277" w:rsidR="00BA629A" w:rsidRPr="0062028A" w:rsidRDefault="00F510AF" w:rsidP="00DB0714">
      <w:pPr>
        <w:spacing w:before="120"/>
        <w:rPr>
          <w:sz w:val="24"/>
        </w:rPr>
      </w:pPr>
      <w:r w:rsidRPr="00B776CE">
        <w:rPr>
          <w:sz w:val="24"/>
        </w:rPr>
        <w:t xml:space="preserve">Each participant </w:t>
      </w:r>
      <w:r w:rsidR="00D326B5" w:rsidRPr="00B776CE">
        <w:rPr>
          <w:sz w:val="24"/>
        </w:rPr>
        <w:t xml:space="preserve">in round 2 </w:t>
      </w:r>
      <w:r w:rsidRPr="0074630E">
        <w:rPr>
          <w:sz w:val="24"/>
        </w:rPr>
        <w:t>will be administered the entire questionnaire</w:t>
      </w:r>
      <w:r w:rsidR="00216451">
        <w:rPr>
          <w:sz w:val="24"/>
        </w:rPr>
        <w:t xml:space="preserve"> utilizing </w:t>
      </w:r>
      <w:r w:rsidRPr="0074630E">
        <w:rPr>
          <w:sz w:val="24"/>
        </w:rPr>
        <w:t xml:space="preserve">skip logic </w:t>
      </w:r>
      <w:r w:rsidRPr="00216451">
        <w:rPr>
          <w:sz w:val="24"/>
        </w:rPr>
        <w:t xml:space="preserve">so </w:t>
      </w:r>
      <w:r w:rsidR="004C486F">
        <w:rPr>
          <w:sz w:val="24"/>
        </w:rPr>
        <w:t xml:space="preserve">that </w:t>
      </w:r>
      <w:r w:rsidRPr="00216451">
        <w:rPr>
          <w:sz w:val="24"/>
        </w:rPr>
        <w:t xml:space="preserve">participants will only receive questions relevant to them. </w:t>
      </w:r>
      <w:r w:rsidR="00216451">
        <w:rPr>
          <w:sz w:val="24"/>
        </w:rPr>
        <w:t xml:space="preserve"> </w:t>
      </w:r>
      <w:r w:rsidRPr="00216451">
        <w:rPr>
          <w:sz w:val="24"/>
        </w:rPr>
        <w:t xml:space="preserve">Cognitive testing in round 2 will use debriefing probes administered after the survey is completed. </w:t>
      </w:r>
      <w:r w:rsidR="00216451">
        <w:rPr>
          <w:sz w:val="24"/>
        </w:rPr>
        <w:t xml:space="preserve"> </w:t>
      </w:r>
      <w:r w:rsidRPr="00216451">
        <w:rPr>
          <w:sz w:val="24"/>
        </w:rPr>
        <w:t xml:space="preserve">These probes will allow the </w:t>
      </w:r>
      <w:r w:rsidR="00D326B5" w:rsidRPr="00216451">
        <w:rPr>
          <w:sz w:val="24"/>
        </w:rPr>
        <w:lastRenderedPageBreak/>
        <w:t xml:space="preserve">interviewer </w:t>
      </w:r>
      <w:r w:rsidRPr="00216451">
        <w:rPr>
          <w:sz w:val="24"/>
        </w:rPr>
        <w:t xml:space="preserve">to assess the flow of the questions from domain to domain and will serve as dry runs to evaluate questionnaire timing. </w:t>
      </w:r>
      <w:r w:rsidR="00216451">
        <w:rPr>
          <w:sz w:val="24"/>
        </w:rPr>
        <w:t xml:space="preserve"> </w:t>
      </w:r>
      <w:r w:rsidR="00B020DA" w:rsidRPr="00216451">
        <w:rPr>
          <w:sz w:val="24"/>
        </w:rPr>
        <w:t>HRSA</w:t>
      </w:r>
      <w:r w:rsidR="00CB6C05" w:rsidRPr="00216451">
        <w:rPr>
          <w:sz w:val="24"/>
        </w:rPr>
        <w:t xml:space="preserve"> </w:t>
      </w:r>
      <w:r w:rsidRPr="00216451">
        <w:rPr>
          <w:sz w:val="24"/>
        </w:rPr>
        <w:t xml:space="preserve">will also test the skip logic </w:t>
      </w:r>
      <w:r w:rsidR="00CB6C05" w:rsidRPr="00216451">
        <w:rPr>
          <w:sz w:val="24"/>
        </w:rPr>
        <w:t>while assessing</w:t>
      </w:r>
      <w:r w:rsidRPr="00216451">
        <w:rPr>
          <w:sz w:val="24"/>
        </w:rPr>
        <w:t xml:space="preserve"> comprehension issues.</w:t>
      </w:r>
    </w:p>
    <w:p w14:paraId="2BE52C1A" w14:textId="77777777" w:rsidR="00D41531" w:rsidRPr="00DB0714" w:rsidRDefault="00D41531" w:rsidP="001F5D8F">
      <w:pPr>
        <w:spacing w:before="120"/>
        <w:ind w:left="1440"/>
        <w:rPr>
          <w:b/>
        </w:rPr>
      </w:pPr>
    </w:p>
    <w:p w14:paraId="209BBCD9" w14:textId="4E9BD2A4" w:rsidR="00D64FDB" w:rsidRPr="00F22556" w:rsidRDefault="00F510AF" w:rsidP="006F5632">
      <w:pPr>
        <w:pStyle w:val="bullets"/>
        <w:numPr>
          <w:ilvl w:val="0"/>
          <w:numId w:val="0"/>
        </w:numPr>
      </w:pPr>
      <w:r w:rsidRPr="00DB0714">
        <w:rPr>
          <w:b/>
        </w:rPr>
        <w:t xml:space="preserve">Table 2: </w:t>
      </w:r>
      <w:r w:rsidR="00D64FDB" w:rsidRPr="00DB0714">
        <w:rPr>
          <w:b/>
        </w:rPr>
        <w:t xml:space="preserve">Round 2 </w:t>
      </w:r>
      <w:r w:rsidR="00A97733" w:rsidRPr="00DB0714">
        <w:rPr>
          <w:b/>
        </w:rPr>
        <w:t>of Cognitive Interviews</w:t>
      </w:r>
    </w:p>
    <w:tbl>
      <w:tblPr>
        <w:tblStyle w:val="format4"/>
        <w:tblW w:w="4999" w:type="pct"/>
        <w:tblLook w:val="05E0" w:firstRow="1" w:lastRow="1" w:firstColumn="1" w:lastColumn="1" w:noHBand="0" w:noVBand="1"/>
      </w:tblPr>
      <w:tblGrid>
        <w:gridCol w:w="2011"/>
        <w:gridCol w:w="1188"/>
        <w:gridCol w:w="1919"/>
        <w:gridCol w:w="2651"/>
        <w:gridCol w:w="1733"/>
      </w:tblGrid>
      <w:tr w:rsidR="00BA629A" w:rsidRPr="00CB6C05" w14:paraId="3D5C9BA2" w14:textId="77777777" w:rsidTr="006F5632">
        <w:trPr>
          <w:cnfStyle w:val="100000000000" w:firstRow="1" w:lastRow="0" w:firstColumn="0" w:lastColumn="0" w:oddVBand="0" w:evenVBand="0" w:oddHBand="0" w:evenHBand="0" w:firstRowFirstColumn="0" w:firstRowLastColumn="0" w:lastRowFirstColumn="0" w:lastRowLastColumn="0"/>
        </w:trPr>
        <w:tc>
          <w:tcPr>
            <w:tcW w:w="1058" w:type="pct"/>
          </w:tcPr>
          <w:p w14:paraId="11A88D87" w14:textId="77777777" w:rsidR="00D64FDB" w:rsidRPr="006F5632" w:rsidRDefault="00D64FDB" w:rsidP="00F77F85">
            <w:pPr>
              <w:pStyle w:val="TableHeaders"/>
              <w:rPr>
                <w:rFonts w:ascii="Times New Roman" w:hAnsi="Times New Roman"/>
                <w:sz w:val="24"/>
                <w:szCs w:val="24"/>
              </w:rPr>
            </w:pPr>
            <w:r w:rsidRPr="006F5632">
              <w:rPr>
                <w:rFonts w:ascii="Times New Roman" w:hAnsi="Times New Roman"/>
                <w:sz w:val="24"/>
                <w:szCs w:val="24"/>
              </w:rPr>
              <w:t>Cohort</w:t>
            </w:r>
          </w:p>
        </w:tc>
        <w:tc>
          <w:tcPr>
            <w:tcW w:w="625" w:type="pct"/>
          </w:tcPr>
          <w:p w14:paraId="0A4A2C78" w14:textId="77777777" w:rsidR="00D64FDB" w:rsidRPr="006F5632" w:rsidRDefault="00D64FDB" w:rsidP="00F77F85">
            <w:pPr>
              <w:pStyle w:val="TableHeaders"/>
              <w:rPr>
                <w:rFonts w:ascii="Times New Roman" w:hAnsi="Times New Roman"/>
                <w:sz w:val="24"/>
                <w:szCs w:val="24"/>
              </w:rPr>
            </w:pPr>
            <w:r w:rsidRPr="006F5632">
              <w:rPr>
                <w:rFonts w:ascii="Times New Roman" w:hAnsi="Times New Roman"/>
                <w:sz w:val="24"/>
                <w:szCs w:val="24"/>
              </w:rPr>
              <w:t>Test</w:t>
            </w:r>
          </w:p>
        </w:tc>
        <w:tc>
          <w:tcPr>
            <w:tcW w:w="1010" w:type="pct"/>
          </w:tcPr>
          <w:p w14:paraId="5A98A274" w14:textId="77777777" w:rsidR="00D64FDB" w:rsidRPr="006F5632" w:rsidRDefault="00D64FDB" w:rsidP="00F77F85">
            <w:pPr>
              <w:pStyle w:val="TableHeaders"/>
              <w:rPr>
                <w:rFonts w:ascii="Times New Roman" w:hAnsi="Times New Roman"/>
                <w:sz w:val="24"/>
                <w:szCs w:val="24"/>
              </w:rPr>
            </w:pPr>
            <w:r w:rsidRPr="006F5632">
              <w:rPr>
                <w:rFonts w:ascii="Times New Roman" w:hAnsi="Times New Roman"/>
                <w:sz w:val="24"/>
                <w:szCs w:val="24"/>
              </w:rPr>
              <w:t>Recruited and Conducted at Clinic</w:t>
            </w:r>
          </w:p>
        </w:tc>
        <w:tc>
          <w:tcPr>
            <w:tcW w:w="1395" w:type="pct"/>
          </w:tcPr>
          <w:p w14:paraId="2C9D1216" w14:textId="77777777" w:rsidR="00D64FDB" w:rsidRPr="006F5632" w:rsidRDefault="00D64FDB" w:rsidP="00F77F85">
            <w:pPr>
              <w:pStyle w:val="TableHeaders"/>
              <w:rPr>
                <w:rFonts w:ascii="Times New Roman" w:hAnsi="Times New Roman"/>
                <w:sz w:val="24"/>
                <w:szCs w:val="24"/>
              </w:rPr>
            </w:pPr>
            <w:r w:rsidRPr="006F5632">
              <w:rPr>
                <w:rFonts w:ascii="Times New Roman" w:hAnsi="Times New Roman"/>
                <w:sz w:val="24"/>
                <w:szCs w:val="24"/>
              </w:rPr>
              <w:t>Recruited through Local Ads and Conducted at RTI/ Other Location</w:t>
            </w:r>
          </w:p>
        </w:tc>
        <w:tc>
          <w:tcPr>
            <w:tcW w:w="913" w:type="pct"/>
          </w:tcPr>
          <w:p w14:paraId="20CB9695" w14:textId="77777777" w:rsidR="00D64FDB" w:rsidRPr="006F5632" w:rsidRDefault="00D64FDB" w:rsidP="00F77F85">
            <w:pPr>
              <w:pStyle w:val="TableHeaders"/>
              <w:rPr>
                <w:rFonts w:ascii="Times New Roman" w:hAnsi="Times New Roman"/>
                <w:sz w:val="24"/>
                <w:szCs w:val="24"/>
              </w:rPr>
            </w:pPr>
            <w:r w:rsidRPr="006F5632">
              <w:rPr>
                <w:rFonts w:ascii="Times New Roman" w:hAnsi="Times New Roman"/>
                <w:sz w:val="24"/>
                <w:szCs w:val="24"/>
              </w:rPr>
              <w:t>Total</w:t>
            </w:r>
          </w:p>
        </w:tc>
      </w:tr>
      <w:tr w:rsidR="00BA629A" w:rsidRPr="00CB6C05" w14:paraId="1DC891AA" w14:textId="77777777" w:rsidTr="006F5632">
        <w:tc>
          <w:tcPr>
            <w:tcW w:w="1058" w:type="pct"/>
          </w:tcPr>
          <w:p w14:paraId="24CB76F6" w14:textId="77777777" w:rsidR="00D64FDB" w:rsidRPr="006F5632" w:rsidRDefault="00D64FDB" w:rsidP="00F77F85">
            <w:pPr>
              <w:pStyle w:val="TableText"/>
              <w:rPr>
                <w:rFonts w:ascii="Times New Roman" w:hAnsi="Times New Roman" w:cs="Times New Roman"/>
                <w:sz w:val="24"/>
                <w:szCs w:val="24"/>
              </w:rPr>
            </w:pPr>
            <w:r w:rsidRPr="006F5632">
              <w:rPr>
                <w:rFonts w:ascii="Times New Roman" w:hAnsi="Times New Roman" w:cs="Times New Roman"/>
                <w:sz w:val="24"/>
                <w:szCs w:val="24"/>
              </w:rPr>
              <w:t xml:space="preserve">English </w:t>
            </w:r>
          </w:p>
        </w:tc>
        <w:tc>
          <w:tcPr>
            <w:tcW w:w="625" w:type="pct"/>
          </w:tcPr>
          <w:p w14:paraId="2C9F7E6E" w14:textId="77777777" w:rsidR="00D64FDB" w:rsidRPr="006F5632" w:rsidRDefault="00D64FDB" w:rsidP="00F77F85">
            <w:pPr>
              <w:pStyle w:val="TableText"/>
              <w:jc w:val="center"/>
              <w:rPr>
                <w:rFonts w:ascii="Times New Roman" w:hAnsi="Times New Roman" w:cs="Times New Roman"/>
                <w:sz w:val="24"/>
                <w:szCs w:val="24"/>
              </w:rPr>
            </w:pPr>
            <w:r w:rsidRPr="006F5632">
              <w:rPr>
                <w:rFonts w:ascii="Times New Roman" w:hAnsi="Times New Roman" w:cs="Times New Roman"/>
                <w:sz w:val="24"/>
                <w:szCs w:val="24"/>
              </w:rPr>
              <w:t>All</w:t>
            </w:r>
          </w:p>
        </w:tc>
        <w:tc>
          <w:tcPr>
            <w:tcW w:w="1010" w:type="pct"/>
          </w:tcPr>
          <w:p w14:paraId="7DC20B3D" w14:textId="17256D61" w:rsidR="00D64FDB" w:rsidRPr="006F5632" w:rsidRDefault="00AE3621"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6</w:t>
            </w:r>
          </w:p>
        </w:tc>
        <w:tc>
          <w:tcPr>
            <w:tcW w:w="1395" w:type="pct"/>
          </w:tcPr>
          <w:p w14:paraId="183615BA" w14:textId="3CF82DB4" w:rsidR="00D64FDB" w:rsidRPr="006F5632" w:rsidRDefault="007F5EEE"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0</w:t>
            </w:r>
          </w:p>
        </w:tc>
        <w:tc>
          <w:tcPr>
            <w:tcW w:w="913" w:type="pct"/>
          </w:tcPr>
          <w:p w14:paraId="6DEC5011" w14:textId="77777777" w:rsidR="00D64FDB" w:rsidRPr="006F5632" w:rsidRDefault="00D64FDB" w:rsidP="00F77F85">
            <w:pPr>
              <w:pStyle w:val="TableTextDec"/>
              <w:tabs>
                <w:tab w:val="clear" w:pos="1015"/>
                <w:tab w:val="decimal" w:pos="918"/>
              </w:tabs>
              <w:rPr>
                <w:rFonts w:ascii="Times New Roman" w:hAnsi="Times New Roman"/>
                <w:sz w:val="24"/>
                <w:szCs w:val="24"/>
              </w:rPr>
            </w:pPr>
            <w:r w:rsidRPr="006F5632">
              <w:rPr>
                <w:rFonts w:ascii="Times New Roman" w:hAnsi="Times New Roman"/>
                <w:sz w:val="24"/>
                <w:szCs w:val="24"/>
              </w:rPr>
              <w:t>6</w:t>
            </w:r>
          </w:p>
        </w:tc>
      </w:tr>
      <w:tr w:rsidR="00BA629A" w:rsidRPr="00CB6C05" w14:paraId="5D46C7A1" w14:textId="77777777" w:rsidTr="006F5632">
        <w:tc>
          <w:tcPr>
            <w:tcW w:w="1058" w:type="pct"/>
          </w:tcPr>
          <w:p w14:paraId="3288F968" w14:textId="77777777" w:rsidR="00D64FDB" w:rsidRPr="006F5632" w:rsidRDefault="00D64FDB" w:rsidP="00F77F85">
            <w:pPr>
              <w:pStyle w:val="TableText"/>
              <w:rPr>
                <w:rFonts w:ascii="Times New Roman" w:hAnsi="Times New Roman" w:cs="Times New Roman"/>
                <w:sz w:val="24"/>
                <w:szCs w:val="24"/>
              </w:rPr>
            </w:pPr>
            <w:r w:rsidRPr="006F5632">
              <w:rPr>
                <w:rFonts w:ascii="Times New Roman" w:hAnsi="Times New Roman" w:cs="Times New Roman"/>
                <w:sz w:val="24"/>
                <w:szCs w:val="24"/>
              </w:rPr>
              <w:t>Spanish</w:t>
            </w:r>
          </w:p>
        </w:tc>
        <w:tc>
          <w:tcPr>
            <w:tcW w:w="625" w:type="pct"/>
          </w:tcPr>
          <w:p w14:paraId="4BD4CBAB" w14:textId="77777777" w:rsidR="00D64FDB" w:rsidRPr="006F5632" w:rsidRDefault="00D64FDB" w:rsidP="00F77F85">
            <w:pPr>
              <w:pStyle w:val="TableText"/>
              <w:jc w:val="center"/>
              <w:rPr>
                <w:rFonts w:ascii="Times New Roman" w:hAnsi="Times New Roman" w:cs="Times New Roman"/>
                <w:sz w:val="24"/>
                <w:szCs w:val="24"/>
              </w:rPr>
            </w:pPr>
            <w:r w:rsidRPr="006F5632">
              <w:rPr>
                <w:rFonts w:ascii="Times New Roman" w:hAnsi="Times New Roman" w:cs="Times New Roman"/>
                <w:sz w:val="24"/>
                <w:szCs w:val="24"/>
              </w:rPr>
              <w:t>All</w:t>
            </w:r>
          </w:p>
        </w:tc>
        <w:tc>
          <w:tcPr>
            <w:tcW w:w="1010" w:type="pct"/>
          </w:tcPr>
          <w:p w14:paraId="3D964480" w14:textId="0BF5573F" w:rsidR="00D64FDB" w:rsidRPr="006F5632" w:rsidRDefault="007F5EEE"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6</w:t>
            </w:r>
          </w:p>
        </w:tc>
        <w:tc>
          <w:tcPr>
            <w:tcW w:w="1395" w:type="pct"/>
          </w:tcPr>
          <w:p w14:paraId="48CEB31F" w14:textId="0ECB0FE6" w:rsidR="00D64FDB" w:rsidRPr="006F5632" w:rsidRDefault="007F5EEE"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0</w:t>
            </w:r>
          </w:p>
        </w:tc>
        <w:tc>
          <w:tcPr>
            <w:tcW w:w="913" w:type="pct"/>
          </w:tcPr>
          <w:p w14:paraId="3CBA972F" w14:textId="763506AD" w:rsidR="00D64FDB" w:rsidRPr="006F5632" w:rsidRDefault="007F5EEE" w:rsidP="00F77F85">
            <w:pPr>
              <w:pStyle w:val="TableTextDec"/>
              <w:tabs>
                <w:tab w:val="clear" w:pos="1015"/>
                <w:tab w:val="decimal" w:pos="918"/>
              </w:tabs>
              <w:rPr>
                <w:rFonts w:ascii="Times New Roman" w:hAnsi="Times New Roman"/>
                <w:sz w:val="24"/>
                <w:szCs w:val="24"/>
              </w:rPr>
            </w:pPr>
            <w:r w:rsidRPr="006F5632">
              <w:rPr>
                <w:rFonts w:ascii="Times New Roman" w:hAnsi="Times New Roman"/>
                <w:sz w:val="24"/>
                <w:szCs w:val="24"/>
              </w:rPr>
              <w:t>6</w:t>
            </w:r>
          </w:p>
        </w:tc>
      </w:tr>
      <w:tr w:rsidR="00BA629A" w:rsidRPr="00CB6C05" w14:paraId="63DB9FE5" w14:textId="77777777" w:rsidTr="006F5632">
        <w:tc>
          <w:tcPr>
            <w:tcW w:w="1058" w:type="pct"/>
          </w:tcPr>
          <w:p w14:paraId="7F65585B" w14:textId="47DD5F60" w:rsidR="00D64FDB" w:rsidRPr="006F5632" w:rsidRDefault="00D62058" w:rsidP="00F77F85">
            <w:pPr>
              <w:pStyle w:val="TableText"/>
              <w:rPr>
                <w:rFonts w:ascii="Times New Roman" w:hAnsi="Times New Roman" w:cs="Times New Roman"/>
                <w:sz w:val="24"/>
                <w:szCs w:val="24"/>
              </w:rPr>
            </w:pPr>
            <w:r w:rsidRPr="006F5632">
              <w:rPr>
                <w:rFonts w:ascii="Times New Roman" w:hAnsi="Times New Roman" w:cs="Times New Roman"/>
                <w:sz w:val="24"/>
                <w:szCs w:val="24"/>
              </w:rPr>
              <w:t>Tagalog</w:t>
            </w:r>
          </w:p>
        </w:tc>
        <w:tc>
          <w:tcPr>
            <w:tcW w:w="625" w:type="pct"/>
          </w:tcPr>
          <w:p w14:paraId="6DFB9856" w14:textId="77777777" w:rsidR="00D64FDB" w:rsidRPr="006F5632" w:rsidRDefault="00D64FDB" w:rsidP="00F77F85">
            <w:pPr>
              <w:pStyle w:val="TableText"/>
              <w:jc w:val="center"/>
              <w:rPr>
                <w:rFonts w:ascii="Times New Roman" w:hAnsi="Times New Roman" w:cs="Times New Roman"/>
                <w:sz w:val="24"/>
                <w:szCs w:val="24"/>
              </w:rPr>
            </w:pPr>
            <w:r w:rsidRPr="006F5632">
              <w:rPr>
                <w:rFonts w:ascii="Times New Roman" w:hAnsi="Times New Roman" w:cs="Times New Roman"/>
                <w:sz w:val="24"/>
                <w:szCs w:val="24"/>
              </w:rPr>
              <w:t>All</w:t>
            </w:r>
          </w:p>
        </w:tc>
        <w:tc>
          <w:tcPr>
            <w:tcW w:w="1010" w:type="pct"/>
          </w:tcPr>
          <w:p w14:paraId="6810100E" w14:textId="77777777" w:rsidR="00D64FDB" w:rsidRPr="006F5632" w:rsidRDefault="00D64FDB"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0</w:t>
            </w:r>
          </w:p>
        </w:tc>
        <w:tc>
          <w:tcPr>
            <w:tcW w:w="1395" w:type="pct"/>
          </w:tcPr>
          <w:p w14:paraId="4B44C9D1" w14:textId="36369202" w:rsidR="00D64FDB" w:rsidRPr="006F5632" w:rsidRDefault="007F5EEE"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4</w:t>
            </w:r>
          </w:p>
        </w:tc>
        <w:tc>
          <w:tcPr>
            <w:tcW w:w="913" w:type="pct"/>
          </w:tcPr>
          <w:p w14:paraId="28FF43E0" w14:textId="2CCFC64C" w:rsidR="00D64FDB" w:rsidRPr="006F5632" w:rsidRDefault="007F5EEE" w:rsidP="00F77F85">
            <w:pPr>
              <w:pStyle w:val="TableTextDec"/>
              <w:tabs>
                <w:tab w:val="clear" w:pos="1015"/>
                <w:tab w:val="decimal" w:pos="918"/>
              </w:tabs>
              <w:rPr>
                <w:rFonts w:ascii="Times New Roman" w:hAnsi="Times New Roman"/>
                <w:sz w:val="24"/>
                <w:szCs w:val="24"/>
              </w:rPr>
            </w:pPr>
            <w:r w:rsidRPr="006F5632">
              <w:rPr>
                <w:rFonts w:ascii="Times New Roman" w:hAnsi="Times New Roman"/>
                <w:sz w:val="24"/>
                <w:szCs w:val="24"/>
              </w:rPr>
              <w:t>4</w:t>
            </w:r>
          </w:p>
        </w:tc>
      </w:tr>
      <w:tr w:rsidR="00BA629A" w:rsidRPr="00CB6C05" w14:paraId="04D53915" w14:textId="77777777" w:rsidTr="006F5632">
        <w:tc>
          <w:tcPr>
            <w:tcW w:w="1058" w:type="pct"/>
          </w:tcPr>
          <w:p w14:paraId="7B9204E1" w14:textId="77777777" w:rsidR="00D64FDB" w:rsidRPr="006F5632" w:rsidRDefault="00D64FDB" w:rsidP="00F77F85">
            <w:pPr>
              <w:pStyle w:val="TableText"/>
              <w:rPr>
                <w:rFonts w:ascii="Times New Roman" w:hAnsi="Times New Roman" w:cs="Times New Roman"/>
                <w:sz w:val="24"/>
                <w:szCs w:val="24"/>
              </w:rPr>
            </w:pPr>
            <w:r w:rsidRPr="006F5632">
              <w:rPr>
                <w:rFonts w:ascii="Times New Roman" w:hAnsi="Times New Roman" w:cs="Times New Roman"/>
                <w:sz w:val="24"/>
                <w:szCs w:val="24"/>
              </w:rPr>
              <w:t>Chinese (Mandarin and Cantonese)</w:t>
            </w:r>
          </w:p>
        </w:tc>
        <w:tc>
          <w:tcPr>
            <w:tcW w:w="625" w:type="pct"/>
          </w:tcPr>
          <w:p w14:paraId="2BD23323" w14:textId="77777777" w:rsidR="00D64FDB" w:rsidRPr="006F5632" w:rsidRDefault="00D64FDB" w:rsidP="00F77F85">
            <w:pPr>
              <w:pStyle w:val="TableText"/>
              <w:jc w:val="center"/>
              <w:rPr>
                <w:rFonts w:ascii="Times New Roman" w:hAnsi="Times New Roman" w:cs="Times New Roman"/>
                <w:sz w:val="24"/>
                <w:szCs w:val="24"/>
              </w:rPr>
            </w:pPr>
            <w:r w:rsidRPr="006F5632">
              <w:rPr>
                <w:rFonts w:ascii="Times New Roman" w:hAnsi="Times New Roman" w:cs="Times New Roman"/>
                <w:sz w:val="24"/>
                <w:szCs w:val="24"/>
              </w:rPr>
              <w:t>All</w:t>
            </w:r>
          </w:p>
        </w:tc>
        <w:tc>
          <w:tcPr>
            <w:tcW w:w="1010" w:type="pct"/>
          </w:tcPr>
          <w:p w14:paraId="3A0081E2" w14:textId="77777777" w:rsidR="00D64FDB" w:rsidRPr="006F5632" w:rsidRDefault="00D64FDB"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0</w:t>
            </w:r>
          </w:p>
        </w:tc>
        <w:tc>
          <w:tcPr>
            <w:tcW w:w="1395" w:type="pct"/>
          </w:tcPr>
          <w:p w14:paraId="40838F79" w14:textId="28C31849" w:rsidR="00D64FDB" w:rsidRPr="006F5632" w:rsidRDefault="007F5EEE"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4</w:t>
            </w:r>
          </w:p>
        </w:tc>
        <w:tc>
          <w:tcPr>
            <w:tcW w:w="913" w:type="pct"/>
          </w:tcPr>
          <w:p w14:paraId="1223DCAB" w14:textId="59E3311B" w:rsidR="00D64FDB" w:rsidRPr="006F5632" w:rsidRDefault="007F5EEE" w:rsidP="00F77F85">
            <w:pPr>
              <w:pStyle w:val="TableTextDec"/>
              <w:tabs>
                <w:tab w:val="clear" w:pos="1015"/>
                <w:tab w:val="decimal" w:pos="918"/>
              </w:tabs>
              <w:rPr>
                <w:rFonts w:ascii="Times New Roman" w:hAnsi="Times New Roman"/>
                <w:sz w:val="24"/>
                <w:szCs w:val="24"/>
              </w:rPr>
            </w:pPr>
            <w:r w:rsidRPr="006F5632">
              <w:rPr>
                <w:rFonts w:ascii="Times New Roman" w:hAnsi="Times New Roman"/>
                <w:sz w:val="24"/>
                <w:szCs w:val="24"/>
              </w:rPr>
              <w:t>4</w:t>
            </w:r>
          </w:p>
        </w:tc>
      </w:tr>
      <w:tr w:rsidR="00BA629A" w:rsidRPr="00CB6C05" w14:paraId="3B6A7E58" w14:textId="77777777" w:rsidTr="006F5632">
        <w:tc>
          <w:tcPr>
            <w:tcW w:w="1058" w:type="pct"/>
          </w:tcPr>
          <w:p w14:paraId="02FB8D82" w14:textId="77777777" w:rsidR="00D64FDB" w:rsidRPr="006F5632" w:rsidRDefault="00D64FDB" w:rsidP="00F77F85">
            <w:pPr>
              <w:pStyle w:val="TableText"/>
              <w:rPr>
                <w:rFonts w:ascii="Times New Roman" w:hAnsi="Times New Roman" w:cs="Times New Roman"/>
                <w:sz w:val="24"/>
                <w:szCs w:val="24"/>
              </w:rPr>
            </w:pPr>
            <w:r w:rsidRPr="006F5632">
              <w:rPr>
                <w:rFonts w:ascii="Times New Roman" w:hAnsi="Times New Roman" w:cs="Times New Roman"/>
                <w:sz w:val="24"/>
                <w:szCs w:val="24"/>
              </w:rPr>
              <w:t>Vietnamese</w:t>
            </w:r>
          </w:p>
        </w:tc>
        <w:tc>
          <w:tcPr>
            <w:tcW w:w="625" w:type="pct"/>
          </w:tcPr>
          <w:p w14:paraId="07707485" w14:textId="77777777" w:rsidR="00D64FDB" w:rsidRPr="006F5632" w:rsidRDefault="00D64FDB" w:rsidP="00F77F85">
            <w:pPr>
              <w:pStyle w:val="TableText"/>
              <w:jc w:val="center"/>
              <w:rPr>
                <w:rFonts w:ascii="Times New Roman" w:hAnsi="Times New Roman" w:cs="Times New Roman"/>
                <w:sz w:val="24"/>
                <w:szCs w:val="24"/>
              </w:rPr>
            </w:pPr>
            <w:r w:rsidRPr="006F5632">
              <w:rPr>
                <w:rFonts w:ascii="Times New Roman" w:hAnsi="Times New Roman" w:cs="Times New Roman"/>
                <w:sz w:val="24"/>
                <w:szCs w:val="24"/>
              </w:rPr>
              <w:t>All</w:t>
            </w:r>
          </w:p>
        </w:tc>
        <w:tc>
          <w:tcPr>
            <w:tcW w:w="1010" w:type="pct"/>
          </w:tcPr>
          <w:p w14:paraId="0032BFF4" w14:textId="77777777" w:rsidR="00D64FDB" w:rsidRPr="006F5632" w:rsidRDefault="00D64FDB"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0</w:t>
            </w:r>
          </w:p>
        </w:tc>
        <w:tc>
          <w:tcPr>
            <w:tcW w:w="1395" w:type="pct"/>
          </w:tcPr>
          <w:p w14:paraId="35FAAF80" w14:textId="67FACAA2" w:rsidR="00D64FDB" w:rsidRPr="006F5632" w:rsidRDefault="007F5EEE"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4</w:t>
            </w:r>
          </w:p>
        </w:tc>
        <w:tc>
          <w:tcPr>
            <w:tcW w:w="913" w:type="pct"/>
          </w:tcPr>
          <w:p w14:paraId="6D2B911A" w14:textId="4F00A58C" w:rsidR="00D64FDB" w:rsidRPr="006F5632" w:rsidRDefault="007F5EEE" w:rsidP="00F77F85">
            <w:pPr>
              <w:pStyle w:val="TableTextDec"/>
              <w:tabs>
                <w:tab w:val="clear" w:pos="1015"/>
                <w:tab w:val="decimal" w:pos="918"/>
              </w:tabs>
              <w:rPr>
                <w:rFonts w:ascii="Times New Roman" w:hAnsi="Times New Roman"/>
                <w:sz w:val="24"/>
                <w:szCs w:val="24"/>
              </w:rPr>
            </w:pPr>
            <w:r w:rsidRPr="006F5632">
              <w:rPr>
                <w:rFonts w:ascii="Times New Roman" w:hAnsi="Times New Roman"/>
                <w:sz w:val="24"/>
                <w:szCs w:val="24"/>
              </w:rPr>
              <w:t>4</w:t>
            </w:r>
          </w:p>
        </w:tc>
      </w:tr>
      <w:tr w:rsidR="00BA629A" w:rsidRPr="00CB6C05" w14:paraId="444730BF" w14:textId="77777777" w:rsidTr="006F5632">
        <w:trPr>
          <w:cnfStyle w:val="010000000000" w:firstRow="0" w:lastRow="1" w:firstColumn="0" w:lastColumn="0" w:oddVBand="0" w:evenVBand="0" w:oddHBand="0" w:evenHBand="0" w:firstRowFirstColumn="0" w:firstRowLastColumn="0" w:lastRowFirstColumn="0" w:lastRowLastColumn="0"/>
        </w:trPr>
        <w:tc>
          <w:tcPr>
            <w:tcW w:w="1058" w:type="pct"/>
          </w:tcPr>
          <w:p w14:paraId="7F7DBF05" w14:textId="77777777" w:rsidR="00D64FDB" w:rsidRPr="006F5632" w:rsidRDefault="00D64FDB" w:rsidP="00F77F85">
            <w:pPr>
              <w:pStyle w:val="TableText"/>
              <w:rPr>
                <w:rFonts w:ascii="Times New Roman" w:hAnsi="Times New Roman" w:cs="Times New Roman"/>
                <w:sz w:val="24"/>
                <w:szCs w:val="24"/>
              </w:rPr>
            </w:pPr>
            <w:r w:rsidRPr="006F5632">
              <w:rPr>
                <w:rFonts w:ascii="Times New Roman" w:hAnsi="Times New Roman" w:cs="Times New Roman"/>
                <w:sz w:val="24"/>
                <w:szCs w:val="24"/>
              </w:rPr>
              <w:t>TOTAL</w:t>
            </w:r>
          </w:p>
        </w:tc>
        <w:tc>
          <w:tcPr>
            <w:tcW w:w="625" w:type="pct"/>
          </w:tcPr>
          <w:p w14:paraId="161626D8" w14:textId="77777777" w:rsidR="00D64FDB" w:rsidRPr="006F5632" w:rsidRDefault="00D64FDB" w:rsidP="00F77F85">
            <w:pPr>
              <w:pStyle w:val="TableText"/>
              <w:jc w:val="center"/>
              <w:rPr>
                <w:rFonts w:ascii="Times New Roman" w:hAnsi="Times New Roman" w:cs="Times New Roman"/>
                <w:sz w:val="24"/>
                <w:szCs w:val="24"/>
              </w:rPr>
            </w:pPr>
            <w:r w:rsidRPr="006F5632">
              <w:rPr>
                <w:rFonts w:ascii="Times New Roman" w:hAnsi="Times New Roman" w:cs="Times New Roman"/>
                <w:sz w:val="24"/>
                <w:szCs w:val="24"/>
              </w:rPr>
              <w:t>All</w:t>
            </w:r>
          </w:p>
        </w:tc>
        <w:tc>
          <w:tcPr>
            <w:tcW w:w="1010" w:type="pct"/>
          </w:tcPr>
          <w:p w14:paraId="6ADCE20A" w14:textId="1DAFBA8A" w:rsidR="00D64FDB" w:rsidRPr="006F5632" w:rsidRDefault="007F5EEE"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12</w:t>
            </w:r>
          </w:p>
        </w:tc>
        <w:tc>
          <w:tcPr>
            <w:tcW w:w="1395" w:type="pct"/>
          </w:tcPr>
          <w:p w14:paraId="36D894F7" w14:textId="32B300FC" w:rsidR="00D64FDB" w:rsidRPr="006F5632" w:rsidRDefault="007F5EEE" w:rsidP="00F77F85">
            <w:pPr>
              <w:pStyle w:val="TableTextDec"/>
              <w:tabs>
                <w:tab w:val="clear" w:pos="1015"/>
                <w:tab w:val="decimal" w:pos="1098"/>
              </w:tabs>
              <w:rPr>
                <w:rFonts w:ascii="Times New Roman" w:hAnsi="Times New Roman"/>
                <w:sz w:val="24"/>
                <w:szCs w:val="24"/>
              </w:rPr>
            </w:pPr>
            <w:r w:rsidRPr="006F5632">
              <w:rPr>
                <w:rFonts w:ascii="Times New Roman" w:hAnsi="Times New Roman"/>
                <w:sz w:val="24"/>
                <w:szCs w:val="24"/>
              </w:rPr>
              <w:t>12</w:t>
            </w:r>
          </w:p>
        </w:tc>
        <w:tc>
          <w:tcPr>
            <w:tcW w:w="913" w:type="pct"/>
          </w:tcPr>
          <w:p w14:paraId="2DD7A0F9" w14:textId="77EAE99B" w:rsidR="00D64FDB" w:rsidRPr="006F5632" w:rsidRDefault="007F5EEE" w:rsidP="00F77F85">
            <w:pPr>
              <w:pStyle w:val="TableTextDec"/>
              <w:tabs>
                <w:tab w:val="clear" w:pos="1015"/>
                <w:tab w:val="decimal" w:pos="918"/>
              </w:tabs>
              <w:rPr>
                <w:rFonts w:ascii="Times New Roman" w:hAnsi="Times New Roman"/>
                <w:sz w:val="24"/>
                <w:szCs w:val="24"/>
              </w:rPr>
            </w:pPr>
            <w:r w:rsidRPr="006F5632">
              <w:rPr>
                <w:rFonts w:ascii="Times New Roman" w:hAnsi="Times New Roman"/>
                <w:sz w:val="24"/>
                <w:szCs w:val="24"/>
              </w:rPr>
              <w:t>24</w:t>
            </w:r>
          </w:p>
        </w:tc>
      </w:tr>
    </w:tbl>
    <w:p w14:paraId="6B7ECA91" w14:textId="77777777" w:rsidR="00D64FDB" w:rsidRPr="00E9278B" w:rsidRDefault="00D64FDB" w:rsidP="001746F8">
      <w:pPr>
        <w:spacing w:before="120"/>
        <w:ind w:left="720"/>
        <w:rPr>
          <w:sz w:val="24"/>
        </w:rPr>
      </w:pPr>
    </w:p>
    <w:p w14:paraId="7A2E124F" w14:textId="77777777" w:rsidR="00BA1757" w:rsidRPr="00E9278B" w:rsidRDefault="00BA1757" w:rsidP="006F5632">
      <w:pPr>
        <w:spacing w:before="120"/>
        <w:rPr>
          <w:b/>
          <w:bCs/>
          <w:sz w:val="24"/>
        </w:rPr>
      </w:pPr>
      <w:r w:rsidRPr="00E9278B">
        <w:rPr>
          <w:b/>
          <w:bCs/>
          <w:sz w:val="24"/>
        </w:rPr>
        <w:t>2. Procedures for the Collection of Information</w:t>
      </w:r>
    </w:p>
    <w:p w14:paraId="548167CB" w14:textId="360D9E81" w:rsidR="009C4858" w:rsidRPr="00E9278B" w:rsidRDefault="00CA01DE" w:rsidP="006F5632">
      <w:pPr>
        <w:spacing w:before="120"/>
        <w:rPr>
          <w:sz w:val="24"/>
        </w:rPr>
      </w:pPr>
      <w:r w:rsidRPr="00E9278B">
        <w:rPr>
          <w:b/>
          <w:bCs/>
          <w:sz w:val="24"/>
        </w:rPr>
        <w:t>Interviews recruited on-site at a local clinic</w:t>
      </w:r>
      <w:r w:rsidRPr="00697234">
        <w:rPr>
          <w:bCs/>
          <w:sz w:val="24"/>
        </w:rPr>
        <w:t>:</w:t>
      </w:r>
      <w:r w:rsidRPr="00E9278B">
        <w:rPr>
          <w:sz w:val="24"/>
        </w:rPr>
        <w:t xml:space="preserve"> </w:t>
      </w:r>
      <w:r w:rsidR="00437588">
        <w:rPr>
          <w:sz w:val="24"/>
        </w:rPr>
        <w:t xml:space="preserve"> </w:t>
      </w:r>
      <w:r w:rsidRPr="00E9278B">
        <w:rPr>
          <w:sz w:val="24"/>
        </w:rPr>
        <w:t xml:space="preserve">In round 1, </w:t>
      </w:r>
      <w:r w:rsidR="00B020DA">
        <w:rPr>
          <w:sz w:val="24"/>
        </w:rPr>
        <w:t>HRSA</w:t>
      </w:r>
      <w:r w:rsidR="00A4130E" w:rsidRPr="00E9278B">
        <w:rPr>
          <w:sz w:val="24"/>
        </w:rPr>
        <w:t xml:space="preserve"> </w:t>
      </w:r>
      <w:r w:rsidRPr="00E9278B">
        <w:rPr>
          <w:sz w:val="24"/>
        </w:rPr>
        <w:t xml:space="preserve">will </w:t>
      </w:r>
      <w:r w:rsidR="00EC11FE">
        <w:rPr>
          <w:sz w:val="24"/>
        </w:rPr>
        <w:t>recruit</w:t>
      </w:r>
      <w:r w:rsidRPr="00E9278B">
        <w:rPr>
          <w:sz w:val="24"/>
        </w:rPr>
        <w:t xml:space="preserve"> patients from one urban and one rural clinic. </w:t>
      </w:r>
      <w:r w:rsidR="00E63C43">
        <w:rPr>
          <w:sz w:val="24"/>
        </w:rPr>
        <w:t xml:space="preserve"> </w:t>
      </w:r>
      <w:r w:rsidRPr="00E9278B">
        <w:rPr>
          <w:sz w:val="24"/>
        </w:rPr>
        <w:t xml:space="preserve">This will allow </w:t>
      </w:r>
      <w:r w:rsidR="00B020DA">
        <w:rPr>
          <w:sz w:val="24"/>
        </w:rPr>
        <w:t>HRSA</w:t>
      </w:r>
      <w:r w:rsidRPr="00E9278B">
        <w:rPr>
          <w:sz w:val="24"/>
        </w:rPr>
        <w:t xml:space="preserve"> to test the questionnaire, on-site recruitment procedures</w:t>
      </w:r>
      <w:r w:rsidR="00437588">
        <w:rPr>
          <w:sz w:val="24"/>
        </w:rPr>
        <w:t>,</w:t>
      </w:r>
      <w:r w:rsidRPr="00E9278B">
        <w:rPr>
          <w:sz w:val="24"/>
        </w:rPr>
        <w:t xml:space="preserve"> and </w:t>
      </w:r>
      <w:r w:rsidR="00EC11FE">
        <w:rPr>
          <w:sz w:val="24"/>
        </w:rPr>
        <w:t xml:space="preserve">assess </w:t>
      </w:r>
      <w:r w:rsidRPr="00E9278B">
        <w:rPr>
          <w:sz w:val="24"/>
        </w:rPr>
        <w:t xml:space="preserve">burden on clinic staff. </w:t>
      </w:r>
      <w:r w:rsidR="00E63C43">
        <w:rPr>
          <w:sz w:val="24"/>
        </w:rPr>
        <w:t xml:space="preserve"> </w:t>
      </w:r>
      <w:r w:rsidRPr="00E9278B">
        <w:rPr>
          <w:sz w:val="24"/>
        </w:rPr>
        <w:t xml:space="preserve">Interviewers will receive training on the procedures and will train the clinic staff once the facility has agreed to participate in the pretest. </w:t>
      </w:r>
    </w:p>
    <w:p w14:paraId="0377C3C5" w14:textId="20B3705B" w:rsidR="00CA01DE" w:rsidRPr="00E9278B" w:rsidRDefault="0023221A" w:rsidP="006F5632">
      <w:pPr>
        <w:spacing w:before="120"/>
        <w:rPr>
          <w:sz w:val="24"/>
        </w:rPr>
      </w:pPr>
      <w:r>
        <w:rPr>
          <w:sz w:val="24"/>
        </w:rPr>
        <w:t xml:space="preserve">To test recruitment procedures, </w:t>
      </w:r>
      <w:r w:rsidR="00B020DA">
        <w:rPr>
          <w:sz w:val="24"/>
        </w:rPr>
        <w:t>HRSA</w:t>
      </w:r>
      <w:r w:rsidR="008A14FB">
        <w:rPr>
          <w:sz w:val="24"/>
        </w:rPr>
        <w:t xml:space="preserve"> will train on-site </w:t>
      </w:r>
      <w:r>
        <w:rPr>
          <w:sz w:val="24"/>
        </w:rPr>
        <w:t xml:space="preserve">clinic </w:t>
      </w:r>
      <w:r w:rsidR="00CA01DE" w:rsidRPr="00E9278B">
        <w:rPr>
          <w:sz w:val="24"/>
        </w:rPr>
        <w:t xml:space="preserve">staff </w:t>
      </w:r>
      <w:r>
        <w:rPr>
          <w:sz w:val="24"/>
        </w:rPr>
        <w:t>on</w:t>
      </w:r>
      <w:r w:rsidR="009C4858" w:rsidRPr="00E9278B">
        <w:rPr>
          <w:sz w:val="24"/>
        </w:rPr>
        <w:t xml:space="preserve"> patient </w:t>
      </w:r>
      <w:r>
        <w:rPr>
          <w:sz w:val="24"/>
        </w:rPr>
        <w:t xml:space="preserve">tracking and </w:t>
      </w:r>
      <w:r w:rsidR="009C4858" w:rsidRPr="00E9278B">
        <w:rPr>
          <w:sz w:val="24"/>
        </w:rPr>
        <w:t xml:space="preserve">recruitment procedures. </w:t>
      </w:r>
      <w:r w:rsidR="00E63C43">
        <w:rPr>
          <w:sz w:val="24"/>
        </w:rPr>
        <w:t xml:space="preserve"> </w:t>
      </w:r>
      <w:r>
        <w:rPr>
          <w:sz w:val="24"/>
        </w:rPr>
        <w:t>During the time when an interviewer is at the site, t</w:t>
      </w:r>
      <w:r w:rsidRPr="00C21EE4">
        <w:rPr>
          <w:sz w:val="24"/>
        </w:rPr>
        <w:t xml:space="preserve">he receptionist will be asked to </w:t>
      </w:r>
      <w:r>
        <w:rPr>
          <w:sz w:val="24"/>
        </w:rPr>
        <w:t xml:space="preserve">screen the patient’s eligibility when a patient enters a site and registers for service. </w:t>
      </w:r>
      <w:r w:rsidR="00991342">
        <w:rPr>
          <w:sz w:val="24"/>
        </w:rPr>
        <w:t>T</w:t>
      </w:r>
      <w:r>
        <w:rPr>
          <w:sz w:val="24"/>
        </w:rPr>
        <w:t>he receptionist will ask the patient’s age, race/ethnicity</w:t>
      </w:r>
      <w:r w:rsidR="00437588">
        <w:rPr>
          <w:sz w:val="24"/>
        </w:rPr>
        <w:t>,</w:t>
      </w:r>
      <w:r>
        <w:rPr>
          <w:sz w:val="24"/>
        </w:rPr>
        <w:t xml:space="preserve"> and veteran status </w:t>
      </w:r>
      <w:r w:rsidR="00991342">
        <w:rPr>
          <w:sz w:val="24"/>
        </w:rPr>
        <w:t xml:space="preserve">to determine </w:t>
      </w:r>
      <w:r w:rsidR="000B27B7">
        <w:rPr>
          <w:sz w:val="24"/>
        </w:rPr>
        <w:t>eligibility</w:t>
      </w:r>
      <w:r w:rsidR="00991342">
        <w:rPr>
          <w:sz w:val="24"/>
        </w:rPr>
        <w:t>.</w:t>
      </w:r>
      <w:r>
        <w:rPr>
          <w:sz w:val="24"/>
        </w:rPr>
        <w:t xml:space="preserve"> </w:t>
      </w:r>
      <w:r w:rsidR="00E63C43">
        <w:rPr>
          <w:sz w:val="24"/>
        </w:rPr>
        <w:t xml:space="preserve"> </w:t>
      </w:r>
      <w:r>
        <w:rPr>
          <w:sz w:val="24"/>
        </w:rPr>
        <w:t xml:space="preserve">The receptionist will </w:t>
      </w:r>
      <w:r w:rsidRPr="00C21EE4">
        <w:rPr>
          <w:sz w:val="24"/>
        </w:rPr>
        <w:t xml:space="preserve">keep track of the number of patients who enter the site, the number of patients who are eligible, and number of patients </w:t>
      </w:r>
      <w:r>
        <w:rPr>
          <w:sz w:val="24"/>
        </w:rPr>
        <w:t xml:space="preserve">referred </w:t>
      </w:r>
      <w:r w:rsidRPr="00C21EE4">
        <w:rPr>
          <w:sz w:val="24"/>
        </w:rPr>
        <w:t xml:space="preserve">while the </w:t>
      </w:r>
      <w:r>
        <w:rPr>
          <w:sz w:val="24"/>
        </w:rPr>
        <w:t>interviewer</w:t>
      </w:r>
      <w:r w:rsidRPr="00C21EE4">
        <w:rPr>
          <w:sz w:val="24"/>
        </w:rPr>
        <w:t xml:space="preserve"> is at the site to conduct </w:t>
      </w:r>
      <w:r>
        <w:rPr>
          <w:sz w:val="24"/>
        </w:rPr>
        <w:t>cognitive interviews.</w:t>
      </w:r>
      <w:r w:rsidRPr="00C21EE4">
        <w:rPr>
          <w:sz w:val="24"/>
        </w:rPr>
        <w:t xml:space="preserve"> </w:t>
      </w:r>
      <w:r w:rsidR="00CA01DE" w:rsidRPr="00E9278B">
        <w:rPr>
          <w:sz w:val="24"/>
        </w:rPr>
        <w:t xml:space="preserve"> </w:t>
      </w:r>
    </w:p>
    <w:p w14:paraId="249E1B0F" w14:textId="70F451F2" w:rsidR="00CA01DE" w:rsidRPr="00E9278B" w:rsidRDefault="00CA01DE" w:rsidP="006F5632">
      <w:pPr>
        <w:spacing w:before="120"/>
        <w:rPr>
          <w:b/>
          <w:bCs/>
          <w:sz w:val="24"/>
        </w:rPr>
      </w:pPr>
      <w:r w:rsidRPr="00E9278B">
        <w:rPr>
          <w:b/>
          <w:bCs/>
          <w:sz w:val="24"/>
        </w:rPr>
        <w:t>Interviews recruited through traditional advertising</w:t>
      </w:r>
      <w:r w:rsidRPr="006F5632">
        <w:rPr>
          <w:bCs/>
          <w:sz w:val="24"/>
        </w:rPr>
        <w:t>:</w:t>
      </w:r>
      <w:r w:rsidRPr="00E9278B">
        <w:rPr>
          <w:b/>
          <w:bCs/>
          <w:sz w:val="24"/>
        </w:rPr>
        <w:t xml:space="preserve"> </w:t>
      </w:r>
      <w:r w:rsidR="00A4130E">
        <w:rPr>
          <w:b/>
          <w:bCs/>
          <w:sz w:val="24"/>
        </w:rPr>
        <w:t xml:space="preserve"> </w:t>
      </w:r>
      <w:r w:rsidRPr="00E9278B">
        <w:rPr>
          <w:sz w:val="24"/>
        </w:rPr>
        <w:t xml:space="preserve">In </w:t>
      </w:r>
      <w:r w:rsidR="00A468B3">
        <w:rPr>
          <w:sz w:val="24"/>
        </w:rPr>
        <w:t>both</w:t>
      </w:r>
      <w:r w:rsidRPr="00E9278B">
        <w:rPr>
          <w:sz w:val="24"/>
        </w:rPr>
        <w:t xml:space="preserve"> </w:t>
      </w:r>
      <w:r w:rsidR="00430714" w:rsidRPr="00E9278B">
        <w:rPr>
          <w:sz w:val="24"/>
        </w:rPr>
        <w:t xml:space="preserve">rounds, </w:t>
      </w:r>
      <w:r w:rsidR="002736ED">
        <w:rPr>
          <w:sz w:val="24"/>
        </w:rPr>
        <w:t>HRSA</w:t>
      </w:r>
      <w:r w:rsidR="00A4130E" w:rsidRPr="00E9278B">
        <w:rPr>
          <w:sz w:val="24"/>
        </w:rPr>
        <w:t xml:space="preserve"> </w:t>
      </w:r>
      <w:r w:rsidR="00430714" w:rsidRPr="00E9278B">
        <w:rPr>
          <w:sz w:val="24"/>
        </w:rPr>
        <w:t>will recruit participants using traditional advertising</w:t>
      </w:r>
      <w:r w:rsidR="00437588">
        <w:rPr>
          <w:sz w:val="24"/>
        </w:rPr>
        <w:t>, including</w:t>
      </w:r>
      <w:r w:rsidR="00430714" w:rsidRPr="00E9278B">
        <w:rPr>
          <w:sz w:val="24"/>
        </w:rPr>
        <w:t xml:space="preserve"> </w:t>
      </w:r>
      <w:r w:rsidR="001F5D8F" w:rsidRPr="00E9278B">
        <w:rPr>
          <w:sz w:val="24"/>
        </w:rPr>
        <w:t>post</w:t>
      </w:r>
      <w:r w:rsidR="00437588">
        <w:rPr>
          <w:sz w:val="24"/>
        </w:rPr>
        <w:t>ed</w:t>
      </w:r>
      <w:r w:rsidR="001F5D8F" w:rsidRPr="00E9278B">
        <w:rPr>
          <w:sz w:val="24"/>
        </w:rPr>
        <w:t xml:space="preserve"> flyers </w:t>
      </w:r>
      <w:r w:rsidR="00430714" w:rsidRPr="00E9278B">
        <w:rPr>
          <w:sz w:val="24"/>
        </w:rPr>
        <w:t xml:space="preserve">and </w:t>
      </w:r>
      <w:r w:rsidR="00A4130E">
        <w:rPr>
          <w:sz w:val="24"/>
        </w:rPr>
        <w:t xml:space="preserve">advertisements posted on </w:t>
      </w:r>
      <w:r w:rsidR="00430714" w:rsidRPr="00E9278B">
        <w:rPr>
          <w:sz w:val="24"/>
        </w:rPr>
        <w:t xml:space="preserve">free </w:t>
      </w:r>
      <w:r w:rsidR="00A4130E">
        <w:rPr>
          <w:sz w:val="24"/>
        </w:rPr>
        <w:t>websites</w:t>
      </w:r>
      <w:r w:rsidR="002736ED">
        <w:rPr>
          <w:sz w:val="24"/>
        </w:rPr>
        <w:t xml:space="preserve"> and </w:t>
      </w:r>
      <w:r w:rsidR="00534D48">
        <w:rPr>
          <w:sz w:val="24"/>
        </w:rPr>
        <w:t>on-line forum</w:t>
      </w:r>
      <w:r w:rsidR="002736ED">
        <w:rPr>
          <w:sz w:val="24"/>
        </w:rPr>
        <w:t>s</w:t>
      </w:r>
      <w:r w:rsidR="00430714" w:rsidRPr="00E9278B">
        <w:rPr>
          <w:sz w:val="24"/>
        </w:rPr>
        <w:t xml:space="preserve">. </w:t>
      </w:r>
      <w:r w:rsidR="00E63C43">
        <w:rPr>
          <w:sz w:val="24"/>
        </w:rPr>
        <w:t xml:space="preserve"> </w:t>
      </w:r>
      <w:r w:rsidR="002736ED">
        <w:rPr>
          <w:sz w:val="24"/>
        </w:rPr>
        <w:t>HRSA</w:t>
      </w:r>
      <w:r w:rsidR="00A4130E">
        <w:rPr>
          <w:sz w:val="24"/>
        </w:rPr>
        <w:t xml:space="preserve"> </w:t>
      </w:r>
      <w:r w:rsidR="00430714" w:rsidRPr="00E9278B">
        <w:rPr>
          <w:sz w:val="24"/>
        </w:rPr>
        <w:t xml:space="preserve">will screen each interested participant to </w:t>
      </w:r>
      <w:r w:rsidR="000C3412">
        <w:rPr>
          <w:sz w:val="24"/>
        </w:rPr>
        <w:t xml:space="preserve">determine </w:t>
      </w:r>
      <w:r w:rsidR="00E63C43">
        <w:rPr>
          <w:sz w:val="24"/>
        </w:rPr>
        <w:t>his or her</w:t>
      </w:r>
      <w:r w:rsidR="000C3412">
        <w:rPr>
          <w:sz w:val="24"/>
        </w:rPr>
        <w:t xml:space="preserve"> eligibility</w:t>
      </w:r>
      <w:r w:rsidR="00A4130E">
        <w:rPr>
          <w:sz w:val="24"/>
        </w:rPr>
        <w:t xml:space="preserve"> and</w:t>
      </w:r>
      <w:r w:rsidR="00430714" w:rsidRPr="00E9278B">
        <w:rPr>
          <w:sz w:val="24"/>
        </w:rPr>
        <w:t xml:space="preserve"> will then draw a sample, ensuring </w:t>
      </w:r>
      <w:r w:rsidR="000C3412" w:rsidRPr="00E9278B">
        <w:rPr>
          <w:sz w:val="24"/>
        </w:rPr>
        <w:t>th</w:t>
      </w:r>
      <w:r w:rsidR="000C3412">
        <w:rPr>
          <w:sz w:val="24"/>
        </w:rPr>
        <w:t>e</w:t>
      </w:r>
      <w:r w:rsidR="000C3412" w:rsidRPr="00E9278B">
        <w:rPr>
          <w:sz w:val="24"/>
        </w:rPr>
        <w:t xml:space="preserve"> </w:t>
      </w:r>
      <w:r w:rsidR="00430714" w:rsidRPr="00E9278B">
        <w:rPr>
          <w:sz w:val="24"/>
        </w:rPr>
        <w:t xml:space="preserve">diversity </w:t>
      </w:r>
      <w:r w:rsidR="000C3412">
        <w:rPr>
          <w:sz w:val="24"/>
        </w:rPr>
        <w:t xml:space="preserve">of participants </w:t>
      </w:r>
      <w:r w:rsidR="00430714" w:rsidRPr="00E9278B">
        <w:rPr>
          <w:sz w:val="24"/>
        </w:rPr>
        <w:t>in terms of age, gender, and race/ethnicity.</w:t>
      </w:r>
      <w:r w:rsidR="00A4130E">
        <w:rPr>
          <w:sz w:val="24"/>
        </w:rPr>
        <w:t xml:space="preserve"> </w:t>
      </w:r>
      <w:r w:rsidR="00E63C43">
        <w:rPr>
          <w:sz w:val="24"/>
        </w:rPr>
        <w:t xml:space="preserve"> </w:t>
      </w:r>
      <w:r w:rsidR="00A4130E">
        <w:rPr>
          <w:sz w:val="24"/>
        </w:rPr>
        <w:t xml:space="preserve">Recruitment will continue until a diverse sample, based on </w:t>
      </w:r>
      <w:r w:rsidR="002736ED">
        <w:rPr>
          <w:sz w:val="24"/>
        </w:rPr>
        <w:t xml:space="preserve">selected </w:t>
      </w:r>
      <w:r w:rsidR="00A4130E">
        <w:rPr>
          <w:sz w:val="24"/>
        </w:rPr>
        <w:t xml:space="preserve">demographics, is </w:t>
      </w:r>
      <w:r w:rsidR="00165679">
        <w:rPr>
          <w:sz w:val="24"/>
        </w:rPr>
        <w:t>achieved.</w:t>
      </w:r>
    </w:p>
    <w:p w14:paraId="6080D4A8" w14:textId="079ECF33" w:rsidR="00B10D62" w:rsidRPr="00E9278B" w:rsidRDefault="008A14FB" w:rsidP="006F5632">
      <w:pPr>
        <w:spacing w:before="120"/>
        <w:rPr>
          <w:sz w:val="24"/>
        </w:rPr>
      </w:pPr>
      <w:r>
        <w:rPr>
          <w:sz w:val="24"/>
        </w:rPr>
        <w:t>Once p</w:t>
      </w:r>
      <w:r w:rsidR="00B10D62" w:rsidRPr="00E9278B">
        <w:rPr>
          <w:sz w:val="24"/>
        </w:rPr>
        <w:t>atients agree to participate</w:t>
      </w:r>
      <w:r>
        <w:rPr>
          <w:sz w:val="24"/>
        </w:rPr>
        <w:t>, interviewers</w:t>
      </w:r>
      <w:r w:rsidR="00B10D62" w:rsidRPr="00E9278B">
        <w:rPr>
          <w:sz w:val="24"/>
        </w:rPr>
        <w:t xml:space="preserve"> will administer the pretest questionnaire. </w:t>
      </w:r>
      <w:r w:rsidR="00A0011D">
        <w:rPr>
          <w:sz w:val="24"/>
        </w:rPr>
        <w:t xml:space="preserve">Interviewers </w:t>
      </w:r>
      <w:r w:rsidR="00B10D62" w:rsidRPr="00E9278B">
        <w:rPr>
          <w:sz w:val="24"/>
        </w:rPr>
        <w:t xml:space="preserve">will not contact </w:t>
      </w:r>
      <w:r w:rsidR="00A0011D">
        <w:rPr>
          <w:sz w:val="24"/>
        </w:rPr>
        <w:t xml:space="preserve">the participants </w:t>
      </w:r>
      <w:r w:rsidR="00B10D62" w:rsidRPr="00E9278B">
        <w:rPr>
          <w:sz w:val="24"/>
        </w:rPr>
        <w:t>following the cognitive interview.</w:t>
      </w:r>
    </w:p>
    <w:p w14:paraId="496B1270" w14:textId="77777777" w:rsidR="001F5D8F" w:rsidRPr="00E9278B" w:rsidRDefault="001F5D8F" w:rsidP="000946DE">
      <w:pPr>
        <w:spacing w:before="120"/>
        <w:ind w:left="720"/>
        <w:rPr>
          <w:b/>
          <w:bCs/>
          <w:sz w:val="24"/>
        </w:rPr>
      </w:pPr>
    </w:p>
    <w:p w14:paraId="2BAF31A0" w14:textId="77777777" w:rsidR="00BA1757" w:rsidRPr="00E9278B" w:rsidRDefault="00BA1757" w:rsidP="006F5632">
      <w:pPr>
        <w:spacing w:before="120"/>
        <w:rPr>
          <w:b/>
          <w:bCs/>
          <w:sz w:val="24"/>
        </w:rPr>
      </w:pPr>
      <w:r w:rsidRPr="00E9278B">
        <w:rPr>
          <w:b/>
          <w:bCs/>
          <w:sz w:val="24"/>
        </w:rPr>
        <w:t>3. Methods to Maximize Response Rates and Deal with Nonresponse</w:t>
      </w:r>
    </w:p>
    <w:p w14:paraId="7B0F7FEB" w14:textId="0663A41C" w:rsidR="00B10D62" w:rsidRPr="00F96A17" w:rsidRDefault="0062028A" w:rsidP="006F5632">
      <w:pPr>
        <w:spacing w:before="120"/>
        <w:rPr>
          <w:sz w:val="24"/>
        </w:rPr>
      </w:pPr>
      <w:r>
        <w:rPr>
          <w:sz w:val="24"/>
        </w:rPr>
        <w:t>HRSA will provide e</w:t>
      </w:r>
      <w:r w:rsidR="00B10D62" w:rsidRPr="00F96A17">
        <w:rPr>
          <w:sz w:val="24"/>
        </w:rPr>
        <w:t>ligible participants a $</w:t>
      </w:r>
      <w:r w:rsidR="000953F8" w:rsidRPr="00F96A17">
        <w:rPr>
          <w:sz w:val="24"/>
        </w:rPr>
        <w:t>25</w:t>
      </w:r>
      <w:r w:rsidR="00B10D62" w:rsidRPr="00F96A17">
        <w:rPr>
          <w:sz w:val="24"/>
        </w:rPr>
        <w:t xml:space="preserve"> incentive for completion of the interview. </w:t>
      </w:r>
      <w:r w:rsidR="00895B29" w:rsidRPr="00F96A17">
        <w:rPr>
          <w:sz w:val="24"/>
        </w:rPr>
        <w:t xml:space="preserve">Response rates for the </w:t>
      </w:r>
      <w:r w:rsidR="00756AEB">
        <w:rPr>
          <w:sz w:val="24"/>
        </w:rPr>
        <w:t>pretest</w:t>
      </w:r>
      <w:r w:rsidR="00895B29" w:rsidRPr="00F96A17">
        <w:rPr>
          <w:sz w:val="24"/>
        </w:rPr>
        <w:t xml:space="preserve"> will be a function of success in two basic activities:</w:t>
      </w:r>
      <w:r w:rsidR="00F57582">
        <w:rPr>
          <w:sz w:val="24"/>
        </w:rPr>
        <w:t xml:space="preserve"> </w:t>
      </w:r>
      <w:r w:rsidR="00895B29" w:rsidRPr="00F96A17">
        <w:rPr>
          <w:sz w:val="24"/>
        </w:rPr>
        <w:t xml:space="preserve"> (1) identifying eligible patients and (2) obtaining those patients’ cooperation and time to complete the interview. </w:t>
      </w:r>
      <w:r w:rsidR="003C1D53">
        <w:rPr>
          <w:sz w:val="24"/>
        </w:rPr>
        <w:t>During the consent process, patients are informed that their participation is voluntary. Choosing not to participate will not affect any services the</w:t>
      </w:r>
      <w:r w:rsidR="00F04CFF">
        <w:rPr>
          <w:sz w:val="24"/>
        </w:rPr>
        <w:t>y</w:t>
      </w:r>
      <w:r w:rsidR="003C1D53">
        <w:rPr>
          <w:sz w:val="24"/>
        </w:rPr>
        <w:t xml:space="preserve"> receive at the health center or from any other programs.  They can opt to not answer some of the questions, not finish the interview, or take breaks at any time during the interview</w:t>
      </w:r>
      <w:r w:rsidR="002E2F8B">
        <w:rPr>
          <w:sz w:val="24"/>
        </w:rPr>
        <w:t>.</w:t>
      </w:r>
      <w:r w:rsidR="003C1D53">
        <w:rPr>
          <w:sz w:val="24"/>
        </w:rPr>
        <w:t xml:space="preserve"> </w:t>
      </w:r>
      <w:r w:rsidR="002E2F8B">
        <w:rPr>
          <w:sz w:val="24"/>
        </w:rPr>
        <w:t xml:space="preserve"> </w:t>
      </w:r>
      <w:r w:rsidR="00895B29" w:rsidRPr="00F96A17">
        <w:rPr>
          <w:sz w:val="24"/>
        </w:rPr>
        <w:t xml:space="preserve">If interviewers cannot complete the interview at the scheduled time, they will </w:t>
      </w:r>
      <w:r w:rsidR="00165679">
        <w:rPr>
          <w:sz w:val="24"/>
        </w:rPr>
        <w:t>re</w:t>
      </w:r>
      <w:r w:rsidR="00895B29" w:rsidRPr="00F96A17">
        <w:rPr>
          <w:sz w:val="24"/>
        </w:rPr>
        <w:t>schedu</w:t>
      </w:r>
      <w:r w:rsidR="00165679">
        <w:rPr>
          <w:sz w:val="24"/>
        </w:rPr>
        <w:t>le interviews as</w:t>
      </w:r>
      <w:r w:rsidR="00895B29" w:rsidRPr="00F96A17">
        <w:rPr>
          <w:sz w:val="24"/>
        </w:rPr>
        <w:t xml:space="preserve"> necessary, make multiple attempts to reach the participant, and reschedule participants who miss appointments.</w:t>
      </w:r>
      <w:r w:rsidR="00F04CFF">
        <w:rPr>
          <w:sz w:val="24"/>
        </w:rPr>
        <w:t xml:space="preserve">  </w:t>
      </w:r>
      <w:r w:rsidR="002736ED">
        <w:rPr>
          <w:sz w:val="24"/>
        </w:rPr>
        <w:t>HRSA</w:t>
      </w:r>
      <w:r w:rsidR="00895B29" w:rsidRPr="00F96A17">
        <w:rPr>
          <w:sz w:val="24"/>
        </w:rPr>
        <w:t xml:space="preserve"> does not anticipate nonresponse to be a concern during the cognitive pretest.</w:t>
      </w:r>
      <w:r w:rsidR="00F96A17" w:rsidRPr="00F96A17" w:rsidDel="00F96A17">
        <w:rPr>
          <w:sz w:val="24"/>
        </w:rPr>
        <w:t xml:space="preserve"> </w:t>
      </w:r>
    </w:p>
    <w:p w14:paraId="1CAB4E70" w14:textId="62ECBE35" w:rsidR="00BA1757" w:rsidRPr="00F96A17" w:rsidRDefault="00BA1757" w:rsidP="00F04CFF">
      <w:pPr>
        <w:spacing w:before="120"/>
        <w:rPr>
          <w:sz w:val="24"/>
        </w:rPr>
      </w:pPr>
    </w:p>
    <w:p w14:paraId="72ECE019" w14:textId="77777777" w:rsidR="00BA1757" w:rsidRPr="00E9278B" w:rsidRDefault="00BA1757" w:rsidP="006F5632">
      <w:pPr>
        <w:spacing w:before="120"/>
        <w:rPr>
          <w:b/>
          <w:bCs/>
          <w:sz w:val="24"/>
        </w:rPr>
      </w:pPr>
      <w:r w:rsidRPr="00E9278B">
        <w:rPr>
          <w:b/>
          <w:bCs/>
          <w:sz w:val="24"/>
        </w:rPr>
        <w:t>4. Tests of Procedures or Methods to be Undertaken</w:t>
      </w:r>
    </w:p>
    <w:p w14:paraId="045E0EE1" w14:textId="413D10FB" w:rsidR="000946DE" w:rsidRPr="00E9278B" w:rsidRDefault="002736ED" w:rsidP="00B776CE">
      <w:pPr>
        <w:tabs>
          <w:tab w:val="left" w:pos="-720"/>
          <w:tab w:val="left" w:pos="720"/>
          <w:tab w:val="right" w:pos="8648"/>
        </w:tabs>
        <w:rPr>
          <w:sz w:val="24"/>
        </w:rPr>
      </w:pPr>
      <w:r>
        <w:rPr>
          <w:sz w:val="24"/>
        </w:rPr>
        <w:t xml:space="preserve">Efforts will be used to improve information technology to reduce burden. </w:t>
      </w:r>
      <w:r w:rsidR="00E63C43">
        <w:rPr>
          <w:sz w:val="24"/>
        </w:rPr>
        <w:t xml:space="preserve"> </w:t>
      </w:r>
      <w:r>
        <w:rPr>
          <w:sz w:val="24"/>
        </w:rPr>
        <w:t>HRSA</w:t>
      </w:r>
      <w:r w:rsidR="00CB6C05">
        <w:rPr>
          <w:sz w:val="24"/>
        </w:rPr>
        <w:t xml:space="preserve"> is</w:t>
      </w:r>
      <w:r w:rsidR="00C06479" w:rsidRPr="00E9278B">
        <w:rPr>
          <w:sz w:val="24"/>
        </w:rPr>
        <w:t xml:space="preserve"> targeting </w:t>
      </w:r>
      <w:r w:rsidR="000953F8">
        <w:rPr>
          <w:sz w:val="24"/>
        </w:rPr>
        <w:t>58</w:t>
      </w:r>
      <w:r w:rsidR="00C06479" w:rsidRPr="00E9278B">
        <w:rPr>
          <w:sz w:val="24"/>
        </w:rPr>
        <w:t xml:space="preserve"> completed interviews over </w:t>
      </w:r>
      <w:r w:rsidR="000953F8">
        <w:rPr>
          <w:sz w:val="24"/>
        </w:rPr>
        <w:t>two</w:t>
      </w:r>
      <w:r w:rsidR="00C06479" w:rsidRPr="00E9278B">
        <w:rPr>
          <w:sz w:val="24"/>
        </w:rPr>
        <w:t xml:space="preserve"> </w:t>
      </w:r>
      <w:r w:rsidR="000953F8">
        <w:rPr>
          <w:sz w:val="24"/>
        </w:rPr>
        <w:t xml:space="preserve">rounds </w:t>
      </w:r>
      <w:r w:rsidR="00C06479" w:rsidRPr="00E9278B">
        <w:rPr>
          <w:sz w:val="24"/>
        </w:rPr>
        <w:t>of testing</w:t>
      </w:r>
      <w:r w:rsidR="00712500">
        <w:rPr>
          <w:sz w:val="24"/>
        </w:rPr>
        <w:t xml:space="preserve"> using CAPI on </w:t>
      </w:r>
      <w:r w:rsidR="00C06479" w:rsidRPr="00E9278B">
        <w:rPr>
          <w:sz w:val="24"/>
        </w:rPr>
        <w:t>a laptop computer.</w:t>
      </w:r>
      <w:r>
        <w:rPr>
          <w:sz w:val="24"/>
        </w:rPr>
        <w:t xml:space="preserve"> </w:t>
      </w:r>
      <w:r w:rsidRPr="0010014F">
        <w:rPr>
          <w:sz w:val="24"/>
        </w:rPr>
        <w:t xml:space="preserve">The CAPI approach offers several advantages that keep </w:t>
      </w:r>
      <w:r>
        <w:rPr>
          <w:sz w:val="24"/>
        </w:rPr>
        <w:t>respondent</w:t>
      </w:r>
      <w:r w:rsidRPr="0010014F">
        <w:rPr>
          <w:sz w:val="24"/>
        </w:rPr>
        <w:t xml:space="preserve"> burden at a minimum while ensuring </w:t>
      </w:r>
      <w:r>
        <w:rPr>
          <w:sz w:val="24"/>
        </w:rPr>
        <w:t xml:space="preserve">high-quality data </w:t>
      </w:r>
      <w:r w:rsidRPr="0010014F">
        <w:rPr>
          <w:sz w:val="24"/>
        </w:rPr>
        <w:t xml:space="preserve">collection. </w:t>
      </w:r>
      <w:r>
        <w:rPr>
          <w:sz w:val="24"/>
        </w:rPr>
        <w:t xml:space="preserve"> </w:t>
      </w:r>
      <w:r w:rsidRPr="0010014F">
        <w:rPr>
          <w:sz w:val="24"/>
        </w:rPr>
        <w:t xml:space="preserve">First, the questionnaire is complex and involves numerous skip patterns and screening questions. </w:t>
      </w:r>
      <w:r>
        <w:rPr>
          <w:sz w:val="24"/>
        </w:rPr>
        <w:t xml:space="preserve"> </w:t>
      </w:r>
      <w:r w:rsidRPr="0010014F">
        <w:rPr>
          <w:sz w:val="24"/>
        </w:rPr>
        <w:t xml:space="preserve">These are easily and quickly performed by the computer upon completion of CAPI programming. </w:t>
      </w:r>
      <w:r>
        <w:rPr>
          <w:sz w:val="24"/>
        </w:rPr>
        <w:t xml:space="preserve"> </w:t>
      </w:r>
      <w:r w:rsidRPr="0010014F">
        <w:rPr>
          <w:sz w:val="24"/>
        </w:rPr>
        <w:t>In addition, the CAPI instrument detects erroneous and inconsistent responses, increasing data accuracy and validity.  The use of CAPI</w:t>
      </w:r>
      <w:r>
        <w:rPr>
          <w:sz w:val="24"/>
        </w:rPr>
        <w:t xml:space="preserve"> </w:t>
      </w:r>
      <w:r w:rsidRPr="0010014F">
        <w:rPr>
          <w:sz w:val="24"/>
        </w:rPr>
        <w:t>will enable the interview</w:t>
      </w:r>
      <w:r>
        <w:rPr>
          <w:sz w:val="24"/>
        </w:rPr>
        <w:t>s</w:t>
      </w:r>
      <w:r w:rsidRPr="0010014F">
        <w:rPr>
          <w:sz w:val="24"/>
        </w:rPr>
        <w:t xml:space="preserve"> to be completed in less time</w:t>
      </w:r>
      <w:r>
        <w:rPr>
          <w:sz w:val="24"/>
        </w:rPr>
        <w:t>, with reduced burden,</w:t>
      </w:r>
      <w:r w:rsidRPr="0010014F">
        <w:rPr>
          <w:sz w:val="24"/>
        </w:rPr>
        <w:t xml:space="preserve"> and with more accuracy than a</w:t>
      </w:r>
      <w:r>
        <w:rPr>
          <w:sz w:val="24"/>
        </w:rPr>
        <w:t xml:space="preserve"> paper </w:t>
      </w:r>
      <w:r w:rsidRPr="0010014F">
        <w:rPr>
          <w:sz w:val="24"/>
        </w:rPr>
        <w:t>and</w:t>
      </w:r>
      <w:r>
        <w:rPr>
          <w:sz w:val="24"/>
        </w:rPr>
        <w:t xml:space="preserve"> </w:t>
      </w:r>
      <w:r w:rsidRPr="0010014F">
        <w:rPr>
          <w:sz w:val="24"/>
        </w:rPr>
        <w:t>pencil interview.</w:t>
      </w:r>
      <w:r w:rsidRPr="00AD19AF">
        <w:rPr>
          <w:sz w:val="24"/>
        </w:rPr>
        <w:t xml:space="preserve"> </w:t>
      </w:r>
      <w:r w:rsidR="00E63C43">
        <w:rPr>
          <w:sz w:val="24"/>
        </w:rPr>
        <w:t xml:space="preserve"> </w:t>
      </w:r>
      <w:r>
        <w:rPr>
          <w:sz w:val="24"/>
        </w:rPr>
        <w:t>HRSA</w:t>
      </w:r>
      <w:r w:rsidR="00CB6C05" w:rsidRPr="00E9278B">
        <w:rPr>
          <w:sz w:val="24"/>
        </w:rPr>
        <w:t xml:space="preserve"> </w:t>
      </w:r>
      <w:r w:rsidR="00C06479" w:rsidRPr="00E9278B">
        <w:rPr>
          <w:sz w:val="24"/>
        </w:rPr>
        <w:t>will then test cognitive understanding of the questions along with the usability of the computerized instrument.</w:t>
      </w:r>
    </w:p>
    <w:p w14:paraId="2F0E6C23" w14:textId="240C4342" w:rsidR="00C06479" w:rsidRPr="00E9278B" w:rsidRDefault="00D41531" w:rsidP="006F5632">
      <w:pPr>
        <w:spacing w:before="120"/>
        <w:rPr>
          <w:sz w:val="24"/>
        </w:rPr>
      </w:pPr>
      <w:r>
        <w:rPr>
          <w:sz w:val="24"/>
        </w:rPr>
        <w:t>HRSA has</w:t>
      </w:r>
      <w:r w:rsidRPr="00574EB0">
        <w:rPr>
          <w:sz w:val="24"/>
        </w:rPr>
        <w:t xml:space="preserve"> determined that a total of 58 interviews are necessary to adequately test all new and revised questions, ensuring the congruency of questions and changes the skip patterns of questions or routing, in each of the five languages</w:t>
      </w:r>
      <w:r>
        <w:rPr>
          <w:sz w:val="24"/>
        </w:rPr>
        <w:t xml:space="preserve"> </w:t>
      </w:r>
      <w:r w:rsidRPr="00E9278B">
        <w:rPr>
          <w:sz w:val="24"/>
        </w:rPr>
        <w:t xml:space="preserve">(English, Spanish, Vietnamese, </w:t>
      </w:r>
      <w:r>
        <w:rPr>
          <w:sz w:val="24"/>
        </w:rPr>
        <w:t>Tagalog</w:t>
      </w:r>
      <w:r w:rsidRPr="00E9278B">
        <w:rPr>
          <w:sz w:val="24"/>
        </w:rPr>
        <w:t xml:space="preserve">, </w:t>
      </w:r>
      <w:r w:rsidR="00165679">
        <w:rPr>
          <w:sz w:val="24"/>
        </w:rPr>
        <w:t xml:space="preserve">and </w:t>
      </w:r>
      <w:r w:rsidRPr="00E9278B">
        <w:rPr>
          <w:sz w:val="24"/>
        </w:rPr>
        <w:t>Chinese – Mandarin / Chinese – Cantonese).</w:t>
      </w:r>
      <w:r w:rsidR="00E63C43">
        <w:rPr>
          <w:sz w:val="24"/>
        </w:rPr>
        <w:t xml:space="preserve">  </w:t>
      </w:r>
      <w:r w:rsidR="00C06479" w:rsidRPr="00E9278B">
        <w:rPr>
          <w:sz w:val="24"/>
        </w:rPr>
        <w:t xml:space="preserve">The questionnaire </w:t>
      </w:r>
      <w:r w:rsidR="00CB6C05">
        <w:rPr>
          <w:sz w:val="24"/>
        </w:rPr>
        <w:t>varies</w:t>
      </w:r>
      <w:r w:rsidR="00C06479" w:rsidRPr="00E9278B">
        <w:rPr>
          <w:sz w:val="24"/>
        </w:rPr>
        <w:t xml:space="preserve"> by respondent type (Child-proxy, Adolescent, Adult).</w:t>
      </w:r>
      <w:r w:rsidR="00E63C43">
        <w:rPr>
          <w:sz w:val="24"/>
        </w:rPr>
        <w:t xml:space="preserve"> </w:t>
      </w:r>
      <w:r w:rsidR="00C06479" w:rsidRPr="00E9278B">
        <w:rPr>
          <w:sz w:val="24"/>
        </w:rPr>
        <w:t xml:space="preserve"> Having a larger pretest sample will ensure proper</w:t>
      </w:r>
      <w:r w:rsidR="00CB6C05">
        <w:rPr>
          <w:sz w:val="24"/>
        </w:rPr>
        <w:t xml:space="preserve"> </w:t>
      </w:r>
      <w:r w:rsidR="00C06479" w:rsidRPr="00E9278B">
        <w:rPr>
          <w:sz w:val="24"/>
        </w:rPr>
        <w:t>test</w:t>
      </w:r>
      <w:r w:rsidR="00CB6C05">
        <w:rPr>
          <w:sz w:val="24"/>
        </w:rPr>
        <w:t>ing of</w:t>
      </w:r>
      <w:r w:rsidR="00C06479" w:rsidRPr="00E9278B">
        <w:rPr>
          <w:sz w:val="24"/>
        </w:rPr>
        <w:t xml:space="preserve"> the questionnaire among these various sub-groups.</w:t>
      </w:r>
    </w:p>
    <w:p w14:paraId="30B23C8A" w14:textId="77777777" w:rsidR="0004571D" w:rsidRDefault="0004571D" w:rsidP="0004571D">
      <w:pPr>
        <w:tabs>
          <w:tab w:val="left" w:pos="-720"/>
          <w:tab w:val="left" w:pos="720"/>
          <w:tab w:val="right" w:pos="8648"/>
        </w:tabs>
        <w:rPr>
          <w:sz w:val="24"/>
        </w:rPr>
      </w:pPr>
    </w:p>
    <w:p w14:paraId="4D2EB31C" w14:textId="1C361882" w:rsidR="0072633E" w:rsidRDefault="0004571D" w:rsidP="00B776CE">
      <w:pPr>
        <w:tabs>
          <w:tab w:val="left" w:pos="-720"/>
          <w:tab w:val="left" w:pos="720"/>
          <w:tab w:val="right" w:pos="8648"/>
        </w:tabs>
        <w:rPr>
          <w:bCs/>
          <w:sz w:val="24"/>
        </w:rPr>
      </w:pPr>
      <w:r>
        <w:rPr>
          <w:sz w:val="24"/>
        </w:rPr>
        <w:t xml:space="preserve"> </w:t>
      </w:r>
      <w:r w:rsidR="00E63C43">
        <w:rPr>
          <w:sz w:val="24"/>
        </w:rPr>
        <w:t xml:space="preserve"> </w:t>
      </w:r>
      <w:r w:rsidR="003B13E7" w:rsidRPr="00B94934">
        <w:rPr>
          <w:bCs/>
          <w:sz w:val="24"/>
        </w:rPr>
        <w:t xml:space="preserve">A majority of the </w:t>
      </w:r>
      <w:r w:rsidR="00311C53" w:rsidRPr="003B13E7">
        <w:rPr>
          <w:bCs/>
          <w:sz w:val="24"/>
        </w:rPr>
        <w:t>ques</w:t>
      </w:r>
      <w:r w:rsidR="00311C53" w:rsidRPr="0088396F">
        <w:rPr>
          <w:bCs/>
          <w:sz w:val="24"/>
        </w:rPr>
        <w:t xml:space="preserve">tions in </w:t>
      </w:r>
      <w:r w:rsidR="00245824">
        <w:rPr>
          <w:bCs/>
          <w:sz w:val="24"/>
        </w:rPr>
        <w:t xml:space="preserve">the </w:t>
      </w:r>
      <w:r w:rsidR="00311C53" w:rsidRPr="0088396F">
        <w:rPr>
          <w:bCs/>
          <w:sz w:val="24"/>
        </w:rPr>
        <w:t xml:space="preserve">2019 </w:t>
      </w:r>
      <w:r w:rsidR="003B13E7">
        <w:rPr>
          <w:bCs/>
          <w:sz w:val="24"/>
        </w:rPr>
        <w:t xml:space="preserve">questionnaire (about 80%) </w:t>
      </w:r>
      <w:r w:rsidR="00A97685">
        <w:rPr>
          <w:bCs/>
          <w:sz w:val="24"/>
        </w:rPr>
        <w:t>come from</w:t>
      </w:r>
      <w:r w:rsidR="003B13E7">
        <w:rPr>
          <w:bCs/>
          <w:sz w:val="24"/>
        </w:rPr>
        <w:t xml:space="preserve"> the </w:t>
      </w:r>
      <w:r w:rsidR="00311C53" w:rsidRPr="0088396F">
        <w:rPr>
          <w:bCs/>
          <w:sz w:val="24"/>
        </w:rPr>
        <w:t xml:space="preserve">2014 </w:t>
      </w:r>
      <w:r w:rsidR="003B13E7">
        <w:rPr>
          <w:bCs/>
          <w:sz w:val="24"/>
        </w:rPr>
        <w:t xml:space="preserve">Health Center Patient Survey. </w:t>
      </w:r>
      <w:r w:rsidR="00E63C43">
        <w:rPr>
          <w:bCs/>
          <w:sz w:val="24"/>
        </w:rPr>
        <w:t xml:space="preserve"> </w:t>
      </w:r>
      <w:r w:rsidR="00A97685">
        <w:rPr>
          <w:bCs/>
          <w:sz w:val="24"/>
        </w:rPr>
        <w:t xml:space="preserve">HRSA </w:t>
      </w:r>
      <w:r w:rsidR="00E63C43">
        <w:rPr>
          <w:bCs/>
          <w:sz w:val="24"/>
        </w:rPr>
        <w:t>is adding</w:t>
      </w:r>
      <w:r w:rsidR="00A97685">
        <w:rPr>
          <w:bCs/>
          <w:sz w:val="24"/>
        </w:rPr>
        <w:t xml:space="preserve"> n</w:t>
      </w:r>
      <w:r w:rsidR="003B13E7">
        <w:rPr>
          <w:bCs/>
          <w:sz w:val="24"/>
        </w:rPr>
        <w:t xml:space="preserve">ew topic areas </w:t>
      </w:r>
      <w:r w:rsidR="00A97685">
        <w:rPr>
          <w:bCs/>
          <w:sz w:val="24"/>
        </w:rPr>
        <w:t xml:space="preserve">and </w:t>
      </w:r>
      <w:r w:rsidR="00963606">
        <w:rPr>
          <w:bCs/>
          <w:sz w:val="24"/>
        </w:rPr>
        <w:t>adapt</w:t>
      </w:r>
      <w:r w:rsidR="00E63C43">
        <w:rPr>
          <w:bCs/>
          <w:sz w:val="24"/>
        </w:rPr>
        <w:t>ing</w:t>
      </w:r>
      <w:r w:rsidR="00963606">
        <w:rPr>
          <w:bCs/>
          <w:sz w:val="24"/>
        </w:rPr>
        <w:t xml:space="preserve"> </w:t>
      </w:r>
      <w:r w:rsidR="00A97685">
        <w:rPr>
          <w:bCs/>
          <w:sz w:val="24"/>
        </w:rPr>
        <w:t xml:space="preserve">questions </w:t>
      </w:r>
      <w:r w:rsidR="0072633E">
        <w:rPr>
          <w:bCs/>
          <w:sz w:val="24"/>
        </w:rPr>
        <w:t xml:space="preserve">from existing surveys to allow for comparability between </w:t>
      </w:r>
      <w:r w:rsidR="00890075">
        <w:rPr>
          <w:bCs/>
          <w:sz w:val="24"/>
        </w:rPr>
        <w:t>questionnaires</w:t>
      </w:r>
      <w:r w:rsidR="0072633E">
        <w:rPr>
          <w:bCs/>
          <w:sz w:val="24"/>
        </w:rPr>
        <w:t xml:space="preserve">. </w:t>
      </w:r>
      <w:r w:rsidR="00E63C43">
        <w:rPr>
          <w:bCs/>
          <w:sz w:val="24"/>
        </w:rPr>
        <w:t xml:space="preserve"> </w:t>
      </w:r>
      <w:r w:rsidR="00963606">
        <w:rPr>
          <w:bCs/>
          <w:sz w:val="24"/>
        </w:rPr>
        <w:t xml:space="preserve">The topics and the </w:t>
      </w:r>
      <w:r w:rsidR="003C268B">
        <w:rPr>
          <w:bCs/>
          <w:sz w:val="24"/>
        </w:rPr>
        <w:t xml:space="preserve">study </w:t>
      </w:r>
      <w:r w:rsidR="00963606">
        <w:rPr>
          <w:bCs/>
          <w:sz w:val="24"/>
        </w:rPr>
        <w:t xml:space="preserve">source of the questions </w:t>
      </w:r>
      <w:r w:rsidR="003C268B">
        <w:rPr>
          <w:bCs/>
          <w:sz w:val="24"/>
        </w:rPr>
        <w:t xml:space="preserve">added in 2019 </w:t>
      </w:r>
      <w:r w:rsidR="00963606">
        <w:rPr>
          <w:bCs/>
          <w:sz w:val="24"/>
        </w:rPr>
        <w:t xml:space="preserve">are listed </w:t>
      </w:r>
      <w:r w:rsidR="000A44F9">
        <w:rPr>
          <w:bCs/>
          <w:sz w:val="24"/>
        </w:rPr>
        <w:t xml:space="preserve">in </w:t>
      </w:r>
      <w:r w:rsidR="000A44F9" w:rsidRPr="00B94934">
        <w:rPr>
          <w:b/>
          <w:bCs/>
          <w:sz w:val="24"/>
        </w:rPr>
        <w:t>Table 3</w:t>
      </w:r>
      <w:r w:rsidR="00963606">
        <w:rPr>
          <w:bCs/>
          <w:sz w:val="24"/>
        </w:rPr>
        <w:t>.</w:t>
      </w:r>
    </w:p>
    <w:p w14:paraId="63AA93B7" w14:textId="77777777" w:rsidR="001A603C" w:rsidRDefault="001A603C" w:rsidP="0072633E">
      <w:pPr>
        <w:spacing w:before="120"/>
        <w:ind w:left="1440"/>
        <w:rPr>
          <w:bCs/>
          <w:sz w:val="24"/>
        </w:rPr>
      </w:pPr>
    </w:p>
    <w:p w14:paraId="19C6C108" w14:textId="12537D6E" w:rsidR="0072633E" w:rsidRPr="006F5632" w:rsidRDefault="000A44F9" w:rsidP="006F5632">
      <w:pPr>
        <w:spacing w:before="120"/>
        <w:rPr>
          <w:b/>
          <w:bCs/>
          <w:sz w:val="24"/>
        </w:rPr>
      </w:pPr>
      <w:r w:rsidRPr="006F5632">
        <w:rPr>
          <w:b/>
          <w:bCs/>
          <w:sz w:val="24"/>
        </w:rPr>
        <w:t>Table 3. New Topical Areas and Source of Questions in the 2019 HCPS</w:t>
      </w:r>
    </w:p>
    <w:tbl>
      <w:tblPr>
        <w:tblStyle w:val="TableGrid"/>
        <w:tblW w:w="0" w:type="auto"/>
        <w:tblInd w:w="-5" w:type="dxa"/>
        <w:tblLook w:val="04A0" w:firstRow="1" w:lastRow="0" w:firstColumn="1" w:lastColumn="0" w:noHBand="0" w:noVBand="1"/>
      </w:tblPr>
      <w:tblGrid>
        <w:gridCol w:w="3960"/>
        <w:gridCol w:w="5395"/>
      </w:tblGrid>
      <w:tr w:rsidR="00EF6080" w:rsidRPr="00A4130E" w14:paraId="65BB0C0F" w14:textId="77777777" w:rsidTr="006F5632">
        <w:tc>
          <w:tcPr>
            <w:tcW w:w="3960" w:type="dxa"/>
          </w:tcPr>
          <w:p w14:paraId="16E7EC0D" w14:textId="6EC1DAAE" w:rsidR="00EF6080" w:rsidRPr="006F5632" w:rsidRDefault="00963606" w:rsidP="0072633E">
            <w:pPr>
              <w:spacing w:before="120"/>
              <w:rPr>
                <w:b/>
                <w:bCs/>
                <w:sz w:val="24"/>
              </w:rPr>
            </w:pPr>
            <w:r w:rsidRPr="006F5632">
              <w:rPr>
                <w:b/>
                <w:bCs/>
                <w:sz w:val="24"/>
              </w:rPr>
              <w:t>Topic</w:t>
            </w:r>
          </w:p>
        </w:tc>
        <w:tc>
          <w:tcPr>
            <w:tcW w:w="5395" w:type="dxa"/>
          </w:tcPr>
          <w:p w14:paraId="5A576498" w14:textId="2F78A1B1" w:rsidR="00EF6080" w:rsidRPr="006F5632" w:rsidRDefault="00963606" w:rsidP="0072633E">
            <w:pPr>
              <w:spacing w:before="120"/>
              <w:rPr>
                <w:b/>
                <w:bCs/>
                <w:sz w:val="24"/>
              </w:rPr>
            </w:pPr>
            <w:r w:rsidRPr="006F5632">
              <w:rPr>
                <w:b/>
                <w:bCs/>
                <w:sz w:val="24"/>
              </w:rPr>
              <w:t>Source</w:t>
            </w:r>
          </w:p>
        </w:tc>
      </w:tr>
      <w:tr w:rsidR="00EF6080" w:rsidRPr="00A4130E" w14:paraId="0628EB25" w14:textId="77777777" w:rsidTr="006F5632">
        <w:tc>
          <w:tcPr>
            <w:tcW w:w="3960" w:type="dxa"/>
          </w:tcPr>
          <w:p w14:paraId="53CA8A6B" w14:textId="3143EEE4" w:rsidR="00EF6080" w:rsidRPr="006F5632" w:rsidRDefault="00EF6080" w:rsidP="0072633E">
            <w:pPr>
              <w:spacing w:before="120"/>
              <w:rPr>
                <w:bCs/>
                <w:sz w:val="24"/>
              </w:rPr>
            </w:pPr>
            <w:r w:rsidRPr="006F5632">
              <w:rPr>
                <w:bCs/>
                <w:sz w:val="24"/>
              </w:rPr>
              <w:t>Activities of daily living</w:t>
            </w:r>
          </w:p>
        </w:tc>
        <w:tc>
          <w:tcPr>
            <w:tcW w:w="5395" w:type="dxa"/>
          </w:tcPr>
          <w:p w14:paraId="1C2D0516" w14:textId="31462321" w:rsidR="00EF6080" w:rsidRPr="006F5632" w:rsidRDefault="00EF6080" w:rsidP="0072633E">
            <w:pPr>
              <w:spacing w:before="120"/>
              <w:rPr>
                <w:bCs/>
                <w:sz w:val="24"/>
              </w:rPr>
            </w:pPr>
            <w:r w:rsidRPr="006F5632">
              <w:rPr>
                <w:bCs/>
                <w:sz w:val="24"/>
              </w:rPr>
              <w:t>2000 Longitudinal Study of Aging (OMB No. 0920-0411); 2018 BRFSS (OMB No, 0920-1061)</w:t>
            </w:r>
          </w:p>
        </w:tc>
      </w:tr>
      <w:tr w:rsidR="00EF6080" w:rsidRPr="00A4130E" w14:paraId="0DEAD9F8" w14:textId="77777777" w:rsidTr="006F5632">
        <w:tc>
          <w:tcPr>
            <w:tcW w:w="3960" w:type="dxa"/>
          </w:tcPr>
          <w:p w14:paraId="287FD9B8" w14:textId="78399D28" w:rsidR="00EF6080" w:rsidRPr="006F5632" w:rsidRDefault="00EF6080" w:rsidP="0072633E">
            <w:pPr>
              <w:spacing w:before="120"/>
              <w:rPr>
                <w:bCs/>
                <w:sz w:val="24"/>
              </w:rPr>
            </w:pPr>
            <w:r w:rsidRPr="006F5632">
              <w:rPr>
                <w:bCs/>
                <w:sz w:val="24"/>
              </w:rPr>
              <w:t>Falls</w:t>
            </w:r>
          </w:p>
        </w:tc>
        <w:tc>
          <w:tcPr>
            <w:tcW w:w="5395" w:type="dxa"/>
          </w:tcPr>
          <w:p w14:paraId="4BD0376B" w14:textId="54A080C4" w:rsidR="00EF6080" w:rsidRPr="006F5632" w:rsidRDefault="00EF6080" w:rsidP="0072633E">
            <w:pPr>
              <w:spacing w:before="120"/>
              <w:rPr>
                <w:bCs/>
                <w:sz w:val="24"/>
              </w:rPr>
            </w:pPr>
            <w:r w:rsidRPr="006F5632">
              <w:rPr>
                <w:bCs/>
                <w:sz w:val="24"/>
              </w:rPr>
              <w:t>2018 BRFSS (OMB No, 0920-1061)</w:t>
            </w:r>
          </w:p>
        </w:tc>
      </w:tr>
      <w:tr w:rsidR="00EF6080" w:rsidRPr="00A4130E" w14:paraId="1915D666" w14:textId="77777777" w:rsidTr="006F5632">
        <w:tc>
          <w:tcPr>
            <w:tcW w:w="3960" w:type="dxa"/>
          </w:tcPr>
          <w:p w14:paraId="32F86B00" w14:textId="319920B1" w:rsidR="00EF6080" w:rsidRPr="006F5632" w:rsidRDefault="00EF6080" w:rsidP="0072633E">
            <w:pPr>
              <w:spacing w:before="120"/>
              <w:rPr>
                <w:bCs/>
                <w:sz w:val="24"/>
              </w:rPr>
            </w:pPr>
            <w:r w:rsidRPr="006F5632">
              <w:rPr>
                <w:bCs/>
                <w:sz w:val="24"/>
              </w:rPr>
              <w:t>Undiagnosed diabetes</w:t>
            </w:r>
          </w:p>
        </w:tc>
        <w:tc>
          <w:tcPr>
            <w:tcW w:w="5395" w:type="dxa"/>
          </w:tcPr>
          <w:p w14:paraId="7F2DBF6E" w14:textId="5E8F7BD3" w:rsidR="00EF6080" w:rsidRPr="006F5632" w:rsidRDefault="00F931D7" w:rsidP="0072633E">
            <w:pPr>
              <w:spacing w:before="120"/>
              <w:rPr>
                <w:bCs/>
                <w:sz w:val="24"/>
              </w:rPr>
            </w:pPr>
            <w:r w:rsidRPr="006F5632">
              <w:rPr>
                <w:bCs/>
                <w:sz w:val="24"/>
              </w:rPr>
              <w:t>2017 NHIS (OMB No, 0920-0124)</w:t>
            </w:r>
          </w:p>
        </w:tc>
      </w:tr>
      <w:tr w:rsidR="00F931D7" w:rsidRPr="00A4130E" w14:paraId="0DB1BDEE" w14:textId="77777777" w:rsidTr="006F5632">
        <w:tc>
          <w:tcPr>
            <w:tcW w:w="3960" w:type="dxa"/>
          </w:tcPr>
          <w:p w14:paraId="0886D5E2" w14:textId="203A6A0D" w:rsidR="00F931D7" w:rsidRPr="006F5632" w:rsidRDefault="00F931D7" w:rsidP="0072633E">
            <w:pPr>
              <w:spacing w:before="120"/>
              <w:rPr>
                <w:bCs/>
                <w:sz w:val="24"/>
              </w:rPr>
            </w:pPr>
            <w:r w:rsidRPr="006F5632">
              <w:rPr>
                <w:bCs/>
                <w:sz w:val="24"/>
              </w:rPr>
              <w:t>Exercise</w:t>
            </w:r>
          </w:p>
        </w:tc>
        <w:tc>
          <w:tcPr>
            <w:tcW w:w="5395" w:type="dxa"/>
          </w:tcPr>
          <w:p w14:paraId="37C7F93F" w14:textId="5E944D93" w:rsidR="00F931D7" w:rsidRPr="006F5632" w:rsidRDefault="00F931D7" w:rsidP="0072633E">
            <w:pPr>
              <w:spacing w:before="120"/>
              <w:rPr>
                <w:bCs/>
                <w:sz w:val="24"/>
              </w:rPr>
            </w:pPr>
            <w:r w:rsidRPr="006F5632">
              <w:rPr>
                <w:bCs/>
                <w:sz w:val="24"/>
              </w:rPr>
              <w:t>2018 NHIS (OMB No, 0920-0124)</w:t>
            </w:r>
          </w:p>
        </w:tc>
      </w:tr>
      <w:tr w:rsidR="00F931D7" w:rsidRPr="00A4130E" w14:paraId="52228631" w14:textId="77777777" w:rsidTr="006F5632">
        <w:tc>
          <w:tcPr>
            <w:tcW w:w="3960" w:type="dxa"/>
          </w:tcPr>
          <w:p w14:paraId="53B29085" w14:textId="49C213B9" w:rsidR="00F931D7" w:rsidRPr="006F5632" w:rsidRDefault="00F931D7" w:rsidP="0072633E">
            <w:pPr>
              <w:spacing w:before="120"/>
              <w:rPr>
                <w:bCs/>
                <w:sz w:val="24"/>
              </w:rPr>
            </w:pPr>
            <w:r w:rsidRPr="006F5632">
              <w:rPr>
                <w:bCs/>
                <w:sz w:val="24"/>
              </w:rPr>
              <w:t>Food security</w:t>
            </w:r>
          </w:p>
        </w:tc>
        <w:tc>
          <w:tcPr>
            <w:tcW w:w="5395" w:type="dxa"/>
          </w:tcPr>
          <w:p w14:paraId="045F2BDE" w14:textId="4FB57B87" w:rsidR="00F931D7" w:rsidRPr="006F5632" w:rsidRDefault="00F931D7" w:rsidP="0072633E">
            <w:pPr>
              <w:spacing w:before="120"/>
              <w:rPr>
                <w:bCs/>
                <w:sz w:val="24"/>
              </w:rPr>
            </w:pPr>
            <w:r w:rsidRPr="006F5632">
              <w:rPr>
                <w:bCs/>
                <w:sz w:val="24"/>
              </w:rPr>
              <w:t>2012 USDA Six-Item Module</w:t>
            </w:r>
          </w:p>
        </w:tc>
      </w:tr>
      <w:tr w:rsidR="00F931D7" w:rsidRPr="00A4130E" w14:paraId="44F87213" w14:textId="77777777" w:rsidTr="006F5632">
        <w:tc>
          <w:tcPr>
            <w:tcW w:w="3960" w:type="dxa"/>
          </w:tcPr>
          <w:p w14:paraId="7FFE4A84" w14:textId="19EBEA66" w:rsidR="00F931D7" w:rsidRPr="006F5632" w:rsidRDefault="00F931D7" w:rsidP="00F931D7">
            <w:pPr>
              <w:spacing w:before="120"/>
              <w:rPr>
                <w:bCs/>
                <w:sz w:val="24"/>
              </w:rPr>
            </w:pPr>
            <w:r w:rsidRPr="006F5632">
              <w:rPr>
                <w:bCs/>
                <w:sz w:val="24"/>
              </w:rPr>
              <w:t>E-cigarette use</w:t>
            </w:r>
          </w:p>
        </w:tc>
        <w:tc>
          <w:tcPr>
            <w:tcW w:w="5395" w:type="dxa"/>
          </w:tcPr>
          <w:p w14:paraId="597DAA3B" w14:textId="7B845DB8" w:rsidR="00F931D7" w:rsidRPr="006F5632" w:rsidRDefault="00F931D7" w:rsidP="00F931D7">
            <w:pPr>
              <w:spacing w:before="120"/>
              <w:rPr>
                <w:bCs/>
                <w:sz w:val="24"/>
                <w:highlight w:val="yellow"/>
              </w:rPr>
            </w:pPr>
            <w:r w:rsidRPr="006F5632">
              <w:rPr>
                <w:bCs/>
                <w:sz w:val="24"/>
              </w:rPr>
              <w:t>2017 BRFSS (OMB No, 0920-1061)</w:t>
            </w:r>
          </w:p>
        </w:tc>
      </w:tr>
      <w:tr w:rsidR="00963606" w:rsidRPr="00A4130E" w14:paraId="1F9BDE82" w14:textId="77777777" w:rsidTr="006F5632">
        <w:tc>
          <w:tcPr>
            <w:tcW w:w="3960" w:type="dxa"/>
          </w:tcPr>
          <w:p w14:paraId="07876DCC" w14:textId="41617AA0" w:rsidR="00963606" w:rsidRPr="006F5632" w:rsidRDefault="00963606" w:rsidP="00F931D7">
            <w:pPr>
              <w:spacing w:before="120"/>
              <w:rPr>
                <w:bCs/>
                <w:sz w:val="24"/>
              </w:rPr>
            </w:pPr>
            <w:r w:rsidRPr="006F5632">
              <w:rPr>
                <w:bCs/>
                <w:sz w:val="24"/>
              </w:rPr>
              <w:t>Medications</w:t>
            </w:r>
          </w:p>
        </w:tc>
        <w:tc>
          <w:tcPr>
            <w:tcW w:w="5395" w:type="dxa"/>
          </w:tcPr>
          <w:p w14:paraId="718BE9F9" w14:textId="6E37E4C5" w:rsidR="00963606" w:rsidRPr="006F5632" w:rsidRDefault="00963606" w:rsidP="00F931D7">
            <w:pPr>
              <w:spacing w:before="120"/>
              <w:rPr>
                <w:bCs/>
                <w:sz w:val="24"/>
              </w:rPr>
            </w:pPr>
            <w:r w:rsidRPr="006F5632">
              <w:rPr>
                <w:bCs/>
                <w:sz w:val="24"/>
              </w:rPr>
              <w:t>2018 Home Health Care CAHPS Survey (OMB No. 0938-1066)</w:t>
            </w:r>
          </w:p>
        </w:tc>
      </w:tr>
      <w:tr w:rsidR="00F931D7" w:rsidRPr="00A4130E" w14:paraId="03D86D76" w14:textId="77777777" w:rsidTr="006F5632">
        <w:tc>
          <w:tcPr>
            <w:tcW w:w="3960" w:type="dxa"/>
          </w:tcPr>
          <w:p w14:paraId="6CB92F70" w14:textId="08A78DC3" w:rsidR="00F931D7" w:rsidRPr="006F5632" w:rsidRDefault="00F931D7" w:rsidP="00F931D7">
            <w:pPr>
              <w:spacing w:before="120"/>
              <w:rPr>
                <w:bCs/>
                <w:sz w:val="24"/>
              </w:rPr>
            </w:pPr>
            <w:r w:rsidRPr="006F5632">
              <w:rPr>
                <w:bCs/>
                <w:sz w:val="24"/>
              </w:rPr>
              <w:t>Medication management</w:t>
            </w:r>
          </w:p>
        </w:tc>
        <w:tc>
          <w:tcPr>
            <w:tcW w:w="5395" w:type="dxa"/>
          </w:tcPr>
          <w:p w14:paraId="175DC843" w14:textId="62CED3EF" w:rsidR="00F931D7" w:rsidRPr="006F5632" w:rsidRDefault="00F931D7" w:rsidP="00F931D7">
            <w:pPr>
              <w:spacing w:before="120"/>
              <w:rPr>
                <w:bCs/>
                <w:sz w:val="24"/>
                <w:highlight w:val="yellow"/>
              </w:rPr>
            </w:pPr>
            <w:r w:rsidRPr="006F5632">
              <w:rPr>
                <w:bCs/>
                <w:sz w:val="24"/>
              </w:rPr>
              <w:t>Krousel-Wood M, Islam T, Webber LS, Re R, Morisky DE, Muntner P. New medication adherence scale versus pharmacy fill rates in hypertensive seniors. The American journal of managed care. 2009;15(1):59-66</w:t>
            </w:r>
          </w:p>
        </w:tc>
      </w:tr>
      <w:tr w:rsidR="00F931D7" w:rsidRPr="00A4130E" w14:paraId="2D972CA1" w14:textId="77777777" w:rsidTr="006F5632">
        <w:tc>
          <w:tcPr>
            <w:tcW w:w="3960" w:type="dxa"/>
          </w:tcPr>
          <w:p w14:paraId="15B25859" w14:textId="625856AD" w:rsidR="00F931D7" w:rsidRPr="006F5632" w:rsidRDefault="00F931D7" w:rsidP="00F931D7">
            <w:pPr>
              <w:spacing w:before="120"/>
              <w:rPr>
                <w:bCs/>
                <w:sz w:val="24"/>
              </w:rPr>
            </w:pPr>
            <w:r w:rsidRPr="006F5632">
              <w:rPr>
                <w:bCs/>
                <w:sz w:val="24"/>
              </w:rPr>
              <w:t>Mental health (suicide)</w:t>
            </w:r>
          </w:p>
        </w:tc>
        <w:tc>
          <w:tcPr>
            <w:tcW w:w="5395" w:type="dxa"/>
          </w:tcPr>
          <w:p w14:paraId="75F40600" w14:textId="5FC7FF05" w:rsidR="00F931D7" w:rsidRPr="006F5632" w:rsidRDefault="00F931D7" w:rsidP="00F931D7">
            <w:pPr>
              <w:spacing w:before="120"/>
              <w:rPr>
                <w:bCs/>
                <w:sz w:val="24"/>
              </w:rPr>
            </w:pPr>
            <w:r w:rsidRPr="006F5632">
              <w:rPr>
                <w:bCs/>
                <w:sz w:val="24"/>
              </w:rPr>
              <w:t>2018 NSDUH (OMB No, 0930-0110)</w:t>
            </w:r>
          </w:p>
        </w:tc>
      </w:tr>
      <w:tr w:rsidR="00F931D7" w:rsidRPr="00A4130E" w14:paraId="173733C3" w14:textId="77777777" w:rsidTr="006F5632">
        <w:tc>
          <w:tcPr>
            <w:tcW w:w="3960" w:type="dxa"/>
          </w:tcPr>
          <w:p w14:paraId="47412C96" w14:textId="53145F26" w:rsidR="00F931D7" w:rsidRPr="006F5632" w:rsidRDefault="00F931D7" w:rsidP="00F931D7">
            <w:pPr>
              <w:spacing w:before="120"/>
              <w:rPr>
                <w:bCs/>
                <w:sz w:val="24"/>
              </w:rPr>
            </w:pPr>
            <w:r w:rsidRPr="006F5632">
              <w:rPr>
                <w:bCs/>
                <w:sz w:val="24"/>
              </w:rPr>
              <w:t>Mental health (autism/ADHD)</w:t>
            </w:r>
          </w:p>
        </w:tc>
        <w:tc>
          <w:tcPr>
            <w:tcW w:w="5395" w:type="dxa"/>
          </w:tcPr>
          <w:p w14:paraId="2A58440B" w14:textId="0223D9EB" w:rsidR="00F931D7" w:rsidRPr="006F5632" w:rsidRDefault="00F931D7" w:rsidP="00F931D7">
            <w:pPr>
              <w:spacing w:before="120"/>
              <w:rPr>
                <w:bCs/>
                <w:sz w:val="24"/>
              </w:rPr>
            </w:pPr>
            <w:r w:rsidRPr="006F5632">
              <w:rPr>
                <w:bCs/>
                <w:sz w:val="24"/>
              </w:rPr>
              <w:t>2018 NHIS (OMB No, 0920-0124)</w:t>
            </w:r>
          </w:p>
        </w:tc>
      </w:tr>
      <w:tr w:rsidR="00F931D7" w:rsidRPr="00A4130E" w14:paraId="42CA0CC2" w14:textId="77777777" w:rsidTr="006F5632">
        <w:tc>
          <w:tcPr>
            <w:tcW w:w="3960" w:type="dxa"/>
          </w:tcPr>
          <w:p w14:paraId="7B28839E" w14:textId="4BAEBF8F" w:rsidR="00F931D7" w:rsidRPr="006F5632" w:rsidRDefault="00F931D7" w:rsidP="00F931D7">
            <w:pPr>
              <w:spacing w:before="120"/>
              <w:rPr>
                <w:bCs/>
                <w:sz w:val="24"/>
              </w:rPr>
            </w:pPr>
            <w:r w:rsidRPr="006F5632">
              <w:rPr>
                <w:bCs/>
                <w:sz w:val="24"/>
              </w:rPr>
              <w:t>Prenatal care and breastfeeding</w:t>
            </w:r>
          </w:p>
        </w:tc>
        <w:tc>
          <w:tcPr>
            <w:tcW w:w="5395" w:type="dxa"/>
          </w:tcPr>
          <w:p w14:paraId="5C4E4C18" w14:textId="130C66AB" w:rsidR="00F931D7" w:rsidRPr="006F5632" w:rsidRDefault="00F931D7" w:rsidP="00F931D7">
            <w:pPr>
              <w:spacing w:before="120"/>
              <w:rPr>
                <w:bCs/>
                <w:sz w:val="24"/>
              </w:rPr>
            </w:pPr>
            <w:r w:rsidRPr="006F5632">
              <w:rPr>
                <w:bCs/>
                <w:sz w:val="24"/>
              </w:rPr>
              <w:t>2016 PRAMS Phase 8 Core Questionnaire</w:t>
            </w:r>
          </w:p>
        </w:tc>
      </w:tr>
      <w:tr w:rsidR="00F931D7" w:rsidRPr="00A4130E" w14:paraId="2B1E6776" w14:textId="77777777" w:rsidTr="006F5632">
        <w:tc>
          <w:tcPr>
            <w:tcW w:w="3960" w:type="dxa"/>
          </w:tcPr>
          <w:p w14:paraId="756DCF31" w14:textId="622ABB8F" w:rsidR="00F931D7" w:rsidRPr="006F5632" w:rsidRDefault="00F931D7" w:rsidP="00F931D7">
            <w:pPr>
              <w:spacing w:before="120"/>
              <w:rPr>
                <w:bCs/>
                <w:sz w:val="24"/>
              </w:rPr>
            </w:pPr>
            <w:r w:rsidRPr="006F5632">
              <w:rPr>
                <w:bCs/>
                <w:sz w:val="24"/>
              </w:rPr>
              <w:t>B</w:t>
            </w:r>
            <w:r w:rsidR="00963606" w:rsidRPr="006F5632">
              <w:rPr>
                <w:bCs/>
                <w:sz w:val="24"/>
              </w:rPr>
              <w:t>arriers to obtaining medication</w:t>
            </w:r>
          </w:p>
        </w:tc>
        <w:tc>
          <w:tcPr>
            <w:tcW w:w="5395" w:type="dxa"/>
          </w:tcPr>
          <w:p w14:paraId="10B2817E" w14:textId="3ED06A26" w:rsidR="00F931D7" w:rsidRPr="006F5632" w:rsidRDefault="00963606" w:rsidP="00F931D7">
            <w:pPr>
              <w:spacing w:before="120"/>
              <w:rPr>
                <w:bCs/>
                <w:sz w:val="24"/>
              </w:rPr>
            </w:pPr>
            <w:r w:rsidRPr="006F5632">
              <w:rPr>
                <w:bCs/>
                <w:sz w:val="24"/>
              </w:rPr>
              <w:t>2018 NHIS (OMB No, 0920-0124)</w:t>
            </w:r>
          </w:p>
        </w:tc>
      </w:tr>
      <w:tr w:rsidR="00963606" w:rsidRPr="00A4130E" w14:paraId="59AC23B2" w14:textId="77777777" w:rsidTr="006F5632">
        <w:tc>
          <w:tcPr>
            <w:tcW w:w="3960" w:type="dxa"/>
          </w:tcPr>
          <w:p w14:paraId="25FC88BF" w14:textId="005AC08B" w:rsidR="00963606" w:rsidRPr="006F5632" w:rsidRDefault="00963606" w:rsidP="00963606">
            <w:pPr>
              <w:spacing w:before="120"/>
              <w:rPr>
                <w:bCs/>
                <w:sz w:val="24"/>
              </w:rPr>
            </w:pPr>
            <w:r w:rsidRPr="006F5632">
              <w:rPr>
                <w:bCs/>
                <w:sz w:val="24"/>
              </w:rPr>
              <w:t>Public housing</w:t>
            </w:r>
          </w:p>
        </w:tc>
        <w:tc>
          <w:tcPr>
            <w:tcW w:w="5395" w:type="dxa"/>
          </w:tcPr>
          <w:p w14:paraId="6416CC65" w14:textId="130FFEDF" w:rsidR="00963606" w:rsidRPr="006F5632" w:rsidRDefault="00963606" w:rsidP="00963606">
            <w:pPr>
              <w:spacing w:before="120"/>
              <w:rPr>
                <w:bCs/>
                <w:sz w:val="24"/>
              </w:rPr>
            </w:pPr>
            <w:r w:rsidRPr="006F5632">
              <w:rPr>
                <w:bCs/>
                <w:sz w:val="24"/>
              </w:rPr>
              <w:t>2018 NHIS (OMB No, 0920-0124)</w:t>
            </w:r>
          </w:p>
        </w:tc>
      </w:tr>
      <w:tr w:rsidR="00963606" w:rsidRPr="00A4130E" w14:paraId="4C48A741" w14:textId="77777777" w:rsidTr="006F5632">
        <w:tc>
          <w:tcPr>
            <w:tcW w:w="3960" w:type="dxa"/>
          </w:tcPr>
          <w:p w14:paraId="007E1B7F" w14:textId="53A4EBF8" w:rsidR="00963606" w:rsidRPr="006F5632" w:rsidRDefault="00963606" w:rsidP="00963606">
            <w:pPr>
              <w:spacing w:before="120"/>
              <w:rPr>
                <w:bCs/>
                <w:sz w:val="24"/>
              </w:rPr>
            </w:pPr>
            <w:r w:rsidRPr="006F5632">
              <w:rPr>
                <w:bCs/>
                <w:sz w:val="24"/>
              </w:rPr>
              <w:t>Telehealth</w:t>
            </w:r>
          </w:p>
        </w:tc>
        <w:tc>
          <w:tcPr>
            <w:tcW w:w="5395" w:type="dxa"/>
          </w:tcPr>
          <w:p w14:paraId="00F18359" w14:textId="2DAD5A91" w:rsidR="00963606" w:rsidRPr="006F5632" w:rsidRDefault="004A21A3" w:rsidP="00963606">
            <w:pPr>
              <w:spacing w:before="120"/>
              <w:rPr>
                <w:bCs/>
                <w:sz w:val="24"/>
              </w:rPr>
            </w:pPr>
            <w:r w:rsidRPr="006F5632">
              <w:rPr>
                <w:bCs/>
                <w:sz w:val="24"/>
              </w:rPr>
              <w:t>Created by RTI methodologist</w:t>
            </w:r>
          </w:p>
        </w:tc>
      </w:tr>
      <w:tr w:rsidR="00963606" w:rsidRPr="00A4130E" w14:paraId="16D8D59D" w14:textId="77777777" w:rsidTr="006F5632">
        <w:tc>
          <w:tcPr>
            <w:tcW w:w="3960" w:type="dxa"/>
          </w:tcPr>
          <w:p w14:paraId="050F00BC" w14:textId="4D9D2F3C" w:rsidR="00963606" w:rsidRPr="006F5632" w:rsidRDefault="008A352E" w:rsidP="00963606">
            <w:pPr>
              <w:spacing w:before="120"/>
              <w:rPr>
                <w:bCs/>
                <w:sz w:val="24"/>
              </w:rPr>
            </w:pPr>
            <w:r w:rsidRPr="006F5632">
              <w:rPr>
                <w:bCs/>
                <w:sz w:val="24"/>
              </w:rPr>
              <w:t>Neighborhood characteristics</w:t>
            </w:r>
          </w:p>
        </w:tc>
        <w:tc>
          <w:tcPr>
            <w:tcW w:w="5395" w:type="dxa"/>
          </w:tcPr>
          <w:p w14:paraId="2B9BE625" w14:textId="3D0C5EE9" w:rsidR="00963606" w:rsidRPr="006F5632" w:rsidRDefault="00D93A50" w:rsidP="00963606">
            <w:pPr>
              <w:spacing w:before="120"/>
              <w:rPr>
                <w:bCs/>
                <w:sz w:val="24"/>
              </w:rPr>
            </w:pPr>
            <w:r w:rsidRPr="006F5632">
              <w:rPr>
                <w:bCs/>
                <w:sz w:val="24"/>
              </w:rPr>
              <w:t xml:space="preserve">2012 Community Advantage Panel Study </w:t>
            </w:r>
          </w:p>
        </w:tc>
      </w:tr>
    </w:tbl>
    <w:p w14:paraId="319F6034" w14:textId="232E37CB" w:rsidR="00245824" w:rsidRPr="006F5632" w:rsidRDefault="00245824" w:rsidP="00B94934">
      <w:pPr>
        <w:spacing w:before="120"/>
        <w:ind w:left="1440"/>
        <w:rPr>
          <w:bCs/>
          <w:sz w:val="24"/>
        </w:rPr>
      </w:pPr>
    </w:p>
    <w:p w14:paraId="49C9FA7C" w14:textId="77777777" w:rsidR="00BA1757" w:rsidRPr="00E9278B" w:rsidRDefault="00BA1757" w:rsidP="006F5632">
      <w:pPr>
        <w:spacing w:before="120"/>
        <w:rPr>
          <w:b/>
          <w:bCs/>
          <w:sz w:val="24"/>
        </w:rPr>
      </w:pPr>
      <w:r w:rsidRPr="00E9278B">
        <w:rPr>
          <w:b/>
          <w:bCs/>
          <w:sz w:val="24"/>
        </w:rPr>
        <w:t>5. Individuals Consulted on Statistical Aspects and Individuals Collecting and/or</w:t>
      </w:r>
      <w:r w:rsidR="001746F8" w:rsidRPr="00E9278B">
        <w:rPr>
          <w:b/>
          <w:bCs/>
          <w:sz w:val="24"/>
        </w:rPr>
        <w:t xml:space="preserve"> </w:t>
      </w:r>
      <w:r w:rsidRPr="00E9278B">
        <w:rPr>
          <w:b/>
          <w:bCs/>
          <w:sz w:val="24"/>
        </w:rPr>
        <w:t>Analyzing Data</w:t>
      </w:r>
    </w:p>
    <w:p w14:paraId="24C5954A" w14:textId="7BC288DF" w:rsidR="00D33F89" w:rsidRDefault="00D33F89" w:rsidP="006F5632">
      <w:pPr>
        <w:spacing w:before="120"/>
        <w:rPr>
          <w:sz w:val="24"/>
        </w:rPr>
      </w:pPr>
      <w:r>
        <w:rPr>
          <w:sz w:val="24"/>
        </w:rPr>
        <w:t>Although</w:t>
      </w:r>
      <w:r w:rsidR="000C3412">
        <w:rPr>
          <w:sz w:val="24"/>
        </w:rPr>
        <w:t xml:space="preserve"> </w:t>
      </w:r>
      <w:r>
        <w:rPr>
          <w:sz w:val="24"/>
        </w:rPr>
        <w:t>stati</w:t>
      </w:r>
      <w:r w:rsidR="00BD3AAC">
        <w:rPr>
          <w:sz w:val="24"/>
        </w:rPr>
        <w:t>stical analysis</w:t>
      </w:r>
      <w:r w:rsidR="00CB6C05">
        <w:rPr>
          <w:sz w:val="24"/>
        </w:rPr>
        <w:t xml:space="preserve"> is not anticipated</w:t>
      </w:r>
      <w:r w:rsidR="00BD3AAC">
        <w:rPr>
          <w:sz w:val="24"/>
        </w:rPr>
        <w:t xml:space="preserve"> for the pretest, </w:t>
      </w:r>
      <w:r w:rsidR="008D1F6C">
        <w:rPr>
          <w:sz w:val="24"/>
        </w:rPr>
        <w:t xml:space="preserve">the </w:t>
      </w:r>
      <w:r w:rsidR="00BD3AAC">
        <w:rPr>
          <w:sz w:val="24"/>
        </w:rPr>
        <w:t>f</w:t>
      </w:r>
      <w:r>
        <w:rPr>
          <w:sz w:val="24"/>
        </w:rPr>
        <w:t>ollowing individuals</w:t>
      </w:r>
      <w:r w:rsidR="00BD3AAC">
        <w:rPr>
          <w:sz w:val="24"/>
        </w:rPr>
        <w:t xml:space="preserve"> </w:t>
      </w:r>
      <w:r>
        <w:rPr>
          <w:sz w:val="24"/>
        </w:rPr>
        <w:t xml:space="preserve">will be consulted on data collection and </w:t>
      </w:r>
      <w:r w:rsidR="000D478F">
        <w:rPr>
          <w:sz w:val="24"/>
        </w:rPr>
        <w:t xml:space="preserve">qualitative </w:t>
      </w:r>
      <w:r>
        <w:rPr>
          <w:sz w:val="24"/>
        </w:rPr>
        <w:t xml:space="preserve">analysis for </w:t>
      </w:r>
      <w:r w:rsidR="008D1F6C">
        <w:rPr>
          <w:sz w:val="24"/>
        </w:rPr>
        <w:t>the</w:t>
      </w:r>
      <w:r>
        <w:rPr>
          <w:sz w:val="24"/>
        </w:rPr>
        <w:t xml:space="preserve"> pretest. </w:t>
      </w:r>
    </w:p>
    <w:p w14:paraId="6067573C" w14:textId="77777777" w:rsidR="00511DAB" w:rsidRPr="00E9278B" w:rsidRDefault="00511DAB" w:rsidP="00FA7A3C">
      <w:pPr>
        <w:spacing w:before="120"/>
        <w:ind w:left="720"/>
        <w:contextualSpacing/>
        <w:rPr>
          <w:sz w:val="24"/>
        </w:rPr>
      </w:pPr>
    </w:p>
    <w:p w14:paraId="778A739B" w14:textId="49592E0D" w:rsidR="00FA7A3C" w:rsidRDefault="00A22138" w:rsidP="006F5632">
      <w:pPr>
        <w:spacing w:before="120"/>
        <w:contextualSpacing/>
        <w:rPr>
          <w:sz w:val="24"/>
        </w:rPr>
      </w:pPr>
      <w:r>
        <w:rPr>
          <w:sz w:val="24"/>
        </w:rPr>
        <w:t>Alissa Harvey</w:t>
      </w:r>
    </w:p>
    <w:p w14:paraId="4EC3AE86" w14:textId="7D488C26" w:rsidR="00546DFD" w:rsidRPr="00E9278B" w:rsidRDefault="00546DFD" w:rsidP="006F5632">
      <w:pPr>
        <w:spacing w:before="120"/>
        <w:contextualSpacing/>
        <w:rPr>
          <w:sz w:val="24"/>
        </w:rPr>
      </w:pPr>
      <w:r>
        <w:rPr>
          <w:sz w:val="24"/>
        </w:rPr>
        <w:t>Contract</w:t>
      </w:r>
      <w:r w:rsidR="00511F5A">
        <w:rPr>
          <w:sz w:val="24"/>
        </w:rPr>
        <w:t xml:space="preserve">ing </w:t>
      </w:r>
      <w:r>
        <w:rPr>
          <w:sz w:val="24"/>
        </w:rPr>
        <w:t>Officer</w:t>
      </w:r>
      <w:r w:rsidR="00511F5A">
        <w:rPr>
          <w:sz w:val="24"/>
        </w:rPr>
        <w:t>’s Representative</w:t>
      </w:r>
    </w:p>
    <w:p w14:paraId="15820735" w14:textId="77777777" w:rsidR="00FA7A3C" w:rsidRPr="00E9278B" w:rsidRDefault="00FA7A3C" w:rsidP="006F5632">
      <w:pPr>
        <w:spacing w:before="120"/>
        <w:contextualSpacing/>
        <w:rPr>
          <w:sz w:val="24"/>
        </w:rPr>
      </w:pPr>
      <w:r w:rsidRPr="00E9278B">
        <w:rPr>
          <w:sz w:val="24"/>
        </w:rPr>
        <w:t>Health Resources and Services Administration</w:t>
      </w:r>
    </w:p>
    <w:p w14:paraId="385B4682" w14:textId="308C305B" w:rsidR="00FA7A3C" w:rsidRPr="00B94934" w:rsidRDefault="000A1401" w:rsidP="006F5632">
      <w:pPr>
        <w:spacing w:before="120"/>
        <w:contextualSpacing/>
        <w:rPr>
          <w:sz w:val="24"/>
        </w:rPr>
      </w:pPr>
      <w:r w:rsidRPr="00B94934">
        <w:rPr>
          <w:sz w:val="24"/>
        </w:rPr>
        <w:t>301</w:t>
      </w:r>
      <w:r w:rsidR="00640A4B" w:rsidRPr="00B94934">
        <w:rPr>
          <w:sz w:val="24"/>
        </w:rPr>
        <w:t>-</w:t>
      </w:r>
      <w:r w:rsidRPr="00B94934">
        <w:rPr>
          <w:sz w:val="24"/>
        </w:rPr>
        <w:t>443</w:t>
      </w:r>
      <w:r w:rsidR="00640A4B" w:rsidRPr="00B94934">
        <w:rPr>
          <w:sz w:val="24"/>
        </w:rPr>
        <w:t>-</w:t>
      </w:r>
      <w:r w:rsidRPr="00B94934">
        <w:rPr>
          <w:sz w:val="24"/>
        </w:rPr>
        <w:t>5979</w:t>
      </w:r>
    </w:p>
    <w:p w14:paraId="20ACC34B" w14:textId="513B0FA4" w:rsidR="00FA7A3C" w:rsidRPr="00B94934" w:rsidRDefault="00C13402" w:rsidP="006F5632">
      <w:pPr>
        <w:spacing w:before="120"/>
        <w:contextualSpacing/>
        <w:rPr>
          <w:sz w:val="24"/>
        </w:rPr>
      </w:pPr>
      <w:hyperlink r:id="rId9" w:history="1">
        <w:r w:rsidR="00EC11FE" w:rsidRPr="00EC11FE">
          <w:rPr>
            <w:rStyle w:val="Hyperlink"/>
            <w:sz w:val="24"/>
          </w:rPr>
          <w:t>AHarvey@hrsa.gov</w:t>
        </w:r>
      </w:hyperlink>
    </w:p>
    <w:p w14:paraId="6A7AE2EB" w14:textId="77777777" w:rsidR="00D33F89" w:rsidRPr="00B94934" w:rsidRDefault="00D33F89" w:rsidP="00FA7A3C">
      <w:pPr>
        <w:spacing w:before="120"/>
        <w:ind w:left="720" w:firstLine="720"/>
        <w:contextualSpacing/>
        <w:rPr>
          <w:sz w:val="24"/>
        </w:rPr>
      </w:pPr>
    </w:p>
    <w:p w14:paraId="36249171" w14:textId="406EFB87" w:rsidR="00D33F89" w:rsidRPr="00B94934" w:rsidRDefault="00CE46CA" w:rsidP="006F5632">
      <w:pPr>
        <w:spacing w:before="120"/>
        <w:contextualSpacing/>
        <w:rPr>
          <w:sz w:val="24"/>
        </w:rPr>
      </w:pPr>
      <w:r>
        <w:rPr>
          <w:sz w:val="24"/>
        </w:rPr>
        <w:t>Josh Bolton</w:t>
      </w:r>
    </w:p>
    <w:p w14:paraId="33EC7597" w14:textId="7176221B" w:rsidR="00D33F89" w:rsidRPr="00B94934" w:rsidRDefault="008D1F6C" w:rsidP="006F5632">
      <w:pPr>
        <w:spacing w:before="120"/>
        <w:contextualSpacing/>
        <w:rPr>
          <w:sz w:val="24"/>
        </w:rPr>
      </w:pPr>
      <w:r w:rsidRPr="00B94934">
        <w:rPr>
          <w:sz w:val="24"/>
        </w:rPr>
        <w:t>Statistician</w:t>
      </w:r>
    </w:p>
    <w:p w14:paraId="1167FE05" w14:textId="77777777" w:rsidR="00D33F89" w:rsidRPr="00B94934" w:rsidRDefault="00D33F89" w:rsidP="006F5632">
      <w:pPr>
        <w:spacing w:before="120"/>
        <w:contextualSpacing/>
        <w:rPr>
          <w:sz w:val="24"/>
        </w:rPr>
      </w:pPr>
      <w:r w:rsidRPr="00B94934">
        <w:rPr>
          <w:sz w:val="24"/>
        </w:rPr>
        <w:t>Health Resources and Services Administration</w:t>
      </w:r>
    </w:p>
    <w:p w14:paraId="4D71F97C" w14:textId="77777777" w:rsidR="0012519D" w:rsidRPr="0012519D" w:rsidRDefault="0012519D" w:rsidP="00EC11FE">
      <w:pPr>
        <w:spacing w:before="120"/>
        <w:contextualSpacing/>
        <w:rPr>
          <w:sz w:val="24"/>
        </w:rPr>
      </w:pPr>
      <w:r w:rsidRPr="0012519D">
        <w:rPr>
          <w:sz w:val="24"/>
        </w:rPr>
        <w:t xml:space="preserve">301-443-0547 </w:t>
      </w:r>
    </w:p>
    <w:p w14:paraId="051693D4" w14:textId="77097EF6" w:rsidR="00EC11FE" w:rsidRDefault="00C13402" w:rsidP="00EC11FE">
      <w:pPr>
        <w:spacing w:before="120"/>
        <w:contextualSpacing/>
        <w:rPr>
          <w:sz w:val="24"/>
        </w:rPr>
      </w:pPr>
      <w:hyperlink r:id="rId10" w:history="1">
        <w:r w:rsidR="0012519D" w:rsidRPr="00E163AF">
          <w:rPr>
            <w:rStyle w:val="Hyperlink"/>
            <w:sz w:val="24"/>
          </w:rPr>
          <w:t>JBolton2@hrsa.gov</w:t>
        </w:r>
      </w:hyperlink>
      <w:r w:rsidR="0012519D">
        <w:rPr>
          <w:sz w:val="24"/>
        </w:rPr>
        <w:t xml:space="preserve"> </w:t>
      </w:r>
    </w:p>
    <w:p w14:paraId="4C89F36C" w14:textId="77777777" w:rsidR="00EC11FE" w:rsidRPr="00B94934" w:rsidRDefault="00EC11FE" w:rsidP="006F5632">
      <w:pPr>
        <w:spacing w:before="120"/>
        <w:contextualSpacing/>
        <w:rPr>
          <w:sz w:val="24"/>
        </w:rPr>
      </w:pPr>
    </w:p>
    <w:p w14:paraId="4A125BF2" w14:textId="426E2EFD" w:rsidR="00A22138" w:rsidRPr="00B94934" w:rsidRDefault="00A22138" w:rsidP="006F5632">
      <w:pPr>
        <w:spacing w:before="120"/>
        <w:contextualSpacing/>
        <w:rPr>
          <w:sz w:val="24"/>
        </w:rPr>
      </w:pPr>
      <w:r w:rsidRPr="00B94934">
        <w:rPr>
          <w:sz w:val="24"/>
        </w:rPr>
        <w:t>Kathleen Considine</w:t>
      </w:r>
    </w:p>
    <w:p w14:paraId="3D5E3FC9" w14:textId="77777777" w:rsidR="00A22138" w:rsidRPr="00B94934" w:rsidRDefault="00A22138" w:rsidP="006F5632">
      <w:pPr>
        <w:rPr>
          <w:sz w:val="24"/>
        </w:rPr>
      </w:pPr>
      <w:r w:rsidRPr="00B94934">
        <w:rPr>
          <w:sz w:val="24"/>
        </w:rPr>
        <w:t>Project Director</w:t>
      </w:r>
    </w:p>
    <w:p w14:paraId="63C1D8EF" w14:textId="77777777" w:rsidR="00A22138" w:rsidRPr="00B94934" w:rsidRDefault="00A22138" w:rsidP="006F5632">
      <w:pPr>
        <w:rPr>
          <w:sz w:val="24"/>
        </w:rPr>
      </w:pPr>
      <w:r w:rsidRPr="00B94934">
        <w:rPr>
          <w:sz w:val="24"/>
        </w:rPr>
        <w:t>RTI International</w:t>
      </w:r>
    </w:p>
    <w:p w14:paraId="1EAC3DA4" w14:textId="20F8A8D3" w:rsidR="00A22138" w:rsidRPr="00B94934" w:rsidRDefault="00A22138" w:rsidP="006F5632">
      <w:pPr>
        <w:rPr>
          <w:sz w:val="24"/>
        </w:rPr>
      </w:pPr>
      <w:r w:rsidRPr="00B94934">
        <w:rPr>
          <w:sz w:val="24"/>
        </w:rPr>
        <w:t>(919) 541-6612</w:t>
      </w:r>
    </w:p>
    <w:p w14:paraId="665DECAF" w14:textId="7E716AAF" w:rsidR="00C06479" w:rsidRPr="00B94934" w:rsidRDefault="00C13402" w:rsidP="006F5632">
      <w:pPr>
        <w:rPr>
          <w:rStyle w:val="Hyperlink"/>
          <w:sz w:val="24"/>
        </w:rPr>
      </w:pPr>
      <w:hyperlink r:id="rId11" w:history="1">
        <w:r w:rsidR="00A22138" w:rsidRPr="00B94934">
          <w:rPr>
            <w:rStyle w:val="Hyperlink"/>
            <w:sz w:val="24"/>
          </w:rPr>
          <w:t>kac@rti.org</w:t>
        </w:r>
      </w:hyperlink>
    </w:p>
    <w:p w14:paraId="114A0AC7" w14:textId="608C2E23" w:rsidR="00A22138" w:rsidRPr="00B94934" w:rsidRDefault="00A22138" w:rsidP="00A22138">
      <w:pPr>
        <w:ind w:left="720"/>
        <w:rPr>
          <w:sz w:val="24"/>
        </w:rPr>
      </w:pPr>
    </w:p>
    <w:p w14:paraId="53B18BD5" w14:textId="05600A2B" w:rsidR="00A22138" w:rsidRPr="00B94934" w:rsidRDefault="00A22138" w:rsidP="006F5632">
      <w:pPr>
        <w:rPr>
          <w:sz w:val="24"/>
        </w:rPr>
      </w:pPr>
      <w:r w:rsidRPr="00B94934">
        <w:rPr>
          <w:sz w:val="24"/>
        </w:rPr>
        <w:t>Azucena D. Hammill</w:t>
      </w:r>
    </w:p>
    <w:p w14:paraId="5D4E4BA2" w14:textId="388E347C" w:rsidR="00A22138" w:rsidRPr="00B94934" w:rsidRDefault="00A22138" w:rsidP="006F5632">
      <w:pPr>
        <w:rPr>
          <w:sz w:val="24"/>
        </w:rPr>
      </w:pPr>
      <w:r w:rsidRPr="00B94934">
        <w:rPr>
          <w:sz w:val="24"/>
        </w:rPr>
        <w:t>Assistant Project Director/Data Collection Task Leader</w:t>
      </w:r>
    </w:p>
    <w:p w14:paraId="1FB87D37" w14:textId="77777777" w:rsidR="00A22138" w:rsidRPr="00B94934" w:rsidRDefault="00A22138" w:rsidP="006F5632">
      <w:pPr>
        <w:rPr>
          <w:sz w:val="24"/>
        </w:rPr>
      </w:pPr>
      <w:r w:rsidRPr="00B94934">
        <w:rPr>
          <w:sz w:val="24"/>
        </w:rPr>
        <w:t>RTI International</w:t>
      </w:r>
    </w:p>
    <w:p w14:paraId="03A86806" w14:textId="6016B914" w:rsidR="00A22138" w:rsidRPr="00B94934" w:rsidRDefault="00A22138" w:rsidP="006F5632">
      <w:pPr>
        <w:rPr>
          <w:sz w:val="24"/>
        </w:rPr>
      </w:pPr>
      <w:r w:rsidRPr="00B94934">
        <w:rPr>
          <w:sz w:val="24"/>
        </w:rPr>
        <w:t>(919) 541-7231</w:t>
      </w:r>
    </w:p>
    <w:p w14:paraId="6EAB54C4" w14:textId="62C717B2" w:rsidR="00A22138" w:rsidRPr="00B94934" w:rsidRDefault="00C13402" w:rsidP="006F5632">
      <w:pPr>
        <w:rPr>
          <w:sz w:val="24"/>
        </w:rPr>
      </w:pPr>
      <w:hyperlink r:id="rId12" w:history="1">
        <w:r w:rsidR="00A22138" w:rsidRPr="00B94934">
          <w:rPr>
            <w:rStyle w:val="Hyperlink"/>
            <w:sz w:val="24"/>
          </w:rPr>
          <w:t>derecho@rti.org</w:t>
        </w:r>
      </w:hyperlink>
    </w:p>
    <w:p w14:paraId="7CD2D73E" w14:textId="3F986042" w:rsidR="00A22138" w:rsidRPr="00B94934" w:rsidRDefault="00A22138" w:rsidP="00A22138">
      <w:pPr>
        <w:ind w:left="720"/>
        <w:rPr>
          <w:sz w:val="24"/>
        </w:rPr>
      </w:pPr>
    </w:p>
    <w:p w14:paraId="3C4DD076" w14:textId="0AE4E2EE" w:rsidR="00C06479" w:rsidRPr="00B94934" w:rsidRDefault="00C06479" w:rsidP="006F5632">
      <w:pPr>
        <w:rPr>
          <w:sz w:val="24"/>
        </w:rPr>
      </w:pPr>
      <w:r w:rsidRPr="00B94934">
        <w:rPr>
          <w:sz w:val="24"/>
        </w:rPr>
        <w:t>Tim Flanigan</w:t>
      </w:r>
    </w:p>
    <w:p w14:paraId="1043255F" w14:textId="09E28115" w:rsidR="001F5D8F" w:rsidRPr="00B94934" w:rsidRDefault="001F5D8F" w:rsidP="006F5632">
      <w:pPr>
        <w:rPr>
          <w:sz w:val="24"/>
        </w:rPr>
      </w:pPr>
      <w:r w:rsidRPr="00B94934">
        <w:rPr>
          <w:sz w:val="24"/>
        </w:rPr>
        <w:t>Instrumentation Task Leader</w:t>
      </w:r>
    </w:p>
    <w:p w14:paraId="7AFD7391" w14:textId="77777777" w:rsidR="00C06479" w:rsidRPr="00E9278B" w:rsidRDefault="00C06479" w:rsidP="006F5632">
      <w:pPr>
        <w:rPr>
          <w:sz w:val="24"/>
        </w:rPr>
      </w:pPr>
      <w:r w:rsidRPr="00B94934">
        <w:rPr>
          <w:sz w:val="24"/>
        </w:rPr>
        <w:t>RTI International</w:t>
      </w:r>
    </w:p>
    <w:p w14:paraId="68477B82" w14:textId="517EB415" w:rsidR="00C06479" w:rsidRPr="00E9278B" w:rsidRDefault="00C06479" w:rsidP="006F5632">
      <w:pPr>
        <w:rPr>
          <w:sz w:val="24"/>
        </w:rPr>
      </w:pPr>
      <w:r w:rsidRPr="00E9278B">
        <w:rPr>
          <w:sz w:val="24"/>
        </w:rPr>
        <w:t>(919) 485-7743</w:t>
      </w:r>
    </w:p>
    <w:p w14:paraId="195A118E" w14:textId="04CF5EFA" w:rsidR="00C06479" w:rsidRPr="00E9278B" w:rsidRDefault="00C13402" w:rsidP="006F5632">
      <w:pPr>
        <w:rPr>
          <w:sz w:val="24"/>
        </w:rPr>
      </w:pPr>
      <w:hyperlink r:id="rId13" w:history="1">
        <w:r w:rsidR="00C06479" w:rsidRPr="00E9278B">
          <w:rPr>
            <w:rStyle w:val="Hyperlink"/>
            <w:sz w:val="24"/>
          </w:rPr>
          <w:t>tsf@rti.org</w:t>
        </w:r>
      </w:hyperlink>
    </w:p>
    <w:p w14:paraId="2F603A92" w14:textId="77777777" w:rsidR="00C06479" w:rsidRPr="00E9278B" w:rsidRDefault="00C06479" w:rsidP="001746F8">
      <w:pPr>
        <w:ind w:left="720"/>
        <w:rPr>
          <w:sz w:val="24"/>
        </w:rPr>
      </w:pPr>
    </w:p>
    <w:p w14:paraId="6D531EAB" w14:textId="77777777" w:rsidR="001F5D8F" w:rsidRPr="00E9278B" w:rsidRDefault="001F5D8F" w:rsidP="006F5632">
      <w:pPr>
        <w:rPr>
          <w:sz w:val="24"/>
        </w:rPr>
      </w:pPr>
      <w:r w:rsidRPr="00E9278B">
        <w:rPr>
          <w:sz w:val="24"/>
        </w:rPr>
        <w:t>Patrick Chen</w:t>
      </w:r>
    </w:p>
    <w:p w14:paraId="28CC7850" w14:textId="77777777" w:rsidR="001F5D8F" w:rsidRPr="00E9278B" w:rsidRDefault="001F5D8F" w:rsidP="006F5632">
      <w:pPr>
        <w:rPr>
          <w:sz w:val="24"/>
        </w:rPr>
      </w:pPr>
      <w:r w:rsidRPr="00E9278B">
        <w:rPr>
          <w:sz w:val="24"/>
        </w:rPr>
        <w:t>Sampling Task Leader</w:t>
      </w:r>
    </w:p>
    <w:p w14:paraId="47306802" w14:textId="77777777" w:rsidR="001F5D8F" w:rsidRPr="00E9278B" w:rsidRDefault="001F5D8F" w:rsidP="006F5632">
      <w:pPr>
        <w:rPr>
          <w:sz w:val="24"/>
        </w:rPr>
      </w:pPr>
      <w:r w:rsidRPr="00E9278B">
        <w:rPr>
          <w:sz w:val="24"/>
        </w:rPr>
        <w:t>RTI International</w:t>
      </w:r>
    </w:p>
    <w:p w14:paraId="2712F17D" w14:textId="227B4C07" w:rsidR="001F5D8F" w:rsidRPr="00E9278B" w:rsidRDefault="001F5D8F" w:rsidP="006F5632">
      <w:pPr>
        <w:rPr>
          <w:sz w:val="24"/>
        </w:rPr>
      </w:pPr>
      <w:r w:rsidRPr="00E9278B">
        <w:rPr>
          <w:sz w:val="24"/>
        </w:rPr>
        <w:t>(919) 541-6309</w:t>
      </w:r>
    </w:p>
    <w:p w14:paraId="1CC71D4E" w14:textId="6F206CA6" w:rsidR="001F5D8F" w:rsidRPr="00E9278B" w:rsidRDefault="00C13402" w:rsidP="006F5632">
      <w:pPr>
        <w:rPr>
          <w:sz w:val="24"/>
        </w:rPr>
      </w:pPr>
      <w:hyperlink r:id="rId14" w:history="1">
        <w:r w:rsidR="001F5D8F" w:rsidRPr="00E9278B">
          <w:rPr>
            <w:rStyle w:val="Hyperlink"/>
            <w:sz w:val="24"/>
          </w:rPr>
          <w:t>pchen@rti.org</w:t>
        </w:r>
      </w:hyperlink>
    </w:p>
    <w:p w14:paraId="1DBC0B76" w14:textId="77777777" w:rsidR="00C06479" w:rsidRPr="00E9278B" w:rsidRDefault="00C06479" w:rsidP="001746F8">
      <w:pPr>
        <w:ind w:left="720"/>
        <w:rPr>
          <w:sz w:val="24"/>
        </w:rPr>
      </w:pPr>
    </w:p>
    <w:p w14:paraId="4ECBA1C2" w14:textId="127A88E7" w:rsidR="00FA7A3C" w:rsidRPr="00E9278B" w:rsidRDefault="00FA7A3C" w:rsidP="006F5632">
      <w:pPr>
        <w:rPr>
          <w:sz w:val="24"/>
        </w:rPr>
      </w:pPr>
      <w:r w:rsidRPr="00E9278B">
        <w:rPr>
          <w:sz w:val="24"/>
        </w:rPr>
        <w:t xml:space="preserve">Cynthia </w:t>
      </w:r>
      <w:r w:rsidR="00CE46CA">
        <w:rPr>
          <w:sz w:val="24"/>
        </w:rPr>
        <w:t>Bland</w:t>
      </w:r>
    </w:p>
    <w:p w14:paraId="75098064" w14:textId="5BF75187" w:rsidR="001F5D8F" w:rsidRPr="00E9278B" w:rsidRDefault="001F5D8F" w:rsidP="006F5632">
      <w:pPr>
        <w:rPr>
          <w:sz w:val="24"/>
        </w:rPr>
      </w:pPr>
      <w:r w:rsidRPr="00E9278B">
        <w:rPr>
          <w:sz w:val="24"/>
        </w:rPr>
        <w:t>Analysis Task Leader</w:t>
      </w:r>
    </w:p>
    <w:p w14:paraId="088F7245" w14:textId="77777777" w:rsidR="00FA7A3C" w:rsidRPr="00E9278B" w:rsidRDefault="00FA7A3C" w:rsidP="006F5632">
      <w:pPr>
        <w:rPr>
          <w:sz w:val="24"/>
        </w:rPr>
      </w:pPr>
      <w:r w:rsidRPr="00E9278B">
        <w:rPr>
          <w:sz w:val="24"/>
        </w:rPr>
        <w:t>RTI International</w:t>
      </w:r>
    </w:p>
    <w:p w14:paraId="021F70F3" w14:textId="39FF7CB6" w:rsidR="00FA7A3C" w:rsidRPr="00E9278B" w:rsidRDefault="00FA7A3C" w:rsidP="006F5632">
      <w:pPr>
        <w:rPr>
          <w:sz w:val="24"/>
        </w:rPr>
      </w:pPr>
      <w:r w:rsidRPr="00E9278B">
        <w:rPr>
          <w:sz w:val="24"/>
        </w:rPr>
        <w:t>(919) 541-6154</w:t>
      </w:r>
    </w:p>
    <w:p w14:paraId="0B3CD061" w14:textId="55217DC5" w:rsidR="00C06479" w:rsidRPr="001746F8" w:rsidRDefault="00C13402" w:rsidP="006F5632">
      <w:pPr>
        <w:rPr>
          <w:sz w:val="24"/>
        </w:rPr>
      </w:pPr>
      <w:hyperlink r:id="rId15" w:history="1">
        <w:r w:rsidR="00012968" w:rsidRPr="004639E5">
          <w:rPr>
            <w:rStyle w:val="Hyperlink"/>
            <w:sz w:val="24"/>
          </w:rPr>
          <w:t>cbland@rti.org</w:t>
        </w:r>
      </w:hyperlink>
    </w:p>
    <w:sectPr w:rsidR="00C06479" w:rsidRPr="001746F8" w:rsidSect="00BA1757">
      <w:footerReference w:type="default" r:id="rId16"/>
      <w:endnotePr>
        <w:numFmt w:val="decimal"/>
      </w:endnotePr>
      <w:pgSz w:w="12240" w:h="15840"/>
      <w:pgMar w:top="1440" w:right="1440" w:bottom="1440"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5E8E6D" w16cid:durableId="207BDDEA"/>
  <w16cid:commentId w16cid:paraId="2ECC9874" w16cid:durableId="20AE4128"/>
  <w16cid:commentId w16cid:paraId="106D7B7F" w16cid:durableId="207BDDEB"/>
  <w16cid:commentId w16cid:paraId="3521F6A7" w16cid:durableId="20AE412A"/>
  <w16cid:commentId w16cid:paraId="031BD0FF" w16cid:durableId="207BDDEC"/>
  <w16cid:commentId w16cid:paraId="596DE419" w16cid:durableId="20AE41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78995" w14:textId="77777777" w:rsidR="008D12A8" w:rsidRDefault="008D12A8">
      <w:r>
        <w:separator/>
      </w:r>
    </w:p>
  </w:endnote>
  <w:endnote w:type="continuationSeparator" w:id="0">
    <w:p w14:paraId="02960C38" w14:textId="77777777" w:rsidR="008D12A8" w:rsidRDefault="008D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29792" w14:textId="77777777" w:rsidR="00B055E2" w:rsidRDefault="00B055E2">
    <w:pPr>
      <w:spacing w:line="240" w:lineRule="exact"/>
    </w:pPr>
  </w:p>
  <w:p w14:paraId="471D755C" w14:textId="638EA15C" w:rsidR="00B055E2" w:rsidRDefault="00911ACB">
    <w:pPr>
      <w:framePr w:w="9361" w:wrap="notBeside" w:vAnchor="text" w:hAnchor="text" w:x="1" w:y="1"/>
      <w:jc w:val="center"/>
      <w:rPr>
        <w:sz w:val="24"/>
      </w:rPr>
    </w:pPr>
    <w:r>
      <w:rPr>
        <w:sz w:val="24"/>
      </w:rPr>
      <w:fldChar w:fldCharType="begin"/>
    </w:r>
    <w:r w:rsidR="00B055E2">
      <w:rPr>
        <w:sz w:val="24"/>
      </w:rPr>
      <w:instrText xml:space="preserve">PAGE </w:instrText>
    </w:r>
    <w:r>
      <w:rPr>
        <w:sz w:val="24"/>
      </w:rPr>
      <w:fldChar w:fldCharType="separate"/>
    </w:r>
    <w:r w:rsidR="00C13402">
      <w:rPr>
        <w:noProof/>
        <w:sz w:val="24"/>
      </w:rPr>
      <w:t>1</w:t>
    </w:r>
    <w:r>
      <w:rPr>
        <w:sz w:val="24"/>
      </w:rPr>
      <w:fldChar w:fldCharType="end"/>
    </w:r>
  </w:p>
  <w:p w14:paraId="502C2289" w14:textId="77777777" w:rsidR="00B055E2" w:rsidRDefault="00B055E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0FA4A" w14:textId="77777777" w:rsidR="008D12A8" w:rsidRDefault="008D12A8">
      <w:r>
        <w:separator/>
      </w:r>
    </w:p>
  </w:footnote>
  <w:footnote w:type="continuationSeparator" w:id="0">
    <w:p w14:paraId="04A5DAAC" w14:textId="77777777" w:rsidR="008D12A8" w:rsidRDefault="008D1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58C4A3E"/>
    <w:multiLevelType w:val="hybridMultilevel"/>
    <w:tmpl w:val="1D0CA53A"/>
    <w:lvl w:ilvl="0" w:tplc="A30467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80A6A14"/>
    <w:multiLevelType w:val="hybridMultilevel"/>
    <w:tmpl w:val="A7E6CD4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12968"/>
    <w:rsid w:val="00035D26"/>
    <w:rsid w:val="00037255"/>
    <w:rsid w:val="00037B53"/>
    <w:rsid w:val="0004571D"/>
    <w:rsid w:val="00047C7C"/>
    <w:rsid w:val="0005679A"/>
    <w:rsid w:val="00093C74"/>
    <w:rsid w:val="000946DE"/>
    <w:rsid w:val="00094DD0"/>
    <w:rsid w:val="000953F8"/>
    <w:rsid w:val="000A0B63"/>
    <w:rsid w:val="000A1401"/>
    <w:rsid w:val="000A44F9"/>
    <w:rsid w:val="000B27B7"/>
    <w:rsid w:val="000C1D0E"/>
    <w:rsid w:val="000C3412"/>
    <w:rsid w:val="000C5CC6"/>
    <w:rsid w:val="000C78C8"/>
    <w:rsid w:val="000D478F"/>
    <w:rsid w:val="000D5CCF"/>
    <w:rsid w:val="000E1AD0"/>
    <w:rsid w:val="000E2E05"/>
    <w:rsid w:val="000F40A9"/>
    <w:rsid w:val="0010438F"/>
    <w:rsid w:val="001145A4"/>
    <w:rsid w:val="0012519D"/>
    <w:rsid w:val="00132E93"/>
    <w:rsid w:val="001568CA"/>
    <w:rsid w:val="001611AC"/>
    <w:rsid w:val="00163B3A"/>
    <w:rsid w:val="00165679"/>
    <w:rsid w:val="00174003"/>
    <w:rsid w:val="001746F8"/>
    <w:rsid w:val="001A4D66"/>
    <w:rsid w:val="001A603C"/>
    <w:rsid w:val="001D32A2"/>
    <w:rsid w:val="001E6CF3"/>
    <w:rsid w:val="001F5D8F"/>
    <w:rsid w:val="00201694"/>
    <w:rsid w:val="00216451"/>
    <w:rsid w:val="002208AE"/>
    <w:rsid w:val="0023221A"/>
    <w:rsid w:val="00245824"/>
    <w:rsid w:val="002736ED"/>
    <w:rsid w:val="00285E37"/>
    <w:rsid w:val="002B103C"/>
    <w:rsid w:val="002E2F8B"/>
    <w:rsid w:val="002E4E41"/>
    <w:rsid w:val="00311C53"/>
    <w:rsid w:val="00372C49"/>
    <w:rsid w:val="00387F4F"/>
    <w:rsid w:val="003B13E7"/>
    <w:rsid w:val="003B26DE"/>
    <w:rsid w:val="003C1D53"/>
    <w:rsid w:val="003C268B"/>
    <w:rsid w:val="003E23E6"/>
    <w:rsid w:val="003E4CBD"/>
    <w:rsid w:val="00430714"/>
    <w:rsid w:val="00437588"/>
    <w:rsid w:val="0048129F"/>
    <w:rsid w:val="00483749"/>
    <w:rsid w:val="00487AF4"/>
    <w:rsid w:val="004A21A3"/>
    <w:rsid w:val="004A42C3"/>
    <w:rsid w:val="004B229D"/>
    <w:rsid w:val="004C486F"/>
    <w:rsid w:val="004D3ACD"/>
    <w:rsid w:val="004E3786"/>
    <w:rsid w:val="00511DAB"/>
    <w:rsid w:val="00511F5A"/>
    <w:rsid w:val="00522188"/>
    <w:rsid w:val="00524D8B"/>
    <w:rsid w:val="00524DE8"/>
    <w:rsid w:val="00534D48"/>
    <w:rsid w:val="00542CCA"/>
    <w:rsid w:val="005454A9"/>
    <w:rsid w:val="00546DFD"/>
    <w:rsid w:val="00574AE9"/>
    <w:rsid w:val="00581ACD"/>
    <w:rsid w:val="00591639"/>
    <w:rsid w:val="005B3928"/>
    <w:rsid w:val="005C6842"/>
    <w:rsid w:val="005F381D"/>
    <w:rsid w:val="005F5A93"/>
    <w:rsid w:val="006106D7"/>
    <w:rsid w:val="006126D5"/>
    <w:rsid w:val="0062028A"/>
    <w:rsid w:val="0062748A"/>
    <w:rsid w:val="0062783D"/>
    <w:rsid w:val="00640A4B"/>
    <w:rsid w:val="00645EA7"/>
    <w:rsid w:val="00653514"/>
    <w:rsid w:val="00654EFD"/>
    <w:rsid w:val="006963CA"/>
    <w:rsid w:val="00697234"/>
    <w:rsid w:val="006D3E96"/>
    <w:rsid w:val="006D6E48"/>
    <w:rsid w:val="006E20C9"/>
    <w:rsid w:val="006F0CD5"/>
    <w:rsid w:val="006F121F"/>
    <w:rsid w:val="006F5632"/>
    <w:rsid w:val="00711854"/>
    <w:rsid w:val="00712500"/>
    <w:rsid w:val="00714171"/>
    <w:rsid w:val="00716333"/>
    <w:rsid w:val="0072633E"/>
    <w:rsid w:val="00737304"/>
    <w:rsid w:val="0074630E"/>
    <w:rsid w:val="007553D6"/>
    <w:rsid w:val="00756AEB"/>
    <w:rsid w:val="007B61A0"/>
    <w:rsid w:val="007E6143"/>
    <w:rsid w:val="007F5EEE"/>
    <w:rsid w:val="00802387"/>
    <w:rsid w:val="00824C3E"/>
    <w:rsid w:val="0084396C"/>
    <w:rsid w:val="00845040"/>
    <w:rsid w:val="00865AF8"/>
    <w:rsid w:val="0087334B"/>
    <w:rsid w:val="008777AF"/>
    <w:rsid w:val="0088396F"/>
    <w:rsid w:val="00890075"/>
    <w:rsid w:val="00895B29"/>
    <w:rsid w:val="008A14FB"/>
    <w:rsid w:val="008A2CA8"/>
    <w:rsid w:val="008A352E"/>
    <w:rsid w:val="008B5B9D"/>
    <w:rsid w:val="008D12A8"/>
    <w:rsid w:val="008D1F6C"/>
    <w:rsid w:val="009117D9"/>
    <w:rsid w:val="00911ACB"/>
    <w:rsid w:val="009312D1"/>
    <w:rsid w:val="00932ACF"/>
    <w:rsid w:val="00951990"/>
    <w:rsid w:val="00953014"/>
    <w:rsid w:val="00953392"/>
    <w:rsid w:val="00960120"/>
    <w:rsid w:val="00963606"/>
    <w:rsid w:val="00964426"/>
    <w:rsid w:val="0096560B"/>
    <w:rsid w:val="0096784D"/>
    <w:rsid w:val="00981235"/>
    <w:rsid w:val="00991342"/>
    <w:rsid w:val="009A44E1"/>
    <w:rsid w:val="009C4858"/>
    <w:rsid w:val="009F71C4"/>
    <w:rsid w:val="00A0011D"/>
    <w:rsid w:val="00A22138"/>
    <w:rsid w:val="00A34BB7"/>
    <w:rsid w:val="00A34D14"/>
    <w:rsid w:val="00A4130E"/>
    <w:rsid w:val="00A4657B"/>
    <w:rsid w:val="00A468B3"/>
    <w:rsid w:val="00A53DD2"/>
    <w:rsid w:val="00A560C4"/>
    <w:rsid w:val="00A61EA2"/>
    <w:rsid w:val="00A6285A"/>
    <w:rsid w:val="00A811BC"/>
    <w:rsid w:val="00A97685"/>
    <w:rsid w:val="00A97733"/>
    <w:rsid w:val="00AA120C"/>
    <w:rsid w:val="00AA2313"/>
    <w:rsid w:val="00AA540A"/>
    <w:rsid w:val="00AD4F1A"/>
    <w:rsid w:val="00AE3621"/>
    <w:rsid w:val="00AF28B3"/>
    <w:rsid w:val="00AF3790"/>
    <w:rsid w:val="00B020DA"/>
    <w:rsid w:val="00B055E2"/>
    <w:rsid w:val="00B10D62"/>
    <w:rsid w:val="00B41595"/>
    <w:rsid w:val="00B456D9"/>
    <w:rsid w:val="00B63A4F"/>
    <w:rsid w:val="00B6407C"/>
    <w:rsid w:val="00B77075"/>
    <w:rsid w:val="00B776CE"/>
    <w:rsid w:val="00B917E2"/>
    <w:rsid w:val="00B94934"/>
    <w:rsid w:val="00BA1757"/>
    <w:rsid w:val="00BA629A"/>
    <w:rsid w:val="00BD3AAC"/>
    <w:rsid w:val="00BD60E9"/>
    <w:rsid w:val="00BE07F8"/>
    <w:rsid w:val="00BF41CC"/>
    <w:rsid w:val="00C0540B"/>
    <w:rsid w:val="00C06479"/>
    <w:rsid w:val="00C13402"/>
    <w:rsid w:val="00C50846"/>
    <w:rsid w:val="00C64CF2"/>
    <w:rsid w:val="00C91FB5"/>
    <w:rsid w:val="00CA01DE"/>
    <w:rsid w:val="00CB6AD0"/>
    <w:rsid w:val="00CB6C05"/>
    <w:rsid w:val="00CE46CA"/>
    <w:rsid w:val="00D326B5"/>
    <w:rsid w:val="00D33F89"/>
    <w:rsid w:val="00D41531"/>
    <w:rsid w:val="00D47F7D"/>
    <w:rsid w:val="00D62058"/>
    <w:rsid w:val="00D64FDB"/>
    <w:rsid w:val="00D93A50"/>
    <w:rsid w:val="00DA5836"/>
    <w:rsid w:val="00DA763E"/>
    <w:rsid w:val="00DB0714"/>
    <w:rsid w:val="00DB1190"/>
    <w:rsid w:val="00DC770A"/>
    <w:rsid w:val="00DD22FE"/>
    <w:rsid w:val="00DD7678"/>
    <w:rsid w:val="00DE1221"/>
    <w:rsid w:val="00E01F83"/>
    <w:rsid w:val="00E06436"/>
    <w:rsid w:val="00E56983"/>
    <w:rsid w:val="00E60151"/>
    <w:rsid w:val="00E63C43"/>
    <w:rsid w:val="00E8352B"/>
    <w:rsid w:val="00E9278B"/>
    <w:rsid w:val="00EC11FE"/>
    <w:rsid w:val="00ED2189"/>
    <w:rsid w:val="00EF43BE"/>
    <w:rsid w:val="00EF6080"/>
    <w:rsid w:val="00EF6B0B"/>
    <w:rsid w:val="00F00654"/>
    <w:rsid w:val="00F04CFF"/>
    <w:rsid w:val="00F104A9"/>
    <w:rsid w:val="00F22556"/>
    <w:rsid w:val="00F22DC5"/>
    <w:rsid w:val="00F326EA"/>
    <w:rsid w:val="00F4064E"/>
    <w:rsid w:val="00F46EBF"/>
    <w:rsid w:val="00F510AF"/>
    <w:rsid w:val="00F57582"/>
    <w:rsid w:val="00F734EF"/>
    <w:rsid w:val="00F740E9"/>
    <w:rsid w:val="00F931D7"/>
    <w:rsid w:val="00F96A17"/>
    <w:rsid w:val="00FA4C79"/>
    <w:rsid w:val="00FA7A3C"/>
    <w:rsid w:val="00FF10C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1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rsid w:val="009117D9"/>
    <w:rPr>
      <w:sz w:val="16"/>
      <w:szCs w:val="16"/>
    </w:rPr>
  </w:style>
  <w:style w:type="paragraph" w:styleId="CommentText">
    <w:name w:val="annotation text"/>
    <w:basedOn w:val="Normal"/>
    <w:link w:val="CommentTextChar"/>
    <w:rsid w:val="009117D9"/>
    <w:rPr>
      <w:szCs w:val="20"/>
    </w:rPr>
  </w:style>
  <w:style w:type="character" w:customStyle="1" w:styleId="CommentTextChar">
    <w:name w:val="Comment Text Char"/>
    <w:basedOn w:val="DefaultParagraphFont"/>
    <w:link w:val="CommentText"/>
    <w:rsid w:val="009117D9"/>
  </w:style>
  <w:style w:type="paragraph" w:styleId="CommentSubject">
    <w:name w:val="annotation subject"/>
    <w:basedOn w:val="CommentText"/>
    <w:next w:val="CommentText"/>
    <w:link w:val="CommentSubjectChar"/>
    <w:rsid w:val="009117D9"/>
    <w:rPr>
      <w:b/>
      <w:bCs/>
    </w:rPr>
  </w:style>
  <w:style w:type="character" w:customStyle="1" w:styleId="CommentSubjectChar">
    <w:name w:val="Comment Subject Char"/>
    <w:basedOn w:val="CommentTextChar"/>
    <w:link w:val="CommentSubject"/>
    <w:rsid w:val="009117D9"/>
    <w:rPr>
      <w:b/>
      <w:bCs/>
    </w:rPr>
  </w:style>
  <w:style w:type="paragraph" w:customStyle="1" w:styleId="TableHeaders">
    <w:name w:val="Table Headers"/>
    <w:qFormat/>
    <w:rsid w:val="00D64FDB"/>
    <w:pPr>
      <w:spacing w:before="80" w:after="80"/>
      <w:jc w:val="center"/>
    </w:pPr>
    <w:rPr>
      <w:rFonts w:ascii="Verdana" w:hAnsi="Verdana"/>
      <w:b/>
      <w:sz w:val="18"/>
    </w:rPr>
  </w:style>
  <w:style w:type="paragraph" w:customStyle="1" w:styleId="TableTitle">
    <w:name w:val="Table Title"/>
    <w:basedOn w:val="Normal"/>
    <w:link w:val="TableTitleChar"/>
    <w:rsid w:val="00D64FDB"/>
    <w:pPr>
      <w:keepNext/>
      <w:keepLines/>
      <w:widowControl/>
      <w:autoSpaceDE/>
      <w:autoSpaceDN/>
      <w:adjustRightInd/>
      <w:spacing w:before="320" w:after="120"/>
      <w:ind w:left="1440" w:hanging="1440"/>
    </w:pPr>
    <w:rPr>
      <w:rFonts w:ascii="Verdana" w:eastAsia="MS Mincho" w:hAnsi="Verdana"/>
      <w:b/>
      <w:szCs w:val="20"/>
    </w:rPr>
  </w:style>
  <w:style w:type="paragraph" w:customStyle="1" w:styleId="TableTextDec">
    <w:name w:val="Table Text Dec"/>
    <w:basedOn w:val="Normal"/>
    <w:qFormat/>
    <w:rsid w:val="00D64FDB"/>
    <w:pPr>
      <w:widowControl/>
      <w:tabs>
        <w:tab w:val="decimal" w:pos="1015"/>
      </w:tabs>
      <w:autoSpaceDE/>
      <w:autoSpaceDN/>
      <w:adjustRightInd/>
      <w:spacing w:before="60" w:after="60"/>
    </w:pPr>
    <w:rPr>
      <w:rFonts w:ascii="Verdana" w:eastAsia="MS Mincho" w:hAnsi="Verdana"/>
      <w:sz w:val="18"/>
      <w:szCs w:val="18"/>
    </w:rPr>
  </w:style>
  <w:style w:type="table" w:customStyle="1" w:styleId="format4">
    <w:name w:val="format_4"/>
    <w:basedOn w:val="TableNormal"/>
    <w:rsid w:val="00D64FDB"/>
    <w:rPr>
      <w:rFonts w:ascii="Verdana" w:eastAsia="MS Mincho" w:hAnsi="Verdana"/>
      <w:sz w:val="18"/>
    </w:rPr>
    <w:tblPr>
      <w:tblCellMar>
        <w:left w:w="72" w:type="dxa"/>
        <w:right w:w="72" w:type="dxa"/>
      </w:tblCellMar>
    </w:tblPr>
    <w:tblStylePr w:type="firstRow">
      <w:pPr>
        <w:jc w:val="center"/>
      </w:p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style>
  <w:style w:type="paragraph" w:customStyle="1" w:styleId="TableText">
    <w:name w:val="Table Text"/>
    <w:basedOn w:val="Normal"/>
    <w:qFormat/>
    <w:rsid w:val="00D64FDB"/>
    <w:pPr>
      <w:widowControl/>
      <w:autoSpaceDE/>
      <w:autoSpaceDN/>
      <w:adjustRightInd/>
      <w:spacing w:before="80" w:after="80"/>
    </w:pPr>
    <w:rPr>
      <w:rFonts w:ascii="Verdana" w:eastAsia="MS Mincho" w:hAnsi="Verdana" w:cs="Arial"/>
      <w:sz w:val="18"/>
      <w:szCs w:val="20"/>
    </w:rPr>
  </w:style>
  <w:style w:type="character" w:customStyle="1" w:styleId="TableTitleChar">
    <w:name w:val="Table Title Char"/>
    <w:link w:val="TableTitle"/>
    <w:locked/>
    <w:rsid w:val="00D64FDB"/>
    <w:rPr>
      <w:rFonts w:ascii="Verdana" w:eastAsia="MS Mincho" w:hAnsi="Verdana"/>
      <w:b/>
    </w:rPr>
  </w:style>
  <w:style w:type="character" w:styleId="Hyperlink">
    <w:name w:val="Hyperlink"/>
    <w:basedOn w:val="DefaultParagraphFont"/>
    <w:rsid w:val="00C06479"/>
    <w:rPr>
      <w:color w:val="0000FF" w:themeColor="hyperlink"/>
      <w:u w:val="single"/>
    </w:rPr>
  </w:style>
  <w:style w:type="character" w:customStyle="1" w:styleId="bulletsChar">
    <w:name w:val="bullets Char"/>
    <w:aliases w:val="bu Char"/>
    <w:basedOn w:val="DefaultParagraphFont"/>
    <w:link w:val="bullets"/>
    <w:rsid w:val="00F510AF"/>
    <w:rPr>
      <w:sz w:val="24"/>
    </w:rPr>
  </w:style>
  <w:style w:type="paragraph" w:customStyle="1" w:styleId="bullets">
    <w:name w:val="bullets"/>
    <w:aliases w:val="bu"/>
    <w:basedOn w:val="Normal"/>
    <w:link w:val="bulletsChar"/>
    <w:rsid w:val="00F510AF"/>
    <w:pPr>
      <w:widowControl/>
      <w:numPr>
        <w:numId w:val="2"/>
      </w:numPr>
      <w:autoSpaceDE/>
      <w:autoSpaceDN/>
      <w:adjustRightInd/>
      <w:spacing w:after="120"/>
    </w:pPr>
    <w:rPr>
      <w:sz w:val="24"/>
      <w:szCs w:val="20"/>
    </w:rPr>
  </w:style>
  <w:style w:type="paragraph" w:styleId="Date">
    <w:name w:val="Date"/>
    <w:basedOn w:val="Normal"/>
    <w:next w:val="Normal"/>
    <w:link w:val="DateChar"/>
    <w:semiHidden/>
    <w:unhideWhenUsed/>
    <w:rsid w:val="00D33F89"/>
  </w:style>
  <w:style w:type="character" w:customStyle="1" w:styleId="DateChar">
    <w:name w:val="Date Char"/>
    <w:basedOn w:val="DefaultParagraphFont"/>
    <w:link w:val="Date"/>
    <w:semiHidden/>
    <w:rsid w:val="00D33F89"/>
    <w:rPr>
      <w:szCs w:val="24"/>
    </w:rPr>
  </w:style>
  <w:style w:type="paragraph" w:styleId="ListParagraph">
    <w:name w:val="List Paragraph"/>
    <w:basedOn w:val="Normal"/>
    <w:uiPriority w:val="34"/>
    <w:qFormat/>
    <w:rsid w:val="00245824"/>
    <w:pPr>
      <w:widowControl/>
      <w:autoSpaceDE/>
      <w:autoSpaceDN/>
      <w:adjustRightInd/>
      <w:ind w:left="720"/>
    </w:pPr>
    <w:rPr>
      <w:rFonts w:ascii="Calibri" w:eastAsiaTheme="minorHAnsi" w:hAnsi="Calibri" w:cs="Calibri"/>
      <w:sz w:val="22"/>
      <w:szCs w:val="22"/>
    </w:rPr>
  </w:style>
  <w:style w:type="table" w:styleId="TableGrid">
    <w:name w:val="Table Grid"/>
    <w:basedOn w:val="TableNormal"/>
    <w:rsid w:val="00EF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6C05"/>
    <w:rPr>
      <w:szCs w:val="24"/>
    </w:rPr>
  </w:style>
  <w:style w:type="character" w:customStyle="1" w:styleId="UnresolvedMention1">
    <w:name w:val="Unresolved Mention1"/>
    <w:basedOn w:val="DefaultParagraphFont"/>
    <w:uiPriority w:val="99"/>
    <w:semiHidden/>
    <w:unhideWhenUsed/>
    <w:rsid w:val="00BA629A"/>
    <w:rPr>
      <w:color w:val="605E5C"/>
      <w:shd w:val="clear" w:color="auto" w:fill="E1DFDD"/>
    </w:rPr>
  </w:style>
  <w:style w:type="character" w:customStyle="1" w:styleId="UnresolvedMention2">
    <w:name w:val="Unresolved Mention2"/>
    <w:basedOn w:val="DefaultParagraphFont"/>
    <w:uiPriority w:val="99"/>
    <w:semiHidden/>
    <w:unhideWhenUsed/>
    <w:rsid w:val="000129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rsid w:val="009117D9"/>
    <w:rPr>
      <w:sz w:val="16"/>
      <w:szCs w:val="16"/>
    </w:rPr>
  </w:style>
  <w:style w:type="paragraph" w:styleId="CommentText">
    <w:name w:val="annotation text"/>
    <w:basedOn w:val="Normal"/>
    <w:link w:val="CommentTextChar"/>
    <w:rsid w:val="009117D9"/>
    <w:rPr>
      <w:szCs w:val="20"/>
    </w:rPr>
  </w:style>
  <w:style w:type="character" w:customStyle="1" w:styleId="CommentTextChar">
    <w:name w:val="Comment Text Char"/>
    <w:basedOn w:val="DefaultParagraphFont"/>
    <w:link w:val="CommentText"/>
    <w:rsid w:val="009117D9"/>
  </w:style>
  <w:style w:type="paragraph" w:styleId="CommentSubject">
    <w:name w:val="annotation subject"/>
    <w:basedOn w:val="CommentText"/>
    <w:next w:val="CommentText"/>
    <w:link w:val="CommentSubjectChar"/>
    <w:rsid w:val="009117D9"/>
    <w:rPr>
      <w:b/>
      <w:bCs/>
    </w:rPr>
  </w:style>
  <w:style w:type="character" w:customStyle="1" w:styleId="CommentSubjectChar">
    <w:name w:val="Comment Subject Char"/>
    <w:basedOn w:val="CommentTextChar"/>
    <w:link w:val="CommentSubject"/>
    <w:rsid w:val="009117D9"/>
    <w:rPr>
      <w:b/>
      <w:bCs/>
    </w:rPr>
  </w:style>
  <w:style w:type="paragraph" w:customStyle="1" w:styleId="TableHeaders">
    <w:name w:val="Table Headers"/>
    <w:qFormat/>
    <w:rsid w:val="00D64FDB"/>
    <w:pPr>
      <w:spacing w:before="80" w:after="80"/>
      <w:jc w:val="center"/>
    </w:pPr>
    <w:rPr>
      <w:rFonts w:ascii="Verdana" w:hAnsi="Verdana"/>
      <w:b/>
      <w:sz w:val="18"/>
    </w:rPr>
  </w:style>
  <w:style w:type="paragraph" w:customStyle="1" w:styleId="TableTitle">
    <w:name w:val="Table Title"/>
    <w:basedOn w:val="Normal"/>
    <w:link w:val="TableTitleChar"/>
    <w:rsid w:val="00D64FDB"/>
    <w:pPr>
      <w:keepNext/>
      <w:keepLines/>
      <w:widowControl/>
      <w:autoSpaceDE/>
      <w:autoSpaceDN/>
      <w:adjustRightInd/>
      <w:spacing w:before="320" w:after="120"/>
      <w:ind w:left="1440" w:hanging="1440"/>
    </w:pPr>
    <w:rPr>
      <w:rFonts w:ascii="Verdana" w:eastAsia="MS Mincho" w:hAnsi="Verdana"/>
      <w:b/>
      <w:szCs w:val="20"/>
    </w:rPr>
  </w:style>
  <w:style w:type="paragraph" w:customStyle="1" w:styleId="TableTextDec">
    <w:name w:val="Table Text Dec"/>
    <w:basedOn w:val="Normal"/>
    <w:qFormat/>
    <w:rsid w:val="00D64FDB"/>
    <w:pPr>
      <w:widowControl/>
      <w:tabs>
        <w:tab w:val="decimal" w:pos="1015"/>
      </w:tabs>
      <w:autoSpaceDE/>
      <w:autoSpaceDN/>
      <w:adjustRightInd/>
      <w:spacing w:before="60" w:after="60"/>
    </w:pPr>
    <w:rPr>
      <w:rFonts w:ascii="Verdana" w:eastAsia="MS Mincho" w:hAnsi="Verdana"/>
      <w:sz w:val="18"/>
      <w:szCs w:val="18"/>
    </w:rPr>
  </w:style>
  <w:style w:type="table" w:customStyle="1" w:styleId="format4">
    <w:name w:val="format_4"/>
    <w:basedOn w:val="TableNormal"/>
    <w:rsid w:val="00D64FDB"/>
    <w:rPr>
      <w:rFonts w:ascii="Verdana" w:eastAsia="MS Mincho" w:hAnsi="Verdana"/>
      <w:sz w:val="18"/>
    </w:rPr>
    <w:tblPr>
      <w:tblCellMar>
        <w:left w:w="72" w:type="dxa"/>
        <w:right w:w="72" w:type="dxa"/>
      </w:tblCellMar>
    </w:tblPr>
    <w:tblStylePr w:type="firstRow">
      <w:pPr>
        <w:jc w:val="center"/>
      </w:p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style>
  <w:style w:type="paragraph" w:customStyle="1" w:styleId="TableText">
    <w:name w:val="Table Text"/>
    <w:basedOn w:val="Normal"/>
    <w:qFormat/>
    <w:rsid w:val="00D64FDB"/>
    <w:pPr>
      <w:widowControl/>
      <w:autoSpaceDE/>
      <w:autoSpaceDN/>
      <w:adjustRightInd/>
      <w:spacing w:before="80" w:after="80"/>
    </w:pPr>
    <w:rPr>
      <w:rFonts w:ascii="Verdana" w:eastAsia="MS Mincho" w:hAnsi="Verdana" w:cs="Arial"/>
      <w:sz w:val="18"/>
      <w:szCs w:val="20"/>
    </w:rPr>
  </w:style>
  <w:style w:type="character" w:customStyle="1" w:styleId="TableTitleChar">
    <w:name w:val="Table Title Char"/>
    <w:link w:val="TableTitle"/>
    <w:locked/>
    <w:rsid w:val="00D64FDB"/>
    <w:rPr>
      <w:rFonts w:ascii="Verdana" w:eastAsia="MS Mincho" w:hAnsi="Verdana"/>
      <w:b/>
    </w:rPr>
  </w:style>
  <w:style w:type="character" w:styleId="Hyperlink">
    <w:name w:val="Hyperlink"/>
    <w:basedOn w:val="DefaultParagraphFont"/>
    <w:rsid w:val="00C06479"/>
    <w:rPr>
      <w:color w:val="0000FF" w:themeColor="hyperlink"/>
      <w:u w:val="single"/>
    </w:rPr>
  </w:style>
  <w:style w:type="character" w:customStyle="1" w:styleId="bulletsChar">
    <w:name w:val="bullets Char"/>
    <w:aliases w:val="bu Char"/>
    <w:basedOn w:val="DefaultParagraphFont"/>
    <w:link w:val="bullets"/>
    <w:rsid w:val="00F510AF"/>
    <w:rPr>
      <w:sz w:val="24"/>
    </w:rPr>
  </w:style>
  <w:style w:type="paragraph" w:customStyle="1" w:styleId="bullets">
    <w:name w:val="bullets"/>
    <w:aliases w:val="bu"/>
    <w:basedOn w:val="Normal"/>
    <w:link w:val="bulletsChar"/>
    <w:rsid w:val="00F510AF"/>
    <w:pPr>
      <w:widowControl/>
      <w:numPr>
        <w:numId w:val="2"/>
      </w:numPr>
      <w:autoSpaceDE/>
      <w:autoSpaceDN/>
      <w:adjustRightInd/>
      <w:spacing w:after="120"/>
    </w:pPr>
    <w:rPr>
      <w:sz w:val="24"/>
      <w:szCs w:val="20"/>
    </w:rPr>
  </w:style>
  <w:style w:type="paragraph" w:styleId="Date">
    <w:name w:val="Date"/>
    <w:basedOn w:val="Normal"/>
    <w:next w:val="Normal"/>
    <w:link w:val="DateChar"/>
    <w:semiHidden/>
    <w:unhideWhenUsed/>
    <w:rsid w:val="00D33F89"/>
  </w:style>
  <w:style w:type="character" w:customStyle="1" w:styleId="DateChar">
    <w:name w:val="Date Char"/>
    <w:basedOn w:val="DefaultParagraphFont"/>
    <w:link w:val="Date"/>
    <w:semiHidden/>
    <w:rsid w:val="00D33F89"/>
    <w:rPr>
      <w:szCs w:val="24"/>
    </w:rPr>
  </w:style>
  <w:style w:type="paragraph" w:styleId="ListParagraph">
    <w:name w:val="List Paragraph"/>
    <w:basedOn w:val="Normal"/>
    <w:uiPriority w:val="34"/>
    <w:qFormat/>
    <w:rsid w:val="00245824"/>
    <w:pPr>
      <w:widowControl/>
      <w:autoSpaceDE/>
      <w:autoSpaceDN/>
      <w:adjustRightInd/>
      <w:ind w:left="720"/>
    </w:pPr>
    <w:rPr>
      <w:rFonts w:ascii="Calibri" w:eastAsiaTheme="minorHAnsi" w:hAnsi="Calibri" w:cs="Calibri"/>
      <w:sz w:val="22"/>
      <w:szCs w:val="22"/>
    </w:rPr>
  </w:style>
  <w:style w:type="table" w:styleId="TableGrid">
    <w:name w:val="Table Grid"/>
    <w:basedOn w:val="TableNormal"/>
    <w:rsid w:val="00EF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6C05"/>
    <w:rPr>
      <w:szCs w:val="24"/>
    </w:rPr>
  </w:style>
  <w:style w:type="character" w:customStyle="1" w:styleId="UnresolvedMention1">
    <w:name w:val="Unresolved Mention1"/>
    <w:basedOn w:val="DefaultParagraphFont"/>
    <w:uiPriority w:val="99"/>
    <w:semiHidden/>
    <w:unhideWhenUsed/>
    <w:rsid w:val="00BA629A"/>
    <w:rPr>
      <w:color w:val="605E5C"/>
      <w:shd w:val="clear" w:color="auto" w:fill="E1DFDD"/>
    </w:rPr>
  </w:style>
  <w:style w:type="character" w:customStyle="1" w:styleId="UnresolvedMention2">
    <w:name w:val="Unresolved Mention2"/>
    <w:basedOn w:val="DefaultParagraphFont"/>
    <w:uiPriority w:val="99"/>
    <w:semiHidden/>
    <w:unhideWhenUsed/>
    <w:rsid w:val="0001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8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f@rt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recho@rt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c@rti.org" TargetMode="External"/><Relationship Id="rId5" Type="http://schemas.openxmlformats.org/officeDocument/2006/relationships/settings" Target="settings.xml"/><Relationship Id="rId15" Type="http://schemas.openxmlformats.org/officeDocument/2006/relationships/hyperlink" Target="mailto:cbland@rti.org" TargetMode="External"/><Relationship Id="rId10" Type="http://schemas.openxmlformats.org/officeDocument/2006/relationships/hyperlink" Target="mailto:JBolton2@hrsa.gov"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AHarvey@hrsa.gov" TargetMode="External"/><Relationship Id="rId14" Type="http://schemas.openxmlformats.org/officeDocument/2006/relationships/hyperlink" Target="mailto:pchen@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FE29-CF8D-4780-846D-94EAA3A5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12746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SYSTEM</cp:lastModifiedBy>
  <cp:revision>2</cp:revision>
  <cp:lastPrinted>2010-10-14T13:55:00Z</cp:lastPrinted>
  <dcterms:created xsi:type="dcterms:W3CDTF">2019-06-25T19:29:00Z</dcterms:created>
  <dcterms:modified xsi:type="dcterms:W3CDTF">2019-06-25T19:29:00Z</dcterms:modified>
</cp:coreProperties>
</file>