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36" w:rsidRPr="00FE5036" w:rsidRDefault="00FE5036" w:rsidP="00C03F0E">
      <w:pPr>
        <w:widowControl w:val="0"/>
        <w:autoSpaceDE w:val="0"/>
        <w:autoSpaceDN w:val="0"/>
        <w:spacing w:before="68" w:after="0" w:line="240" w:lineRule="auto"/>
        <w:ind w:right="180"/>
        <w:jc w:val="center"/>
        <w:rPr>
          <w:rFonts w:ascii="Times New Roman" w:eastAsia="Times New Roman" w:hAnsi="Times New Roman" w:cs="Times New Roman"/>
          <w:b/>
          <w:sz w:val="32"/>
        </w:rPr>
      </w:pPr>
      <w:bookmarkStart w:id="0" w:name="_GoBack"/>
      <w:bookmarkEnd w:id="0"/>
      <w:r w:rsidRPr="00FE5036">
        <w:rPr>
          <w:rFonts w:ascii="Times New Roman" w:eastAsia="Times New Roman" w:hAnsi="Times New Roman" w:cs="Times New Roman"/>
          <w:b/>
          <w:sz w:val="32"/>
        </w:rPr>
        <w:t>Supporting Statement Part A</w:t>
      </w:r>
    </w:p>
    <w:p w:rsidR="00FE5036" w:rsidRPr="00FE5036" w:rsidRDefault="00FE5036" w:rsidP="00FE5036">
      <w:pPr>
        <w:widowControl w:val="0"/>
        <w:autoSpaceDE w:val="0"/>
        <w:autoSpaceDN w:val="0"/>
        <w:spacing w:before="2" w:after="0" w:line="240" w:lineRule="auto"/>
        <w:rPr>
          <w:rFonts w:ascii="Times New Roman" w:eastAsia="Times New Roman" w:hAnsi="Times New Roman" w:cs="Times New Roman"/>
          <w:b/>
          <w:sz w:val="32"/>
        </w:rPr>
      </w:pPr>
    </w:p>
    <w:p w:rsidR="00FE5036" w:rsidRPr="00FE5036" w:rsidRDefault="00FE5036" w:rsidP="00C03F0E">
      <w:pPr>
        <w:widowControl w:val="0"/>
        <w:autoSpaceDE w:val="0"/>
        <w:autoSpaceDN w:val="0"/>
        <w:spacing w:after="0" w:line="244" w:lineRule="auto"/>
        <w:ind w:right="64"/>
        <w:jc w:val="center"/>
        <w:rPr>
          <w:rFonts w:ascii="Times New Roman" w:eastAsia="Times New Roman" w:hAnsi="Times New Roman" w:cs="Times New Roman"/>
          <w:b/>
          <w:sz w:val="32"/>
        </w:rPr>
      </w:pPr>
      <w:r w:rsidRPr="00FE5036">
        <w:rPr>
          <w:rFonts w:ascii="Times New Roman" w:eastAsia="Times New Roman" w:hAnsi="Times New Roman" w:cs="Times New Roman"/>
          <w:b/>
          <w:sz w:val="32"/>
        </w:rPr>
        <w:t>Data Collection for Medicare Beneficiaries Receiving Carotid Artery Stenting with Embolic Protection</w:t>
      </w:r>
    </w:p>
    <w:p w:rsidR="00FE5036" w:rsidRPr="00FE5036" w:rsidRDefault="00FE5036" w:rsidP="00A1170A">
      <w:pPr>
        <w:widowControl w:val="0"/>
        <w:numPr>
          <w:ilvl w:val="0"/>
          <w:numId w:val="1"/>
        </w:numPr>
        <w:tabs>
          <w:tab w:val="left" w:pos="532"/>
        </w:tabs>
        <w:autoSpaceDE w:val="0"/>
        <w:autoSpaceDN w:val="0"/>
        <w:spacing w:before="282" w:after="0" w:line="240" w:lineRule="auto"/>
        <w:ind w:hanging="532"/>
        <w:rPr>
          <w:rFonts w:ascii="Times New Roman" w:eastAsia="Times New Roman" w:hAnsi="Times New Roman" w:cs="Times New Roman"/>
          <w:b/>
          <w:sz w:val="24"/>
        </w:rPr>
      </w:pPr>
      <w:r w:rsidRPr="00FE5036">
        <w:rPr>
          <w:rFonts w:ascii="Times New Roman" w:eastAsia="Times New Roman" w:hAnsi="Times New Roman" w:cs="Times New Roman"/>
          <w:b/>
          <w:sz w:val="24"/>
        </w:rPr>
        <w:t>Background</w:t>
      </w:r>
    </w:p>
    <w:p w:rsidR="00FE5036" w:rsidRPr="00FE5036" w:rsidRDefault="00FE5036" w:rsidP="00FE5036">
      <w:pPr>
        <w:widowControl w:val="0"/>
        <w:autoSpaceDE w:val="0"/>
        <w:autoSpaceDN w:val="0"/>
        <w:spacing w:before="6" w:after="0" w:line="240" w:lineRule="auto"/>
        <w:rPr>
          <w:rFonts w:ascii="Times New Roman" w:eastAsia="Times New Roman" w:hAnsi="Times New Roman" w:cs="Times New Roman"/>
          <w:b/>
          <w:sz w:val="25"/>
        </w:rPr>
      </w:pPr>
    </w:p>
    <w:p w:rsidR="00FE5036" w:rsidRPr="00FE5036" w:rsidRDefault="00FE5036" w:rsidP="00A1170A">
      <w:pPr>
        <w:widowControl w:val="0"/>
        <w:autoSpaceDE w:val="0"/>
        <w:autoSpaceDN w:val="0"/>
        <w:spacing w:before="89" w:after="0" w:line="244" w:lineRule="auto"/>
        <w:ind w:right="158"/>
        <w:rPr>
          <w:rFonts w:ascii="Times New Roman" w:eastAsia="Times New Roman" w:hAnsi="Times New Roman" w:cs="Times New Roman"/>
        </w:rPr>
      </w:pPr>
      <w:r w:rsidRPr="00FE5036">
        <w:rPr>
          <w:rFonts w:ascii="Times New Roman" w:eastAsia="Times New Roman" w:hAnsi="Times New Roman" w:cs="Times New Roman"/>
        </w:rPr>
        <w:t>To encourage responsible and appropriate use of Carotid Artery Stenting (CAS) with embolic protection, CMS</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issued</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a</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Decision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Memo</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for</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Carotid</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Artery</w:t>
      </w:r>
      <w:r w:rsidRPr="00FE5036">
        <w:rPr>
          <w:rFonts w:ascii="Times New Roman" w:eastAsia="Times New Roman" w:hAnsi="Times New Roman" w:cs="Times New Roman"/>
          <w:spacing w:val="-12"/>
        </w:rPr>
        <w:t xml:space="preserve"> </w:t>
      </w:r>
      <w:r w:rsidRPr="00FE5036">
        <w:rPr>
          <w:rFonts w:ascii="Times New Roman" w:eastAsia="Times New Roman" w:hAnsi="Times New Roman" w:cs="Times New Roman"/>
        </w:rPr>
        <w:t>Stenting</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on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March</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17,</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2005.</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As</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result,</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Medicare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covers Percutaneous Transluminal Angioplasty (PTA) of the carotid artery concurrent with the placement of an FDA-approved</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carotid</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stent</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with</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embolic</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protection</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for</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the</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following:</w:t>
      </w:r>
    </w:p>
    <w:p w:rsidR="00FE5036" w:rsidRPr="00FE5036" w:rsidRDefault="00FE5036" w:rsidP="00FE5036">
      <w:pPr>
        <w:widowControl w:val="0"/>
        <w:autoSpaceDE w:val="0"/>
        <w:autoSpaceDN w:val="0"/>
        <w:spacing w:before="169" w:after="0" w:line="244" w:lineRule="auto"/>
        <w:ind w:left="720" w:right="64"/>
        <w:rPr>
          <w:rFonts w:ascii="Times New Roman" w:eastAsia="Times New Roman" w:hAnsi="Times New Roman" w:cs="Times New Roman"/>
        </w:rPr>
      </w:pPr>
      <w:r w:rsidRPr="00FE5036">
        <w:rPr>
          <w:rFonts w:ascii="Times New Roman" w:eastAsia="Times New Roman" w:hAnsi="Times New Roman" w:cs="Times New Roman"/>
        </w:rPr>
        <w:t>•Patients who are at high risk for CEA and who also have symptomatic carotid artery stenosis &gt;70 %. Coverage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is</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limited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to</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procedures</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performed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using</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FDA-approved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carotid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artery</w:t>
      </w:r>
      <w:r w:rsidRPr="00FE5036">
        <w:rPr>
          <w:rFonts w:ascii="Times New Roman" w:eastAsia="Times New Roman" w:hAnsi="Times New Roman" w:cs="Times New Roman"/>
          <w:spacing w:val="-15"/>
        </w:rPr>
        <w:t xml:space="preserve"> </w:t>
      </w:r>
      <w:r w:rsidRPr="00FE5036">
        <w:rPr>
          <w:rFonts w:ascii="Times New Roman" w:eastAsia="Times New Roman" w:hAnsi="Times New Roman" w:cs="Times New Roman"/>
        </w:rPr>
        <w:t>stenting</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systems</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and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FDA- approved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or</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-cleared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(effective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December</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9,</w:t>
      </w:r>
      <w:r w:rsidRPr="00FE5036">
        <w:rPr>
          <w:rFonts w:ascii="Times New Roman" w:eastAsia="Times New Roman" w:hAnsi="Times New Roman" w:cs="Times New Roman"/>
          <w:spacing w:val="-10"/>
        </w:rPr>
        <w:t xml:space="preserve"> </w:t>
      </w:r>
      <w:r w:rsidRPr="00FE5036">
        <w:rPr>
          <w:rFonts w:ascii="Times New Roman" w:eastAsia="Times New Roman" w:hAnsi="Times New Roman" w:cs="Times New Roman"/>
        </w:rPr>
        <w:t>2009)</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embolic</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protection</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devices.</w:t>
      </w:r>
      <w:r w:rsidRPr="00FE5036">
        <w:rPr>
          <w:rFonts w:ascii="Times New Roman" w:eastAsia="Times New Roman" w:hAnsi="Times New Roman" w:cs="Times New Roman"/>
          <w:spacing w:val="-10"/>
        </w:rPr>
        <w:t xml:space="preserve"> </w:t>
      </w:r>
      <w:r w:rsidRPr="00FE5036">
        <w:rPr>
          <w:rFonts w:ascii="Times New Roman" w:eastAsia="Times New Roman" w:hAnsi="Times New Roman" w:cs="Times New Roman"/>
        </w:rPr>
        <w:t>If</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deployment</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of</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the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embolic protection device is not technically possible, and not performed, then the procedure is not covered by Medicare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(effective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December</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9,</w:t>
      </w:r>
      <w:r w:rsidRPr="00FE5036">
        <w:rPr>
          <w:rFonts w:ascii="Times New Roman" w:eastAsia="Times New Roman" w:hAnsi="Times New Roman" w:cs="Times New Roman"/>
          <w:spacing w:val="-10"/>
        </w:rPr>
        <w:t xml:space="preserve"> </w:t>
      </w:r>
      <w:r w:rsidRPr="00FE5036">
        <w:rPr>
          <w:rFonts w:ascii="Times New Roman" w:eastAsia="Times New Roman" w:hAnsi="Times New Roman" w:cs="Times New Roman"/>
        </w:rPr>
        <w:t>2009);</w:t>
      </w:r>
    </w:p>
    <w:p w:rsidR="00FE5036" w:rsidRPr="00FE5036" w:rsidRDefault="00FE5036" w:rsidP="00FE5036">
      <w:pPr>
        <w:widowControl w:val="0"/>
        <w:autoSpaceDE w:val="0"/>
        <w:autoSpaceDN w:val="0"/>
        <w:spacing w:before="169" w:after="0" w:line="244" w:lineRule="auto"/>
        <w:ind w:left="720" w:right="64"/>
        <w:rPr>
          <w:rFonts w:ascii="Times New Roman" w:eastAsia="Times New Roman" w:hAnsi="Times New Roman" w:cs="Times New Roman"/>
        </w:rPr>
      </w:pPr>
      <w:r w:rsidRPr="00FE5036">
        <w:rPr>
          <w:rFonts w:ascii="Times New Roman" w:eastAsia="Times New Roman" w:hAnsi="Times New Roman" w:cs="Times New Roman"/>
        </w:rPr>
        <w:t>•Patients who are at high risk for CEA [Carotid Endarterectomy] and have symptomatic carotid artery stenosis</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between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50</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and</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70</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accordance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with</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the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Category</w:t>
      </w:r>
      <w:r w:rsidRPr="00FE5036">
        <w:rPr>
          <w:rFonts w:ascii="Times New Roman" w:eastAsia="Times New Roman" w:hAnsi="Times New Roman" w:cs="Times New Roman"/>
          <w:spacing w:val="-12"/>
        </w:rPr>
        <w:t xml:space="preserve"> </w:t>
      </w:r>
      <w:r w:rsidRPr="00FE5036">
        <w:rPr>
          <w:rFonts w:ascii="Times New Roman" w:eastAsia="Times New Roman" w:hAnsi="Times New Roman" w:cs="Times New Roman"/>
        </w:rPr>
        <w:t>B</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IDE</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clinical</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trials</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regulation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(42</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CFR 405.201), as a routine cost under the clinical trials policy (Medicare National Coverage Determination (NCD) Manual 310.1), or in accordance with the NCD on carotid artery stenting (CAS) post-approval studies (Medicare NCD Manual</w:t>
      </w:r>
      <w:r w:rsidRPr="00FE5036">
        <w:rPr>
          <w:rFonts w:ascii="Times New Roman" w:eastAsia="Times New Roman" w:hAnsi="Times New Roman" w:cs="Times New Roman"/>
          <w:spacing w:val="-32"/>
        </w:rPr>
        <w:t xml:space="preserve"> </w:t>
      </w:r>
      <w:r w:rsidRPr="00FE5036">
        <w:rPr>
          <w:rFonts w:ascii="Times New Roman" w:eastAsia="Times New Roman" w:hAnsi="Times New Roman" w:cs="Times New Roman"/>
        </w:rPr>
        <w:t>20.7);</w:t>
      </w:r>
    </w:p>
    <w:p w:rsidR="00FE5036" w:rsidRPr="00FE5036" w:rsidRDefault="00FE5036" w:rsidP="00FE5036">
      <w:pPr>
        <w:widowControl w:val="0"/>
        <w:autoSpaceDE w:val="0"/>
        <w:autoSpaceDN w:val="0"/>
        <w:spacing w:before="169" w:after="0" w:line="244" w:lineRule="auto"/>
        <w:ind w:left="720" w:right="64"/>
        <w:rPr>
          <w:rFonts w:ascii="Times New Roman" w:eastAsia="Times New Roman" w:hAnsi="Times New Roman" w:cs="Times New Roman"/>
        </w:rPr>
      </w:pPr>
      <w:r w:rsidRPr="00FE5036">
        <w:rPr>
          <w:rFonts w:ascii="Times New Roman" w:eastAsia="Times New Roman" w:hAnsi="Times New Roman" w:cs="Times New Roman"/>
        </w:rPr>
        <w:t>•Patients</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who</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are</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at</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high</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risk</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for</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CEA</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and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have</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asymptomatic</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carotid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artery</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stenosis</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&gt;80</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accordance with the Category B IDE clinical trials regulation (42 CFR 405.201), as a routine cost under the clinical trials</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policy</w:t>
      </w:r>
      <w:r w:rsidRPr="00FE5036">
        <w:rPr>
          <w:rFonts w:ascii="Times New Roman" w:eastAsia="Times New Roman" w:hAnsi="Times New Roman" w:cs="Times New Roman"/>
          <w:spacing w:val="-12"/>
        </w:rPr>
        <w:t xml:space="preserve"> </w:t>
      </w:r>
      <w:r w:rsidRPr="00FE5036">
        <w:rPr>
          <w:rFonts w:ascii="Times New Roman" w:eastAsia="Times New Roman" w:hAnsi="Times New Roman" w:cs="Times New Roman"/>
        </w:rPr>
        <w:t>(Medicare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NCD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Manual</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310.1),</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or</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accordance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with</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the</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NCD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on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CAS</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post-</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approval</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studies (Medicare NCD Manual</w:t>
      </w:r>
      <w:r w:rsidRPr="00FE5036">
        <w:rPr>
          <w:rFonts w:ascii="Times New Roman" w:eastAsia="Times New Roman" w:hAnsi="Times New Roman" w:cs="Times New Roman"/>
          <w:spacing w:val="-24"/>
        </w:rPr>
        <w:t xml:space="preserve"> </w:t>
      </w:r>
      <w:r w:rsidRPr="00FE5036">
        <w:rPr>
          <w:rFonts w:ascii="Times New Roman" w:eastAsia="Times New Roman" w:hAnsi="Times New Roman" w:cs="Times New Roman"/>
        </w:rPr>
        <w:t>20.7).</w:t>
      </w:r>
    </w:p>
    <w:p w:rsidR="00FE5036" w:rsidRPr="00FE5036" w:rsidRDefault="00FE5036" w:rsidP="00FE5036">
      <w:pPr>
        <w:widowControl w:val="0"/>
        <w:autoSpaceDE w:val="0"/>
        <w:autoSpaceDN w:val="0"/>
        <w:spacing w:before="169" w:after="0" w:line="244" w:lineRule="auto"/>
        <w:ind w:left="100" w:right="64"/>
        <w:rPr>
          <w:rFonts w:ascii="Times New Roman" w:eastAsia="Times New Roman" w:hAnsi="Times New Roman" w:cs="Times New Roman"/>
        </w:rPr>
      </w:pPr>
      <w:r w:rsidRPr="00FE5036">
        <w:rPr>
          <w:rFonts w:ascii="Times New Roman" w:eastAsia="Times New Roman" w:hAnsi="Times New Roman" w:cs="Times New Roman"/>
        </w:rPr>
        <w:t>CMS</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has</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determined</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that</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CAS</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with</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embolic</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protection</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is</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reasonable</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and</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necessary</w:t>
      </w:r>
      <w:r w:rsidRPr="00FE5036">
        <w:rPr>
          <w:rFonts w:ascii="Times New Roman" w:eastAsia="Times New Roman" w:hAnsi="Times New Roman" w:cs="Times New Roman"/>
          <w:spacing w:val="-12"/>
        </w:rPr>
        <w:t xml:space="preserve"> </w:t>
      </w:r>
      <w:r w:rsidRPr="00FE5036">
        <w:rPr>
          <w:rFonts w:ascii="Times New Roman" w:eastAsia="Times New Roman" w:hAnsi="Times New Roman" w:cs="Times New Roman"/>
        </w:rPr>
        <w:t>{§1862</w:t>
      </w:r>
      <w:r w:rsidRPr="00FE5036">
        <w:rPr>
          <w:rFonts w:ascii="Times New Roman" w:eastAsia="Times New Roman" w:hAnsi="Times New Roman" w:cs="Times New Roman"/>
          <w:spacing w:val="-6"/>
        </w:rPr>
        <w:t xml:space="preserve"> </w:t>
      </w:r>
      <w:r w:rsidRPr="00FE5036">
        <w:rPr>
          <w:rFonts w:ascii="Times New Roman" w:eastAsia="Times New Roman" w:hAnsi="Times New Roman" w:cs="Times New Roman"/>
        </w:rPr>
        <w:t>(A)(1)(a)</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of</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the Social</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Security</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Act}</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only</w:t>
      </w:r>
      <w:r w:rsidRPr="00FE5036">
        <w:rPr>
          <w:rFonts w:ascii="Times New Roman" w:eastAsia="Times New Roman" w:hAnsi="Times New Roman" w:cs="Times New Roman"/>
          <w:spacing w:val="-13"/>
        </w:rPr>
        <w:t xml:space="preserve"> </w:t>
      </w:r>
      <w:r w:rsidRPr="00FE5036">
        <w:rPr>
          <w:rFonts w:ascii="Times New Roman" w:eastAsia="Times New Roman" w:hAnsi="Times New Roman" w:cs="Times New Roman"/>
        </w:rPr>
        <w:t>if</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performed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facilities</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that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have</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been</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determined</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to</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be</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competent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7"/>
        </w:rPr>
        <w:t xml:space="preserve"> </w:t>
      </w:r>
      <w:r w:rsidRPr="00FE5036">
        <w:rPr>
          <w:rFonts w:ascii="Times New Roman" w:eastAsia="Times New Roman" w:hAnsi="Times New Roman" w:cs="Times New Roman"/>
        </w:rPr>
        <w:t>performing the evaluation, procedure and follow-up necessary to ensure optimal patient outcomes. Standards to determine competency include specific physician training standards, facility support requirements and data collection and submission requirements. CMS has created a list of minimum standards (</w:t>
      </w:r>
      <w:hyperlink r:id="rId8" w:history="1">
        <w:r w:rsidRPr="00FE5036">
          <w:rPr>
            <w:rFonts w:ascii="Times New Roman" w:eastAsia="Times New Roman" w:hAnsi="Times New Roman" w:cs="Times New Roman"/>
            <w:color w:val="0000FF"/>
            <w:u w:val="single"/>
          </w:rPr>
          <w:t>https://www.cms.gov/medicare-coverage-database/details/ncd-details.aspx?NCDId=201&amp;ncdver=10&amp;bc=AAAAgAAAAAAAAA%3d%3d&amp;</w:t>
        </w:r>
      </w:hyperlink>
      <w:r w:rsidRPr="00FE5036">
        <w:rPr>
          <w:rFonts w:ascii="Times New Roman" w:eastAsia="Times New Roman" w:hAnsi="Times New Roman" w:cs="Times New Roman"/>
        </w:rPr>
        <w:t>) modeled in part on professional</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society</w:t>
      </w:r>
      <w:r w:rsidRPr="00FE5036">
        <w:rPr>
          <w:rFonts w:ascii="Times New Roman" w:eastAsia="Times New Roman" w:hAnsi="Times New Roman" w:cs="Times New Roman"/>
          <w:spacing w:val="-14"/>
        </w:rPr>
        <w:t xml:space="preserve"> </w:t>
      </w:r>
      <w:r w:rsidRPr="00FE5036">
        <w:rPr>
          <w:rFonts w:ascii="Times New Roman" w:eastAsia="Times New Roman" w:hAnsi="Times New Roman" w:cs="Times New Roman"/>
        </w:rPr>
        <w:t>statements</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on</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competency.</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All</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facilities</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must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at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least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meet</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CMS’s</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standards</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in</w:t>
      </w:r>
      <w:r w:rsidRPr="00FE5036">
        <w:rPr>
          <w:rFonts w:ascii="Times New Roman" w:eastAsia="Times New Roman" w:hAnsi="Times New Roman" w:cs="Times New Roman"/>
          <w:spacing w:val="-8"/>
        </w:rPr>
        <w:t xml:space="preserve"> </w:t>
      </w:r>
      <w:r w:rsidRPr="00FE5036">
        <w:rPr>
          <w:rFonts w:ascii="Times New Roman" w:eastAsia="Times New Roman" w:hAnsi="Times New Roman" w:cs="Times New Roman"/>
        </w:rPr>
        <w:t>order</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to receive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coverage</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for</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carotid</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artery</w:t>
      </w:r>
      <w:r w:rsidRPr="00FE5036">
        <w:rPr>
          <w:rFonts w:ascii="Times New Roman" w:eastAsia="Times New Roman" w:hAnsi="Times New Roman" w:cs="Times New Roman"/>
          <w:spacing w:val="-15"/>
        </w:rPr>
        <w:t xml:space="preserve"> </w:t>
      </w:r>
      <w:r w:rsidRPr="00FE5036">
        <w:rPr>
          <w:rFonts w:ascii="Times New Roman" w:eastAsia="Times New Roman" w:hAnsi="Times New Roman" w:cs="Times New Roman"/>
        </w:rPr>
        <w:t>stenting</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for</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high</w:t>
      </w:r>
      <w:r w:rsidRPr="00FE5036">
        <w:rPr>
          <w:rFonts w:ascii="Times New Roman" w:eastAsia="Times New Roman" w:hAnsi="Times New Roman" w:cs="Times New Roman"/>
          <w:spacing w:val="-9"/>
        </w:rPr>
        <w:t xml:space="preserve"> </w:t>
      </w:r>
      <w:r w:rsidRPr="00FE5036">
        <w:rPr>
          <w:rFonts w:ascii="Times New Roman" w:eastAsia="Times New Roman" w:hAnsi="Times New Roman" w:cs="Times New Roman"/>
        </w:rPr>
        <w:t>risk</w:t>
      </w:r>
      <w:r w:rsidRPr="00FE5036">
        <w:rPr>
          <w:rFonts w:ascii="Times New Roman" w:eastAsia="Times New Roman" w:hAnsi="Times New Roman" w:cs="Times New Roman"/>
          <w:spacing w:val="-11"/>
        </w:rPr>
        <w:t xml:space="preserve"> </w:t>
      </w:r>
      <w:r w:rsidRPr="00FE5036">
        <w:rPr>
          <w:rFonts w:ascii="Times New Roman" w:eastAsia="Times New Roman" w:hAnsi="Times New Roman" w:cs="Times New Roman"/>
        </w:rPr>
        <w:t>patients.</w:t>
      </w:r>
    </w:p>
    <w:p w:rsidR="00EF5BD0" w:rsidRDefault="00EF5BD0"/>
    <w:p w:rsidR="00FE5036" w:rsidRDefault="00FE5036" w:rsidP="00A1170A">
      <w:pPr>
        <w:pStyle w:val="ListParagraph"/>
        <w:numPr>
          <w:ilvl w:val="0"/>
          <w:numId w:val="1"/>
        </w:numPr>
        <w:ind w:hanging="532"/>
        <w:rPr>
          <w:rFonts w:ascii="Times New Roman" w:hAnsi="Times New Roman" w:cs="Times New Roman"/>
          <w:b/>
          <w:sz w:val="24"/>
          <w:szCs w:val="24"/>
        </w:rPr>
      </w:pPr>
      <w:r w:rsidRPr="00FE5036">
        <w:rPr>
          <w:rFonts w:ascii="Times New Roman" w:hAnsi="Times New Roman" w:cs="Times New Roman"/>
          <w:b/>
          <w:sz w:val="24"/>
          <w:szCs w:val="24"/>
        </w:rPr>
        <w:t>Justification</w:t>
      </w:r>
    </w:p>
    <w:p w:rsidR="00FE5036" w:rsidRDefault="00FE5036" w:rsidP="00A1170A">
      <w:pPr>
        <w:pStyle w:val="ListParagraph"/>
        <w:numPr>
          <w:ilvl w:val="0"/>
          <w:numId w:val="2"/>
        </w:numPr>
        <w:ind w:left="540" w:hanging="540"/>
        <w:rPr>
          <w:rFonts w:ascii="Times New Roman" w:hAnsi="Times New Roman" w:cs="Times New Roman"/>
          <w:sz w:val="24"/>
          <w:szCs w:val="24"/>
          <w:u w:val="single"/>
        </w:rPr>
      </w:pPr>
      <w:r w:rsidRPr="00FE5036">
        <w:rPr>
          <w:rFonts w:ascii="Times New Roman" w:hAnsi="Times New Roman" w:cs="Times New Roman"/>
          <w:sz w:val="24"/>
          <w:szCs w:val="24"/>
          <w:u w:val="single"/>
        </w:rPr>
        <w:t>Need and Legal Basis</w:t>
      </w:r>
    </w:p>
    <w:p w:rsidR="00FE5036" w:rsidRDefault="00FE5036" w:rsidP="00FE5036">
      <w:pPr>
        <w:ind w:left="540"/>
        <w:rPr>
          <w:rFonts w:ascii="Times New Roman" w:hAnsi="Times New Roman" w:cs="Times New Roman"/>
        </w:rPr>
      </w:pPr>
      <w:r>
        <w:rPr>
          <w:rFonts w:ascii="Times New Roman" w:hAnsi="Times New Roman" w:cs="Times New Roman"/>
        </w:rPr>
        <w:t xml:space="preserve">CMS considers coverage for CAS with embolic protection reasonable and necessary </w:t>
      </w:r>
      <w:r w:rsidRPr="00FE5036">
        <w:rPr>
          <w:rFonts w:ascii="Times New Roman" w:hAnsi="Times New Roman" w:cs="Times New Roman"/>
        </w:rPr>
        <w:t>{§1862</w:t>
      </w:r>
      <w:r w:rsidRPr="00FE5036">
        <w:rPr>
          <w:rFonts w:ascii="Times New Roman" w:hAnsi="Times New Roman" w:cs="Times New Roman"/>
          <w:spacing w:val="-9"/>
        </w:rPr>
        <w:t xml:space="preserve"> </w:t>
      </w:r>
      <w:r w:rsidRPr="00FE5036">
        <w:rPr>
          <w:rFonts w:ascii="Times New Roman" w:hAnsi="Times New Roman" w:cs="Times New Roman"/>
        </w:rPr>
        <w:t xml:space="preserve">(A)(1)(a) of the Social Security Act} for patients at high risk for carotid endarterectomy and for those who also have symptomatic carotid artery stenosis </w:t>
      </w:r>
      <w:r w:rsidRPr="00FE5036">
        <w:rPr>
          <w:rFonts w:ascii="Times New Roman" w:hAnsi="Times New Roman" w:cs="Times New Roman"/>
          <w:u w:val="single"/>
        </w:rPr>
        <w:t>&gt;</w:t>
      </w:r>
      <w:r w:rsidRPr="00FE5036">
        <w:rPr>
          <w:rFonts w:ascii="Times New Roman" w:hAnsi="Times New Roman" w:cs="Times New Roman"/>
          <w:spacing w:val="-10"/>
          <w:u w:val="single"/>
        </w:rPr>
        <w:t xml:space="preserve"> </w:t>
      </w:r>
      <w:r w:rsidRPr="00FE5036">
        <w:rPr>
          <w:rFonts w:ascii="Times New Roman" w:hAnsi="Times New Roman" w:cs="Times New Roman"/>
        </w:rPr>
        <w:t>70%</w:t>
      </w:r>
      <w:r w:rsidRPr="00FE5036">
        <w:rPr>
          <w:rFonts w:ascii="Times New Roman" w:hAnsi="Times New Roman" w:cs="Times New Roman"/>
          <w:spacing w:val="-8"/>
        </w:rPr>
        <w:t xml:space="preserve">.  However, these procedures must be </w:t>
      </w:r>
      <w:r w:rsidRPr="00FE5036">
        <w:rPr>
          <w:rFonts w:ascii="Times New Roman" w:hAnsi="Times New Roman" w:cs="Times New Roman"/>
        </w:rPr>
        <w:t>performed</w:t>
      </w:r>
      <w:r w:rsidRPr="00FE5036">
        <w:rPr>
          <w:rFonts w:ascii="Times New Roman" w:hAnsi="Times New Roman" w:cs="Times New Roman"/>
          <w:spacing w:val="-8"/>
        </w:rPr>
        <w:t xml:space="preserve"> </w:t>
      </w:r>
      <w:r w:rsidRPr="00FE5036">
        <w:rPr>
          <w:rFonts w:ascii="Times New Roman" w:hAnsi="Times New Roman" w:cs="Times New Roman"/>
        </w:rPr>
        <w:t>in</w:t>
      </w:r>
      <w:r w:rsidRPr="00FE5036">
        <w:rPr>
          <w:rFonts w:ascii="Times New Roman" w:hAnsi="Times New Roman" w:cs="Times New Roman"/>
          <w:spacing w:val="-8"/>
        </w:rPr>
        <w:t xml:space="preserve"> </w:t>
      </w:r>
      <w:r w:rsidRPr="00FE5036">
        <w:rPr>
          <w:rFonts w:ascii="Times New Roman" w:hAnsi="Times New Roman" w:cs="Times New Roman"/>
        </w:rPr>
        <w:t>facilities</w:t>
      </w:r>
      <w:r w:rsidRPr="00FE5036">
        <w:rPr>
          <w:rFonts w:ascii="Times New Roman" w:hAnsi="Times New Roman" w:cs="Times New Roman"/>
          <w:spacing w:val="-9"/>
        </w:rPr>
        <w:t xml:space="preserve"> </w:t>
      </w:r>
      <w:r w:rsidRPr="00FE5036">
        <w:rPr>
          <w:rFonts w:ascii="Times New Roman" w:hAnsi="Times New Roman" w:cs="Times New Roman"/>
        </w:rPr>
        <w:t>that</w:t>
      </w:r>
      <w:r w:rsidRPr="00FE5036">
        <w:rPr>
          <w:rFonts w:ascii="Times New Roman" w:hAnsi="Times New Roman" w:cs="Times New Roman"/>
          <w:spacing w:val="-9"/>
        </w:rPr>
        <w:t xml:space="preserve"> </w:t>
      </w:r>
      <w:r w:rsidRPr="00FE5036">
        <w:rPr>
          <w:rFonts w:ascii="Times New Roman" w:hAnsi="Times New Roman" w:cs="Times New Roman"/>
        </w:rPr>
        <w:t>have</w:t>
      </w:r>
      <w:r w:rsidRPr="00FE5036">
        <w:rPr>
          <w:rFonts w:ascii="Times New Roman" w:hAnsi="Times New Roman" w:cs="Times New Roman"/>
          <w:spacing w:val="-9"/>
        </w:rPr>
        <w:t xml:space="preserve"> </w:t>
      </w:r>
      <w:r w:rsidRPr="00FE5036">
        <w:rPr>
          <w:rFonts w:ascii="Times New Roman" w:hAnsi="Times New Roman" w:cs="Times New Roman"/>
        </w:rPr>
        <w:t>been</w:t>
      </w:r>
      <w:r w:rsidRPr="00FE5036">
        <w:rPr>
          <w:rFonts w:ascii="Times New Roman" w:hAnsi="Times New Roman" w:cs="Times New Roman"/>
          <w:spacing w:val="-8"/>
        </w:rPr>
        <w:t xml:space="preserve"> </w:t>
      </w:r>
      <w:r w:rsidRPr="00FE5036">
        <w:rPr>
          <w:rFonts w:ascii="Times New Roman" w:hAnsi="Times New Roman" w:cs="Times New Roman"/>
        </w:rPr>
        <w:t>determined</w:t>
      </w:r>
      <w:r w:rsidRPr="00FE5036">
        <w:rPr>
          <w:rFonts w:ascii="Times New Roman" w:hAnsi="Times New Roman" w:cs="Times New Roman"/>
          <w:spacing w:val="-8"/>
        </w:rPr>
        <w:t xml:space="preserve"> </w:t>
      </w:r>
      <w:r w:rsidRPr="00FE5036">
        <w:rPr>
          <w:rFonts w:ascii="Times New Roman" w:hAnsi="Times New Roman" w:cs="Times New Roman"/>
        </w:rPr>
        <w:t>to be</w:t>
      </w:r>
      <w:r w:rsidRPr="00FE5036">
        <w:rPr>
          <w:rFonts w:ascii="Times New Roman" w:hAnsi="Times New Roman" w:cs="Times New Roman"/>
          <w:spacing w:val="-11"/>
        </w:rPr>
        <w:t xml:space="preserve"> </w:t>
      </w:r>
      <w:r w:rsidRPr="00FE5036">
        <w:rPr>
          <w:rFonts w:ascii="Times New Roman" w:hAnsi="Times New Roman" w:cs="Times New Roman"/>
        </w:rPr>
        <w:t>competent</w:t>
      </w:r>
      <w:r w:rsidRPr="00FE5036">
        <w:rPr>
          <w:rFonts w:ascii="Times New Roman" w:hAnsi="Times New Roman" w:cs="Times New Roman"/>
          <w:spacing w:val="-11"/>
        </w:rPr>
        <w:t xml:space="preserve"> </w:t>
      </w:r>
      <w:r w:rsidRPr="00FE5036">
        <w:rPr>
          <w:rFonts w:ascii="Times New Roman" w:hAnsi="Times New Roman" w:cs="Times New Roman"/>
        </w:rPr>
        <w:t>in</w:t>
      </w:r>
      <w:r w:rsidRPr="00FE5036">
        <w:rPr>
          <w:rFonts w:ascii="Times New Roman" w:hAnsi="Times New Roman" w:cs="Times New Roman"/>
          <w:spacing w:val="-9"/>
        </w:rPr>
        <w:t xml:space="preserve"> </w:t>
      </w:r>
      <w:r w:rsidRPr="00FE5036">
        <w:rPr>
          <w:rFonts w:ascii="Times New Roman" w:hAnsi="Times New Roman" w:cs="Times New Roman"/>
        </w:rPr>
        <w:t>performing</w:t>
      </w:r>
      <w:r w:rsidRPr="00FE5036">
        <w:rPr>
          <w:rFonts w:ascii="Times New Roman" w:hAnsi="Times New Roman" w:cs="Times New Roman"/>
          <w:spacing w:val="-11"/>
        </w:rPr>
        <w:t xml:space="preserve"> </w:t>
      </w:r>
      <w:r w:rsidRPr="00FE5036">
        <w:rPr>
          <w:rFonts w:ascii="Times New Roman" w:hAnsi="Times New Roman" w:cs="Times New Roman"/>
        </w:rPr>
        <w:t>the</w:t>
      </w:r>
      <w:r w:rsidRPr="00FE5036">
        <w:rPr>
          <w:rFonts w:ascii="Times New Roman" w:hAnsi="Times New Roman" w:cs="Times New Roman"/>
          <w:spacing w:val="-11"/>
        </w:rPr>
        <w:t xml:space="preserve"> </w:t>
      </w:r>
      <w:r w:rsidRPr="00FE5036">
        <w:rPr>
          <w:rFonts w:ascii="Times New Roman" w:hAnsi="Times New Roman" w:cs="Times New Roman"/>
        </w:rPr>
        <w:t>evaluation,</w:t>
      </w:r>
      <w:r w:rsidRPr="00FE5036">
        <w:rPr>
          <w:rFonts w:ascii="Times New Roman" w:hAnsi="Times New Roman" w:cs="Times New Roman"/>
          <w:spacing w:val="-10"/>
        </w:rPr>
        <w:t xml:space="preserve"> </w:t>
      </w:r>
      <w:r w:rsidRPr="00FE5036">
        <w:rPr>
          <w:rFonts w:ascii="Times New Roman" w:hAnsi="Times New Roman" w:cs="Times New Roman"/>
        </w:rPr>
        <w:t xml:space="preserve">procedure and follow-up necessary to ensure optimal patient outcomes. Standards to determine </w:t>
      </w:r>
      <w:r w:rsidRPr="00FE5036">
        <w:rPr>
          <w:rFonts w:ascii="Times New Roman" w:hAnsi="Times New Roman" w:cs="Times New Roman"/>
        </w:rPr>
        <w:lastRenderedPageBreak/>
        <w:t>competency will include specific physician training standards, facility support requirements and data collection to evaluate outcomes during a required reevaluation and data submission to CMS</w:t>
      </w:r>
      <w:r>
        <w:rPr>
          <w:rFonts w:ascii="Times New Roman" w:hAnsi="Times New Roman" w:cs="Times New Roman"/>
        </w:rPr>
        <w:t>.</w:t>
      </w:r>
    </w:p>
    <w:p w:rsidR="00FE5036" w:rsidRDefault="00FE5036" w:rsidP="00FE5036">
      <w:pPr>
        <w:pStyle w:val="ListParagraph"/>
        <w:numPr>
          <w:ilvl w:val="0"/>
          <w:numId w:val="2"/>
        </w:numPr>
        <w:tabs>
          <w:tab w:val="left" w:pos="540"/>
        </w:tabs>
        <w:ind w:left="540" w:hanging="540"/>
        <w:rPr>
          <w:rFonts w:ascii="Times New Roman" w:hAnsi="Times New Roman" w:cs="Times New Roman"/>
          <w:sz w:val="24"/>
          <w:szCs w:val="24"/>
          <w:u w:val="single"/>
        </w:rPr>
      </w:pPr>
      <w:r w:rsidRPr="00FE5036">
        <w:rPr>
          <w:rFonts w:ascii="Times New Roman" w:hAnsi="Times New Roman" w:cs="Times New Roman"/>
          <w:sz w:val="24"/>
          <w:szCs w:val="24"/>
          <w:u w:val="single"/>
        </w:rPr>
        <w:t>Information Users</w:t>
      </w:r>
    </w:p>
    <w:p w:rsidR="00FE5036" w:rsidRDefault="00FE5036" w:rsidP="00FE5036">
      <w:pPr>
        <w:pStyle w:val="BodyText"/>
        <w:spacing w:before="104" w:line="244" w:lineRule="auto"/>
        <w:ind w:left="531" w:right="80"/>
      </w:pPr>
      <w:r>
        <w:t>To qualify for payment of covered CAS procedures, facilities must submit a written affidavit to CMS attesting that the facility has met</w:t>
      </w:r>
      <w:r>
        <w:rPr>
          <w:spacing w:val="-9"/>
        </w:rPr>
        <w:t xml:space="preserve"> </w:t>
      </w:r>
      <w:r>
        <w:t>the</w:t>
      </w:r>
      <w:r>
        <w:rPr>
          <w:spacing w:val="-9"/>
        </w:rPr>
        <w:t xml:space="preserve"> </w:t>
      </w:r>
      <w:r>
        <w:t>minimum</w:t>
      </w:r>
      <w:r>
        <w:rPr>
          <w:spacing w:val="-10"/>
        </w:rPr>
        <w:t xml:space="preserve"> </w:t>
      </w:r>
      <w:r>
        <w:t>facility</w:t>
      </w:r>
      <w:r>
        <w:rPr>
          <w:spacing w:val="-13"/>
        </w:rPr>
        <w:t xml:space="preserve"> </w:t>
      </w:r>
      <w:r>
        <w:t>standards</w:t>
      </w:r>
      <w:r>
        <w:rPr>
          <w:spacing w:val="-9"/>
        </w:rPr>
        <w:t xml:space="preserve"> </w:t>
      </w:r>
      <w:r>
        <w:t>as</w:t>
      </w:r>
      <w:r>
        <w:rPr>
          <w:spacing w:val="-9"/>
        </w:rPr>
        <w:t xml:space="preserve"> </w:t>
      </w:r>
      <w:r>
        <w:t>described</w:t>
      </w:r>
      <w:r>
        <w:rPr>
          <w:spacing w:val="-7"/>
        </w:rPr>
        <w:t xml:space="preserve"> </w:t>
      </w:r>
      <w:r>
        <w:t>in</w:t>
      </w:r>
      <w:r>
        <w:rPr>
          <w:spacing w:val="-7"/>
        </w:rPr>
        <w:t xml:space="preserve"> </w:t>
      </w:r>
      <w:r>
        <w:t>the</w:t>
      </w:r>
      <w:r>
        <w:rPr>
          <w:spacing w:val="-9"/>
        </w:rPr>
        <w:t xml:space="preserve"> </w:t>
      </w:r>
      <w:r>
        <w:t>National</w:t>
      </w:r>
      <w:r>
        <w:rPr>
          <w:spacing w:val="-11"/>
        </w:rPr>
        <w:t xml:space="preserve"> </w:t>
      </w:r>
      <w:r>
        <w:t>Coverage</w:t>
      </w:r>
      <w:r>
        <w:rPr>
          <w:spacing w:val="-9"/>
        </w:rPr>
        <w:t xml:space="preserve"> </w:t>
      </w:r>
      <w:r>
        <w:t>Determination</w:t>
      </w:r>
      <w:r>
        <w:rPr>
          <w:spacing w:val="-7"/>
        </w:rPr>
        <w:t xml:space="preserve"> </w:t>
      </w:r>
      <w:r>
        <w:t>(NCD</w:t>
      </w:r>
      <w:r>
        <w:rPr>
          <w:spacing w:val="-8"/>
        </w:rPr>
        <w:t xml:space="preserve"> </w:t>
      </w:r>
      <w:r>
        <w:t>CAG</w:t>
      </w:r>
      <w:r>
        <w:rPr>
          <w:spacing w:val="-8"/>
        </w:rPr>
        <w:t xml:space="preserve"> </w:t>
      </w:r>
      <w:r>
        <w:t xml:space="preserve"># 00085R). There are other coverage criteria that must be met beyond facility approval, so approval does not guarantee Medicare coverage CMS posts and regularly updates an electronic list of all certified facilities viewable at: </w:t>
      </w:r>
      <w:hyperlink r:id="rId9" w:anchor="TopOfPage">
        <w:r>
          <w:rPr>
            <w:color w:val="0000FF"/>
            <w:u w:val="single" w:color="0000FF"/>
          </w:rPr>
          <w:t xml:space="preserve">http://www.cms.hhs.gov/MedicareApprovedFacilitie/CASF/list.asp#TopOfPage. </w:t>
        </w:r>
      </w:hyperlink>
      <w:r>
        <w:t>A new affidavit is required every two years to ensure that facilities maintain high standards.  Data submissions are required every six months on April 1 and October 1. Beginning October 1, 2015, approved facilities must also sign a Business Associate Privacy Agreement to satisfy HIPAA requirements and compliance. Current agreements are in effect through September 13, 2018. Data submissions and agreements</w:t>
      </w:r>
      <w:r>
        <w:rPr>
          <w:spacing w:val="-10"/>
        </w:rPr>
        <w:t xml:space="preserve"> </w:t>
      </w:r>
      <w:r>
        <w:t>are</w:t>
      </w:r>
      <w:r>
        <w:rPr>
          <w:spacing w:val="-10"/>
        </w:rPr>
        <w:t xml:space="preserve"> </w:t>
      </w:r>
      <w:r>
        <w:t>submitted</w:t>
      </w:r>
      <w:r>
        <w:rPr>
          <w:spacing w:val="-8"/>
        </w:rPr>
        <w:t xml:space="preserve"> </w:t>
      </w:r>
      <w:r>
        <w:t>to</w:t>
      </w:r>
      <w:r>
        <w:rPr>
          <w:spacing w:val="-10"/>
        </w:rPr>
        <w:t xml:space="preserve"> </w:t>
      </w:r>
      <w:r>
        <w:t>and</w:t>
      </w:r>
      <w:r>
        <w:rPr>
          <w:spacing w:val="-8"/>
        </w:rPr>
        <w:t xml:space="preserve"> </w:t>
      </w:r>
      <w:r>
        <w:t>managed</w:t>
      </w:r>
      <w:r>
        <w:rPr>
          <w:spacing w:val="-8"/>
        </w:rPr>
        <w:t xml:space="preserve"> </w:t>
      </w:r>
      <w:r>
        <w:t>by</w:t>
      </w:r>
      <w:r>
        <w:rPr>
          <w:spacing w:val="-14"/>
        </w:rPr>
        <w:t xml:space="preserve"> </w:t>
      </w:r>
      <w:r>
        <w:t>a</w:t>
      </w:r>
      <w:r>
        <w:rPr>
          <w:spacing w:val="-10"/>
        </w:rPr>
        <w:t xml:space="preserve"> </w:t>
      </w:r>
      <w:r>
        <w:t>contractor,</w:t>
      </w:r>
      <w:r>
        <w:rPr>
          <w:spacing w:val="-9"/>
        </w:rPr>
        <w:t xml:space="preserve"> </w:t>
      </w:r>
      <w:r>
        <w:t>Fu</w:t>
      </w:r>
      <w:r>
        <w:rPr>
          <w:spacing w:val="-8"/>
        </w:rPr>
        <w:t xml:space="preserve"> </w:t>
      </w:r>
      <w:r>
        <w:t>Associates.</w:t>
      </w:r>
      <w:r>
        <w:rPr>
          <w:spacing w:val="-9"/>
        </w:rPr>
        <w:t xml:space="preserve"> </w:t>
      </w:r>
      <w:r>
        <w:t>Ltd.</w:t>
      </w:r>
    </w:p>
    <w:p w:rsidR="00FE5036" w:rsidRDefault="00FE5036" w:rsidP="00FE5036">
      <w:pPr>
        <w:pStyle w:val="BodyText"/>
        <w:spacing w:before="104" w:line="244" w:lineRule="auto"/>
        <w:ind w:left="531" w:right="80"/>
      </w:pPr>
    </w:p>
    <w:p w:rsidR="00FE5036" w:rsidRDefault="00FE5036" w:rsidP="00FE5036">
      <w:pPr>
        <w:pStyle w:val="BodyText"/>
        <w:spacing w:before="0" w:line="244" w:lineRule="auto"/>
        <w:ind w:left="531" w:right="80"/>
      </w:pPr>
      <w:r>
        <w:t>There are no forms provided by CMS. Since submitting this revision we have placed a moratorium on the data submission component, however we believe the PRA is still needed as we can restart the requirement should the agency decide to do so. In that case, the data submission spreadsheet and BAA that were submitted as part of this PRA revision would be used.</w:t>
      </w:r>
    </w:p>
    <w:p w:rsidR="00FE5036" w:rsidRDefault="00FE5036" w:rsidP="00FE5036">
      <w:pPr>
        <w:tabs>
          <w:tab w:val="left" w:pos="540"/>
        </w:tabs>
        <w:rPr>
          <w:rFonts w:ascii="Times New Roman" w:hAnsi="Times New Roman" w:cs="Times New Roman"/>
        </w:rPr>
      </w:pPr>
    </w:p>
    <w:p w:rsidR="00FE5036" w:rsidRPr="00FE5036" w:rsidRDefault="00FE5036" w:rsidP="00A1170A">
      <w:pPr>
        <w:pStyle w:val="ListParagraph"/>
        <w:numPr>
          <w:ilvl w:val="0"/>
          <w:numId w:val="2"/>
        </w:numPr>
        <w:tabs>
          <w:tab w:val="left" w:pos="540"/>
        </w:tabs>
        <w:ind w:left="540" w:hanging="540"/>
        <w:rPr>
          <w:rFonts w:ascii="Times New Roman" w:hAnsi="Times New Roman" w:cs="Times New Roman"/>
          <w:sz w:val="24"/>
          <w:szCs w:val="24"/>
          <w:u w:val="single"/>
        </w:rPr>
      </w:pPr>
      <w:r w:rsidRPr="00FE5036">
        <w:rPr>
          <w:rFonts w:ascii="Times New Roman" w:hAnsi="Times New Roman" w:cs="Times New Roman"/>
          <w:sz w:val="24"/>
          <w:szCs w:val="24"/>
          <w:u w:val="single"/>
        </w:rPr>
        <w:t>Use of Information Technology</w:t>
      </w:r>
    </w:p>
    <w:p w:rsidR="00FE5036" w:rsidRDefault="00FE5036" w:rsidP="00FE5036">
      <w:pPr>
        <w:pStyle w:val="BodyText"/>
        <w:spacing w:before="90" w:line="244" w:lineRule="auto"/>
        <w:ind w:left="531" w:right="71"/>
      </w:pPr>
      <w:r>
        <w:t>The written affidavits to CMS attesting that the facility has met the minimum facility standards were submitted to the agency via mail for all currently CMS approved facilities. These affidavits are not included in the burden calculation. The information is being used to support payment to the facility and provider. The agency has used information technology by making a list of all approved facilities available at the website listed above. Business Associate Privacy Agreements are signed and submitted electronically.</w:t>
      </w:r>
    </w:p>
    <w:p w:rsidR="00FE5036" w:rsidRDefault="00FE5036" w:rsidP="00FE5036">
      <w:pPr>
        <w:pStyle w:val="BodyText"/>
        <w:spacing w:before="90" w:line="244" w:lineRule="auto"/>
        <w:ind w:right="71"/>
      </w:pPr>
    </w:p>
    <w:p w:rsidR="00FE5036" w:rsidRPr="00FE5036" w:rsidRDefault="00FE5036" w:rsidP="00A1170A">
      <w:pPr>
        <w:pStyle w:val="BodyText"/>
        <w:numPr>
          <w:ilvl w:val="0"/>
          <w:numId w:val="2"/>
        </w:numPr>
        <w:spacing w:before="90" w:line="244" w:lineRule="auto"/>
        <w:ind w:left="540" w:right="71" w:hanging="540"/>
        <w:rPr>
          <w:sz w:val="24"/>
          <w:szCs w:val="24"/>
          <w:u w:val="single"/>
        </w:rPr>
      </w:pPr>
      <w:r w:rsidRPr="00FE5036">
        <w:rPr>
          <w:sz w:val="24"/>
          <w:szCs w:val="24"/>
          <w:u w:val="single"/>
        </w:rPr>
        <w:t>Duplication of Efforts</w:t>
      </w:r>
    </w:p>
    <w:p w:rsidR="00FE5036" w:rsidRPr="00FE5036" w:rsidRDefault="00FE5036" w:rsidP="00FE5036">
      <w:pPr>
        <w:pStyle w:val="BodyText"/>
        <w:spacing w:before="90"/>
        <w:ind w:left="461" w:right="72"/>
      </w:pPr>
    </w:p>
    <w:p w:rsidR="00FE5036" w:rsidRDefault="00FE5036" w:rsidP="00FE5036">
      <w:pPr>
        <w:pStyle w:val="BodyText"/>
        <w:spacing w:before="0" w:line="245" w:lineRule="auto"/>
        <w:ind w:left="533" w:right="86"/>
      </w:pPr>
      <w:r>
        <w:t>This</w:t>
      </w:r>
      <w:r>
        <w:rPr>
          <w:spacing w:val="-9"/>
        </w:rPr>
        <w:t xml:space="preserve"> </w:t>
      </w:r>
      <w:r>
        <w:t>information</w:t>
      </w:r>
      <w:r>
        <w:rPr>
          <w:spacing w:val="-7"/>
        </w:rPr>
        <w:t xml:space="preserve"> </w:t>
      </w:r>
      <w:r>
        <w:t>collection</w:t>
      </w:r>
      <w:r>
        <w:rPr>
          <w:spacing w:val="-7"/>
        </w:rPr>
        <w:t xml:space="preserve"> </w:t>
      </w:r>
      <w:r>
        <w:t>does</w:t>
      </w:r>
      <w:r>
        <w:rPr>
          <w:spacing w:val="-9"/>
        </w:rPr>
        <w:t xml:space="preserve"> </w:t>
      </w:r>
      <w:r>
        <w:t>not</w:t>
      </w:r>
      <w:r>
        <w:rPr>
          <w:spacing w:val="-9"/>
        </w:rPr>
        <w:t xml:space="preserve"> </w:t>
      </w:r>
      <w:r>
        <w:t>duplicate</w:t>
      </w:r>
      <w:r>
        <w:rPr>
          <w:spacing w:val="-9"/>
        </w:rPr>
        <w:t xml:space="preserve"> </w:t>
      </w:r>
      <w:r>
        <w:t>any</w:t>
      </w:r>
      <w:r>
        <w:rPr>
          <w:spacing w:val="-13"/>
        </w:rPr>
        <w:t xml:space="preserve"> </w:t>
      </w:r>
      <w:r>
        <w:t>other</w:t>
      </w:r>
      <w:r>
        <w:rPr>
          <w:spacing w:val="-9"/>
        </w:rPr>
        <w:t xml:space="preserve"> </w:t>
      </w:r>
      <w:r>
        <w:t>effort</w:t>
      </w:r>
      <w:r>
        <w:rPr>
          <w:spacing w:val="-9"/>
        </w:rPr>
        <w:t xml:space="preserve"> </w:t>
      </w:r>
      <w:r>
        <w:t>and</w:t>
      </w:r>
      <w:r>
        <w:rPr>
          <w:spacing w:val="-7"/>
        </w:rPr>
        <w:t xml:space="preserve"> </w:t>
      </w:r>
      <w:r>
        <w:t>the</w:t>
      </w:r>
      <w:r>
        <w:rPr>
          <w:spacing w:val="-9"/>
        </w:rPr>
        <w:t xml:space="preserve"> </w:t>
      </w:r>
      <w:r>
        <w:t>information</w:t>
      </w:r>
      <w:r>
        <w:rPr>
          <w:spacing w:val="-7"/>
        </w:rPr>
        <w:t xml:space="preserve"> </w:t>
      </w:r>
      <w:r>
        <w:t>cannot</w:t>
      </w:r>
      <w:r>
        <w:rPr>
          <w:spacing w:val="-9"/>
        </w:rPr>
        <w:t xml:space="preserve"> </w:t>
      </w:r>
      <w:r>
        <w:t>be</w:t>
      </w:r>
      <w:r>
        <w:rPr>
          <w:spacing w:val="-9"/>
        </w:rPr>
        <w:t xml:space="preserve"> </w:t>
      </w:r>
      <w:r>
        <w:t>obtained from any other</w:t>
      </w:r>
      <w:r>
        <w:rPr>
          <w:spacing w:val="-36"/>
        </w:rPr>
        <w:t xml:space="preserve"> </w:t>
      </w:r>
      <w:r>
        <w:t>source.</w:t>
      </w:r>
    </w:p>
    <w:p w:rsidR="00FE5036" w:rsidRDefault="00FE5036" w:rsidP="00FE5036">
      <w:pPr>
        <w:pStyle w:val="BodyText"/>
        <w:spacing w:before="0" w:line="245" w:lineRule="auto"/>
        <w:ind w:right="86"/>
      </w:pPr>
    </w:p>
    <w:p w:rsidR="00FE5036" w:rsidRPr="00FE5036" w:rsidRDefault="00FE5036" w:rsidP="00A1170A">
      <w:pPr>
        <w:pStyle w:val="BodyText"/>
        <w:numPr>
          <w:ilvl w:val="0"/>
          <w:numId w:val="2"/>
        </w:numPr>
        <w:spacing w:before="0" w:line="245" w:lineRule="auto"/>
        <w:ind w:left="540" w:right="86" w:hanging="540"/>
        <w:rPr>
          <w:sz w:val="24"/>
          <w:szCs w:val="24"/>
          <w:u w:val="single"/>
        </w:rPr>
      </w:pPr>
      <w:r w:rsidRPr="00FE5036">
        <w:rPr>
          <w:sz w:val="24"/>
          <w:szCs w:val="24"/>
          <w:u w:val="single"/>
        </w:rPr>
        <w:t>Small Businesses</w:t>
      </w:r>
    </w:p>
    <w:p w:rsidR="00FE5036" w:rsidRPr="00FE5036" w:rsidRDefault="00FE5036" w:rsidP="00FE5036">
      <w:pPr>
        <w:pStyle w:val="BodyText"/>
        <w:spacing w:before="90" w:line="244" w:lineRule="auto"/>
        <w:ind w:left="460" w:right="71"/>
        <w:rPr>
          <w:u w:val="single"/>
        </w:rPr>
      </w:pPr>
    </w:p>
    <w:p w:rsidR="00FE5036" w:rsidRDefault="00FE5036" w:rsidP="00FE5036">
      <w:pPr>
        <w:pStyle w:val="BodyText"/>
        <w:spacing w:before="0"/>
        <w:ind w:left="533"/>
      </w:pPr>
      <w:r>
        <w:t>This collection of information does not impact small businesses or other small entities.</w:t>
      </w:r>
    </w:p>
    <w:p w:rsidR="00FE5036" w:rsidRDefault="00FE5036" w:rsidP="00FE5036">
      <w:pPr>
        <w:pStyle w:val="BodyText"/>
        <w:spacing w:before="90"/>
      </w:pPr>
    </w:p>
    <w:p w:rsidR="00FE5036" w:rsidRDefault="00FE5036" w:rsidP="00A1170A">
      <w:pPr>
        <w:pStyle w:val="BodyText"/>
        <w:numPr>
          <w:ilvl w:val="0"/>
          <w:numId w:val="2"/>
        </w:numPr>
        <w:spacing w:before="0"/>
        <w:ind w:left="540" w:hanging="540"/>
        <w:rPr>
          <w:sz w:val="24"/>
          <w:szCs w:val="24"/>
          <w:u w:val="single"/>
        </w:rPr>
      </w:pPr>
      <w:r w:rsidRPr="00FE5036">
        <w:rPr>
          <w:sz w:val="24"/>
          <w:szCs w:val="24"/>
          <w:u w:val="single"/>
        </w:rPr>
        <w:t>Less Frequent Collection</w:t>
      </w:r>
    </w:p>
    <w:p w:rsidR="00FE5036" w:rsidRDefault="00FE5036" w:rsidP="00FE5036">
      <w:pPr>
        <w:pStyle w:val="BodyText"/>
        <w:spacing w:before="90"/>
        <w:rPr>
          <w:sz w:val="24"/>
          <w:szCs w:val="24"/>
          <w:u w:val="single"/>
        </w:rPr>
      </w:pPr>
    </w:p>
    <w:p w:rsidR="00FE5036" w:rsidRDefault="00FE5036" w:rsidP="00FE5036">
      <w:pPr>
        <w:pStyle w:val="BodyText"/>
        <w:spacing w:before="0" w:line="245" w:lineRule="auto"/>
        <w:ind w:left="533" w:right="86"/>
      </w:pPr>
      <w:r>
        <w:t>The</w:t>
      </w:r>
      <w:r>
        <w:rPr>
          <w:spacing w:val="-9"/>
        </w:rPr>
        <w:t xml:space="preserve"> </w:t>
      </w:r>
      <w:r>
        <w:t>collection</w:t>
      </w:r>
      <w:r>
        <w:rPr>
          <w:spacing w:val="-7"/>
        </w:rPr>
        <w:t xml:space="preserve"> </w:t>
      </w:r>
      <w:r>
        <w:t>of</w:t>
      </w:r>
      <w:r>
        <w:rPr>
          <w:spacing w:val="-9"/>
        </w:rPr>
        <w:t xml:space="preserve"> </w:t>
      </w:r>
      <w:r>
        <w:t>this</w:t>
      </w:r>
      <w:r>
        <w:rPr>
          <w:spacing w:val="-9"/>
        </w:rPr>
        <w:t xml:space="preserve"> </w:t>
      </w:r>
      <w:r>
        <w:t>data</w:t>
      </w:r>
      <w:r>
        <w:rPr>
          <w:spacing w:val="-9"/>
        </w:rPr>
        <w:t xml:space="preserve"> </w:t>
      </w:r>
      <w:r>
        <w:t>occurs</w:t>
      </w:r>
      <w:r>
        <w:rPr>
          <w:spacing w:val="-9"/>
        </w:rPr>
        <w:t xml:space="preserve"> </w:t>
      </w:r>
      <w:r>
        <w:t>once</w:t>
      </w:r>
      <w:r>
        <w:rPr>
          <w:spacing w:val="-10"/>
        </w:rPr>
        <w:t xml:space="preserve"> </w:t>
      </w:r>
      <w:r>
        <w:t>every</w:t>
      </w:r>
      <w:r>
        <w:rPr>
          <w:spacing w:val="-13"/>
        </w:rPr>
        <w:t xml:space="preserve"> </w:t>
      </w:r>
      <w:r>
        <w:t>two</w:t>
      </w:r>
      <w:r>
        <w:rPr>
          <w:spacing w:val="-9"/>
        </w:rPr>
        <w:t xml:space="preserve"> </w:t>
      </w:r>
      <w:r>
        <w:t>years</w:t>
      </w:r>
      <w:r>
        <w:rPr>
          <w:spacing w:val="-9"/>
        </w:rPr>
        <w:t xml:space="preserve"> </w:t>
      </w:r>
      <w:r>
        <w:t>(letters)</w:t>
      </w:r>
      <w:r>
        <w:rPr>
          <w:spacing w:val="-9"/>
        </w:rPr>
        <w:t xml:space="preserve"> </w:t>
      </w:r>
      <w:r>
        <w:t>and</w:t>
      </w:r>
      <w:r>
        <w:rPr>
          <w:spacing w:val="-7"/>
        </w:rPr>
        <w:t xml:space="preserve"> </w:t>
      </w:r>
      <w:r>
        <w:t>twice</w:t>
      </w:r>
      <w:r>
        <w:rPr>
          <w:spacing w:val="-9"/>
        </w:rPr>
        <w:t xml:space="preserve"> </w:t>
      </w:r>
      <w:r>
        <w:t>a</w:t>
      </w:r>
      <w:r>
        <w:rPr>
          <w:spacing w:val="-9"/>
        </w:rPr>
        <w:t xml:space="preserve"> </w:t>
      </w:r>
      <w:r>
        <w:t>year</w:t>
      </w:r>
      <w:r>
        <w:rPr>
          <w:spacing w:val="-10"/>
        </w:rPr>
        <w:t xml:space="preserve"> </w:t>
      </w:r>
      <w:r>
        <w:t>(data)</w:t>
      </w:r>
      <w:r>
        <w:rPr>
          <w:spacing w:val="-9"/>
        </w:rPr>
        <w:t xml:space="preserve"> </w:t>
      </w:r>
      <w:r>
        <w:t>for</w:t>
      </w:r>
      <w:r>
        <w:rPr>
          <w:spacing w:val="-9"/>
        </w:rPr>
        <w:t xml:space="preserve"> </w:t>
      </w:r>
      <w:r>
        <w:t>each</w:t>
      </w:r>
      <w:r>
        <w:rPr>
          <w:spacing w:val="-7"/>
        </w:rPr>
        <w:t xml:space="preserve"> </w:t>
      </w:r>
      <w:r>
        <w:t>facility that wants to obtain and maintain certification to perform the procedure on the high risk patient for CEA and be eligible for Medicare coverage. If the information is not collected, CMS cannot meet its responsibility</w:t>
      </w:r>
      <w:r>
        <w:rPr>
          <w:spacing w:val="-15"/>
        </w:rPr>
        <w:t xml:space="preserve"> </w:t>
      </w:r>
      <w:r>
        <w:t>to</w:t>
      </w:r>
      <w:r>
        <w:rPr>
          <w:spacing w:val="-11"/>
        </w:rPr>
        <w:t xml:space="preserve"> </w:t>
      </w:r>
      <w:r>
        <w:t>encourage</w:t>
      </w:r>
      <w:r>
        <w:rPr>
          <w:spacing w:val="-11"/>
        </w:rPr>
        <w:t xml:space="preserve"> </w:t>
      </w:r>
      <w:r>
        <w:t>responsible</w:t>
      </w:r>
      <w:r>
        <w:rPr>
          <w:spacing w:val="-11"/>
        </w:rPr>
        <w:t xml:space="preserve"> </w:t>
      </w:r>
      <w:r>
        <w:t>and</w:t>
      </w:r>
      <w:r>
        <w:rPr>
          <w:spacing w:val="-9"/>
        </w:rPr>
        <w:t xml:space="preserve"> </w:t>
      </w:r>
      <w:r>
        <w:t>appropriate</w:t>
      </w:r>
      <w:r>
        <w:rPr>
          <w:spacing w:val="-11"/>
        </w:rPr>
        <w:t xml:space="preserve"> </w:t>
      </w:r>
      <w:r>
        <w:t>use</w:t>
      </w:r>
      <w:r>
        <w:rPr>
          <w:spacing w:val="-11"/>
        </w:rPr>
        <w:t xml:space="preserve"> </w:t>
      </w:r>
      <w:r>
        <w:t>of</w:t>
      </w:r>
      <w:r>
        <w:rPr>
          <w:spacing w:val="-11"/>
        </w:rPr>
        <w:t xml:space="preserve"> </w:t>
      </w:r>
      <w:r>
        <w:t>CAS</w:t>
      </w:r>
      <w:r>
        <w:rPr>
          <w:spacing w:val="-9"/>
        </w:rPr>
        <w:t xml:space="preserve"> </w:t>
      </w:r>
      <w:r>
        <w:t>with</w:t>
      </w:r>
      <w:r>
        <w:rPr>
          <w:spacing w:val="-9"/>
        </w:rPr>
        <w:t xml:space="preserve"> </w:t>
      </w:r>
      <w:r>
        <w:t>embolic</w:t>
      </w:r>
      <w:r>
        <w:rPr>
          <w:spacing w:val="-11"/>
        </w:rPr>
        <w:t xml:space="preserve"> </w:t>
      </w:r>
      <w:r>
        <w:t xml:space="preserve">protection, which could result in CAS procedures being performed in facilities without sufficient </w:t>
      </w:r>
      <w:r w:rsidRPr="00103143">
        <w:lastRenderedPageBreak/>
        <w:t>equipment, device inventory, staffing</w:t>
      </w:r>
      <w:r>
        <w:t xml:space="preserve">, infrastructure and capabilities necessary to properly and safely provide these services to Medicare beneficiaries and to document and analyze patient outcomes. </w:t>
      </w:r>
    </w:p>
    <w:p w:rsidR="00FE5036" w:rsidRDefault="00FE5036" w:rsidP="00FE5036">
      <w:pPr>
        <w:pStyle w:val="BodyText"/>
        <w:spacing w:before="0" w:line="244" w:lineRule="auto"/>
        <w:ind w:left="532" w:right="80"/>
      </w:pPr>
    </w:p>
    <w:p w:rsidR="00FE5036" w:rsidRDefault="00FE5036" w:rsidP="00FE5036">
      <w:pPr>
        <w:pStyle w:val="BodyText"/>
        <w:spacing w:before="0" w:line="244" w:lineRule="auto"/>
        <w:ind w:left="532" w:right="80"/>
      </w:pPr>
      <w:r>
        <w:t>Beginning</w:t>
      </w:r>
      <w:r>
        <w:rPr>
          <w:spacing w:val="-8"/>
        </w:rPr>
        <w:t xml:space="preserve"> </w:t>
      </w:r>
      <w:r>
        <w:t>October</w:t>
      </w:r>
      <w:r>
        <w:rPr>
          <w:spacing w:val="-8"/>
        </w:rPr>
        <w:t xml:space="preserve"> </w:t>
      </w:r>
      <w:r>
        <w:t>1,</w:t>
      </w:r>
      <w:r>
        <w:rPr>
          <w:spacing w:val="-7"/>
        </w:rPr>
        <w:t xml:space="preserve"> </w:t>
      </w:r>
      <w:r>
        <w:t>2015,</w:t>
      </w:r>
      <w:r>
        <w:rPr>
          <w:spacing w:val="-7"/>
        </w:rPr>
        <w:t xml:space="preserve"> </w:t>
      </w:r>
      <w:r>
        <w:t>the</w:t>
      </w:r>
      <w:r>
        <w:rPr>
          <w:spacing w:val="-8"/>
        </w:rPr>
        <w:t xml:space="preserve"> </w:t>
      </w:r>
      <w:r>
        <w:t>Business</w:t>
      </w:r>
      <w:r>
        <w:rPr>
          <w:spacing w:val="-8"/>
        </w:rPr>
        <w:t xml:space="preserve"> </w:t>
      </w:r>
      <w:r>
        <w:t>Associate</w:t>
      </w:r>
      <w:r>
        <w:rPr>
          <w:spacing w:val="-8"/>
        </w:rPr>
        <w:t xml:space="preserve"> </w:t>
      </w:r>
      <w:r>
        <w:t>Privacy</w:t>
      </w:r>
      <w:r>
        <w:rPr>
          <w:spacing w:val="-13"/>
        </w:rPr>
        <w:t xml:space="preserve"> </w:t>
      </w:r>
      <w:r>
        <w:t>Agreement</w:t>
      </w:r>
      <w:r>
        <w:rPr>
          <w:spacing w:val="-8"/>
        </w:rPr>
        <w:t xml:space="preserve"> </w:t>
      </w:r>
      <w:r>
        <w:t>must</w:t>
      </w:r>
      <w:r>
        <w:rPr>
          <w:spacing w:val="-8"/>
        </w:rPr>
        <w:t xml:space="preserve"> </w:t>
      </w:r>
      <w:r>
        <w:t>be</w:t>
      </w:r>
      <w:r>
        <w:rPr>
          <w:spacing w:val="-8"/>
        </w:rPr>
        <w:t xml:space="preserve"> </w:t>
      </w:r>
      <w:r>
        <w:t>signed</w:t>
      </w:r>
      <w:r>
        <w:rPr>
          <w:spacing w:val="-7"/>
        </w:rPr>
        <w:t xml:space="preserve"> </w:t>
      </w:r>
      <w:r>
        <w:t>once</w:t>
      </w:r>
      <w:r>
        <w:rPr>
          <w:spacing w:val="-8"/>
        </w:rPr>
        <w:t xml:space="preserve"> </w:t>
      </w:r>
      <w:r>
        <w:t>every</w:t>
      </w:r>
      <w:r>
        <w:rPr>
          <w:spacing w:val="-13"/>
        </w:rPr>
        <w:t xml:space="preserve"> </w:t>
      </w:r>
      <w:r>
        <w:t>three years.</w:t>
      </w:r>
    </w:p>
    <w:p w:rsidR="00FE5036" w:rsidRDefault="00FE5036" w:rsidP="00FE5036">
      <w:pPr>
        <w:pStyle w:val="BodyText"/>
        <w:spacing w:before="90"/>
        <w:rPr>
          <w:sz w:val="24"/>
          <w:szCs w:val="24"/>
          <w:u w:val="single"/>
        </w:rPr>
      </w:pPr>
    </w:p>
    <w:p w:rsidR="00FE5036" w:rsidRPr="00FE5036" w:rsidRDefault="00FE5036" w:rsidP="00A1170A">
      <w:pPr>
        <w:pStyle w:val="BodyText"/>
        <w:numPr>
          <w:ilvl w:val="0"/>
          <w:numId w:val="2"/>
        </w:numPr>
        <w:spacing w:before="0"/>
        <w:ind w:left="540" w:hanging="540"/>
        <w:rPr>
          <w:sz w:val="24"/>
          <w:szCs w:val="24"/>
          <w:u w:val="single"/>
        </w:rPr>
      </w:pPr>
      <w:r>
        <w:rPr>
          <w:sz w:val="24"/>
          <w:szCs w:val="24"/>
          <w:u w:val="single"/>
        </w:rPr>
        <w:t>Special Circumstances</w:t>
      </w:r>
    </w:p>
    <w:p w:rsidR="00FE5036" w:rsidRPr="00FE5036" w:rsidRDefault="00FE5036" w:rsidP="00FE5036">
      <w:pPr>
        <w:pStyle w:val="BodyText"/>
        <w:spacing w:before="90"/>
        <w:ind w:left="100"/>
      </w:pPr>
    </w:p>
    <w:p w:rsidR="00FE5036" w:rsidRDefault="00FE5036" w:rsidP="00FE5036">
      <w:pPr>
        <w:pStyle w:val="BodyText"/>
        <w:spacing w:before="0"/>
        <w:ind w:left="533"/>
      </w:pPr>
      <w:r>
        <w:t>There are no special circumstances.</w:t>
      </w:r>
    </w:p>
    <w:p w:rsidR="00FE5036" w:rsidRDefault="00FE5036" w:rsidP="00FE5036">
      <w:pPr>
        <w:pStyle w:val="BodyText"/>
        <w:spacing w:before="0"/>
      </w:pPr>
    </w:p>
    <w:p w:rsidR="00FE5036" w:rsidRPr="00FE5036" w:rsidRDefault="00FE5036" w:rsidP="00A1170A">
      <w:pPr>
        <w:pStyle w:val="BodyText"/>
        <w:numPr>
          <w:ilvl w:val="0"/>
          <w:numId w:val="2"/>
        </w:numPr>
        <w:spacing w:before="0"/>
        <w:ind w:left="540" w:hanging="540"/>
        <w:rPr>
          <w:sz w:val="24"/>
          <w:szCs w:val="24"/>
          <w:u w:val="single"/>
        </w:rPr>
      </w:pPr>
      <w:r w:rsidRPr="00FE5036">
        <w:rPr>
          <w:sz w:val="24"/>
          <w:szCs w:val="24"/>
          <w:u w:val="single"/>
        </w:rPr>
        <w:t>Federal Register/Outside Consultation</w:t>
      </w:r>
    </w:p>
    <w:p w:rsidR="00FE5036" w:rsidRDefault="00FE5036" w:rsidP="00FE5036">
      <w:pPr>
        <w:pStyle w:val="BodyText"/>
        <w:spacing w:before="0"/>
        <w:ind w:left="460"/>
        <w:rPr>
          <w:sz w:val="24"/>
          <w:szCs w:val="24"/>
        </w:rPr>
      </w:pPr>
    </w:p>
    <w:p w:rsidR="00FE5036" w:rsidRPr="00A1170A" w:rsidRDefault="00FE5036" w:rsidP="00A1170A">
      <w:pPr>
        <w:spacing w:after="0"/>
        <w:ind w:left="533" w:right="936"/>
        <w:rPr>
          <w:rFonts w:ascii="Times New Roman" w:hAnsi="Times New Roman" w:cs="Times New Roman"/>
        </w:rPr>
      </w:pPr>
      <w:r w:rsidRPr="00A1170A">
        <w:rPr>
          <w:rFonts w:ascii="Times New Roman" w:hAnsi="Times New Roman" w:cs="Times New Roman"/>
        </w:rPr>
        <w:t xml:space="preserve">The 60-day Federal Register notice for this collection published on February 17, 2017 (82 FR 11040).  There were no public comments.  </w:t>
      </w:r>
    </w:p>
    <w:p w:rsidR="00FE5036" w:rsidRPr="00A1170A" w:rsidRDefault="00FE5036" w:rsidP="00A1170A">
      <w:pPr>
        <w:spacing w:after="0"/>
        <w:ind w:left="533" w:right="936"/>
        <w:rPr>
          <w:rFonts w:ascii="Times New Roman" w:hAnsi="Times New Roman" w:cs="Times New Roman"/>
        </w:rPr>
      </w:pPr>
    </w:p>
    <w:p w:rsidR="00FE5036" w:rsidRPr="00A1170A" w:rsidRDefault="00FE5036" w:rsidP="00A1170A">
      <w:pPr>
        <w:spacing w:after="0"/>
        <w:ind w:left="533" w:right="936"/>
        <w:rPr>
          <w:rFonts w:ascii="Times New Roman" w:hAnsi="Times New Roman" w:cs="Times New Roman"/>
        </w:rPr>
      </w:pPr>
      <w:r w:rsidRPr="00A1170A">
        <w:rPr>
          <w:rFonts w:ascii="Times New Roman" w:hAnsi="Times New Roman" w:cs="Times New Roman"/>
        </w:rPr>
        <w:t>The 30-day Federal Register notice published on April 28, 2017 (82 FR 19734). There were no public comments.</w:t>
      </w:r>
    </w:p>
    <w:p w:rsidR="00FE5036" w:rsidRPr="00A1170A" w:rsidRDefault="00FE5036" w:rsidP="00A1170A">
      <w:pPr>
        <w:spacing w:after="0"/>
        <w:ind w:left="533" w:right="931"/>
        <w:rPr>
          <w:rFonts w:ascii="Times New Roman" w:hAnsi="Times New Roman" w:cs="Times New Roman"/>
        </w:rPr>
      </w:pPr>
    </w:p>
    <w:p w:rsidR="00FE5036" w:rsidRDefault="00FE5036" w:rsidP="00A1170A">
      <w:pPr>
        <w:spacing w:after="0" w:line="247" w:lineRule="auto"/>
        <w:ind w:left="533" w:right="71"/>
        <w:rPr>
          <w:rFonts w:ascii="Times New Roman" w:hAnsi="Times New Roman" w:cs="Times New Roman"/>
        </w:rPr>
      </w:pPr>
      <w:r w:rsidRPr="00A1170A">
        <w:rPr>
          <w:rFonts w:ascii="Times New Roman" w:hAnsi="Times New Roman" w:cs="Times New Roman"/>
        </w:rPr>
        <w:t>The NCD was opened on June 18, 2004. During the period between opening and closing the NCD, CMS met with representatives from the device manufacturers and professional provider societies to discuss facility experience requirements, physician training programs, and appropriate patient selection criteria in relation to CAS.  CMS convened a town hall meeting on August 17, 2004 in Baltimore where these issues were discussed and the attendees were representative of the medical device industry, FDA and physician professional societies. The list of minimum standards for facilities was modeled in part on professional society statements on competency.</w:t>
      </w:r>
    </w:p>
    <w:p w:rsidR="00A1170A" w:rsidRDefault="00A1170A" w:rsidP="00A1170A">
      <w:pPr>
        <w:spacing w:after="0" w:line="247" w:lineRule="auto"/>
        <w:ind w:right="71"/>
        <w:rPr>
          <w:rFonts w:ascii="Times New Roman" w:hAnsi="Times New Roman" w:cs="Times New Roman"/>
        </w:rPr>
      </w:pPr>
    </w:p>
    <w:p w:rsidR="00A1170A" w:rsidRDefault="00A1170A" w:rsidP="00A1170A">
      <w:pPr>
        <w:pStyle w:val="ListParagraph"/>
        <w:numPr>
          <w:ilvl w:val="0"/>
          <w:numId w:val="2"/>
        </w:numPr>
        <w:spacing w:after="0" w:line="247" w:lineRule="auto"/>
        <w:ind w:left="540" w:right="71" w:hanging="540"/>
        <w:rPr>
          <w:rFonts w:ascii="Times New Roman" w:hAnsi="Times New Roman" w:cs="Times New Roman"/>
          <w:sz w:val="24"/>
          <w:szCs w:val="24"/>
          <w:u w:val="single"/>
        </w:rPr>
      </w:pPr>
      <w:r w:rsidRPr="00A1170A">
        <w:rPr>
          <w:rFonts w:ascii="Times New Roman" w:hAnsi="Times New Roman" w:cs="Times New Roman"/>
          <w:sz w:val="24"/>
          <w:szCs w:val="24"/>
          <w:u w:val="single"/>
        </w:rPr>
        <w:t>Payments/Gifts to Respondents</w:t>
      </w:r>
    </w:p>
    <w:p w:rsidR="00A1170A" w:rsidRDefault="00A1170A" w:rsidP="00A1170A">
      <w:pPr>
        <w:spacing w:after="0" w:line="247" w:lineRule="auto"/>
        <w:ind w:right="71"/>
        <w:rPr>
          <w:rFonts w:ascii="Times New Roman" w:hAnsi="Times New Roman" w:cs="Times New Roman"/>
          <w:sz w:val="24"/>
          <w:szCs w:val="24"/>
          <w:u w:val="single"/>
        </w:rPr>
      </w:pPr>
    </w:p>
    <w:p w:rsidR="00A1170A" w:rsidRDefault="00A1170A" w:rsidP="00A1170A">
      <w:pPr>
        <w:pStyle w:val="BodyText"/>
        <w:spacing w:before="0"/>
        <w:ind w:left="533"/>
      </w:pPr>
      <w:r>
        <w:t>No payment or gift will be provided to respondents.</w:t>
      </w:r>
    </w:p>
    <w:p w:rsidR="00A1170A" w:rsidRDefault="00A1170A" w:rsidP="00A1170A">
      <w:pPr>
        <w:pStyle w:val="BodyText"/>
        <w:spacing w:before="0"/>
      </w:pPr>
    </w:p>
    <w:p w:rsidR="00A1170A" w:rsidRPr="00A1170A" w:rsidRDefault="00A1170A" w:rsidP="00A1170A">
      <w:pPr>
        <w:pStyle w:val="BodyText"/>
        <w:numPr>
          <w:ilvl w:val="0"/>
          <w:numId w:val="2"/>
        </w:numPr>
        <w:spacing w:before="0"/>
        <w:ind w:left="540" w:hanging="540"/>
        <w:rPr>
          <w:sz w:val="24"/>
          <w:szCs w:val="24"/>
          <w:u w:val="single"/>
        </w:rPr>
      </w:pPr>
      <w:r w:rsidRPr="00A1170A">
        <w:rPr>
          <w:sz w:val="24"/>
          <w:szCs w:val="24"/>
          <w:u w:val="single"/>
        </w:rPr>
        <w:t>Confidentiality</w:t>
      </w:r>
    </w:p>
    <w:p w:rsidR="00A1170A" w:rsidRDefault="00A1170A" w:rsidP="00A1170A">
      <w:pPr>
        <w:pStyle w:val="BodyText"/>
        <w:spacing w:before="0"/>
        <w:rPr>
          <w:sz w:val="24"/>
          <w:szCs w:val="24"/>
        </w:rPr>
      </w:pPr>
    </w:p>
    <w:p w:rsidR="00A1170A" w:rsidRDefault="00A1170A" w:rsidP="00A1170A">
      <w:pPr>
        <w:pStyle w:val="BodyText"/>
        <w:spacing w:before="0" w:line="244" w:lineRule="auto"/>
        <w:ind w:left="531" w:right="80"/>
      </w:pPr>
      <w:r>
        <w:t>Data</w:t>
      </w:r>
      <w:r>
        <w:rPr>
          <w:spacing w:val="-9"/>
        </w:rPr>
        <w:t xml:space="preserve"> </w:t>
      </w:r>
      <w:r>
        <w:t>are</w:t>
      </w:r>
      <w:r>
        <w:rPr>
          <w:spacing w:val="-9"/>
        </w:rPr>
        <w:t xml:space="preserve"> </w:t>
      </w:r>
      <w:r>
        <w:t>submitted</w:t>
      </w:r>
      <w:r>
        <w:rPr>
          <w:spacing w:val="-7"/>
        </w:rPr>
        <w:t xml:space="preserve"> </w:t>
      </w:r>
      <w:r>
        <w:t>twice</w:t>
      </w:r>
      <w:r>
        <w:rPr>
          <w:spacing w:val="-9"/>
        </w:rPr>
        <w:t xml:space="preserve"> </w:t>
      </w:r>
      <w:r>
        <w:t>a</w:t>
      </w:r>
      <w:r>
        <w:rPr>
          <w:spacing w:val="-9"/>
        </w:rPr>
        <w:t xml:space="preserve"> </w:t>
      </w:r>
      <w:r>
        <w:t>year</w:t>
      </w:r>
      <w:r>
        <w:rPr>
          <w:spacing w:val="-9"/>
        </w:rPr>
        <w:t xml:space="preserve"> </w:t>
      </w:r>
      <w:r>
        <w:t>via</w:t>
      </w:r>
      <w:r>
        <w:rPr>
          <w:spacing w:val="-9"/>
        </w:rPr>
        <w:t xml:space="preserve"> </w:t>
      </w:r>
      <w:r>
        <w:t>encrypted</w:t>
      </w:r>
      <w:r>
        <w:rPr>
          <w:spacing w:val="-7"/>
        </w:rPr>
        <w:t xml:space="preserve"> </w:t>
      </w:r>
      <w:r>
        <w:t>CD</w:t>
      </w:r>
      <w:r>
        <w:rPr>
          <w:spacing w:val="-8"/>
        </w:rPr>
        <w:t xml:space="preserve"> </w:t>
      </w:r>
      <w:r>
        <w:t>in</w:t>
      </w:r>
      <w:r>
        <w:rPr>
          <w:spacing w:val="-7"/>
        </w:rPr>
        <w:t xml:space="preserve"> </w:t>
      </w:r>
      <w:r>
        <w:t>spreadsheet</w:t>
      </w:r>
      <w:r>
        <w:rPr>
          <w:spacing w:val="-9"/>
        </w:rPr>
        <w:t xml:space="preserve"> </w:t>
      </w:r>
      <w:r>
        <w:t>format</w:t>
      </w:r>
      <w:r>
        <w:rPr>
          <w:spacing w:val="-9"/>
        </w:rPr>
        <w:t xml:space="preserve"> </w:t>
      </w:r>
      <w:r>
        <w:t>to</w:t>
      </w:r>
      <w:r>
        <w:rPr>
          <w:spacing w:val="-9"/>
        </w:rPr>
        <w:t xml:space="preserve"> </w:t>
      </w:r>
      <w:r>
        <w:t>a</w:t>
      </w:r>
      <w:r>
        <w:rPr>
          <w:spacing w:val="-9"/>
        </w:rPr>
        <w:t xml:space="preserve"> </w:t>
      </w:r>
      <w:r>
        <w:t>contractor,</w:t>
      </w:r>
      <w:r>
        <w:rPr>
          <w:spacing w:val="-8"/>
        </w:rPr>
        <w:t xml:space="preserve"> </w:t>
      </w:r>
      <w:r>
        <w:t>Fu</w:t>
      </w:r>
      <w:r>
        <w:rPr>
          <w:spacing w:val="-7"/>
        </w:rPr>
        <w:t xml:space="preserve"> </w:t>
      </w:r>
      <w:r>
        <w:t>Associates, Ltd. In addition to managing data submissions, Fu Associates, Ltd. manages Business Associate Privacy</w:t>
      </w:r>
      <w:r>
        <w:rPr>
          <w:spacing w:val="-15"/>
        </w:rPr>
        <w:t xml:space="preserve"> </w:t>
      </w:r>
      <w:r>
        <w:t>Agreements</w:t>
      </w:r>
      <w:r>
        <w:rPr>
          <w:spacing w:val="-11"/>
        </w:rPr>
        <w:t xml:space="preserve"> </w:t>
      </w:r>
      <w:r>
        <w:t>with</w:t>
      </w:r>
      <w:r>
        <w:rPr>
          <w:spacing w:val="-9"/>
        </w:rPr>
        <w:t xml:space="preserve"> </w:t>
      </w:r>
      <w:r>
        <w:t>approved</w:t>
      </w:r>
      <w:r>
        <w:rPr>
          <w:spacing w:val="-9"/>
        </w:rPr>
        <w:t xml:space="preserve"> </w:t>
      </w:r>
      <w:r>
        <w:t>CAS</w:t>
      </w:r>
      <w:r>
        <w:rPr>
          <w:spacing w:val="-9"/>
        </w:rPr>
        <w:t xml:space="preserve"> </w:t>
      </w:r>
      <w:r>
        <w:t>facilities</w:t>
      </w:r>
      <w:r>
        <w:rPr>
          <w:spacing w:val="-11"/>
        </w:rPr>
        <w:t xml:space="preserve"> </w:t>
      </w:r>
      <w:r>
        <w:t>which</w:t>
      </w:r>
      <w:r>
        <w:rPr>
          <w:spacing w:val="-9"/>
        </w:rPr>
        <w:t xml:space="preserve"> </w:t>
      </w:r>
      <w:r>
        <w:t>must</w:t>
      </w:r>
      <w:r>
        <w:rPr>
          <w:spacing w:val="-11"/>
        </w:rPr>
        <w:t xml:space="preserve"> </w:t>
      </w:r>
      <w:r>
        <w:t>be</w:t>
      </w:r>
      <w:r>
        <w:rPr>
          <w:spacing w:val="-11"/>
        </w:rPr>
        <w:t xml:space="preserve"> </w:t>
      </w:r>
      <w:r>
        <w:t>signed</w:t>
      </w:r>
      <w:r>
        <w:rPr>
          <w:spacing w:val="-9"/>
        </w:rPr>
        <w:t xml:space="preserve"> </w:t>
      </w:r>
      <w:r>
        <w:t>every</w:t>
      </w:r>
      <w:r>
        <w:rPr>
          <w:spacing w:val="-15"/>
        </w:rPr>
        <w:t xml:space="preserve"> </w:t>
      </w:r>
      <w:r>
        <w:t>three</w:t>
      </w:r>
      <w:r>
        <w:rPr>
          <w:spacing w:val="-11"/>
        </w:rPr>
        <w:t xml:space="preserve"> </w:t>
      </w:r>
      <w:r>
        <w:t>years.</w:t>
      </w:r>
    </w:p>
    <w:p w:rsidR="00A1170A" w:rsidRPr="00A1170A" w:rsidRDefault="00A1170A" w:rsidP="00A1170A">
      <w:pPr>
        <w:pStyle w:val="BodyText"/>
        <w:spacing w:before="0"/>
      </w:pPr>
    </w:p>
    <w:p w:rsidR="00A1170A" w:rsidRDefault="00A1170A" w:rsidP="00A1170A">
      <w:pPr>
        <w:pStyle w:val="BodyText"/>
        <w:spacing w:before="0" w:line="244" w:lineRule="auto"/>
        <w:ind w:left="531" w:right="552"/>
        <w:jc w:val="both"/>
      </w:pPr>
      <w:r>
        <w:t>CMS</w:t>
      </w:r>
      <w:r>
        <w:rPr>
          <w:spacing w:val="-7"/>
        </w:rPr>
        <w:t xml:space="preserve"> </w:t>
      </w:r>
      <w:r>
        <w:t>shall</w:t>
      </w:r>
      <w:r>
        <w:rPr>
          <w:spacing w:val="-9"/>
        </w:rPr>
        <w:t xml:space="preserve"> </w:t>
      </w:r>
      <w:r>
        <w:t>be</w:t>
      </w:r>
      <w:r>
        <w:rPr>
          <w:spacing w:val="-9"/>
        </w:rPr>
        <w:t xml:space="preserve"> </w:t>
      </w:r>
      <w:r>
        <w:t>assured</w:t>
      </w:r>
      <w:r>
        <w:rPr>
          <w:spacing w:val="-7"/>
        </w:rPr>
        <w:t xml:space="preserve"> </w:t>
      </w:r>
      <w:r>
        <w:t>that</w:t>
      </w:r>
      <w:r>
        <w:rPr>
          <w:spacing w:val="-9"/>
        </w:rPr>
        <w:t xml:space="preserve"> </w:t>
      </w:r>
      <w:r>
        <w:t>all</w:t>
      </w:r>
      <w:r>
        <w:rPr>
          <w:spacing w:val="-9"/>
        </w:rPr>
        <w:t xml:space="preserve"> </w:t>
      </w:r>
      <w:r>
        <w:t>applicable</w:t>
      </w:r>
      <w:r>
        <w:rPr>
          <w:spacing w:val="-9"/>
        </w:rPr>
        <w:t xml:space="preserve"> </w:t>
      </w:r>
      <w:r>
        <w:t>patient</w:t>
      </w:r>
      <w:r>
        <w:rPr>
          <w:spacing w:val="-9"/>
        </w:rPr>
        <w:t xml:space="preserve"> </w:t>
      </w:r>
      <w:r>
        <w:t>confidentiality,</w:t>
      </w:r>
      <w:r>
        <w:rPr>
          <w:spacing w:val="-8"/>
        </w:rPr>
        <w:t xml:space="preserve"> </w:t>
      </w:r>
      <w:r>
        <w:t>privacy,</w:t>
      </w:r>
      <w:r>
        <w:rPr>
          <w:spacing w:val="-8"/>
        </w:rPr>
        <w:t xml:space="preserve"> </w:t>
      </w:r>
      <w:r>
        <w:t>and</w:t>
      </w:r>
      <w:r>
        <w:rPr>
          <w:spacing w:val="-7"/>
        </w:rPr>
        <w:t xml:space="preserve"> </w:t>
      </w:r>
      <w:r>
        <w:t>other</w:t>
      </w:r>
      <w:r>
        <w:rPr>
          <w:spacing w:val="-9"/>
        </w:rPr>
        <w:t xml:space="preserve"> </w:t>
      </w:r>
      <w:r>
        <w:t>Federal</w:t>
      </w:r>
      <w:r>
        <w:rPr>
          <w:spacing w:val="-9"/>
        </w:rPr>
        <w:t xml:space="preserve"> </w:t>
      </w:r>
      <w:r>
        <w:t>laws</w:t>
      </w:r>
      <w:r>
        <w:rPr>
          <w:spacing w:val="-9"/>
        </w:rPr>
        <w:t xml:space="preserve"> </w:t>
      </w:r>
      <w:r>
        <w:t>are complied</w:t>
      </w:r>
      <w:r>
        <w:rPr>
          <w:spacing w:val="-9"/>
        </w:rPr>
        <w:t xml:space="preserve"> </w:t>
      </w:r>
      <w:r>
        <w:t>with,</w:t>
      </w:r>
      <w:r>
        <w:rPr>
          <w:spacing w:val="-10"/>
        </w:rPr>
        <w:t xml:space="preserve"> </w:t>
      </w:r>
      <w:r>
        <w:t>including</w:t>
      </w:r>
      <w:r>
        <w:rPr>
          <w:spacing w:val="-10"/>
        </w:rPr>
        <w:t xml:space="preserve"> </w:t>
      </w:r>
      <w:r>
        <w:t>the</w:t>
      </w:r>
      <w:r>
        <w:rPr>
          <w:spacing w:val="-10"/>
        </w:rPr>
        <w:t xml:space="preserve"> </w:t>
      </w:r>
      <w:r>
        <w:t>Standards</w:t>
      </w:r>
      <w:r>
        <w:rPr>
          <w:spacing w:val="-10"/>
        </w:rPr>
        <w:t xml:space="preserve"> </w:t>
      </w:r>
      <w:r>
        <w:t>for</w:t>
      </w:r>
      <w:r>
        <w:rPr>
          <w:spacing w:val="-10"/>
        </w:rPr>
        <w:t xml:space="preserve"> </w:t>
      </w:r>
      <w:r>
        <w:t>Privacy</w:t>
      </w:r>
      <w:r>
        <w:rPr>
          <w:spacing w:val="-15"/>
        </w:rPr>
        <w:t xml:space="preserve"> </w:t>
      </w:r>
      <w:r>
        <w:t>of</w:t>
      </w:r>
      <w:r>
        <w:rPr>
          <w:spacing w:val="-11"/>
        </w:rPr>
        <w:t xml:space="preserve"> </w:t>
      </w:r>
      <w:r>
        <w:t>Individually</w:t>
      </w:r>
      <w:r>
        <w:rPr>
          <w:spacing w:val="-15"/>
        </w:rPr>
        <w:t xml:space="preserve"> </w:t>
      </w:r>
      <w:r>
        <w:t>Identifiable</w:t>
      </w:r>
      <w:r>
        <w:rPr>
          <w:spacing w:val="-10"/>
        </w:rPr>
        <w:t xml:space="preserve"> </w:t>
      </w:r>
      <w:r>
        <w:t>Health</w:t>
      </w:r>
      <w:r>
        <w:rPr>
          <w:spacing w:val="-9"/>
        </w:rPr>
        <w:t xml:space="preserve"> </w:t>
      </w:r>
      <w:r>
        <w:t>Information (Privacy</w:t>
      </w:r>
      <w:r>
        <w:rPr>
          <w:spacing w:val="-15"/>
        </w:rPr>
        <w:t xml:space="preserve"> </w:t>
      </w:r>
      <w:r>
        <w:t>Rule).</w:t>
      </w:r>
      <w:r>
        <w:rPr>
          <w:spacing w:val="-11"/>
        </w:rPr>
        <w:t xml:space="preserve"> </w:t>
      </w:r>
      <w:r>
        <w:t>The</w:t>
      </w:r>
      <w:r>
        <w:rPr>
          <w:spacing w:val="-11"/>
        </w:rPr>
        <w:t xml:space="preserve"> </w:t>
      </w:r>
      <w:r>
        <w:t>Business</w:t>
      </w:r>
      <w:r>
        <w:rPr>
          <w:spacing w:val="-11"/>
        </w:rPr>
        <w:t xml:space="preserve"> </w:t>
      </w:r>
      <w:r>
        <w:t>Associate</w:t>
      </w:r>
      <w:r>
        <w:rPr>
          <w:spacing w:val="-11"/>
        </w:rPr>
        <w:t xml:space="preserve"> </w:t>
      </w:r>
      <w:r>
        <w:t>Privacy</w:t>
      </w:r>
      <w:r>
        <w:rPr>
          <w:spacing w:val="-15"/>
        </w:rPr>
        <w:t xml:space="preserve"> </w:t>
      </w:r>
      <w:r>
        <w:t>Agreement</w:t>
      </w:r>
      <w:r>
        <w:rPr>
          <w:spacing w:val="-11"/>
        </w:rPr>
        <w:t xml:space="preserve"> </w:t>
      </w:r>
      <w:r>
        <w:t>ensures</w:t>
      </w:r>
      <w:r>
        <w:rPr>
          <w:spacing w:val="-11"/>
        </w:rPr>
        <w:t xml:space="preserve"> </w:t>
      </w:r>
      <w:r>
        <w:t>HIPAA</w:t>
      </w:r>
      <w:r>
        <w:rPr>
          <w:spacing w:val="-11"/>
        </w:rPr>
        <w:t xml:space="preserve"> </w:t>
      </w:r>
      <w:r>
        <w:t>requirements</w:t>
      </w:r>
      <w:r>
        <w:rPr>
          <w:spacing w:val="-11"/>
        </w:rPr>
        <w:t xml:space="preserve"> </w:t>
      </w:r>
      <w:r>
        <w:t>are</w:t>
      </w:r>
      <w:r>
        <w:rPr>
          <w:spacing w:val="-11"/>
        </w:rPr>
        <w:t xml:space="preserve"> </w:t>
      </w:r>
      <w:r>
        <w:t>met.</w:t>
      </w:r>
    </w:p>
    <w:p w:rsidR="00A1170A" w:rsidRDefault="00A1170A" w:rsidP="00A1170A">
      <w:pPr>
        <w:pStyle w:val="BodyText"/>
        <w:spacing w:before="0" w:line="244" w:lineRule="auto"/>
        <w:ind w:right="552"/>
        <w:jc w:val="both"/>
      </w:pPr>
    </w:p>
    <w:p w:rsidR="00A1170A" w:rsidRDefault="00A1170A" w:rsidP="00A1170A">
      <w:pPr>
        <w:pStyle w:val="BodyText"/>
        <w:numPr>
          <w:ilvl w:val="0"/>
          <w:numId w:val="2"/>
        </w:numPr>
        <w:spacing w:before="0" w:line="244" w:lineRule="auto"/>
        <w:ind w:left="540" w:right="552" w:hanging="540"/>
        <w:jc w:val="both"/>
        <w:rPr>
          <w:sz w:val="24"/>
          <w:szCs w:val="24"/>
          <w:u w:val="single"/>
        </w:rPr>
      </w:pPr>
      <w:r w:rsidRPr="00A1170A">
        <w:rPr>
          <w:sz w:val="24"/>
          <w:szCs w:val="24"/>
          <w:u w:val="single"/>
        </w:rPr>
        <w:t>Sensitive Questions</w:t>
      </w:r>
    </w:p>
    <w:p w:rsidR="00A1170A" w:rsidRDefault="00A1170A" w:rsidP="00A1170A">
      <w:pPr>
        <w:pStyle w:val="BodyText"/>
        <w:spacing w:before="0" w:line="244" w:lineRule="auto"/>
        <w:ind w:right="552"/>
        <w:jc w:val="both"/>
        <w:rPr>
          <w:sz w:val="24"/>
          <w:szCs w:val="24"/>
          <w:u w:val="single"/>
        </w:rPr>
      </w:pPr>
    </w:p>
    <w:p w:rsidR="00A1170A" w:rsidRDefault="00A1170A" w:rsidP="00A1170A">
      <w:pPr>
        <w:pStyle w:val="BodyText"/>
        <w:spacing w:before="0"/>
        <w:ind w:left="533"/>
      </w:pPr>
      <w:r>
        <w:t>There are no questions of a sensitive nature included in this data collection.</w:t>
      </w:r>
    </w:p>
    <w:p w:rsidR="00A1170A" w:rsidRPr="00A1170A" w:rsidRDefault="00A1170A" w:rsidP="00A1170A">
      <w:pPr>
        <w:pStyle w:val="BodyText"/>
        <w:numPr>
          <w:ilvl w:val="0"/>
          <w:numId w:val="2"/>
        </w:numPr>
        <w:spacing w:before="0"/>
        <w:ind w:left="540" w:hanging="540"/>
        <w:rPr>
          <w:sz w:val="24"/>
          <w:szCs w:val="24"/>
          <w:u w:val="single"/>
        </w:rPr>
      </w:pPr>
      <w:r w:rsidRPr="00A1170A">
        <w:rPr>
          <w:sz w:val="24"/>
          <w:szCs w:val="24"/>
          <w:u w:val="single"/>
        </w:rPr>
        <w:t>Burden Estimates (Hours &amp; Wages)</w:t>
      </w:r>
    </w:p>
    <w:p w:rsidR="00A1170A" w:rsidRDefault="00A1170A" w:rsidP="00A1170A">
      <w:pPr>
        <w:pStyle w:val="BodyText"/>
        <w:spacing w:before="0" w:line="244" w:lineRule="auto"/>
        <w:ind w:right="552"/>
        <w:jc w:val="both"/>
        <w:rPr>
          <w:sz w:val="24"/>
          <w:szCs w:val="24"/>
        </w:rPr>
      </w:pPr>
    </w:p>
    <w:p w:rsidR="00A1170A" w:rsidRPr="00A1170A" w:rsidRDefault="00A1170A" w:rsidP="00A1170A">
      <w:pPr>
        <w:widowControl w:val="0"/>
        <w:autoSpaceDE w:val="0"/>
        <w:autoSpaceDN w:val="0"/>
        <w:spacing w:before="90" w:after="0" w:line="247" w:lineRule="auto"/>
        <w:ind w:left="531" w:right="80"/>
        <w:rPr>
          <w:rFonts w:ascii="Times New Roman" w:eastAsia="Times New Roman" w:hAnsi="Times New Roman" w:cs="Times New Roman"/>
        </w:rPr>
      </w:pPr>
      <w:r w:rsidRPr="00A1170A">
        <w:rPr>
          <w:rFonts w:ascii="Times New Roman" w:eastAsia="Times New Roman" w:hAnsi="Times New Roman" w:cs="Times New Roman"/>
        </w:rPr>
        <w:t>The burden associated with this requirement is the time and effort necessary for the facility to, collect, retrieve, organize and submit the data elements twice a year, and does not include the written affidavit discussed above. We estimate it will take 30 minutes at $38.88/hour for a medical records and health information technician to complete each data submission based on data from the Bureau of Labor and Statistic’s wage rate (</w:t>
      </w:r>
      <w:hyperlink r:id="rId10">
        <w:r w:rsidRPr="00A1170A">
          <w:rPr>
            <w:rFonts w:ascii="Times New Roman" w:eastAsia="Times New Roman" w:hAnsi="Times New Roman" w:cs="Times New Roman"/>
            <w:color w:val="0000FF"/>
            <w:u w:val="single" w:color="0000FF"/>
          </w:rPr>
          <w:t>https://www.bls.gov/oes/current/oes292071.htm</w:t>
        </w:r>
      </w:hyperlink>
      <w:r w:rsidRPr="00A1170A">
        <w:rPr>
          <w:rFonts w:ascii="Times New Roman" w:eastAsia="Times New Roman" w:hAnsi="Times New Roman" w:cs="Times New Roman"/>
        </w:rPr>
        <w:t>). We also estimate it will take 10 hours at 38.88/hour for a medical records and health information technician to collect the data for each submission.  Because currently 1,370 facilities are approved to perform CAS procedures, we estimate, at most, 2,740 submissions (two per year for facility) on an annual basis. Annually, we estimate 2,740 submissions with associated data collection at a cost of $816.48 per facility (or $408.24 per submission per facility). In aggregate, we estimate 28,770 hours (10.5 hours x 2740 submissions) at $1,118,578 ($816.48 x 1370 facilities). This estimate accounts for facilities that have not performed any procedures and thus would require no time as well as facilities that have performed a large number of procedures (100+) and would require more time.</w:t>
      </w:r>
    </w:p>
    <w:p w:rsidR="00A1170A" w:rsidRPr="00A1170A" w:rsidRDefault="00A1170A" w:rsidP="00A1170A">
      <w:pPr>
        <w:widowControl w:val="0"/>
        <w:autoSpaceDE w:val="0"/>
        <w:autoSpaceDN w:val="0"/>
        <w:spacing w:before="5" w:after="0" w:line="240" w:lineRule="auto"/>
        <w:rPr>
          <w:rFonts w:ascii="Times New Roman" w:eastAsia="Times New Roman" w:hAnsi="Times New Roman" w:cs="Times New Roman"/>
        </w:rPr>
      </w:pPr>
    </w:p>
    <w:p w:rsidR="00A1170A" w:rsidRPr="00A1170A" w:rsidRDefault="00A1170A" w:rsidP="00A1170A">
      <w:pPr>
        <w:widowControl w:val="0"/>
        <w:autoSpaceDE w:val="0"/>
        <w:autoSpaceDN w:val="0"/>
        <w:spacing w:before="1" w:after="0" w:line="247" w:lineRule="auto"/>
        <w:ind w:left="531" w:right="174"/>
        <w:rPr>
          <w:rFonts w:ascii="Times New Roman" w:eastAsia="Times New Roman" w:hAnsi="Times New Roman" w:cs="Times New Roman"/>
        </w:rPr>
      </w:pPr>
      <w:r w:rsidRPr="00A1170A">
        <w:rPr>
          <w:rFonts w:ascii="Times New Roman" w:eastAsia="Times New Roman" w:hAnsi="Times New Roman" w:cs="Times New Roman"/>
        </w:rPr>
        <w:t>The burden associated with the requirement to sign the Business Associate Privacy Agreements includes the time and effort necessary to review, complete, sign and return the agreement. The agreement must be signed once every three years. We estimate it will take 30 minutes at $38.88/hour for a medical records and health information technician to review, complete, sign and return the agreement based on data from the Bureau of Labor and Statistic’s wage rate (</w:t>
      </w:r>
      <w:hyperlink r:id="rId11">
        <w:r w:rsidRPr="00A1170A">
          <w:rPr>
            <w:rFonts w:ascii="Times New Roman" w:eastAsia="Times New Roman" w:hAnsi="Times New Roman" w:cs="Times New Roman"/>
            <w:color w:val="0000FF"/>
            <w:u w:val="single" w:color="0000FF"/>
          </w:rPr>
          <w:t>https://www.bls.gov/oes/current/oes292071.htm</w:t>
        </w:r>
      </w:hyperlink>
      <w:r w:rsidRPr="00A1170A">
        <w:rPr>
          <w:rFonts w:ascii="Times New Roman" w:eastAsia="Times New Roman" w:hAnsi="Times New Roman" w:cs="Times New Roman"/>
        </w:rPr>
        <w:t>). To calculate the burden, we have calculated the burden for the 1,370 approved facilities to review, complete, sign and return the agreement and divided it by three. We estimate 1,370 agreement submissions at a cost of $19.44 per facility. In aggregate per agreement submission, we estimate 685 hours (0.5 hours x 1,370 submissions) at $26,633 ($19.44 x 1,370 submissions). Since agreements must be signed every three years, we estimate the aggregate annual burden to be 228 hours (685 hours / 3 years) and $8,878 ($26,633/3 years).</w:t>
      </w:r>
    </w:p>
    <w:p w:rsidR="00A1170A" w:rsidRPr="00A1170A" w:rsidRDefault="00A1170A" w:rsidP="00A1170A">
      <w:pPr>
        <w:widowControl w:val="0"/>
        <w:autoSpaceDE w:val="0"/>
        <w:autoSpaceDN w:val="0"/>
        <w:spacing w:before="6" w:after="0" w:line="240" w:lineRule="auto"/>
        <w:rPr>
          <w:rFonts w:ascii="Times New Roman" w:eastAsia="Times New Roman" w:hAnsi="Times New Roman" w:cs="Times New Roman"/>
        </w:rPr>
      </w:pPr>
    </w:p>
    <w:p w:rsidR="00A1170A" w:rsidRDefault="00A1170A" w:rsidP="00A1170A">
      <w:pPr>
        <w:widowControl w:val="0"/>
        <w:autoSpaceDE w:val="0"/>
        <w:autoSpaceDN w:val="0"/>
        <w:spacing w:after="0" w:line="247" w:lineRule="auto"/>
        <w:ind w:left="532" w:right="80"/>
        <w:rPr>
          <w:rFonts w:ascii="Times New Roman" w:eastAsia="Times New Roman" w:hAnsi="Times New Roman" w:cs="Times New Roman"/>
        </w:rPr>
      </w:pPr>
      <w:r w:rsidRPr="00A1170A">
        <w:rPr>
          <w:rFonts w:ascii="Times New Roman" w:eastAsia="Times New Roman" w:hAnsi="Times New Roman" w:cs="Times New Roman"/>
        </w:rPr>
        <w:t>We estimate the total annual burden of this collection including the data submission and associated data collection requirements plus the requirement to sign the Business Associate Privacy Agreement every three years to be 28,998 hours (28,770 hours + 228 hours) and $1,127,456 ($1,118,578 + $8,878).</w:t>
      </w:r>
    </w:p>
    <w:p w:rsidR="00A1170A" w:rsidRDefault="00A1170A" w:rsidP="00A1170A">
      <w:pPr>
        <w:widowControl w:val="0"/>
        <w:autoSpaceDE w:val="0"/>
        <w:autoSpaceDN w:val="0"/>
        <w:spacing w:after="0" w:line="247" w:lineRule="auto"/>
        <w:ind w:left="532" w:right="80"/>
        <w:rPr>
          <w:rFonts w:ascii="Times New Roman" w:eastAsia="Times New Roman" w:hAnsi="Times New Roman" w:cs="Times New Roman"/>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0"/>
        <w:gridCol w:w="1427"/>
        <w:gridCol w:w="1495"/>
        <w:gridCol w:w="1385"/>
        <w:gridCol w:w="1295"/>
        <w:gridCol w:w="1510"/>
        <w:gridCol w:w="1278"/>
      </w:tblGrid>
      <w:tr w:rsidR="00A1170A" w:rsidRPr="00A1170A" w:rsidTr="001D6E98">
        <w:trPr>
          <w:trHeight w:val="1175"/>
          <w:tblHeader/>
          <w:jc w:val="center"/>
        </w:trPr>
        <w:tc>
          <w:tcPr>
            <w:tcW w:w="1320"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bCs/>
                <w:color w:val="000000"/>
                <w:sz w:val="20"/>
                <w:szCs w:val="20"/>
              </w:rPr>
            </w:pP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bCs/>
                <w:color w:val="000000"/>
                <w:sz w:val="20"/>
                <w:szCs w:val="20"/>
              </w:rPr>
            </w:pP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rPr>
                <w:rFonts w:ascii="Times New Roman" w:eastAsia="Times New Roman" w:hAnsi="Times New Roman" w:cs="Times New Roman"/>
                <w:b/>
                <w:bCs/>
                <w:color w:val="000000"/>
                <w:sz w:val="20"/>
                <w:szCs w:val="20"/>
              </w:rPr>
            </w:pP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bCs/>
                <w:color w:val="000000"/>
                <w:sz w:val="20"/>
                <w:szCs w:val="20"/>
              </w:rPr>
            </w:pP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bCs/>
                <w:color w:val="000000"/>
                <w:sz w:val="20"/>
                <w:szCs w:val="20"/>
              </w:rPr>
            </w:pP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bCs/>
                <w:color w:val="000000"/>
                <w:sz w:val="20"/>
                <w:szCs w:val="20"/>
              </w:rPr>
            </w:pPr>
            <w:r w:rsidRPr="00A1170A">
              <w:rPr>
                <w:rFonts w:ascii="Times New Roman" w:eastAsia="Times New Roman" w:hAnsi="Times New Roman" w:cs="Times New Roman"/>
                <w:b/>
                <w:bCs/>
                <w:color w:val="000000"/>
                <w:sz w:val="20"/>
                <w:szCs w:val="20"/>
              </w:rPr>
              <w:t>Activity</w:t>
            </w:r>
          </w:p>
        </w:tc>
        <w:tc>
          <w:tcPr>
            <w:tcW w:w="1427" w:type="dxa"/>
            <w:vAlign w:val="bottom"/>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bCs/>
                <w:color w:val="000000"/>
                <w:sz w:val="20"/>
                <w:szCs w:val="20"/>
              </w:rPr>
              <w:t>Respondents</w:t>
            </w:r>
          </w:p>
        </w:tc>
        <w:tc>
          <w:tcPr>
            <w:tcW w:w="1495" w:type="dxa"/>
            <w:vAlign w:val="bottom"/>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bCs/>
                <w:color w:val="000000"/>
                <w:sz w:val="20"/>
                <w:szCs w:val="20"/>
              </w:rPr>
              <w:t>Responses</w:t>
            </w:r>
          </w:p>
        </w:tc>
        <w:tc>
          <w:tcPr>
            <w:tcW w:w="1385" w:type="dxa"/>
            <w:vAlign w:val="bottom"/>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bCs/>
                <w:color w:val="000000"/>
                <w:sz w:val="20"/>
                <w:szCs w:val="20"/>
              </w:rPr>
              <w:t>Burden per Response (hours)</w:t>
            </w:r>
          </w:p>
        </w:tc>
        <w:tc>
          <w:tcPr>
            <w:tcW w:w="1295" w:type="dxa"/>
            <w:vAlign w:val="bottom"/>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bCs/>
                <w:color w:val="000000"/>
                <w:sz w:val="20"/>
                <w:szCs w:val="20"/>
              </w:rPr>
              <w:t>Total Annual Burden (hours)</w:t>
            </w:r>
          </w:p>
        </w:tc>
        <w:tc>
          <w:tcPr>
            <w:tcW w:w="1510" w:type="dxa"/>
            <w:vAlign w:val="bottom"/>
          </w:tcPr>
          <w:p w:rsidR="00A1170A" w:rsidRPr="00A1170A" w:rsidRDefault="00A1170A" w:rsidP="00A1170A">
            <w:pPr>
              <w:widowControl w:val="0"/>
              <w:autoSpaceDE w:val="0"/>
              <w:autoSpaceDN w:val="0"/>
              <w:spacing w:after="0" w:line="240" w:lineRule="auto"/>
              <w:jc w:val="center"/>
              <w:rPr>
                <w:rFonts w:ascii="Times New Roman" w:eastAsia="Times New Roman" w:hAnsi="Times New Roman" w:cs="Times New Roman"/>
                <w:b/>
                <w:bCs/>
                <w:color w:val="000000"/>
                <w:sz w:val="20"/>
                <w:szCs w:val="20"/>
              </w:rPr>
            </w:pPr>
            <w:r w:rsidRPr="00A1170A">
              <w:rPr>
                <w:rFonts w:ascii="Times New Roman" w:eastAsia="Times New Roman" w:hAnsi="Times New Roman" w:cs="Times New Roman"/>
                <w:b/>
                <w:bCs/>
                <w:color w:val="000000"/>
                <w:sz w:val="20"/>
                <w:szCs w:val="20"/>
              </w:rPr>
              <w:t>Labor</w:t>
            </w:r>
          </w:p>
          <w:p w:rsidR="00A1170A" w:rsidRPr="00A1170A" w:rsidRDefault="00A1170A" w:rsidP="00A1170A">
            <w:pPr>
              <w:widowControl w:val="0"/>
              <w:autoSpaceDE w:val="0"/>
              <w:autoSpaceDN w:val="0"/>
              <w:spacing w:after="0" w:line="240" w:lineRule="auto"/>
              <w:jc w:val="center"/>
              <w:rPr>
                <w:rFonts w:ascii="Times New Roman" w:eastAsia="Times New Roman" w:hAnsi="Times New Roman" w:cs="Times New Roman"/>
                <w:b/>
                <w:bCs/>
                <w:color w:val="000000"/>
                <w:sz w:val="20"/>
                <w:szCs w:val="20"/>
              </w:rPr>
            </w:pPr>
            <w:r w:rsidRPr="00A1170A">
              <w:rPr>
                <w:rFonts w:ascii="Times New Roman" w:eastAsia="Times New Roman" w:hAnsi="Times New Roman" w:cs="Times New Roman"/>
                <w:b/>
                <w:bCs/>
                <w:color w:val="000000"/>
                <w:sz w:val="20"/>
                <w:szCs w:val="20"/>
              </w:rPr>
              <w:t>Cost of</w:t>
            </w:r>
          </w:p>
          <w:p w:rsidR="00A1170A" w:rsidRPr="00A1170A" w:rsidRDefault="00A1170A" w:rsidP="00A1170A">
            <w:pPr>
              <w:widowControl w:val="0"/>
              <w:autoSpaceDE w:val="0"/>
              <w:autoSpaceDN w:val="0"/>
              <w:spacing w:after="0" w:line="240" w:lineRule="auto"/>
              <w:jc w:val="center"/>
              <w:rPr>
                <w:rFonts w:ascii="Times New Roman" w:eastAsia="Times New Roman" w:hAnsi="Times New Roman" w:cs="Times New Roman"/>
                <w:b/>
                <w:bCs/>
                <w:color w:val="000000"/>
                <w:sz w:val="20"/>
                <w:szCs w:val="20"/>
              </w:rPr>
            </w:pPr>
            <w:r w:rsidRPr="00A1170A">
              <w:rPr>
                <w:rFonts w:ascii="Times New Roman" w:eastAsia="Times New Roman" w:hAnsi="Times New Roman" w:cs="Times New Roman"/>
                <w:b/>
                <w:bCs/>
                <w:color w:val="000000"/>
                <w:sz w:val="20"/>
                <w:szCs w:val="20"/>
              </w:rPr>
              <w:t>Reporting</w:t>
            </w: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bCs/>
                <w:color w:val="000000"/>
                <w:sz w:val="20"/>
                <w:szCs w:val="20"/>
              </w:rPr>
              <w:t>($/hr)</w:t>
            </w:r>
          </w:p>
        </w:tc>
        <w:tc>
          <w:tcPr>
            <w:tcW w:w="1278" w:type="dxa"/>
            <w:vAlign w:val="bottom"/>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sz w:val="20"/>
                <w:szCs w:val="20"/>
              </w:rPr>
              <w:t>Total Cost</w:t>
            </w:r>
          </w:p>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b/>
                <w:sz w:val="20"/>
                <w:szCs w:val="20"/>
              </w:rPr>
            </w:pPr>
            <w:r w:rsidRPr="00A1170A">
              <w:rPr>
                <w:rFonts w:ascii="Times New Roman" w:eastAsia="Times New Roman" w:hAnsi="Times New Roman" w:cs="Times New Roman"/>
                <w:b/>
                <w:sz w:val="20"/>
                <w:szCs w:val="20"/>
              </w:rPr>
              <w:t>($)*</w:t>
            </w:r>
          </w:p>
        </w:tc>
      </w:tr>
      <w:tr w:rsidR="00A1170A" w:rsidRPr="00A1170A" w:rsidTr="001D6E98">
        <w:trPr>
          <w:trHeight w:val="311"/>
          <w:jc w:val="center"/>
        </w:trPr>
        <w:tc>
          <w:tcPr>
            <w:tcW w:w="1320"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Data Submission</w:t>
            </w:r>
          </w:p>
        </w:tc>
        <w:tc>
          <w:tcPr>
            <w:tcW w:w="1427"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1,370</w:t>
            </w:r>
          </w:p>
        </w:tc>
        <w:tc>
          <w:tcPr>
            <w:tcW w:w="1495"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2,740</w:t>
            </w:r>
          </w:p>
        </w:tc>
        <w:tc>
          <w:tcPr>
            <w:tcW w:w="1385"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10.5</w:t>
            </w:r>
          </w:p>
        </w:tc>
        <w:tc>
          <w:tcPr>
            <w:tcW w:w="1295" w:type="dxa"/>
          </w:tcPr>
          <w:p w:rsidR="00A1170A" w:rsidRPr="00A1170A" w:rsidRDefault="00A1170A" w:rsidP="00A1170A">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28,770</w:t>
            </w:r>
          </w:p>
        </w:tc>
        <w:tc>
          <w:tcPr>
            <w:tcW w:w="1510"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38.88</w:t>
            </w:r>
          </w:p>
        </w:tc>
        <w:tc>
          <w:tcPr>
            <w:tcW w:w="1278"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1,118,578</w:t>
            </w:r>
          </w:p>
        </w:tc>
      </w:tr>
      <w:tr w:rsidR="00A1170A" w:rsidRPr="00A1170A" w:rsidTr="001D6E98">
        <w:trPr>
          <w:trHeight w:val="336"/>
          <w:jc w:val="center"/>
        </w:trPr>
        <w:tc>
          <w:tcPr>
            <w:tcW w:w="1320"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Business Associate Agreement (1 time every 3 years)</w:t>
            </w:r>
          </w:p>
        </w:tc>
        <w:tc>
          <w:tcPr>
            <w:tcW w:w="1427"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1,370</w:t>
            </w:r>
          </w:p>
        </w:tc>
        <w:tc>
          <w:tcPr>
            <w:tcW w:w="1495" w:type="dxa"/>
          </w:tcPr>
          <w:p w:rsidR="00A1170A" w:rsidRPr="00A1170A" w:rsidRDefault="00A1170A" w:rsidP="00A1170A">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456</w:t>
            </w:r>
          </w:p>
        </w:tc>
        <w:tc>
          <w:tcPr>
            <w:tcW w:w="1385"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0.5</w:t>
            </w:r>
          </w:p>
        </w:tc>
        <w:tc>
          <w:tcPr>
            <w:tcW w:w="1295" w:type="dxa"/>
          </w:tcPr>
          <w:p w:rsidR="00A1170A" w:rsidRPr="00A1170A" w:rsidRDefault="00A1170A" w:rsidP="00A1170A">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228</w:t>
            </w:r>
          </w:p>
        </w:tc>
        <w:tc>
          <w:tcPr>
            <w:tcW w:w="1510"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38.88</w:t>
            </w:r>
          </w:p>
        </w:tc>
        <w:tc>
          <w:tcPr>
            <w:tcW w:w="1278" w:type="dxa"/>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8,878</w:t>
            </w:r>
          </w:p>
        </w:tc>
      </w:tr>
      <w:tr w:rsidR="00A1170A" w:rsidRPr="00A1170A" w:rsidTr="001D6E98">
        <w:trPr>
          <w:trHeight w:val="311"/>
          <w:jc w:val="center"/>
        </w:trPr>
        <w:tc>
          <w:tcPr>
            <w:tcW w:w="1320"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p>
        </w:tc>
        <w:tc>
          <w:tcPr>
            <w:tcW w:w="1427"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p>
        </w:tc>
        <w:tc>
          <w:tcPr>
            <w:tcW w:w="1495"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rPr>
                <w:rFonts w:ascii="Times New Roman" w:eastAsia="Times New Roman" w:hAnsi="Times New Roman" w:cs="Times New Roman"/>
                <w:sz w:val="20"/>
                <w:szCs w:val="20"/>
              </w:rPr>
            </w:pPr>
          </w:p>
        </w:tc>
        <w:tc>
          <w:tcPr>
            <w:tcW w:w="1385"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p>
        </w:tc>
        <w:tc>
          <w:tcPr>
            <w:tcW w:w="1295" w:type="dxa"/>
            <w:shd w:val="clear" w:color="auto" w:fill="D9D9D9"/>
          </w:tcPr>
          <w:p w:rsidR="00A1170A" w:rsidRPr="00A1170A" w:rsidRDefault="00A1170A" w:rsidP="00A1170A">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28,998</w:t>
            </w:r>
          </w:p>
        </w:tc>
        <w:tc>
          <w:tcPr>
            <w:tcW w:w="1510"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p>
        </w:tc>
        <w:tc>
          <w:tcPr>
            <w:tcW w:w="1278" w:type="dxa"/>
            <w:shd w:val="clear" w:color="auto" w:fill="D9D9D9"/>
          </w:tcPr>
          <w:p w:rsidR="00A1170A" w:rsidRPr="00A1170A" w:rsidRDefault="00A1170A" w:rsidP="00A1170A">
            <w:pPr>
              <w:widowControl w:val="0"/>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autoSpaceDE w:val="0"/>
              <w:autoSpaceDN w:val="0"/>
              <w:spacing w:after="0" w:line="240" w:lineRule="auto"/>
              <w:jc w:val="center"/>
              <w:rPr>
                <w:rFonts w:ascii="Times New Roman" w:eastAsia="Times New Roman" w:hAnsi="Times New Roman" w:cs="Times New Roman"/>
                <w:sz w:val="20"/>
                <w:szCs w:val="20"/>
              </w:rPr>
            </w:pPr>
            <w:r w:rsidRPr="00A1170A">
              <w:rPr>
                <w:rFonts w:ascii="Times New Roman" w:eastAsia="Times New Roman" w:hAnsi="Times New Roman" w:cs="Times New Roman"/>
                <w:sz w:val="20"/>
                <w:szCs w:val="20"/>
              </w:rPr>
              <w:t>1,127,456</w:t>
            </w:r>
          </w:p>
        </w:tc>
      </w:tr>
    </w:tbl>
    <w:p w:rsidR="00A1170A" w:rsidRDefault="00A1170A" w:rsidP="00A1170A">
      <w:pPr>
        <w:widowControl w:val="0"/>
        <w:autoSpaceDE w:val="0"/>
        <w:autoSpaceDN w:val="0"/>
        <w:spacing w:after="0" w:line="247" w:lineRule="auto"/>
        <w:ind w:right="80"/>
        <w:rPr>
          <w:rFonts w:ascii="Times New Roman" w:eastAsia="Times New Roman" w:hAnsi="Times New Roman" w:cs="Times New Roman"/>
        </w:rPr>
      </w:pPr>
    </w:p>
    <w:p w:rsidR="00A1170A" w:rsidRDefault="000D5512" w:rsidP="000D5512">
      <w:pPr>
        <w:pStyle w:val="ListParagraph"/>
        <w:widowControl w:val="0"/>
        <w:numPr>
          <w:ilvl w:val="0"/>
          <w:numId w:val="2"/>
        </w:numPr>
        <w:autoSpaceDE w:val="0"/>
        <w:autoSpaceDN w:val="0"/>
        <w:spacing w:after="0" w:line="247" w:lineRule="auto"/>
        <w:ind w:left="540" w:right="80" w:hanging="540"/>
        <w:rPr>
          <w:rFonts w:ascii="Times New Roman" w:eastAsia="Times New Roman" w:hAnsi="Times New Roman" w:cs="Times New Roman"/>
          <w:sz w:val="24"/>
          <w:szCs w:val="24"/>
          <w:u w:val="single"/>
        </w:rPr>
      </w:pPr>
      <w:r w:rsidRPr="000D5512">
        <w:rPr>
          <w:rFonts w:ascii="Times New Roman" w:eastAsia="Times New Roman" w:hAnsi="Times New Roman" w:cs="Times New Roman"/>
          <w:sz w:val="24"/>
          <w:szCs w:val="24"/>
          <w:u w:val="single"/>
        </w:rPr>
        <w:t>Capital Costs</w:t>
      </w:r>
    </w:p>
    <w:p w:rsidR="001736BD" w:rsidRDefault="001736BD" w:rsidP="001736BD">
      <w:pPr>
        <w:pStyle w:val="ListParagraph"/>
        <w:widowControl w:val="0"/>
        <w:autoSpaceDE w:val="0"/>
        <w:autoSpaceDN w:val="0"/>
        <w:spacing w:after="0" w:line="247" w:lineRule="auto"/>
        <w:ind w:left="540" w:right="80"/>
        <w:rPr>
          <w:rFonts w:ascii="Times New Roman" w:eastAsia="Times New Roman" w:hAnsi="Times New Roman" w:cs="Times New Roman"/>
          <w:sz w:val="24"/>
          <w:szCs w:val="24"/>
          <w:u w:val="single"/>
        </w:rPr>
      </w:pPr>
    </w:p>
    <w:p w:rsidR="001736BD" w:rsidRDefault="001736BD" w:rsidP="001736BD">
      <w:pPr>
        <w:pStyle w:val="BodyText"/>
        <w:spacing w:before="0"/>
        <w:ind w:left="533"/>
      </w:pPr>
      <w:r>
        <w:t>There are no capital costs.</w:t>
      </w:r>
    </w:p>
    <w:p w:rsidR="001736BD" w:rsidRDefault="001736BD" w:rsidP="001736BD">
      <w:pPr>
        <w:pStyle w:val="BodyText"/>
        <w:spacing w:before="0"/>
      </w:pPr>
    </w:p>
    <w:p w:rsidR="001736BD" w:rsidRDefault="001736BD" w:rsidP="001736BD">
      <w:pPr>
        <w:pStyle w:val="BodyText"/>
        <w:numPr>
          <w:ilvl w:val="0"/>
          <w:numId w:val="2"/>
        </w:numPr>
        <w:spacing w:before="0"/>
        <w:ind w:left="540" w:hanging="540"/>
        <w:rPr>
          <w:sz w:val="24"/>
          <w:szCs w:val="24"/>
          <w:u w:val="single"/>
        </w:rPr>
      </w:pPr>
      <w:r w:rsidRPr="001736BD">
        <w:rPr>
          <w:sz w:val="24"/>
          <w:szCs w:val="24"/>
          <w:u w:val="single"/>
        </w:rPr>
        <w:t>Cost to the Federal Government</w:t>
      </w:r>
    </w:p>
    <w:p w:rsidR="001736BD" w:rsidRDefault="001736BD" w:rsidP="001736BD">
      <w:pPr>
        <w:pStyle w:val="BodyText"/>
        <w:spacing w:before="0"/>
        <w:rPr>
          <w:sz w:val="24"/>
          <w:szCs w:val="24"/>
          <w:u w:val="single"/>
        </w:rPr>
      </w:pPr>
    </w:p>
    <w:p w:rsidR="001736BD" w:rsidRDefault="001736BD" w:rsidP="001736BD">
      <w:pPr>
        <w:pStyle w:val="BodyText"/>
        <w:spacing w:before="0" w:line="245" w:lineRule="auto"/>
        <w:ind w:left="533" w:right="173"/>
      </w:pPr>
      <w:r>
        <w:t>Activities</w:t>
      </w:r>
      <w:r>
        <w:rPr>
          <w:spacing w:val="-11"/>
        </w:rPr>
        <w:t xml:space="preserve"> </w:t>
      </w:r>
      <w:r>
        <w:t>related</w:t>
      </w:r>
      <w:r>
        <w:rPr>
          <w:spacing w:val="-9"/>
        </w:rPr>
        <w:t xml:space="preserve"> </w:t>
      </w:r>
      <w:r>
        <w:t>to</w:t>
      </w:r>
      <w:r>
        <w:rPr>
          <w:spacing w:val="-11"/>
        </w:rPr>
        <w:t xml:space="preserve"> </w:t>
      </w:r>
      <w:r>
        <w:t>data</w:t>
      </w:r>
      <w:r>
        <w:rPr>
          <w:spacing w:val="-11"/>
        </w:rPr>
        <w:t xml:space="preserve"> </w:t>
      </w:r>
      <w:r>
        <w:t>submissions</w:t>
      </w:r>
      <w:r>
        <w:rPr>
          <w:spacing w:val="-11"/>
        </w:rPr>
        <w:t xml:space="preserve"> </w:t>
      </w:r>
      <w:r>
        <w:t>and</w:t>
      </w:r>
      <w:r>
        <w:rPr>
          <w:spacing w:val="-9"/>
        </w:rPr>
        <w:t xml:space="preserve"> </w:t>
      </w:r>
      <w:r>
        <w:t>Business</w:t>
      </w:r>
      <w:r>
        <w:rPr>
          <w:spacing w:val="-11"/>
        </w:rPr>
        <w:t xml:space="preserve"> </w:t>
      </w:r>
      <w:r>
        <w:t>Associate</w:t>
      </w:r>
      <w:r>
        <w:rPr>
          <w:spacing w:val="-11"/>
        </w:rPr>
        <w:t xml:space="preserve"> </w:t>
      </w:r>
      <w:r>
        <w:t>Privacy</w:t>
      </w:r>
      <w:r>
        <w:rPr>
          <w:spacing w:val="-15"/>
        </w:rPr>
        <w:t xml:space="preserve"> </w:t>
      </w:r>
      <w:r>
        <w:t>Agreements</w:t>
      </w:r>
      <w:r>
        <w:rPr>
          <w:spacing w:val="-11"/>
        </w:rPr>
        <w:t xml:space="preserve"> </w:t>
      </w:r>
      <w:r>
        <w:t>are</w:t>
      </w:r>
      <w:r>
        <w:rPr>
          <w:spacing w:val="-11"/>
        </w:rPr>
        <w:t xml:space="preserve"> </w:t>
      </w:r>
      <w:r>
        <w:t>handled</w:t>
      </w:r>
      <w:r>
        <w:rPr>
          <w:spacing w:val="-9"/>
        </w:rPr>
        <w:t xml:space="preserve"> </w:t>
      </w:r>
      <w:r>
        <w:t>through a contract with Fu Associates, Ltd. The cost of this contract is $114,507</w:t>
      </w:r>
      <w:r>
        <w:rPr>
          <w:spacing w:val="-34"/>
        </w:rPr>
        <w:t xml:space="preserve"> </w:t>
      </w:r>
      <w:r>
        <w:t>annually.</w:t>
      </w:r>
    </w:p>
    <w:p w:rsidR="001736BD" w:rsidRDefault="001736BD" w:rsidP="001736BD">
      <w:pPr>
        <w:pStyle w:val="BodyText"/>
        <w:spacing w:before="0" w:line="245" w:lineRule="auto"/>
        <w:ind w:right="173"/>
      </w:pPr>
    </w:p>
    <w:p w:rsidR="001736BD" w:rsidRPr="001736BD" w:rsidRDefault="001736BD" w:rsidP="001736BD">
      <w:pPr>
        <w:pStyle w:val="BodyText"/>
        <w:numPr>
          <w:ilvl w:val="0"/>
          <w:numId w:val="2"/>
        </w:numPr>
        <w:spacing w:before="0" w:line="245" w:lineRule="auto"/>
        <w:ind w:left="540" w:right="173" w:hanging="540"/>
        <w:rPr>
          <w:sz w:val="24"/>
          <w:szCs w:val="24"/>
          <w:u w:val="single"/>
        </w:rPr>
      </w:pPr>
      <w:r w:rsidRPr="001736BD">
        <w:rPr>
          <w:sz w:val="24"/>
          <w:szCs w:val="24"/>
          <w:u w:val="single"/>
        </w:rPr>
        <w:t>Changes to Burden</w:t>
      </w:r>
    </w:p>
    <w:p w:rsidR="001736BD" w:rsidRDefault="001736BD" w:rsidP="001736BD">
      <w:pPr>
        <w:pStyle w:val="BodyText"/>
        <w:spacing w:before="0" w:line="245" w:lineRule="auto"/>
        <w:ind w:right="173"/>
        <w:rPr>
          <w:sz w:val="24"/>
          <w:szCs w:val="24"/>
        </w:rPr>
      </w:pPr>
    </w:p>
    <w:p w:rsidR="001736BD" w:rsidRDefault="001736BD" w:rsidP="001736BD">
      <w:pPr>
        <w:pStyle w:val="BodyText"/>
        <w:spacing w:before="0" w:line="245" w:lineRule="auto"/>
        <w:ind w:left="533" w:right="86"/>
      </w:pPr>
      <w:r>
        <w:t>Due to adjustments in these estimates, which were inaccurate due to an error, and the addition of the Business</w:t>
      </w:r>
      <w:r>
        <w:rPr>
          <w:spacing w:val="-12"/>
        </w:rPr>
        <w:t xml:space="preserve"> </w:t>
      </w:r>
      <w:r>
        <w:t>Associate</w:t>
      </w:r>
      <w:r>
        <w:rPr>
          <w:spacing w:val="-12"/>
        </w:rPr>
        <w:t xml:space="preserve"> </w:t>
      </w:r>
      <w:r>
        <w:t>Privacy</w:t>
      </w:r>
      <w:r>
        <w:rPr>
          <w:spacing w:val="-16"/>
        </w:rPr>
        <w:t xml:space="preserve"> </w:t>
      </w:r>
      <w:r>
        <w:t>Agreement</w:t>
      </w:r>
      <w:r>
        <w:rPr>
          <w:spacing w:val="-12"/>
        </w:rPr>
        <w:t xml:space="preserve"> </w:t>
      </w:r>
      <w:r>
        <w:t>requirement</w:t>
      </w:r>
      <w:r>
        <w:rPr>
          <w:spacing w:val="-12"/>
        </w:rPr>
        <w:t xml:space="preserve"> </w:t>
      </w:r>
      <w:r>
        <w:t>to</w:t>
      </w:r>
      <w:r>
        <w:rPr>
          <w:spacing w:val="-12"/>
        </w:rPr>
        <w:t xml:space="preserve"> </w:t>
      </w:r>
      <w:r>
        <w:t>satisfy</w:t>
      </w:r>
      <w:r>
        <w:rPr>
          <w:spacing w:val="-16"/>
        </w:rPr>
        <w:t xml:space="preserve"> </w:t>
      </w:r>
      <w:r>
        <w:t>HIPAA</w:t>
      </w:r>
      <w:r>
        <w:rPr>
          <w:spacing w:val="-11"/>
        </w:rPr>
        <w:t xml:space="preserve"> </w:t>
      </w:r>
      <w:r>
        <w:t>requirements</w:t>
      </w:r>
      <w:r>
        <w:rPr>
          <w:spacing w:val="-12"/>
        </w:rPr>
        <w:t xml:space="preserve"> </w:t>
      </w:r>
      <w:r>
        <w:t>and</w:t>
      </w:r>
      <w:r>
        <w:rPr>
          <w:spacing w:val="-10"/>
        </w:rPr>
        <w:t xml:space="preserve"> </w:t>
      </w:r>
      <w:r>
        <w:t>compliance,</w:t>
      </w:r>
      <w:r>
        <w:rPr>
          <w:spacing w:val="-11"/>
        </w:rPr>
        <w:t xml:space="preserve"> </w:t>
      </w:r>
      <w:r>
        <w:t>the burden</w:t>
      </w:r>
      <w:r>
        <w:rPr>
          <w:spacing w:val="-3"/>
        </w:rPr>
        <w:t xml:space="preserve"> </w:t>
      </w:r>
      <w:r>
        <w:t>has</w:t>
      </w:r>
      <w:r>
        <w:rPr>
          <w:spacing w:val="-5"/>
        </w:rPr>
        <w:t xml:space="preserve"> </w:t>
      </w:r>
      <w:r>
        <w:t>increased</w:t>
      </w:r>
      <w:r>
        <w:rPr>
          <w:spacing w:val="-3"/>
        </w:rPr>
        <w:t xml:space="preserve"> </w:t>
      </w:r>
      <w:r>
        <w:t>from</w:t>
      </w:r>
      <w:r>
        <w:rPr>
          <w:spacing w:val="-6"/>
        </w:rPr>
        <w:t xml:space="preserve"> </w:t>
      </w:r>
      <w:r>
        <w:t>500</w:t>
      </w:r>
      <w:r>
        <w:rPr>
          <w:spacing w:val="-3"/>
        </w:rPr>
        <w:t xml:space="preserve"> </w:t>
      </w:r>
      <w:r>
        <w:t>hours</w:t>
      </w:r>
      <w:r>
        <w:rPr>
          <w:spacing w:val="-5"/>
        </w:rPr>
        <w:t xml:space="preserve"> </w:t>
      </w:r>
      <w:r>
        <w:t>at</w:t>
      </w:r>
      <w:r>
        <w:rPr>
          <w:spacing w:val="-5"/>
        </w:rPr>
        <w:t xml:space="preserve"> </w:t>
      </w:r>
      <w:r>
        <w:t>$0</w:t>
      </w:r>
      <w:r>
        <w:rPr>
          <w:spacing w:val="-3"/>
        </w:rPr>
        <w:t xml:space="preserve"> </w:t>
      </w:r>
      <w:r>
        <w:t>to</w:t>
      </w:r>
      <w:r>
        <w:rPr>
          <w:spacing w:val="-5"/>
        </w:rPr>
        <w:t xml:space="preserve"> </w:t>
      </w:r>
      <w:r>
        <w:t>28,998</w:t>
      </w:r>
      <w:r>
        <w:rPr>
          <w:spacing w:val="-3"/>
        </w:rPr>
        <w:t xml:space="preserve"> </w:t>
      </w:r>
      <w:r>
        <w:t>hours</w:t>
      </w:r>
      <w:r>
        <w:rPr>
          <w:spacing w:val="-5"/>
        </w:rPr>
        <w:t xml:space="preserve"> </w:t>
      </w:r>
      <w:r>
        <w:t>at</w:t>
      </w:r>
      <w:r>
        <w:rPr>
          <w:spacing w:val="-5"/>
        </w:rPr>
        <w:t xml:space="preserve"> </w:t>
      </w:r>
      <w:r>
        <w:t>$1,127,456.</w:t>
      </w:r>
    </w:p>
    <w:p w:rsidR="001736BD" w:rsidRDefault="001736BD" w:rsidP="001736BD">
      <w:pPr>
        <w:pStyle w:val="BodyText"/>
        <w:spacing w:before="0" w:line="245" w:lineRule="auto"/>
        <w:ind w:right="173"/>
        <w:rPr>
          <w:sz w:val="24"/>
          <w:szCs w:val="24"/>
          <w:u w:val="single"/>
        </w:rPr>
      </w:pPr>
    </w:p>
    <w:p w:rsidR="001736BD" w:rsidRDefault="001736BD" w:rsidP="001736BD">
      <w:pPr>
        <w:pStyle w:val="BodyText"/>
        <w:numPr>
          <w:ilvl w:val="0"/>
          <w:numId w:val="2"/>
        </w:numPr>
        <w:spacing w:before="0" w:line="245" w:lineRule="auto"/>
        <w:ind w:left="540" w:right="173" w:hanging="540"/>
        <w:rPr>
          <w:sz w:val="24"/>
          <w:szCs w:val="24"/>
          <w:u w:val="single"/>
        </w:rPr>
      </w:pPr>
      <w:r>
        <w:rPr>
          <w:sz w:val="24"/>
          <w:szCs w:val="24"/>
          <w:u w:val="single"/>
        </w:rPr>
        <w:t>Publication/Tabulation Dates</w:t>
      </w:r>
    </w:p>
    <w:p w:rsidR="001736BD" w:rsidRDefault="001736BD" w:rsidP="001736BD">
      <w:pPr>
        <w:pStyle w:val="BodyText"/>
        <w:spacing w:before="0" w:line="245" w:lineRule="auto"/>
        <w:ind w:right="173"/>
        <w:rPr>
          <w:sz w:val="24"/>
          <w:szCs w:val="24"/>
          <w:u w:val="single"/>
        </w:rPr>
      </w:pPr>
    </w:p>
    <w:p w:rsidR="001736BD" w:rsidRDefault="001736BD" w:rsidP="001736BD">
      <w:pPr>
        <w:pStyle w:val="BodyText"/>
        <w:spacing w:before="0" w:line="245" w:lineRule="auto"/>
        <w:ind w:left="540" w:right="173"/>
      </w:pPr>
      <w:r>
        <w:t>There are no publication or tabulation dates.</w:t>
      </w:r>
    </w:p>
    <w:p w:rsidR="001736BD" w:rsidRDefault="001736BD" w:rsidP="001736BD">
      <w:pPr>
        <w:pStyle w:val="BodyText"/>
        <w:spacing w:before="0" w:line="245" w:lineRule="auto"/>
        <w:ind w:right="173"/>
      </w:pPr>
    </w:p>
    <w:p w:rsidR="001736BD" w:rsidRDefault="001736BD" w:rsidP="001736BD">
      <w:pPr>
        <w:pStyle w:val="BodyText"/>
        <w:numPr>
          <w:ilvl w:val="0"/>
          <w:numId w:val="2"/>
        </w:numPr>
        <w:spacing w:before="0" w:line="245" w:lineRule="auto"/>
        <w:ind w:left="540" w:right="173" w:hanging="540"/>
        <w:rPr>
          <w:sz w:val="24"/>
          <w:szCs w:val="24"/>
          <w:u w:val="single"/>
        </w:rPr>
      </w:pPr>
      <w:r w:rsidRPr="001736BD">
        <w:rPr>
          <w:sz w:val="24"/>
          <w:szCs w:val="24"/>
          <w:u w:val="single"/>
        </w:rPr>
        <w:t>Expiration Date</w:t>
      </w:r>
    </w:p>
    <w:p w:rsidR="001736BD" w:rsidRDefault="001736BD" w:rsidP="001736BD">
      <w:pPr>
        <w:pStyle w:val="BodyText"/>
        <w:spacing w:before="0" w:line="245" w:lineRule="auto"/>
        <w:ind w:right="173"/>
        <w:rPr>
          <w:sz w:val="24"/>
          <w:szCs w:val="24"/>
          <w:u w:val="single"/>
        </w:rPr>
      </w:pPr>
    </w:p>
    <w:p w:rsidR="001736BD" w:rsidRDefault="001736BD" w:rsidP="001736BD">
      <w:pPr>
        <w:pStyle w:val="BodyText"/>
        <w:spacing w:before="89" w:line="244" w:lineRule="auto"/>
        <w:ind w:left="531" w:right="180"/>
      </w:pPr>
      <w:r>
        <w:t xml:space="preserve">CMS will display the expiration date on the collection instruments and the website: </w:t>
      </w:r>
      <w:hyperlink r:id="rId12" w:history="1">
        <w:r w:rsidR="00C03F0E" w:rsidRPr="00A2043E">
          <w:rPr>
            <w:rStyle w:val="Hyperlink"/>
          </w:rPr>
          <w:t>https://www.cms.gov/Medicare/Medicare-General-Information/MedicareApprovedFacilitie/CASrecert.html</w:t>
        </w:r>
      </w:hyperlink>
      <w:r w:rsidR="00C03F0E">
        <w:t xml:space="preserve">. </w:t>
      </w:r>
    </w:p>
    <w:p w:rsidR="001736BD" w:rsidRPr="001736BD" w:rsidRDefault="001736BD" w:rsidP="001736BD">
      <w:pPr>
        <w:pStyle w:val="BodyText"/>
        <w:spacing w:before="0" w:line="245" w:lineRule="auto"/>
        <w:ind w:left="540" w:right="173"/>
        <w:rPr>
          <w:sz w:val="24"/>
          <w:szCs w:val="24"/>
          <w:u w:val="single"/>
        </w:rPr>
      </w:pPr>
    </w:p>
    <w:p w:rsidR="001736BD" w:rsidRPr="001736BD" w:rsidRDefault="001736BD" w:rsidP="001736BD">
      <w:pPr>
        <w:pStyle w:val="BodyText"/>
        <w:spacing w:before="0"/>
        <w:ind w:left="540"/>
        <w:rPr>
          <w:sz w:val="24"/>
          <w:szCs w:val="24"/>
          <w:u w:val="single"/>
        </w:rPr>
      </w:pPr>
    </w:p>
    <w:p w:rsidR="001736BD" w:rsidRPr="000D5512" w:rsidRDefault="001736BD" w:rsidP="001736BD">
      <w:pPr>
        <w:pStyle w:val="ListParagraph"/>
        <w:widowControl w:val="0"/>
        <w:autoSpaceDE w:val="0"/>
        <w:autoSpaceDN w:val="0"/>
        <w:spacing w:after="0" w:line="247" w:lineRule="auto"/>
        <w:ind w:left="540" w:right="80"/>
        <w:rPr>
          <w:rFonts w:ascii="Times New Roman" w:eastAsia="Times New Roman" w:hAnsi="Times New Roman" w:cs="Times New Roman"/>
          <w:sz w:val="24"/>
          <w:szCs w:val="24"/>
          <w:u w:val="single"/>
        </w:rPr>
      </w:pPr>
    </w:p>
    <w:p w:rsidR="00A1170A" w:rsidRPr="00A1170A" w:rsidRDefault="00A1170A" w:rsidP="00A1170A">
      <w:pPr>
        <w:pStyle w:val="BodyText"/>
        <w:spacing w:before="0" w:line="244" w:lineRule="auto"/>
        <w:ind w:left="460" w:right="552"/>
        <w:jc w:val="both"/>
        <w:rPr>
          <w:sz w:val="24"/>
          <w:szCs w:val="24"/>
          <w:u w:val="single"/>
        </w:rPr>
      </w:pPr>
    </w:p>
    <w:p w:rsidR="00A1170A" w:rsidRPr="00A1170A" w:rsidRDefault="00A1170A" w:rsidP="00A1170A">
      <w:pPr>
        <w:pStyle w:val="BodyText"/>
        <w:spacing w:before="0"/>
        <w:ind w:left="460"/>
        <w:rPr>
          <w:sz w:val="24"/>
          <w:szCs w:val="24"/>
          <w:u w:val="single"/>
        </w:rPr>
      </w:pPr>
    </w:p>
    <w:p w:rsidR="00A1170A" w:rsidRPr="00A1170A" w:rsidRDefault="00A1170A" w:rsidP="00A1170A">
      <w:pPr>
        <w:spacing w:after="0" w:line="247" w:lineRule="auto"/>
        <w:ind w:left="460" w:right="71"/>
        <w:rPr>
          <w:rFonts w:ascii="Times New Roman" w:hAnsi="Times New Roman" w:cs="Times New Roman"/>
          <w:sz w:val="24"/>
          <w:szCs w:val="24"/>
          <w:u w:val="single"/>
        </w:rPr>
      </w:pPr>
    </w:p>
    <w:p w:rsidR="00FE5036" w:rsidRPr="00FE5036" w:rsidRDefault="00FE5036" w:rsidP="00FE5036">
      <w:pPr>
        <w:pStyle w:val="BodyText"/>
        <w:spacing w:before="0"/>
        <w:ind w:left="460"/>
        <w:rPr>
          <w:sz w:val="24"/>
          <w:szCs w:val="24"/>
          <w:u w:val="single"/>
        </w:rPr>
      </w:pPr>
    </w:p>
    <w:p w:rsidR="00FE5036" w:rsidRPr="00FE5036" w:rsidRDefault="00FE5036" w:rsidP="00FE5036">
      <w:pPr>
        <w:pStyle w:val="BodyText"/>
        <w:spacing w:before="90"/>
        <w:ind w:left="460"/>
        <w:rPr>
          <w:sz w:val="24"/>
          <w:szCs w:val="24"/>
          <w:u w:val="single"/>
        </w:rPr>
      </w:pPr>
    </w:p>
    <w:p w:rsidR="00FE5036" w:rsidRPr="00FE5036" w:rsidRDefault="00FE5036" w:rsidP="00FE5036">
      <w:pPr>
        <w:pStyle w:val="ListParagraph"/>
        <w:tabs>
          <w:tab w:val="left" w:pos="540"/>
        </w:tabs>
        <w:ind w:left="460"/>
        <w:rPr>
          <w:rFonts w:ascii="Times New Roman" w:hAnsi="Times New Roman" w:cs="Times New Roman"/>
        </w:rPr>
      </w:pPr>
    </w:p>
    <w:sectPr w:rsidR="00FE5036" w:rsidRPr="00FE503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98" w:rsidRDefault="009B4998" w:rsidP="009B4998">
      <w:pPr>
        <w:spacing w:after="0" w:line="240" w:lineRule="auto"/>
      </w:pPr>
      <w:r>
        <w:separator/>
      </w:r>
    </w:p>
  </w:endnote>
  <w:endnote w:type="continuationSeparator" w:id="0">
    <w:p w:rsidR="009B4998" w:rsidRDefault="009B4998" w:rsidP="009B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95169"/>
      <w:docPartObj>
        <w:docPartGallery w:val="Page Numbers (Bottom of Page)"/>
        <w:docPartUnique/>
      </w:docPartObj>
    </w:sdtPr>
    <w:sdtEndPr>
      <w:rPr>
        <w:noProof/>
      </w:rPr>
    </w:sdtEndPr>
    <w:sdtContent>
      <w:p w:rsidR="009B4998" w:rsidRDefault="009B4998">
        <w:pPr>
          <w:pStyle w:val="Footer"/>
          <w:jc w:val="center"/>
        </w:pPr>
        <w:r>
          <w:fldChar w:fldCharType="begin"/>
        </w:r>
        <w:r>
          <w:instrText xml:space="preserve"> PAGE   \* MERGEFORMAT </w:instrText>
        </w:r>
        <w:r>
          <w:fldChar w:fldCharType="separate"/>
        </w:r>
        <w:r w:rsidR="00ED6210">
          <w:rPr>
            <w:noProof/>
          </w:rPr>
          <w:t>1</w:t>
        </w:r>
        <w:r>
          <w:rPr>
            <w:noProof/>
          </w:rPr>
          <w:fldChar w:fldCharType="end"/>
        </w:r>
      </w:p>
    </w:sdtContent>
  </w:sdt>
  <w:p w:rsidR="009B4998" w:rsidRDefault="009B4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98" w:rsidRDefault="009B4998" w:rsidP="009B4998">
      <w:pPr>
        <w:spacing w:after="0" w:line="240" w:lineRule="auto"/>
      </w:pPr>
      <w:r>
        <w:separator/>
      </w:r>
    </w:p>
  </w:footnote>
  <w:footnote w:type="continuationSeparator" w:id="0">
    <w:p w:rsidR="009B4998" w:rsidRDefault="009B4998" w:rsidP="009B4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451E5"/>
    <w:multiLevelType w:val="hybridMultilevel"/>
    <w:tmpl w:val="A0F2D932"/>
    <w:lvl w:ilvl="0" w:tplc="09C081EE">
      <w:start w:val="1"/>
      <w:numFmt w:val="upperLetter"/>
      <w:lvlText w:val="%1."/>
      <w:lvlJc w:val="left"/>
      <w:pPr>
        <w:ind w:left="532" w:hanging="432"/>
      </w:pPr>
      <w:rPr>
        <w:rFonts w:hint="default"/>
        <w:spacing w:val="-1"/>
        <w:w w:val="99"/>
        <w:u w:val="none" w:color="000000"/>
      </w:rPr>
    </w:lvl>
    <w:lvl w:ilvl="1" w:tplc="58B8DC76">
      <w:numFmt w:val="bullet"/>
      <w:lvlText w:val="•"/>
      <w:lvlJc w:val="left"/>
      <w:pPr>
        <w:ind w:left="1452" w:hanging="432"/>
      </w:pPr>
      <w:rPr>
        <w:rFonts w:hint="default"/>
      </w:rPr>
    </w:lvl>
    <w:lvl w:ilvl="2" w:tplc="2FC2A09E">
      <w:numFmt w:val="bullet"/>
      <w:lvlText w:val="•"/>
      <w:lvlJc w:val="left"/>
      <w:pPr>
        <w:ind w:left="2364" w:hanging="432"/>
      </w:pPr>
      <w:rPr>
        <w:rFonts w:hint="default"/>
      </w:rPr>
    </w:lvl>
    <w:lvl w:ilvl="3" w:tplc="54BAF30A">
      <w:numFmt w:val="bullet"/>
      <w:lvlText w:val="•"/>
      <w:lvlJc w:val="left"/>
      <w:pPr>
        <w:ind w:left="3276" w:hanging="432"/>
      </w:pPr>
      <w:rPr>
        <w:rFonts w:hint="default"/>
      </w:rPr>
    </w:lvl>
    <w:lvl w:ilvl="4" w:tplc="4D9A86CE">
      <w:numFmt w:val="bullet"/>
      <w:lvlText w:val="•"/>
      <w:lvlJc w:val="left"/>
      <w:pPr>
        <w:ind w:left="4188" w:hanging="432"/>
      </w:pPr>
      <w:rPr>
        <w:rFonts w:hint="default"/>
      </w:rPr>
    </w:lvl>
    <w:lvl w:ilvl="5" w:tplc="F790EEA2">
      <w:numFmt w:val="bullet"/>
      <w:lvlText w:val="•"/>
      <w:lvlJc w:val="left"/>
      <w:pPr>
        <w:ind w:left="5100" w:hanging="432"/>
      </w:pPr>
      <w:rPr>
        <w:rFonts w:hint="default"/>
      </w:rPr>
    </w:lvl>
    <w:lvl w:ilvl="6" w:tplc="44C461AE">
      <w:numFmt w:val="bullet"/>
      <w:lvlText w:val="•"/>
      <w:lvlJc w:val="left"/>
      <w:pPr>
        <w:ind w:left="6012" w:hanging="432"/>
      </w:pPr>
      <w:rPr>
        <w:rFonts w:hint="default"/>
      </w:rPr>
    </w:lvl>
    <w:lvl w:ilvl="7" w:tplc="E1BCA1E0">
      <w:numFmt w:val="bullet"/>
      <w:lvlText w:val="•"/>
      <w:lvlJc w:val="left"/>
      <w:pPr>
        <w:ind w:left="6924" w:hanging="432"/>
      </w:pPr>
      <w:rPr>
        <w:rFonts w:hint="default"/>
      </w:rPr>
    </w:lvl>
    <w:lvl w:ilvl="8" w:tplc="8DC670AE">
      <w:numFmt w:val="bullet"/>
      <w:lvlText w:val="•"/>
      <w:lvlJc w:val="left"/>
      <w:pPr>
        <w:ind w:left="7836" w:hanging="432"/>
      </w:pPr>
      <w:rPr>
        <w:rFonts w:hint="default"/>
      </w:rPr>
    </w:lvl>
  </w:abstractNum>
  <w:abstractNum w:abstractNumId="1">
    <w:nsid w:val="7F6A49DE"/>
    <w:multiLevelType w:val="hybridMultilevel"/>
    <w:tmpl w:val="11A42336"/>
    <w:lvl w:ilvl="0" w:tplc="3ACE552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36"/>
    <w:rsid w:val="000D5512"/>
    <w:rsid w:val="001736BD"/>
    <w:rsid w:val="009B4998"/>
    <w:rsid w:val="00A1170A"/>
    <w:rsid w:val="00C03F0E"/>
    <w:rsid w:val="00ED6210"/>
    <w:rsid w:val="00EF5BD0"/>
    <w:rsid w:val="00FE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36"/>
    <w:pPr>
      <w:ind w:left="720"/>
      <w:contextualSpacing/>
    </w:pPr>
  </w:style>
  <w:style w:type="paragraph" w:styleId="BodyText">
    <w:name w:val="Body Text"/>
    <w:basedOn w:val="Normal"/>
    <w:link w:val="BodyTextChar"/>
    <w:uiPriority w:val="1"/>
    <w:qFormat/>
    <w:rsid w:val="00FE5036"/>
    <w:pPr>
      <w:widowControl w:val="0"/>
      <w:autoSpaceDE w:val="0"/>
      <w:autoSpaceDN w:val="0"/>
      <w:spacing w:before="2"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5036"/>
    <w:rPr>
      <w:rFonts w:ascii="Times New Roman" w:eastAsia="Times New Roman" w:hAnsi="Times New Roman" w:cs="Times New Roman"/>
    </w:rPr>
  </w:style>
  <w:style w:type="character" w:styleId="Hyperlink">
    <w:name w:val="Hyperlink"/>
    <w:basedOn w:val="DefaultParagraphFont"/>
    <w:uiPriority w:val="99"/>
    <w:unhideWhenUsed/>
    <w:rsid w:val="00C03F0E"/>
    <w:rPr>
      <w:color w:val="0563C1" w:themeColor="hyperlink"/>
      <w:u w:val="single"/>
    </w:rPr>
  </w:style>
  <w:style w:type="paragraph" w:styleId="Header">
    <w:name w:val="header"/>
    <w:basedOn w:val="Normal"/>
    <w:link w:val="HeaderChar"/>
    <w:uiPriority w:val="99"/>
    <w:unhideWhenUsed/>
    <w:rsid w:val="009B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98"/>
  </w:style>
  <w:style w:type="paragraph" w:styleId="Footer">
    <w:name w:val="footer"/>
    <w:basedOn w:val="Normal"/>
    <w:link w:val="FooterChar"/>
    <w:uiPriority w:val="99"/>
    <w:unhideWhenUsed/>
    <w:rsid w:val="009B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036"/>
    <w:pPr>
      <w:ind w:left="720"/>
      <w:contextualSpacing/>
    </w:pPr>
  </w:style>
  <w:style w:type="paragraph" w:styleId="BodyText">
    <w:name w:val="Body Text"/>
    <w:basedOn w:val="Normal"/>
    <w:link w:val="BodyTextChar"/>
    <w:uiPriority w:val="1"/>
    <w:qFormat/>
    <w:rsid w:val="00FE5036"/>
    <w:pPr>
      <w:widowControl w:val="0"/>
      <w:autoSpaceDE w:val="0"/>
      <w:autoSpaceDN w:val="0"/>
      <w:spacing w:before="2"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E5036"/>
    <w:rPr>
      <w:rFonts w:ascii="Times New Roman" w:eastAsia="Times New Roman" w:hAnsi="Times New Roman" w:cs="Times New Roman"/>
    </w:rPr>
  </w:style>
  <w:style w:type="character" w:styleId="Hyperlink">
    <w:name w:val="Hyperlink"/>
    <w:basedOn w:val="DefaultParagraphFont"/>
    <w:uiPriority w:val="99"/>
    <w:unhideWhenUsed/>
    <w:rsid w:val="00C03F0E"/>
    <w:rPr>
      <w:color w:val="0563C1" w:themeColor="hyperlink"/>
      <w:u w:val="single"/>
    </w:rPr>
  </w:style>
  <w:style w:type="paragraph" w:styleId="Header">
    <w:name w:val="header"/>
    <w:basedOn w:val="Normal"/>
    <w:link w:val="HeaderChar"/>
    <w:uiPriority w:val="99"/>
    <w:unhideWhenUsed/>
    <w:rsid w:val="009B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98"/>
  </w:style>
  <w:style w:type="paragraph" w:styleId="Footer">
    <w:name w:val="footer"/>
    <w:basedOn w:val="Normal"/>
    <w:link w:val="FooterChar"/>
    <w:uiPriority w:val="99"/>
    <w:unhideWhenUsed/>
    <w:rsid w:val="009B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details/ncd-details.aspx?NCDId=201&amp;ncdver=10&amp;bc=AAAAgAAAAAAAAA%3d%3d&am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ms.gov/Medicare/Medicare-General-Information/MedicareApprovedFacilitie/CASrece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oes/current/oes29207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current/oes292071.htm" TargetMode="External"/><Relationship Id="rId4" Type="http://schemas.openxmlformats.org/officeDocument/2006/relationships/settings" Target="settings.xml"/><Relationship Id="rId9" Type="http://schemas.openxmlformats.org/officeDocument/2006/relationships/hyperlink" Target="http://www.cms.hhs.gov/MedicareApprovedFacilitie/CASF/list.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Fulton</dc:creator>
  <cp:keywords/>
  <dc:description/>
  <cp:lastModifiedBy>SYSTEM</cp:lastModifiedBy>
  <cp:revision>2</cp:revision>
  <dcterms:created xsi:type="dcterms:W3CDTF">2017-09-05T19:54:00Z</dcterms:created>
  <dcterms:modified xsi:type="dcterms:W3CDTF">2017-09-05T19:54:00Z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463689217</vt:i4>
  </property>
  <property fmtid="{D5CDD505-2E9C-101B-9397-08002B2CF9AE}" pid="3" name="_NewReviewCycle">
    <vt:lpwstr/>
  </property>
  <property fmtid="{D5CDD505-2E9C-101B-9397-08002B2CF9AE}" pid="4" name="_EmailSubject">
    <vt:lpwstr>CMS-10199 Data Collection for Medicare Beneficiaries Receiving Carotid Artery Stenting with Embolic Protection </vt:lpwstr>
  </property>
  <property fmtid="{D5CDD505-2E9C-101B-9397-08002B2CF9AE}" pid="5" name="_AuthorEmail">
    <vt:lpwstr>sarah.fulton@cms.hhs.gov</vt:lpwstr>
  </property>
  <property fmtid="{D5CDD505-2E9C-101B-9397-08002B2CF9AE}" pid="6" name="_AuthorEmailDisplayName">
    <vt:lpwstr>Fulton, Sarah (CMS/CCSQ)</vt:lpwstr>
  </property>
  <property fmtid="{D5CDD505-2E9C-101B-9397-08002B2CF9AE}" pid="7" name="_ReviewingToolsShownOnce">
    <vt:lpwstr/>
  </property>
</Properties>
</file>