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29C76D" w14:textId="357E1A75" w:rsidR="00436B9F" w:rsidRPr="00360889" w:rsidRDefault="00436B9F" w:rsidP="00436B9F">
      <w:pPr>
        <w:spacing w:after="144" w:line="312" w:lineRule="auto"/>
        <w:ind w:left="2970" w:right="360" w:firstLine="0"/>
        <w:jc w:val="left"/>
        <w:rPr>
          <w:rFonts w:ascii="Arial" w:hAnsi="Arial" w:cs="Arial"/>
          <w:b/>
        </w:rPr>
      </w:pPr>
      <w:bookmarkStart w:id="0" w:name="_Toc320887149"/>
      <w:bookmarkStart w:id="1" w:name="_Toc326752777"/>
      <w:bookmarkStart w:id="2" w:name="_GoBack"/>
      <w:bookmarkEnd w:id="2"/>
      <w:r>
        <w:rPr>
          <w:rFonts w:ascii="Arial" w:hAnsi="Arial" w:cs="Arial"/>
          <w:b/>
        </w:rPr>
        <w:t xml:space="preserve">Part A: Justification for the Collection of </w:t>
      </w:r>
      <w:r w:rsidR="00B40F3C">
        <w:rPr>
          <w:rFonts w:ascii="Arial" w:hAnsi="Arial" w:cs="Arial"/>
          <w:b/>
        </w:rPr>
        <w:t>Follow-</w:t>
      </w:r>
      <w:r w:rsidR="00C51A43">
        <w:rPr>
          <w:rFonts w:ascii="Arial" w:hAnsi="Arial" w:cs="Arial"/>
          <w:b/>
        </w:rPr>
        <w:t xml:space="preserve">up </w:t>
      </w:r>
      <w:r>
        <w:rPr>
          <w:rFonts w:ascii="Arial" w:hAnsi="Arial" w:cs="Arial"/>
          <w:b/>
        </w:rPr>
        <w:t xml:space="preserve">Survey Data – Federal Evaluation of </w:t>
      </w:r>
      <w:r>
        <w:rPr>
          <w:rFonts w:ascii="Arial" w:hAnsi="Arial" w:cs="Arial"/>
          <w:b/>
          <w:i/>
        </w:rPr>
        <w:t>Making Proud Choices!</w:t>
      </w:r>
    </w:p>
    <w:p w14:paraId="1829C76E" w14:textId="6FF51DB8" w:rsidR="00436B9F" w:rsidRPr="00360889" w:rsidRDefault="00436B9F" w:rsidP="00436B9F">
      <w:pPr>
        <w:spacing w:before="144" w:line="360" w:lineRule="exact"/>
        <w:ind w:left="2970" w:right="360" w:firstLine="0"/>
        <w:rPr>
          <w:rFonts w:ascii="Arial" w:hAnsi="Arial" w:cs="Arial"/>
        </w:rPr>
      </w:pPr>
      <w:bookmarkStart w:id="3" w:name="RepType"/>
      <w:bookmarkEnd w:id="3"/>
      <w:r>
        <w:rPr>
          <w:rFonts w:ascii="Arial" w:hAnsi="Arial" w:cs="Arial"/>
          <w:b/>
        </w:rPr>
        <w:t xml:space="preserve">OMB Control </w:t>
      </w:r>
      <w:r w:rsidRPr="00B36D0A">
        <w:rPr>
          <w:rFonts w:ascii="Arial" w:hAnsi="Arial" w:cs="Arial"/>
          <w:b/>
        </w:rPr>
        <w:t xml:space="preserve">Number </w:t>
      </w:r>
      <w:r w:rsidR="00962334">
        <w:rPr>
          <w:rFonts w:ascii="Arial" w:hAnsi="Arial" w:cs="Arial"/>
          <w:b/>
        </w:rPr>
        <w:t>0990-0</w:t>
      </w:r>
      <w:r w:rsidR="00BD77B3">
        <w:rPr>
          <w:rFonts w:ascii="Arial" w:hAnsi="Arial" w:cs="Arial"/>
          <w:b/>
        </w:rPr>
        <w:t>452</w:t>
      </w:r>
    </w:p>
    <w:p w14:paraId="1829C76F" w14:textId="1672FF39" w:rsidR="00436B9F" w:rsidRPr="00360889" w:rsidRDefault="00887ADA" w:rsidP="00436B9F">
      <w:pPr>
        <w:spacing w:before="144" w:after="288" w:line="360" w:lineRule="exact"/>
        <w:ind w:left="2970" w:right="360" w:firstLine="0"/>
        <w:rPr>
          <w:rFonts w:ascii="Arial" w:hAnsi="Arial" w:cs="Arial"/>
        </w:rPr>
      </w:pPr>
      <w:bookmarkStart w:id="4" w:name="DateMark"/>
      <w:bookmarkEnd w:id="4"/>
      <w:r>
        <w:rPr>
          <w:rFonts w:ascii="Arial" w:hAnsi="Arial" w:cs="Arial"/>
        </w:rPr>
        <w:t xml:space="preserve">August </w:t>
      </w:r>
      <w:r w:rsidR="00436B9F">
        <w:rPr>
          <w:rFonts w:ascii="Arial" w:hAnsi="Arial" w:cs="Arial"/>
        </w:rPr>
        <w:t>201</w:t>
      </w:r>
      <w:r w:rsidR="00736152">
        <w:rPr>
          <w:rFonts w:ascii="Arial" w:hAnsi="Arial" w:cs="Arial"/>
        </w:rPr>
        <w:t>7</w:t>
      </w:r>
    </w:p>
    <w:p w14:paraId="1829C770" w14:textId="77777777" w:rsidR="00436B9F" w:rsidRPr="00CA661C" w:rsidRDefault="00436B9F" w:rsidP="00436B9F">
      <w:pPr>
        <w:tabs>
          <w:tab w:val="left" w:pos="8625"/>
        </w:tabs>
        <w:spacing w:line="264" w:lineRule="auto"/>
        <w:ind w:left="5040" w:firstLine="0"/>
        <w:rPr>
          <w:rFonts w:ascii="Arial" w:hAnsi="Arial" w:cs="Arial"/>
          <w:sz w:val="20"/>
          <w:szCs w:val="20"/>
        </w:rPr>
        <w:sectPr w:rsidR="00436B9F" w:rsidRPr="00CA661C" w:rsidSect="00051C2A">
          <w:endnotePr>
            <w:numFmt w:val="decimal"/>
          </w:endnotePr>
          <w:pgSz w:w="12240" w:h="15840" w:code="1"/>
          <w:pgMar w:top="2880" w:right="965" w:bottom="1195" w:left="3629" w:header="720" w:footer="576" w:gutter="0"/>
          <w:pgNumType w:fmt="lowerRoman" w:start="1"/>
          <w:cols w:space="720"/>
          <w:docGrid w:linePitch="326"/>
        </w:sectPr>
      </w:pPr>
      <w:bookmarkStart w:id="5" w:name="StartingPoint"/>
      <w:bookmarkEnd w:id="5"/>
    </w:p>
    <w:tbl>
      <w:tblPr>
        <w:tblpPr w:leftFromText="187" w:rightFromText="187" w:vertAnchor="page" w:tblpY="2881"/>
        <w:tblOverlap w:val="never"/>
        <w:tblW w:w="0" w:type="auto"/>
        <w:tblLayout w:type="fixed"/>
        <w:tblCellMar>
          <w:left w:w="115" w:type="dxa"/>
          <w:right w:w="115" w:type="dxa"/>
        </w:tblCellMar>
        <w:tblLook w:val="04A0" w:firstRow="1" w:lastRow="0" w:firstColumn="1" w:lastColumn="0" w:noHBand="0" w:noVBand="1"/>
      </w:tblPr>
      <w:tblGrid>
        <w:gridCol w:w="3618"/>
        <w:gridCol w:w="4057"/>
      </w:tblGrid>
      <w:tr w:rsidR="00436B9F" w:rsidRPr="00CA661C" w14:paraId="1829C781" w14:textId="77777777" w:rsidTr="00051C2A">
        <w:tc>
          <w:tcPr>
            <w:tcW w:w="3618" w:type="dxa"/>
          </w:tcPr>
          <w:p w14:paraId="1829C772" w14:textId="77777777" w:rsidR="00436B9F" w:rsidRPr="00CA661C" w:rsidRDefault="00436B9F" w:rsidP="00051C2A">
            <w:pPr>
              <w:spacing w:line="240" w:lineRule="exact"/>
              <w:ind w:firstLine="0"/>
              <w:jc w:val="left"/>
              <w:rPr>
                <w:rFonts w:ascii="Arial" w:hAnsi="Arial" w:cs="Arial"/>
                <w:sz w:val="17"/>
                <w:szCs w:val="16"/>
              </w:rPr>
            </w:pPr>
            <w:bookmarkStart w:id="6" w:name="MPRRef"/>
            <w:bookmarkStart w:id="7" w:name="Agency"/>
            <w:bookmarkEnd w:id="6"/>
            <w:bookmarkEnd w:id="7"/>
            <w:r>
              <w:rPr>
                <w:rFonts w:ascii="Arial" w:hAnsi="Arial" w:cs="Arial"/>
                <w:sz w:val="17"/>
                <w:szCs w:val="16"/>
              </w:rPr>
              <w:lastRenderedPageBreak/>
              <w:t xml:space="preserve">U.S. Department of Health and Human Services Office of Adolescent Health </w:t>
            </w:r>
            <w:r>
              <w:rPr>
                <w:rFonts w:ascii="Arial" w:hAnsi="Arial" w:cs="Arial"/>
                <w:sz w:val="17"/>
                <w:szCs w:val="16"/>
              </w:rPr>
              <w:br/>
              <w:t xml:space="preserve">Office of the Director Department </w:t>
            </w:r>
            <w:r>
              <w:rPr>
                <w:rFonts w:ascii="Arial" w:hAnsi="Arial" w:cs="Arial"/>
                <w:sz w:val="17"/>
                <w:szCs w:val="16"/>
              </w:rPr>
              <w:br/>
              <w:t>of Health and Human Services</w:t>
            </w:r>
          </w:p>
          <w:p w14:paraId="1829C773" w14:textId="77777777" w:rsidR="00436B9F" w:rsidRPr="00CA661C" w:rsidRDefault="00436B9F" w:rsidP="00051C2A">
            <w:pPr>
              <w:spacing w:line="240" w:lineRule="exact"/>
              <w:ind w:firstLine="0"/>
              <w:jc w:val="left"/>
              <w:rPr>
                <w:rFonts w:ascii="Arial" w:hAnsi="Arial" w:cs="Arial"/>
                <w:sz w:val="17"/>
                <w:szCs w:val="16"/>
              </w:rPr>
            </w:pPr>
            <w:bookmarkStart w:id="8" w:name="Address"/>
            <w:bookmarkEnd w:id="8"/>
            <w:r>
              <w:rPr>
                <w:rFonts w:ascii="Arial" w:hAnsi="Arial" w:cs="Arial"/>
                <w:sz w:val="17"/>
                <w:szCs w:val="16"/>
              </w:rPr>
              <w:t>1101 Wootton Parkway, Suite 700</w:t>
            </w:r>
          </w:p>
          <w:p w14:paraId="1829C774" w14:textId="77777777" w:rsidR="00436B9F" w:rsidRPr="00CA661C" w:rsidRDefault="00436B9F" w:rsidP="00051C2A">
            <w:pPr>
              <w:spacing w:line="240" w:lineRule="exact"/>
              <w:ind w:firstLine="0"/>
              <w:jc w:val="left"/>
              <w:rPr>
                <w:rFonts w:ascii="Arial" w:hAnsi="Arial" w:cs="Arial"/>
                <w:sz w:val="17"/>
                <w:szCs w:val="16"/>
              </w:rPr>
            </w:pPr>
            <w:bookmarkStart w:id="9" w:name="Address2"/>
            <w:bookmarkEnd w:id="9"/>
            <w:r>
              <w:rPr>
                <w:rFonts w:ascii="Arial" w:hAnsi="Arial" w:cs="Arial"/>
                <w:sz w:val="17"/>
                <w:szCs w:val="16"/>
              </w:rPr>
              <w:t>Rockville, MD 20852</w:t>
            </w:r>
          </w:p>
          <w:p w14:paraId="1829C775" w14:textId="77777777" w:rsidR="00436B9F" w:rsidRPr="00CA661C" w:rsidRDefault="00436B9F" w:rsidP="00051C2A">
            <w:pPr>
              <w:spacing w:after="180" w:line="240" w:lineRule="exact"/>
              <w:ind w:firstLine="0"/>
              <w:jc w:val="left"/>
              <w:rPr>
                <w:rFonts w:ascii="Arial" w:hAnsi="Arial" w:cs="Arial"/>
                <w:sz w:val="17"/>
                <w:szCs w:val="16"/>
              </w:rPr>
            </w:pPr>
            <w:r w:rsidRPr="00CA661C">
              <w:rPr>
                <w:rFonts w:ascii="Arial" w:hAnsi="Arial" w:cs="Arial"/>
                <w:sz w:val="17"/>
                <w:szCs w:val="16"/>
              </w:rPr>
              <w:t xml:space="preserve">Project Officer: </w:t>
            </w:r>
            <w:bookmarkStart w:id="10" w:name="ProjOff"/>
            <w:bookmarkEnd w:id="10"/>
            <w:r>
              <w:rPr>
                <w:rFonts w:ascii="Arial" w:hAnsi="Arial" w:cs="Arial"/>
                <w:sz w:val="17"/>
                <w:szCs w:val="16"/>
              </w:rPr>
              <w:t>Amy Farb</w:t>
            </w:r>
          </w:p>
          <w:p w14:paraId="1829C77C" w14:textId="6F75C7B6" w:rsidR="00436B9F" w:rsidRPr="00CA661C" w:rsidRDefault="00436B9F" w:rsidP="00051C2A">
            <w:pPr>
              <w:spacing w:after="180" w:line="240" w:lineRule="exact"/>
              <w:ind w:firstLine="0"/>
              <w:jc w:val="left"/>
              <w:rPr>
                <w:rFonts w:ascii="Arial" w:hAnsi="Arial" w:cs="Arial"/>
                <w:sz w:val="16"/>
                <w:szCs w:val="16"/>
              </w:rPr>
            </w:pPr>
          </w:p>
        </w:tc>
        <w:tc>
          <w:tcPr>
            <w:tcW w:w="4057" w:type="dxa"/>
          </w:tcPr>
          <w:p w14:paraId="1829C77D" w14:textId="754EB7DF" w:rsidR="00436B9F" w:rsidRPr="00360889" w:rsidRDefault="00436B9F" w:rsidP="00051C2A">
            <w:pPr>
              <w:spacing w:after="144" w:line="312" w:lineRule="auto"/>
              <w:ind w:left="58" w:firstLine="0"/>
              <w:jc w:val="left"/>
              <w:rPr>
                <w:rFonts w:ascii="Arial" w:hAnsi="Arial" w:cs="Arial"/>
                <w:b/>
              </w:rPr>
            </w:pPr>
            <w:bookmarkStart w:id="11" w:name="RepTitle2"/>
            <w:bookmarkEnd w:id="11"/>
            <w:r>
              <w:rPr>
                <w:rFonts w:ascii="Arial" w:hAnsi="Arial" w:cs="Arial"/>
                <w:b/>
              </w:rPr>
              <w:t xml:space="preserve">Part A: </w:t>
            </w:r>
            <w:r w:rsidRPr="001205FE">
              <w:rPr>
                <w:rFonts w:ascii="Arial" w:hAnsi="Arial" w:cs="Arial"/>
                <w:b/>
              </w:rPr>
              <w:t xml:space="preserve">Justification for the Collection of </w:t>
            </w:r>
            <w:r w:rsidR="00B40F3C">
              <w:rPr>
                <w:rFonts w:ascii="Arial" w:hAnsi="Arial" w:cs="Arial"/>
                <w:b/>
              </w:rPr>
              <w:t>Follow-u</w:t>
            </w:r>
            <w:r w:rsidR="00C51A43">
              <w:rPr>
                <w:rFonts w:ascii="Arial" w:hAnsi="Arial" w:cs="Arial"/>
                <w:b/>
              </w:rPr>
              <w:t>p</w:t>
            </w:r>
            <w:r w:rsidR="00C51A43" w:rsidRPr="0079197C">
              <w:rPr>
                <w:rFonts w:ascii="Arial" w:hAnsi="Arial" w:cs="Arial"/>
                <w:b/>
              </w:rPr>
              <w:t xml:space="preserve"> </w:t>
            </w:r>
            <w:r w:rsidRPr="0079197C">
              <w:rPr>
                <w:rFonts w:ascii="Arial" w:hAnsi="Arial" w:cs="Arial"/>
                <w:b/>
              </w:rPr>
              <w:t xml:space="preserve">Survey Data - </w:t>
            </w:r>
            <w:r w:rsidRPr="00BA5182">
              <w:rPr>
                <w:rFonts w:ascii="Arial" w:hAnsi="Arial" w:cs="Arial"/>
                <w:b/>
              </w:rPr>
              <w:t xml:space="preserve">Federal Evaluation of </w:t>
            </w:r>
            <w:r w:rsidRPr="00BA5182">
              <w:rPr>
                <w:rFonts w:ascii="Arial" w:hAnsi="Arial" w:cs="Arial"/>
                <w:b/>
                <w:i/>
              </w:rPr>
              <w:t>Making Proud Choices!</w:t>
            </w:r>
          </w:p>
          <w:p w14:paraId="1829C77E" w14:textId="7F6F4A9F" w:rsidR="00436B9F" w:rsidRDefault="00436B9F" w:rsidP="00051C2A">
            <w:pPr>
              <w:spacing w:before="144" w:after="288" w:line="360" w:lineRule="exact"/>
              <w:ind w:left="58" w:firstLine="0"/>
              <w:jc w:val="left"/>
              <w:rPr>
                <w:rFonts w:ascii="Arial" w:hAnsi="Arial" w:cs="Arial"/>
                <w:b/>
              </w:rPr>
            </w:pPr>
            <w:bookmarkStart w:id="12" w:name="RepType2"/>
            <w:bookmarkStart w:id="13" w:name="DateMark2"/>
            <w:bookmarkEnd w:id="12"/>
            <w:bookmarkEnd w:id="13"/>
            <w:r>
              <w:rPr>
                <w:rFonts w:ascii="Arial" w:hAnsi="Arial" w:cs="Arial"/>
                <w:b/>
              </w:rPr>
              <w:t xml:space="preserve">OMB Control </w:t>
            </w:r>
            <w:r w:rsidRPr="00B36D0A">
              <w:rPr>
                <w:rFonts w:ascii="Arial" w:hAnsi="Arial" w:cs="Arial"/>
                <w:b/>
              </w:rPr>
              <w:t xml:space="preserve">Number </w:t>
            </w:r>
            <w:r w:rsidR="00962334">
              <w:rPr>
                <w:rFonts w:ascii="Arial" w:hAnsi="Arial" w:cs="Arial"/>
                <w:b/>
              </w:rPr>
              <w:t>0990</w:t>
            </w:r>
            <w:r w:rsidR="00BD77B3">
              <w:rPr>
                <w:rFonts w:ascii="Arial" w:hAnsi="Arial" w:cs="Arial"/>
                <w:b/>
              </w:rPr>
              <w:t>-0452</w:t>
            </w:r>
          </w:p>
          <w:p w14:paraId="1829C77F" w14:textId="54B5E561" w:rsidR="00436B9F" w:rsidRPr="00360889" w:rsidRDefault="00CB418E" w:rsidP="00051C2A">
            <w:pPr>
              <w:spacing w:before="144" w:after="288" w:line="360" w:lineRule="exact"/>
              <w:ind w:left="58" w:firstLine="0"/>
              <w:jc w:val="left"/>
              <w:rPr>
                <w:rFonts w:ascii="Arial" w:hAnsi="Arial" w:cs="Arial"/>
              </w:rPr>
            </w:pPr>
            <w:r>
              <w:rPr>
                <w:rFonts w:ascii="Arial" w:hAnsi="Arial" w:cs="Arial"/>
              </w:rPr>
              <w:t xml:space="preserve">August </w:t>
            </w:r>
            <w:r w:rsidR="00436B9F">
              <w:rPr>
                <w:rFonts w:ascii="Arial" w:hAnsi="Arial" w:cs="Arial"/>
              </w:rPr>
              <w:t>201</w:t>
            </w:r>
            <w:r w:rsidR="003123FD">
              <w:rPr>
                <w:rFonts w:ascii="Arial" w:hAnsi="Arial" w:cs="Arial"/>
              </w:rPr>
              <w:t>7</w:t>
            </w:r>
          </w:p>
          <w:p w14:paraId="1829C780" w14:textId="77777777" w:rsidR="00436B9F" w:rsidRPr="00CA661C" w:rsidRDefault="00436B9F" w:rsidP="00051C2A">
            <w:pPr>
              <w:spacing w:line="264" w:lineRule="auto"/>
              <w:ind w:left="58" w:firstLine="0"/>
              <w:jc w:val="left"/>
              <w:rPr>
                <w:rFonts w:ascii="Arial" w:hAnsi="Arial" w:cs="Arial"/>
                <w:sz w:val="22"/>
                <w:szCs w:val="22"/>
              </w:rPr>
            </w:pPr>
          </w:p>
        </w:tc>
      </w:tr>
    </w:tbl>
    <w:p w14:paraId="1829C782" w14:textId="77777777" w:rsidR="00436B9F" w:rsidRPr="00CA661C" w:rsidRDefault="00436B9F" w:rsidP="00436B9F">
      <w:pPr>
        <w:tabs>
          <w:tab w:val="clear" w:pos="432"/>
          <w:tab w:val="left" w:pos="8255"/>
        </w:tabs>
        <w:spacing w:line="264" w:lineRule="auto"/>
        <w:ind w:firstLine="0"/>
        <w:rPr>
          <w:rFonts w:ascii="Arial" w:hAnsi="Arial" w:cs="Arial"/>
          <w:sz w:val="22"/>
          <w:szCs w:val="22"/>
        </w:rPr>
      </w:pPr>
    </w:p>
    <w:p w14:paraId="1829C783" w14:textId="77777777" w:rsidR="00436B9F" w:rsidRPr="00CA661C" w:rsidRDefault="00436B9F" w:rsidP="00436B9F">
      <w:pPr>
        <w:spacing w:line="264" w:lineRule="auto"/>
        <w:ind w:firstLine="0"/>
        <w:rPr>
          <w:rFonts w:ascii="Arial" w:hAnsi="Arial" w:cs="Arial"/>
          <w:sz w:val="22"/>
          <w:szCs w:val="22"/>
        </w:rPr>
      </w:pPr>
    </w:p>
    <w:p w14:paraId="1829C784" w14:textId="77777777" w:rsidR="00436B9F" w:rsidRPr="00CA661C" w:rsidRDefault="00436B9F" w:rsidP="00436B9F">
      <w:pPr>
        <w:spacing w:line="264" w:lineRule="auto"/>
        <w:ind w:firstLine="0"/>
        <w:rPr>
          <w:rFonts w:ascii="Arial" w:hAnsi="Arial" w:cs="Arial"/>
          <w:sz w:val="22"/>
          <w:szCs w:val="22"/>
        </w:rPr>
        <w:sectPr w:rsidR="00436B9F" w:rsidRPr="00CA661C" w:rsidSect="00051C2A">
          <w:footerReference w:type="default" r:id="rId12"/>
          <w:endnotePr>
            <w:numFmt w:val="decimal"/>
          </w:endnotePr>
          <w:pgSz w:w="12240" w:h="15840" w:code="1"/>
          <w:pgMar w:top="4320" w:right="965" w:bottom="1195" w:left="3629" w:header="720" w:footer="576" w:gutter="0"/>
          <w:pgNumType w:fmt="lowerRoman"/>
          <w:cols w:space="720"/>
          <w:docGrid w:linePitch="150"/>
        </w:sectPr>
      </w:pPr>
    </w:p>
    <w:p w14:paraId="1829C785" w14:textId="77777777" w:rsidR="00436B9F" w:rsidRDefault="00436B9F" w:rsidP="00436B9F">
      <w:pPr>
        <w:pStyle w:val="Heading1Black"/>
      </w:pPr>
      <w:bookmarkStart w:id="14" w:name="RepTitle"/>
      <w:bookmarkStart w:id="15" w:name="_Toc383429896"/>
      <w:bookmarkStart w:id="16" w:name="_Toc448728852"/>
      <w:bookmarkStart w:id="17" w:name="_Toc448730394"/>
      <w:bookmarkStart w:id="18" w:name="_Toc473715668"/>
      <w:bookmarkStart w:id="19" w:name="_Toc477900625"/>
      <w:bookmarkEnd w:id="14"/>
      <w:r>
        <w:lastRenderedPageBreak/>
        <w:t>CONTENTS</w:t>
      </w:r>
      <w:bookmarkEnd w:id="15"/>
      <w:bookmarkEnd w:id="16"/>
      <w:bookmarkEnd w:id="17"/>
      <w:bookmarkEnd w:id="18"/>
      <w:bookmarkEnd w:id="19"/>
    </w:p>
    <w:p w14:paraId="7581C592" w14:textId="77777777" w:rsidR="00D31CCD" w:rsidRDefault="00436B9F">
      <w:pPr>
        <w:pStyle w:val="TOC1"/>
        <w:rPr>
          <w:rFonts w:asciiTheme="minorHAnsi" w:eastAsiaTheme="minorEastAsia" w:hAnsiTheme="minorHAnsi" w:cstheme="minorBidi"/>
          <w:caps w:val="0"/>
          <w:noProof/>
          <w:sz w:val="22"/>
          <w:szCs w:val="22"/>
        </w:rPr>
      </w:pPr>
      <w:r>
        <w:rPr>
          <w:rFonts w:ascii="Lucida Sans" w:hAnsi="Lucida Sans" w:cs="Lucida Sans"/>
          <w:b/>
          <w:sz w:val="22"/>
        </w:rPr>
        <w:fldChar w:fldCharType="begin"/>
      </w:r>
      <w:r>
        <w:rPr>
          <w:rFonts w:cs="Lucida Sans"/>
          <w:b/>
        </w:rPr>
        <w:instrText xml:space="preserve"> TOC \o "1-3" \z \t "Heading 1_Black,1,Heading 1_Red,1,Heading 1_Blue,1,Heading 2_Black,2,Heading 2_Red,2,Heading 2_Blue,2,Mark for Appendix Heading_Black,8,Mark for Appendix Heading_Blue,8,Mark for Appendix Heading_Red,8" </w:instrText>
      </w:r>
      <w:r>
        <w:rPr>
          <w:rFonts w:ascii="Lucida Sans" w:hAnsi="Lucida Sans" w:cs="Lucida Sans"/>
          <w:b/>
          <w:sz w:val="22"/>
        </w:rPr>
        <w:fldChar w:fldCharType="separate"/>
      </w:r>
      <w:r w:rsidR="00D31CCD">
        <w:rPr>
          <w:noProof/>
        </w:rPr>
        <w:t>CONTENTS</w:t>
      </w:r>
      <w:r w:rsidR="00D31CCD">
        <w:rPr>
          <w:noProof/>
          <w:webHidden/>
        </w:rPr>
        <w:tab/>
      </w:r>
      <w:r w:rsidR="00D31CCD">
        <w:rPr>
          <w:noProof/>
          <w:webHidden/>
        </w:rPr>
        <w:fldChar w:fldCharType="begin"/>
      </w:r>
      <w:r w:rsidR="00D31CCD">
        <w:rPr>
          <w:noProof/>
          <w:webHidden/>
        </w:rPr>
        <w:instrText xml:space="preserve"> PAGEREF _Toc477900625 \h </w:instrText>
      </w:r>
      <w:r w:rsidR="00D31CCD">
        <w:rPr>
          <w:noProof/>
          <w:webHidden/>
        </w:rPr>
      </w:r>
      <w:r w:rsidR="00D31CCD">
        <w:rPr>
          <w:noProof/>
          <w:webHidden/>
        </w:rPr>
        <w:fldChar w:fldCharType="separate"/>
      </w:r>
      <w:r w:rsidR="00D31CCD">
        <w:rPr>
          <w:noProof/>
          <w:webHidden/>
        </w:rPr>
        <w:t>iii</w:t>
      </w:r>
      <w:r w:rsidR="00D31CCD">
        <w:rPr>
          <w:noProof/>
          <w:webHidden/>
        </w:rPr>
        <w:fldChar w:fldCharType="end"/>
      </w:r>
    </w:p>
    <w:p w14:paraId="0E856030" w14:textId="77777777" w:rsidR="00D31CCD" w:rsidRDefault="00D31CCD">
      <w:pPr>
        <w:pStyle w:val="TOC1"/>
        <w:rPr>
          <w:rFonts w:asciiTheme="minorHAnsi" w:eastAsiaTheme="minorEastAsia" w:hAnsiTheme="minorHAnsi" w:cstheme="minorBidi"/>
          <w:caps w:val="0"/>
          <w:noProof/>
          <w:sz w:val="22"/>
          <w:szCs w:val="22"/>
        </w:rPr>
      </w:pPr>
      <w:r>
        <w:rPr>
          <w:noProof/>
        </w:rPr>
        <w:t>TABLES</w:t>
      </w:r>
      <w:r>
        <w:rPr>
          <w:noProof/>
          <w:webHidden/>
        </w:rPr>
        <w:tab/>
      </w:r>
      <w:r>
        <w:rPr>
          <w:noProof/>
          <w:webHidden/>
        </w:rPr>
        <w:fldChar w:fldCharType="begin"/>
      </w:r>
      <w:r>
        <w:rPr>
          <w:noProof/>
          <w:webHidden/>
        </w:rPr>
        <w:instrText xml:space="preserve"> PAGEREF _Toc477900626 \h </w:instrText>
      </w:r>
      <w:r>
        <w:rPr>
          <w:noProof/>
          <w:webHidden/>
        </w:rPr>
      </w:r>
      <w:r>
        <w:rPr>
          <w:noProof/>
          <w:webHidden/>
        </w:rPr>
        <w:fldChar w:fldCharType="separate"/>
      </w:r>
      <w:r>
        <w:rPr>
          <w:noProof/>
          <w:webHidden/>
        </w:rPr>
        <w:t>iv</w:t>
      </w:r>
      <w:r>
        <w:rPr>
          <w:noProof/>
          <w:webHidden/>
        </w:rPr>
        <w:fldChar w:fldCharType="end"/>
      </w:r>
    </w:p>
    <w:p w14:paraId="2DC7C584" w14:textId="77777777" w:rsidR="00D31CCD" w:rsidRDefault="00D31CCD">
      <w:pPr>
        <w:pStyle w:val="TOC1"/>
        <w:rPr>
          <w:rFonts w:asciiTheme="minorHAnsi" w:eastAsiaTheme="minorEastAsia" w:hAnsiTheme="minorHAnsi" w:cstheme="minorBidi"/>
          <w:caps w:val="0"/>
          <w:noProof/>
          <w:sz w:val="22"/>
          <w:szCs w:val="22"/>
        </w:rPr>
      </w:pPr>
      <w:r>
        <w:rPr>
          <w:noProof/>
        </w:rPr>
        <w:t>ATTACHMENTS</w:t>
      </w:r>
      <w:r>
        <w:rPr>
          <w:noProof/>
          <w:webHidden/>
        </w:rPr>
        <w:tab/>
      </w:r>
      <w:r>
        <w:rPr>
          <w:noProof/>
          <w:webHidden/>
        </w:rPr>
        <w:fldChar w:fldCharType="begin"/>
      </w:r>
      <w:r>
        <w:rPr>
          <w:noProof/>
          <w:webHidden/>
        </w:rPr>
        <w:instrText xml:space="preserve"> PAGEREF _Toc477900627 \h </w:instrText>
      </w:r>
      <w:r>
        <w:rPr>
          <w:noProof/>
          <w:webHidden/>
        </w:rPr>
      </w:r>
      <w:r>
        <w:rPr>
          <w:noProof/>
          <w:webHidden/>
        </w:rPr>
        <w:fldChar w:fldCharType="separate"/>
      </w:r>
      <w:r>
        <w:rPr>
          <w:noProof/>
          <w:webHidden/>
        </w:rPr>
        <w:t>v</w:t>
      </w:r>
      <w:r>
        <w:rPr>
          <w:noProof/>
          <w:webHidden/>
        </w:rPr>
        <w:fldChar w:fldCharType="end"/>
      </w:r>
    </w:p>
    <w:p w14:paraId="63F115A5" w14:textId="77777777" w:rsidR="00D31CCD" w:rsidRDefault="00D31CCD">
      <w:pPr>
        <w:pStyle w:val="TOC1"/>
        <w:rPr>
          <w:rFonts w:asciiTheme="minorHAnsi" w:eastAsiaTheme="minorEastAsia" w:hAnsiTheme="minorHAnsi" w:cstheme="minorBidi"/>
          <w:caps w:val="0"/>
          <w:noProof/>
          <w:sz w:val="22"/>
          <w:szCs w:val="22"/>
        </w:rPr>
      </w:pPr>
      <w:r w:rsidRPr="008D4D91">
        <w:rPr>
          <w:caps w:val="0"/>
          <w:noProof/>
        </w:rPr>
        <w:t>PART A INTRODUCTION</w:t>
      </w:r>
      <w:r>
        <w:rPr>
          <w:noProof/>
          <w:webHidden/>
        </w:rPr>
        <w:tab/>
      </w:r>
      <w:r>
        <w:rPr>
          <w:noProof/>
          <w:webHidden/>
        </w:rPr>
        <w:fldChar w:fldCharType="begin"/>
      </w:r>
      <w:r>
        <w:rPr>
          <w:noProof/>
          <w:webHidden/>
        </w:rPr>
        <w:instrText xml:space="preserve"> PAGEREF _Toc477900628 \h </w:instrText>
      </w:r>
      <w:r>
        <w:rPr>
          <w:noProof/>
          <w:webHidden/>
        </w:rPr>
      </w:r>
      <w:r>
        <w:rPr>
          <w:noProof/>
          <w:webHidden/>
        </w:rPr>
        <w:fldChar w:fldCharType="separate"/>
      </w:r>
      <w:r>
        <w:rPr>
          <w:noProof/>
          <w:webHidden/>
        </w:rPr>
        <w:t>1</w:t>
      </w:r>
      <w:r>
        <w:rPr>
          <w:noProof/>
          <w:webHidden/>
        </w:rPr>
        <w:fldChar w:fldCharType="end"/>
      </w:r>
    </w:p>
    <w:p w14:paraId="32D839BA" w14:textId="77777777" w:rsidR="00D31CCD" w:rsidRDefault="00D31CCD">
      <w:pPr>
        <w:pStyle w:val="TOC2"/>
        <w:tabs>
          <w:tab w:val="left" w:pos="2146"/>
        </w:tabs>
        <w:rPr>
          <w:rFonts w:asciiTheme="minorHAnsi" w:eastAsiaTheme="minorEastAsia" w:hAnsiTheme="minorHAnsi" w:cstheme="minorBidi"/>
          <w:sz w:val="22"/>
          <w:szCs w:val="22"/>
        </w:rPr>
      </w:pPr>
      <w:r>
        <w:t>A.1.</w:t>
      </w:r>
      <w:r>
        <w:rPr>
          <w:rFonts w:asciiTheme="minorHAnsi" w:eastAsiaTheme="minorEastAsia" w:hAnsiTheme="minorHAnsi" w:cstheme="minorBidi"/>
          <w:sz w:val="22"/>
          <w:szCs w:val="22"/>
        </w:rPr>
        <w:tab/>
      </w:r>
      <w:r>
        <w:t>Circumstances Making the Collection of Information Necessary</w:t>
      </w:r>
      <w:r>
        <w:rPr>
          <w:webHidden/>
        </w:rPr>
        <w:tab/>
      </w:r>
      <w:r>
        <w:rPr>
          <w:webHidden/>
        </w:rPr>
        <w:fldChar w:fldCharType="begin"/>
      </w:r>
      <w:r>
        <w:rPr>
          <w:webHidden/>
        </w:rPr>
        <w:instrText xml:space="preserve"> PAGEREF _Toc477900629 \h </w:instrText>
      </w:r>
      <w:r>
        <w:rPr>
          <w:webHidden/>
        </w:rPr>
      </w:r>
      <w:r>
        <w:rPr>
          <w:webHidden/>
        </w:rPr>
        <w:fldChar w:fldCharType="separate"/>
      </w:r>
      <w:r>
        <w:rPr>
          <w:webHidden/>
        </w:rPr>
        <w:t>2</w:t>
      </w:r>
      <w:r>
        <w:rPr>
          <w:webHidden/>
        </w:rPr>
        <w:fldChar w:fldCharType="end"/>
      </w:r>
    </w:p>
    <w:p w14:paraId="2C2B65CB" w14:textId="77777777" w:rsidR="00D31CCD" w:rsidRDefault="00D31CCD">
      <w:pPr>
        <w:pStyle w:val="TOC3"/>
        <w:tabs>
          <w:tab w:val="left" w:pos="2146"/>
        </w:tabs>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Legal or Administrative Requirements that Necessitate the Collection</w:t>
      </w:r>
      <w:r>
        <w:rPr>
          <w:webHidden/>
        </w:rPr>
        <w:tab/>
      </w:r>
      <w:r>
        <w:rPr>
          <w:webHidden/>
        </w:rPr>
        <w:fldChar w:fldCharType="begin"/>
      </w:r>
      <w:r>
        <w:rPr>
          <w:webHidden/>
        </w:rPr>
        <w:instrText xml:space="preserve"> PAGEREF _Toc477900630 \h </w:instrText>
      </w:r>
      <w:r>
        <w:rPr>
          <w:webHidden/>
        </w:rPr>
      </w:r>
      <w:r>
        <w:rPr>
          <w:webHidden/>
        </w:rPr>
        <w:fldChar w:fldCharType="separate"/>
      </w:r>
      <w:r>
        <w:rPr>
          <w:webHidden/>
        </w:rPr>
        <w:t>2</w:t>
      </w:r>
      <w:r>
        <w:rPr>
          <w:webHidden/>
        </w:rPr>
        <w:fldChar w:fldCharType="end"/>
      </w:r>
    </w:p>
    <w:p w14:paraId="17ECF2B1" w14:textId="77777777" w:rsidR="00D31CCD" w:rsidRDefault="00D31CCD">
      <w:pPr>
        <w:pStyle w:val="TOC3"/>
        <w:tabs>
          <w:tab w:val="left" w:pos="2146"/>
        </w:tabs>
        <w:rPr>
          <w:rFonts w:asciiTheme="minorHAnsi" w:eastAsiaTheme="minorEastAsia" w:hAnsiTheme="minorHAnsi" w:cstheme="minorBidi"/>
          <w:sz w:val="22"/>
          <w:szCs w:val="22"/>
        </w:rPr>
      </w:pPr>
      <w:r w:rsidRPr="008D4D91">
        <w:t>2.</w:t>
      </w:r>
      <w:r>
        <w:rPr>
          <w:rFonts w:asciiTheme="minorHAnsi" w:eastAsiaTheme="minorEastAsia" w:hAnsiTheme="minorHAnsi" w:cstheme="minorBidi"/>
          <w:sz w:val="22"/>
          <w:szCs w:val="22"/>
        </w:rPr>
        <w:tab/>
      </w:r>
      <w:r w:rsidRPr="008D4D91">
        <w:t>Study Objectives</w:t>
      </w:r>
      <w:r>
        <w:rPr>
          <w:webHidden/>
        </w:rPr>
        <w:tab/>
      </w:r>
      <w:r>
        <w:rPr>
          <w:webHidden/>
        </w:rPr>
        <w:fldChar w:fldCharType="begin"/>
      </w:r>
      <w:r>
        <w:rPr>
          <w:webHidden/>
        </w:rPr>
        <w:instrText xml:space="preserve"> PAGEREF _Toc477900631 \h </w:instrText>
      </w:r>
      <w:r>
        <w:rPr>
          <w:webHidden/>
        </w:rPr>
      </w:r>
      <w:r>
        <w:rPr>
          <w:webHidden/>
        </w:rPr>
        <w:fldChar w:fldCharType="separate"/>
      </w:r>
      <w:r>
        <w:rPr>
          <w:webHidden/>
        </w:rPr>
        <w:t>3</w:t>
      </w:r>
      <w:r>
        <w:rPr>
          <w:webHidden/>
        </w:rPr>
        <w:fldChar w:fldCharType="end"/>
      </w:r>
    </w:p>
    <w:p w14:paraId="782730E3" w14:textId="77777777" w:rsidR="00D31CCD" w:rsidRDefault="00D31CCD">
      <w:pPr>
        <w:pStyle w:val="TOC2"/>
        <w:tabs>
          <w:tab w:val="left" w:pos="2146"/>
        </w:tabs>
        <w:rPr>
          <w:rFonts w:asciiTheme="minorHAnsi" w:eastAsiaTheme="minorEastAsia" w:hAnsiTheme="minorHAnsi" w:cstheme="minorBidi"/>
          <w:sz w:val="22"/>
          <w:szCs w:val="22"/>
        </w:rPr>
      </w:pPr>
      <w:r>
        <w:t>A.2.</w:t>
      </w:r>
      <w:r>
        <w:rPr>
          <w:rFonts w:asciiTheme="minorHAnsi" w:eastAsiaTheme="minorEastAsia" w:hAnsiTheme="minorHAnsi" w:cstheme="minorBidi"/>
          <w:sz w:val="22"/>
          <w:szCs w:val="22"/>
        </w:rPr>
        <w:tab/>
      </w:r>
      <w:r>
        <w:t>Purpose and Use of the Information Collection</w:t>
      </w:r>
      <w:r>
        <w:rPr>
          <w:webHidden/>
        </w:rPr>
        <w:tab/>
      </w:r>
      <w:r>
        <w:rPr>
          <w:webHidden/>
        </w:rPr>
        <w:fldChar w:fldCharType="begin"/>
      </w:r>
      <w:r>
        <w:rPr>
          <w:webHidden/>
        </w:rPr>
        <w:instrText xml:space="preserve"> PAGEREF _Toc477900632 \h </w:instrText>
      </w:r>
      <w:r>
        <w:rPr>
          <w:webHidden/>
        </w:rPr>
      </w:r>
      <w:r>
        <w:rPr>
          <w:webHidden/>
        </w:rPr>
        <w:fldChar w:fldCharType="separate"/>
      </w:r>
      <w:r>
        <w:rPr>
          <w:webHidden/>
        </w:rPr>
        <w:t>5</w:t>
      </w:r>
      <w:r>
        <w:rPr>
          <w:webHidden/>
        </w:rPr>
        <w:fldChar w:fldCharType="end"/>
      </w:r>
    </w:p>
    <w:p w14:paraId="128B6456" w14:textId="77777777" w:rsidR="00D31CCD" w:rsidRDefault="00D31CCD">
      <w:pPr>
        <w:pStyle w:val="TOC2"/>
        <w:tabs>
          <w:tab w:val="left" w:pos="2146"/>
        </w:tabs>
        <w:rPr>
          <w:rFonts w:asciiTheme="minorHAnsi" w:eastAsiaTheme="minorEastAsia" w:hAnsiTheme="minorHAnsi" w:cstheme="minorBidi"/>
          <w:sz w:val="22"/>
          <w:szCs w:val="22"/>
        </w:rPr>
      </w:pPr>
      <w:r>
        <w:t>A.3.</w:t>
      </w:r>
      <w:r>
        <w:rPr>
          <w:rFonts w:asciiTheme="minorHAnsi" w:eastAsiaTheme="minorEastAsia" w:hAnsiTheme="minorHAnsi" w:cstheme="minorBidi"/>
          <w:sz w:val="22"/>
          <w:szCs w:val="22"/>
        </w:rPr>
        <w:tab/>
      </w:r>
      <w:r>
        <w:t>Use of Information Technology to Reduce Burden</w:t>
      </w:r>
      <w:r>
        <w:rPr>
          <w:webHidden/>
        </w:rPr>
        <w:tab/>
      </w:r>
      <w:r>
        <w:rPr>
          <w:webHidden/>
        </w:rPr>
        <w:fldChar w:fldCharType="begin"/>
      </w:r>
      <w:r>
        <w:rPr>
          <w:webHidden/>
        </w:rPr>
        <w:instrText xml:space="preserve"> PAGEREF _Toc477900633 \h </w:instrText>
      </w:r>
      <w:r>
        <w:rPr>
          <w:webHidden/>
        </w:rPr>
      </w:r>
      <w:r>
        <w:rPr>
          <w:webHidden/>
        </w:rPr>
        <w:fldChar w:fldCharType="separate"/>
      </w:r>
      <w:r>
        <w:rPr>
          <w:webHidden/>
        </w:rPr>
        <w:t>6</w:t>
      </w:r>
      <w:r>
        <w:rPr>
          <w:webHidden/>
        </w:rPr>
        <w:fldChar w:fldCharType="end"/>
      </w:r>
    </w:p>
    <w:p w14:paraId="0894F211" w14:textId="77777777" w:rsidR="00D31CCD" w:rsidRDefault="00D31CCD">
      <w:pPr>
        <w:pStyle w:val="TOC2"/>
        <w:tabs>
          <w:tab w:val="left" w:pos="2146"/>
        </w:tabs>
        <w:rPr>
          <w:rFonts w:asciiTheme="minorHAnsi" w:eastAsiaTheme="minorEastAsia" w:hAnsiTheme="minorHAnsi" w:cstheme="minorBidi"/>
          <w:sz w:val="22"/>
          <w:szCs w:val="22"/>
        </w:rPr>
      </w:pPr>
      <w:r>
        <w:t>A.4.</w:t>
      </w:r>
      <w:r>
        <w:rPr>
          <w:rFonts w:asciiTheme="minorHAnsi" w:eastAsiaTheme="minorEastAsia" w:hAnsiTheme="minorHAnsi" w:cstheme="minorBidi"/>
          <w:sz w:val="22"/>
          <w:szCs w:val="22"/>
        </w:rPr>
        <w:tab/>
      </w:r>
      <w:r>
        <w:t>Efforts to Identify Duplication and Use of Similar Information</w:t>
      </w:r>
      <w:r>
        <w:rPr>
          <w:webHidden/>
        </w:rPr>
        <w:tab/>
      </w:r>
      <w:r>
        <w:rPr>
          <w:webHidden/>
        </w:rPr>
        <w:fldChar w:fldCharType="begin"/>
      </w:r>
      <w:r>
        <w:rPr>
          <w:webHidden/>
        </w:rPr>
        <w:instrText xml:space="preserve"> PAGEREF _Toc477900634 \h </w:instrText>
      </w:r>
      <w:r>
        <w:rPr>
          <w:webHidden/>
        </w:rPr>
      </w:r>
      <w:r>
        <w:rPr>
          <w:webHidden/>
        </w:rPr>
        <w:fldChar w:fldCharType="separate"/>
      </w:r>
      <w:r>
        <w:rPr>
          <w:webHidden/>
        </w:rPr>
        <w:t>7</w:t>
      </w:r>
      <w:r>
        <w:rPr>
          <w:webHidden/>
        </w:rPr>
        <w:fldChar w:fldCharType="end"/>
      </w:r>
    </w:p>
    <w:p w14:paraId="551719D7" w14:textId="77777777" w:rsidR="00D31CCD" w:rsidRDefault="00D31CCD">
      <w:pPr>
        <w:pStyle w:val="TOC2"/>
        <w:tabs>
          <w:tab w:val="left" w:pos="2146"/>
        </w:tabs>
        <w:rPr>
          <w:rFonts w:asciiTheme="minorHAnsi" w:eastAsiaTheme="minorEastAsia" w:hAnsiTheme="minorHAnsi" w:cstheme="minorBidi"/>
          <w:sz w:val="22"/>
          <w:szCs w:val="22"/>
        </w:rPr>
      </w:pPr>
      <w:r>
        <w:t>A.5.</w:t>
      </w:r>
      <w:r>
        <w:rPr>
          <w:rFonts w:asciiTheme="minorHAnsi" w:eastAsiaTheme="minorEastAsia" w:hAnsiTheme="minorHAnsi" w:cstheme="minorBidi"/>
          <w:sz w:val="22"/>
          <w:szCs w:val="22"/>
        </w:rPr>
        <w:tab/>
      </w:r>
      <w:r>
        <w:t>Impact on Small Businesses</w:t>
      </w:r>
      <w:r>
        <w:rPr>
          <w:webHidden/>
        </w:rPr>
        <w:tab/>
      </w:r>
      <w:r>
        <w:rPr>
          <w:webHidden/>
        </w:rPr>
        <w:fldChar w:fldCharType="begin"/>
      </w:r>
      <w:r>
        <w:rPr>
          <w:webHidden/>
        </w:rPr>
        <w:instrText xml:space="preserve"> PAGEREF _Toc477900635 \h </w:instrText>
      </w:r>
      <w:r>
        <w:rPr>
          <w:webHidden/>
        </w:rPr>
      </w:r>
      <w:r>
        <w:rPr>
          <w:webHidden/>
        </w:rPr>
        <w:fldChar w:fldCharType="separate"/>
      </w:r>
      <w:r>
        <w:rPr>
          <w:webHidden/>
        </w:rPr>
        <w:t>7</w:t>
      </w:r>
      <w:r>
        <w:rPr>
          <w:webHidden/>
        </w:rPr>
        <w:fldChar w:fldCharType="end"/>
      </w:r>
    </w:p>
    <w:p w14:paraId="724738A0" w14:textId="77777777" w:rsidR="00D31CCD" w:rsidRDefault="00D31CCD">
      <w:pPr>
        <w:pStyle w:val="TOC2"/>
        <w:tabs>
          <w:tab w:val="left" w:pos="2146"/>
        </w:tabs>
        <w:rPr>
          <w:rFonts w:asciiTheme="minorHAnsi" w:eastAsiaTheme="minorEastAsia" w:hAnsiTheme="minorHAnsi" w:cstheme="minorBidi"/>
          <w:sz w:val="22"/>
          <w:szCs w:val="22"/>
        </w:rPr>
      </w:pPr>
      <w:r>
        <w:t>A.6.</w:t>
      </w:r>
      <w:r>
        <w:rPr>
          <w:rFonts w:asciiTheme="minorHAnsi" w:eastAsiaTheme="minorEastAsia" w:hAnsiTheme="minorHAnsi" w:cstheme="minorBidi"/>
          <w:sz w:val="22"/>
          <w:szCs w:val="22"/>
        </w:rPr>
        <w:tab/>
      </w:r>
      <w:r>
        <w:t>Consequences of Not Collecting the Information/Collecting Less Frequently</w:t>
      </w:r>
      <w:r>
        <w:rPr>
          <w:webHidden/>
        </w:rPr>
        <w:tab/>
      </w:r>
      <w:r>
        <w:rPr>
          <w:webHidden/>
        </w:rPr>
        <w:fldChar w:fldCharType="begin"/>
      </w:r>
      <w:r>
        <w:rPr>
          <w:webHidden/>
        </w:rPr>
        <w:instrText xml:space="preserve"> PAGEREF _Toc477900636 \h </w:instrText>
      </w:r>
      <w:r>
        <w:rPr>
          <w:webHidden/>
        </w:rPr>
      </w:r>
      <w:r>
        <w:rPr>
          <w:webHidden/>
        </w:rPr>
        <w:fldChar w:fldCharType="separate"/>
      </w:r>
      <w:r>
        <w:rPr>
          <w:webHidden/>
        </w:rPr>
        <w:t>7</w:t>
      </w:r>
      <w:r>
        <w:rPr>
          <w:webHidden/>
        </w:rPr>
        <w:fldChar w:fldCharType="end"/>
      </w:r>
    </w:p>
    <w:p w14:paraId="31544511" w14:textId="77777777" w:rsidR="00D31CCD" w:rsidRDefault="00D31CCD">
      <w:pPr>
        <w:pStyle w:val="TOC2"/>
        <w:tabs>
          <w:tab w:val="left" w:pos="2146"/>
        </w:tabs>
        <w:rPr>
          <w:rFonts w:asciiTheme="minorHAnsi" w:eastAsiaTheme="minorEastAsia" w:hAnsiTheme="minorHAnsi" w:cstheme="minorBidi"/>
          <w:sz w:val="22"/>
          <w:szCs w:val="22"/>
        </w:rPr>
      </w:pPr>
      <w:r>
        <w:t>A.7.</w:t>
      </w:r>
      <w:r>
        <w:rPr>
          <w:rFonts w:asciiTheme="minorHAnsi" w:eastAsiaTheme="minorEastAsia" w:hAnsiTheme="minorHAnsi" w:cstheme="minorBidi"/>
          <w:sz w:val="22"/>
          <w:szCs w:val="22"/>
        </w:rPr>
        <w:tab/>
      </w:r>
      <w:r>
        <w:t>Special Circumstances</w:t>
      </w:r>
      <w:r>
        <w:rPr>
          <w:webHidden/>
        </w:rPr>
        <w:tab/>
      </w:r>
      <w:r>
        <w:rPr>
          <w:webHidden/>
        </w:rPr>
        <w:fldChar w:fldCharType="begin"/>
      </w:r>
      <w:r>
        <w:rPr>
          <w:webHidden/>
        </w:rPr>
        <w:instrText xml:space="preserve"> PAGEREF _Toc477900637 \h </w:instrText>
      </w:r>
      <w:r>
        <w:rPr>
          <w:webHidden/>
        </w:rPr>
      </w:r>
      <w:r>
        <w:rPr>
          <w:webHidden/>
        </w:rPr>
        <w:fldChar w:fldCharType="separate"/>
      </w:r>
      <w:r>
        <w:rPr>
          <w:webHidden/>
        </w:rPr>
        <w:t>7</w:t>
      </w:r>
      <w:r>
        <w:rPr>
          <w:webHidden/>
        </w:rPr>
        <w:fldChar w:fldCharType="end"/>
      </w:r>
    </w:p>
    <w:p w14:paraId="08EA693B" w14:textId="77777777" w:rsidR="00D31CCD" w:rsidRDefault="00D31CCD">
      <w:pPr>
        <w:pStyle w:val="TOC2"/>
        <w:tabs>
          <w:tab w:val="left" w:pos="2146"/>
        </w:tabs>
        <w:rPr>
          <w:rFonts w:asciiTheme="minorHAnsi" w:eastAsiaTheme="minorEastAsia" w:hAnsiTheme="minorHAnsi" w:cstheme="minorBidi"/>
          <w:sz w:val="22"/>
          <w:szCs w:val="22"/>
        </w:rPr>
      </w:pPr>
      <w:r>
        <w:t>A.8.</w:t>
      </w:r>
      <w:r>
        <w:rPr>
          <w:rFonts w:asciiTheme="minorHAnsi" w:eastAsiaTheme="minorEastAsia" w:hAnsiTheme="minorHAnsi" w:cstheme="minorBidi"/>
          <w:sz w:val="22"/>
          <w:szCs w:val="22"/>
        </w:rPr>
        <w:tab/>
      </w:r>
      <w:r>
        <w:t>Federal Register Notice and Consultation Outside the Agency</w:t>
      </w:r>
      <w:r>
        <w:rPr>
          <w:webHidden/>
        </w:rPr>
        <w:tab/>
      </w:r>
      <w:r>
        <w:rPr>
          <w:webHidden/>
        </w:rPr>
        <w:fldChar w:fldCharType="begin"/>
      </w:r>
      <w:r>
        <w:rPr>
          <w:webHidden/>
        </w:rPr>
        <w:instrText xml:space="preserve"> PAGEREF _Toc477900638 \h </w:instrText>
      </w:r>
      <w:r>
        <w:rPr>
          <w:webHidden/>
        </w:rPr>
      </w:r>
      <w:r>
        <w:rPr>
          <w:webHidden/>
        </w:rPr>
        <w:fldChar w:fldCharType="separate"/>
      </w:r>
      <w:r>
        <w:rPr>
          <w:webHidden/>
        </w:rPr>
        <w:t>7</w:t>
      </w:r>
      <w:r>
        <w:rPr>
          <w:webHidden/>
        </w:rPr>
        <w:fldChar w:fldCharType="end"/>
      </w:r>
    </w:p>
    <w:p w14:paraId="23D3BDEC" w14:textId="77777777" w:rsidR="00D31CCD" w:rsidRDefault="00D31CCD">
      <w:pPr>
        <w:pStyle w:val="TOC2"/>
        <w:tabs>
          <w:tab w:val="left" w:pos="2146"/>
        </w:tabs>
        <w:rPr>
          <w:rFonts w:asciiTheme="minorHAnsi" w:eastAsiaTheme="minorEastAsia" w:hAnsiTheme="minorHAnsi" w:cstheme="minorBidi"/>
          <w:sz w:val="22"/>
          <w:szCs w:val="22"/>
        </w:rPr>
      </w:pPr>
      <w:r>
        <w:t>A.9.</w:t>
      </w:r>
      <w:r>
        <w:rPr>
          <w:rFonts w:asciiTheme="minorHAnsi" w:eastAsiaTheme="minorEastAsia" w:hAnsiTheme="minorHAnsi" w:cstheme="minorBidi"/>
          <w:sz w:val="22"/>
          <w:szCs w:val="22"/>
        </w:rPr>
        <w:tab/>
      </w:r>
      <w:r>
        <w:t>Payments to Respondents</w:t>
      </w:r>
      <w:r>
        <w:rPr>
          <w:webHidden/>
        </w:rPr>
        <w:tab/>
      </w:r>
      <w:r>
        <w:rPr>
          <w:webHidden/>
        </w:rPr>
        <w:fldChar w:fldCharType="begin"/>
      </w:r>
      <w:r>
        <w:rPr>
          <w:webHidden/>
        </w:rPr>
        <w:instrText xml:space="preserve"> PAGEREF _Toc477900639 \h </w:instrText>
      </w:r>
      <w:r>
        <w:rPr>
          <w:webHidden/>
        </w:rPr>
      </w:r>
      <w:r>
        <w:rPr>
          <w:webHidden/>
        </w:rPr>
        <w:fldChar w:fldCharType="separate"/>
      </w:r>
      <w:r>
        <w:rPr>
          <w:webHidden/>
        </w:rPr>
        <w:t>7</w:t>
      </w:r>
      <w:r>
        <w:rPr>
          <w:webHidden/>
        </w:rPr>
        <w:fldChar w:fldCharType="end"/>
      </w:r>
    </w:p>
    <w:p w14:paraId="0D29D723" w14:textId="77777777" w:rsidR="00D31CCD" w:rsidRDefault="00D31CCD">
      <w:pPr>
        <w:pStyle w:val="TOC2"/>
        <w:tabs>
          <w:tab w:val="left" w:pos="2146"/>
        </w:tabs>
        <w:rPr>
          <w:rFonts w:asciiTheme="minorHAnsi" w:eastAsiaTheme="minorEastAsia" w:hAnsiTheme="minorHAnsi" w:cstheme="minorBidi"/>
          <w:sz w:val="22"/>
          <w:szCs w:val="22"/>
        </w:rPr>
      </w:pPr>
      <w:r>
        <w:t>A.10.</w:t>
      </w:r>
      <w:r>
        <w:rPr>
          <w:rFonts w:asciiTheme="minorHAnsi" w:eastAsiaTheme="minorEastAsia" w:hAnsiTheme="minorHAnsi" w:cstheme="minorBidi"/>
          <w:sz w:val="22"/>
          <w:szCs w:val="22"/>
        </w:rPr>
        <w:tab/>
      </w:r>
      <w:r>
        <w:t>Assurance of Confidentiality</w:t>
      </w:r>
      <w:r>
        <w:rPr>
          <w:webHidden/>
        </w:rPr>
        <w:tab/>
      </w:r>
      <w:r>
        <w:rPr>
          <w:webHidden/>
        </w:rPr>
        <w:fldChar w:fldCharType="begin"/>
      </w:r>
      <w:r>
        <w:rPr>
          <w:webHidden/>
        </w:rPr>
        <w:instrText xml:space="preserve"> PAGEREF _Toc477900640 \h </w:instrText>
      </w:r>
      <w:r>
        <w:rPr>
          <w:webHidden/>
        </w:rPr>
      </w:r>
      <w:r>
        <w:rPr>
          <w:webHidden/>
        </w:rPr>
        <w:fldChar w:fldCharType="separate"/>
      </w:r>
      <w:r>
        <w:rPr>
          <w:webHidden/>
        </w:rPr>
        <w:t>9</w:t>
      </w:r>
      <w:r>
        <w:rPr>
          <w:webHidden/>
        </w:rPr>
        <w:fldChar w:fldCharType="end"/>
      </w:r>
    </w:p>
    <w:p w14:paraId="192F095F" w14:textId="77777777" w:rsidR="00D31CCD" w:rsidRDefault="00D31CCD">
      <w:pPr>
        <w:pStyle w:val="TOC2"/>
        <w:tabs>
          <w:tab w:val="left" w:pos="2146"/>
        </w:tabs>
        <w:rPr>
          <w:rFonts w:asciiTheme="minorHAnsi" w:eastAsiaTheme="minorEastAsia" w:hAnsiTheme="minorHAnsi" w:cstheme="minorBidi"/>
          <w:sz w:val="22"/>
          <w:szCs w:val="22"/>
        </w:rPr>
      </w:pPr>
      <w:r>
        <w:t>A.11.</w:t>
      </w:r>
      <w:r>
        <w:rPr>
          <w:rFonts w:asciiTheme="minorHAnsi" w:eastAsiaTheme="minorEastAsia" w:hAnsiTheme="minorHAnsi" w:cstheme="minorBidi"/>
          <w:sz w:val="22"/>
          <w:szCs w:val="22"/>
        </w:rPr>
        <w:tab/>
      </w:r>
      <w:r>
        <w:t>Justification for Sensitive Questions</w:t>
      </w:r>
      <w:r>
        <w:rPr>
          <w:webHidden/>
        </w:rPr>
        <w:tab/>
      </w:r>
      <w:r>
        <w:rPr>
          <w:webHidden/>
        </w:rPr>
        <w:fldChar w:fldCharType="begin"/>
      </w:r>
      <w:r>
        <w:rPr>
          <w:webHidden/>
        </w:rPr>
        <w:instrText xml:space="preserve"> PAGEREF _Toc477900641 \h </w:instrText>
      </w:r>
      <w:r>
        <w:rPr>
          <w:webHidden/>
        </w:rPr>
      </w:r>
      <w:r>
        <w:rPr>
          <w:webHidden/>
        </w:rPr>
        <w:fldChar w:fldCharType="separate"/>
      </w:r>
      <w:r>
        <w:rPr>
          <w:webHidden/>
        </w:rPr>
        <w:t>10</w:t>
      </w:r>
      <w:r>
        <w:rPr>
          <w:webHidden/>
        </w:rPr>
        <w:fldChar w:fldCharType="end"/>
      </w:r>
    </w:p>
    <w:p w14:paraId="3C874912" w14:textId="77777777" w:rsidR="00D31CCD" w:rsidRDefault="00D31CCD">
      <w:pPr>
        <w:pStyle w:val="TOC2"/>
        <w:tabs>
          <w:tab w:val="left" w:pos="2146"/>
        </w:tabs>
        <w:rPr>
          <w:rFonts w:asciiTheme="minorHAnsi" w:eastAsiaTheme="minorEastAsia" w:hAnsiTheme="minorHAnsi" w:cstheme="minorBidi"/>
          <w:sz w:val="22"/>
          <w:szCs w:val="22"/>
        </w:rPr>
      </w:pPr>
      <w:r>
        <w:t>A.12</w:t>
      </w:r>
      <w:r>
        <w:rPr>
          <w:rFonts w:asciiTheme="minorHAnsi" w:eastAsiaTheme="minorEastAsia" w:hAnsiTheme="minorHAnsi" w:cstheme="minorBidi"/>
          <w:sz w:val="22"/>
          <w:szCs w:val="22"/>
        </w:rPr>
        <w:tab/>
      </w:r>
      <w:r>
        <w:t>Estimates of the Burden of Data Collection</w:t>
      </w:r>
      <w:r>
        <w:rPr>
          <w:webHidden/>
        </w:rPr>
        <w:tab/>
      </w:r>
      <w:r>
        <w:rPr>
          <w:webHidden/>
        </w:rPr>
        <w:fldChar w:fldCharType="begin"/>
      </w:r>
      <w:r>
        <w:rPr>
          <w:webHidden/>
        </w:rPr>
        <w:instrText xml:space="preserve"> PAGEREF _Toc477900642 \h </w:instrText>
      </w:r>
      <w:r>
        <w:rPr>
          <w:webHidden/>
        </w:rPr>
      </w:r>
      <w:r>
        <w:rPr>
          <w:webHidden/>
        </w:rPr>
        <w:fldChar w:fldCharType="separate"/>
      </w:r>
      <w:r>
        <w:rPr>
          <w:webHidden/>
        </w:rPr>
        <w:t>12</w:t>
      </w:r>
      <w:r>
        <w:rPr>
          <w:webHidden/>
        </w:rPr>
        <w:fldChar w:fldCharType="end"/>
      </w:r>
    </w:p>
    <w:p w14:paraId="2D0AFCED" w14:textId="77777777" w:rsidR="00D31CCD" w:rsidRDefault="00D31CCD">
      <w:pPr>
        <w:pStyle w:val="TOC2"/>
        <w:tabs>
          <w:tab w:val="left" w:pos="2146"/>
        </w:tabs>
        <w:rPr>
          <w:rFonts w:asciiTheme="minorHAnsi" w:eastAsiaTheme="minorEastAsia" w:hAnsiTheme="minorHAnsi" w:cstheme="minorBidi"/>
          <w:sz w:val="22"/>
          <w:szCs w:val="22"/>
        </w:rPr>
      </w:pPr>
      <w:r>
        <w:t>A13.</w:t>
      </w:r>
      <w:r>
        <w:rPr>
          <w:rFonts w:asciiTheme="minorHAnsi" w:eastAsiaTheme="minorEastAsia" w:hAnsiTheme="minorHAnsi" w:cstheme="minorBidi"/>
          <w:sz w:val="22"/>
          <w:szCs w:val="22"/>
        </w:rPr>
        <w:tab/>
      </w:r>
      <w:r>
        <w:t>Estimates of Other Total Annual Cost Burden to Respondents and Record Keepers</w:t>
      </w:r>
      <w:r>
        <w:rPr>
          <w:webHidden/>
        </w:rPr>
        <w:tab/>
      </w:r>
      <w:r>
        <w:rPr>
          <w:webHidden/>
        </w:rPr>
        <w:fldChar w:fldCharType="begin"/>
      </w:r>
      <w:r>
        <w:rPr>
          <w:webHidden/>
        </w:rPr>
        <w:instrText xml:space="preserve"> PAGEREF _Toc477900643 \h </w:instrText>
      </w:r>
      <w:r>
        <w:rPr>
          <w:webHidden/>
        </w:rPr>
      </w:r>
      <w:r>
        <w:rPr>
          <w:webHidden/>
        </w:rPr>
        <w:fldChar w:fldCharType="separate"/>
      </w:r>
      <w:r>
        <w:rPr>
          <w:webHidden/>
        </w:rPr>
        <w:t>13</w:t>
      </w:r>
      <w:r>
        <w:rPr>
          <w:webHidden/>
        </w:rPr>
        <w:fldChar w:fldCharType="end"/>
      </w:r>
    </w:p>
    <w:p w14:paraId="1995CB38" w14:textId="77777777" w:rsidR="00D31CCD" w:rsidRDefault="00D31CCD">
      <w:pPr>
        <w:pStyle w:val="TOC2"/>
        <w:tabs>
          <w:tab w:val="left" w:pos="2146"/>
        </w:tabs>
        <w:rPr>
          <w:rFonts w:asciiTheme="minorHAnsi" w:eastAsiaTheme="minorEastAsia" w:hAnsiTheme="minorHAnsi" w:cstheme="minorBidi"/>
          <w:sz w:val="22"/>
          <w:szCs w:val="22"/>
        </w:rPr>
      </w:pPr>
      <w:r>
        <w:t>A.14.</w:t>
      </w:r>
      <w:r>
        <w:rPr>
          <w:rFonts w:asciiTheme="minorHAnsi" w:eastAsiaTheme="minorEastAsia" w:hAnsiTheme="minorHAnsi" w:cstheme="minorBidi"/>
          <w:sz w:val="22"/>
          <w:szCs w:val="22"/>
        </w:rPr>
        <w:tab/>
      </w:r>
      <w:r>
        <w:t>Annualized Cost to Federal Government</w:t>
      </w:r>
      <w:r>
        <w:rPr>
          <w:webHidden/>
        </w:rPr>
        <w:tab/>
      </w:r>
      <w:r>
        <w:rPr>
          <w:webHidden/>
        </w:rPr>
        <w:fldChar w:fldCharType="begin"/>
      </w:r>
      <w:r>
        <w:rPr>
          <w:webHidden/>
        </w:rPr>
        <w:instrText xml:space="preserve"> PAGEREF _Toc477900644 \h </w:instrText>
      </w:r>
      <w:r>
        <w:rPr>
          <w:webHidden/>
        </w:rPr>
      </w:r>
      <w:r>
        <w:rPr>
          <w:webHidden/>
        </w:rPr>
        <w:fldChar w:fldCharType="separate"/>
      </w:r>
      <w:r>
        <w:rPr>
          <w:webHidden/>
        </w:rPr>
        <w:t>14</w:t>
      </w:r>
      <w:r>
        <w:rPr>
          <w:webHidden/>
        </w:rPr>
        <w:fldChar w:fldCharType="end"/>
      </w:r>
    </w:p>
    <w:p w14:paraId="22A1E2E3" w14:textId="77777777" w:rsidR="00D31CCD" w:rsidRDefault="00D31CCD">
      <w:pPr>
        <w:pStyle w:val="TOC2"/>
        <w:tabs>
          <w:tab w:val="left" w:pos="2146"/>
        </w:tabs>
        <w:rPr>
          <w:rFonts w:asciiTheme="minorHAnsi" w:eastAsiaTheme="minorEastAsia" w:hAnsiTheme="minorHAnsi" w:cstheme="minorBidi"/>
          <w:sz w:val="22"/>
          <w:szCs w:val="22"/>
        </w:rPr>
      </w:pPr>
      <w:r>
        <w:t>A.15.</w:t>
      </w:r>
      <w:r>
        <w:rPr>
          <w:rFonts w:asciiTheme="minorHAnsi" w:eastAsiaTheme="minorEastAsia" w:hAnsiTheme="minorHAnsi" w:cstheme="minorBidi"/>
          <w:sz w:val="22"/>
          <w:szCs w:val="22"/>
        </w:rPr>
        <w:tab/>
      </w:r>
      <w:r>
        <w:t>Explanation for Program Changes or Adjustments</w:t>
      </w:r>
      <w:r>
        <w:rPr>
          <w:webHidden/>
        </w:rPr>
        <w:tab/>
      </w:r>
      <w:r>
        <w:rPr>
          <w:webHidden/>
        </w:rPr>
        <w:fldChar w:fldCharType="begin"/>
      </w:r>
      <w:r>
        <w:rPr>
          <w:webHidden/>
        </w:rPr>
        <w:instrText xml:space="preserve"> PAGEREF _Toc477900645 \h </w:instrText>
      </w:r>
      <w:r>
        <w:rPr>
          <w:webHidden/>
        </w:rPr>
      </w:r>
      <w:r>
        <w:rPr>
          <w:webHidden/>
        </w:rPr>
        <w:fldChar w:fldCharType="separate"/>
      </w:r>
      <w:r>
        <w:rPr>
          <w:webHidden/>
        </w:rPr>
        <w:t>14</w:t>
      </w:r>
      <w:r>
        <w:rPr>
          <w:webHidden/>
        </w:rPr>
        <w:fldChar w:fldCharType="end"/>
      </w:r>
    </w:p>
    <w:p w14:paraId="3789D324" w14:textId="77777777" w:rsidR="00D31CCD" w:rsidRDefault="00D31CCD">
      <w:pPr>
        <w:pStyle w:val="TOC2"/>
        <w:tabs>
          <w:tab w:val="left" w:pos="2146"/>
        </w:tabs>
        <w:rPr>
          <w:rFonts w:asciiTheme="minorHAnsi" w:eastAsiaTheme="minorEastAsia" w:hAnsiTheme="minorHAnsi" w:cstheme="minorBidi"/>
          <w:sz w:val="22"/>
          <w:szCs w:val="22"/>
        </w:rPr>
      </w:pPr>
      <w:r>
        <w:t>A16.</w:t>
      </w:r>
      <w:r>
        <w:rPr>
          <w:rFonts w:asciiTheme="minorHAnsi" w:eastAsiaTheme="minorEastAsia" w:hAnsiTheme="minorHAnsi" w:cstheme="minorBidi"/>
          <w:sz w:val="22"/>
          <w:szCs w:val="22"/>
        </w:rPr>
        <w:tab/>
      </w:r>
      <w:r>
        <w:t>Plans for Tabulation and Publication and Project Time Schedule</w:t>
      </w:r>
      <w:r>
        <w:rPr>
          <w:webHidden/>
        </w:rPr>
        <w:tab/>
      </w:r>
      <w:r>
        <w:rPr>
          <w:webHidden/>
        </w:rPr>
        <w:fldChar w:fldCharType="begin"/>
      </w:r>
      <w:r>
        <w:rPr>
          <w:webHidden/>
        </w:rPr>
        <w:instrText xml:space="preserve"> PAGEREF _Toc477900646 \h </w:instrText>
      </w:r>
      <w:r>
        <w:rPr>
          <w:webHidden/>
        </w:rPr>
      </w:r>
      <w:r>
        <w:rPr>
          <w:webHidden/>
        </w:rPr>
        <w:fldChar w:fldCharType="separate"/>
      </w:r>
      <w:r>
        <w:rPr>
          <w:webHidden/>
        </w:rPr>
        <w:t>14</w:t>
      </w:r>
      <w:r>
        <w:rPr>
          <w:webHidden/>
        </w:rPr>
        <w:fldChar w:fldCharType="end"/>
      </w:r>
    </w:p>
    <w:p w14:paraId="3D75DA27" w14:textId="77777777" w:rsidR="00D31CCD" w:rsidRDefault="00D31CCD">
      <w:pPr>
        <w:pStyle w:val="TOC3"/>
        <w:tabs>
          <w:tab w:val="left" w:pos="2146"/>
        </w:tabs>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Analysis Plan</w:t>
      </w:r>
      <w:r>
        <w:rPr>
          <w:webHidden/>
        </w:rPr>
        <w:tab/>
      </w:r>
      <w:r>
        <w:rPr>
          <w:webHidden/>
        </w:rPr>
        <w:fldChar w:fldCharType="begin"/>
      </w:r>
      <w:r>
        <w:rPr>
          <w:webHidden/>
        </w:rPr>
        <w:instrText xml:space="preserve"> PAGEREF _Toc477900647 \h </w:instrText>
      </w:r>
      <w:r>
        <w:rPr>
          <w:webHidden/>
        </w:rPr>
      </w:r>
      <w:r>
        <w:rPr>
          <w:webHidden/>
        </w:rPr>
        <w:fldChar w:fldCharType="separate"/>
      </w:r>
      <w:r>
        <w:rPr>
          <w:webHidden/>
        </w:rPr>
        <w:t>14</w:t>
      </w:r>
      <w:r>
        <w:rPr>
          <w:webHidden/>
        </w:rPr>
        <w:fldChar w:fldCharType="end"/>
      </w:r>
    </w:p>
    <w:p w14:paraId="6D3EEE58" w14:textId="77777777" w:rsidR="00D31CCD" w:rsidRDefault="00D31CCD">
      <w:pPr>
        <w:pStyle w:val="TOC3"/>
        <w:tabs>
          <w:tab w:val="left" w:pos="2146"/>
        </w:tabs>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Time Schedule and Publications</w:t>
      </w:r>
      <w:r>
        <w:rPr>
          <w:webHidden/>
        </w:rPr>
        <w:tab/>
      </w:r>
      <w:r>
        <w:rPr>
          <w:webHidden/>
        </w:rPr>
        <w:fldChar w:fldCharType="begin"/>
      </w:r>
      <w:r>
        <w:rPr>
          <w:webHidden/>
        </w:rPr>
        <w:instrText xml:space="preserve"> PAGEREF _Toc477900648 \h </w:instrText>
      </w:r>
      <w:r>
        <w:rPr>
          <w:webHidden/>
        </w:rPr>
      </w:r>
      <w:r>
        <w:rPr>
          <w:webHidden/>
        </w:rPr>
        <w:fldChar w:fldCharType="separate"/>
      </w:r>
      <w:r>
        <w:rPr>
          <w:webHidden/>
        </w:rPr>
        <w:t>15</w:t>
      </w:r>
      <w:r>
        <w:rPr>
          <w:webHidden/>
        </w:rPr>
        <w:fldChar w:fldCharType="end"/>
      </w:r>
    </w:p>
    <w:p w14:paraId="224AA08E" w14:textId="77777777" w:rsidR="00D31CCD" w:rsidRDefault="00D31CCD">
      <w:pPr>
        <w:pStyle w:val="TOC2"/>
        <w:tabs>
          <w:tab w:val="left" w:pos="2146"/>
        </w:tabs>
        <w:rPr>
          <w:rFonts w:asciiTheme="minorHAnsi" w:eastAsiaTheme="minorEastAsia" w:hAnsiTheme="minorHAnsi" w:cstheme="minorBidi"/>
          <w:sz w:val="22"/>
          <w:szCs w:val="22"/>
        </w:rPr>
      </w:pPr>
      <w:r>
        <w:t>A17.</w:t>
      </w:r>
      <w:r>
        <w:rPr>
          <w:rFonts w:asciiTheme="minorHAnsi" w:eastAsiaTheme="minorEastAsia" w:hAnsiTheme="minorHAnsi" w:cstheme="minorBidi"/>
          <w:sz w:val="22"/>
          <w:szCs w:val="22"/>
        </w:rPr>
        <w:tab/>
      </w:r>
      <w:r>
        <w:t>Reason(s) Display of OMB Expiration Date is Inappropriate</w:t>
      </w:r>
      <w:r>
        <w:rPr>
          <w:webHidden/>
        </w:rPr>
        <w:tab/>
      </w:r>
      <w:r>
        <w:rPr>
          <w:webHidden/>
        </w:rPr>
        <w:fldChar w:fldCharType="begin"/>
      </w:r>
      <w:r>
        <w:rPr>
          <w:webHidden/>
        </w:rPr>
        <w:instrText xml:space="preserve"> PAGEREF _Toc477900649 \h </w:instrText>
      </w:r>
      <w:r>
        <w:rPr>
          <w:webHidden/>
        </w:rPr>
      </w:r>
      <w:r>
        <w:rPr>
          <w:webHidden/>
        </w:rPr>
        <w:fldChar w:fldCharType="separate"/>
      </w:r>
      <w:r>
        <w:rPr>
          <w:webHidden/>
        </w:rPr>
        <w:t>15</w:t>
      </w:r>
      <w:r>
        <w:rPr>
          <w:webHidden/>
        </w:rPr>
        <w:fldChar w:fldCharType="end"/>
      </w:r>
    </w:p>
    <w:p w14:paraId="23FE215C" w14:textId="77777777" w:rsidR="00D31CCD" w:rsidRDefault="00D31CCD">
      <w:pPr>
        <w:pStyle w:val="TOC2"/>
        <w:tabs>
          <w:tab w:val="left" w:pos="2146"/>
        </w:tabs>
        <w:rPr>
          <w:rFonts w:asciiTheme="minorHAnsi" w:eastAsiaTheme="minorEastAsia" w:hAnsiTheme="minorHAnsi" w:cstheme="minorBidi"/>
          <w:sz w:val="22"/>
          <w:szCs w:val="22"/>
        </w:rPr>
      </w:pPr>
      <w:r>
        <w:t>A18.</w:t>
      </w:r>
      <w:r>
        <w:rPr>
          <w:rFonts w:asciiTheme="minorHAnsi" w:eastAsiaTheme="minorEastAsia" w:hAnsiTheme="minorHAnsi" w:cstheme="minorBidi"/>
          <w:sz w:val="22"/>
          <w:szCs w:val="22"/>
        </w:rPr>
        <w:tab/>
      </w:r>
      <w:r>
        <w:t>Exceptions to Certification for Paperwork Reduction Act Submissions</w:t>
      </w:r>
      <w:r>
        <w:rPr>
          <w:webHidden/>
        </w:rPr>
        <w:tab/>
      </w:r>
      <w:r>
        <w:rPr>
          <w:webHidden/>
        </w:rPr>
        <w:fldChar w:fldCharType="begin"/>
      </w:r>
      <w:r>
        <w:rPr>
          <w:webHidden/>
        </w:rPr>
        <w:instrText xml:space="preserve"> PAGEREF _Toc477900650 \h </w:instrText>
      </w:r>
      <w:r>
        <w:rPr>
          <w:webHidden/>
        </w:rPr>
      </w:r>
      <w:r>
        <w:rPr>
          <w:webHidden/>
        </w:rPr>
        <w:fldChar w:fldCharType="separate"/>
      </w:r>
      <w:r>
        <w:rPr>
          <w:webHidden/>
        </w:rPr>
        <w:t>15</w:t>
      </w:r>
      <w:r>
        <w:rPr>
          <w:webHidden/>
        </w:rPr>
        <w:fldChar w:fldCharType="end"/>
      </w:r>
    </w:p>
    <w:p w14:paraId="67527B9E" w14:textId="77777777" w:rsidR="00D31CCD" w:rsidRDefault="00D31CCD">
      <w:pPr>
        <w:pStyle w:val="TOC1"/>
        <w:rPr>
          <w:rFonts w:asciiTheme="minorHAnsi" w:eastAsiaTheme="minorEastAsia" w:hAnsiTheme="minorHAnsi" w:cstheme="minorBidi"/>
          <w:caps w:val="0"/>
          <w:noProof/>
          <w:sz w:val="22"/>
          <w:szCs w:val="22"/>
        </w:rPr>
      </w:pPr>
      <w:r>
        <w:rPr>
          <w:noProof/>
        </w:rPr>
        <w:t>SUPPORTING REFERENCES</w:t>
      </w:r>
      <w:r>
        <w:rPr>
          <w:noProof/>
          <w:webHidden/>
        </w:rPr>
        <w:tab/>
      </w:r>
      <w:r>
        <w:rPr>
          <w:noProof/>
          <w:webHidden/>
        </w:rPr>
        <w:fldChar w:fldCharType="begin"/>
      </w:r>
      <w:r>
        <w:rPr>
          <w:noProof/>
          <w:webHidden/>
        </w:rPr>
        <w:instrText xml:space="preserve"> PAGEREF _Toc477900651 \h </w:instrText>
      </w:r>
      <w:r>
        <w:rPr>
          <w:noProof/>
          <w:webHidden/>
        </w:rPr>
      </w:r>
      <w:r>
        <w:rPr>
          <w:noProof/>
          <w:webHidden/>
        </w:rPr>
        <w:fldChar w:fldCharType="separate"/>
      </w:r>
      <w:r>
        <w:rPr>
          <w:noProof/>
          <w:webHidden/>
        </w:rPr>
        <w:t>16</w:t>
      </w:r>
      <w:r>
        <w:rPr>
          <w:noProof/>
          <w:webHidden/>
        </w:rPr>
        <w:fldChar w:fldCharType="end"/>
      </w:r>
    </w:p>
    <w:p w14:paraId="576C02F9" w14:textId="77777777" w:rsidR="00352F53" w:rsidRDefault="00436B9F" w:rsidP="00436B9F">
      <w:pPr>
        <w:pStyle w:val="Heading1Black"/>
      </w:pPr>
      <w:r>
        <w:fldChar w:fldCharType="end"/>
      </w:r>
      <w:bookmarkStart w:id="20" w:name="_Toc383429897"/>
      <w:bookmarkStart w:id="21" w:name="_Toc448728853"/>
      <w:bookmarkStart w:id="22" w:name="_Toc448730395"/>
      <w:bookmarkStart w:id="23" w:name="_Toc473715669"/>
    </w:p>
    <w:p w14:paraId="4E17264E" w14:textId="77777777" w:rsidR="00352F53" w:rsidRDefault="00352F53">
      <w:pPr>
        <w:tabs>
          <w:tab w:val="clear" w:pos="432"/>
        </w:tabs>
        <w:spacing w:after="240" w:line="240" w:lineRule="auto"/>
        <w:ind w:firstLine="0"/>
        <w:jc w:val="left"/>
        <w:rPr>
          <w:rFonts w:ascii="Arial" w:hAnsi="Arial"/>
          <w:b/>
          <w:caps/>
        </w:rPr>
      </w:pPr>
      <w:r>
        <w:br w:type="page"/>
      </w:r>
    </w:p>
    <w:p w14:paraId="1829C799" w14:textId="65BAE604" w:rsidR="00436B9F" w:rsidRPr="00FC1F32" w:rsidRDefault="00436B9F" w:rsidP="00436B9F">
      <w:pPr>
        <w:pStyle w:val="Heading1Black"/>
      </w:pPr>
      <w:bookmarkStart w:id="24" w:name="_Toc477900626"/>
      <w:r w:rsidRPr="00FC1F32">
        <w:t>TABLES</w:t>
      </w:r>
      <w:bookmarkEnd w:id="20"/>
      <w:bookmarkEnd w:id="21"/>
      <w:bookmarkEnd w:id="22"/>
      <w:bookmarkEnd w:id="23"/>
      <w:bookmarkEnd w:id="24"/>
    </w:p>
    <w:p w14:paraId="31E9BF0F" w14:textId="3415017E" w:rsidR="00D31CCD" w:rsidRDefault="00352F53">
      <w:pPr>
        <w:pStyle w:val="TableofFigures"/>
        <w:rPr>
          <w:rFonts w:asciiTheme="minorHAnsi" w:eastAsiaTheme="minorEastAsia" w:hAnsiTheme="minorHAnsi" w:cstheme="minorBidi"/>
          <w:noProof/>
          <w:sz w:val="22"/>
          <w:szCs w:val="22"/>
        </w:rPr>
      </w:pPr>
      <w:r>
        <w:rPr>
          <w:rFonts w:cs="Arial"/>
        </w:rPr>
        <w:fldChar w:fldCharType="begin"/>
      </w:r>
      <w:r>
        <w:rPr>
          <w:rFonts w:cs="Arial"/>
        </w:rPr>
        <w:instrText xml:space="preserve"> TOC \t "Mark for Table Heading" \c </w:instrText>
      </w:r>
      <w:r>
        <w:rPr>
          <w:rFonts w:cs="Arial"/>
        </w:rPr>
        <w:fldChar w:fldCharType="separate"/>
      </w:r>
      <w:r w:rsidR="00D31CCD">
        <w:rPr>
          <w:noProof/>
        </w:rPr>
        <w:t>Table A1.1. Summary of Outcome Domains and Constructs</w:t>
      </w:r>
      <w:r w:rsidR="00D31CCD">
        <w:rPr>
          <w:noProof/>
        </w:rPr>
        <w:tab/>
      </w:r>
      <w:r w:rsidR="00D31CCD">
        <w:rPr>
          <w:noProof/>
        </w:rPr>
        <w:fldChar w:fldCharType="begin"/>
      </w:r>
      <w:r w:rsidR="00D31CCD">
        <w:rPr>
          <w:noProof/>
        </w:rPr>
        <w:instrText xml:space="preserve"> PAGEREF _Toc477900657 \h </w:instrText>
      </w:r>
      <w:r w:rsidR="00D31CCD">
        <w:rPr>
          <w:noProof/>
        </w:rPr>
      </w:r>
      <w:r w:rsidR="00D31CCD">
        <w:rPr>
          <w:noProof/>
        </w:rPr>
        <w:fldChar w:fldCharType="separate"/>
      </w:r>
      <w:r w:rsidR="00D31CCD">
        <w:rPr>
          <w:noProof/>
        </w:rPr>
        <w:t>4</w:t>
      </w:r>
      <w:r w:rsidR="00D31CCD">
        <w:rPr>
          <w:noProof/>
        </w:rPr>
        <w:fldChar w:fldCharType="end"/>
      </w:r>
    </w:p>
    <w:p w14:paraId="6F537AB6" w14:textId="77777777" w:rsidR="00D31CCD" w:rsidRDefault="00D31CCD">
      <w:pPr>
        <w:pStyle w:val="TableofFigures"/>
        <w:rPr>
          <w:rFonts w:asciiTheme="minorHAnsi" w:eastAsiaTheme="minorEastAsia" w:hAnsiTheme="minorHAnsi" w:cstheme="minorBidi"/>
          <w:noProof/>
          <w:sz w:val="22"/>
          <w:szCs w:val="22"/>
        </w:rPr>
      </w:pPr>
      <w:r>
        <w:rPr>
          <w:noProof/>
        </w:rPr>
        <w:t>Table A9.1. Thank You Payments for the Follow-up Data Collections</w:t>
      </w:r>
      <w:r>
        <w:rPr>
          <w:noProof/>
        </w:rPr>
        <w:tab/>
      </w:r>
      <w:r>
        <w:rPr>
          <w:noProof/>
        </w:rPr>
        <w:fldChar w:fldCharType="begin"/>
      </w:r>
      <w:r>
        <w:rPr>
          <w:noProof/>
        </w:rPr>
        <w:instrText xml:space="preserve"> PAGEREF _Toc477900658 \h </w:instrText>
      </w:r>
      <w:r>
        <w:rPr>
          <w:noProof/>
        </w:rPr>
      </w:r>
      <w:r>
        <w:rPr>
          <w:noProof/>
        </w:rPr>
        <w:fldChar w:fldCharType="separate"/>
      </w:r>
      <w:r>
        <w:rPr>
          <w:noProof/>
        </w:rPr>
        <w:t>9</w:t>
      </w:r>
      <w:r>
        <w:rPr>
          <w:noProof/>
        </w:rPr>
        <w:fldChar w:fldCharType="end"/>
      </w:r>
    </w:p>
    <w:p w14:paraId="70979745" w14:textId="77777777" w:rsidR="00D31CCD" w:rsidRDefault="00D31CCD">
      <w:pPr>
        <w:pStyle w:val="TableofFigures"/>
        <w:rPr>
          <w:rFonts w:asciiTheme="minorHAnsi" w:eastAsiaTheme="minorEastAsia" w:hAnsiTheme="minorHAnsi" w:cstheme="minorBidi"/>
          <w:noProof/>
          <w:sz w:val="22"/>
          <w:szCs w:val="22"/>
        </w:rPr>
      </w:pPr>
      <w:r>
        <w:rPr>
          <w:noProof/>
        </w:rPr>
        <w:t>Table A11.1. Summary of Sensitive Topics to be Included on the Follow-up Survey and Their Justification</w:t>
      </w:r>
      <w:r>
        <w:rPr>
          <w:noProof/>
        </w:rPr>
        <w:tab/>
      </w:r>
      <w:r>
        <w:rPr>
          <w:noProof/>
        </w:rPr>
        <w:fldChar w:fldCharType="begin"/>
      </w:r>
      <w:r>
        <w:rPr>
          <w:noProof/>
        </w:rPr>
        <w:instrText xml:space="preserve"> PAGEREF _Toc477900659 \h </w:instrText>
      </w:r>
      <w:r>
        <w:rPr>
          <w:noProof/>
        </w:rPr>
      </w:r>
      <w:r>
        <w:rPr>
          <w:noProof/>
        </w:rPr>
        <w:fldChar w:fldCharType="separate"/>
      </w:r>
      <w:r>
        <w:rPr>
          <w:noProof/>
        </w:rPr>
        <w:t>11</w:t>
      </w:r>
      <w:r>
        <w:rPr>
          <w:noProof/>
        </w:rPr>
        <w:fldChar w:fldCharType="end"/>
      </w:r>
    </w:p>
    <w:p w14:paraId="0293155A" w14:textId="77777777" w:rsidR="00D31CCD" w:rsidRDefault="00D31CCD">
      <w:pPr>
        <w:pStyle w:val="TableofFigures"/>
        <w:rPr>
          <w:rFonts w:asciiTheme="minorHAnsi" w:eastAsiaTheme="minorEastAsia" w:hAnsiTheme="minorHAnsi" w:cstheme="minorBidi"/>
          <w:noProof/>
          <w:sz w:val="22"/>
          <w:szCs w:val="22"/>
        </w:rPr>
      </w:pPr>
      <w:r>
        <w:rPr>
          <w:noProof/>
        </w:rPr>
        <w:t>Table A.12.1. Calculations of Annual Burden Hours and Cost for Youth Participants for the follow-up survey</w:t>
      </w:r>
      <w:r>
        <w:rPr>
          <w:noProof/>
        </w:rPr>
        <w:tab/>
      </w:r>
      <w:r>
        <w:rPr>
          <w:noProof/>
        </w:rPr>
        <w:fldChar w:fldCharType="begin"/>
      </w:r>
      <w:r>
        <w:rPr>
          <w:noProof/>
        </w:rPr>
        <w:instrText xml:space="preserve"> PAGEREF _Toc477900660 \h </w:instrText>
      </w:r>
      <w:r>
        <w:rPr>
          <w:noProof/>
        </w:rPr>
      </w:r>
      <w:r>
        <w:rPr>
          <w:noProof/>
        </w:rPr>
        <w:fldChar w:fldCharType="separate"/>
      </w:r>
      <w:r>
        <w:rPr>
          <w:noProof/>
        </w:rPr>
        <w:t>12</w:t>
      </w:r>
      <w:r>
        <w:rPr>
          <w:noProof/>
        </w:rPr>
        <w:fldChar w:fldCharType="end"/>
      </w:r>
    </w:p>
    <w:p w14:paraId="5FA6C4BB" w14:textId="77777777" w:rsidR="00D31CCD" w:rsidRDefault="00D31CCD">
      <w:pPr>
        <w:pStyle w:val="TableofFigures"/>
        <w:rPr>
          <w:rFonts w:asciiTheme="minorHAnsi" w:eastAsiaTheme="minorEastAsia" w:hAnsiTheme="minorHAnsi" w:cstheme="minorBidi"/>
          <w:noProof/>
          <w:sz w:val="22"/>
          <w:szCs w:val="22"/>
        </w:rPr>
      </w:pPr>
      <w:r>
        <w:rPr>
          <w:noProof/>
        </w:rPr>
        <w:t>Table A.12.2. Calculations of Annual Burden Hours and Costs to Date</w:t>
      </w:r>
      <w:r>
        <w:rPr>
          <w:noProof/>
        </w:rPr>
        <w:tab/>
      </w:r>
      <w:r>
        <w:rPr>
          <w:noProof/>
        </w:rPr>
        <w:fldChar w:fldCharType="begin"/>
      </w:r>
      <w:r>
        <w:rPr>
          <w:noProof/>
        </w:rPr>
        <w:instrText xml:space="preserve"> PAGEREF _Toc477900661 \h </w:instrText>
      </w:r>
      <w:r>
        <w:rPr>
          <w:noProof/>
        </w:rPr>
      </w:r>
      <w:r>
        <w:rPr>
          <w:noProof/>
        </w:rPr>
        <w:fldChar w:fldCharType="separate"/>
      </w:r>
      <w:r>
        <w:rPr>
          <w:noProof/>
        </w:rPr>
        <w:t>13</w:t>
      </w:r>
      <w:r>
        <w:rPr>
          <w:noProof/>
        </w:rPr>
        <w:fldChar w:fldCharType="end"/>
      </w:r>
    </w:p>
    <w:p w14:paraId="1BD62C21" w14:textId="77777777" w:rsidR="00D31CCD" w:rsidRDefault="00D31CCD">
      <w:pPr>
        <w:pStyle w:val="TableofFigures"/>
        <w:rPr>
          <w:rFonts w:asciiTheme="minorHAnsi" w:eastAsiaTheme="minorEastAsia" w:hAnsiTheme="minorHAnsi" w:cstheme="minorBidi"/>
          <w:noProof/>
          <w:sz w:val="22"/>
          <w:szCs w:val="22"/>
        </w:rPr>
      </w:pPr>
      <w:r>
        <w:rPr>
          <w:noProof/>
        </w:rPr>
        <w:t>Table A.16.1. Timeline for Use of Data Collection Instruments</w:t>
      </w:r>
      <w:r>
        <w:rPr>
          <w:noProof/>
        </w:rPr>
        <w:tab/>
      </w:r>
      <w:r>
        <w:rPr>
          <w:noProof/>
        </w:rPr>
        <w:fldChar w:fldCharType="begin"/>
      </w:r>
      <w:r>
        <w:rPr>
          <w:noProof/>
        </w:rPr>
        <w:instrText xml:space="preserve"> PAGEREF _Toc477900662 \h </w:instrText>
      </w:r>
      <w:r>
        <w:rPr>
          <w:noProof/>
        </w:rPr>
      </w:r>
      <w:r>
        <w:rPr>
          <w:noProof/>
        </w:rPr>
        <w:fldChar w:fldCharType="separate"/>
      </w:r>
      <w:r>
        <w:rPr>
          <w:noProof/>
        </w:rPr>
        <w:t>15</w:t>
      </w:r>
      <w:r>
        <w:rPr>
          <w:noProof/>
        </w:rPr>
        <w:fldChar w:fldCharType="end"/>
      </w:r>
    </w:p>
    <w:p w14:paraId="3FC372B6" w14:textId="77777777" w:rsidR="00126F92" w:rsidRDefault="00352F53">
      <w:pPr>
        <w:tabs>
          <w:tab w:val="clear" w:pos="432"/>
        </w:tabs>
        <w:spacing w:after="240" w:line="240" w:lineRule="auto"/>
        <w:ind w:firstLine="0"/>
        <w:jc w:val="left"/>
        <w:rPr>
          <w:rFonts w:cs="Arial"/>
        </w:rPr>
      </w:pPr>
      <w:r>
        <w:rPr>
          <w:rFonts w:cs="Arial"/>
        </w:rPr>
        <w:fldChar w:fldCharType="end"/>
      </w:r>
    </w:p>
    <w:p w14:paraId="1829C7A0" w14:textId="77777777" w:rsidR="00436B9F" w:rsidRDefault="00436B9F">
      <w:pPr>
        <w:tabs>
          <w:tab w:val="clear" w:pos="432"/>
        </w:tabs>
        <w:spacing w:after="240" w:line="240" w:lineRule="auto"/>
        <w:ind w:firstLine="0"/>
        <w:jc w:val="left"/>
        <w:rPr>
          <w:rFonts w:ascii="Arial" w:hAnsi="Arial" w:cs="Arial"/>
          <w:sz w:val="20"/>
        </w:rPr>
      </w:pPr>
      <w:r>
        <w:rPr>
          <w:rFonts w:ascii="Arial" w:hAnsi="Arial" w:cs="Arial"/>
          <w:sz w:val="20"/>
        </w:rPr>
        <w:br w:type="page"/>
      </w:r>
    </w:p>
    <w:p w14:paraId="1829C7A1" w14:textId="77777777" w:rsidR="00436B9F" w:rsidRPr="002A6036" w:rsidRDefault="00436B9F" w:rsidP="00436B9F">
      <w:pPr>
        <w:pStyle w:val="Heading1Black"/>
      </w:pPr>
      <w:bookmarkStart w:id="25" w:name="_Toc385322232"/>
      <w:bookmarkStart w:id="26" w:name="_Toc396921845"/>
      <w:bookmarkStart w:id="27" w:name="_Toc448728854"/>
      <w:bookmarkStart w:id="28" w:name="_Toc448730396"/>
      <w:bookmarkStart w:id="29" w:name="_Toc473715670"/>
      <w:bookmarkStart w:id="30" w:name="_Toc477900627"/>
      <w:bookmarkStart w:id="31" w:name="_Toc383429898"/>
      <w:r w:rsidRPr="002A6036">
        <w:t>ATTACHMENTS</w:t>
      </w:r>
      <w:bookmarkEnd w:id="25"/>
      <w:bookmarkEnd w:id="26"/>
      <w:bookmarkEnd w:id="27"/>
      <w:bookmarkEnd w:id="28"/>
      <w:bookmarkEnd w:id="29"/>
      <w:bookmarkEnd w:id="30"/>
    </w:p>
    <w:p w14:paraId="1829C7A2" w14:textId="5D77A4C3" w:rsidR="00436B9F" w:rsidRPr="002A6036" w:rsidRDefault="00436B9F" w:rsidP="00436B9F">
      <w:pPr>
        <w:pStyle w:val="TOC8"/>
        <w:tabs>
          <w:tab w:val="left" w:pos="1980"/>
        </w:tabs>
        <w:spacing w:after="120"/>
        <w:ind w:left="1980" w:hanging="1962"/>
        <w:rPr>
          <w:sz w:val="22"/>
          <w:szCs w:val="22"/>
        </w:rPr>
      </w:pPr>
      <w:r w:rsidRPr="002A6036">
        <w:rPr>
          <w:sz w:val="22"/>
          <w:szCs w:val="22"/>
        </w:rPr>
        <w:t>ATTAC</w:t>
      </w:r>
      <w:r>
        <w:rPr>
          <w:sz w:val="22"/>
          <w:szCs w:val="22"/>
        </w:rPr>
        <w:t>HMENT A</w:t>
      </w:r>
      <w:r w:rsidRPr="002A6036">
        <w:rPr>
          <w:sz w:val="22"/>
          <w:szCs w:val="22"/>
        </w:rPr>
        <w:t>:</w:t>
      </w:r>
      <w:r w:rsidRPr="002A6036">
        <w:rPr>
          <w:sz w:val="22"/>
          <w:szCs w:val="22"/>
        </w:rPr>
        <w:tab/>
        <w:t xml:space="preserve">QUESTION BY QUESTION SOURCE </w:t>
      </w:r>
      <w:r w:rsidR="002963B9">
        <w:rPr>
          <w:sz w:val="22"/>
          <w:szCs w:val="22"/>
        </w:rPr>
        <w:t>TABLE</w:t>
      </w:r>
      <w:r w:rsidRPr="002A6036">
        <w:rPr>
          <w:sz w:val="22"/>
          <w:szCs w:val="22"/>
        </w:rPr>
        <w:t xml:space="preserve"> FOR THE </w:t>
      </w:r>
      <w:r w:rsidR="00C51A43">
        <w:rPr>
          <w:sz w:val="22"/>
          <w:szCs w:val="22"/>
        </w:rPr>
        <w:t>follow</w:t>
      </w:r>
      <w:r w:rsidR="00B40F3C">
        <w:rPr>
          <w:sz w:val="22"/>
          <w:szCs w:val="22"/>
        </w:rPr>
        <w:t>-</w:t>
      </w:r>
      <w:r w:rsidR="003F03E4">
        <w:rPr>
          <w:sz w:val="22"/>
          <w:szCs w:val="22"/>
        </w:rPr>
        <w:t xml:space="preserve"> </w:t>
      </w:r>
      <w:r w:rsidR="00C51A43">
        <w:rPr>
          <w:sz w:val="22"/>
          <w:szCs w:val="22"/>
        </w:rPr>
        <w:t xml:space="preserve">up </w:t>
      </w:r>
      <w:r>
        <w:rPr>
          <w:sz w:val="22"/>
          <w:szCs w:val="22"/>
        </w:rPr>
        <w:t>survey</w:t>
      </w:r>
      <w:r w:rsidRPr="002A6036">
        <w:rPr>
          <w:sz w:val="22"/>
          <w:szCs w:val="22"/>
        </w:rPr>
        <w:t xml:space="preserve">  </w:t>
      </w:r>
    </w:p>
    <w:p w14:paraId="1829C7A3" w14:textId="4AD7561E" w:rsidR="00436B9F" w:rsidRPr="002A6036" w:rsidRDefault="00436B9F" w:rsidP="00436B9F">
      <w:pPr>
        <w:pStyle w:val="TOC8"/>
        <w:tabs>
          <w:tab w:val="left" w:pos="1980"/>
        </w:tabs>
        <w:spacing w:after="120"/>
        <w:ind w:left="1980" w:hanging="1962"/>
        <w:rPr>
          <w:sz w:val="22"/>
          <w:szCs w:val="22"/>
        </w:rPr>
      </w:pPr>
      <w:r>
        <w:rPr>
          <w:sz w:val="22"/>
          <w:szCs w:val="22"/>
        </w:rPr>
        <w:t>ATTACHMENT b</w:t>
      </w:r>
      <w:r w:rsidRPr="002A6036">
        <w:rPr>
          <w:sz w:val="22"/>
          <w:szCs w:val="22"/>
        </w:rPr>
        <w:t>:</w:t>
      </w:r>
      <w:r w:rsidRPr="002A6036">
        <w:rPr>
          <w:sz w:val="22"/>
          <w:szCs w:val="22"/>
        </w:rPr>
        <w:tab/>
        <w:t xml:space="preserve">SOURCES REFERENCED FOR THE </w:t>
      </w:r>
      <w:r w:rsidR="00B40F3C">
        <w:rPr>
          <w:sz w:val="22"/>
          <w:szCs w:val="22"/>
        </w:rPr>
        <w:t>follow-</w:t>
      </w:r>
      <w:r w:rsidR="003F03E4">
        <w:rPr>
          <w:sz w:val="22"/>
          <w:szCs w:val="22"/>
        </w:rPr>
        <w:t xml:space="preserve">up </w:t>
      </w:r>
      <w:r>
        <w:rPr>
          <w:sz w:val="22"/>
          <w:szCs w:val="22"/>
        </w:rPr>
        <w:t>survey</w:t>
      </w:r>
      <w:r w:rsidRPr="002A6036">
        <w:rPr>
          <w:sz w:val="22"/>
          <w:szCs w:val="22"/>
        </w:rPr>
        <w:t xml:space="preserve"> </w:t>
      </w:r>
    </w:p>
    <w:p w14:paraId="1829C7A4" w14:textId="481A8D66" w:rsidR="00436B9F" w:rsidRPr="002A6036" w:rsidRDefault="00436B9F" w:rsidP="00436B9F">
      <w:pPr>
        <w:pStyle w:val="TOC8"/>
        <w:tabs>
          <w:tab w:val="left" w:pos="1980"/>
        </w:tabs>
        <w:spacing w:after="120"/>
        <w:ind w:left="1980" w:hanging="1962"/>
        <w:rPr>
          <w:sz w:val="22"/>
          <w:szCs w:val="22"/>
        </w:rPr>
      </w:pPr>
      <w:r>
        <w:rPr>
          <w:sz w:val="22"/>
          <w:szCs w:val="22"/>
        </w:rPr>
        <w:t>ATTACHMENT c</w:t>
      </w:r>
      <w:r w:rsidRPr="002A6036">
        <w:rPr>
          <w:sz w:val="22"/>
          <w:szCs w:val="22"/>
        </w:rPr>
        <w:t>:</w:t>
      </w:r>
      <w:r w:rsidRPr="002A6036">
        <w:rPr>
          <w:sz w:val="22"/>
          <w:szCs w:val="22"/>
        </w:rPr>
        <w:tab/>
        <w:t xml:space="preserve">PERSONS CONSULTED ON INSTRUMENT DEVELOPMENT AND/OR ANALYSIS OF THE </w:t>
      </w:r>
      <w:r w:rsidR="00B40F3C">
        <w:rPr>
          <w:sz w:val="22"/>
          <w:szCs w:val="22"/>
        </w:rPr>
        <w:t>follow-</w:t>
      </w:r>
      <w:r w:rsidR="003F03E4">
        <w:rPr>
          <w:sz w:val="22"/>
          <w:szCs w:val="22"/>
        </w:rPr>
        <w:t xml:space="preserve">up </w:t>
      </w:r>
      <w:r>
        <w:rPr>
          <w:sz w:val="22"/>
          <w:szCs w:val="22"/>
        </w:rPr>
        <w:t>survey</w:t>
      </w:r>
      <w:r w:rsidRPr="002A6036">
        <w:rPr>
          <w:sz w:val="22"/>
          <w:szCs w:val="22"/>
        </w:rPr>
        <w:t xml:space="preserve"> </w:t>
      </w:r>
    </w:p>
    <w:p w14:paraId="1829C7A7" w14:textId="0AAE6481" w:rsidR="00436B9F" w:rsidRPr="007F3E18" w:rsidRDefault="00436B9F" w:rsidP="00436B9F">
      <w:pPr>
        <w:pStyle w:val="TOC8"/>
        <w:tabs>
          <w:tab w:val="left" w:pos="1980"/>
        </w:tabs>
        <w:spacing w:after="120"/>
        <w:ind w:left="1980" w:hanging="1962"/>
        <w:rPr>
          <w:sz w:val="22"/>
          <w:szCs w:val="22"/>
        </w:rPr>
      </w:pPr>
      <w:r w:rsidRPr="00DC5FFD">
        <w:rPr>
          <w:sz w:val="22"/>
          <w:szCs w:val="22"/>
        </w:rPr>
        <w:t xml:space="preserve">ATTACHMENT </w:t>
      </w:r>
      <w:r w:rsidR="00525CA8">
        <w:rPr>
          <w:sz w:val="22"/>
          <w:szCs w:val="22"/>
        </w:rPr>
        <w:t>D</w:t>
      </w:r>
      <w:r w:rsidRPr="00DC5FFD">
        <w:rPr>
          <w:sz w:val="22"/>
          <w:szCs w:val="22"/>
        </w:rPr>
        <w:t>:</w:t>
      </w:r>
      <w:r w:rsidRPr="00DC5FFD">
        <w:rPr>
          <w:sz w:val="22"/>
          <w:szCs w:val="22"/>
        </w:rPr>
        <w:tab/>
      </w:r>
      <w:r w:rsidRPr="007F3E18">
        <w:rPr>
          <w:sz w:val="22"/>
          <w:szCs w:val="22"/>
        </w:rPr>
        <w:t xml:space="preserve">CONFIDENTIALITY PLEDGE </w:t>
      </w:r>
    </w:p>
    <w:p w14:paraId="00F86E35" w14:textId="5F525EF6" w:rsidR="00817013" w:rsidRDefault="00436B9F" w:rsidP="00817013">
      <w:pPr>
        <w:pStyle w:val="TOC8"/>
        <w:tabs>
          <w:tab w:val="left" w:pos="1980"/>
        </w:tabs>
        <w:spacing w:after="120"/>
        <w:ind w:left="1980" w:hanging="1962"/>
        <w:rPr>
          <w:rFonts w:cs="Arial"/>
          <w:sz w:val="22"/>
          <w:szCs w:val="22"/>
        </w:rPr>
      </w:pPr>
      <w:r w:rsidRPr="004B1D46">
        <w:rPr>
          <w:rFonts w:cs="Arial"/>
          <w:sz w:val="22"/>
          <w:szCs w:val="22"/>
        </w:rPr>
        <w:t>ATTACHMENT</w:t>
      </w:r>
      <w:r>
        <w:rPr>
          <w:rFonts w:cs="Arial"/>
          <w:sz w:val="22"/>
          <w:szCs w:val="22"/>
        </w:rPr>
        <w:t xml:space="preserve"> </w:t>
      </w:r>
      <w:r w:rsidR="00525CA8">
        <w:rPr>
          <w:rFonts w:cs="Arial"/>
          <w:sz w:val="22"/>
          <w:szCs w:val="22"/>
        </w:rPr>
        <w:t>E</w:t>
      </w:r>
      <w:r w:rsidRPr="004B1D46">
        <w:rPr>
          <w:rFonts w:cs="Arial"/>
          <w:sz w:val="22"/>
          <w:szCs w:val="22"/>
        </w:rPr>
        <w:t>:</w:t>
      </w:r>
      <w:r w:rsidRPr="004B1D46">
        <w:rPr>
          <w:rFonts w:cs="Arial"/>
          <w:sz w:val="22"/>
          <w:szCs w:val="22"/>
        </w:rPr>
        <w:tab/>
        <w:t>ANALYSIS PLAN</w:t>
      </w:r>
    </w:p>
    <w:p w14:paraId="3A4D1034" w14:textId="15905A72" w:rsidR="00C8476A" w:rsidRDefault="00C8476A" w:rsidP="00C8476A">
      <w:pPr>
        <w:pStyle w:val="TOC8"/>
        <w:tabs>
          <w:tab w:val="left" w:pos="1980"/>
        </w:tabs>
        <w:spacing w:after="120"/>
        <w:ind w:left="1980" w:hanging="1962"/>
        <w:rPr>
          <w:rFonts w:cs="Arial"/>
          <w:sz w:val="22"/>
          <w:szCs w:val="22"/>
        </w:rPr>
      </w:pPr>
      <w:r w:rsidRPr="004B1D46">
        <w:rPr>
          <w:rFonts w:cs="Arial"/>
          <w:sz w:val="22"/>
          <w:szCs w:val="22"/>
        </w:rPr>
        <w:t>ATTACHMENT</w:t>
      </w:r>
      <w:r>
        <w:rPr>
          <w:rFonts w:cs="Arial"/>
          <w:sz w:val="22"/>
          <w:szCs w:val="22"/>
        </w:rPr>
        <w:t xml:space="preserve"> F:</w:t>
      </w:r>
      <w:r>
        <w:rPr>
          <w:rFonts w:cs="Arial"/>
          <w:sz w:val="22"/>
          <w:szCs w:val="22"/>
        </w:rPr>
        <w:tab/>
        <w:t>60 DAY FEDERAL REGISTER NOTICE</w:t>
      </w:r>
    </w:p>
    <w:p w14:paraId="53C55DE3" w14:textId="64064882" w:rsidR="00C8476A" w:rsidRPr="00817013" w:rsidRDefault="00C8476A" w:rsidP="00C8476A">
      <w:pPr>
        <w:pStyle w:val="TOC8"/>
        <w:tabs>
          <w:tab w:val="left" w:pos="1980"/>
        </w:tabs>
        <w:spacing w:after="120"/>
        <w:ind w:left="1980" w:hanging="1962"/>
      </w:pPr>
      <w:r w:rsidRPr="004B1D46">
        <w:rPr>
          <w:rFonts w:cs="Arial"/>
          <w:sz w:val="22"/>
          <w:szCs w:val="22"/>
        </w:rPr>
        <w:t>ATTACHMENT</w:t>
      </w:r>
      <w:r>
        <w:rPr>
          <w:rFonts w:cs="Arial"/>
          <w:sz w:val="22"/>
          <w:szCs w:val="22"/>
        </w:rPr>
        <w:t xml:space="preserve"> G:</w:t>
      </w:r>
      <w:r>
        <w:rPr>
          <w:rFonts w:cs="Arial"/>
          <w:sz w:val="22"/>
          <w:szCs w:val="22"/>
        </w:rPr>
        <w:tab/>
        <w:t xml:space="preserve">pretest memo </w:t>
      </w:r>
    </w:p>
    <w:p w14:paraId="07794E81" w14:textId="77777777" w:rsidR="00C8476A" w:rsidRPr="00C8476A" w:rsidRDefault="00C8476A" w:rsidP="00C8476A">
      <w:pPr>
        <w:ind w:firstLine="0"/>
      </w:pPr>
    </w:p>
    <w:p w14:paraId="6BFF4027" w14:textId="77777777" w:rsidR="00C8476A" w:rsidRPr="00C8476A" w:rsidRDefault="00C8476A" w:rsidP="00C8476A"/>
    <w:p w14:paraId="1E0E8548" w14:textId="77777777" w:rsidR="002654A8" w:rsidRPr="00B45726" w:rsidRDefault="002654A8" w:rsidP="002654A8"/>
    <w:p w14:paraId="737FD456" w14:textId="77777777" w:rsidR="00817013" w:rsidRPr="00B2091E" w:rsidRDefault="00817013" w:rsidP="00436B9F">
      <w:pPr>
        <w:ind w:firstLine="0"/>
        <w:rPr>
          <w:rFonts w:ascii="Arial" w:hAnsi="Arial" w:cs="Arial"/>
          <w:sz w:val="22"/>
          <w:szCs w:val="22"/>
        </w:rPr>
      </w:pPr>
    </w:p>
    <w:p w14:paraId="1829C7AA" w14:textId="77777777" w:rsidR="00436B9F" w:rsidRPr="00994024" w:rsidRDefault="00436B9F" w:rsidP="00436B9F">
      <w:pPr>
        <w:spacing w:after="240" w:line="240" w:lineRule="auto"/>
        <w:ind w:firstLine="0"/>
        <w:jc w:val="center"/>
        <w:rPr>
          <w:rFonts w:ascii="Arial" w:hAnsi="Arial" w:cs="Arial"/>
          <w:b/>
        </w:rPr>
      </w:pPr>
      <w:r>
        <w:rPr>
          <w:rFonts w:ascii="Arial" w:hAnsi="Arial" w:cs="Arial"/>
          <w:b/>
        </w:rPr>
        <w:t>INSTRUMENTS</w:t>
      </w:r>
    </w:p>
    <w:p w14:paraId="1829C7AB" w14:textId="693697ED" w:rsidR="00436B9F" w:rsidRDefault="00436B9F" w:rsidP="00436B9F">
      <w:pPr>
        <w:spacing w:after="120" w:line="240" w:lineRule="auto"/>
        <w:ind w:firstLine="0"/>
        <w:jc w:val="left"/>
        <w:rPr>
          <w:rFonts w:ascii="Arial" w:hAnsi="Arial" w:cs="Arial"/>
          <w:caps/>
          <w:sz w:val="22"/>
          <w:szCs w:val="22"/>
        </w:rPr>
      </w:pPr>
      <w:r w:rsidRPr="00994024">
        <w:rPr>
          <w:rFonts w:ascii="Arial" w:hAnsi="Arial" w:cs="Arial"/>
          <w:caps/>
          <w:sz w:val="22"/>
          <w:szCs w:val="22"/>
        </w:rPr>
        <w:t>Instrument 1:</w:t>
      </w:r>
      <w:r w:rsidRPr="00994024">
        <w:rPr>
          <w:rFonts w:ascii="Arial" w:hAnsi="Arial" w:cs="Arial"/>
          <w:caps/>
          <w:sz w:val="22"/>
          <w:szCs w:val="22"/>
        </w:rPr>
        <w:tab/>
      </w:r>
      <w:r>
        <w:rPr>
          <w:rFonts w:ascii="Arial" w:hAnsi="Arial" w:cs="Arial"/>
          <w:caps/>
          <w:sz w:val="22"/>
          <w:szCs w:val="22"/>
        </w:rPr>
        <w:t xml:space="preserve">     </w:t>
      </w:r>
      <w:r w:rsidR="00B40F3C">
        <w:rPr>
          <w:rFonts w:ascii="Arial" w:hAnsi="Arial" w:cs="Arial"/>
          <w:caps/>
          <w:sz w:val="22"/>
          <w:szCs w:val="22"/>
        </w:rPr>
        <w:t>follow-</w:t>
      </w:r>
      <w:r w:rsidR="003F03E4">
        <w:rPr>
          <w:rFonts w:ascii="Arial" w:hAnsi="Arial" w:cs="Arial"/>
          <w:caps/>
          <w:sz w:val="22"/>
          <w:szCs w:val="22"/>
        </w:rPr>
        <w:t xml:space="preserve">up </w:t>
      </w:r>
      <w:r>
        <w:rPr>
          <w:rFonts w:ascii="Arial" w:hAnsi="Arial" w:cs="Arial"/>
          <w:caps/>
          <w:sz w:val="22"/>
          <w:szCs w:val="22"/>
        </w:rPr>
        <w:t>survey</w:t>
      </w:r>
      <w:r w:rsidRPr="00994024">
        <w:rPr>
          <w:rFonts w:ascii="Arial" w:hAnsi="Arial" w:cs="Arial"/>
          <w:caps/>
          <w:sz w:val="22"/>
          <w:szCs w:val="22"/>
        </w:rPr>
        <w:t xml:space="preserve"> </w:t>
      </w:r>
    </w:p>
    <w:p w14:paraId="1829C7B1" w14:textId="77777777" w:rsidR="00436B9F" w:rsidRPr="00994024" w:rsidRDefault="00436B9F" w:rsidP="00436B9F">
      <w:pPr>
        <w:spacing w:after="120" w:line="240" w:lineRule="auto"/>
        <w:ind w:firstLine="0"/>
        <w:jc w:val="left"/>
        <w:rPr>
          <w:rFonts w:ascii="Arial" w:hAnsi="Arial" w:cs="Arial"/>
          <w:caps/>
          <w:sz w:val="22"/>
          <w:szCs w:val="22"/>
        </w:rPr>
      </w:pPr>
    </w:p>
    <w:p w14:paraId="1829C7B2" w14:textId="77777777" w:rsidR="00436B9F" w:rsidRDefault="00436B9F" w:rsidP="00436B9F">
      <w:pPr>
        <w:tabs>
          <w:tab w:val="clear" w:pos="432"/>
        </w:tabs>
        <w:spacing w:line="240" w:lineRule="auto"/>
        <w:ind w:firstLine="0"/>
        <w:jc w:val="left"/>
        <w:sectPr w:rsidR="00436B9F" w:rsidSect="00051C2A">
          <w:headerReference w:type="default" r:id="rId13"/>
          <w:footerReference w:type="default" r:id="rId14"/>
          <w:endnotePr>
            <w:numFmt w:val="decimal"/>
          </w:endnotePr>
          <w:pgSz w:w="12240" w:h="15840" w:code="1"/>
          <w:pgMar w:top="1440" w:right="1440" w:bottom="1440" w:left="1440" w:header="720" w:footer="576" w:gutter="0"/>
          <w:pgNumType w:fmt="lowerRoman"/>
          <w:cols w:space="720"/>
          <w:docGrid w:linePitch="150"/>
        </w:sectPr>
      </w:pPr>
    </w:p>
    <w:p w14:paraId="1829C7B3" w14:textId="77777777" w:rsidR="00436B9F" w:rsidRDefault="00BA1316" w:rsidP="00436B9F">
      <w:pPr>
        <w:pStyle w:val="Heading1Black"/>
      </w:pPr>
      <w:bookmarkStart w:id="32" w:name="_Toc477900628"/>
      <w:bookmarkEnd w:id="31"/>
      <w:r w:rsidRPr="00C4138B">
        <w:rPr>
          <w:caps w:val="0"/>
        </w:rPr>
        <w:t>PART A INTRODUCTION</w:t>
      </w:r>
      <w:bookmarkEnd w:id="0"/>
      <w:bookmarkEnd w:id="1"/>
      <w:bookmarkEnd w:id="32"/>
      <w:r>
        <w:rPr>
          <w:caps w:val="0"/>
        </w:rPr>
        <w:t xml:space="preserve"> </w:t>
      </w:r>
    </w:p>
    <w:p w14:paraId="79A084DB" w14:textId="2E38AC30" w:rsidR="00613487" w:rsidRDefault="00613487" w:rsidP="00436B9F">
      <w:pPr>
        <w:pStyle w:val="NormalSS"/>
        <w:rPr>
          <w:kern w:val="24"/>
        </w:rPr>
      </w:pPr>
      <w:r>
        <w:rPr>
          <w:kern w:val="24"/>
        </w:rPr>
        <w:t>This package is a revision to an existing approval (</w:t>
      </w:r>
      <w:r>
        <w:t>OMB Control #0990-0452) to add a follow-up survey.</w:t>
      </w:r>
    </w:p>
    <w:p w14:paraId="1829C7B4" w14:textId="3670F33B" w:rsidR="00436B9F" w:rsidRPr="008778EE" w:rsidRDefault="00436B9F" w:rsidP="00436B9F">
      <w:pPr>
        <w:pStyle w:val="NormalSS"/>
        <w:rPr>
          <w:kern w:val="24"/>
        </w:rPr>
      </w:pPr>
      <w:r w:rsidRPr="008778EE">
        <w:rPr>
          <w:kern w:val="24"/>
        </w:rPr>
        <w:t xml:space="preserve">Research on programs to prevent teen pregnancy is at a turning point. Much of the </w:t>
      </w:r>
      <w:r>
        <w:rPr>
          <w:kern w:val="24"/>
        </w:rPr>
        <w:t>available</w:t>
      </w:r>
      <w:r w:rsidRPr="008778EE">
        <w:rPr>
          <w:kern w:val="24"/>
        </w:rPr>
        <w:t xml:space="preserve"> research evidence dates to the late 1980s and early 1990s, when public health officials were facing the twin threats of the emerging HIV/AIDS epidemic and a sharp, unexpected increase in the teen birth rate in the United States. In response to these threat</w:t>
      </w:r>
      <w:r w:rsidR="00B4146D">
        <w:rPr>
          <w:kern w:val="24"/>
        </w:rPr>
        <w:t xml:space="preserve">s, researchers launched a broad, </w:t>
      </w:r>
      <w:r w:rsidRPr="008778EE">
        <w:rPr>
          <w:kern w:val="24"/>
        </w:rPr>
        <w:t xml:space="preserve">sustained effort to identify and test new programs and curricula with the potential to reduce high rates of teen pregnancy, sexually transmitted </w:t>
      </w:r>
      <w:r w:rsidR="00B4146D">
        <w:rPr>
          <w:kern w:val="24"/>
        </w:rPr>
        <w:t>diseases (STD</w:t>
      </w:r>
      <w:r w:rsidRPr="008778EE">
        <w:rPr>
          <w:kern w:val="24"/>
        </w:rPr>
        <w:t xml:space="preserve">s), and associated sexual risk behaviors. </w:t>
      </w:r>
    </w:p>
    <w:p w14:paraId="1829C7B5" w14:textId="3F3FAD80" w:rsidR="00436B9F" w:rsidRPr="008778EE" w:rsidRDefault="00436B9F" w:rsidP="00436B9F">
      <w:pPr>
        <w:pStyle w:val="NormalSS"/>
        <w:rPr>
          <w:kern w:val="24"/>
        </w:rPr>
      </w:pPr>
      <w:r w:rsidRPr="008778EE">
        <w:rPr>
          <w:kern w:val="24"/>
        </w:rPr>
        <w:t xml:space="preserve">Much has changed in the intervening years. The teen birth rate ultimately peaked in the early 1990s and has now plunged to historic lows (Ventura et al. 2014). Researchers have succeeded in identifying dozens of prevention programs with demonstrated evidence of success in reducing adolescent sexual risk behaviors (Goesling et al. 2014), and the federal government has invested millions of dollars in disseminating knowledge of the programs and implementing them in communities around the country (Kappeler and Farb 2014; Zief et al. 2013). Overall rates of adolescent sexual activity have also declined </w:t>
      </w:r>
      <w:r>
        <w:rPr>
          <w:kern w:val="24"/>
        </w:rPr>
        <w:t>since the early 1990s</w:t>
      </w:r>
      <w:r w:rsidRPr="008778EE">
        <w:rPr>
          <w:kern w:val="24"/>
        </w:rPr>
        <w:t>,</w:t>
      </w:r>
      <w:r>
        <w:rPr>
          <w:kern w:val="24"/>
        </w:rPr>
        <w:t xml:space="preserve"> but there has been less progress on addressing dissimil</w:t>
      </w:r>
      <w:r w:rsidR="004267B5">
        <w:rPr>
          <w:kern w:val="24"/>
        </w:rPr>
        <w:t xml:space="preserve">ar rates by race and ethnicity. </w:t>
      </w:r>
      <w:r>
        <w:rPr>
          <w:kern w:val="24"/>
        </w:rPr>
        <w:t xml:space="preserve">This current context shifts </w:t>
      </w:r>
      <w:r w:rsidRPr="008778EE">
        <w:rPr>
          <w:kern w:val="24"/>
        </w:rPr>
        <w:t xml:space="preserve">the research agenda </w:t>
      </w:r>
      <w:r>
        <w:rPr>
          <w:kern w:val="24"/>
        </w:rPr>
        <w:t>towards</w:t>
      </w:r>
      <w:r w:rsidRPr="008778EE">
        <w:rPr>
          <w:kern w:val="24"/>
        </w:rPr>
        <w:t xml:space="preserve"> a new primary challenge: how to use existing evidence-based programs to sustain the ongoing decline in teen birth rates in the United States</w:t>
      </w:r>
      <w:r w:rsidR="00594753">
        <w:rPr>
          <w:kern w:val="24"/>
        </w:rPr>
        <w:t xml:space="preserve"> and</w:t>
      </w:r>
      <w:r w:rsidRPr="008778EE">
        <w:rPr>
          <w:kern w:val="24"/>
        </w:rPr>
        <w:t xml:space="preserve"> reduce remaining disparities in rates across communities and between different racial/ethnic groups</w:t>
      </w:r>
      <w:r w:rsidR="00594753">
        <w:rPr>
          <w:kern w:val="24"/>
        </w:rPr>
        <w:t>.</w:t>
      </w:r>
      <w:r w:rsidRPr="008778EE">
        <w:rPr>
          <w:kern w:val="24"/>
        </w:rPr>
        <w:t>.</w:t>
      </w:r>
    </w:p>
    <w:p w14:paraId="1829C7B6" w14:textId="731DD55F" w:rsidR="00436B9F" w:rsidRDefault="00436B9F" w:rsidP="00436B9F">
      <w:pPr>
        <w:pStyle w:val="NormalSS"/>
        <w:rPr>
          <w:kern w:val="24"/>
        </w:rPr>
      </w:pPr>
      <w:r w:rsidRPr="008778EE">
        <w:rPr>
          <w:kern w:val="24"/>
        </w:rPr>
        <w:t xml:space="preserve">In response to this shifting research agenda, the Office of Adolescent Health (OAH) seeks to design a new large-scale, multisite </w:t>
      </w:r>
      <w:r>
        <w:rPr>
          <w:kern w:val="24"/>
        </w:rPr>
        <w:t xml:space="preserve">random assignment </w:t>
      </w:r>
      <w:r w:rsidRPr="008778EE">
        <w:rPr>
          <w:kern w:val="24"/>
        </w:rPr>
        <w:t xml:space="preserve">evaluation of </w:t>
      </w:r>
      <w:r>
        <w:rPr>
          <w:kern w:val="24"/>
        </w:rPr>
        <w:t xml:space="preserve">an </w:t>
      </w:r>
      <w:r w:rsidR="00594753">
        <w:rPr>
          <w:kern w:val="24"/>
        </w:rPr>
        <w:t>abstinence</w:t>
      </w:r>
      <w:r w:rsidRPr="008778EE">
        <w:rPr>
          <w:kern w:val="24"/>
        </w:rPr>
        <w:t>-based te</w:t>
      </w:r>
      <w:r>
        <w:rPr>
          <w:kern w:val="24"/>
        </w:rPr>
        <w:t xml:space="preserve">en pregnancy prevention program that will make a significant contribution to </w:t>
      </w:r>
      <w:r w:rsidRPr="008778EE">
        <w:rPr>
          <w:kern w:val="24"/>
        </w:rPr>
        <w:t>the growing portfolio of research activities OAH has sponsored since the office was established in 2010. Much of OAH’s existing evaluation work focuses on documenting and evaluating the first cohort of grantees funded under the OAH Teen Pregnancy Prevention (TPP) program. With this new evaluation, OAH seeks to launch a “second gener</w:t>
      </w:r>
      <w:r>
        <w:rPr>
          <w:kern w:val="24"/>
        </w:rPr>
        <w:t xml:space="preserve">ation” of evaluation activities - </w:t>
      </w:r>
      <w:r w:rsidRPr="008778EE">
        <w:rPr>
          <w:kern w:val="24"/>
        </w:rPr>
        <w:t xml:space="preserve"> one that addresses a more targeted set of research questions of significant practical relevance to OAH and the broader field. In particular, the new evaluation will seek to advance the existing evidence base by identifying and testing </w:t>
      </w:r>
      <w:r w:rsidR="00CD68BA">
        <w:rPr>
          <w:kern w:val="24"/>
        </w:rPr>
        <w:t xml:space="preserve">a </w:t>
      </w:r>
      <w:r w:rsidRPr="008778EE">
        <w:rPr>
          <w:kern w:val="24"/>
        </w:rPr>
        <w:t xml:space="preserve">replication of </w:t>
      </w:r>
      <w:r>
        <w:rPr>
          <w:kern w:val="24"/>
        </w:rPr>
        <w:t xml:space="preserve">a </w:t>
      </w:r>
      <w:r w:rsidRPr="008778EE">
        <w:rPr>
          <w:kern w:val="24"/>
        </w:rPr>
        <w:t xml:space="preserve">commonly used but understudied </w:t>
      </w:r>
      <w:r w:rsidR="00594753">
        <w:rPr>
          <w:kern w:val="24"/>
        </w:rPr>
        <w:t>abstinence</w:t>
      </w:r>
      <w:r w:rsidRPr="008778EE">
        <w:rPr>
          <w:kern w:val="24"/>
        </w:rPr>
        <w:t>-based tee</w:t>
      </w:r>
      <w:r>
        <w:rPr>
          <w:kern w:val="24"/>
        </w:rPr>
        <w:t>n pregnancy prevention program.</w:t>
      </w:r>
    </w:p>
    <w:p w14:paraId="3BF972CB" w14:textId="31D72EEC" w:rsidR="004A7B6D" w:rsidRDefault="004A7B6D" w:rsidP="00436B9F">
      <w:pPr>
        <w:pStyle w:val="NormalSS"/>
        <w:rPr>
          <w:kern w:val="24"/>
        </w:rPr>
      </w:pPr>
      <w:r>
        <w:rPr>
          <w:kern w:val="22"/>
        </w:rPr>
        <w:t xml:space="preserve">To meet this objective, </w:t>
      </w:r>
      <w:r w:rsidRPr="007D651B">
        <w:rPr>
          <w:kern w:val="22"/>
        </w:rPr>
        <w:t xml:space="preserve">OAH </w:t>
      </w:r>
      <w:r>
        <w:rPr>
          <w:kern w:val="22"/>
        </w:rPr>
        <w:t>is designing</w:t>
      </w:r>
      <w:r w:rsidRPr="007D651B">
        <w:rPr>
          <w:kern w:val="22"/>
        </w:rPr>
        <w:t xml:space="preserve"> a randomized controlled trial </w:t>
      </w:r>
      <w:r w:rsidR="007F4F5E">
        <w:rPr>
          <w:kern w:val="22"/>
        </w:rPr>
        <w:t xml:space="preserve">(RCT) </w:t>
      </w:r>
      <w:r w:rsidRPr="007D651B">
        <w:rPr>
          <w:kern w:val="22"/>
        </w:rPr>
        <w:t xml:space="preserve">of </w:t>
      </w:r>
      <w:r w:rsidRPr="00B4146D">
        <w:rPr>
          <w:i/>
          <w:kern w:val="22"/>
        </w:rPr>
        <w:t>Making Proud Choices!</w:t>
      </w:r>
      <w:r w:rsidRPr="007D651B">
        <w:rPr>
          <w:kern w:val="22"/>
        </w:rPr>
        <w:t xml:space="preserve"> (</w:t>
      </w:r>
      <w:r w:rsidRPr="00962334">
        <w:rPr>
          <w:i/>
          <w:kern w:val="22"/>
        </w:rPr>
        <w:t>MPC!</w:t>
      </w:r>
      <w:r w:rsidRPr="007D651B">
        <w:rPr>
          <w:kern w:val="22"/>
        </w:rPr>
        <w:t xml:space="preserve">) The </w:t>
      </w:r>
      <w:r w:rsidRPr="00962334">
        <w:rPr>
          <w:i/>
          <w:kern w:val="22"/>
        </w:rPr>
        <w:t>MPC!</w:t>
      </w:r>
      <w:r w:rsidRPr="007D651B">
        <w:rPr>
          <w:kern w:val="22"/>
        </w:rPr>
        <w:t xml:space="preserve"> curriculum aims to increase students’ knowledge of </w:t>
      </w:r>
      <w:r w:rsidR="00B4146D">
        <w:rPr>
          <w:kern w:val="22"/>
        </w:rPr>
        <w:t>STDs</w:t>
      </w:r>
      <w:r w:rsidRPr="007D651B">
        <w:rPr>
          <w:kern w:val="22"/>
        </w:rPr>
        <w:t xml:space="preserve"> and HIV, </w:t>
      </w:r>
      <w:r w:rsidR="00B4146D">
        <w:rPr>
          <w:kern w:val="22"/>
        </w:rPr>
        <w:t xml:space="preserve">as well as their </w:t>
      </w:r>
      <w:r w:rsidRPr="007D651B">
        <w:rPr>
          <w:kern w:val="22"/>
        </w:rPr>
        <w:t xml:space="preserve">understanding of the effectiveness of </w:t>
      </w:r>
      <w:r w:rsidR="00443A39">
        <w:rPr>
          <w:kern w:val="22"/>
        </w:rPr>
        <w:t>abstinence, condoms, and contraceptives</w:t>
      </w:r>
      <w:r w:rsidR="00443A39" w:rsidRPr="007D651B">
        <w:rPr>
          <w:kern w:val="22"/>
        </w:rPr>
        <w:t xml:space="preserve"> </w:t>
      </w:r>
      <w:r w:rsidRPr="007D651B">
        <w:rPr>
          <w:kern w:val="22"/>
        </w:rPr>
        <w:t>at reducing STDs and pregnancy.</w:t>
      </w:r>
      <w:r w:rsidR="00B1550B">
        <w:rPr>
          <w:kern w:val="22"/>
        </w:rPr>
        <w:t xml:space="preserve"> </w:t>
      </w:r>
    </w:p>
    <w:p w14:paraId="5042D78D" w14:textId="166D638A" w:rsidR="005B527E" w:rsidRPr="005B527E" w:rsidRDefault="0099741A" w:rsidP="00436B9F">
      <w:pPr>
        <w:pStyle w:val="NormalSS"/>
      </w:pPr>
      <w:r>
        <w:t xml:space="preserve">OMB </w:t>
      </w:r>
      <w:r w:rsidR="001E2280">
        <w:t>approved the instruments associated with two data collection efforts</w:t>
      </w:r>
      <w:r w:rsidR="009455A0">
        <w:t xml:space="preserve"> for the MPC! Evaluation</w:t>
      </w:r>
      <w:r w:rsidR="001E2280">
        <w:t xml:space="preserve">: </w:t>
      </w:r>
      <w:r w:rsidR="00B4146D">
        <w:t>(</w:t>
      </w:r>
      <w:r w:rsidR="001E2280">
        <w:t xml:space="preserve">1) </w:t>
      </w:r>
      <w:r w:rsidR="005B527E">
        <w:t>collection of baseline data for the impact study through the baseline survey</w:t>
      </w:r>
      <w:r w:rsidR="00B94509">
        <w:t>;</w:t>
      </w:r>
      <w:r w:rsidR="005B527E">
        <w:t xml:space="preserve"> and </w:t>
      </w:r>
      <w:r w:rsidR="00B4146D">
        <w:t>(</w:t>
      </w:r>
      <w:r w:rsidR="00B94509">
        <w:t xml:space="preserve">2) collection of information </w:t>
      </w:r>
      <w:r w:rsidR="00E45670">
        <w:t>on program</w:t>
      </w:r>
      <w:r w:rsidR="00B94509">
        <w:t xml:space="preserve"> </w:t>
      </w:r>
      <w:r w:rsidR="005B527E">
        <w:t>implementation (OMB Control #0990-</w:t>
      </w:r>
      <w:r w:rsidR="00BD77B3">
        <w:t>0452</w:t>
      </w:r>
      <w:r w:rsidR="008C1574">
        <w:t xml:space="preserve">; approved on </w:t>
      </w:r>
      <w:r w:rsidR="00B4146D">
        <w:t>January 17, 20</w:t>
      </w:r>
      <w:r w:rsidR="008C1574">
        <w:t>17</w:t>
      </w:r>
      <w:r w:rsidR="005B527E">
        <w:t>)</w:t>
      </w:r>
      <w:r w:rsidR="00991BD2">
        <w:t>.</w:t>
      </w:r>
    </w:p>
    <w:p w14:paraId="0EF439A0" w14:textId="2AA03E89" w:rsidR="00CD68BA" w:rsidRDefault="00650D82" w:rsidP="00436B9F">
      <w:pPr>
        <w:pStyle w:val="NormalSS"/>
      </w:pPr>
      <w:r>
        <w:t xml:space="preserve"> With </w:t>
      </w:r>
      <w:r w:rsidR="009F7447">
        <w:t xml:space="preserve">this submission, OAH </w:t>
      </w:r>
      <w:r w:rsidR="00B4146D">
        <w:t>requests</w:t>
      </w:r>
      <w:r w:rsidR="009F7447">
        <w:t xml:space="preserve"> OMB approval for the follow-up survey instrument, which will be used to collect data</w:t>
      </w:r>
      <w:r>
        <w:t xml:space="preserve"> from study participants</w:t>
      </w:r>
      <w:r w:rsidR="009F7447">
        <w:t xml:space="preserve">. The follow-up survey will be administered approximately </w:t>
      </w:r>
      <w:r w:rsidR="00991BD2">
        <w:t xml:space="preserve">9 and 15 months post baseline. The </w:t>
      </w:r>
      <w:r w:rsidR="009F7447">
        <w:t xml:space="preserve">follow-up survey contains </w:t>
      </w:r>
      <w:r w:rsidR="00B4146D">
        <w:t xml:space="preserve">primarily </w:t>
      </w:r>
      <w:r w:rsidR="009F7447">
        <w:t xml:space="preserve">items that are on the OMB-approved baseline survey. Modifications made for the follow-up survey include dropping </w:t>
      </w:r>
      <w:r w:rsidR="00DA5247">
        <w:t xml:space="preserve">items </w:t>
      </w:r>
      <w:r w:rsidR="009F7447">
        <w:t xml:space="preserve">that are not </w:t>
      </w:r>
      <w:r w:rsidR="00933AFB">
        <w:t xml:space="preserve">relevant </w:t>
      </w:r>
      <w:r w:rsidR="009F7447">
        <w:t>for follow-up data collection, and adding items that address key outcomes</w:t>
      </w:r>
      <w:r w:rsidR="00E45670">
        <w:t xml:space="preserve"> aligned with the</w:t>
      </w:r>
      <w:r w:rsidR="00B4146D">
        <w:rPr>
          <w:i/>
        </w:rPr>
        <w:t xml:space="preserve"> </w:t>
      </w:r>
      <w:r w:rsidR="00B4146D" w:rsidRPr="00962334">
        <w:rPr>
          <w:i/>
        </w:rPr>
        <w:t>MPC!</w:t>
      </w:r>
      <w:r w:rsidR="00E45670">
        <w:rPr>
          <w:i/>
        </w:rPr>
        <w:t xml:space="preserve"> </w:t>
      </w:r>
      <w:r w:rsidR="00E45670">
        <w:t>program</w:t>
      </w:r>
      <w:r w:rsidR="00B4146D">
        <w:t>. Attachment A is a question-by-</w:t>
      </w:r>
      <w:r w:rsidR="009F7447">
        <w:t>question review o</w:t>
      </w:r>
      <w:r w:rsidR="00933AFB">
        <w:t xml:space="preserve">f items on the follow-up survey. This document </w:t>
      </w:r>
      <w:r w:rsidR="00DA5247">
        <w:t xml:space="preserve">notes </w:t>
      </w:r>
      <w:r w:rsidR="009F7447">
        <w:t xml:space="preserve">which items </w:t>
      </w:r>
      <w:r w:rsidR="00A75C2E">
        <w:t xml:space="preserve">on </w:t>
      </w:r>
      <w:r w:rsidR="00AA4095">
        <w:t xml:space="preserve">the follow-up survey are also found </w:t>
      </w:r>
      <w:r w:rsidR="009F7447">
        <w:t>on the baseline survey</w:t>
      </w:r>
      <w:r w:rsidR="00AA4095">
        <w:t xml:space="preserve"> and </w:t>
      </w:r>
      <w:r w:rsidR="00A33F9B">
        <w:t xml:space="preserve">where applicable, describes </w:t>
      </w:r>
      <w:r w:rsidR="00AA4095">
        <w:t xml:space="preserve">modifications made for the follow-up survey. This document also identifies </w:t>
      </w:r>
      <w:r w:rsidR="00B4146D">
        <w:t xml:space="preserve">new </w:t>
      </w:r>
      <w:r w:rsidR="009F7447">
        <w:t xml:space="preserve">items </w:t>
      </w:r>
      <w:r w:rsidR="00B4146D">
        <w:t xml:space="preserve">on the </w:t>
      </w:r>
      <w:r w:rsidR="00AA4095">
        <w:t>follow-up survey</w:t>
      </w:r>
      <w:r w:rsidR="009F7447">
        <w:t xml:space="preserve"> and the</w:t>
      </w:r>
      <w:r w:rsidR="00B4146D">
        <w:t>ir</w:t>
      </w:r>
      <w:r w:rsidR="009F7447">
        <w:t xml:space="preserve"> source. </w:t>
      </w:r>
    </w:p>
    <w:p w14:paraId="1829C7B7" w14:textId="72132D9E" w:rsidR="00436B9F" w:rsidRPr="008A348A" w:rsidRDefault="00A75C2E" w:rsidP="003123FD">
      <w:pPr>
        <w:pStyle w:val="NormalSS"/>
        <w:ind w:firstLine="450"/>
      </w:pPr>
      <w:r>
        <w:t>Additionally</w:t>
      </w:r>
      <w:r w:rsidR="00CD68BA">
        <w:t xml:space="preserve">, this submission describes </w:t>
      </w:r>
      <w:r w:rsidR="00ED7FE9">
        <w:t>a revision</w:t>
      </w:r>
      <w:r w:rsidR="00CD68BA">
        <w:t xml:space="preserve"> to the study </w:t>
      </w:r>
      <w:r w:rsidR="009F71FF">
        <w:t xml:space="preserve">in </w:t>
      </w:r>
      <w:r w:rsidR="00ED7FE9">
        <w:t xml:space="preserve">Section A.15. </w:t>
      </w:r>
      <w:r w:rsidR="00CD68BA">
        <w:t xml:space="preserve"> </w:t>
      </w:r>
      <w:r w:rsidR="00ED7FE9">
        <w:t xml:space="preserve">OAH originally designed the study to address the relative effectiveness of the program implemented by school health teachers and professional health educators.  </w:t>
      </w:r>
      <w:r w:rsidR="00ED7FE9" w:rsidRPr="00ED7FE9">
        <w:t xml:space="preserve">The original study design used a three-armed RCT, where schools were to be randomly assigned to receive (1) </w:t>
      </w:r>
      <w:r w:rsidR="00ED7FE9" w:rsidRPr="00962334">
        <w:rPr>
          <w:i/>
        </w:rPr>
        <w:t>MPC!</w:t>
      </w:r>
      <w:r w:rsidR="00ED7FE9" w:rsidRPr="00ED7FE9">
        <w:t xml:space="preserve"> implemented by health educators, (2) </w:t>
      </w:r>
      <w:r w:rsidR="00ED7FE9" w:rsidRPr="00962334">
        <w:rPr>
          <w:i/>
        </w:rPr>
        <w:t>MPC!</w:t>
      </w:r>
      <w:r w:rsidR="00ED7FE9" w:rsidRPr="00ED7FE9">
        <w:t xml:space="preserve"> implemented by school teachers, or (3) business as usual health programming </w:t>
      </w:r>
      <w:r w:rsidR="00ED7FE9">
        <w:t>as</w:t>
      </w:r>
      <w:r w:rsidR="00ED7FE9" w:rsidRPr="00ED7FE9">
        <w:t xml:space="preserve"> the control condition. </w:t>
      </w:r>
      <w:r w:rsidR="00ED7FE9">
        <w:t xml:space="preserve">After input from an expert panel, OAH has changed the study design to test the effectiveness of the program as delivered by health educators. Schools will now be randomized to one of two groups: (1) </w:t>
      </w:r>
      <w:r w:rsidR="00ED7FE9" w:rsidRPr="00962334">
        <w:rPr>
          <w:i/>
        </w:rPr>
        <w:t>MPC!</w:t>
      </w:r>
      <w:r w:rsidR="00ED7FE9" w:rsidRPr="00ED7FE9">
        <w:t xml:space="preserve"> implemented by health educators,</w:t>
      </w:r>
      <w:r w:rsidR="00ED7FE9">
        <w:t xml:space="preserve"> and (2) </w:t>
      </w:r>
      <w:r w:rsidR="00ED7FE9" w:rsidRPr="00ED7FE9">
        <w:t xml:space="preserve"> business as usual health programming </w:t>
      </w:r>
      <w:r w:rsidR="00ED7FE9">
        <w:t>as</w:t>
      </w:r>
      <w:r w:rsidR="00ED7FE9" w:rsidRPr="00ED7FE9">
        <w:t xml:space="preserve"> the control condition</w:t>
      </w:r>
      <w:r w:rsidR="00ED7FE9">
        <w:t xml:space="preserve">. </w:t>
      </w:r>
      <w:r w:rsidR="009F71FF">
        <w:t>The same number of schools are expected to participate in the study, which does not change the</w:t>
      </w:r>
      <w:r w:rsidR="00F549A2">
        <w:t xml:space="preserve"> original</w:t>
      </w:r>
      <w:r w:rsidR="009F71FF">
        <w:t xml:space="preserve"> burden </w:t>
      </w:r>
      <w:r w:rsidR="00F549A2">
        <w:t>assumptions</w:t>
      </w:r>
      <w:r w:rsidR="009F71FF">
        <w:t xml:space="preserve">. </w:t>
      </w:r>
    </w:p>
    <w:p w14:paraId="1829C7B8" w14:textId="527CBD0A" w:rsidR="00436B9F" w:rsidRPr="00687F29" w:rsidRDefault="00736152" w:rsidP="00436B9F">
      <w:pPr>
        <w:pStyle w:val="Heading2Black"/>
      </w:pPr>
      <w:bookmarkStart w:id="33" w:name="_Toc320884245"/>
      <w:bookmarkStart w:id="34" w:name="_Toc320887150"/>
      <w:bookmarkStart w:id="35" w:name="_Toc326752778"/>
      <w:bookmarkStart w:id="36" w:name="_Toc448730398"/>
      <w:bookmarkStart w:id="37" w:name="_Toc477900629"/>
      <w:r>
        <w:t>A.</w:t>
      </w:r>
      <w:r w:rsidR="00436B9F" w:rsidRPr="00687F29">
        <w:t>1.</w:t>
      </w:r>
      <w:r w:rsidR="00436B9F" w:rsidRPr="00687F29">
        <w:tab/>
        <w:t>Circumstances Making the Collection of Information Necessary</w:t>
      </w:r>
      <w:bookmarkEnd w:id="33"/>
      <w:bookmarkEnd w:id="34"/>
      <w:bookmarkEnd w:id="35"/>
      <w:bookmarkEnd w:id="36"/>
      <w:bookmarkEnd w:id="37"/>
      <w:r w:rsidR="00436B9F">
        <w:t xml:space="preserve"> </w:t>
      </w:r>
    </w:p>
    <w:p w14:paraId="1829C7B9" w14:textId="77777777" w:rsidR="00436B9F" w:rsidRDefault="00436B9F" w:rsidP="00436B9F">
      <w:pPr>
        <w:pStyle w:val="Heading3"/>
      </w:pPr>
      <w:bookmarkStart w:id="38" w:name="_Toc320884246"/>
      <w:bookmarkStart w:id="39" w:name="_Toc320887151"/>
      <w:bookmarkStart w:id="40" w:name="_Toc326752779"/>
      <w:bookmarkStart w:id="41" w:name="_Toc448730399"/>
      <w:bookmarkStart w:id="42" w:name="_Toc477900630"/>
      <w:r w:rsidRPr="00687F29">
        <w:t>1.</w:t>
      </w:r>
      <w:r w:rsidRPr="00687F29">
        <w:tab/>
        <w:t>Legal or Administrative Requirements that Necessitate the Collection</w:t>
      </w:r>
      <w:bookmarkStart w:id="43" w:name="_Toc320884247"/>
      <w:bookmarkStart w:id="44" w:name="_Toc320887152"/>
      <w:bookmarkStart w:id="45" w:name="_Toc326752780"/>
      <w:bookmarkEnd w:id="38"/>
      <w:bookmarkEnd w:id="39"/>
      <w:bookmarkEnd w:id="40"/>
      <w:bookmarkEnd w:id="41"/>
      <w:bookmarkEnd w:id="42"/>
      <w:r>
        <w:t xml:space="preserve"> </w:t>
      </w:r>
    </w:p>
    <w:p w14:paraId="1829C7BA" w14:textId="216D4AC3" w:rsidR="00436B9F" w:rsidRDefault="00436B9F" w:rsidP="00436B9F">
      <w:pPr>
        <w:pStyle w:val="NormalSS"/>
        <w:rPr>
          <w:rFonts w:eastAsia="Calibri"/>
          <w:kern w:val="24"/>
        </w:rPr>
      </w:pPr>
      <w:r w:rsidRPr="00B13A51">
        <w:rPr>
          <w:rFonts w:eastAsia="Calibri"/>
          <w:kern w:val="24"/>
        </w:rPr>
        <w:t xml:space="preserve">The current federal emphasis on evidence-based approaches to teen pregnancy prevention began in 2010 with congressional authorization of the TPP program and creation of OAH. The TPP program was one of six early evidence-based initiatives authorized by Congress to increase the use of data and evidence in social policy (Haskins and Margolis 2015). The program provides roughly $100 million annually to state and local organizations to implement evidence-based and promising new teen pregnancy prevention programs. As with several of the other federal evidence-based initiatives, the TPP program features a “tiered evidence” grant structure: the majority of funding goes to disseminate and scale up Tier 1 programs that have some existing evidence of effectiveness, whereas a smaller amount supports Tier 2 demonstration projects, which support innovation in the field by developing and rigorously testing promising new approaches to teen pregnancy prevention. </w:t>
      </w:r>
    </w:p>
    <w:p w14:paraId="1829C7BB" w14:textId="0C28C232" w:rsidR="00436B9F" w:rsidRPr="00D91323" w:rsidRDefault="00436B9F" w:rsidP="00436B9F">
      <w:pPr>
        <w:pStyle w:val="NormalSS"/>
        <w:rPr>
          <w:rFonts w:eastAsia="Calibri"/>
          <w:kern w:val="24"/>
        </w:rPr>
      </w:pPr>
      <w:r w:rsidRPr="00593B57">
        <w:rPr>
          <w:rFonts w:eastAsia="Calibri"/>
          <w:kern w:val="24"/>
        </w:rPr>
        <w:t>The first cohort of TPP grantees was an</w:t>
      </w:r>
      <w:r w:rsidR="007F4F5E">
        <w:rPr>
          <w:rFonts w:eastAsia="Calibri"/>
          <w:kern w:val="24"/>
        </w:rPr>
        <w:t>nounced in fall 2010, consisted</w:t>
      </w:r>
      <w:r w:rsidRPr="00593B57">
        <w:rPr>
          <w:rFonts w:eastAsia="Calibri"/>
          <w:kern w:val="24"/>
        </w:rPr>
        <w:t xml:space="preserve"> of five-year awards running through fall 2015 (Kappeler and F</w:t>
      </w:r>
      <w:r w:rsidRPr="00D91323">
        <w:rPr>
          <w:rFonts w:eastAsia="Calibri"/>
          <w:kern w:val="24"/>
        </w:rPr>
        <w:t>arb 2014). A total of 75 organizations received funding under Tier 1 of the TPP program, with awards ranging from roughly $400,000 to $4 million annually. In line with the program’s emphasis on evidence-based approaches, grantees were required to select from a list of 28 existing programs and curricula that the U.S. Department of Health and Human Services (HHS) had identified as having demonstrated evidence of effectiveness</w:t>
      </w:r>
      <w:r w:rsidR="007F4F5E">
        <w:rPr>
          <w:rFonts w:eastAsia="Calibri"/>
          <w:kern w:val="24"/>
        </w:rPr>
        <w:t xml:space="preserve"> in reducing teen pregnancy, STD</w:t>
      </w:r>
      <w:r w:rsidRPr="00D91323">
        <w:rPr>
          <w:rFonts w:eastAsia="Calibri"/>
          <w:kern w:val="24"/>
        </w:rPr>
        <w:t xml:space="preserve">s, or associated sexual risk behaviors. More than three-quarters of these eligible programs (23 of 28) were selected for use by at least one grantee. The TPP program was successful in reaching a very large segment of the population, with about 100,000 youth per year receiving services across a broad network of schools and other community organizations (Wilson </w:t>
      </w:r>
      <w:r w:rsidR="007F4F5E">
        <w:rPr>
          <w:rFonts w:eastAsia="Calibri"/>
          <w:kern w:val="24"/>
        </w:rPr>
        <w:t>and Lawson 2014).</w:t>
      </w:r>
      <w:r w:rsidRPr="00D91323">
        <w:rPr>
          <w:rFonts w:eastAsia="Calibri"/>
          <w:kern w:val="24"/>
        </w:rPr>
        <w:t xml:space="preserve"> In addition, nearly 20 of these grantees conducted impact evaluations of their TPP program. </w:t>
      </w:r>
    </w:p>
    <w:p w14:paraId="1829C7BD" w14:textId="105509E1" w:rsidR="00436B9F" w:rsidRDefault="00436B9F" w:rsidP="00436B9F">
      <w:pPr>
        <w:pStyle w:val="NormalSS"/>
        <w:rPr>
          <w:kern w:val="24"/>
        </w:rPr>
      </w:pPr>
      <w:r w:rsidRPr="004B1D46">
        <w:rPr>
          <w:rFonts w:eastAsia="Calibri"/>
          <w:kern w:val="24"/>
        </w:rPr>
        <w:t>The experience of the first cohort of TPP grantees highlighted challenges local communities can face when implementing evidence-based programs (Margolis and Roper 2014).</w:t>
      </w:r>
      <w:r>
        <w:rPr>
          <w:rFonts w:eastAsia="Calibri"/>
          <w:kern w:val="24"/>
        </w:rPr>
        <w:t xml:space="preserve"> </w:t>
      </w:r>
      <w:r w:rsidRPr="004B1D46">
        <w:rPr>
          <w:rFonts w:eastAsia="Calibri"/>
          <w:kern w:val="24"/>
        </w:rPr>
        <w:t xml:space="preserve">For example, </w:t>
      </w:r>
      <w:r w:rsidRPr="00593B57">
        <w:rPr>
          <w:kern w:val="24"/>
        </w:rPr>
        <w:t>g</w:t>
      </w:r>
      <w:r w:rsidRPr="00D91323">
        <w:rPr>
          <w:kern w:val="24"/>
        </w:rPr>
        <w:t>rantees needed practical guidance on how to replicate evidence-based programs with fidelity within the time and scheduling constraints of their local schools and community-based organizations. In other cases, grantees found that the content of some of the older evidence-based programs was outdated or did not resonate with local youth. Implementation fidelity was often difficult to maintain, and varied based on the setting and mode</w:t>
      </w:r>
      <w:r w:rsidR="004912F0">
        <w:rPr>
          <w:kern w:val="24"/>
        </w:rPr>
        <w:t xml:space="preserve">. </w:t>
      </w:r>
      <w:r w:rsidRPr="00D91323">
        <w:rPr>
          <w:kern w:val="24"/>
        </w:rPr>
        <w:t>OAH drew on these lessons when developing plans for the next cohort of TPP grantees, for whom awards were announced on July 6, 2015. For this second cohort, OAH retained the overall tiered structure of the grant program and provides the greatest funding for the replication of evidence-based programs (Tier 1). For Tier 1, a total of 50 organizations received funding to replicate evidence-based programs in high-need communities (Tier 1B). In addition, eight organizations received funding to serve as intermediaries to support capacity building for implementing and evaluating evidence-based programs (Tier 1A).</w:t>
      </w:r>
    </w:p>
    <w:p w14:paraId="3F117280" w14:textId="66EA25BC" w:rsidR="00215D9D" w:rsidRPr="00D91323" w:rsidRDefault="00215D9D" w:rsidP="00436B9F">
      <w:pPr>
        <w:pStyle w:val="NormalSS"/>
        <w:rPr>
          <w:kern w:val="24"/>
        </w:rPr>
      </w:pPr>
      <w:r>
        <w:rPr>
          <w:kern w:val="24"/>
        </w:rPr>
        <w:t xml:space="preserve">This evaluation, designed to provide new evidence to guide the identification of evidence-based TPP programs, is authorized under </w:t>
      </w:r>
      <w:r>
        <w:t>Section 301 of the Public Health Service Act (42 U.S.C.241).</w:t>
      </w:r>
    </w:p>
    <w:p w14:paraId="1829C7BE" w14:textId="77777777" w:rsidR="00436B9F" w:rsidRDefault="00436B9F" w:rsidP="00436B9F">
      <w:pPr>
        <w:pStyle w:val="Heading3"/>
        <w:rPr>
          <w:kern w:val="22"/>
        </w:rPr>
      </w:pPr>
      <w:bookmarkStart w:id="46" w:name="_Toc448730400"/>
      <w:bookmarkStart w:id="47" w:name="_Toc477900631"/>
      <w:r w:rsidRPr="00687F29">
        <w:rPr>
          <w:rStyle w:val="Emphasis"/>
          <w:i w:val="0"/>
          <w:iCs w:val="0"/>
        </w:rPr>
        <w:t>2.</w:t>
      </w:r>
      <w:r w:rsidRPr="00687F29">
        <w:rPr>
          <w:rStyle w:val="Emphasis"/>
          <w:i w:val="0"/>
          <w:iCs w:val="0"/>
        </w:rPr>
        <w:tab/>
        <w:t>Study Objectives</w:t>
      </w:r>
      <w:bookmarkEnd w:id="43"/>
      <w:bookmarkEnd w:id="44"/>
      <w:bookmarkEnd w:id="45"/>
      <w:bookmarkEnd w:id="46"/>
      <w:bookmarkEnd w:id="47"/>
    </w:p>
    <w:p w14:paraId="1829C7C0" w14:textId="538B1CAD" w:rsidR="00436B9F" w:rsidRDefault="00436B9F" w:rsidP="00AB2260">
      <w:pPr>
        <w:spacing w:after="240" w:line="240" w:lineRule="auto"/>
        <w:rPr>
          <w:kern w:val="22"/>
        </w:rPr>
      </w:pPr>
      <w:r w:rsidRPr="00452CF4">
        <w:rPr>
          <w:kern w:val="22"/>
        </w:rPr>
        <w:t xml:space="preserve">OAH </w:t>
      </w:r>
      <w:r>
        <w:rPr>
          <w:kern w:val="22"/>
        </w:rPr>
        <w:t>has</w:t>
      </w:r>
      <w:r w:rsidRPr="00452CF4">
        <w:rPr>
          <w:kern w:val="22"/>
        </w:rPr>
        <w:t xml:space="preserve"> designed a new research agenda to complement the second cohort of TPP </w:t>
      </w:r>
      <w:r>
        <w:rPr>
          <w:kern w:val="22"/>
        </w:rPr>
        <w:t>funding</w:t>
      </w:r>
      <w:r w:rsidRPr="00452CF4">
        <w:rPr>
          <w:kern w:val="22"/>
        </w:rPr>
        <w:t>. Building on the experiences of the first cohort of grantees and the grantee-led evaluations, OAH seeks to launch a “second generati</w:t>
      </w:r>
      <w:r>
        <w:rPr>
          <w:kern w:val="22"/>
        </w:rPr>
        <w:t xml:space="preserve">on” of evaluation activities - </w:t>
      </w:r>
      <w:r w:rsidRPr="00452CF4">
        <w:rPr>
          <w:kern w:val="22"/>
        </w:rPr>
        <w:t xml:space="preserve">one that addresses a more targeted set of research questions of significant practical relevance to OAH and the broader field. </w:t>
      </w:r>
      <w:r w:rsidR="00C41773">
        <w:rPr>
          <w:kern w:val="22"/>
        </w:rPr>
        <w:t>This</w:t>
      </w:r>
      <w:r w:rsidRPr="00452CF4">
        <w:rPr>
          <w:kern w:val="22"/>
        </w:rPr>
        <w:t xml:space="preserve"> new evaluation </w:t>
      </w:r>
      <w:r w:rsidR="00C41773">
        <w:rPr>
          <w:kern w:val="22"/>
        </w:rPr>
        <w:t xml:space="preserve">of </w:t>
      </w:r>
      <w:r w:rsidR="00C41773" w:rsidRPr="00B41882">
        <w:rPr>
          <w:i/>
          <w:kern w:val="22"/>
        </w:rPr>
        <w:t>MPC!</w:t>
      </w:r>
      <w:r w:rsidR="00C41773">
        <w:rPr>
          <w:kern w:val="22"/>
        </w:rPr>
        <w:t xml:space="preserve"> </w:t>
      </w:r>
      <w:r w:rsidRPr="00452CF4">
        <w:rPr>
          <w:kern w:val="22"/>
        </w:rPr>
        <w:t xml:space="preserve">will seek to advance the existing evidence base by identifying and testing </w:t>
      </w:r>
      <w:r w:rsidR="00B41882">
        <w:rPr>
          <w:kern w:val="22"/>
        </w:rPr>
        <w:t xml:space="preserve">the </w:t>
      </w:r>
      <w:r w:rsidRPr="00452CF4">
        <w:rPr>
          <w:kern w:val="22"/>
        </w:rPr>
        <w:t xml:space="preserve">replication of a commonly used but understudied </w:t>
      </w:r>
      <w:r w:rsidR="005A344D">
        <w:rPr>
          <w:kern w:val="22"/>
        </w:rPr>
        <w:t>abstinence</w:t>
      </w:r>
      <w:r w:rsidRPr="00452CF4">
        <w:rPr>
          <w:kern w:val="22"/>
        </w:rPr>
        <w:t xml:space="preserve">-based </w:t>
      </w:r>
      <w:r w:rsidR="00B41882">
        <w:rPr>
          <w:kern w:val="22"/>
        </w:rPr>
        <w:t>program</w:t>
      </w:r>
      <w:r w:rsidR="00AB2260">
        <w:rPr>
          <w:kern w:val="22"/>
        </w:rPr>
        <w:t>, intended</w:t>
      </w:r>
      <w:r w:rsidRPr="007D651B">
        <w:rPr>
          <w:kern w:val="22"/>
        </w:rPr>
        <w:t xml:space="preserve"> to increase students’ knowledge of </w:t>
      </w:r>
      <w:r w:rsidR="00B41882">
        <w:rPr>
          <w:kern w:val="22"/>
        </w:rPr>
        <w:t>STDs</w:t>
      </w:r>
      <w:r w:rsidRPr="007D651B">
        <w:rPr>
          <w:kern w:val="22"/>
        </w:rPr>
        <w:t xml:space="preserve"> and HIV, and understanding of the effectiveness of </w:t>
      </w:r>
      <w:r w:rsidR="00B8081C">
        <w:rPr>
          <w:kern w:val="22"/>
        </w:rPr>
        <w:t xml:space="preserve">abstinence, </w:t>
      </w:r>
      <w:r w:rsidRPr="007D651B">
        <w:rPr>
          <w:kern w:val="22"/>
        </w:rPr>
        <w:t>condoms</w:t>
      </w:r>
      <w:r w:rsidR="00B8081C">
        <w:rPr>
          <w:kern w:val="22"/>
        </w:rPr>
        <w:t>, and contraceptives</w:t>
      </w:r>
      <w:r w:rsidRPr="007D651B">
        <w:rPr>
          <w:kern w:val="22"/>
        </w:rPr>
        <w:t xml:space="preserve"> at reducing STDs and pregnancy. The </w:t>
      </w:r>
      <w:r w:rsidR="00AB2260" w:rsidRPr="00B41882">
        <w:rPr>
          <w:i/>
          <w:kern w:val="22"/>
        </w:rPr>
        <w:t>MPC!</w:t>
      </w:r>
      <w:r w:rsidR="00AB2260">
        <w:rPr>
          <w:kern w:val="22"/>
        </w:rPr>
        <w:t xml:space="preserve"> </w:t>
      </w:r>
      <w:r w:rsidRPr="007D651B">
        <w:rPr>
          <w:kern w:val="22"/>
        </w:rPr>
        <w:t>curriculum emphasizes abstinence as the safest choice for avoiding pregnancy and STDs, but also encourages youth to use condoms if they do have sex. The curriculum also covers refusal methods to improve participants’ feelings of self-efficacy regarding condom use and sexual activity.</w:t>
      </w:r>
    </w:p>
    <w:p w14:paraId="1829C7C1" w14:textId="1AD7FDB4" w:rsidR="00436B9F" w:rsidRDefault="00436B9F" w:rsidP="00436B9F">
      <w:pPr>
        <w:spacing w:after="240" w:line="240" w:lineRule="auto"/>
        <w:rPr>
          <w:kern w:val="22"/>
        </w:rPr>
      </w:pPr>
      <w:r w:rsidRPr="00962334">
        <w:rPr>
          <w:i/>
          <w:kern w:val="22"/>
        </w:rPr>
        <w:t>MPC!</w:t>
      </w:r>
      <w:r w:rsidRPr="007D651B">
        <w:rPr>
          <w:kern w:val="22"/>
        </w:rPr>
        <w:t xml:space="preserve"> is a very popular program across federal grant programs. It is implemented by over 100 providers nationwide. </w:t>
      </w:r>
      <w:r>
        <w:rPr>
          <w:kern w:val="22"/>
        </w:rPr>
        <w:t xml:space="preserve">The program’s </w:t>
      </w:r>
      <w:r w:rsidRPr="007D651B">
        <w:rPr>
          <w:kern w:val="22"/>
        </w:rPr>
        <w:t xml:space="preserve">evidence of effectiveness is limited to a single study that meets HHS evidence review standards (Jemmott et al. 1998). The study is nearly </w:t>
      </w:r>
      <w:r w:rsidR="006673DD">
        <w:rPr>
          <w:kern w:val="22"/>
        </w:rPr>
        <w:t>2</w:t>
      </w:r>
      <w:r w:rsidR="006673DD" w:rsidRPr="007D651B">
        <w:rPr>
          <w:kern w:val="22"/>
        </w:rPr>
        <w:t xml:space="preserve">0 </w:t>
      </w:r>
      <w:r w:rsidRPr="007D651B">
        <w:rPr>
          <w:kern w:val="22"/>
        </w:rPr>
        <w:t>years old, and was conducted in a highly controlled implementation cont</w:t>
      </w:r>
      <w:r>
        <w:rPr>
          <w:kern w:val="22"/>
        </w:rPr>
        <w:t xml:space="preserve">ext by the program developers. </w:t>
      </w:r>
      <w:r w:rsidRPr="007D651B">
        <w:rPr>
          <w:kern w:val="22"/>
        </w:rPr>
        <w:t xml:space="preserve">New evidence is needed on the effectiveness of the program as it is replicated nationwide, and in schools. </w:t>
      </w:r>
    </w:p>
    <w:p w14:paraId="1829C7C2" w14:textId="2346A95C" w:rsidR="00436B9F" w:rsidRDefault="00436B9F" w:rsidP="004A6429">
      <w:pPr>
        <w:keepNext/>
        <w:spacing w:after="240" w:line="240" w:lineRule="auto"/>
        <w:rPr>
          <w:kern w:val="22"/>
        </w:rPr>
      </w:pPr>
      <w:r w:rsidRPr="007D651B">
        <w:rPr>
          <w:kern w:val="22"/>
        </w:rPr>
        <w:t xml:space="preserve">The study will be designed to address </w:t>
      </w:r>
      <w:r w:rsidR="00B41882">
        <w:rPr>
          <w:kern w:val="22"/>
        </w:rPr>
        <w:t>this</w:t>
      </w:r>
      <w:r w:rsidR="008D2432">
        <w:rPr>
          <w:kern w:val="22"/>
        </w:rPr>
        <w:t xml:space="preserve"> question</w:t>
      </w:r>
      <w:r w:rsidRPr="007D651B">
        <w:rPr>
          <w:kern w:val="22"/>
        </w:rPr>
        <w:t xml:space="preserve">: </w:t>
      </w:r>
    </w:p>
    <w:p w14:paraId="1829C7C3" w14:textId="77777777" w:rsidR="00436B9F" w:rsidRDefault="00436B9F" w:rsidP="005E56B4">
      <w:pPr>
        <w:numPr>
          <w:ilvl w:val="0"/>
          <w:numId w:val="16"/>
        </w:numPr>
        <w:spacing w:after="120" w:line="240" w:lineRule="auto"/>
        <w:rPr>
          <w:kern w:val="22"/>
        </w:rPr>
      </w:pPr>
      <w:r w:rsidRPr="007D651B">
        <w:rPr>
          <w:kern w:val="22"/>
        </w:rPr>
        <w:t xml:space="preserve">Does </w:t>
      </w:r>
      <w:r w:rsidRPr="00B41882">
        <w:rPr>
          <w:i/>
          <w:kern w:val="22"/>
        </w:rPr>
        <w:t>MPC!</w:t>
      </w:r>
      <w:r w:rsidRPr="007D651B">
        <w:rPr>
          <w:kern w:val="22"/>
        </w:rPr>
        <w:t>, implemented by health educators in schools, change youth sexual behavioral outcomes, relative to a business as usual sexual health program?</w:t>
      </w:r>
    </w:p>
    <w:p w14:paraId="6E7CB0E4" w14:textId="03659672" w:rsidR="00AB2260" w:rsidRDefault="00C219EE" w:rsidP="004A6429">
      <w:pPr>
        <w:pStyle w:val="NormalSS"/>
      </w:pPr>
      <w:r w:rsidRPr="00C6253E">
        <w:t xml:space="preserve">The </w:t>
      </w:r>
      <w:r>
        <w:t>evaluation</w:t>
      </w:r>
      <w:r w:rsidRPr="00C6253E">
        <w:t xml:space="preserve"> will be conducted in </w:t>
      </w:r>
      <w:r>
        <w:t xml:space="preserve">approximately </w:t>
      </w:r>
      <w:r w:rsidR="00BD77B3">
        <w:t>39</w:t>
      </w:r>
      <w:r w:rsidR="00BD77B3" w:rsidRPr="00C6253E">
        <w:t xml:space="preserve"> </w:t>
      </w:r>
      <w:r w:rsidRPr="00C6253E">
        <w:t xml:space="preserve">high schools, and in required health classes. </w:t>
      </w:r>
    </w:p>
    <w:p w14:paraId="05638226" w14:textId="48E02D12" w:rsidR="00F71630" w:rsidRDefault="00C219EE" w:rsidP="004A6429">
      <w:pPr>
        <w:pStyle w:val="NormalSS"/>
      </w:pPr>
      <w:r w:rsidRPr="00C6253E">
        <w:t xml:space="preserve">It is expected that most youth in the study will be </w:t>
      </w:r>
      <w:r>
        <w:t xml:space="preserve">9th </w:t>
      </w:r>
      <w:r w:rsidRPr="00C6253E">
        <w:t>grade</w:t>
      </w:r>
      <w:r w:rsidR="00B41882">
        <w:t>rs</w:t>
      </w:r>
      <w:r w:rsidRPr="00C6253E">
        <w:t xml:space="preserve"> </w:t>
      </w:r>
      <w:r>
        <w:t>enrolled in a school’s required health class</w:t>
      </w:r>
      <w:r w:rsidRPr="00C6253E">
        <w:t xml:space="preserve">. </w:t>
      </w:r>
      <w:r w:rsidR="00591535">
        <w:t>S</w:t>
      </w:r>
      <w:r w:rsidR="00591535" w:rsidRPr="00C219EE">
        <w:t xml:space="preserve">chools </w:t>
      </w:r>
      <w:r w:rsidRPr="00C219EE">
        <w:t>will be randomized to one of two conditions</w:t>
      </w:r>
      <w:r w:rsidR="00B41882">
        <w:t xml:space="preserve">: </w:t>
      </w:r>
      <w:r w:rsidRPr="00C219EE">
        <w:t xml:space="preserve">(1) </w:t>
      </w:r>
      <w:r w:rsidR="00B41882">
        <w:t xml:space="preserve">a treatment group taught </w:t>
      </w:r>
      <w:r w:rsidRPr="00B41882">
        <w:rPr>
          <w:i/>
        </w:rPr>
        <w:t>MPC!</w:t>
      </w:r>
      <w:r w:rsidRPr="00C219EE">
        <w:t xml:space="preserve"> by an outside health educator </w:t>
      </w:r>
      <w:r w:rsidR="00B41882">
        <w:t xml:space="preserve">from </w:t>
      </w:r>
      <w:r w:rsidRPr="00C219EE">
        <w:t>a local health department or community based organization, or (2) a control group that receives the health curriculum the school’s health teacher normally provides</w:t>
      </w:r>
      <w:r w:rsidR="007236A8">
        <w:t xml:space="preserve"> (i.e. a business as usual control condition)</w:t>
      </w:r>
      <w:r w:rsidRPr="00C219EE">
        <w:t xml:space="preserve">. </w:t>
      </w:r>
      <w:r w:rsidR="0066015B">
        <w:t xml:space="preserve">Eligible evaluation youth will be those </w:t>
      </w:r>
      <w:r w:rsidR="00B41882">
        <w:t xml:space="preserve">who </w:t>
      </w:r>
      <w:r w:rsidR="0066015B">
        <w:t xml:space="preserve">are </w:t>
      </w:r>
      <w:r w:rsidR="008B14B5">
        <w:t>expected to take a</w:t>
      </w:r>
      <w:r w:rsidR="0066015B">
        <w:t xml:space="preserve"> required health class</w:t>
      </w:r>
      <w:r w:rsidR="008B14B5">
        <w:t>.</w:t>
      </w:r>
      <w:r w:rsidR="0066015B">
        <w:t xml:space="preserve"> </w:t>
      </w:r>
    </w:p>
    <w:p w14:paraId="22C7C565" w14:textId="6C06E4B2" w:rsidR="00F71630" w:rsidRPr="00F71630" w:rsidRDefault="00F71630" w:rsidP="004A6429">
      <w:pPr>
        <w:pStyle w:val="NormalSS"/>
      </w:pPr>
      <w:r w:rsidRPr="00F71630">
        <w:t xml:space="preserve">Survey data will be collected from youth study participants at baseline (before </w:t>
      </w:r>
      <w:r w:rsidRPr="001445E6">
        <w:rPr>
          <w:i/>
        </w:rPr>
        <w:t>MPC!</w:t>
      </w:r>
      <w:r w:rsidRPr="00F71630">
        <w:t xml:space="preserve"> programming begins for treatment</w:t>
      </w:r>
      <w:r>
        <w:t xml:space="preserve"> youth</w:t>
      </w:r>
      <w:r w:rsidRPr="00F71630">
        <w:t xml:space="preserve">) and </w:t>
      </w:r>
      <w:r>
        <w:t xml:space="preserve">approximately 9 months and 15 </w:t>
      </w:r>
      <w:r w:rsidRPr="00F71630">
        <w:t>months after baseline.</w:t>
      </w:r>
      <w:r w:rsidRPr="00F71630">
        <w:rPr>
          <w:bCs/>
          <w:u w:color="000080"/>
          <w:vertAlign w:val="superscript"/>
        </w:rPr>
        <w:t xml:space="preserve"> </w:t>
      </w:r>
      <w:r w:rsidRPr="00F71630">
        <w:t>The baseline survey data will be used to describe the evaluation sample</w:t>
      </w:r>
      <w:r w:rsidR="00604846">
        <w:t>, to define subgroups of interest (gender and sexual experience at baseline),</w:t>
      </w:r>
      <w:r w:rsidRPr="00F71630">
        <w:t xml:space="preserve"> and </w:t>
      </w:r>
      <w:r w:rsidR="00604846">
        <w:t>as a source of</w:t>
      </w:r>
      <w:r w:rsidRPr="00F71630">
        <w:t xml:space="preserve"> covariates </w:t>
      </w:r>
      <w:r w:rsidR="00604846">
        <w:t xml:space="preserve">to be used </w:t>
      </w:r>
      <w:r w:rsidRPr="00F71630">
        <w:t>in the impact estimation models. The follow-up survey data will be used to estimate program impacts on knowledge, attitudes, beliefs, and behaviors such as sexual initiation and contraception use</w:t>
      </w:r>
      <w:r w:rsidR="00604846">
        <w:t xml:space="preserve"> (see Table A1.1 for information on outcome domains and constructs)</w:t>
      </w:r>
      <w:r w:rsidRPr="00F71630">
        <w:t xml:space="preserve">. </w:t>
      </w:r>
      <w:r w:rsidR="00604846" w:rsidRPr="00604846">
        <w:t xml:space="preserve">Survey items that measure each outcome construct will be used as the dependent variable in a regression analysis used to estimate intent-to-treat program impacts of the </w:t>
      </w:r>
      <w:r w:rsidR="00604846" w:rsidRPr="001445E6">
        <w:rPr>
          <w:i/>
        </w:rPr>
        <w:t>MPC!</w:t>
      </w:r>
      <w:r w:rsidR="00604846" w:rsidRPr="00604846">
        <w:t xml:space="preserve"> program.</w:t>
      </w:r>
      <w:r w:rsidR="00604846">
        <w:t xml:space="preserve"> </w:t>
      </w:r>
      <w:r w:rsidRPr="00F71630">
        <w:t>The impact study will be complemented by the implementation and fidelity assessment</w:t>
      </w:r>
      <w:r w:rsidRPr="00F71630">
        <w:rPr>
          <w:bCs/>
        </w:rPr>
        <w:t xml:space="preserve">. </w:t>
      </w:r>
      <w:r w:rsidRPr="00F71630">
        <w:t>This study component will take a detailed look at program operations along four key aspects: (1) inputs required for implementation to succeed and be sustained, (2) contextual factors that influence implementation, (3) fidelity and quality of program implementation, and (4) participants’ responsiveness to service</w:t>
      </w:r>
      <w:r w:rsidR="00092DB3">
        <w:rPr>
          <w:rStyle w:val="FootnoteReference"/>
          <w:szCs w:val="20"/>
        </w:rPr>
        <w:footnoteReference w:id="1"/>
      </w:r>
      <w:r w:rsidRPr="00F71630">
        <w:t xml:space="preserve">. </w:t>
      </w:r>
    </w:p>
    <w:p w14:paraId="666877F6" w14:textId="73942DB1" w:rsidR="00604846" w:rsidRPr="00C54801" w:rsidRDefault="001445E6" w:rsidP="00604846">
      <w:pPr>
        <w:pStyle w:val="MarkforTableHeading"/>
      </w:pPr>
      <w:bookmarkStart w:id="48" w:name="_Toc477900657"/>
      <w:r>
        <w:t>Table A1.1.</w:t>
      </w:r>
      <w:r w:rsidR="00D31CCD">
        <w:t xml:space="preserve"> Summary of Outcome Domains and C</w:t>
      </w:r>
      <w:r w:rsidR="00604846">
        <w:t>onstructs</w:t>
      </w:r>
      <w:bookmarkEnd w:id="48"/>
      <w:r w:rsidR="00604846">
        <w:t xml:space="preserve"> </w:t>
      </w:r>
    </w:p>
    <w:tbl>
      <w:tblPr>
        <w:tblW w:w="5000" w:type="pct"/>
        <w:tblBorders>
          <w:top w:val="single" w:sz="12" w:space="0" w:color="auto"/>
          <w:bottom w:val="single" w:sz="4" w:space="0" w:color="auto"/>
        </w:tblBorders>
        <w:tblCellMar>
          <w:top w:w="29" w:type="dxa"/>
          <w:left w:w="115" w:type="dxa"/>
          <w:right w:w="115" w:type="dxa"/>
        </w:tblCellMar>
        <w:tblLook w:val="04A0" w:firstRow="1" w:lastRow="0" w:firstColumn="1" w:lastColumn="0" w:noHBand="0" w:noVBand="1"/>
      </w:tblPr>
      <w:tblGrid>
        <w:gridCol w:w="2827"/>
        <w:gridCol w:w="6763"/>
      </w:tblGrid>
      <w:tr w:rsidR="00604846" w:rsidRPr="00A07181" w14:paraId="2FC93B2F" w14:textId="77777777" w:rsidTr="004A6429">
        <w:trPr>
          <w:trHeight w:val="300"/>
          <w:tblHeader/>
        </w:trPr>
        <w:tc>
          <w:tcPr>
            <w:tcW w:w="1474" w:type="pct"/>
            <w:tcBorders>
              <w:top w:val="nil"/>
              <w:left w:val="nil"/>
              <w:bottom w:val="single" w:sz="4" w:space="0" w:color="auto"/>
              <w:right w:val="nil"/>
              <w:tl2br w:val="nil"/>
              <w:tr2bl w:val="nil"/>
            </w:tcBorders>
            <w:shd w:val="clear" w:color="auto" w:fill="6C6F70"/>
            <w:noWrap/>
            <w:vAlign w:val="bottom"/>
            <w:hideMark/>
          </w:tcPr>
          <w:p w14:paraId="50CF017E" w14:textId="77777777" w:rsidR="00604846" w:rsidRPr="00191542" w:rsidRDefault="00604846" w:rsidP="004A6429">
            <w:pPr>
              <w:pStyle w:val="TableHeaderLeft"/>
            </w:pPr>
            <w:r w:rsidRPr="00191542">
              <w:t>Outcome Domain</w:t>
            </w:r>
          </w:p>
        </w:tc>
        <w:tc>
          <w:tcPr>
            <w:tcW w:w="3526" w:type="pct"/>
            <w:tcBorders>
              <w:top w:val="nil"/>
              <w:left w:val="nil"/>
              <w:bottom w:val="single" w:sz="4" w:space="0" w:color="auto"/>
              <w:right w:val="nil"/>
              <w:tl2br w:val="nil"/>
              <w:tr2bl w:val="nil"/>
            </w:tcBorders>
            <w:shd w:val="clear" w:color="auto" w:fill="6C6F70"/>
            <w:noWrap/>
            <w:vAlign w:val="bottom"/>
            <w:hideMark/>
          </w:tcPr>
          <w:p w14:paraId="3079128B" w14:textId="77777777" w:rsidR="00604846" w:rsidRPr="00191542" w:rsidRDefault="00604846" w:rsidP="004A6429">
            <w:pPr>
              <w:pStyle w:val="TableHeaderCenter"/>
            </w:pPr>
            <w:r w:rsidRPr="00191542">
              <w:t>Outcome Construct</w:t>
            </w:r>
          </w:p>
        </w:tc>
      </w:tr>
      <w:tr w:rsidR="00604846" w:rsidRPr="00A07181" w14:paraId="6D546CFC" w14:textId="77777777" w:rsidTr="004A6429">
        <w:trPr>
          <w:trHeight w:val="300"/>
        </w:trPr>
        <w:tc>
          <w:tcPr>
            <w:tcW w:w="1474" w:type="pct"/>
            <w:vMerge w:val="restart"/>
            <w:tcBorders>
              <w:top w:val="single" w:sz="4" w:space="0" w:color="auto"/>
            </w:tcBorders>
            <w:shd w:val="clear" w:color="auto" w:fill="auto"/>
            <w:noWrap/>
            <w:hideMark/>
          </w:tcPr>
          <w:p w14:paraId="55F04800" w14:textId="77777777" w:rsidR="00604846" w:rsidRPr="00A07181" w:rsidRDefault="00604846" w:rsidP="00C746CA">
            <w:pPr>
              <w:pStyle w:val="TableText"/>
              <w:jc w:val="left"/>
            </w:pPr>
            <w:r w:rsidRPr="00A07181">
              <w:t>Exposure to information</w:t>
            </w:r>
          </w:p>
        </w:tc>
        <w:tc>
          <w:tcPr>
            <w:tcW w:w="3526" w:type="pct"/>
            <w:tcBorders>
              <w:top w:val="single" w:sz="4" w:space="0" w:color="auto"/>
            </w:tcBorders>
            <w:shd w:val="clear" w:color="auto" w:fill="auto"/>
            <w:noWrap/>
            <w:hideMark/>
          </w:tcPr>
          <w:p w14:paraId="7E06FE3D" w14:textId="77777777" w:rsidR="00604846" w:rsidRPr="00A07181" w:rsidRDefault="00604846" w:rsidP="00C746CA">
            <w:pPr>
              <w:pStyle w:val="TableText"/>
              <w:jc w:val="left"/>
            </w:pPr>
            <w:r w:rsidRPr="00A07181">
              <w:t>Attended classes on reproductive health topics</w:t>
            </w:r>
          </w:p>
        </w:tc>
      </w:tr>
      <w:tr w:rsidR="00604846" w:rsidRPr="00A07181" w14:paraId="4291A22A" w14:textId="77777777" w:rsidTr="004A6429">
        <w:trPr>
          <w:trHeight w:val="300"/>
        </w:trPr>
        <w:tc>
          <w:tcPr>
            <w:tcW w:w="1474" w:type="pct"/>
            <w:vMerge/>
            <w:shd w:val="clear" w:color="auto" w:fill="auto"/>
            <w:hideMark/>
          </w:tcPr>
          <w:p w14:paraId="5AE5DF14" w14:textId="77777777" w:rsidR="00604846" w:rsidRPr="00A07181" w:rsidRDefault="00604846" w:rsidP="007B0EE2">
            <w:pPr>
              <w:pStyle w:val="TableText"/>
              <w:jc w:val="left"/>
            </w:pPr>
          </w:p>
        </w:tc>
        <w:tc>
          <w:tcPr>
            <w:tcW w:w="3526" w:type="pct"/>
            <w:shd w:val="clear" w:color="auto" w:fill="auto"/>
            <w:noWrap/>
            <w:hideMark/>
          </w:tcPr>
          <w:p w14:paraId="3FABF2E2" w14:textId="77777777" w:rsidR="00604846" w:rsidRPr="00A07181" w:rsidRDefault="00604846" w:rsidP="007B0EE2">
            <w:pPr>
              <w:pStyle w:val="TableText"/>
              <w:jc w:val="left"/>
            </w:pPr>
            <w:r w:rsidRPr="00A07181">
              <w:t>Received information about birth control from a doctor, nurse, or clinic</w:t>
            </w:r>
          </w:p>
        </w:tc>
      </w:tr>
      <w:tr w:rsidR="00604846" w:rsidRPr="00A07181" w14:paraId="39119DEB" w14:textId="77777777" w:rsidTr="004A6429">
        <w:trPr>
          <w:trHeight w:val="300"/>
        </w:trPr>
        <w:tc>
          <w:tcPr>
            <w:tcW w:w="1474" w:type="pct"/>
            <w:vMerge w:val="restart"/>
            <w:shd w:val="clear" w:color="auto" w:fill="auto"/>
            <w:noWrap/>
            <w:hideMark/>
          </w:tcPr>
          <w:p w14:paraId="68070BD5" w14:textId="77777777" w:rsidR="00604846" w:rsidRPr="00A07181" w:rsidRDefault="00604846" w:rsidP="00C746CA">
            <w:pPr>
              <w:pStyle w:val="TableText"/>
              <w:jc w:val="left"/>
            </w:pPr>
            <w:r w:rsidRPr="00A07181">
              <w:t>Knowledge</w:t>
            </w:r>
          </w:p>
        </w:tc>
        <w:tc>
          <w:tcPr>
            <w:tcW w:w="3526" w:type="pct"/>
            <w:shd w:val="clear" w:color="auto" w:fill="auto"/>
            <w:noWrap/>
            <w:hideMark/>
          </w:tcPr>
          <w:p w14:paraId="715DDDC4" w14:textId="77777777" w:rsidR="00604846" w:rsidRPr="00A07181" w:rsidRDefault="00604846" w:rsidP="00C746CA">
            <w:pPr>
              <w:pStyle w:val="TableText"/>
              <w:jc w:val="left"/>
            </w:pPr>
            <w:r w:rsidRPr="00A07181">
              <w:t>Knowledge about condoms</w:t>
            </w:r>
          </w:p>
        </w:tc>
      </w:tr>
      <w:tr w:rsidR="00604846" w:rsidRPr="00A07181" w14:paraId="0D59534A" w14:textId="77777777" w:rsidTr="004A6429">
        <w:trPr>
          <w:trHeight w:val="300"/>
        </w:trPr>
        <w:tc>
          <w:tcPr>
            <w:tcW w:w="1474" w:type="pct"/>
            <w:vMerge/>
            <w:shd w:val="clear" w:color="auto" w:fill="auto"/>
            <w:hideMark/>
          </w:tcPr>
          <w:p w14:paraId="73E401A1" w14:textId="77777777" w:rsidR="00604846" w:rsidRPr="00A07181" w:rsidRDefault="00604846" w:rsidP="007B0EE2">
            <w:pPr>
              <w:pStyle w:val="TableText"/>
              <w:jc w:val="left"/>
            </w:pPr>
          </w:p>
        </w:tc>
        <w:tc>
          <w:tcPr>
            <w:tcW w:w="3526" w:type="pct"/>
            <w:shd w:val="clear" w:color="auto" w:fill="auto"/>
            <w:noWrap/>
            <w:hideMark/>
          </w:tcPr>
          <w:p w14:paraId="0D1F85B6" w14:textId="763F78EB" w:rsidR="00604846" w:rsidRPr="00A07181" w:rsidRDefault="00604846" w:rsidP="007B0EE2">
            <w:pPr>
              <w:pStyle w:val="TableText"/>
              <w:jc w:val="left"/>
            </w:pPr>
            <w:r w:rsidRPr="00A07181">
              <w:t>Knowledge about birth control</w:t>
            </w:r>
            <w:r w:rsidR="009B409C">
              <w:t xml:space="preserve"> pills</w:t>
            </w:r>
          </w:p>
        </w:tc>
      </w:tr>
      <w:tr w:rsidR="00604846" w:rsidRPr="00A07181" w14:paraId="750EC816" w14:textId="77777777" w:rsidTr="004A6429">
        <w:trPr>
          <w:trHeight w:val="300"/>
        </w:trPr>
        <w:tc>
          <w:tcPr>
            <w:tcW w:w="1474" w:type="pct"/>
            <w:vMerge/>
            <w:shd w:val="clear" w:color="auto" w:fill="auto"/>
            <w:hideMark/>
          </w:tcPr>
          <w:p w14:paraId="36DCEBE4" w14:textId="77777777" w:rsidR="00604846" w:rsidRPr="00A07181" w:rsidRDefault="00604846" w:rsidP="007B0EE2">
            <w:pPr>
              <w:pStyle w:val="TableText"/>
              <w:jc w:val="left"/>
            </w:pPr>
          </w:p>
        </w:tc>
        <w:tc>
          <w:tcPr>
            <w:tcW w:w="3526" w:type="pct"/>
            <w:shd w:val="clear" w:color="auto" w:fill="auto"/>
            <w:noWrap/>
            <w:hideMark/>
          </w:tcPr>
          <w:p w14:paraId="54525189" w14:textId="77777777" w:rsidR="00604846" w:rsidRPr="00A07181" w:rsidRDefault="00604846" w:rsidP="007B0EE2">
            <w:pPr>
              <w:pStyle w:val="TableText"/>
              <w:jc w:val="left"/>
            </w:pPr>
            <w:r w:rsidRPr="00A07181">
              <w:t>Knowledge about STIs</w:t>
            </w:r>
          </w:p>
        </w:tc>
      </w:tr>
      <w:tr w:rsidR="00604846" w:rsidRPr="00A07181" w14:paraId="2C88C2E1" w14:textId="77777777" w:rsidTr="004A6429">
        <w:trPr>
          <w:trHeight w:val="300"/>
        </w:trPr>
        <w:tc>
          <w:tcPr>
            <w:tcW w:w="1474" w:type="pct"/>
            <w:vMerge/>
            <w:shd w:val="clear" w:color="auto" w:fill="auto"/>
            <w:hideMark/>
          </w:tcPr>
          <w:p w14:paraId="531EF398" w14:textId="77777777" w:rsidR="00604846" w:rsidRPr="00A07181" w:rsidRDefault="00604846" w:rsidP="007B0EE2">
            <w:pPr>
              <w:pStyle w:val="TableText"/>
              <w:jc w:val="left"/>
            </w:pPr>
          </w:p>
        </w:tc>
        <w:tc>
          <w:tcPr>
            <w:tcW w:w="3526" w:type="pct"/>
            <w:shd w:val="clear" w:color="auto" w:fill="auto"/>
            <w:noWrap/>
            <w:hideMark/>
          </w:tcPr>
          <w:p w14:paraId="6573F4F2" w14:textId="77777777" w:rsidR="00604846" w:rsidRPr="00A07181" w:rsidRDefault="00604846" w:rsidP="007B0EE2">
            <w:pPr>
              <w:pStyle w:val="TableText"/>
              <w:jc w:val="left"/>
            </w:pPr>
            <w:r w:rsidRPr="00A07181">
              <w:t>Knowledge about IUDs</w:t>
            </w:r>
          </w:p>
        </w:tc>
      </w:tr>
      <w:tr w:rsidR="00604846" w:rsidRPr="00A07181" w14:paraId="7BC37F68" w14:textId="77777777" w:rsidTr="004A6429">
        <w:trPr>
          <w:trHeight w:val="300"/>
        </w:trPr>
        <w:tc>
          <w:tcPr>
            <w:tcW w:w="1474" w:type="pct"/>
            <w:vMerge/>
            <w:shd w:val="clear" w:color="auto" w:fill="auto"/>
            <w:hideMark/>
          </w:tcPr>
          <w:p w14:paraId="15A8F8D9" w14:textId="77777777" w:rsidR="00604846" w:rsidRPr="00A07181" w:rsidRDefault="00604846" w:rsidP="007B0EE2">
            <w:pPr>
              <w:pStyle w:val="TableText"/>
              <w:jc w:val="left"/>
            </w:pPr>
          </w:p>
        </w:tc>
        <w:tc>
          <w:tcPr>
            <w:tcW w:w="3526" w:type="pct"/>
            <w:shd w:val="clear" w:color="auto" w:fill="auto"/>
            <w:noWrap/>
            <w:hideMark/>
          </w:tcPr>
          <w:p w14:paraId="0E5F5EC6" w14:textId="77777777" w:rsidR="00604846" w:rsidRPr="00A07181" w:rsidRDefault="00604846" w:rsidP="007B0EE2">
            <w:pPr>
              <w:pStyle w:val="TableText"/>
              <w:jc w:val="left"/>
            </w:pPr>
            <w:r w:rsidRPr="00A07181">
              <w:t>Knowledge about other hormonal methods of birth control</w:t>
            </w:r>
          </w:p>
        </w:tc>
      </w:tr>
      <w:tr w:rsidR="00604846" w:rsidRPr="00A07181" w14:paraId="4E1CC627" w14:textId="77777777" w:rsidTr="004A6429">
        <w:trPr>
          <w:trHeight w:val="300"/>
        </w:trPr>
        <w:tc>
          <w:tcPr>
            <w:tcW w:w="1474" w:type="pct"/>
            <w:vMerge/>
            <w:shd w:val="clear" w:color="auto" w:fill="auto"/>
            <w:hideMark/>
          </w:tcPr>
          <w:p w14:paraId="15FBC2CD" w14:textId="77777777" w:rsidR="00604846" w:rsidRPr="00A07181" w:rsidRDefault="00604846" w:rsidP="007B0EE2">
            <w:pPr>
              <w:pStyle w:val="TableText"/>
              <w:jc w:val="left"/>
            </w:pPr>
          </w:p>
        </w:tc>
        <w:tc>
          <w:tcPr>
            <w:tcW w:w="3526" w:type="pct"/>
            <w:shd w:val="clear" w:color="auto" w:fill="auto"/>
            <w:noWrap/>
            <w:hideMark/>
          </w:tcPr>
          <w:p w14:paraId="766CFC6D" w14:textId="77777777" w:rsidR="00604846" w:rsidRPr="00A07181" w:rsidRDefault="00604846" w:rsidP="007B0EE2">
            <w:pPr>
              <w:pStyle w:val="TableText"/>
              <w:jc w:val="left"/>
            </w:pPr>
            <w:r w:rsidRPr="00A07181">
              <w:t>Knowledge about pregnancy</w:t>
            </w:r>
          </w:p>
        </w:tc>
      </w:tr>
      <w:tr w:rsidR="00604846" w:rsidRPr="00A07181" w14:paraId="40AA0591" w14:textId="77777777" w:rsidTr="004A6429">
        <w:trPr>
          <w:trHeight w:val="300"/>
        </w:trPr>
        <w:tc>
          <w:tcPr>
            <w:tcW w:w="1474" w:type="pct"/>
            <w:vMerge w:val="restart"/>
            <w:shd w:val="clear" w:color="auto" w:fill="auto"/>
            <w:noWrap/>
            <w:hideMark/>
          </w:tcPr>
          <w:p w14:paraId="40EA9704" w14:textId="77777777" w:rsidR="00604846" w:rsidRPr="00A07181" w:rsidRDefault="00604846" w:rsidP="00C746CA">
            <w:pPr>
              <w:pStyle w:val="TableText"/>
              <w:jc w:val="left"/>
            </w:pPr>
            <w:r w:rsidRPr="00A07181">
              <w:t>Attitudes</w:t>
            </w:r>
          </w:p>
        </w:tc>
        <w:tc>
          <w:tcPr>
            <w:tcW w:w="3526" w:type="pct"/>
            <w:shd w:val="clear" w:color="auto" w:fill="auto"/>
            <w:noWrap/>
            <w:hideMark/>
          </w:tcPr>
          <w:p w14:paraId="02B04DEC" w14:textId="77777777" w:rsidR="00604846" w:rsidRPr="00A07181" w:rsidRDefault="00604846" w:rsidP="00C746CA">
            <w:pPr>
              <w:pStyle w:val="TableText"/>
              <w:jc w:val="left"/>
            </w:pPr>
            <w:r w:rsidRPr="00A07181">
              <w:t>Support for abstinence</w:t>
            </w:r>
          </w:p>
        </w:tc>
      </w:tr>
      <w:tr w:rsidR="00604846" w:rsidRPr="00A07181" w14:paraId="1AF2AA62" w14:textId="77777777" w:rsidTr="004A6429">
        <w:trPr>
          <w:trHeight w:val="300"/>
        </w:trPr>
        <w:tc>
          <w:tcPr>
            <w:tcW w:w="1474" w:type="pct"/>
            <w:vMerge/>
            <w:shd w:val="clear" w:color="auto" w:fill="auto"/>
            <w:hideMark/>
          </w:tcPr>
          <w:p w14:paraId="55A4534F" w14:textId="77777777" w:rsidR="00604846" w:rsidRPr="00A07181" w:rsidRDefault="00604846" w:rsidP="007B0EE2">
            <w:pPr>
              <w:pStyle w:val="TableText"/>
              <w:jc w:val="left"/>
            </w:pPr>
          </w:p>
        </w:tc>
        <w:tc>
          <w:tcPr>
            <w:tcW w:w="3526" w:type="pct"/>
            <w:shd w:val="clear" w:color="auto" w:fill="auto"/>
            <w:noWrap/>
            <w:hideMark/>
          </w:tcPr>
          <w:p w14:paraId="1C1CE10F" w14:textId="77777777" w:rsidR="00604846" w:rsidRPr="00A07181" w:rsidRDefault="00604846" w:rsidP="007B0EE2">
            <w:pPr>
              <w:pStyle w:val="TableText"/>
              <w:jc w:val="left"/>
            </w:pPr>
            <w:r w:rsidRPr="00A07181">
              <w:t>Support for condom use</w:t>
            </w:r>
          </w:p>
        </w:tc>
      </w:tr>
      <w:tr w:rsidR="00604846" w:rsidRPr="00A07181" w14:paraId="1EA3A43A" w14:textId="77777777" w:rsidTr="004A6429">
        <w:trPr>
          <w:trHeight w:val="300"/>
        </w:trPr>
        <w:tc>
          <w:tcPr>
            <w:tcW w:w="1474" w:type="pct"/>
            <w:shd w:val="clear" w:color="auto" w:fill="auto"/>
            <w:noWrap/>
            <w:hideMark/>
          </w:tcPr>
          <w:p w14:paraId="6A7F3256" w14:textId="77777777" w:rsidR="00604846" w:rsidRPr="00A07181" w:rsidRDefault="00604846" w:rsidP="00C746CA">
            <w:pPr>
              <w:pStyle w:val="TableText"/>
              <w:jc w:val="left"/>
            </w:pPr>
            <w:r w:rsidRPr="00A07181">
              <w:t>Refusal skills</w:t>
            </w:r>
          </w:p>
        </w:tc>
        <w:tc>
          <w:tcPr>
            <w:tcW w:w="3526" w:type="pct"/>
            <w:shd w:val="clear" w:color="auto" w:fill="auto"/>
            <w:noWrap/>
            <w:hideMark/>
          </w:tcPr>
          <w:p w14:paraId="2CBB0B0C" w14:textId="77777777" w:rsidR="00604846" w:rsidRPr="00A07181" w:rsidRDefault="00604846" w:rsidP="00C746CA">
            <w:pPr>
              <w:pStyle w:val="TableText"/>
              <w:jc w:val="left"/>
            </w:pPr>
            <w:r w:rsidRPr="00A07181">
              <w:t>Perceived refusal skills</w:t>
            </w:r>
          </w:p>
        </w:tc>
      </w:tr>
      <w:tr w:rsidR="00604846" w:rsidRPr="00A07181" w14:paraId="2A983AF6" w14:textId="77777777" w:rsidTr="004A6429">
        <w:trPr>
          <w:trHeight w:val="300"/>
        </w:trPr>
        <w:tc>
          <w:tcPr>
            <w:tcW w:w="1474" w:type="pct"/>
            <w:shd w:val="clear" w:color="auto" w:fill="auto"/>
            <w:noWrap/>
            <w:hideMark/>
          </w:tcPr>
          <w:p w14:paraId="06E008E2" w14:textId="77777777" w:rsidR="00604846" w:rsidRPr="00A07181" w:rsidRDefault="00604846" w:rsidP="00C746CA">
            <w:pPr>
              <w:pStyle w:val="TableText"/>
              <w:jc w:val="left"/>
            </w:pPr>
            <w:r w:rsidRPr="00A07181">
              <w:t>Communication with parents</w:t>
            </w:r>
          </w:p>
        </w:tc>
        <w:tc>
          <w:tcPr>
            <w:tcW w:w="3526" w:type="pct"/>
            <w:shd w:val="clear" w:color="auto" w:fill="auto"/>
            <w:noWrap/>
            <w:hideMark/>
          </w:tcPr>
          <w:p w14:paraId="5BC18856" w14:textId="77777777" w:rsidR="00604846" w:rsidRPr="00A07181" w:rsidRDefault="00604846" w:rsidP="00C746CA">
            <w:pPr>
              <w:pStyle w:val="TableText"/>
              <w:jc w:val="left"/>
            </w:pPr>
            <w:r w:rsidRPr="00A07181">
              <w:t>Communication about romantic relationships and sex</w:t>
            </w:r>
          </w:p>
        </w:tc>
      </w:tr>
      <w:tr w:rsidR="00604846" w:rsidRPr="00A07181" w14:paraId="5778D838" w14:textId="77777777" w:rsidTr="004A6429">
        <w:trPr>
          <w:trHeight w:val="300"/>
        </w:trPr>
        <w:tc>
          <w:tcPr>
            <w:tcW w:w="1474" w:type="pct"/>
            <w:shd w:val="clear" w:color="auto" w:fill="auto"/>
            <w:noWrap/>
            <w:hideMark/>
          </w:tcPr>
          <w:p w14:paraId="2D1AC28A" w14:textId="77777777" w:rsidR="00604846" w:rsidRPr="00A07181" w:rsidRDefault="00604846" w:rsidP="00C746CA">
            <w:pPr>
              <w:pStyle w:val="TableText"/>
              <w:jc w:val="left"/>
            </w:pPr>
            <w:r w:rsidRPr="00A07181">
              <w:t>Intentions</w:t>
            </w:r>
          </w:p>
        </w:tc>
        <w:tc>
          <w:tcPr>
            <w:tcW w:w="3526" w:type="pct"/>
            <w:shd w:val="clear" w:color="auto" w:fill="auto"/>
            <w:noWrap/>
            <w:hideMark/>
          </w:tcPr>
          <w:p w14:paraId="74855F2D" w14:textId="77777777" w:rsidR="00604846" w:rsidRDefault="00604846" w:rsidP="00822FAD">
            <w:pPr>
              <w:pStyle w:val="TableText"/>
              <w:spacing w:after="120"/>
              <w:jc w:val="left"/>
            </w:pPr>
            <w:r w:rsidRPr="00A07181">
              <w:t>Intentions to have sexual intercourse</w:t>
            </w:r>
          </w:p>
          <w:p w14:paraId="76A5F36F" w14:textId="3BA12860" w:rsidR="00FB63B9" w:rsidRPr="00A07181" w:rsidRDefault="00FB63B9" w:rsidP="00822FAD">
            <w:pPr>
              <w:pStyle w:val="TableText"/>
              <w:spacing w:after="120"/>
              <w:jc w:val="left"/>
            </w:pPr>
            <w:r>
              <w:t>Intentions to use birth control</w:t>
            </w:r>
          </w:p>
        </w:tc>
      </w:tr>
      <w:tr w:rsidR="00604846" w:rsidRPr="00A07181" w14:paraId="5663E466" w14:textId="77777777" w:rsidTr="004A6429">
        <w:trPr>
          <w:trHeight w:val="300"/>
        </w:trPr>
        <w:tc>
          <w:tcPr>
            <w:tcW w:w="1474" w:type="pct"/>
            <w:vMerge w:val="restart"/>
            <w:shd w:val="clear" w:color="auto" w:fill="auto"/>
            <w:noWrap/>
            <w:hideMark/>
          </w:tcPr>
          <w:p w14:paraId="520BAF97" w14:textId="77777777" w:rsidR="00604846" w:rsidRPr="00A07181" w:rsidRDefault="00604846" w:rsidP="00C746CA">
            <w:pPr>
              <w:pStyle w:val="TableText"/>
              <w:jc w:val="left"/>
            </w:pPr>
            <w:r w:rsidRPr="00A07181">
              <w:t>Sexual risk behavior</w:t>
            </w:r>
          </w:p>
        </w:tc>
        <w:tc>
          <w:tcPr>
            <w:tcW w:w="3526" w:type="pct"/>
            <w:shd w:val="clear" w:color="auto" w:fill="auto"/>
            <w:noWrap/>
            <w:hideMark/>
          </w:tcPr>
          <w:p w14:paraId="255C0621" w14:textId="77777777" w:rsidR="00604846" w:rsidRPr="00A07181" w:rsidRDefault="00604846" w:rsidP="00C746CA">
            <w:pPr>
              <w:pStyle w:val="TableText"/>
              <w:jc w:val="left"/>
            </w:pPr>
            <w:r w:rsidRPr="00A07181">
              <w:t>Sexual initiation</w:t>
            </w:r>
          </w:p>
        </w:tc>
      </w:tr>
      <w:tr w:rsidR="00604846" w:rsidRPr="00A07181" w14:paraId="4BC922C0" w14:textId="77777777" w:rsidTr="004A6429">
        <w:trPr>
          <w:trHeight w:val="300"/>
        </w:trPr>
        <w:tc>
          <w:tcPr>
            <w:tcW w:w="1474" w:type="pct"/>
            <w:vMerge/>
            <w:shd w:val="clear" w:color="auto" w:fill="auto"/>
            <w:hideMark/>
          </w:tcPr>
          <w:p w14:paraId="513DF0AD" w14:textId="77777777" w:rsidR="00604846" w:rsidRPr="00A07181" w:rsidRDefault="00604846" w:rsidP="007B0EE2">
            <w:pPr>
              <w:pStyle w:val="TableText"/>
              <w:jc w:val="left"/>
            </w:pPr>
          </w:p>
        </w:tc>
        <w:tc>
          <w:tcPr>
            <w:tcW w:w="3526" w:type="pct"/>
            <w:shd w:val="clear" w:color="auto" w:fill="auto"/>
            <w:noWrap/>
            <w:hideMark/>
          </w:tcPr>
          <w:p w14:paraId="5046EB99" w14:textId="77777777" w:rsidR="00604846" w:rsidRPr="00A07181" w:rsidRDefault="00604846" w:rsidP="007B0EE2">
            <w:pPr>
              <w:pStyle w:val="TableText"/>
              <w:jc w:val="left"/>
            </w:pPr>
            <w:r w:rsidRPr="00A07181">
              <w:t>Sex in the past three months</w:t>
            </w:r>
          </w:p>
        </w:tc>
      </w:tr>
      <w:tr w:rsidR="00604846" w:rsidRPr="00A07181" w14:paraId="108801C7" w14:textId="77777777" w:rsidTr="004A6429">
        <w:trPr>
          <w:trHeight w:val="300"/>
        </w:trPr>
        <w:tc>
          <w:tcPr>
            <w:tcW w:w="1474" w:type="pct"/>
            <w:vMerge/>
            <w:shd w:val="clear" w:color="auto" w:fill="auto"/>
            <w:hideMark/>
          </w:tcPr>
          <w:p w14:paraId="7E46F53D" w14:textId="77777777" w:rsidR="00604846" w:rsidRPr="00A07181" w:rsidRDefault="00604846" w:rsidP="007B0EE2">
            <w:pPr>
              <w:pStyle w:val="TableText"/>
              <w:jc w:val="left"/>
            </w:pPr>
          </w:p>
        </w:tc>
        <w:tc>
          <w:tcPr>
            <w:tcW w:w="3526" w:type="pct"/>
            <w:shd w:val="clear" w:color="auto" w:fill="auto"/>
            <w:noWrap/>
            <w:hideMark/>
          </w:tcPr>
          <w:p w14:paraId="033B2F08" w14:textId="77777777" w:rsidR="00604846" w:rsidRPr="00A07181" w:rsidRDefault="00604846" w:rsidP="007B0EE2">
            <w:pPr>
              <w:pStyle w:val="TableText"/>
              <w:jc w:val="left"/>
            </w:pPr>
            <w:r w:rsidRPr="00A07181">
              <w:t>Sex without a condom in past three months</w:t>
            </w:r>
          </w:p>
        </w:tc>
      </w:tr>
    </w:tbl>
    <w:p w14:paraId="618CDB14" w14:textId="77777777" w:rsidR="00604846" w:rsidRDefault="00604846" w:rsidP="00F71630">
      <w:pPr>
        <w:pStyle w:val="NormalSS"/>
        <w:ind w:firstLine="0"/>
        <w:rPr>
          <w:kern w:val="22"/>
        </w:rPr>
      </w:pPr>
    </w:p>
    <w:p w14:paraId="6F637FE9" w14:textId="3F11BDF5" w:rsidR="004A6429" w:rsidRDefault="00436B9F" w:rsidP="00822FAD">
      <w:pPr>
        <w:pStyle w:val="NormalSS"/>
      </w:pPr>
      <w:r>
        <w:t xml:space="preserve">OAH is currently requesting OMB approval for the collection of the </w:t>
      </w:r>
      <w:r w:rsidR="00B40F3C">
        <w:t>follow-</w:t>
      </w:r>
      <w:r w:rsidR="0056243B">
        <w:t>up</w:t>
      </w:r>
      <w:r w:rsidR="0056243B" w:rsidRPr="004B1D46">
        <w:t xml:space="preserve"> </w:t>
      </w:r>
      <w:r w:rsidRPr="004B1D46">
        <w:t>data</w:t>
      </w:r>
      <w:r>
        <w:t xml:space="preserve"> for the impact study</w:t>
      </w:r>
      <w:r w:rsidR="00736152" w:rsidRPr="00736152">
        <w:t xml:space="preserve">. </w:t>
      </w:r>
      <w:r w:rsidR="00C80CE5">
        <w:t>E</w:t>
      </w:r>
      <w:r w:rsidR="00736152" w:rsidRPr="00604846">
        <w:t xml:space="preserve">nrollment into the study will be conducted </w:t>
      </w:r>
      <w:r w:rsidR="008B14B5">
        <w:t xml:space="preserve">over approximately </w:t>
      </w:r>
      <w:r w:rsidR="00A14B78">
        <w:t>two and a half years - from winter 2017 to s</w:t>
      </w:r>
      <w:r w:rsidR="008B14B5">
        <w:t xml:space="preserve">pring 2019.  </w:t>
      </w:r>
      <w:r w:rsidR="00736152" w:rsidRPr="00604846">
        <w:t xml:space="preserve">Follow-up surveys will occur approximately 9 and 15 months following </w:t>
      </w:r>
      <w:r w:rsidR="008B14B5">
        <w:t>study enrollment</w:t>
      </w:r>
      <w:r w:rsidR="00A14B78">
        <w:t>; therefore, a three-</w:t>
      </w:r>
      <w:r w:rsidR="00736152" w:rsidRPr="00604846">
        <w:t xml:space="preserve">year clearance is </w:t>
      </w:r>
      <w:r w:rsidR="00C80CE5">
        <w:t xml:space="preserve">requested </w:t>
      </w:r>
      <w:r w:rsidR="00736152" w:rsidRPr="00604846">
        <w:t xml:space="preserve">for </w:t>
      </w:r>
      <w:r w:rsidR="00DC238C">
        <w:t>follow-up data collection</w:t>
      </w:r>
      <w:r w:rsidRPr="00736152">
        <w:t>.</w:t>
      </w:r>
      <w:bookmarkStart w:id="49" w:name="_Toc320884248"/>
      <w:bookmarkStart w:id="50" w:name="_Toc320887153"/>
      <w:bookmarkStart w:id="51" w:name="_Toc326752781"/>
    </w:p>
    <w:p w14:paraId="1829C7C7" w14:textId="572EEDC7" w:rsidR="00436B9F" w:rsidRDefault="00436B9F" w:rsidP="00436B9F">
      <w:pPr>
        <w:pStyle w:val="Heading2Black"/>
      </w:pPr>
      <w:bookmarkStart w:id="52" w:name="_Toc477900632"/>
      <w:r w:rsidRPr="00687F29">
        <w:t>A.2.</w:t>
      </w:r>
      <w:r w:rsidRPr="00687F29">
        <w:tab/>
        <w:t>Purpose and Use of the Information Collection</w:t>
      </w:r>
      <w:bookmarkEnd w:id="49"/>
      <w:bookmarkEnd w:id="50"/>
      <w:bookmarkEnd w:id="51"/>
      <w:bookmarkEnd w:id="52"/>
      <w:r>
        <w:t xml:space="preserve"> </w:t>
      </w:r>
    </w:p>
    <w:p w14:paraId="11D592F0" w14:textId="487C98B3" w:rsidR="00BA5F68" w:rsidRDefault="00436B9F" w:rsidP="00780527">
      <w:pPr>
        <w:pStyle w:val="NormalSS"/>
      </w:pPr>
      <w:r w:rsidRPr="00254CCF">
        <w:t xml:space="preserve">Data collected on the </w:t>
      </w:r>
      <w:r w:rsidRPr="00E06A2D">
        <w:t xml:space="preserve">Federal Evaluation of </w:t>
      </w:r>
      <w:r w:rsidRPr="00D77170">
        <w:rPr>
          <w:i/>
        </w:rPr>
        <w:t>MPC!</w:t>
      </w:r>
      <w:r w:rsidRPr="00E06A2D">
        <w:t xml:space="preserve"> </w:t>
      </w:r>
      <w:r w:rsidR="00B40F3C">
        <w:t>follow-</w:t>
      </w:r>
      <w:r w:rsidR="00400B76">
        <w:t>up</w:t>
      </w:r>
      <w:r w:rsidR="00400B76" w:rsidRPr="00254CCF">
        <w:t xml:space="preserve"> </w:t>
      </w:r>
      <w:r w:rsidRPr="00254CCF">
        <w:t xml:space="preserve">survey will be used as a central component to the impact study. </w:t>
      </w:r>
      <w:r w:rsidR="00780527">
        <w:t xml:space="preserve">The follow-up data collection for which approval is now sought will focus on two types of outcomes </w:t>
      </w:r>
      <w:r w:rsidR="00604846">
        <w:t xml:space="preserve">outlined in Table A1.1 </w:t>
      </w:r>
      <w:r w:rsidR="00780527">
        <w:t xml:space="preserve">– both of which can be measured </w:t>
      </w:r>
      <w:r w:rsidR="00D77170">
        <w:t xml:space="preserve">only </w:t>
      </w:r>
      <w:r w:rsidR="00780527">
        <w:t>through surveys of youth. The first are sexual risk outcomes, including the extent and nature of sexual activity, use of contraception (if sexually active), pregnancy, and testing for and diagnoses of STDs. The second are a series of intermediate outcomes that may be associated with the se</w:t>
      </w:r>
      <w:r w:rsidR="00D77170">
        <w:t>xual risk outcomes and thus</w:t>
      </w:r>
      <w:r w:rsidR="00780527">
        <w:t xml:space="preserve"> important to measure as potential pathways of any program effects on sexual risk behavior. Examples of these </w:t>
      </w:r>
      <w:r w:rsidR="006249B5">
        <w:t xml:space="preserve">intermediate </w:t>
      </w:r>
      <w:r w:rsidR="00780527">
        <w:t>outcomes include participation in and exposure to pregnancy prevention programs and services, intentions and e</w:t>
      </w:r>
      <w:r w:rsidR="00407721">
        <w:t>xpectations of sexual activity</w:t>
      </w:r>
      <w:r w:rsidR="00780527">
        <w:t>, knowledge of contraception</w:t>
      </w:r>
      <w:r w:rsidR="00407721">
        <w:t>, condom use self-efficacy and negotiation skills</w:t>
      </w:r>
      <w:r w:rsidR="00780527">
        <w:t xml:space="preserve"> and sexual risks, dating behavior and alcohol and drug use. In addition, the survey includes a small number of questions that identify socio-demographic or other characteristics of youth in the study sample, which may be used for descriptive purposes. Finally, for sample youth who report not being sexually active, the survey includes questions to support a descriptive analysis of these youth and a future investigation of their </w:t>
      </w:r>
      <w:r w:rsidR="001F2AE5">
        <w:t>propensity</w:t>
      </w:r>
      <w:r w:rsidR="00D14D4C">
        <w:t xml:space="preserve"> for later risky behaviors</w:t>
      </w:r>
      <w:r w:rsidR="00092DB3">
        <w:rPr>
          <w:rStyle w:val="FootnoteReference"/>
        </w:rPr>
        <w:footnoteReference w:id="2"/>
      </w:r>
      <w:r w:rsidR="00780527">
        <w:t xml:space="preserve">. </w:t>
      </w:r>
    </w:p>
    <w:p w14:paraId="7AB97D2B" w14:textId="77777777" w:rsidR="00780527" w:rsidRPr="00B17503" w:rsidRDefault="00780527" w:rsidP="00780527">
      <w:pPr>
        <w:pStyle w:val="NormalSS"/>
      </w:pPr>
      <w:r>
        <w:t xml:space="preserve">Follow-up data will be used to </w:t>
      </w:r>
      <w:r w:rsidRPr="00B17503">
        <w:t xml:space="preserve">address the following research questions on program impact:  </w:t>
      </w:r>
    </w:p>
    <w:p w14:paraId="3903D308" w14:textId="5D949F4A" w:rsidR="00780527" w:rsidRPr="00B452F7" w:rsidRDefault="004E1C3D" w:rsidP="004A6429">
      <w:pPr>
        <w:pStyle w:val="Bullet"/>
      </w:pPr>
      <w:r>
        <w:t xml:space="preserve">Is </w:t>
      </w:r>
      <w:r w:rsidRPr="00D77170">
        <w:rPr>
          <w:i/>
        </w:rPr>
        <w:t>MPC!</w:t>
      </w:r>
      <w:r w:rsidR="00780527" w:rsidRPr="00B452F7">
        <w:t xml:space="preserve"> effective at meeting </w:t>
      </w:r>
      <w:r w:rsidR="003A5BF9">
        <w:t xml:space="preserve">its </w:t>
      </w:r>
      <w:r w:rsidR="00780527" w:rsidRPr="00B452F7">
        <w:t>immediate objectives</w:t>
      </w:r>
      <w:r w:rsidR="00185F94">
        <w:t xml:space="preserve">, such as improving exposure, knowledge, and attitudes? </w:t>
      </w:r>
      <w:r w:rsidR="00780527" w:rsidRPr="00B452F7">
        <w:t xml:space="preserve"> </w:t>
      </w:r>
    </w:p>
    <w:p w14:paraId="083DFECA" w14:textId="1D4323EB" w:rsidR="00780527" w:rsidRPr="00B452F7" w:rsidRDefault="00780527" w:rsidP="004A6429">
      <w:pPr>
        <w:pStyle w:val="Bullet"/>
      </w:pPr>
      <w:r w:rsidRPr="00B452F7">
        <w:t xml:space="preserve">What </w:t>
      </w:r>
      <w:r w:rsidR="004E1C3D">
        <w:t xml:space="preserve">is the effect of </w:t>
      </w:r>
      <w:r w:rsidR="004E1C3D" w:rsidRPr="00D77170">
        <w:rPr>
          <w:i/>
        </w:rPr>
        <w:t>MPC!</w:t>
      </w:r>
      <w:r w:rsidRPr="00B452F7">
        <w:t xml:space="preserve"> on </w:t>
      </w:r>
      <w:r w:rsidR="00165A5F">
        <w:t xml:space="preserve">sexual behavior </w:t>
      </w:r>
      <w:r w:rsidRPr="00B452F7">
        <w:t>outcomes, such as postponing sexual activity</w:t>
      </w:r>
      <w:r w:rsidR="003A5BF9">
        <w:t xml:space="preserve">, </w:t>
      </w:r>
      <w:r w:rsidRPr="00B452F7">
        <w:t xml:space="preserve"> and reducing or preventing sexual risk behaviors and STDs?</w:t>
      </w:r>
      <w:r>
        <w:t xml:space="preserve"> </w:t>
      </w:r>
    </w:p>
    <w:p w14:paraId="1ADB1F6D" w14:textId="486D448D" w:rsidR="00872957" w:rsidRDefault="004E1C3D" w:rsidP="004A6429">
      <w:pPr>
        <w:pStyle w:val="BulletLastSS"/>
      </w:pPr>
      <w:r>
        <w:t xml:space="preserve">Does </w:t>
      </w:r>
      <w:r w:rsidRPr="00D77170">
        <w:rPr>
          <w:i/>
        </w:rPr>
        <w:t>MPC!</w:t>
      </w:r>
      <w:r w:rsidR="00780527" w:rsidRPr="00B452F7">
        <w:t xml:space="preserve"> work better for some groups of adolescents than for others?</w:t>
      </w:r>
      <w:r w:rsidR="00780527">
        <w:t xml:space="preserve"> </w:t>
      </w:r>
    </w:p>
    <w:p w14:paraId="3EEB1277" w14:textId="3D85A23C" w:rsidR="00886088" w:rsidRPr="00886088" w:rsidRDefault="00886088" w:rsidP="004A6429">
      <w:pPr>
        <w:pStyle w:val="NormalSS"/>
      </w:pPr>
      <w:r w:rsidRPr="00886088">
        <w:rPr>
          <w:rStyle w:val="NormalSSChar"/>
          <w:szCs w:val="24"/>
        </w:rPr>
        <w:t xml:space="preserve">The primary impact analysis will focus on </w:t>
      </w:r>
      <w:r w:rsidR="00E8317B">
        <w:rPr>
          <w:rStyle w:val="NormalSSChar"/>
          <w:szCs w:val="24"/>
        </w:rPr>
        <w:t xml:space="preserve">those </w:t>
      </w:r>
      <w:r w:rsidRPr="00886088">
        <w:rPr>
          <w:rStyle w:val="NormalSSChar"/>
          <w:szCs w:val="24"/>
        </w:rPr>
        <w:t>who provide follow-up survey data, regardless of their level of participation in the program, or whether they complete the baseline survey</w:t>
      </w:r>
      <w:r w:rsidR="00E8317B">
        <w:rPr>
          <w:rStyle w:val="NormalSSChar"/>
          <w:szCs w:val="24"/>
        </w:rPr>
        <w:t>. D</w:t>
      </w:r>
      <w:r w:rsidRPr="00886088">
        <w:rPr>
          <w:rStyle w:val="NormalSSChar"/>
          <w:szCs w:val="24"/>
        </w:rPr>
        <w:t>oing so enables the team to conduct a rigorous, intent-to-treat impact analysis that meets the</w:t>
      </w:r>
      <w:r w:rsidR="004A6429">
        <w:rPr>
          <w:rStyle w:val="NormalSSChar"/>
          <w:szCs w:val="24"/>
        </w:rPr>
        <w:t xml:space="preserve"> </w:t>
      </w:r>
      <w:r w:rsidRPr="00886088">
        <w:rPr>
          <w:rStyle w:val="NormalSSChar"/>
          <w:szCs w:val="24"/>
        </w:rPr>
        <w:t xml:space="preserve">standards of the HHS </w:t>
      </w:r>
      <w:r w:rsidR="00EF44BE">
        <w:rPr>
          <w:rStyle w:val="NormalSSChar"/>
          <w:szCs w:val="24"/>
        </w:rPr>
        <w:t xml:space="preserve">Teen Pregnancy Prevention </w:t>
      </w:r>
      <w:r w:rsidRPr="00886088">
        <w:rPr>
          <w:rStyle w:val="NormalSSChar"/>
          <w:szCs w:val="24"/>
        </w:rPr>
        <w:t xml:space="preserve">Evidence Review. We also plan </w:t>
      </w:r>
      <w:r w:rsidR="00E8317B">
        <w:rPr>
          <w:rStyle w:val="NormalSSChar"/>
          <w:szCs w:val="24"/>
        </w:rPr>
        <w:t>to conduct</w:t>
      </w:r>
      <w:r w:rsidRPr="00886088">
        <w:rPr>
          <w:rStyle w:val="NormalSSChar"/>
          <w:szCs w:val="24"/>
        </w:rPr>
        <w:t xml:space="preserve"> analyses on subgroups defined by baseline measures. These analyses will be considered exploratory, and </w:t>
      </w:r>
      <w:r w:rsidR="00E8317B">
        <w:rPr>
          <w:rStyle w:val="NormalSSChar"/>
          <w:szCs w:val="24"/>
        </w:rPr>
        <w:t xml:space="preserve">will </w:t>
      </w:r>
      <w:r w:rsidRPr="00886088">
        <w:rPr>
          <w:rStyle w:val="NormalSSChar"/>
          <w:szCs w:val="24"/>
        </w:rPr>
        <w:t xml:space="preserve">not </w:t>
      </w:r>
      <w:r w:rsidR="00E8317B">
        <w:rPr>
          <w:rStyle w:val="NormalSSChar"/>
          <w:szCs w:val="24"/>
        </w:rPr>
        <w:t xml:space="preserve">be </w:t>
      </w:r>
      <w:r w:rsidRPr="00886088">
        <w:rPr>
          <w:rStyle w:val="NormalSSChar"/>
          <w:szCs w:val="24"/>
        </w:rPr>
        <w:t>used as a primary</w:t>
      </w:r>
      <w:r w:rsidRPr="00886088">
        <w:t xml:space="preserve"> test of the effectiveness of the intervention. Instead, they are intended to help program providers and practitioners understand </w:t>
      </w:r>
      <w:r w:rsidR="00E8317B">
        <w:t xml:space="preserve">whether </w:t>
      </w:r>
      <w:r w:rsidRPr="00886088">
        <w:t xml:space="preserve">the pattern of the findings for the full sample is similar </w:t>
      </w:r>
      <w:r w:rsidR="00E8317B">
        <w:t xml:space="preserve">to </w:t>
      </w:r>
      <w:r w:rsidRPr="00886088">
        <w:t xml:space="preserve">or different </w:t>
      </w:r>
      <w:r w:rsidR="00E8317B">
        <w:t xml:space="preserve">from </w:t>
      </w:r>
      <w:r w:rsidRPr="00886088">
        <w:t>trends obse</w:t>
      </w:r>
      <w:r w:rsidR="00E8317B">
        <w:t xml:space="preserve">rved for particular subgroups. </w:t>
      </w:r>
      <w:r w:rsidRPr="00886088">
        <w:t xml:space="preserve">We will observe trends for subgroups defined by (1) gender, and (2) sexual experience at baseline. </w:t>
      </w:r>
    </w:p>
    <w:p w14:paraId="3164CB36" w14:textId="46E4E6DC" w:rsidR="001D39CC" w:rsidRDefault="00886088" w:rsidP="004A6429">
      <w:pPr>
        <w:pStyle w:val="NormalSS"/>
      </w:pPr>
      <w:r w:rsidRPr="00886088">
        <w:t xml:space="preserve">We acknowledge that statistical power for these exploratory analyses may be insufficient due to smaller sample sizes within the subgroups. For that reason, these analyses are intended </w:t>
      </w:r>
      <w:r w:rsidR="00EE552B">
        <w:t xml:space="preserve">not </w:t>
      </w:r>
      <w:r w:rsidRPr="00886088">
        <w:t xml:space="preserve">as a primary test of the intervention’s effectiveness, but instead </w:t>
      </w:r>
      <w:r w:rsidR="00EE552B">
        <w:t xml:space="preserve">as a means </w:t>
      </w:r>
      <w:r w:rsidRPr="00886088">
        <w:t>to understand whether the overall pattern of findings are similar to trends observed within and across particular subgroups.</w:t>
      </w:r>
      <w:r w:rsidR="001D39CC">
        <w:t xml:space="preserve">  </w:t>
      </w:r>
    </w:p>
    <w:p w14:paraId="09D1B3FB" w14:textId="6604E026" w:rsidR="001D39CC" w:rsidRDefault="001D39CC" w:rsidP="004A6429">
      <w:pPr>
        <w:pStyle w:val="NormalSS"/>
      </w:pPr>
      <w:r w:rsidRPr="00254CCF">
        <w:t xml:space="preserve">Many of the items included on the </w:t>
      </w:r>
      <w:r>
        <w:t>follow-up</w:t>
      </w:r>
      <w:r w:rsidRPr="00254CCF">
        <w:t xml:space="preserve"> survey</w:t>
      </w:r>
      <w:r>
        <w:rPr>
          <w:rStyle w:val="FootnoteReference"/>
        </w:rPr>
        <w:footnoteReference w:id="3"/>
      </w:r>
      <w:r>
        <w:t xml:space="preserve"> are identical to the items in the already</w:t>
      </w:r>
      <w:r w:rsidR="00EE552B">
        <w:t>-</w:t>
      </w:r>
      <w:r>
        <w:t xml:space="preserve"> approved baseline survey instrument (OMB Control Number </w:t>
      </w:r>
      <w:r w:rsidR="0080695C">
        <w:t>0990-0452</w:t>
      </w:r>
      <w:r w:rsidR="00EE552B">
        <w:t>).</w:t>
      </w:r>
      <w:r>
        <w:t xml:space="preserve"> These items are similar to </w:t>
      </w:r>
      <w:r w:rsidR="00EE552B">
        <w:t xml:space="preserve">those in </w:t>
      </w:r>
      <w:r w:rsidRPr="00254CCF">
        <w:t xml:space="preserve">surveys OMB has already approved for use </w:t>
      </w:r>
      <w:r>
        <w:t xml:space="preserve">in comparable evaluations, including </w:t>
      </w:r>
      <w:r w:rsidR="00EF44BE">
        <w:t>t</w:t>
      </w:r>
      <w:r w:rsidRPr="00254CCF">
        <w:t>he Evaluation of Adolescent Pregnancy Prevention Approaches (PPA</w:t>
      </w:r>
      <w:r w:rsidR="00185F94">
        <w:t xml:space="preserve">-OMB Control Number </w:t>
      </w:r>
      <w:r w:rsidR="00185F94" w:rsidRPr="00903ABB">
        <w:t>0990-0382)</w:t>
      </w:r>
      <w:r w:rsidRPr="00254CCF">
        <w:t>, the Teen Pregnan</w:t>
      </w:r>
      <w:r>
        <w:t>cy Prevention Replication Study</w:t>
      </w:r>
      <w:r w:rsidR="00B027A1">
        <w:t xml:space="preserve"> (OMB Control Number 0990-0394)</w:t>
      </w:r>
      <w:r>
        <w:t xml:space="preserve">, </w:t>
      </w:r>
      <w:r w:rsidRPr="00254CCF">
        <w:t>the Personal Responsibility Education Program Multi-Component Evaluation</w:t>
      </w:r>
      <w:r w:rsidR="007C76FF">
        <w:t xml:space="preserve"> </w:t>
      </w:r>
      <w:r w:rsidR="007C76FF" w:rsidRPr="00254CCF">
        <w:t>(</w:t>
      </w:r>
      <w:r w:rsidR="00EE552B">
        <w:t>PREP-</w:t>
      </w:r>
      <w:r w:rsidR="007C76FF">
        <w:t>OMB Control Number 0970-0398</w:t>
      </w:r>
      <w:r w:rsidR="007C76FF" w:rsidRPr="00254CCF">
        <w:t>)</w:t>
      </w:r>
      <w:r>
        <w:t>, and the Pregnancy Assistance Fund</w:t>
      </w:r>
      <w:r w:rsidR="007C76FF">
        <w:t xml:space="preserve"> Study </w:t>
      </w:r>
      <w:r w:rsidR="00EE552B">
        <w:t>(PAF-</w:t>
      </w:r>
      <w:r>
        <w:t>OMB Control Number 0990-0424</w:t>
      </w:r>
      <w:r w:rsidR="00430602">
        <w:t>)</w:t>
      </w:r>
      <w:r w:rsidR="00341D6E">
        <w:t>.</w:t>
      </w:r>
      <w:r w:rsidR="00A11D36" w:rsidRPr="00254CCF">
        <w:rPr>
          <w:vertAlign w:val="superscript"/>
        </w:rPr>
        <w:footnoteReference w:id="4"/>
      </w:r>
      <w:r w:rsidR="00A00C4A">
        <w:t xml:space="preserve"> </w:t>
      </w:r>
    </w:p>
    <w:p w14:paraId="1829C7CD" w14:textId="77777777" w:rsidR="00436B9F" w:rsidRPr="00687F29" w:rsidRDefault="00436B9F" w:rsidP="00436B9F">
      <w:pPr>
        <w:pStyle w:val="Heading2Black"/>
        <w:tabs>
          <w:tab w:val="clear" w:pos="432"/>
          <w:tab w:val="left" w:pos="630"/>
        </w:tabs>
        <w:ind w:left="630" w:hanging="630"/>
      </w:pPr>
      <w:bookmarkStart w:id="53" w:name="_Toc320884249"/>
      <w:bookmarkStart w:id="54" w:name="_Toc320887154"/>
      <w:bookmarkStart w:id="55" w:name="_Toc326752782"/>
      <w:bookmarkStart w:id="56" w:name="_Toc477900633"/>
      <w:r w:rsidRPr="00687F29">
        <w:t>A.3.</w:t>
      </w:r>
      <w:r w:rsidRPr="00687F29">
        <w:tab/>
        <w:t>Use of Information Technology to Reduce Burden</w:t>
      </w:r>
      <w:bookmarkEnd w:id="53"/>
      <w:bookmarkEnd w:id="54"/>
      <w:bookmarkEnd w:id="55"/>
      <w:bookmarkEnd w:id="56"/>
      <w:r>
        <w:t xml:space="preserve"> </w:t>
      </w:r>
    </w:p>
    <w:p w14:paraId="1829C7CE" w14:textId="163EC9FD" w:rsidR="00436B9F" w:rsidRDefault="00EE552B" w:rsidP="004A6429">
      <w:pPr>
        <w:pStyle w:val="NormalSS"/>
        <w:rPr>
          <w:rFonts w:cs="Calibri"/>
        </w:rPr>
      </w:pPr>
      <w:bookmarkStart w:id="57" w:name="_Toc320884250"/>
      <w:bookmarkStart w:id="58" w:name="_Toc320887155"/>
      <w:bookmarkStart w:id="59" w:name="_Toc326752783"/>
      <w:r>
        <w:t xml:space="preserve">As with </w:t>
      </w:r>
      <w:r w:rsidR="00B96E64">
        <w:t xml:space="preserve">the baseline, the </w:t>
      </w:r>
      <w:r w:rsidR="003425C4">
        <w:t xml:space="preserve">follow-up </w:t>
      </w:r>
      <w:r w:rsidR="003425C4" w:rsidRPr="00254CCF">
        <w:t>data collection plan reflects sensitivity to issues of efficiency, accuracy, and respondent burden.</w:t>
      </w:r>
      <w:r w:rsidR="003425C4">
        <w:t xml:space="preserve"> </w:t>
      </w:r>
      <w:r w:rsidR="00807285">
        <w:t>Whenever possible,</w:t>
      </w:r>
      <w:r w:rsidR="00C6315C">
        <w:t xml:space="preserve"> t</w:t>
      </w:r>
      <w:r w:rsidR="00436B9F" w:rsidRPr="0044105F">
        <w:t xml:space="preserve">he </w:t>
      </w:r>
      <w:r w:rsidR="00807285">
        <w:t>follow-up</w:t>
      </w:r>
      <w:r w:rsidR="00807285" w:rsidRPr="0044105F">
        <w:t xml:space="preserve"> </w:t>
      </w:r>
      <w:r w:rsidR="00436B9F" w:rsidRPr="0044105F">
        <w:t>will be a web-based survey administered in school</w:t>
      </w:r>
      <w:r w:rsidR="00436B9F">
        <w:t>, in a group setting</w:t>
      </w:r>
      <w:r w:rsidR="002E6750">
        <w:t>.</w:t>
      </w:r>
      <w:r w:rsidR="00F00052">
        <w:rPr>
          <w:rStyle w:val="FootnoteReference"/>
        </w:rPr>
        <w:footnoteReference w:id="5"/>
      </w:r>
      <w:r w:rsidR="00436B9F" w:rsidRPr="0044105F">
        <w:t xml:space="preserve"> Trained Mathematica field staff will provide participants with </w:t>
      </w:r>
      <w:r w:rsidR="00436B9F">
        <w:t>s</w:t>
      </w:r>
      <w:r w:rsidR="00436B9F" w:rsidRPr="0044105F">
        <w:t xml:space="preserve">martphones, along with unique </w:t>
      </w:r>
      <w:r w:rsidR="00EB7C00">
        <w:t>login</w:t>
      </w:r>
      <w:r w:rsidR="00436B9F" w:rsidRPr="0044105F">
        <w:t xml:space="preserve"> </w:t>
      </w:r>
      <w:r w:rsidR="003425C4">
        <w:t xml:space="preserve">information </w:t>
      </w:r>
      <w:r w:rsidR="00436B9F" w:rsidRPr="0044105F">
        <w:t>to access the survey from the device</w:t>
      </w:r>
      <w:r w:rsidR="00436B9F">
        <w:t xml:space="preserve">. </w:t>
      </w:r>
    </w:p>
    <w:p w14:paraId="1829C7CF" w14:textId="3B0AFC04" w:rsidR="00436B9F" w:rsidRDefault="00436B9F" w:rsidP="004A6429">
      <w:pPr>
        <w:pStyle w:val="NormalSS"/>
        <w:rPr>
          <w:rFonts w:cs="Calibri"/>
        </w:rPr>
      </w:pPr>
      <w:r>
        <w:rPr>
          <w:rFonts w:cs="Calibri"/>
        </w:rPr>
        <w:t xml:space="preserve">Web-based surveys are an attractive option for surveys of adolescents and young adults, </w:t>
      </w:r>
      <w:r w:rsidR="002E6750">
        <w:rPr>
          <w:rFonts w:cs="Calibri"/>
        </w:rPr>
        <w:t xml:space="preserve">especially </w:t>
      </w:r>
      <w:r>
        <w:rPr>
          <w:rFonts w:cs="Calibri"/>
        </w:rPr>
        <w:t xml:space="preserve">surveys that ask sensitive questions and have various pathways based on responses to those questions. Web-based surveys can decrease respondent burden and improve data quality. </w:t>
      </w:r>
      <w:r w:rsidR="00364342">
        <w:rPr>
          <w:rFonts w:cs="Calibri"/>
        </w:rPr>
        <w:t>T</w:t>
      </w:r>
      <w:r>
        <w:rPr>
          <w:rFonts w:cs="Calibri"/>
        </w:rPr>
        <w:t xml:space="preserve">he web-based application will include built-in skips and will </w:t>
      </w:r>
      <w:r w:rsidRPr="00777D21">
        <w:rPr>
          <w:rFonts w:cs="Calibri"/>
        </w:rPr>
        <w:t>route respondents to the next appropriate question based on their answers</w:t>
      </w:r>
      <w:r>
        <w:rPr>
          <w:rFonts w:cs="Calibri"/>
        </w:rPr>
        <w:t xml:space="preserve">. The web-based program automatically skips them out </w:t>
      </w:r>
      <w:r>
        <w:t>of any questions not relevant to them, thus reducing burden on respondents having to navigate through various paths</w:t>
      </w:r>
      <w:r>
        <w:rPr>
          <w:rFonts w:cs="Calibri"/>
        </w:rPr>
        <w:t>. Additionally, data checks can be programmed into the survey to eliminate responses that are out of range as well as conflicting responses.</w:t>
      </w:r>
      <w:r w:rsidR="00261187">
        <w:rPr>
          <w:rFonts w:cs="Calibri"/>
        </w:rPr>
        <w:t xml:space="preserve"> </w:t>
      </w:r>
    </w:p>
    <w:p w14:paraId="071CF2E9" w14:textId="18EE7722" w:rsidR="00C6315C" w:rsidRPr="004A6429" w:rsidRDefault="00B96E64" w:rsidP="00436B9F">
      <w:pPr>
        <w:pStyle w:val="NormalSS"/>
      </w:pPr>
      <w:r>
        <w:t>S</w:t>
      </w:r>
      <w:r w:rsidR="00B027A1">
        <w:t xml:space="preserve">tudents </w:t>
      </w:r>
      <w:r w:rsidR="002E6750">
        <w:t xml:space="preserve">who have moved out of the area or have </w:t>
      </w:r>
      <w:r w:rsidR="00B027A1">
        <w:t>transferred to a non-study school</w:t>
      </w:r>
      <w:r w:rsidR="002E6750">
        <w:t>,</w:t>
      </w:r>
      <w:r w:rsidR="00B027A1">
        <w:t xml:space="preserve"> or those who </w:t>
      </w:r>
      <w:r>
        <w:t xml:space="preserve">are </w:t>
      </w:r>
      <w:r w:rsidR="00B027A1">
        <w:t>otherwise unable to complete the survey through the in-school data collection</w:t>
      </w:r>
      <w:r w:rsidR="002E6750">
        <w:t>,</w:t>
      </w:r>
      <w:r w:rsidR="00B027A1">
        <w:t xml:space="preserve"> will be sent advance letters</w:t>
      </w:r>
      <w:r w:rsidR="00CE717B">
        <w:t xml:space="preserve"> </w:t>
      </w:r>
      <w:r w:rsidR="00CE717B" w:rsidRPr="00CE717B">
        <w:t>with the information necessary to log on to the web survey and complete it on their own time</w:t>
      </w:r>
      <w:r w:rsidR="00CE717B">
        <w:t xml:space="preserve">. For those </w:t>
      </w:r>
      <w:r w:rsidR="002E6750">
        <w:t xml:space="preserve">who </w:t>
      </w:r>
      <w:r w:rsidR="00CE717B">
        <w:t>do not respond, we will follow up with</w:t>
      </w:r>
      <w:r w:rsidR="00B027A1">
        <w:t xml:space="preserve"> postcards, emails and texts (with permission</w:t>
      </w:r>
      <w:r w:rsidR="009C455F">
        <w:t xml:space="preserve"> provided at the time of consent</w:t>
      </w:r>
      <w:r w:rsidR="00B027A1">
        <w:t xml:space="preserve">) </w:t>
      </w:r>
      <w:r w:rsidR="00483EE1">
        <w:t>and phone calls</w:t>
      </w:r>
      <w:r w:rsidR="00B027A1">
        <w:t xml:space="preserve">. These participants will also be given the option to complete the survey over the phone with a </w:t>
      </w:r>
      <w:r w:rsidR="000328C3">
        <w:t>trained Mathematica interviewer</w:t>
      </w:r>
      <w:r w:rsidR="00C6315C" w:rsidRPr="00D25B52">
        <w:t xml:space="preserve">. </w:t>
      </w:r>
      <w:r w:rsidR="005A1AE6">
        <w:t xml:space="preserve">On the PAF study </w:t>
      </w:r>
      <w:r w:rsidR="00B40F3C">
        <w:t>follow-</w:t>
      </w:r>
      <w:r w:rsidR="002E6750">
        <w:t xml:space="preserve">up survey </w:t>
      </w:r>
      <w:r w:rsidR="005A1AE6">
        <w:t>(OMB Control Number 0990-0424), respondents are offered web, followed by</w:t>
      </w:r>
      <w:r w:rsidR="000328C3">
        <w:t xml:space="preserve"> phone</w:t>
      </w:r>
      <w:r w:rsidR="00F46A8B">
        <w:t>,</w:t>
      </w:r>
      <w:r w:rsidR="00A00C4A">
        <w:t xml:space="preserve"> and completion rates are </w:t>
      </w:r>
      <w:r w:rsidR="009C455F">
        <w:t xml:space="preserve">90 percent, with about the same percentage completing the survey by web as </w:t>
      </w:r>
      <w:r w:rsidR="00763AC4">
        <w:t>by</w:t>
      </w:r>
      <w:r w:rsidR="000328C3">
        <w:t xml:space="preserve"> phone</w:t>
      </w:r>
      <w:r w:rsidR="009C455F">
        <w:t>.</w:t>
      </w:r>
      <w:r w:rsidR="005A1AE6">
        <w:t xml:space="preserve"> </w:t>
      </w:r>
    </w:p>
    <w:p w14:paraId="1829C7D1" w14:textId="1D268BAA" w:rsidR="00436B9F" w:rsidRPr="00B45726" w:rsidRDefault="00436B9F" w:rsidP="00D87835">
      <w:pPr>
        <w:pStyle w:val="Heading2Black"/>
      </w:pPr>
      <w:bookmarkStart w:id="60" w:name="_Toc477900634"/>
      <w:r w:rsidRPr="00B45726">
        <w:t>A.4.</w:t>
      </w:r>
      <w:r w:rsidRPr="00B45726">
        <w:tab/>
        <w:t>Efforts to Identify Duplication and Use of Similar Information</w:t>
      </w:r>
      <w:bookmarkEnd w:id="57"/>
      <w:bookmarkEnd w:id="58"/>
      <w:bookmarkEnd w:id="59"/>
      <w:bookmarkEnd w:id="60"/>
      <w:r w:rsidRPr="00B45726">
        <w:t xml:space="preserve"> </w:t>
      </w:r>
    </w:p>
    <w:p w14:paraId="1829C7D2" w14:textId="6B2CA899" w:rsidR="00436B9F" w:rsidRPr="00F16956" w:rsidRDefault="00436B9F" w:rsidP="00436B9F">
      <w:pPr>
        <w:pStyle w:val="NormalSS"/>
        <w:rPr>
          <w:rFonts w:cstheme="minorHAnsi"/>
        </w:rPr>
      </w:pPr>
      <w:r>
        <w:t xml:space="preserve">The information collection requirements for the Federal Evaluation of </w:t>
      </w:r>
      <w:r w:rsidRPr="00641180">
        <w:rPr>
          <w:i/>
        </w:rPr>
        <w:t>MPC!</w:t>
      </w:r>
      <w:r w:rsidRPr="00FE4187">
        <w:t xml:space="preserve"> </w:t>
      </w:r>
      <w:r>
        <w:t>have been carefully reviewed to avoid duplication with existing studies</w:t>
      </w:r>
      <w:r w:rsidRPr="00FE4187">
        <w:t xml:space="preserve">. Although the information from </w:t>
      </w:r>
      <w:r>
        <w:t xml:space="preserve">the one prior </w:t>
      </w:r>
      <w:r w:rsidR="00063F34">
        <w:t xml:space="preserve">1998 </w:t>
      </w:r>
      <w:r>
        <w:t xml:space="preserve">study of </w:t>
      </w:r>
      <w:r w:rsidRPr="00641180">
        <w:rPr>
          <w:i/>
        </w:rPr>
        <w:t>MPC!</w:t>
      </w:r>
      <w:r>
        <w:t xml:space="preserve"> that meets the HHS evidence review standards</w:t>
      </w:r>
      <w:r w:rsidRPr="00FE4187">
        <w:t xml:space="preserve"> </w:t>
      </w:r>
      <w:r w:rsidR="00641180">
        <w:t xml:space="preserve">provides value </w:t>
      </w:r>
      <w:r w:rsidRPr="00FE4187">
        <w:t xml:space="preserve">to our understanding of </w:t>
      </w:r>
      <w:r>
        <w:t>the effectiveness of this curriculum</w:t>
      </w:r>
      <w:r w:rsidR="00063F34">
        <w:t xml:space="preserve"> on behavioral outcomes</w:t>
      </w:r>
      <w:r w:rsidR="00641180">
        <w:t xml:space="preserve">, </w:t>
      </w:r>
      <w:r>
        <w:t>OAH</w:t>
      </w:r>
      <w:r w:rsidRPr="00FE4187">
        <w:t xml:space="preserve"> does not believe that it provides </w:t>
      </w:r>
      <w:r>
        <w:t>current information on program effectiveness, and with a broader population of youth participating in schools</w:t>
      </w:r>
      <w:r w:rsidRPr="00FE4187">
        <w:t xml:space="preserve">. The data collection for the </w:t>
      </w:r>
      <w:r w:rsidRPr="00593B57">
        <w:t xml:space="preserve">Federal Evaluation of </w:t>
      </w:r>
      <w:r w:rsidRPr="00641180">
        <w:rPr>
          <w:i/>
        </w:rPr>
        <w:t>MPC!</w:t>
      </w:r>
      <w:r w:rsidRPr="00593B57">
        <w:t xml:space="preserve"> </w:t>
      </w:r>
      <w:r w:rsidR="00641180">
        <w:t>is a</w:t>
      </w:r>
      <w:r w:rsidRPr="00FE4187">
        <w:t xml:space="preserve"> </w:t>
      </w:r>
      <w:r w:rsidR="00641180">
        <w:t xml:space="preserve">critical </w:t>
      </w:r>
      <w:r w:rsidRPr="00FE4187">
        <w:t xml:space="preserve">step </w:t>
      </w:r>
      <w:r w:rsidR="00641180">
        <w:t xml:space="preserve">in </w:t>
      </w:r>
      <w:r w:rsidRPr="00FE4187">
        <w:t xml:space="preserve">providing </w:t>
      </w:r>
      <w:r>
        <w:t>essential information on program effectiveness</w:t>
      </w:r>
      <w:r w:rsidR="004A6429">
        <w:t xml:space="preserve"> </w:t>
      </w:r>
      <w:r>
        <w:t xml:space="preserve">on this very popular program being implemented in </w:t>
      </w:r>
      <w:r w:rsidR="00311E72">
        <w:t xml:space="preserve">today’s </w:t>
      </w:r>
      <w:r>
        <w:t>schools.</w:t>
      </w:r>
    </w:p>
    <w:p w14:paraId="1829C7D3" w14:textId="77777777" w:rsidR="00436B9F" w:rsidRPr="00F008EC" w:rsidRDefault="00436B9F" w:rsidP="00436B9F">
      <w:pPr>
        <w:pStyle w:val="Heading2Black"/>
        <w:tabs>
          <w:tab w:val="clear" w:pos="432"/>
          <w:tab w:val="left" w:pos="630"/>
        </w:tabs>
      </w:pPr>
      <w:bookmarkStart w:id="61" w:name="_Toc320884251"/>
      <w:bookmarkStart w:id="62" w:name="_Toc320887156"/>
      <w:bookmarkStart w:id="63" w:name="_Toc326752784"/>
      <w:bookmarkStart w:id="64" w:name="_Toc477900635"/>
      <w:r w:rsidRPr="00F008EC">
        <w:t>A.5.</w:t>
      </w:r>
      <w:r w:rsidRPr="00F008EC">
        <w:tab/>
        <w:t>Impact on Small Businesses</w:t>
      </w:r>
      <w:bookmarkEnd w:id="61"/>
      <w:bookmarkEnd w:id="62"/>
      <w:bookmarkEnd w:id="63"/>
      <w:bookmarkEnd w:id="64"/>
      <w:r w:rsidRPr="00F008EC">
        <w:t xml:space="preserve"> </w:t>
      </w:r>
    </w:p>
    <w:p w14:paraId="1829C7D4" w14:textId="57F83E92" w:rsidR="00436B9F" w:rsidRPr="0070463D" w:rsidRDefault="00436B9F" w:rsidP="00436B9F">
      <w:pPr>
        <w:pStyle w:val="NormalSS"/>
        <w:rPr>
          <w:bCs/>
        </w:rPr>
      </w:pPr>
      <w:r>
        <w:rPr>
          <w:bCs/>
        </w:rPr>
        <w:t xml:space="preserve">No small businesses are expected to be impacted. Mathematica staff will work with the study sites (schools) to lead and coordinate the data collection activities. </w:t>
      </w:r>
      <w:r w:rsidRPr="00E0450E">
        <w:rPr>
          <w:bCs/>
        </w:rPr>
        <w:t xml:space="preserve">The data collection plan is designed to minimize burden on </w:t>
      </w:r>
      <w:r>
        <w:rPr>
          <w:bCs/>
        </w:rPr>
        <w:t xml:space="preserve">schools </w:t>
      </w:r>
      <w:r w:rsidRPr="00E0450E">
        <w:rPr>
          <w:bCs/>
        </w:rPr>
        <w:t xml:space="preserve">by providing staff from Mathematica to </w:t>
      </w:r>
      <w:r>
        <w:rPr>
          <w:bCs/>
        </w:rPr>
        <w:t xml:space="preserve">lead the </w:t>
      </w:r>
      <w:r w:rsidR="008419BB">
        <w:rPr>
          <w:bCs/>
        </w:rPr>
        <w:t xml:space="preserve">follow-up </w:t>
      </w:r>
      <w:r>
        <w:rPr>
          <w:bCs/>
        </w:rPr>
        <w:t>data collection activities</w:t>
      </w:r>
      <w:r w:rsidRPr="00E0450E">
        <w:rPr>
          <w:bCs/>
        </w:rPr>
        <w:t>.</w:t>
      </w:r>
      <w:r>
        <w:t xml:space="preserve"> </w:t>
      </w:r>
    </w:p>
    <w:p w14:paraId="1829C7D5" w14:textId="77777777" w:rsidR="00436B9F" w:rsidRDefault="00436B9F" w:rsidP="00436B9F">
      <w:pPr>
        <w:pStyle w:val="Heading2Black"/>
        <w:tabs>
          <w:tab w:val="clear" w:pos="432"/>
          <w:tab w:val="left" w:pos="630"/>
        </w:tabs>
      </w:pPr>
      <w:bookmarkStart w:id="65" w:name="_Toc320884252"/>
      <w:bookmarkStart w:id="66" w:name="_Toc320887157"/>
      <w:bookmarkStart w:id="67" w:name="_Toc326752785"/>
      <w:bookmarkStart w:id="68" w:name="_Toc477900636"/>
      <w:r w:rsidRPr="00917428">
        <w:t>A.6.</w:t>
      </w:r>
      <w:r w:rsidRPr="00917428">
        <w:tab/>
        <w:t>Consequences of Not Collecting the Information/Collecting Less</w:t>
      </w:r>
      <w:r>
        <w:t xml:space="preserve"> </w:t>
      </w:r>
      <w:r w:rsidRPr="00917428">
        <w:t>Frequently</w:t>
      </w:r>
      <w:bookmarkEnd w:id="65"/>
      <w:bookmarkEnd w:id="66"/>
      <w:bookmarkEnd w:id="67"/>
      <w:bookmarkEnd w:id="68"/>
      <w:r>
        <w:t xml:space="preserve"> </w:t>
      </w:r>
    </w:p>
    <w:p w14:paraId="1829C7D6" w14:textId="1B3355D8" w:rsidR="00436B9F" w:rsidRPr="00254CCF" w:rsidRDefault="00051C2A" w:rsidP="00436B9F">
      <w:pPr>
        <w:pStyle w:val="NormalSS"/>
      </w:pPr>
      <w:r>
        <w:t>Outcome</w:t>
      </w:r>
      <w:r w:rsidRPr="00254CCF">
        <w:t xml:space="preserve"> </w:t>
      </w:r>
      <w:r w:rsidR="00436B9F" w:rsidRPr="00254CCF">
        <w:t xml:space="preserve">data are essential to conducting a rigorous evaluation of </w:t>
      </w:r>
      <w:r w:rsidR="00436B9F">
        <w:t xml:space="preserve">the </w:t>
      </w:r>
      <w:r w:rsidR="00436B9F" w:rsidRPr="00333347">
        <w:rPr>
          <w:i/>
        </w:rPr>
        <w:t>MPC!</w:t>
      </w:r>
      <w:r w:rsidR="00436B9F">
        <w:t xml:space="preserve"> </w:t>
      </w:r>
      <w:r w:rsidR="00311E72">
        <w:t>program</w:t>
      </w:r>
      <w:r w:rsidR="00436B9F">
        <w:t>.</w:t>
      </w:r>
      <w:r w:rsidR="00436B9F" w:rsidRPr="00254CCF">
        <w:t xml:space="preserve"> </w:t>
      </w:r>
      <w:r>
        <w:t xml:space="preserve">Without outcome data, we cannot estimate </w:t>
      </w:r>
      <w:r w:rsidR="00333347">
        <w:t>the short-</w:t>
      </w:r>
      <w:r w:rsidR="009947A3">
        <w:t>term effect of the intervention following prog</w:t>
      </w:r>
      <w:r w:rsidR="00333347">
        <w:t>ram implementation (using the 9-</w:t>
      </w:r>
      <w:r w:rsidR="009947A3">
        <w:t xml:space="preserve">month follow-up survey), </w:t>
      </w:r>
      <w:r w:rsidR="00333347">
        <w:t xml:space="preserve">or </w:t>
      </w:r>
      <w:r w:rsidR="009947A3">
        <w:t xml:space="preserve">whether those effects are sustained long term </w:t>
      </w:r>
      <w:r w:rsidR="00454875">
        <w:t xml:space="preserve">or translate to the expected behavioral outcomes </w:t>
      </w:r>
      <w:r w:rsidR="009947A3">
        <w:t>(using</w:t>
      </w:r>
      <w:r w:rsidR="00333347">
        <w:t xml:space="preserve"> the 15-</w:t>
      </w:r>
      <w:r w:rsidR="009947A3">
        <w:t xml:space="preserve">month follow-up survey). </w:t>
      </w:r>
    </w:p>
    <w:p w14:paraId="1829C7D8" w14:textId="77777777" w:rsidR="00436B9F" w:rsidRPr="00917428" w:rsidRDefault="00436B9F" w:rsidP="00436B9F">
      <w:pPr>
        <w:pStyle w:val="Heading2Black"/>
        <w:tabs>
          <w:tab w:val="clear" w:pos="432"/>
          <w:tab w:val="left" w:pos="630"/>
        </w:tabs>
      </w:pPr>
      <w:bookmarkStart w:id="69" w:name="_Toc320884253"/>
      <w:bookmarkStart w:id="70" w:name="_Toc320887158"/>
      <w:bookmarkStart w:id="71" w:name="_Toc326752786"/>
      <w:bookmarkStart w:id="72" w:name="_Toc477900637"/>
      <w:r w:rsidRPr="00917428">
        <w:t>A.7.</w:t>
      </w:r>
      <w:r w:rsidRPr="00917428">
        <w:tab/>
        <w:t>Special Circumstances</w:t>
      </w:r>
      <w:bookmarkEnd w:id="69"/>
      <w:bookmarkEnd w:id="70"/>
      <w:bookmarkEnd w:id="71"/>
      <w:bookmarkEnd w:id="72"/>
      <w:r w:rsidRPr="00917428">
        <w:t xml:space="preserve"> </w:t>
      </w:r>
    </w:p>
    <w:p w14:paraId="1829C7D9" w14:textId="77777777" w:rsidR="00436B9F" w:rsidRPr="00AD37F7" w:rsidRDefault="00436B9F" w:rsidP="00436B9F">
      <w:pPr>
        <w:pStyle w:val="NormalSS"/>
      </w:pPr>
      <w:bookmarkStart w:id="73" w:name="_Toc76458988"/>
      <w:r w:rsidRPr="00AD37F7">
        <w:t xml:space="preserve">There are no special circumstances for the proposed data collection efforts. </w:t>
      </w:r>
    </w:p>
    <w:p w14:paraId="1829C7DA" w14:textId="77777777" w:rsidR="00436B9F" w:rsidRDefault="00436B9F" w:rsidP="00436B9F">
      <w:pPr>
        <w:pStyle w:val="Heading2Black"/>
        <w:tabs>
          <w:tab w:val="clear" w:pos="432"/>
          <w:tab w:val="left" w:pos="630"/>
        </w:tabs>
      </w:pPr>
      <w:bookmarkStart w:id="74" w:name="_Toc320884254"/>
      <w:bookmarkStart w:id="75" w:name="_Toc320887159"/>
      <w:bookmarkStart w:id="76" w:name="_Toc326752787"/>
      <w:bookmarkStart w:id="77" w:name="_Toc477900638"/>
      <w:r>
        <w:t>A.8.</w:t>
      </w:r>
      <w:r>
        <w:tab/>
      </w:r>
      <w:r w:rsidRPr="00917428">
        <w:t>Federal Register Notice and Consultation Outside the Agency</w:t>
      </w:r>
      <w:bookmarkEnd w:id="73"/>
      <w:bookmarkEnd w:id="74"/>
      <w:bookmarkEnd w:id="75"/>
      <w:bookmarkEnd w:id="76"/>
      <w:bookmarkEnd w:id="77"/>
      <w:r>
        <w:t xml:space="preserve"> </w:t>
      </w:r>
    </w:p>
    <w:p w14:paraId="77F621CA" w14:textId="4DF49494" w:rsidR="0055110B" w:rsidRDefault="0055110B" w:rsidP="0055110B">
      <w:pPr>
        <w:pStyle w:val="NormalSS"/>
      </w:pPr>
      <w:r>
        <w:t>A 60-day Federal Register Notice was published in the Federal Register on February 10, 2017, Vol. 82, No. 27; pp. 10364-10365 (see Attachment F</w:t>
      </w:r>
      <w:r w:rsidR="009A6BD4">
        <w:t>). No public comments were received</w:t>
      </w:r>
      <w:r>
        <w:t>.</w:t>
      </w:r>
      <w:r w:rsidR="009A6BD4">
        <w:t xml:space="preserve"> </w:t>
      </w:r>
    </w:p>
    <w:p w14:paraId="1829C7DB" w14:textId="1B70FF63" w:rsidR="00436B9F" w:rsidRDefault="00051C2A" w:rsidP="00E04EAF">
      <w:pPr>
        <w:pStyle w:val="NormalSS"/>
      </w:pPr>
      <w:r>
        <w:t>T</w:t>
      </w:r>
      <w:r w:rsidRPr="00A96C39">
        <w:t xml:space="preserve">he names and contact information of the persons consulted in the drafting and refinement of the </w:t>
      </w:r>
      <w:r>
        <w:t xml:space="preserve">IIS </w:t>
      </w:r>
      <w:r w:rsidRPr="00A96C39">
        <w:t>instrument</w:t>
      </w:r>
      <w:r>
        <w:t xml:space="preserve">s are in Attachment </w:t>
      </w:r>
      <w:r w:rsidR="006B60CA">
        <w:t>C</w:t>
      </w:r>
      <w:r>
        <w:t xml:space="preserve">. </w:t>
      </w:r>
    </w:p>
    <w:p w14:paraId="1829C7DC" w14:textId="77777777" w:rsidR="00436B9F" w:rsidRDefault="00436B9F" w:rsidP="00436B9F">
      <w:pPr>
        <w:pStyle w:val="Heading2Black"/>
        <w:tabs>
          <w:tab w:val="clear" w:pos="432"/>
          <w:tab w:val="left" w:pos="630"/>
        </w:tabs>
      </w:pPr>
      <w:bookmarkStart w:id="78" w:name="_Toc320884255"/>
      <w:bookmarkStart w:id="79" w:name="_Toc320887160"/>
      <w:bookmarkStart w:id="80" w:name="_Toc326752788"/>
      <w:bookmarkStart w:id="81" w:name="_Toc477900639"/>
      <w:r w:rsidRPr="00892A0D">
        <w:t>A.9.</w:t>
      </w:r>
      <w:r w:rsidRPr="00892A0D">
        <w:tab/>
        <w:t>Payments to Respondents</w:t>
      </w:r>
      <w:bookmarkEnd w:id="78"/>
      <w:bookmarkEnd w:id="79"/>
      <w:bookmarkEnd w:id="80"/>
      <w:bookmarkEnd w:id="81"/>
      <w:r>
        <w:t xml:space="preserve"> </w:t>
      </w:r>
    </w:p>
    <w:p w14:paraId="6ED8E9E3" w14:textId="20229C68" w:rsidR="00051C2A" w:rsidRDefault="006B246F" w:rsidP="00051C2A">
      <w:pPr>
        <w:pStyle w:val="NormalSS"/>
      </w:pPr>
      <w:bookmarkStart w:id="82" w:name="_Toc320884256"/>
      <w:bookmarkStart w:id="83" w:name="_Toc320887161"/>
      <w:bookmarkStart w:id="84" w:name="_Toc326752789"/>
      <w:r>
        <w:t xml:space="preserve">We propose offering </w:t>
      </w:r>
      <w:r w:rsidR="00EA0424">
        <w:t>a combination of non-monetary gifts and gift cards (detailed below)</w:t>
      </w:r>
      <w:r w:rsidR="00051C2A">
        <w:t xml:space="preserve"> </w:t>
      </w:r>
      <w:r w:rsidR="00051C2A" w:rsidRPr="00E03DB3">
        <w:t xml:space="preserve">to study participants in appreciation of their </w:t>
      </w:r>
      <w:r w:rsidR="00311E72">
        <w:t xml:space="preserve">ongoing </w:t>
      </w:r>
      <w:r w:rsidR="00051C2A" w:rsidRPr="00E03DB3">
        <w:t>participation in the study</w:t>
      </w:r>
      <w:r w:rsidR="00311E72">
        <w:t xml:space="preserve"> by responding to the follow-up surveys</w:t>
      </w:r>
      <w:r w:rsidR="00051C2A" w:rsidRPr="00E03DB3">
        <w:t xml:space="preserve">. </w:t>
      </w:r>
      <w:r w:rsidR="00051C2A">
        <w:t>Our</w:t>
      </w:r>
      <w:r w:rsidR="00051C2A" w:rsidRPr="00E03DB3">
        <w:t xml:space="preserve"> surveys include highly sensitive questions, and thus impose </w:t>
      </w:r>
      <w:r w:rsidR="00311E72">
        <w:t>some</w:t>
      </w:r>
      <w:r w:rsidR="00311E72" w:rsidRPr="00E03DB3">
        <w:t xml:space="preserve"> </w:t>
      </w:r>
      <w:r w:rsidR="00051C2A" w:rsidRPr="00E03DB3">
        <w:t xml:space="preserve">burden on respondents. Research has shown that </w:t>
      </w:r>
      <w:r w:rsidR="00333347">
        <w:t xml:space="preserve">such </w:t>
      </w:r>
      <w:r w:rsidR="00051C2A" w:rsidRPr="00E03DB3">
        <w:t xml:space="preserve">payments are effective at increasing response rates for populations similar to </w:t>
      </w:r>
      <w:r w:rsidR="0032191D">
        <w:t>those participating in this study</w:t>
      </w:r>
      <w:r w:rsidR="00051C2A" w:rsidRPr="00E03DB3">
        <w:rPr>
          <w:rStyle w:val="FootnoteReference"/>
        </w:rPr>
        <w:footnoteReference w:id="6"/>
      </w:r>
      <w:r w:rsidR="00051C2A" w:rsidRPr="00E03DB3">
        <w:rPr>
          <w:vertAlign w:val="superscript"/>
        </w:rPr>
        <w:t>,</w:t>
      </w:r>
      <w:r w:rsidR="00051C2A" w:rsidRPr="00E03DB3">
        <w:rPr>
          <w:rStyle w:val="FootnoteReference"/>
        </w:rPr>
        <w:footnoteReference w:id="7"/>
      </w:r>
      <w:r w:rsidR="00775024" w:rsidRPr="00775024">
        <w:t>.</w:t>
      </w:r>
      <w:r w:rsidR="00051C2A" w:rsidRPr="00775024">
        <w:t xml:space="preserve"> </w:t>
      </w:r>
      <w:r w:rsidR="00051C2A" w:rsidRPr="00E03DB3">
        <w:t>Research also suggests that providing an incentive for earlier surveys may contribute to higher respon</w:t>
      </w:r>
      <w:r w:rsidR="0058439F">
        <w:t>se rates for subsequent surveys.</w:t>
      </w:r>
      <w:r w:rsidR="00051C2A" w:rsidRPr="00E03DB3">
        <w:rPr>
          <w:rStyle w:val="FootnoteReference"/>
        </w:rPr>
        <w:footnoteReference w:id="8"/>
      </w:r>
      <w:r w:rsidR="00051C2A" w:rsidRPr="00E03DB3">
        <w:t xml:space="preserve"> Therefore, providing a modest gift of appreciation at the first follow-up </w:t>
      </w:r>
      <w:r w:rsidR="00454875">
        <w:t>can</w:t>
      </w:r>
      <w:r w:rsidR="00051C2A" w:rsidRPr="00E03DB3">
        <w:t xml:space="preserve"> reduce attrition for second follow-up data collection.</w:t>
      </w:r>
    </w:p>
    <w:p w14:paraId="461EA290" w14:textId="77777777" w:rsidR="00CB418E" w:rsidRDefault="009947A3" w:rsidP="00CB418E">
      <w:pPr>
        <w:pStyle w:val="NormalSS"/>
      </w:pPr>
      <w:r w:rsidRPr="000820CF">
        <w:t xml:space="preserve">Achieving a high </w:t>
      </w:r>
      <w:r w:rsidR="00734265">
        <w:t>survey</w:t>
      </w:r>
      <w:r w:rsidR="00734265" w:rsidRPr="000820CF">
        <w:t xml:space="preserve"> </w:t>
      </w:r>
      <w:r w:rsidRPr="000820CF">
        <w:t>response rate at follow-up is critical for three reasons.  First, it is necessary for achieving the minimum sample size needed to demonstrate the statistical significance of the findings. The federal government</w:t>
      </w:r>
      <w:r w:rsidR="00734265">
        <w:t xml:space="preserve"> m</w:t>
      </w:r>
      <w:r w:rsidR="00F927D7">
        <w:t>a</w:t>
      </w:r>
      <w:r w:rsidR="00734265">
        <w:t xml:space="preserve">kes great efforts to ensure that they are investing in well-powered studies. </w:t>
      </w:r>
      <w:r w:rsidRPr="000820CF">
        <w:t xml:space="preserve">Second, rigorous evidence reviews (such as the HHS Teen Pregnancy Prevention Evidence review, which will eventually assess the evidence from this study), assess study attrition </w:t>
      </w:r>
      <w:r w:rsidR="00454875">
        <w:t>using</w:t>
      </w:r>
      <w:r w:rsidR="00011CE3">
        <w:t xml:space="preserve"> </w:t>
      </w:r>
      <w:r w:rsidR="00910C87" w:rsidRPr="000820CF">
        <w:t xml:space="preserve">follow-up </w:t>
      </w:r>
      <w:r w:rsidR="00454875">
        <w:t xml:space="preserve">survey </w:t>
      </w:r>
      <w:r w:rsidRPr="000820CF">
        <w:t>response rate</w:t>
      </w:r>
      <w:r w:rsidR="00910C87" w:rsidRPr="000820CF">
        <w:t xml:space="preserve">s when determining the </w:t>
      </w:r>
      <w:r w:rsidR="00333347">
        <w:t xml:space="preserve">evidence rating for the study. </w:t>
      </w:r>
      <w:r w:rsidRPr="000820CF">
        <w:t xml:space="preserve">High attrition from the study can </w:t>
      </w:r>
      <w:r w:rsidR="00333347">
        <w:t>result in a low evidence rating, which would indicate that the federal government had</w:t>
      </w:r>
      <w:r w:rsidRPr="000820CF">
        <w:t xml:space="preserve"> invested in a study that </w:t>
      </w:r>
      <w:r w:rsidR="00333347">
        <w:t xml:space="preserve">lacked </w:t>
      </w:r>
      <w:r w:rsidRPr="000820CF">
        <w:t xml:space="preserve">sufficient internal validity to draw conclusions about program effectiveness. </w:t>
      </w:r>
      <w:r w:rsidR="00734265">
        <w:t xml:space="preserve">The federal government makes great efforts to ensure that they are investing in valid program evaluations. </w:t>
      </w:r>
      <w:r w:rsidRPr="000820CF">
        <w:t xml:space="preserve">Third, and finally, OAH has directed its contractor to study the effectiveness of </w:t>
      </w:r>
      <w:r w:rsidR="0042189E" w:rsidRPr="00333347">
        <w:rPr>
          <w:i/>
        </w:rPr>
        <w:t>MPC</w:t>
      </w:r>
      <w:r w:rsidRPr="00333347">
        <w:rPr>
          <w:i/>
        </w:rPr>
        <w:t>!</w:t>
      </w:r>
      <w:r w:rsidRPr="000820CF">
        <w:rPr>
          <w:i/>
        </w:rPr>
        <w:t xml:space="preserve"> </w:t>
      </w:r>
      <w:r w:rsidRPr="000820CF">
        <w:t xml:space="preserve">in schools in low-income, disadvantaged areas. OAH intends </w:t>
      </w:r>
      <w:r w:rsidR="00333347">
        <w:t xml:space="preserve">that </w:t>
      </w:r>
      <w:r w:rsidRPr="000820CF">
        <w:t>the study population be representative of the yo</w:t>
      </w:r>
      <w:r w:rsidR="00333347">
        <w:t xml:space="preserve">uth in these school districts. </w:t>
      </w:r>
      <w:r w:rsidRPr="000820CF">
        <w:t xml:space="preserve">If high </w:t>
      </w:r>
      <w:r w:rsidR="00910C87" w:rsidRPr="000820CF">
        <w:t>response</w:t>
      </w:r>
      <w:r w:rsidRPr="000820CF">
        <w:t xml:space="preserve"> rates are not received, the study sample could be biased in the direction </w:t>
      </w:r>
      <w:r w:rsidR="00333347">
        <w:t>of the higher achieving, higher-</w:t>
      </w:r>
      <w:r w:rsidRPr="000820CF">
        <w:t xml:space="preserve">income, more highly motivated youth with more supportive parents – the population that is likely to </w:t>
      </w:r>
      <w:r w:rsidR="00910C87" w:rsidRPr="000820CF">
        <w:t>complete a follow-up survey earl</w:t>
      </w:r>
      <w:r w:rsidR="00333347">
        <w:t xml:space="preserve">y and with little or no </w:t>
      </w:r>
      <w:r w:rsidRPr="000820CF">
        <w:t>incentive</w:t>
      </w:r>
      <w:r w:rsidR="00AF6E61" w:rsidRPr="00E03DB3">
        <w:rPr>
          <w:rStyle w:val="FootnoteReference"/>
        </w:rPr>
        <w:footnoteReference w:id="9"/>
      </w:r>
      <w:r w:rsidRPr="000820CF">
        <w:t xml:space="preserve">. </w:t>
      </w:r>
      <w:r w:rsidR="00CB418E" w:rsidRPr="00CB418E">
        <w:t>Unlike other large-scale federal survey efforts, such as the Census, the study sample of a randomized controlled trial is set at the beginning of the study; there is no opportunity to add sample members over time to replace survey non-respondents.  Therefore, a plan to achieve a high response rates among randomized study participants is a critical part of a follow-up data collection plan.</w:t>
      </w:r>
    </w:p>
    <w:p w14:paraId="28697279" w14:textId="6ECED7BF" w:rsidR="003B642C" w:rsidRPr="003B642C" w:rsidRDefault="00AF59EF" w:rsidP="003B642C">
      <w:pPr>
        <w:pStyle w:val="NormalSS"/>
      </w:pPr>
      <w:r>
        <w:t xml:space="preserve">The incentive structure proposed in this ICR is a modified version of the </w:t>
      </w:r>
      <w:r w:rsidR="003B642C">
        <w:t>incentive structure</w:t>
      </w:r>
      <w:r>
        <w:t xml:space="preserve"> used </w:t>
      </w:r>
      <w:r w:rsidRPr="00AF59EF">
        <w:t xml:space="preserve">on other federally funded studies with similar populations, including </w:t>
      </w:r>
      <w:r w:rsidR="003B642C">
        <w:t xml:space="preserve">the </w:t>
      </w:r>
      <w:r w:rsidRPr="00AF59EF">
        <w:t>Evaluation of Adolescent Pregnancy Prevention Approaches (PPA-OMB Control Number 0990-0382), PREP (OMB Control Number 0970-0398), and the Strengthening Relationship Education and Marriage Services (STREAMS) Evaluation (OMB Control Number 0970-0481, approved July 5, 2016), see table A9.1.</w:t>
      </w:r>
      <w:r>
        <w:t xml:space="preserve">  </w:t>
      </w:r>
      <w:r w:rsidR="003B642C" w:rsidRPr="003B642C">
        <w:t>These studies have achieved high response rates on the first and second follow-ups</w:t>
      </w:r>
      <w:r w:rsidR="003B642C" w:rsidRPr="003B642C">
        <w:rPr>
          <w:vertAlign w:val="superscript"/>
        </w:rPr>
        <w:footnoteReference w:id="10"/>
      </w:r>
      <w:r w:rsidR="003B642C" w:rsidRPr="003B642C">
        <w:t>. On PREP, the first follow-up response rates in two of the school-based sites are 90 to 94 percent and second follow-up response rates are 84 to 91 percent.</w:t>
      </w:r>
      <w:r w:rsidR="003B642C" w:rsidRPr="003B642C">
        <w:rPr>
          <w:vertAlign w:val="superscript"/>
        </w:rPr>
        <w:footnoteReference w:id="11"/>
      </w:r>
      <w:r w:rsidR="003B642C" w:rsidRPr="003B642C">
        <w:t xml:space="preserve"> </w:t>
      </w:r>
    </w:p>
    <w:p w14:paraId="01A97F64" w14:textId="77777777" w:rsidR="00AF59EF" w:rsidRDefault="00AF59EF" w:rsidP="00CB418E">
      <w:pPr>
        <w:pStyle w:val="NormalSS"/>
      </w:pPr>
      <w:r>
        <w:t xml:space="preserve">The modifications made for this ICR reflect OMB’s efforts to lower the amount of the incentives and to provide non-monetary incentives for students completing surveys in schools. </w:t>
      </w:r>
    </w:p>
    <w:p w14:paraId="70BA22B8" w14:textId="77777777" w:rsidR="00AF59EF" w:rsidRPr="00FF69A2" w:rsidRDefault="00AF59EF" w:rsidP="00AF59EF">
      <w:pPr>
        <w:pStyle w:val="NormalSS"/>
        <w:ind w:firstLine="90"/>
        <w:rPr>
          <w:rFonts w:ascii="Arial" w:hAnsi="Arial" w:cs="Arial"/>
          <w:b/>
          <w:sz w:val="18"/>
          <w:szCs w:val="18"/>
        </w:rPr>
      </w:pPr>
      <w:r w:rsidRPr="00FF69A2">
        <w:rPr>
          <w:rFonts w:ascii="Arial" w:hAnsi="Arial" w:cs="Arial"/>
          <w:b/>
          <w:sz w:val="18"/>
          <w:szCs w:val="18"/>
        </w:rPr>
        <w:t xml:space="preserve">Table </w:t>
      </w:r>
      <w:r>
        <w:rPr>
          <w:rFonts w:ascii="Arial" w:hAnsi="Arial" w:cs="Arial"/>
          <w:b/>
          <w:sz w:val="18"/>
          <w:szCs w:val="18"/>
        </w:rPr>
        <w:t>A9.1</w:t>
      </w:r>
      <w:r w:rsidRPr="00FF69A2">
        <w:rPr>
          <w:rFonts w:ascii="Arial" w:hAnsi="Arial" w:cs="Arial"/>
          <w:b/>
          <w:sz w:val="18"/>
          <w:szCs w:val="18"/>
        </w:rPr>
        <w:t xml:space="preserve">. OMB -approved incentives on similar Federal projects </w:t>
      </w:r>
    </w:p>
    <w:tbl>
      <w:tblPr>
        <w:tblStyle w:val="TableGrid"/>
        <w:tblW w:w="9625" w:type="dxa"/>
        <w:tblLayout w:type="fixed"/>
        <w:tblLook w:val="04A0" w:firstRow="1" w:lastRow="0" w:firstColumn="1" w:lastColumn="0" w:noHBand="0" w:noVBand="1"/>
      </w:tblPr>
      <w:tblGrid>
        <w:gridCol w:w="2695"/>
        <w:gridCol w:w="1800"/>
        <w:gridCol w:w="1170"/>
        <w:gridCol w:w="1440"/>
        <w:gridCol w:w="1080"/>
        <w:gridCol w:w="1440"/>
      </w:tblGrid>
      <w:tr w:rsidR="00AF59EF" w:rsidRPr="00FF69A2" w14:paraId="505442E2" w14:textId="77777777" w:rsidTr="005C0D42">
        <w:tc>
          <w:tcPr>
            <w:tcW w:w="2695" w:type="dxa"/>
          </w:tcPr>
          <w:p w14:paraId="2FD2D034" w14:textId="77777777" w:rsidR="00AF59EF" w:rsidRPr="00FF69A2" w:rsidRDefault="00AF59EF" w:rsidP="005C0D42">
            <w:pPr>
              <w:pStyle w:val="NormalSS"/>
              <w:rPr>
                <w:rFonts w:ascii="Arial" w:hAnsi="Arial" w:cs="Arial"/>
                <w:sz w:val="18"/>
                <w:szCs w:val="18"/>
              </w:rPr>
            </w:pPr>
          </w:p>
        </w:tc>
        <w:tc>
          <w:tcPr>
            <w:tcW w:w="1800" w:type="dxa"/>
          </w:tcPr>
          <w:p w14:paraId="458A1FE6" w14:textId="77777777" w:rsidR="00AF59EF" w:rsidRPr="00FF69A2" w:rsidRDefault="00AF59EF" w:rsidP="005C0D42">
            <w:pPr>
              <w:pStyle w:val="NormalSS"/>
              <w:rPr>
                <w:rFonts w:ascii="Arial" w:hAnsi="Arial" w:cs="Arial"/>
                <w:b/>
                <w:sz w:val="18"/>
                <w:szCs w:val="18"/>
              </w:rPr>
            </w:pPr>
          </w:p>
        </w:tc>
        <w:tc>
          <w:tcPr>
            <w:tcW w:w="2610" w:type="dxa"/>
            <w:gridSpan w:val="2"/>
          </w:tcPr>
          <w:p w14:paraId="5EF69F8E" w14:textId="77777777" w:rsidR="00AF59EF" w:rsidRPr="00FF69A2" w:rsidRDefault="00AF59EF" w:rsidP="005C0D42">
            <w:pPr>
              <w:pStyle w:val="NormalSS"/>
              <w:ind w:firstLine="0"/>
              <w:rPr>
                <w:rFonts w:ascii="Arial" w:hAnsi="Arial" w:cs="Arial"/>
                <w:b/>
                <w:sz w:val="18"/>
                <w:szCs w:val="18"/>
              </w:rPr>
            </w:pPr>
            <w:r w:rsidRPr="00FF69A2">
              <w:rPr>
                <w:rFonts w:ascii="Arial" w:hAnsi="Arial" w:cs="Arial"/>
                <w:b/>
                <w:sz w:val="18"/>
                <w:szCs w:val="18"/>
              </w:rPr>
              <w:t>Follow-up 1</w:t>
            </w:r>
          </w:p>
        </w:tc>
        <w:tc>
          <w:tcPr>
            <w:tcW w:w="2520" w:type="dxa"/>
            <w:gridSpan w:val="2"/>
          </w:tcPr>
          <w:p w14:paraId="36540518" w14:textId="77777777" w:rsidR="00AF59EF" w:rsidRPr="00FF69A2" w:rsidRDefault="00AF59EF" w:rsidP="005C0D42">
            <w:pPr>
              <w:pStyle w:val="NormalSS"/>
              <w:ind w:firstLine="0"/>
              <w:rPr>
                <w:rFonts w:ascii="Arial" w:hAnsi="Arial" w:cs="Arial"/>
                <w:b/>
                <w:sz w:val="18"/>
                <w:szCs w:val="18"/>
              </w:rPr>
            </w:pPr>
            <w:r w:rsidRPr="00FF69A2">
              <w:rPr>
                <w:rFonts w:ascii="Arial" w:hAnsi="Arial" w:cs="Arial"/>
                <w:b/>
                <w:sz w:val="18"/>
                <w:szCs w:val="18"/>
              </w:rPr>
              <w:t>Follow-up 2</w:t>
            </w:r>
          </w:p>
        </w:tc>
      </w:tr>
      <w:tr w:rsidR="00AF59EF" w:rsidRPr="00FF69A2" w14:paraId="03645F53" w14:textId="77777777" w:rsidTr="005C0D42">
        <w:tc>
          <w:tcPr>
            <w:tcW w:w="2695" w:type="dxa"/>
          </w:tcPr>
          <w:p w14:paraId="4B96B7C9" w14:textId="77777777" w:rsidR="00AF59EF" w:rsidRPr="00FF69A2" w:rsidRDefault="00AF59EF" w:rsidP="005C0D42">
            <w:pPr>
              <w:pStyle w:val="NormalSS"/>
              <w:ind w:firstLine="90"/>
              <w:rPr>
                <w:rFonts w:ascii="Arial" w:hAnsi="Arial" w:cs="Arial"/>
                <w:b/>
                <w:sz w:val="18"/>
                <w:szCs w:val="18"/>
              </w:rPr>
            </w:pPr>
            <w:r w:rsidRPr="00FF69A2">
              <w:rPr>
                <w:rFonts w:ascii="Arial" w:hAnsi="Arial" w:cs="Arial"/>
                <w:b/>
                <w:sz w:val="18"/>
                <w:szCs w:val="18"/>
              </w:rPr>
              <w:t xml:space="preserve">Project (OMB Control No.) </w:t>
            </w:r>
          </w:p>
        </w:tc>
        <w:tc>
          <w:tcPr>
            <w:tcW w:w="1800" w:type="dxa"/>
          </w:tcPr>
          <w:p w14:paraId="70157222" w14:textId="77777777" w:rsidR="00AF59EF" w:rsidRPr="00FF69A2" w:rsidRDefault="00AF59EF" w:rsidP="005C0D42">
            <w:pPr>
              <w:pStyle w:val="NormalSS"/>
              <w:ind w:firstLine="5"/>
              <w:rPr>
                <w:rFonts w:ascii="Arial" w:hAnsi="Arial" w:cs="Arial"/>
                <w:b/>
                <w:sz w:val="18"/>
                <w:szCs w:val="18"/>
              </w:rPr>
            </w:pPr>
            <w:r w:rsidRPr="00FF69A2">
              <w:rPr>
                <w:rFonts w:ascii="Arial" w:hAnsi="Arial" w:cs="Arial"/>
                <w:b/>
                <w:sz w:val="18"/>
                <w:szCs w:val="18"/>
              </w:rPr>
              <w:t>ICR Reference  #</w:t>
            </w:r>
          </w:p>
        </w:tc>
        <w:tc>
          <w:tcPr>
            <w:tcW w:w="1170" w:type="dxa"/>
          </w:tcPr>
          <w:p w14:paraId="01C87393" w14:textId="77777777" w:rsidR="00AF59EF" w:rsidRPr="00FF69A2" w:rsidRDefault="00AF59EF" w:rsidP="005C0D42">
            <w:pPr>
              <w:pStyle w:val="NormalSS"/>
              <w:ind w:firstLine="5"/>
              <w:rPr>
                <w:rFonts w:ascii="Arial" w:hAnsi="Arial" w:cs="Arial"/>
                <w:b/>
                <w:sz w:val="18"/>
                <w:szCs w:val="18"/>
              </w:rPr>
            </w:pPr>
            <w:r w:rsidRPr="00FF69A2">
              <w:rPr>
                <w:rFonts w:ascii="Arial" w:hAnsi="Arial" w:cs="Arial"/>
                <w:b/>
                <w:sz w:val="18"/>
                <w:szCs w:val="18"/>
              </w:rPr>
              <w:t>In-school</w:t>
            </w:r>
          </w:p>
        </w:tc>
        <w:tc>
          <w:tcPr>
            <w:tcW w:w="1440" w:type="dxa"/>
          </w:tcPr>
          <w:p w14:paraId="02066D34" w14:textId="77777777" w:rsidR="00AF59EF" w:rsidRPr="00FF69A2" w:rsidRDefault="00AF59EF" w:rsidP="005C0D42">
            <w:pPr>
              <w:pStyle w:val="NormalSS"/>
              <w:ind w:firstLine="0"/>
              <w:rPr>
                <w:rFonts w:ascii="Arial" w:hAnsi="Arial" w:cs="Arial"/>
                <w:b/>
                <w:sz w:val="18"/>
                <w:szCs w:val="18"/>
              </w:rPr>
            </w:pPr>
            <w:r w:rsidRPr="00FF69A2">
              <w:rPr>
                <w:rFonts w:ascii="Arial" w:hAnsi="Arial" w:cs="Arial"/>
                <w:b/>
                <w:sz w:val="18"/>
                <w:szCs w:val="18"/>
              </w:rPr>
              <w:t>Out of school</w:t>
            </w:r>
          </w:p>
        </w:tc>
        <w:tc>
          <w:tcPr>
            <w:tcW w:w="1080" w:type="dxa"/>
          </w:tcPr>
          <w:p w14:paraId="4B980A1B" w14:textId="77777777" w:rsidR="00AF59EF" w:rsidRPr="00FF69A2" w:rsidRDefault="00AF59EF" w:rsidP="005C0D42">
            <w:pPr>
              <w:pStyle w:val="NormalSS"/>
              <w:ind w:firstLine="0"/>
              <w:rPr>
                <w:rFonts w:ascii="Arial" w:hAnsi="Arial" w:cs="Arial"/>
                <w:b/>
                <w:sz w:val="18"/>
                <w:szCs w:val="18"/>
              </w:rPr>
            </w:pPr>
            <w:r w:rsidRPr="00FF69A2">
              <w:rPr>
                <w:rFonts w:ascii="Arial" w:hAnsi="Arial" w:cs="Arial"/>
                <w:b/>
                <w:sz w:val="18"/>
                <w:szCs w:val="18"/>
              </w:rPr>
              <w:t>In-school</w:t>
            </w:r>
          </w:p>
        </w:tc>
        <w:tc>
          <w:tcPr>
            <w:tcW w:w="1440" w:type="dxa"/>
          </w:tcPr>
          <w:p w14:paraId="22C890B6" w14:textId="77777777" w:rsidR="00AF59EF" w:rsidRPr="00FF69A2" w:rsidRDefault="00AF59EF" w:rsidP="005C0D42">
            <w:pPr>
              <w:pStyle w:val="NormalSS"/>
              <w:ind w:firstLine="0"/>
              <w:rPr>
                <w:rFonts w:ascii="Arial" w:hAnsi="Arial" w:cs="Arial"/>
                <w:b/>
                <w:sz w:val="18"/>
                <w:szCs w:val="18"/>
              </w:rPr>
            </w:pPr>
            <w:r w:rsidRPr="00FF69A2">
              <w:rPr>
                <w:rFonts w:ascii="Arial" w:hAnsi="Arial" w:cs="Arial"/>
                <w:b/>
                <w:sz w:val="18"/>
                <w:szCs w:val="18"/>
              </w:rPr>
              <w:t>Out of school</w:t>
            </w:r>
          </w:p>
        </w:tc>
      </w:tr>
      <w:tr w:rsidR="00AF59EF" w:rsidRPr="00FF69A2" w14:paraId="3FA21070" w14:textId="77777777" w:rsidTr="005C0D42">
        <w:tc>
          <w:tcPr>
            <w:tcW w:w="2695" w:type="dxa"/>
          </w:tcPr>
          <w:p w14:paraId="3CA9B863" w14:textId="77777777" w:rsidR="00AF59EF" w:rsidRPr="00FF69A2" w:rsidRDefault="00AF59EF" w:rsidP="005C0D42">
            <w:pPr>
              <w:pStyle w:val="NormalSS"/>
              <w:ind w:firstLine="0"/>
              <w:rPr>
                <w:rFonts w:ascii="Arial" w:hAnsi="Arial" w:cs="Arial"/>
                <w:sz w:val="18"/>
                <w:szCs w:val="18"/>
              </w:rPr>
            </w:pPr>
            <w:r w:rsidRPr="00FF69A2">
              <w:rPr>
                <w:rFonts w:ascii="Arial" w:hAnsi="Arial" w:cs="Arial"/>
                <w:sz w:val="18"/>
                <w:szCs w:val="18"/>
              </w:rPr>
              <w:t>PREP (0970-0398)</w:t>
            </w:r>
          </w:p>
        </w:tc>
        <w:tc>
          <w:tcPr>
            <w:tcW w:w="1800" w:type="dxa"/>
          </w:tcPr>
          <w:p w14:paraId="56138182" w14:textId="77777777" w:rsidR="00AF59EF" w:rsidRPr="00FF69A2" w:rsidRDefault="00AF59EF" w:rsidP="005C0D42">
            <w:pPr>
              <w:pStyle w:val="NormalSS"/>
              <w:ind w:firstLine="5"/>
              <w:rPr>
                <w:rFonts w:ascii="Arial" w:hAnsi="Arial" w:cs="Arial"/>
                <w:sz w:val="18"/>
                <w:szCs w:val="18"/>
              </w:rPr>
            </w:pPr>
            <w:r w:rsidRPr="00FF69A2">
              <w:rPr>
                <w:rFonts w:ascii="Arial" w:hAnsi="Arial" w:cs="Arial"/>
                <w:sz w:val="18"/>
                <w:szCs w:val="18"/>
              </w:rPr>
              <w:t>201401.0970.001</w:t>
            </w:r>
          </w:p>
        </w:tc>
        <w:tc>
          <w:tcPr>
            <w:tcW w:w="1170" w:type="dxa"/>
          </w:tcPr>
          <w:p w14:paraId="455C465F" w14:textId="77777777" w:rsidR="00AF59EF" w:rsidRPr="00FF69A2" w:rsidRDefault="00AF59EF" w:rsidP="005C0D42">
            <w:pPr>
              <w:pStyle w:val="NormalSS"/>
              <w:ind w:firstLine="0"/>
              <w:rPr>
                <w:rFonts w:ascii="Arial" w:hAnsi="Arial" w:cs="Arial"/>
                <w:sz w:val="18"/>
                <w:szCs w:val="18"/>
              </w:rPr>
            </w:pPr>
            <w:r w:rsidRPr="00FF69A2">
              <w:rPr>
                <w:rFonts w:ascii="Arial" w:hAnsi="Arial" w:cs="Arial"/>
                <w:sz w:val="18"/>
                <w:szCs w:val="18"/>
              </w:rPr>
              <w:t>$15</w:t>
            </w:r>
          </w:p>
        </w:tc>
        <w:tc>
          <w:tcPr>
            <w:tcW w:w="1440" w:type="dxa"/>
          </w:tcPr>
          <w:p w14:paraId="000484CE" w14:textId="77777777" w:rsidR="00AF59EF" w:rsidRPr="00FF69A2" w:rsidRDefault="00AF59EF" w:rsidP="005C0D42">
            <w:pPr>
              <w:pStyle w:val="NormalSS"/>
              <w:ind w:firstLine="0"/>
              <w:rPr>
                <w:rFonts w:ascii="Arial" w:hAnsi="Arial" w:cs="Arial"/>
                <w:sz w:val="18"/>
                <w:szCs w:val="18"/>
              </w:rPr>
            </w:pPr>
            <w:r w:rsidRPr="00FF69A2">
              <w:rPr>
                <w:rFonts w:ascii="Arial" w:hAnsi="Arial" w:cs="Arial"/>
                <w:sz w:val="18"/>
                <w:szCs w:val="18"/>
              </w:rPr>
              <w:t>$20</w:t>
            </w:r>
          </w:p>
        </w:tc>
        <w:tc>
          <w:tcPr>
            <w:tcW w:w="1080" w:type="dxa"/>
          </w:tcPr>
          <w:p w14:paraId="48678197" w14:textId="77777777" w:rsidR="00AF59EF" w:rsidRPr="00FF69A2" w:rsidRDefault="00AF59EF" w:rsidP="005C0D42">
            <w:pPr>
              <w:pStyle w:val="NormalSS"/>
              <w:ind w:firstLine="0"/>
              <w:rPr>
                <w:rFonts w:ascii="Arial" w:hAnsi="Arial" w:cs="Arial"/>
                <w:sz w:val="18"/>
                <w:szCs w:val="18"/>
              </w:rPr>
            </w:pPr>
            <w:r w:rsidRPr="00FF69A2">
              <w:rPr>
                <w:rFonts w:ascii="Arial" w:hAnsi="Arial" w:cs="Arial"/>
                <w:sz w:val="18"/>
                <w:szCs w:val="18"/>
              </w:rPr>
              <w:t>$20</w:t>
            </w:r>
          </w:p>
        </w:tc>
        <w:tc>
          <w:tcPr>
            <w:tcW w:w="1440" w:type="dxa"/>
          </w:tcPr>
          <w:p w14:paraId="45E364E2" w14:textId="77777777" w:rsidR="00AF59EF" w:rsidRPr="00FF69A2" w:rsidRDefault="00AF59EF" w:rsidP="005C0D42">
            <w:pPr>
              <w:pStyle w:val="NormalSS"/>
              <w:ind w:firstLine="0"/>
              <w:rPr>
                <w:rFonts w:ascii="Arial" w:hAnsi="Arial" w:cs="Arial"/>
                <w:sz w:val="18"/>
                <w:szCs w:val="18"/>
              </w:rPr>
            </w:pPr>
            <w:r w:rsidRPr="00FF69A2">
              <w:rPr>
                <w:rFonts w:ascii="Arial" w:hAnsi="Arial" w:cs="Arial"/>
                <w:sz w:val="18"/>
                <w:szCs w:val="18"/>
              </w:rPr>
              <w:t>$25</w:t>
            </w:r>
          </w:p>
        </w:tc>
      </w:tr>
      <w:tr w:rsidR="00AF59EF" w:rsidRPr="00FF69A2" w14:paraId="3D170E90" w14:textId="77777777" w:rsidTr="005C0D42">
        <w:tc>
          <w:tcPr>
            <w:tcW w:w="2695" w:type="dxa"/>
          </w:tcPr>
          <w:p w14:paraId="475D6677" w14:textId="77777777" w:rsidR="00AF59EF" w:rsidRPr="00FF69A2" w:rsidRDefault="00AF59EF" w:rsidP="005C0D42">
            <w:pPr>
              <w:pStyle w:val="NormalSS"/>
              <w:ind w:firstLine="0"/>
              <w:rPr>
                <w:rFonts w:ascii="Arial" w:hAnsi="Arial" w:cs="Arial"/>
                <w:sz w:val="18"/>
                <w:szCs w:val="18"/>
              </w:rPr>
            </w:pPr>
            <w:r w:rsidRPr="00FF69A2">
              <w:rPr>
                <w:rFonts w:ascii="Arial" w:hAnsi="Arial" w:cs="Arial"/>
                <w:sz w:val="18"/>
                <w:szCs w:val="18"/>
              </w:rPr>
              <w:t>STREAMS (0970-0481)</w:t>
            </w:r>
          </w:p>
        </w:tc>
        <w:tc>
          <w:tcPr>
            <w:tcW w:w="1800" w:type="dxa"/>
          </w:tcPr>
          <w:p w14:paraId="6530AB89" w14:textId="77777777" w:rsidR="00AF59EF" w:rsidRPr="00FF69A2" w:rsidRDefault="00AF59EF" w:rsidP="005C0D42">
            <w:pPr>
              <w:pStyle w:val="NormalSS"/>
              <w:ind w:firstLine="0"/>
              <w:rPr>
                <w:rFonts w:ascii="Arial" w:hAnsi="Arial" w:cs="Arial"/>
                <w:sz w:val="18"/>
                <w:szCs w:val="18"/>
              </w:rPr>
            </w:pPr>
            <w:r w:rsidRPr="00FF69A2">
              <w:rPr>
                <w:rFonts w:ascii="Arial" w:hAnsi="Arial" w:cs="Arial"/>
                <w:sz w:val="18"/>
                <w:szCs w:val="18"/>
              </w:rPr>
              <w:t>201703.0970.011</w:t>
            </w:r>
          </w:p>
        </w:tc>
        <w:tc>
          <w:tcPr>
            <w:tcW w:w="1170" w:type="dxa"/>
          </w:tcPr>
          <w:p w14:paraId="17318B7A" w14:textId="77777777" w:rsidR="00AF59EF" w:rsidRPr="00FF69A2" w:rsidRDefault="00AF59EF" w:rsidP="005C0D42">
            <w:pPr>
              <w:pStyle w:val="NormalSS"/>
              <w:ind w:firstLine="0"/>
              <w:rPr>
                <w:rFonts w:ascii="Arial" w:hAnsi="Arial" w:cs="Arial"/>
                <w:sz w:val="18"/>
                <w:szCs w:val="18"/>
              </w:rPr>
            </w:pPr>
            <w:r w:rsidRPr="00FF69A2">
              <w:rPr>
                <w:rFonts w:ascii="Arial" w:hAnsi="Arial" w:cs="Arial"/>
                <w:sz w:val="18"/>
                <w:szCs w:val="18"/>
              </w:rPr>
              <w:t>$15</w:t>
            </w:r>
          </w:p>
        </w:tc>
        <w:tc>
          <w:tcPr>
            <w:tcW w:w="1440" w:type="dxa"/>
          </w:tcPr>
          <w:p w14:paraId="62C07F97" w14:textId="77777777" w:rsidR="00AF59EF" w:rsidRPr="00FF69A2" w:rsidRDefault="00AF59EF" w:rsidP="005C0D42">
            <w:pPr>
              <w:pStyle w:val="NormalSS"/>
              <w:ind w:firstLine="0"/>
              <w:rPr>
                <w:rFonts w:ascii="Arial" w:hAnsi="Arial" w:cs="Arial"/>
                <w:sz w:val="18"/>
                <w:szCs w:val="18"/>
              </w:rPr>
            </w:pPr>
            <w:r w:rsidRPr="00FF69A2">
              <w:rPr>
                <w:rFonts w:ascii="Arial" w:hAnsi="Arial" w:cs="Arial"/>
                <w:sz w:val="18"/>
                <w:szCs w:val="18"/>
              </w:rPr>
              <w:t>$20</w:t>
            </w:r>
          </w:p>
        </w:tc>
        <w:tc>
          <w:tcPr>
            <w:tcW w:w="1080" w:type="dxa"/>
            <w:shd w:val="clear" w:color="auto" w:fill="BFBFBF"/>
          </w:tcPr>
          <w:p w14:paraId="0DEBAD82" w14:textId="77777777" w:rsidR="00AF59EF" w:rsidRPr="00FF69A2" w:rsidRDefault="00AF59EF" w:rsidP="005C0D42">
            <w:pPr>
              <w:pStyle w:val="NormalSS"/>
              <w:ind w:firstLine="0"/>
              <w:rPr>
                <w:rFonts w:ascii="Arial" w:hAnsi="Arial" w:cs="Arial"/>
                <w:sz w:val="18"/>
                <w:szCs w:val="18"/>
              </w:rPr>
            </w:pPr>
            <w:r>
              <w:rPr>
                <w:rFonts w:ascii="Arial" w:hAnsi="Arial" w:cs="Arial"/>
                <w:sz w:val="18"/>
                <w:szCs w:val="18"/>
              </w:rPr>
              <w:t>NA</w:t>
            </w:r>
          </w:p>
        </w:tc>
        <w:tc>
          <w:tcPr>
            <w:tcW w:w="1440" w:type="dxa"/>
            <w:shd w:val="clear" w:color="auto" w:fill="BFBFBF"/>
          </w:tcPr>
          <w:p w14:paraId="256C0C0D" w14:textId="77777777" w:rsidR="00AF59EF" w:rsidRPr="00FF69A2" w:rsidRDefault="00AF59EF" w:rsidP="005C0D42">
            <w:pPr>
              <w:pStyle w:val="NormalSS"/>
              <w:ind w:firstLine="0"/>
              <w:rPr>
                <w:rFonts w:ascii="Arial" w:hAnsi="Arial" w:cs="Arial"/>
                <w:sz w:val="18"/>
                <w:szCs w:val="18"/>
              </w:rPr>
            </w:pPr>
            <w:r>
              <w:rPr>
                <w:rFonts w:ascii="Arial" w:hAnsi="Arial" w:cs="Arial"/>
                <w:sz w:val="18"/>
                <w:szCs w:val="18"/>
              </w:rPr>
              <w:t>NA</w:t>
            </w:r>
          </w:p>
        </w:tc>
      </w:tr>
      <w:tr w:rsidR="00AF59EF" w:rsidRPr="00FF69A2" w14:paraId="1F67DD2E" w14:textId="77777777" w:rsidTr="005C0D42">
        <w:tc>
          <w:tcPr>
            <w:tcW w:w="2695" w:type="dxa"/>
          </w:tcPr>
          <w:p w14:paraId="38967ADC" w14:textId="77777777" w:rsidR="00AF59EF" w:rsidRPr="00FF69A2" w:rsidRDefault="00AF59EF" w:rsidP="005C0D42">
            <w:pPr>
              <w:pStyle w:val="NormalSS"/>
              <w:ind w:firstLine="0"/>
              <w:rPr>
                <w:rFonts w:ascii="Arial" w:hAnsi="Arial" w:cs="Arial"/>
                <w:sz w:val="18"/>
                <w:szCs w:val="18"/>
              </w:rPr>
            </w:pPr>
            <w:r w:rsidRPr="00FF69A2">
              <w:rPr>
                <w:rFonts w:ascii="Arial" w:hAnsi="Arial" w:cs="Arial"/>
                <w:sz w:val="18"/>
                <w:szCs w:val="18"/>
              </w:rPr>
              <w:t>PPA (0990-0382)</w:t>
            </w:r>
          </w:p>
        </w:tc>
        <w:tc>
          <w:tcPr>
            <w:tcW w:w="1800" w:type="dxa"/>
          </w:tcPr>
          <w:p w14:paraId="7FF42DDF" w14:textId="77777777" w:rsidR="00AF59EF" w:rsidRPr="00FF69A2" w:rsidRDefault="00AF59EF" w:rsidP="005C0D42">
            <w:pPr>
              <w:pStyle w:val="NormalSS"/>
              <w:ind w:firstLine="5"/>
              <w:rPr>
                <w:rFonts w:ascii="Arial" w:hAnsi="Arial" w:cs="Arial"/>
                <w:sz w:val="18"/>
                <w:szCs w:val="18"/>
              </w:rPr>
            </w:pPr>
            <w:r w:rsidRPr="00FF69A2">
              <w:rPr>
                <w:rFonts w:ascii="Arial" w:hAnsi="Arial" w:cs="Arial"/>
                <w:sz w:val="18"/>
                <w:szCs w:val="18"/>
              </w:rPr>
              <w:t>201502.0990.002</w:t>
            </w:r>
          </w:p>
        </w:tc>
        <w:tc>
          <w:tcPr>
            <w:tcW w:w="1170" w:type="dxa"/>
          </w:tcPr>
          <w:p w14:paraId="5590D00D" w14:textId="77777777" w:rsidR="00AF59EF" w:rsidRPr="00FF69A2" w:rsidRDefault="00AF59EF" w:rsidP="005C0D42">
            <w:pPr>
              <w:pStyle w:val="NormalSS"/>
              <w:ind w:firstLine="0"/>
              <w:rPr>
                <w:rFonts w:ascii="Arial" w:hAnsi="Arial" w:cs="Arial"/>
                <w:sz w:val="18"/>
                <w:szCs w:val="18"/>
              </w:rPr>
            </w:pPr>
            <w:r w:rsidRPr="00FF69A2">
              <w:rPr>
                <w:rFonts w:ascii="Arial" w:hAnsi="Arial" w:cs="Arial"/>
                <w:sz w:val="18"/>
                <w:szCs w:val="18"/>
              </w:rPr>
              <w:t>$10</w:t>
            </w:r>
          </w:p>
        </w:tc>
        <w:tc>
          <w:tcPr>
            <w:tcW w:w="1440" w:type="dxa"/>
          </w:tcPr>
          <w:p w14:paraId="2F8A6F4C" w14:textId="77777777" w:rsidR="00AF59EF" w:rsidRPr="00FF69A2" w:rsidRDefault="00AF59EF" w:rsidP="005C0D42">
            <w:pPr>
              <w:pStyle w:val="NormalSS"/>
              <w:ind w:firstLine="0"/>
              <w:rPr>
                <w:rFonts w:ascii="Arial" w:hAnsi="Arial" w:cs="Arial"/>
                <w:sz w:val="18"/>
                <w:szCs w:val="18"/>
              </w:rPr>
            </w:pPr>
            <w:r w:rsidRPr="00FF69A2">
              <w:rPr>
                <w:rFonts w:ascii="Arial" w:hAnsi="Arial" w:cs="Arial"/>
                <w:sz w:val="18"/>
                <w:szCs w:val="18"/>
              </w:rPr>
              <w:t>$25</w:t>
            </w:r>
          </w:p>
        </w:tc>
        <w:tc>
          <w:tcPr>
            <w:tcW w:w="1080" w:type="dxa"/>
          </w:tcPr>
          <w:p w14:paraId="6CDC71A7" w14:textId="77777777" w:rsidR="00AF59EF" w:rsidRPr="00FF69A2" w:rsidRDefault="00AF59EF" w:rsidP="005C0D42">
            <w:pPr>
              <w:pStyle w:val="NormalSS"/>
              <w:ind w:firstLine="0"/>
              <w:rPr>
                <w:rFonts w:ascii="Arial" w:hAnsi="Arial" w:cs="Arial"/>
                <w:sz w:val="18"/>
                <w:szCs w:val="18"/>
              </w:rPr>
            </w:pPr>
            <w:r w:rsidRPr="00FF69A2">
              <w:rPr>
                <w:rFonts w:ascii="Arial" w:hAnsi="Arial" w:cs="Arial"/>
                <w:sz w:val="18"/>
                <w:szCs w:val="18"/>
              </w:rPr>
              <w:t>$10</w:t>
            </w:r>
          </w:p>
        </w:tc>
        <w:tc>
          <w:tcPr>
            <w:tcW w:w="1440" w:type="dxa"/>
          </w:tcPr>
          <w:p w14:paraId="6000F29A" w14:textId="77777777" w:rsidR="00AF59EF" w:rsidRPr="00FF69A2" w:rsidRDefault="00AF59EF" w:rsidP="005C0D42">
            <w:pPr>
              <w:pStyle w:val="NormalSS"/>
              <w:ind w:firstLine="0"/>
              <w:rPr>
                <w:rFonts w:ascii="Arial" w:hAnsi="Arial" w:cs="Arial"/>
                <w:sz w:val="18"/>
                <w:szCs w:val="18"/>
              </w:rPr>
            </w:pPr>
            <w:r w:rsidRPr="00FF69A2">
              <w:rPr>
                <w:rFonts w:ascii="Arial" w:hAnsi="Arial" w:cs="Arial"/>
                <w:sz w:val="18"/>
                <w:szCs w:val="18"/>
              </w:rPr>
              <w:t>$25</w:t>
            </w:r>
          </w:p>
        </w:tc>
      </w:tr>
    </w:tbl>
    <w:p w14:paraId="00CBD8EC" w14:textId="77777777" w:rsidR="00AF59EF" w:rsidRPr="00CB418E" w:rsidRDefault="00AF59EF" w:rsidP="00CB418E">
      <w:pPr>
        <w:pStyle w:val="NormalSS"/>
      </w:pPr>
    </w:p>
    <w:p w14:paraId="38D33BC2" w14:textId="77777777" w:rsidR="009947A3" w:rsidRPr="00910C87" w:rsidRDefault="009947A3" w:rsidP="00051C2A">
      <w:pPr>
        <w:pStyle w:val="NormalSS"/>
      </w:pPr>
    </w:p>
    <w:p w14:paraId="44CBFB6D" w14:textId="00721682" w:rsidR="00EA0424" w:rsidRDefault="00EA0424" w:rsidP="00EA0424">
      <w:pPr>
        <w:tabs>
          <w:tab w:val="clear" w:pos="432"/>
          <w:tab w:val="left" w:pos="630"/>
        </w:tabs>
        <w:spacing w:line="240" w:lineRule="auto"/>
      </w:pPr>
    </w:p>
    <w:p w14:paraId="5F47E2FC" w14:textId="60795166" w:rsidR="00EA0424" w:rsidRDefault="00EA0424" w:rsidP="00EA0424">
      <w:pPr>
        <w:tabs>
          <w:tab w:val="clear" w:pos="432"/>
          <w:tab w:val="left" w:pos="360"/>
        </w:tabs>
        <w:spacing w:line="240" w:lineRule="auto"/>
      </w:pPr>
      <w:r>
        <w:t>In</w:t>
      </w:r>
      <w:r w:rsidRPr="00B91584">
        <w:t xml:space="preserve"> an evaluation such as </w:t>
      </w:r>
      <w:r w:rsidRPr="00B91584">
        <w:rPr>
          <w:i/>
        </w:rPr>
        <w:t xml:space="preserve">Making Proud Choices, </w:t>
      </w:r>
      <w:r w:rsidRPr="00B91584">
        <w:t xml:space="preserve">students completing surveys one – two years after the initial baseline survey are no longer organized in the class groupings </w:t>
      </w:r>
      <w:r>
        <w:t>in</w:t>
      </w:r>
      <w:r w:rsidRPr="00B91584">
        <w:t xml:space="preserve"> which the </w:t>
      </w:r>
      <w:r>
        <w:t xml:space="preserve">study and </w:t>
      </w:r>
      <w:r w:rsidRPr="00B91584">
        <w:t xml:space="preserve">intervention </w:t>
      </w:r>
      <w:r>
        <w:t xml:space="preserve">initially </w:t>
      </w:r>
      <w:r w:rsidRPr="00B91584">
        <w:t xml:space="preserve">took place. Instead, at the time of the follow-up surveys, schools gather students during congregate times, such as lunch, study halls, and advisory periods.  Youth have discretion as to whether they meet with the survey team or not.  </w:t>
      </w:r>
    </w:p>
    <w:p w14:paraId="63DBD0A3" w14:textId="77777777" w:rsidR="00EA0424" w:rsidRPr="00B91584" w:rsidRDefault="00EA0424" w:rsidP="00EA0424">
      <w:pPr>
        <w:spacing w:line="240" w:lineRule="auto"/>
        <w:ind w:left="432" w:firstLine="0"/>
      </w:pPr>
    </w:p>
    <w:p w14:paraId="02DFD70F" w14:textId="77777777" w:rsidR="00EA0424" w:rsidRDefault="00EA0424" w:rsidP="00EA0424">
      <w:pPr>
        <w:tabs>
          <w:tab w:val="clear" w:pos="432"/>
          <w:tab w:val="left" w:pos="450"/>
          <w:tab w:val="left" w:pos="720"/>
        </w:tabs>
        <w:spacing w:line="240" w:lineRule="auto"/>
      </w:pPr>
      <w:r>
        <w:t xml:space="preserve">Since students in school can easily be detracted from attending a follow-up survey session during lunch or study hall, it is important to incentivize them to attend the survey administration and be fully informed about the opportunity to participate. Therefore, we propose to use a small non-monetary incentive to encourage students to attend the survey administration, regardless of whether they then assent to participate.  </w:t>
      </w:r>
    </w:p>
    <w:p w14:paraId="604A05C2" w14:textId="77777777" w:rsidR="00EA0424" w:rsidRDefault="00EA0424" w:rsidP="00EA0424">
      <w:pPr>
        <w:tabs>
          <w:tab w:val="clear" w:pos="432"/>
          <w:tab w:val="left" w:pos="450"/>
          <w:tab w:val="left" w:pos="720"/>
        </w:tabs>
        <w:spacing w:line="240" w:lineRule="auto"/>
      </w:pPr>
    </w:p>
    <w:p w14:paraId="12CBBCDF" w14:textId="1487F4F0" w:rsidR="00EA0424" w:rsidRDefault="00EA0424" w:rsidP="00EA0424">
      <w:pPr>
        <w:tabs>
          <w:tab w:val="clear" w:pos="432"/>
          <w:tab w:val="left" w:pos="450"/>
          <w:tab w:val="left" w:pos="720"/>
        </w:tabs>
        <w:spacing w:line="240" w:lineRule="auto"/>
      </w:pPr>
      <w:r>
        <w:t xml:space="preserve">Mathematica will work with the participating districts and schools to determine a specific non-monetary incentive </w:t>
      </w:r>
      <w:r w:rsidRPr="00A06BB6">
        <w:t>based on what is available to students i</w:t>
      </w:r>
      <w:r>
        <w:t>n these underserved, low-income communities. For example, if pizza is readily available, we will propose to offer a pizza lunch following survey administration. If pizza is not readily available, we could instead offer a voucher for movie tickets if a theater is accessible to the students in the communities in which the study is taking place.  We will work with the schools to identify the most appropriate and accessible activity for a non-monetary incentive. The incentive will be valued at no more than $5 per respondent, which is consistent with the value of the non-monetary incentive OMB approved to provide to students to return the parent permission form at the time of study enrollment.</w:t>
      </w:r>
    </w:p>
    <w:p w14:paraId="468314B8" w14:textId="77777777" w:rsidR="00AE7C1D" w:rsidRDefault="00AE7C1D" w:rsidP="002873E9">
      <w:pPr>
        <w:pStyle w:val="CommentText"/>
        <w:rPr>
          <w:sz w:val="24"/>
          <w:szCs w:val="24"/>
        </w:rPr>
      </w:pPr>
    </w:p>
    <w:p w14:paraId="2AFFBF65" w14:textId="4AB61FB0" w:rsidR="002873E9" w:rsidRDefault="00EA0424" w:rsidP="002873E9">
      <w:pPr>
        <w:pStyle w:val="CommentText"/>
        <w:rPr>
          <w:sz w:val="24"/>
          <w:szCs w:val="24"/>
        </w:rPr>
      </w:pPr>
      <w:r>
        <w:rPr>
          <w:sz w:val="24"/>
          <w:szCs w:val="24"/>
        </w:rPr>
        <w:t xml:space="preserve"> </w:t>
      </w:r>
      <w:r w:rsidR="00AE7C1D" w:rsidRPr="00AE7C1D">
        <w:rPr>
          <w:sz w:val="24"/>
          <w:szCs w:val="24"/>
        </w:rPr>
        <w:t xml:space="preserve">Maintaining high response rates among adolescents who are not available for in-school administration is much more challenging. For example, on the OAH sponsored study of the </w:t>
      </w:r>
      <w:r w:rsidR="00AE7C1D" w:rsidRPr="00AE7C1D">
        <w:rPr>
          <w:i/>
          <w:sz w:val="24"/>
          <w:szCs w:val="24"/>
        </w:rPr>
        <w:t xml:space="preserve">Pregnancy Assistance Fund, </w:t>
      </w:r>
      <w:r w:rsidR="00AE7C1D" w:rsidRPr="00AE7C1D">
        <w:rPr>
          <w:sz w:val="24"/>
          <w:szCs w:val="24"/>
        </w:rPr>
        <w:t xml:space="preserve">where survey respondents are not available for in-school administration, 85 percent response rates are only achieved after the use of $25 gift cards (OMB approval 0990-0424). </w:t>
      </w:r>
      <w:r w:rsidR="00AE7C1D">
        <w:rPr>
          <w:sz w:val="24"/>
          <w:szCs w:val="24"/>
        </w:rPr>
        <w:t>For the</w:t>
      </w:r>
      <w:r w:rsidR="00AE7C1D" w:rsidRPr="00AE7C1D">
        <w:rPr>
          <w:sz w:val="24"/>
          <w:szCs w:val="24"/>
        </w:rPr>
        <w:t xml:space="preserve"> </w:t>
      </w:r>
      <w:r w:rsidR="00AE7C1D" w:rsidRPr="00AE7C1D">
        <w:rPr>
          <w:i/>
          <w:sz w:val="24"/>
          <w:szCs w:val="24"/>
        </w:rPr>
        <w:t>Making Proud Choices</w:t>
      </w:r>
      <w:r w:rsidR="00AE7C1D">
        <w:rPr>
          <w:sz w:val="24"/>
          <w:szCs w:val="24"/>
        </w:rPr>
        <w:t xml:space="preserve"> study we estimate that </w:t>
      </w:r>
      <w:r w:rsidR="00AE7C1D" w:rsidRPr="00AE7C1D">
        <w:rPr>
          <w:sz w:val="24"/>
          <w:szCs w:val="24"/>
        </w:rPr>
        <w:t xml:space="preserve">up to 30 percent of our sample may be responding to the survey out of school time.  For those students we are unable to reach in school either because they have moved or are chronically absent, the youth must put added time and effort in outside of the school day to complete the survey.  </w:t>
      </w:r>
    </w:p>
    <w:p w14:paraId="32E1E754" w14:textId="77777777" w:rsidR="002873E9" w:rsidRPr="005C5E66" w:rsidRDefault="002873E9" w:rsidP="002873E9">
      <w:pPr>
        <w:pStyle w:val="CommentText"/>
        <w:rPr>
          <w:sz w:val="24"/>
          <w:szCs w:val="24"/>
        </w:rPr>
      </w:pPr>
    </w:p>
    <w:p w14:paraId="6608EEEB" w14:textId="72A8203F" w:rsidR="00FF69A2" w:rsidRDefault="00051C2A" w:rsidP="00051C2A">
      <w:pPr>
        <w:pStyle w:val="NormalSS"/>
      </w:pPr>
      <w:r>
        <w:t xml:space="preserve">For </w:t>
      </w:r>
      <w:r w:rsidR="00B37F23">
        <w:t>tho</w:t>
      </w:r>
      <w:r w:rsidR="00FF69A2">
        <w:t xml:space="preserve">se </w:t>
      </w:r>
      <w:r>
        <w:t xml:space="preserve">participants who complete the survey </w:t>
      </w:r>
      <w:r w:rsidR="00FF69A2">
        <w:t>outside of school</w:t>
      </w:r>
      <w:r w:rsidR="00734265">
        <w:t>,</w:t>
      </w:r>
      <w:r>
        <w:t xml:space="preserve"> either because group administration is not feasible or they are not able to attend a group administration, a $</w:t>
      </w:r>
      <w:r w:rsidR="00FF69A2">
        <w:t xml:space="preserve">10 </w:t>
      </w:r>
      <w:r>
        <w:t xml:space="preserve">gift card will be provided </w:t>
      </w:r>
      <w:r w:rsidR="00B37F23">
        <w:t>for</w:t>
      </w:r>
      <w:r>
        <w:t xml:space="preserve"> completing the first follow-up survey and a $</w:t>
      </w:r>
      <w:r w:rsidR="00FF69A2">
        <w:t xml:space="preserve">15 </w:t>
      </w:r>
      <w:r>
        <w:t xml:space="preserve">gift card will be provided to participants completing the second follow-up survey. </w:t>
      </w:r>
      <w:r w:rsidR="00FF69A2" w:rsidRPr="00FF69A2">
        <w:t>Compared to first follow-up surveys, slightly larger gifts are offered to respondents for the second follow-up surveys for both group and phone administration in order to ensure high response rates. Attrition from surveys tends to increase over time due to mobility of participants and study fatigue. Higher incentives are needed to continue to ensure participant responses. The typically lower response rates for second follow-ups increase the value of each response, making slightly higher incentives cost-effective.</w:t>
      </w:r>
      <w:r w:rsidR="0019417E">
        <w:t xml:space="preserve"> </w:t>
      </w:r>
    </w:p>
    <w:p w14:paraId="42D94B05" w14:textId="502CD68F" w:rsidR="003B642C" w:rsidRDefault="003B642C" w:rsidP="00051C2A">
      <w:pPr>
        <w:pStyle w:val="NormalSS"/>
      </w:pPr>
    </w:p>
    <w:p w14:paraId="251FCAB9" w14:textId="083B2CDA" w:rsidR="003B642C" w:rsidRDefault="003B642C" w:rsidP="00051C2A">
      <w:pPr>
        <w:pStyle w:val="NormalSS"/>
      </w:pPr>
      <w:r w:rsidRPr="003B642C">
        <w:t>Table A9.2 summarizes the non-monetary and gift cards to be provided to participants for the follow-up survey data collection, based on where the survey will be administered.</w:t>
      </w:r>
    </w:p>
    <w:p w14:paraId="61344F0E" w14:textId="77777777" w:rsidR="007A5032" w:rsidRDefault="007A5032" w:rsidP="00051C2A">
      <w:pPr>
        <w:pStyle w:val="NormalSS"/>
      </w:pPr>
    </w:p>
    <w:p w14:paraId="2EC9BE34" w14:textId="77777777" w:rsidR="007A5032" w:rsidRDefault="007A5032" w:rsidP="00051C2A">
      <w:pPr>
        <w:pStyle w:val="NormalSS"/>
      </w:pPr>
    </w:p>
    <w:p w14:paraId="77FECFA6" w14:textId="633001F7" w:rsidR="00051C2A" w:rsidRPr="00E77579" w:rsidRDefault="00051C2A" w:rsidP="00051C2A">
      <w:pPr>
        <w:pStyle w:val="MarkforTableHeading"/>
      </w:pPr>
      <w:bookmarkStart w:id="85" w:name="_Toc315954628"/>
      <w:bookmarkStart w:id="86" w:name="_Toc315955851"/>
      <w:bookmarkStart w:id="87" w:name="_Toc315955941"/>
      <w:bookmarkStart w:id="88" w:name="_Toc315956156"/>
      <w:bookmarkStart w:id="89" w:name="_Toc316049882"/>
      <w:bookmarkStart w:id="90" w:name="_Toc316394554"/>
      <w:bookmarkStart w:id="91" w:name="_Toc352243220"/>
      <w:bookmarkStart w:id="92" w:name="_Toc353437665"/>
      <w:bookmarkStart w:id="93" w:name="_Toc353957468"/>
      <w:bookmarkStart w:id="94" w:name="_Toc355597304"/>
      <w:bookmarkStart w:id="95" w:name="_Toc355772799"/>
      <w:bookmarkStart w:id="96" w:name="_Toc355783088"/>
      <w:bookmarkStart w:id="97" w:name="_Toc355783351"/>
      <w:bookmarkStart w:id="98" w:name="_Toc477900658"/>
      <w:r w:rsidRPr="00E9441A">
        <w:t>Table A9.</w:t>
      </w:r>
      <w:r w:rsidR="00FF69A2">
        <w:t>2</w:t>
      </w:r>
      <w:r w:rsidR="00D81AB4">
        <w:t xml:space="preserve">. Thank You </w:t>
      </w:r>
      <w:r w:rsidR="00A87ABD">
        <w:t xml:space="preserve">Payments </w:t>
      </w:r>
      <w:r>
        <w:t xml:space="preserve">for </w:t>
      </w:r>
      <w:r w:rsidR="0058439F">
        <w:t>the Follo</w:t>
      </w:r>
      <w:r w:rsidR="00AB12E1">
        <w:t>w</w:t>
      </w:r>
      <w:r w:rsidR="0058439F">
        <w:t>-up</w:t>
      </w:r>
      <w:r w:rsidRPr="00E77579">
        <w:t xml:space="preserve"> Data Collection</w:t>
      </w:r>
      <w:bookmarkEnd w:id="85"/>
      <w:bookmarkEnd w:id="86"/>
      <w:bookmarkEnd w:id="87"/>
      <w:bookmarkEnd w:id="88"/>
      <w:bookmarkEnd w:id="89"/>
      <w:bookmarkEnd w:id="90"/>
      <w:r>
        <w:t>s</w:t>
      </w:r>
      <w:bookmarkEnd w:id="91"/>
      <w:bookmarkEnd w:id="92"/>
      <w:bookmarkEnd w:id="93"/>
      <w:bookmarkEnd w:id="94"/>
      <w:bookmarkEnd w:id="95"/>
      <w:bookmarkEnd w:id="96"/>
      <w:bookmarkEnd w:id="97"/>
      <w:bookmarkEnd w:id="98"/>
    </w:p>
    <w:tbl>
      <w:tblPr>
        <w:tblStyle w:val="SMPRTableBlack"/>
        <w:tblW w:w="5000" w:type="pct"/>
        <w:tblInd w:w="0" w:type="dxa"/>
        <w:tblLook w:val="04A0" w:firstRow="1" w:lastRow="0" w:firstColumn="1" w:lastColumn="0" w:noHBand="0" w:noVBand="1"/>
      </w:tblPr>
      <w:tblGrid>
        <w:gridCol w:w="2570"/>
        <w:gridCol w:w="2199"/>
        <w:gridCol w:w="2352"/>
        <w:gridCol w:w="2455"/>
      </w:tblGrid>
      <w:tr w:rsidR="00051C2A" w14:paraId="47E979A1" w14:textId="77777777" w:rsidTr="004A6429">
        <w:trPr>
          <w:cnfStyle w:val="100000000000" w:firstRow="1" w:lastRow="0" w:firstColumn="0" w:lastColumn="0" w:oddVBand="0" w:evenVBand="0" w:oddHBand="0" w:evenHBand="0" w:firstRowFirstColumn="0" w:firstRowLastColumn="0" w:lastRowFirstColumn="0" w:lastRowLastColumn="0"/>
        </w:trPr>
        <w:tc>
          <w:tcPr>
            <w:tcW w:w="1342" w:type="pct"/>
            <w:tcBorders>
              <w:top w:val="nil"/>
              <w:bottom w:val="single" w:sz="4" w:space="0" w:color="auto"/>
            </w:tcBorders>
            <w:shd w:val="clear" w:color="auto" w:fill="6C6F70"/>
          </w:tcPr>
          <w:p w14:paraId="0571147C" w14:textId="77777777" w:rsidR="00051C2A" w:rsidRPr="007703E5" w:rsidRDefault="00051C2A" w:rsidP="004A6429">
            <w:pPr>
              <w:pStyle w:val="TableHeaderLeft"/>
            </w:pPr>
            <w:r w:rsidRPr="007703E5">
              <w:t>Type of Administration</w:t>
            </w:r>
          </w:p>
        </w:tc>
        <w:tc>
          <w:tcPr>
            <w:tcW w:w="1148" w:type="pct"/>
            <w:tcBorders>
              <w:top w:val="nil"/>
              <w:bottom w:val="single" w:sz="4" w:space="0" w:color="auto"/>
            </w:tcBorders>
            <w:shd w:val="clear" w:color="auto" w:fill="6C6F70"/>
          </w:tcPr>
          <w:p w14:paraId="5E2B9237" w14:textId="77777777" w:rsidR="00051C2A" w:rsidRPr="007703E5" w:rsidRDefault="00051C2A" w:rsidP="004A6429">
            <w:pPr>
              <w:pStyle w:val="TableHeaderCenter"/>
            </w:pPr>
            <w:r w:rsidRPr="007703E5">
              <w:t>Length of Activity(minutes)</w:t>
            </w:r>
          </w:p>
        </w:tc>
        <w:tc>
          <w:tcPr>
            <w:tcW w:w="1228" w:type="pct"/>
            <w:tcBorders>
              <w:top w:val="nil"/>
              <w:bottom w:val="single" w:sz="4" w:space="0" w:color="auto"/>
            </w:tcBorders>
            <w:shd w:val="clear" w:color="auto" w:fill="6C6F70"/>
          </w:tcPr>
          <w:p w14:paraId="48953886" w14:textId="77777777" w:rsidR="00051C2A" w:rsidRPr="007703E5" w:rsidRDefault="00051C2A" w:rsidP="004A6429">
            <w:pPr>
              <w:pStyle w:val="TableHeaderCenter"/>
            </w:pPr>
            <w:r w:rsidRPr="007703E5">
              <w:t>First Follow-up</w:t>
            </w:r>
          </w:p>
        </w:tc>
        <w:tc>
          <w:tcPr>
            <w:tcW w:w="1282" w:type="pct"/>
            <w:tcBorders>
              <w:top w:val="nil"/>
              <w:bottom w:val="single" w:sz="4" w:space="0" w:color="auto"/>
            </w:tcBorders>
            <w:shd w:val="clear" w:color="auto" w:fill="6C6F70"/>
          </w:tcPr>
          <w:p w14:paraId="1FA63FC7" w14:textId="77777777" w:rsidR="00051C2A" w:rsidRPr="007703E5" w:rsidRDefault="00051C2A" w:rsidP="004A6429">
            <w:pPr>
              <w:pStyle w:val="TableHeaderCenter"/>
            </w:pPr>
            <w:r w:rsidRPr="007703E5">
              <w:t>Second Follow-up</w:t>
            </w:r>
          </w:p>
        </w:tc>
      </w:tr>
      <w:tr w:rsidR="00051C2A" w14:paraId="36296D55" w14:textId="77777777" w:rsidTr="004A6429">
        <w:tc>
          <w:tcPr>
            <w:tcW w:w="1342" w:type="pct"/>
            <w:tcBorders>
              <w:top w:val="single" w:sz="4" w:space="0" w:color="auto"/>
            </w:tcBorders>
          </w:tcPr>
          <w:p w14:paraId="62EBE223" w14:textId="189325EF" w:rsidR="00051C2A" w:rsidRPr="00E03E1D" w:rsidRDefault="00051C2A" w:rsidP="00051C2A">
            <w:pPr>
              <w:pStyle w:val="TableText"/>
              <w:spacing w:before="60" w:after="60"/>
            </w:pPr>
            <w:r>
              <w:t>Group Administration</w:t>
            </w:r>
            <w:r w:rsidRPr="00CA0979">
              <w:t xml:space="preserve"> </w:t>
            </w:r>
            <w:r w:rsidR="00C570F8">
              <w:t>(In-school)</w:t>
            </w:r>
          </w:p>
        </w:tc>
        <w:tc>
          <w:tcPr>
            <w:tcW w:w="1148" w:type="pct"/>
            <w:tcBorders>
              <w:top w:val="single" w:sz="4" w:space="0" w:color="auto"/>
            </w:tcBorders>
          </w:tcPr>
          <w:p w14:paraId="0E4F51F4" w14:textId="2D78E41E" w:rsidR="00051C2A" w:rsidRDefault="00823A24" w:rsidP="00051C2A">
            <w:pPr>
              <w:pStyle w:val="TableText"/>
              <w:spacing w:before="60" w:after="60"/>
              <w:ind w:left="492"/>
            </w:pPr>
            <w:r>
              <w:t>30</w:t>
            </w:r>
            <w:r w:rsidR="00051C2A">
              <w:t xml:space="preserve"> minutes</w:t>
            </w:r>
          </w:p>
        </w:tc>
        <w:tc>
          <w:tcPr>
            <w:tcW w:w="1228" w:type="pct"/>
            <w:tcBorders>
              <w:top w:val="single" w:sz="4" w:space="0" w:color="auto"/>
            </w:tcBorders>
          </w:tcPr>
          <w:p w14:paraId="1407AD13" w14:textId="5FED2E34" w:rsidR="00051C2A" w:rsidRPr="00E03E1D" w:rsidRDefault="00C570F8" w:rsidP="00051C2A">
            <w:pPr>
              <w:pStyle w:val="TableText"/>
              <w:spacing w:before="60" w:after="60"/>
              <w:ind w:left="492"/>
            </w:pPr>
            <w:r>
              <w:t>Non-monetary incentive valued at $5</w:t>
            </w:r>
            <w:r w:rsidR="00051C2A" w:rsidRPr="00E03E1D">
              <w:t xml:space="preserve"> </w:t>
            </w:r>
          </w:p>
        </w:tc>
        <w:tc>
          <w:tcPr>
            <w:tcW w:w="1282" w:type="pct"/>
            <w:tcBorders>
              <w:top w:val="single" w:sz="4" w:space="0" w:color="auto"/>
            </w:tcBorders>
          </w:tcPr>
          <w:p w14:paraId="0587648F" w14:textId="420134A8" w:rsidR="00051C2A" w:rsidRPr="00E03E1D" w:rsidRDefault="00C570F8" w:rsidP="00051C2A">
            <w:pPr>
              <w:pStyle w:val="TableText"/>
              <w:spacing w:before="60" w:after="60"/>
              <w:ind w:left="492"/>
            </w:pPr>
            <w:r w:rsidRPr="00C570F8">
              <w:t>Non-monetary incentive valued at $5</w:t>
            </w:r>
          </w:p>
        </w:tc>
      </w:tr>
      <w:tr w:rsidR="00051C2A" w14:paraId="5431E6E9" w14:textId="77777777" w:rsidTr="004A6429">
        <w:tc>
          <w:tcPr>
            <w:tcW w:w="1342" w:type="pct"/>
          </w:tcPr>
          <w:p w14:paraId="6E54363C" w14:textId="434DDAFC" w:rsidR="00051C2A" w:rsidRPr="00E03E1D" w:rsidRDefault="00CB418E" w:rsidP="00051C2A">
            <w:pPr>
              <w:pStyle w:val="TableText"/>
              <w:spacing w:before="60" w:after="60"/>
            </w:pPr>
            <w:r>
              <w:t xml:space="preserve">Individual </w:t>
            </w:r>
            <w:r w:rsidR="00051C2A">
              <w:t>Administration</w:t>
            </w:r>
            <w:r w:rsidR="00C570F8">
              <w:t xml:space="preserve"> (Out of school)</w:t>
            </w:r>
          </w:p>
        </w:tc>
        <w:tc>
          <w:tcPr>
            <w:tcW w:w="1148" w:type="pct"/>
          </w:tcPr>
          <w:p w14:paraId="2FB18C44" w14:textId="11D420E7" w:rsidR="00051C2A" w:rsidRPr="00E03E1D" w:rsidRDefault="00823A24" w:rsidP="00051C2A">
            <w:pPr>
              <w:pStyle w:val="TableText"/>
              <w:spacing w:before="60" w:after="60"/>
              <w:ind w:left="492"/>
            </w:pPr>
            <w:r>
              <w:t>30</w:t>
            </w:r>
            <w:r w:rsidR="00051C2A">
              <w:t xml:space="preserve"> minutes</w:t>
            </w:r>
          </w:p>
        </w:tc>
        <w:tc>
          <w:tcPr>
            <w:tcW w:w="1228" w:type="pct"/>
          </w:tcPr>
          <w:p w14:paraId="495ED8E8" w14:textId="1CD6DA1A" w:rsidR="00051C2A" w:rsidRPr="00E03E1D" w:rsidRDefault="00051C2A" w:rsidP="00C570F8">
            <w:pPr>
              <w:pStyle w:val="TableText"/>
              <w:spacing w:before="60" w:after="60"/>
              <w:ind w:left="492"/>
            </w:pPr>
            <w:r w:rsidRPr="00E03E1D">
              <w:t>$</w:t>
            </w:r>
            <w:r w:rsidR="00C570F8">
              <w:t xml:space="preserve">10 </w:t>
            </w:r>
            <w:r>
              <w:t>gift card</w:t>
            </w:r>
            <w:r w:rsidRPr="00E03E1D">
              <w:t xml:space="preserve"> </w:t>
            </w:r>
          </w:p>
        </w:tc>
        <w:tc>
          <w:tcPr>
            <w:tcW w:w="1282" w:type="pct"/>
          </w:tcPr>
          <w:p w14:paraId="56B40BB4" w14:textId="7979E824" w:rsidR="00051C2A" w:rsidRPr="00E03E1D" w:rsidRDefault="00051C2A" w:rsidP="00C570F8">
            <w:pPr>
              <w:pStyle w:val="TableText"/>
              <w:spacing w:before="60" w:after="60"/>
              <w:ind w:left="492"/>
            </w:pPr>
            <w:r w:rsidRPr="00E03E1D">
              <w:t>$</w:t>
            </w:r>
            <w:r w:rsidR="00C570F8">
              <w:t xml:space="preserve">15 </w:t>
            </w:r>
            <w:r>
              <w:t>gift card</w:t>
            </w:r>
          </w:p>
        </w:tc>
      </w:tr>
    </w:tbl>
    <w:p w14:paraId="4E86B906" w14:textId="77777777" w:rsidR="00051C2A" w:rsidRDefault="00051C2A" w:rsidP="004A6429"/>
    <w:p w14:paraId="1829C7DF" w14:textId="77777777" w:rsidR="00436B9F" w:rsidRPr="00892A0D" w:rsidRDefault="00436B9F" w:rsidP="00436B9F">
      <w:pPr>
        <w:pStyle w:val="Heading2Black"/>
      </w:pPr>
      <w:bookmarkStart w:id="99" w:name="_Toc477900640"/>
      <w:r w:rsidRPr="00892A0D">
        <w:t>A.10.</w:t>
      </w:r>
      <w:r w:rsidRPr="00892A0D">
        <w:tab/>
        <w:t>Assurance of Confidentiality</w:t>
      </w:r>
      <w:bookmarkEnd w:id="82"/>
      <w:bookmarkEnd w:id="83"/>
      <w:bookmarkEnd w:id="84"/>
      <w:bookmarkEnd w:id="99"/>
      <w:r>
        <w:t xml:space="preserve"> </w:t>
      </w:r>
    </w:p>
    <w:p w14:paraId="7DC3F7BE" w14:textId="1F743DFC" w:rsidR="0058439F" w:rsidRDefault="004F1E8E" w:rsidP="00436B9F">
      <w:pPr>
        <w:pStyle w:val="NormalSS"/>
      </w:pPr>
      <w:r>
        <w:t xml:space="preserve">Mathematica </w:t>
      </w:r>
      <w:r w:rsidR="0058439F" w:rsidRPr="003A70A1">
        <w:t xml:space="preserve">will be responsible for </w:t>
      </w:r>
      <w:r>
        <w:t>Institutional Review Board (</w:t>
      </w:r>
      <w:r w:rsidR="0058439F">
        <w:t>IRB</w:t>
      </w:r>
      <w:r>
        <w:t>)</w:t>
      </w:r>
      <w:r w:rsidR="0058439F">
        <w:t xml:space="preserve"> approval for</w:t>
      </w:r>
      <w:r w:rsidR="005733FF">
        <w:t xml:space="preserve"> all data collection activities and </w:t>
      </w:r>
      <w:r w:rsidR="0058439F" w:rsidRPr="003A70A1">
        <w:t>any additional local IRB</w:t>
      </w:r>
      <w:r w:rsidR="000F7DDC">
        <w:t xml:space="preserve"> or Research Review Board (RRB)</w:t>
      </w:r>
      <w:r w:rsidR="0058439F" w:rsidRPr="003A70A1">
        <w:t xml:space="preserve"> approvals for each </w:t>
      </w:r>
      <w:r w:rsidR="005733FF">
        <w:t>school district</w:t>
      </w:r>
      <w:r w:rsidR="0058439F" w:rsidRPr="003A70A1">
        <w:t xml:space="preserve"> prior to information collection</w:t>
      </w:r>
      <w:r w:rsidR="0058439F">
        <w:t xml:space="preserve"> and for other data collection instruments</w:t>
      </w:r>
      <w:r w:rsidR="0058439F" w:rsidRPr="003A70A1">
        <w:t>, as necessary.</w:t>
      </w:r>
      <w:r w:rsidR="0058439F">
        <w:t xml:space="preserve"> </w:t>
      </w:r>
      <w:r w:rsidR="00C73B43">
        <w:t xml:space="preserve">We have IRB approval from New England IRB, dated January </w:t>
      </w:r>
      <w:r w:rsidR="005A6F75">
        <w:t>12</w:t>
      </w:r>
      <w:r w:rsidR="00C73B43">
        <w:t>, 2017</w:t>
      </w:r>
      <w:r w:rsidR="002873E9">
        <w:t xml:space="preserve"> for the protocol and February 3, 2017 for consent forms</w:t>
      </w:r>
      <w:r w:rsidR="00C73B43">
        <w:t xml:space="preserve">, for </w:t>
      </w:r>
      <w:r w:rsidR="005A6F75">
        <w:t xml:space="preserve">all data collection and implementation study activities </w:t>
      </w:r>
      <w:r w:rsidR="00DB3B5B">
        <w:t>(including the follow-up</w:t>
      </w:r>
      <w:r>
        <w:t xml:space="preserve"> data collection</w:t>
      </w:r>
      <w:r w:rsidR="00DB3B5B">
        <w:t xml:space="preserve">), </w:t>
      </w:r>
      <w:r w:rsidR="005A6F75">
        <w:t xml:space="preserve">and </w:t>
      </w:r>
      <w:r w:rsidR="00C73B43">
        <w:t xml:space="preserve">the baseline data collection and implementation study </w:t>
      </w:r>
      <w:r w:rsidR="005A6F75" w:rsidRPr="00012AF9">
        <w:t>instruments</w:t>
      </w:r>
      <w:r w:rsidR="00C73B43">
        <w:t xml:space="preserve">. </w:t>
      </w:r>
      <w:r w:rsidR="00F73C13">
        <w:t xml:space="preserve">IRB approval for all follow-up survey </w:t>
      </w:r>
      <w:r w:rsidR="005A6F75">
        <w:t>instruments</w:t>
      </w:r>
      <w:r w:rsidR="00F73C13">
        <w:t xml:space="preserve"> will be acquired </w:t>
      </w:r>
      <w:r w:rsidR="00DB3B5B">
        <w:t xml:space="preserve">following OMB approval and </w:t>
      </w:r>
      <w:r w:rsidR="00F73C13">
        <w:t xml:space="preserve">prior to the start of data collection. </w:t>
      </w:r>
      <w:r w:rsidR="0077184B" w:rsidRPr="0077184B">
        <w:t>We expect to work with three school districts for this study. The first district, Mobile County Public Schools, has agreed to participate in the first cohort, which will beg</w:t>
      </w:r>
      <w:r w:rsidR="00775024">
        <w:t xml:space="preserve">in enrolling in February 2017. </w:t>
      </w:r>
      <w:r w:rsidR="0077184B" w:rsidRPr="0077184B">
        <w:t>Mobile County Public Schools does not have a loca</w:t>
      </w:r>
      <w:r w:rsidR="00775024">
        <w:t xml:space="preserve">l department of education IRB. </w:t>
      </w:r>
      <w:r w:rsidR="0077184B" w:rsidRPr="0077184B">
        <w:t xml:space="preserve">If additional districts recruited for the study do have a local IRB or </w:t>
      </w:r>
      <w:r w:rsidR="00012AF9">
        <w:t>RRB</w:t>
      </w:r>
      <w:r w:rsidR="0077184B" w:rsidRPr="0077184B">
        <w:t>, will follow all protocols for approval.</w:t>
      </w:r>
    </w:p>
    <w:p w14:paraId="2E1D81CE" w14:textId="13DFC028" w:rsidR="00B4379B" w:rsidRDefault="00012AF9" w:rsidP="00B4379B">
      <w:pPr>
        <w:pStyle w:val="NormalSS"/>
      </w:pPr>
      <w:r>
        <w:t xml:space="preserve">Before </w:t>
      </w:r>
      <w:r w:rsidR="00436B9F">
        <w:t xml:space="preserve">collecting </w:t>
      </w:r>
      <w:r w:rsidR="00DB3B5B">
        <w:t xml:space="preserve">any </w:t>
      </w:r>
      <w:r w:rsidR="00436B9F">
        <w:t xml:space="preserve">data, Mathematica </w:t>
      </w:r>
      <w:r w:rsidR="00436B9F" w:rsidRPr="005C5DF4">
        <w:t xml:space="preserve">will seek </w:t>
      </w:r>
      <w:r w:rsidR="00436B9F">
        <w:t xml:space="preserve">active </w:t>
      </w:r>
      <w:r w:rsidR="00436B9F" w:rsidRPr="005C5DF4">
        <w:t xml:space="preserve">consent from a parent or legal guardian. The consent form will explain the </w:t>
      </w:r>
      <w:r w:rsidR="00436B9F">
        <w:t xml:space="preserve">purpose of the study, the </w:t>
      </w:r>
      <w:r w:rsidR="00436B9F" w:rsidRPr="005C5DF4">
        <w:t xml:space="preserve">data being collected and </w:t>
      </w:r>
      <w:r>
        <w:t xml:space="preserve">the way the data will be used. </w:t>
      </w:r>
      <w:r w:rsidR="009274E4">
        <w:t xml:space="preserve">As with the baseline survey, prior to the administration of each </w:t>
      </w:r>
      <w:r w:rsidR="00E04EAF">
        <w:t>follow-up survey</w:t>
      </w:r>
      <w:r w:rsidR="005733FF" w:rsidRPr="005733FF">
        <w:t xml:space="preserve"> the evaluation team will seek assent from </w:t>
      </w:r>
      <w:r w:rsidR="00C314D6">
        <w:t>youth with parental consent</w:t>
      </w:r>
      <w:r w:rsidR="009274E4">
        <w:t>.</w:t>
      </w:r>
      <w:r w:rsidR="00823A24">
        <w:rPr>
          <w:rStyle w:val="FootnoteReference"/>
        </w:rPr>
        <w:footnoteReference w:id="12"/>
      </w:r>
      <w:r w:rsidR="005733FF" w:rsidRPr="005733FF">
        <w:t xml:space="preserve"> The assent form state</w:t>
      </w:r>
      <w:r w:rsidR="004E2265">
        <w:t>s</w:t>
      </w:r>
      <w:r w:rsidR="005733FF" w:rsidRPr="005733FF">
        <w:t xml:space="preserve"> that </w:t>
      </w:r>
      <w:r>
        <w:t xml:space="preserve">(1) </w:t>
      </w:r>
      <w:r w:rsidR="005733FF" w:rsidRPr="005733FF">
        <w:t xml:space="preserve">answers will be kept private and </w:t>
      </w:r>
      <w:r>
        <w:t xml:space="preserve">will </w:t>
      </w:r>
      <w:r w:rsidR="005733FF" w:rsidRPr="005733FF">
        <w:t xml:space="preserve">not </w:t>
      </w:r>
      <w:r>
        <w:t xml:space="preserve">be seen by anyone outside </w:t>
      </w:r>
      <w:r w:rsidR="005733FF" w:rsidRPr="005733FF">
        <w:t xml:space="preserve">the study team, </w:t>
      </w:r>
      <w:r>
        <w:t xml:space="preserve">(2) </w:t>
      </w:r>
      <w:r w:rsidR="005733FF" w:rsidRPr="005733FF">
        <w:t xml:space="preserve">participation is voluntary, and </w:t>
      </w:r>
      <w:r>
        <w:t xml:space="preserve">(3) </w:t>
      </w:r>
      <w:r w:rsidR="004E2265">
        <w:t xml:space="preserve">youth </w:t>
      </w:r>
      <w:r w:rsidR="005733FF" w:rsidRPr="005733FF">
        <w:t xml:space="preserve">may refuse to participate at any time without penalty. Participants will be told that, to the extent allowable by law, individual identifying information will not be released or published; rather, </w:t>
      </w:r>
      <w:r w:rsidR="004E2265">
        <w:t xml:space="preserve">results </w:t>
      </w:r>
      <w:r w:rsidR="005733FF" w:rsidRPr="005733FF">
        <w:t xml:space="preserve">will be published only in summary form with no identifying information at the individual level. </w:t>
      </w:r>
      <w:r w:rsidR="00436B9F">
        <w:t xml:space="preserve">In addition, our protocol during the self-administration of the web instrument </w:t>
      </w:r>
      <w:r w:rsidR="005733FF">
        <w:t xml:space="preserve">and CATI interviews </w:t>
      </w:r>
      <w:r w:rsidR="00436B9F">
        <w:t xml:space="preserve">will provide reassurance that we take the issue of privacy seriously. It will be made clear to respondents that identifying information will be kept separate from questionnaires. To access the web survey application, each questionnaire will require a unique </w:t>
      </w:r>
      <w:r w:rsidR="004E419A">
        <w:t>login</w:t>
      </w:r>
      <w:r w:rsidR="00433E61">
        <w:t xml:space="preserve">, and respondents will have to enter </w:t>
      </w:r>
      <w:r w:rsidR="004E419A">
        <w:t xml:space="preserve">a verification code, such as their </w:t>
      </w:r>
      <w:r w:rsidR="00DB3B5B">
        <w:t>date of birth</w:t>
      </w:r>
      <w:r w:rsidR="004E419A">
        <w:t>, to begin the survey</w:t>
      </w:r>
      <w:r w:rsidR="00436B9F">
        <w:t>; this will prevent unauthorized users from accessing the web application. Any personally identifiable information will be stored in secure files, separate from survey and other individual-level data. Field staff will collect the smartphones used for survey administration at the end of the survey and will be trained to keep the devices in a secure location at all times.</w:t>
      </w:r>
      <w:r w:rsidR="00C314D6" w:rsidRPr="00C314D6">
        <w:t xml:space="preserve"> </w:t>
      </w:r>
      <w:r w:rsidR="00C314D6" w:rsidRPr="0060400E">
        <w:t xml:space="preserve">All field staff </w:t>
      </w:r>
      <w:r w:rsidR="00C314D6">
        <w:t xml:space="preserve">and phone interviewers </w:t>
      </w:r>
      <w:r w:rsidR="00C314D6" w:rsidRPr="0060400E">
        <w:t xml:space="preserve">are required to sign a </w:t>
      </w:r>
      <w:r w:rsidR="00C314D6" w:rsidRPr="00804D1C">
        <w:t>confidentiality pledge when hired by Mathematica</w:t>
      </w:r>
      <w:r w:rsidR="00433E61">
        <w:t xml:space="preserve"> (Attachment </w:t>
      </w:r>
      <w:r w:rsidR="00D02D6E">
        <w:t>D</w:t>
      </w:r>
      <w:r w:rsidR="00433E61">
        <w:t>)</w:t>
      </w:r>
      <w:r w:rsidR="00C314D6" w:rsidRPr="00804D1C">
        <w:t>.</w:t>
      </w:r>
      <w:r w:rsidR="00775024">
        <w:t xml:space="preserve"> </w:t>
      </w:r>
      <w:r w:rsidR="00B55C8A">
        <w:t xml:space="preserve">If there is an internet outage at the school on the day of </w:t>
      </w:r>
      <w:r w:rsidR="005C5A22">
        <w:t xml:space="preserve">the </w:t>
      </w:r>
      <w:r w:rsidR="00B55C8A">
        <w:t>survey, field staff will facilitate a self-administered pencil and paper instrument (PAPI).</w:t>
      </w:r>
      <w:r w:rsidR="00B4379B">
        <w:t xml:space="preserve"> </w:t>
      </w:r>
      <w:r w:rsidR="00B55C8A">
        <w:t>In those instances, t</w:t>
      </w:r>
      <w:r w:rsidR="00B4379B" w:rsidRPr="00F15D3A">
        <w:t xml:space="preserve">he questionnaire and </w:t>
      </w:r>
      <w:r w:rsidR="00B4379B">
        <w:t xml:space="preserve">outer packet </w:t>
      </w:r>
      <w:r w:rsidR="00B4379B" w:rsidRPr="00F15D3A">
        <w:t xml:space="preserve">envelope will have a label with a unique ID number; no identifying information will appear on the questionnaire or return envelope. </w:t>
      </w:r>
      <w:r w:rsidR="00B03C07">
        <w:t xml:space="preserve">The hard copy instrument has three parts (Part A, Part B1, and Part B2) that mirror the web programming, to avoid asking youth who are not sexually experienced detailed questions about their sexual activities. </w:t>
      </w:r>
      <w:r w:rsidR="00B03C07" w:rsidRPr="00D7028D">
        <w:t xml:space="preserve">Part A </w:t>
      </w:r>
      <w:r w:rsidR="00B03C07">
        <w:t xml:space="preserve">survey </w:t>
      </w:r>
      <w:r w:rsidR="00B03C07" w:rsidRPr="00D7028D">
        <w:t xml:space="preserve">asks for background information and concludes with a single screening question about sexual experience. Youth with sexual experience will complete Part B1 and those without will complete Part </w:t>
      </w:r>
      <w:r w:rsidR="00B03C07">
        <w:t xml:space="preserve">B2. </w:t>
      </w:r>
      <w:r w:rsidR="00B4379B" w:rsidRPr="00F15D3A">
        <w:t xml:space="preserve">Before turning completed questionnaires in to field staff, respondents will place them in </w:t>
      </w:r>
      <w:r w:rsidR="00B4379B">
        <w:t xml:space="preserve">blank return </w:t>
      </w:r>
      <w:r w:rsidR="00B4379B" w:rsidRPr="00F15D3A">
        <w:t xml:space="preserve">envelopes and seal them. </w:t>
      </w:r>
      <w:r w:rsidR="00B4379B">
        <w:t xml:space="preserve">Field staff are trained to keep all data collection forms in a secure location and are instructed not to share any materials with anyone outside of the study team. Completed surveys are shipped </w:t>
      </w:r>
      <w:r w:rsidR="00880232">
        <w:t xml:space="preserve">immediately </w:t>
      </w:r>
      <w:r w:rsidR="00B4379B">
        <w:t xml:space="preserve">via FedEx to Mathematica’s Survey Operations Center for receipting. </w:t>
      </w:r>
    </w:p>
    <w:p w14:paraId="1829C7E2" w14:textId="26BE2308" w:rsidR="00436B9F" w:rsidRDefault="00436B9F" w:rsidP="00436B9F">
      <w:pPr>
        <w:pStyle w:val="NormalSS"/>
      </w:pPr>
      <w:r>
        <w:t>Mathematica</w:t>
      </w:r>
      <w:r w:rsidRPr="008668AE">
        <w:t xml:space="preserve"> has estab</w:t>
      </w:r>
      <w:r>
        <w:t xml:space="preserve">lished </w:t>
      </w:r>
      <w:r w:rsidRPr="008668AE">
        <w:t>security plans for handling data during all phases of the data collection. Th</w:t>
      </w:r>
      <w:r>
        <w:t>e plans</w:t>
      </w:r>
      <w:r w:rsidRPr="008668AE">
        <w:t xml:space="preserve"> include a secure server infrastructure for online data col</w:t>
      </w:r>
      <w:r>
        <w:t>lection of the web-based survey</w:t>
      </w:r>
      <w:r w:rsidRPr="008668AE">
        <w:t xml:space="preserve">, which features HTTPS encrypted data communication, user authentication, firewalls, and multiple layers of servers to minimize vulnerability to security breaches. Hosting </w:t>
      </w:r>
      <w:r>
        <w:t xml:space="preserve">the survey </w:t>
      </w:r>
      <w:r w:rsidRPr="008668AE">
        <w:t xml:space="preserve">on an HTTPS site ensures that data are transmitted using 128-bit encryption; transmissions intercepted by unauthorized users cannot be read as plain text. This security measure is in addition to standard </w:t>
      </w:r>
      <w:r>
        <w:t xml:space="preserve">user </w:t>
      </w:r>
      <w:r w:rsidR="00971A3B">
        <w:t xml:space="preserve">unique login </w:t>
      </w:r>
      <w:r w:rsidRPr="008668AE">
        <w:t xml:space="preserve">authentication that </w:t>
      </w:r>
      <w:r w:rsidR="003437B7">
        <w:t xml:space="preserve">prevents </w:t>
      </w:r>
      <w:r w:rsidRPr="008668AE">
        <w:t>unauthorized users from accessing the web application.</w:t>
      </w:r>
    </w:p>
    <w:p w14:paraId="3DF26D2F" w14:textId="18536AA9" w:rsidR="00081999" w:rsidRDefault="0077184B" w:rsidP="00436B9F">
      <w:pPr>
        <w:pStyle w:val="NormalSS"/>
      </w:pPr>
      <w:r>
        <w:t xml:space="preserve">All electronic data will be stored in secure files, with identifying information kept in a file </w:t>
      </w:r>
      <w:r w:rsidR="003437B7">
        <w:t xml:space="preserve">separate </w:t>
      </w:r>
      <w:r>
        <w:t xml:space="preserve">from survey and other individual-level data. Survey responses will be stored on a secure, password-protected computer shared drive. </w:t>
      </w:r>
    </w:p>
    <w:p w14:paraId="532F8CEA" w14:textId="37CD54B3" w:rsidR="00081999" w:rsidRPr="00081999" w:rsidRDefault="00081999" w:rsidP="00081999">
      <w:pPr>
        <w:pStyle w:val="NormalSS"/>
        <w:ind w:firstLine="0"/>
        <w:rPr>
          <w:b/>
        </w:rPr>
      </w:pPr>
      <w:r w:rsidRPr="00081999">
        <w:rPr>
          <w:b/>
        </w:rPr>
        <w:t>Privacy Act Considerations</w:t>
      </w:r>
    </w:p>
    <w:p w14:paraId="712E0DC4" w14:textId="34A04926" w:rsidR="00761673" w:rsidRDefault="007437DD" w:rsidP="00436B9F">
      <w:pPr>
        <w:pStyle w:val="NormalSS"/>
      </w:pPr>
      <w:r>
        <w:t xml:space="preserve">Based on the following two considerations, the Privacy Act does not apply for this information request. </w:t>
      </w:r>
      <w:r w:rsidR="00081999">
        <w:t>First, t</w:t>
      </w:r>
      <w:r w:rsidR="00761673" w:rsidRPr="00761673">
        <w:t xml:space="preserve">he records </w:t>
      </w:r>
      <w:r w:rsidR="00761673">
        <w:t xml:space="preserve">collected </w:t>
      </w:r>
      <w:r w:rsidR="00761673" w:rsidRPr="00761673">
        <w:t>in this study will not be retrieved by personal identifiers</w:t>
      </w:r>
      <w:r w:rsidR="00761673">
        <w:t xml:space="preserve"> and</w:t>
      </w:r>
      <w:r w:rsidR="00081999">
        <w:t xml:space="preserve"> second, </w:t>
      </w:r>
      <w:r w:rsidR="00761673" w:rsidRPr="00761673">
        <w:t xml:space="preserve">according to the 1975 OMB Privacy Act Guidance, which was reaffirmed in the recent issuance of Circular A-108, the Privacy Act only applies to systems of records that are required to be managed by the agency; the data collection for this study is discretionary. </w:t>
      </w:r>
    </w:p>
    <w:p w14:paraId="253216A3" w14:textId="0E890B67" w:rsidR="007437DD" w:rsidRPr="007437DD" w:rsidRDefault="007437DD" w:rsidP="007437DD">
      <w:pPr>
        <w:pStyle w:val="NormalSS"/>
        <w:rPr>
          <w:bCs/>
        </w:rPr>
      </w:pPr>
      <w:r>
        <w:t xml:space="preserve">For the first consideration, </w:t>
      </w:r>
      <w:r>
        <w:rPr>
          <w:bCs/>
        </w:rPr>
        <w:t>e</w:t>
      </w:r>
      <w:r w:rsidRPr="007437DD">
        <w:rPr>
          <w:bCs/>
        </w:rPr>
        <w:t xml:space="preserve">ach sample member in the study is assigned a unique study identification (ID) number. Only Mathematica team members have access to these study ID numbers. When creating a survey data file, only the study ID number is included in the file, not the student name or any other PII. Student names and other PII are kept separate from the survey data. When retrieving information about a case, team members pull up the case using their study ID number, not the student name.  </w:t>
      </w:r>
    </w:p>
    <w:p w14:paraId="48585EA3" w14:textId="6C9F4633" w:rsidR="007437DD" w:rsidRDefault="007437DD" w:rsidP="007437DD">
      <w:pPr>
        <w:pStyle w:val="NormalSS"/>
      </w:pPr>
      <w:r w:rsidRPr="007437DD">
        <w:t>All PII data are stored separately and securely from de-identified survey data.  Any files containing PII</w:t>
      </w:r>
      <w:r>
        <w:t xml:space="preserve"> </w:t>
      </w:r>
      <w:r w:rsidRPr="007437DD">
        <w:t>are stored on Mathematica’s network in a secure project folder whose access is limited to select project team members. Only the principal investigator, project director and key study staff have access to this folder.  Furthermore, approved study team members can only access this folder after going through multiple layers of security.</w:t>
      </w:r>
    </w:p>
    <w:p w14:paraId="76BE508A" w14:textId="75BEB54A" w:rsidR="007437DD" w:rsidRPr="007437DD" w:rsidRDefault="00081999" w:rsidP="007437DD">
      <w:pPr>
        <w:pStyle w:val="NormalSS"/>
        <w:rPr>
          <w:b/>
          <w:bCs/>
        </w:rPr>
      </w:pPr>
      <w:r>
        <w:t>For the second consideration</w:t>
      </w:r>
      <w:r w:rsidR="007437DD">
        <w:t xml:space="preserve">, the </w:t>
      </w:r>
      <w:r w:rsidR="007437DD" w:rsidRPr="007437DD">
        <w:t>data collection is contracted and discretionary, therefore not covered by the Privacy Act</w:t>
      </w:r>
      <w:r w:rsidR="007437DD">
        <w:t xml:space="preserve">. </w:t>
      </w:r>
      <w:r w:rsidR="007437DD" w:rsidRPr="007437DD">
        <w:t xml:space="preserve">The proposed data collection will not be conducted by OAH, but rather, through their contractor, Mathematica. </w:t>
      </w:r>
      <w:r w:rsidR="007437DD" w:rsidRPr="007437DD">
        <w:rPr>
          <w:i/>
          <w:iCs/>
        </w:rPr>
        <w:t>OMB Privacy Act Implementation: Guidelines and Responsibilities</w:t>
      </w:r>
      <w:r w:rsidR="007437DD" w:rsidRPr="007437DD">
        <w:t xml:space="preserve"> (July 9, 1975) describes terms under which data collected by a contractor under contract to the Federal Government is covered by the Privacy Act: </w:t>
      </w:r>
    </w:p>
    <w:p w14:paraId="7E24B291" w14:textId="77777777" w:rsidR="007437DD" w:rsidRPr="007437DD" w:rsidRDefault="007437DD" w:rsidP="007437DD">
      <w:pPr>
        <w:pStyle w:val="NormalSS"/>
      </w:pPr>
      <w:r w:rsidRPr="007437DD">
        <w:t>“Not only must the terms of the contract provide for the operation (as opposed to design) of such a system, but the operation of the system must be to accomplish an agency function. This was Intended to limit the scope of the coverage to those Systems actually taking the place of a Federal system which, but for the contract, would have been performed by an agency and covered by the Privacy Act.” (40 FRN 28976)</w:t>
      </w:r>
    </w:p>
    <w:p w14:paraId="3554F608" w14:textId="60E36F5E" w:rsidR="007437DD" w:rsidRDefault="007437DD" w:rsidP="007437DD">
      <w:pPr>
        <w:pStyle w:val="NormalSS"/>
      </w:pPr>
      <w:r w:rsidRPr="007437DD">
        <w:t>The proposed data collection does not create a system to “accomplish an agency function,” and is not a system that is “taking the place of a Federal system which, but for the contact, would have been performed by an agency.” OAH has discretion as to whether and how to carry out this data collection.  Thus, the proposed data collection is discretionary, not required, and the Privacy Act does not apply.</w:t>
      </w:r>
    </w:p>
    <w:p w14:paraId="1829C7E9" w14:textId="77777777" w:rsidR="00436B9F" w:rsidRPr="00C722E9" w:rsidRDefault="00436B9F" w:rsidP="00436B9F">
      <w:pPr>
        <w:pStyle w:val="Heading2Black"/>
      </w:pPr>
      <w:bookmarkStart w:id="100" w:name="_Toc320884257"/>
      <w:bookmarkStart w:id="101" w:name="_Toc320887162"/>
      <w:bookmarkStart w:id="102" w:name="_Toc326752790"/>
      <w:bookmarkStart w:id="103" w:name="_Toc477900641"/>
      <w:r w:rsidRPr="00C722E9">
        <w:t>A.11.</w:t>
      </w:r>
      <w:r w:rsidRPr="00C722E9">
        <w:tab/>
      </w:r>
      <w:r>
        <w:t xml:space="preserve">Justification for </w:t>
      </w:r>
      <w:r w:rsidRPr="00C722E9">
        <w:t>Sensitive Questions</w:t>
      </w:r>
      <w:bookmarkEnd w:id="100"/>
      <w:bookmarkEnd w:id="101"/>
      <w:bookmarkEnd w:id="102"/>
      <w:bookmarkEnd w:id="103"/>
      <w:r>
        <w:t xml:space="preserve"> </w:t>
      </w:r>
    </w:p>
    <w:p w14:paraId="1829C7EA" w14:textId="28A74BF3" w:rsidR="00436B9F" w:rsidRDefault="00436B9F" w:rsidP="00436B9F">
      <w:pPr>
        <w:pStyle w:val="NormalSS"/>
      </w:pPr>
      <w:r>
        <w:t>A key</w:t>
      </w:r>
      <w:r w:rsidRPr="007B2BB1">
        <w:t xml:space="preserve"> objective of </w:t>
      </w:r>
      <w:r w:rsidR="00BE1521">
        <w:rPr>
          <w:i/>
        </w:rPr>
        <w:t>MPC</w:t>
      </w:r>
      <w:r w:rsidRPr="00DC43A2">
        <w:rPr>
          <w:i/>
        </w:rPr>
        <w:t>!</w:t>
      </w:r>
      <w:r>
        <w:t xml:space="preserve"> </w:t>
      </w:r>
      <w:r w:rsidRPr="007B2BB1">
        <w:t>is to prevent teen pregnancy</w:t>
      </w:r>
      <w:r>
        <w:t xml:space="preserve"> through </w:t>
      </w:r>
      <w:r w:rsidRPr="007B2BB1">
        <w:t xml:space="preserve">a </w:t>
      </w:r>
      <w:r w:rsidR="002F2676">
        <w:t xml:space="preserve">delay in sexual initiation, </w:t>
      </w:r>
      <w:r w:rsidRPr="007B2BB1">
        <w:t>decrease in sexual activity</w:t>
      </w:r>
      <w:r w:rsidR="002F2676">
        <w:t>,</w:t>
      </w:r>
      <w:r w:rsidRPr="007B2BB1">
        <w:t xml:space="preserve"> and/or an increase in contraceptive use. Because this is t</w:t>
      </w:r>
      <w:r>
        <w:t>he primary focus of the program</w:t>
      </w:r>
      <w:r w:rsidRPr="007B2BB1">
        <w:t xml:space="preserve">, </w:t>
      </w:r>
      <w:r>
        <w:t xml:space="preserve">some </w:t>
      </w:r>
      <w:r w:rsidRPr="007B2BB1">
        <w:t xml:space="preserve">questions </w:t>
      </w:r>
      <w:r>
        <w:t xml:space="preserve">on the </w:t>
      </w:r>
      <w:r w:rsidR="00A93836">
        <w:t xml:space="preserve">follow-up </w:t>
      </w:r>
      <w:r>
        <w:t xml:space="preserve">survey </w:t>
      </w:r>
      <w:r w:rsidRPr="007B2BB1">
        <w:t>are necessarily related to these sensitive issues.</w:t>
      </w:r>
    </w:p>
    <w:p w14:paraId="1829C7EB" w14:textId="6BB9751D" w:rsidR="00436B9F" w:rsidRDefault="00436B9F" w:rsidP="00352F53">
      <w:pPr>
        <w:pStyle w:val="NormalSS"/>
      </w:pPr>
      <w:r w:rsidRPr="003E4DC6">
        <w:t>Table A11.1 list</w:t>
      </w:r>
      <w:r w:rsidR="00BE1521">
        <w:t>s</w:t>
      </w:r>
      <w:r w:rsidRPr="003E4DC6">
        <w:t xml:space="preserve"> the sensitive </w:t>
      </w:r>
      <w:r>
        <w:t>topics</w:t>
      </w:r>
      <w:r w:rsidRPr="003E4DC6">
        <w:t xml:space="preserve"> found on the </w:t>
      </w:r>
      <w:r w:rsidR="00A93836">
        <w:t>follow-up</w:t>
      </w:r>
      <w:r w:rsidR="00A93836" w:rsidRPr="003E4DC6">
        <w:t xml:space="preserve"> </w:t>
      </w:r>
      <w:r w:rsidRPr="003E4DC6">
        <w:t xml:space="preserve">survey, along with a justification for </w:t>
      </w:r>
      <w:r w:rsidR="00BE1521">
        <w:t xml:space="preserve">their </w:t>
      </w:r>
      <w:r w:rsidRPr="003E4DC6">
        <w:t xml:space="preserve">inclusion. </w:t>
      </w:r>
      <w:r w:rsidRPr="007B0FF7">
        <w:t xml:space="preserve">Questions about sensitive topics </w:t>
      </w:r>
      <w:r w:rsidR="000328C3">
        <w:t xml:space="preserve">are </w:t>
      </w:r>
      <w:r w:rsidRPr="007B0FF7">
        <w:t xml:space="preserve">drawn from previously-successful youth surveys and </w:t>
      </w:r>
      <w:r>
        <w:t xml:space="preserve">similar federal </w:t>
      </w:r>
      <w:r w:rsidR="00DB3B5B">
        <w:t>surveys</w:t>
      </w:r>
      <w:r w:rsidR="00DB3B5B" w:rsidRPr="007B0FF7">
        <w:t xml:space="preserve"> </w:t>
      </w:r>
      <w:r w:rsidRPr="007B0FF7">
        <w:t xml:space="preserve">(see Attachments </w:t>
      </w:r>
      <w:r>
        <w:t>A</w:t>
      </w:r>
      <w:r w:rsidRPr="007B0FF7">
        <w:t xml:space="preserve"> and </w:t>
      </w:r>
      <w:r>
        <w:t>B</w:t>
      </w:r>
      <w:r w:rsidRPr="007B0FF7">
        <w:t xml:space="preserve">). </w:t>
      </w:r>
      <w:r w:rsidR="00BE1521">
        <w:t>Careful selection of these items was</w:t>
      </w:r>
      <w:r w:rsidRPr="007B0FF7">
        <w:t xml:space="preserve"> guided by experience in determining whether or not the benefits of measures may outweigh concerns about the heightened sensitivity </w:t>
      </w:r>
      <w:r w:rsidR="00BE1521">
        <w:t xml:space="preserve">to specific issues </w:t>
      </w:r>
      <w:r w:rsidRPr="007B0FF7">
        <w:t xml:space="preserve">among sample members, parents, and program staff. </w:t>
      </w:r>
      <w:r w:rsidRPr="00414985">
        <w:t xml:space="preserve">Although these </w:t>
      </w:r>
      <w:r>
        <w:t>topics</w:t>
      </w:r>
      <w:r w:rsidRPr="00414985">
        <w:t xml:space="preserve"> are sensitive, they are commonly and successfully asked of </w:t>
      </w:r>
      <w:r>
        <w:t xml:space="preserve">high school </w:t>
      </w:r>
      <w:r w:rsidRPr="00414985">
        <w:t xml:space="preserve">youth similar to those who will be in the </w:t>
      </w:r>
      <w:r>
        <w:t xml:space="preserve">Federal Evaluation of </w:t>
      </w:r>
      <w:r w:rsidRPr="00BE1521">
        <w:rPr>
          <w:i/>
        </w:rPr>
        <w:t>MPC!</w:t>
      </w:r>
    </w:p>
    <w:p w14:paraId="1829C7EC" w14:textId="30BC3C58" w:rsidR="00436B9F" w:rsidRPr="00436B9F" w:rsidRDefault="00436B9F" w:rsidP="00953EE4">
      <w:pPr>
        <w:pStyle w:val="MarkforTableHeading"/>
      </w:pPr>
      <w:bookmarkStart w:id="104" w:name="_Toc352243222"/>
      <w:bookmarkStart w:id="105" w:name="_Toc353437667"/>
      <w:bookmarkStart w:id="106" w:name="_Toc353957470"/>
      <w:bookmarkStart w:id="107" w:name="_Toc355597306"/>
      <w:bookmarkStart w:id="108" w:name="_Toc355772801"/>
      <w:bookmarkStart w:id="109" w:name="_Toc355783090"/>
      <w:bookmarkStart w:id="110" w:name="_Toc355783353"/>
      <w:bookmarkStart w:id="111" w:name="_Toc477900659"/>
      <w:r w:rsidRPr="00436B9F">
        <w:t xml:space="preserve">Table A11.1. Summary of Sensitive Topics to be Included on the </w:t>
      </w:r>
      <w:r w:rsidR="00B40F3C">
        <w:t>Follow-</w:t>
      </w:r>
      <w:r w:rsidR="00466B9F">
        <w:t>up</w:t>
      </w:r>
      <w:r w:rsidR="00466B9F" w:rsidRPr="00436B9F">
        <w:t xml:space="preserve"> </w:t>
      </w:r>
      <w:r w:rsidRPr="00436B9F">
        <w:t>Survey and Their Justification</w:t>
      </w:r>
      <w:bookmarkEnd w:id="104"/>
      <w:bookmarkEnd w:id="105"/>
      <w:bookmarkEnd w:id="106"/>
      <w:bookmarkEnd w:id="107"/>
      <w:bookmarkEnd w:id="108"/>
      <w:bookmarkEnd w:id="109"/>
      <w:bookmarkEnd w:id="110"/>
      <w:bookmarkEnd w:id="111"/>
    </w:p>
    <w:tbl>
      <w:tblPr>
        <w:tblStyle w:val="TableGrid"/>
        <w:tblW w:w="5000" w:type="pct"/>
        <w:tblBorders>
          <w:top w:val="single" w:sz="12"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8"/>
        <w:gridCol w:w="5652"/>
        <w:gridCol w:w="2026"/>
      </w:tblGrid>
      <w:tr w:rsidR="00E54F1D" w14:paraId="1829C7EF" w14:textId="3147F690" w:rsidTr="00953EE4">
        <w:trPr>
          <w:tblHeader/>
        </w:trPr>
        <w:tc>
          <w:tcPr>
            <w:tcW w:w="991" w:type="pct"/>
            <w:tcBorders>
              <w:top w:val="nil"/>
              <w:bottom w:val="single" w:sz="4" w:space="0" w:color="auto"/>
            </w:tcBorders>
            <w:shd w:val="clear" w:color="auto" w:fill="6C6F70"/>
            <w:vAlign w:val="bottom"/>
          </w:tcPr>
          <w:p w14:paraId="1829C7ED" w14:textId="77777777" w:rsidR="00E54F1D" w:rsidRPr="00C72963" w:rsidRDefault="00E54F1D" w:rsidP="00051C2A">
            <w:pPr>
              <w:pStyle w:val="TableHeaderLeft"/>
            </w:pPr>
            <w:r w:rsidRPr="00C72963">
              <w:t>Topic</w:t>
            </w:r>
          </w:p>
        </w:tc>
        <w:tc>
          <w:tcPr>
            <w:tcW w:w="2951" w:type="pct"/>
            <w:tcBorders>
              <w:top w:val="nil"/>
              <w:bottom w:val="single" w:sz="4" w:space="0" w:color="auto"/>
            </w:tcBorders>
            <w:shd w:val="clear" w:color="auto" w:fill="6C6F70"/>
            <w:vAlign w:val="bottom"/>
          </w:tcPr>
          <w:p w14:paraId="1829C7EE" w14:textId="77777777" w:rsidR="00E54F1D" w:rsidRPr="00C72963" w:rsidRDefault="00E54F1D" w:rsidP="00051C2A">
            <w:pPr>
              <w:pStyle w:val="TableHeaderCenter"/>
            </w:pPr>
            <w:r w:rsidRPr="00C72963">
              <w:t>Justification</w:t>
            </w:r>
          </w:p>
        </w:tc>
        <w:tc>
          <w:tcPr>
            <w:tcW w:w="1058" w:type="pct"/>
            <w:tcBorders>
              <w:top w:val="nil"/>
              <w:bottom w:val="single" w:sz="4" w:space="0" w:color="auto"/>
            </w:tcBorders>
            <w:shd w:val="clear" w:color="auto" w:fill="6C6F70"/>
          </w:tcPr>
          <w:p w14:paraId="30CAB85F" w14:textId="38D900C4" w:rsidR="00E54F1D" w:rsidRPr="004A6429" w:rsidRDefault="00E54F1D" w:rsidP="00271F0A">
            <w:pPr>
              <w:pStyle w:val="TableHeaderCenter"/>
            </w:pPr>
            <w:r w:rsidRPr="004A6429">
              <w:t xml:space="preserve">Similar </w:t>
            </w:r>
            <w:r w:rsidR="00AF0AB2" w:rsidRPr="004A6429">
              <w:t xml:space="preserve">Federally Funded </w:t>
            </w:r>
            <w:r w:rsidR="00DB3B5B" w:rsidRPr="004A6429">
              <w:t>Surveys</w:t>
            </w:r>
            <w:r w:rsidR="0080695C" w:rsidRPr="004A6429">
              <w:rPr>
                <w:rStyle w:val="FootnoteReference"/>
                <w:rFonts w:ascii="Arial" w:hAnsi="Arial"/>
                <w:color w:val="FFFFFF" w:themeColor="background1"/>
                <w:sz w:val="18"/>
              </w:rPr>
              <w:footnoteReference w:id="13"/>
            </w:r>
          </w:p>
        </w:tc>
      </w:tr>
      <w:tr w:rsidR="00E54F1D" w14:paraId="2082CC49" w14:textId="6C0FE7FB" w:rsidTr="00953EE4">
        <w:tc>
          <w:tcPr>
            <w:tcW w:w="991" w:type="pct"/>
            <w:tcBorders>
              <w:top w:val="nil"/>
              <w:bottom w:val="nil"/>
            </w:tcBorders>
            <w:shd w:val="clear" w:color="auto" w:fill="auto"/>
          </w:tcPr>
          <w:p w14:paraId="728A2643" w14:textId="1C048918" w:rsidR="00E54F1D" w:rsidRPr="008264F6" w:rsidRDefault="00E54F1D" w:rsidP="004A6429">
            <w:pPr>
              <w:pStyle w:val="TableText"/>
              <w:spacing w:before="120"/>
              <w:jc w:val="left"/>
              <w:rPr>
                <w:b/>
              </w:rPr>
            </w:pPr>
            <w:r>
              <w:rPr>
                <w:b/>
              </w:rPr>
              <w:t>Gender identity</w:t>
            </w:r>
            <w:r w:rsidR="005349D4">
              <w:rPr>
                <w:rStyle w:val="FootnoteReference"/>
                <w:b/>
              </w:rPr>
              <w:footnoteReference w:id="14"/>
            </w:r>
          </w:p>
        </w:tc>
        <w:tc>
          <w:tcPr>
            <w:tcW w:w="2951" w:type="pct"/>
            <w:tcBorders>
              <w:top w:val="nil"/>
              <w:bottom w:val="nil"/>
            </w:tcBorders>
            <w:shd w:val="clear" w:color="auto" w:fill="auto"/>
          </w:tcPr>
          <w:p w14:paraId="38EABDDE" w14:textId="5B829BDD" w:rsidR="00E54F1D" w:rsidRPr="008264F6" w:rsidRDefault="00E54F1D" w:rsidP="004A6429">
            <w:pPr>
              <w:pStyle w:val="TableText"/>
              <w:spacing w:before="120" w:after="60"/>
              <w:jc w:val="left"/>
            </w:pPr>
            <w:r>
              <w:t xml:space="preserve">The </w:t>
            </w:r>
            <w:r w:rsidRPr="00962334">
              <w:rPr>
                <w:i/>
              </w:rPr>
              <w:t>MPC!</w:t>
            </w:r>
            <w:r>
              <w:t xml:space="preserve"> program aims to be sensitive and inclusive of all students.</w:t>
            </w:r>
            <w:r w:rsidRPr="008264F6">
              <w:t xml:space="preserve"> This question </w:t>
            </w:r>
            <w:r>
              <w:t>asks for the student’s self-identified gender, and includes options for transgender, unsure and other</w:t>
            </w:r>
            <w:r w:rsidRPr="008264F6">
              <w:t>.</w:t>
            </w:r>
            <w:r>
              <w:t xml:space="preserve"> </w:t>
            </w:r>
          </w:p>
        </w:tc>
        <w:tc>
          <w:tcPr>
            <w:tcW w:w="1058" w:type="pct"/>
            <w:tcBorders>
              <w:top w:val="nil"/>
              <w:bottom w:val="nil"/>
            </w:tcBorders>
          </w:tcPr>
          <w:p w14:paraId="39436F5C" w14:textId="4FCDDE96" w:rsidR="00E54F1D" w:rsidRDefault="005053AC" w:rsidP="004A6429">
            <w:pPr>
              <w:pStyle w:val="TableText"/>
              <w:spacing w:before="120" w:after="60"/>
              <w:jc w:val="left"/>
            </w:pPr>
            <w:r>
              <w:t>BRFSS</w:t>
            </w:r>
          </w:p>
        </w:tc>
      </w:tr>
      <w:tr w:rsidR="00E54F1D" w14:paraId="62F67D8E" w14:textId="6B13FAE7" w:rsidTr="00953EE4">
        <w:tc>
          <w:tcPr>
            <w:tcW w:w="991" w:type="pct"/>
            <w:tcBorders>
              <w:top w:val="nil"/>
              <w:bottom w:val="nil"/>
            </w:tcBorders>
            <w:shd w:val="clear" w:color="auto" w:fill="auto"/>
          </w:tcPr>
          <w:p w14:paraId="62A15C51" w14:textId="2FAC5D02" w:rsidR="00E54F1D" w:rsidRPr="008264F6" w:rsidRDefault="004A6429" w:rsidP="004A6429">
            <w:pPr>
              <w:pStyle w:val="TableText"/>
              <w:spacing w:before="120"/>
              <w:jc w:val="left"/>
              <w:rPr>
                <w:b/>
              </w:rPr>
            </w:pPr>
            <w:r>
              <w:rPr>
                <w:b/>
              </w:rPr>
              <w:t xml:space="preserve"> </w:t>
            </w:r>
            <w:r w:rsidR="00E54F1D">
              <w:rPr>
                <w:b/>
              </w:rPr>
              <w:t>Sexual orientation</w:t>
            </w:r>
          </w:p>
        </w:tc>
        <w:tc>
          <w:tcPr>
            <w:tcW w:w="2951" w:type="pct"/>
            <w:tcBorders>
              <w:top w:val="nil"/>
              <w:bottom w:val="nil"/>
            </w:tcBorders>
            <w:shd w:val="clear" w:color="auto" w:fill="auto"/>
          </w:tcPr>
          <w:p w14:paraId="635F8822" w14:textId="3215A625" w:rsidR="00E54F1D" w:rsidRPr="008264F6" w:rsidRDefault="00E54F1D" w:rsidP="00FF1B67">
            <w:pPr>
              <w:pStyle w:val="TableText"/>
              <w:spacing w:before="120" w:after="60"/>
              <w:jc w:val="left"/>
            </w:pPr>
            <w:r>
              <w:t>OAH</w:t>
            </w:r>
            <w:r w:rsidRPr="008264F6">
              <w:t xml:space="preserve"> has a strong interest in improving programming that serves lesbian, gay, bisexual, and questioning youth. This question will provide documentation of the proportion of youth in </w:t>
            </w:r>
            <w:r>
              <w:t>the study</w:t>
            </w:r>
            <w:r w:rsidRPr="008264F6">
              <w:t xml:space="preserve"> that are part of this subpopulation.</w:t>
            </w:r>
          </w:p>
        </w:tc>
        <w:tc>
          <w:tcPr>
            <w:tcW w:w="1058" w:type="pct"/>
            <w:tcBorders>
              <w:top w:val="nil"/>
              <w:bottom w:val="nil"/>
            </w:tcBorders>
          </w:tcPr>
          <w:p w14:paraId="788D71FE" w14:textId="72413AF3" w:rsidR="00E54F1D" w:rsidRDefault="00790944" w:rsidP="004A6429">
            <w:pPr>
              <w:pStyle w:val="TableText"/>
              <w:spacing w:before="120" w:after="60"/>
              <w:jc w:val="left"/>
            </w:pPr>
            <w:r>
              <w:t>PREP</w:t>
            </w:r>
            <w:r w:rsidR="00DC2CE0">
              <w:t>, STREAMS</w:t>
            </w:r>
            <w:r w:rsidR="009F3414">
              <w:t>, YRBSS</w:t>
            </w:r>
            <w:r w:rsidR="005C5E66">
              <w:t xml:space="preserve">, </w:t>
            </w:r>
            <w:r w:rsidR="005C5E66" w:rsidRPr="005C5E66">
              <w:t>PPA, TPP Replication Study</w:t>
            </w:r>
          </w:p>
        </w:tc>
      </w:tr>
      <w:tr w:rsidR="00E54F1D" w14:paraId="1829C7F2" w14:textId="655B03B3" w:rsidTr="00953EE4">
        <w:tc>
          <w:tcPr>
            <w:tcW w:w="991" w:type="pct"/>
            <w:tcBorders>
              <w:top w:val="nil"/>
              <w:bottom w:val="nil"/>
            </w:tcBorders>
            <w:shd w:val="clear" w:color="auto" w:fill="auto"/>
          </w:tcPr>
          <w:p w14:paraId="1829C7F0" w14:textId="77777777" w:rsidR="00E54F1D" w:rsidRPr="008264F6" w:rsidRDefault="00E54F1D" w:rsidP="004A6429">
            <w:pPr>
              <w:pStyle w:val="TableText"/>
              <w:spacing w:before="120"/>
              <w:jc w:val="left"/>
              <w:rPr>
                <w:szCs w:val="16"/>
              </w:rPr>
            </w:pPr>
            <w:r w:rsidRPr="008264F6">
              <w:rPr>
                <w:b/>
              </w:rPr>
              <w:t>Sexual activity, incidence of pr</w:t>
            </w:r>
            <w:r>
              <w:rPr>
                <w:b/>
              </w:rPr>
              <w:t>egnancy, and contraceptive use</w:t>
            </w:r>
          </w:p>
        </w:tc>
        <w:tc>
          <w:tcPr>
            <w:tcW w:w="2951" w:type="pct"/>
            <w:tcBorders>
              <w:top w:val="nil"/>
              <w:bottom w:val="nil"/>
            </w:tcBorders>
            <w:shd w:val="clear" w:color="auto" w:fill="auto"/>
          </w:tcPr>
          <w:p w14:paraId="1829C7F1" w14:textId="77777777" w:rsidR="00E54F1D" w:rsidRPr="008264F6" w:rsidRDefault="00E54F1D" w:rsidP="004A6429">
            <w:pPr>
              <w:pStyle w:val="TableText"/>
              <w:spacing w:before="120" w:after="60"/>
              <w:jc w:val="left"/>
            </w:pPr>
            <w:r w:rsidRPr="008264F6">
              <w:t xml:space="preserve">Sexual activity, incidence of pregnancy, and contraceptive use are all key outcomes for the evaluation. </w:t>
            </w:r>
          </w:p>
        </w:tc>
        <w:tc>
          <w:tcPr>
            <w:tcW w:w="1058" w:type="pct"/>
            <w:tcBorders>
              <w:top w:val="nil"/>
              <w:bottom w:val="nil"/>
            </w:tcBorders>
          </w:tcPr>
          <w:p w14:paraId="6FA9CF8D" w14:textId="1B88999D" w:rsidR="00E54F1D" w:rsidRPr="008264F6" w:rsidRDefault="00A3243C" w:rsidP="004A6429">
            <w:pPr>
              <w:pStyle w:val="TableText"/>
              <w:spacing w:before="120" w:after="60"/>
              <w:jc w:val="left"/>
            </w:pPr>
            <w:r>
              <w:t>Title V Abstinence Study</w:t>
            </w:r>
            <w:r w:rsidR="009A40C5">
              <w:t xml:space="preserve">, </w:t>
            </w:r>
            <w:r w:rsidR="00790944">
              <w:t>PPA, PREP, PAF</w:t>
            </w:r>
            <w:r w:rsidR="00DC2CE0">
              <w:t>, STREAMS</w:t>
            </w:r>
            <w:r w:rsidR="009F3414">
              <w:t>, YRBSS</w:t>
            </w:r>
            <w:r w:rsidR="00326DD0">
              <w:t>, ADD Health</w:t>
            </w:r>
            <w:r w:rsidR="00DB7D33">
              <w:t xml:space="preserve">, TPP Replication Study </w:t>
            </w:r>
          </w:p>
        </w:tc>
      </w:tr>
      <w:tr w:rsidR="00E54F1D" w14:paraId="3AF3CD7A" w14:textId="608C5925" w:rsidTr="00953EE4">
        <w:tc>
          <w:tcPr>
            <w:tcW w:w="991" w:type="pct"/>
            <w:tcBorders>
              <w:top w:val="nil"/>
              <w:bottom w:val="single" w:sz="4" w:space="0" w:color="auto"/>
            </w:tcBorders>
            <w:shd w:val="clear" w:color="auto" w:fill="auto"/>
          </w:tcPr>
          <w:p w14:paraId="5CBDE9C9" w14:textId="23F9A413" w:rsidR="00E54F1D" w:rsidRPr="008264F6" w:rsidRDefault="00E54F1D" w:rsidP="004A6429">
            <w:pPr>
              <w:pStyle w:val="TableText"/>
              <w:spacing w:before="120"/>
              <w:jc w:val="left"/>
              <w:rPr>
                <w:b/>
              </w:rPr>
            </w:pPr>
            <w:r w:rsidRPr="008264F6">
              <w:rPr>
                <w:b/>
              </w:rPr>
              <w:t xml:space="preserve">Intentions regarding sexual activity </w:t>
            </w:r>
          </w:p>
        </w:tc>
        <w:tc>
          <w:tcPr>
            <w:tcW w:w="2951" w:type="pct"/>
            <w:tcBorders>
              <w:top w:val="nil"/>
              <w:bottom w:val="single" w:sz="4" w:space="0" w:color="auto"/>
            </w:tcBorders>
            <w:shd w:val="clear" w:color="auto" w:fill="auto"/>
          </w:tcPr>
          <w:p w14:paraId="7CBEB35C" w14:textId="516045EE" w:rsidR="00E54F1D" w:rsidRPr="008264F6" w:rsidRDefault="00E54F1D" w:rsidP="004A6429">
            <w:pPr>
              <w:pStyle w:val="TableText"/>
              <w:spacing w:before="120" w:after="60"/>
              <w:jc w:val="left"/>
            </w:pPr>
            <w:r w:rsidRPr="008264F6">
              <w:t>Intentions regarding engaging in sex and other risk-taking behaviors are extremely strong predictors of subsequent behavior (Buhi and Goodson, 2007). Intentions are strongly related to behavior and will be an important mediator predicting behavior change.</w:t>
            </w:r>
          </w:p>
        </w:tc>
        <w:tc>
          <w:tcPr>
            <w:tcW w:w="1058" w:type="pct"/>
            <w:tcBorders>
              <w:top w:val="nil"/>
              <w:bottom w:val="single" w:sz="4" w:space="0" w:color="auto"/>
            </w:tcBorders>
          </w:tcPr>
          <w:p w14:paraId="0344C347" w14:textId="6279E9A9" w:rsidR="00E54F1D" w:rsidRPr="008264F6" w:rsidRDefault="009A40C5" w:rsidP="004A6429">
            <w:pPr>
              <w:pStyle w:val="TableText"/>
              <w:spacing w:before="120" w:after="60"/>
              <w:jc w:val="left"/>
            </w:pPr>
            <w:r>
              <w:t xml:space="preserve">Title V Abstinence Study, </w:t>
            </w:r>
            <w:r w:rsidR="00790944">
              <w:t>PREP, PAF</w:t>
            </w:r>
            <w:r w:rsidR="00564D83">
              <w:t>, PPA</w:t>
            </w:r>
            <w:r w:rsidR="00DB7D33">
              <w:t xml:space="preserve">, TPP Replication Study </w:t>
            </w:r>
          </w:p>
        </w:tc>
      </w:tr>
      <w:tr w:rsidR="00E54F1D" w14:paraId="1829C7F5" w14:textId="00041E50" w:rsidTr="00953EE4">
        <w:tc>
          <w:tcPr>
            <w:tcW w:w="991" w:type="pct"/>
            <w:tcBorders>
              <w:top w:val="nil"/>
              <w:bottom w:val="single" w:sz="4" w:space="0" w:color="auto"/>
            </w:tcBorders>
            <w:shd w:val="clear" w:color="auto" w:fill="auto"/>
          </w:tcPr>
          <w:p w14:paraId="1829C7F3" w14:textId="77777777" w:rsidR="00E54F1D" w:rsidRPr="008264F6" w:rsidRDefault="00E54F1D" w:rsidP="004A6429">
            <w:pPr>
              <w:pStyle w:val="TableText"/>
              <w:spacing w:before="120"/>
              <w:jc w:val="left"/>
              <w:rPr>
                <w:szCs w:val="16"/>
              </w:rPr>
            </w:pPr>
            <w:r w:rsidRPr="008264F6">
              <w:rPr>
                <w:b/>
              </w:rPr>
              <w:t xml:space="preserve">Drug and alcohol use </w:t>
            </w:r>
            <w:r>
              <w:rPr>
                <w:b/>
              </w:rPr>
              <w:t>and violence</w:t>
            </w:r>
            <w:r w:rsidRPr="008264F6">
              <w:rPr>
                <w:szCs w:val="16"/>
              </w:rPr>
              <w:t xml:space="preserve"> </w:t>
            </w:r>
          </w:p>
        </w:tc>
        <w:tc>
          <w:tcPr>
            <w:tcW w:w="2951" w:type="pct"/>
            <w:tcBorders>
              <w:top w:val="nil"/>
              <w:bottom w:val="single" w:sz="4" w:space="0" w:color="auto"/>
            </w:tcBorders>
            <w:shd w:val="clear" w:color="auto" w:fill="auto"/>
          </w:tcPr>
          <w:p w14:paraId="1829C7F4" w14:textId="77777777" w:rsidR="00E54F1D" w:rsidRPr="008264F6" w:rsidRDefault="00E54F1D" w:rsidP="004A6429">
            <w:pPr>
              <w:pStyle w:val="TableText"/>
              <w:spacing w:before="120" w:after="60"/>
              <w:jc w:val="left"/>
            </w:pPr>
            <w:r w:rsidRPr="008264F6">
              <w:t>There is a substantial body of literature linking various high-risk behaviors of youth, particularly drug and alcohol use, sexual intercourse, and risky sexual behavior. The effectiveness of various program strategies is expected to differ for youth who are and are not experimenting with or using drugs and alcohol (Tapert et al., 2001; Li et al., 2001; Boyer et al., 1999; Fergusson and Lynskey, 1996; Sen, 2002; Dermen et al., 1998; Santelli et al., 2001.)</w:t>
            </w:r>
          </w:p>
        </w:tc>
        <w:tc>
          <w:tcPr>
            <w:tcW w:w="1058" w:type="pct"/>
            <w:tcBorders>
              <w:top w:val="nil"/>
              <w:bottom w:val="single" w:sz="4" w:space="0" w:color="auto"/>
            </w:tcBorders>
          </w:tcPr>
          <w:p w14:paraId="390B9A4A" w14:textId="162887BB" w:rsidR="00E54F1D" w:rsidRPr="008264F6" w:rsidRDefault="00564778" w:rsidP="004A6429">
            <w:pPr>
              <w:pStyle w:val="TableText"/>
              <w:spacing w:before="120" w:after="60"/>
              <w:jc w:val="left"/>
            </w:pPr>
            <w:r>
              <w:t xml:space="preserve">Title V Abstinence Study, </w:t>
            </w:r>
            <w:r w:rsidR="00056AB6">
              <w:t>PPA, PREP, PAF</w:t>
            </w:r>
            <w:r w:rsidR="009F3414">
              <w:t>, YRBSS</w:t>
            </w:r>
            <w:r w:rsidR="00326DD0">
              <w:t>, ADD Health</w:t>
            </w:r>
            <w:r w:rsidR="00DB7D33">
              <w:t xml:space="preserve">, TPP Replication Study </w:t>
            </w:r>
          </w:p>
        </w:tc>
      </w:tr>
    </w:tbl>
    <w:p w14:paraId="1829C7F6" w14:textId="1AB1E8E4" w:rsidR="00436B9F" w:rsidRDefault="00436B9F" w:rsidP="00790944">
      <w:pPr>
        <w:pStyle w:val="NormalSS"/>
        <w:spacing w:after="0"/>
        <w:ind w:firstLine="0"/>
      </w:pPr>
    </w:p>
    <w:p w14:paraId="1829C7F7" w14:textId="72678891" w:rsidR="00436B9F" w:rsidRDefault="00436B9F" w:rsidP="00436B9F">
      <w:pPr>
        <w:pStyle w:val="NormalSS"/>
      </w:pPr>
      <w:r w:rsidRPr="00F07DF9">
        <w:t xml:space="preserve">In addition, the </w:t>
      </w:r>
      <w:r w:rsidR="00A93836">
        <w:t>follow-up</w:t>
      </w:r>
      <w:r w:rsidR="00A93836" w:rsidRPr="00F07DF9">
        <w:t xml:space="preserve"> </w:t>
      </w:r>
      <w:r w:rsidRPr="00F07DF9">
        <w:t xml:space="preserve">survey instrument </w:t>
      </w:r>
      <w:r>
        <w:t xml:space="preserve">will be designed </w:t>
      </w:r>
      <w:r w:rsidRPr="00F07DF9">
        <w:t xml:space="preserve">so that only sexually active youth will receive most of these sensitive questions. The survey will ask all youth for background information and </w:t>
      </w:r>
      <w:r w:rsidR="000D1424">
        <w:t xml:space="preserve">will </w:t>
      </w:r>
      <w:r w:rsidRPr="00F07DF9">
        <w:t xml:space="preserve">include a screening question about sexual experience. The survey will route youth who report ever having sexual experience to additional </w:t>
      </w:r>
      <w:r w:rsidR="0001280F">
        <w:t xml:space="preserve">questions about sexual behavior; </w:t>
      </w:r>
      <w:r w:rsidRPr="00F07DF9">
        <w:t xml:space="preserve">those who report never having </w:t>
      </w:r>
      <w:r>
        <w:t>sex will</w:t>
      </w:r>
      <w:r w:rsidRPr="00F07DF9">
        <w:t xml:space="preserve"> be routed </w:t>
      </w:r>
      <w:r>
        <w:t>to</w:t>
      </w:r>
      <w:r w:rsidRPr="00F07DF9">
        <w:t xml:space="preserve"> other</w:t>
      </w:r>
      <w:r>
        <w:t xml:space="preserve"> </w:t>
      </w:r>
      <w:r w:rsidRPr="00F07DF9">
        <w:t xml:space="preserve">questions. </w:t>
      </w:r>
      <w:r>
        <w:t>T</w:t>
      </w:r>
      <w:r w:rsidRPr="00F07DF9">
        <w:t>hus</w:t>
      </w:r>
      <w:r>
        <w:t xml:space="preserve">, many of </w:t>
      </w:r>
      <w:r w:rsidRPr="00F07DF9">
        <w:t xml:space="preserve">the sensitive items related to sexual activity will </w:t>
      </w:r>
      <w:r>
        <w:t>be</w:t>
      </w:r>
      <w:r w:rsidRPr="00F07DF9">
        <w:t xml:space="preserve"> asked </w:t>
      </w:r>
      <w:r w:rsidR="000D1424">
        <w:t xml:space="preserve">only </w:t>
      </w:r>
      <w:r w:rsidRPr="00F07DF9">
        <w:t xml:space="preserve">of sample members who report being sexually active. This structure has been used successfully in other federally funded </w:t>
      </w:r>
      <w:r w:rsidR="000D1424">
        <w:t xml:space="preserve">evaluations of </w:t>
      </w:r>
      <w:r w:rsidRPr="00F07DF9">
        <w:t>teen pregnancy prevention</w:t>
      </w:r>
      <w:r w:rsidR="000D1424">
        <w:t xml:space="preserve"> programs</w:t>
      </w:r>
      <w:r w:rsidRPr="00F07DF9">
        <w:t>, such as the Evaluation of the Title V, Section 5</w:t>
      </w:r>
      <w:r>
        <w:t>10 Abstinence Education Program</w:t>
      </w:r>
      <w:r w:rsidR="005C5E66">
        <w:t xml:space="preserve"> (OMB Control Numbers 0990-0233 and 0990-0237)</w:t>
      </w:r>
      <w:r>
        <w:t xml:space="preserve">, </w:t>
      </w:r>
      <w:r w:rsidRPr="00F07DF9">
        <w:t>the Evaluation of Adolescent Pregnancy Prevention Approaches</w:t>
      </w:r>
      <w:r>
        <w:t xml:space="preserve"> (PPA</w:t>
      </w:r>
      <w:r w:rsidR="00CC6CBB">
        <w:t xml:space="preserve">-OMB Control Number </w:t>
      </w:r>
      <w:r w:rsidR="00CC6CBB" w:rsidRPr="00903ABB">
        <w:t>0990-0382</w:t>
      </w:r>
      <w:r w:rsidR="0001280F">
        <w:t>)</w:t>
      </w:r>
      <w:r>
        <w:t>, the TPP Replication Study</w:t>
      </w:r>
      <w:r w:rsidR="0062558A">
        <w:t xml:space="preserve"> (OMB Control Number 0990-0394)</w:t>
      </w:r>
      <w:r>
        <w:t xml:space="preserve">, and </w:t>
      </w:r>
      <w:r w:rsidR="000D1424">
        <w:t xml:space="preserve">the </w:t>
      </w:r>
      <w:r>
        <w:t>Personal Responsibility Education Program (PREP) Multi-Component Evaluation</w:t>
      </w:r>
      <w:r w:rsidR="0062558A">
        <w:t xml:space="preserve"> (</w:t>
      </w:r>
      <w:r w:rsidR="0062558A" w:rsidRPr="00EE4CC2">
        <w:t>OMB Control Number 0970-0398</w:t>
      </w:r>
      <w:r w:rsidR="0062558A">
        <w:t>)</w:t>
      </w:r>
      <w:r>
        <w:t>.</w:t>
      </w:r>
      <w:r w:rsidR="00971A3B">
        <w:t xml:space="preserve"> As an added protection and to make respondents feel more comfortable answering these sensitive questions, the smartphones will be equipped with privacy screens.</w:t>
      </w:r>
    </w:p>
    <w:p w14:paraId="1829C7F8" w14:textId="77777777" w:rsidR="00436B9F" w:rsidRDefault="00436B9F" w:rsidP="00436B9F">
      <w:pPr>
        <w:pStyle w:val="Heading2Black"/>
      </w:pPr>
      <w:bookmarkStart w:id="112" w:name="_Toc326752791"/>
      <w:bookmarkStart w:id="113" w:name="_Toc477900642"/>
      <w:bookmarkStart w:id="114" w:name="_Toc66688720"/>
      <w:bookmarkStart w:id="115" w:name="_Toc239751741"/>
      <w:bookmarkStart w:id="116" w:name="_Toc320884258"/>
      <w:bookmarkStart w:id="117" w:name="_Toc320887163"/>
      <w:r w:rsidRPr="00917428">
        <w:t>A.12</w:t>
      </w:r>
      <w:r w:rsidRPr="00917428">
        <w:tab/>
        <w:t>Estimates of the Burden of Data Collection</w:t>
      </w:r>
      <w:bookmarkEnd w:id="112"/>
      <w:bookmarkEnd w:id="113"/>
      <w:r>
        <w:t xml:space="preserve"> </w:t>
      </w:r>
    </w:p>
    <w:p w14:paraId="1829C7F9" w14:textId="5A9A5110" w:rsidR="00436B9F" w:rsidRDefault="00436B9F" w:rsidP="00436B9F">
      <w:pPr>
        <w:pStyle w:val="NormalSS"/>
      </w:pPr>
      <w:r>
        <w:t xml:space="preserve">OAH is requesting three years of clearance for the Federal Evaluation of </w:t>
      </w:r>
      <w:r w:rsidRPr="000D1424">
        <w:rPr>
          <w:i/>
        </w:rPr>
        <w:t>MPC!.</w:t>
      </w:r>
      <w:r>
        <w:t xml:space="preserve"> </w:t>
      </w:r>
      <w:bookmarkStart w:id="118" w:name="_Toc326752792"/>
      <w:r w:rsidR="00DC238C">
        <w:t xml:space="preserve">As noted earlier, </w:t>
      </w:r>
      <w:r w:rsidR="00175791">
        <w:t>a</w:t>
      </w:r>
      <w:r w:rsidR="00962334">
        <w:t xml:space="preserve"> three-</w:t>
      </w:r>
      <w:r w:rsidR="00DC238C" w:rsidRPr="00DC238C">
        <w:t>year clearance is needed because enrollment into the study will be conducted</w:t>
      </w:r>
      <w:r w:rsidR="004B348E">
        <w:t xml:space="preserve"> across </w:t>
      </w:r>
      <w:r w:rsidR="003C2590">
        <w:t xml:space="preserve">nearly </w:t>
      </w:r>
      <w:r w:rsidR="004B348E">
        <w:t>three years</w:t>
      </w:r>
      <w:r w:rsidR="00C15ED6">
        <w:t xml:space="preserve">, and follow-up data collection will occur </w:t>
      </w:r>
      <w:r w:rsidR="004B348E">
        <w:t>approximately 9 and 15 months after baseline</w:t>
      </w:r>
      <w:r w:rsidR="00DC238C" w:rsidRPr="00DC238C">
        <w:t xml:space="preserve">.  </w:t>
      </w:r>
      <w:r w:rsidRPr="005770C0">
        <w:t xml:space="preserve">Table </w:t>
      </w:r>
      <w:r w:rsidRPr="004B1D46">
        <w:t>A12.1</w:t>
      </w:r>
      <w:r>
        <w:t xml:space="preserve"> </w:t>
      </w:r>
      <w:r w:rsidRPr="001B438B">
        <w:t>provide</w:t>
      </w:r>
      <w:r>
        <w:t>s</w:t>
      </w:r>
      <w:r w:rsidRPr="001B438B">
        <w:t xml:space="preserve"> the </w:t>
      </w:r>
      <w:r>
        <w:t xml:space="preserve">estimated annual reporting burden for study participants as a result of the </w:t>
      </w:r>
      <w:r w:rsidR="00285C15">
        <w:t xml:space="preserve">follow-up </w:t>
      </w:r>
      <w:r>
        <w:t xml:space="preserve">survey </w:t>
      </w:r>
      <w:r w:rsidR="00A22B05">
        <w:t xml:space="preserve">data collection </w:t>
      </w:r>
      <w:r>
        <w:t>for youth</w:t>
      </w:r>
      <w:r w:rsidRPr="001B438B">
        <w:t>.</w:t>
      </w:r>
      <w:r>
        <w:t xml:space="preserve"> </w:t>
      </w:r>
    </w:p>
    <w:p w14:paraId="62824AE7" w14:textId="297DD794" w:rsidR="007F2C76" w:rsidRPr="00D62534" w:rsidRDefault="000D1424" w:rsidP="00436B9F">
      <w:pPr>
        <w:pStyle w:val="NormalSS"/>
      </w:pPr>
      <w:r>
        <w:t xml:space="preserve">We anticipate </w:t>
      </w:r>
      <w:r w:rsidR="00F8503A" w:rsidRPr="00972F27">
        <w:t xml:space="preserve">that </w:t>
      </w:r>
      <w:r w:rsidR="00F8503A">
        <w:t>3,900</w:t>
      </w:r>
      <w:r w:rsidR="00F8503A" w:rsidRPr="00972F27">
        <w:t xml:space="preserve"> </w:t>
      </w:r>
      <w:r w:rsidR="00F8503A">
        <w:t>youth</w:t>
      </w:r>
      <w:r w:rsidR="00F8503A" w:rsidRPr="00972F27">
        <w:t xml:space="preserve"> enrolled in the </w:t>
      </w:r>
      <w:r w:rsidR="00F8503A">
        <w:t>expected</w:t>
      </w:r>
      <w:r w:rsidR="00F8503A" w:rsidRPr="00972F27">
        <w:t xml:space="preserve"> </w:t>
      </w:r>
      <w:r w:rsidR="00F8503A">
        <w:t xml:space="preserve">39 study schools </w:t>
      </w:r>
      <w:r w:rsidR="003C2590">
        <w:t xml:space="preserve">will be </w:t>
      </w:r>
      <w:r w:rsidR="00F8503A">
        <w:t xml:space="preserve">eligible to participate in the study because they are enrolled in a required health class. We expect to </w:t>
      </w:r>
      <w:r w:rsidR="00327839">
        <w:t xml:space="preserve">consent </w:t>
      </w:r>
      <w:r w:rsidR="00F8503A">
        <w:t>70 percent of the eligible youth, for a total sample size of 2,730</w:t>
      </w:r>
      <w:r>
        <w:t xml:space="preserve">, of which we </w:t>
      </w:r>
      <w:r w:rsidR="007F2C76">
        <w:t xml:space="preserve">expect </w:t>
      </w:r>
      <w:r>
        <w:t xml:space="preserve">90 percent </w:t>
      </w:r>
      <w:r w:rsidR="007F2C76">
        <w:t>will complete the first follow-up</w:t>
      </w:r>
      <w:r w:rsidR="00327839">
        <w:t xml:space="preserve"> survey</w:t>
      </w:r>
      <w:r w:rsidR="007F2C76">
        <w:t xml:space="preserve"> (n=</w:t>
      </w:r>
      <w:r w:rsidR="00F8503A">
        <w:t>2</w:t>
      </w:r>
      <w:r>
        <w:t>,</w:t>
      </w:r>
      <w:r w:rsidR="00F8503A">
        <w:t>457</w:t>
      </w:r>
      <w:r>
        <w:t xml:space="preserve">) and 85 percent </w:t>
      </w:r>
      <w:r w:rsidR="007F2C76">
        <w:t xml:space="preserve">will complete the second follow-up </w:t>
      </w:r>
      <w:r w:rsidR="00327839">
        <w:t xml:space="preserve">survey </w:t>
      </w:r>
      <w:r w:rsidR="007F2C76">
        <w:t>(n=</w:t>
      </w:r>
      <w:r w:rsidR="00F8503A">
        <w:t>2</w:t>
      </w:r>
      <w:r>
        <w:t>,</w:t>
      </w:r>
      <w:r w:rsidR="00F8503A">
        <w:t>321</w:t>
      </w:r>
      <w:r w:rsidR="00DD2714">
        <w:t xml:space="preserve">).  </w:t>
      </w:r>
      <w:r w:rsidR="00B03C07">
        <w:t xml:space="preserve">These response rates are consistent with those achieved </w:t>
      </w:r>
      <w:r w:rsidR="00B60DA3">
        <w:t xml:space="preserve">in </w:t>
      </w:r>
      <w:r w:rsidR="00C4495F">
        <w:t xml:space="preserve">two of </w:t>
      </w:r>
      <w:r w:rsidR="00B03C07">
        <w:t xml:space="preserve">the PREP (OMB Control Number </w:t>
      </w:r>
      <w:r w:rsidR="00B03C07" w:rsidRPr="00B03C07">
        <w:t>0970-0398</w:t>
      </w:r>
      <w:r w:rsidR="00B03C07">
        <w:t>) school based sites</w:t>
      </w:r>
      <w:r w:rsidR="00575806">
        <w:t>, which used nearly identical evaluation structures,</w:t>
      </w:r>
      <w:r w:rsidR="00B03C07">
        <w:t xml:space="preserve"> </w:t>
      </w:r>
      <w:r w:rsidR="00575806">
        <w:t xml:space="preserve">where </w:t>
      </w:r>
      <w:r w:rsidR="00B40F3C">
        <w:t>the first follow-</w:t>
      </w:r>
      <w:r w:rsidR="00575806" w:rsidRPr="00575806">
        <w:t xml:space="preserve">up response rates are </w:t>
      </w:r>
      <w:r>
        <w:t xml:space="preserve">90 to 94 percent </w:t>
      </w:r>
      <w:r w:rsidR="00B40F3C">
        <w:t>and second follow-</w:t>
      </w:r>
      <w:r w:rsidR="00575806" w:rsidRPr="00575806">
        <w:t xml:space="preserve">up response rates are </w:t>
      </w:r>
      <w:r>
        <w:t>84 to 91 percent</w:t>
      </w:r>
      <w:r w:rsidR="00B03C07">
        <w:t xml:space="preserve">. </w:t>
      </w:r>
    </w:p>
    <w:p w14:paraId="12F162F5" w14:textId="05630181" w:rsidR="00DD2714" w:rsidRDefault="00436B9F" w:rsidP="00436B9F">
      <w:pPr>
        <w:pStyle w:val="NormalSS"/>
      </w:pPr>
      <w:r w:rsidRPr="00972F27">
        <w:t>Based on experience with similar questionn</w:t>
      </w:r>
      <w:r w:rsidR="00CB57AF">
        <w:t>aires</w:t>
      </w:r>
      <w:r w:rsidR="003C2590">
        <w:t xml:space="preserve">, </w:t>
      </w:r>
      <w:r w:rsidRPr="00972F27">
        <w:t xml:space="preserve">it is estimated that it will take youth </w:t>
      </w:r>
      <w:r>
        <w:t>30</w:t>
      </w:r>
      <w:r w:rsidRPr="00972F27">
        <w:t xml:space="preserve"> minutes (</w:t>
      </w:r>
      <w:r>
        <w:t>30/60</w:t>
      </w:r>
      <w:r w:rsidRPr="00972F27">
        <w:t xml:space="preserve"> hour) to complete </w:t>
      </w:r>
      <w:r w:rsidR="00285C15">
        <w:t>each</w:t>
      </w:r>
      <w:r w:rsidR="00285C15" w:rsidRPr="00972F27">
        <w:t xml:space="preserve"> </w:t>
      </w:r>
      <w:r w:rsidR="00285C15">
        <w:t xml:space="preserve">follow-up </w:t>
      </w:r>
      <w:r>
        <w:t>survey</w:t>
      </w:r>
      <w:r w:rsidRPr="00972F27">
        <w:t xml:space="preserve">, on average. </w:t>
      </w:r>
      <w:r w:rsidR="00DD2714">
        <w:t xml:space="preserve">The </w:t>
      </w:r>
      <w:r w:rsidR="000328C3">
        <w:t xml:space="preserve">total </w:t>
      </w:r>
      <w:r w:rsidR="00DD2714">
        <w:t xml:space="preserve">burden for the first follow-up is </w:t>
      </w:r>
      <w:r w:rsidR="00F8503A">
        <w:t>1</w:t>
      </w:r>
      <w:r w:rsidR="009F4BDD">
        <w:t>,</w:t>
      </w:r>
      <w:r w:rsidR="00F8503A">
        <w:t>228.5</w:t>
      </w:r>
      <w:r w:rsidR="00DD2714">
        <w:t xml:space="preserve"> hours, and the </w:t>
      </w:r>
      <w:r w:rsidR="000328C3">
        <w:t xml:space="preserve">total </w:t>
      </w:r>
      <w:r w:rsidR="00DD2714">
        <w:t xml:space="preserve">burden for the second follow-up is </w:t>
      </w:r>
      <w:r w:rsidR="00056AB6">
        <w:t>1</w:t>
      </w:r>
      <w:r w:rsidR="009F4BDD">
        <w:t>,</w:t>
      </w:r>
      <w:r w:rsidR="00056AB6">
        <w:t xml:space="preserve">160.5 </w:t>
      </w:r>
      <w:r w:rsidR="00DD2714">
        <w:t xml:space="preserve">hours.  Across the three years of administration, this is a total burden </w:t>
      </w:r>
      <w:r w:rsidR="00B40F3C">
        <w:t>for the follow-</w:t>
      </w:r>
      <w:r w:rsidR="002153F7">
        <w:t xml:space="preserve">up surveys </w:t>
      </w:r>
      <w:r w:rsidR="00DD2714">
        <w:t xml:space="preserve">of </w:t>
      </w:r>
      <w:r w:rsidR="002153F7">
        <w:t>2</w:t>
      </w:r>
      <w:r w:rsidR="009F4BDD">
        <w:t>,</w:t>
      </w:r>
      <w:r w:rsidR="002153F7">
        <w:t>389</w:t>
      </w:r>
      <w:r w:rsidR="00DD2714">
        <w:t xml:space="preserve"> hours, or an average of </w:t>
      </w:r>
      <w:r w:rsidR="002153F7">
        <w:t>796.</w:t>
      </w:r>
      <w:r w:rsidR="00991DDE">
        <w:t>5</w:t>
      </w:r>
      <w:r w:rsidR="009F4BDD">
        <w:t xml:space="preserve"> hours a </w:t>
      </w:r>
      <w:r w:rsidR="00DD2714">
        <w:t>year.</w:t>
      </w:r>
    </w:p>
    <w:p w14:paraId="1829C7FC" w14:textId="7B8847BC" w:rsidR="00436B9F" w:rsidRPr="00476F0A" w:rsidRDefault="00436B9F" w:rsidP="00476F0A">
      <w:pPr>
        <w:pStyle w:val="MarkforTableHeading"/>
      </w:pPr>
      <w:bookmarkStart w:id="119" w:name="_Toc326750790"/>
      <w:bookmarkStart w:id="120" w:name="_Toc326753077"/>
      <w:bookmarkStart w:id="121" w:name="_Toc396922583"/>
      <w:bookmarkStart w:id="122" w:name="_Toc477900660"/>
      <w:r w:rsidRPr="00476F0A">
        <w:t xml:space="preserve">Table A.12.1. Calculations of </w:t>
      </w:r>
      <w:r w:rsidR="00991DDE" w:rsidRPr="00476F0A">
        <w:t xml:space="preserve">Annual </w:t>
      </w:r>
      <w:r w:rsidRPr="00476F0A">
        <w:t>Burden Hours and Cost for Youth Participants</w:t>
      </w:r>
      <w:bookmarkEnd w:id="119"/>
      <w:bookmarkEnd w:id="120"/>
      <w:bookmarkEnd w:id="121"/>
      <w:r w:rsidRPr="00476F0A">
        <w:t xml:space="preserve"> for the </w:t>
      </w:r>
      <w:r w:rsidR="00105146" w:rsidRPr="00476F0A">
        <w:t xml:space="preserve">follow-up </w:t>
      </w:r>
      <w:r w:rsidRPr="00476F0A">
        <w:t>survey</w:t>
      </w:r>
      <w:bookmarkEnd w:id="122"/>
    </w:p>
    <w:tbl>
      <w:tblPr>
        <w:tblStyle w:val="TableGrid"/>
        <w:tblW w:w="5433" w:type="pct"/>
        <w:tblBorders>
          <w:top w:val="single" w:sz="12" w:space="0" w:color="auto"/>
          <w:left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1645"/>
        <w:gridCol w:w="1284"/>
        <w:gridCol w:w="925"/>
        <w:gridCol w:w="925"/>
        <w:gridCol w:w="925"/>
        <w:gridCol w:w="925"/>
        <w:gridCol w:w="925"/>
        <w:gridCol w:w="925"/>
        <w:gridCol w:w="925"/>
        <w:gridCol w:w="923"/>
      </w:tblGrid>
      <w:tr w:rsidR="00476F0A" w:rsidRPr="00476F0A" w14:paraId="1829C804" w14:textId="2FF7351B" w:rsidTr="00476F0A">
        <w:trPr>
          <w:cantSplit/>
          <w:trHeight w:val="1944"/>
          <w:tblHeader/>
        </w:trPr>
        <w:tc>
          <w:tcPr>
            <w:tcW w:w="796" w:type="pct"/>
            <w:tcBorders>
              <w:top w:val="nil"/>
              <w:bottom w:val="single" w:sz="4" w:space="0" w:color="auto"/>
            </w:tcBorders>
            <w:shd w:val="clear" w:color="auto" w:fill="6C6F70"/>
            <w:vAlign w:val="bottom"/>
          </w:tcPr>
          <w:p w14:paraId="1829C7FD" w14:textId="77777777" w:rsidR="004A3ADB" w:rsidRPr="00476F0A" w:rsidRDefault="004A3ADB" w:rsidP="00051C2A">
            <w:pPr>
              <w:pStyle w:val="TableText"/>
              <w:widowControl w:val="0"/>
              <w:spacing w:before="120" w:after="60"/>
              <w:rPr>
                <w:rFonts w:cs="Arial"/>
                <w:b/>
                <w:color w:val="FFFFFF" w:themeColor="background1"/>
                <w:sz w:val="17"/>
                <w:szCs w:val="17"/>
              </w:rPr>
            </w:pPr>
            <w:r w:rsidRPr="00476F0A">
              <w:rPr>
                <w:rFonts w:cs="Arial"/>
                <w:b/>
                <w:color w:val="FFFFFF" w:themeColor="background1"/>
                <w:sz w:val="17"/>
                <w:szCs w:val="17"/>
              </w:rPr>
              <w:t>Instrument</w:t>
            </w:r>
          </w:p>
        </w:tc>
        <w:tc>
          <w:tcPr>
            <w:tcW w:w="621" w:type="pct"/>
            <w:tcBorders>
              <w:top w:val="nil"/>
              <w:bottom w:val="single" w:sz="4" w:space="0" w:color="auto"/>
            </w:tcBorders>
            <w:shd w:val="clear" w:color="auto" w:fill="6C6F70"/>
            <w:vAlign w:val="bottom"/>
          </w:tcPr>
          <w:p w14:paraId="1829C7FE" w14:textId="77777777" w:rsidR="004A3ADB" w:rsidRPr="00476F0A" w:rsidRDefault="004A3ADB" w:rsidP="00051C2A">
            <w:pPr>
              <w:pStyle w:val="TableHeaderCenter"/>
              <w:rPr>
                <w:rFonts w:cs="Arial"/>
                <w:sz w:val="17"/>
                <w:szCs w:val="17"/>
              </w:rPr>
            </w:pPr>
            <w:r w:rsidRPr="00476F0A">
              <w:rPr>
                <w:rFonts w:cs="Arial"/>
                <w:sz w:val="17"/>
                <w:szCs w:val="17"/>
              </w:rPr>
              <w:t>Type of respondent</w:t>
            </w:r>
          </w:p>
        </w:tc>
        <w:tc>
          <w:tcPr>
            <w:tcW w:w="448" w:type="pct"/>
            <w:tcBorders>
              <w:top w:val="nil"/>
              <w:bottom w:val="single" w:sz="4" w:space="0" w:color="auto"/>
            </w:tcBorders>
            <w:shd w:val="clear" w:color="auto" w:fill="6C6F70"/>
            <w:textDirection w:val="btLr"/>
            <w:vAlign w:val="center"/>
          </w:tcPr>
          <w:p w14:paraId="1829C7FF" w14:textId="77777777" w:rsidR="004A3ADB" w:rsidRPr="00476F0A" w:rsidRDefault="004A3ADB" w:rsidP="00476F0A">
            <w:pPr>
              <w:pStyle w:val="TableHeaderCenter"/>
              <w:spacing w:before="0" w:after="0"/>
              <w:ind w:left="113" w:right="113"/>
              <w:jc w:val="left"/>
              <w:rPr>
                <w:rFonts w:cs="Arial"/>
                <w:sz w:val="17"/>
                <w:szCs w:val="17"/>
              </w:rPr>
            </w:pPr>
            <w:r w:rsidRPr="00476F0A">
              <w:rPr>
                <w:rFonts w:cs="Arial"/>
                <w:sz w:val="17"/>
                <w:szCs w:val="17"/>
              </w:rPr>
              <w:t>Total Number of Respondents</w:t>
            </w:r>
          </w:p>
        </w:tc>
        <w:tc>
          <w:tcPr>
            <w:tcW w:w="448" w:type="pct"/>
            <w:tcBorders>
              <w:top w:val="nil"/>
              <w:bottom w:val="single" w:sz="4" w:space="0" w:color="auto"/>
            </w:tcBorders>
            <w:shd w:val="clear" w:color="auto" w:fill="6C6F70"/>
            <w:textDirection w:val="btLr"/>
            <w:vAlign w:val="center"/>
          </w:tcPr>
          <w:p w14:paraId="1829C800" w14:textId="77777777" w:rsidR="004A3ADB" w:rsidRPr="00476F0A" w:rsidRDefault="004A3ADB" w:rsidP="00476F0A">
            <w:pPr>
              <w:pStyle w:val="TableHeaderCenter"/>
              <w:spacing w:before="0" w:after="0"/>
              <w:ind w:left="113" w:right="113"/>
              <w:jc w:val="left"/>
              <w:rPr>
                <w:rFonts w:cs="Arial"/>
                <w:sz w:val="17"/>
                <w:szCs w:val="17"/>
              </w:rPr>
            </w:pPr>
            <w:r w:rsidRPr="00476F0A">
              <w:rPr>
                <w:rFonts w:cs="Arial"/>
                <w:sz w:val="17"/>
                <w:szCs w:val="17"/>
              </w:rPr>
              <w:t>Annual Number of Respondents</w:t>
            </w:r>
          </w:p>
        </w:tc>
        <w:tc>
          <w:tcPr>
            <w:tcW w:w="448" w:type="pct"/>
            <w:tcBorders>
              <w:top w:val="nil"/>
              <w:bottom w:val="single" w:sz="4" w:space="0" w:color="auto"/>
            </w:tcBorders>
            <w:shd w:val="clear" w:color="auto" w:fill="6C6F70"/>
            <w:textDirection w:val="btLr"/>
            <w:vAlign w:val="center"/>
          </w:tcPr>
          <w:p w14:paraId="1829C801" w14:textId="77777777" w:rsidR="004A3ADB" w:rsidRPr="00476F0A" w:rsidRDefault="004A3ADB" w:rsidP="00476F0A">
            <w:pPr>
              <w:pStyle w:val="TableHeaderCenter"/>
              <w:spacing w:before="0" w:after="0"/>
              <w:ind w:left="113" w:right="113"/>
              <w:jc w:val="left"/>
              <w:rPr>
                <w:rFonts w:cs="Arial"/>
                <w:sz w:val="17"/>
                <w:szCs w:val="17"/>
              </w:rPr>
            </w:pPr>
            <w:r w:rsidRPr="00476F0A">
              <w:rPr>
                <w:rFonts w:cs="Arial"/>
                <w:sz w:val="17"/>
                <w:szCs w:val="17"/>
              </w:rPr>
              <w:t>Number of Responses per Respondent</w:t>
            </w:r>
          </w:p>
        </w:tc>
        <w:tc>
          <w:tcPr>
            <w:tcW w:w="448" w:type="pct"/>
            <w:tcBorders>
              <w:top w:val="nil"/>
              <w:bottom w:val="single" w:sz="4" w:space="0" w:color="auto"/>
            </w:tcBorders>
            <w:shd w:val="clear" w:color="auto" w:fill="6C6F70"/>
            <w:textDirection w:val="btLr"/>
            <w:vAlign w:val="center"/>
          </w:tcPr>
          <w:p w14:paraId="1829C802" w14:textId="77777777" w:rsidR="004A3ADB" w:rsidRPr="00476F0A" w:rsidRDefault="004A3ADB" w:rsidP="00476F0A">
            <w:pPr>
              <w:pStyle w:val="TableHeaderCenter"/>
              <w:spacing w:before="0" w:after="0"/>
              <w:ind w:left="113" w:right="113"/>
              <w:jc w:val="left"/>
              <w:rPr>
                <w:rFonts w:cs="Arial"/>
                <w:sz w:val="17"/>
                <w:szCs w:val="17"/>
              </w:rPr>
            </w:pPr>
            <w:r w:rsidRPr="00476F0A">
              <w:rPr>
                <w:rFonts w:cs="Arial"/>
                <w:sz w:val="17"/>
                <w:szCs w:val="17"/>
              </w:rPr>
              <w:t>Average Burden Hours per Response</w:t>
            </w:r>
          </w:p>
        </w:tc>
        <w:tc>
          <w:tcPr>
            <w:tcW w:w="448" w:type="pct"/>
            <w:tcBorders>
              <w:top w:val="nil"/>
              <w:bottom w:val="single" w:sz="4" w:space="0" w:color="auto"/>
            </w:tcBorders>
            <w:shd w:val="clear" w:color="auto" w:fill="6C6F70"/>
            <w:textDirection w:val="btLr"/>
            <w:vAlign w:val="center"/>
          </w:tcPr>
          <w:p w14:paraId="1829C803" w14:textId="058BC737" w:rsidR="004A3ADB" w:rsidRPr="00476F0A" w:rsidRDefault="004A3ADB" w:rsidP="00476F0A">
            <w:pPr>
              <w:pStyle w:val="TableHeaderCenter"/>
              <w:spacing w:before="0" w:after="0"/>
              <w:ind w:left="113" w:right="113"/>
              <w:jc w:val="left"/>
              <w:rPr>
                <w:rFonts w:cs="Arial"/>
                <w:sz w:val="17"/>
                <w:szCs w:val="17"/>
              </w:rPr>
            </w:pPr>
            <w:r w:rsidRPr="00476F0A">
              <w:rPr>
                <w:rFonts w:cs="Arial"/>
                <w:sz w:val="17"/>
                <w:szCs w:val="17"/>
              </w:rPr>
              <w:t>Annual Burden Hours</w:t>
            </w:r>
          </w:p>
        </w:tc>
        <w:tc>
          <w:tcPr>
            <w:tcW w:w="448" w:type="pct"/>
            <w:tcBorders>
              <w:top w:val="nil"/>
              <w:bottom w:val="single" w:sz="4" w:space="0" w:color="auto"/>
            </w:tcBorders>
            <w:shd w:val="clear" w:color="auto" w:fill="6C6F70"/>
            <w:textDirection w:val="btLr"/>
            <w:vAlign w:val="center"/>
          </w:tcPr>
          <w:p w14:paraId="6F4FDD4D" w14:textId="13F56D5D" w:rsidR="004A3ADB" w:rsidRPr="00476F0A" w:rsidRDefault="004A3ADB" w:rsidP="00476F0A">
            <w:pPr>
              <w:pStyle w:val="TableHeaderCenter"/>
              <w:spacing w:before="0" w:after="0"/>
              <w:ind w:left="113" w:right="113"/>
              <w:jc w:val="left"/>
              <w:rPr>
                <w:rFonts w:cs="Arial"/>
                <w:sz w:val="17"/>
                <w:szCs w:val="17"/>
              </w:rPr>
            </w:pPr>
            <w:r w:rsidRPr="00476F0A">
              <w:rPr>
                <w:rFonts w:cs="Arial"/>
                <w:sz w:val="17"/>
                <w:szCs w:val="17"/>
              </w:rPr>
              <w:t>Annual Burden Hours for Youth Age</w:t>
            </w:r>
            <w:r w:rsidR="00476F0A">
              <w:rPr>
                <w:rFonts w:cs="Arial"/>
                <w:sz w:val="17"/>
                <w:szCs w:val="17"/>
              </w:rPr>
              <w:t> </w:t>
            </w:r>
            <w:r w:rsidRPr="00476F0A">
              <w:rPr>
                <w:rFonts w:cs="Arial"/>
                <w:sz w:val="17"/>
                <w:szCs w:val="17"/>
              </w:rPr>
              <w:t>18 or Older</w:t>
            </w:r>
          </w:p>
        </w:tc>
        <w:tc>
          <w:tcPr>
            <w:tcW w:w="448" w:type="pct"/>
            <w:tcBorders>
              <w:top w:val="nil"/>
              <w:bottom w:val="single" w:sz="4" w:space="0" w:color="auto"/>
            </w:tcBorders>
            <w:shd w:val="clear" w:color="auto" w:fill="6C6F70"/>
            <w:textDirection w:val="btLr"/>
            <w:vAlign w:val="center"/>
          </w:tcPr>
          <w:p w14:paraId="4BE6F036" w14:textId="19696D35" w:rsidR="004A3ADB" w:rsidRPr="00476F0A" w:rsidRDefault="004A3ADB" w:rsidP="00476F0A">
            <w:pPr>
              <w:pStyle w:val="TableHeaderCenter"/>
              <w:spacing w:before="0" w:after="0"/>
              <w:ind w:left="113" w:right="113"/>
              <w:jc w:val="left"/>
              <w:rPr>
                <w:rFonts w:cs="Arial"/>
                <w:sz w:val="17"/>
                <w:szCs w:val="17"/>
              </w:rPr>
            </w:pPr>
            <w:r w:rsidRPr="00476F0A">
              <w:rPr>
                <w:rFonts w:cs="Arial"/>
                <w:sz w:val="17"/>
                <w:szCs w:val="17"/>
              </w:rPr>
              <w:t>Hourly Wage Rate</w:t>
            </w:r>
          </w:p>
        </w:tc>
        <w:tc>
          <w:tcPr>
            <w:tcW w:w="448" w:type="pct"/>
            <w:tcBorders>
              <w:top w:val="nil"/>
              <w:bottom w:val="single" w:sz="4" w:space="0" w:color="auto"/>
            </w:tcBorders>
            <w:shd w:val="clear" w:color="auto" w:fill="6C6F70"/>
            <w:textDirection w:val="btLr"/>
            <w:vAlign w:val="center"/>
          </w:tcPr>
          <w:p w14:paraId="39BD0C46" w14:textId="73E3E872" w:rsidR="004A3ADB" w:rsidRPr="00476F0A" w:rsidRDefault="004A3ADB" w:rsidP="00476F0A">
            <w:pPr>
              <w:pStyle w:val="TableHeaderCenter"/>
              <w:spacing w:before="0" w:after="0"/>
              <w:ind w:left="113" w:right="113"/>
              <w:jc w:val="left"/>
              <w:rPr>
                <w:rFonts w:cs="Arial"/>
                <w:sz w:val="17"/>
                <w:szCs w:val="17"/>
              </w:rPr>
            </w:pPr>
            <w:r w:rsidRPr="00476F0A">
              <w:rPr>
                <w:rFonts w:cs="Arial"/>
                <w:sz w:val="17"/>
                <w:szCs w:val="17"/>
              </w:rPr>
              <w:t xml:space="preserve">Total </w:t>
            </w:r>
            <w:r w:rsidR="006435C7" w:rsidRPr="00476F0A">
              <w:rPr>
                <w:rFonts w:cs="Arial"/>
                <w:sz w:val="17"/>
                <w:szCs w:val="17"/>
              </w:rPr>
              <w:t xml:space="preserve">Annual </w:t>
            </w:r>
            <w:r w:rsidRPr="00476F0A">
              <w:rPr>
                <w:rFonts w:cs="Arial"/>
                <w:sz w:val="17"/>
                <w:szCs w:val="17"/>
              </w:rPr>
              <w:t>Costs</w:t>
            </w:r>
          </w:p>
        </w:tc>
      </w:tr>
      <w:tr w:rsidR="00476F0A" w:rsidRPr="00D52781" w14:paraId="1829C80C" w14:textId="248CAD80" w:rsidTr="00476F0A">
        <w:tc>
          <w:tcPr>
            <w:tcW w:w="796" w:type="pct"/>
            <w:tcBorders>
              <w:top w:val="single" w:sz="4" w:space="0" w:color="auto"/>
              <w:bottom w:val="single" w:sz="4" w:space="0" w:color="auto"/>
            </w:tcBorders>
            <w:shd w:val="clear" w:color="auto" w:fill="auto"/>
          </w:tcPr>
          <w:p w14:paraId="1829C805" w14:textId="3958B32E" w:rsidR="004A3ADB" w:rsidRPr="00476F0A" w:rsidRDefault="00B40F3C" w:rsidP="000C552C">
            <w:pPr>
              <w:widowControl w:val="0"/>
              <w:tabs>
                <w:tab w:val="clear" w:pos="432"/>
              </w:tabs>
              <w:spacing w:before="60" w:after="60" w:line="240" w:lineRule="auto"/>
              <w:ind w:firstLine="0"/>
              <w:jc w:val="left"/>
              <w:rPr>
                <w:rFonts w:ascii="Arial" w:hAnsi="Arial" w:cs="Arial"/>
                <w:sz w:val="17"/>
                <w:szCs w:val="17"/>
              </w:rPr>
            </w:pPr>
            <w:r>
              <w:rPr>
                <w:rFonts w:ascii="Arial" w:hAnsi="Arial" w:cs="Arial"/>
                <w:sz w:val="17"/>
                <w:szCs w:val="17"/>
              </w:rPr>
              <w:t>1. Follow-</w:t>
            </w:r>
            <w:r w:rsidR="004A3ADB" w:rsidRPr="00476F0A">
              <w:rPr>
                <w:rFonts w:ascii="Arial" w:hAnsi="Arial" w:cs="Arial"/>
                <w:sz w:val="17"/>
                <w:szCs w:val="17"/>
              </w:rPr>
              <w:t>up survey (9 months post baseline)</w:t>
            </w:r>
            <w:r w:rsidR="004A3ADB" w:rsidRPr="00476F0A" w:rsidDel="009F5FE8">
              <w:rPr>
                <w:rFonts w:ascii="Arial" w:hAnsi="Arial" w:cs="Arial"/>
                <w:sz w:val="17"/>
                <w:szCs w:val="17"/>
              </w:rPr>
              <w:t xml:space="preserve"> </w:t>
            </w:r>
          </w:p>
        </w:tc>
        <w:tc>
          <w:tcPr>
            <w:tcW w:w="621" w:type="pct"/>
            <w:tcBorders>
              <w:top w:val="single" w:sz="4" w:space="0" w:color="auto"/>
              <w:bottom w:val="single" w:sz="4" w:space="0" w:color="auto"/>
            </w:tcBorders>
          </w:tcPr>
          <w:p w14:paraId="1829C806" w14:textId="516A5F33" w:rsidR="004A3ADB" w:rsidRPr="00476F0A" w:rsidRDefault="004A3ADB" w:rsidP="00051C2A">
            <w:pPr>
              <w:widowControl w:val="0"/>
              <w:tabs>
                <w:tab w:val="clear" w:pos="432"/>
              </w:tabs>
              <w:spacing w:before="60" w:after="60" w:line="240" w:lineRule="auto"/>
              <w:ind w:firstLine="0"/>
              <w:jc w:val="left"/>
              <w:rPr>
                <w:rFonts w:ascii="Arial" w:hAnsi="Arial" w:cs="Arial"/>
                <w:sz w:val="17"/>
                <w:szCs w:val="17"/>
              </w:rPr>
            </w:pPr>
            <w:r w:rsidRPr="00476F0A">
              <w:rPr>
                <w:rFonts w:ascii="Arial" w:hAnsi="Arial" w:cs="Arial"/>
                <w:sz w:val="17"/>
                <w:szCs w:val="17"/>
              </w:rPr>
              <w:t xml:space="preserve">Youth study participants </w:t>
            </w:r>
          </w:p>
        </w:tc>
        <w:tc>
          <w:tcPr>
            <w:tcW w:w="448" w:type="pct"/>
            <w:tcBorders>
              <w:top w:val="single" w:sz="4" w:space="0" w:color="auto"/>
              <w:bottom w:val="single" w:sz="4" w:space="0" w:color="auto"/>
            </w:tcBorders>
            <w:vAlign w:val="center"/>
          </w:tcPr>
          <w:p w14:paraId="1829C807" w14:textId="645309D8" w:rsidR="004A3ADB" w:rsidRPr="00476F0A" w:rsidRDefault="00056AB6" w:rsidP="00BE159D">
            <w:pPr>
              <w:widowControl w:val="0"/>
              <w:tabs>
                <w:tab w:val="clear" w:pos="432"/>
                <w:tab w:val="decimal" w:pos="624"/>
              </w:tabs>
              <w:spacing w:before="60" w:after="60" w:line="240" w:lineRule="auto"/>
              <w:ind w:firstLine="0"/>
              <w:jc w:val="left"/>
              <w:rPr>
                <w:rFonts w:ascii="Arial" w:hAnsi="Arial" w:cs="Arial"/>
                <w:sz w:val="17"/>
                <w:szCs w:val="17"/>
              </w:rPr>
            </w:pPr>
            <w:r w:rsidRPr="00476F0A">
              <w:rPr>
                <w:rFonts w:ascii="Arial" w:hAnsi="Arial" w:cs="Arial"/>
                <w:sz w:val="17"/>
                <w:szCs w:val="17"/>
              </w:rPr>
              <w:t>2</w:t>
            </w:r>
            <w:r w:rsidR="00476F0A" w:rsidRPr="00476F0A">
              <w:rPr>
                <w:rFonts w:ascii="Arial" w:hAnsi="Arial" w:cs="Arial"/>
                <w:sz w:val="17"/>
                <w:szCs w:val="17"/>
              </w:rPr>
              <w:t>,</w:t>
            </w:r>
            <w:r w:rsidRPr="00476F0A">
              <w:rPr>
                <w:rFonts w:ascii="Arial" w:hAnsi="Arial" w:cs="Arial"/>
                <w:sz w:val="17"/>
                <w:szCs w:val="17"/>
              </w:rPr>
              <w:t>457</w:t>
            </w:r>
          </w:p>
        </w:tc>
        <w:tc>
          <w:tcPr>
            <w:tcW w:w="448" w:type="pct"/>
            <w:tcBorders>
              <w:top w:val="single" w:sz="4" w:space="0" w:color="auto"/>
              <w:bottom w:val="single" w:sz="4" w:space="0" w:color="auto"/>
            </w:tcBorders>
            <w:shd w:val="clear" w:color="auto" w:fill="auto"/>
            <w:vAlign w:val="center"/>
          </w:tcPr>
          <w:p w14:paraId="1829C808" w14:textId="69E9A150" w:rsidR="004A3ADB" w:rsidRPr="00476F0A" w:rsidRDefault="00232CA4" w:rsidP="00BE159D">
            <w:pPr>
              <w:widowControl w:val="0"/>
              <w:tabs>
                <w:tab w:val="clear" w:pos="432"/>
                <w:tab w:val="decimal" w:pos="624"/>
              </w:tabs>
              <w:spacing w:before="60" w:after="60" w:line="240" w:lineRule="auto"/>
              <w:ind w:firstLine="0"/>
              <w:jc w:val="left"/>
              <w:rPr>
                <w:rFonts w:ascii="Arial" w:hAnsi="Arial" w:cs="Arial"/>
                <w:sz w:val="17"/>
                <w:szCs w:val="17"/>
              </w:rPr>
            </w:pPr>
            <w:r w:rsidRPr="00476F0A">
              <w:rPr>
                <w:rFonts w:ascii="Arial" w:hAnsi="Arial" w:cs="Arial"/>
                <w:sz w:val="17"/>
                <w:szCs w:val="17"/>
              </w:rPr>
              <w:t>819</w:t>
            </w:r>
          </w:p>
        </w:tc>
        <w:tc>
          <w:tcPr>
            <w:tcW w:w="448" w:type="pct"/>
            <w:tcBorders>
              <w:top w:val="single" w:sz="4" w:space="0" w:color="auto"/>
              <w:bottom w:val="single" w:sz="4" w:space="0" w:color="auto"/>
            </w:tcBorders>
            <w:shd w:val="clear" w:color="auto" w:fill="auto"/>
            <w:vAlign w:val="center"/>
          </w:tcPr>
          <w:p w14:paraId="1829C809" w14:textId="77777777" w:rsidR="004A3ADB" w:rsidRPr="00476F0A" w:rsidRDefault="004A3ADB" w:rsidP="00E3042E">
            <w:pPr>
              <w:widowControl w:val="0"/>
              <w:tabs>
                <w:tab w:val="clear" w:pos="432"/>
                <w:tab w:val="decimal" w:pos="624"/>
              </w:tabs>
              <w:spacing w:before="60" w:after="60" w:line="240" w:lineRule="auto"/>
              <w:ind w:firstLine="0"/>
              <w:jc w:val="center"/>
              <w:rPr>
                <w:rFonts w:ascii="Arial" w:hAnsi="Arial" w:cs="Arial"/>
                <w:sz w:val="17"/>
                <w:szCs w:val="17"/>
              </w:rPr>
            </w:pPr>
            <w:r w:rsidRPr="00476F0A">
              <w:rPr>
                <w:rFonts w:ascii="Arial" w:hAnsi="Arial" w:cs="Arial"/>
                <w:sz w:val="17"/>
                <w:szCs w:val="17"/>
              </w:rPr>
              <w:t>1</w:t>
            </w:r>
          </w:p>
        </w:tc>
        <w:tc>
          <w:tcPr>
            <w:tcW w:w="448" w:type="pct"/>
            <w:tcBorders>
              <w:top w:val="single" w:sz="4" w:space="0" w:color="auto"/>
              <w:bottom w:val="single" w:sz="4" w:space="0" w:color="auto"/>
            </w:tcBorders>
            <w:shd w:val="clear" w:color="auto" w:fill="auto"/>
            <w:vAlign w:val="center"/>
          </w:tcPr>
          <w:p w14:paraId="1829C80A" w14:textId="77777777" w:rsidR="004A3ADB" w:rsidRPr="00476F0A" w:rsidRDefault="004A3ADB" w:rsidP="00051C2A">
            <w:pPr>
              <w:widowControl w:val="0"/>
              <w:tabs>
                <w:tab w:val="clear" w:pos="432"/>
                <w:tab w:val="decimal" w:pos="371"/>
              </w:tabs>
              <w:spacing w:before="60" w:after="60" w:line="240" w:lineRule="auto"/>
              <w:ind w:firstLine="0"/>
              <w:jc w:val="left"/>
              <w:rPr>
                <w:rFonts w:ascii="Arial" w:hAnsi="Arial" w:cs="Arial"/>
                <w:sz w:val="17"/>
                <w:szCs w:val="17"/>
              </w:rPr>
            </w:pPr>
            <w:r w:rsidRPr="00476F0A">
              <w:rPr>
                <w:rFonts w:ascii="Arial" w:hAnsi="Arial" w:cs="Arial"/>
                <w:sz w:val="17"/>
                <w:szCs w:val="17"/>
              </w:rPr>
              <w:t>30/60</w:t>
            </w:r>
          </w:p>
        </w:tc>
        <w:tc>
          <w:tcPr>
            <w:tcW w:w="448" w:type="pct"/>
            <w:tcBorders>
              <w:top w:val="single" w:sz="4" w:space="0" w:color="auto"/>
              <w:bottom w:val="single" w:sz="4" w:space="0" w:color="auto"/>
            </w:tcBorders>
            <w:shd w:val="clear" w:color="auto" w:fill="auto"/>
            <w:vAlign w:val="center"/>
          </w:tcPr>
          <w:p w14:paraId="1829C80B" w14:textId="197F2B8C" w:rsidR="004A3ADB" w:rsidRPr="00476F0A" w:rsidRDefault="00232CA4" w:rsidP="00051C2A">
            <w:pPr>
              <w:widowControl w:val="0"/>
              <w:tabs>
                <w:tab w:val="clear" w:pos="432"/>
                <w:tab w:val="decimal" w:pos="624"/>
              </w:tabs>
              <w:spacing w:before="60" w:after="60" w:line="240" w:lineRule="auto"/>
              <w:ind w:firstLine="0"/>
              <w:jc w:val="left"/>
              <w:rPr>
                <w:rFonts w:ascii="Arial" w:hAnsi="Arial" w:cs="Arial"/>
                <w:sz w:val="17"/>
                <w:szCs w:val="17"/>
              </w:rPr>
            </w:pPr>
            <w:r w:rsidRPr="00476F0A">
              <w:rPr>
                <w:rFonts w:ascii="Arial" w:hAnsi="Arial" w:cs="Arial"/>
                <w:sz w:val="17"/>
                <w:szCs w:val="17"/>
              </w:rPr>
              <w:t>409.5</w:t>
            </w:r>
          </w:p>
        </w:tc>
        <w:tc>
          <w:tcPr>
            <w:tcW w:w="448" w:type="pct"/>
            <w:tcBorders>
              <w:top w:val="single" w:sz="4" w:space="0" w:color="auto"/>
              <w:bottom w:val="single" w:sz="4" w:space="0" w:color="auto"/>
            </w:tcBorders>
            <w:vAlign w:val="center"/>
          </w:tcPr>
          <w:p w14:paraId="5285E310" w14:textId="649E7C8C" w:rsidR="004A3ADB" w:rsidRPr="00476F0A" w:rsidRDefault="003E3BFF" w:rsidP="00232CA4">
            <w:pPr>
              <w:widowControl w:val="0"/>
              <w:tabs>
                <w:tab w:val="clear" w:pos="432"/>
                <w:tab w:val="decimal" w:pos="624"/>
              </w:tabs>
              <w:spacing w:before="60" w:after="60" w:line="240" w:lineRule="auto"/>
              <w:ind w:firstLine="0"/>
              <w:jc w:val="left"/>
              <w:rPr>
                <w:rFonts w:ascii="Arial" w:hAnsi="Arial" w:cs="Arial"/>
                <w:sz w:val="17"/>
                <w:szCs w:val="17"/>
              </w:rPr>
            </w:pPr>
            <w:r>
              <w:rPr>
                <w:rFonts w:ascii="Arial" w:hAnsi="Arial" w:cs="Arial"/>
                <w:sz w:val="17"/>
                <w:szCs w:val="17"/>
              </w:rPr>
              <w:t>41</w:t>
            </w:r>
          </w:p>
        </w:tc>
        <w:tc>
          <w:tcPr>
            <w:tcW w:w="448" w:type="pct"/>
            <w:tcBorders>
              <w:top w:val="single" w:sz="4" w:space="0" w:color="auto"/>
              <w:bottom w:val="single" w:sz="4" w:space="0" w:color="auto"/>
            </w:tcBorders>
            <w:vAlign w:val="center"/>
          </w:tcPr>
          <w:p w14:paraId="338E17E3" w14:textId="55FA1061" w:rsidR="004A3ADB" w:rsidRPr="00476F0A" w:rsidRDefault="00575806" w:rsidP="006D313D">
            <w:pPr>
              <w:widowControl w:val="0"/>
              <w:tabs>
                <w:tab w:val="clear" w:pos="432"/>
                <w:tab w:val="decimal" w:pos="624"/>
              </w:tabs>
              <w:spacing w:before="60" w:after="60" w:line="240" w:lineRule="auto"/>
              <w:ind w:firstLine="0"/>
              <w:jc w:val="left"/>
              <w:rPr>
                <w:rFonts w:ascii="Arial" w:hAnsi="Arial" w:cs="Arial"/>
                <w:sz w:val="17"/>
                <w:szCs w:val="17"/>
              </w:rPr>
            </w:pPr>
            <w:r w:rsidRPr="00476F0A">
              <w:rPr>
                <w:rFonts w:ascii="Arial" w:hAnsi="Arial" w:cs="Arial"/>
                <w:sz w:val="17"/>
                <w:szCs w:val="17"/>
              </w:rPr>
              <w:t>$</w:t>
            </w:r>
            <w:r w:rsidR="006D313D" w:rsidRPr="00476F0A">
              <w:rPr>
                <w:rFonts w:ascii="Arial" w:hAnsi="Arial" w:cs="Arial"/>
                <w:sz w:val="17"/>
                <w:szCs w:val="17"/>
              </w:rPr>
              <w:t>7.25</w:t>
            </w:r>
          </w:p>
        </w:tc>
        <w:tc>
          <w:tcPr>
            <w:tcW w:w="448" w:type="pct"/>
            <w:tcBorders>
              <w:top w:val="single" w:sz="4" w:space="0" w:color="auto"/>
              <w:bottom w:val="single" w:sz="4" w:space="0" w:color="auto"/>
            </w:tcBorders>
            <w:vAlign w:val="center"/>
          </w:tcPr>
          <w:p w14:paraId="43E8D9B2" w14:textId="2CD1F270" w:rsidR="004A3ADB" w:rsidRPr="00476F0A" w:rsidRDefault="00444FE2" w:rsidP="003E3BFF">
            <w:pPr>
              <w:widowControl w:val="0"/>
              <w:tabs>
                <w:tab w:val="clear" w:pos="432"/>
                <w:tab w:val="decimal" w:pos="624"/>
              </w:tabs>
              <w:spacing w:before="60" w:after="60" w:line="240" w:lineRule="auto"/>
              <w:ind w:firstLine="0"/>
              <w:jc w:val="left"/>
              <w:rPr>
                <w:rFonts w:ascii="Arial" w:hAnsi="Arial" w:cs="Arial"/>
                <w:sz w:val="17"/>
                <w:szCs w:val="17"/>
              </w:rPr>
            </w:pPr>
            <w:r w:rsidRPr="00476F0A">
              <w:rPr>
                <w:rFonts w:ascii="Arial" w:hAnsi="Arial" w:cs="Arial"/>
                <w:sz w:val="17"/>
                <w:szCs w:val="17"/>
              </w:rPr>
              <w:t>$</w:t>
            </w:r>
            <w:r w:rsidR="003E3BFF">
              <w:rPr>
                <w:rFonts w:ascii="Arial" w:hAnsi="Arial" w:cs="Arial"/>
                <w:sz w:val="17"/>
                <w:szCs w:val="17"/>
              </w:rPr>
              <w:t>297.25</w:t>
            </w:r>
          </w:p>
        </w:tc>
      </w:tr>
      <w:tr w:rsidR="00476F0A" w:rsidRPr="00D52781" w14:paraId="369FF11C" w14:textId="56F46578" w:rsidTr="00476F0A">
        <w:tc>
          <w:tcPr>
            <w:tcW w:w="796" w:type="pct"/>
            <w:tcBorders>
              <w:top w:val="single" w:sz="4" w:space="0" w:color="auto"/>
              <w:bottom w:val="single" w:sz="4" w:space="0" w:color="auto"/>
            </w:tcBorders>
            <w:shd w:val="clear" w:color="auto" w:fill="auto"/>
          </w:tcPr>
          <w:p w14:paraId="3C41D226" w14:textId="6F3C44AB" w:rsidR="004A3ADB" w:rsidRPr="00476F0A" w:rsidRDefault="00B40F3C" w:rsidP="000C552C">
            <w:pPr>
              <w:widowControl w:val="0"/>
              <w:tabs>
                <w:tab w:val="clear" w:pos="432"/>
              </w:tabs>
              <w:spacing w:before="60" w:after="60" w:line="240" w:lineRule="auto"/>
              <w:ind w:firstLine="0"/>
              <w:jc w:val="left"/>
              <w:rPr>
                <w:rFonts w:ascii="Arial" w:hAnsi="Arial" w:cs="Arial"/>
                <w:sz w:val="17"/>
                <w:szCs w:val="17"/>
              </w:rPr>
            </w:pPr>
            <w:r>
              <w:rPr>
                <w:rFonts w:ascii="Arial" w:hAnsi="Arial" w:cs="Arial"/>
                <w:sz w:val="17"/>
                <w:szCs w:val="17"/>
              </w:rPr>
              <w:t>2. Follow-</w:t>
            </w:r>
            <w:r w:rsidR="004A3ADB" w:rsidRPr="00476F0A">
              <w:rPr>
                <w:rFonts w:ascii="Arial" w:hAnsi="Arial" w:cs="Arial"/>
                <w:sz w:val="17"/>
                <w:szCs w:val="17"/>
              </w:rPr>
              <w:t>up survey (15 months post baseline)</w:t>
            </w:r>
            <w:r w:rsidR="004A3ADB" w:rsidRPr="00476F0A" w:rsidDel="009F5FE8">
              <w:rPr>
                <w:rFonts w:ascii="Arial" w:hAnsi="Arial" w:cs="Arial"/>
                <w:sz w:val="17"/>
                <w:szCs w:val="17"/>
              </w:rPr>
              <w:t xml:space="preserve"> </w:t>
            </w:r>
          </w:p>
        </w:tc>
        <w:tc>
          <w:tcPr>
            <w:tcW w:w="621" w:type="pct"/>
            <w:tcBorders>
              <w:top w:val="single" w:sz="4" w:space="0" w:color="auto"/>
              <w:bottom w:val="single" w:sz="4" w:space="0" w:color="auto"/>
            </w:tcBorders>
          </w:tcPr>
          <w:p w14:paraId="4427E322" w14:textId="0BD1C816" w:rsidR="004A3ADB" w:rsidRPr="00476F0A" w:rsidRDefault="004A3ADB" w:rsidP="00207E2A">
            <w:pPr>
              <w:widowControl w:val="0"/>
              <w:tabs>
                <w:tab w:val="clear" w:pos="432"/>
              </w:tabs>
              <w:spacing w:before="60" w:after="60" w:line="240" w:lineRule="auto"/>
              <w:ind w:firstLine="0"/>
              <w:jc w:val="left"/>
              <w:rPr>
                <w:rFonts w:ascii="Arial" w:hAnsi="Arial" w:cs="Arial"/>
                <w:sz w:val="17"/>
                <w:szCs w:val="17"/>
              </w:rPr>
            </w:pPr>
            <w:r w:rsidRPr="00476F0A">
              <w:rPr>
                <w:rFonts w:ascii="Arial" w:hAnsi="Arial" w:cs="Arial"/>
                <w:sz w:val="17"/>
                <w:szCs w:val="17"/>
              </w:rPr>
              <w:t xml:space="preserve">Youth study participants </w:t>
            </w:r>
          </w:p>
        </w:tc>
        <w:tc>
          <w:tcPr>
            <w:tcW w:w="448" w:type="pct"/>
            <w:tcBorders>
              <w:top w:val="single" w:sz="4" w:space="0" w:color="auto"/>
              <w:bottom w:val="single" w:sz="4" w:space="0" w:color="auto"/>
            </w:tcBorders>
            <w:vAlign w:val="center"/>
          </w:tcPr>
          <w:p w14:paraId="49415556" w14:textId="60AD8DF1" w:rsidR="004A3ADB" w:rsidRPr="00476F0A" w:rsidRDefault="00232CA4" w:rsidP="00BE159D">
            <w:pPr>
              <w:widowControl w:val="0"/>
              <w:tabs>
                <w:tab w:val="clear" w:pos="432"/>
                <w:tab w:val="decimal" w:pos="624"/>
              </w:tabs>
              <w:spacing w:before="60" w:after="60" w:line="240" w:lineRule="auto"/>
              <w:ind w:firstLine="0"/>
              <w:jc w:val="left"/>
              <w:rPr>
                <w:rFonts w:ascii="Arial" w:hAnsi="Arial" w:cs="Arial"/>
                <w:sz w:val="17"/>
                <w:szCs w:val="17"/>
              </w:rPr>
            </w:pPr>
            <w:r w:rsidRPr="00476F0A">
              <w:rPr>
                <w:rFonts w:ascii="Arial" w:hAnsi="Arial" w:cs="Arial"/>
                <w:sz w:val="17"/>
                <w:szCs w:val="17"/>
              </w:rPr>
              <w:t>2</w:t>
            </w:r>
            <w:r w:rsidR="00476F0A" w:rsidRPr="00476F0A">
              <w:rPr>
                <w:rFonts w:ascii="Arial" w:hAnsi="Arial" w:cs="Arial"/>
                <w:sz w:val="17"/>
                <w:szCs w:val="17"/>
              </w:rPr>
              <w:t>,</w:t>
            </w:r>
            <w:r w:rsidRPr="00476F0A">
              <w:rPr>
                <w:rFonts w:ascii="Arial" w:hAnsi="Arial" w:cs="Arial"/>
                <w:sz w:val="17"/>
                <w:szCs w:val="17"/>
              </w:rPr>
              <w:t>321</w:t>
            </w:r>
          </w:p>
        </w:tc>
        <w:tc>
          <w:tcPr>
            <w:tcW w:w="448" w:type="pct"/>
            <w:tcBorders>
              <w:top w:val="single" w:sz="4" w:space="0" w:color="auto"/>
              <w:bottom w:val="single" w:sz="4" w:space="0" w:color="auto"/>
            </w:tcBorders>
            <w:shd w:val="clear" w:color="auto" w:fill="auto"/>
            <w:vAlign w:val="center"/>
          </w:tcPr>
          <w:p w14:paraId="6A7390BE" w14:textId="6A5BE783" w:rsidR="004A3ADB" w:rsidRPr="00476F0A" w:rsidRDefault="00232CA4" w:rsidP="00BE159D">
            <w:pPr>
              <w:widowControl w:val="0"/>
              <w:tabs>
                <w:tab w:val="clear" w:pos="432"/>
                <w:tab w:val="decimal" w:pos="624"/>
              </w:tabs>
              <w:spacing w:before="60" w:after="60" w:line="240" w:lineRule="auto"/>
              <w:ind w:firstLine="0"/>
              <w:jc w:val="left"/>
              <w:rPr>
                <w:rFonts w:ascii="Arial" w:hAnsi="Arial" w:cs="Arial"/>
                <w:sz w:val="17"/>
                <w:szCs w:val="17"/>
              </w:rPr>
            </w:pPr>
            <w:r w:rsidRPr="00476F0A">
              <w:rPr>
                <w:rFonts w:ascii="Arial" w:hAnsi="Arial" w:cs="Arial"/>
                <w:sz w:val="17"/>
                <w:szCs w:val="17"/>
              </w:rPr>
              <w:t>774</w:t>
            </w:r>
          </w:p>
        </w:tc>
        <w:tc>
          <w:tcPr>
            <w:tcW w:w="448" w:type="pct"/>
            <w:tcBorders>
              <w:top w:val="single" w:sz="4" w:space="0" w:color="auto"/>
              <w:bottom w:val="single" w:sz="4" w:space="0" w:color="auto"/>
            </w:tcBorders>
            <w:shd w:val="clear" w:color="auto" w:fill="auto"/>
            <w:vAlign w:val="center"/>
          </w:tcPr>
          <w:p w14:paraId="6E84B451" w14:textId="5C5DDFF6" w:rsidR="004A3ADB" w:rsidRPr="00476F0A" w:rsidRDefault="004A3ADB" w:rsidP="00E3042E">
            <w:pPr>
              <w:widowControl w:val="0"/>
              <w:tabs>
                <w:tab w:val="clear" w:pos="432"/>
                <w:tab w:val="decimal" w:pos="624"/>
              </w:tabs>
              <w:spacing w:before="60" w:after="60" w:line="240" w:lineRule="auto"/>
              <w:ind w:firstLine="0"/>
              <w:jc w:val="center"/>
              <w:rPr>
                <w:rFonts w:ascii="Arial" w:hAnsi="Arial" w:cs="Arial"/>
                <w:sz w:val="17"/>
                <w:szCs w:val="17"/>
              </w:rPr>
            </w:pPr>
            <w:r w:rsidRPr="00476F0A">
              <w:rPr>
                <w:rFonts w:ascii="Arial" w:hAnsi="Arial" w:cs="Arial"/>
                <w:sz w:val="17"/>
                <w:szCs w:val="17"/>
              </w:rPr>
              <w:t>1</w:t>
            </w:r>
          </w:p>
        </w:tc>
        <w:tc>
          <w:tcPr>
            <w:tcW w:w="448" w:type="pct"/>
            <w:tcBorders>
              <w:top w:val="single" w:sz="4" w:space="0" w:color="auto"/>
              <w:bottom w:val="single" w:sz="4" w:space="0" w:color="auto"/>
            </w:tcBorders>
            <w:shd w:val="clear" w:color="auto" w:fill="auto"/>
            <w:vAlign w:val="center"/>
          </w:tcPr>
          <w:p w14:paraId="74068BD2" w14:textId="1865B99C" w:rsidR="004A3ADB" w:rsidRPr="00476F0A" w:rsidRDefault="004A3ADB" w:rsidP="00207E2A">
            <w:pPr>
              <w:widowControl w:val="0"/>
              <w:tabs>
                <w:tab w:val="clear" w:pos="432"/>
                <w:tab w:val="decimal" w:pos="371"/>
              </w:tabs>
              <w:spacing w:before="60" w:after="60" w:line="240" w:lineRule="auto"/>
              <w:ind w:firstLine="0"/>
              <w:jc w:val="left"/>
              <w:rPr>
                <w:rFonts w:ascii="Arial" w:hAnsi="Arial" w:cs="Arial"/>
                <w:sz w:val="17"/>
                <w:szCs w:val="17"/>
              </w:rPr>
            </w:pPr>
            <w:r w:rsidRPr="00476F0A">
              <w:rPr>
                <w:rFonts w:ascii="Arial" w:hAnsi="Arial" w:cs="Arial"/>
                <w:sz w:val="17"/>
                <w:szCs w:val="17"/>
              </w:rPr>
              <w:t>30/60</w:t>
            </w:r>
          </w:p>
        </w:tc>
        <w:tc>
          <w:tcPr>
            <w:tcW w:w="448" w:type="pct"/>
            <w:tcBorders>
              <w:top w:val="single" w:sz="4" w:space="0" w:color="auto"/>
              <w:bottom w:val="single" w:sz="4" w:space="0" w:color="auto"/>
            </w:tcBorders>
            <w:shd w:val="clear" w:color="auto" w:fill="auto"/>
            <w:vAlign w:val="center"/>
          </w:tcPr>
          <w:p w14:paraId="3A2EF5FE" w14:textId="7584CE19" w:rsidR="004A3ADB" w:rsidRPr="00476F0A" w:rsidRDefault="00232CA4" w:rsidP="00207E2A">
            <w:pPr>
              <w:widowControl w:val="0"/>
              <w:tabs>
                <w:tab w:val="clear" w:pos="432"/>
                <w:tab w:val="decimal" w:pos="624"/>
              </w:tabs>
              <w:spacing w:before="60" w:after="60" w:line="240" w:lineRule="auto"/>
              <w:ind w:firstLine="0"/>
              <w:jc w:val="left"/>
              <w:rPr>
                <w:rFonts w:ascii="Arial" w:hAnsi="Arial" w:cs="Arial"/>
                <w:sz w:val="17"/>
                <w:szCs w:val="17"/>
              </w:rPr>
            </w:pPr>
            <w:r w:rsidRPr="00476F0A">
              <w:rPr>
                <w:rFonts w:ascii="Arial" w:hAnsi="Arial" w:cs="Arial"/>
                <w:sz w:val="17"/>
                <w:szCs w:val="17"/>
              </w:rPr>
              <w:t>387</w:t>
            </w:r>
          </w:p>
        </w:tc>
        <w:tc>
          <w:tcPr>
            <w:tcW w:w="448" w:type="pct"/>
            <w:tcBorders>
              <w:top w:val="single" w:sz="4" w:space="0" w:color="auto"/>
              <w:bottom w:val="single" w:sz="4" w:space="0" w:color="auto"/>
            </w:tcBorders>
            <w:vAlign w:val="center"/>
          </w:tcPr>
          <w:p w14:paraId="37BC686E" w14:textId="2CDBD84A" w:rsidR="004A3ADB" w:rsidRPr="00476F0A" w:rsidRDefault="003E3BFF" w:rsidP="006530B6">
            <w:pPr>
              <w:widowControl w:val="0"/>
              <w:tabs>
                <w:tab w:val="clear" w:pos="432"/>
                <w:tab w:val="decimal" w:pos="624"/>
              </w:tabs>
              <w:spacing w:before="60" w:after="60" w:line="240" w:lineRule="auto"/>
              <w:ind w:firstLine="0"/>
              <w:jc w:val="left"/>
              <w:rPr>
                <w:rFonts w:ascii="Arial" w:hAnsi="Arial" w:cs="Arial"/>
                <w:sz w:val="17"/>
                <w:szCs w:val="17"/>
              </w:rPr>
            </w:pPr>
            <w:r>
              <w:rPr>
                <w:rFonts w:ascii="Arial" w:hAnsi="Arial" w:cs="Arial"/>
                <w:sz w:val="17"/>
                <w:szCs w:val="17"/>
              </w:rPr>
              <w:t>77.5</w:t>
            </w:r>
          </w:p>
        </w:tc>
        <w:tc>
          <w:tcPr>
            <w:tcW w:w="448" w:type="pct"/>
            <w:tcBorders>
              <w:top w:val="single" w:sz="4" w:space="0" w:color="auto"/>
              <w:bottom w:val="single" w:sz="4" w:space="0" w:color="auto"/>
            </w:tcBorders>
            <w:vAlign w:val="center"/>
          </w:tcPr>
          <w:p w14:paraId="798A436B" w14:textId="212A4FB1" w:rsidR="004A3ADB" w:rsidRPr="00476F0A" w:rsidRDefault="00575806" w:rsidP="006D313D">
            <w:pPr>
              <w:widowControl w:val="0"/>
              <w:tabs>
                <w:tab w:val="clear" w:pos="432"/>
                <w:tab w:val="decimal" w:pos="624"/>
              </w:tabs>
              <w:spacing w:before="60" w:after="60" w:line="240" w:lineRule="auto"/>
              <w:ind w:firstLine="0"/>
              <w:jc w:val="left"/>
              <w:rPr>
                <w:rFonts w:ascii="Arial" w:hAnsi="Arial" w:cs="Arial"/>
                <w:sz w:val="17"/>
                <w:szCs w:val="17"/>
              </w:rPr>
            </w:pPr>
            <w:r w:rsidRPr="00476F0A">
              <w:rPr>
                <w:rFonts w:ascii="Arial" w:hAnsi="Arial" w:cs="Arial"/>
                <w:sz w:val="17"/>
                <w:szCs w:val="17"/>
              </w:rPr>
              <w:t>$</w:t>
            </w:r>
            <w:r w:rsidR="006D313D" w:rsidRPr="00476F0A">
              <w:rPr>
                <w:rFonts w:ascii="Arial" w:hAnsi="Arial" w:cs="Arial"/>
                <w:sz w:val="17"/>
                <w:szCs w:val="17"/>
              </w:rPr>
              <w:t>7.25</w:t>
            </w:r>
          </w:p>
        </w:tc>
        <w:tc>
          <w:tcPr>
            <w:tcW w:w="448" w:type="pct"/>
            <w:tcBorders>
              <w:top w:val="single" w:sz="4" w:space="0" w:color="auto"/>
              <w:bottom w:val="single" w:sz="4" w:space="0" w:color="auto"/>
            </w:tcBorders>
            <w:vAlign w:val="center"/>
          </w:tcPr>
          <w:p w14:paraId="78E58455" w14:textId="14D75DBE" w:rsidR="004A3ADB" w:rsidRPr="00476F0A" w:rsidRDefault="00444FE2" w:rsidP="003E3BFF">
            <w:pPr>
              <w:widowControl w:val="0"/>
              <w:tabs>
                <w:tab w:val="clear" w:pos="432"/>
                <w:tab w:val="decimal" w:pos="624"/>
              </w:tabs>
              <w:spacing w:before="60" w:after="60" w:line="240" w:lineRule="auto"/>
              <w:ind w:firstLine="0"/>
              <w:jc w:val="left"/>
              <w:rPr>
                <w:rFonts w:ascii="Arial" w:hAnsi="Arial" w:cs="Arial"/>
                <w:sz w:val="17"/>
                <w:szCs w:val="17"/>
              </w:rPr>
            </w:pPr>
            <w:r w:rsidRPr="00476F0A">
              <w:rPr>
                <w:rFonts w:ascii="Arial" w:hAnsi="Arial" w:cs="Arial"/>
                <w:sz w:val="17"/>
                <w:szCs w:val="17"/>
              </w:rPr>
              <w:t>$</w:t>
            </w:r>
            <w:r w:rsidR="003E3BFF">
              <w:rPr>
                <w:rFonts w:ascii="Arial" w:hAnsi="Arial" w:cs="Arial"/>
                <w:sz w:val="17"/>
                <w:szCs w:val="17"/>
              </w:rPr>
              <w:t>561.88</w:t>
            </w:r>
          </w:p>
        </w:tc>
      </w:tr>
      <w:tr w:rsidR="00476F0A" w:rsidRPr="00D52781" w14:paraId="3AAEABD2" w14:textId="77777777" w:rsidTr="00476F0A">
        <w:tc>
          <w:tcPr>
            <w:tcW w:w="796" w:type="pct"/>
            <w:tcBorders>
              <w:top w:val="single" w:sz="4" w:space="0" w:color="auto"/>
              <w:bottom w:val="single" w:sz="4" w:space="0" w:color="auto"/>
            </w:tcBorders>
            <w:shd w:val="clear" w:color="auto" w:fill="auto"/>
          </w:tcPr>
          <w:p w14:paraId="0D5A6B2F" w14:textId="424A5E36" w:rsidR="00991DDE" w:rsidRPr="00476F0A" w:rsidRDefault="00991DDE" w:rsidP="0068478C">
            <w:pPr>
              <w:widowControl w:val="0"/>
              <w:tabs>
                <w:tab w:val="clear" w:pos="432"/>
              </w:tabs>
              <w:spacing w:before="60" w:after="60" w:line="240" w:lineRule="auto"/>
              <w:ind w:firstLine="0"/>
              <w:jc w:val="left"/>
              <w:rPr>
                <w:rFonts w:ascii="Arial" w:hAnsi="Arial" w:cs="Arial"/>
                <w:sz w:val="17"/>
                <w:szCs w:val="17"/>
              </w:rPr>
            </w:pPr>
            <w:r w:rsidRPr="00476F0A">
              <w:rPr>
                <w:rFonts w:ascii="Arial" w:hAnsi="Arial" w:cs="Arial"/>
                <w:b/>
                <w:sz w:val="17"/>
                <w:szCs w:val="17"/>
              </w:rPr>
              <w:t>Estimated Annual Burden for Youth</w:t>
            </w:r>
            <w:r w:rsidR="00B40F3C">
              <w:rPr>
                <w:rFonts w:ascii="Arial" w:hAnsi="Arial" w:cs="Arial"/>
                <w:b/>
                <w:sz w:val="17"/>
                <w:szCs w:val="17"/>
              </w:rPr>
              <w:t xml:space="preserve"> Follow-</w:t>
            </w:r>
            <w:r w:rsidR="0068478C" w:rsidRPr="00476F0A">
              <w:rPr>
                <w:rFonts w:ascii="Arial" w:hAnsi="Arial" w:cs="Arial"/>
                <w:b/>
                <w:sz w:val="17"/>
                <w:szCs w:val="17"/>
              </w:rPr>
              <w:t xml:space="preserve">up survey </w:t>
            </w:r>
            <w:r w:rsidRPr="00476F0A">
              <w:rPr>
                <w:rFonts w:ascii="Arial" w:hAnsi="Arial" w:cs="Arial"/>
                <w:b/>
                <w:sz w:val="17"/>
                <w:szCs w:val="17"/>
              </w:rPr>
              <w:t>Participants</w:t>
            </w:r>
          </w:p>
        </w:tc>
        <w:tc>
          <w:tcPr>
            <w:tcW w:w="621" w:type="pct"/>
            <w:tcBorders>
              <w:top w:val="single" w:sz="4" w:space="0" w:color="auto"/>
              <w:bottom w:val="single" w:sz="4" w:space="0" w:color="auto"/>
            </w:tcBorders>
          </w:tcPr>
          <w:p w14:paraId="60CE9814" w14:textId="77777777" w:rsidR="00991DDE" w:rsidRPr="00476F0A" w:rsidRDefault="00991DDE" w:rsidP="00207E2A">
            <w:pPr>
              <w:widowControl w:val="0"/>
              <w:tabs>
                <w:tab w:val="clear" w:pos="432"/>
              </w:tabs>
              <w:spacing w:before="60" w:after="60" w:line="240" w:lineRule="auto"/>
              <w:ind w:firstLine="0"/>
              <w:jc w:val="left"/>
              <w:rPr>
                <w:rFonts w:ascii="Arial" w:hAnsi="Arial" w:cs="Arial"/>
                <w:sz w:val="17"/>
                <w:szCs w:val="17"/>
              </w:rPr>
            </w:pPr>
          </w:p>
        </w:tc>
        <w:tc>
          <w:tcPr>
            <w:tcW w:w="448" w:type="pct"/>
            <w:tcBorders>
              <w:top w:val="single" w:sz="4" w:space="0" w:color="auto"/>
              <w:bottom w:val="single" w:sz="4" w:space="0" w:color="auto"/>
            </w:tcBorders>
            <w:vAlign w:val="center"/>
          </w:tcPr>
          <w:p w14:paraId="70AD2555" w14:textId="77777777" w:rsidR="00991DDE" w:rsidRPr="00476F0A" w:rsidRDefault="00991DDE" w:rsidP="00BE159D">
            <w:pPr>
              <w:widowControl w:val="0"/>
              <w:tabs>
                <w:tab w:val="clear" w:pos="432"/>
                <w:tab w:val="decimal" w:pos="624"/>
              </w:tabs>
              <w:spacing w:before="60" w:after="60" w:line="240" w:lineRule="auto"/>
              <w:ind w:firstLine="0"/>
              <w:jc w:val="left"/>
              <w:rPr>
                <w:rFonts w:ascii="Arial" w:hAnsi="Arial" w:cs="Arial"/>
                <w:sz w:val="17"/>
                <w:szCs w:val="17"/>
              </w:rPr>
            </w:pPr>
          </w:p>
        </w:tc>
        <w:tc>
          <w:tcPr>
            <w:tcW w:w="448" w:type="pct"/>
            <w:tcBorders>
              <w:top w:val="single" w:sz="4" w:space="0" w:color="auto"/>
              <w:bottom w:val="single" w:sz="4" w:space="0" w:color="auto"/>
            </w:tcBorders>
            <w:shd w:val="clear" w:color="auto" w:fill="auto"/>
            <w:vAlign w:val="center"/>
          </w:tcPr>
          <w:p w14:paraId="3D7E2790" w14:textId="77777777" w:rsidR="00991DDE" w:rsidRPr="00476F0A" w:rsidRDefault="00991DDE" w:rsidP="00BE159D">
            <w:pPr>
              <w:widowControl w:val="0"/>
              <w:tabs>
                <w:tab w:val="clear" w:pos="432"/>
                <w:tab w:val="decimal" w:pos="624"/>
              </w:tabs>
              <w:spacing w:before="60" w:after="60" w:line="240" w:lineRule="auto"/>
              <w:ind w:firstLine="0"/>
              <w:jc w:val="left"/>
              <w:rPr>
                <w:rFonts w:ascii="Arial" w:hAnsi="Arial" w:cs="Arial"/>
                <w:sz w:val="17"/>
                <w:szCs w:val="17"/>
              </w:rPr>
            </w:pPr>
          </w:p>
        </w:tc>
        <w:tc>
          <w:tcPr>
            <w:tcW w:w="448" w:type="pct"/>
            <w:tcBorders>
              <w:top w:val="single" w:sz="4" w:space="0" w:color="auto"/>
              <w:bottom w:val="single" w:sz="4" w:space="0" w:color="auto"/>
            </w:tcBorders>
            <w:shd w:val="clear" w:color="auto" w:fill="auto"/>
            <w:vAlign w:val="center"/>
          </w:tcPr>
          <w:p w14:paraId="2BC0988E" w14:textId="77777777" w:rsidR="00991DDE" w:rsidRPr="00476F0A" w:rsidRDefault="00991DDE" w:rsidP="00E3042E">
            <w:pPr>
              <w:widowControl w:val="0"/>
              <w:tabs>
                <w:tab w:val="clear" w:pos="432"/>
                <w:tab w:val="decimal" w:pos="624"/>
              </w:tabs>
              <w:spacing w:before="60" w:after="60" w:line="240" w:lineRule="auto"/>
              <w:ind w:firstLine="0"/>
              <w:jc w:val="center"/>
              <w:rPr>
                <w:rFonts w:ascii="Arial" w:hAnsi="Arial" w:cs="Arial"/>
                <w:sz w:val="17"/>
                <w:szCs w:val="17"/>
              </w:rPr>
            </w:pPr>
          </w:p>
        </w:tc>
        <w:tc>
          <w:tcPr>
            <w:tcW w:w="448" w:type="pct"/>
            <w:tcBorders>
              <w:top w:val="single" w:sz="4" w:space="0" w:color="auto"/>
              <w:bottom w:val="single" w:sz="4" w:space="0" w:color="auto"/>
            </w:tcBorders>
            <w:shd w:val="clear" w:color="auto" w:fill="auto"/>
            <w:vAlign w:val="center"/>
          </w:tcPr>
          <w:p w14:paraId="16A93FE1" w14:textId="77777777" w:rsidR="00991DDE" w:rsidRPr="00476F0A" w:rsidRDefault="00991DDE" w:rsidP="00207E2A">
            <w:pPr>
              <w:widowControl w:val="0"/>
              <w:tabs>
                <w:tab w:val="clear" w:pos="432"/>
                <w:tab w:val="decimal" w:pos="371"/>
              </w:tabs>
              <w:spacing w:before="60" w:after="60" w:line="240" w:lineRule="auto"/>
              <w:ind w:firstLine="0"/>
              <w:jc w:val="left"/>
              <w:rPr>
                <w:rFonts w:ascii="Arial" w:hAnsi="Arial" w:cs="Arial"/>
                <w:sz w:val="17"/>
                <w:szCs w:val="17"/>
              </w:rPr>
            </w:pPr>
          </w:p>
        </w:tc>
        <w:tc>
          <w:tcPr>
            <w:tcW w:w="448" w:type="pct"/>
            <w:tcBorders>
              <w:top w:val="single" w:sz="4" w:space="0" w:color="auto"/>
              <w:bottom w:val="single" w:sz="4" w:space="0" w:color="auto"/>
            </w:tcBorders>
            <w:shd w:val="clear" w:color="auto" w:fill="auto"/>
            <w:vAlign w:val="center"/>
          </w:tcPr>
          <w:p w14:paraId="7604485E" w14:textId="7F4B92D8" w:rsidR="00991DDE" w:rsidRPr="00476F0A" w:rsidRDefault="00991DDE" w:rsidP="00207E2A">
            <w:pPr>
              <w:widowControl w:val="0"/>
              <w:tabs>
                <w:tab w:val="clear" w:pos="432"/>
                <w:tab w:val="decimal" w:pos="624"/>
              </w:tabs>
              <w:spacing w:before="60" w:after="60" w:line="240" w:lineRule="auto"/>
              <w:ind w:firstLine="0"/>
              <w:jc w:val="left"/>
              <w:rPr>
                <w:rFonts w:ascii="Arial" w:hAnsi="Arial" w:cs="Arial"/>
                <w:sz w:val="17"/>
                <w:szCs w:val="17"/>
              </w:rPr>
            </w:pPr>
            <w:r w:rsidRPr="00476F0A">
              <w:rPr>
                <w:rFonts w:ascii="Arial" w:hAnsi="Arial" w:cs="Arial"/>
                <w:sz w:val="17"/>
                <w:szCs w:val="17"/>
              </w:rPr>
              <w:t>796.5</w:t>
            </w:r>
          </w:p>
        </w:tc>
        <w:tc>
          <w:tcPr>
            <w:tcW w:w="448" w:type="pct"/>
            <w:tcBorders>
              <w:top w:val="single" w:sz="4" w:space="0" w:color="auto"/>
              <w:bottom w:val="single" w:sz="4" w:space="0" w:color="auto"/>
            </w:tcBorders>
            <w:vAlign w:val="center"/>
          </w:tcPr>
          <w:p w14:paraId="1D592FBE" w14:textId="114D60CF" w:rsidR="00991DDE" w:rsidRPr="00476F0A" w:rsidRDefault="00991DDE" w:rsidP="006530B6">
            <w:pPr>
              <w:widowControl w:val="0"/>
              <w:tabs>
                <w:tab w:val="clear" w:pos="432"/>
                <w:tab w:val="decimal" w:pos="624"/>
              </w:tabs>
              <w:spacing w:before="60" w:after="60" w:line="240" w:lineRule="auto"/>
              <w:ind w:firstLine="0"/>
              <w:jc w:val="left"/>
              <w:rPr>
                <w:rFonts w:ascii="Arial" w:hAnsi="Arial" w:cs="Arial"/>
                <w:sz w:val="17"/>
                <w:szCs w:val="17"/>
              </w:rPr>
            </w:pPr>
            <w:r w:rsidRPr="00476F0A">
              <w:rPr>
                <w:rFonts w:ascii="Arial" w:hAnsi="Arial" w:cs="Arial"/>
                <w:sz w:val="17"/>
                <w:szCs w:val="17"/>
              </w:rPr>
              <w:t>237</w:t>
            </w:r>
          </w:p>
        </w:tc>
        <w:tc>
          <w:tcPr>
            <w:tcW w:w="448" w:type="pct"/>
            <w:tcBorders>
              <w:top w:val="single" w:sz="4" w:space="0" w:color="auto"/>
              <w:bottom w:val="single" w:sz="4" w:space="0" w:color="auto"/>
            </w:tcBorders>
            <w:vAlign w:val="center"/>
          </w:tcPr>
          <w:p w14:paraId="01894D97" w14:textId="77777777" w:rsidR="00991DDE" w:rsidRPr="00476F0A" w:rsidRDefault="00991DDE" w:rsidP="00232CA4">
            <w:pPr>
              <w:widowControl w:val="0"/>
              <w:tabs>
                <w:tab w:val="clear" w:pos="432"/>
                <w:tab w:val="decimal" w:pos="624"/>
              </w:tabs>
              <w:spacing w:before="60" w:after="60" w:line="240" w:lineRule="auto"/>
              <w:ind w:firstLine="0"/>
              <w:jc w:val="left"/>
              <w:rPr>
                <w:rFonts w:ascii="Arial" w:hAnsi="Arial" w:cs="Arial"/>
                <w:sz w:val="17"/>
                <w:szCs w:val="17"/>
              </w:rPr>
            </w:pPr>
          </w:p>
        </w:tc>
        <w:tc>
          <w:tcPr>
            <w:tcW w:w="448" w:type="pct"/>
            <w:tcBorders>
              <w:top w:val="single" w:sz="4" w:space="0" w:color="auto"/>
              <w:bottom w:val="single" w:sz="4" w:space="0" w:color="auto"/>
            </w:tcBorders>
            <w:vAlign w:val="center"/>
          </w:tcPr>
          <w:p w14:paraId="0B724ADD" w14:textId="558BFF1A" w:rsidR="00991DDE" w:rsidRPr="00476F0A" w:rsidRDefault="00444FE2" w:rsidP="003E3BFF">
            <w:pPr>
              <w:widowControl w:val="0"/>
              <w:tabs>
                <w:tab w:val="clear" w:pos="432"/>
                <w:tab w:val="decimal" w:pos="624"/>
              </w:tabs>
              <w:spacing w:before="60" w:after="60" w:line="240" w:lineRule="auto"/>
              <w:ind w:firstLine="0"/>
              <w:jc w:val="left"/>
              <w:rPr>
                <w:rFonts w:ascii="Arial" w:hAnsi="Arial" w:cs="Arial"/>
                <w:sz w:val="17"/>
                <w:szCs w:val="17"/>
              </w:rPr>
            </w:pPr>
            <w:r w:rsidRPr="00476F0A">
              <w:rPr>
                <w:rFonts w:ascii="Arial" w:hAnsi="Arial" w:cs="Arial"/>
                <w:sz w:val="17"/>
                <w:szCs w:val="17"/>
              </w:rPr>
              <w:t>$</w:t>
            </w:r>
            <w:r w:rsidR="003E3BFF">
              <w:rPr>
                <w:rFonts w:ascii="Arial" w:hAnsi="Arial" w:cs="Arial"/>
                <w:sz w:val="17"/>
                <w:szCs w:val="17"/>
              </w:rPr>
              <w:t>859.13</w:t>
            </w:r>
          </w:p>
        </w:tc>
      </w:tr>
    </w:tbl>
    <w:p w14:paraId="6789EAD4" w14:textId="35122605" w:rsidR="007A71C2" w:rsidRPr="00476F0A" w:rsidRDefault="007A71C2" w:rsidP="007A71C2">
      <w:pPr>
        <w:pStyle w:val="TableSourceCaption"/>
        <w:spacing w:after="240"/>
        <w:rPr>
          <w:sz w:val="17"/>
          <w:szCs w:val="17"/>
        </w:rPr>
      </w:pPr>
      <w:r w:rsidRPr="00476F0A">
        <w:rPr>
          <w:sz w:val="17"/>
          <w:szCs w:val="17"/>
        </w:rPr>
        <w:t xml:space="preserve">NOTE: </w:t>
      </w:r>
      <w:r w:rsidR="00476F0A" w:rsidRPr="00476F0A">
        <w:rPr>
          <w:sz w:val="17"/>
          <w:szCs w:val="17"/>
        </w:rPr>
        <w:tab/>
      </w:r>
      <w:r w:rsidR="00145F19" w:rsidRPr="00476F0A">
        <w:rPr>
          <w:sz w:val="17"/>
          <w:szCs w:val="17"/>
        </w:rPr>
        <w:t>W</w:t>
      </w:r>
      <w:r w:rsidRPr="00476F0A">
        <w:rPr>
          <w:sz w:val="17"/>
          <w:szCs w:val="17"/>
        </w:rPr>
        <w:t>e assumed 10% of the sample will be 18 at the 9-month survey and 20% at the 15-month.</w:t>
      </w:r>
      <w:r w:rsidR="00DC1B25" w:rsidRPr="00476F0A">
        <w:rPr>
          <w:sz w:val="17"/>
          <w:szCs w:val="17"/>
        </w:rPr>
        <w:t xml:space="preserve"> </w:t>
      </w:r>
      <w:r w:rsidR="0068478C" w:rsidRPr="00476F0A">
        <w:rPr>
          <w:sz w:val="17"/>
          <w:szCs w:val="17"/>
        </w:rPr>
        <w:t>The</w:t>
      </w:r>
      <w:r w:rsidR="00DC1B25" w:rsidRPr="00476F0A">
        <w:rPr>
          <w:sz w:val="17"/>
          <w:szCs w:val="17"/>
        </w:rPr>
        <w:t xml:space="preserve"> fe</w:t>
      </w:r>
      <w:r w:rsidR="00444FE2" w:rsidRPr="00476F0A">
        <w:rPr>
          <w:sz w:val="17"/>
          <w:szCs w:val="17"/>
        </w:rPr>
        <w:t xml:space="preserve">deral minimum wage </w:t>
      </w:r>
      <w:r w:rsidR="0068478C" w:rsidRPr="00476F0A">
        <w:rPr>
          <w:sz w:val="17"/>
          <w:szCs w:val="17"/>
        </w:rPr>
        <w:t xml:space="preserve">was used </w:t>
      </w:r>
      <w:r w:rsidR="00444FE2" w:rsidRPr="00476F0A">
        <w:rPr>
          <w:sz w:val="17"/>
          <w:szCs w:val="17"/>
        </w:rPr>
        <w:t>to calculate</w:t>
      </w:r>
      <w:r w:rsidR="00DC1B25" w:rsidRPr="00476F0A">
        <w:rPr>
          <w:sz w:val="17"/>
          <w:szCs w:val="17"/>
        </w:rPr>
        <w:t xml:space="preserve"> annual costs. </w:t>
      </w:r>
    </w:p>
    <w:p w14:paraId="1C95DE46" w14:textId="18E78956" w:rsidR="00FE554E" w:rsidRDefault="00FE554E" w:rsidP="00352F53">
      <w:pPr>
        <w:pStyle w:val="NormalSS"/>
        <w:keepLines/>
      </w:pPr>
      <w:r w:rsidRPr="00FE554E">
        <w:t xml:space="preserve">Table A.12.2 details the overall </w:t>
      </w:r>
      <w:r w:rsidR="00255A70">
        <w:t xml:space="preserve">annual </w:t>
      </w:r>
      <w:r w:rsidRPr="00FE554E">
        <w:t xml:space="preserve">burden requested for data collection associated with the </w:t>
      </w:r>
      <w:r w:rsidRPr="002736F6">
        <w:rPr>
          <w:i/>
        </w:rPr>
        <w:t>MPC!</w:t>
      </w:r>
      <w:r w:rsidRPr="00FE554E">
        <w:t xml:space="preserve"> Study. A total of </w:t>
      </w:r>
      <w:r w:rsidR="0068478C">
        <w:t>595.8</w:t>
      </w:r>
      <w:r w:rsidRPr="00FE554E">
        <w:t xml:space="preserve"> </w:t>
      </w:r>
      <w:r w:rsidR="00F549A2">
        <w:t xml:space="preserve">annual </w:t>
      </w:r>
      <w:r w:rsidRPr="00FE554E">
        <w:t>hours (and a</w:t>
      </w:r>
      <w:r w:rsidR="00255A70">
        <w:t xml:space="preserve">n annual </w:t>
      </w:r>
      <w:r w:rsidRPr="00FE554E">
        <w:t>cost of $</w:t>
      </w:r>
      <w:r w:rsidR="0068478C" w:rsidRPr="0068478C">
        <w:t>1</w:t>
      </w:r>
      <w:r w:rsidR="002736F6">
        <w:t>,</w:t>
      </w:r>
      <w:r w:rsidR="0068478C" w:rsidRPr="0068478C">
        <w:t>583.98</w:t>
      </w:r>
      <w:r w:rsidRPr="00FE554E">
        <w:t>) was approved in the prior ICR for this project</w:t>
      </w:r>
      <w:r>
        <w:t xml:space="preserve"> (</w:t>
      </w:r>
      <w:r w:rsidR="006435C7">
        <w:t>Baseline</w:t>
      </w:r>
      <w:r w:rsidR="002736F6">
        <w:t xml:space="preserve"> S</w:t>
      </w:r>
      <w:r>
        <w:t>urvey and Implementation and Fidelity Assessment</w:t>
      </w:r>
      <w:r w:rsidR="00213D61">
        <w:t>)</w:t>
      </w:r>
      <w:r w:rsidRPr="00FE554E">
        <w:t xml:space="preserve">.  A total of </w:t>
      </w:r>
      <w:r w:rsidR="00444FE2">
        <w:t>796.5</w:t>
      </w:r>
      <w:r w:rsidRPr="00FE554E">
        <w:t xml:space="preserve"> </w:t>
      </w:r>
      <w:r w:rsidR="00F549A2">
        <w:t xml:space="preserve">annual </w:t>
      </w:r>
      <w:r w:rsidRPr="00FE554E">
        <w:t>hours (and a</w:t>
      </w:r>
      <w:r w:rsidR="006F1588">
        <w:t>n annual</w:t>
      </w:r>
      <w:r w:rsidRPr="00FE554E">
        <w:t xml:space="preserve"> cost of $</w:t>
      </w:r>
      <w:r w:rsidR="003E3BFF">
        <w:t>859.13</w:t>
      </w:r>
      <w:r w:rsidRPr="00FE554E">
        <w:t>) is requested in this ICR.</w:t>
      </w:r>
    </w:p>
    <w:p w14:paraId="05B0C78B" w14:textId="77777777" w:rsidR="00D52781" w:rsidRPr="001E5944" w:rsidRDefault="00D52781" w:rsidP="00953EE4">
      <w:pPr>
        <w:pStyle w:val="MarkforTableHeading"/>
        <w:rPr>
          <w:caps/>
        </w:rPr>
      </w:pPr>
      <w:bookmarkStart w:id="123" w:name="_Toc396922584"/>
      <w:bookmarkStart w:id="124" w:name="_Toc477900661"/>
      <w:r w:rsidRPr="001E5944">
        <w:t>Table A.12.2. Calculations of Annual Burden Hours and Costs</w:t>
      </w:r>
      <w:bookmarkEnd w:id="123"/>
      <w:r w:rsidRPr="001E5944">
        <w:t xml:space="preserve"> to Date</w:t>
      </w:r>
      <w:bookmarkEnd w:id="124"/>
    </w:p>
    <w:tbl>
      <w:tblPr>
        <w:tblStyle w:val="TableGrid"/>
        <w:tblW w:w="5126" w:type="pct"/>
        <w:tblBorders>
          <w:top w:val="single" w:sz="12"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8"/>
        <w:gridCol w:w="1470"/>
        <w:gridCol w:w="950"/>
        <w:gridCol w:w="952"/>
        <w:gridCol w:w="950"/>
        <w:gridCol w:w="952"/>
        <w:gridCol w:w="950"/>
        <w:gridCol w:w="952"/>
        <w:gridCol w:w="993"/>
      </w:tblGrid>
      <w:tr w:rsidR="00476F0A" w:rsidRPr="00476F0A" w14:paraId="30C831E2" w14:textId="77777777" w:rsidTr="003E3BFF">
        <w:trPr>
          <w:cantSplit/>
          <w:trHeight w:val="1737"/>
          <w:tblHeader/>
        </w:trPr>
        <w:tc>
          <w:tcPr>
            <w:tcW w:w="839" w:type="pct"/>
            <w:tcBorders>
              <w:top w:val="nil"/>
              <w:bottom w:val="single" w:sz="4" w:space="0" w:color="auto"/>
            </w:tcBorders>
            <w:shd w:val="clear" w:color="auto" w:fill="6C6F70"/>
            <w:vAlign w:val="bottom"/>
          </w:tcPr>
          <w:p w14:paraId="69E3D298" w14:textId="2C214B4B" w:rsidR="00D52781" w:rsidRPr="00476F0A" w:rsidRDefault="00D52781" w:rsidP="00476F0A">
            <w:pPr>
              <w:pStyle w:val="TableHeaderLeft"/>
              <w:jc w:val="left"/>
              <w:rPr>
                <w:sz w:val="17"/>
                <w:szCs w:val="17"/>
              </w:rPr>
            </w:pPr>
            <w:r w:rsidRPr="00476F0A">
              <w:rPr>
                <w:sz w:val="17"/>
                <w:szCs w:val="17"/>
              </w:rPr>
              <w:t>Data collection instrument</w:t>
            </w:r>
          </w:p>
        </w:tc>
        <w:tc>
          <w:tcPr>
            <w:tcW w:w="748" w:type="pct"/>
            <w:tcBorders>
              <w:top w:val="nil"/>
              <w:bottom w:val="single" w:sz="4" w:space="0" w:color="auto"/>
            </w:tcBorders>
            <w:shd w:val="clear" w:color="auto" w:fill="6C6F70"/>
            <w:vAlign w:val="bottom"/>
          </w:tcPr>
          <w:p w14:paraId="64130CC6" w14:textId="14524262" w:rsidR="00D52781" w:rsidRPr="00476F0A" w:rsidRDefault="00D52781" w:rsidP="00476F0A">
            <w:pPr>
              <w:pStyle w:val="TableHeaderCenter"/>
              <w:jc w:val="left"/>
              <w:rPr>
                <w:sz w:val="17"/>
                <w:szCs w:val="17"/>
              </w:rPr>
            </w:pPr>
            <w:r w:rsidRPr="00476F0A">
              <w:rPr>
                <w:sz w:val="17"/>
                <w:szCs w:val="17"/>
              </w:rPr>
              <w:t>Type of Respondent</w:t>
            </w:r>
          </w:p>
        </w:tc>
        <w:tc>
          <w:tcPr>
            <w:tcW w:w="484" w:type="pct"/>
            <w:tcBorders>
              <w:top w:val="nil"/>
              <w:bottom w:val="single" w:sz="4" w:space="0" w:color="auto"/>
            </w:tcBorders>
            <w:shd w:val="clear" w:color="auto" w:fill="6C6F70"/>
            <w:textDirection w:val="btLr"/>
            <w:vAlign w:val="center"/>
          </w:tcPr>
          <w:p w14:paraId="49DDF5ED" w14:textId="721B98E6" w:rsidR="00D52781" w:rsidRPr="00476F0A" w:rsidRDefault="00D52781" w:rsidP="00476F0A">
            <w:pPr>
              <w:pStyle w:val="TableHeaderCenter"/>
              <w:spacing w:before="0" w:after="0"/>
              <w:ind w:left="113" w:right="113"/>
              <w:jc w:val="left"/>
              <w:rPr>
                <w:sz w:val="17"/>
                <w:szCs w:val="17"/>
              </w:rPr>
            </w:pPr>
            <w:r w:rsidRPr="00476F0A">
              <w:rPr>
                <w:sz w:val="17"/>
                <w:szCs w:val="17"/>
              </w:rPr>
              <w:t>Annual number of respondents</w:t>
            </w:r>
          </w:p>
        </w:tc>
        <w:tc>
          <w:tcPr>
            <w:tcW w:w="485" w:type="pct"/>
            <w:tcBorders>
              <w:top w:val="nil"/>
              <w:bottom w:val="single" w:sz="4" w:space="0" w:color="auto"/>
            </w:tcBorders>
            <w:shd w:val="clear" w:color="auto" w:fill="6C6F70"/>
            <w:textDirection w:val="btLr"/>
            <w:vAlign w:val="center"/>
          </w:tcPr>
          <w:p w14:paraId="63305173" w14:textId="66B22EB0" w:rsidR="00D52781" w:rsidRPr="00476F0A" w:rsidRDefault="00D52781" w:rsidP="00476F0A">
            <w:pPr>
              <w:pStyle w:val="TableHeaderCenter"/>
              <w:spacing w:before="0" w:after="0"/>
              <w:ind w:left="113" w:right="113"/>
              <w:jc w:val="left"/>
              <w:rPr>
                <w:sz w:val="17"/>
                <w:szCs w:val="17"/>
              </w:rPr>
            </w:pPr>
            <w:r w:rsidRPr="00476F0A">
              <w:rPr>
                <w:sz w:val="17"/>
                <w:szCs w:val="17"/>
              </w:rPr>
              <w:t>Number of responses per respondent</w:t>
            </w:r>
          </w:p>
        </w:tc>
        <w:tc>
          <w:tcPr>
            <w:tcW w:w="484" w:type="pct"/>
            <w:tcBorders>
              <w:top w:val="nil"/>
              <w:bottom w:val="single" w:sz="4" w:space="0" w:color="auto"/>
            </w:tcBorders>
            <w:shd w:val="clear" w:color="auto" w:fill="6C6F70"/>
            <w:textDirection w:val="btLr"/>
            <w:vAlign w:val="center"/>
          </w:tcPr>
          <w:p w14:paraId="4FB18623" w14:textId="4B3251A9" w:rsidR="00D52781" w:rsidRPr="00476F0A" w:rsidRDefault="00D52781" w:rsidP="00476F0A">
            <w:pPr>
              <w:pStyle w:val="TableHeaderCenter"/>
              <w:spacing w:before="0" w:after="0"/>
              <w:ind w:left="113" w:right="113"/>
              <w:jc w:val="left"/>
              <w:rPr>
                <w:sz w:val="17"/>
                <w:szCs w:val="17"/>
              </w:rPr>
            </w:pPr>
            <w:r w:rsidRPr="00476F0A">
              <w:rPr>
                <w:sz w:val="17"/>
                <w:szCs w:val="17"/>
              </w:rPr>
              <w:t>Average burden hours per response</w:t>
            </w:r>
          </w:p>
        </w:tc>
        <w:tc>
          <w:tcPr>
            <w:tcW w:w="485" w:type="pct"/>
            <w:tcBorders>
              <w:top w:val="nil"/>
              <w:bottom w:val="single" w:sz="4" w:space="0" w:color="auto"/>
            </w:tcBorders>
            <w:shd w:val="clear" w:color="auto" w:fill="6C6F70"/>
            <w:textDirection w:val="btLr"/>
            <w:vAlign w:val="center"/>
          </w:tcPr>
          <w:p w14:paraId="6873D2FD" w14:textId="22ABC566" w:rsidR="00D52781" w:rsidRPr="00476F0A" w:rsidRDefault="000367D9" w:rsidP="00476F0A">
            <w:pPr>
              <w:pStyle w:val="TableHeaderCenter"/>
              <w:spacing w:before="0" w:after="0"/>
              <w:ind w:left="113" w:right="113"/>
              <w:jc w:val="left"/>
              <w:rPr>
                <w:sz w:val="17"/>
                <w:szCs w:val="17"/>
              </w:rPr>
            </w:pPr>
            <w:r w:rsidRPr="00476F0A">
              <w:rPr>
                <w:sz w:val="17"/>
                <w:szCs w:val="17"/>
              </w:rPr>
              <w:t>Annual</w:t>
            </w:r>
            <w:r w:rsidR="00D52781" w:rsidRPr="00476F0A">
              <w:rPr>
                <w:sz w:val="17"/>
                <w:szCs w:val="17"/>
              </w:rPr>
              <w:t xml:space="preserve"> burden hours</w:t>
            </w:r>
          </w:p>
        </w:tc>
        <w:tc>
          <w:tcPr>
            <w:tcW w:w="484" w:type="pct"/>
            <w:tcBorders>
              <w:top w:val="nil"/>
              <w:bottom w:val="single" w:sz="4" w:space="0" w:color="auto"/>
            </w:tcBorders>
            <w:shd w:val="clear" w:color="auto" w:fill="6C6F70"/>
            <w:textDirection w:val="btLr"/>
            <w:vAlign w:val="center"/>
          </w:tcPr>
          <w:p w14:paraId="3E7231CA" w14:textId="2023B278" w:rsidR="00D52781" w:rsidRPr="00476F0A" w:rsidRDefault="000367D9" w:rsidP="00476F0A">
            <w:pPr>
              <w:pStyle w:val="TableHeaderCenter"/>
              <w:spacing w:before="0" w:after="0"/>
              <w:ind w:left="113" w:right="113"/>
              <w:jc w:val="left"/>
              <w:rPr>
                <w:sz w:val="17"/>
                <w:szCs w:val="17"/>
              </w:rPr>
            </w:pPr>
            <w:r w:rsidRPr="00476F0A">
              <w:rPr>
                <w:sz w:val="17"/>
                <w:szCs w:val="17"/>
              </w:rPr>
              <w:t>Annual</w:t>
            </w:r>
            <w:r w:rsidR="00D52781" w:rsidRPr="00476F0A">
              <w:rPr>
                <w:sz w:val="17"/>
                <w:szCs w:val="17"/>
              </w:rPr>
              <w:t xml:space="preserve"> Burden Hours for Youth Age 18 or Older</w:t>
            </w:r>
          </w:p>
        </w:tc>
        <w:tc>
          <w:tcPr>
            <w:tcW w:w="485" w:type="pct"/>
            <w:tcBorders>
              <w:top w:val="nil"/>
              <w:bottom w:val="single" w:sz="4" w:space="0" w:color="auto"/>
            </w:tcBorders>
            <w:shd w:val="clear" w:color="auto" w:fill="6C6F70"/>
            <w:textDirection w:val="btLr"/>
            <w:vAlign w:val="center"/>
          </w:tcPr>
          <w:p w14:paraId="3DECF237" w14:textId="61DDF393" w:rsidR="00D52781" w:rsidRPr="00476F0A" w:rsidRDefault="00D52781" w:rsidP="00476F0A">
            <w:pPr>
              <w:pStyle w:val="TableHeaderCenter"/>
              <w:spacing w:before="0" w:after="0"/>
              <w:ind w:left="113" w:right="113"/>
              <w:jc w:val="left"/>
              <w:rPr>
                <w:sz w:val="17"/>
                <w:szCs w:val="17"/>
              </w:rPr>
            </w:pPr>
            <w:r w:rsidRPr="00476F0A">
              <w:rPr>
                <w:sz w:val="17"/>
                <w:szCs w:val="17"/>
              </w:rPr>
              <w:t>Hourly Wage Rate</w:t>
            </w:r>
          </w:p>
        </w:tc>
        <w:tc>
          <w:tcPr>
            <w:tcW w:w="507" w:type="pct"/>
            <w:tcBorders>
              <w:top w:val="nil"/>
              <w:bottom w:val="single" w:sz="4" w:space="0" w:color="auto"/>
            </w:tcBorders>
            <w:shd w:val="clear" w:color="auto" w:fill="6C6F70"/>
            <w:textDirection w:val="btLr"/>
            <w:vAlign w:val="center"/>
          </w:tcPr>
          <w:p w14:paraId="46150E08" w14:textId="29535056" w:rsidR="00D52781" w:rsidRPr="00476F0A" w:rsidRDefault="00D52781" w:rsidP="00476F0A">
            <w:pPr>
              <w:pStyle w:val="TableHeaderCenter"/>
              <w:spacing w:before="0" w:after="0"/>
              <w:ind w:left="113" w:right="113"/>
              <w:jc w:val="left"/>
              <w:rPr>
                <w:sz w:val="17"/>
                <w:szCs w:val="17"/>
              </w:rPr>
            </w:pPr>
            <w:r w:rsidRPr="00476F0A">
              <w:rPr>
                <w:sz w:val="17"/>
                <w:szCs w:val="17"/>
              </w:rPr>
              <w:t>Total costs</w:t>
            </w:r>
          </w:p>
        </w:tc>
      </w:tr>
      <w:tr w:rsidR="00D52781" w:rsidRPr="00254CCF" w14:paraId="0FAF65C2" w14:textId="77777777" w:rsidTr="00476F0A">
        <w:trPr>
          <w:cantSplit/>
        </w:trPr>
        <w:tc>
          <w:tcPr>
            <w:tcW w:w="5000" w:type="pct"/>
            <w:gridSpan w:val="9"/>
            <w:tcBorders>
              <w:top w:val="single" w:sz="4" w:space="0" w:color="auto"/>
              <w:bottom w:val="single" w:sz="4" w:space="0" w:color="auto"/>
            </w:tcBorders>
            <w:shd w:val="clear" w:color="auto" w:fill="D9D9D9" w:themeFill="background1" w:themeFillShade="D9"/>
            <w:vAlign w:val="bottom"/>
          </w:tcPr>
          <w:p w14:paraId="0B2E70F0" w14:textId="7470D5F8" w:rsidR="00D52781" w:rsidRPr="00254CCF" w:rsidRDefault="000367D9" w:rsidP="00C24E54">
            <w:pPr>
              <w:pStyle w:val="TableText"/>
              <w:tabs>
                <w:tab w:val="decimal" w:pos="624"/>
              </w:tabs>
              <w:spacing w:before="120" w:after="60"/>
              <w:jc w:val="center"/>
              <w:rPr>
                <w:rFonts w:cs="Arial"/>
                <w:b/>
                <w:sz w:val="17"/>
                <w:szCs w:val="17"/>
              </w:rPr>
            </w:pPr>
            <w:r>
              <w:rPr>
                <w:rFonts w:cs="Arial"/>
                <w:b/>
                <w:sz w:val="17"/>
                <w:szCs w:val="17"/>
              </w:rPr>
              <w:t xml:space="preserve">Baseline and </w:t>
            </w:r>
            <w:r w:rsidR="00C24E54">
              <w:rPr>
                <w:rFonts w:cs="Arial"/>
                <w:b/>
                <w:sz w:val="17"/>
                <w:szCs w:val="17"/>
              </w:rPr>
              <w:t>Implementation and Fidelity Assessment Data Collection</w:t>
            </w:r>
            <w:r w:rsidR="00D52781">
              <w:rPr>
                <w:rFonts w:cs="Arial"/>
                <w:b/>
                <w:sz w:val="17"/>
                <w:szCs w:val="17"/>
              </w:rPr>
              <w:t xml:space="preserve"> (Approved </w:t>
            </w:r>
            <w:r w:rsidR="002736F6">
              <w:rPr>
                <w:rFonts w:cs="Arial"/>
                <w:b/>
                <w:sz w:val="17"/>
                <w:szCs w:val="17"/>
              </w:rPr>
              <w:t xml:space="preserve">January 17, </w:t>
            </w:r>
            <w:r>
              <w:rPr>
                <w:rFonts w:cs="Arial"/>
                <w:b/>
                <w:sz w:val="17"/>
                <w:szCs w:val="17"/>
              </w:rPr>
              <w:t>2017</w:t>
            </w:r>
            <w:r w:rsidR="00D52781">
              <w:rPr>
                <w:rFonts w:cs="Arial"/>
                <w:b/>
                <w:sz w:val="17"/>
                <w:szCs w:val="17"/>
              </w:rPr>
              <w:t>)</w:t>
            </w:r>
          </w:p>
        </w:tc>
      </w:tr>
      <w:tr w:rsidR="00126F92" w:rsidRPr="00254CCF" w14:paraId="189F97E8" w14:textId="77777777" w:rsidTr="003E3BFF">
        <w:trPr>
          <w:cantSplit/>
        </w:trPr>
        <w:tc>
          <w:tcPr>
            <w:tcW w:w="839" w:type="pct"/>
            <w:tcBorders>
              <w:top w:val="single" w:sz="4" w:space="0" w:color="auto"/>
              <w:bottom w:val="single" w:sz="4" w:space="0" w:color="auto"/>
            </w:tcBorders>
            <w:shd w:val="clear" w:color="auto" w:fill="auto"/>
          </w:tcPr>
          <w:p w14:paraId="6601AF51" w14:textId="628E601F" w:rsidR="000367D9" w:rsidRDefault="000367D9" w:rsidP="00476F0A">
            <w:pPr>
              <w:pStyle w:val="TableText"/>
              <w:spacing w:before="40" w:after="40"/>
              <w:jc w:val="left"/>
              <w:rPr>
                <w:rFonts w:cs="Arial"/>
                <w:sz w:val="17"/>
                <w:szCs w:val="17"/>
              </w:rPr>
            </w:pPr>
            <w:r>
              <w:rPr>
                <w:rFonts w:cs="Arial"/>
                <w:sz w:val="16"/>
                <w:szCs w:val="16"/>
              </w:rPr>
              <w:t>Baseline survey</w:t>
            </w:r>
          </w:p>
        </w:tc>
        <w:tc>
          <w:tcPr>
            <w:tcW w:w="748" w:type="pct"/>
            <w:tcBorders>
              <w:top w:val="single" w:sz="4" w:space="0" w:color="auto"/>
              <w:bottom w:val="single" w:sz="4" w:space="0" w:color="auto"/>
            </w:tcBorders>
          </w:tcPr>
          <w:p w14:paraId="69AFB5CD" w14:textId="0B0A6D44" w:rsidR="000367D9" w:rsidRDefault="000367D9" w:rsidP="00476F0A">
            <w:pPr>
              <w:pStyle w:val="TableText"/>
              <w:tabs>
                <w:tab w:val="decimal" w:pos="624"/>
              </w:tabs>
              <w:spacing w:before="40"/>
              <w:jc w:val="left"/>
              <w:rPr>
                <w:rFonts w:eastAsia="Calibri" w:cs="Arial"/>
                <w:sz w:val="16"/>
                <w:szCs w:val="16"/>
              </w:rPr>
            </w:pPr>
            <w:r>
              <w:rPr>
                <w:rFonts w:cs="Arial"/>
                <w:sz w:val="16"/>
                <w:szCs w:val="16"/>
              </w:rPr>
              <w:t>Youth study participants</w:t>
            </w:r>
          </w:p>
        </w:tc>
        <w:tc>
          <w:tcPr>
            <w:tcW w:w="484" w:type="pct"/>
            <w:tcBorders>
              <w:top w:val="single" w:sz="4" w:space="0" w:color="auto"/>
              <w:bottom w:val="single" w:sz="4" w:space="0" w:color="auto"/>
            </w:tcBorders>
            <w:shd w:val="clear" w:color="auto" w:fill="auto"/>
          </w:tcPr>
          <w:p w14:paraId="14DE7196" w14:textId="4CE8A3CF" w:rsidR="000367D9" w:rsidRPr="00254CCF" w:rsidRDefault="000367D9" w:rsidP="00126F92">
            <w:pPr>
              <w:pStyle w:val="TableText"/>
              <w:tabs>
                <w:tab w:val="decimal" w:pos="624"/>
              </w:tabs>
              <w:spacing w:before="40"/>
              <w:jc w:val="right"/>
              <w:rPr>
                <w:rFonts w:cs="Arial"/>
                <w:sz w:val="17"/>
                <w:szCs w:val="17"/>
              </w:rPr>
            </w:pPr>
            <w:r w:rsidRPr="00EE33AA">
              <w:rPr>
                <w:rFonts w:cs="Arial"/>
                <w:sz w:val="16"/>
                <w:szCs w:val="16"/>
              </w:rPr>
              <w:t>865</w:t>
            </w:r>
          </w:p>
        </w:tc>
        <w:tc>
          <w:tcPr>
            <w:tcW w:w="485" w:type="pct"/>
            <w:tcBorders>
              <w:top w:val="single" w:sz="4" w:space="0" w:color="auto"/>
              <w:bottom w:val="single" w:sz="4" w:space="0" w:color="auto"/>
            </w:tcBorders>
            <w:shd w:val="clear" w:color="auto" w:fill="auto"/>
          </w:tcPr>
          <w:p w14:paraId="34B8417D" w14:textId="13E12C12" w:rsidR="000367D9" w:rsidRPr="00254CCF" w:rsidRDefault="000367D9" w:rsidP="00126F92">
            <w:pPr>
              <w:pStyle w:val="TableText"/>
              <w:tabs>
                <w:tab w:val="decimal" w:pos="624"/>
              </w:tabs>
              <w:spacing w:before="40"/>
              <w:jc w:val="right"/>
              <w:rPr>
                <w:rFonts w:cs="Arial"/>
                <w:sz w:val="17"/>
                <w:szCs w:val="17"/>
              </w:rPr>
            </w:pPr>
            <w:r w:rsidRPr="00EE33AA">
              <w:rPr>
                <w:rFonts w:cs="Arial"/>
                <w:sz w:val="16"/>
                <w:szCs w:val="16"/>
              </w:rPr>
              <w:t>1</w:t>
            </w:r>
          </w:p>
        </w:tc>
        <w:tc>
          <w:tcPr>
            <w:tcW w:w="484" w:type="pct"/>
            <w:tcBorders>
              <w:top w:val="single" w:sz="4" w:space="0" w:color="auto"/>
              <w:bottom w:val="single" w:sz="4" w:space="0" w:color="auto"/>
            </w:tcBorders>
            <w:shd w:val="clear" w:color="auto" w:fill="auto"/>
          </w:tcPr>
          <w:p w14:paraId="1BB52284" w14:textId="40646948" w:rsidR="000367D9" w:rsidRPr="00254CCF" w:rsidRDefault="000367D9" w:rsidP="00126F92">
            <w:pPr>
              <w:pStyle w:val="TableText"/>
              <w:tabs>
                <w:tab w:val="decimal" w:pos="624"/>
              </w:tabs>
              <w:spacing w:before="40"/>
              <w:jc w:val="right"/>
              <w:rPr>
                <w:rFonts w:cs="Arial"/>
                <w:sz w:val="17"/>
                <w:szCs w:val="17"/>
              </w:rPr>
            </w:pPr>
            <w:r w:rsidRPr="00EE33AA">
              <w:rPr>
                <w:rFonts w:cs="Arial"/>
                <w:sz w:val="16"/>
                <w:szCs w:val="16"/>
              </w:rPr>
              <w:t>30/60</w:t>
            </w:r>
          </w:p>
        </w:tc>
        <w:tc>
          <w:tcPr>
            <w:tcW w:w="485" w:type="pct"/>
            <w:tcBorders>
              <w:top w:val="single" w:sz="4" w:space="0" w:color="auto"/>
              <w:bottom w:val="single" w:sz="4" w:space="0" w:color="auto"/>
            </w:tcBorders>
            <w:shd w:val="clear" w:color="auto" w:fill="auto"/>
          </w:tcPr>
          <w:p w14:paraId="0EF9EE15" w14:textId="6727D894" w:rsidR="000367D9" w:rsidRPr="00254CCF" w:rsidRDefault="000367D9" w:rsidP="00126F92">
            <w:pPr>
              <w:pStyle w:val="TableText"/>
              <w:tabs>
                <w:tab w:val="decimal" w:pos="624"/>
              </w:tabs>
              <w:spacing w:before="40"/>
              <w:jc w:val="right"/>
              <w:rPr>
                <w:rFonts w:cs="Arial"/>
                <w:sz w:val="17"/>
                <w:szCs w:val="17"/>
              </w:rPr>
            </w:pPr>
            <w:r w:rsidRPr="00EE33AA">
              <w:rPr>
                <w:rFonts w:cs="Arial"/>
                <w:sz w:val="16"/>
                <w:szCs w:val="16"/>
              </w:rPr>
              <w:t>432.5</w:t>
            </w:r>
          </w:p>
        </w:tc>
        <w:tc>
          <w:tcPr>
            <w:tcW w:w="484" w:type="pct"/>
            <w:tcBorders>
              <w:top w:val="single" w:sz="4" w:space="0" w:color="auto"/>
              <w:bottom w:val="single" w:sz="4" w:space="0" w:color="auto"/>
            </w:tcBorders>
          </w:tcPr>
          <w:p w14:paraId="252F6416" w14:textId="17201D61" w:rsidR="000367D9" w:rsidRPr="00254CCF" w:rsidRDefault="00C24E54" w:rsidP="00126F92">
            <w:pPr>
              <w:pStyle w:val="TableText"/>
              <w:tabs>
                <w:tab w:val="decimal" w:pos="624"/>
              </w:tabs>
              <w:spacing w:before="40"/>
              <w:jc w:val="right"/>
              <w:rPr>
                <w:rFonts w:cs="Arial"/>
                <w:sz w:val="17"/>
                <w:szCs w:val="17"/>
              </w:rPr>
            </w:pPr>
            <w:r>
              <w:rPr>
                <w:rFonts w:cs="Arial"/>
                <w:sz w:val="17"/>
                <w:szCs w:val="17"/>
              </w:rPr>
              <w:t>NA</w:t>
            </w:r>
          </w:p>
        </w:tc>
        <w:tc>
          <w:tcPr>
            <w:tcW w:w="485" w:type="pct"/>
            <w:tcBorders>
              <w:top w:val="single" w:sz="4" w:space="0" w:color="auto"/>
              <w:bottom w:val="single" w:sz="4" w:space="0" w:color="auto"/>
            </w:tcBorders>
          </w:tcPr>
          <w:p w14:paraId="261F6C45" w14:textId="742B72DC" w:rsidR="000367D9" w:rsidRPr="00254CCF" w:rsidRDefault="000367D9" w:rsidP="00126F92">
            <w:pPr>
              <w:pStyle w:val="TableText"/>
              <w:tabs>
                <w:tab w:val="decimal" w:pos="624"/>
              </w:tabs>
              <w:spacing w:before="40"/>
              <w:jc w:val="right"/>
              <w:rPr>
                <w:rFonts w:cs="Arial"/>
                <w:sz w:val="17"/>
                <w:szCs w:val="17"/>
              </w:rPr>
            </w:pPr>
            <w:r>
              <w:rPr>
                <w:rFonts w:cs="Arial"/>
                <w:sz w:val="17"/>
                <w:szCs w:val="17"/>
              </w:rPr>
              <w:t>NA</w:t>
            </w:r>
          </w:p>
        </w:tc>
        <w:tc>
          <w:tcPr>
            <w:tcW w:w="507" w:type="pct"/>
            <w:tcBorders>
              <w:top w:val="single" w:sz="4" w:space="0" w:color="auto"/>
              <w:bottom w:val="single" w:sz="4" w:space="0" w:color="auto"/>
            </w:tcBorders>
          </w:tcPr>
          <w:p w14:paraId="1E896976" w14:textId="41E25024" w:rsidR="000367D9" w:rsidRPr="00254CCF" w:rsidRDefault="000367D9" w:rsidP="00126F92">
            <w:pPr>
              <w:pStyle w:val="TableText"/>
              <w:tabs>
                <w:tab w:val="decimal" w:pos="624"/>
              </w:tabs>
              <w:spacing w:before="40"/>
              <w:jc w:val="right"/>
              <w:rPr>
                <w:rFonts w:cs="Arial"/>
                <w:sz w:val="17"/>
                <w:szCs w:val="17"/>
              </w:rPr>
            </w:pPr>
            <w:r>
              <w:rPr>
                <w:rFonts w:cs="Arial"/>
                <w:sz w:val="17"/>
                <w:szCs w:val="17"/>
              </w:rPr>
              <w:t>NA</w:t>
            </w:r>
          </w:p>
        </w:tc>
      </w:tr>
      <w:tr w:rsidR="00126F92" w:rsidRPr="00254CCF" w14:paraId="507FFC36" w14:textId="77777777" w:rsidTr="003E3BFF">
        <w:trPr>
          <w:cantSplit/>
        </w:trPr>
        <w:tc>
          <w:tcPr>
            <w:tcW w:w="839" w:type="pct"/>
            <w:tcBorders>
              <w:top w:val="single" w:sz="4" w:space="0" w:color="auto"/>
              <w:bottom w:val="single" w:sz="4" w:space="0" w:color="auto"/>
            </w:tcBorders>
            <w:shd w:val="clear" w:color="auto" w:fill="auto"/>
          </w:tcPr>
          <w:p w14:paraId="56DF6A4A" w14:textId="418720C4" w:rsidR="000367D9" w:rsidRPr="00254CCF" w:rsidRDefault="000367D9" w:rsidP="00476F0A">
            <w:pPr>
              <w:pStyle w:val="TableText"/>
              <w:spacing w:before="40" w:after="40"/>
              <w:jc w:val="left"/>
              <w:rPr>
                <w:rFonts w:cs="Arial"/>
                <w:sz w:val="17"/>
                <w:szCs w:val="17"/>
              </w:rPr>
            </w:pPr>
            <w:r>
              <w:rPr>
                <w:rFonts w:cs="Arial"/>
                <w:sz w:val="17"/>
                <w:szCs w:val="17"/>
              </w:rPr>
              <w:t>Master topic guide Staff Interviews</w:t>
            </w:r>
          </w:p>
        </w:tc>
        <w:tc>
          <w:tcPr>
            <w:tcW w:w="748" w:type="pct"/>
            <w:tcBorders>
              <w:top w:val="single" w:sz="4" w:space="0" w:color="auto"/>
              <w:bottom w:val="single" w:sz="4" w:space="0" w:color="auto"/>
            </w:tcBorders>
          </w:tcPr>
          <w:p w14:paraId="53FD762B" w14:textId="1140D63C" w:rsidR="000367D9" w:rsidRPr="00254CCF" w:rsidRDefault="000367D9" w:rsidP="00476F0A">
            <w:pPr>
              <w:pStyle w:val="TableText"/>
              <w:tabs>
                <w:tab w:val="decimal" w:pos="624"/>
              </w:tabs>
              <w:spacing w:before="40"/>
              <w:jc w:val="left"/>
              <w:rPr>
                <w:rFonts w:cs="Arial"/>
                <w:sz w:val="17"/>
                <w:szCs w:val="17"/>
              </w:rPr>
            </w:pPr>
            <w:r>
              <w:rPr>
                <w:rFonts w:eastAsia="Calibri" w:cs="Arial"/>
                <w:sz w:val="16"/>
                <w:szCs w:val="16"/>
              </w:rPr>
              <w:t xml:space="preserve">School administrator, </w:t>
            </w:r>
            <w:r w:rsidRPr="00B23538">
              <w:rPr>
                <w:rFonts w:eastAsia="Calibri" w:cs="Arial"/>
                <w:sz w:val="16"/>
                <w:szCs w:val="16"/>
              </w:rPr>
              <w:t xml:space="preserve">health educators </w:t>
            </w:r>
          </w:p>
        </w:tc>
        <w:tc>
          <w:tcPr>
            <w:tcW w:w="484" w:type="pct"/>
            <w:tcBorders>
              <w:top w:val="single" w:sz="4" w:space="0" w:color="auto"/>
              <w:bottom w:val="single" w:sz="4" w:space="0" w:color="auto"/>
            </w:tcBorders>
            <w:shd w:val="clear" w:color="auto" w:fill="auto"/>
          </w:tcPr>
          <w:p w14:paraId="3DAB2EEE" w14:textId="7EAC9568" w:rsidR="000367D9" w:rsidRPr="00254CCF" w:rsidRDefault="000367D9" w:rsidP="00126F92">
            <w:pPr>
              <w:pStyle w:val="TableText"/>
              <w:tabs>
                <w:tab w:val="decimal" w:pos="624"/>
              </w:tabs>
              <w:spacing w:before="40"/>
              <w:jc w:val="right"/>
              <w:rPr>
                <w:rFonts w:cs="Arial"/>
                <w:sz w:val="17"/>
                <w:szCs w:val="17"/>
              </w:rPr>
            </w:pPr>
            <w:r w:rsidRPr="00B23538">
              <w:rPr>
                <w:rFonts w:eastAsia="Calibri" w:cs="Arial"/>
                <w:sz w:val="16"/>
                <w:szCs w:val="16"/>
              </w:rPr>
              <w:t>39</w:t>
            </w:r>
          </w:p>
        </w:tc>
        <w:tc>
          <w:tcPr>
            <w:tcW w:w="485" w:type="pct"/>
            <w:tcBorders>
              <w:top w:val="single" w:sz="4" w:space="0" w:color="auto"/>
              <w:bottom w:val="single" w:sz="4" w:space="0" w:color="auto"/>
            </w:tcBorders>
            <w:shd w:val="clear" w:color="auto" w:fill="auto"/>
          </w:tcPr>
          <w:p w14:paraId="6B343C19" w14:textId="3DECA959" w:rsidR="000367D9" w:rsidRPr="00254CCF" w:rsidRDefault="000367D9" w:rsidP="00126F92">
            <w:pPr>
              <w:pStyle w:val="TableText"/>
              <w:tabs>
                <w:tab w:val="decimal" w:pos="624"/>
              </w:tabs>
              <w:spacing w:before="40"/>
              <w:jc w:val="right"/>
              <w:rPr>
                <w:rFonts w:cs="Arial"/>
                <w:sz w:val="17"/>
                <w:szCs w:val="17"/>
              </w:rPr>
            </w:pPr>
            <w:r w:rsidRPr="00B23538">
              <w:rPr>
                <w:rFonts w:eastAsia="Calibri" w:cs="Arial"/>
                <w:sz w:val="16"/>
                <w:szCs w:val="16"/>
              </w:rPr>
              <w:t>1</w:t>
            </w:r>
          </w:p>
        </w:tc>
        <w:tc>
          <w:tcPr>
            <w:tcW w:w="484" w:type="pct"/>
            <w:tcBorders>
              <w:top w:val="single" w:sz="4" w:space="0" w:color="auto"/>
              <w:bottom w:val="single" w:sz="4" w:space="0" w:color="auto"/>
            </w:tcBorders>
            <w:shd w:val="clear" w:color="auto" w:fill="auto"/>
          </w:tcPr>
          <w:p w14:paraId="4DF26A8A" w14:textId="3B298AD5" w:rsidR="000367D9" w:rsidRPr="00254CCF" w:rsidRDefault="000367D9" w:rsidP="00126F92">
            <w:pPr>
              <w:pStyle w:val="TableText"/>
              <w:tabs>
                <w:tab w:val="decimal" w:pos="624"/>
              </w:tabs>
              <w:spacing w:before="40"/>
              <w:jc w:val="right"/>
              <w:rPr>
                <w:rFonts w:cs="Arial"/>
                <w:sz w:val="17"/>
                <w:szCs w:val="17"/>
              </w:rPr>
            </w:pPr>
            <w:r w:rsidRPr="00B23538">
              <w:rPr>
                <w:rFonts w:eastAsia="Calibri" w:cs="Arial"/>
                <w:sz w:val="16"/>
                <w:szCs w:val="16"/>
              </w:rPr>
              <w:t>1</w:t>
            </w:r>
          </w:p>
        </w:tc>
        <w:tc>
          <w:tcPr>
            <w:tcW w:w="485" w:type="pct"/>
            <w:tcBorders>
              <w:top w:val="single" w:sz="4" w:space="0" w:color="auto"/>
              <w:bottom w:val="single" w:sz="4" w:space="0" w:color="auto"/>
            </w:tcBorders>
            <w:shd w:val="clear" w:color="auto" w:fill="auto"/>
          </w:tcPr>
          <w:p w14:paraId="67EE19DB" w14:textId="43BFDC81" w:rsidR="000367D9" w:rsidRPr="00254CCF" w:rsidRDefault="000367D9" w:rsidP="00126F92">
            <w:pPr>
              <w:pStyle w:val="TableText"/>
              <w:tabs>
                <w:tab w:val="decimal" w:pos="624"/>
              </w:tabs>
              <w:spacing w:before="40"/>
              <w:jc w:val="right"/>
              <w:rPr>
                <w:rFonts w:cs="Arial"/>
                <w:sz w:val="17"/>
                <w:szCs w:val="17"/>
              </w:rPr>
            </w:pPr>
            <w:r w:rsidRPr="00B23538">
              <w:rPr>
                <w:rFonts w:eastAsia="Calibri" w:cs="Arial"/>
                <w:sz w:val="16"/>
                <w:szCs w:val="16"/>
              </w:rPr>
              <w:t>39</w:t>
            </w:r>
          </w:p>
        </w:tc>
        <w:tc>
          <w:tcPr>
            <w:tcW w:w="484" w:type="pct"/>
            <w:tcBorders>
              <w:top w:val="single" w:sz="4" w:space="0" w:color="auto"/>
              <w:bottom w:val="single" w:sz="4" w:space="0" w:color="auto"/>
            </w:tcBorders>
          </w:tcPr>
          <w:p w14:paraId="3462CBB6" w14:textId="2A1F909E" w:rsidR="000367D9" w:rsidRPr="00254CCF" w:rsidRDefault="00C24E54" w:rsidP="00126F92">
            <w:pPr>
              <w:pStyle w:val="TableText"/>
              <w:tabs>
                <w:tab w:val="decimal" w:pos="624"/>
              </w:tabs>
              <w:spacing w:before="40"/>
              <w:jc w:val="right"/>
              <w:rPr>
                <w:rFonts w:cs="Arial"/>
                <w:sz w:val="17"/>
                <w:szCs w:val="17"/>
              </w:rPr>
            </w:pPr>
            <w:r>
              <w:rPr>
                <w:rFonts w:cs="Arial"/>
                <w:sz w:val="17"/>
                <w:szCs w:val="17"/>
              </w:rPr>
              <w:t>39</w:t>
            </w:r>
          </w:p>
        </w:tc>
        <w:tc>
          <w:tcPr>
            <w:tcW w:w="485" w:type="pct"/>
            <w:tcBorders>
              <w:top w:val="single" w:sz="4" w:space="0" w:color="auto"/>
              <w:bottom w:val="single" w:sz="4" w:space="0" w:color="auto"/>
            </w:tcBorders>
          </w:tcPr>
          <w:p w14:paraId="4D2DE733" w14:textId="3FB2967B" w:rsidR="000367D9" w:rsidRPr="00254CCF" w:rsidRDefault="000367D9" w:rsidP="00126F92">
            <w:pPr>
              <w:pStyle w:val="TableText"/>
              <w:tabs>
                <w:tab w:val="decimal" w:pos="624"/>
              </w:tabs>
              <w:spacing w:before="40"/>
              <w:jc w:val="right"/>
              <w:rPr>
                <w:rFonts w:cs="Arial"/>
                <w:sz w:val="17"/>
                <w:szCs w:val="17"/>
              </w:rPr>
            </w:pPr>
            <w:r w:rsidRPr="00B23538">
              <w:rPr>
                <w:rFonts w:eastAsia="Calibri" w:cs="Arial"/>
                <w:sz w:val="16"/>
                <w:szCs w:val="16"/>
              </w:rPr>
              <w:t>$20.76</w:t>
            </w:r>
          </w:p>
        </w:tc>
        <w:tc>
          <w:tcPr>
            <w:tcW w:w="507" w:type="pct"/>
            <w:tcBorders>
              <w:top w:val="single" w:sz="4" w:space="0" w:color="auto"/>
              <w:bottom w:val="single" w:sz="4" w:space="0" w:color="auto"/>
            </w:tcBorders>
          </w:tcPr>
          <w:p w14:paraId="750B6072" w14:textId="4143CBEB" w:rsidR="000367D9" w:rsidRPr="00254CCF" w:rsidRDefault="000367D9" w:rsidP="00126F92">
            <w:pPr>
              <w:pStyle w:val="TableText"/>
              <w:tabs>
                <w:tab w:val="decimal" w:pos="624"/>
              </w:tabs>
              <w:spacing w:before="40"/>
              <w:jc w:val="right"/>
              <w:rPr>
                <w:rFonts w:cs="Arial"/>
                <w:sz w:val="17"/>
                <w:szCs w:val="17"/>
              </w:rPr>
            </w:pPr>
            <w:r w:rsidRPr="00B23538">
              <w:rPr>
                <w:rFonts w:eastAsia="Calibri" w:cs="Arial"/>
                <w:sz w:val="16"/>
                <w:szCs w:val="16"/>
              </w:rPr>
              <w:t>$809.64</w:t>
            </w:r>
          </w:p>
        </w:tc>
      </w:tr>
      <w:tr w:rsidR="00126F92" w:rsidRPr="00254CCF" w14:paraId="46E10292" w14:textId="77777777" w:rsidTr="003E3BFF">
        <w:trPr>
          <w:cantSplit/>
        </w:trPr>
        <w:tc>
          <w:tcPr>
            <w:tcW w:w="839" w:type="pct"/>
            <w:tcBorders>
              <w:top w:val="single" w:sz="4" w:space="0" w:color="auto"/>
              <w:bottom w:val="single" w:sz="4" w:space="0" w:color="auto"/>
            </w:tcBorders>
            <w:shd w:val="clear" w:color="auto" w:fill="auto"/>
          </w:tcPr>
          <w:p w14:paraId="76FE4020" w14:textId="7800E0AF" w:rsidR="000367D9" w:rsidRPr="00254CCF" w:rsidRDefault="000367D9" w:rsidP="00476F0A">
            <w:pPr>
              <w:pStyle w:val="TableText"/>
              <w:spacing w:before="40" w:after="40"/>
              <w:jc w:val="left"/>
              <w:rPr>
                <w:rFonts w:cs="Arial"/>
                <w:sz w:val="17"/>
                <w:szCs w:val="17"/>
              </w:rPr>
            </w:pPr>
            <w:r>
              <w:rPr>
                <w:rFonts w:cs="Arial"/>
                <w:sz w:val="17"/>
                <w:szCs w:val="17"/>
              </w:rPr>
              <w:t>Staff Survey</w:t>
            </w:r>
          </w:p>
        </w:tc>
        <w:tc>
          <w:tcPr>
            <w:tcW w:w="748" w:type="pct"/>
            <w:tcBorders>
              <w:top w:val="single" w:sz="4" w:space="0" w:color="auto"/>
              <w:bottom w:val="single" w:sz="4" w:space="0" w:color="auto"/>
            </w:tcBorders>
          </w:tcPr>
          <w:p w14:paraId="12EF0D41" w14:textId="61EA5F97" w:rsidR="000367D9" w:rsidRPr="00254CCF" w:rsidRDefault="000367D9" w:rsidP="00476F0A">
            <w:pPr>
              <w:pStyle w:val="TableText"/>
              <w:tabs>
                <w:tab w:val="decimal" w:pos="624"/>
              </w:tabs>
              <w:spacing w:before="40"/>
              <w:jc w:val="left"/>
              <w:rPr>
                <w:rFonts w:cs="Arial"/>
                <w:sz w:val="17"/>
                <w:szCs w:val="17"/>
              </w:rPr>
            </w:pPr>
            <w:r w:rsidRPr="00B23538">
              <w:rPr>
                <w:rFonts w:eastAsia="Calibri" w:cs="Arial"/>
                <w:sz w:val="16"/>
                <w:szCs w:val="16"/>
              </w:rPr>
              <w:t>Health educators</w:t>
            </w:r>
          </w:p>
        </w:tc>
        <w:tc>
          <w:tcPr>
            <w:tcW w:w="484" w:type="pct"/>
            <w:tcBorders>
              <w:top w:val="single" w:sz="4" w:space="0" w:color="auto"/>
              <w:bottom w:val="single" w:sz="4" w:space="0" w:color="auto"/>
            </w:tcBorders>
            <w:shd w:val="clear" w:color="auto" w:fill="auto"/>
          </w:tcPr>
          <w:p w14:paraId="77DC3361" w14:textId="327B1383" w:rsidR="000367D9" w:rsidRPr="00254CCF" w:rsidRDefault="000367D9" w:rsidP="00126F92">
            <w:pPr>
              <w:pStyle w:val="TableText"/>
              <w:tabs>
                <w:tab w:val="decimal" w:pos="624"/>
              </w:tabs>
              <w:spacing w:before="40"/>
              <w:jc w:val="right"/>
              <w:rPr>
                <w:rFonts w:cs="Arial"/>
                <w:sz w:val="17"/>
                <w:szCs w:val="17"/>
              </w:rPr>
            </w:pPr>
            <w:r w:rsidRPr="00B23538">
              <w:rPr>
                <w:rFonts w:eastAsia="Calibri" w:cs="Arial"/>
                <w:sz w:val="16"/>
                <w:szCs w:val="16"/>
              </w:rPr>
              <w:t>26</w:t>
            </w:r>
          </w:p>
        </w:tc>
        <w:tc>
          <w:tcPr>
            <w:tcW w:w="485" w:type="pct"/>
            <w:tcBorders>
              <w:top w:val="single" w:sz="4" w:space="0" w:color="auto"/>
              <w:bottom w:val="single" w:sz="4" w:space="0" w:color="auto"/>
            </w:tcBorders>
            <w:shd w:val="clear" w:color="auto" w:fill="auto"/>
          </w:tcPr>
          <w:p w14:paraId="55ABF5FD" w14:textId="36A8497B" w:rsidR="000367D9" w:rsidRPr="00254CCF" w:rsidRDefault="000367D9" w:rsidP="00126F92">
            <w:pPr>
              <w:pStyle w:val="TableText"/>
              <w:tabs>
                <w:tab w:val="decimal" w:pos="624"/>
              </w:tabs>
              <w:spacing w:before="40"/>
              <w:jc w:val="right"/>
              <w:rPr>
                <w:rFonts w:cs="Arial"/>
                <w:sz w:val="17"/>
                <w:szCs w:val="17"/>
              </w:rPr>
            </w:pPr>
            <w:r w:rsidRPr="00B23538">
              <w:rPr>
                <w:rFonts w:eastAsia="Calibri" w:cs="Arial"/>
                <w:sz w:val="16"/>
                <w:szCs w:val="16"/>
              </w:rPr>
              <w:t>1</w:t>
            </w:r>
          </w:p>
        </w:tc>
        <w:tc>
          <w:tcPr>
            <w:tcW w:w="484" w:type="pct"/>
            <w:tcBorders>
              <w:top w:val="single" w:sz="4" w:space="0" w:color="auto"/>
              <w:bottom w:val="single" w:sz="4" w:space="0" w:color="auto"/>
            </w:tcBorders>
            <w:shd w:val="clear" w:color="auto" w:fill="auto"/>
          </w:tcPr>
          <w:p w14:paraId="4108DE86" w14:textId="7117B2B2" w:rsidR="000367D9" w:rsidRPr="00254CCF" w:rsidRDefault="000367D9" w:rsidP="00126F92">
            <w:pPr>
              <w:pStyle w:val="TableText"/>
              <w:tabs>
                <w:tab w:val="decimal" w:pos="624"/>
              </w:tabs>
              <w:spacing w:before="40"/>
              <w:jc w:val="right"/>
              <w:rPr>
                <w:rFonts w:cs="Arial"/>
                <w:sz w:val="17"/>
                <w:szCs w:val="17"/>
              </w:rPr>
            </w:pPr>
            <w:r w:rsidRPr="00B23538">
              <w:rPr>
                <w:rFonts w:eastAsia="Calibri" w:cs="Arial"/>
                <w:sz w:val="16"/>
                <w:szCs w:val="16"/>
              </w:rPr>
              <w:t>30/60</w:t>
            </w:r>
          </w:p>
        </w:tc>
        <w:tc>
          <w:tcPr>
            <w:tcW w:w="485" w:type="pct"/>
            <w:tcBorders>
              <w:top w:val="single" w:sz="4" w:space="0" w:color="auto"/>
              <w:bottom w:val="single" w:sz="4" w:space="0" w:color="auto"/>
            </w:tcBorders>
            <w:shd w:val="clear" w:color="auto" w:fill="auto"/>
          </w:tcPr>
          <w:p w14:paraId="0C4D9EF0" w14:textId="352F4DA7" w:rsidR="000367D9" w:rsidRPr="00254CCF" w:rsidRDefault="000367D9" w:rsidP="00126F92">
            <w:pPr>
              <w:pStyle w:val="TableText"/>
              <w:tabs>
                <w:tab w:val="decimal" w:pos="624"/>
              </w:tabs>
              <w:spacing w:before="40"/>
              <w:jc w:val="right"/>
              <w:rPr>
                <w:rFonts w:cs="Arial"/>
                <w:sz w:val="17"/>
                <w:szCs w:val="17"/>
              </w:rPr>
            </w:pPr>
            <w:r w:rsidRPr="00B23538">
              <w:rPr>
                <w:rFonts w:eastAsia="Calibri" w:cs="Arial"/>
                <w:sz w:val="16"/>
                <w:szCs w:val="16"/>
              </w:rPr>
              <w:t>13</w:t>
            </w:r>
          </w:p>
        </w:tc>
        <w:tc>
          <w:tcPr>
            <w:tcW w:w="484" w:type="pct"/>
            <w:tcBorders>
              <w:top w:val="single" w:sz="4" w:space="0" w:color="auto"/>
              <w:bottom w:val="single" w:sz="4" w:space="0" w:color="auto"/>
            </w:tcBorders>
          </w:tcPr>
          <w:p w14:paraId="18D71204" w14:textId="17FBBBBE" w:rsidR="000367D9" w:rsidRPr="00254CCF" w:rsidRDefault="00C24E54" w:rsidP="00126F92">
            <w:pPr>
              <w:pStyle w:val="TableText"/>
              <w:tabs>
                <w:tab w:val="decimal" w:pos="624"/>
              </w:tabs>
              <w:spacing w:before="40"/>
              <w:jc w:val="right"/>
              <w:rPr>
                <w:rFonts w:cs="Arial"/>
                <w:sz w:val="17"/>
                <w:szCs w:val="17"/>
              </w:rPr>
            </w:pPr>
            <w:r>
              <w:rPr>
                <w:rFonts w:cs="Arial"/>
                <w:sz w:val="17"/>
                <w:szCs w:val="17"/>
              </w:rPr>
              <w:t>13</w:t>
            </w:r>
          </w:p>
        </w:tc>
        <w:tc>
          <w:tcPr>
            <w:tcW w:w="485" w:type="pct"/>
            <w:tcBorders>
              <w:top w:val="single" w:sz="4" w:space="0" w:color="auto"/>
              <w:bottom w:val="single" w:sz="4" w:space="0" w:color="auto"/>
            </w:tcBorders>
          </w:tcPr>
          <w:p w14:paraId="0DDAD91B" w14:textId="60F2CB0A" w:rsidR="000367D9" w:rsidRPr="00254CCF" w:rsidRDefault="000367D9" w:rsidP="00126F92">
            <w:pPr>
              <w:pStyle w:val="TableText"/>
              <w:tabs>
                <w:tab w:val="decimal" w:pos="624"/>
              </w:tabs>
              <w:spacing w:before="40"/>
              <w:jc w:val="right"/>
              <w:rPr>
                <w:rFonts w:cs="Arial"/>
                <w:sz w:val="17"/>
                <w:szCs w:val="17"/>
              </w:rPr>
            </w:pPr>
            <w:r w:rsidRPr="00B23538">
              <w:rPr>
                <w:rFonts w:eastAsia="Calibri" w:cs="Arial"/>
                <w:sz w:val="16"/>
                <w:szCs w:val="16"/>
              </w:rPr>
              <w:t>$20.76</w:t>
            </w:r>
          </w:p>
        </w:tc>
        <w:tc>
          <w:tcPr>
            <w:tcW w:w="507" w:type="pct"/>
            <w:tcBorders>
              <w:top w:val="single" w:sz="4" w:space="0" w:color="auto"/>
              <w:bottom w:val="single" w:sz="4" w:space="0" w:color="auto"/>
            </w:tcBorders>
          </w:tcPr>
          <w:p w14:paraId="1FC79662" w14:textId="5D642236" w:rsidR="000367D9" w:rsidRPr="00254CCF" w:rsidRDefault="000367D9" w:rsidP="00126F92">
            <w:pPr>
              <w:pStyle w:val="TableText"/>
              <w:tabs>
                <w:tab w:val="decimal" w:pos="624"/>
              </w:tabs>
              <w:spacing w:before="40"/>
              <w:jc w:val="right"/>
              <w:rPr>
                <w:rFonts w:cs="Arial"/>
                <w:sz w:val="17"/>
                <w:szCs w:val="17"/>
              </w:rPr>
            </w:pPr>
            <w:r w:rsidRPr="00B23538">
              <w:rPr>
                <w:rFonts w:eastAsia="Calibri" w:cs="Arial"/>
                <w:sz w:val="16"/>
                <w:szCs w:val="16"/>
              </w:rPr>
              <w:t>$269.88</w:t>
            </w:r>
          </w:p>
        </w:tc>
      </w:tr>
      <w:tr w:rsidR="00126F92" w:rsidRPr="00254CCF" w14:paraId="12306545" w14:textId="77777777" w:rsidTr="003E3BFF">
        <w:trPr>
          <w:cantSplit/>
        </w:trPr>
        <w:tc>
          <w:tcPr>
            <w:tcW w:w="839" w:type="pct"/>
            <w:tcBorders>
              <w:top w:val="single" w:sz="4" w:space="0" w:color="auto"/>
              <w:bottom w:val="single" w:sz="4" w:space="0" w:color="auto"/>
            </w:tcBorders>
            <w:shd w:val="clear" w:color="auto" w:fill="auto"/>
          </w:tcPr>
          <w:p w14:paraId="470E01DC" w14:textId="5880BB5E" w:rsidR="000367D9" w:rsidRPr="00254CCF" w:rsidRDefault="000367D9" w:rsidP="00476F0A">
            <w:pPr>
              <w:pStyle w:val="TableText"/>
              <w:spacing w:before="40" w:after="40"/>
              <w:jc w:val="left"/>
              <w:rPr>
                <w:rFonts w:cs="Arial"/>
                <w:sz w:val="17"/>
                <w:szCs w:val="17"/>
              </w:rPr>
            </w:pPr>
            <w:r w:rsidRPr="00B23538">
              <w:rPr>
                <w:rFonts w:eastAsia="Calibri" w:cs="Arial"/>
                <w:sz w:val="16"/>
                <w:szCs w:val="16"/>
              </w:rPr>
              <w:t>Program Attendance Data Collection Protocol</w:t>
            </w:r>
          </w:p>
        </w:tc>
        <w:tc>
          <w:tcPr>
            <w:tcW w:w="748" w:type="pct"/>
            <w:tcBorders>
              <w:top w:val="single" w:sz="4" w:space="0" w:color="auto"/>
              <w:bottom w:val="single" w:sz="4" w:space="0" w:color="auto"/>
            </w:tcBorders>
          </w:tcPr>
          <w:p w14:paraId="7F6A33ED" w14:textId="4F2F8C5A" w:rsidR="000367D9" w:rsidRPr="00254CCF" w:rsidRDefault="000367D9" w:rsidP="00476F0A">
            <w:pPr>
              <w:pStyle w:val="TableText"/>
              <w:tabs>
                <w:tab w:val="decimal" w:pos="624"/>
              </w:tabs>
              <w:spacing w:before="40"/>
              <w:jc w:val="left"/>
              <w:rPr>
                <w:rFonts w:cs="Arial"/>
                <w:sz w:val="17"/>
                <w:szCs w:val="17"/>
              </w:rPr>
            </w:pPr>
            <w:r w:rsidRPr="00B23538">
              <w:rPr>
                <w:rFonts w:eastAsia="Calibri" w:cs="Arial"/>
                <w:sz w:val="16"/>
                <w:szCs w:val="16"/>
              </w:rPr>
              <w:t>Health educators</w:t>
            </w:r>
          </w:p>
        </w:tc>
        <w:tc>
          <w:tcPr>
            <w:tcW w:w="484" w:type="pct"/>
            <w:tcBorders>
              <w:top w:val="single" w:sz="4" w:space="0" w:color="auto"/>
              <w:bottom w:val="single" w:sz="4" w:space="0" w:color="auto"/>
            </w:tcBorders>
            <w:shd w:val="clear" w:color="auto" w:fill="auto"/>
          </w:tcPr>
          <w:p w14:paraId="28571797" w14:textId="72C2C439" w:rsidR="000367D9" w:rsidRPr="00254CCF" w:rsidRDefault="000367D9" w:rsidP="00126F92">
            <w:pPr>
              <w:pStyle w:val="TableText"/>
              <w:tabs>
                <w:tab w:val="decimal" w:pos="624"/>
              </w:tabs>
              <w:spacing w:before="40"/>
              <w:jc w:val="right"/>
              <w:rPr>
                <w:rFonts w:cs="Arial"/>
                <w:sz w:val="17"/>
                <w:szCs w:val="17"/>
              </w:rPr>
            </w:pPr>
            <w:r w:rsidRPr="00B23538">
              <w:rPr>
                <w:rFonts w:eastAsia="Calibri" w:cs="Arial"/>
                <w:sz w:val="16"/>
                <w:szCs w:val="16"/>
              </w:rPr>
              <w:t>17.33</w:t>
            </w:r>
          </w:p>
        </w:tc>
        <w:tc>
          <w:tcPr>
            <w:tcW w:w="485" w:type="pct"/>
            <w:tcBorders>
              <w:top w:val="single" w:sz="4" w:space="0" w:color="auto"/>
              <w:bottom w:val="single" w:sz="4" w:space="0" w:color="auto"/>
            </w:tcBorders>
            <w:shd w:val="clear" w:color="auto" w:fill="auto"/>
          </w:tcPr>
          <w:p w14:paraId="3030C583" w14:textId="34EEC6A1" w:rsidR="000367D9" w:rsidRPr="00254CCF" w:rsidRDefault="000367D9" w:rsidP="00126F92">
            <w:pPr>
              <w:pStyle w:val="TableText"/>
              <w:tabs>
                <w:tab w:val="decimal" w:pos="624"/>
              </w:tabs>
              <w:spacing w:before="40"/>
              <w:jc w:val="right"/>
              <w:rPr>
                <w:rFonts w:cs="Arial"/>
                <w:sz w:val="17"/>
                <w:szCs w:val="17"/>
              </w:rPr>
            </w:pPr>
            <w:r w:rsidRPr="00B23538">
              <w:rPr>
                <w:rFonts w:eastAsia="Calibri" w:cs="Arial"/>
                <w:sz w:val="16"/>
                <w:szCs w:val="16"/>
              </w:rPr>
              <w:t>14</w:t>
            </w:r>
          </w:p>
        </w:tc>
        <w:tc>
          <w:tcPr>
            <w:tcW w:w="484" w:type="pct"/>
            <w:tcBorders>
              <w:top w:val="single" w:sz="4" w:space="0" w:color="auto"/>
              <w:bottom w:val="single" w:sz="4" w:space="0" w:color="auto"/>
            </w:tcBorders>
            <w:shd w:val="clear" w:color="auto" w:fill="auto"/>
          </w:tcPr>
          <w:p w14:paraId="5A15FB45" w14:textId="4746D525" w:rsidR="000367D9" w:rsidRPr="00254CCF" w:rsidRDefault="000367D9" w:rsidP="00126F92">
            <w:pPr>
              <w:pStyle w:val="TableText"/>
              <w:tabs>
                <w:tab w:val="decimal" w:pos="624"/>
              </w:tabs>
              <w:spacing w:before="40"/>
              <w:jc w:val="right"/>
              <w:rPr>
                <w:rFonts w:cs="Arial"/>
                <w:sz w:val="17"/>
                <w:szCs w:val="17"/>
              </w:rPr>
            </w:pPr>
            <w:r w:rsidRPr="00B23538">
              <w:rPr>
                <w:rFonts w:eastAsia="Calibri" w:cs="Arial"/>
                <w:sz w:val="16"/>
                <w:szCs w:val="16"/>
              </w:rPr>
              <w:t>1/60</w:t>
            </w:r>
          </w:p>
        </w:tc>
        <w:tc>
          <w:tcPr>
            <w:tcW w:w="485" w:type="pct"/>
            <w:tcBorders>
              <w:top w:val="single" w:sz="4" w:space="0" w:color="auto"/>
              <w:bottom w:val="single" w:sz="4" w:space="0" w:color="auto"/>
            </w:tcBorders>
            <w:shd w:val="clear" w:color="auto" w:fill="auto"/>
          </w:tcPr>
          <w:p w14:paraId="18556740" w14:textId="036BD14D" w:rsidR="000367D9" w:rsidRPr="00254CCF" w:rsidRDefault="000367D9" w:rsidP="00126F92">
            <w:pPr>
              <w:pStyle w:val="TableText"/>
              <w:tabs>
                <w:tab w:val="decimal" w:pos="624"/>
              </w:tabs>
              <w:spacing w:before="40"/>
              <w:jc w:val="right"/>
              <w:rPr>
                <w:rFonts w:cs="Arial"/>
                <w:sz w:val="17"/>
                <w:szCs w:val="17"/>
              </w:rPr>
            </w:pPr>
            <w:r w:rsidRPr="00B23538">
              <w:rPr>
                <w:rFonts w:eastAsia="Calibri" w:cs="Arial"/>
                <w:sz w:val="16"/>
                <w:szCs w:val="16"/>
              </w:rPr>
              <w:t>4.9</w:t>
            </w:r>
          </w:p>
        </w:tc>
        <w:tc>
          <w:tcPr>
            <w:tcW w:w="484" w:type="pct"/>
            <w:tcBorders>
              <w:top w:val="single" w:sz="4" w:space="0" w:color="auto"/>
              <w:bottom w:val="single" w:sz="4" w:space="0" w:color="auto"/>
            </w:tcBorders>
          </w:tcPr>
          <w:p w14:paraId="1F66CC48" w14:textId="2F5E204C" w:rsidR="000367D9" w:rsidRPr="00254CCF" w:rsidRDefault="00C24E54" w:rsidP="00126F92">
            <w:pPr>
              <w:pStyle w:val="TableText"/>
              <w:tabs>
                <w:tab w:val="decimal" w:pos="624"/>
              </w:tabs>
              <w:spacing w:before="40"/>
              <w:jc w:val="right"/>
              <w:rPr>
                <w:rFonts w:cs="Arial"/>
                <w:sz w:val="17"/>
                <w:szCs w:val="17"/>
              </w:rPr>
            </w:pPr>
            <w:r>
              <w:rPr>
                <w:rFonts w:cs="Arial"/>
                <w:sz w:val="17"/>
                <w:szCs w:val="17"/>
              </w:rPr>
              <w:t>4.9</w:t>
            </w:r>
          </w:p>
        </w:tc>
        <w:tc>
          <w:tcPr>
            <w:tcW w:w="485" w:type="pct"/>
            <w:tcBorders>
              <w:top w:val="single" w:sz="4" w:space="0" w:color="auto"/>
              <w:bottom w:val="single" w:sz="4" w:space="0" w:color="auto"/>
            </w:tcBorders>
          </w:tcPr>
          <w:p w14:paraId="45B7AB51" w14:textId="65815AD1" w:rsidR="000367D9" w:rsidRPr="00254CCF" w:rsidRDefault="000367D9" w:rsidP="00126F92">
            <w:pPr>
              <w:pStyle w:val="TableText"/>
              <w:tabs>
                <w:tab w:val="decimal" w:pos="624"/>
              </w:tabs>
              <w:spacing w:before="40"/>
              <w:jc w:val="right"/>
              <w:rPr>
                <w:rFonts w:cs="Arial"/>
                <w:sz w:val="17"/>
                <w:szCs w:val="17"/>
              </w:rPr>
            </w:pPr>
            <w:r w:rsidRPr="00B23538">
              <w:rPr>
                <w:rFonts w:eastAsia="Calibri" w:cs="Arial"/>
                <w:sz w:val="16"/>
                <w:szCs w:val="16"/>
              </w:rPr>
              <w:t>$20.76</w:t>
            </w:r>
          </w:p>
        </w:tc>
        <w:tc>
          <w:tcPr>
            <w:tcW w:w="507" w:type="pct"/>
            <w:tcBorders>
              <w:top w:val="single" w:sz="4" w:space="0" w:color="auto"/>
              <w:bottom w:val="single" w:sz="4" w:space="0" w:color="auto"/>
            </w:tcBorders>
          </w:tcPr>
          <w:p w14:paraId="32340F01" w14:textId="2E85DEAA" w:rsidR="000367D9" w:rsidRPr="00254CCF" w:rsidRDefault="000367D9" w:rsidP="00126F92">
            <w:pPr>
              <w:pStyle w:val="TableText"/>
              <w:tabs>
                <w:tab w:val="decimal" w:pos="624"/>
              </w:tabs>
              <w:spacing w:before="40"/>
              <w:jc w:val="right"/>
              <w:rPr>
                <w:rFonts w:cs="Arial"/>
                <w:sz w:val="17"/>
                <w:szCs w:val="17"/>
              </w:rPr>
            </w:pPr>
            <w:r w:rsidRPr="00B23538">
              <w:rPr>
                <w:rFonts w:eastAsia="Calibri" w:cs="Arial"/>
                <w:sz w:val="16"/>
                <w:szCs w:val="16"/>
              </w:rPr>
              <w:t>$101.72</w:t>
            </w:r>
          </w:p>
        </w:tc>
      </w:tr>
      <w:tr w:rsidR="00126F92" w:rsidRPr="00254CCF" w14:paraId="3C0F72A0" w14:textId="77777777" w:rsidTr="003E3BFF">
        <w:trPr>
          <w:cantSplit/>
        </w:trPr>
        <w:tc>
          <w:tcPr>
            <w:tcW w:w="839" w:type="pct"/>
            <w:tcBorders>
              <w:top w:val="single" w:sz="4" w:space="0" w:color="auto"/>
              <w:bottom w:val="single" w:sz="4" w:space="0" w:color="auto"/>
            </w:tcBorders>
            <w:shd w:val="clear" w:color="auto" w:fill="auto"/>
          </w:tcPr>
          <w:p w14:paraId="676E3C05" w14:textId="0A8B3BE8" w:rsidR="000367D9" w:rsidRPr="00254CCF" w:rsidRDefault="000367D9" w:rsidP="00476F0A">
            <w:pPr>
              <w:pStyle w:val="TableText"/>
              <w:spacing w:before="40" w:after="40"/>
              <w:jc w:val="left"/>
              <w:rPr>
                <w:rFonts w:cs="Arial"/>
                <w:sz w:val="17"/>
                <w:szCs w:val="17"/>
              </w:rPr>
            </w:pPr>
            <w:r w:rsidRPr="00B23538">
              <w:rPr>
                <w:rFonts w:eastAsia="Calibri" w:cs="Arial"/>
                <w:sz w:val="16"/>
                <w:szCs w:val="16"/>
              </w:rPr>
              <w:t>Program Fidelity Checklist</w:t>
            </w:r>
          </w:p>
        </w:tc>
        <w:tc>
          <w:tcPr>
            <w:tcW w:w="748" w:type="pct"/>
            <w:tcBorders>
              <w:top w:val="single" w:sz="4" w:space="0" w:color="auto"/>
              <w:bottom w:val="single" w:sz="4" w:space="0" w:color="auto"/>
            </w:tcBorders>
          </w:tcPr>
          <w:p w14:paraId="0B0180DC" w14:textId="77620004" w:rsidR="000367D9" w:rsidRPr="00254CCF" w:rsidRDefault="000367D9" w:rsidP="00476F0A">
            <w:pPr>
              <w:pStyle w:val="TableText"/>
              <w:tabs>
                <w:tab w:val="decimal" w:pos="624"/>
              </w:tabs>
              <w:spacing w:before="40"/>
              <w:jc w:val="left"/>
              <w:rPr>
                <w:rFonts w:cs="Arial"/>
                <w:sz w:val="17"/>
                <w:szCs w:val="17"/>
              </w:rPr>
            </w:pPr>
            <w:r w:rsidRPr="00B23538">
              <w:rPr>
                <w:rFonts w:eastAsia="Calibri" w:cs="Arial"/>
                <w:sz w:val="16"/>
                <w:szCs w:val="16"/>
              </w:rPr>
              <w:t>Health educators</w:t>
            </w:r>
          </w:p>
        </w:tc>
        <w:tc>
          <w:tcPr>
            <w:tcW w:w="484" w:type="pct"/>
            <w:tcBorders>
              <w:top w:val="single" w:sz="4" w:space="0" w:color="auto"/>
              <w:bottom w:val="single" w:sz="4" w:space="0" w:color="auto"/>
            </w:tcBorders>
            <w:shd w:val="clear" w:color="auto" w:fill="auto"/>
          </w:tcPr>
          <w:p w14:paraId="53B920C2" w14:textId="5A4916D1" w:rsidR="000367D9" w:rsidRPr="00254CCF" w:rsidRDefault="000367D9" w:rsidP="00126F92">
            <w:pPr>
              <w:pStyle w:val="TableText"/>
              <w:tabs>
                <w:tab w:val="decimal" w:pos="624"/>
              </w:tabs>
              <w:spacing w:before="40"/>
              <w:jc w:val="right"/>
              <w:rPr>
                <w:rFonts w:cs="Arial"/>
                <w:sz w:val="17"/>
                <w:szCs w:val="17"/>
              </w:rPr>
            </w:pPr>
            <w:r w:rsidRPr="00B23538">
              <w:rPr>
                <w:rFonts w:eastAsia="Calibri" w:cs="Arial"/>
                <w:sz w:val="16"/>
                <w:szCs w:val="16"/>
              </w:rPr>
              <w:t>17.33</w:t>
            </w:r>
          </w:p>
        </w:tc>
        <w:tc>
          <w:tcPr>
            <w:tcW w:w="485" w:type="pct"/>
            <w:tcBorders>
              <w:top w:val="single" w:sz="4" w:space="0" w:color="auto"/>
              <w:bottom w:val="single" w:sz="4" w:space="0" w:color="auto"/>
            </w:tcBorders>
            <w:shd w:val="clear" w:color="auto" w:fill="auto"/>
          </w:tcPr>
          <w:p w14:paraId="002A8C18" w14:textId="40FD3155" w:rsidR="000367D9" w:rsidRPr="00254CCF" w:rsidRDefault="000367D9" w:rsidP="00126F92">
            <w:pPr>
              <w:pStyle w:val="TableText"/>
              <w:tabs>
                <w:tab w:val="decimal" w:pos="624"/>
              </w:tabs>
              <w:spacing w:before="40"/>
              <w:jc w:val="right"/>
              <w:rPr>
                <w:rFonts w:cs="Arial"/>
                <w:sz w:val="17"/>
                <w:szCs w:val="17"/>
              </w:rPr>
            </w:pPr>
            <w:r w:rsidRPr="00B23538">
              <w:rPr>
                <w:rFonts w:eastAsia="Calibri" w:cs="Arial"/>
                <w:sz w:val="16"/>
                <w:szCs w:val="16"/>
              </w:rPr>
              <w:t>14</w:t>
            </w:r>
          </w:p>
        </w:tc>
        <w:tc>
          <w:tcPr>
            <w:tcW w:w="484" w:type="pct"/>
            <w:tcBorders>
              <w:top w:val="single" w:sz="4" w:space="0" w:color="auto"/>
              <w:bottom w:val="single" w:sz="4" w:space="0" w:color="auto"/>
            </w:tcBorders>
            <w:shd w:val="clear" w:color="auto" w:fill="auto"/>
          </w:tcPr>
          <w:p w14:paraId="7B4D317B" w14:textId="4C5A68D0" w:rsidR="000367D9" w:rsidRPr="00254CCF" w:rsidRDefault="000367D9" w:rsidP="00126F92">
            <w:pPr>
              <w:pStyle w:val="TableText"/>
              <w:tabs>
                <w:tab w:val="decimal" w:pos="624"/>
              </w:tabs>
              <w:spacing w:before="40"/>
              <w:jc w:val="right"/>
              <w:rPr>
                <w:rFonts w:cs="Arial"/>
                <w:sz w:val="17"/>
                <w:szCs w:val="17"/>
              </w:rPr>
            </w:pPr>
            <w:r w:rsidRPr="00B23538">
              <w:rPr>
                <w:rFonts w:eastAsia="Calibri" w:cs="Arial"/>
                <w:sz w:val="16"/>
                <w:szCs w:val="16"/>
              </w:rPr>
              <w:t>5/60</w:t>
            </w:r>
          </w:p>
        </w:tc>
        <w:tc>
          <w:tcPr>
            <w:tcW w:w="485" w:type="pct"/>
            <w:tcBorders>
              <w:top w:val="single" w:sz="4" w:space="0" w:color="auto"/>
              <w:bottom w:val="single" w:sz="4" w:space="0" w:color="auto"/>
            </w:tcBorders>
            <w:shd w:val="clear" w:color="auto" w:fill="auto"/>
          </w:tcPr>
          <w:p w14:paraId="5B7047CD" w14:textId="4373D2B9" w:rsidR="000367D9" w:rsidRPr="00254CCF" w:rsidRDefault="000367D9" w:rsidP="00126F92">
            <w:pPr>
              <w:pStyle w:val="TableText"/>
              <w:tabs>
                <w:tab w:val="decimal" w:pos="624"/>
              </w:tabs>
              <w:spacing w:before="40"/>
              <w:jc w:val="right"/>
              <w:rPr>
                <w:rFonts w:cs="Arial"/>
                <w:sz w:val="17"/>
                <w:szCs w:val="17"/>
              </w:rPr>
            </w:pPr>
            <w:r w:rsidRPr="00B23538">
              <w:rPr>
                <w:rFonts w:eastAsia="Calibri" w:cs="Arial"/>
                <w:sz w:val="16"/>
                <w:szCs w:val="16"/>
              </w:rPr>
              <w:t>19.4</w:t>
            </w:r>
          </w:p>
        </w:tc>
        <w:tc>
          <w:tcPr>
            <w:tcW w:w="484" w:type="pct"/>
            <w:tcBorders>
              <w:top w:val="single" w:sz="4" w:space="0" w:color="auto"/>
              <w:bottom w:val="single" w:sz="4" w:space="0" w:color="auto"/>
            </w:tcBorders>
          </w:tcPr>
          <w:p w14:paraId="7D7F5EF5" w14:textId="4909C6E5" w:rsidR="000367D9" w:rsidRPr="00254CCF" w:rsidRDefault="00C24E54" w:rsidP="00126F92">
            <w:pPr>
              <w:pStyle w:val="TableText"/>
              <w:tabs>
                <w:tab w:val="decimal" w:pos="624"/>
              </w:tabs>
              <w:spacing w:before="40"/>
              <w:jc w:val="right"/>
              <w:rPr>
                <w:rFonts w:cs="Arial"/>
                <w:sz w:val="17"/>
                <w:szCs w:val="17"/>
              </w:rPr>
            </w:pPr>
            <w:r>
              <w:rPr>
                <w:rFonts w:cs="Arial"/>
                <w:sz w:val="17"/>
                <w:szCs w:val="17"/>
              </w:rPr>
              <w:t>19.4</w:t>
            </w:r>
          </w:p>
        </w:tc>
        <w:tc>
          <w:tcPr>
            <w:tcW w:w="485" w:type="pct"/>
            <w:tcBorders>
              <w:top w:val="single" w:sz="4" w:space="0" w:color="auto"/>
              <w:bottom w:val="single" w:sz="4" w:space="0" w:color="auto"/>
            </w:tcBorders>
          </w:tcPr>
          <w:p w14:paraId="1A6AD4E4" w14:textId="60BBF852" w:rsidR="000367D9" w:rsidRPr="00254CCF" w:rsidRDefault="000367D9" w:rsidP="00126F92">
            <w:pPr>
              <w:pStyle w:val="TableText"/>
              <w:tabs>
                <w:tab w:val="decimal" w:pos="624"/>
              </w:tabs>
              <w:spacing w:before="40"/>
              <w:jc w:val="right"/>
              <w:rPr>
                <w:rFonts w:cs="Arial"/>
                <w:sz w:val="17"/>
                <w:szCs w:val="17"/>
              </w:rPr>
            </w:pPr>
            <w:r w:rsidRPr="00B23538">
              <w:rPr>
                <w:rFonts w:eastAsia="Calibri" w:cs="Arial"/>
                <w:sz w:val="16"/>
                <w:szCs w:val="16"/>
              </w:rPr>
              <w:t>$20.76</w:t>
            </w:r>
          </w:p>
        </w:tc>
        <w:tc>
          <w:tcPr>
            <w:tcW w:w="507" w:type="pct"/>
            <w:tcBorders>
              <w:top w:val="single" w:sz="4" w:space="0" w:color="auto"/>
              <w:bottom w:val="single" w:sz="4" w:space="0" w:color="auto"/>
            </w:tcBorders>
          </w:tcPr>
          <w:p w14:paraId="0F75FA49" w14:textId="26325674" w:rsidR="000367D9" w:rsidRPr="00254CCF" w:rsidRDefault="000367D9" w:rsidP="00126F92">
            <w:pPr>
              <w:pStyle w:val="TableText"/>
              <w:tabs>
                <w:tab w:val="decimal" w:pos="624"/>
              </w:tabs>
              <w:spacing w:before="40"/>
              <w:jc w:val="right"/>
              <w:rPr>
                <w:rFonts w:cs="Arial"/>
                <w:sz w:val="17"/>
                <w:szCs w:val="17"/>
              </w:rPr>
            </w:pPr>
            <w:r w:rsidRPr="00B23538">
              <w:rPr>
                <w:rFonts w:eastAsia="Calibri" w:cs="Arial"/>
                <w:sz w:val="16"/>
                <w:szCs w:val="16"/>
              </w:rPr>
              <w:t>$402.74</w:t>
            </w:r>
          </w:p>
        </w:tc>
      </w:tr>
      <w:tr w:rsidR="00126F92" w:rsidRPr="00254CCF" w14:paraId="0B1F0ECA" w14:textId="77777777" w:rsidTr="003E3BFF">
        <w:trPr>
          <w:cantSplit/>
        </w:trPr>
        <w:tc>
          <w:tcPr>
            <w:tcW w:w="839" w:type="pct"/>
            <w:tcBorders>
              <w:top w:val="single" w:sz="4" w:space="0" w:color="auto"/>
              <w:bottom w:val="single" w:sz="4" w:space="0" w:color="auto"/>
            </w:tcBorders>
            <w:shd w:val="clear" w:color="auto" w:fill="auto"/>
          </w:tcPr>
          <w:p w14:paraId="0EA3820B" w14:textId="4F86379B" w:rsidR="000367D9" w:rsidRPr="00254CCF" w:rsidRDefault="000367D9" w:rsidP="00476F0A">
            <w:pPr>
              <w:pStyle w:val="TableText"/>
              <w:spacing w:before="40" w:after="40"/>
              <w:jc w:val="left"/>
              <w:rPr>
                <w:rFonts w:cs="Arial"/>
                <w:sz w:val="17"/>
                <w:szCs w:val="17"/>
              </w:rPr>
            </w:pPr>
            <w:r w:rsidRPr="00B23538">
              <w:rPr>
                <w:rFonts w:eastAsia="Calibri" w:cs="Arial"/>
                <w:sz w:val="16"/>
                <w:szCs w:val="16"/>
              </w:rPr>
              <w:t xml:space="preserve">Youth Focus Group </w:t>
            </w:r>
          </w:p>
        </w:tc>
        <w:tc>
          <w:tcPr>
            <w:tcW w:w="748" w:type="pct"/>
            <w:tcBorders>
              <w:top w:val="single" w:sz="4" w:space="0" w:color="auto"/>
              <w:bottom w:val="single" w:sz="4" w:space="0" w:color="auto"/>
            </w:tcBorders>
          </w:tcPr>
          <w:p w14:paraId="31C0A322" w14:textId="016F19D1" w:rsidR="000367D9" w:rsidRPr="00254CCF" w:rsidRDefault="000367D9" w:rsidP="00476F0A">
            <w:pPr>
              <w:pStyle w:val="TableText"/>
              <w:tabs>
                <w:tab w:val="decimal" w:pos="624"/>
              </w:tabs>
              <w:spacing w:before="40"/>
              <w:jc w:val="left"/>
              <w:rPr>
                <w:rFonts w:cs="Arial"/>
                <w:sz w:val="17"/>
                <w:szCs w:val="17"/>
              </w:rPr>
            </w:pPr>
            <w:r w:rsidRPr="00B23538">
              <w:rPr>
                <w:rFonts w:eastAsia="Calibri" w:cs="Arial"/>
                <w:sz w:val="16"/>
                <w:szCs w:val="16"/>
              </w:rPr>
              <w:t>Participating program participants</w:t>
            </w:r>
          </w:p>
        </w:tc>
        <w:tc>
          <w:tcPr>
            <w:tcW w:w="484" w:type="pct"/>
            <w:tcBorders>
              <w:top w:val="single" w:sz="4" w:space="0" w:color="auto"/>
              <w:bottom w:val="single" w:sz="4" w:space="0" w:color="auto"/>
            </w:tcBorders>
            <w:shd w:val="clear" w:color="auto" w:fill="auto"/>
          </w:tcPr>
          <w:p w14:paraId="463F1F9A" w14:textId="4D67D0E8" w:rsidR="000367D9" w:rsidRPr="00254CCF" w:rsidRDefault="000367D9" w:rsidP="00126F92">
            <w:pPr>
              <w:pStyle w:val="TableText"/>
              <w:tabs>
                <w:tab w:val="decimal" w:pos="624"/>
              </w:tabs>
              <w:spacing w:before="40"/>
              <w:jc w:val="right"/>
              <w:rPr>
                <w:rFonts w:cs="Arial"/>
                <w:sz w:val="17"/>
                <w:szCs w:val="17"/>
              </w:rPr>
            </w:pPr>
            <w:r w:rsidRPr="00B23538">
              <w:rPr>
                <w:rFonts w:eastAsia="Calibri" w:cs="Arial"/>
                <w:sz w:val="16"/>
                <w:szCs w:val="16"/>
              </w:rPr>
              <w:t>87</w:t>
            </w:r>
          </w:p>
        </w:tc>
        <w:tc>
          <w:tcPr>
            <w:tcW w:w="485" w:type="pct"/>
            <w:tcBorders>
              <w:top w:val="single" w:sz="4" w:space="0" w:color="auto"/>
              <w:bottom w:val="single" w:sz="4" w:space="0" w:color="auto"/>
            </w:tcBorders>
            <w:shd w:val="clear" w:color="auto" w:fill="auto"/>
          </w:tcPr>
          <w:p w14:paraId="7EAC1F06" w14:textId="22C63BFC" w:rsidR="000367D9" w:rsidRPr="00254CCF" w:rsidRDefault="000367D9" w:rsidP="00126F92">
            <w:pPr>
              <w:pStyle w:val="TableText"/>
              <w:tabs>
                <w:tab w:val="decimal" w:pos="624"/>
              </w:tabs>
              <w:spacing w:before="40"/>
              <w:jc w:val="right"/>
              <w:rPr>
                <w:rFonts w:cs="Arial"/>
                <w:sz w:val="17"/>
                <w:szCs w:val="17"/>
              </w:rPr>
            </w:pPr>
            <w:r w:rsidRPr="00B23538">
              <w:rPr>
                <w:rFonts w:eastAsia="Calibri" w:cs="Arial"/>
                <w:sz w:val="16"/>
                <w:szCs w:val="16"/>
              </w:rPr>
              <w:t>1</w:t>
            </w:r>
          </w:p>
        </w:tc>
        <w:tc>
          <w:tcPr>
            <w:tcW w:w="484" w:type="pct"/>
            <w:tcBorders>
              <w:top w:val="single" w:sz="4" w:space="0" w:color="auto"/>
              <w:bottom w:val="single" w:sz="4" w:space="0" w:color="auto"/>
            </w:tcBorders>
            <w:shd w:val="clear" w:color="auto" w:fill="auto"/>
          </w:tcPr>
          <w:p w14:paraId="2C2F1F58" w14:textId="29F7F503" w:rsidR="000367D9" w:rsidRPr="00254CCF" w:rsidRDefault="000367D9" w:rsidP="00126F92">
            <w:pPr>
              <w:pStyle w:val="TableText"/>
              <w:tabs>
                <w:tab w:val="decimal" w:pos="624"/>
              </w:tabs>
              <w:spacing w:before="40"/>
              <w:jc w:val="right"/>
              <w:rPr>
                <w:rFonts w:cs="Arial"/>
                <w:sz w:val="17"/>
                <w:szCs w:val="17"/>
              </w:rPr>
            </w:pPr>
            <w:r w:rsidRPr="00B23538">
              <w:rPr>
                <w:rFonts w:eastAsia="Calibri" w:cs="Arial"/>
                <w:sz w:val="16"/>
                <w:szCs w:val="16"/>
              </w:rPr>
              <w:t>1</w:t>
            </w:r>
          </w:p>
        </w:tc>
        <w:tc>
          <w:tcPr>
            <w:tcW w:w="485" w:type="pct"/>
            <w:tcBorders>
              <w:top w:val="single" w:sz="4" w:space="0" w:color="auto"/>
              <w:bottom w:val="single" w:sz="4" w:space="0" w:color="auto"/>
            </w:tcBorders>
            <w:shd w:val="clear" w:color="auto" w:fill="auto"/>
          </w:tcPr>
          <w:p w14:paraId="26D237AE" w14:textId="287F2BFD" w:rsidR="000367D9" w:rsidRPr="00254CCF" w:rsidRDefault="000367D9" w:rsidP="00126F92">
            <w:pPr>
              <w:pStyle w:val="TableText"/>
              <w:tabs>
                <w:tab w:val="decimal" w:pos="624"/>
              </w:tabs>
              <w:spacing w:before="40"/>
              <w:jc w:val="right"/>
              <w:rPr>
                <w:rFonts w:cs="Arial"/>
                <w:sz w:val="17"/>
                <w:szCs w:val="17"/>
              </w:rPr>
            </w:pPr>
            <w:r w:rsidRPr="00B23538">
              <w:rPr>
                <w:rFonts w:eastAsia="Calibri" w:cs="Arial"/>
                <w:sz w:val="16"/>
                <w:szCs w:val="16"/>
              </w:rPr>
              <w:t>87</w:t>
            </w:r>
          </w:p>
        </w:tc>
        <w:tc>
          <w:tcPr>
            <w:tcW w:w="484" w:type="pct"/>
            <w:tcBorders>
              <w:top w:val="single" w:sz="4" w:space="0" w:color="auto"/>
              <w:bottom w:val="single" w:sz="4" w:space="0" w:color="auto"/>
            </w:tcBorders>
          </w:tcPr>
          <w:p w14:paraId="69AED757" w14:textId="4613D214" w:rsidR="000367D9" w:rsidRPr="00254CCF" w:rsidRDefault="00C24E54" w:rsidP="00126F92">
            <w:pPr>
              <w:pStyle w:val="TableText"/>
              <w:tabs>
                <w:tab w:val="decimal" w:pos="624"/>
              </w:tabs>
              <w:spacing w:before="40"/>
              <w:jc w:val="right"/>
              <w:rPr>
                <w:rFonts w:cs="Arial"/>
                <w:sz w:val="17"/>
                <w:szCs w:val="17"/>
              </w:rPr>
            </w:pPr>
            <w:r>
              <w:rPr>
                <w:rFonts w:cs="Arial"/>
                <w:sz w:val="17"/>
                <w:szCs w:val="17"/>
              </w:rPr>
              <w:t>NA</w:t>
            </w:r>
          </w:p>
        </w:tc>
        <w:tc>
          <w:tcPr>
            <w:tcW w:w="485" w:type="pct"/>
            <w:tcBorders>
              <w:top w:val="single" w:sz="4" w:space="0" w:color="auto"/>
              <w:bottom w:val="single" w:sz="4" w:space="0" w:color="auto"/>
            </w:tcBorders>
          </w:tcPr>
          <w:p w14:paraId="7388093B" w14:textId="2229566A" w:rsidR="000367D9" w:rsidRPr="00254CCF" w:rsidRDefault="000367D9" w:rsidP="00126F92">
            <w:pPr>
              <w:pStyle w:val="TableText"/>
              <w:tabs>
                <w:tab w:val="decimal" w:pos="624"/>
              </w:tabs>
              <w:spacing w:before="40"/>
              <w:jc w:val="right"/>
              <w:rPr>
                <w:rFonts w:cs="Arial"/>
                <w:sz w:val="17"/>
                <w:szCs w:val="17"/>
              </w:rPr>
            </w:pPr>
            <w:r>
              <w:rPr>
                <w:rFonts w:cs="Arial"/>
                <w:sz w:val="17"/>
                <w:szCs w:val="17"/>
              </w:rPr>
              <w:t>NA</w:t>
            </w:r>
          </w:p>
        </w:tc>
        <w:tc>
          <w:tcPr>
            <w:tcW w:w="507" w:type="pct"/>
            <w:tcBorders>
              <w:top w:val="single" w:sz="4" w:space="0" w:color="auto"/>
              <w:bottom w:val="single" w:sz="4" w:space="0" w:color="auto"/>
            </w:tcBorders>
          </w:tcPr>
          <w:p w14:paraId="44D71A77" w14:textId="26E4D21D" w:rsidR="000367D9" w:rsidRPr="00254CCF" w:rsidRDefault="000367D9" w:rsidP="00126F92">
            <w:pPr>
              <w:pStyle w:val="TableText"/>
              <w:tabs>
                <w:tab w:val="decimal" w:pos="624"/>
              </w:tabs>
              <w:spacing w:before="40"/>
              <w:jc w:val="right"/>
              <w:rPr>
                <w:rFonts w:cs="Arial"/>
                <w:sz w:val="17"/>
                <w:szCs w:val="17"/>
              </w:rPr>
            </w:pPr>
            <w:r>
              <w:rPr>
                <w:rFonts w:cs="Arial"/>
                <w:sz w:val="17"/>
                <w:szCs w:val="17"/>
              </w:rPr>
              <w:t>NA</w:t>
            </w:r>
          </w:p>
        </w:tc>
      </w:tr>
      <w:tr w:rsidR="00126F92" w:rsidRPr="00254CCF" w14:paraId="3DF9BFC4" w14:textId="77777777" w:rsidTr="003E3BFF">
        <w:trPr>
          <w:cantSplit/>
        </w:trPr>
        <w:tc>
          <w:tcPr>
            <w:tcW w:w="839" w:type="pct"/>
            <w:tcBorders>
              <w:top w:val="single" w:sz="4" w:space="0" w:color="auto"/>
              <w:bottom w:val="single" w:sz="4" w:space="0" w:color="auto"/>
            </w:tcBorders>
            <w:shd w:val="clear" w:color="auto" w:fill="auto"/>
          </w:tcPr>
          <w:p w14:paraId="1A577CFE" w14:textId="0FD20C3E" w:rsidR="0068478C" w:rsidRPr="0068478C" w:rsidRDefault="007E75E4" w:rsidP="00476F0A">
            <w:pPr>
              <w:pStyle w:val="TableText"/>
              <w:spacing w:before="40" w:after="40"/>
              <w:jc w:val="left"/>
              <w:rPr>
                <w:rFonts w:eastAsia="Calibri" w:cs="Arial"/>
                <w:b/>
                <w:sz w:val="16"/>
                <w:szCs w:val="16"/>
              </w:rPr>
            </w:pPr>
            <w:r w:rsidRPr="001F7CDF">
              <w:rPr>
                <w:rFonts w:cs="Arial"/>
                <w:b/>
                <w:sz w:val="16"/>
                <w:szCs w:val="16"/>
              </w:rPr>
              <w:t xml:space="preserve">Subtotal: </w:t>
            </w:r>
            <w:r w:rsidR="00255A70">
              <w:rPr>
                <w:rFonts w:cs="Arial"/>
                <w:b/>
                <w:sz w:val="16"/>
                <w:szCs w:val="16"/>
              </w:rPr>
              <w:t>Annual b</w:t>
            </w:r>
            <w:r w:rsidRPr="001F7CDF">
              <w:rPr>
                <w:rFonts w:cs="Arial"/>
                <w:b/>
                <w:sz w:val="16"/>
                <w:szCs w:val="16"/>
              </w:rPr>
              <w:t>urden approved to date:</w:t>
            </w:r>
          </w:p>
        </w:tc>
        <w:tc>
          <w:tcPr>
            <w:tcW w:w="748" w:type="pct"/>
            <w:tcBorders>
              <w:top w:val="single" w:sz="4" w:space="0" w:color="auto"/>
              <w:bottom w:val="single" w:sz="4" w:space="0" w:color="auto"/>
            </w:tcBorders>
          </w:tcPr>
          <w:p w14:paraId="2962C962" w14:textId="77777777" w:rsidR="0068478C" w:rsidRPr="00B23538" w:rsidRDefault="0068478C" w:rsidP="00476F0A">
            <w:pPr>
              <w:pStyle w:val="TableText"/>
              <w:tabs>
                <w:tab w:val="decimal" w:pos="624"/>
              </w:tabs>
              <w:spacing w:before="40"/>
              <w:jc w:val="left"/>
              <w:rPr>
                <w:rFonts w:eastAsia="Calibri" w:cs="Arial"/>
                <w:sz w:val="16"/>
                <w:szCs w:val="16"/>
              </w:rPr>
            </w:pPr>
          </w:p>
        </w:tc>
        <w:tc>
          <w:tcPr>
            <w:tcW w:w="484" w:type="pct"/>
            <w:tcBorders>
              <w:top w:val="single" w:sz="4" w:space="0" w:color="auto"/>
              <w:bottom w:val="single" w:sz="4" w:space="0" w:color="auto"/>
            </w:tcBorders>
            <w:shd w:val="clear" w:color="auto" w:fill="auto"/>
          </w:tcPr>
          <w:p w14:paraId="4DD4756A" w14:textId="77777777" w:rsidR="0068478C" w:rsidRPr="00B23538" w:rsidRDefault="0068478C" w:rsidP="00126F92">
            <w:pPr>
              <w:pStyle w:val="TableText"/>
              <w:tabs>
                <w:tab w:val="decimal" w:pos="624"/>
              </w:tabs>
              <w:spacing w:before="40"/>
              <w:jc w:val="right"/>
              <w:rPr>
                <w:rFonts w:eastAsia="Calibri" w:cs="Arial"/>
                <w:sz w:val="16"/>
                <w:szCs w:val="16"/>
              </w:rPr>
            </w:pPr>
          </w:p>
        </w:tc>
        <w:tc>
          <w:tcPr>
            <w:tcW w:w="485" w:type="pct"/>
            <w:tcBorders>
              <w:top w:val="single" w:sz="4" w:space="0" w:color="auto"/>
              <w:bottom w:val="single" w:sz="4" w:space="0" w:color="auto"/>
            </w:tcBorders>
            <w:shd w:val="clear" w:color="auto" w:fill="auto"/>
          </w:tcPr>
          <w:p w14:paraId="6AA941EA" w14:textId="77777777" w:rsidR="0068478C" w:rsidRPr="00B23538" w:rsidRDefault="0068478C" w:rsidP="00126F92">
            <w:pPr>
              <w:pStyle w:val="TableText"/>
              <w:tabs>
                <w:tab w:val="decimal" w:pos="624"/>
              </w:tabs>
              <w:spacing w:before="40"/>
              <w:jc w:val="right"/>
              <w:rPr>
                <w:rFonts w:eastAsia="Calibri" w:cs="Arial"/>
                <w:sz w:val="16"/>
                <w:szCs w:val="16"/>
              </w:rPr>
            </w:pPr>
          </w:p>
        </w:tc>
        <w:tc>
          <w:tcPr>
            <w:tcW w:w="484" w:type="pct"/>
            <w:tcBorders>
              <w:top w:val="single" w:sz="4" w:space="0" w:color="auto"/>
              <w:bottom w:val="single" w:sz="4" w:space="0" w:color="auto"/>
            </w:tcBorders>
            <w:shd w:val="clear" w:color="auto" w:fill="auto"/>
          </w:tcPr>
          <w:p w14:paraId="7A52A91D" w14:textId="77777777" w:rsidR="0068478C" w:rsidRPr="00B23538" w:rsidRDefault="0068478C" w:rsidP="00126F92">
            <w:pPr>
              <w:pStyle w:val="TableText"/>
              <w:tabs>
                <w:tab w:val="decimal" w:pos="624"/>
              </w:tabs>
              <w:spacing w:before="40"/>
              <w:jc w:val="right"/>
              <w:rPr>
                <w:rFonts w:eastAsia="Calibri" w:cs="Arial"/>
                <w:sz w:val="16"/>
                <w:szCs w:val="16"/>
              </w:rPr>
            </w:pPr>
          </w:p>
        </w:tc>
        <w:tc>
          <w:tcPr>
            <w:tcW w:w="485" w:type="pct"/>
            <w:tcBorders>
              <w:top w:val="single" w:sz="4" w:space="0" w:color="auto"/>
              <w:bottom w:val="single" w:sz="4" w:space="0" w:color="auto"/>
            </w:tcBorders>
            <w:shd w:val="clear" w:color="auto" w:fill="auto"/>
          </w:tcPr>
          <w:p w14:paraId="502EA815" w14:textId="55102829" w:rsidR="0068478C" w:rsidRPr="00B23538" w:rsidRDefault="0068478C" w:rsidP="00126F92">
            <w:pPr>
              <w:pStyle w:val="TableText"/>
              <w:tabs>
                <w:tab w:val="decimal" w:pos="624"/>
              </w:tabs>
              <w:spacing w:before="40"/>
              <w:jc w:val="right"/>
              <w:rPr>
                <w:rFonts w:eastAsia="Calibri" w:cs="Arial"/>
                <w:sz w:val="16"/>
                <w:szCs w:val="16"/>
              </w:rPr>
            </w:pPr>
            <w:r>
              <w:rPr>
                <w:rFonts w:eastAsia="Calibri" w:cs="Arial"/>
                <w:sz w:val="16"/>
                <w:szCs w:val="16"/>
              </w:rPr>
              <w:t>595.8</w:t>
            </w:r>
          </w:p>
        </w:tc>
        <w:tc>
          <w:tcPr>
            <w:tcW w:w="484" w:type="pct"/>
            <w:tcBorders>
              <w:top w:val="single" w:sz="4" w:space="0" w:color="auto"/>
              <w:bottom w:val="single" w:sz="4" w:space="0" w:color="auto"/>
            </w:tcBorders>
          </w:tcPr>
          <w:p w14:paraId="28F312DC" w14:textId="67E1A288" w:rsidR="0068478C" w:rsidRDefault="0068478C" w:rsidP="00126F92">
            <w:pPr>
              <w:pStyle w:val="TableText"/>
              <w:tabs>
                <w:tab w:val="decimal" w:pos="624"/>
              </w:tabs>
              <w:spacing w:before="40"/>
              <w:jc w:val="right"/>
              <w:rPr>
                <w:rFonts w:cs="Arial"/>
                <w:sz w:val="17"/>
                <w:szCs w:val="17"/>
              </w:rPr>
            </w:pPr>
            <w:r>
              <w:rPr>
                <w:rFonts w:cs="Arial"/>
                <w:sz w:val="17"/>
                <w:szCs w:val="17"/>
              </w:rPr>
              <w:t>76.3</w:t>
            </w:r>
          </w:p>
        </w:tc>
        <w:tc>
          <w:tcPr>
            <w:tcW w:w="485" w:type="pct"/>
            <w:tcBorders>
              <w:top w:val="single" w:sz="4" w:space="0" w:color="auto"/>
              <w:bottom w:val="single" w:sz="4" w:space="0" w:color="auto"/>
            </w:tcBorders>
          </w:tcPr>
          <w:p w14:paraId="1027449C" w14:textId="77777777" w:rsidR="0068478C" w:rsidRDefault="0068478C" w:rsidP="00126F92">
            <w:pPr>
              <w:pStyle w:val="TableText"/>
              <w:tabs>
                <w:tab w:val="decimal" w:pos="624"/>
              </w:tabs>
              <w:spacing w:before="40"/>
              <w:jc w:val="right"/>
              <w:rPr>
                <w:rFonts w:cs="Arial"/>
                <w:sz w:val="17"/>
                <w:szCs w:val="17"/>
              </w:rPr>
            </w:pPr>
          </w:p>
        </w:tc>
        <w:tc>
          <w:tcPr>
            <w:tcW w:w="507" w:type="pct"/>
            <w:tcBorders>
              <w:top w:val="single" w:sz="4" w:space="0" w:color="auto"/>
              <w:bottom w:val="single" w:sz="4" w:space="0" w:color="auto"/>
            </w:tcBorders>
          </w:tcPr>
          <w:p w14:paraId="4D7FE179" w14:textId="20BD43F9" w:rsidR="0068478C" w:rsidRDefault="0068478C" w:rsidP="00126F92">
            <w:pPr>
              <w:pStyle w:val="TableText"/>
              <w:tabs>
                <w:tab w:val="decimal" w:pos="624"/>
              </w:tabs>
              <w:spacing w:before="40"/>
              <w:jc w:val="right"/>
              <w:rPr>
                <w:rFonts w:cs="Arial"/>
                <w:sz w:val="17"/>
                <w:szCs w:val="17"/>
              </w:rPr>
            </w:pPr>
            <w:r>
              <w:rPr>
                <w:rFonts w:cs="Arial"/>
                <w:sz w:val="17"/>
                <w:szCs w:val="17"/>
              </w:rPr>
              <w:t>$1</w:t>
            </w:r>
            <w:r w:rsidR="00126F92">
              <w:rPr>
                <w:rFonts w:cs="Arial"/>
                <w:sz w:val="17"/>
                <w:szCs w:val="17"/>
              </w:rPr>
              <w:t>,</w:t>
            </w:r>
            <w:r>
              <w:rPr>
                <w:rFonts w:cs="Arial"/>
                <w:sz w:val="17"/>
                <w:szCs w:val="17"/>
              </w:rPr>
              <w:t>583.98</w:t>
            </w:r>
          </w:p>
        </w:tc>
      </w:tr>
      <w:tr w:rsidR="000367D9" w:rsidRPr="00254CCF" w14:paraId="3DD61817" w14:textId="77777777" w:rsidTr="007703E5">
        <w:trPr>
          <w:cantSplit/>
        </w:trPr>
        <w:tc>
          <w:tcPr>
            <w:tcW w:w="5000" w:type="pct"/>
            <w:gridSpan w:val="9"/>
            <w:tcBorders>
              <w:top w:val="single" w:sz="4" w:space="0" w:color="auto"/>
              <w:bottom w:val="single" w:sz="4" w:space="0" w:color="auto"/>
            </w:tcBorders>
            <w:shd w:val="clear" w:color="auto" w:fill="D9D9D9" w:themeFill="background1" w:themeFillShade="D9"/>
            <w:vAlign w:val="bottom"/>
          </w:tcPr>
          <w:p w14:paraId="60EB4C2C" w14:textId="424C34E9" w:rsidR="000367D9" w:rsidRPr="00254CCF" w:rsidRDefault="00C24E54" w:rsidP="00476F0A">
            <w:pPr>
              <w:pStyle w:val="TableText"/>
              <w:tabs>
                <w:tab w:val="decimal" w:pos="624"/>
              </w:tabs>
              <w:spacing w:before="120" w:after="60"/>
              <w:jc w:val="center"/>
              <w:rPr>
                <w:rFonts w:cs="Arial"/>
                <w:b/>
                <w:sz w:val="17"/>
                <w:szCs w:val="17"/>
              </w:rPr>
            </w:pPr>
            <w:r>
              <w:rPr>
                <w:rFonts w:cs="Arial"/>
                <w:b/>
                <w:sz w:val="17"/>
                <w:szCs w:val="17"/>
              </w:rPr>
              <w:t>Follow-up Survey Data Collection</w:t>
            </w:r>
            <w:r w:rsidR="000367D9" w:rsidRPr="00254CCF">
              <w:rPr>
                <w:rFonts w:cs="Arial"/>
                <w:b/>
                <w:sz w:val="17"/>
                <w:szCs w:val="17"/>
              </w:rPr>
              <w:t xml:space="preserve"> </w:t>
            </w:r>
            <w:r w:rsidR="000367D9">
              <w:rPr>
                <w:rFonts w:cs="Arial"/>
                <w:b/>
                <w:sz w:val="17"/>
                <w:szCs w:val="17"/>
              </w:rPr>
              <w:t>(Requested in this ICR)</w:t>
            </w:r>
          </w:p>
        </w:tc>
      </w:tr>
      <w:tr w:rsidR="003E3BFF" w:rsidRPr="00254CCF" w14:paraId="6D50E138" w14:textId="77777777" w:rsidTr="003E3BFF">
        <w:trPr>
          <w:cantSplit/>
        </w:trPr>
        <w:tc>
          <w:tcPr>
            <w:tcW w:w="839" w:type="pct"/>
            <w:tcBorders>
              <w:top w:val="single" w:sz="4" w:space="0" w:color="auto"/>
              <w:bottom w:val="single" w:sz="4" w:space="0" w:color="auto"/>
            </w:tcBorders>
            <w:shd w:val="clear" w:color="auto" w:fill="auto"/>
          </w:tcPr>
          <w:p w14:paraId="5966F79B" w14:textId="25661CDD" w:rsidR="003E3BFF" w:rsidRPr="00254CCF" w:rsidRDefault="00B40F3C" w:rsidP="003E3BFF">
            <w:pPr>
              <w:pStyle w:val="TableText"/>
              <w:spacing w:before="40" w:after="40"/>
              <w:jc w:val="left"/>
              <w:rPr>
                <w:rFonts w:cs="Arial"/>
                <w:sz w:val="17"/>
                <w:szCs w:val="17"/>
              </w:rPr>
            </w:pPr>
            <w:r>
              <w:rPr>
                <w:rFonts w:cs="Arial"/>
                <w:sz w:val="17"/>
                <w:szCs w:val="17"/>
              </w:rPr>
              <w:t>Follow-</w:t>
            </w:r>
            <w:r w:rsidR="003E3BFF" w:rsidRPr="00D52781">
              <w:rPr>
                <w:rFonts w:cs="Arial"/>
                <w:sz w:val="17"/>
                <w:szCs w:val="17"/>
              </w:rPr>
              <w:t>up survey (9 months post baseline)</w:t>
            </w:r>
            <w:r w:rsidR="003E3BFF" w:rsidRPr="00D52781" w:rsidDel="009F5FE8">
              <w:rPr>
                <w:rFonts w:cs="Arial"/>
                <w:sz w:val="17"/>
                <w:szCs w:val="17"/>
              </w:rPr>
              <w:t xml:space="preserve"> </w:t>
            </w:r>
          </w:p>
        </w:tc>
        <w:tc>
          <w:tcPr>
            <w:tcW w:w="748" w:type="pct"/>
            <w:tcBorders>
              <w:top w:val="single" w:sz="4" w:space="0" w:color="auto"/>
              <w:bottom w:val="single" w:sz="4" w:space="0" w:color="auto"/>
            </w:tcBorders>
          </w:tcPr>
          <w:p w14:paraId="5E35D990" w14:textId="6CB4DAAB" w:rsidR="003E3BFF" w:rsidRPr="00254CCF" w:rsidRDefault="003E3BFF" w:rsidP="003E3BFF">
            <w:pPr>
              <w:pStyle w:val="TableText"/>
              <w:spacing w:before="40"/>
              <w:jc w:val="left"/>
              <w:rPr>
                <w:rFonts w:cs="Arial"/>
                <w:sz w:val="17"/>
                <w:szCs w:val="17"/>
              </w:rPr>
            </w:pPr>
            <w:r w:rsidRPr="00D52781">
              <w:rPr>
                <w:rFonts w:cs="Arial"/>
                <w:sz w:val="17"/>
                <w:szCs w:val="17"/>
              </w:rPr>
              <w:t xml:space="preserve">Youth study participants </w:t>
            </w:r>
          </w:p>
        </w:tc>
        <w:tc>
          <w:tcPr>
            <w:tcW w:w="484" w:type="pct"/>
            <w:tcBorders>
              <w:top w:val="single" w:sz="4" w:space="0" w:color="auto"/>
              <w:bottom w:val="single" w:sz="4" w:space="0" w:color="auto"/>
            </w:tcBorders>
            <w:shd w:val="clear" w:color="auto" w:fill="auto"/>
            <w:vAlign w:val="center"/>
          </w:tcPr>
          <w:p w14:paraId="52E84480" w14:textId="41875524" w:rsidR="003E3BFF" w:rsidRPr="00254CCF" w:rsidRDefault="003E3BFF" w:rsidP="003E3BFF">
            <w:pPr>
              <w:pStyle w:val="TableText"/>
              <w:tabs>
                <w:tab w:val="decimal" w:pos="624"/>
              </w:tabs>
              <w:spacing w:before="40"/>
              <w:jc w:val="right"/>
              <w:rPr>
                <w:rFonts w:cs="Arial"/>
                <w:sz w:val="17"/>
                <w:szCs w:val="17"/>
              </w:rPr>
            </w:pPr>
            <w:r>
              <w:rPr>
                <w:rFonts w:cs="Arial"/>
                <w:sz w:val="17"/>
                <w:szCs w:val="17"/>
              </w:rPr>
              <w:t>819</w:t>
            </w:r>
          </w:p>
        </w:tc>
        <w:tc>
          <w:tcPr>
            <w:tcW w:w="485" w:type="pct"/>
            <w:tcBorders>
              <w:top w:val="single" w:sz="4" w:space="0" w:color="auto"/>
              <w:bottom w:val="single" w:sz="4" w:space="0" w:color="auto"/>
            </w:tcBorders>
            <w:shd w:val="clear" w:color="auto" w:fill="auto"/>
            <w:vAlign w:val="center"/>
          </w:tcPr>
          <w:p w14:paraId="3398BE83" w14:textId="7FDA26F5" w:rsidR="003E3BFF" w:rsidRPr="00254CCF" w:rsidRDefault="003E3BFF" w:rsidP="003E3BFF">
            <w:pPr>
              <w:pStyle w:val="TableText"/>
              <w:tabs>
                <w:tab w:val="decimal" w:pos="624"/>
              </w:tabs>
              <w:spacing w:before="40"/>
              <w:jc w:val="right"/>
              <w:rPr>
                <w:rFonts w:cs="Arial"/>
                <w:sz w:val="17"/>
                <w:szCs w:val="17"/>
              </w:rPr>
            </w:pPr>
            <w:r w:rsidRPr="00D52781">
              <w:rPr>
                <w:rFonts w:cs="Arial"/>
                <w:sz w:val="17"/>
                <w:szCs w:val="17"/>
              </w:rPr>
              <w:t>1</w:t>
            </w:r>
          </w:p>
        </w:tc>
        <w:tc>
          <w:tcPr>
            <w:tcW w:w="484" w:type="pct"/>
            <w:tcBorders>
              <w:top w:val="single" w:sz="4" w:space="0" w:color="auto"/>
              <w:bottom w:val="single" w:sz="4" w:space="0" w:color="auto"/>
            </w:tcBorders>
            <w:shd w:val="clear" w:color="auto" w:fill="auto"/>
            <w:vAlign w:val="center"/>
          </w:tcPr>
          <w:p w14:paraId="05D18388" w14:textId="6F157FE2" w:rsidR="003E3BFF" w:rsidRPr="00254CCF" w:rsidRDefault="003E3BFF" w:rsidP="003E3BFF">
            <w:pPr>
              <w:pStyle w:val="TableText"/>
              <w:tabs>
                <w:tab w:val="decimal" w:pos="624"/>
              </w:tabs>
              <w:spacing w:before="40"/>
              <w:jc w:val="right"/>
              <w:rPr>
                <w:rFonts w:cs="Arial"/>
                <w:sz w:val="17"/>
                <w:szCs w:val="17"/>
              </w:rPr>
            </w:pPr>
            <w:r w:rsidRPr="00D52781">
              <w:rPr>
                <w:rFonts w:cs="Arial"/>
                <w:sz w:val="17"/>
                <w:szCs w:val="17"/>
              </w:rPr>
              <w:t>30/60</w:t>
            </w:r>
          </w:p>
        </w:tc>
        <w:tc>
          <w:tcPr>
            <w:tcW w:w="485" w:type="pct"/>
            <w:tcBorders>
              <w:top w:val="single" w:sz="4" w:space="0" w:color="auto"/>
              <w:bottom w:val="single" w:sz="4" w:space="0" w:color="auto"/>
            </w:tcBorders>
            <w:shd w:val="clear" w:color="auto" w:fill="auto"/>
            <w:vAlign w:val="center"/>
          </w:tcPr>
          <w:p w14:paraId="51AFA703" w14:textId="26D7FD1C" w:rsidR="003E3BFF" w:rsidRPr="00254CCF" w:rsidRDefault="003E3BFF" w:rsidP="003E3BFF">
            <w:pPr>
              <w:pStyle w:val="TableText"/>
              <w:tabs>
                <w:tab w:val="decimal" w:pos="624"/>
              </w:tabs>
              <w:spacing w:before="40"/>
              <w:jc w:val="right"/>
              <w:rPr>
                <w:rFonts w:cs="Arial"/>
                <w:sz w:val="17"/>
                <w:szCs w:val="17"/>
              </w:rPr>
            </w:pPr>
            <w:r>
              <w:rPr>
                <w:rFonts w:cs="Arial"/>
                <w:sz w:val="17"/>
                <w:szCs w:val="17"/>
              </w:rPr>
              <w:t>409.5</w:t>
            </w:r>
          </w:p>
        </w:tc>
        <w:tc>
          <w:tcPr>
            <w:tcW w:w="484" w:type="pct"/>
            <w:tcBorders>
              <w:top w:val="single" w:sz="4" w:space="0" w:color="auto"/>
              <w:bottom w:val="single" w:sz="4" w:space="0" w:color="auto"/>
            </w:tcBorders>
            <w:vAlign w:val="center"/>
          </w:tcPr>
          <w:p w14:paraId="5AA6F72E" w14:textId="2D98C33F" w:rsidR="003E3BFF" w:rsidRPr="00C16DDB" w:rsidRDefault="003E3BFF" w:rsidP="003E3BFF">
            <w:pPr>
              <w:pStyle w:val="TableText"/>
              <w:tabs>
                <w:tab w:val="decimal" w:pos="624"/>
              </w:tabs>
              <w:spacing w:before="40"/>
              <w:jc w:val="right"/>
              <w:rPr>
                <w:rFonts w:cs="Arial"/>
                <w:sz w:val="17"/>
                <w:szCs w:val="17"/>
              </w:rPr>
            </w:pPr>
            <w:r>
              <w:rPr>
                <w:rFonts w:cs="Arial"/>
                <w:sz w:val="17"/>
                <w:szCs w:val="17"/>
              </w:rPr>
              <w:t>41</w:t>
            </w:r>
          </w:p>
        </w:tc>
        <w:tc>
          <w:tcPr>
            <w:tcW w:w="485" w:type="pct"/>
            <w:tcBorders>
              <w:top w:val="single" w:sz="4" w:space="0" w:color="auto"/>
              <w:bottom w:val="single" w:sz="4" w:space="0" w:color="auto"/>
            </w:tcBorders>
            <w:vAlign w:val="center"/>
          </w:tcPr>
          <w:p w14:paraId="5265786D" w14:textId="50C72987" w:rsidR="003E3BFF" w:rsidRPr="00C16DDB" w:rsidRDefault="003E3BFF" w:rsidP="003E3BFF">
            <w:pPr>
              <w:pStyle w:val="TableText"/>
              <w:tabs>
                <w:tab w:val="decimal" w:pos="624"/>
              </w:tabs>
              <w:spacing w:before="40"/>
              <w:jc w:val="right"/>
              <w:rPr>
                <w:rFonts w:cs="Arial"/>
                <w:sz w:val="17"/>
                <w:szCs w:val="17"/>
              </w:rPr>
            </w:pPr>
            <w:r w:rsidRPr="00476F0A">
              <w:rPr>
                <w:rFonts w:cs="Arial"/>
                <w:sz w:val="17"/>
                <w:szCs w:val="17"/>
              </w:rPr>
              <w:t>$7.25</w:t>
            </w:r>
          </w:p>
        </w:tc>
        <w:tc>
          <w:tcPr>
            <w:tcW w:w="507" w:type="pct"/>
            <w:tcBorders>
              <w:top w:val="single" w:sz="4" w:space="0" w:color="auto"/>
              <w:bottom w:val="single" w:sz="4" w:space="0" w:color="auto"/>
            </w:tcBorders>
            <w:vAlign w:val="center"/>
          </w:tcPr>
          <w:p w14:paraId="19C9C9D6" w14:textId="6F921972" w:rsidR="003E3BFF" w:rsidRPr="00C16DDB" w:rsidRDefault="003E3BFF" w:rsidP="003E3BFF">
            <w:pPr>
              <w:pStyle w:val="TableText"/>
              <w:tabs>
                <w:tab w:val="decimal" w:pos="624"/>
              </w:tabs>
              <w:spacing w:before="40"/>
              <w:jc w:val="right"/>
              <w:rPr>
                <w:rFonts w:cs="Arial"/>
                <w:sz w:val="17"/>
                <w:szCs w:val="17"/>
              </w:rPr>
            </w:pPr>
            <w:r w:rsidRPr="00476F0A">
              <w:rPr>
                <w:rFonts w:cs="Arial"/>
                <w:sz w:val="17"/>
                <w:szCs w:val="17"/>
              </w:rPr>
              <w:t>$</w:t>
            </w:r>
            <w:r>
              <w:rPr>
                <w:rFonts w:cs="Arial"/>
                <w:sz w:val="17"/>
                <w:szCs w:val="17"/>
              </w:rPr>
              <w:t>297.25</w:t>
            </w:r>
          </w:p>
        </w:tc>
      </w:tr>
      <w:tr w:rsidR="003E3BFF" w:rsidRPr="00254CCF" w14:paraId="6A0EBDA3" w14:textId="77777777" w:rsidTr="003E3BFF">
        <w:trPr>
          <w:cantSplit/>
        </w:trPr>
        <w:tc>
          <w:tcPr>
            <w:tcW w:w="839" w:type="pct"/>
            <w:tcBorders>
              <w:top w:val="single" w:sz="4" w:space="0" w:color="auto"/>
              <w:bottom w:val="single" w:sz="4" w:space="0" w:color="auto"/>
            </w:tcBorders>
            <w:shd w:val="clear" w:color="auto" w:fill="auto"/>
          </w:tcPr>
          <w:p w14:paraId="20402044" w14:textId="703BFF01" w:rsidR="003E3BFF" w:rsidRDefault="00B40F3C" w:rsidP="003E3BFF">
            <w:pPr>
              <w:pStyle w:val="TableText"/>
              <w:spacing w:before="40" w:after="40"/>
              <w:jc w:val="left"/>
              <w:rPr>
                <w:rFonts w:cs="Arial"/>
                <w:sz w:val="16"/>
                <w:szCs w:val="16"/>
              </w:rPr>
            </w:pPr>
            <w:r>
              <w:rPr>
                <w:rFonts w:cs="Arial"/>
                <w:sz w:val="17"/>
                <w:szCs w:val="17"/>
              </w:rPr>
              <w:t>Follow-</w:t>
            </w:r>
            <w:r w:rsidR="003E3BFF" w:rsidRPr="00D52781">
              <w:rPr>
                <w:rFonts w:cs="Arial"/>
                <w:sz w:val="17"/>
                <w:szCs w:val="17"/>
              </w:rPr>
              <w:t>up survey (15 months post baseline)</w:t>
            </w:r>
            <w:r w:rsidR="003E3BFF" w:rsidRPr="00D52781" w:rsidDel="009F5FE8">
              <w:rPr>
                <w:rFonts w:cs="Arial"/>
                <w:sz w:val="17"/>
                <w:szCs w:val="17"/>
              </w:rPr>
              <w:t xml:space="preserve"> </w:t>
            </w:r>
          </w:p>
        </w:tc>
        <w:tc>
          <w:tcPr>
            <w:tcW w:w="748" w:type="pct"/>
            <w:tcBorders>
              <w:top w:val="single" w:sz="4" w:space="0" w:color="auto"/>
              <w:bottom w:val="single" w:sz="4" w:space="0" w:color="auto"/>
            </w:tcBorders>
          </w:tcPr>
          <w:p w14:paraId="57229064" w14:textId="73F93E05" w:rsidR="003E3BFF" w:rsidRPr="00254CCF" w:rsidRDefault="003E3BFF" w:rsidP="003E3BFF">
            <w:pPr>
              <w:pStyle w:val="TableText"/>
              <w:spacing w:before="40"/>
              <w:jc w:val="left"/>
              <w:rPr>
                <w:rFonts w:cs="Arial"/>
                <w:sz w:val="16"/>
                <w:szCs w:val="16"/>
              </w:rPr>
            </w:pPr>
            <w:r w:rsidRPr="00D52781">
              <w:rPr>
                <w:rFonts w:cs="Arial"/>
                <w:sz w:val="17"/>
                <w:szCs w:val="17"/>
              </w:rPr>
              <w:t xml:space="preserve">Youth study participants </w:t>
            </w:r>
          </w:p>
        </w:tc>
        <w:tc>
          <w:tcPr>
            <w:tcW w:w="484" w:type="pct"/>
            <w:tcBorders>
              <w:top w:val="single" w:sz="4" w:space="0" w:color="auto"/>
              <w:bottom w:val="single" w:sz="4" w:space="0" w:color="auto"/>
            </w:tcBorders>
            <w:shd w:val="clear" w:color="auto" w:fill="auto"/>
            <w:vAlign w:val="center"/>
          </w:tcPr>
          <w:p w14:paraId="640A354D" w14:textId="66B92722" w:rsidR="003E3BFF" w:rsidRPr="00254CCF" w:rsidRDefault="003E3BFF" w:rsidP="003E3BFF">
            <w:pPr>
              <w:pStyle w:val="TableText"/>
              <w:tabs>
                <w:tab w:val="decimal" w:pos="624"/>
              </w:tabs>
              <w:spacing w:before="40"/>
              <w:jc w:val="right"/>
              <w:rPr>
                <w:rFonts w:cs="Arial"/>
                <w:sz w:val="17"/>
                <w:szCs w:val="17"/>
              </w:rPr>
            </w:pPr>
            <w:r>
              <w:rPr>
                <w:rFonts w:cs="Arial"/>
                <w:sz w:val="17"/>
                <w:szCs w:val="17"/>
              </w:rPr>
              <w:t>774</w:t>
            </w:r>
          </w:p>
        </w:tc>
        <w:tc>
          <w:tcPr>
            <w:tcW w:w="485" w:type="pct"/>
            <w:tcBorders>
              <w:top w:val="single" w:sz="4" w:space="0" w:color="auto"/>
              <w:bottom w:val="single" w:sz="4" w:space="0" w:color="auto"/>
            </w:tcBorders>
            <w:shd w:val="clear" w:color="auto" w:fill="auto"/>
            <w:vAlign w:val="center"/>
          </w:tcPr>
          <w:p w14:paraId="76ABB72B" w14:textId="681F389D" w:rsidR="003E3BFF" w:rsidRPr="00254CCF" w:rsidRDefault="003E3BFF" w:rsidP="003E3BFF">
            <w:pPr>
              <w:pStyle w:val="TableText"/>
              <w:tabs>
                <w:tab w:val="decimal" w:pos="624"/>
              </w:tabs>
              <w:spacing w:before="40"/>
              <w:jc w:val="right"/>
              <w:rPr>
                <w:rFonts w:cs="Arial"/>
                <w:sz w:val="17"/>
                <w:szCs w:val="17"/>
              </w:rPr>
            </w:pPr>
            <w:r w:rsidRPr="00D52781">
              <w:rPr>
                <w:rFonts w:cs="Arial"/>
                <w:sz w:val="17"/>
                <w:szCs w:val="17"/>
              </w:rPr>
              <w:t>1</w:t>
            </w:r>
          </w:p>
        </w:tc>
        <w:tc>
          <w:tcPr>
            <w:tcW w:w="484" w:type="pct"/>
            <w:tcBorders>
              <w:top w:val="single" w:sz="4" w:space="0" w:color="auto"/>
              <w:bottom w:val="single" w:sz="4" w:space="0" w:color="auto"/>
            </w:tcBorders>
            <w:shd w:val="clear" w:color="auto" w:fill="auto"/>
            <w:vAlign w:val="center"/>
          </w:tcPr>
          <w:p w14:paraId="349ED18D" w14:textId="10CBC324" w:rsidR="003E3BFF" w:rsidRPr="00254CCF" w:rsidRDefault="003E3BFF" w:rsidP="003E3BFF">
            <w:pPr>
              <w:pStyle w:val="TableText"/>
              <w:tabs>
                <w:tab w:val="decimal" w:pos="624"/>
              </w:tabs>
              <w:spacing w:before="40"/>
              <w:jc w:val="right"/>
              <w:rPr>
                <w:rFonts w:cs="Arial"/>
                <w:sz w:val="17"/>
                <w:szCs w:val="17"/>
              </w:rPr>
            </w:pPr>
            <w:r w:rsidRPr="00D52781">
              <w:rPr>
                <w:rFonts w:cs="Arial"/>
                <w:sz w:val="17"/>
                <w:szCs w:val="17"/>
              </w:rPr>
              <w:t>30/60</w:t>
            </w:r>
          </w:p>
        </w:tc>
        <w:tc>
          <w:tcPr>
            <w:tcW w:w="485" w:type="pct"/>
            <w:tcBorders>
              <w:top w:val="single" w:sz="4" w:space="0" w:color="auto"/>
              <w:bottom w:val="single" w:sz="4" w:space="0" w:color="auto"/>
            </w:tcBorders>
            <w:shd w:val="clear" w:color="auto" w:fill="auto"/>
            <w:vAlign w:val="center"/>
          </w:tcPr>
          <w:p w14:paraId="4BD9DB79" w14:textId="740A0954" w:rsidR="003E3BFF" w:rsidRPr="00254CCF" w:rsidRDefault="003E3BFF" w:rsidP="003E3BFF">
            <w:pPr>
              <w:pStyle w:val="TableText"/>
              <w:tabs>
                <w:tab w:val="decimal" w:pos="624"/>
              </w:tabs>
              <w:spacing w:before="40"/>
              <w:jc w:val="right"/>
              <w:rPr>
                <w:rFonts w:cs="Arial"/>
                <w:sz w:val="17"/>
                <w:szCs w:val="17"/>
              </w:rPr>
            </w:pPr>
            <w:r>
              <w:rPr>
                <w:rFonts w:cs="Arial"/>
                <w:sz w:val="17"/>
                <w:szCs w:val="17"/>
              </w:rPr>
              <w:t>387</w:t>
            </w:r>
          </w:p>
        </w:tc>
        <w:tc>
          <w:tcPr>
            <w:tcW w:w="484" w:type="pct"/>
            <w:tcBorders>
              <w:top w:val="single" w:sz="4" w:space="0" w:color="auto"/>
              <w:bottom w:val="single" w:sz="4" w:space="0" w:color="auto"/>
            </w:tcBorders>
            <w:vAlign w:val="center"/>
          </w:tcPr>
          <w:p w14:paraId="7FC59535" w14:textId="095DA0F2" w:rsidR="003E3BFF" w:rsidRPr="00C16DDB" w:rsidRDefault="003E3BFF" w:rsidP="003E3BFF">
            <w:pPr>
              <w:pStyle w:val="TableText"/>
              <w:tabs>
                <w:tab w:val="decimal" w:pos="624"/>
              </w:tabs>
              <w:spacing w:before="40"/>
              <w:jc w:val="right"/>
              <w:rPr>
                <w:rFonts w:cs="Arial"/>
                <w:sz w:val="17"/>
                <w:szCs w:val="17"/>
              </w:rPr>
            </w:pPr>
            <w:r>
              <w:rPr>
                <w:rFonts w:cs="Arial"/>
                <w:sz w:val="17"/>
                <w:szCs w:val="17"/>
              </w:rPr>
              <w:t>77.5</w:t>
            </w:r>
          </w:p>
        </w:tc>
        <w:tc>
          <w:tcPr>
            <w:tcW w:w="485" w:type="pct"/>
            <w:tcBorders>
              <w:top w:val="single" w:sz="4" w:space="0" w:color="auto"/>
              <w:bottom w:val="single" w:sz="4" w:space="0" w:color="auto"/>
            </w:tcBorders>
            <w:vAlign w:val="center"/>
          </w:tcPr>
          <w:p w14:paraId="59FA13CE" w14:textId="1982D0E4" w:rsidR="003E3BFF" w:rsidRPr="00C16DDB" w:rsidRDefault="003E3BFF" w:rsidP="003E3BFF">
            <w:pPr>
              <w:pStyle w:val="TableText"/>
              <w:tabs>
                <w:tab w:val="decimal" w:pos="624"/>
              </w:tabs>
              <w:spacing w:before="40"/>
              <w:jc w:val="right"/>
              <w:rPr>
                <w:rFonts w:cs="Arial"/>
                <w:sz w:val="17"/>
                <w:szCs w:val="17"/>
              </w:rPr>
            </w:pPr>
            <w:r w:rsidRPr="00476F0A">
              <w:rPr>
                <w:rFonts w:cs="Arial"/>
                <w:sz w:val="17"/>
                <w:szCs w:val="17"/>
              </w:rPr>
              <w:t>$7.25</w:t>
            </w:r>
          </w:p>
        </w:tc>
        <w:tc>
          <w:tcPr>
            <w:tcW w:w="507" w:type="pct"/>
            <w:tcBorders>
              <w:top w:val="single" w:sz="4" w:space="0" w:color="auto"/>
              <w:bottom w:val="single" w:sz="4" w:space="0" w:color="auto"/>
            </w:tcBorders>
            <w:vAlign w:val="center"/>
          </w:tcPr>
          <w:p w14:paraId="69D6A1EC" w14:textId="3E74B42F" w:rsidR="003E3BFF" w:rsidRPr="00C16DDB" w:rsidRDefault="003E3BFF" w:rsidP="003E3BFF">
            <w:pPr>
              <w:pStyle w:val="TableText"/>
              <w:tabs>
                <w:tab w:val="decimal" w:pos="624"/>
              </w:tabs>
              <w:spacing w:before="40"/>
              <w:jc w:val="right"/>
              <w:rPr>
                <w:rFonts w:cs="Arial"/>
                <w:sz w:val="17"/>
                <w:szCs w:val="17"/>
              </w:rPr>
            </w:pPr>
            <w:r w:rsidRPr="00476F0A">
              <w:rPr>
                <w:rFonts w:cs="Arial"/>
                <w:sz w:val="17"/>
                <w:szCs w:val="17"/>
              </w:rPr>
              <w:t>$</w:t>
            </w:r>
            <w:r>
              <w:rPr>
                <w:rFonts w:cs="Arial"/>
                <w:sz w:val="17"/>
                <w:szCs w:val="17"/>
              </w:rPr>
              <w:t>561.88</w:t>
            </w:r>
          </w:p>
        </w:tc>
      </w:tr>
      <w:tr w:rsidR="00126F92" w:rsidRPr="00254CCF" w14:paraId="3EE5F5D6" w14:textId="77777777" w:rsidTr="003E3BFF">
        <w:trPr>
          <w:cantSplit/>
        </w:trPr>
        <w:tc>
          <w:tcPr>
            <w:tcW w:w="839" w:type="pct"/>
            <w:tcBorders>
              <w:top w:val="single" w:sz="4" w:space="0" w:color="auto"/>
            </w:tcBorders>
            <w:shd w:val="clear" w:color="auto" w:fill="auto"/>
          </w:tcPr>
          <w:p w14:paraId="497F1201" w14:textId="77777777" w:rsidR="00126F92" w:rsidRPr="00254CCF" w:rsidRDefault="00126F92" w:rsidP="00476F0A">
            <w:pPr>
              <w:pStyle w:val="TableText"/>
              <w:spacing w:before="40"/>
              <w:jc w:val="left"/>
              <w:rPr>
                <w:rFonts w:cs="Arial"/>
                <w:sz w:val="16"/>
                <w:szCs w:val="16"/>
              </w:rPr>
            </w:pPr>
            <w:r>
              <w:rPr>
                <w:rFonts w:cs="Arial"/>
                <w:b/>
                <w:sz w:val="16"/>
                <w:szCs w:val="16"/>
              </w:rPr>
              <w:t>Estimated Total Annual Burden</w:t>
            </w:r>
          </w:p>
        </w:tc>
        <w:tc>
          <w:tcPr>
            <w:tcW w:w="748" w:type="pct"/>
            <w:tcBorders>
              <w:top w:val="single" w:sz="4" w:space="0" w:color="auto"/>
            </w:tcBorders>
            <w:shd w:val="clear" w:color="auto" w:fill="auto"/>
          </w:tcPr>
          <w:p w14:paraId="04A854FD" w14:textId="4EF28903" w:rsidR="00126F92" w:rsidRPr="00254CCF" w:rsidRDefault="00126F92" w:rsidP="00476F0A">
            <w:pPr>
              <w:pStyle w:val="TableText"/>
              <w:spacing w:before="40"/>
              <w:jc w:val="left"/>
              <w:rPr>
                <w:rFonts w:cs="Arial"/>
                <w:sz w:val="16"/>
                <w:szCs w:val="16"/>
              </w:rPr>
            </w:pPr>
          </w:p>
        </w:tc>
        <w:tc>
          <w:tcPr>
            <w:tcW w:w="484" w:type="pct"/>
            <w:tcBorders>
              <w:top w:val="single" w:sz="4" w:space="0" w:color="auto"/>
            </w:tcBorders>
            <w:shd w:val="clear" w:color="auto" w:fill="auto"/>
            <w:vAlign w:val="bottom"/>
          </w:tcPr>
          <w:p w14:paraId="48D133BE" w14:textId="77777777" w:rsidR="00126F92" w:rsidRPr="00254CCF" w:rsidRDefault="00126F92" w:rsidP="00126F92">
            <w:pPr>
              <w:pStyle w:val="TableText"/>
              <w:tabs>
                <w:tab w:val="decimal" w:pos="624"/>
              </w:tabs>
              <w:spacing w:before="40"/>
              <w:jc w:val="right"/>
              <w:rPr>
                <w:rFonts w:cs="Arial"/>
                <w:sz w:val="17"/>
                <w:szCs w:val="17"/>
              </w:rPr>
            </w:pPr>
          </w:p>
        </w:tc>
        <w:tc>
          <w:tcPr>
            <w:tcW w:w="485" w:type="pct"/>
            <w:tcBorders>
              <w:top w:val="single" w:sz="4" w:space="0" w:color="auto"/>
            </w:tcBorders>
            <w:shd w:val="clear" w:color="auto" w:fill="auto"/>
            <w:vAlign w:val="bottom"/>
          </w:tcPr>
          <w:p w14:paraId="1CBAE4F4" w14:textId="77777777" w:rsidR="00126F92" w:rsidRPr="00254CCF" w:rsidRDefault="00126F92" w:rsidP="00126F92">
            <w:pPr>
              <w:pStyle w:val="TableText"/>
              <w:tabs>
                <w:tab w:val="decimal" w:pos="624"/>
              </w:tabs>
              <w:spacing w:before="40"/>
              <w:jc w:val="right"/>
              <w:rPr>
                <w:rFonts w:cs="Arial"/>
                <w:sz w:val="17"/>
                <w:szCs w:val="17"/>
              </w:rPr>
            </w:pPr>
          </w:p>
        </w:tc>
        <w:tc>
          <w:tcPr>
            <w:tcW w:w="484" w:type="pct"/>
            <w:tcBorders>
              <w:top w:val="single" w:sz="4" w:space="0" w:color="auto"/>
            </w:tcBorders>
            <w:shd w:val="clear" w:color="auto" w:fill="auto"/>
            <w:vAlign w:val="bottom"/>
          </w:tcPr>
          <w:p w14:paraId="48EE31D1" w14:textId="77777777" w:rsidR="00126F92" w:rsidRPr="00254CCF" w:rsidRDefault="00126F92" w:rsidP="00126F92">
            <w:pPr>
              <w:pStyle w:val="TableText"/>
              <w:tabs>
                <w:tab w:val="decimal" w:pos="624"/>
              </w:tabs>
              <w:spacing w:before="40"/>
              <w:jc w:val="right"/>
              <w:rPr>
                <w:rFonts w:cs="Arial"/>
                <w:sz w:val="17"/>
                <w:szCs w:val="17"/>
              </w:rPr>
            </w:pPr>
          </w:p>
        </w:tc>
        <w:tc>
          <w:tcPr>
            <w:tcW w:w="485" w:type="pct"/>
            <w:tcBorders>
              <w:top w:val="single" w:sz="4" w:space="0" w:color="auto"/>
            </w:tcBorders>
            <w:shd w:val="clear" w:color="auto" w:fill="auto"/>
            <w:vAlign w:val="bottom"/>
          </w:tcPr>
          <w:p w14:paraId="74F9FC35" w14:textId="11AA7378" w:rsidR="00126F92" w:rsidRPr="00254CCF" w:rsidRDefault="00126F92" w:rsidP="00126F92">
            <w:pPr>
              <w:pStyle w:val="TableText"/>
              <w:tabs>
                <w:tab w:val="decimal" w:pos="624"/>
              </w:tabs>
              <w:spacing w:before="40"/>
              <w:jc w:val="right"/>
              <w:rPr>
                <w:rFonts w:cs="Arial"/>
                <w:sz w:val="17"/>
                <w:szCs w:val="17"/>
              </w:rPr>
            </w:pPr>
            <w:r>
              <w:rPr>
                <w:rFonts w:cs="Arial"/>
                <w:sz w:val="17"/>
                <w:szCs w:val="17"/>
              </w:rPr>
              <w:t>1,392.3</w:t>
            </w:r>
          </w:p>
        </w:tc>
        <w:tc>
          <w:tcPr>
            <w:tcW w:w="484" w:type="pct"/>
            <w:tcBorders>
              <w:top w:val="single" w:sz="4" w:space="0" w:color="auto"/>
            </w:tcBorders>
            <w:vAlign w:val="bottom"/>
          </w:tcPr>
          <w:p w14:paraId="354D82ED" w14:textId="31EB18A6" w:rsidR="00126F92" w:rsidRPr="00C16DDB" w:rsidRDefault="003E3BFF" w:rsidP="00126F92">
            <w:pPr>
              <w:pStyle w:val="TableText"/>
              <w:tabs>
                <w:tab w:val="decimal" w:pos="624"/>
              </w:tabs>
              <w:spacing w:before="40"/>
              <w:jc w:val="right"/>
              <w:rPr>
                <w:rFonts w:cs="Arial"/>
                <w:sz w:val="17"/>
                <w:szCs w:val="17"/>
              </w:rPr>
            </w:pPr>
            <w:r>
              <w:rPr>
                <w:rFonts w:cs="Arial"/>
                <w:sz w:val="17"/>
                <w:szCs w:val="17"/>
              </w:rPr>
              <w:t>194.8</w:t>
            </w:r>
          </w:p>
        </w:tc>
        <w:tc>
          <w:tcPr>
            <w:tcW w:w="485" w:type="pct"/>
            <w:tcBorders>
              <w:top w:val="single" w:sz="4" w:space="0" w:color="auto"/>
            </w:tcBorders>
            <w:vAlign w:val="bottom"/>
          </w:tcPr>
          <w:p w14:paraId="79A499BB" w14:textId="77777777" w:rsidR="00126F92" w:rsidRPr="00C16DDB" w:rsidRDefault="00126F92" w:rsidP="00126F92">
            <w:pPr>
              <w:pStyle w:val="TableText"/>
              <w:tabs>
                <w:tab w:val="decimal" w:pos="624"/>
              </w:tabs>
              <w:spacing w:before="40"/>
              <w:jc w:val="right"/>
              <w:rPr>
                <w:rFonts w:cs="Arial"/>
                <w:sz w:val="17"/>
                <w:szCs w:val="17"/>
              </w:rPr>
            </w:pPr>
          </w:p>
        </w:tc>
        <w:tc>
          <w:tcPr>
            <w:tcW w:w="507" w:type="pct"/>
            <w:tcBorders>
              <w:top w:val="single" w:sz="4" w:space="0" w:color="auto"/>
            </w:tcBorders>
            <w:vAlign w:val="bottom"/>
          </w:tcPr>
          <w:p w14:paraId="3AAAA0C2" w14:textId="5CC4C073" w:rsidR="00126F92" w:rsidRPr="00C16DDB" w:rsidRDefault="003E3BFF" w:rsidP="00126F92">
            <w:pPr>
              <w:pStyle w:val="TableText"/>
              <w:tabs>
                <w:tab w:val="decimal" w:pos="624"/>
              </w:tabs>
              <w:spacing w:before="40"/>
              <w:jc w:val="right"/>
              <w:rPr>
                <w:rFonts w:cs="Arial"/>
                <w:sz w:val="17"/>
                <w:szCs w:val="17"/>
              </w:rPr>
            </w:pPr>
            <w:r>
              <w:rPr>
                <w:rFonts w:cs="Arial"/>
                <w:sz w:val="17"/>
                <w:szCs w:val="17"/>
              </w:rPr>
              <w:t>$2,443.11</w:t>
            </w:r>
          </w:p>
        </w:tc>
      </w:tr>
    </w:tbl>
    <w:p w14:paraId="43854EA5" w14:textId="77777777" w:rsidR="00476F0A" w:rsidRDefault="00476F0A" w:rsidP="00476F0A">
      <w:bookmarkStart w:id="125" w:name="_Toc396922561"/>
      <w:bookmarkStart w:id="126" w:name="_Toc320884261"/>
      <w:bookmarkStart w:id="127" w:name="_Toc320887166"/>
      <w:bookmarkStart w:id="128" w:name="_Toc326752796"/>
      <w:bookmarkEnd w:id="114"/>
      <w:bookmarkEnd w:id="115"/>
      <w:bookmarkEnd w:id="116"/>
      <w:bookmarkEnd w:id="117"/>
      <w:bookmarkEnd w:id="118"/>
      <w:bookmarkEnd w:id="125"/>
    </w:p>
    <w:p w14:paraId="1829C86F" w14:textId="77777777" w:rsidR="00436B9F" w:rsidRPr="00F672DE" w:rsidRDefault="00436B9F" w:rsidP="00476F0A">
      <w:pPr>
        <w:pStyle w:val="Heading2Black"/>
        <w:ind w:left="864" w:hanging="864"/>
      </w:pPr>
      <w:bookmarkStart w:id="129" w:name="_Toc477900643"/>
      <w:r w:rsidRPr="00F672DE">
        <w:t>A13.</w:t>
      </w:r>
      <w:r w:rsidRPr="00F672DE">
        <w:tab/>
        <w:t>Estimates of Other Total Annual Cost Burden to Respondents and Record Keepers</w:t>
      </w:r>
      <w:bookmarkEnd w:id="126"/>
      <w:bookmarkEnd w:id="127"/>
      <w:bookmarkEnd w:id="128"/>
      <w:bookmarkEnd w:id="129"/>
      <w:r>
        <w:t xml:space="preserve"> </w:t>
      </w:r>
    </w:p>
    <w:p w14:paraId="1829C870" w14:textId="77777777" w:rsidR="00436B9F" w:rsidRPr="00F672DE" w:rsidRDefault="00436B9F" w:rsidP="00436B9F">
      <w:pPr>
        <w:pStyle w:val="NormalSS"/>
      </w:pPr>
      <w:r w:rsidRPr="00D10BC7">
        <w:t xml:space="preserve">These information collection activities do not place any capital cost or cost of maintaining requirements on respondents. </w:t>
      </w:r>
    </w:p>
    <w:p w14:paraId="1829C871" w14:textId="77777777" w:rsidR="00436B9F" w:rsidRPr="00F83A8B" w:rsidRDefault="00436B9F" w:rsidP="00436B9F">
      <w:pPr>
        <w:pStyle w:val="Heading2Black"/>
        <w:ind w:left="864" w:hanging="864"/>
      </w:pPr>
      <w:bookmarkStart w:id="130" w:name="_Toc239751745"/>
      <w:bookmarkStart w:id="131" w:name="_Toc320884262"/>
      <w:bookmarkStart w:id="132" w:name="_Toc320887167"/>
      <w:bookmarkStart w:id="133" w:name="_Toc326752797"/>
      <w:bookmarkStart w:id="134" w:name="_Toc477900644"/>
      <w:r w:rsidRPr="00F83A8B">
        <w:t>A.14</w:t>
      </w:r>
      <w:r>
        <w:t>.</w:t>
      </w:r>
      <w:r w:rsidRPr="00F83A8B">
        <w:tab/>
        <w:t>Annualized Cost to Federal Government</w:t>
      </w:r>
      <w:bookmarkEnd w:id="130"/>
      <w:bookmarkEnd w:id="131"/>
      <w:bookmarkEnd w:id="132"/>
      <w:bookmarkEnd w:id="133"/>
      <w:bookmarkEnd w:id="134"/>
      <w:r>
        <w:t xml:space="preserve"> </w:t>
      </w:r>
    </w:p>
    <w:p w14:paraId="2C51AFF6" w14:textId="77777777" w:rsidR="009C6904" w:rsidRDefault="009C6904" w:rsidP="00A31D7E">
      <w:pPr>
        <w:pStyle w:val="NormalSS"/>
      </w:pPr>
      <w:r w:rsidRPr="009C6904">
        <w:t xml:space="preserve">Data collection will be carried out by Mathematica, under contract with OAH to conduct the Federal Evaluation of </w:t>
      </w:r>
      <w:r w:rsidRPr="009C6904">
        <w:rPr>
          <w:i/>
        </w:rPr>
        <w:t>MPC!.</w:t>
      </w:r>
      <w:r w:rsidRPr="009C6904">
        <w:t xml:space="preserve"> </w:t>
      </w:r>
    </w:p>
    <w:p w14:paraId="64D99631" w14:textId="7526C736" w:rsidR="00A31D7E" w:rsidRDefault="009C6904" w:rsidP="009C6904">
      <w:pPr>
        <w:pStyle w:val="NormalSS"/>
      </w:pPr>
      <w:r>
        <w:t>In the</w:t>
      </w:r>
      <w:r w:rsidR="00A31D7E">
        <w:t xml:space="preserve"> previous</w:t>
      </w:r>
      <w:r>
        <w:t>ly</w:t>
      </w:r>
      <w:r w:rsidR="00A31D7E">
        <w:t xml:space="preserve"> approved </w:t>
      </w:r>
      <w:r>
        <w:t xml:space="preserve">ICR </w:t>
      </w:r>
      <w:r w:rsidRPr="009C6904">
        <w:t>(OMB Control #0990-0452; approved on January 17, 2017)</w:t>
      </w:r>
      <w:r>
        <w:t xml:space="preserve">, </w:t>
      </w:r>
      <w:r w:rsidR="00A31D7E">
        <w:t xml:space="preserve">the initial cost </w:t>
      </w:r>
      <w:r>
        <w:t xml:space="preserve">to the federal government </w:t>
      </w:r>
      <w:r w:rsidR="00A31D7E">
        <w:t>for baseline survey data collection and the implementation and fidelity assessment</w:t>
      </w:r>
      <w:r>
        <w:t xml:space="preserve"> was </w:t>
      </w:r>
      <w:r w:rsidR="00A31D7E">
        <w:t xml:space="preserve">$500,150.00 The baseline survey data collection and implementation and fidelity assessment is incrementally funded, and </w:t>
      </w:r>
      <w:r>
        <w:t xml:space="preserve">the current </w:t>
      </w:r>
      <w:r w:rsidR="00A31D7E">
        <w:t xml:space="preserve">total cost to the federal government is </w:t>
      </w:r>
      <w:r>
        <w:t xml:space="preserve">$1,675,350. </w:t>
      </w:r>
      <w:r w:rsidR="00E02A05">
        <w:t>The estimated annualized cost to the federal government for the baseline survey data collection and implementation and fidelity assessment is $558,450 ($1,675,350/3).</w:t>
      </w:r>
    </w:p>
    <w:p w14:paraId="1829C872" w14:textId="1EE5C382" w:rsidR="00436B9F" w:rsidRDefault="009C6904" w:rsidP="00126F92">
      <w:pPr>
        <w:pStyle w:val="NormalSS"/>
        <w:keepLines/>
      </w:pPr>
      <w:r>
        <w:t>For this current ICR, t</w:t>
      </w:r>
      <w:r w:rsidR="00436B9F">
        <w:t xml:space="preserve">he </w:t>
      </w:r>
      <w:r w:rsidR="00C47B06">
        <w:t xml:space="preserve">total </w:t>
      </w:r>
      <w:r w:rsidR="00436B9F">
        <w:t>cost to the federal government</w:t>
      </w:r>
      <w:r w:rsidR="00B234F3">
        <w:t xml:space="preserve"> for the 9-month follow-up survey is</w:t>
      </w:r>
      <w:r w:rsidR="00436B9F">
        <w:t xml:space="preserve"> </w:t>
      </w:r>
      <w:r w:rsidR="00B234F3">
        <w:t>$</w:t>
      </w:r>
      <w:r w:rsidR="008A7DFC">
        <w:t>693,000</w:t>
      </w:r>
      <w:r w:rsidR="00B234F3">
        <w:t>,</w:t>
      </w:r>
      <w:r w:rsidR="008A7DFC">
        <w:t xml:space="preserve"> and </w:t>
      </w:r>
      <w:r w:rsidR="00B234F3">
        <w:t xml:space="preserve">the </w:t>
      </w:r>
      <w:r>
        <w:t xml:space="preserve">total </w:t>
      </w:r>
      <w:r w:rsidR="00B234F3">
        <w:t xml:space="preserve">cost to the federal government for the 15-month follow-up survey is </w:t>
      </w:r>
      <w:r w:rsidR="008A7DFC">
        <w:t>$748,000</w:t>
      </w:r>
      <w:r w:rsidR="00B234F3">
        <w:t>.</w:t>
      </w:r>
      <w:r w:rsidR="00D13D3B">
        <w:t xml:space="preserve"> The </w:t>
      </w:r>
      <w:r w:rsidR="00BF073A">
        <w:t xml:space="preserve">estimated </w:t>
      </w:r>
      <w:r w:rsidR="00D13D3B">
        <w:t xml:space="preserve">annualized cost </w:t>
      </w:r>
      <w:r w:rsidR="00BF073A">
        <w:t xml:space="preserve">to the federal government for the </w:t>
      </w:r>
      <w:r w:rsidR="00D13D3B">
        <w:t>9 month follow</w:t>
      </w:r>
      <w:r w:rsidR="00B40F3C">
        <w:t>-</w:t>
      </w:r>
      <w:r w:rsidR="00D13D3B">
        <w:t xml:space="preserve"> up survey is $231,000 ($693,000/3</w:t>
      </w:r>
      <w:r w:rsidR="00BF073A">
        <w:t xml:space="preserve">) and </w:t>
      </w:r>
      <w:r w:rsidR="00B40F3C">
        <w:t>for the 15 month follow-</w:t>
      </w:r>
      <w:r w:rsidR="00D13D3B">
        <w:t xml:space="preserve">up survey </w:t>
      </w:r>
      <w:r w:rsidR="00BF073A">
        <w:t>is $249,333 ($748,000/3</w:t>
      </w:r>
      <w:r w:rsidR="00D13D3B">
        <w:t>).</w:t>
      </w:r>
    </w:p>
    <w:p w14:paraId="6F8A2385" w14:textId="66D9663D" w:rsidR="009C6904" w:rsidRPr="00132F31" w:rsidRDefault="00E02A05" w:rsidP="00126F92">
      <w:pPr>
        <w:pStyle w:val="NormalSS"/>
        <w:keepLines/>
      </w:pPr>
      <w:r>
        <w:t>The</w:t>
      </w:r>
      <w:r w:rsidR="00166B55">
        <w:t xml:space="preserve"> total</w:t>
      </w:r>
      <w:r>
        <w:t xml:space="preserve"> annualized cost to the federal government is $1,038,783 ($558,450 + $231,000 + </w:t>
      </w:r>
      <w:r w:rsidR="00166B55">
        <w:t>$</w:t>
      </w:r>
      <w:r>
        <w:t>249,333).</w:t>
      </w:r>
    </w:p>
    <w:p w14:paraId="1829C873" w14:textId="77777777" w:rsidR="00436B9F" w:rsidRPr="00D708FF" w:rsidRDefault="00436B9F" w:rsidP="00436B9F">
      <w:pPr>
        <w:pStyle w:val="Heading2Black"/>
        <w:ind w:left="864" w:hanging="864"/>
      </w:pPr>
      <w:bookmarkStart w:id="135" w:name="_Toc66688723"/>
      <w:bookmarkStart w:id="136" w:name="_Toc239751746"/>
      <w:bookmarkStart w:id="137" w:name="_Toc320884263"/>
      <w:bookmarkStart w:id="138" w:name="_Toc320887168"/>
      <w:bookmarkStart w:id="139" w:name="_Toc326752798"/>
      <w:bookmarkStart w:id="140" w:name="_Toc477900645"/>
      <w:r w:rsidRPr="00F83A8B">
        <w:t>A.15</w:t>
      </w:r>
      <w:r>
        <w:t>.</w:t>
      </w:r>
      <w:r w:rsidRPr="00F83A8B">
        <w:tab/>
        <w:t>Explanation for Program Changes</w:t>
      </w:r>
      <w:bookmarkEnd w:id="135"/>
      <w:bookmarkEnd w:id="136"/>
      <w:r w:rsidRPr="00F83A8B">
        <w:t xml:space="preserve"> or Adjustments</w:t>
      </w:r>
      <w:bookmarkEnd w:id="137"/>
      <w:bookmarkEnd w:id="138"/>
      <w:bookmarkEnd w:id="139"/>
      <w:bookmarkEnd w:id="140"/>
      <w:r>
        <w:t xml:space="preserve"> </w:t>
      </w:r>
    </w:p>
    <w:p w14:paraId="2E0C0774" w14:textId="6DD954B2" w:rsidR="00F549A2" w:rsidRPr="00F549A2" w:rsidRDefault="002736F6" w:rsidP="00F549A2">
      <w:pPr>
        <w:pStyle w:val="NormalSS"/>
      </w:pPr>
      <w:bookmarkStart w:id="141" w:name="_Toc320884264"/>
      <w:bookmarkStart w:id="142" w:name="_Toc320887169"/>
      <w:bookmarkStart w:id="143" w:name="_Toc326752799"/>
      <w:r>
        <w:t xml:space="preserve">OMB gave approval on January 17, </w:t>
      </w:r>
      <w:r w:rsidR="00EE0CBE">
        <w:t xml:space="preserve">2017 </w:t>
      </w:r>
      <w:r w:rsidR="00A77B98">
        <w:t xml:space="preserve">for the impact study baseline data collection and implementation and fidelity assessment </w:t>
      </w:r>
      <w:r w:rsidR="00EA57EA">
        <w:t>data collections</w:t>
      </w:r>
      <w:r w:rsidR="006B60CA">
        <w:t xml:space="preserve"> </w:t>
      </w:r>
      <w:r>
        <w:t>(OMB Control Number</w:t>
      </w:r>
      <w:r w:rsidR="00A77B98">
        <w:t xml:space="preserve"> 0990-</w:t>
      </w:r>
      <w:r w:rsidR="00EE0CBE">
        <w:t>0452</w:t>
      </w:r>
      <w:r w:rsidR="00A77B98">
        <w:t xml:space="preserve">). </w:t>
      </w:r>
      <w:r w:rsidR="006B60CA">
        <w:t xml:space="preserve">OAH </w:t>
      </w:r>
      <w:r w:rsidR="00EA57EA">
        <w:t>now seek</w:t>
      </w:r>
      <w:r w:rsidR="006B60CA">
        <w:t>s</w:t>
      </w:r>
      <w:r w:rsidR="00EA57EA">
        <w:t xml:space="preserve"> </w:t>
      </w:r>
      <w:r w:rsidR="00EA57EA" w:rsidRPr="00B2469A">
        <w:t xml:space="preserve">approval </w:t>
      </w:r>
      <w:r w:rsidR="00F71CF1">
        <w:t xml:space="preserve">for the data collection associated with the administration of the </w:t>
      </w:r>
      <w:r w:rsidR="00AA7B28">
        <w:t xml:space="preserve">9 and 15 month </w:t>
      </w:r>
      <w:r w:rsidR="00F71CF1">
        <w:t>follow-up survey inst</w:t>
      </w:r>
      <w:r w:rsidR="002A5A8C">
        <w:t>rument</w:t>
      </w:r>
      <w:r w:rsidR="00F549A2">
        <w:t xml:space="preserve">. </w:t>
      </w:r>
      <w:r w:rsidR="00F549A2" w:rsidRPr="00F549A2">
        <w:t xml:space="preserve">This request will increase the total </w:t>
      </w:r>
      <w:r w:rsidR="005C57CB">
        <w:t xml:space="preserve">annual </w:t>
      </w:r>
      <w:r w:rsidR="00F549A2" w:rsidRPr="00F549A2">
        <w:t xml:space="preserve">burden requested for the </w:t>
      </w:r>
      <w:r w:rsidR="00F549A2" w:rsidRPr="002736F6">
        <w:rPr>
          <w:i/>
        </w:rPr>
        <w:t>MPC!</w:t>
      </w:r>
      <w:r w:rsidR="00F549A2" w:rsidRPr="00F549A2">
        <w:t xml:space="preserve"> Evaluation from </w:t>
      </w:r>
      <w:r w:rsidR="005C57CB">
        <w:t>595.8</w:t>
      </w:r>
      <w:r w:rsidR="00F549A2" w:rsidRPr="00F549A2">
        <w:t xml:space="preserve"> hours to </w:t>
      </w:r>
      <w:r w:rsidR="005C57CB">
        <w:t>1</w:t>
      </w:r>
      <w:r w:rsidR="003E3BFF">
        <w:t>,</w:t>
      </w:r>
      <w:r w:rsidR="005C57CB">
        <w:t>392.3</w:t>
      </w:r>
      <w:r w:rsidR="00F549A2" w:rsidRPr="00F549A2">
        <w:t xml:space="preserve"> hours.</w:t>
      </w:r>
    </w:p>
    <w:p w14:paraId="3D5941BE" w14:textId="31F9FCF6" w:rsidR="00A77B98" w:rsidRPr="009D6370" w:rsidRDefault="00F549A2" w:rsidP="00A77B98">
      <w:pPr>
        <w:pStyle w:val="NormalSS"/>
      </w:pPr>
      <w:r>
        <w:t>With this ICR, OAH is also explaining</w:t>
      </w:r>
      <w:r w:rsidR="00AA7B28">
        <w:t xml:space="preserve"> </w:t>
      </w:r>
      <w:r>
        <w:t xml:space="preserve">a modest </w:t>
      </w:r>
      <w:r w:rsidR="00AA7B28">
        <w:t xml:space="preserve">revision to the study design </w:t>
      </w:r>
      <w:r>
        <w:t xml:space="preserve">that does not affect original burden assumptions. </w:t>
      </w:r>
      <w:r w:rsidRPr="00F549A2">
        <w:t xml:space="preserve">OAH originally designed the study to address the relative effectiveness of the program implemented by school health teachers and professional health educators.  The original study design used a three-armed RCT, where schools were to be randomly assigned to receive (1) </w:t>
      </w:r>
      <w:r w:rsidRPr="00E90D7A">
        <w:rPr>
          <w:i/>
        </w:rPr>
        <w:t>MPC!</w:t>
      </w:r>
      <w:r w:rsidRPr="00F549A2">
        <w:t xml:space="preserve"> implemented by health educators, (2) </w:t>
      </w:r>
      <w:r w:rsidRPr="00E90D7A">
        <w:rPr>
          <w:i/>
        </w:rPr>
        <w:t>MPC!</w:t>
      </w:r>
      <w:r w:rsidRPr="00F549A2">
        <w:t xml:space="preserve"> implemented by school teachers, or (3) business as usual health programming as the control condition. After input from an expert panel, OAH has changed the study design to test the effectiveness of the program as delivered by health educators. Schools will now be randomized to one of two groups: (1) </w:t>
      </w:r>
      <w:r w:rsidRPr="00E90D7A">
        <w:rPr>
          <w:i/>
        </w:rPr>
        <w:t>MPC!</w:t>
      </w:r>
      <w:r w:rsidRPr="00F549A2">
        <w:t xml:space="preserve"> implemented by health educators, and (2)  business as usual health programming as the control condition. The same number of schools are expected to participate in the study, which does not change the original burden assumptions. </w:t>
      </w:r>
      <w:r>
        <w:t xml:space="preserve"> </w:t>
      </w:r>
    </w:p>
    <w:p w14:paraId="1829C875" w14:textId="146604AC" w:rsidR="00436B9F" w:rsidRPr="0045272B" w:rsidRDefault="00436B9F" w:rsidP="00436B9F">
      <w:pPr>
        <w:pStyle w:val="Heading2Black"/>
        <w:ind w:left="864" w:hanging="864"/>
      </w:pPr>
      <w:bookmarkStart w:id="144" w:name="_Toc477900646"/>
      <w:r w:rsidRPr="0045272B">
        <w:t>A16.</w:t>
      </w:r>
      <w:r w:rsidRPr="0045272B">
        <w:tab/>
        <w:t>Plans for Tabulation and Publication and Project Time Schedule</w:t>
      </w:r>
      <w:bookmarkEnd w:id="141"/>
      <w:bookmarkEnd w:id="142"/>
      <w:bookmarkEnd w:id="143"/>
      <w:bookmarkEnd w:id="144"/>
      <w:r w:rsidRPr="0045272B">
        <w:t xml:space="preserve"> </w:t>
      </w:r>
    </w:p>
    <w:p w14:paraId="1829C876" w14:textId="77777777" w:rsidR="00436B9F" w:rsidRPr="00436B9F" w:rsidRDefault="00436B9F" w:rsidP="00436B9F">
      <w:pPr>
        <w:pStyle w:val="Heading3"/>
      </w:pPr>
      <w:bookmarkStart w:id="145" w:name="_Toc320884265"/>
      <w:bookmarkStart w:id="146" w:name="_Toc320887170"/>
      <w:bookmarkStart w:id="147" w:name="_Toc326752800"/>
      <w:bookmarkStart w:id="148" w:name="_Toc448730416"/>
      <w:bookmarkStart w:id="149" w:name="_Toc477900647"/>
      <w:r w:rsidRPr="00436B9F">
        <w:t>1.</w:t>
      </w:r>
      <w:r w:rsidRPr="00436B9F">
        <w:tab/>
        <w:t>Analysis Plan</w:t>
      </w:r>
      <w:bookmarkEnd w:id="145"/>
      <w:bookmarkEnd w:id="146"/>
      <w:bookmarkEnd w:id="147"/>
      <w:bookmarkEnd w:id="148"/>
      <w:bookmarkEnd w:id="149"/>
      <w:r w:rsidRPr="00436B9F">
        <w:t xml:space="preserve"> </w:t>
      </w:r>
    </w:p>
    <w:p w14:paraId="1829C877" w14:textId="5765AE85" w:rsidR="00436B9F" w:rsidRPr="00254CCF" w:rsidRDefault="00436B9F" w:rsidP="00436B9F">
      <w:pPr>
        <w:pStyle w:val="NormalSS"/>
      </w:pPr>
      <w:r w:rsidRPr="00254CCF">
        <w:t xml:space="preserve">Data from the </w:t>
      </w:r>
      <w:r w:rsidR="00F71CF1">
        <w:t xml:space="preserve">follow-up </w:t>
      </w:r>
      <w:r w:rsidRPr="00254CCF">
        <w:t>survey</w:t>
      </w:r>
      <w:r w:rsidR="00AA7B28">
        <w:t>s</w:t>
      </w:r>
      <w:r w:rsidRPr="00254CCF">
        <w:t xml:space="preserve"> will be used </w:t>
      </w:r>
      <w:r w:rsidR="00AA7B28">
        <w:t xml:space="preserve">to estimate the effect of the intervention on the outcomes of interest – both the sexual behavior measures as distal outcomes, </w:t>
      </w:r>
      <w:r w:rsidR="00E90D7A">
        <w:t xml:space="preserve">and </w:t>
      </w:r>
      <w:r w:rsidR="00AA7B28">
        <w:t xml:space="preserve">the more proximal, mediating variables (knowledge, attitudes, </w:t>
      </w:r>
      <w:r w:rsidR="006F1588">
        <w:t xml:space="preserve">and </w:t>
      </w:r>
      <w:r w:rsidR="00AA7B28">
        <w:t xml:space="preserve">intentions). </w:t>
      </w:r>
    </w:p>
    <w:p w14:paraId="2E50200D" w14:textId="540CF8C8" w:rsidR="00AA7B28" w:rsidRPr="0055235A" w:rsidRDefault="00AA7B28" w:rsidP="00AA7B28">
      <w:pPr>
        <w:pStyle w:val="NormalSS"/>
      </w:pPr>
      <w:r>
        <w:t xml:space="preserve">As noted in Section A.2., the primary impact analysis will focus on </w:t>
      </w:r>
      <w:r w:rsidR="00E90D7A">
        <w:t xml:space="preserve">those </w:t>
      </w:r>
      <w:r>
        <w:t xml:space="preserve">who provide follow-up survey data, regardless of their level of participation in the program, or whether they </w:t>
      </w:r>
      <w:r w:rsidR="00E90D7A">
        <w:t>complete the baseline survey. D</w:t>
      </w:r>
      <w:r>
        <w:t xml:space="preserve">oing so enables the team to conduct a rigorous, intent-to-treat impact analysis that meets the standards of the HHS </w:t>
      </w:r>
      <w:r w:rsidR="00B234F3">
        <w:t xml:space="preserve">Teen Pregnancy Prevention </w:t>
      </w:r>
      <w:r>
        <w:t xml:space="preserve">Evidence Review. </w:t>
      </w:r>
      <w:r w:rsidRPr="00254CCF">
        <w:t>Many baseline measures will be measured again at follow-up; their baseline values can be used to improve the precision of impact estimates by their inclusion as covariates in the impact models</w:t>
      </w:r>
      <w:r>
        <w:t xml:space="preserve">, for those </w:t>
      </w:r>
      <w:r w:rsidRPr="0055235A">
        <w:t xml:space="preserve">with both baseline and follow-up data. </w:t>
      </w:r>
    </w:p>
    <w:p w14:paraId="52EA51D0" w14:textId="0E09934F" w:rsidR="00AA7B28" w:rsidRPr="005C57CB" w:rsidRDefault="00AA7B28" w:rsidP="00126F92">
      <w:pPr>
        <w:pStyle w:val="NormalSS"/>
      </w:pPr>
      <w:r w:rsidRPr="005C57CB">
        <w:t xml:space="preserve">We also plan on conducting exploratory analyses on subgroups defined by baseline measures. These analyses will be considered exploratory, and </w:t>
      </w:r>
      <w:r w:rsidR="00E90D7A">
        <w:t xml:space="preserve">will </w:t>
      </w:r>
      <w:r w:rsidRPr="005C57CB">
        <w:t xml:space="preserve">not </w:t>
      </w:r>
      <w:r w:rsidR="00E90D7A">
        <w:t xml:space="preserve">be </w:t>
      </w:r>
      <w:r w:rsidRPr="005C57CB">
        <w:t xml:space="preserve">used as a primary test of the effectiveness of the intervention. Instead, they are intended to help program providers and practitioners understand </w:t>
      </w:r>
      <w:r w:rsidR="00E90D7A">
        <w:t xml:space="preserve">whether </w:t>
      </w:r>
      <w:r w:rsidRPr="005C57CB">
        <w:t xml:space="preserve">the pattern of the findings for the full sample is similar </w:t>
      </w:r>
      <w:r w:rsidR="00E90D7A">
        <w:t xml:space="preserve">to </w:t>
      </w:r>
      <w:r w:rsidRPr="005C57CB">
        <w:t xml:space="preserve">or different </w:t>
      </w:r>
      <w:r w:rsidR="00E90D7A">
        <w:t xml:space="preserve">from </w:t>
      </w:r>
      <w:r w:rsidRPr="005C57CB">
        <w:t xml:space="preserve">trends observed for particular subgroups.  We will observe trends for subgroups defined by (1) gender, and (2) sexual experience at baseline. </w:t>
      </w:r>
    </w:p>
    <w:p w14:paraId="09486EF9" w14:textId="46A77583" w:rsidR="00AA7B28" w:rsidRPr="00A60BFB" w:rsidRDefault="00AA7B28" w:rsidP="00126F92">
      <w:pPr>
        <w:pStyle w:val="NormalSS"/>
      </w:pPr>
      <w:r w:rsidRPr="005C57CB">
        <w:t xml:space="preserve">We acknowledge that statistical power for these exploratory analyses may be insufficient </w:t>
      </w:r>
      <w:r w:rsidR="00E90D7A">
        <w:t xml:space="preserve">as a result of </w:t>
      </w:r>
      <w:r w:rsidRPr="005C57CB">
        <w:t xml:space="preserve">smaller sample sizes within the subgroups. For that reason, these analyses are not intended as a primary test of the intervention’s effectiveness, but instead </w:t>
      </w:r>
      <w:r w:rsidR="00F96D5E">
        <w:t xml:space="preserve">as a means </w:t>
      </w:r>
      <w:r w:rsidRPr="005C57CB">
        <w:t>to understand</w:t>
      </w:r>
      <w:r w:rsidR="00F96D5E">
        <w:t>ing</w:t>
      </w:r>
      <w:r w:rsidRPr="005C57CB">
        <w:t xml:space="preserve"> whether the overall pattern of findings </w:t>
      </w:r>
      <w:r w:rsidR="00F96D5E">
        <w:t xml:space="preserve">is </w:t>
      </w:r>
      <w:r w:rsidRPr="005C57CB">
        <w:t>similar to trends observed within and across particular subgroups.</w:t>
      </w:r>
      <w:r w:rsidRPr="00A60BFB">
        <w:t xml:space="preserve">  </w:t>
      </w:r>
    </w:p>
    <w:p w14:paraId="1829C879" w14:textId="1DAD8BEC" w:rsidR="00436B9F" w:rsidRPr="00254CCF" w:rsidRDefault="00436B9F" w:rsidP="00126F92">
      <w:pPr>
        <w:pStyle w:val="NormalSS"/>
      </w:pPr>
      <w:r w:rsidRPr="00254CCF">
        <w:t xml:space="preserve">A detailed analysis plan is </w:t>
      </w:r>
      <w:r w:rsidRPr="005770C0">
        <w:t xml:space="preserve">in Attachment </w:t>
      </w:r>
      <w:r w:rsidR="00D02D6E">
        <w:t>E</w:t>
      </w:r>
      <w:r w:rsidRPr="005770C0">
        <w:t>.</w:t>
      </w:r>
      <w:r w:rsidRPr="00254CCF">
        <w:t xml:space="preserve">  </w:t>
      </w:r>
    </w:p>
    <w:p w14:paraId="1829C87D" w14:textId="77777777" w:rsidR="00436B9F" w:rsidRDefault="00436B9F" w:rsidP="00436B9F">
      <w:pPr>
        <w:pStyle w:val="Heading3"/>
      </w:pPr>
      <w:bookmarkStart w:id="150" w:name="_Toc320884266"/>
      <w:bookmarkStart w:id="151" w:name="_Toc320887171"/>
      <w:bookmarkStart w:id="152" w:name="_Toc326752801"/>
      <w:bookmarkStart w:id="153" w:name="_Toc448730417"/>
      <w:bookmarkStart w:id="154" w:name="_Toc477900648"/>
      <w:r w:rsidRPr="00E2095E">
        <w:t>2.</w:t>
      </w:r>
      <w:r w:rsidRPr="00E2095E">
        <w:tab/>
        <w:t>Time Schedule and Publications</w:t>
      </w:r>
      <w:bookmarkEnd w:id="150"/>
      <w:bookmarkEnd w:id="151"/>
      <w:bookmarkEnd w:id="152"/>
      <w:bookmarkEnd w:id="153"/>
      <w:bookmarkEnd w:id="154"/>
    </w:p>
    <w:p w14:paraId="1829C87E" w14:textId="00E0596F" w:rsidR="00436B9F" w:rsidRDefault="00436B9F" w:rsidP="00126F92">
      <w:pPr>
        <w:pStyle w:val="NormalSS"/>
      </w:pPr>
      <w:r>
        <w:t xml:space="preserve">OAH expects that the </w:t>
      </w:r>
      <w:r w:rsidRPr="00E06A2D">
        <w:t xml:space="preserve">Federal Evaluation of </w:t>
      </w:r>
      <w:r w:rsidRPr="00F96D5E">
        <w:rPr>
          <w:i/>
        </w:rPr>
        <w:t>MPC!</w:t>
      </w:r>
      <w:r w:rsidRPr="00E06A2D">
        <w:t xml:space="preserve"> </w:t>
      </w:r>
      <w:r>
        <w:t xml:space="preserve">will be conducted over five years, beginning in </w:t>
      </w:r>
      <w:r w:rsidR="00B4475C">
        <w:t xml:space="preserve">September 2015. </w:t>
      </w:r>
      <w:r w:rsidR="00F96D5E">
        <w:t>This request is for a three-</w:t>
      </w:r>
      <w:r>
        <w:t xml:space="preserve">year period beginning in </w:t>
      </w:r>
      <w:r w:rsidR="0055235A">
        <w:t xml:space="preserve">July </w:t>
      </w:r>
      <w:r w:rsidR="002E4878">
        <w:t>2017</w:t>
      </w:r>
      <w:r>
        <w:t xml:space="preserve">. </w:t>
      </w:r>
      <w:r w:rsidR="00F96D5E">
        <w:t xml:space="preserve">A </w:t>
      </w:r>
      <w:r>
        <w:t>schedule of the data collection efforts</w:t>
      </w:r>
      <w:r w:rsidR="00D13D3B">
        <w:t xml:space="preserve"> for the </w:t>
      </w:r>
      <w:r w:rsidR="002E4878">
        <w:t xml:space="preserve">follow-up </w:t>
      </w:r>
      <w:r w:rsidR="00D13D3B">
        <w:t>survey</w:t>
      </w:r>
      <w:r w:rsidR="00F96D5E">
        <w:t xml:space="preserve"> follows</w:t>
      </w:r>
      <w:r>
        <w:t xml:space="preserve">. </w:t>
      </w:r>
      <w:r w:rsidR="007A48E4">
        <w:t>Reporting on the results of the follow-up surveys occur in 2019 (9—month follow-up) and 2020 (15-month follow-up survey).</w:t>
      </w:r>
    </w:p>
    <w:p w14:paraId="1829C87F" w14:textId="77777777" w:rsidR="00436B9F" w:rsidRPr="00762F98" w:rsidRDefault="00436B9F" w:rsidP="004A6429">
      <w:pPr>
        <w:pStyle w:val="MarkforTableHeading"/>
      </w:pPr>
      <w:bookmarkStart w:id="155" w:name="_Toc477900662"/>
      <w:r>
        <w:t>Table A.16.1</w:t>
      </w:r>
      <w:r w:rsidRPr="0011467B">
        <w:t xml:space="preserve">. </w:t>
      </w:r>
      <w:r>
        <w:t>Timeline for Use of Data Collection Instruments</w:t>
      </w:r>
      <w:bookmarkEnd w:id="155"/>
    </w:p>
    <w:tbl>
      <w:tblPr>
        <w:tblW w:w="51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2280"/>
        <w:gridCol w:w="2033"/>
        <w:gridCol w:w="2033"/>
        <w:gridCol w:w="2037"/>
      </w:tblGrid>
      <w:tr w:rsidR="00436B9F" w:rsidRPr="00436B9F" w14:paraId="1829C885" w14:textId="77777777" w:rsidTr="00126F92">
        <w:trPr>
          <w:tblHeader/>
        </w:trPr>
        <w:tc>
          <w:tcPr>
            <w:tcW w:w="745" w:type="pct"/>
            <w:tcBorders>
              <w:top w:val="nil"/>
              <w:left w:val="nil"/>
              <w:bottom w:val="single" w:sz="4" w:space="0" w:color="auto"/>
              <w:right w:val="nil"/>
            </w:tcBorders>
            <w:shd w:val="clear" w:color="auto" w:fill="6C6F70"/>
            <w:vAlign w:val="bottom"/>
          </w:tcPr>
          <w:p w14:paraId="1829C880" w14:textId="77777777" w:rsidR="00436B9F" w:rsidRPr="00436B9F" w:rsidRDefault="00436B9F" w:rsidP="00126F92">
            <w:pPr>
              <w:pStyle w:val="TableHeaderLeft"/>
            </w:pPr>
            <w:r w:rsidRPr="00436B9F">
              <w:t>Instrument</w:t>
            </w:r>
          </w:p>
        </w:tc>
        <w:tc>
          <w:tcPr>
            <w:tcW w:w="1157" w:type="pct"/>
            <w:tcBorders>
              <w:top w:val="nil"/>
              <w:left w:val="nil"/>
              <w:bottom w:val="single" w:sz="4" w:space="0" w:color="auto"/>
              <w:right w:val="nil"/>
            </w:tcBorders>
            <w:shd w:val="clear" w:color="auto" w:fill="6C6F70"/>
            <w:vAlign w:val="bottom"/>
          </w:tcPr>
          <w:p w14:paraId="1829C881" w14:textId="77777777" w:rsidR="00436B9F" w:rsidRPr="00436B9F" w:rsidRDefault="00436B9F" w:rsidP="00126F92">
            <w:pPr>
              <w:pStyle w:val="TableHeaderCenter"/>
            </w:pPr>
            <w:r w:rsidRPr="00436B9F">
              <w:t>Date of 60-Day Submission</w:t>
            </w:r>
          </w:p>
        </w:tc>
        <w:tc>
          <w:tcPr>
            <w:tcW w:w="1032" w:type="pct"/>
            <w:tcBorders>
              <w:top w:val="nil"/>
              <w:left w:val="nil"/>
              <w:bottom w:val="single" w:sz="4" w:space="0" w:color="auto"/>
              <w:right w:val="nil"/>
            </w:tcBorders>
            <w:shd w:val="clear" w:color="auto" w:fill="6C6F70"/>
          </w:tcPr>
          <w:p w14:paraId="1829C882" w14:textId="77777777" w:rsidR="00436B9F" w:rsidRPr="00436B9F" w:rsidRDefault="00436B9F" w:rsidP="00126F92">
            <w:pPr>
              <w:pStyle w:val="TableHeaderCenter"/>
            </w:pPr>
            <w:r w:rsidRPr="00436B9F">
              <w:t>Date of 30-Day Submission</w:t>
            </w:r>
          </w:p>
        </w:tc>
        <w:tc>
          <w:tcPr>
            <w:tcW w:w="1032" w:type="pct"/>
            <w:tcBorders>
              <w:top w:val="nil"/>
              <w:left w:val="nil"/>
              <w:bottom w:val="single" w:sz="4" w:space="0" w:color="auto"/>
              <w:right w:val="nil"/>
            </w:tcBorders>
            <w:shd w:val="clear" w:color="auto" w:fill="6C6F70"/>
            <w:vAlign w:val="bottom"/>
          </w:tcPr>
          <w:p w14:paraId="1829C883" w14:textId="77777777" w:rsidR="00436B9F" w:rsidRPr="00436B9F" w:rsidRDefault="00436B9F" w:rsidP="00126F92">
            <w:pPr>
              <w:pStyle w:val="TableHeaderCenter"/>
            </w:pPr>
            <w:r w:rsidRPr="00436B9F">
              <w:t>Date Clearance Needed</w:t>
            </w:r>
          </w:p>
        </w:tc>
        <w:tc>
          <w:tcPr>
            <w:tcW w:w="1034" w:type="pct"/>
            <w:tcBorders>
              <w:top w:val="nil"/>
              <w:left w:val="nil"/>
              <w:bottom w:val="single" w:sz="4" w:space="0" w:color="auto"/>
              <w:right w:val="nil"/>
            </w:tcBorders>
            <w:shd w:val="clear" w:color="auto" w:fill="6C6F70"/>
            <w:vAlign w:val="bottom"/>
          </w:tcPr>
          <w:p w14:paraId="1829C884" w14:textId="77777777" w:rsidR="00436B9F" w:rsidRPr="00436B9F" w:rsidRDefault="00436B9F" w:rsidP="00126F92">
            <w:pPr>
              <w:pStyle w:val="TableHeaderCenter"/>
            </w:pPr>
            <w:r w:rsidRPr="00436B9F">
              <w:t>Date for Use in Field</w:t>
            </w:r>
          </w:p>
        </w:tc>
      </w:tr>
      <w:tr w:rsidR="00436B9F" w:rsidRPr="00E2095E" w14:paraId="1829C88D" w14:textId="77777777" w:rsidTr="00126F92">
        <w:trPr>
          <w:trHeight w:val="413"/>
        </w:trPr>
        <w:tc>
          <w:tcPr>
            <w:tcW w:w="745" w:type="pct"/>
            <w:tcBorders>
              <w:top w:val="single" w:sz="4" w:space="0" w:color="auto"/>
              <w:left w:val="nil"/>
              <w:bottom w:val="single" w:sz="4" w:space="0" w:color="auto"/>
              <w:right w:val="nil"/>
            </w:tcBorders>
          </w:tcPr>
          <w:p w14:paraId="1829C888" w14:textId="36434F34" w:rsidR="00436B9F" w:rsidRPr="00E2095E" w:rsidRDefault="00436B9F" w:rsidP="00337996">
            <w:pPr>
              <w:pStyle w:val="TableText"/>
              <w:spacing w:before="120" w:after="60"/>
              <w:jc w:val="left"/>
            </w:pPr>
            <w:r>
              <w:t>Instrument 1:</w:t>
            </w:r>
            <w:r>
              <w:br/>
            </w:r>
            <w:r w:rsidR="00B40F3C">
              <w:t>Follow-</w:t>
            </w:r>
            <w:r w:rsidR="00EA57EA">
              <w:t>up Survey</w:t>
            </w:r>
            <w:r w:rsidR="00337996">
              <w:t xml:space="preserve"> (to be administered 9 months and 15 mon</w:t>
            </w:r>
            <w:r w:rsidR="00DC25A3">
              <w:t>t</w:t>
            </w:r>
            <w:r w:rsidR="00337996">
              <w:t>hs post-baseline)</w:t>
            </w:r>
          </w:p>
        </w:tc>
        <w:tc>
          <w:tcPr>
            <w:tcW w:w="1157" w:type="pct"/>
            <w:tcBorders>
              <w:top w:val="single" w:sz="4" w:space="0" w:color="auto"/>
              <w:left w:val="nil"/>
              <w:bottom w:val="single" w:sz="4" w:space="0" w:color="auto"/>
              <w:right w:val="nil"/>
            </w:tcBorders>
            <w:vAlign w:val="center"/>
          </w:tcPr>
          <w:p w14:paraId="1829C889" w14:textId="5F7D01E9" w:rsidR="00436B9F" w:rsidRPr="00E2095E" w:rsidRDefault="0055235A" w:rsidP="00537774">
            <w:pPr>
              <w:pStyle w:val="TableText"/>
              <w:spacing w:before="120" w:after="60"/>
              <w:jc w:val="center"/>
            </w:pPr>
            <w:r>
              <w:t>February</w:t>
            </w:r>
            <w:r w:rsidRPr="00D91323">
              <w:t xml:space="preserve"> </w:t>
            </w:r>
            <w:r w:rsidR="00436B9F" w:rsidRPr="00D91323">
              <w:t>201</w:t>
            </w:r>
            <w:r>
              <w:t>7</w:t>
            </w:r>
          </w:p>
        </w:tc>
        <w:tc>
          <w:tcPr>
            <w:tcW w:w="1032" w:type="pct"/>
            <w:tcBorders>
              <w:top w:val="single" w:sz="4" w:space="0" w:color="auto"/>
              <w:left w:val="nil"/>
              <w:bottom w:val="single" w:sz="4" w:space="0" w:color="auto"/>
              <w:right w:val="nil"/>
            </w:tcBorders>
            <w:vAlign w:val="center"/>
          </w:tcPr>
          <w:p w14:paraId="1829C88A" w14:textId="39D81674" w:rsidR="00436B9F" w:rsidRPr="00E2095E" w:rsidRDefault="004533C0" w:rsidP="00537774">
            <w:pPr>
              <w:pStyle w:val="TableText"/>
              <w:spacing w:before="120" w:after="60"/>
              <w:jc w:val="center"/>
            </w:pPr>
            <w:r>
              <w:t>April</w:t>
            </w:r>
            <w:r w:rsidR="002E4878" w:rsidRPr="00D91323">
              <w:t xml:space="preserve"> </w:t>
            </w:r>
            <w:r w:rsidR="00436B9F" w:rsidRPr="00751BCC">
              <w:t>201</w:t>
            </w:r>
            <w:r w:rsidR="002E4878">
              <w:t>7</w:t>
            </w:r>
          </w:p>
        </w:tc>
        <w:tc>
          <w:tcPr>
            <w:tcW w:w="1032" w:type="pct"/>
            <w:tcBorders>
              <w:top w:val="single" w:sz="4" w:space="0" w:color="auto"/>
              <w:left w:val="nil"/>
              <w:bottom w:val="single" w:sz="4" w:space="0" w:color="auto"/>
              <w:right w:val="nil"/>
            </w:tcBorders>
            <w:vAlign w:val="center"/>
          </w:tcPr>
          <w:p w14:paraId="1829C88B" w14:textId="78AEAA1B" w:rsidR="00436B9F" w:rsidRPr="00E2095E" w:rsidRDefault="0055235A" w:rsidP="00537774">
            <w:pPr>
              <w:pStyle w:val="TableText"/>
              <w:spacing w:before="120" w:after="60"/>
              <w:jc w:val="center"/>
            </w:pPr>
            <w:r>
              <w:t>July</w:t>
            </w:r>
            <w:r w:rsidRPr="00D91323">
              <w:t xml:space="preserve"> </w:t>
            </w:r>
            <w:r w:rsidR="00436B9F" w:rsidRPr="00751BCC">
              <w:t>201</w:t>
            </w:r>
            <w:r w:rsidR="002E4878">
              <w:t>7</w:t>
            </w:r>
          </w:p>
        </w:tc>
        <w:tc>
          <w:tcPr>
            <w:tcW w:w="1034" w:type="pct"/>
            <w:tcBorders>
              <w:top w:val="single" w:sz="4" w:space="0" w:color="auto"/>
              <w:left w:val="nil"/>
              <w:bottom w:val="single" w:sz="4" w:space="0" w:color="auto"/>
              <w:right w:val="nil"/>
            </w:tcBorders>
            <w:vAlign w:val="center"/>
          </w:tcPr>
          <w:p w14:paraId="1829C88C" w14:textId="0222210C" w:rsidR="00436B9F" w:rsidRPr="00E2095E" w:rsidRDefault="0055235A" w:rsidP="0055235A">
            <w:pPr>
              <w:pStyle w:val="TableText"/>
              <w:spacing w:before="120" w:after="60"/>
            </w:pPr>
            <w:r>
              <w:t>Fall</w:t>
            </w:r>
            <w:r w:rsidRPr="009F25BA">
              <w:t xml:space="preserve"> </w:t>
            </w:r>
            <w:r w:rsidR="00436B9F" w:rsidRPr="00751BCC">
              <w:t>201</w:t>
            </w:r>
            <w:r w:rsidR="002E4878">
              <w:t>7</w:t>
            </w:r>
            <w:r w:rsidR="0037192E">
              <w:t xml:space="preserve"> for 9 month survey; Spring 2018 for 15 month follow-up survey </w:t>
            </w:r>
          </w:p>
        </w:tc>
      </w:tr>
    </w:tbl>
    <w:p w14:paraId="1829C8AC" w14:textId="77777777" w:rsidR="00436B9F" w:rsidRDefault="00436B9F" w:rsidP="00436B9F">
      <w:pPr>
        <w:pStyle w:val="TableText"/>
        <w:spacing w:before="120" w:after="60"/>
        <w:jc w:val="left"/>
      </w:pPr>
    </w:p>
    <w:p w14:paraId="1829C8AD" w14:textId="77777777" w:rsidR="00436B9F" w:rsidRPr="00F672DE" w:rsidRDefault="00436B9F" w:rsidP="00436B9F">
      <w:pPr>
        <w:pStyle w:val="Heading2Black"/>
        <w:ind w:left="864" w:hanging="864"/>
      </w:pPr>
      <w:bookmarkStart w:id="156" w:name="_Toc320884267"/>
      <w:bookmarkStart w:id="157" w:name="_Toc320887172"/>
      <w:bookmarkStart w:id="158" w:name="_Toc326752802"/>
      <w:bookmarkStart w:id="159" w:name="_Toc477900649"/>
      <w:r w:rsidRPr="00F672DE">
        <w:t>A17.</w:t>
      </w:r>
      <w:r w:rsidRPr="00F672DE">
        <w:tab/>
        <w:t>Reason(s) Display of OMB Expiration Date is Inappropriate</w:t>
      </w:r>
      <w:bookmarkEnd w:id="156"/>
      <w:bookmarkEnd w:id="157"/>
      <w:bookmarkEnd w:id="158"/>
      <w:bookmarkEnd w:id="159"/>
      <w:r>
        <w:t xml:space="preserve"> </w:t>
      </w:r>
    </w:p>
    <w:p w14:paraId="1829C8AE" w14:textId="77777777" w:rsidR="00436B9F" w:rsidRPr="00EC1975" w:rsidRDefault="00436B9F" w:rsidP="00436B9F">
      <w:pPr>
        <w:pStyle w:val="NormalSS"/>
      </w:pPr>
      <w:r w:rsidRPr="00EC1975">
        <w:t>All instruments</w:t>
      </w:r>
      <w:r>
        <w:t xml:space="preserve">, consent and assent forms and letters </w:t>
      </w:r>
      <w:r w:rsidRPr="00EC1975">
        <w:t xml:space="preserve">will display the OMB Control Number and expiration date. </w:t>
      </w:r>
    </w:p>
    <w:p w14:paraId="1829C8AF" w14:textId="77777777" w:rsidR="00436B9F" w:rsidRDefault="00436B9F" w:rsidP="00436B9F">
      <w:pPr>
        <w:pStyle w:val="Heading2Black"/>
        <w:ind w:left="864" w:hanging="864"/>
      </w:pPr>
      <w:bookmarkStart w:id="160" w:name="_Toc320884268"/>
      <w:bookmarkStart w:id="161" w:name="_Toc320887173"/>
      <w:bookmarkStart w:id="162" w:name="_Toc326752803"/>
      <w:bookmarkStart w:id="163" w:name="_Toc477900650"/>
      <w:r w:rsidRPr="0045272B">
        <w:t>A18.</w:t>
      </w:r>
      <w:r w:rsidRPr="0045272B">
        <w:tab/>
        <w:t>Exceptions to Certification for Paperwork Reduction Act Submissions</w:t>
      </w:r>
      <w:bookmarkEnd w:id="160"/>
      <w:bookmarkEnd w:id="161"/>
      <w:bookmarkEnd w:id="162"/>
      <w:bookmarkEnd w:id="163"/>
      <w:r w:rsidRPr="0045272B">
        <w:t xml:space="preserve"> </w:t>
      </w:r>
      <w:bookmarkStart w:id="164" w:name="_Toc326752804"/>
      <w:bookmarkStart w:id="165" w:name="_Toc326753073"/>
      <w:bookmarkStart w:id="166" w:name="_Toc352239885"/>
      <w:bookmarkStart w:id="167" w:name="_Toc352242483"/>
      <w:bookmarkStart w:id="168" w:name="_Toc352243106"/>
      <w:bookmarkStart w:id="169" w:name="_Toc353437636"/>
      <w:bookmarkStart w:id="170" w:name="_Toc353957386"/>
      <w:bookmarkStart w:id="171" w:name="_Toc353967645"/>
      <w:bookmarkStart w:id="172" w:name="_Toc355597143"/>
      <w:bookmarkStart w:id="173" w:name="_Toc355772736"/>
      <w:bookmarkStart w:id="174" w:name="_Toc355783031"/>
      <w:bookmarkStart w:id="175" w:name="_Toc355783329"/>
    </w:p>
    <w:p w14:paraId="1829C8B0" w14:textId="77777777" w:rsidR="00436B9F" w:rsidRPr="00EC1975" w:rsidRDefault="00436B9F" w:rsidP="00436B9F">
      <w:pPr>
        <w:pStyle w:val="NormalSS"/>
      </w:pPr>
      <w:r w:rsidRPr="00EC1975">
        <w:t>No exceptions are necessary for this information collection.</w:t>
      </w:r>
    </w:p>
    <w:p w14:paraId="1829C8B1" w14:textId="77777777" w:rsidR="00436B9F" w:rsidRPr="001D0141" w:rsidRDefault="00436B9F" w:rsidP="00436B9F">
      <w:pPr>
        <w:sectPr w:rsidR="00436B9F" w:rsidRPr="001D0141" w:rsidSect="00051C2A">
          <w:footerReference w:type="default" r:id="rId15"/>
          <w:endnotePr>
            <w:numFmt w:val="decimal"/>
          </w:endnotePr>
          <w:pgSz w:w="12240" w:h="15840" w:code="1"/>
          <w:pgMar w:top="1440" w:right="1440" w:bottom="1440" w:left="1440" w:header="720" w:footer="576" w:gutter="0"/>
          <w:pgNumType w:start="1"/>
          <w:cols w:space="720"/>
          <w:docGrid w:linePitch="150"/>
        </w:sectPr>
      </w:pPr>
    </w:p>
    <w:p w14:paraId="1829C8B2" w14:textId="77777777" w:rsidR="00436B9F" w:rsidRPr="001E338E" w:rsidRDefault="00436B9F" w:rsidP="00436B9F">
      <w:pPr>
        <w:pStyle w:val="Heading1Black"/>
      </w:pPr>
      <w:bookmarkStart w:id="176" w:name="_Toc477900651"/>
      <w:r w:rsidRPr="001E338E">
        <w:t>SUPPORTING REFERENCES</w:t>
      </w:r>
      <w:bookmarkEnd w:id="176"/>
      <w:r w:rsidRPr="001E338E">
        <w:t xml:space="preserve"> </w:t>
      </w:r>
      <w:bookmarkEnd w:id="164"/>
      <w:bookmarkEnd w:id="165"/>
      <w:bookmarkEnd w:id="166"/>
      <w:bookmarkEnd w:id="167"/>
      <w:bookmarkEnd w:id="168"/>
      <w:bookmarkEnd w:id="169"/>
      <w:bookmarkEnd w:id="170"/>
      <w:bookmarkEnd w:id="171"/>
      <w:bookmarkEnd w:id="172"/>
      <w:bookmarkEnd w:id="173"/>
      <w:bookmarkEnd w:id="174"/>
      <w:bookmarkEnd w:id="175"/>
    </w:p>
    <w:p w14:paraId="5C19664C" w14:textId="77777777" w:rsidR="00745646" w:rsidRDefault="00745646" w:rsidP="00745646">
      <w:pPr>
        <w:pStyle w:val="References"/>
        <w:jc w:val="left"/>
      </w:pPr>
      <w:r>
        <w:t xml:space="preserve">Boyer, Cherrie B., Jeanne M. Tschann, and Mary-Ann Shafer. “Predictors of Risk for Sexually Transmitted Diseases in Ninth Grade Urban High School Students.” </w:t>
      </w:r>
      <w:r>
        <w:rPr>
          <w:i/>
        </w:rPr>
        <w:t>Journal of Adolescent Research,</w:t>
      </w:r>
      <w:r>
        <w:t xml:space="preserve"> vol. 14, no. 4, 1999, pp. 448–465. </w:t>
      </w:r>
    </w:p>
    <w:p w14:paraId="55764B5F" w14:textId="77777777" w:rsidR="00745646" w:rsidRDefault="00745646" w:rsidP="00745646">
      <w:pPr>
        <w:pStyle w:val="References"/>
        <w:jc w:val="left"/>
      </w:pPr>
      <w:r>
        <w:t>Buhi, Eric R., and Patricia Goodson. “Predictors of Adolescent Sexual Behavior and Intention: A Theory-Guided Systematic Review.” </w:t>
      </w:r>
      <w:r>
        <w:rPr>
          <w:i/>
          <w:iCs/>
        </w:rPr>
        <w:t>Journal of Adolescent Health,</w:t>
      </w:r>
      <w:r>
        <w:t> vol. 40, no. 1, 2007, pp. 4–21.</w:t>
      </w:r>
    </w:p>
    <w:p w14:paraId="36366C94" w14:textId="77777777" w:rsidR="00745646" w:rsidRDefault="00745646" w:rsidP="00745646">
      <w:pPr>
        <w:pStyle w:val="References"/>
        <w:jc w:val="left"/>
      </w:pPr>
      <w:r>
        <w:t xml:space="preserve">Dermen, K. H., M. L. Cooper, and V. B. Agocha. “Sex-Related Alcohol Expectancies as Moderators of the Relationship Between Alcohol Use and Risky Sex in Adolescents.” </w:t>
      </w:r>
      <w:r>
        <w:rPr>
          <w:i/>
        </w:rPr>
        <w:t>Journal of Studies on Alcohol,</w:t>
      </w:r>
      <w:r>
        <w:t xml:space="preserve"> vol. 59, no. 1, 1998, pp. 71–77.</w:t>
      </w:r>
    </w:p>
    <w:p w14:paraId="60F04746" w14:textId="77777777" w:rsidR="00745646" w:rsidRDefault="00745646" w:rsidP="00745646">
      <w:pPr>
        <w:pStyle w:val="References"/>
        <w:jc w:val="left"/>
      </w:pPr>
      <w:r>
        <w:t xml:space="preserve">Fergusson, David M., and Michael T. Lynskey. “Alcohol Misuse and Adolescent Sexual Behaviors and Risk Taking.” </w:t>
      </w:r>
      <w:r>
        <w:rPr>
          <w:i/>
        </w:rPr>
        <w:t>Pediatrics,</w:t>
      </w:r>
      <w:r>
        <w:t xml:space="preserve"> vol. 98, no. 1, 1996, pp. 91–96. </w:t>
      </w:r>
    </w:p>
    <w:p w14:paraId="65824DBD" w14:textId="52ED3CCD" w:rsidR="007352E3" w:rsidRPr="001E338E" w:rsidRDefault="007352E3" w:rsidP="00436B9F">
      <w:pPr>
        <w:pStyle w:val="References"/>
      </w:pPr>
      <w:r w:rsidRPr="00573CC4">
        <w:t xml:space="preserve">Jemmott, J. B., </w:t>
      </w:r>
      <w:r>
        <w:t xml:space="preserve">L. S. </w:t>
      </w:r>
      <w:r w:rsidRPr="00573CC4">
        <w:t xml:space="preserve">Jemmott, </w:t>
      </w:r>
      <w:r>
        <w:t xml:space="preserve">and G. T. </w:t>
      </w:r>
      <w:r w:rsidRPr="00573CC4">
        <w:t xml:space="preserve">Fong. </w:t>
      </w:r>
      <w:r>
        <w:t>“</w:t>
      </w:r>
      <w:r w:rsidRPr="00573CC4">
        <w:t xml:space="preserve">Abstinence and </w:t>
      </w:r>
      <w:r>
        <w:t>S</w:t>
      </w:r>
      <w:r w:rsidRPr="00573CC4">
        <w:t xml:space="preserve">afer </w:t>
      </w:r>
      <w:r>
        <w:t>S</w:t>
      </w:r>
      <w:r w:rsidRPr="00573CC4">
        <w:t xml:space="preserve">ex HIV </w:t>
      </w:r>
      <w:r>
        <w:t>R</w:t>
      </w:r>
      <w:r w:rsidRPr="00573CC4">
        <w:t>isk-</w:t>
      </w:r>
      <w:r>
        <w:t>R</w:t>
      </w:r>
      <w:r w:rsidRPr="00573CC4">
        <w:t xml:space="preserve">eduction </w:t>
      </w:r>
      <w:r>
        <w:t>I</w:t>
      </w:r>
      <w:r w:rsidRPr="00573CC4">
        <w:t xml:space="preserve">nterventions for African American </w:t>
      </w:r>
      <w:r>
        <w:t>A</w:t>
      </w:r>
      <w:r w:rsidRPr="00573CC4">
        <w:t xml:space="preserve">dolescents: A </w:t>
      </w:r>
      <w:r>
        <w:t>R</w:t>
      </w:r>
      <w:r w:rsidRPr="00573CC4">
        <w:t xml:space="preserve">andomized </w:t>
      </w:r>
      <w:r>
        <w:t>C</w:t>
      </w:r>
      <w:r w:rsidRPr="00573CC4">
        <w:t xml:space="preserve">ontrolled </w:t>
      </w:r>
      <w:r>
        <w:t>T</w:t>
      </w:r>
      <w:r w:rsidRPr="00573CC4">
        <w:t>rial.</w:t>
      </w:r>
      <w:r>
        <w:t>”</w:t>
      </w:r>
      <w:r w:rsidRPr="00573CC4">
        <w:t xml:space="preserve"> </w:t>
      </w:r>
      <w:r w:rsidRPr="007D66C0">
        <w:rPr>
          <w:i/>
        </w:rPr>
        <w:t>Journal of the American Medical Association,</w:t>
      </w:r>
      <w:r w:rsidRPr="00573CC4">
        <w:t xml:space="preserve"> </w:t>
      </w:r>
      <w:r>
        <w:t xml:space="preserve">vol. </w:t>
      </w:r>
      <w:r w:rsidRPr="00573CC4">
        <w:t>279</w:t>
      </w:r>
      <w:r>
        <w:t xml:space="preserve">, no. </w:t>
      </w:r>
      <w:r w:rsidRPr="00573CC4">
        <w:t>19, 1998</w:t>
      </w:r>
      <w:r>
        <w:t>, pp.</w:t>
      </w:r>
      <w:r w:rsidRPr="00573CC4">
        <w:t xml:space="preserve"> 1529–1536.</w:t>
      </w:r>
    </w:p>
    <w:p w14:paraId="07B7D161" w14:textId="77777777" w:rsidR="00745646" w:rsidRDefault="00745646" w:rsidP="00745646">
      <w:pPr>
        <w:pStyle w:val="References"/>
        <w:jc w:val="left"/>
      </w:pPr>
      <w:r>
        <w:t xml:space="preserve">Li, Xiaoming, Bonita Stanton, Lesley Cottrell, James Burns, Robert Pack, and Linda Kaljee. “Patterns of Initiation of Sex and Drug-Related Activities among Urban Low-Income African-American Adolescents.” </w:t>
      </w:r>
      <w:r>
        <w:rPr>
          <w:i/>
        </w:rPr>
        <w:t xml:space="preserve">Journal of Adolescent Health, </w:t>
      </w:r>
      <w:r>
        <w:t xml:space="preserve">vol. 28, no. 1, 2001, pp. 46–54. </w:t>
      </w:r>
    </w:p>
    <w:p w14:paraId="31E8394D" w14:textId="77777777" w:rsidR="00745646" w:rsidRDefault="00745646" w:rsidP="00745646">
      <w:pPr>
        <w:pStyle w:val="References"/>
        <w:jc w:val="left"/>
      </w:pPr>
      <w:r>
        <w:t xml:space="preserve">Santelli, John S., Leah Robin, Nancy D. Brener, and Richard Lowry. “Timing of Alcohol and Other Drug Use and Sexual Risk Behaviors Among Unmarried Adolescents and Young Adults.” </w:t>
      </w:r>
      <w:r>
        <w:rPr>
          <w:i/>
        </w:rPr>
        <w:t>Family Planning Perspectives,</w:t>
      </w:r>
      <w:r>
        <w:t xml:space="preserve"> vol. 33, no. 5, 2001, pp. 200–205. </w:t>
      </w:r>
    </w:p>
    <w:p w14:paraId="568F6754" w14:textId="34EB0841" w:rsidR="00745646" w:rsidRDefault="00745646" w:rsidP="00745646">
      <w:pPr>
        <w:pStyle w:val="References"/>
      </w:pPr>
      <w:r>
        <w:t xml:space="preserve">Sen, Bisakha. “Does Alcohol Use Increase the Risk of Sexual Intercourse Among Adolescents? Evidence from the NLSY97.” </w:t>
      </w:r>
      <w:r>
        <w:rPr>
          <w:i/>
        </w:rPr>
        <w:t>Journal of Health Economics,</w:t>
      </w:r>
      <w:r>
        <w:t xml:space="preserve"> vol. 21, no. 6, 2002, pp. 1085–1093.</w:t>
      </w:r>
    </w:p>
    <w:p w14:paraId="1829C8B9" w14:textId="2B9D46CB" w:rsidR="00436B9F" w:rsidRDefault="00F96D5E" w:rsidP="00436B9F">
      <w:pPr>
        <w:pStyle w:val="References"/>
        <w:rPr>
          <w:rFonts w:asciiTheme="minorHAnsi" w:eastAsiaTheme="minorEastAsia" w:hAnsiTheme="minorHAnsi" w:cstheme="minorBidi"/>
          <w:noProof/>
          <w:sz w:val="22"/>
          <w:szCs w:val="22"/>
        </w:rPr>
      </w:pPr>
      <w:r>
        <w:t xml:space="preserve">Tapert, Susan F., Gregory A. Aarons, Georganna R. Sedlar, and Sandra A. Brown. “Adolescent Substance Use and Sexual Risk-Taking Behavior.” </w:t>
      </w:r>
      <w:r>
        <w:rPr>
          <w:i/>
        </w:rPr>
        <w:t>Journal of Adolescent Health,</w:t>
      </w:r>
      <w:r>
        <w:t xml:space="preserve"> vol. 28, no. 3, 2001, pp. 181–189.</w:t>
      </w:r>
      <w:r w:rsidRPr="001E338E">
        <w:t xml:space="preserve"> </w:t>
      </w:r>
    </w:p>
    <w:sectPr w:rsidR="00436B9F" w:rsidSect="000E4C3F">
      <w:headerReference w:type="default" r:id="rId16"/>
      <w:footerReference w:type="default" r:id="rId17"/>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A0AF79" w15:done="0"/>
  <w15:commentEx w15:paraId="6499FD5A" w15:done="0"/>
  <w15:commentEx w15:paraId="0AC3461A" w15:paraIdParent="6499FD5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814D6" w14:textId="77777777" w:rsidR="005C0D42" w:rsidRDefault="005C0D42" w:rsidP="002E3E35">
      <w:pPr>
        <w:spacing w:line="240" w:lineRule="auto"/>
      </w:pPr>
      <w:r>
        <w:separator/>
      </w:r>
    </w:p>
  </w:endnote>
  <w:endnote w:type="continuationSeparator" w:id="0">
    <w:p w14:paraId="0F4000D2" w14:textId="77777777" w:rsidR="005C0D42" w:rsidRDefault="005C0D42"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NewCaledonia-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9C8BF" w14:textId="77777777" w:rsidR="005C0D42" w:rsidRPr="004B75AD" w:rsidRDefault="005C0D42" w:rsidP="00186002">
    <w:pPr>
      <w:pStyle w:val="Footer"/>
      <w:pBdr>
        <w:bottom w:val="none" w:sz="0" w:space="0" w:color="auto"/>
      </w:pBd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9C8C1" w14:textId="77777777" w:rsidR="005C0D42" w:rsidRPr="00843124" w:rsidRDefault="005C0D42" w:rsidP="00051C2A">
    <w:pPr>
      <w:pStyle w:val="Footer"/>
      <w:pBdr>
        <w:bottom w:val="single" w:sz="4" w:space="1" w:color="000000" w:themeColor="text1"/>
      </w:pBdr>
      <w:tabs>
        <w:tab w:val="clear" w:pos="4320"/>
        <w:tab w:val="clear" w:pos="9360"/>
      </w:tabs>
      <w:rPr>
        <w:rFonts w:cs="Arial"/>
        <w:snapToGrid w:val="0"/>
      </w:rPr>
    </w:pPr>
  </w:p>
  <w:p w14:paraId="1829C8C2" w14:textId="77777777" w:rsidR="005C0D42" w:rsidRDefault="005C0D42" w:rsidP="00436B9F">
    <w:pPr>
      <w:pStyle w:val="Footer"/>
      <w:pBdr>
        <w:bottom w:val="none" w:sz="0" w:space="0" w:color="auto"/>
      </w:pBdr>
      <w:jc w:val="left"/>
      <w:rPr>
        <w:rStyle w:val="PageNumber"/>
        <w:rFonts w:cs="Arial"/>
      </w:rPr>
    </w:pPr>
  </w:p>
  <w:p w14:paraId="1829C8C3" w14:textId="77777777" w:rsidR="005C0D42" w:rsidRPr="004B75AD" w:rsidRDefault="005C0D42" w:rsidP="00436B9F">
    <w:pPr>
      <w:pStyle w:val="Footer"/>
      <w:pBdr>
        <w:bottom w:val="none" w:sz="0" w:space="0" w:color="auto"/>
      </w:pBdr>
      <w:jc w:val="center"/>
      <w:rPr>
        <w:rStyle w:val="PageNumber"/>
      </w:rPr>
    </w:pPr>
    <w:r w:rsidRPr="00843124">
      <w:rPr>
        <w:rStyle w:val="PageNumber"/>
        <w:rFonts w:cs="Arial"/>
      </w:rPr>
      <w:fldChar w:fldCharType="begin"/>
    </w:r>
    <w:r w:rsidRPr="00843124">
      <w:rPr>
        <w:rStyle w:val="PageNumber"/>
        <w:rFonts w:cs="Arial"/>
      </w:rPr>
      <w:instrText xml:space="preserve"> PAGE </w:instrText>
    </w:r>
    <w:r w:rsidRPr="00843124">
      <w:rPr>
        <w:rStyle w:val="PageNumber"/>
        <w:rFonts w:cs="Arial"/>
      </w:rPr>
      <w:fldChar w:fldCharType="separate"/>
    </w:r>
    <w:r w:rsidR="002C2C59">
      <w:rPr>
        <w:rStyle w:val="PageNumber"/>
        <w:rFonts w:cs="Arial"/>
        <w:noProof/>
      </w:rPr>
      <w:t>v</w:t>
    </w:r>
    <w:r w:rsidRPr="00843124">
      <w:rPr>
        <w:rStyle w:val="PageNumber"/>
        <w:rFonts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9C8C4" w14:textId="77777777" w:rsidR="005C0D42" w:rsidRPr="00843124" w:rsidRDefault="005C0D42" w:rsidP="00051C2A">
    <w:pPr>
      <w:pStyle w:val="Footer"/>
      <w:pBdr>
        <w:bottom w:val="single" w:sz="4" w:space="1" w:color="000000" w:themeColor="text1"/>
      </w:pBdr>
      <w:tabs>
        <w:tab w:val="clear" w:pos="432"/>
        <w:tab w:val="clear" w:pos="4320"/>
        <w:tab w:val="clear" w:pos="9360"/>
      </w:tabs>
      <w:rPr>
        <w:rFonts w:cs="Arial"/>
        <w:snapToGrid w:val="0"/>
      </w:rPr>
    </w:pPr>
  </w:p>
  <w:p w14:paraId="1829C8C5" w14:textId="77777777" w:rsidR="005C0D42" w:rsidRDefault="005C0D42" w:rsidP="00436B9F">
    <w:pPr>
      <w:pStyle w:val="Footer"/>
      <w:pBdr>
        <w:bottom w:val="none" w:sz="0" w:space="0" w:color="auto"/>
      </w:pBdr>
      <w:jc w:val="left"/>
      <w:rPr>
        <w:rStyle w:val="PageNumber"/>
        <w:rFonts w:cs="Arial"/>
      </w:rPr>
    </w:pPr>
  </w:p>
  <w:p w14:paraId="1829C8C6" w14:textId="77777777" w:rsidR="005C0D42" w:rsidRPr="004B75AD" w:rsidRDefault="005C0D42" w:rsidP="00436B9F">
    <w:pPr>
      <w:pStyle w:val="Footer"/>
      <w:pBdr>
        <w:bottom w:val="none" w:sz="0" w:space="0" w:color="auto"/>
      </w:pBdr>
      <w:jc w:val="center"/>
      <w:rPr>
        <w:rStyle w:val="PageNumber"/>
      </w:rPr>
    </w:pPr>
    <w:r w:rsidRPr="00843124">
      <w:rPr>
        <w:rStyle w:val="PageNumber"/>
        <w:rFonts w:cs="Arial"/>
      </w:rPr>
      <w:fldChar w:fldCharType="begin"/>
    </w:r>
    <w:r w:rsidRPr="00843124">
      <w:rPr>
        <w:rStyle w:val="PageNumber"/>
        <w:rFonts w:cs="Arial"/>
      </w:rPr>
      <w:instrText xml:space="preserve"> PAGE </w:instrText>
    </w:r>
    <w:r w:rsidRPr="00843124">
      <w:rPr>
        <w:rStyle w:val="PageNumber"/>
        <w:rFonts w:cs="Arial"/>
      </w:rPr>
      <w:fldChar w:fldCharType="separate"/>
    </w:r>
    <w:r w:rsidR="002B0BD1">
      <w:rPr>
        <w:rStyle w:val="PageNumber"/>
        <w:rFonts w:cs="Arial"/>
        <w:noProof/>
      </w:rPr>
      <w:t>14</w:t>
    </w:r>
    <w:r w:rsidRPr="00843124">
      <w:rPr>
        <w:rStyle w:val="PageNumber"/>
        <w:rFonts w:cs="Arial"/>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9C8C8" w14:textId="77777777" w:rsidR="005C0D42" w:rsidRPr="00A12B64" w:rsidRDefault="005C0D42"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1829C8C9" w14:textId="77777777" w:rsidR="005C0D42" w:rsidRDefault="005C0D42" w:rsidP="00455D47">
    <w:pPr>
      <w:pStyle w:val="Footer"/>
      <w:pBdr>
        <w:top w:val="single" w:sz="2" w:space="1" w:color="auto"/>
        <w:bottom w:val="none" w:sz="0" w:space="0" w:color="auto"/>
      </w:pBdr>
      <w:spacing w:line="192" w:lineRule="auto"/>
      <w:rPr>
        <w:rStyle w:val="PageNumber"/>
      </w:rPr>
    </w:pPr>
  </w:p>
  <w:bookmarkStart w:id="177" w:name="Draft"/>
  <w:bookmarkEnd w:id="177"/>
  <w:p w14:paraId="1829C8CA" w14:textId="77777777" w:rsidR="005C0D42" w:rsidRPr="00964AB7" w:rsidRDefault="005C0D42" w:rsidP="00436B9F">
    <w:pPr>
      <w:pStyle w:val="Footer"/>
      <w:pBdr>
        <w:top w:val="single" w:sz="2" w:space="1" w:color="auto"/>
        <w:bottom w:val="none" w:sz="0" w:space="0" w:color="auto"/>
      </w:pBdr>
      <w:jc w:val="center"/>
      <w:rPr>
        <w:rStyle w:val="PageNumber"/>
      </w:rPr>
    </w:pP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D058AE">
      <w:rPr>
        <w:rStyle w:val="PageNumber"/>
        <w:noProof/>
      </w:rPr>
      <w:t>18</w:t>
    </w:r>
    <w:r w:rsidRPr="00964AB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F9344" w14:textId="77777777" w:rsidR="005C0D42" w:rsidRDefault="005C0D42" w:rsidP="00203E3B">
      <w:pPr>
        <w:spacing w:line="240" w:lineRule="auto"/>
        <w:ind w:firstLine="0"/>
      </w:pPr>
      <w:r>
        <w:separator/>
      </w:r>
    </w:p>
  </w:footnote>
  <w:footnote w:type="continuationSeparator" w:id="0">
    <w:p w14:paraId="1D82147B" w14:textId="77777777" w:rsidR="005C0D42" w:rsidRDefault="005C0D42" w:rsidP="00203E3B">
      <w:pPr>
        <w:spacing w:line="240" w:lineRule="auto"/>
        <w:ind w:firstLine="0"/>
      </w:pPr>
      <w:r>
        <w:separator/>
      </w:r>
    </w:p>
    <w:p w14:paraId="22586F3A" w14:textId="77777777" w:rsidR="005C0D42" w:rsidRPr="00157CA2" w:rsidRDefault="005C0D42" w:rsidP="00203E3B">
      <w:pPr>
        <w:spacing w:after="120" w:line="240" w:lineRule="auto"/>
        <w:ind w:firstLine="0"/>
        <w:rPr>
          <w:sz w:val="20"/>
        </w:rPr>
      </w:pPr>
      <w:r w:rsidRPr="00157CA2">
        <w:rPr>
          <w:i/>
          <w:sz w:val="20"/>
        </w:rPr>
        <w:t>(continued)</w:t>
      </w:r>
    </w:p>
  </w:footnote>
  <w:footnote w:id="1">
    <w:p w14:paraId="7A3A63F8" w14:textId="3E844193" w:rsidR="005C0D42" w:rsidRDefault="005C0D42">
      <w:pPr>
        <w:pStyle w:val="FootnoteText"/>
      </w:pPr>
      <w:r>
        <w:rPr>
          <w:rStyle w:val="FootnoteReference"/>
        </w:rPr>
        <w:footnoteRef/>
      </w:r>
      <w:r>
        <w:t xml:space="preserve"> Data collection instruments associated with the implementation and fidelity assessment were approved by OMB on 1/17/2017 (OMB Control No. 0990-0452).</w:t>
      </w:r>
    </w:p>
  </w:footnote>
  <w:footnote w:id="2">
    <w:p w14:paraId="301A7A9D" w14:textId="0B1C42C1" w:rsidR="005C0D42" w:rsidRDefault="005C0D42">
      <w:pPr>
        <w:pStyle w:val="FootnoteText"/>
      </w:pPr>
      <w:r>
        <w:rPr>
          <w:rStyle w:val="FootnoteReference"/>
        </w:rPr>
        <w:footnoteRef/>
      </w:r>
      <w:r>
        <w:t xml:space="preserve"> To ensure the privacy of survey respondents, we have timed the length of the series of questions for non-sexually active youth to approximate to the length of the series for sexually active youth.</w:t>
      </w:r>
    </w:p>
  </w:footnote>
  <w:footnote w:id="3">
    <w:p w14:paraId="08339EE8" w14:textId="642A29BD" w:rsidR="005C0D42" w:rsidRDefault="005C0D42" w:rsidP="001D39CC">
      <w:pPr>
        <w:pStyle w:val="FootnoteText"/>
      </w:pPr>
      <w:r>
        <w:rPr>
          <w:rStyle w:val="FootnoteReference"/>
        </w:rPr>
        <w:footnoteRef/>
      </w:r>
      <w:r>
        <w:t xml:space="preserve"> The participant-facing name of the study is the Attitudes, Behaviors, and Choices (or ABC) Study. This name appears on the instrument (Instrument 1).</w:t>
      </w:r>
    </w:p>
  </w:footnote>
  <w:footnote w:id="4">
    <w:p w14:paraId="0AFFD0C9" w14:textId="42DE71AD" w:rsidR="005C0D42" w:rsidRDefault="005C0D42" w:rsidP="00A11D36">
      <w:pPr>
        <w:pStyle w:val="FootnoteText"/>
      </w:pPr>
      <w:r>
        <w:rPr>
          <w:rStyle w:val="FootnoteReference"/>
        </w:rPr>
        <w:footnoteRef/>
      </w:r>
      <w:r>
        <w:t xml:space="preserve"> </w:t>
      </w:r>
      <w:r w:rsidRPr="00903ABB">
        <w:t>ACF received initial OMB approval for the PPA baseline survey on July 26, 2010 (OMB Control Number 0970-0360). In summer 2011, oversight of PPA was transferred to the Office of Adolescent Health (OAH) within the Office of the Assistant Secretary, and the project is now tracked with a different OMB Control Number (0990-0382).</w:t>
      </w:r>
      <w:r>
        <w:t xml:space="preserve"> The OMB Control Number for the Teen Pregnancy Prevention Replication Study is 0990-0394. OMB approval for the PREP baseline survey was received on March 12, 2013 (OMB Control Number 0970-0398). OMB approval for the PAF baseline survey was received on August 30, 2014 (OMB Control Number 0990-0424).</w:t>
      </w:r>
    </w:p>
  </w:footnote>
  <w:footnote w:id="5">
    <w:p w14:paraId="7E005837" w14:textId="51054365" w:rsidR="005C0D42" w:rsidRDefault="005C0D42">
      <w:pPr>
        <w:pStyle w:val="FootnoteText"/>
      </w:pPr>
      <w:r>
        <w:rPr>
          <w:rStyle w:val="FootnoteReference"/>
        </w:rPr>
        <w:footnoteRef/>
      </w:r>
      <w:r>
        <w:t xml:space="preserve"> In the event of an internet outage at the school on the day of survey administration, field staff will have materials ready to do a self-administered pencil and paper (PAPI) survey administration and therefore will not increase the burden of the school in having to reschedule.  PAPI survey administration was used successfully on the PREP evaluation (OMB Control #0970-0398). </w:t>
      </w:r>
    </w:p>
  </w:footnote>
  <w:footnote w:id="6">
    <w:p w14:paraId="2174F732" w14:textId="77777777" w:rsidR="005C0D42" w:rsidRDefault="005C0D42" w:rsidP="00953EE4">
      <w:pPr>
        <w:pStyle w:val="FootnoteText"/>
      </w:pPr>
      <w:r>
        <w:rPr>
          <w:rStyle w:val="FootnoteReference"/>
        </w:rPr>
        <w:footnoteRef/>
      </w:r>
      <w:r>
        <w:t xml:space="preserve"> Berlin, Martha, Leyla Mohadjer, Joseph Waksberg, Andrew Kolstad, Irwin Kirsch, D. Rock, and Kentaro Yamamoto. 1992. An experiment in monetary incentives. In </w:t>
      </w:r>
      <w:r w:rsidRPr="00953EE4">
        <w:rPr>
          <w:rFonts w:cs="NewCaledonia-Italic"/>
          <w:i/>
          <w:iCs/>
        </w:rPr>
        <w:t>JSM proceedings</w:t>
      </w:r>
      <w:r w:rsidRPr="00953EE4">
        <w:t xml:space="preserve">, </w:t>
      </w:r>
      <w:r>
        <w:t>393–98. Alexandria, VA:  American Statistical Association.</w:t>
      </w:r>
    </w:p>
  </w:footnote>
  <w:footnote w:id="7">
    <w:p w14:paraId="1F3BEEBD" w14:textId="77777777" w:rsidR="005C0D42" w:rsidRDefault="005C0D42" w:rsidP="00953EE4">
      <w:pPr>
        <w:pStyle w:val="FootnoteText"/>
      </w:pPr>
      <w:r>
        <w:rPr>
          <w:rStyle w:val="FootnoteReference"/>
        </w:rPr>
        <w:footnoteRef/>
      </w:r>
      <w:r>
        <w:t xml:space="preserve"> James, Jeannine M., and Richard Bolstein. 1990. The effect of monetary incentives and follow-up mailings on the response rate and response quality in mail surveys. </w:t>
      </w:r>
      <w:r w:rsidRPr="00953EE4">
        <w:rPr>
          <w:rFonts w:cs="NewCaledonia-Italic"/>
          <w:i/>
          <w:iCs/>
        </w:rPr>
        <w:t xml:space="preserve">Public Opinion Quarterly </w:t>
      </w:r>
      <w:r w:rsidRPr="00953EE4">
        <w:t>54 (3)</w:t>
      </w:r>
      <w:r>
        <w:t>:  346–61.</w:t>
      </w:r>
    </w:p>
  </w:footnote>
  <w:footnote w:id="8">
    <w:p w14:paraId="6BA60293" w14:textId="77777777" w:rsidR="005C0D42" w:rsidRDefault="005C0D42" w:rsidP="00953EE4">
      <w:pPr>
        <w:pStyle w:val="FootnoteText"/>
      </w:pPr>
      <w:r>
        <w:rPr>
          <w:rStyle w:val="FootnoteReference"/>
        </w:rPr>
        <w:footnoteRef/>
      </w:r>
      <w:r>
        <w:t xml:space="preserve"> Singer, Eleanor, John Van Hoewyk, and Mary P. Maher. 1998. Does the payment of incentives create expectation effects? </w:t>
      </w:r>
      <w:r w:rsidRPr="00953EE4">
        <w:rPr>
          <w:i/>
        </w:rPr>
        <w:t>Public Opinion Quarterly</w:t>
      </w:r>
      <w:r>
        <w:rPr>
          <w:rFonts w:ascii="NewCaledonia-Italic" w:hAnsi="NewCaledonia-Italic" w:cs="NewCaledonia-Italic"/>
          <w:i/>
          <w:iCs/>
        </w:rPr>
        <w:t xml:space="preserve"> </w:t>
      </w:r>
      <w:r>
        <w:t>62:152–64.</w:t>
      </w:r>
    </w:p>
  </w:footnote>
  <w:footnote w:id="9">
    <w:p w14:paraId="3F654952" w14:textId="77777777" w:rsidR="005C0D42" w:rsidRDefault="005C0D42" w:rsidP="00953EE4">
      <w:pPr>
        <w:pStyle w:val="FootnoteText"/>
      </w:pPr>
      <w:r>
        <w:rPr>
          <w:rStyle w:val="FootnoteReference"/>
        </w:rPr>
        <w:footnoteRef/>
      </w:r>
      <w:r>
        <w:t xml:space="preserve"> Singer, Eleanor, and Richard A. Kulka. 2002. Paying respondents for survey participation. In </w:t>
      </w:r>
      <w:r w:rsidRPr="00953EE4">
        <w:rPr>
          <w:i/>
        </w:rPr>
        <w:t>Studies of welfare populations: Data collection and research issues,</w:t>
      </w:r>
      <w:r>
        <w:t xml:space="preserve"> eds. Michele Ver Ploeg, Robert A. Moffitt, and Constance F. Citro, 105–28. Washington, DC: National Academy Press.</w:t>
      </w:r>
    </w:p>
  </w:footnote>
  <w:footnote w:id="10">
    <w:p w14:paraId="70594786" w14:textId="77777777" w:rsidR="005C0D42" w:rsidRDefault="005C0D42" w:rsidP="003B642C">
      <w:pPr>
        <w:pStyle w:val="FootnoteText"/>
      </w:pPr>
      <w:r>
        <w:rPr>
          <w:rStyle w:val="FootnoteReference"/>
        </w:rPr>
        <w:footnoteRef/>
      </w:r>
      <w:r>
        <w:t xml:space="preserve"> STREAMS follow-up data collection is scheduled to begin in fall 2017.</w:t>
      </w:r>
    </w:p>
  </w:footnote>
  <w:footnote w:id="11">
    <w:p w14:paraId="2C19C908" w14:textId="77777777" w:rsidR="005C0D42" w:rsidRDefault="005C0D42" w:rsidP="003B642C">
      <w:pPr>
        <w:pStyle w:val="FootnoteText"/>
      </w:pPr>
      <w:r>
        <w:rPr>
          <w:rStyle w:val="FootnoteReference"/>
        </w:rPr>
        <w:footnoteRef/>
      </w:r>
      <w:r>
        <w:t xml:space="preserve"> Response rates provided are for two school-based sites on PREP. First follow-up data collection is on-going in one and closed in the other and second follow-up data collection is on-going in both sites. </w:t>
      </w:r>
    </w:p>
  </w:footnote>
  <w:footnote w:id="12">
    <w:p w14:paraId="460B63D3" w14:textId="2DCE6493" w:rsidR="005C0D42" w:rsidRDefault="005C0D42">
      <w:pPr>
        <w:pStyle w:val="FootnoteText"/>
      </w:pPr>
      <w:r>
        <w:rPr>
          <w:rStyle w:val="FootnoteReference"/>
        </w:rPr>
        <w:footnoteRef/>
      </w:r>
      <w:r>
        <w:t xml:space="preserve"> The consent and assent forms were approved by OMB on January 17, 2017 (OMB# 0990-0452).  </w:t>
      </w:r>
    </w:p>
  </w:footnote>
  <w:footnote w:id="13">
    <w:p w14:paraId="48469684" w14:textId="27E0FFE1" w:rsidR="005C0D42" w:rsidRDefault="005C0D42">
      <w:pPr>
        <w:pStyle w:val="FootnoteText"/>
      </w:pPr>
      <w:r>
        <w:rPr>
          <w:rStyle w:val="FootnoteReference"/>
        </w:rPr>
        <w:footnoteRef/>
      </w:r>
      <w:r>
        <w:t xml:space="preserve"> PPA OMB Control Number 0990-0382, PREP OMB Control Number 0970-0398, PAF OMB Control Number 0990-0424, STREAMS OMB Control Number 0970-0481. Center for Disease Control and Prevention (CDC) YRBSS: 2017 Youth Risk Behavior Surveillance System Questionnaire &amp; the </w:t>
      </w:r>
      <w:r w:rsidRPr="001C78BF">
        <w:t>Eunice Kennedy Shriver National Institute of Chil</w:t>
      </w:r>
      <w:r>
        <w:t>d Health and Human Development</w:t>
      </w:r>
      <w:r w:rsidRPr="001C78BF">
        <w:t xml:space="preserve">, with co-funding from 17 other federal agencies, </w:t>
      </w:r>
      <w:r w:rsidRPr="00B03C07">
        <w:t xml:space="preserve">National Longitudinal Study of Adolescent to Adult Health </w:t>
      </w:r>
      <w:r>
        <w:t>(ADD Health), Title V Abstinence Evaluation OMB Control Numbers 0990-0233 and 0990-0237, 2016 Behavioral Risk Factor Surveillance System Questionnaire, sponsored by the Center for Disease Control and Prevention, and the Teen Pregnancy Prevention (TPP) Replication Study, OMB Control Number 0990-0397.</w:t>
      </w:r>
    </w:p>
  </w:footnote>
  <w:footnote w:id="14">
    <w:p w14:paraId="750C1CCE" w14:textId="2E2A4FDB" w:rsidR="005C0D42" w:rsidRDefault="005C0D42">
      <w:pPr>
        <w:pStyle w:val="FootnoteText"/>
      </w:pPr>
      <w:r>
        <w:rPr>
          <w:rStyle w:val="FootnoteReference"/>
        </w:rPr>
        <w:footnoteRef/>
      </w:r>
      <w:r>
        <w:t xml:space="preserve"> In consultation with OMB, we are retaining on the follow up survey the version of the gender identity question that was approved on the baseline survey. In future ICR’s we will incorporate current OMB guidance for gender identity items in baseline submissions.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9C8C0" w14:textId="77777777" w:rsidR="005C0D42" w:rsidRPr="00061AF7" w:rsidRDefault="005C0D42" w:rsidP="00436B9F">
    <w:pPr>
      <w:pStyle w:val="Header"/>
      <w:pBdr>
        <w:bottom w:val="none" w:sz="0" w:space="0" w:color="auto"/>
      </w:pBdr>
      <w:rPr>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9C8C7" w14:textId="77777777" w:rsidR="005C0D42" w:rsidRPr="00436B9F" w:rsidRDefault="005C0D42" w:rsidP="00436B9F">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pStyle w:val="DashLAS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2ED3196"/>
    <w:multiLevelType w:val="hybridMultilevel"/>
    <w:tmpl w:val="EBBE885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7513D4"/>
    <w:multiLevelType w:val="hybridMultilevel"/>
    <w:tmpl w:val="8550E976"/>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nsid w:val="45EC445E"/>
    <w:multiLevelType w:val="hybridMultilevel"/>
    <w:tmpl w:val="2AE4E594"/>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0">
    <w:nsid w:val="4BE1410D"/>
    <w:multiLevelType w:val="hybridMultilevel"/>
    <w:tmpl w:val="AFDC2B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84009A"/>
    <w:multiLevelType w:val="hybridMultilevel"/>
    <w:tmpl w:val="8736983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2457695"/>
    <w:multiLevelType w:val="hybridMultilevel"/>
    <w:tmpl w:val="F15AB764"/>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4">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7">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9"/>
  </w:num>
  <w:num w:numId="4">
    <w:abstractNumId w:val="4"/>
  </w:num>
  <w:num w:numId="5">
    <w:abstractNumId w:val="18"/>
  </w:num>
  <w:num w:numId="6">
    <w:abstractNumId w:val="16"/>
  </w:num>
  <w:num w:numId="7">
    <w:abstractNumId w:val="0"/>
  </w:num>
  <w:num w:numId="8">
    <w:abstractNumId w:val="9"/>
  </w:num>
  <w:num w:numId="9">
    <w:abstractNumId w:val="7"/>
  </w:num>
  <w:num w:numId="10">
    <w:abstractNumId w:val="5"/>
  </w:num>
  <w:num w:numId="11">
    <w:abstractNumId w:val="6"/>
  </w:num>
  <w:num w:numId="12">
    <w:abstractNumId w:val="1"/>
  </w:num>
  <w:num w:numId="13">
    <w:abstractNumId w:val="15"/>
  </w:num>
  <w:num w:numId="14">
    <w:abstractNumId w:val="2"/>
  </w:num>
  <w:num w:numId="15">
    <w:abstractNumId w:val="14"/>
  </w:num>
  <w:num w:numId="16">
    <w:abstractNumId w:val="13"/>
  </w:num>
  <w:num w:numId="17">
    <w:abstractNumId w:val="8"/>
  </w:num>
  <w:num w:numId="18">
    <w:abstractNumId w:val="10"/>
  </w:num>
  <w:num w:numId="19">
    <w:abstractNumId w:val="3"/>
  </w:num>
  <w:num w:numId="20">
    <w:abstractNumId w:val="12"/>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san Zief">
    <w15:presenceInfo w15:providerId="AD" w15:userId="S-1-5-21-484763869-796845957-839522115-17261"/>
  </w15:person>
  <w15:person w15:author="Jennifer Walzer">
    <w15:presenceInfo w15:providerId="AD" w15:userId="S-1-5-21-484763869-796845957-839522115-8590"/>
  </w15:person>
  <w15:person w15:author="OMB">
    <w15:presenceInfo w15:providerId="None" w15:userId="O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1228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B9F"/>
    <w:rsid w:val="00000761"/>
    <w:rsid w:val="000030B1"/>
    <w:rsid w:val="00004017"/>
    <w:rsid w:val="00006366"/>
    <w:rsid w:val="00006F79"/>
    <w:rsid w:val="00010CEE"/>
    <w:rsid w:val="0001114E"/>
    <w:rsid w:val="00011CE3"/>
    <w:rsid w:val="0001280F"/>
    <w:rsid w:val="00012AF9"/>
    <w:rsid w:val="0001587F"/>
    <w:rsid w:val="0001642C"/>
    <w:rsid w:val="00016D34"/>
    <w:rsid w:val="000212FC"/>
    <w:rsid w:val="00022A0A"/>
    <w:rsid w:val="0002322B"/>
    <w:rsid w:val="00027197"/>
    <w:rsid w:val="0002754E"/>
    <w:rsid w:val="0003265D"/>
    <w:rsid w:val="000328C3"/>
    <w:rsid w:val="00032E4E"/>
    <w:rsid w:val="00033AF9"/>
    <w:rsid w:val="00034667"/>
    <w:rsid w:val="000367D9"/>
    <w:rsid w:val="00036E7F"/>
    <w:rsid w:val="00040B2C"/>
    <w:rsid w:val="000423BE"/>
    <w:rsid w:val="00042419"/>
    <w:rsid w:val="00042FA8"/>
    <w:rsid w:val="00043329"/>
    <w:rsid w:val="00043B27"/>
    <w:rsid w:val="00044069"/>
    <w:rsid w:val="000462A0"/>
    <w:rsid w:val="00047BDD"/>
    <w:rsid w:val="00050947"/>
    <w:rsid w:val="00051C2A"/>
    <w:rsid w:val="00056AB6"/>
    <w:rsid w:val="00056BC1"/>
    <w:rsid w:val="000575D5"/>
    <w:rsid w:val="000578BB"/>
    <w:rsid w:val="00060579"/>
    <w:rsid w:val="000633AA"/>
    <w:rsid w:val="00063F34"/>
    <w:rsid w:val="0007041A"/>
    <w:rsid w:val="000711DF"/>
    <w:rsid w:val="000777DB"/>
    <w:rsid w:val="00081999"/>
    <w:rsid w:val="000820CF"/>
    <w:rsid w:val="000855BD"/>
    <w:rsid w:val="00086066"/>
    <w:rsid w:val="0009143A"/>
    <w:rsid w:val="00092DB3"/>
    <w:rsid w:val="00095543"/>
    <w:rsid w:val="000972E1"/>
    <w:rsid w:val="000A2181"/>
    <w:rsid w:val="000A2330"/>
    <w:rsid w:val="000A5A8D"/>
    <w:rsid w:val="000A6591"/>
    <w:rsid w:val="000A7604"/>
    <w:rsid w:val="000A7BDE"/>
    <w:rsid w:val="000A7FB4"/>
    <w:rsid w:val="000B521D"/>
    <w:rsid w:val="000B555A"/>
    <w:rsid w:val="000B6EF2"/>
    <w:rsid w:val="000B764C"/>
    <w:rsid w:val="000C2E3B"/>
    <w:rsid w:val="000C413E"/>
    <w:rsid w:val="000C552C"/>
    <w:rsid w:val="000C7D4D"/>
    <w:rsid w:val="000D0A85"/>
    <w:rsid w:val="000D1424"/>
    <w:rsid w:val="000D3B4F"/>
    <w:rsid w:val="000D3E46"/>
    <w:rsid w:val="000D5B34"/>
    <w:rsid w:val="000D5EFA"/>
    <w:rsid w:val="000D6D88"/>
    <w:rsid w:val="000D751A"/>
    <w:rsid w:val="000D7AAD"/>
    <w:rsid w:val="000E0694"/>
    <w:rsid w:val="000E1C2B"/>
    <w:rsid w:val="000E1F55"/>
    <w:rsid w:val="000E2169"/>
    <w:rsid w:val="000E4C3F"/>
    <w:rsid w:val="000E5FB2"/>
    <w:rsid w:val="000F677B"/>
    <w:rsid w:val="000F7DDC"/>
    <w:rsid w:val="001004A7"/>
    <w:rsid w:val="001049EA"/>
    <w:rsid w:val="00105146"/>
    <w:rsid w:val="00107310"/>
    <w:rsid w:val="001119F8"/>
    <w:rsid w:val="00112A5E"/>
    <w:rsid w:val="00113CC8"/>
    <w:rsid w:val="00122C2C"/>
    <w:rsid w:val="00126F92"/>
    <w:rsid w:val="00130C03"/>
    <w:rsid w:val="001311F7"/>
    <w:rsid w:val="0013184F"/>
    <w:rsid w:val="00131D22"/>
    <w:rsid w:val="00131F00"/>
    <w:rsid w:val="00132241"/>
    <w:rsid w:val="00132D76"/>
    <w:rsid w:val="0013346F"/>
    <w:rsid w:val="00134133"/>
    <w:rsid w:val="001344A3"/>
    <w:rsid w:val="00135EB7"/>
    <w:rsid w:val="0013709C"/>
    <w:rsid w:val="0014056B"/>
    <w:rsid w:val="001410DC"/>
    <w:rsid w:val="001445E6"/>
    <w:rsid w:val="00144EE6"/>
    <w:rsid w:val="00145F19"/>
    <w:rsid w:val="00146CE3"/>
    <w:rsid w:val="00147515"/>
    <w:rsid w:val="00147A74"/>
    <w:rsid w:val="00154DF1"/>
    <w:rsid w:val="001558B2"/>
    <w:rsid w:val="00155B3B"/>
    <w:rsid w:val="00155D06"/>
    <w:rsid w:val="00157CA2"/>
    <w:rsid w:val="001622DB"/>
    <w:rsid w:val="001649D5"/>
    <w:rsid w:val="00164BC2"/>
    <w:rsid w:val="00165A5F"/>
    <w:rsid w:val="00166B55"/>
    <w:rsid w:val="0017195E"/>
    <w:rsid w:val="001739F1"/>
    <w:rsid w:val="00175791"/>
    <w:rsid w:val="001765CD"/>
    <w:rsid w:val="00177402"/>
    <w:rsid w:val="00181AC8"/>
    <w:rsid w:val="00184421"/>
    <w:rsid w:val="00185CEF"/>
    <w:rsid w:val="00185F04"/>
    <w:rsid w:val="00185F94"/>
    <w:rsid w:val="00186002"/>
    <w:rsid w:val="00187B79"/>
    <w:rsid w:val="001921A4"/>
    <w:rsid w:val="0019417E"/>
    <w:rsid w:val="00194A0E"/>
    <w:rsid w:val="001969F1"/>
    <w:rsid w:val="00196BF4"/>
    <w:rsid w:val="00196E5A"/>
    <w:rsid w:val="00197503"/>
    <w:rsid w:val="001A3781"/>
    <w:rsid w:val="001B107D"/>
    <w:rsid w:val="001B4842"/>
    <w:rsid w:val="001B6005"/>
    <w:rsid w:val="001C5EB8"/>
    <w:rsid w:val="001C78BF"/>
    <w:rsid w:val="001C7FBE"/>
    <w:rsid w:val="001D3544"/>
    <w:rsid w:val="001D39AA"/>
    <w:rsid w:val="001D39CC"/>
    <w:rsid w:val="001D39EC"/>
    <w:rsid w:val="001D3ED7"/>
    <w:rsid w:val="001D418D"/>
    <w:rsid w:val="001D5A78"/>
    <w:rsid w:val="001D661F"/>
    <w:rsid w:val="001D704C"/>
    <w:rsid w:val="001D7B65"/>
    <w:rsid w:val="001E2280"/>
    <w:rsid w:val="001E5944"/>
    <w:rsid w:val="001E6751"/>
    <w:rsid w:val="001E6A60"/>
    <w:rsid w:val="001E6E5A"/>
    <w:rsid w:val="001F2AE5"/>
    <w:rsid w:val="001F5711"/>
    <w:rsid w:val="00201E7E"/>
    <w:rsid w:val="002033B7"/>
    <w:rsid w:val="00203E3B"/>
    <w:rsid w:val="00204AB9"/>
    <w:rsid w:val="00204B23"/>
    <w:rsid w:val="002050B7"/>
    <w:rsid w:val="00207E2A"/>
    <w:rsid w:val="00211577"/>
    <w:rsid w:val="00213D61"/>
    <w:rsid w:val="00214779"/>
    <w:rsid w:val="00214E0B"/>
    <w:rsid w:val="002153F7"/>
    <w:rsid w:val="00215C5A"/>
    <w:rsid w:val="00215D9D"/>
    <w:rsid w:val="00215E4D"/>
    <w:rsid w:val="002166BC"/>
    <w:rsid w:val="00217FA0"/>
    <w:rsid w:val="0022159A"/>
    <w:rsid w:val="00225954"/>
    <w:rsid w:val="0022714B"/>
    <w:rsid w:val="002272CB"/>
    <w:rsid w:val="00231607"/>
    <w:rsid w:val="00232CA4"/>
    <w:rsid w:val="0023638D"/>
    <w:rsid w:val="00247945"/>
    <w:rsid w:val="00250590"/>
    <w:rsid w:val="00252B2D"/>
    <w:rsid w:val="00254C89"/>
    <w:rsid w:val="00254E2D"/>
    <w:rsid w:val="00255A70"/>
    <w:rsid w:val="00256D04"/>
    <w:rsid w:val="0026025C"/>
    <w:rsid w:val="00261187"/>
    <w:rsid w:val="00261364"/>
    <w:rsid w:val="00262CFA"/>
    <w:rsid w:val="002654A8"/>
    <w:rsid w:val="0026713B"/>
    <w:rsid w:val="00267EB7"/>
    <w:rsid w:val="00271C83"/>
    <w:rsid w:val="00271F0A"/>
    <w:rsid w:val="0027245E"/>
    <w:rsid w:val="00272B66"/>
    <w:rsid w:val="002733A4"/>
    <w:rsid w:val="002736F6"/>
    <w:rsid w:val="002817A6"/>
    <w:rsid w:val="002817C3"/>
    <w:rsid w:val="00283304"/>
    <w:rsid w:val="0028360E"/>
    <w:rsid w:val="00284047"/>
    <w:rsid w:val="002843C6"/>
    <w:rsid w:val="00285C15"/>
    <w:rsid w:val="002869EF"/>
    <w:rsid w:val="002873E9"/>
    <w:rsid w:val="0029011D"/>
    <w:rsid w:val="0029042C"/>
    <w:rsid w:val="00292A7F"/>
    <w:rsid w:val="00294B21"/>
    <w:rsid w:val="002963B9"/>
    <w:rsid w:val="00297266"/>
    <w:rsid w:val="002A00E4"/>
    <w:rsid w:val="002A2808"/>
    <w:rsid w:val="002A3D5D"/>
    <w:rsid w:val="002A4F27"/>
    <w:rsid w:val="002A5A8C"/>
    <w:rsid w:val="002A64F9"/>
    <w:rsid w:val="002A6552"/>
    <w:rsid w:val="002A77E0"/>
    <w:rsid w:val="002B0938"/>
    <w:rsid w:val="002B0BD1"/>
    <w:rsid w:val="002B0E82"/>
    <w:rsid w:val="002B25CD"/>
    <w:rsid w:val="002B71CD"/>
    <w:rsid w:val="002B72E0"/>
    <w:rsid w:val="002B76AB"/>
    <w:rsid w:val="002B7C37"/>
    <w:rsid w:val="002C1507"/>
    <w:rsid w:val="002C2C59"/>
    <w:rsid w:val="002C3CA5"/>
    <w:rsid w:val="002C40A9"/>
    <w:rsid w:val="002C598D"/>
    <w:rsid w:val="002C5ED0"/>
    <w:rsid w:val="002C71CA"/>
    <w:rsid w:val="002C723F"/>
    <w:rsid w:val="002D262A"/>
    <w:rsid w:val="002D2CC2"/>
    <w:rsid w:val="002D6763"/>
    <w:rsid w:val="002D69C4"/>
    <w:rsid w:val="002D7B94"/>
    <w:rsid w:val="002E06F1"/>
    <w:rsid w:val="002E19F0"/>
    <w:rsid w:val="002E226E"/>
    <w:rsid w:val="002E3E35"/>
    <w:rsid w:val="002E4878"/>
    <w:rsid w:val="002E645A"/>
    <w:rsid w:val="002E6750"/>
    <w:rsid w:val="002F0AEB"/>
    <w:rsid w:val="002F2676"/>
    <w:rsid w:val="002F297B"/>
    <w:rsid w:val="002F6E35"/>
    <w:rsid w:val="002F7EE8"/>
    <w:rsid w:val="0030242C"/>
    <w:rsid w:val="0030286A"/>
    <w:rsid w:val="00302890"/>
    <w:rsid w:val="00304686"/>
    <w:rsid w:val="00306F1E"/>
    <w:rsid w:val="00310CBE"/>
    <w:rsid w:val="00311E72"/>
    <w:rsid w:val="003123FD"/>
    <w:rsid w:val="00315DEC"/>
    <w:rsid w:val="0031740A"/>
    <w:rsid w:val="00317FDB"/>
    <w:rsid w:val="0032191D"/>
    <w:rsid w:val="00322913"/>
    <w:rsid w:val="00324F44"/>
    <w:rsid w:val="003250D8"/>
    <w:rsid w:val="00325FF2"/>
    <w:rsid w:val="00326958"/>
    <w:rsid w:val="00326DD0"/>
    <w:rsid w:val="003275C6"/>
    <w:rsid w:val="00327839"/>
    <w:rsid w:val="0033012A"/>
    <w:rsid w:val="003308C3"/>
    <w:rsid w:val="00331ADC"/>
    <w:rsid w:val="00333347"/>
    <w:rsid w:val="00334A72"/>
    <w:rsid w:val="00335768"/>
    <w:rsid w:val="00337996"/>
    <w:rsid w:val="00341682"/>
    <w:rsid w:val="00341D6E"/>
    <w:rsid w:val="003425C4"/>
    <w:rsid w:val="003426BF"/>
    <w:rsid w:val="003437B7"/>
    <w:rsid w:val="00345556"/>
    <w:rsid w:val="00346E5F"/>
    <w:rsid w:val="00350B14"/>
    <w:rsid w:val="00351B0C"/>
    <w:rsid w:val="00352F53"/>
    <w:rsid w:val="0035526C"/>
    <w:rsid w:val="00357B5C"/>
    <w:rsid w:val="00361DFC"/>
    <w:rsid w:val="00363410"/>
    <w:rsid w:val="00363A19"/>
    <w:rsid w:val="00364342"/>
    <w:rsid w:val="003656C4"/>
    <w:rsid w:val="00366F93"/>
    <w:rsid w:val="00370490"/>
    <w:rsid w:val="003707E5"/>
    <w:rsid w:val="00370BC5"/>
    <w:rsid w:val="00370D5B"/>
    <w:rsid w:val="0037192E"/>
    <w:rsid w:val="003720A5"/>
    <w:rsid w:val="003743AD"/>
    <w:rsid w:val="00384A00"/>
    <w:rsid w:val="00384E5E"/>
    <w:rsid w:val="00387C3D"/>
    <w:rsid w:val="00390B1C"/>
    <w:rsid w:val="003921CA"/>
    <w:rsid w:val="00392614"/>
    <w:rsid w:val="00394544"/>
    <w:rsid w:val="00394DAA"/>
    <w:rsid w:val="003969F2"/>
    <w:rsid w:val="00396FD7"/>
    <w:rsid w:val="003A0C7A"/>
    <w:rsid w:val="003A16DA"/>
    <w:rsid w:val="003A3ADA"/>
    <w:rsid w:val="003A501E"/>
    <w:rsid w:val="003A5BF9"/>
    <w:rsid w:val="003A63C1"/>
    <w:rsid w:val="003A6A48"/>
    <w:rsid w:val="003B0921"/>
    <w:rsid w:val="003B642C"/>
    <w:rsid w:val="003C2590"/>
    <w:rsid w:val="003C3464"/>
    <w:rsid w:val="003C38EC"/>
    <w:rsid w:val="003C3D79"/>
    <w:rsid w:val="003D7B48"/>
    <w:rsid w:val="003E1520"/>
    <w:rsid w:val="003E21DB"/>
    <w:rsid w:val="003E3505"/>
    <w:rsid w:val="003E3BFF"/>
    <w:rsid w:val="003E418E"/>
    <w:rsid w:val="003E7979"/>
    <w:rsid w:val="003F03E4"/>
    <w:rsid w:val="003F4ADD"/>
    <w:rsid w:val="003F696E"/>
    <w:rsid w:val="003F7027"/>
    <w:rsid w:val="003F7D6D"/>
    <w:rsid w:val="00400B76"/>
    <w:rsid w:val="00406760"/>
    <w:rsid w:val="00407721"/>
    <w:rsid w:val="00407EC2"/>
    <w:rsid w:val="00413779"/>
    <w:rsid w:val="00421213"/>
    <w:rsid w:val="0042189E"/>
    <w:rsid w:val="00425BFA"/>
    <w:rsid w:val="004267B5"/>
    <w:rsid w:val="00430602"/>
    <w:rsid w:val="00430A83"/>
    <w:rsid w:val="00431084"/>
    <w:rsid w:val="00433E61"/>
    <w:rsid w:val="00435539"/>
    <w:rsid w:val="00436B58"/>
    <w:rsid w:val="00436B9F"/>
    <w:rsid w:val="00436BEA"/>
    <w:rsid w:val="00437868"/>
    <w:rsid w:val="004406E3"/>
    <w:rsid w:val="0044335E"/>
    <w:rsid w:val="00443A39"/>
    <w:rsid w:val="00444FE2"/>
    <w:rsid w:val="00446C1B"/>
    <w:rsid w:val="004533C0"/>
    <w:rsid w:val="004533DB"/>
    <w:rsid w:val="00454875"/>
    <w:rsid w:val="00455D47"/>
    <w:rsid w:val="00456C56"/>
    <w:rsid w:val="004620FF"/>
    <w:rsid w:val="00462212"/>
    <w:rsid w:val="00462F5D"/>
    <w:rsid w:val="00464B7F"/>
    <w:rsid w:val="004655C1"/>
    <w:rsid w:val="00465789"/>
    <w:rsid w:val="004662C5"/>
    <w:rsid w:val="00466B9F"/>
    <w:rsid w:val="004716B7"/>
    <w:rsid w:val="00474848"/>
    <w:rsid w:val="00476F0A"/>
    <w:rsid w:val="00480779"/>
    <w:rsid w:val="00483EE1"/>
    <w:rsid w:val="00485D16"/>
    <w:rsid w:val="004867C2"/>
    <w:rsid w:val="004877D2"/>
    <w:rsid w:val="004912F0"/>
    <w:rsid w:val="0049195D"/>
    <w:rsid w:val="00491AB9"/>
    <w:rsid w:val="004934BE"/>
    <w:rsid w:val="00495DE3"/>
    <w:rsid w:val="004A3ADB"/>
    <w:rsid w:val="004A4935"/>
    <w:rsid w:val="004A6429"/>
    <w:rsid w:val="004A7B6D"/>
    <w:rsid w:val="004B348E"/>
    <w:rsid w:val="004B47D3"/>
    <w:rsid w:val="004C192D"/>
    <w:rsid w:val="004C498B"/>
    <w:rsid w:val="004C67B1"/>
    <w:rsid w:val="004C6C2D"/>
    <w:rsid w:val="004D1EAA"/>
    <w:rsid w:val="004D2C35"/>
    <w:rsid w:val="004D6B97"/>
    <w:rsid w:val="004E049B"/>
    <w:rsid w:val="004E1C3D"/>
    <w:rsid w:val="004E2265"/>
    <w:rsid w:val="004E419A"/>
    <w:rsid w:val="004E65B5"/>
    <w:rsid w:val="004E69F7"/>
    <w:rsid w:val="004E7125"/>
    <w:rsid w:val="004E7409"/>
    <w:rsid w:val="004E74D1"/>
    <w:rsid w:val="004F1E8E"/>
    <w:rsid w:val="004F2BAC"/>
    <w:rsid w:val="004F36C4"/>
    <w:rsid w:val="00500104"/>
    <w:rsid w:val="0050038C"/>
    <w:rsid w:val="005053AC"/>
    <w:rsid w:val="00505804"/>
    <w:rsid w:val="00506F79"/>
    <w:rsid w:val="005074EF"/>
    <w:rsid w:val="00507D38"/>
    <w:rsid w:val="00511D22"/>
    <w:rsid w:val="005159E1"/>
    <w:rsid w:val="00523F54"/>
    <w:rsid w:val="005257EC"/>
    <w:rsid w:val="00525C62"/>
    <w:rsid w:val="00525CA8"/>
    <w:rsid w:val="00526576"/>
    <w:rsid w:val="00526819"/>
    <w:rsid w:val="00526D08"/>
    <w:rsid w:val="0053105A"/>
    <w:rsid w:val="00533421"/>
    <w:rsid w:val="005349D4"/>
    <w:rsid w:val="00535221"/>
    <w:rsid w:val="0053540D"/>
    <w:rsid w:val="00537774"/>
    <w:rsid w:val="00537E01"/>
    <w:rsid w:val="005400FC"/>
    <w:rsid w:val="00540352"/>
    <w:rsid w:val="005403E8"/>
    <w:rsid w:val="00540A78"/>
    <w:rsid w:val="0055110B"/>
    <w:rsid w:val="00551D48"/>
    <w:rsid w:val="00552333"/>
    <w:rsid w:val="0055235A"/>
    <w:rsid w:val="0055457A"/>
    <w:rsid w:val="005547CA"/>
    <w:rsid w:val="005558AB"/>
    <w:rsid w:val="00555F68"/>
    <w:rsid w:val="00556827"/>
    <w:rsid w:val="005576F8"/>
    <w:rsid w:val="00560AEA"/>
    <w:rsid w:val="00560D9D"/>
    <w:rsid w:val="00561604"/>
    <w:rsid w:val="0056243B"/>
    <w:rsid w:val="00564778"/>
    <w:rsid w:val="00564D83"/>
    <w:rsid w:val="005720EB"/>
    <w:rsid w:val="005733FF"/>
    <w:rsid w:val="00575806"/>
    <w:rsid w:val="00580623"/>
    <w:rsid w:val="00580A6C"/>
    <w:rsid w:val="005837E2"/>
    <w:rsid w:val="0058439F"/>
    <w:rsid w:val="00585F60"/>
    <w:rsid w:val="005860D2"/>
    <w:rsid w:val="005876CC"/>
    <w:rsid w:val="005903AC"/>
    <w:rsid w:val="00591535"/>
    <w:rsid w:val="00594753"/>
    <w:rsid w:val="005975FE"/>
    <w:rsid w:val="005A151B"/>
    <w:rsid w:val="005A1AE6"/>
    <w:rsid w:val="005A344D"/>
    <w:rsid w:val="005A6F75"/>
    <w:rsid w:val="005A7F69"/>
    <w:rsid w:val="005B3BFB"/>
    <w:rsid w:val="005B527E"/>
    <w:rsid w:val="005B5338"/>
    <w:rsid w:val="005C0810"/>
    <w:rsid w:val="005C0D42"/>
    <w:rsid w:val="005C1359"/>
    <w:rsid w:val="005C2E96"/>
    <w:rsid w:val="005C40D5"/>
    <w:rsid w:val="005C40E0"/>
    <w:rsid w:val="005C57CB"/>
    <w:rsid w:val="005C5A22"/>
    <w:rsid w:val="005C5E66"/>
    <w:rsid w:val="005C7C3C"/>
    <w:rsid w:val="005D1DEB"/>
    <w:rsid w:val="005D2D89"/>
    <w:rsid w:val="005D51C5"/>
    <w:rsid w:val="005D5D21"/>
    <w:rsid w:val="005E02F9"/>
    <w:rsid w:val="005E2B24"/>
    <w:rsid w:val="005E454D"/>
    <w:rsid w:val="005E45E4"/>
    <w:rsid w:val="005E54EE"/>
    <w:rsid w:val="005E56B4"/>
    <w:rsid w:val="005E66F2"/>
    <w:rsid w:val="005F1EBD"/>
    <w:rsid w:val="005F28ED"/>
    <w:rsid w:val="005F5DC1"/>
    <w:rsid w:val="005F6F8C"/>
    <w:rsid w:val="005F7ADD"/>
    <w:rsid w:val="005F7FEA"/>
    <w:rsid w:val="00602028"/>
    <w:rsid w:val="00604846"/>
    <w:rsid w:val="006075CC"/>
    <w:rsid w:val="00613487"/>
    <w:rsid w:val="00615050"/>
    <w:rsid w:val="00616DE6"/>
    <w:rsid w:val="00622372"/>
    <w:rsid w:val="00623E13"/>
    <w:rsid w:val="006249B5"/>
    <w:rsid w:val="0062545D"/>
    <w:rsid w:val="0062558A"/>
    <w:rsid w:val="006339B6"/>
    <w:rsid w:val="00633E77"/>
    <w:rsid w:val="0063644E"/>
    <w:rsid w:val="00636D6D"/>
    <w:rsid w:val="006371A1"/>
    <w:rsid w:val="006404FF"/>
    <w:rsid w:val="00641180"/>
    <w:rsid w:val="006435C7"/>
    <w:rsid w:val="00650D82"/>
    <w:rsid w:val="0065294B"/>
    <w:rsid w:val="006530B6"/>
    <w:rsid w:val="006572B0"/>
    <w:rsid w:val="0066015B"/>
    <w:rsid w:val="0066062F"/>
    <w:rsid w:val="0066273C"/>
    <w:rsid w:val="00662E36"/>
    <w:rsid w:val="00666A65"/>
    <w:rsid w:val="006673DD"/>
    <w:rsid w:val="006679FF"/>
    <w:rsid w:val="00671099"/>
    <w:rsid w:val="0067358F"/>
    <w:rsid w:val="0067395C"/>
    <w:rsid w:val="00676A56"/>
    <w:rsid w:val="006776E1"/>
    <w:rsid w:val="006814F7"/>
    <w:rsid w:val="0068215C"/>
    <w:rsid w:val="0068230E"/>
    <w:rsid w:val="00683E04"/>
    <w:rsid w:val="0068478C"/>
    <w:rsid w:val="00684929"/>
    <w:rsid w:val="00684ABA"/>
    <w:rsid w:val="00691758"/>
    <w:rsid w:val="00691857"/>
    <w:rsid w:val="00692D2A"/>
    <w:rsid w:val="00695877"/>
    <w:rsid w:val="0069799C"/>
    <w:rsid w:val="00697E5B"/>
    <w:rsid w:val="006A465C"/>
    <w:rsid w:val="006A4FFC"/>
    <w:rsid w:val="006A6D7D"/>
    <w:rsid w:val="006A73F8"/>
    <w:rsid w:val="006B1180"/>
    <w:rsid w:val="006B2425"/>
    <w:rsid w:val="006B246F"/>
    <w:rsid w:val="006B2483"/>
    <w:rsid w:val="006B4E3F"/>
    <w:rsid w:val="006B60CA"/>
    <w:rsid w:val="006B6D4A"/>
    <w:rsid w:val="006C2620"/>
    <w:rsid w:val="006C3304"/>
    <w:rsid w:val="006C7956"/>
    <w:rsid w:val="006D03BB"/>
    <w:rsid w:val="006D21FF"/>
    <w:rsid w:val="006D313D"/>
    <w:rsid w:val="006D447B"/>
    <w:rsid w:val="006D680C"/>
    <w:rsid w:val="006E2385"/>
    <w:rsid w:val="006E3BD4"/>
    <w:rsid w:val="006E4164"/>
    <w:rsid w:val="006E5B0A"/>
    <w:rsid w:val="006E69DC"/>
    <w:rsid w:val="006F1588"/>
    <w:rsid w:val="006F265F"/>
    <w:rsid w:val="006F3099"/>
    <w:rsid w:val="006F3FEB"/>
    <w:rsid w:val="006F4AFC"/>
    <w:rsid w:val="006F730C"/>
    <w:rsid w:val="006F73F3"/>
    <w:rsid w:val="00700DDD"/>
    <w:rsid w:val="00701380"/>
    <w:rsid w:val="00702EB1"/>
    <w:rsid w:val="00702F11"/>
    <w:rsid w:val="007031B1"/>
    <w:rsid w:val="007043FD"/>
    <w:rsid w:val="00707616"/>
    <w:rsid w:val="00707736"/>
    <w:rsid w:val="00711B96"/>
    <w:rsid w:val="007153BB"/>
    <w:rsid w:val="00716DB7"/>
    <w:rsid w:val="007222A0"/>
    <w:rsid w:val="007236A8"/>
    <w:rsid w:val="00723709"/>
    <w:rsid w:val="00731EB1"/>
    <w:rsid w:val="00731ED4"/>
    <w:rsid w:val="00734265"/>
    <w:rsid w:val="007352E3"/>
    <w:rsid w:val="00735339"/>
    <w:rsid w:val="00736152"/>
    <w:rsid w:val="007437DD"/>
    <w:rsid w:val="00745646"/>
    <w:rsid w:val="00745FE6"/>
    <w:rsid w:val="00751451"/>
    <w:rsid w:val="0075488B"/>
    <w:rsid w:val="00756044"/>
    <w:rsid w:val="00756E06"/>
    <w:rsid w:val="007614D4"/>
    <w:rsid w:val="00761673"/>
    <w:rsid w:val="00761C9D"/>
    <w:rsid w:val="00761DA6"/>
    <w:rsid w:val="00761FA4"/>
    <w:rsid w:val="00762A5A"/>
    <w:rsid w:val="00763AC4"/>
    <w:rsid w:val="00764A19"/>
    <w:rsid w:val="007700B1"/>
    <w:rsid w:val="007703E5"/>
    <w:rsid w:val="0077117C"/>
    <w:rsid w:val="0077184B"/>
    <w:rsid w:val="00775024"/>
    <w:rsid w:val="00780527"/>
    <w:rsid w:val="00780B38"/>
    <w:rsid w:val="00781F52"/>
    <w:rsid w:val="007825D9"/>
    <w:rsid w:val="00786FAF"/>
    <w:rsid w:val="00787CE7"/>
    <w:rsid w:val="00790944"/>
    <w:rsid w:val="00792BD9"/>
    <w:rsid w:val="007963EB"/>
    <w:rsid w:val="00796F93"/>
    <w:rsid w:val="007A1493"/>
    <w:rsid w:val="007A2D95"/>
    <w:rsid w:val="007A2E39"/>
    <w:rsid w:val="007A3976"/>
    <w:rsid w:val="007A3AA8"/>
    <w:rsid w:val="007A48E4"/>
    <w:rsid w:val="007A4FD7"/>
    <w:rsid w:val="007A5032"/>
    <w:rsid w:val="007A71C2"/>
    <w:rsid w:val="007A7F81"/>
    <w:rsid w:val="007B0EE2"/>
    <w:rsid w:val="007B1192"/>
    <w:rsid w:val="007B1305"/>
    <w:rsid w:val="007B1E87"/>
    <w:rsid w:val="007B7737"/>
    <w:rsid w:val="007C5737"/>
    <w:rsid w:val="007C6B92"/>
    <w:rsid w:val="007C76FF"/>
    <w:rsid w:val="007C7719"/>
    <w:rsid w:val="007C77E1"/>
    <w:rsid w:val="007D1211"/>
    <w:rsid w:val="007D2AD5"/>
    <w:rsid w:val="007D6AE7"/>
    <w:rsid w:val="007D6CFB"/>
    <w:rsid w:val="007E1607"/>
    <w:rsid w:val="007E574B"/>
    <w:rsid w:val="007E5750"/>
    <w:rsid w:val="007E6923"/>
    <w:rsid w:val="007E75E4"/>
    <w:rsid w:val="007F025B"/>
    <w:rsid w:val="007F24DA"/>
    <w:rsid w:val="007F2C76"/>
    <w:rsid w:val="007F4F5E"/>
    <w:rsid w:val="0080264C"/>
    <w:rsid w:val="00805101"/>
    <w:rsid w:val="008059AC"/>
    <w:rsid w:val="008065F4"/>
    <w:rsid w:val="00806833"/>
    <w:rsid w:val="0080695C"/>
    <w:rsid w:val="00807285"/>
    <w:rsid w:val="00811638"/>
    <w:rsid w:val="008141EB"/>
    <w:rsid w:val="008147E6"/>
    <w:rsid w:val="00814AE7"/>
    <w:rsid w:val="00815382"/>
    <w:rsid w:val="00817013"/>
    <w:rsid w:val="00821341"/>
    <w:rsid w:val="008227AA"/>
    <w:rsid w:val="00822FAD"/>
    <w:rsid w:val="00823A24"/>
    <w:rsid w:val="00826534"/>
    <w:rsid w:val="00830296"/>
    <w:rsid w:val="008321D0"/>
    <w:rsid w:val="00833B51"/>
    <w:rsid w:val="008403EE"/>
    <w:rsid w:val="008405D8"/>
    <w:rsid w:val="00841251"/>
    <w:rsid w:val="00841793"/>
    <w:rsid w:val="008419BB"/>
    <w:rsid w:val="008439AD"/>
    <w:rsid w:val="008453D2"/>
    <w:rsid w:val="0084759A"/>
    <w:rsid w:val="0085028F"/>
    <w:rsid w:val="00850F24"/>
    <w:rsid w:val="00852D7A"/>
    <w:rsid w:val="008540D9"/>
    <w:rsid w:val="008542F5"/>
    <w:rsid w:val="00854CC7"/>
    <w:rsid w:val="00854FD1"/>
    <w:rsid w:val="00862B64"/>
    <w:rsid w:val="00865AD4"/>
    <w:rsid w:val="00865E7D"/>
    <w:rsid w:val="008662F4"/>
    <w:rsid w:val="00872957"/>
    <w:rsid w:val="00872A9C"/>
    <w:rsid w:val="00877B02"/>
    <w:rsid w:val="00880232"/>
    <w:rsid w:val="008813AB"/>
    <w:rsid w:val="0088174A"/>
    <w:rsid w:val="00882A5F"/>
    <w:rsid w:val="00882E5C"/>
    <w:rsid w:val="00883CC1"/>
    <w:rsid w:val="00886088"/>
    <w:rsid w:val="00887ADA"/>
    <w:rsid w:val="00891922"/>
    <w:rsid w:val="0089611E"/>
    <w:rsid w:val="008968DB"/>
    <w:rsid w:val="00896A79"/>
    <w:rsid w:val="0089713E"/>
    <w:rsid w:val="00897391"/>
    <w:rsid w:val="008A1353"/>
    <w:rsid w:val="008A180A"/>
    <w:rsid w:val="008A313D"/>
    <w:rsid w:val="008A705A"/>
    <w:rsid w:val="008A7DFC"/>
    <w:rsid w:val="008B07B5"/>
    <w:rsid w:val="008B09D6"/>
    <w:rsid w:val="008B14B5"/>
    <w:rsid w:val="008B2BAC"/>
    <w:rsid w:val="008B3021"/>
    <w:rsid w:val="008B4482"/>
    <w:rsid w:val="008B4E7B"/>
    <w:rsid w:val="008B575F"/>
    <w:rsid w:val="008B5ADA"/>
    <w:rsid w:val="008C0044"/>
    <w:rsid w:val="008C1574"/>
    <w:rsid w:val="008C16FA"/>
    <w:rsid w:val="008C39E1"/>
    <w:rsid w:val="008C42DA"/>
    <w:rsid w:val="008C5D23"/>
    <w:rsid w:val="008C792F"/>
    <w:rsid w:val="008D0866"/>
    <w:rsid w:val="008D19C5"/>
    <w:rsid w:val="008D2432"/>
    <w:rsid w:val="008D3655"/>
    <w:rsid w:val="008D6299"/>
    <w:rsid w:val="008D680C"/>
    <w:rsid w:val="008D6AB9"/>
    <w:rsid w:val="008D7133"/>
    <w:rsid w:val="008E0151"/>
    <w:rsid w:val="008E2336"/>
    <w:rsid w:val="008E6935"/>
    <w:rsid w:val="008E722E"/>
    <w:rsid w:val="008E725C"/>
    <w:rsid w:val="008F2984"/>
    <w:rsid w:val="008F7DA8"/>
    <w:rsid w:val="00900ECE"/>
    <w:rsid w:val="00901CA4"/>
    <w:rsid w:val="009059B9"/>
    <w:rsid w:val="009109F3"/>
    <w:rsid w:val="00910B00"/>
    <w:rsid w:val="00910C87"/>
    <w:rsid w:val="0091313F"/>
    <w:rsid w:val="00914549"/>
    <w:rsid w:val="009147A0"/>
    <w:rsid w:val="009157C5"/>
    <w:rsid w:val="00916365"/>
    <w:rsid w:val="0091711A"/>
    <w:rsid w:val="00917F77"/>
    <w:rsid w:val="0092292E"/>
    <w:rsid w:val="009250ED"/>
    <w:rsid w:val="009259C2"/>
    <w:rsid w:val="009274E4"/>
    <w:rsid w:val="00931483"/>
    <w:rsid w:val="009315B2"/>
    <w:rsid w:val="0093204A"/>
    <w:rsid w:val="00932372"/>
    <w:rsid w:val="00932E4E"/>
    <w:rsid w:val="00933AFB"/>
    <w:rsid w:val="009343AF"/>
    <w:rsid w:val="00935598"/>
    <w:rsid w:val="00937C9F"/>
    <w:rsid w:val="00940BA2"/>
    <w:rsid w:val="00941E34"/>
    <w:rsid w:val="00942EC4"/>
    <w:rsid w:val="00944C5E"/>
    <w:rsid w:val="009455A0"/>
    <w:rsid w:val="00953EE4"/>
    <w:rsid w:val="009555B9"/>
    <w:rsid w:val="0095642D"/>
    <w:rsid w:val="00961A9E"/>
    <w:rsid w:val="00962334"/>
    <w:rsid w:val="00962492"/>
    <w:rsid w:val="009625E7"/>
    <w:rsid w:val="00964043"/>
    <w:rsid w:val="00964824"/>
    <w:rsid w:val="00964B48"/>
    <w:rsid w:val="00970A65"/>
    <w:rsid w:val="00971A3B"/>
    <w:rsid w:val="00972C11"/>
    <w:rsid w:val="009766F4"/>
    <w:rsid w:val="00976BF5"/>
    <w:rsid w:val="00981FE2"/>
    <w:rsid w:val="00982052"/>
    <w:rsid w:val="00982410"/>
    <w:rsid w:val="0098616C"/>
    <w:rsid w:val="0098715E"/>
    <w:rsid w:val="00991BD2"/>
    <w:rsid w:val="00991DDE"/>
    <w:rsid w:val="00993EDE"/>
    <w:rsid w:val="009947A3"/>
    <w:rsid w:val="00995D54"/>
    <w:rsid w:val="0099741A"/>
    <w:rsid w:val="009A40C5"/>
    <w:rsid w:val="009A5344"/>
    <w:rsid w:val="009A5B76"/>
    <w:rsid w:val="009A618D"/>
    <w:rsid w:val="009A6BD4"/>
    <w:rsid w:val="009B11C3"/>
    <w:rsid w:val="009B3956"/>
    <w:rsid w:val="009B409C"/>
    <w:rsid w:val="009B69E2"/>
    <w:rsid w:val="009B6CDF"/>
    <w:rsid w:val="009B6D8C"/>
    <w:rsid w:val="009B76DA"/>
    <w:rsid w:val="009B7C50"/>
    <w:rsid w:val="009C13E5"/>
    <w:rsid w:val="009C17F5"/>
    <w:rsid w:val="009C4062"/>
    <w:rsid w:val="009C40AE"/>
    <w:rsid w:val="009C455F"/>
    <w:rsid w:val="009C6904"/>
    <w:rsid w:val="009C73FF"/>
    <w:rsid w:val="009D523A"/>
    <w:rsid w:val="009D5690"/>
    <w:rsid w:val="009D58E7"/>
    <w:rsid w:val="009E2852"/>
    <w:rsid w:val="009E47FD"/>
    <w:rsid w:val="009E69BF"/>
    <w:rsid w:val="009E6C29"/>
    <w:rsid w:val="009E715C"/>
    <w:rsid w:val="009E756D"/>
    <w:rsid w:val="009E7C89"/>
    <w:rsid w:val="009F11EC"/>
    <w:rsid w:val="009F33C2"/>
    <w:rsid w:val="009F3414"/>
    <w:rsid w:val="009F45A2"/>
    <w:rsid w:val="009F4BDD"/>
    <w:rsid w:val="009F71FF"/>
    <w:rsid w:val="009F7447"/>
    <w:rsid w:val="00A00C4A"/>
    <w:rsid w:val="00A01047"/>
    <w:rsid w:val="00A064A6"/>
    <w:rsid w:val="00A11D36"/>
    <w:rsid w:val="00A14B78"/>
    <w:rsid w:val="00A205D2"/>
    <w:rsid w:val="00A219A4"/>
    <w:rsid w:val="00A22B05"/>
    <w:rsid w:val="00A23043"/>
    <w:rsid w:val="00A25844"/>
    <w:rsid w:val="00A26E0C"/>
    <w:rsid w:val="00A270F8"/>
    <w:rsid w:val="00A30C7E"/>
    <w:rsid w:val="00A311C2"/>
    <w:rsid w:val="00A31D7E"/>
    <w:rsid w:val="00A3243C"/>
    <w:rsid w:val="00A33005"/>
    <w:rsid w:val="00A33F9B"/>
    <w:rsid w:val="00A343A5"/>
    <w:rsid w:val="00A3715B"/>
    <w:rsid w:val="00A40FBE"/>
    <w:rsid w:val="00A42185"/>
    <w:rsid w:val="00A43114"/>
    <w:rsid w:val="00A469D3"/>
    <w:rsid w:val="00A47F61"/>
    <w:rsid w:val="00A60379"/>
    <w:rsid w:val="00A606CF"/>
    <w:rsid w:val="00A62A6E"/>
    <w:rsid w:val="00A66515"/>
    <w:rsid w:val="00A66A4E"/>
    <w:rsid w:val="00A70EF5"/>
    <w:rsid w:val="00A74AFC"/>
    <w:rsid w:val="00A75082"/>
    <w:rsid w:val="00A75C2E"/>
    <w:rsid w:val="00A76248"/>
    <w:rsid w:val="00A77B98"/>
    <w:rsid w:val="00A81E86"/>
    <w:rsid w:val="00A8684E"/>
    <w:rsid w:val="00A87ABD"/>
    <w:rsid w:val="00A900BC"/>
    <w:rsid w:val="00A92089"/>
    <w:rsid w:val="00A93836"/>
    <w:rsid w:val="00A9398F"/>
    <w:rsid w:val="00A960CD"/>
    <w:rsid w:val="00A96CD2"/>
    <w:rsid w:val="00AA1231"/>
    <w:rsid w:val="00AA174B"/>
    <w:rsid w:val="00AA24E0"/>
    <w:rsid w:val="00AA4095"/>
    <w:rsid w:val="00AA795E"/>
    <w:rsid w:val="00AA7B28"/>
    <w:rsid w:val="00AB12E1"/>
    <w:rsid w:val="00AB2260"/>
    <w:rsid w:val="00AB496C"/>
    <w:rsid w:val="00AB674C"/>
    <w:rsid w:val="00AB7AB9"/>
    <w:rsid w:val="00AB7DAD"/>
    <w:rsid w:val="00AC603E"/>
    <w:rsid w:val="00AD2206"/>
    <w:rsid w:val="00AD24F3"/>
    <w:rsid w:val="00AD2E6C"/>
    <w:rsid w:val="00AD55C7"/>
    <w:rsid w:val="00AE3B36"/>
    <w:rsid w:val="00AE3DBB"/>
    <w:rsid w:val="00AE5170"/>
    <w:rsid w:val="00AE7C1D"/>
    <w:rsid w:val="00AF0466"/>
    <w:rsid w:val="00AF0545"/>
    <w:rsid w:val="00AF0AB2"/>
    <w:rsid w:val="00AF59EF"/>
    <w:rsid w:val="00AF6E61"/>
    <w:rsid w:val="00B000BE"/>
    <w:rsid w:val="00B01117"/>
    <w:rsid w:val="00B01CB5"/>
    <w:rsid w:val="00B023D9"/>
    <w:rsid w:val="00B027A1"/>
    <w:rsid w:val="00B02C9E"/>
    <w:rsid w:val="00B0376F"/>
    <w:rsid w:val="00B03C07"/>
    <w:rsid w:val="00B04783"/>
    <w:rsid w:val="00B04DDB"/>
    <w:rsid w:val="00B11994"/>
    <w:rsid w:val="00B11C13"/>
    <w:rsid w:val="00B11F80"/>
    <w:rsid w:val="00B1550B"/>
    <w:rsid w:val="00B176FD"/>
    <w:rsid w:val="00B234F3"/>
    <w:rsid w:val="00B2419E"/>
    <w:rsid w:val="00B25E57"/>
    <w:rsid w:val="00B30F06"/>
    <w:rsid w:val="00B32A4E"/>
    <w:rsid w:val="00B331F4"/>
    <w:rsid w:val="00B33BD4"/>
    <w:rsid w:val="00B341CC"/>
    <w:rsid w:val="00B37F23"/>
    <w:rsid w:val="00B40F3C"/>
    <w:rsid w:val="00B4146D"/>
    <w:rsid w:val="00B41882"/>
    <w:rsid w:val="00B42423"/>
    <w:rsid w:val="00B4379B"/>
    <w:rsid w:val="00B441B8"/>
    <w:rsid w:val="00B4475C"/>
    <w:rsid w:val="00B45465"/>
    <w:rsid w:val="00B45726"/>
    <w:rsid w:val="00B45B86"/>
    <w:rsid w:val="00B50500"/>
    <w:rsid w:val="00B518EB"/>
    <w:rsid w:val="00B55C8A"/>
    <w:rsid w:val="00B56BEF"/>
    <w:rsid w:val="00B579D2"/>
    <w:rsid w:val="00B57DCF"/>
    <w:rsid w:val="00B57F10"/>
    <w:rsid w:val="00B6037C"/>
    <w:rsid w:val="00B60DA3"/>
    <w:rsid w:val="00B70EDD"/>
    <w:rsid w:val="00B72C2C"/>
    <w:rsid w:val="00B73D4C"/>
    <w:rsid w:val="00B74B02"/>
    <w:rsid w:val="00B762A9"/>
    <w:rsid w:val="00B7671F"/>
    <w:rsid w:val="00B80400"/>
    <w:rsid w:val="00B8081C"/>
    <w:rsid w:val="00B81A5C"/>
    <w:rsid w:val="00B83B64"/>
    <w:rsid w:val="00B86797"/>
    <w:rsid w:val="00B86E7E"/>
    <w:rsid w:val="00B871D2"/>
    <w:rsid w:val="00B9069A"/>
    <w:rsid w:val="00B90E1D"/>
    <w:rsid w:val="00B9407F"/>
    <w:rsid w:val="00B94509"/>
    <w:rsid w:val="00B949A7"/>
    <w:rsid w:val="00B94CA8"/>
    <w:rsid w:val="00B96E64"/>
    <w:rsid w:val="00B973C9"/>
    <w:rsid w:val="00BA0343"/>
    <w:rsid w:val="00BA1316"/>
    <w:rsid w:val="00BA36B1"/>
    <w:rsid w:val="00BA5F68"/>
    <w:rsid w:val="00BA6695"/>
    <w:rsid w:val="00BA79D9"/>
    <w:rsid w:val="00BB000E"/>
    <w:rsid w:val="00BB076D"/>
    <w:rsid w:val="00BB2A9F"/>
    <w:rsid w:val="00BB3F1C"/>
    <w:rsid w:val="00BB4F8E"/>
    <w:rsid w:val="00BB5573"/>
    <w:rsid w:val="00BB5649"/>
    <w:rsid w:val="00BB74AC"/>
    <w:rsid w:val="00BC2562"/>
    <w:rsid w:val="00BC3468"/>
    <w:rsid w:val="00BC3EC7"/>
    <w:rsid w:val="00BD04FD"/>
    <w:rsid w:val="00BD1FA9"/>
    <w:rsid w:val="00BD41B5"/>
    <w:rsid w:val="00BD4D13"/>
    <w:rsid w:val="00BD77B3"/>
    <w:rsid w:val="00BE1521"/>
    <w:rsid w:val="00BE159D"/>
    <w:rsid w:val="00BE18A5"/>
    <w:rsid w:val="00BE266D"/>
    <w:rsid w:val="00BE33C8"/>
    <w:rsid w:val="00BE6894"/>
    <w:rsid w:val="00BF073A"/>
    <w:rsid w:val="00BF1CE7"/>
    <w:rsid w:val="00BF39D4"/>
    <w:rsid w:val="00BF3F82"/>
    <w:rsid w:val="00BF40FE"/>
    <w:rsid w:val="00BF58C3"/>
    <w:rsid w:val="00BF5B09"/>
    <w:rsid w:val="00BF7326"/>
    <w:rsid w:val="00C01B00"/>
    <w:rsid w:val="00C03960"/>
    <w:rsid w:val="00C138B9"/>
    <w:rsid w:val="00C14871"/>
    <w:rsid w:val="00C15ED6"/>
    <w:rsid w:val="00C219EE"/>
    <w:rsid w:val="00C22C89"/>
    <w:rsid w:val="00C247F2"/>
    <w:rsid w:val="00C24E54"/>
    <w:rsid w:val="00C2798C"/>
    <w:rsid w:val="00C314D6"/>
    <w:rsid w:val="00C3292B"/>
    <w:rsid w:val="00C36BFD"/>
    <w:rsid w:val="00C4142C"/>
    <w:rsid w:val="00C41773"/>
    <w:rsid w:val="00C44476"/>
    <w:rsid w:val="00C4495F"/>
    <w:rsid w:val="00C44D41"/>
    <w:rsid w:val="00C45A45"/>
    <w:rsid w:val="00C45D90"/>
    <w:rsid w:val="00C46DC5"/>
    <w:rsid w:val="00C479F6"/>
    <w:rsid w:val="00C47A9D"/>
    <w:rsid w:val="00C47B06"/>
    <w:rsid w:val="00C50508"/>
    <w:rsid w:val="00C51094"/>
    <w:rsid w:val="00C51A43"/>
    <w:rsid w:val="00C522F7"/>
    <w:rsid w:val="00C536C6"/>
    <w:rsid w:val="00C5662D"/>
    <w:rsid w:val="00C570F8"/>
    <w:rsid w:val="00C5746A"/>
    <w:rsid w:val="00C61B0C"/>
    <w:rsid w:val="00C622A4"/>
    <w:rsid w:val="00C62485"/>
    <w:rsid w:val="00C6315C"/>
    <w:rsid w:val="00C63C2C"/>
    <w:rsid w:val="00C6450B"/>
    <w:rsid w:val="00C73B43"/>
    <w:rsid w:val="00C746CA"/>
    <w:rsid w:val="00C7488A"/>
    <w:rsid w:val="00C749D7"/>
    <w:rsid w:val="00C80CE5"/>
    <w:rsid w:val="00C81C15"/>
    <w:rsid w:val="00C81CE4"/>
    <w:rsid w:val="00C83353"/>
    <w:rsid w:val="00C839FD"/>
    <w:rsid w:val="00C8476A"/>
    <w:rsid w:val="00C90FA2"/>
    <w:rsid w:val="00C93ABA"/>
    <w:rsid w:val="00C94B60"/>
    <w:rsid w:val="00C94D74"/>
    <w:rsid w:val="00C95148"/>
    <w:rsid w:val="00C971DE"/>
    <w:rsid w:val="00CA1FFC"/>
    <w:rsid w:val="00CA40B5"/>
    <w:rsid w:val="00CA6471"/>
    <w:rsid w:val="00CA67C9"/>
    <w:rsid w:val="00CA73BC"/>
    <w:rsid w:val="00CA7F45"/>
    <w:rsid w:val="00CB1CB6"/>
    <w:rsid w:val="00CB3552"/>
    <w:rsid w:val="00CB3742"/>
    <w:rsid w:val="00CB418E"/>
    <w:rsid w:val="00CB4AFD"/>
    <w:rsid w:val="00CB5665"/>
    <w:rsid w:val="00CB57AF"/>
    <w:rsid w:val="00CB77C1"/>
    <w:rsid w:val="00CC1B89"/>
    <w:rsid w:val="00CC2B56"/>
    <w:rsid w:val="00CC6CBB"/>
    <w:rsid w:val="00CD0D49"/>
    <w:rsid w:val="00CD148B"/>
    <w:rsid w:val="00CD30C4"/>
    <w:rsid w:val="00CD3139"/>
    <w:rsid w:val="00CD68BA"/>
    <w:rsid w:val="00CE347E"/>
    <w:rsid w:val="00CE55BF"/>
    <w:rsid w:val="00CE614C"/>
    <w:rsid w:val="00CE717B"/>
    <w:rsid w:val="00CF026E"/>
    <w:rsid w:val="00CF429F"/>
    <w:rsid w:val="00CF6E72"/>
    <w:rsid w:val="00CF773F"/>
    <w:rsid w:val="00CF7C68"/>
    <w:rsid w:val="00D00FFB"/>
    <w:rsid w:val="00D02D6E"/>
    <w:rsid w:val="00D04B5A"/>
    <w:rsid w:val="00D058AE"/>
    <w:rsid w:val="00D05BD4"/>
    <w:rsid w:val="00D13747"/>
    <w:rsid w:val="00D13A18"/>
    <w:rsid w:val="00D13D3B"/>
    <w:rsid w:val="00D14D4C"/>
    <w:rsid w:val="00D154AE"/>
    <w:rsid w:val="00D15E8A"/>
    <w:rsid w:val="00D170E4"/>
    <w:rsid w:val="00D17BAD"/>
    <w:rsid w:val="00D206F1"/>
    <w:rsid w:val="00D3011C"/>
    <w:rsid w:val="00D31775"/>
    <w:rsid w:val="00D31CCD"/>
    <w:rsid w:val="00D3206B"/>
    <w:rsid w:val="00D32D01"/>
    <w:rsid w:val="00D32E81"/>
    <w:rsid w:val="00D3411D"/>
    <w:rsid w:val="00D36A2A"/>
    <w:rsid w:val="00D3752E"/>
    <w:rsid w:val="00D40FAA"/>
    <w:rsid w:val="00D426AD"/>
    <w:rsid w:val="00D44594"/>
    <w:rsid w:val="00D44A26"/>
    <w:rsid w:val="00D46CC5"/>
    <w:rsid w:val="00D50DC3"/>
    <w:rsid w:val="00D52781"/>
    <w:rsid w:val="00D541E7"/>
    <w:rsid w:val="00D54FB2"/>
    <w:rsid w:val="00D6165F"/>
    <w:rsid w:val="00D62534"/>
    <w:rsid w:val="00D638E5"/>
    <w:rsid w:val="00D71B98"/>
    <w:rsid w:val="00D77170"/>
    <w:rsid w:val="00D81AB4"/>
    <w:rsid w:val="00D849EE"/>
    <w:rsid w:val="00D854D7"/>
    <w:rsid w:val="00D864BC"/>
    <w:rsid w:val="00D8659F"/>
    <w:rsid w:val="00D87835"/>
    <w:rsid w:val="00D87A45"/>
    <w:rsid w:val="00D9439C"/>
    <w:rsid w:val="00D94F4B"/>
    <w:rsid w:val="00DA37FA"/>
    <w:rsid w:val="00DA4E74"/>
    <w:rsid w:val="00DA5247"/>
    <w:rsid w:val="00DB0CFD"/>
    <w:rsid w:val="00DB2324"/>
    <w:rsid w:val="00DB3B5B"/>
    <w:rsid w:val="00DB7D33"/>
    <w:rsid w:val="00DC02C5"/>
    <w:rsid w:val="00DC0518"/>
    <w:rsid w:val="00DC1B25"/>
    <w:rsid w:val="00DC1F96"/>
    <w:rsid w:val="00DC2044"/>
    <w:rsid w:val="00DC238C"/>
    <w:rsid w:val="00DC25A3"/>
    <w:rsid w:val="00DC2CE0"/>
    <w:rsid w:val="00DC2F1A"/>
    <w:rsid w:val="00DC57DB"/>
    <w:rsid w:val="00DC61DD"/>
    <w:rsid w:val="00DD2714"/>
    <w:rsid w:val="00DD2ADB"/>
    <w:rsid w:val="00DD4580"/>
    <w:rsid w:val="00DD7067"/>
    <w:rsid w:val="00DE061D"/>
    <w:rsid w:val="00DE222B"/>
    <w:rsid w:val="00DE4BDB"/>
    <w:rsid w:val="00DE4FC5"/>
    <w:rsid w:val="00DF1776"/>
    <w:rsid w:val="00DF3111"/>
    <w:rsid w:val="00DF4330"/>
    <w:rsid w:val="00DF4F75"/>
    <w:rsid w:val="00DF67D4"/>
    <w:rsid w:val="00DF683E"/>
    <w:rsid w:val="00DF7006"/>
    <w:rsid w:val="00E02A05"/>
    <w:rsid w:val="00E03DB4"/>
    <w:rsid w:val="00E04EAF"/>
    <w:rsid w:val="00E141D5"/>
    <w:rsid w:val="00E15AD4"/>
    <w:rsid w:val="00E16443"/>
    <w:rsid w:val="00E202FA"/>
    <w:rsid w:val="00E218CA"/>
    <w:rsid w:val="00E23370"/>
    <w:rsid w:val="00E24240"/>
    <w:rsid w:val="00E2458E"/>
    <w:rsid w:val="00E253D5"/>
    <w:rsid w:val="00E25645"/>
    <w:rsid w:val="00E3042E"/>
    <w:rsid w:val="00E325D4"/>
    <w:rsid w:val="00E4054A"/>
    <w:rsid w:val="00E4096D"/>
    <w:rsid w:val="00E41FF2"/>
    <w:rsid w:val="00E42570"/>
    <w:rsid w:val="00E4482D"/>
    <w:rsid w:val="00E45670"/>
    <w:rsid w:val="00E463A9"/>
    <w:rsid w:val="00E50C9B"/>
    <w:rsid w:val="00E54F1D"/>
    <w:rsid w:val="00E55240"/>
    <w:rsid w:val="00E56206"/>
    <w:rsid w:val="00E57389"/>
    <w:rsid w:val="00E57A14"/>
    <w:rsid w:val="00E57D61"/>
    <w:rsid w:val="00E6337E"/>
    <w:rsid w:val="00E64671"/>
    <w:rsid w:val="00E655FB"/>
    <w:rsid w:val="00E67AF9"/>
    <w:rsid w:val="00E71EDC"/>
    <w:rsid w:val="00E742E4"/>
    <w:rsid w:val="00E7465C"/>
    <w:rsid w:val="00E75B0D"/>
    <w:rsid w:val="00E77099"/>
    <w:rsid w:val="00E77EEF"/>
    <w:rsid w:val="00E802F3"/>
    <w:rsid w:val="00E81DAA"/>
    <w:rsid w:val="00E8211C"/>
    <w:rsid w:val="00E8317B"/>
    <w:rsid w:val="00E85F06"/>
    <w:rsid w:val="00E877DB"/>
    <w:rsid w:val="00E90D7A"/>
    <w:rsid w:val="00E97688"/>
    <w:rsid w:val="00EA0424"/>
    <w:rsid w:val="00EA2F43"/>
    <w:rsid w:val="00EA57EA"/>
    <w:rsid w:val="00EA7592"/>
    <w:rsid w:val="00EB175C"/>
    <w:rsid w:val="00EB7A57"/>
    <w:rsid w:val="00EB7B14"/>
    <w:rsid w:val="00EB7C00"/>
    <w:rsid w:val="00EC1999"/>
    <w:rsid w:val="00EC4A25"/>
    <w:rsid w:val="00ED3BCB"/>
    <w:rsid w:val="00ED7FE9"/>
    <w:rsid w:val="00EE0CBE"/>
    <w:rsid w:val="00EE11F8"/>
    <w:rsid w:val="00EE3C1D"/>
    <w:rsid w:val="00EE552B"/>
    <w:rsid w:val="00EE5BF2"/>
    <w:rsid w:val="00EF14AC"/>
    <w:rsid w:val="00EF2082"/>
    <w:rsid w:val="00EF44BE"/>
    <w:rsid w:val="00EF6B9D"/>
    <w:rsid w:val="00F00052"/>
    <w:rsid w:val="00F001F4"/>
    <w:rsid w:val="00F011D4"/>
    <w:rsid w:val="00F04524"/>
    <w:rsid w:val="00F0490D"/>
    <w:rsid w:val="00F04C11"/>
    <w:rsid w:val="00F057CA"/>
    <w:rsid w:val="00F07599"/>
    <w:rsid w:val="00F1029B"/>
    <w:rsid w:val="00F104F5"/>
    <w:rsid w:val="00F12333"/>
    <w:rsid w:val="00F14FDC"/>
    <w:rsid w:val="00F21BA5"/>
    <w:rsid w:val="00F220AC"/>
    <w:rsid w:val="00F2264A"/>
    <w:rsid w:val="00F2315C"/>
    <w:rsid w:val="00F240AA"/>
    <w:rsid w:val="00F318F6"/>
    <w:rsid w:val="00F326A0"/>
    <w:rsid w:val="00F43593"/>
    <w:rsid w:val="00F44272"/>
    <w:rsid w:val="00F44FFC"/>
    <w:rsid w:val="00F46A8B"/>
    <w:rsid w:val="00F549A2"/>
    <w:rsid w:val="00F553C3"/>
    <w:rsid w:val="00F567E2"/>
    <w:rsid w:val="00F6063A"/>
    <w:rsid w:val="00F60738"/>
    <w:rsid w:val="00F60D3F"/>
    <w:rsid w:val="00F61242"/>
    <w:rsid w:val="00F61539"/>
    <w:rsid w:val="00F6274E"/>
    <w:rsid w:val="00F70118"/>
    <w:rsid w:val="00F7031F"/>
    <w:rsid w:val="00F71630"/>
    <w:rsid w:val="00F71CF1"/>
    <w:rsid w:val="00F73C13"/>
    <w:rsid w:val="00F7456C"/>
    <w:rsid w:val="00F756FE"/>
    <w:rsid w:val="00F770B2"/>
    <w:rsid w:val="00F80A85"/>
    <w:rsid w:val="00F81C42"/>
    <w:rsid w:val="00F81FBA"/>
    <w:rsid w:val="00F8503A"/>
    <w:rsid w:val="00F85145"/>
    <w:rsid w:val="00F85583"/>
    <w:rsid w:val="00F878AA"/>
    <w:rsid w:val="00F87DD5"/>
    <w:rsid w:val="00F92064"/>
    <w:rsid w:val="00F9218C"/>
    <w:rsid w:val="00F927D7"/>
    <w:rsid w:val="00F93A13"/>
    <w:rsid w:val="00F950E2"/>
    <w:rsid w:val="00F957AF"/>
    <w:rsid w:val="00F96D5E"/>
    <w:rsid w:val="00FA03B3"/>
    <w:rsid w:val="00FA0AE2"/>
    <w:rsid w:val="00FA504A"/>
    <w:rsid w:val="00FA73CD"/>
    <w:rsid w:val="00FB0194"/>
    <w:rsid w:val="00FB0524"/>
    <w:rsid w:val="00FB220F"/>
    <w:rsid w:val="00FB63B9"/>
    <w:rsid w:val="00FB6701"/>
    <w:rsid w:val="00FC50A5"/>
    <w:rsid w:val="00FC6324"/>
    <w:rsid w:val="00FC6E68"/>
    <w:rsid w:val="00FC7F31"/>
    <w:rsid w:val="00FD023D"/>
    <w:rsid w:val="00FD0556"/>
    <w:rsid w:val="00FD327B"/>
    <w:rsid w:val="00FD70FD"/>
    <w:rsid w:val="00FE1404"/>
    <w:rsid w:val="00FE1900"/>
    <w:rsid w:val="00FE3270"/>
    <w:rsid w:val="00FE5257"/>
    <w:rsid w:val="00FE554E"/>
    <w:rsid w:val="00FE6A08"/>
    <w:rsid w:val="00FE7DA9"/>
    <w:rsid w:val="00FF1B67"/>
    <w:rsid w:val="00FF2CB8"/>
    <w:rsid w:val="00FF374D"/>
    <w:rsid w:val="00FF4446"/>
    <w:rsid w:val="00FF69A2"/>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29C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B9F"/>
    <w:pPr>
      <w:tabs>
        <w:tab w:val="left" w:pos="432"/>
      </w:tabs>
      <w:spacing w:after="0" w:line="480" w:lineRule="auto"/>
      <w:ind w:firstLine="432"/>
      <w:jc w:val="both"/>
    </w:pPr>
    <w:rPr>
      <w:rFonts w:ascii="Garamond" w:eastAsia="Times New Roman" w:hAnsi="Garamond" w:cs="Times New Roman"/>
    </w:rPr>
  </w:style>
  <w:style w:type="paragraph" w:styleId="Heading1">
    <w:name w:val="heading 1"/>
    <w:basedOn w:val="Normal"/>
    <w:next w:val="NormalSS"/>
    <w:link w:val="Heading1Char"/>
    <w:semiHidden/>
    <w:qFormat/>
    <w:rsid w:val="00910B00"/>
    <w:pPr>
      <w:keepNext/>
      <w:pBdr>
        <w:bottom w:val="single" w:sz="2" w:space="1" w:color="auto"/>
      </w:pBdr>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436B9F"/>
    <w:pPr>
      <w:keepNext/>
      <w:spacing w:after="120" w:line="240" w:lineRule="auto"/>
      <w:ind w:left="432" w:hanging="432"/>
      <w:outlineLvl w:val="2"/>
    </w:pPr>
    <w:rPr>
      <w:rFonts w:ascii="Arial" w:hAnsi="Arial" w:cs="Arial"/>
      <w:b/>
      <w:sz w:val="22"/>
    </w:rPr>
  </w:style>
  <w:style w:type="paragraph" w:styleId="Heading4">
    <w:name w:val="heading 4"/>
    <w:basedOn w:val="Normal"/>
    <w:next w:val="NormalSS"/>
    <w:link w:val="Heading4Char"/>
    <w:qFormat/>
    <w:rsid w:val="00872A9C"/>
    <w:pPr>
      <w:keepNext/>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semiHidden/>
    <w:qFormat/>
    <w:rsid w:val="00850F24"/>
    <w:pPr>
      <w:keepNext/>
      <w:framePr w:wrap="around" w:vAnchor="text" w:hAnchor="text" w:y="1"/>
      <w:numPr>
        <w:ilvl w:val="4"/>
        <w:numId w:val="9"/>
      </w:numPr>
      <w:spacing w:after="120" w:line="240" w:lineRule="auto"/>
      <w:ind w:left="432"/>
      <w:outlineLvl w:val="4"/>
    </w:pPr>
    <w:rPr>
      <w:b/>
    </w:rPr>
  </w:style>
  <w:style w:type="paragraph" w:styleId="Heading6">
    <w:name w:val="heading 6"/>
    <w:aliases w:val="Heading 6 (business proposal only)"/>
    <w:basedOn w:val="Normal"/>
    <w:next w:val="Normal"/>
    <w:link w:val="Heading6Char"/>
    <w:semiHidden/>
    <w:qFormat/>
    <w:rsid w:val="002B76AB"/>
    <w:pPr>
      <w:keepNext/>
      <w:numPr>
        <w:ilvl w:val="5"/>
        <w:numId w:val="9"/>
      </w:numPr>
      <w:spacing w:after="120" w:line="240" w:lineRule="auto"/>
      <w:outlineLvl w:val="5"/>
    </w:pPr>
  </w:style>
  <w:style w:type="paragraph" w:styleId="Heading7">
    <w:name w:val="heading 7"/>
    <w:aliases w:val="Heading 7 (business proposal only)"/>
    <w:basedOn w:val="Normal"/>
    <w:next w:val="Normal"/>
    <w:link w:val="Heading7Char"/>
    <w:semiHidden/>
    <w:qFormat/>
    <w:rsid w:val="002B76AB"/>
    <w:pPr>
      <w:keepNext/>
      <w:numPr>
        <w:ilvl w:val="6"/>
        <w:numId w:val="9"/>
      </w:numPr>
      <w:spacing w:after="120" w:line="240" w:lineRule="auto"/>
      <w:outlineLvl w:val="6"/>
    </w:pPr>
  </w:style>
  <w:style w:type="paragraph" w:styleId="Heading8">
    <w:name w:val="heading 8"/>
    <w:aliases w:val="Heading 8 (business proposal only)"/>
    <w:basedOn w:val="Normal"/>
    <w:next w:val="Normal"/>
    <w:link w:val="Heading8Char"/>
    <w:semiHidden/>
    <w:qFormat/>
    <w:rsid w:val="002B76AB"/>
    <w:pPr>
      <w:keepNext/>
      <w:numPr>
        <w:ilvl w:val="7"/>
        <w:numId w:val="9"/>
      </w:numPr>
      <w:spacing w:after="120" w:line="240" w:lineRule="auto"/>
      <w:outlineLvl w:val="7"/>
    </w:pPr>
  </w:style>
  <w:style w:type="paragraph" w:styleId="Heading9">
    <w:name w:val="heading 9"/>
    <w:aliases w:val="Heading 9 (business proposal only)"/>
    <w:basedOn w:val="Normal"/>
    <w:next w:val="Normal"/>
    <w:link w:val="Heading9Char"/>
    <w:semiHidden/>
    <w:qFormat/>
    <w:locked/>
    <w:rsid w:val="002B76AB"/>
    <w:pPr>
      <w:keepNext/>
      <w:numPr>
        <w:ilvl w:val="8"/>
        <w:numId w:val="9"/>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uiPriority w:val="99"/>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uiPriority w:val="99"/>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953EE4"/>
    <w:rPr>
      <w:rFonts w:ascii="Garamond" w:hAnsi="Garamond"/>
      <w:color w:val="auto"/>
      <w:spacing w:val="0"/>
      <w:position w:val="0"/>
      <w:sz w:val="24"/>
      <w:u w:color="000080"/>
      <w:effect w:val="none"/>
      <w:vertAlign w:val="superscript"/>
    </w:rPr>
  </w:style>
  <w:style w:type="paragraph" w:styleId="FootnoteText">
    <w:name w:val="footnote text"/>
    <w:aliases w:val="F1"/>
    <w:basedOn w:val="Normal"/>
    <w:link w:val="FootnoteTextChar"/>
    <w:qFormat/>
    <w:rsid w:val="00953EE4"/>
    <w:pPr>
      <w:spacing w:after="120" w:line="240" w:lineRule="auto"/>
      <w:ind w:firstLine="0"/>
    </w:pPr>
    <w:rPr>
      <w:sz w:val="20"/>
    </w:rPr>
  </w:style>
  <w:style w:type="character" w:customStyle="1" w:styleId="FootnoteTextChar">
    <w:name w:val="Footnote Text Char"/>
    <w:aliases w:val="F1 Char"/>
    <w:basedOn w:val="DefaultParagraphFont"/>
    <w:link w:val="FootnoteText"/>
    <w:rsid w:val="00953EE4"/>
    <w:rPr>
      <w:rFonts w:ascii="Garamond" w:eastAsia="Times New Roman" w:hAnsi="Garamond" w:cs="Times New Roman"/>
      <w:sz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436B9F"/>
    <w:rPr>
      <w:rFonts w:ascii="Arial" w:eastAsia="Times New Roman" w:hAnsi="Arial" w:cs="Arial"/>
      <w:b/>
      <w:sz w:val="22"/>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aliases w:val="Heading 5 (business proposal only) Char"/>
    <w:basedOn w:val="DefaultParagraphFont"/>
    <w:link w:val="Heading5"/>
    <w:semiHidden/>
    <w:rsid w:val="00756E06"/>
    <w:rPr>
      <w:rFonts w:ascii="Garamond" w:eastAsia="Times New Roman" w:hAnsi="Garamond" w:cs="Times New Roman"/>
      <w:b/>
    </w:rPr>
  </w:style>
  <w:style w:type="character" w:customStyle="1" w:styleId="Heading6Char">
    <w:name w:val="Heading 6 Char"/>
    <w:aliases w:val="Heading 6 (business proposal only) Char"/>
    <w:basedOn w:val="DefaultParagraphFont"/>
    <w:link w:val="Heading6"/>
    <w:semiHidden/>
    <w:rsid w:val="002B76AB"/>
    <w:rPr>
      <w:rFonts w:ascii="Garamond" w:eastAsia="Times New Roman" w:hAnsi="Garamond" w:cs="Times New Roman"/>
    </w:rPr>
  </w:style>
  <w:style w:type="character" w:customStyle="1" w:styleId="Heading7Char">
    <w:name w:val="Heading 7 Char"/>
    <w:aliases w:val="Heading 7 (business proposal only) Char"/>
    <w:basedOn w:val="DefaultParagraphFont"/>
    <w:link w:val="Heading7"/>
    <w:semiHidden/>
    <w:rsid w:val="002B76AB"/>
    <w:rPr>
      <w:rFonts w:ascii="Garamond" w:eastAsia="Times New Roman" w:hAnsi="Garamond" w:cs="Times New Roman"/>
    </w:rPr>
  </w:style>
  <w:style w:type="character" w:customStyle="1" w:styleId="Heading8Char">
    <w:name w:val="Heading 8 Char"/>
    <w:aliases w:val="Heading 8 (business proposal only) Char"/>
    <w:basedOn w:val="DefaultParagraphFont"/>
    <w:link w:val="Heading8"/>
    <w:semiHidden/>
    <w:rsid w:val="002B76AB"/>
    <w:rPr>
      <w:rFonts w:ascii="Garamond" w:eastAsia="Times New Roman" w:hAnsi="Garamond" w:cs="Times New Roman"/>
    </w:rPr>
  </w:style>
  <w:style w:type="character" w:customStyle="1" w:styleId="Heading9Char">
    <w:name w:val="Heading 9 Char"/>
    <w:aliases w:val="Heading 9 (business proposal only) Char"/>
    <w:basedOn w:val="DefaultParagraphFont"/>
    <w:link w:val="Heading9"/>
    <w:semiHidden/>
    <w:rsid w:val="005C40E0"/>
    <w:rPr>
      <w:rFonts w:ascii="Garamond" w:eastAsia="Times New Roman" w:hAnsi="Garamond" w:cs="Times New Roman"/>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36B9F"/>
    <w:pPr>
      <w:keepNext/>
      <w:spacing w:after="60" w:line="240" w:lineRule="auto"/>
      <w:ind w:firstLine="0"/>
    </w:pPr>
    <w:rPr>
      <w:rFonts w:ascii="Arial" w:hAnsi="Arial" w:cs="Arial"/>
      <w:b/>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8"/>
      </w:numPr>
      <w:tabs>
        <w:tab w:val="clear" w:pos="79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2E3E35"/>
    <w:pPr>
      <w:spacing w:before="0" w:after="160"/>
    </w:pPr>
  </w:style>
  <w:style w:type="paragraph" w:customStyle="1" w:styleId="TitleofDocumentNoPhoto">
    <w:name w:val="Title of Document No Photo"/>
    <w:basedOn w:val="TitleofDocumentHorizontal"/>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352F53"/>
    <w:pPr>
      <w:tabs>
        <w:tab w:val="right" w:leader="dot" w:pos="9360"/>
      </w:tabs>
      <w:spacing w:after="180" w:line="240" w:lineRule="exact"/>
      <w:ind w:left="1656" w:right="720" w:hanging="576"/>
    </w:pPr>
    <w:rPr>
      <w:rFonts w:ascii="Arial" w:eastAsia="Times New Roman" w:hAnsi="Arial" w:cs="Times New Roman"/>
      <w:noProof/>
      <w:sz w:val="20"/>
      <w:szCs w:val="20"/>
    </w:rPr>
  </w:style>
  <w:style w:type="paragraph" w:styleId="TOC3">
    <w:name w:val="toc 3"/>
    <w:basedOn w:val="TOC2"/>
    <w:next w:val="Normal"/>
    <w:autoRedefine/>
    <w:uiPriority w:val="39"/>
    <w:qFormat/>
    <w:rsid w:val="00352F53"/>
    <w:pPr>
      <w:spacing w:after="120"/>
      <w:ind w:left="2146" w:hanging="432"/>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Garamond" w:eastAsia="Times New Roman" w:hAnsi="Garamond" w:cs="Times New Roman"/>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val="0"/>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val="0"/>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val="0"/>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Heading1Black">
    <w:name w:val="Heading 1_Black"/>
    <w:basedOn w:val="Normal"/>
    <w:next w:val="Normal"/>
    <w:qFormat/>
    <w:rsid w:val="00436B9F"/>
    <w:pPr>
      <w:spacing w:before="240" w:after="240" w:line="240" w:lineRule="auto"/>
      <w:ind w:firstLine="0"/>
      <w:jc w:val="center"/>
      <w:outlineLvl w:val="0"/>
    </w:pPr>
    <w:rPr>
      <w:rFonts w:ascii="Arial" w:hAnsi="Arial"/>
      <w:b/>
      <w:caps/>
    </w:rPr>
  </w:style>
  <w:style w:type="paragraph" w:customStyle="1" w:styleId="DashLAST">
    <w:name w:val="Dash (LAST)"/>
    <w:basedOn w:val="Dash"/>
    <w:next w:val="Normal"/>
    <w:qFormat/>
    <w:rsid w:val="00436B9F"/>
    <w:pPr>
      <w:numPr>
        <w:numId w:val="7"/>
      </w:numPr>
      <w:tabs>
        <w:tab w:val="clear" w:pos="288"/>
        <w:tab w:val="num" w:pos="1080"/>
      </w:tabs>
      <w:spacing w:after="240"/>
      <w:ind w:left="1080" w:right="720"/>
    </w:pPr>
  </w:style>
  <w:style w:type="paragraph" w:styleId="EndnoteText">
    <w:name w:val="endnote text"/>
    <w:basedOn w:val="Normal"/>
    <w:link w:val="EndnoteTextChar"/>
    <w:semiHidden/>
    <w:rsid w:val="00436B9F"/>
    <w:pPr>
      <w:spacing w:after="240" w:line="240" w:lineRule="auto"/>
    </w:pPr>
  </w:style>
  <w:style w:type="character" w:customStyle="1" w:styleId="EndnoteTextChar">
    <w:name w:val="Endnote Text Char"/>
    <w:basedOn w:val="DefaultParagraphFont"/>
    <w:link w:val="EndnoteText"/>
    <w:semiHidden/>
    <w:rsid w:val="00436B9F"/>
    <w:rPr>
      <w:rFonts w:ascii="Garamond" w:eastAsia="Times New Roman" w:hAnsi="Garamond" w:cs="Times New Roman"/>
    </w:rPr>
  </w:style>
  <w:style w:type="character" w:styleId="EndnoteReference">
    <w:name w:val="endnote reference"/>
    <w:basedOn w:val="DefaultParagraphFont"/>
    <w:semiHidden/>
    <w:rsid w:val="00436B9F"/>
    <w:rPr>
      <w:vertAlign w:val="superscript"/>
    </w:rPr>
  </w:style>
  <w:style w:type="paragraph" w:customStyle="1" w:styleId="MarkforTableHeading">
    <w:name w:val="Mark for Table Heading"/>
    <w:basedOn w:val="Normal"/>
    <w:next w:val="Normal"/>
    <w:qFormat/>
    <w:rsid w:val="00436B9F"/>
    <w:pPr>
      <w:keepNext/>
      <w:spacing w:after="60" w:line="240" w:lineRule="auto"/>
      <w:ind w:firstLine="0"/>
    </w:pPr>
    <w:rPr>
      <w:rFonts w:ascii="Arial" w:hAnsi="Arial"/>
      <w:b/>
      <w:sz w:val="18"/>
    </w:rPr>
  </w:style>
  <w:style w:type="paragraph" w:customStyle="1" w:styleId="MarkforFigureHeading">
    <w:name w:val="Mark for Figure Heading"/>
    <w:basedOn w:val="MarkforTableHeading"/>
    <w:next w:val="Normal"/>
    <w:qFormat/>
    <w:rsid w:val="00436B9F"/>
  </w:style>
  <w:style w:type="paragraph" w:customStyle="1" w:styleId="MarkforExhibitHeading">
    <w:name w:val="Mark for Exhibit Heading"/>
    <w:basedOn w:val="Normal"/>
    <w:next w:val="Normal"/>
    <w:qFormat/>
    <w:rsid w:val="00436B9F"/>
    <w:pPr>
      <w:keepNext/>
      <w:spacing w:after="60" w:line="240" w:lineRule="auto"/>
      <w:ind w:firstLine="0"/>
    </w:pPr>
    <w:rPr>
      <w:rFonts w:ascii="Arial" w:hAnsi="Arial"/>
      <w:b/>
      <w:sz w:val="18"/>
    </w:rPr>
  </w:style>
  <w:style w:type="paragraph" w:customStyle="1" w:styleId="NumberedBulletLASTSS0">
    <w:name w:val="Numbered Bullet (LAST SS)"/>
    <w:basedOn w:val="NumberedBullet"/>
    <w:next w:val="Normal"/>
    <w:qFormat/>
    <w:rsid w:val="00436B9F"/>
    <w:pPr>
      <w:numPr>
        <w:numId w:val="0"/>
      </w:numPr>
      <w:tabs>
        <w:tab w:val="clear" w:pos="432"/>
        <w:tab w:val="left" w:pos="360"/>
      </w:tabs>
      <w:spacing w:after="240"/>
      <w:ind w:left="720" w:right="360" w:hanging="288"/>
    </w:pPr>
  </w:style>
  <w:style w:type="paragraph" w:customStyle="1" w:styleId="AcknowledgmentnoTOCBlack">
    <w:name w:val="Acknowledgment no TOC_Black"/>
    <w:basedOn w:val="Normal"/>
    <w:next w:val="Normal"/>
    <w:qFormat/>
    <w:rsid w:val="00436B9F"/>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436B9F"/>
    <w:rPr>
      <w:color w:val="C00000"/>
    </w:rPr>
  </w:style>
  <w:style w:type="paragraph" w:customStyle="1" w:styleId="AcknowledgmentnoTOCBlue">
    <w:name w:val="Acknowledgment no TOC_Blue"/>
    <w:basedOn w:val="AcknowledgmentnoTOCBlack"/>
    <w:next w:val="Normal"/>
    <w:qFormat/>
    <w:rsid w:val="00436B9F"/>
    <w:rPr>
      <w:color w:val="345294"/>
    </w:rPr>
  </w:style>
  <w:style w:type="paragraph" w:customStyle="1" w:styleId="BulletBlack">
    <w:name w:val="Bullet_Black"/>
    <w:basedOn w:val="Normal"/>
    <w:qFormat/>
    <w:rsid w:val="00436B9F"/>
    <w:pPr>
      <w:numPr>
        <w:numId w:val="10"/>
      </w:numPr>
      <w:tabs>
        <w:tab w:val="clear" w:pos="432"/>
        <w:tab w:val="left" w:pos="360"/>
      </w:tabs>
      <w:spacing w:after="120" w:line="240" w:lineRule="auto"/>
      <w:ind w:right="360"/>
    </w:pPr>
  </w:style>
  <w:style w:type="paragraph" w:customStyle="1" w:styleId="BulletRed">
    <w:name w:val="Bullet_Red"/>
    <w:basedOn w:val="BulletBlack"/>
    <w:qFormat/>
    <w:rsid w:val="00436B9F"/>
    <w:pPr>
      <w:numPr>
        <w:numId w:val="13"/>
      </w:numPr>
      <w:ind w:left="720" w:hanging="288"/>
    </w:pPr>
  </w:style>
  <w:style w:type="paragraph" w:customStyle="1" w:styleId="BulletBlue">
    <w:name w:val="Bullet_Blue"/>
    <w:basedOn w:val="BulletBlack"/>
    <w:qFormat/>
    <w:rsid w:val="00436B9F"/>
    <w:pPr>
      <w:numPr>
        <w:numId w:val="11"/>
      </w:numPr>
      <w:ind w:left="720" w:hanging="288"/>
    </w:pPr>
  </w:style>
  <w:style w:type="paragraph" w:customStyle="1" w:styleId="BulletBlackLastSS">
    <w:name w:val="Bullet_Black (Last SS)"/>
    <w:basedOn w:val="BulletBlack"/>
    <w:next w:val="NormalSS"/>
    <w:qFormat/>
    <w:rsid w:val="00436B9F"/>
    <w:pPr>
      <w:spacing w:after="240"/>
    </w:pPr>
  </w:style>
  <w:style w:type="paragraph" w:customStyle="1" w:styleId="BulletRedLastSS">
    <w:name w:val="Bullet_Red (Last SS)"/>
    <w:basedOn w:val="BulletBlackLastSS"/>
    <w:next w:val="NormalSS"/>
    <w:qFormat/>
    <w:rsid w:val="00436B9F"/>
    <w:pPr>
      <w:numPr>
        <w:numId w:val="14"/>
      </w:numPr>
      <w:ind w:left="720" w:hanging="288"/>
    </w:pPr>
  </w:style>
  <w:style w:type="paragraph" w:customStyle="1" w:styleId="BulletBlueLastSS">
    <w:name w:val="Bullet_Blue (Last SS)"/>
    <w:basedOn w:val="BulletBlackLastSS"/>
    <w:next w:val="NormalSS"/>
    <w:qFormat/>
    <w:rsid w:val="00436B9F"/>
    <w:pPr>
      <w:numPr>
        <w:numId w:val="12"/>
      </w:numPr>
      <w:ind w:left="720" w:hanging="288"/>
    </w:pPr>
  </w:style>
  <w:style w:type="paragraph" w:customStyle="1" w:styleId="BulletBlackLastDS">
    <w:name w:val="Bullet_Black (Last DS)"/>
    <w:basedOn w:val="BulletBlackLastSS"/>
    <w:next w:val="Normal"/>
    <w:qFormat/>
    <w:rsid w:val="00436B9F"/>
    <w:pPr>
      <w:spacing w:after="320"/>
    </w:pPr>
  </w:style>
  <w:style w:type="paragraph" w:customStyle="1" w:styleId="BulletRedLastDS">
    <w:name w:val="Bullet_Red (Last DS)"/>
    <w:basedOn w:val="BulletRedLastSS"/>
    <w:next w:val="Normal"/>
    <w:qFormat/>
    <w:rsid w:val="00436B9F"/>
    <w:pPr>
      <w:spacing w:after="320"/>
    </w:pPr>
  </w:style>
  <w:style w:type="paragraph" w:customStyle="1" w:styleId="BulletBlueLastDS">
    <w:name w:val="Bullet_Blue (Last DS)"/>
    <w:basedOn w:val="BulletBlackLastDS"/>
    <w:next w:val="Normal"/>
    <w:qFormat/>
    <w:rsid w:val="00436B9F"/>
    <w:pPr>
      <w:numPr>
        <w:numId w:val="15"/>
      </w:numPr>
      <w:ind w:left="720" w:hanging="288"/>
    </w:pPr>
  </w:style>
  <w:style w:type="paragraph" w:customStyle="1" w:styleId="Heading1Red">
    <w:name w:val="Heading 1_Red"/>
    <w:basedOn w:val="Heading1Black"/>
    <w:next w:val="Normal"/>
    <w:qFormat/>
    <w:rsid w:val="00436B9F"/>
    <w:rPr>
      <w:color w:val="C00000"/>
    </w:rPr>
  </w:style>
  <w:style w:type="paragraph" w:customStyle="1" w:styleId="Heading1Blue">
    <w:name w:val="Heading 1_Blue"/>
    <w:basedOn w:val="Heading1Black"/>
    <w:next w:val="Normal"/>
    <w:qFormat/>
    <w:rsid w:val="00436B9F"/>
    <w:rPr>
      <w:color w:val="345294"/>
    </w:rPr>
  </w:style>
  <w:style w:type="paragraph" w:customStyle="1" w:styleId="Heading2Black">
    <w:name w:val="Heading 2_Black"/>
    <w:basedOn w:val="Normal"/>
    <w:next w:val="Normal"/>
    <w:qFormat/>
    <w:rsid w:val="00436B9F"/>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436B9F"/>
    <w:rPr>
      <w:color w:val="C00000"/>
    </w:rPr>
  </w:style>
  <w:style w:type="paragraph" w:customStyle="1" w:styleId="Heading2Blue">
    <w:name w:val="Heading 2_Blue"/>
    <w:basedOn w:val="Heading2Black"/>
    <w:next w:val="Normal"/>
    <w:qFormat/>
    <w:rsid w:val="00436B9F"/>
    <w:rPr>
      <w:color w:val="345294"/>
    </w:rPr>
  </w:style>
  <w:style w:type="paragraph" w:customStyle="1" w:styleId="Heading2BlackNoTOC">
    <w:name w:val="Heading 2_Black No TOC"/>
    <w:basedOn w:val="Heading2Black"/>
    <w:next w:val="Normal"/>
    <w:qFormat/>
    <w:rsid w:val="00436B9F"/>
    <w:pPr>
      <w:outlineLvl w:val="8"/>
    </w:pPr>
  </w:style>
  <w:style w:type="paragraph" w:customStyle="1" w:styleId="Heading2RedNoTOC">
    <w:name w:val="Heading 2_Red No TOC"/>
    <w:basedOn w:val="Heading2Red"/>
    <w:next w:val="Normal"/>
    <w:qFormat/>
    <w:rsid w:val="00436B9F"/>
    <w:pPr>
      <w:outlineLvl w:val="8"/>
    </w:pPr>
  </w:style>
  <w:style w:type="paragraph" w:customStyle="1" w:styleId="Heading2BlueNoTOC">
    <w:name w:val="Heading 2_Blue No TOC"/>
    <w:basedOn w:val="Heading2Blue"/>
    <w:next w:val="Normal"/>
    <w:qFormat/>
    <w:rsid w:val="00436B9F"/>
    <w:pPr>
      <w:outlineLvl w:val="8"/>
    </w:pPr>
  </w:style>
  <w:style w:type="paragraph" w:customStyle="1" w:styleId="MarkforAttachmentHeadingBlack">
    <w:name w:val="Mark for Attachment Heading_Black"/>
    <w:basedOn w:val="Normal"/>
    <w:next w:val="Normal"/>
    <w:qFormat/>
    <w:rsid w:val="00436B9F"/>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436B9F"/>
    <w:rPr>
      <w:color w:val="C00000"/>
    </w:rPr>
  </w:style>
  <w:style w:type="paragraph" w:customStyle="1" w:styleId="MarkforAttachmentHeadingBlue">
    <w:name w:val="Mark for Attachment Heading_Blue"/>
    <w:basedOn w:val="MarkforAttachmentHeadingBlack"/>
    <w:next w:val="Normal"/>
    <w:qFormat/>
    <w:rsid w:val="00436B9F"/>
    <w:rPr>
      <w:color w:val="345294"/>
    </w:rPr>
  </w:style>
  <w:style w:type="paragraph" w:customStyle="1" w:styleId="MarkforAppendixHeadingBlack">
    <w:name w:val="Mark for Appendix Heading_Black"/>
    <w:basedOn w:val="Normal"/>
    <w:next w:val="Normal"/>
    <w:qFormat/>
    <w:rsid w:val="00436B9F"/>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436B9F"/>
    <w:rPr>
      <w:color w:val="C00000"/>
    </w:rPr>
  </w:style>
  <w:style w:type="paragraph" w:customStyle="1" w:styleId="MarkforAppendixHeadingBlue">
    <w:name w:val="Mark for Appendix Heading_Blue"/>
    <w:basedOn w:val="MarkforAppendixHeadingBlack"/>
    <w:next w:val="Normal"/>
    <w:qFormat/>
    <w:rsid w:val="00436B9F"/>
    <w:rPr>
      <w:color w:val="345294"/>
    </w:rPr>
  </w:style>
  <w:style w:type="table" w:customStyle="1" w:styleId="SMPRTableRed">
    <w:name w:val="SMPR_Table_Red"/>
    <w:basedOn w:val="TableNormal"/>
    <w:uiPriority w:val="99"/>
    <w:rsid w:val="00436B9F"/>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436B9F"/>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436B9F"/>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39"/>
    <w:semiHidden/>
    <w:unhideWhenUsed/>
    <w:rsid w:val="00436B9F"/>
    <w:pPr>
      <w:tabs>
        <w:tab w:val="clear" w:pos="432"/>
      </w:tabs>
      <w:spacing w:after="100"/>
      <w:ind w:left="960"/>
    </w:pPr>
  </w:style>
  <w:style w:type="paragraph" w:styleId="TOC6">
    <w:name w:val="toc 6"/>
    <w:basedOn w:val="Normal"/>
    <w:next w:val="Normal"/>
    <w:autoRedefine/>
    <w:uiPriority w:val="39"/>
    <w:semiHidden/>
    <w:unhideWhenUsed/>
    <w:rsid w:val="00436B9F"/>
    <w:pPr>
      <w:tabs>
        <w:tab w:val="clear" w:pos="432"/>
      </w:tabs>
      <w:spacing w:after="100"/>
      <w:ind w:left="1200"/>
    </w:pPr>
  </w:style>
  <w:style w:type="paragraph" w:styleId="TOC7">
    <w:name w:val="toc 7"/>
    <w:basedOn w:val="Normal"/>
    <w:next w:val="Normal"/>
    <w:autoRedefine/>
    <w:uiPriority w:val="39"/>
    <w:semiHidden/>
    <w:unhideWhenUsed/>
    <w:rsid w:val="00436B9F"/>
    <w:pPr>
      <w:tabs>
        <w:tab w:val="clear" w:pos="432"/>
      </w:tabs>
      <w:spacing w:after="100"/>
      <w:ind w:left="1440"/>
    </w:pPr>
  </w:style>
  <w:style w:type="paragraph" w:styleId="TOC9">
    <w:name w:val="toc 9"/>
    <w:basedOn w:val="Normal"/>
    <w:next w:val="Normal"/>
    <w:autoRedefine/>
    <w:uiPriority w:val="39"/>
    <w:semiHidden/>
    <w:unhideWhenUsed/>
    <w:rsid w:val="00436B9F"/>
    <w:pPr>
      <w:tabs>
        <w:tab w:val="clear" w:pos="432"/>
      </w:tabs>
      <w:spacing w:after="100"/>
      <w:ind w:left="1920"/>
    </w:pPr>
  </w:style>
  <w:style w:type="character" w:styleId="Emphasis">
    <w:name w:val="Emphasis"/>
    <w:basedOn w:val="DefaultParagraphFont"/>
    <w:uiPriority w:val="99"/>
    <w:qFormat/>
    <w:rsid w:val="00436B9F"/>
    <w:rPr>
      <w:rFonts w:cs="Times New Roman"/>
      <w:i/>
      <w:iCs/>
    </w:rPr>
  </w:style>
  <w:style w:type="paragraph" w:customStyle="1" w:styleId="NormalSS12">
    <w:name w:val="NormalSS 12"/>
    <w:basedOn w:val="NormalSS"/>
    <w:qFormat/>
    <w:rsid w:val="00436B9F"/>
  </w:style>
  <w:style w:type="paragraph" w:styleId="CommentText">
    <w:name w:val="annotation text"/>
    <w:basedOn w:val="Normal"/>
    <w:link w:val="CommentTextChar"/>
    <w:uiPriority w:val="99"/>
    <w:unhideWhenUsed/>
    <w:rsid w:val="00436B9F"/>
    <w:pPr>
      <w:spacing w:line="240" w:lineRule="auto"/>
    </w:pPr>
    <w:rPr>
      <w:sz w:val="20"/>
      <w:szCs w:val="20"/>
    </w:rPr>
  </w:style>
  <w:style w:type="character" w:customStyle="1" w:styleId="CommentTextChar">
    <w:name w:val="Comment Text Char"/>
    <w:basedOn w:val="DefaultParagraphFont"/>
    <w:link w:val="CommentText"/>
    <w:uiPriority w:val="99"/>
    <w:rsid w:val="00436B9F"/>
    <w:rPr>
      <w:rFonts w:ascii="Garamond" w:eastAsia="Times New Roman" w:hAnsi="Garamond" w:cs="Times New Roman"/>
      <w:sz w:val="20"/>
      <w:szCs w:val="20"/>
    </w:rPr>
  </w:style>
  <w:style w:type="character" w:styleId="Hyperlink">
    <w:name w:val="Hyperlink"/>
    <w:basedOn w:val="DefaultParagraphFont"/>
    <w:uiPriority w:val="99"/>
    <w:unhideWhenUsed/>
    <w:rsid w:val="00436B9F"/>
    <w:rPr>
      <w:color w:val="0000FF" w:themeColor="hyperlink"/>
      <w:u w:val="single"/>
    </w:rPr>
  </w:style>
  <w:style w:type="paragraph" w:customStyle="1" w:styleId="Table">
    <w:name w:val="Table"/>
    <w:basedOn w:val="Normal"/>
    <w:rsid w:val="00436B9F"/>
    <w:pPr>
      <w:tabs>
        <w:tab w:val="clear" w:pos="432"/>
        <w:tab w:val="left" w:pos="720"/>
        <w:tab w:val="left" w:pos="1080"/>
        <w:tab w:val="left" w:pos="1440"/>
        <w:tab w:val="left" w:pos="1800"/>
      </w:tabs>
      <w:spacing w:line="264" w:lineRule="auto"/>
      <w:ind w:firstLine="0"/>
      <w:jc w:val="left"/>
    </w:pPr>
    <w:rPr>
      <w:rFonts w:ascii="Arial" w:hAnsi="Arial"/>
      <w:sz w:val="20"/>
      <w:szCs w:val="20"/>
    </w:rPr>
  </w:style>
  <w:style w:type="paragraph" w:styleId="BodyText">
    <w:name w:val="Body Text"/>
    <w:basedOn w:val="Normal"/>
    <w:link w:val="BodyTextChar"/>
    <w:uiPriority w:val="99"/>
    <w:semiHidden/>
    <w:unhideWhenUsed/>
    <w:rsid w:val="00436B9F"/>
    <w:pPr>
      <w:spacing w:after="120"/>
    </w:pPr>
  </w:style>
  <w:style w:type="character" w:customStyle="1" w:styleId="BodyTextChar">
    <w:name w:val="Body Text Char"/>
    <w:basedOn w:val="DefaultParagraphFont"/>
    <w:link w:val="BodyText"/>
    <w:uiPriority w:val="99"/>
    <w:semiHidden/>
    <w:rsid w:val="00436B9F"/>
    <w:rPr>
      <w:rFonts w:ascii="Garamond" w:eastAsia="Times New Roman" w:hAnsi="Garamond" w:cs="Times New Roman"/>
    </w:rPr>
  </w:style>
  <w:style w:type="character" w:styleId="CommentReference">
    <w:name w:val="annotation reference"/>
    <w:basedOn w:val="DefaultParagraphFont"/>
    <w:uiPriority w:val="99"/>
    <w:semiHidden/>
    <w:unhideWhenUsed/>
    <w:rsid w:val="00436B9F"/>
    <w:rPr>
      <w:sz w:val="16"/>
      <w:szCs w:val="16"/>
    </w:rPr>
  </w:style>
  <w:style w:type="paragraph" w:styleId="CommentSubject">
    <w:name w:val="annotation subject"/>
    <w:basedOn w:val="CommentText"/>
    <w:next w:val="CommentText"/>
    <w:link w:val="CommentSubjectChar"/>
    <w:uiPriority w:val="99"/>
    <w:semiHidden/>
    <w:unhideWhenUsed/>
    <w:rsid w:val="00436B9F"/>
    <w:rPr>
      <w:b/>
      <w:bCs/>
    </w:rPr>
  </w:style>
  <w:style w:type="character" w:customStyle="1" w:styleId="CommentSubjectChar">
    <w:name w:val="Comment Subject Char"/>
    <w:basedOn w:val="CommentTextChar"/>
    <w:link w:val="CommentSubject"/>
    <w:uiPriority w:val="99"/>
    <w:semiHidden/>
    <w:rsid w:val="00436B9F"/>
    <w:rPr>
      <w:rFonts w:ascii="Garamond" w:eastAsia="Times New Roman" w:hAnsi="Garamond" w:cs="Times New Roman"/>
      <w:b/>
      <w:bCs/>
      <w:sz w:val="20"/>
      <w:szCs w:val="20"/>
    </w:rPr>
  </w:style>
  <w:style w:type="character" w:customStyle="1" w:styleId="NormalSSChar">
    <w:name w:val="NormalSS Char"/>
    <w:basedOn w:val="DefaultParagraphFont"/>
    <w:link w:val="NormalSS"/>
    <w:rsid w:val="00436B9F"/>
    <w:rPr>
      <w:rFonts w:eastAsia="Times New Roman" w:cs="Times New Roman"/>
      <w:szCs w:val="20"/>
    </w:rPr>
  </w:style>
  <w:style w:type="paragraph" w:styleId="Revision">
    <w:name w:val="Revision"/>
    <w:hidden/>
    <w:uiPriority w:val="99"/>
    <w:semiHidden/>
    <w:rsid w:val="00436B9F"/>
    <w:pPr>
      <w:spacing w:after="0"/>
    </w:pPr>
    <w:rPr>
      <w:rFonts w:ascii="Garamond" w:eastAsia="Times New Roman" w:hAnsi="Garamond" w:cs="Times New Roman"/>
    </w:rPr>
  </w:style>
  <w:style w:type="paragraph" w:styleId="PlainText">
    <w:name w:val="Plain Text"/>
    <w:basedOn w:val="Normal"/>
    <w:link w:val="PlainTextChar"/>
    <w:uiPriority w:val="99"/>
    <w:semiHidden/>
    <w:unhideWhenUsed/>
    <w:rsid w:val="008D2432"/>
    <w:pPr>
      <w:tabs>
        <w:tab w:val="clear" w:pos="432"/>
      </w:tabs>
      <w:spacing w:line="240" w:lineRule="auto"/>
      <w:ind w:firstLine="0"/>
      <w:jc w:val="left"/>
    </w:pPr>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8D2432"/>
    <w:rPr>
      <w:rFonts w:ascii="Calibri" w:eastAsiaTheme="minorHAnsi" w:hAnsi="Calibri" w:cs="Times New Roman"/>
      <w:sz w:val="22"/>
      <w:szCs w:val="22"/>
    </w:rPr>
  </w:style>
  <w:style w:type="character" w:styleId="FollowedHyperlink">
    <w:name w:val="FollowedHyperlink"/>
    <w:basedOn w:val="DefaultParagraphFont"/>
    <w:semiHidden/>
    <w:unhideWhenUsed/>
    <w:rsid w:val="008D2432"/>
    <w:rPr>
      <w:color w:val="800080" w:themeColor="followedHyperlink"/>
      <w:u w:val="single"/>
    </w:rPr>
  </w:style>
  <w:style w:type="character" w:customStyle="1" w:styleId="apple-converted-space">
    <w:name w:val="apple-converted-space"/>
    <w:basedOn w:val="DefaultParagraphFont"/>
    <w:rsid w:val="00FE14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B9F"/>
    <w:pPr>
      <w:tabs>
        <w:tab w:val="left" w:pos="432"/>
      </w:tabs>
      <w:spacing w:after="0" w:line="480" w:lineRule="auto"/>
      <w:ind w:firstLine="432"/>
      <w:jc w:val="both"/>
    </w:pPr>
    <w:rPr>
      <w:rFonts w:ascii="Garamond" w:eastAsia="Times New Roman" w:hAnsi="Garamond" w:cs="Times New Roman"/>
    </w:rPr>
  </w:style>
  <w:style w:type="paragraph" w:styleId="Heading1">
    <w:name w:val="heading 1"/>
    <w:basedOn w:val="Normal"/>
    <w:next w:val="NormalSS"/>
    <w:link w:val="Heading1Char"/>
    <w:semiHidden/>
    <w:qFormat/>
    <w:rsid w:val="00910B00"/>
    <w:pPr>
      <w:keepNext/>
      <w:pBdr>
        <w:bottom w:val="single" w:sz="2" w:space="1" w:color="auto"/>
      </w:pBdr>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436B9F"/>
    <w:pPr>
      <w:keepNext/>
      <w:spacing w:after="120" w:line="240" w:lineRule="auto"/>
      <w:ind w:left="432" w:hanging="432"/>
      <w:outlineLvl w:val="2"/>
    </w:pPr>
    <w:rPr>
      <w:rFonts w:ascii="Arial" w:hAnsi="Arial" w:cs="Arial"/>
      <w:b/>
      <w:sz w:val="22"/>
    </w:rPr>
  </w:style>
  <w:style w:type="paragraph" w:styleId="Heading4">
    <w:name w:val="heading 4"/>
    <w:basedOn w:val="Normal"/>
    <w:next w:val="NormalSS"/>
    <w:link w:val="Heading4Char"/>
    <w:qFormat/>
    <w:rsid w:val="00872A9C"/>
    <w:pPr>
      <w:keepNext/>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semiHidden/>
    <w:qFormat/>
    <w:rsid w:val="00850F24"/>
    <w:pPr>
      <w:keepNext/>
      <w:framePr w:wrap="around" w:vAnchor="text" w:hAnchor="text" w:y="1"/>
      <w:numPr>
        <w:ilvl w:val="4"/>
        <w:numId w:val="9"/>
      </w:numPr>
      <w:spacing w:after="120" w:line="240" w:lineRule="auto"/>
      <w:ind w:left="432"/>
      <w:outlineLvl w:val="4"/>
    </w:pPr>
    <w:rPr>
      <w:b/>
    </w:rPr>
  </w:style>
  <w:style w:type="paragraph" w:styleId="Heading6">
    <w:name w:val="heading 6"/>
    <w:aliases w:val="Heading 6 (business proposal only)"/>
    <w:basedOn w:val="Normal"/>
    <w:next w:val="Normal"/>
    <w:link w:val="Heading6Char"/>
    <w:semiHidden/>
    <w:qFormat/>
    <w:rsid w:val="002B76AB"/>
    <w:pPr>
      <w:keepNext/>
      <w:numPr>
        <w:ilvl w:val="5"/>
        <w:numId w:val="9"/>
      </w:numPr>
      <w:spacing w:after="120" w:line="240" w:lineRule="auto"/>
      <w:outlineLvl w:val="5"/>
    </w:pPr>
  </w:style>
  <w:style w:type="paragraph" w:styleId="Heading7">
    <w:name w:val="heading 7"/>
    <w:aliases w:val="Heading 7 (business proposal only)"/>
    <w:basedOn w:val="Normal"/>
    <w:next w:val="Normal"/>
    <w:link w:val="Heading7Char"/>
    <w:semiHidden/>
    <w:qFormat/>
    <w:rsid w:val="002B76AB"/>
    <w:pPr>
      <w:keepNext/>
      <w:numPr>
        <w:ilvl w:val="6"/>
        <w:numId w:val="9"/>
      </w:numPr>
      <w:spacing w:after="120" w:line="240" w:lineRule="auto"/>
      <w:outlineLvl w:val="6"/>
    </w:pPr>
  </w:style>
  <w:style w:type="paragraph" w:styleId="Heading8">
    <w:name w:val="heading 8"/>
    <w:aliases w:val="Heading 8 (business proposal only)"/>
    <w:basedOn w:val="Normal"/>
    <w:next w:val="Normal"/>
    <w:link w:val="Heading8Char"/>
    <w:semiHidden/>
    <w:qFormat/>
    <w:rsid w:val="002B76AB"/>
    <w:pPr>
      <w:keepNext/>
      <w:numPr>
        <w:ilvl w:val="7"/>
        <w:numId w:val="9"/>
      </w:numPr>
      <w:spacing w:after="120" w:line="240" w:lineRule="auto"/>
      <w:outlineLvl w:val="7"/>
    </w:pPr>
  </w:style>
  <w:style w:type="paragraph" w:styleId="Heading9">
    <w:name w:val="heading 9"/>
    <w:aliases w:val="Heading 9 (business proposal only)"/>
    <w:basedOn w:val="Normal"/>
    <w:next w:val="Normal"/>
    <w:link w:val="Heading9Char"/>
    <w:semiHidden/>
    <w:qFormat/>
    <w:locked/>
    <w:rsid w:val="002B76AB"/>
    <w:pPr>
      <w:keepNext/>
      <w:numPr>
        <w:ilvl w:val="8"/>
        <w:numId w:val="9"/>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uiPriority w:val="99"/>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uiPriority w:val="99"/>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953EE4"/>
    <w:rPr>
      <w:rFonts w:ascii="Garamond" w:hAnsi="Garamond"/>
      <w:color w:val="auto"/>
      <w:spacing w:val="0"/>
      <w:position w:val="0"/>
      <w:sz w:val="24"/>
      <w:u w:color="000080"/>
      <w:effect w:val="none"/>
      <w:vertAlign w:val="superscript"/>
    </w:rPr>
  </w:style>
  <w:style w:type="paragraph" w:styleId="FootnoteText">
    <w:name w:val="footnote text"/>
    <w:aliases w:val="F1"/>
    <w:basedOn w:val="Normal"/>
    <w:link w:val="FootnoteTextChar"/>
    <w:qFormat/>
    <w:rsid w:val="00953EE4"/>
    <w:pPr>
      <w:spacing w:after="120" w:line="240" w:lineRule="auto"/>
      <w:ind w:firstLine="0"/>
    </w:pPr>
    <w:rPr>
      <w:sz w:val="20"/>
    </w:rPr>
  </w:style>
  <w:style w:type="character" w:customStyle="1" w:styleId="FootnoteTextChar">
    <w:name w:val="Footnote Text Char"/>
    <w:aliases w:val="F1 Char"/>
    <w:basedOn w:val="DefaultParagraphFont"/>
    <w:link w:val="FootnoteText"/>
    <w:rsid w:val="00953EE4"/>
    <w:rPr>
      <w:rFonts w:ascii="Garamond" w:eastAsia="Times New Roman" w:hAnsi="Garamond" w:cs="Times New Roman"/>
      <w:sz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436B9F"/>
    <w:rPr>
      <w:rFonts w:ascii="Arial" w:eastAsia="Times New Roman" w:hAnsi="Arial" w:cs="Arial"/>
      <w:b/>
      <w:sz w:val="22"/>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aliases w:val="Heading 5 (business proposal only) Char"/>
    <w:basedOn w:val="DefaultParagraphFont"/>
    <w:link w:val="Heading5"/>
    <w:semiHidden/>
    <w:rsid w:val="00756E06"/>
    <w:rPr>
      <w:rFonts w:ascii="Garamond" w:eastAsia="Times New Roman" w:hAnsi="Garamond" w:cs="Times New Roman"/>
      <w:b/>
    </w:rPr>
  </w:style>
  <w:style w:type="character" w:customStyle="1" w:styleId="Heading6Char">
    <w:name w:val="Heading 6 Char"/>
    <w:aliases w:val="Heading 6 (business proposal only) Char"/>
    <w:basedOn w:val="DefaultParagraphFont"/>
    <w:link w:val="Heading6"/>
    <w:semiHidden/>
    <w:rsid w:val="002B76AB"/>
    <w:rPr>
      <w:rFonts w:ascii="Garamond" w:eastAsia="Times New Roman" w:hAnsi="Garamond" w:cs="Times New Roman"/>
    </w:rPr>
  </w:style>
  <w:style w:type="character" w:customStyle="1" w:styleId="Heading7Char">
    <w:name w:val="Heading 7 Char"/>
    <w:aliases w:val="Heading 7 (business proposal only) Char"/>
    <w:basedOn w:val="DefaultParagraphFont"/>
    <w:link w:val="Heading7"/>
    <w:semiHidden/>
    <w:rsid w:val="002B76AB"/>
    <w:rPr>
      <w:rFonts w:ascii="Garamond" w:eastAsia="Times New Roman" w:hAnsi="Garamond" w:cs="Times New Roman"/>
    </w:rPr>
  </w:style>
  <w:style w:type="character" w:customStyle="1" w:styleId="Heading8Char">
    <w:name w:val="Heading 8 Char"/>
    <w:aliases w:val="Heading 8 (business proposal only) Char"/>
    <w:basedOn w:val="DefaultParagraphFont"/>
    <w:link w:val="Heading8"/>
    <w:semiHidden/>
    <w:rsid w:val="002B76AB"/>
    <w:rPr>
      <w:rFonts w:ascii="Garamond" w:eastAsia="Times New Roman" w:hAnsi="Garamond" w:cs="Times New Roman"/>
    </w:rPr>
  </w:style>
  <w:style w:type="character" w:customStyle="1" w:styleId="Heading9Char">
    <w:name w:val="Heading 9 Char"/>
    <w:aliases w:val="Heading 9 (business proposal only) Char"/>
    <w:basedOn w:val="DefaultParagraphFont"/>
    <w:link w:val="Heading9"/>
    <w:semiHidden/>
    <w:rsid w:val="005C40E0"/>
    <w:rPr>
      <w:rFonts w:ascii="Garamond" w:eastAsia="Times New Roman" w:hAnsi="Garamond" w:cs="Times New Roman"/>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36B9F"/>
    <w:pPr>
      <w:keepNext/>
      <w:spacing w:after="60" w:line="240" w:lineRule="auto"/>
      <w:ind w:firstLine="0"/>
    </w:pPr>
    <w:rPr>
      <w:rFonts w:ascii="Arial" w:hAnsi="Arial" w:cs="Arial"/>
      <w:b/>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8"/>
      </w:numPr>
      <w:tabs>
        <w:tab w:val="clear" w:pos="79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2E3E35"/>
    <w:pPr>
      <w:spacing w:before="0" w:after="160"/>
    </w:pPr>
  </w:style>
  <w:style w:type="paragraph" w:customStyle="1" w:styleId="TitleofDocumentNoPhoto">
    <w:name w:val="Title of Document No Photo"/>
    <w:basedOn w:val="TitleofDocumentHorizontal"/>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352F53"/>
    <w:pPr>
      <w:tabs>
        <w:tab w:val="right" w:leader="dot" w:pos="9360"/>
      </w:tabs>
      <w:spacing w:after="180" w:line="240" w:lineRule="exact"/>
      <w:ind w:left="1656" w:right="720" w:hanging="576"/>
    </w:pPr>
    <w:rPr>
      <w:rFonts w:ascii="Arial" w:eastAsia="Times New Roman" w:hAnsi="Arial" w:cs="Times New Roman"/>
      <w:noProof/>
      <w:sz w:val="20"/>
      <w:szCs w:val="20"/>
    </w:rPr>
  </w:style>
  <w:style w:type="paragraph" w:styleId="TOC3">
    <w:name w:val="toc 3"/>
    <w:basedOn w:val="TOC2"/>
    <w:next w:val="Normal"/>
    <w:autoRedefine/>
    <w:uiPriority w:val="39"/>
    <w:qFormat/>
    <w:rsid w:val="00352F53"/>
    <w:pPr>
      <w:spacing w:after="120"/>
      <w:ind w:left="2146" w:hanging="432"/>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Garamond" w:eastAsia="Times New Roman" w:hAnsi="Garamond" w:cs="Times New Roman"/>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val="0"/>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val="0"/>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val="0"/>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Heading1Black">
    <w:name w:val="Heading 1_Black"/>
    <w:basedOn w:val="Normal"/>
    <w:next w:val="Normal"/>
    <w:qFormat/>
    <w:rsid w:val="00436B9F"/>
    <w:pPr>
      <w:spacing w:before="240" w:after="240" w:line="240" w:lineRule="auto"/>
      <w:ind w:firstLine="0"/>
      <w:jc w:val="center"/>
      <w:outlineLvl w:val="0"/>
    </w:pPr>
    <w:rPr>
      <w:rFonts w:ascii="Arial" w:hAnsi="Arial"/>
      <w:b/>
      <w:caps/>
    </w:rPr>
  </w:style>
  <w:style w:type="paragraph" w:customStyle="1" w:styleId="DashLAST">
    <w:name w:val="Dash (LAST)"/>
    <w:basedOn w:val="Dash"/>
    <w:next w:val="Normal"/>
    <w:qFormat/>
    <w:rsid w:val="00436B9F"/>
    <w:pPr>
      <w:numPr>
        <w:numId w:val="7"/>
      </w:numPr>
      <w:tabs>
        <w:tab w:val="clear" w:pos="288"/>
        <w:tab w:val="num" w:pos="1080"/>
      </w:tabs>
      <w:spacing w:after="240"/>
      <w:ind w:left="1080" w:right="720"/>
    </w:pPr>
  </w:style>
  <w:style w:type="paragraph" w:styleId="EndnoteText">
    <w:name w:val="endnote text"/>
    <w:basedOn w:val="Normal"/>
    <w:link w:val="EndnoteTextChar"/>
    <w:semiHidden/>
    <w:rsid w:val="00436B9F"/>
    <w:pPr>
      <w:spacing w:after="240" w:line="240" w:lineRule="auto"/>
    </w:pPr>
  </w:style>
  <w:style w:type="character" w:customStyle="1" w:styleId="EndnoteTextChar">
    <w:name w:val="Endnote Text Char"/>
    <w:basedOn w:val="DefaultParagraphFont"/>
    <w:link w:val="EndnoteText"/>
    <w:semiHidden/>
    <w:rsid w:val="00436B9F"/>
    <w:rPr>
      <w:rFonts w:ascii="Garamond" w:eastAsia="Times New Roman" w:hAnsi="Garamond" w:cs="Times New Roman"/>
    </w:rPr>
  </w:style>
  <w:style w:type="character" w:styleId="EndnoteReference">
    <w:name w:val="endnote reference"/>
    <w:basedOn w:val="DefaultParagraphFont"/>
    <w:semiHidden/>
    <w:rsid w:val="00436B9F"/>
    <w:rPr>
      <w:vertAlign w:val="superscript"/>
    </w:rPr>
  </w:style>
  <w:style w:type="paragraph" w:customStyle="1" w:styleId="MarkforTableHeading">
    <w:name w:val="Mark for Table Heading"/>
    <w:basedOn w:val="Normal"/>
    <w:next w:val="Normal"/>
    <w:qFormat/>
    <w:rsid w:val="00436B9F"/>
    <w:pPr>
      <w:keepNext/>
      <w:spacing w:after="60" w:line="240" w:lineRule="auto"/>
      <w:ind w:firstLine="0"/>
    </w:pPr>
    <w:rPr>
      <w:rFonts w:ascii="Arial" w:hAnsi="Arial"/>
      <w:b/>
      <w:sz w:val="18"/>
    </w:rPr>
  </w:style>
  <w:style w:type="paragraph" w:customStyle="1" w:styleId="MarkforFigureHeading">
    <w:name w:val="Mark for Figure Heading"/>
    <w:basedOn w:val="MarkforTableHeading"/>
    <w:next w:val="Normal"/>
    <w:qFormat/>
    <w:rsid w:val="00436B9F"/>
  </w:style>
  <w:style w:type="paragraph" w:customStyle="1" w:styleId="MarkforExhibitHeading">
    <w:name w:val="Mark for Exhibit Heading"/>
    <w:basedOn w:val="Normal"/>
    <w:next w:val="Normal"/>
    <w:qFormat/>
    <w:rsid w:val="00436B9F"/>
    <w:pPr>
      <w:keepNext/>
      <w:spacing w:after="60" w:line="240" w:lineRule="auto"/>
      <w:ind w:firstLine="0"/>
    </w:pPr>
    <w:rPr>
      <w:rFonts w:ascii="Arial" w:hAnsi="Arial"/>
      <w:b/>
      <w:sz w:val="18"/>
    </w:rPr>
  </w:style>
  <w:style w:type="paragraph" w:customStyle="1" w:styleId="NumberedBulletLASTSS0">
    <w:name w:val="Numbered Bullet (LAST SS)"/>
    <w:basedOn w:val="NumberedBullet"/>
    <w:next w:val="Normal"/>
    <w:qFormat/>
    <w:rsid w:val="00436B9F"/>
    <w:pPr>
      <w:numPr>
        <w:numId w:val="0"/>
      </w:numPr>
      <w:tabs>
        <w:tab w:val="clear" w:pos="432"/>
        <w:tab w:val="left" w:pos="360"/>
      </w:tabs>
      <w:spacing w:after="240"/>
      <w:ind w:left="720" w:right="360" w:hanging="288"/>
    </w:pPr>
  </w:style>
  <w:style w:type="paragraph" w:customStyle="1" w:styleId="AcknowledgmentnoTOCBlack">
    <w:name w:val="Acknowledgment no TOC_Black"/>
    <w:basedOn w:val="Normal"/>
    <w:next w:val="Normal"/>
    <w:qFormat/>
    <w:rsid w:val="00436B9F"/>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436B9F"/>
    <w:rPr>
      <w:color w:val="C00000"/>
    </w:rPr>
  </w:style>
  <w:style w:type="paragraph" w:customStyle="1" w:styleId="AcknowledgmentnoTOCBlue">
    <w:name w:val="Acknowledgment no TOC_Blue"/>
    <w:basedOn w:val="AcknowledgmentnoTOCBlack"/>
    <w:next w:val="Normal"/>
    <w:qFormat/>
    <w:rsid w:val="00436B9F"/>
    <w:rPr>
      <w:color w:val="345294"/>
    </w:rPr>
  </w:style>
  <w:style w:type="paragraph" w:customStyle="1" w:styleId="BulletBlack">
    <w:name w:val="Bullet_Black"/>
    <w:basedOn w:val="Normal"/>
    <w:qFormat/>
    <w:rsid w:val="00436B9F"/>
    <w:pPr>
      <w:numPr>
        <w:numId w:val="10"/>
      </w:numPr>
      <w:tabs>
        <w:tab w:val="clear" w:pos="432"/>
        <w:tab w:val="left" w:pos="360"/>
      </w:tabs>
      <w:spacing w:after="120" w:line="240" w:lineRule="auto"/>
      <w:ind w:right="360"/>
    </w:pPr>
  </w:style>
  <w:style w:type="paragraph" w:customStyle="1" w:styleId="BulletRed">
    <w:name w:val="Bullet_Red"/>
    <w:basedOn w:val="BulletBlack"/>
    <w:qFormat/>
    <w:rsid w:val="00436B9F"/>
    <w:pPr>
      <w:numPr>
        <w:numId w:val="13"/>
      </w:numPr>
      <w:ind w:left="720" w:hanging="288"/>
    </w:pPr>
  </w:style>
  <w:style w:type="paragraph" w:customStyle="1" w:styleId="BulletBlue">
    <w:name w:val="Bullet_Blue"/>
    <w:basedOn w:val="BulletBlack"/>
    <w:qFormat/>
    <w:rsid w:val="00436B9F"/>
    <w:pPr>
      <w:numPr>
        <w:numId w:val="11"/>
      </w:numPr>
      <w:ind w:left="720" w:hanging="288"/>
    </w:pPr>
  </w:style>
  <w:style w:type="paragraph" w:customStyle="1" w:styleId="BulletBlackLastSS">
    <w:name w:val="Bullet_Black (Last SS)"/>
    <w:basedOn w:val="BulletBlack"/>
    <w:next w:val="NormalSS"/>
    <w:qFormat/>
    <w:rsid w:val="00436B9F"/>
    <w:pPr>
      <w:spacing w:after="240"/>
    </w:pPr>
  </w:style>
  <w:style w:type="paragraph" w:customStyle="1" w:styleId="BulletRedLastSS">
    <w:name w:val="Bullet_Red (Last SS)"/>
    <w:basedOn w:val="BulletBlackLastSS"/>
    <w:next w:val="NormalSS"/>
    <w:qFormat/>
    <w:rsid w:val="00436B9F"/>
    <w:pPr>
      <w:numPr>
        <w:numId w:val="14"/>
      </w:numPr>
      <w:ind w:left="720" w:hanging="288"/>
    </w:pPr>
  </w:style>
  <w:style w:type="paragraph" w:customStyle="1" w:styleId="BulletBlueLastSS">
    <w:name w:val="Bullet_Blue (Last SS)"/>
    <w:basedOn w:val="BulletBlackLastSS"/>
    <w:next w:val="NormalSS"/>
    <w:qFormat/>
    <w:rsid w:val="00436B9F"/>
    <w:pPr>
      <w:numPr>
        <w:numId w:val="12"/>
      </w:numPr>
      <w:ind w:left="720" w:hanging="288"/>
    </w:pPr>
  </w:style>
  <w:style w:type="paragraph" w:customStyle="1" w:styleId="BulletBlackLastDS">
    <w:name w:val="Bullet_Black (Last DS)"/>
    <w:basedOn w:val="BulletBlackLastSS"/>
    <w:next w:val="Normal"/>
    <w:qFormat/>
    <w:rsid w:val="00436B9F"/>
    <w:pPr>
      <w:spacing w:after="320"/>
    </w:pPr>
  </w:style>
  <w:style w:type="paragraph" w:customStyle="1" w:styleId="BulletRedLastDS">
    <w:name w:val="Bullet_Red (Last DS)"/>
    <w:basedOn w:val="BulletRedLastSS"/>
    <w:next w:val="Normal"/>
    <w:qFormat/>
    <w:rsid w:val="00436B9F"/>
    <w:pPr>
      <w:spacing w:after="320"/>
    </w:pPr>
  </w:style>
  <w:style w:type="paragraph" w:customStyle="1" w:styleId="BulletBlueLastDS">
    <w:name w:val="Bullet_Blue (Last DS)"/>
    <w:basedOn w:val="BulletBlackLastDS"/>
    <w:next w:val="Normal"/>
    <w:qFormat/>
    <w:rsid w:val="00436B9F"/>
    <w:pPr>
      <w:numPr>
        <w:numId w:val="15"/>
      </w:numPr>
      <w:ind w:left="720" w:hanging="288"/>
    </w:pPr>
  </w:style>
  <w:style w:type="paragraph" w:customStyle="1" w:styleId="Heading1Red">
    <w:name w:val="Heading 1_Red"/>
    <w:basedOn w:val="Heading1Black"/>
    <w:next w:val="Normal"/>
    <w:qFormat/>
    <w:rsid w:val="00436B9F"/>
    <w:rPr>
      <w:color w:val="C00000"/>
    </w:rPr>
  </w:style>
  <w:style w:type="paragraph" w:customStyle="1" w:styleId="Heading1Blue">
    <w:name w:val="Heading 1_Blue"/>
    <w:basedOn w:val="Heading1Black"/>
    <w:next w:val="Normal"/>
    <w:qFormat/>
    <w:rsid w:val="00436B9F"/>
    <w:rPr>
      <w:color w:val="345294"/>
    </w:rPr>
  </w:style>
  <w:style w:type="paragraph" w:customStyle="1" w:styleId="Heading2Black">
    <w:name w:val="Heading 2_Black"/>
    <w:basedOn w:val="Normal"/>
    <w:next w:val="Normal"/>
    <w:qFormat/>
    <w:rsid w:val="00436B9F"/>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436B9F"/>
    <w:rPr>
      <w:color w:val="C00000"/>
    </w:rPr>
  </w:style>
  <w:style w:type="paragraph" w:customStyle="1" w:styleId="Heading2Blue">
    <w:name w:val="Heading 2_Blue"/>
    <w:basedOn w:val="Heading2Black"/>
    <w:next w:val="Normal"/>
    <w:qFormat/>
    <w:rsid w:val="00436B9F"/>
    <w:rPr>
      <w:color w:val="345294"/>
    </w:rPr>
  </w:style>
  <w:style w:type="paragraph" w:customStyle="1" w:styleId="Heading2BlackNoTOC">
    <w:name w:val="Heading 2_Black No TOC"/>
    <w:basedOn w:val="Heading2Black"/>
    <w:next w:val="Normal"/>
    <w:qFormat/>
    <w:rsid w:val="00436B9F"/>
    <w:pPr>
      <w:outlineLvl w:val="8"/>
    </w:pPr>
  </w:style>
  <w:style w:type="paragraph" w:customStyle="1" w:styleId="Heading2RedNoTOC">
    <w:name w:val="Heading 2_Red No TOC"/>
    <w:basedOn w:val="Heading2Red"/>
    <w:next w:val="Normal"/>
    <w:qFormat/>
    <w:rsid w:val="00436B9F"/>
    <w:pPr>
      <w:outlineLvl w:val="8"/>
    </w:pPr>
  </w:style>
  <w:style w:type="paragraph" w:customStyle="1" w:styleId="Heading2BlueNoTOC">
    <w:name w:val="Heading 2_Blue No TOC"/>
    <w:basedOn w:val="Heading2Blue"/>
    <w:next w:val="Normal"/>
    <w:qFormat/>
    <w:rsid w:val="00436B9F"/>
    <w:pPr>
      <w:outlineLvl w:val="8"/>
    </w:pPr>
  </w:style>
  <w:style w:type="paragraph" w:customStyle="1" w:styleId="MarkforAttachmentHeadingBlack">
    <w:name w:val="Mark for Attachment Heading_Black"/>
    <w:basedOn w:val="Normal"/>
    <w:next w:val="Normal"/>
    <w:qFormat/>
    <w:rsid w:val="00436B9F"/>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436B9F"/>
    <w:rPr>
      <w:color w:val="C00000"/>
    </w:rPr>
  </w:style>
  <w:style w:type="paragraph" w:customStyle="1" w:styleId="MarkforAttachmentHeadingBlue">
    <w:name w:val="Mark for Attachment Heading_Blue"/>
    <w:basedOn w:val="MarkforAttachmentHeadingBlack"/>
    <w:next w:val="Normal"/>
    <w:qFormat/>
    <w:rsid w:val="00436B9F"/>
    <w:rPr>
      <w:color w:val="345294"/>
    </w:rPr>
  </w:style>
  <w:style w:type="paragraph" w:customStyle="1" w:styleId="MarkforAppendixHeadingBlack">
    <w:name w:val="Mark for Appendix Heading_Black"/>
    <w:basedOn w:val="Normal"/>
    <w:next w:val="Normal"/>
    <w:qFormat/>
    <w:rsid w:val="00436B9F"/>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436B9F"/>
    <w:rPr>
      <w:color w:val="C00000"/>
    </w:rPr>
  </w:style>
  <w:style w:type="paragraph" w:customStyle="1" w:styleId="MarkforAppendixHeadingBlue">
    <w:name w:val="Mark for Appendix Heading_Blue"/>
    <w:basedOn w:val="MarkforAppendixHeadingBlack"/>
    <w:next w:val="Normal"/>
    <w:qFormat/>
    <w:rsid w:val="00436B9F"/>
    <w:rPr>
      <w:color w:val="345294"/>
    </w:rPr>
  </w:style>
  <w:style w:type="table" w:customStyle="1" w:styleId="SMPRTableRed">
    <w:name w:val="SMPR_Table_Red"/>
    <w:basedOn w:val="TableNormal"/>
    <w:uiPriority w:val="99"/>
    <w:rsid w:val="00436B9F"/>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436B9F"/>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436B9F"/>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39"/>
    <w:semiHidden/>
    <w:unhideWhenUsed/>
    <w:rsid w:val="00436B9F"/>
    <w:pPr>
      <w:tabs>
        <w:tab w:val="clear" w:pos="432"/>
      </w:tabs>
      <w:spacing w:after="100"/>
      <w:ind w:left="960"/>
    </w:pPr>
  </w:style>
  <w:style w:type="paragraph" w:styleId="TOC6">
    <w:name w:val="toc 6"/>
    <w:basedOn w:val="Normal"/>
    <w:next w:val="Normal"/>
    <w:autoRedefine/>
    <w:uiPriority w:val="39"/>
    <w:semiHidden/>
    <w:unhideWhenUsed/>
    <w:rsid w:val="00436B9F"/>
    <w:pPr>
      <w:tabs>
        <w:tab w:val="clear" w:pos="432"/>
      </w:tabs>
      <w:spacing w:after="100"/>
      <w:ind w:left="1200"/>
    </w:pPr>
  </w:style>
  <w:style w:type="paragraph" w:styleId="TOC7">
    <w:name w:val="toc 7"/>
    <w:basedOn w:val="Normal"/>
    <w:next w:val="Normal"/>
    <w:autoRedefine/>
    <w:uiPriority w:val="39"/>
    <w:semiHidden/>
    <w:unhideWhenUsed/>
    <w:rsid w:val="00436B9F"/>
    <w:pPr>
      <w:tabs>
        <w:tab w:val="clear" w:pos="432"/>
      </w:tabs>
      <w:spacing w:after="100"/>
      <w:ind w:left="1440"/>
    </w:pPr>
  </w:style>
  <w:style w:type="paragraph" w:styleId="TOC9">
    <w:name w:val="toc 9"/>
    <w:basedOn w:val="Normal"/>
    <w:next w:val="Normal"/>
    <w:autoRedefine/>
    <w:uiPriority w:val="39"/>
    <w:semiHidden/>
    <w:unhideWhenUsed/>
    <w:rsid w:val="00436B9F"/>
    <w:pPr>
      <w:tabs>
        <w:tab w:val="clear" w:pos="432"/>
      </w:tabs>
      <w:spacing w:after="100"/>
      <w:ind w:left="1920"/>
    </w:pPr>
  </w:style>
  <w:style w:type="character" w:styleId="Emphasis">
    <w:name w:val="Emphasis"/>
    <w:basedOn w:val="DefaultParagraphFont"/>
    <w:uiPriority w:val="99"/>
    <w:qFormat/>
    <w:rsid w:val="00436B9F"/>
    <w:rPr>
      <w:rFonts w:cs="Times New Roman"/>
      <w:i/>
      <w:iCs/>
    </w:rPr>
  </w:style>
  <w:style w:type="paragraph" w:customStyle="1" w:styleId="NormalSS12">
    <w:name w:val="NormalSS 12"/>
    <w:basedOn w:val="NormalSS"/>
    <w:qFormat/>
    <w:rsid w:val="00436B9F"/>
  </w:style>
  <w:style w:type="paragraph" w:styleId="CommentText">
    <w:name w:val="annotation text"/>
    <w:basedOn w:val="Normal"/>
    <w:link w:val="CommentTextChar"/>
    <w:uiPriority w:val="99"/>
    <w:unhideWhenUsed/>
    <w:rsid w:val="00436B9F"/>
    <w:pPr>
      <w:spacing w:line="240" w:lineRule="auto"/>
    </w:pPr>
    <w:rPr>
      <w:sz w:val="20"/>
      <w:szCs w:val="20"/>
    </w:rPr>
  </w:style>
  <w:style w:type="character" w:customStyle="1" w:styleId="CommentTextChar">
    <w:name w:val="Comment Text Char"/>
    <w:basedOn w:val="DefaultParagraphFont"/>
    <w:link w:val="CommentText"/>
    <w:uiPriority w:val="99"/>
    <w:rsid w:val="00436B9F"/>
    <w:rPr>
      <w:rFonts w:ascii="Garamond" w:eastAsia="Times New Roman" w:hAnsi="Garamond" w:cs="Times New Roman"/>
      <w:sz w:val="20"/>
      <w:szCs w:val="20"/>
    </w:rPr>
  </w:style>
  <w:style w:type="character" w:styleId="Hyperlink">
    <w:name w:val="Hyperlink"/>
    <w:basedOn w:val="DefaultParagraphFont"/>
    <w:uiPriority w:val="99"/>
    <w:unhideWhenUsed/>
    <w:rsid w:val="00436B9F"/>
    <w:rPr>
      <w:color w:val="0000FF" w:themeColor="hyperlink"/>
      <w:u w:val="single"/>
    </w:rPr>
  </w:style>
  <w:style w:type="paragraph" w:customStyle="1" w:styleId="Table">
    <w:name w:val="Table"/>
    <w:basedOn w:val="Normal"/>
    <w:rsid w:val="00436B9F"/>
    <w:pPr>
      <w:tabs>
        <w:tab w:val="clear" w:pos="432"/>
        <w:tab w:val="left" w:pos="720"/>
        <w:tab w:val="left" w:pos="1080"/>
        <w:tab w:val="left" w:pos="1440"/>
        <w:tab w:val="left" w:pos="1800"/>
      </w:tabs>
      <w:spacing w:line="264" w:lineRule="auto"/>
      <w:ind w:firstLine="0"/>
      <w:jc w:val="left"/>
    </w:pPr>
    <w:rPr>
      <w:rFonts w:ascii="Arial" w:hAnsi="Arial"/>
      <w:sz w:val="20"/>
      <w:szCs w:val="20"/>
    </w:rPr>
  </w:style>
  <w:style w:type="paragraph" w:styleId="BodyText">
    <w:name w:val="Body Text"/>
    <w:basedOn w:val="Normal"/>
    <w:link w:val="BodyTextChar"/>
    <w:uiPriority w:val="99"/>
    <w:semiHidden/>
    <w:unhideWhenUsed/>
    <w:rsid w:val="00436B9F"/>
    <w:pPr>
      <w:spacing w:after="120"/>
    </w:pPr>
  </w:style>
  <w:style w:type="character" w:customStyle="1" w:styleId="BodyTextChar">
    <w:name w:val="Body Text Char"/>
    <w:basedOn w:val="DefaultParagraphFont"/>
    <w:link w:val="BodyText"/>
    <w:uiPriority w:val="99"/>
    <w:semiHidden/>
    <w:rsid w:val="00436B9F"/>
    <w:rPr>
      <w:rFonts w:ascii="Garamond" w:eastAsia="Times New Roman" w:hAnsi="Garamond" w:cs="Times New Roman"/>
    </w:rPr>
  </w:style>
  <w:style w:type="character" w:styleId="CommentReference">
    <w:name w:val="annotation reference"/>
    <w:basedOn w:val="DefaultParagraphFont"/>
    <w:uiPriority w:val="99"/>
    <w:semiHidden/>
    <w:unhideWhenUsed/>
    <w:rsid w:val="00436B9F"/>
    <w:rPr>
      <w:sz w:val="16"/>
      <w:szCs w:val="16"/>
    </w:rPr>
  </w:style>
  <w:style w:type="paragraph" w:styleId="CommentSubject">
    <w:name w:val="annotation subject"/>
    <w:basedOn w:val="CommentText"/>
    <w:next w:val="CommentText"/>
    <w:link w:val="CommentSubjectChar"/>
    <w:uiPriority w:val="99"/>
    <w:semiHidden/>
    <w:unhideWhenUsed/>
    <w:rsid w:val="00436B9F"/>
    <w:rPr>
      <w:b/>
      <w:bCs/>
    </w:rPr>
  </w:style>
  <w:style w:type="character" w:customStyle="1" w:styleId="CommentSubjectChar">
    <w:name w:val="Comment Subject Char"/>
    <w:basedOn w:val="CommentTextChar"/>
    <w:link w:val="CommentSubject"/>
    <w:uiPriority w:val="99"/>
    <w:semiHidden/>
    <w:rsid w:val="00436B9F"/>
    <w:rPr>
      <w:rFonts w:ascii="Garamond" w:eastAsia="Times New Roman" w:hAnsi="Garamond" w:cs="Times New Roman"/>
      <w:b/>
      <w:bCs/>
      <w:sz w:val="20"/>
      <w:szCs w:val="20"/>
    </w:rPr>
  </w:style>
  <w:style w:type="character" w:customStyle="1" w:styleId="NormalSSChar">
    <w:name w:val="NormalSS Char"/>
    <w:basedOn w:val="DefaultParagraphFont"/>
    <w:link w:val="NormalSS"/>
    <w:rsid w:val="00436B9F"/>
    <w:rPr>
      <w:rFonts w:eastAsia="Times New Roman" w:cs="Times New Roman"/>
      <w:szCs w:val="20"/>
    </w:rPr>
  </w:style>
  <w:style w:type="paragraph" w:styleId="Revision">
    <w:name w:val="Revision"/>
    <w:hidden/>
    <w:uiPriority w:val="99"/>
    <w:semiHidden/>
    <w:rsid w:val="00436B9F"/>
    <w:pPr>
      <w:spacing w:after="0"/>
    </w:pPr>
    <w:rPr>
      <w:rFonts w:ascii="Garamond" w:eastAsia="Times New Roman" w:hAnsi="Garamond" w:cs="Times New Roman"/>
    </w:rPr>
  </w:style>
  <w:style w:type="paragraph" w:styleId="PlainText">
    <w:name w:val="Plain Text"/>
    <w:basedOn w:val="Normal"/>
    <w:link w:val="PlainTextChar"/>
    <w:uiPriority w:val="99"/>
    <w:semiHidden/>
    <w:unhideWhenUsed/>
    <w:rsid w:val="008D2432"/>
    <w:pPr>
      <w:tabs>
        <w:tab w:val="clear" w:pos="432"/>
      </w:tabs>
      <w:spacing w:line="240" w:lineRule="auto"/>
      <w:ind w:firstLine="0"/>
      <w:jc w:val="left"/>
    </w:pPr>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8D2432"/>
    <w:rPr>
      <w:rFonts w:ascii="Calibri" w:eastAsiaTheme="minorHAnsi" w:hAnsi="Calibri" w:cs="Times New Roman"/>
      <w:sz w:val="22"/>
      <w:szCs w:val="22"/>
    </w:rPr>
  </w:style>
  <w:style w:type="character" w:styleId="FollowedHyperlink">
    <w:name w:val="FollowedHyperlink"/>
    <w:basedOn w:val="DefaultParagraphFont"/>
    <w:semiHidden/>
    <w:unhideWhenUsed/>
    <w:rsid w:val="008D2432"/>
    <w:rPr>
      <w:color w:val="800080" w:themeColor="followedHyperlink"/>
      <w:u w:val="single"/>
    </w:rPr>
  </w:style>
  <w:style w:type="character" w:customStyle="1" w:styleId="apple-converted-space">
    <w:name w:val="apple-converted-space"/>
    <w:basedOn w:val="DefaultParagraphFont"/>
    <w:rsid w:val="00FE1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811380">
      <w:bodyDiv w:val="1"/>
      <w:marLeft w:val="0"/>
      <w:marRight w:val="0"/>
      <w:marTop w:val="0"/>
      <w:marBottom w:val="0"/>
      <w:divBdr>
        <w:top w:val="none" w:sz="0" w:space="0" w:color="auto"/>
        <w:left w:val="none" w:sz="0" w:space="0" w:color="auto"/>
        <w:bottom w:val="none" w:sz="0" w:space="0" w:color="auto"/>
        <w:right w:val="none" w:sz="0" w:space="0" w:color="auto"/>
      </w:divBdr>
    </w:div>
    <w:div w:id="808595846">
      <w:bodyDiv w:val="1"/>
      <w:marLeft w:val="0"/>
      <w:marRight w:val="0"/>
      <w:marTop w:val="0"/>
      <w:marBottom w:val="0"/>
      <w:divBdr>
        <w:top w:val="none" w:sz="0" w:space="0" w:color="auto"/>
        <w:left w:val="none" w:sz="0" w:space="0" w:color="auto"/>
        <w:bottom w:val="none" w:sz="0" w:space="0" w:color="auto"/>
        <w:right w:val="none" w:sz="0" w:space="0" w:color="auto"/>
      </w:divBdr>
    </w:div>
    <w:div w:id="878980691">
      <w:bodyDiv w:val="1"/>
      <w:marLeft w:val="0"/>
      <w:marRight w:val="0"/>
      <w:marTop w:val="0"/>
      <w:marBottom w:val="0"/>
      <w:divBdr>
        <w:top w:val="none" w:sz="0" w:space="0" w:color="auto"/>
        <w:left w:val="none" w:sz="0" w:space="0" w:color="auto"/>
        <w:bottom w:val="none" w:sz="0" w:space="0" w:color="auto"/>
        <w:right w:val="none" w:sz="0" w:space="0" w:color="auto"/>
      </w:divBdr>
    </w:div>
    <w:div w:id="1329553025">
      <w:bodyDiv w:val="1"/>
      <w:marLeft w:val="0"/>
      <w:marRight w:val="0"/>
      <w:marTop w:val="0"/>
      <w:marBottom w:val="0"/>
      <w:divBdr>
        <w:top w:val="none" w:sz="0" w:space="0" w:color="auto"/>
        <w:left w:val="none" w:sz="0" w:space="0" w:color="auto"/>
        <w:bottom w:val="none" w:sz="0" w:space="0" w:color="auto"/>
        <w:right w:val="none" w:sz="0" w:space="0" w:color="auto"/>
      </w:divBdr>
    </w:div>
    <w:div w:id="193875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A61E5E06278A49B27C58F5DB4071CE" ma:contentTypeVersion="0" ma:contentTypeDescription="Create a new document." ma:contentTypeScope="" ma:versionID="2c9bf6ab4fc3249903baee8e6524a6c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192612-FFCC-46C7-8992-345B6A840D55}">
  <ds:schemaRefs>
    <ds:schemaRef ds:uri="http://schemas.microsoft.com/office/2006/metadata/properties"/>
    <ds:schemaRef ds:uri="http://www.w3.org/XML/1998/namespace"/>
    <ds:schemaRef ds:uri="http://schemas.openxmlformats.org/package/2006/metadata/core-properties"/>
    <ds:schemaRef ds:uri="http://purl.org/dc/terms/"/>
    <ds:schemaRef ds:uri="http://schemas.microsoft.com/office/infopath/2007/PartnerControls"/>
    <ds:schemaRef ds:uri="http://purl.org/dc/elements/1.1/"/>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6C803090-F045-42A2-A2DE-2019F3A7B2D6}">
  <ds:schemaRefs>
    <ds:schemaRef ds:uri="http://schemas.microsoft.com/sharepoint/v3/contenttype/forms"/>
  </ds:schemaRefs>
</ds:datastoreItem>
</file>

<file path=customXml/itemProps3.xml><?xml version="1.0" encoding="utf-8"?>
<ds:datastoreItem xmlns:ds="http://schemas.openxmlformats.org/officeDocument/2006/customXml" ds:itemID="{A691436B-8911-4039-92BB-E79AFC459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CEB0D11-482D-40C2-9F1E-6CC9A7142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3</Pages>
  <Words>8485</Words>
  <Characters>48369</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MPC_Statement A_042617</vt:lpstr>
    </vt:vector>
  </TitlesOfParts>
  <Company>Mathematica, Inc</Company>
  <LinksUpToDate>false</LinksUpToDate>
  <CharactersWithSpaces>56741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MPC_Statement A_042617</dc:title>
  <dc:creator>Mathematica Staff</dc:creator>
  <cp:lastModifiedBy>SYSTEM</cp:lastModifiedBy>
  <cp:revision>2</cp:revision>
  <cp:lastPrinted>2017-03-17T15:19:00Z</cp:lastPrinted>
  <dcterms:created xsi:type="dcterms:W3CDTF">2017-08-08T21:07:00Z</dcterms:created>
  <dcterms:modified xsi:type="dcterms:W3CDTF">2017-08-08T21:07:00Z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0x01010095A61E5E06278A49B27C58F5DB4071CE</vt:lpwstr>
  </property>
</Properties>
</file>