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C7A" w:rsidRDefault="003F1C7A">
      <w:pPr>
        <w:pStyle w:val="Heading2"/>
        <w:tabs>
          <w:tab w:val="left" w:pos="900"/>
        </w:tabs>
        <w:ind w:right="-180"/>
        <w:rPr>
          <w:sz w:val="28"/>
        </w:rPr>
      </w:pPr>
      <w:r>
        <w:rPr>
          <w:sz w:val="28"/>
        </w:rPr>
        <w:t>DOCUMENTATION FOR THE GENERIC CLEARANCE</w:t>
      </w:r>
    </w:p>
    <w:p w:rsidR="003F1C7A" w:rsidRDefault="0037375D">
      <w:pPr>
        <w:jc w:val="center"/>
      </w:pPr>
      <w:r>
        <w:rPr>
          <w:b/>
          <w:sz w:val="28"/>
        </w:rPr>
        <w:t>FOR THE COLLECTION OF QUALITATIVE RESEARCH &amp; ASSESSMENT</w:t>
      </w:r>
    </w:p>
    <w:p w:rsidR="003F1C7A" w:rsidRDefault="003F1C7A"/>
    <w:p w:rsidR="003F1C7A" w:rsidRDefault="00F04E7C">
      <w:r>
        <w:rPr>
          <w:noProof/>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0</wp:posOffset>
                </wp:positionV>
                <wp:extent cx="59436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p>
    <w:p w:rsidR="003F1C7A" w:rsidRDefault="003F1C7A">
      <w:pPr>
        <w:spacing w:before="120"/>
      </w:pPr>
      <w:r>
        <w:rPr>
          <w:b/>
        </w:rPr>
        <w:t>TITLE OF INFORMATION COLLECTION:</w:t>
      </w:r>
      <w:r>
        <w:t xml:space="preserve">  </w:t>
      </w:r>
    </w:p>
    <w:p w:rsidR="00D95F55" w:rsidRDefault="00D95F55">
      <w:pPr>
        <w:spacing w:before="120"/>
      </w:pPr>
    </w:p>
    <w:p w:rsidR="00D95F55" w:rsidRPr="00D95F55" w:rsidRDefault="004F50F3" w:rsidP="00D95F55">
      <w:pPr>
        <w:rPr>
          <w:bCs/>
        </w:rPr>
      </w:pPr>
      <w:r>
        <w:t>Million Hearts Social Network Analysis—Key Informant Interviews</w:t>
      </w:r>
    </w:p>
    <w:p w:rsidR="003F1C7A" w:rsidRDefault="003F1C7A"/>
    <w:p w:rsidR="0037375D" w:rsidRPr="0037375D" w:rsidRDefault="003F1C7A">
      <w:pPr>
        <w:pStyle w:val="BodyTextIndent"/>
        <w:tabs>
          <w:tab w:val="left" w:pos="360"/>
        </w:tabs>
        <w:ind w:left="0"/>
        <w:rPr>
          <w:b/>
          <w:bCs/>
          <w:sz w:val="24"/>
        </w:rPr>
      </w:pPr>
      <w:r w:rsidRPr="0037375D">
        <w:rPr>
          <w:b/>
          <w:bCs/>
          <w:sz w:val="24"/>
        </w:rPr>
        <w:t>[</w:t>
      </w:r>
      <w:r w:rsidR="00B913B9">
        <w:rPr>
          <w:b/>
          <w:bCs/>
          <w:sz w:val="24"/>
        </w:rPr>
        <w:t>X</w:t>
      </w:r>
      <w:r w:rsidRPr="0037375D">
        <w:rPr>
          <w:b/>
          <w:bCs/>
          <w:sz w:val="24"/>
        </w:rPr>
        <w:t xml:space="preserve">] </w:t>
      </w:r>
      <w:r w:rsidR="0037375D" w:rsidRPr="0037375D">
        <w:rPr>
          <w:b/>
          <w:bCs/>
          <w:sz w:val="24"/>
        </w:rPr>
        <w:t>INTERVIEWS</w:t>
      </w:r>
      <w:r w:rsidRPr="0037375D">
        <w:rPr>
          <w:b/>
          <w:bCs/>
          <w:sz w:val="24"/>
        </w:rPr>
        <w:t xml:space="preserve"> </w:t>
      </w:r>
      <w:r w:rsidRPr="0037375D">
        <w:rPr>
          <w:b/>
          <w:bCs/>
          <w:sz w:val="24"/>
        </w:rPr>
        <w:tab/>
        <w:t xml:space="preserve">  </w:t>
      </w:r>
    </w:p>
    <w:p w:rsidR="0037375D" w:rsidRPr="0037375D" w:rsidRDefault="0037375D">
      <w:pPr>
        <w:pStyle w:val="BodyTextIndent"/>
        <w:tabs>
          <w:tab w:val="left" w:pos="360"/>
        </w:tabs>
        <w:ind w:left="0"/>
        <w:rPr>
          <w:b/>
          <w:bCs/>
          <w:sz w:val="24"/>
        </w:rPr>
      </w:pPr>
      <w:r w:rsidRPr="0037375D">
        <w:rPr>
          <w:b/>
          <w:bCs/>
          <w:sz w:val="24"/>
        </w:rPr>
        <w:t>[ ] SMALL DISCUSSION GROUPS</w:t>
      </w:r>
    </w:p>
    <w:p w:rsidR="003F1C7A" w:rsidRPr="0037375D" w:rsidRDefault="003F1C7A">
      <w:pPr>
        <w:pStyle w:val="BodyTextIndent"/>
        <w:tabs>
          <w:tab w:val="left" w:pos="360"/>
        </w:tabs>
        <w:ind w:left="0"/>
        <w:rPr>
          <w:b/>
          <w:bCs/>
          <w:sz w:val="24"/>
        </w:rPr>
      </w:pPr>
      <w:r w:rsidRPr="0037375D">
        <w:rPr>
          <w:b/>
          <w:bCs/>
          <w:sz w:val="24"/>
        </w:rPr>
        <w:t>[ ] FOCUS GROUP</w:t>
      </w:r>
      <w:r w:rsidR="0037375D" w:rsidRPr="0037375D">
        <w:rPr>
          <w:b/>
          <w:bCs/>
          <w:sz w:val="24"/>
        </w:rPr>
        <w:t>S</w:t>
      </w:r>
    </w:p>
    <w:p w:rsidR="0037375D" w:rsidRPr="0037375D" w:rsidRDefault="0037375D">
      <w:pPr>
        <w:pStyle w:val="BodyTextIndent"/>
        <w:tabs>
          <w:tab w:val="left" w:pos="360"/>
        </w:tabs>
        <w:ind w:left="0"/>
        <w:rPr>
          <w:b/>
          <w:bCs/>
          <w:sz w:val="24"/>
        </w:rPr>
      </w:pPr>
      <w:r w:rsidRPr="0037375D">
        <w:rPr>
          <w:b/>
          <w:bCs/>
          <w:sz w:val="24"/>
        </w:rPr>
        <w:t>[</w:t>
      </w:r>
      <w:r w:rsidR="004F50F3">
        <w:rPr>
          <w:b/>
          <w:bCs/>
          <w:sz w:val="24"/>
        </w:rPr>
        <w:t xml:space="preserve"> </w:t>
      </w:r>
      <w:r w:rsidRPr="0037375D">
        <w:rPr>
          <w:b/>
          <w:bCs/>
          <w:sz w:val="24"/>
        </w:rPr>
        <w:t>] QUESTIONNAIRES</w:t>
      </w:r>
    </w:p>
    <w:p w:rsidR="0037375D" w:rsidRPr="0037375D" w:rsidRDefault="0037375D">
      <w:pPr>
        <w:pStyle w:val="BodyTextIndent"/>
        <w:tabs>
          <w:tab w:val="left" w:pos="360"/>
        </w:tabs>
        <w:ind w:left="0"/>
        <w:rPr>
          <w:b/>
          <w:bCs/>
          <w:sz w:val="24"/>
        </w:rPr>
      </w:pPr>
      <w:r w:rsidRPr="0037375D">
        <w:rPr>
          <w:b/>
          <w:bCs/>
          <w:sz w:val="24"/>
        </w:rPr>
        <w:t>[ ] OTHER (EXPLAIN: )</w:t>
      </w:r>
    </w:p>
    <w:p w:rsidR="003F1C7A" w:rsidRDefault="003F1C7A">
      <w:pPr>
        <w:rPr>
          <w:b/>
        </w:rPr>
      </w:pPr>
    </w:p>
    <w:p w:rsidR="003F1C7A" w:rsidRDefault="003F1C7A">
      <w:pPr>
        <w:spacing w:after="120"/>
      </w:pPr>
      <w:r>
        <w:rPr>
          <w:b/>
        </w:rPr>
        <w:t>DESCRIPTION OF THIS SPECIFIC COLLECTION</w:t>
      </w:r>
      <w:r>
        <w:t xml:space="preserve"> </w:t>
      </w:r>
    </w:p>
    <w:p w:rsidR="003F1C7A" w:rsidRDefault="0037375D" w:rsidP="0037375D">
      <w:pPr>
        <w:numPr>
          <w:ilvl w:val="0"/>
          <w:numId w:val="15"/>
        </w:numPr>
        <w:tabs>
          <w:tab w:val="num" w:pos="720"/>
        </w:tabs>
        <w:ind w:left="360"/>
      </w:pPr>
      <w:r>
        <w:rPr>
          <w:b/>
        </w:rPr>
        <w:t>Intended purpose</w:t>
      </w:r>
    </w:p>
    <w:p w:rsidR="00515B88" w:rsidRDefault="00515B88" w:rsidP="00515B88"/>
    <w:p w:rsidR="0027429E" w:rsidRPr="001376EF" w:rsidRDefault="0027429E" w:rsidP="0027429E">
      <w:pPr>
        <w:overflowPunct w:val="0"/>
        <w:textAlignment w:val="baseline"/>
      </w:pPr>
      <w:r w:rsidRPr="001376EF">
        <w:t xml:space="preserve">The U.S. Department of Health and Human Services Office of the Assistant Secretary for Planning and Evaluation (HHS/ASPE) and the Centers for Disease Control and Prevention (CDC) awarded a contract to RAND to </w:t>
      </w:r>
      <w:r>
        <w:t>examine</w:t>
      </w:r>
      <w:r w:rsidRPr="001376EF">
        <w:t xml:space="preserve"> partnership engagement and the level of communication among Million Hearts®</w:t>
      </w:r>
      <w:r>
        <w:t xml:space="preserve"> (MH)</w:t>
      </w:r>
      <w:r w:rsidRPr="001376EF">
        <w:t xml:space="preserve"> partners. </w:t>
      </w:r>
      <w:r>
        <w:t xml:space="preserve">In order to describe the partnership engagement process RAND proposes to conduct interviews with key informants in the Million Hearts Initiative. These informants will be in a supervisory role in their organization and have extensive knowledge of the Initiative. </w:t>
      </w:r>
    </w:p>
    <w:p w:rsidR="00515B88" w:rsidRDefault="00515B88" w:rsidP="00515B88"/>
    <w:p w:rsidR="003F1C7A" w:rsidRDefault="003F1C7A" w:rsidP="0037375D">
      <w:pPr>
        <w:numPr>
          <w:ilvl w:val="0"/>
          <w:numId w:val="15"/>
        </w:numPr>
        <w:tabs>
          <w:tab w:val="num" w:pos="720"/>
        </w:tabs>
        <w:ind w:left="360"/>
      </w:pPr>
      <w:r>
        <w:rPr>
          <w:b/>
        </w:rPr>
        <w:t>N</w:t>
      </w:r>
      <w:r w:rsidR="0037375D">
        <w:rPr>
          <w:b/>
        </w:rPr>
        <w:t>eed for the collection</w:t>
      </w:r>
    </w:p>
    <w:p w:rsidR="00515B88" w:rsidRDefault="00515B88" w:rsidP="00515B88"/>
    <w:p w:rsidR="00D95F55" w:rsidRDefault="00D95F55" w:rsidP="00D95F55">
      <w:r>
        <w:t>To our knowledge, there is no information that has been or is currently being collected similar to these</w:t>
      </w:r>
      <w:r w:rsidR="00151EBD">
        <w:t xml:space="preserve"> questions that will be asked</w:t>
      </w:r>
      <w:r>
        <w:t xml:space="preserve">.  This is an exploratory study to answer questions that we currently do not have the data to answer. </w:t>
      </w:r>
    </w:p>
    <w:p w:rsidR="00D95F55" w:rsidRDefault="00D95F55" w:rsidP="00D95F55"/>
    <w:p w:rsidR="003F1C7A" w:rsidRDefault="0037375D" w:rsidP="0037375D">
      <w:pPr>
        <w:numPr>
          <w:ilvl w:val="0"/>
          <w:numId w:val="15"/>
        </w:numPr>
        <w:tabs>
          <w:tab w:val="num" w:pos="720"/>
        </w:tabs>
        <w:ind w:left="360"/>
      </w:pPr>
      <w:r>
        <w:rPr>
          <w:b/>
        </w:rPr>
        <w:t>Planned use of the data</w:t>
      </w:r>
    </w:p>
    <w:p w:rsidR="0037375D" w:rsidRDefault="0037375D" w:rsidP="0037375D"/>
    <w:p w:rsidR="00515B88" w:rsidRDefault="00515B88" w:rsidP="0037375D">
      <w:r>
        <w:t xml:space="preserve">Data will be collected and used for </w:t>
      </w:r>
      <w:r w:rsidR="00D95F55">
        <w:t xml:space="preserve">identifying </w:t>
      </w:r>
      <w:r w:rsidR="0027429E">
        <w:t>facilitators and barriers to public-private partnerships with the federal government. The interviews will also help us refine and tailor a social network survey, for which we will be submitting a separate information collection request package.</w:t>
      </w:r>
    </w:p>
    <w:p w:rsidR="00515B88" w:rsidRDefault="00515B88" w:rsidP="0037375D"/>
    <w:p w:rsidR="003F1C7A" w:rsidRPr="0037375D" w:rsidRDefault="0037375D" w:rsidP="0037375D">
      <w:pPr>
        <w:numPr>
          <w:ilvl w:val="0"/>
          <w:numId w:val="15"/>
        </w:numPr>
        <w:tabs>
          <w:tab w:val="num" w:pos="720"/>
        </w:tabs>
        <w:ind w:left="360"/>
      </w:pPr>
      <w:r>
        <w:rPr>
          <w:b/>
        </w:rPr>
        <w:t>Date(s) and location(s)</w:t>
      </w:r>
      <w:r w:rsidR="003F1C7A" w:rsidRPr="00E26798">
        <w:rPr>
          <w:b/>
        </w:rPr>
        <w:t xml:space="preserve"> </w:t>
      </w:r>
    </w:p>
    <w:p w:rsidR="00515B88" w:rsidRDefault="00515B88" w:rsidP="0037375D"/>
    <w:p w:rsidR="00515B88" w:rsidRDefault="00515B88" w:rsidP="0037375D">
      <w:r>
        <w:t xml:space="preserve">Data collection will begin in </w:t>
      </w:r>
      <w:r w:rsidR="0027429E">
        <w:t>May 2016</w:t>
      </w:r>
      <w:r>
        <w:t xml:space="preserve"> and continue until </w:t>
      </w:r>
      <w:r w:rsidR="0027429E">
        <w:t>July 2016</w:t>
      </w:r>
      <w:r w:rsidR="00D95F55">
        <w:t>.</w:t>
      </w:r>
    </w:p>
    <w:p w:rsidR="00D95F55" w:rsidRDefault="00D95F55" w:rsidP="0037375D"/>
    <w:p w:rsidR="00E26798" w:rsidRDefault="003F1C7A" w:rsidP="0037375D">
      <w:pPr>
        <w:numPr>
          <w:ilvl w:val="0"/>
          <w:numId w:val="15"/>
        </w:numPr>
        <w:tabs>
          <w:tab w:val="num" w:pos="720"/>
        </w:tabs>
        <w:ind w:left="360"/>
      </w:pPr>
      <w:r w:rsidRPr="00E26798">
        <w:rPr>
          <w:b/>
        </w:rPr>
        <w:t>Collection procedures</w:t>
      </w:r>
      <w:r w:rsidR="0037375D">
        <w:t xml:space="preserve"> </w:t>
      </w:r>
    </w:p>
    <w:p w:rsidR="0037375D" w:rsidRDefault="0037375D" w:rsidP="0037375D"/>
    <w:p w:rsidR="00D95F55" w:rsidRPr="00AF5D8A" w:rsidRDefault="00D95F55" w:rsidP="00D95F55">
      <w:pPr>
        <w:rPr>
          <w:rFonts w:cs="Calibri"/>
        </w:rPr>
      </w:pPr>
      <w:r>
        <w:rPr>
          <w:rFonts w:cs="Calibri"/>
        </w:rPr>
        <w:t>We</w:t>
      </w:r>
      <w:r w:rsidRPr="00AF5D8A">
        <w:rPr>
          <w:rFonts w:cs="Calibri"/>
        </w:rPr>
        <w:t xml:space="preserve"> will develop a guide for key informant in</w:t>
      </w:r>
      <w:r>
        <w:rPr>
          <w:rFonts w:cs="Calibri"/>
        </w:rPr>
        <w:t xml:space="preserve">terviews to be administered to </w:t>
      </w:r>
      <w:r w:rsidR="0027429E">
        <w:rPr>
          <w:rFonts w:cs="Calibri"/>
        </w:rPr>
        <w:t>staff from the Million Hearts Initiative</w:t>
      </w:r>
      <w:r>
        <w:rPr>
          <w:rFonts w:cs="Calibri"/>
        </w:rPr>
        <w:t>.</w:t>
      </w:r>
      <w:r w:rsidR="0027429E">
        <w:rPr>
          <w:rFonts w:cs="Calibri"/>
        </w:rPr>
        <w:t xml:space="preserve"> The staff selected for interviews will be representing their organization </w:t>
      </w:r>
      <w:r w:rsidR="0027429E">
        <w:rPr>
          <w:rFonts w:cs="Calibri"/>
        </w:rPr>
        <w:lastRenderedPageBreak/>
        <w:t>and providing information about their organization. We will not be asking any for any personally identifiable information.</w:t>
      </w:r>
      <w:r>
        <w:rPr>
          <w:rFonts w:cs="Calibri"/>
        </w:rPr>
        <w:t xml:space="preserve"> </w:t>
      </w:r>
      <w:r w:rsidRPr="00AF5D8A">
        <w:rPr>
          <w:rFonts w:cs="Calibri"/>
        </w:rPr>
        <w:t>We anticipate a sample of 3</w:t>
      </w:r>
      <w:r w:rsidR="0027429E">
        <w:rPr>
          <w:rFonts w:cs="Calibri"/>
        </w:rPr>
        <w:t>0-50</w:t>
      </w:r>
      <w:r w:rsidRPr="00AF5D8A">
        <w:rPr>
          <w:rFonts w:cs="Calibri"/>
        </w:rPr>
        <w:t xml:space="preserve"> </w:t>
      </w:r>
      <w:r w:rsidR="0027429E">
        <w:rPr>
          <w:rFonts w:cs="Calibri"/>
        </w:rPr>
        <w:t>key staff</w:t>
      </w:r>
      <w:r w:rsidRPr="00AF5D8A">
        <w:rPr>
          <w:rFonts w:cs="Calibri"/>
        </w:rPr>
        <w:t xml:space="preserve"> to be </w:t>
      </w:r>
      <w:r w:rsidR="0027429E">
        <w:rPr>
          <w:rFonts w:cs="Calibri"/>
        </w:rPr>
        <w:t>select</w:t>
      </w:r>
      <w:r w:rsidRPr="00AF5D8A">
        <w:rPr>
          <w:rFonts w:cs="Calibri"/>
        </w:rPr>
        <w:t xml:space="preserve">ed for interviews.  </w:t>
      </w:r>
    </w:p>
    <w:p w:rsidR="00D95F55" w:rsidRPr="00AF5D8A" w:rsidRDefault="00D95F55" w:rsidP="00D95F55">
      <w:pPr>
        <w:rPr>
          <w:rFonts w:cs="Calibri"/>
        </w:rPr>
      </w:pPr>
    </w:p>
    <w:p w:rsidR="00B0212C" w:rsidRDefault="00D95F55" w:rsidP="0037375D">
      <w:pPr>
        <w:rPr>
          <w:rFonts w:ascii="Cambria" w:hAnsi="Cambria"/>
        </w:rPr>
      </w:pPr>
      <w:r>
        <w:rPr>
          <w:rFonts w:cs="Calibri"/>
        </w:rPr>
        <w:t>W</w:t>
      </w:r>
      <w:r w:rsidR="00BA26BF">
        <w:rPr>
          <w:rFonts w:cs="Calibri"/>
        </w:rPr>
        <w:t>e have</w:t>
      </w:r>
      <w:r w:rsidRPr="00AF5D8A">
        <w:rPr>
          <w:rFonts w:cs="Calibri"/>
        </w:rPr>
        <w:t xml:space="preserve"> develop</w:t>
      </w:r>
      <w:r w:rsidR="00BA26BF">
        <w:rPr>
          <w:rFonts w:cs="Calibri"/>
        </w:rPr>
        <w:t>ed</w:t>
      </w:r>
      <w:r w:rsidRPr="00AF5D8A">
        <w:rPr>
          <w:rFonts w:cs="Calibri"/>
        </w:rPr>
        <w:t xml:space="preserve"> a telephone interview protocol (not more </w:t>
      </w:r>
      <w:r w:rsidR="00BA26BF">
        <w:rPr>
          <w:rFonts w:cs="Calibri"/>
        </w:rPr>
        <w:t>than 1 hour in length) that</w:t>
      </w:r>
      <w:r w:rsidRPr="00AF5D8A">
        <w:rPr>
          <w:rFonts w:cs="Calibri"/>
        </w:rPr>
        <w:t xml:space="preserve"> focus</w:t>
      </w:r>
      <w:r w:rsidR="00BA26BF">
        <w:rPr>
          <w:rFonts w:cs="Calibri"/>
        </w:rPr>
        <w:t>es</w:t>
      </w:r>
      <w:r w:rsidRPr="00AF5D8A">
        <w:rPr>
          <w:rFonts w:cs="Calibri"/>
        </w:rPr>
        <w:t xml:space="preserve"> on the following topics:</w:t>
      </w:r>
      <w:r w:rsidR="0027429E">
        <w:rPr>
          <w:rFonts w:cs="Calibri"/>
        </w:rPr>
        <w:t xml:space="preserve"> </w:t>
      </w:r>
      <w:r w:rsidR="0027429E">
        <w:t>network partners, collaborations with partners, effective communication strategies, new partnerships, lost partnerships, and changes in organizational activities. Each interview will be tailored to incorporate unique information about the specific organization the informant represents.</w:t>
      </w:r>
      <w:r w:rsidR="00BA26BF">
        <w:rPr>
          <w:rFonts w:cs="Calibri"/>
        </w:rPr>
        <w:t xml:space="preserve"> </w:t>
      </w:r>
      <w:r w:rsidR="00BA26BF" w:rsidRPr="00BA26BF">
        <w:rPr>
          <w:rFonts w:ascii="Cambria" w:hAnsi="Cambria"/>
        </w:rPr>
        <w:t>Dr. Malcolm Williams and Dr. Danielle Varda are experts in analyzing qualitative and social network data. Both investigators also have extensive knowledge of public health issues. The project team is composed of federal staff who have expertise in this area and qualitative methodology as well.</w:t>
      </w:r>
    </w:p>
    <w:p w:rsidR="00BA26BF" w:rsidRPr="00BA26BF" w:rsidRDefault="00BA26BF" w:rsidP="0037375D">
      <w:pPr>
        <w:rPr>
          <w:rFonts w:cs="Calibri"/>
        </w:rPr>
      </w:pPr>
    </w:p>
    <w:p w:rsidR="003F1C7A" w:rsidRPr="0037375D" w:rsidRDefault="003F1C7A" w:rsidP="0037375D">
      <w:pPr>
        <w:numPr>
          <w:ilvl w:val="0"/>
          <w:numId w:val="15"/>
        </w:numPr>
        <w:tabs>
          <w:tab w:val="num" w:pos="720"/>
        </w:tabs>
        <w:ind w:left="360"/>
      </w:pPr>
      <w:r w:rsidRPr="00E26798">
        <w:rPr>
          <w:b/>
        </w:rPr>
        <w:t xml:space="preserve">Number of </w:t>
      </w:r>
      <w:r w:rsidR="0037375D">
        <w:rPr>
          <w:b/>
        </w:rPr>
        <w:t xml:space="preserve">collections (e.g., </w:t>
      </w:r>
      <w:r w:rsidRPr="00E26798">
        <w:rPr>
          <w:b/>
        </w:rPr>
        <w:t>focus groups, surveys, sessions</w:t>
      </w:r>
      <w:r w:rsidR="0037375D">
        <w:rPr>
          <w:b/>
        </w:rPr>
        <w:t>)</w:t>
      </w:r>
      <w:r w:rsidRPr="00E26798">
        <w:rPr>
          <w:b/>
        </w:rPr>
        <w:t xml:space="preserve"> </w:t>
      </w:r>
    </w:p>
    <w:p w:rsidR="0037375D" w:rsidRDefault="0037375D" w:rsidP="0037375D"/>
    <w:p w:rsidR="001977DC" w:rsidRDefault="00BA26BF" w:rsidP="0037375D">
      <w:pPr>
        <w:rPr>
          <w:rFonts w:cs="Calibri"/>
        </w:rPr>
      </w:pPr>
      <w:r>
        <w:rPr>
          <w:rFonts w:cs="Calibri"/>
        </w:rPr>
        <w:t>We anticipate a samp</w:t>
      </w:r>
      <w:r w:rsidR="00670388">
        <w:rPr>
          <w:rFonts w:cs="Calibri"/>
        </w:rPr>
        <w:t xml:space="preserve">le of approximately </w:t>
      </w:r>
      <w:bookmarkStart w:id="0" w:name="_GoBack"/>
      <w:bookmarkEnd w:id="0"/>
      <w:r>
        <w:rPr>
          <w:rFonts w:cs="Calibri"/>
        </w:rPr>
        <w:t>50</w:t>
      </w:r>
      <w:r w:rsidR="00D95F55" w:rsidRPr="00AF5D8A">
        <w:rPr>
          <w:rFonts w:cs="Calibri"/>
        </w:rPr>
        <w:t xml:space="preserve"> </w:t>
      </w:r>
      <w:r>
        <w:rPr>
          <w:rFonts w:cs="Calibri"/>
        </w:rPr>
        <w:t>key staff to be selected</w:t>
      </w:r>
      <w:r w:rsidR="00D95F55" w:rsidRPr="00AF5D8A">
        <w:rPr>
          <w:rFonts w:cs="Calibri"/>
        </w:rPr>
        <w:t xml:space="preserve"> for interviews.  </w:t>
      </w:r>
    </w:p>
    <w:p w:rsidR="00D95F55" w:rsidRDefault="00D95F55" w:rsidP="0037375D"/>
    <w:p w:rsidR="00E26798" w:rsidRDefault="003F1C7A" w:rsidP="0037375D">
      <w:pPr>
        <w:numPr>
          <w:ilvl w:val="0"/>
          <w:numId w:val="15"/>
        </w:numPr>
        <w:tabs>
          <w:tab w:val="num" w:pos="720"/>
        </w:tabs>
        <w:ind w:left="360"/>
        <w:rPr>
          <w:b/>
        </w:rPr>
      </w:pPr>
      <w:r w:rsidRPr="00E26798">
        <w:rPr>
          <w:b/>
        </w:rPr>
        <w:t>Descript</w:t>
      </w:r>
      <w:r w:rsidR="0037375D">
        <w:rPr>
          <w:b/>
        </w:rPr>
        <w:t>ion of respondents/participants</w:t>
      </w:r>
    </w:p>
    <w:p w:rsidR="00AA071E" w:rsidRDefault="00AA071E" w:rsidP="00EB6C38">
      <w:pPr>
        <w:pStyle w:val="ColorfulList-Accent1"/>
        <w:ind w:left="0"/>
        <w:rPr>
          <w:b/>
        </w:rPr>
      </w:pPr>
    </w:p>
    <w:p w:rsidR="00EB6C38" w:rsidRPr="00EB6C38" w:rsidRDefault="00BA26BF" w:rsidP="00EB6C38">
      <w:pPr>
        <w:widowControl w:val="0"/>
        <w:autoSpaceDE w:val="0"/>
        <w:autoSpaceDN w:val="0"/>
        <w:adjustRightInd w:val="0"/>
      </w:pPr>
      <w:r>
        <w:t>Respondents will be supervisory staff with extensive knowledge of the Million Hearts Initiative and their organization’s specific activities that connect to the Initiative.</w:t>
      </w:r>
    </w:p>
    <w:p w:rsidR="00EB6C38" w:rsidRDefault="00EB6C38" w:rsidP="00EB6C38">
      <w:pPr>
        <w:pStyle w:val="ColorfulList-Accent1"/>
        <w:ind w:left="0"/>
        <w:rPr>
          <w:b/>
        </w:rPr>
      </w:pPr>
    </w:p>
    <w:p w:rsidR="00AA071E" w:rsidRDefault="00AA071E" w:rsidP="0037375D">
      <w:pPr>
        <w:numPr>
          <w:ilvl w:val="0"/>
          <w:numId w:val="15"/>
        </w:numPr>
        <w:tabs>
          <w:tab w:val="num" w:pos="720"/>
        </w:tabs>
        <w:ind w:left="360"/>
        <w:rPr>
          <w:b/>
        </w:rPr>
      </w:pPr>
      <w:r>
        <w:rPr>
          <w:b/>
        </w:rPr>
        <w:t xml:space="preserve">Description of how results will be used </w:t>
      </w:r>
    </w:p>
    <w:p w:rsidR="00AA071E" w:rsidRDefault="00AA071E" w:rsidP="00AA071E">
      <w:pPr>
        <w:rPr>
          <w:b/>
        </w:rPr>
      </w:pPr>
    </w:p>
    <w:p w:rsidR="00D74E92" w:rsidRDefault="00D95F55" w:rsidP="00AA071E">
      <w:r>
        <w:t xml:space="preserve">Results will be used to develop a survey tool for </w:t>
      </w:r>
      <w:r w:rsidR="004F50F3">
        <w:t>social network</w:t>
      </w:r>
      <w:r>
        <w:t xml:space="preserve"> data collection </w:t>
      </w:r>
      <w:r w:rsidR="004F50F3">
        <w:t>and analysis to examine relationships and patterns discovered</w:t>
      </w:r>
      <w:r>
        <w:t xml:space="preserve"> in the qualitative </w:t>
      </w:r>
      <w:r w:rsidR="004F50F3">
        <w:t xml:space="preserve">interviews and </w:t>
      </w:r>
      <w:r>
        <w:t>analysis.</w:t>
      </w:r>
    </w:p>
    <w:p w:rsidR="00D74E92" w:rsidRDefault="00D74E92" w:rsidP="00AA071E">
      <w:pPr>
        <w:rPr>
          <w:b/>
        </w:rPr>
      </w:pPr>
    </w:p>
    <w:p w:rsidR="00AA071E" w:rsidRPr="00E26798" w:rsidRDefault="00AA071E" w:rsidP="0037375D">
      <w:pPr>
        <w:numPr>
          <w:ilvl w:val="0"/>
          <w:numId w:val="15"/>
        </w:numPr>
        <w:tabs>
          <w:tab w:val="num" w:pos="720"/>
        </w:tabs>
        <w:ind w:left="360"/>
        <w:rPr>
          <w:b/>
        </w:rPr>
      </w:pPr>
      <w:r>
        <w:rPr>
          <w:b/>
        </w:rPr>
        <w:t>Description of how results will or will not be disseminated and why or why not</w:t>
      </w:r>
    </w:p>
    <w:p w:rsidR="00E26798" w:rsidRDefault="00E26798" w:rsidP="00B85163">
      <w:pPr>
        <w:pStyle w:val="ColorfulList-Accent1"/>
        <w:ind w:left="0"/>
        <w:rPr>
          <w:b/>
        </w:rPr>
      </w:pPr>
    </w:p>
    <w:p w:rsidR="00604D2F" w:rsidRDefault="00D95F55" w:rsidP="00B913B9">
      <w:pPr>
        <w:pStyle w:val="ColorfulList-Accent1"/>
        <w:ind w:left="0"/>
      </w:pPr>
      <w:r>
        <w:t>We will publish our results in peer reviewed literature and appropriate web sites.</w:t>
      </w:r>
    </w:p>
    <w:p w:rsidR="00B913B9" w:rsidRDefault="00B913B9" w:rsidP="00B913B9">
      <w:pPr>
        <w:pStyle w:val="ColorfulList-Accent1"/>
        <w:ind w:left="0"/>
        <w:rPr>
          <w:b/>
        </w:rPr>
      </w:pPr>
    </w:p>
    <w:p w:rsidR="003F1C7A" w:rsidRDefault="003F1C7A" w:rsidP="00E26798">
      <w:pPr>
        <w:spacing w:before="120" w:after="120"/>
        <w:rPr>
          <w:b/>
        </w:rPr>
      </w:pPr>
      <w:r w:rsidRPr="00E26798">
        <w:rPr>
          <w:b/>
        </w:rPr>
        <w:t>AMOUNT OF ANY PROPOSED STIPEND OR INCENTIVE</w:t>
      </w:r>
    </w:p>
    <w:p w:rsidR="00EB6C38" w:rsidRPr="00EB6C38" w:rsidRDefault="00D95F55" w:rsidP="00E26798">
      <w:pPr>
        <w:spacing w:before="120" w:after="120"/>
      </w:pPr>
      <w:r>
        <w:t>There is no proposed stipend</w:t>
      </w:r>
      <w:r w:rsidR="004F50F3">
        <w:t xml:space="preserve"> or incentive.</w:t>
      </w:r>
    </w:p>
    <w:p w:rsidR="003F1C7A" w:rsidRDefault="003F1C7A"/>
    <w:p w:rsidR="003F1C7A" w:rsidRDefault="003F1C7A">
      <w:pPr>
        <w:rPr>
          <w:i/>
        </w:rPr>
      </w:pPr>
      <w:r>
        <w:rPr>
          <w:b/>
        </w:rPr>
        <w:t>BURDEN HOUR COMPUTATION</w:t>
      </w:r>
      <w:r>
        <w:t xml:space="preserve"> </w:t>
      </w:r>
      <w:r>
        <w:rPr>
          <w:i/>
        </w:rPr>
        <w:t>(Number of responses (X) estimated response or participation time in minutes (/60) = annual burden hours):</w:t>
      </w:r>
    </w:p>
    <w:p w:rsidR="00670388" w:rsidRDefault="00670388">
      <w:pPr>
        <w:rPr>
          <w:i/>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440"/>
        <w:gridCol w:w="1800"/>
        <w:gridCol w:w="1260"/>
        <w:gridCol w:w="1080"/>
        <w:gridCol w:w="990"/>
        <w:gridCol w:w="1368"/>
      </w:tblGrid>
      <w:tr w:rsidR="00670388" w:rsidRPr="00670388" w:rsidTr="00670388">
        <w:trPr>
          <w:trHeight w:val="1493"/>
        </w:trPr>
        <w:tc>
          <w:tcPr>
            <w:tcW w:w="1620" w:type="dxa"/>
            <w:tcBorders>
              <w:top w:val="single" w:sz="4" w:space="0" w:color="000000"/>
              <w:left w:val="single" w:sz="4" w:space="0" w:color="000000"/>
              <w:bottom w:val="single" w:sz="12" w:space="0" w:color="000000"/>
              <w:right w:val="single" w:sz="4" w:space="0" w:color="000000"/>
            </w:tcBorders>
            <w:shd w:val="clear" w:color="auto" w:fill="D9D9D9"/>
            <w:vAlign w:val="center"/>
            <w:hideMark/>
          </w:tcPr>
          <w:p w:rsidR="00670388" w:rsidRPr="00670388" w:rsidRDefault="00670388" w:rsidP="00670388">
            <w:pPr>
              <w:spacing w:line="276" w:lineRule="auto"/>
              <w:ind w:left="72"/>
              <w:rPr>
                <w:rFonts w:ascii="Cambria" w:hAnsi="Cambria"/>
                <w:sz w:val="22"/>
                <w:szCs w:val="22"/>
              </w:rPr>
            </w:pPr>
            <w:r w:rsidRPr="00670388">
              <w:rPr>
                <w:rFonts w:ascii="Cambria" w:hAnsi="Cambria"/>
                <w:sz w:val="22"/>
                <w:szCs w:val="22"/>
              </w:rPr>
              <w:t>Type of Respondent</w:t>
            </w:r>
          </w:p>
        </w:tc>
        <w:tc>
          <w:tcPr>
            <w:tcW w:w="1440" w:type="dxa"/>
            <w:tcBorders>
              <w:top w:val="single" w:sz="4" w:space="0" w:color="000000"/>
              <w:left w:val="single" w:sz="4" w:space="0" w:color="000000"/>
              <w:bottom w:val="single" w:sz="12" w:space="0" w:color="000000"/>
              <w:right w:val="single" w:sz="4" w:space="0" w:color="000000"/>
            </w:tcBorders>
            <w:shd w:val="clear" w:color="auto" w:fill="D9D9D9"/>
            <w:vAlign w:val="center"/>
            <w:hideMark/>
          </w:tcPr>
          <w:p w:rsidR="00670388" w:rsidRPr="00670388" w:rsidRDefault="00670388" w:rsidP="00670388">
            <w:pPr>
              <w:spacing w:line="276" w:lineRule="auto"/>
              <w:ind w:left="72"/>
              <w:rPr>
                <w:rFonts w:ascii="Cambria" w:hAnsi="Cambria"/>
                <w:sz w:val="22"/>
                <w:szCs w:val="22"/>
              </w:rPr>
            </w:pPr>
            <w:r w:rsidRPr="00670388">
              <w:rPr>
                <w:rFonts w:ascii="Cambria" w:hAnsi="Cambria"/>
                <w:sz w:val="22"/>
                <w:szCs w:val="22"/>
              </w:rPr>
              <w:t>No. of Respondents</w:t>
            </w:r>
          </w:p>
        </w:tc>
        <w:tc>
          <w:tcPr>
            <w:tcW w:w="1800" w:type="dxa"/>
            <w:tcBorders>
              <w:top w:val="single" w:sz="4" w:space="0" w:color="000000"/>
              <w:left w:val="single" w:sz="4" w:space="0" w:color="000000"/>
              <w:bottom w:val="single" w:sz="12" w:space="0" w:color="000000"/>
              <w:right w:val="single" w:sz="4" w:space="0" w:color="000000"/>
            </w:tcBorders>
            <w:shd w:val="clear" w:color="auto" w:fill="D9D9D9"/>
            <w:vAlign w:val="center"/>
            <w:hideMark/>
          </w:tcPr>
          <w:p w:rsidR="00670388" w:rsidRPr="00670388" w:rsidRDefault="00670388" w:rsidP="00670388">
            <w:pPr>
              <w:spacing w:line="276" w:lineRule="auto"/>
              <w:ind w:left="72"/>
              <w:rPr>
                <w:rFonts w:ascii="Cambria" w:hAnsi="Cambria"/>
                <w:sz w:val="22"/>
                <w:szCs w:val="22"/>
              </w:rPr>
            </w:pPr>
            <w:r w:rsidRPr="00670388">
              <w:rPr>
                <w:rFonts w:ascii="Cambria" w:hAnsi="Cambria"/>
                <w:sz w:val="22"/>
                <w:szCs w:val="22"/>
              </w:rPr>
              <w:t>No. of Responses per Respondent</w:t>
            </w:r>
          </w:p>
        </w:tc>
        <w:tc>
          <w:tcPr>
            <w:tcW w:w="1260" w:type="dxa"/>
            <w:tcBorders>
              <w:top w:val="single" w:sz="4" w:space="0" w:color="000000"/>
              <w:left w:val="single" w:sz="4" w:space="0" w:color="000000"/>
              <w:bottom w:val="single" w:sz="12" w:space="0" w:color="000000"/>
              <w:right w:val="single" w:sz="4" w:space="0" w:color="000000"/>
            </w:tcBorders>
            <w:shd w:val="clear" w:color="auto" w:fill="D9D9D9"/>
            <w:vAlign w:val="center"/>
            <w:hideMark/>
          </w:tcPr>
          <w:p w:rsidR="00670388" w:rsidRPr="00670388" w:rsidRDefault="00670388" w:rsidP="00670388">
            <w:pPr>
              <w:spacing w:line="276" w:lineRule="auto"/>
              <w:ind w:left="72"/>
              <w:rPr>
                <w:rFonts w:ascii="Cambria" w:hAnsi="Cambria"/>
                <w:sz w:val="22"/>
                <w:szCs w:val="22"/>
              </w:rPr>
            </w:pPr>
            <w:r w:rsidRPr="00670388">
              <w:rPr>
                <w:rFonts w:ascii="Cambria" w:hAnsi="Cambria"/>
                <w:sz w:val="22"/>
                <w:szCs w:val="22"/>
              </w:rPr>
              <w:t>Average Burden per Response (in hours)</w:t>
            </w:r>
          </w:p>
        </w:tc>
        <w:tc>
          <w:tcPr>
            <w:tcW w:w="1080" w:type="dxa"/>
            <w:tcBorders>
              <w:top w:val="single" w:sz="4" w:space="0" w:color="000000"/>
              <w:left w:val="single" w:sz="4" w:space="0" w:color="000000"/>
              <w:bottom w:val="single" w:sz="12" w:space="0" w:color="000000"/>
              <w:right w:val="single" w:sz="4" w:space="0" w:color="000000"/>
            </w:tcBorders>
            <w:shd w:val="clear" w:color="auto" w:fill="D9D9D9"/>
            <w:vAlign w:val="center"/>
            <w:hideMark/>
          </w:tcPr>
          <w:p w:rsidR="00670388" w:rsidRPr="00670388" w:rsidRDefault="00670388" w:rsidP="00670388">
            <w:pPr>
              <w:spacing w:line="276" w:lineRule="auto"/>
              <w:ind w:left="72"/>
              <w:rPr>
                <w:rFonts w:ascii="Cambria" w:hAnsi="Cambria"/>
                <w:sz w:val="22"/>
                <w:szCs w:val="22"/>
              </w:rPr>
            </w:pPr>
            <w:r w:rsidRPr="00670388">
              <w:rPr>
                <w:rFonts w:ascii="Cambria" w:hAnsi="Cambria"/>
                <w:sz w:val="22"/>
                <w:szCs w:val="22"/>
              </w:rPr>
              <w:t>Total Burden Hours</w:t>
            </w:r>
          </w:p>
        </w:tc>
        <w:tc>
          <w:tcPr>
            <w:tcW w:w="990" w:type="dxa"/>
            <w:tcBorders>
              <w:top w:val="single" w:sz="4" w:space="0" w:color="000000"/>
              <w:left w:val="single" w:sz="4" w:space="0" w:color="000000"/>
              <w:bottom w:val="single" w:sz="12" w:space="0" w:color="000000"/>
              <w:right w:val="single" w:sz="4" w:space="0" w:color="000000"/>
            </w:tcBorders>
            <w:shd w:val="clear" w:color="auto" w:fill="D9D9D9"/>
            <w:vAlign w:val="center"/>
            <w:hideMark/>
          </w:tcPr>
          <w:p w:rsidR="00670388" w:rsidRPr="00670388" w:rsidRDefault="00670388" w:rsidP="00670388">
            <w:pPr>
              <w:spacing w:line="276" w:lineRule="auto"/>
              <w:ind w:left="72"/>
              <w:rPr>
                <w:rFonts w:ascii="Cambria" w:hAnsi="Cambria"/>
                <w:sz w:val="22"/>
                <w:szCs w:val="22"/>
              </w:rPr>
            </w:pPr>
            <w:r w:rsidRPr="00670388">
              <w:rPr>
                <w:rFonts w:ascii="Cambria" w:hAnsi="Cambria"/>
                <w:sz w:val="22"/>
                <w:szCs w:val="22"/>
              </w:rPr>
              <w:t>Hourly Wage Rate</w:t>
            </w:r>
          </w:p>
        </w:tc>
        <w:tc>
          <w:tcPr>
            <w:tcW w:w="1368" w:type="dxa"/>
            <w:tcBorders>
              <w:top w:val="single" w:sz="4" w:space="0" w:color="000000"/>
              <w:left w:val="single" w:sz="4" w:space="0" w:color="000000"/>
              <w:bottom w:val="single" w:sz="12" w:space="0" w:color="000000"/>
              <w:right w:val="single" w:sz="4" w:space="0" w:color="000000"/>
            </w:tcBorders>
            <w:shd w:val="clear" w:color="auto" w:fill="D9D9D9"/>
            <w:vAlign w:val="center"/>
            <w:hideMark/>
          </w:tcPr>
          <w:p w:rsidR="00670388" w:rsidRPr="00670388" w:rsidRDefault="00670388" w:rsidP="00670388">
            <w:pPr>
              <w:spacing w:line="276" w:lineRule="auto"/>
              <w:ind w:left="72"/>
              <w:rPr>
                <w:rFonts w:ascii="Cambria" w:hAnsi="Cambria"/>
                <w:sz w:val="22"/>
                <w:szCs w:val="22"/>
              </w:rPr>
            </w:pPr>
            <w:r w:rsidRPr="00670388">
              <w:rPr>
                <w:rFonts w:ascii="Cambria" w:hAnsi="Cambria"/>
                <w:sz w:val="22"/>
                <w:szCs w:val="22"/>
              </w:rPr>
              <w:t>Total Respondent Costs</w:t>
            </w:r>
          </w:p>
        </w:tc>
      </w:tr>
      <w:tr w:rsidR="00670388" w:rsidRPr="00670388" w:rsidTr="00F13E1F">
        <w:tc>
          <w:tcPr>
            <w:tcW w:w="1620" w:type="dxa"/>
            <w:tcBorders>
              <w:top w:val="single" w:sz="12" w:space="0" w:color="000000"/>
              <w:left w:val="single" w:sz="4" w:space="0" w:color="000000"/>
              <w:bottom w:val="single" w:sz="4" w:space="0" w:color="000000"/>
              <w:right w:val="single" w:sz="4" w:space="0" w:color="000000"/>
            </w:tcBorders>
            <w:vAlign w:val="center"/>
            <w:hideMark/>
          </w:tcPr>
          <w:p w:rsidR="00670388" w:rsidRPr="00670388" w:rsidRDefault="00670388" w:rsidP="00670388">
            <w:pPr>
              <w:spacing w:line="276" w:lineRule="auto"/>
              <w:ind w:left="72"/>
              <w:rPr>
                <w:rFonts w:ascii="Cambria" w:hAnsi="Cambria"/>
                <w:sz w:val="22"/>
                <w:szCs w:val="22"/>
              </w:rPr>
            </w:pPr>
            <w:r>
              <w:rPr>
                <w:rFonts w:ascii="Cambria" w:hAnsi="Cambria"/>
                <w:sz w:val="22"/>
                <w:szCs w:val="22"/>
              </w:rPr>
              <w:t xml:space="preserve">Private Sector, </w:t>
            </w:r>
            <w:r w:rsidRPr="00670388">
              <w:rPr>
                <w:rFonts w:ascii="Cambria" w:hAnsi="Cambria"/>
                <w:sz w:val="22"/>
                <w:szCs w:val="22"/>
              </w:rPr>
              <w:t>State</w:t>
            </w:r>
            <w:r>
              <w:rPr>
                <w:rFonts w:ascii="Cambria" w:hAnsi="Cambria"/>
                <w:sz w:val="22"/>
                <w:szCs w:val="22"/>
              </w:rPr>
              <w:t>, &amp; Local</w:t>
            </w:r>
            <w:r w:rsidRPr="00670388">
              <w:rPr>
                <w:rFonts w:ascii="Cambria" w:hAnsi="Cambria"/>
                <w:sz w:val="22"/>
                <w:szCs w:val="22"/>
              </w:rPr>
              <w:t xml:space="preserve"> Partners</w:t>
            </w:r>
          </w:p>
        </w:tc>
        <w:tc>
          <w:tcPr>
            <w:tcW w:w="1440" w:type="dxa"/>
            <w:tcBorders>
              <w:top w:val="single" w:sz="12" w:space="0" w:color="000000"/>
              <w:left w:val="single" w:sz="4" w:space="0" w:color="000000"/>
              <w:bottom w:val="single" w:sz="4" w:space="0" w:color="000000"/>
              <w:right w:val="single" w:sz="4" w:space="0" w:color="000000"/>
            </w:tcBorders>
            <w:vAlign w:val="center"/>
            <w:hideMark/>
          </w:tcPr>
          <w:p w:rsidR="00670388" w:rsidRPr="00670388" w:rsidRDefault="00670388" w:rsidP="00670388">
            <w:pPr>
              <w:spacing w:line="276" w:lineRule="auto"/>
              <w:ind w:left="72"/>
              <w:rPr>
                <w:rFonts w:ascii="Cambria" w:hAnsi="Cambria"/>
                <w:sz w:val="22"/>
                <w:szCs w:val="22"/>
              </w:rPr>
            </w:pPr>
            <w:r w:rsidRPr="00670388">
              <w:rPr>
                <w:rFonts w:ascii="Cambria" w:hAnsi="Cambria"/>
                <w:sz w:val="22"/>
                <w:szCs w:val="22"/>
              </w:rPr>
              <w:t>50</w:t>
            </w:r>
          </w:p>
        </w:tc>
        <w:tc>
          <w:tcPr>
            <w:tcW w:w="1800" w:type="dxa"/>
            <w:tcBorders>
              <w:top w:val="single" w:sz="12" w:space="0" w:color="000000"/>
              <w:left w:val="single" w:sz="4" w:space="0" w:color="000000"/>
              <w:bottom w:val="single" w:sz="4" w:space="0" w:color="000000"/>
              <w:right w:val="single" w:sz="4" w:space="0" w:color="000000"/>
            </w:tcBorders>
            <w:vAlign w:val="center"/>
            <w:hideMark/>
          </w:tcPr>
          <w:p w:rsidR="00670388" w:rsidRPr="00670388" w:rsidRDefault="00670388" w:rsidP="00670388">
            <w:pPr>
              <w:spacing w:line="276" w:lineRule="auto"/>
              <w:ind w:left="72"/>
              <w:rPr>
                <w:rFonts w:ascii="Cambria" w:hAnsi="Cambria"/>
                <w:sz w:val="22"/>
                <w:szCs w:val="22"/>
              </w:rPr>
            </w:pPr>
            <w:r w:rsidRPr="00670388">
              <w:rPr>
                <w:rFonts w:ascii="Cambria" w:hAnsi="Cambria"/>
                <w:sz w:val="22"/>
                <w:szCs w:val="22"/>
              </w:rPr>
              <w:t>1</w:t>
            </w:r>
          </w:p>
        </w:tc>
        <w:tc>
          <w:tcPr>
            <w:tcW w:w="1260" w:type="dxa"/>
            <w:tcBorders>
              <w:top w:val="single" w:sz="12" w:space="0" w:color="000000"/>
              <w:left w:val="single" w:sz="4" w:space="0" w:color="000000"/>
              <w:bottom w:val="single" w:sz="4" w:space="0" w:color="000000"/>
              <w:right w:val="single" w:sz="4" w:space="0" w:color="000000"/>
            </w:tcBorders>
            <w:vAlign w:val="center"/>
            <w:hideMark/>
          </w:tcPr>
          <w:p w:rsidR="00670388" w:rsidRPr="00670388" w:rsidRDefault="00670388" w:rsidP="00670388">
            <w:pPr>
              <w:spacing w:line="276" w:lineRule="auto"/>
              <w:ind w:left="72"/>
              <w:rPr>
                <w:rFonts w:ascii="Cambria" w:hAnsi="Cambria"/>
                <w:sz w:val="22"/>
                <w:szCs w:val="22"/>
              </w:rPr>
            </w:pPr>
            <w:r w:rsidRPr="00670388">
              <w:rPr>
                <w:rFonts w:ascii="Cambria" w:hAnsi="Cambria"/>
                <w:sz w:val="22"/>
                <w:szCs w:val="22"/>
              </w:rPr>
              <w:t>1</w:t>
            </w:r>
          </w:p>
        </w:tc>
        <w:tc>
          <w:tcPr>
            <w:tcW w:w="1080" w:type="dxa"/>
            <w:tcBorders>
              <w:top w:val="single" w:sz="12" w:space="0" w:color="000000"/>
              <w:left w:val="single" w:sz="4" w:space="0" w:color="000000"/>
              <w:bottom w:val="single" w:sz="4" w:space="0" w:color="000000"/>
              <w:right w:val="single" w:sz="4" w:space="0" w:color="000000"/>
            </w:tcBorders>
            <w:vAlign w:val="center"/>
            <w:hideMark/>
          </w:tcPr>
          <w:p w:rsidR="00670388" w:rsidRPr="00670388" w:rsidRDefault="00670388" w:rsidP="00670388">
            <w:pPr>
              <w:spacing w:line="276" w:lineRule="auto"/>
              <w:ind w:left="72"/>
              <w:rPr>
                <w:rFonts w:ascii="Cambria" w:hAnsi="Cambria"/>
                <w:sz w:val="22"/>
                <w:szCs w:val="22"/>
              </w:rPr>
            </w:pPr>
            <w:r w:rsidRPr="00670388">
              <w:rPr>
                <w:rFonts w:ascii="Cambria" w:hAnsi="Cambria"/>
                <w:sz w:val="22"/>
                <w:szCs w:val="22"/>
              </w:rPr>
              <w:t>50</w:t>
            </w:r>
          </w:p>
        </w:tc>
        <w:tc>
          <w:tcPr>
            <w:tcW w:w="990" w:type="dxa"/>
            <w:tcBorders>
              <w:top w:val="single" w:sz="12" w:space="0" w:color="000000"/>
              <w:left w:val="single" w:sz="4" w:space="0" w:color="000000"/>
              <w:bottom w:val="single" w:sz="4" w:space="0" w:color="000000"/>
              <w:right w:val="single" w:sz="4" w:space="0" w:color="000000"/>
            </w:tcBorders>
            <w:vAlign w:val="center"/>
            <w:hideMark/>
          </w:tcPr>
          <w:p w:rsidR="00670388" w:rsidRPr="00670388" w:rsidRDefault="00670388" w:rsidP="00670388">
            <w:pPr>
              <w:spacing w:line="276" w:lineRule="auto"/>
              <w:ind w:left="72"/>
              <w:rPr>
                <w:rFonts w:ascii="Cambria" w:hAnsi="Cambria"/>
                <w:sz w:val="22"/>
                <w:szCs w:val="22"/>
              </w:rPr>
            </w:pPr>
            <w:r w:rsidRPr="00670388">
              <w:rPr>
                <w:rFonts w:ascii="Cambria" w:hAnsi="Cambria"/>
                <w:sz w:val="22"/>
                <w:szCs w:val="22"/>
              </w:rPr>
              <w:t>$34.21</w:t>
            </w:r>
          </w:p>
        </w:tc>
        <w:tc>
          <w:tcPr>
            <w:tcW w:w="1368" w:type="dxa"/>
            <w:tcBorders>
              <w:top w:val="single" w:sz="12" w:space="0" w:color="000000"/>
              <w:left w:val="single" w:sz="4" w:space="0" w:color="000000"/>
              <w:bottom w:val="single" w:sz="4" w:space="0" w:color="000000"/>
              <w:right w:val="single" w:sz="4" w:space="0" w:color="000000"/>
            </w:tcBorders>
            <w:vAlign w:val="center"/>
            <w:hideMark/>
          </w:tcPr>
          <w:p w:rsidR="00670388" w:rsidRPr="00670388" w:rsidRDefault="00670388" w:rsidP="00670388">
            <w:pPr>
              <w:spacing w:line="276" w:lineRule="auto"/>
              <w:ind w:left="72"/>
              <w:rPr>
                <w:rFonts w:ascii="Cambria" w:hAnsi="Cambria"/>
                <w:sz w:val="22"/>
                <w:szCs w:val="22"/>
              </w:rPr>
            </w:pPr>
            <w:r w:rsidRPr="00670388">
              <w:rPr>
                <w:rFonts w:ascii="Cambria" w:hAnsi="Cambria"/>
                <w:sz w:val="22"/>
                <w:szCs w:val="22"/>
              </w:rPr>
              <w:t>$1,710.50</w:t>
            </w:r>
          </w:p>
        </w:tc>
      </w:tr>
      <w:tr w:rsidR="00670388" w:rsidRPr="00670388" w:rsidTr="00670388">
        <w:trPr>
          <w:trHeight w:hRule="exact" w:val="432"/>
        </w:trPr>
        <w:tc>
          <w:tcPr>
            <w:tcW w:w="1620" w:type="dxa"/>
            <w:tcBorders>
              <w:top w:val="single" w:sz="4" w:space="0" w:color="000000"/>
              <w:left w:val="single" w:sz="4" w:space="0" w:color="000000"/>
              <w:bottom w:val="single" w:sz="4" w:space="0" w:color="000000"/>
              <w:right w:val="single" w:sz="4" w:space="0" w:color="000000"/>
            </w:tcBorders>
            <w:vAlign w:val="center"/>
            <w:hideMark/>
          </w:tcPr>
          <w:p w:rsidR="00670388" w:rsidRPr="00670388" w:rsidRDefault="00670388" w:rsidP="00670388">
            <w:pPr>
              <w:spacing w:line="276" w:lineRule="auto"/>
              <w:ind w:left="72"/>
              <w:rPr>
                <w:rFonts w:ascii="Cambria" w:hAnsi="Cambria"/>
                <w:sz w:val="22"/>
                <w:szCs w:val="22"/>
              </w:rPr>
            </w:pPr>
            <w:r w:rsidRPr="00670388">
              <w:rPr>
                <w:rFonts w:ascii="Cambria" w:hAnsi="Cambria"/>
                <w:sz w:val="22"/>
                <w:szCs w:val="22"/>
              </w:rPr>
              <w:t>TOTALS</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70388" w:rsidRPr="00670388" w:rsidRDefault="00670388" w:rsidP="00670388">
            <w:pPr>
              <w:spacing w:line="276" w:lineRule="auto"/>
              <w:ind w:left="72"/>
              <w:rPr>
                <w:rFonts w:ascii="Cambria" w:hAnsi="Cambria"/>
                <w:sz w:val="22"/>
                <w:szCs w:val="22"/>
              </w:rPr>
            </w:pPr>
            <w:r w:rsidRPr="00670388">
              <w:rPr>
                <w:rFonts w:ascii="Cambria" w:hAnsi="Cambria"/>
                <w:sz w:val="22"/>
                <w:szCs w:val="22"/>
              </w:rPr>
              <w:t>50</w:t>
            </w:r>
          </w:p>
        </w:tc>
        <w:tc>
          <w:tcPr>
            <w:tcW w:w="1800" w:type="dxa"/>
            <w:tcBorders>
              <w:top w:val="single" w:sz="4" w:space="0" w:color="000000"/>
              <w:left w:val="single" w:sz="4" w:space="0" w:color="000000"/>
              <w:bottom w:val="single" w:sz="4" w:space="0" w:color="000000"/>
              <w:right w:val="single" w:sz="4" w:space="0" w:color="000000"/>
            </w:tcBorders>
            <w:vAlign w:val="center"/>
          </w:tcPr>
          <w:p w:rsidR="00670388" w:rsidRPr="00670388" w:rsidRDefault="00670388" w:rsidP="00670388">
            <w:pPr>
              <w:spacing w:line="276" w:lineRule="auto"/>
              <w:ind w:left="72"/>
              <w:rPr>
                <w:rFonts w:ascii="Cambria" w:hAnsi="Cambria"/>
                <w:sz w:val="22"/>
                <w:szCs w:val="22"/>
              </w:rPr>
            </w:pPr>
            <w:r w:rsidRPr="00670388">
              <w:rPr>
                <w:rFonts w:ascii="Cambria" w:hAnsi="Cambria"/>
                <w:sz w:val="22"/>
                <w:szCs w:val="22"/>
              </w:rPr>
              <w:t>50</w:t>
            </w:r>
          </w:p>
        </w:tc>
        <w:tc>
          <w:tcPr>
            <w:tcW w:w="12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70388" w:rsidRPr="00670388" w:rsidRDefault="00670388" w:rsidP="00670388">
            <w:pPr>
              <w:spacing w:line="276" w:lineRule="auto"/>
              <w:ind w:left="72"/>
              <w:rPr>
                <w:rFonts w:ascii="Cambria" w:hAnsi="Cambria"/>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70388" w:rsidRPr="00670388" w:rsidRDefault="00670388" w:rsidP="00670388">
            <w:pPr>
              <w:spacing w:line="276" w:lineRule="auto"/>
              <w:ind w:left="72"/>
              <w:rPr>
                <w:rFonts w:ascii="Cambria" w:hAnsi="Cambria"/>
                <w:sz w:val="22"/>
                <w:szCs w:val="22"/>
              </w:rPr>
            </w:pPr>
            <w:r w:rsidRPr="00670388">
              <w:rPr>
                <w:rFonts w:ascii="Cambria" w:hAnsi="Cambria"/>
                <w:sz w:val="22"/>
                <w:szCs w:val="22"/>
              </w:rPr>
              <w:t xml:space="preserve"> 50</w:t>
            </w:r>
          </w:p>
        </w:tc>
        <w:tc>
          <w:tcPr>
            <w:tcW w:w="99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70388" w:rsidRPr="00670388" w:rsidRDefault="00670388" w:rsidP="00670388">
            <w:pPr>
              <w:spacing w:line="276" w:lineRule="auto"/>
              <w:ind w:left="72"/>
              <w:rPr>
                <w:rFonts w:ascii="Cambria" w:hAnsi="Cambria"/>
                <w:sz w:val="22"/>
                <w:szCs w:val="22"/>
              </w:rPr>
            </w:pPr>
          </w:p>
        </w:tc>
        <w:tc>
          <w:tcPr>
            <w:tcW w:w="1368" w:type="dxa"/>
            <w:tcBorders>
              <w:top w:val="single" w:sz="4" w:space="0" w:color="000000"/>
              <w:left w:val="single" w:sz="4" w:space="0" w:color="000000"/>
              <w:bottom w:val="single" w:sz="4" w:space="0" w:color="000000"/>
              <w:right w:val="single" w:sz="4" w:space="0" w:color="000000"/>
            </w:tcBorders>
            <w:vAlign w:val="center"/>
            <w:hideMark/>
          </w:tcPr>
          <w:p w:rsidR="00670388" w:rsidRPr="00670388" w:rsidRDefault="00670388" w:rsidP="00670388">
            <w:pPr>
              <w:spacing w:line="276" w:lineRule="auto"/>
              <w:ind w:left="72"/>
              <w:rPr>
                <w:rFonts w:ascii="Cambria" w:hAnsi="Cambria"/>
                <w:sz w:val="22"/>
                <w:szCs w:val="22"/>
              </w:rPr>
            </w:pPr>
            <w:r w:rsidRPr="00670388">
              <w:rPr>
                <w:rFonts w:ascii="Cambria" w:hAnsi="Cambria"/>
                <w:sz w:val="22"/>
                <w:szCs w:val="22"/>
              </w:rPr>
              <w:t>$1,710.50</w:t>
            </w:r>
          </w:p>
        </w:tc>
      </w:tr>
    </w:tbl>
    <w:p w:rsidR="003F1C7A" w:rsidRDefault="003F1C7A">
      <w:pPr>
        <w:keepNext/>
        <w:keepLines/>
        <w:rPr>
          <w:b/>
        </w:rPr>
      </w:pPr>
    </w:p>
    <w:p w:rsidR="003F1C7A" w:rsidRDefault="003F1C7A"/>
    <w:p w:rsidR="003F1C7A" w:rsidRDefault="003F1C7A">
      <w:pPr>
        <w:spacing w:after="120"/>
        <w:rPr>
          <w:b/>
        </w:rPr>
      </w:pPr>
      <w:r>
        <w:rPr>
          <w:b/>
        </w:rPr>
        <w:t>BURDEN COST COMPUTATION</w:t>
      </w:r>
    </w:p>
    <w:tbl>
      <w:tblPr>
        <w:tblStyle w:val="TableGrid"/>
        <w:tblW w:w="0" w:type="auto"/>
        <w:tblLook w:val="04A0" w:firstRow="1" w:lastRow="0" w:firstColumn="1" w:lastColumn="0" w:noHBand="0" w:noVBand="1"/>
      </w:tblPr>
      <w:tblGrid>
        <w:gridCol w:w="4196"/>
        <w:gridCol w:w="1968"/>
        <w:gridCol w:w="1706"/>
        <w:gridCol w:w="1706"/>
      </w:tblGrid>
      <w:tr w:rsidR="00670388" w:rsidRPr="00670388" w:rsidTr="00670388">
        <w:trPr>
          <w:trHeight w:val="593"/>
        </w:trPr>
        <w:tc>
          <w:tcPr>
            <w:tcW w:w="4518" w:type="dxa"/>
            <w:tcBorders>
              <w:top w:val="single" w:sz="4" w:space="0" w:color="auto"/>
              <w:left w:val="single" w:sz="4" w:space="0" w:color="auto"/>
              <w:bottom w:val="single" w:sz="12" w:space="0" w:color="auto"/>
              <w:right w:val="single" w:sz="4" w:space="0" w:color="auto"/>
            </w:tcBorders>
            <w:shd w:val="clear" w:color="auto" w:fill="D9D9D9"/>
            <w:vAlign w:val="center"/>
            <w:hideMark/>
          </w:tcPr>
          <w:p w:rsidR="00670388" w:rsidRPr="00670388" w:rsidRDefault="00670388" w:rsidP="00670388">
            <w:pPr>
              <w:ind w:left="720"/>
              <w:rPr>
                <w:rFonts w:ascii="Cambria" w:eastAsia="Times New Roman" w:hAnsi="Cambria"/>
                <w:sz w:val="22"/>
                <w:szCs w:val="22"/>
              </w:rPr>
            </w:pPr>
            <w:r w:rsidRPr="00670388">
              <w:rPr>
                <w:rFonts w:ascii="Cambria" w:eastAsia="Times New Roman" w:hAnsi="Cambria"/>
                <w:sz w:val="22"/>
                <w:szCs w:val="22"/>
              </w:rPr>
              <w:t xml:space="preserve">Staff (FTE) </w:t>
            </w:r>
          </w:p>
        </w:tc>
        <w:tc>
          <w:tcPr>
            <w:tcW w:w="1980" w:type="dxa"/>
            <w:tcBorders>
              <w:top w:val="single" w:sz="4" w:space="0" w:color="auto"/>
              <w:left w:val="single" w:sz="4" w:space="0" w:color="auto"/>
              <w:bottom w:val="single" w:sz="12" w:space="0" w:color="auto"/>
              <w:right w:val="single" w:sz="4" w:space="0" w:color="auto"/>
            </w:tcBorders>
            <w:shd w:val="clear" w:color="auto" w:fill="D9D9D9"/>
            <w:vAlign w:val="center"/>
            <w:hideMark/>
          </w:tcPr>
          <w:p w:rsidR="00670388" w:rsidRPr="00670388" w:rsidRDefault="00670388" w:rsidP="00670388">
            <w:pPr>
              <w:ind w:left="720"/>
              <w:rPr>
                <w:rFonts w:ascii="Cambria" w:eastAsia="Times New Roman" w:hAnsi="Cambria"/>
                <w:sz w:val="22"/>
                <w:szCs w:val="22"/>
              </w:rPr>
            </w:pPr>
            <w:r w:rsidRPr="00670388">
              <w:rPr>
                <w:rFonts w:ascii="Cambria" w:eastAsia="Times New Roman" w:hAnsi="Cambria"/>
                <w:sz w:val="22"/>
                <w:szCs w:val="22"/>
              </w:rPr>
              <w:t>Average Hours per Collection</w:t>
            </w:r>
          </w:p>
        </w:tc>
        <w:tc>
          <w:tcPr>
            <w:tcW w:w="1620" w:type="dxa"/>
            <w:tcBorders>
              <w:top w:val="single" w:sz="4" w:space="0" w:color="auto"/>
              <w:left w:val="single" w:sz="4" w:space="0" w:color="auto"/>
              <w:bottom w:val="single" w:sz="12" w:space="0" w:color="auto"/>
              <w:right w:val="single" w:sz="4" w:space="0" w:color="auto"/>
            </w:tcBorders>
            <w:shd w:val="clear" w:color="auto" w:fill="D9D9D9"/>
            <w:vAlign w:val="center"/>
            <w:hideMark/>
          </w:tcPr>
          <w:p w:rsidR="00670388" w:rsidRPr="00670388" w:rsidRDefault="00670388" w:rsidP="00670388">
            <w:pPr>
              <w:ind w:left="720"/>
              <w:rPr>
                <w:rFonts w:ascii="Cambria" w:eastAsia="Times New Roman" w:hAnsi="Cambria"/>
                <w:sz w:val="22"/>
                <w:szCs w:val="22"/>
              </w:rPr>
            </w:pPr>
            <w:r w:rsidRPr="00670388">
              <w:rPr>
                <w:rFonts w:ascii="Cambria" w:eastAsia="Times New Roman" w:hAnsi="Cambria"/>
                <w:sz w:val="22"/>
                <w:szCs w:val="22"/>
              </w:rPr>
              <w:t>Average Hourly Rate</w:t>
            </w:r>
          </w:p>
        </w:tc>
        <w:tc>
          <w:tcPr>
            <w:tcW w:w="1458" w:type="dxa"/>
            <w:tcBorders>
              <w:top w:val="single" w:sz="4" w:space="0" w:color="auto"/>
              <w:left w:val="single" w:sz="4" w:space="0" w:color="auto"/>
              <w:bottom w:val="single" w:sz="12" w:space="0" w:color="auto"/>
              <w:right w:val="single" w:sz="4" w:space="0" w:color="auto"/>
            </w:tcBorders>
            <w:shd w:val="clear" w:color="auto" w:fill="D9D9D9"/>
            <w:vAlign w:val="center"/>
            <w:hideMark/>
          </w:tcPr>
          <w:p w:rsidR="00670388" w:rsidRPr="00670388" w:rsidRDefault="00670388" w:rsidP="00670388">
            <w:pPr>
              <w:ind w:left="720"/>
              <w:rPr>
                <w:rFonts w:ascii="Cambria" w:eastAsia="Times New Roman" w:hAnsi="Cambria"/>
                <w:sz w:val="22"/>
                <w:szCs w:val="22"/>
              </w:rPr>
            </w:pPr>
            <w:r w:rsidRPr="00670388">
              <w:rPr>
                <w:rFonts w:ascii="Cambria" w:eastAsia="Times New Roman" w:hAnsi="Cambria"/>
                <w:sz w:val="22"/>
                <w:szCs w:val="22"/>
              </w:rPr>
              <w:t>Average Cost</w:t>
            </w:r>
          </w:p>
        </w:tc>
      </w:tr>
      <w:tr w:rsidR="00670388" w:rsidRPr="00670388" w:rsidTr="00F13E1F">
        <w:tc>
          <w:tcPr>
            <w:tcW w:w="4518" w:type="dxa"/>
            <w:tcBorders>
              <w:top w:val="single" w:sz="12" w:space="0" w:color="auto"/>
              <w:left w:val="single" w:sz="4" w:space="0" w:color="auto"/>
              <w:bottom w:val="single" w:sz="4" w:space="0" w:color="auto"/>
              <w:right w:val="single" w:sz="4" w:space="0" w:color="auto"/>
            </w:tcBorders>
            <w:hideMark/>
          </w:tcPr>
          <w:p w:rsidR="00670388" w:rsidRPr="00670388" w:rsidRDefault="00670388" w:rsidP="00670388">
            <w:pPr>
              <w:ind w:left="720"/>
              <w:rPr>
                <w:rFonts w:ascii="Cambria" w:eastAsia="Times New Roman" w:hAnsi="Cambria"/>
                <w:sz w:val="22"/>
                <w:szCs w:val="22"/>
              </w:rPr>
            </w:pPr>
            <w:r w:rsidRPr="00670388">
              <w:rPr>
                <w:rFonts w:ascii="Cambria" w:eastAsia="Times New Roman" w:hAnsi="Cambria"/>
                <w:sz w:val="22"/>
                <w:szCs w:val="22"/>
              </w:rPr>
              <w:t>Social Science Analyst, GS 11</w:t>
            </w:r>
          </w:p>
        </w:tc>
        <w:tc>
          <w:tcPr>
            <w:tcW w:w="1980" w:type="dxa"/>
            <w:tcBorders>
              <w:top w:val="single" w:sz="12" w:space="0" w:color="auto"/>
              <w:left w:val="single" w:sz="4" w:space="0" w:color="auto"/>
              <w:bottom w:val="single" w:sz="4" w:space="0" w:color="auto"/>
              <w:right w:val="single" w:sz="4" w:space="0" w:color="auto"/>
            </w:tcBorders>
            <w:hideMark/>
          </w:tcPr>
          <w:p w:rsidR="00670388" w:rsidRPr="00670388" w:rsidRDefault="00670388" w:rsidP="00670388">
            <w:pPr>
              <w:ind w:left="720"/>
              <w:rPr>
                <w:rFonts w:ascii="Cambria" w:eastAsia="Times New Roman" w:hAnsi="Cambria"/>
                <w:sz w:val="22"/>
                <w:szCs w:val="22"/>
              </w:rPr>
            </w:pPr>
            <w:r w:rsidRPr="00670388">
              <w:rPr>
                <w:rFonts w:ascii="Cambria" w:eastAsia="Times New Roman" w:hAnsi="Cambria"/>
                <w:sz w:val="22"/>
                <w:szCs w:val="22"/>
              </w:rPr>
              <w:t>30</w:t>
            </w:r>
          </w:p>
        </w:tc>
        <w:tc>
          <w:tcPr>
            <w:tcW w:w="1620" w:type="dxa"/>
            <w:tcBorders>
              <w:top w:val="single" w:sz="12" w:space="0" w:color="auto"/>
              <w:left w:val="single" w:sz="4" w:space="0" w:color="auto"/>
              <w:bottom w:val="single" w:sz="4" w:space="0" w:color="auto"/>
              <w:right w:val="single" w:sz="4" w:space="0" w:color="auto"/>
            </w:tcBorders>
            <w:hideMark/>
          </w:tcPr>
          <w:p w:rsidR="00670388" w:rsidRPr="00670388" w:rsidRDefault="00670388" w:rsidP="00670388">
            <w:pPr>
              <w:ind w:left="720"/>
              <w:rPr>
                <w:rFonts w:ascii="Cambria" w:eastAsia="Times New Roman" w:hAnsi="Cambria"/>
                <w:sz w:val="22"/>
                <w:szCs w:val="22"/>
              </w:rPr>
            </w:pPr>
            <w:r w:rsidRPr="00670388">
              <w:rPr>
                <w:rFonts w:ascii="Cambria" w:eastAsia="Times New Roman" w:hAnsi="Cambria"/>
                <w:sz w:val="22"/>
                <w:szCs w:val="22"/>
              </w:rPr>
              <w:t>33.00</w:t>
            </w:r>
          </w:p>
        </w:tc>
        <w:tc>
          <w:tcPr>
            <w:tcW w:w="1458" w:type="dxa"/>
            <w:tcBorders>
              <w:top w:val="single" w:sz="12" w:space="0" w:color="auto"/>
              <w:left w:val="single" w:sz="4" w:space="0" w:color="auto"/>
              <w:bottom w:val="single" w:sz="4" w:space="0" w:color="auto"/>
              <w:right w:val="single" w:sz="4" w:space="0" w:color="auto"/>
            </w:tcBorders>
            <w:hideMark/>
          </w:tcPr>
          <w:p w:rsidR="00670388" w:rsidRPr="00670388" w:rsidRDefault="00670388" w:rsidP="00670388">
            <w:pPr>
              <w:ind w:left="720"/>
              <w:rPr>
                <w:rFonts w:ascii="Cambria" w:eastAsia="Times New Roman" w:hAnsi="Cambria"/>
                <w:sz w:val="22"/>
                <w:szCs w:val="22"/>
              </w:rPr>
            </w:pPr>
            <w:r w:rsidRPr="00670388">
              <w:rPr>
                <w:rFonts w:ascii="Cambria" w:eastAsia="Times New Roman" w:hAnsi="Cambria"/>
                <w:sz w:val="22"/>
                <w:szCs w:val="22"/>
              </w:rPr>
              <w:t>$990</w:t>
            </w:r>
          </w:p>
        </w:tc>
      </w:tr>
      <w:tr w:rsidR="00670388" w:rsidRPr="00670388" w:rsidTr="00F13E1F">
        <w:tc>
          <w:tcPr>
            <w:tcW w:w="4518" w:type="dxa"/>
            <w:tcBorders>
              <w:top w:val="single" w:sz="4" w:space="0" w:color="auto"/>
              <w:left w:val="single" w:sz="4" w:space="0" w:color="auto"/>
              <w:bottom w:val="single" w:sz="4" w:space="0" w:color="auto"/>
              <w:right w:val="single" w:sz="4" w:space="0" w:color="auto"/>
            </w:tcBorders>
            <w:hideMark/>
          </w:tcPr>
          <w:p w:rsidR="00670388" w:rsidRPr="00670388" w:rsidRDefault="00670388" w:rsidP="00670388">
            <w:pPr>
              <w:ind w:left="720"/>
              <w:rPr>
                <w:rFonts w:ascii="Cambria" w:eastAsia="Times New Roman" w:hAnsi="Cambria"/>
                <w:sz w:val="22"/>
                <w:szCs w:val="22"/>
              </w:rPr>
            </w:pPr>
            <w:r w:rsidRPr="00670388">
              <w:rPr>
                <w:rFonts w:ascii="Cambria" w:eastAsia="Times New Roman" w:hAnsi="Cambria"/>
                <w:sz w:val="22"/>
                <w:szCs w:val="22"/>
              </w:rPr>
              <w:t>Social Science Analyst, GS 15</w:t>
            </w:r>
          </w:p>
        </w:tc>
        <w:tc>
          <w:tcPr>
            <w:tcW w:w="1980" w:type="dxa"/>
            <w:tcBorders>
              <w:top w:val="single" w:sz="4" w:space="0" w:color="auto"/>
              <w:left w:val="single" w:sz="4" w:space="0" w:color="auto"/>
              <w:bottom w:val="single" w:sz="4" w:space="0" w:color="auto"/>
              <w:right w:val="single" w:sz="4" w:space="0" w:color="auto"/>
            </w:tcBorders>
            <w:hideMark/>
          </w:tcPr>
          <w:p w:rsidR="00670388" w:rsidRPr="00670388" w:rsidRDefault="00670388" w:rsidP="00670388">
            <w:pPr>
              <w:ind w:left="720"/>
              <w:rPr>
                <w:rFonts w:ascii="Cambria" w:eastAsia="Times New Roman" w:hAnsi="Cambria"/>
                <w:sz w:val="22"/>
                <w:szCs w:val="22"/>
              </w:rPr>
            </w:pPr>
            <w:r w:rsidRPr="00670388">
              <w:rPr>
                <w:rFonts w:ascii="Cambria" w:eastAsia="Times New Roman" w:hAnsi="Cambria"/>
                <w:sz w:val="22"/>
                <w:szCs w:val="22"/>
              </w:rPr>
              <w:t>20</w:t>
            </w:r>
          </w:p>
        </w:tc>
        <w:tc>
          <w:tcPr>
            <w:tcW w:w="1620" w:type="dxa"/>
            <w:tcBorders>
              <w:top w:val="single" w:sz="4" w:space="0" w:color="auto"/>
              <w:left w:val="single" w:sz="4" w:space="0" w:color="auto"/>
              <w:bottom w:val="single" w:sz="4" w:space="0" w:color="auto"/>
              <w:right w:val="single" w:sz="4" w:space="0" w:color="auto"/>
            </w:tcBorders>
            <w:hideMark/>
          </w:tcPr>
          <w:p w:rsidR="00670388" w:rsidRPr="00670388" w:rsidRDefault="00670388" w:rsidP="00670388">
            <w:pPr>
              <w:ind w:left="720"/>
              <w:rPr>
                <w:rFonts w:ascii="Cambria" w:eastAsia="Times New Roman" w:hAnsi="Cambria"/>
                <w:sz w:val="22"/>
                <w:szCs w:val="22"/>
              </w:rPr>
            </w:pPr>
            <w:r w:rsidRPr="00670388">
              <w:rPr>
                <w:rFonts w:ascii="Cambria" w:eastAsia="Times New Roman" w:hAnsi="Cambria"/>
                <w:sz w:val="22"/>
                <w:szCs w:val="22"/>
              </w:rPr>
              <w:t>76.00</w:t>
            </w:r>
          </w:p>
        </w:tc>
        <w:tc>
          <w:tcPr>
            <w:tcW w:w="1458" w:type="dxa"/>
            <w:tcBorders>
              <w:top w:val="single" w:sz="4" w:space="0" w:color="auto"/>
              <w:left w:val="single" w:sz="4" w:space="0" w:color="auto"/>
              <w:bottom w:val="single" w:sz="4" w:space="0" w:color="auto"/>
              <w:right w:val="single" w:sz="4" w:space="0" w:color="auto"/>
            </w:tcBorders>
            <w:hideMark/>
          </w:tcPr>
          <w:p w:rsidR="00670388" w:rsidRPr="00670388" w:rsidRDefault="00670388" w:rsidP="00670388">
            <w:pPr>
              <w:ind w:left="720"/>
              <w:rPr>
                <w:rFonts w:ascii="Cambria" w:eastAsia="Times New Roman" w:hAnsi="Cambria"/>
                <w:sz w:val="22"/>
                <w:szCs w:val="22"/>
              </w:rPr>
            </w:pPr>
            <w:r w:rsidRPr="00670388">
              <w:rPr>
                <w:rFonts w:ascii="Cambria" w:eastAsia="Times New Roman" w:hAnsi="Cambria"/>
                <w:sz w:val="22"/>
                <w:szCs w:val="22"/>
              </w:rPr>
              <w:t>$1,520</w:t>
            </w:r>
          </w:p>
        </w:tc>
      </w:tr>
      <w:tr w:rsidR="00670388" w:rsidRPr="00670388" w:rsidTr="00F13E1F">
        <w:tc>
          <w:tcPr>
            <w:tcW w:w="4518" w:type="dxa"/>
            <w:tcBorders>
              <w:top w:val="single" w:sz="4" w:space="0" w:color="auto"/>
              <w:left w:val="single" w:sz="4" w:space="0" w:color="auto"/>
              <w:bottom w:val="single" w:sz="4" w:space="0" w:color="auto"/>
              <w:right w:val="single" w:sz="4" w:space="0" w:color="auto"/>
            </w:tcBorders>
            <w:hideMark/>
          </w:tcPr>
          <w:p w:rsidR="00670388" w:rsidRPr="00670388" w:rsidRDefault="00670388" w:rsidP="00670388">
            <w:pPr>
              <w:ind w:left="720"/>
              <w:rPr>
                <w:rFonts w:ascii="Cambria" w:eastAsia="Times New Roman" w:hAnsi="Cambria"/>
                <w:sz w:val="22"/>
                <w:szCs w:val="22"/>
              </w:rPr>
            </w:pPr>
            <w:r w:rsidRPr="00670388">
              <w:rPr>
                <w:rFonts w:ascii="Cambria" w:eastAsia="Times New Roman" w:hAnsi="Cambria"/>
                <w:sz w:val="22"/>
                <w:szCs w:val="22"/>
              </w:rPr>
              <w:t xml:space="preserve"> </w:t>
            </w:r>
          </w:p>
        </w:tc>
        <w:tc>
          <w:tcPr>
            <w:tcW w:w="1980" w:type="dxa"/>
            <w:tcBorders>
              <w:top w:val="single" w:sz="4" w:space="0" w:color="auto"/>
              <w:left w:val="single" w:sz="4" w:space="0" w:color="auto"/>
              <w:bottom w:val="single" w:sz="4" w:space="0" w:color="auto"/>
              <w:right w:val="single" w:sz="4" w:space="0" w:color="auto"/>
            </w:tcBorders>
            <w:hideMark/>
          </w:tcPr>
          <w:p w:rsidR="00670388" w:rsidRPr="00670388" w:rsidRDefault="00670388" w:rsidP="00670388">
            <w:pPr>
              <w:ind w:left="720"/>
              <w:rPr>
                <w:rFonts w:ascii="Cambria" w:eastAsia="Times New Roman" w:hAnsi="Cambria"/>
                <w:sz w:val="22"/>
                <w:szCs w:val="22"/>
              </w:rPr>
            </w:pPr>
            <w:r w:rsidRPr="00670388">
              <w:rPr>
                <w:rFonts w:ascii="Cambria" w:eastAsia="Times New Roman" w:hAnsi="Cambria"/>
                <w:sz w:val="22"/>
                <w:szCs w:val="22"/>
              </w:rPr>
              <w:t xml:space="preserve"> </w:t>
            </w:r>
          </w:p>
        </w:tc>
        <w:tc>
          <w:tcPr>
            <w:tcW w:w="1620" w:type="dxa"/>
            <w:tcBorders>
              <w:top w:val="single" w:sz="4" w:space="0" w:color="auto"/>
              <w:left w:val="single" w:sz="4" w:space="0" w:color="auto"/>
              <w:bottom w:val="single" w:sz="4" w:space="0" w:color="auto"/>
              <w:right w:val="single" w:sz="4" w:space="0" w:color="auto"/>
            </w:tcBorders>
            <w:hideMark/>
          </w:tcPr>
          <w:p w:rsidR="00670388" w:rsidRPr="00670388" w:rsidRDefault="00670388" w:rsidP="00670388">
            <w:pPr>
              <w:ind w:left="720"/>
              <w:rPr>
                <w:rFonts w:ascii="Cambria" w:eastAsia="Times New Roman" w:hAnsi="Cambria"/>
                <w:sz w:val="22"/>
                <w:szCs w:val="22"/>
              </w:rPr>
            </w:pPr>
            <w:r w:rsidRPr="00670388">
              <w:rPr>
                <w:rFonts w:ascii="Cambria" w:eastAsia="Times New Roman" w:hAnsi="Cambria"/>
                <w:sz w:val="22"/>
                <w:szCs w:val="22"/>
              </w:rPr>
              <w:t xml:space="preserve"> </w:t>
            </w:r>
          </w:p>
        </w:tc>
        <w:tc>
          <w:tcPr>
            <w:tcW w:w="1458" w:type="dxa"/>
            <w:tcBorders>
              <w:top w:val="single" w:sz="4" w:space="0" w:color="auto"/>
              <w:left w:val="single" w:sz="4" w:space="0" w:color="auto"/>
              <w:bottom w:val="single" w:sz="4" w:space="0" w:color="auto"/>
              <w:right w:val="single" w:sz="4" w:space="0" w:color="auto"/>
            </w:tcBorders>
            <w:hideMark/>
          </w:tcPr>
          <w:p w:rsidR="00670388" w:rsidRPr="00670388" w:rsidRDefault="00670388" w:rsidP="00670388">
            <w:pPr>
              <w:ind w:left="720"/>
              <w:rPr>
                <w:rFonts w:ascii="Cambria" w:eastAsia="Times New Roman" w:hAnsi="Cambria"/>
                <w:sz w:val="22"/>
                <w:szCs w:val="22"/>
              </w:rPr>
            </w:pPr>
            <w:r w:rsidRPr="00670388">
              <w:rPr>
                <w:rFonts w:ascii="Cambria" w:eastAsia="Times New Roman" w:hAnsi="Cambria"/>
                <w:sz w:val="22"/>
                <w:szCs w:val="22"/>
              </w:rPr>
              <w:t xml:space="preserve"> </w:t>
            </w:r>
          </w:p>
        </w:tc>
      </w:tr>
      <w:tr w:rsidR="00670388" w:rsidRPr="00670388" w:rsidTr="00F13E1F">
        <w:trPr>
          <w:trHeight w:val="332"/>
        </w:trPr>
        <w:tc>
          <w:tcPr>
            <w:tcW w:w="8118" w:type="dxa"/>
            <w:gridSpan w:val="3"/>
            <w:tcBorders>
              <w:top w:val="single" w:sz="4" w:space="0" w:color="auto"/>
              <w:left w:val="single" w:sz="4" w:space="0" w:color="auto"/>
              <w:bottom w:val="single" w:sz="4" w:space="0" w:color="auto"/>
              <w:right w:val="single" w:sz="4" w:space="0" w:color="auto"/>
            </w:tcBorders>
            <w:vAlign w:val="center"/>
            <w:hideMark/>
          </w:tcPr>
          <w:p w:rsidR="00670388" w:rsidRPr="00670388" w:rsidRDefault="00670388" w:rsidP="00670388">
            <w:pPr>
              <w:ind w:left="720"/>
              <w:rPr>
                <w:rFonts w:ascii="Cambria" w:eastAsia="Times New Roman" w:hAnsi="Cambria"/>
                <w:sz w:val="22"/>
                <w:szCs w:val="22"/>
              </w:rPr>
            </w:pPr>
            <w:r w:rsidRPr="00670388">
              <w:rPr>
                <w:rFonts w:ascii="Cambria" w:eastAsia="Times New Roman" w:hAnsi="Cambria"/>
                <w:sz w:val="22"/>
                <w:szCs w:val="22"/>
              </w:rPr>
              <w:t>Estimated Total Cost of Information Collection</w:t>
            </w:r>
          </w:p>
        </w:tc>
        <w:tc>
          <w:tcPr>
            <w:tcW w:w="1458" w:type="dxa"/>
            <w:tcBorders>
              <w:top w:val="single" w:sz="4" w:space="0" w:color="auto"/>
              <w:left w:val="single" w:sz="4" w:space="0" w:color="auto"/>
              <w:bottom w:val="single" w:sz="4" w:space="0" w:color="auto"/>
              <w:right w:val="single" w:sz="4" w:space="0" w:color="auto"/>
            </w:tcBorders>
            <w:vAlign w:val="center"/>
            <w:hideMark/>
          </w:tcPr>
          <w:p w:rsidR="00670388" w:rsidRPr="00670388" w:rsidRDefault="00670388" w:rsidP="00670388">
            <w:pPr>
              <w:ind w:left="720"/>
              <w:rPr>
                <w:rFonts w:ascii="Cambria" w:eastAsia="Times New Roman" w:hAnsi="Cambria"/>
                <w:sz w:val="22"/>
                <w:szCs w:val="22"/>
              </w:rPr>
            </w:pPr>
            <w:r w:rsidRPr="00670388">
              <w:rPr>
                <w:rFonts w:ascii="Cambria" w:eastAsia="Times New Roman" w:hAnsi="Cambria"/>
                <w:sz w:val="22"/>
                <w:szCs w:val="22"/>
              </w:rPr>
              <w:t>$2,510</w:t>
            </w:r>
          </w:p>
        </w:tc>
      </w:tr>
    </w:tbl>
    <w:p w:rsidR="0037375D" w:rsidRDefault="0037375D">
      <w:pPr>
        <w:pStyle w:val="BodyTextIndent"/>
        <w:tabs>
          <w:tab w:val="left" w:pos="360"/>
        </w:tabs>
        <w:spacing w:after="120"/>
        <w:ind w:left="0"/>
        <w:rPr>
          <w:bCs/>
          <w:sz w:val="24"/>
        </w:rPr>
      </w:pPr>
    </w:p>
    <w:p w:rsidR="003F1C7A" w:rsidRDefault="0037375D">
      <w:pPr>
        <w:pStyle w:val="BodyTextIndent"/>
        <w:tabs>
          <w:tab w:val="left" w:pos="360"/>
        </w:tabs>
        <w:spacing w:after="120"/>
        <w:ind w:left="0"/>
        <w:rPr>
          <w:b/>
          <w:bCs/>
          <w:sz w:val="24"/>
        </w:rPr>
      </w:pPr>
      <w:r>
        <w:rPr>
          <w:b/>
          <w:bCs/>
          <w:sz w:val="24"/>
          <w:u w:val="single"/>
        </w:rPr>
        <w:t>OTHER SUPPORTING</w:t>
      </w:r>
      <w:r w:rsidR="003F1C7A">
        <w:rPr>
          <w:b/>
          <w:bCs/>
          <w:sz w:val="24"/>
          <w:u w:val="single"/>
        </w:rPr>
        <w:t xml:space="preserve"> INFORMATION</w:t>
      </w:r>
      <w:r w:rsidR="003F1C7A">
        <w:rPr>
          <w:b/>
          <w:bCs/>
          <w:sz w:val="24"/>
        </w:rPr>
        <w:t xml:space="preserve"> </w:t>
      </w:r>
    </w:p>
    <w:p w:rsidR="003F1C7A" w:rsidRDefault="003F1C7A">
      <w:pPr>
        <w:pStyle w:val="Header"/>
        <w:widowControl/>
        <w:tabs>
          <w:tab w:val="clear" w:pos="4320"/>
          <w:tab w:val="clear" w:pos="8640"/>
        </w:tabs>
        <w:rPr>
          <w:snapToGrid/>
        </w:rPr>
      </w:pPr>
    </w:p>
    <w:p w:rsidR="003F1C7A" w:rsidRDefault="003F1C7A">
      <w:pPr>
        <w:rPr>
          <w:b/>
        </w:rPr>
      </w:pPr>
      <w:r>
        <w:rPr>
          <w:b/>
        </w:rPr>
        <w:t xml:space="preserve">REQUESTED APPROVAL DATE:  </w:t>
      </w:r>
      <w:r w:rsidR="00BA26BF">
        <w:t>February</w:t>
      </w:r>
      <w:r w:rsidR="00151EBD">
        <w:t xml:space="preserve"> 15</w:t>
      </w:r>
      <w:r w:rsidR="00ED67D5">
        <w:t>, 2015</w:t>
      </w:r>
    </w:p>
    <w:p w:rsidR="00F31B72" w:rsidRDefault="00F31B72">
      <w:pPr>
        <w:rPr>
          <w:b/>
        </w:rPr>
      </w:pPr>
    </w:p>
    <w:p w:rsidR="003F1C7A" w:rsidRPr="00494400" w:rsidRDefault="004F50F3">
      <w:pPr>
        <w:rPr>
          <w:color w:val="1F497D"/>
        </w:rPr>
      </w:pPr>
      <w:r>
        <w:rPr>
          <w:b/>
        </w:rPr>
        <w:t xml:space="preserve">NAME OF CONTACT PERSON: </w:t>
      </w:r>
      <w:r>
        <w:t>Daniel Duplantier</w:t>
      </w:r>
      <w:r w:rsidR="00494400" w:rsidRPr="00494400">
        <w:t xml:space="preserve">, Contracting Officer Representative, </w:t>
      </w:r>
      <w:r>
        <w:t>Social Science</w:t>
      </w:r>
      <w:r w:rsidR="00494400" w:rsidRPr="00494400">
        <w:t xml:space="preserve"> Analyst, HHS/ASPE</w:t>
      </w:r>
    </w:p>
    <w:p w:rsidR="003F1C7A" w:rsidRDefault="003F1C7A"/>
    <w:p w:rsidR="0037375D" w:rsidRDefault="00494400">
      <w:pPr>
        <w:rPr>
          <w:b/>
        </w:rPr>
      </w:pPr>
      <w:r>
        <w:rPr>
          <w:b/>
        </w:rPr>
        <w:t xml:space="preserve">TELEPHONE NUMBER:  </w:t>
      </w:r>
      <w:r w:rsidR="004F50F3">
        <w:t>202.260.6544; Daniel.duplantier</w:t>
      </w:r>
      <w:r w:rsidRPr="00494400">
        <w:t>@hhs.gov</w:t>
      </w:r>
    </w:p>
    <w:p w:rsidR="0037375D" w:rsidRDefault="0037375D"/>
    <w:p w:rsidR="003F1C7A" w:rsidRPr="00494400" w:rsidRDefault="003F1C7A">
      <w:pPr>
        <w:tabs>
          <w:tab w:val="left" w:pos="5670"/>
        </w:tabs>
        <w:suppressAutoHyphens/>
      </w:pPr>
      <w:r>
        <w:rPr>
          <w:b/>
        </w:rPr>
        <w:t>DEPARTMENT</w:t>
      </w:r>
      <w:r w:rsidR="0037375D">
        <w:rPr>
          <w:b/>
        </w:rPr>
        <w:t>/O</w:t>
      </w:r>
      <w:r>
        <w:rPr>
          <w:b/>
        </w:rPr>
        <w:t>FFICE</w:t>
      </w:r>
      <w:r w:rsidR="0037375D">
        <w:rPr>
          <w:b/>
        </w:rPr>
        <w:t>/BUREAU</w:t>
      </w:r>
      <w:r>
        <w:rPr>
          <w:b/>
        </w:rPr>
        <w:t xml:space="preserve">: </w:t>
      </w:r>
      <w:r w:rsidR="00494400" w:rsidRPr="00494400">
        <w:t>U.S. Department of Health and Human Services (HHS), Assistant Secretary of Planning and Evaluation (ASPE)</w:t>
      </w:r>
      <w:r w:rsidR="004F50F3">
        <w:t>, Science and Data Policy (SDP)</w:t>
      </w:r>
    </w:p>
    <w:sectPr w:rsidR="003F1C7A" w:rsidRPr="00494400" w:rsidSect="00D95F55">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328" w:rsidRDefault="00945328">
      <w:r>
        <w:separator/>
      </w:r>
    </w:p>
  </w:endnote>
  <w:endnote w:type="continuationSeparator" w:id="0">
    <w:p w:rsidR="00945328" w:rsidRDefault="00945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F55" w:rsidRDefault="00D95F55">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04E7C">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328" w:rsidRDefault="00945328">
      <w:r>
        <w:separator/>
      </w:r>
    </w:p>
  </w:footnote>
  <w:footnote w:type="continuationSeparator" w:id="0">
    <w:p w:rsidR="00945328" w:rsidRDefault="009453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5CABE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012D7B"/>
    <w:multiLevelType w:val="singleLevel"/>
    <w:tmpl w:val="44735331"/>
    <w:lvl w:ilvl="0">
      <w:numFmt w:val="bullet"/>
      <w:lvlText w:val="·"/>
      <w:lvlJc w:val="left"/>
      <w:pPr>
        <w:tabs>
          <w:tab w:val="num" w:pos="1440"/>
        </w:tabs>
        <w:ind w:left="1440" w:hanging="360"/>
      </w:pPr>
      <w:rPr>
        <w:rFonts w:ascii="Symbol" w:hAnsi="Symbol" w:cs="Symbol" w:hint="default"/>
        <w:color w:val="000000"/>
      </w:rPr>
    </w:lvl>
  </w:abstractNum>
  <w:abstractNum w:abstractNumId="2">
    <w:nsid w:val="01E5509A"/>
    <w:multiLevelType w:val="hybridMultilevel"/>
    <w:tmpl w:val="6B7A9A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6C550A"/>
    <w:multiLevelType w:val="singleLevel"/>
    <w:tmpl w:val="241A6F21"/>
    <w:lvl w:ilvl="0">
      <w:numFmt w:val="bullet"/>
      <w:lvlText w:val="n"/>
      <w:lvlJc w:val="left"/>
      <w:pPr>
        <w:tabs>
          <w:tab w:val="num" w:pos="1800"/>
        </w:tabs>
        <w:ind w:left="1800" w:hanging="576"/>
      </w:pPr>
      <w:rPr>
        <w:rFonts w:ascii="Wingdings" w:hAnsi="Wingdings" w:cs="Wingdings" w:hint="default"/>
        <w:color w:val="000000"/>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E645C6B"/>
    <w:multiLevelType w:val="singleLevel"/>
    <w:tmpl w:val="4DA19B50"/>
    <w:lvl w:ilvl="0">
      <w:numFmt w:val="bullet"/>
      <w:lvlText w:val="·"/>
      <w:lvlJc w:val="left"/>
      <w:pPr>
        <w:tabs>
          <w:tab w:val="num" w:pos="1440"/>
        </w:tabs>
        <w:ind w:left="1440" w:hanging="360"/>
      </w:pPr>
      <w:rPr>
        <w:rFonts w:ascii="Symbol" w:hAnsi="Symbol" w:cs="Symbol" w:hint="default"/>
        <w:color w:val="000000"/>
      </w:rPr>
    </w:lvl>
  </w:abstractNum>
  <w:abstractNum w:abstractNumId="10">
    <w:nsid w:val="300746F5"/>
    <w:multiLevelType w:val="hybridMultilevel"/>
    <w:tmpl w:val="B8AE79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2">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49F1852"/>
    <w:multiLevelType w:val="multilevel"/>
    <w:tmpl w:val="6B7A9A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nsid w:val="6C0D07D9"/>
    <w:multiLevelType w:val="hybridMultilevel"/>
    <w:tmpl w:val="5C7699B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8"/>
  </w:num>
  <w:num w:numId="3">
    <w:abstractNumId w:val="17"/>
  </w:num>
  <w:num w:numId="4">
    <w:abstractNumId w:val="19"/>
  </w:num>
  <w:num w:numId="5">
    <w:abstractNumId w:val="5"/>
  </w:num>
  <w:num w:numId="6">
    <w:abstractNumId w:val="3"/>
  </w:num>
  <w:num w:numId="7">
    <w:abstractNumId w:val="11"/>
  </w:num>
  <w:num w:numId="8">
    <w:abstractNumId w:val="15"/>
  </w:num>
  <w:num w:numId="9">
    <w:abstractNumId w:val="12"/>
  </w:num>
  <w:num w:numId="10">
    <w:abstractNumId w:val="4"/>
  </w:num>
  <w:num w:numId="11">
    <w:abstractNumId w:val="6"/>
  </w:num>
  <w:num w:numId="12">
    <w:abstractNumId w:val="8"/>
  </w:num>
  <w:num w:numId="13">
    <w:abstractNumId w:val="2"/>
  </w:num>
  <w:num w:numId="14">
    <w:abstractNumId w:val="10"/>
  </w:num>
  <w:num w:numId="15">
    <w:abstractNumId w:val="16"/>
  </w:num>
  <w:num w:numId="16">
    <w:abstractNumId w:val="14"/>
  </w:num>
  <w:num w:numId="17">
    <w:abstractNumId w:val="1"/>
  </w:num>
  <w:num w:numId="18">
    <w:abstractNumId w:val="9"/>
  </w:num>
  <w:num w:numId="19">
    <w:abstractNumId w:val="7"/>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F5B"/>
    <w:rsid w:val="000237E3"/>
    <w:rsid w:val="00080DA7"/>
    <w:rsid w:val="000B52E6"/>
    <w:rsid w:val="001515CD"/>
    <w:rsid w:val="00151EBD"/>
    <w:rsid w:val="001676D4"/>
    <w:rsid w:val="001977DC"/>
    <w:rsid w:val="001D4084"/>
    <w:rsid w:val="002451ED"/>
    <w:rsid w:val="002541BA"/>
    <w:rsid w:val="0027429E"/>
    <w:rsid w:val="002E2C45"/>
    <w:rsid w:val="00305C1A"/>
    <w:rsid w:val="00307977"/>
    <w:rsid w:val="00311FFC"/>
    <w:rsid w:val="00331A65"/>
    <w:rsid w:val="0037375D"/>
    <w:rsid w:val="003F1C7A"/>
    <w:rsid w:val="003F6582"/>
    <w:rsid w:val="00403932"/>
    <w:rsid w:val="00421A22"/>
    <w:rsid w:val="00427DF3"/>
    <w:rsid w:val="004441C8"/>
    <w:rsid w:val="00451C2D"/>
    <w:rsid w:val="00466B22"/>
    <w:rsid w:val="00494400"/>
    <w:rsid w:val="004C35B5"/>
    <w:rsid w:val="004F50F3"/>
    <w:rsid w:val="00500D70"/>
    <w:rsid w:val="00515B88"/>
    <w:rsid w:val="00525D6B"/>
    <w:rsid w:val="00590193"/>
    <w:rsid w:val="00604D2F"/>
    <w:rsid w:val="00646229"/>
    <w:rsid w:val="00670388"/>
    <w:rsid w:val="006A22F2"/>
    <w:rsid w:val="00744F5B"/>
    <w:rsid w:val="007A3FD1"/>
    <w:rsid w:val="007C1653"/>
    <w:rsid w:val="007D068A"/>
    <w:rsid w:val="007D2536"/>
    <w:rsid w:val="007D7115"/>
    <w:rsid w:val="00812981"/>
    <w:rsid w:val="00867D63"/>
    <w:rsid w:val="00895649"/>
    <w:rsid w:val="008A6905"/>
    <w:rsid w:val="008B6DF7"/>
    <w:rsid w:val="00945328"/>
    <w:rsid w:val="00974A13"/>
    <w:rsid w:val="00A333FF"/>
    <w:rsid w:val="00AA071E"/>
    <w:rsid w:val="00B0212C"/>
    <w:rsid w:val="00B35A7B"/>
    <w:rsid w:val="00B654D8"/>
    <w:rsid w:val="00B85163"/>
    <w:rsid w:val="00B913B9"/>
    <w:rsid w:val="00BA26BF"/>
    <w:rsid w:val="00BF22FA"/>
    <w:rsid w:val="00C80ACA"/>
    <w:rsid w:val="00D629B1"/>
    <w:rsid w:val="00D74E92"/>
    <w:rsid w:val="00D77E9E"/>
    <w:rsid w:val="00D90313"/>
    <w:rsid w:val="00D93469"/>
    <w:rsid w:val="00D95F55"/>
    <w:rsid w:val="00DB1E3E"/>
    <w:rsid w:val="00E26798"/>
    <w:rsid w:val="00E377D5"/>
    <w:rsid w:val="00E5147B"/>
    <w:rsid w:val="00E750F6"/>
    <w:rsid w:val="00E75964"/>
    <w:rsid w:val="00EB6C38"/>
    <w:rsid w:val="00ED67D5"/>
    <w:rsid w:val="00F04E7C"/>
    <w:rsid w:val="00F31B72"/>
    <w:rsid w:val="00F36698"/>
    <w:rsid w:val="00F73A47"/>
    <w:rsid w:val="00FD0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ColorfulList-Accent1">
    <w:name w:val="Colorful List Accent 1"/>
    <w:basedOn w:val="Normal"/>
    <w:link w:val="ColorfulList-Accent1Char"/>
    <w:uiPriority w:val="34"/>
    <w:qFormat/>
    <w:rsid w:val="00E26798"/>
    <w:pPr>
      <w:ind w:left="720"/>
    </w:pPr>
  </w:style>
  <w:style w:type="paragraph" w:styleId="FootnoteText">
    <w:name w:val="footnote text"/>
    <w:basedOn w:val="Normal"/>
    <w:link w:val="FootnoteTextChar"/>
    <w:uiPriority w:val="99"/>
    <w:semiHidden/>
    <w:unhideWhenUsed/>
    <w:rsid w:val="00515B88"/>
    <w:rPr>
      <w:rFonts w:eastAsia="Calibri"/>
      <w:sz w:val="20"/>
      <w:szCs w:val="20"/>
    </w:rPr>
  </w:style>
  <w:style w:type="character" w:customStyle="1" w:styleId="FootnoteTextChar">
    <w:name w:val="Footnote Text Char"/>
    <w:link w:val="FootnoteText"/>
    <w:uiPriority w:val="99"/>
    <w:semiHidden/>
    <w:rsid w:val="00515B88"/>
    <w:rPr>
      <w:rFonts w:eastAsia="Calibri"/>
    </w:rPr>
  </w:style>
  <w:style w:type="character" w:styleId="FootnoteReference">
    <w:name w:val="footnote reference"/>
    <w:uiPriority w:val="99"/>
    <w:semiHidden/>
    <w:unhideWhenUsed/>
    <w:rsid w:val="00515B88"/>
    <w:rPr>
      <w:vertAlign w:val="superscript"/>
    </w:rPr>
  </w:style>
  <w:style w:type="character" w:styleId="CommentReference">
    <w:name w:val="annotation reference"/>
    <w:uiPriority w:val="99"/>
    <w:semiHidden/>
    <w:unhideWhenUsed/>
    <w:rsid w:val="00F31B72"/>
    <w:rPr>
      <w:sz w:val="16"/>
      <w:szCs w:val="16"/>
    </w:rPr>
  </w:style>
  <w:style w:type="paragraph" w:styleId="CommentText">
    <w:name w:val="annotation text"/>
    <w:basedOn w:val="Normal"/>
    <w:link w:val="CommentTextChar"/>
    <w:uiPriority w:val="99"/>
    <w:semiHidden/>
    <w:unhideWhenUsed/>
    <w:rsid w:val="00F31B72"/>
    <w:rPr>
      <w:sz w:val="20"/>
      <w:szCs w:val="20"/>
    </w:rPr>
  </w:style>
  <w:style w:type="character" w:customStyle="1" w:styleId="CommentTextChar">
    <w:name w:val="Comment Text Char"/>
    <w:basedOn w:val="DefaultParagraphFont"/>
    <w:link w:val="CommentText"/>
    <w:uiPriority w:val="99"/>
    <w:semiHidden/>
    <w:rsid w:val="00F31B72"/>
  </w:style>
  <w:style w:type="paragraph" w:styleId="CommentSubject">
    <w:name w:val="annotation subject"/>
    <w:basedOn w:val="CommentText"/>
    <w:next w:val="CommentText"/>
    <w:link w:val="CommentSubjectChar"/>
    <w:uiPriority w:val="99"/>
    <w:semiHidden/>
    <w:unhideWhenUsed/>
    <w:rsid w:val="00F31B72"/>
    <w:rPr>
      <w:b/>
      <w:bCs/>
    </w:rPr>
  </w:style>
  <w:style w:type="character" w:customStyle="1" w:styleId="CommentSubjectChar">
    <w:name w:val="Comment Subject Char"/>
    <w:link w:val="CommentSubject"/>
    <w:uiPriority w:val="99"/>
    <w:semiHidden/>
    <w:rsid w:val="00F31B72"/>
    <w:rPr>
      <w:b/>
      <w:bCs/>
    </w:rPr>
  </w:style>
  <w:style w:type="character" w:customStyle="1" w:styleId="ColorfulList-Accent1Char">
    <w:name w:val="Colorful List - Accent 1 Char"/>
    <w:link w:val="ColorfulList-Accent1"/>
    <w:uiPriority w:val="34"/>
    <w:locked/>
    <w:rsid w:val="00D95F55"/>
    <w:rPr>
      <w:sz w:val="24"/>
      <w:szCs w:val="24"/>
    </w:rPr>
  </w:style>
  <w:style w:type="table" w:styleId="TableGrid">
    <w:name w:val="Table Grid"/>
    <w:basedOn w:val="TableNormal"/>
    <w:uiPriority w:val="59"/>
    <w:rsid w:val="00670388"/>
    <w:rPr>
      <w:rFonts w:ascii="Calibri" w:eastAsia="MS Mincho"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ColorfulList-Accent1">
    <w:name w:val="Colorful List Accent 1"/>
    <w:basedOn w:val="Normal"/>
    <w:link w:val="ColorfulList-Accent1Char"/>
    <w:uiPriority w:val="34"/>
    <w:qFormat/>
    <w:rsid w:val="00E26798"/>
    <w:pPr>
      <w:ind w:left="720"/>
    </w:pPr>
  </w:style>
  <w:style w:type="paragraph" w:styleId="FootnoteText">
    <w:name w:val="footnote text"/>
    <w:basedOn w:val="Normal"/>
    <w:link w:val="FootnoteTextChar"/>
    <w:uiPriority w:val="99"/>
    <w:semiHidden/>
    <w:unhideWhenUsed/>
    <w:rsid w:val="00515B88"/>
    <w:rPr>
      <w:rFonts w:eastAsia="Calibri"/>
      <w:sz w:val="20"/>
      <w:szCs w:val="20"/>
    </w:rPr>
  </w:style>
  <w:style w:type="character" w:customStyle="1" w:styleId="FootnoteTextChar">
    <w:name w:val="Footnote Text Char"/>
    <w:link w:val="FootnoteText"/>
    <w:uiPriority w:val="99"/>
    <w:semiHidden/>
    <w:rsid w:val="00515B88"/>
    <w:rPr>
      <w:rFonts w:eastAsia="Calibri"/>
    </w:rPr>
  </w:style>
  <w:style w:type="character" w:styleId="FootnoteReference">
    <w:name w:val="footnote reference"/>
    <w:uiPriority w:val="99"/>
    <w:semiHidden/>
    <w:unhideWhenUsed/>
    <w:rsid w:val="00515B88"/>
    <w:rPr>
      <w:vertAlign w:val="superscript"/>
    </w:rPr>
  </w:style>
  <w:style w:type="character" w:styleId="CommentReference">
    <w:name w:val="annotation reference"/>
    <w:uiPriority w:val="99"/>
    <w:semiHidden/>
    <w:unhideWhenUsed/>
    <w:rsid w:val="00F31B72"/>
    <w:rPr>
      <w:sz w:val="16"/>
      <w:szCs w:val="16"/>
    </w:rPr>
  </w:style>
  <w:style w:type="paragraph" w:styleId="CommentText">
    <w:name w:val="annotation text"/>
    <w:basedOn w:val="Normal"/>
    <w:link w:val="CommentTextChar"/>
    <w:uiPriority w:val="99"/>
    <w:semiHidden/>
    <w:unhideWhenUsed/>
    <w:rsid w:val="00F31B72"/>
    <w:rPr>
      <w:sz w:val="20"/>
      <w:szCs w:val="20"/>
    </w:rPr>
  </w:style>
  <w:style w:type="character" w:customStyle="1" w:styleId="CommentTextChar">
    <w:name w:val="Comment Text Char"/>
    <w:basedOn w:val="DefaultParagraphFont"/>
    <w:link w:val="CommentText"/>
    <w:uiPriority w:val="99"/>
    <w:semiHidden/>
    <w:rsid w:val="00F31B72"/>
  </w:style>
  <w:style w:type="paragraph" w:styleId="CommentSubject">
    <w:name w:val="annotation subject"/>
    <w:basedOn w:val="CommentText"/>
    <w:next w:val="CommentText"/>
    <w:link w:val="CommentSubjectChar"/>
    <w:uiPriority w:val="99"/>
    <w:semiHidden/>
    <w:unhideWhenUsed/>
    <w:rsid w:val="00F31B72"/>
    <w:rPr>
      <w:b/>
      <w:bCs/>
    </w:rPr>
  </w:style>
  <w:style w:type="character" w:customStyle="1" w:styleId="CommentSubjectChar">
    <w:name w:val="Comment Subject Char"/>
    <w:link w:val="CommentSubject"/>
    <w:uiPriority w:val="99"/>
    <w:semiHidden/>
    <w:rsid w:val="00F31B72"/>
    <w:rPr>
      <w:b/>
      <w:bCs/>
    </w:rPr>
  </w:style>
  <w:style w:type="character" w:customStyle="1" w:styleId="ColorfulList-Accent1Char">
    <w:name w:val="Colorful List - Accent 1 Char"/>
    <w:link w:val="ColorfulList-Accent1"/>
    <w:uiPriority w:val="34"/>
    <w:locked/>
    <w:rsid w:val="00D95F55"/>
    <w:rPr>
      <w:sz w:val="24"/>
      <w:szCs w:val="24"/>
    </w:rPr>
  </w:style>
  <w:style w:type="table" w:styleId="TableGrid">
    <w:name w:val="Table Grid"/>
    <w:basedOn w:val="TableNormal"/>
    <w:uiPriority w:val="59"/>
    <w:rsid w:val="00670388"/>
    <w:rPr>
      <w:rFonts w:ascii="Calibri" w:eastAsia="MS Mincho"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412013">
      <w:bodyDiv w:val="1"/>
      <w:marLeft w:val="0"/>
      <w:marRight w:val="0"/>
      <w:marTop w:val="0"/>
      <w:marBottom w:val="0"/>
      <w:divBdr>
        <w:top w:val="none" w:sz="0" w:space="0" w:color="auto"/>
        <w:left w:val="none" w:sz="0" w:space="0" w:color="auto"/>
        <w:bottom w:val="none" w:sz="0" w:space="0" w:color="auto"/>
        <w:right w:val="none" w:sz="0" w:space="0" w:color="auto"/>
      </w:divBdr>
    </w:div>
    <w:div w:id="159620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DC946-5F7F-4799-A532-C5416C61B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OMBMemoMERCPtP</vt:lpstr>
    </vt:vector>
  </TitlesOfParts>
  <Company>SSI</Company>
  <LinksUpToDate>false</LinksUpToDate>
  <CharactersWithSpaces>4641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OMBMemoMERCPtP</dc:title>
  <dc:subject>MERC OMB MEP</dc:subject>
  <dc:creator>Hillabrant</dc:creator>
  <cp:keywords>MERC OMB MEP</cp:keywords>
  <cp:lastModifiedBy>Windows User</cp:lastModifiedBy>
  <cp:revision>2</cp:revision>
  <cp:lastPrinted>2014-07-24T17:07:00Z</cp:lastPrinted>
  <dcterms:created xsi:type="dcterms:W3CDTF">2016-01-29T17:30:00Z</dcterms:created>
  <dcterms:modified xsi:type="dcterms:W3CDTF">2016-01-29T17:30:00Z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