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DCF2E" w14:textId="77777777" w:rsidR="003F1C7A" w:rsidRDefault="003F1C7A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14:paraId="25F1C3D8" w14:textId="77777777" w:rsidR="003F1C7A" w:rsidRDefault="0037375D">
      <w:pPr>
        <w:jc w:val="center"/>
      </w:pPr>
      <w:r>
        <w:rPr>
          <w:b/>
          <w:sz w:val="28"/>
        </w:rPr>
        <w:t>FOR THE COLLECTION OF QUALITATIVE RESEARCH &amp; ASSESSMENT</w:t>
      </w:r>
    </w:p>
    <w:p w14:paraId="46F30EC8" w14:textId="77777777" w:rsidR="003F1C7A" w:rsidRDefault="003F1C7A"/>
    <w:p w14:paraId="758AFC46" w14:textId="77777777" w:rsidR="003F1C7A" w:rsidRDefault="00DA0CE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D838FB" wp14:editId="3D0EE5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C04A59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FFCFFAA" w14:textId="77777777" w:rsidR="003F1C7A" w:rsidRDefault="003F1C7A">
      <w:pPr>
        <w:spacing w:before="120"/>
        <w:rPr>
          <w:bCs/>
        </w:rPr>
      </w:pPr>
      <w:r>
        <w:rPr>
          <w:b/>
        </w:rPr>
        <w:t>TITLE OF INFORMATION COLLECTION:</w:t>
      </w:r>
      <w:r>
        <w:t xml:space="preserve">  </w:t>
      </w:r>
      <w:r w:rsidR="002A1D22">
        <w:t>A Scan of the Status of States’ Integration of Human Servic</w:t>
      </w:r>
      <w:r w:rsidR="00A174EC">
        <w:t>es and Health Insurance Programs</w:t>
      </w:r>
    </w:p>
    <w:p w14:paraId="57E90EDF" w14:textId="77777777" w:rsidR="003F1C7A" w:rsidRDefault="003F1C7A"/>
    <w:p w14:paraId="22EC736E" w14:textId="77777777" w:rsidR="0037375D" w:rsidRPr="0037375D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="0037375D" w:rsidRP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 xml:space="preserve">] </w:t>
      </w:r>
      <w:r w:rsidR="0037375D" w:rsidRPr="0037375D">
        <w:rPr>
          <w:b/>
          <w:bCs/>
          <w:sz w:val="24"/>
        </w:rPr>
        <w:t>INTERVIEWS</w:t>
      </w:r>
      <w:r w:rsidRP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ab/>
        <w:t xml:space="preserve">  </w:t>
      </w:r>
    </w:p>
    <w:p w14:paraId="64150472" w14:textId="77777777" w:rsidR="0037375D" w:rsidRP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SMALL DISCUSSION GROUPS</w:t>
      </w:r>
    </w:p>
    <w:p w14:paraId="1558802E" w14:textId="77777777" w:rsidR="003F1C7A" w:rsidRPr="0037375D" w:rsidRDefault="003F1C7A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FOCUS GROUP</w:t>
      </w:r>
      <w:r w:rsidR="0037375D" w:rsidRPr="0037375D">
        <w:rPr>
          <w:b/>
          <w:bCs/>
          <w:sz w:val="24"/>
        </w:rPr>
        <w:t>S</w:t>
      </w:r>
    </w:p>
    <w:p w14:paraId="7F3A145D" w14:textId="77777777" w:rsidR="002A1D22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="002A1D22">
        <w:rPr>
          <w:b/>
          <w:bCs/>
          <w:sz w:val="24"/>
        </w:rPr>
        <w:t>X</w:t>
      </w:r>
      <w:r w:rsidRPr="0037375D">
        <w:rPr>
          <w:b/>
          <w:bCs/>
          <w:sz w:val="24"/>
        </w:rPr>
        <w:t>] QUESTIONNAIRES</w:t>
      </w:r>
      <w:r w:rsidR="002A1D22">
        <w:rPr>
          <w:b/>
          <w:bCs/>
          <w:sz w:val="24"/>
        </w:rPr>
        <w:t xml:space="preserve"> </w:t>
      </w:r>
    </w:p>
    <w:p w14:paraId="722C21B4" w14:textId="77777777" w:rsidR="0037375D" w:rsidRPr="0037375D" w:rsidRDefault="0037375D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 OTHER (</w:t>
      </w:r>
      <w:proofErr w:type="gramStart"/>
      <w:r w:rsidRPr="0037375D">
        <w:rPr>
          <w:b/>
          <w:bCs/>
          <w:sz w:val="24"/>
        </w:rPr>
        <w:t>EXPLAIN:</w:t>
      </w:r>
      <w:proofErr w:type="gramEnd"/>
      <w:r w:rsidRPr="0037375D">
        <w:rPr>
          <w:b/>
          <w:bCs/>
          <w:sz w:val="24"/>
        </w:rPr>
        <w:t>)</w:t>
      </w:r>
    </w:p>
    <w:p w14:paraId="2215E237" w14:textId="77777777" w:rsidR="003F1C7A" w:rsidRDefault="003F1C7A">
      <w:pPr>
        <w:rPr>
          <w:b/>
        </w:rPr>
      </w:pPr>
    </w:p>
    <w:p w14:paraId="3C941A25" w14:textId="77777777" w:rsidR="003F1C7A" w:rsidRDefault="003F1C7A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14:paraId="18BBBFD5" w14:textId="77777777" w:rsidR="003F1C7A" w:rsidRDefault="0037375D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Intended purpose</w:t>
      </w:r>
      <w:r w:rsidR="002A1D22">
        <w:rPr>
          <w:b/>
        </w:rPr>
        <w:t xml:space="preserve">: </w:t>
      </w:r>
      <w:r w:rsidR="002A1D22">
        <w:t>To obtain information from state human services agencies on the status of their efforts to integrate and coordinate across human services programs and state Medicaid programs and state health insurance Marketplaces.</w:t>
      </w:r>
    </w:p>
    <w:p w14:paraId="75BAFF4E" w14:textId="77777777" w:rsidR="0037375D" w:rsidRDefault="0037375D" w:rsidP="0037375D">
      <w:pPr>
        <w:ind w:left="360"/>
      </w:pPr>
    </w:p>
    <w:p w14:paraId="21E144A1" w14:textId="77777777" w:rsidR="003F1C7A" w:rsidRDefault="003F1C7A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N</w:t>
      </w:r>
      <w:r w:rsidR="0037375D">
        <w:rPr>
          <w:b/>
        </w:rPr>
        <w:t>eed for the collection</w:t>
      </w:r>
      <w:r w:rsidR="002A1D22">
        <w:rPr>
          <w:b/>
        </w:rPr>
        <w:t>:</w:t>
      </w:r>
      <w:r w:rsidR="002A1D22">
        <w:t xml:space="preserve">  This information will help federal officials understand the extent of state health/human services integration after three Affordable Care Act open enrollment periods.  </w:t>
      </w:r>
    </w:p>
    <w:p w14:paraId="5A12A08A" w14:textId="77777777" w:rsidR="0037375D" w:rsidRDefault="0037375D" w:rsidP="0037375D"/>
    <w:p w14:paraId="17A5B5FC" w14:textId="77777777" w:rsidR="003F1C7A" w:rsidRDefault="0037375D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Planned use of the data</w:t>
      </w:r>
      <w:r w:rsidR="002A1D22">
        <w:rPr>
          <w:b/>
        </w:rPr>
        <w:t xml:space="preserve">:  </w:t>
      </w:r>
      <w:r w:rsidR="002A1D22">
        <w:t xml:space="preserve">The data will be used to compile findings across states on overall levels of integration, challenges and successes with integration, plans for future integration activities, and technical assistance needs.  </w:t>
      </w:r>
    </w:p>
    <w:p w14:paraId="4B4354F2" w14:textId="77777777" w:rsidR="0037375D" w:rsidRDefault="0037375D" w:rsidP="0037375D"/>
    <w:p w14:paraId="711E9DEE" w14:textId="32501C11" w:rsidR="003F1C7A" w:rsidRPr="0037375D" w:rsidRDefault="002A1D22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Date(s) and location(s):</w:t>
      </w:r>
      <w:r>
        <w:t xml:space="preserve">  </w:t>
      </w:r>
      <w:r w:rsidR="00EE3606">
        <w:t xml:space="preserve">Online </w:t>
      </w:r>
      <w:r w:rsidR="00FF6CA9">
        <w:t>questionnaire</w:t>
      </w:r>
      <w:r w:rsidR="00EE3606">
        <w:t xml:space="preserve"> will be administered </w:t>
      </w:r>
      <w:r w:rsidR="001F3095">
        <w:t xml:space="preserve">during </w:t>
      </w:r>
      <w:r w:rsidR="004C2F63" w:rsidRPr="001F3095">
        <w:t xml:space="preserve">March </w:t>
      </w:r>
      <w:r w:rsidR="001F3095">
        <w:t>and</w:t>
      </w:r>
      <w:r w:rsidR="006A38D9" w:rsidRPr="001F3095">
        <w:t xml:space="preserve"> </w:t>
      </w:r>
      <w:r w:rsidR="004C2F63" w:rsidRPr="001F3095">
        <w:t>April</w:t>
      </w:r>
      <w:r w:rsidR="004C2F63">
        <w:t xml:space="preserve"> </w:t>
      </w:r>
      <w:r>
        <w:t>2016</w:t>
      </w:r>
      <w:r w:rsidR="00EE3606">
        <w:t xml:space="preserve">.  </w:t>
      </w:r>
    </w:p>
    <w:p w14:paraId="3E9DA162" w14:textId="77777777" w:rsidR="0037375D" w:rsidRDefault="0037375D" w:rsidP="0037375D"/>
    <w:p w14:paraId="4044F20F" w14:textId="42A07205" w:rsidR="00E26798" w:rsidRDefault="002A1D22" w:rsidP="0037375D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 xml:space="preserve">Collection procedures:  </w:t>
      </w:r>
      <w:r>
        <w:t xml:space="preserve">Web-based </w:t>
      </w:r>
      <w:r w:rsidR="00FF6CA9">
        <w:t>questionnaire</w:t>
      </w:r>
      <w:r>
        <w:t xml:space="preserve"> to be administered via </w:t>
      </w:r>
      <w:proofErr w:type="spellStart"/>
      <w:r>
        <w:t>SurveyMonkey</w:t>
      </w:r>
      <w:proofErr w:type="spellEnd"/>
    </w:p>
    <w:p w14:paraId="300711E7" w14:textId="77777777" w:rsidR="0037375D" w:rsidRDefault="0037375D" w:rsidP="0037375D"/>
    <w:p w14:paraId="1A468657" w14:textId="1851E163" w:rsidR="003F1C7A" w:rsidRPr="0037375D" w:rsidRDefault="003F1C7A" w:rsidP="0037375D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 xml:space="preserve">Number of </w:t>
      </w:r>
      <w:r w:rsidR="0037375D">
        <w:rPr>
          <w:b/>
        </w:rPr>
        <w:t xml:space="preserve">collections (e.g., </w:t>
      </w:r>
      <w:r w:rsidRPr="00E26798">
        <w:rPr>
          <w:b/>
        </w:rPr>
        <w:t>focus groups, surveys, sessions</w:t>
      </w:r>
      <w:r w:rsidR="002A1D22">
        <w:rPr>
          <w:b/>
        </w:rPr>
        <w:t xml:space="preserve">):  </w:t>
      </w:r>
      <w:r w:rsidR="00930572">
        <w:t>O</w:t>
      </w:r>
      <w:r w:rsidR="002A1D22">
        <w:t xml:space="preserve">ne-time </w:t>
      </w:r>
      <w:r w:rsidR="00384E1E">
        <w:t>questionnaire</w:t>
      </w:r>
    </w:p>
    <w:p w14:paraId="1E9C6CA8" w14:textId="77777777" w:rsidR="0037375D" w:rsidRDefault="0037375D" w:rsidP="0037375D"/>
    <w:p w14:paraId="72013395" w14:textId="77777777" w:rsidR="00E26798" w:rsidRDefault="003F1C7A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E26798">
        <w:rPr>
          <w:b/>
        </w:rPr>
        <w:t>Descript</w:t>
      </w:r>
      <w:r w:rsidR="0037375D">
        <w:rPr>
          <w:b/>
        </w:rPr>
        <w:t>ion of respondents/participants</w:t>
      </w:r>
      <w:r w:rsidR="002A1D22">
        <w:rPr>
          <w:b/>
        </w:rPr>
        <w:t xml:space="preserve">:  </w:t>
      </w:r>
      <w:r w:rsidR="00930572">
        <w:t>O</w:t>
      </w:r>
      <w:r w:rsidR="002A1D22">
        <w:t>fficials of state human services agencies</w:t>
      </w:r>
    </w:p>
    <w:p w14:paraId="3324D111" w14:textId="77777777" w:rsidR="00AA071E" w:rsidRDefault="00AA071E" w:rsidP="00AA071E">
      <w:pPr>
        <w:pStyle w:val="ListParagraph"/>
        <w:rPr>
          <w:b/>
        </w:rPr>
      </w:pPr>
    </w:p>
    <w:p w14:paraId="26754F6C" w14:textId="6A695876" w:rsidR="00AA071E" w:rsidRDefault="00AA071E" w:rsidP="0037375D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>
        <w:rPr>
          <w:b/>
        </w:rPr>
        <w:t>Description of how results will be used</w:t>
      </w:r>
      <w:r w:rsidR="002A1D22">
        <w:rPr>
          <w:b/>
        </w:rPr>
        <w:t xml:space="preserve">:  </w:t>
      </w:r>
      <w:r w:rsidR="00317B26">
        <w:t xml:space="preserve">Results will be used to structure and conduct a webinar to which interested state human services agency officials, HHS officials, and other stakeholders will be invited.  Webinar attendees will hear an overview of the results from the </w:t>
      </w:r>
      <w:r w:rsidR="00FF6CA9">
        <w:t>questionnaire</w:t>
      </w:r>
      <w:r w:rsidR="00680499">
        <w:t xml:space="preserve"> and discuss their experiences with integration, plans for future integration efforts, and possible technical assistance needs</w:t>
      </w:r>
      <w:r w:rsidR="00317B26">
        <w:t xml:space="preserve">.  </w:t>
      </w:r>
      <w:r w:rsidR="00576D0A">
        <w:t xml:space="preserve">An overview of findings will be included in a </w:t>
      </w:r>
      <w:r w:rsidR="001954D7">
        <w:t>paper</w:t>
      </w:r>
      <w:r w:rsidR="00576D0A">
        <w:t xml:space="preserve"> summarizing the project.  </w:t>
      </w:r>
      <w:r w:rsidR="00317B26">
        <w:t xml:space="preserve">The results and webinar proceedings will inform HHS’ understanding of the extent of state integration and provide insight into states’ </w:t>
      </w:r>
      <w:r w:rsidR="00680499">
        <w:t>ongoing</w:t>
      </w:r>
      <w:r w:rsidR="00317B26">
        <w:t xml:space="preserve"> technical assistance needs.</w:t>
      </w:r>
    </w:p>
    <w:p w14:paraId="7D749854" w14:textId="77777777" w:rsidR="00AA071E" w:rsidRDefault="00AA071E" w:rsidP="00AA071E">
      <w:pPr>
        <w:rPr>
          <w:b/>
        </w:rPr>
      </w:pPr>
    </w:p>
    <w:p w14:paraId="7D04D442" w14:textId="7A2899E3" w:rsidR="00E26798" w:rsidRPr="001954D7" w:rsidRDefault="00AA071E" w:rsidP="00E26798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1954D7">
        <w:rPr>
          <w:b/>
        </w:rPr>
        <w:t>Description of how results will or will not be disseminated and why or why not</w:t>
      </w:r>
      <w:r w:rsidR="00680499" w:rsidRPr="001954D7">
        <w:rPr>
          <w:b/>
        </w:rPr>
        <w:t>:</w:t>
      </w:r>
      <w:r w:rsidR="00680499">
        <w:t xml:space="preserve">  </w:t>
      </w:r>
      <w:r w:rsidR="00FF6CA9">
        <w:t>R</w:t>
      </w:r>
      <w:r w:rsidR="00680499">
        <w:t xml:space="preserve">esponses will be analyzed, and summarized verbally and via </w:t>
      </w:r>
      <w:proofErr w:type="spellStart"/>
      <w:r w:rsidR="00680499">
        <w:t>Powerpoint</w:t>
      </w:r>
      <w:proofErr w:type="spellEnd"/>
      <w:r w:rsidR="00680499">
        <w:t xml:space="preserve"> slides at the webinar mentioned in #8 above</w:t>
      </w:r>
      <w:r w:rsidR="001954D7">
        <w:t>.  Findings will be included in a culminating paper.</w:t>
      </w:r>
    </w:p>
    <w:p w14:paraId="3D4FF105" w14:textId="77777777" w:rsidR="003F1C7A" w:rsidRPr="00E26798" w:rsidRDefault="003F1C7A" w:rsidP="00E26798">
      <w:pPr>
        <w:spacing w:before="120" w:after="120"/>
        <w:rPr>
          <w:b/>
        </w:rPr>
      </w:pPr>
      <w:r w:rsidRPr="00E26798">
        <w:rPr>
          <w:b/>
        </w:rPr>
        <w:lastRenderedPageBreak/>
        <w:t>AMOUNT OF ANY PROPOSED STIPEND OR INCENTIVE</w:t>
      </w:r>
      <w:r w:rsidR="0037375D">
        <w:rPr>
          <w:b/>
        </w:rPr>
        <w:t xml:space="preserve"> – NONE</w:t>
      </w:r>
    </w:p>
    <w:p w14:paraId="3EDE2F33" w14:textId="77777777" w:rsidR="003F1C7A" w:rsidRDefault="003F1C7A"/>
    <w:p w14:paraId="6CC57DF5" w14:textId="26AD93E7" w:rsidR="003F1C7A" w:rsidRDefault="003F1C7A">
      <w:pPr>
        <w:rPr>
          <w:i/>
        </w:rPr>
      </w:pPr>
      <w:r>
        <w:rPr>
          <w:b/>
        </w:rPr>
        <w:t xml:space="preserve">BURDEN HOUR </w:t>
      </w:r>
      <w:r w:rsidR="007B0634">
        <w:rPr>
          <w:b/>
        </w:rPr>
        <w:t xml:space="preserve">AND COST </w:t>
      </w:r>
      <w:r>
        <w:rPr>
          <w:b/>
        </w:rPr>
        <w:t>COMPUTATION</w:t>
      </w:r>
      <w:r>
        <w:t xml:space="preserve"> </w:t>
      </w:r>
      <w:r>
        <w:rPr>
          <w:i/>
        </w:rPr>
        <w:t>(Number of responses X estimated response or participation time in minutes /60 = annual burden hours):</w:t>
      </w:r>
    </w:p>
    <w:p w14:paraId="0BC52F20" w14:textId="77777777" w:rsidR="007B0634" w:rsidRDefault="007B0634">
      <w:pPr>
        <w:rPr>
          <w:i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1800"/>
        <w:gridCol w:w="1260"/>
        <w:gridCol w:w="1080"/>
        <w:gridCol w:w="990"/>
        <w:gridCol w:w="1368"/>
      </w:tblGrid>
      <w:tr w:rsidR="007B0634" w:rsidRPr="007B0634" w14:paraId="3B795E0F" w14:textId="77777777" w:rsidTr="00723434">
        <w:trPr>
          <w:trHeight w:val="1493"/>
        </w:trPr>
        <w:tc>
          <w:tcPr>
            <w:tcW w:w="162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AB48671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7B0634">
              <w:rPr>
                <w:rFonts w:ascii="Cambria" w:hAnsi="Cambria"/>
                <w:b/>
                <w:sz w:val="20"/>
                <w:szCs w:val="22"/>
              </w:rPr>
              <w:t>Type of Respondent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A965F6F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7B0634">
              <w:rPr>
                <w:rFonts w:ascii="Cambria" w:hAnsi="Cambria"/>
                <w:b/>
                <w:sz w:val="20"/>
                <w:szCs w:val="22"/>
              </w:rPr>
              <w:t>No. of Respondents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5D822FB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7B0634">
              <w:rPr>
                <w:rFonts w:ascii="Cambria" w:hAnsi="Cambria"/>
                <w:b/>
                <w:sz w:val="20"/>
                <w:szCs w:val="22"/>
              </w:rPr>
              <w:t>No. of Responses per Respondent</w:t>
            </w:r>
          </w:p>
        </w:tc>
        <w:tc>
          <w:tcPr>
            <w:tcW w:w="126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FC2C21C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7B0634">
              <w:rPr>
                <w:rFonts w:ascii="Cambria" w:hAnsi="Cambria"/>
                <w:b/>
                <w:sz w:val="20"/>
                <w:szCs w:val="22"/>
              </w:rPr>
              <w:t>Average Burden per Response (in hours)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D9D9E97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7B0634">
              <w:rPr>
                <w:rFonts w:ascii="Cambria" w:hAnsi="Cambria"/>
                <w:b/>
                <w:sz w:val="20"/>
                <w:szCs w:val="22"/>
              </w:rPr>
              <w:t>Total Burden Hours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2D9C86B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7B0634">
              <w:rPr>
                <w:rFonts w:ascii="Cambria" w:hAnsi="Cambria"/>
                <w:b/>
                <w:sz w:val="20"/>
                <w:szCs w:val="22"/>
              </w:rPr>
              <w:t>Hourly Wage Rate</w:t>
            </w:r>
          </w:p>
        </w:tc>
        <w:tc>
          <w:tcPr>
            <w:tcW w:w="136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7EA883D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7B0634">
              <w:rPr>
                <w:rFonts w:ascii="Cambria" w:hAnsi="Cambria"/>
                <w:b/>
                <w:sz w:val="20"/>
                <w:szCs w:val="22"/>
              </w:rPr>
              <w:t>Total Respondent Costs</w:t>
            </w:r>
          </w:p>
        </w:tc>
      </w:tr>
      <w:tr w:rsidR="007B0634" w:rsidRPr="007B0634" w14:paraId="22FFA3BA" w14:textId="77777777" w:rsidTr="00723434">
        <w:tc>
          <w:tcPr>
            <w:tcW w:w="1620" w:type="dxa"/>
            <w:tcBorders>
              <w:top w:val="single" w:sz="12" w:space="0" w:color="000000"/>
            </w:tcBorders>
            <w:vAlign w:val="center"/>
          </w:tcPr>
          <w:p w14:paraId="3A1A2D62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sz w:val="20"/>
                <w:szCs w:val="22"/>
              </w:rPr>
            </w:pPr>
            <w:r w:rsidRPr="007B0634">
              <w:rPr>
                <w:rFonts w:ascii="Cambria" w:hAnsi="Cambria"/>
                <w:sz w:val="20"/>
                <w:szCs w:val="22"/>
              </w:rPr>
              <w:t>State human services agency official or other employee</w:t>
            </w:r>
          </w:p>
        </w:tc>
        <w:tc>
          <w:tcPr>
            <w:tcW w:w="1440" w:type="dxa"/>
            <w:tcBorders>
              <w:top w:val="single" w:sz="12" w:space="0" w:color="000000"/>
            </w:tcBorders>
            <w:vAlign w:val="center"/>
          </w:tcPr>
          <w:p w14:paraId="194BCA77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sz w:val="20"/>
                <w:szCs w:val="22"/>
              </w:rPr>
            </w:pPr>
            <w:r w:rsidRPr="007B0634">
              <w:rPr>
                <w:rFonts w:ascii="Cambria" w:hAnsi="Cambria"/>
                <w:sz w:val="20"/>
                <w:szCs w:val="22"/>
              </w:rPr>
              <w:t>92</w:t>
            </w:r>
          </w:p>
        </w:tc>
        <w:tc>
          <w:tcPr>
            <w:tcW w:w="1800" w:type="dxa"/>
            <w:tcBorders>
              <w:top w:val="single" w:sz="12" w:space="0" w:color="000000"/>
            </w:tcBorders>
            <w:vAlign w:val="center"/>
          </w:tcPr>
          <w:p w14:paraId="0BA3041C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sz w:val="20"/>
                <w:szCs w:val="22"/>
              </w:rPr>
            </w:pPr>
            <w:r w:rsidRPr="007B0634">
              <w:rPr>
                <w:rFonts w:ascii="Cambria" w:hAnsi="Cambria"/>
                <w:sz w:val="20"/>
                <w:szCs w:val="22"/>
              </w:rPr>
              <w:t>0.5</w:t>
            </w:r>
          </w:p>
        </w:tc>
        <w:tc>
          <w:tcPr>
            <w:tcW w:w="1260" w:type="dxa"/>
            <w:tcBorders>
              <w:top w:val="single" w:sz="12" w:space="0" w:color="000000"/>
            </w:tcBorders>
            <w:vAlign w:val="center"/>
          </w:tcPr>
          <w:p w14:paraId="07E16797" w14:textId="5EC60DD7" w:rsidR="007B0634" w:rsidRPr="007B0634" w:rsidRDefault="005E2143" w:rsidP="003E6B0E">
            <w:pPr>
              <w:spacing w:after="200" w:line="276" w:lineRule="auto"/>
              <w:jc w:val="center"/>
              <w:rPr>
                <w:rFonts w:ascii="Cambria" w:hAnsi="Cambria"/>
                <w:sz w:val="20"/>
                <w:szCs w:val="22"/>
              </w:rPr>
            </w:pPr>
            <w:r>
              <w:rPr>
                <w:rFonts w:ascii="Cambria" w:hAnsi="Cambria"/>
                <w:sz w:val="20"/>
                <w:szCs w:val="22"/>
              </w:rPr>
              <w:t>45</w:t>
            </w:r>
            <w:r w:rsidR="003E6B0E">
              <w:rPr>
                <w:rFonts w:ascii="Cambria" w:hAnsi="Cambria"/>
                <w:sz w:val="20"/>
                <w:szCs w:val="22"/>
              </w:rPr>
              <w:t>/60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12" w:space="0" w:color="000000"/>
            </w:tcBorders>
            <w:vAlign w:val="center"/>
          </w:tcPr>
          <w:p w14:paraId="6D4FAEEB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sz w:val="20"/>
                <w:szCs w:val="22"/>
              </w:rPr>
            </w:pPr>
            <w:r w:rsidRPr="007B0634">
              <w:rPr>
                <w:rFonts w:ascii="Cambria" w:hAnsi="Cambria"/>
                <w:sz w:val="20"/>
                <w:szCs w:val="22"/>
              </w:rPr>
              <w:t>34.5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vAlign w:val="center"/>
          </w:tcPr>
          <w:p w14:paraId="24F66DE0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sz w:val="20"/>
                <w:szCs w:val="22"/>
              </w:rPr>
            </w:pPr>
            <w:r w:rsidRPr="007B0634">
              <w:rPr>
                <w:rFonts w:ascii="Cambria" w:hAnsi="Cambria"/>
                <w:sz w:val="20"/>
                <w:szCs w:val="22"/>
              </w:rPr>
              <w:t>$32.56</w:t>
            </w:r>
          </w:p>
        </w:tc>
        <w:tc>
          <w:tcPr>
            <w:tcW w:w="1368" w:type="dxa"/>
            <w:tcBorders>
              <w:top w:val="single" w:sz="12" w:space="0" w:color="000000"/>
            </w:tcBorders>
            <w:vAlign w:val="center"/>
          </w:tcPr>
          <w:p w14:paraId="1CE1F1A2" w14:textId="77777777" w:rsidR="007B0634" w:rsidRPr="007B0634" w:rsidRDefault="007B0634" w:rsidP="007B0634">
            <w:pPr>
              <w:spacing w:after="200" w:line="276" w:lineRule="auto"/>
              <w:jc w:val="center"/>
              <w:rPr>
                <w:rFonts w:ascii="Cambria" w:hAnsi="Cambria"/>
                <w:sz w:val="20"/>
                <w:szCs w:val="22"/>
              </w:rPr>
            </w:pPr>
            <w:r w:rsidRPr="007B0634">
              <w:rPr>
                <w:rFonts w:ascii="Cambria" w:hAnsi="Cambria"/>
                <w:sz w:val="20"/>
                <w:szCs w:val="22"/>
              </w:rPr>
              <w:t>1,123,32</w:t>
            </w:r>
          </w:p>
        </w:tc>
      </w:tr>
      <w:tr w:rsidR="007B0634" w:rsidRPr="007B0634" w14:paraId="131AF211" w14:textId="77777777" w:rsidTr="00723434">
        <w:trPr>
          <w:trHeight w:hRule="exact" w:val="432"/>
        </w:trPr>
        <w:tc>
          <w:tcPr>
            <w:tcW w:w="1620" w:type="dxa"/>
            <w:vAlign w:val="center"/>
          </w:tcPr>
          <w:p w14:paraId="4438E22C" w14:textId="77777777" w:rsidR="007B0634" w:rsidRPr="007B0634" w:rsidRDefault="007B0634" w:rsidP="007B0634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2"/>
              </w:rPr>
            </w:pPr>
            <w:r w:rsidRPr="007B0634">
              <w:rPr>
                <w:rFonts w:ascii="Cambria" w:hAnsi="Cambria"/>
                <w:b/>
                <w:sz w:val="20"/>
                <w:szCs w:val="22"/>
              </w:rPr>
              <w:t>TOTALS</w:t>
            </w:r>
          </w:p>
        </w:tc>
        <w:tc>
          <w:tcPr>
            <w:tcW w:w="1440" w:type="dxa"/>
            <w:vAlign w:val="center"/>
          </w:tcPr>
          <w:p w14:paraId="55499663" w14:textId="77777777" w:rsidR="007B0634" w:rsidRPr="007B0634" w:rsidRDefault="007B0634" w:rsidP="007B0634">
            <w:pPr>
              <w:spacing w:line="276" w:lineRule="auto"/>
              <w:jc w:val="center"/>
              <w:rPr>
                <w:rFonts w:ascii="Cambria" w:hAnsi="Cambria"/>
                <w:sz w:val="20"/>
                <w:szCs w:val="22"/>
              </w:rPr>
            </w:pPr>
            <w:r w:rsidRPr="007B0634">
              <w:rPr>
                <w:rFonts w:ascii="Cambria" w:hAnsi="Cambria"/>
                <w:sz w:val="20"/>
                <w:szCs w:val="22"/>
              </w:rPr>
              <w:t xml:space="preserve"> 92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1B3D18" w14:textId="77777777" w:rsidR="007B0634" w:rsidRPr="007B0634" w:rsidRDefault="007B0634" w:rsidP="007B0634">
            <w:pPr>
              <w:spacing w:line="276" w:lineRule="auto"/>
              <w:jc w:val="center"/>
              <w:rPr>
                <w:rFonts w:ascii="Cambria" w:hAnsi="Cambria"/>
                <w:sz w:val="20"/>
                <w:szCs w:val="22"/>
              </w:rPr>
            </w:pPr>
            <w:r w:rsidRPr="007B0634">
              <w:rPr>
                <w:rFonts w:ascii="Cambria" w:hAnsi="Cambria"/>
                <w:sz w:val="20"/>
                <w:szCs w:val="22"/>
              </w:rPr>
              <w:t>0.5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7036F20" w14:textId="77777777" w:rsidR="007B0634" w:rsidRPr="007B0634" w:rsidRDefault="007B0634" w:rsidP="007B063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9CAFB50" w14:textId="77777777" w:rsidR="007B0634" w:rsidRPr="007B0634" w:rsidRDefault="007B0634" w:rsidP="007B0634">
            <w:pPr>
              <w:spacing w:line="276" w:lineRule="auto"/>
              <w:jc w:val="center"/>
              <w:rPr>
                <w:rFonts w:ascii="Cambria" w:hAnsi="Cambria"/>
                <w:sz w:val="20"/>
                <w:szCs w:val="22"/>
              </w:rPr>
            </w:pPr>
            <w:r w:rsidRPr="007B0634">
              <w:rPr>
                <w:rFonts w:ascii="Cambria" w:hAnsi="Cambria"/>
                <w:sz w:val="20"/>
                <w:szCs w:val="22"/>
              </w:rPr>
              <w:t>34.5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B1810FE" w14:textId="77777777" w:rsidR="007B0634" w:rsidRPr="007B0634" w:rsidRDefault="007B0634" w:rsidP="007B063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550AD73" w14:textId="77777777" w:rsidR="007B0634" w:rsidRPr="007B0634" w:rsidRDefault="007B0634" w:rsidP="007B063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 w:rsidRPr="007B0634">
              <w:rPr>
                <w:rFonts w:ascii="Cambria" w:hAnsi="Cambria"/>
                <w:b/>
                <w:sz w:val="20"/>
                <w:szCs w:val="22"/>
              </w:rPr>
              <w:t>1,123.32</w:t>
            </w:r>
          </w:p>
        </w:tc>
      </w:tr>
    </w:tbl>
    <w:p w14:paraId="6F7E1650" w14:textId="77777777" w:rsidR="003F1C7A" w:rsidRDefault="003F1C7A">
      <w:pPr>
        <w:keepNext/>
        <w:keepLines/>
        <w:rPr>
          <w:b/>
        </w:rPr>
      </w:pPr>
    </w:p>
    <w:p w14:paraId="02C0519E" w14:textId="77777777" w:rsidR="003F1C7A" w:rsidRDefault="003F1C7A"/>
    <w:p w14:paraId="6653677B" w14:textId="77777777" w:rsidR="003F1C7A" w:rsidRDefault="0037375D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OTHER SUPPORTING</w:t>
      </w:r>
      <w:r w:rsidR="003F1C7A">
        <w:rPr>
          <w:b/>
          <w:bCs/>
          <w:sz w:val="24"/>
          <w:u w:val="single"/>
        </w:rPr>
        <w:t xml:space="preserve"> INFORMATION</w:t>
      </w:r>
      <w:r w:rsidR="003F1C7A">
        <w:rPr>
          <w:b/>
          <w:bCs/>
          <w:sz w:val="24"/>
        </w:rPr>
        <w:t xml:space="preserve"> </w:t>
      </w:r>
    </w:p>
    <w:p w14:paraId="28B5C1FC" w14:textId="77777777" w:rsidR="003F1C7A" w:rsidRDefault="003F1C7A">
      <w:pPr>
        <w:pStyle w:val="Header"/>
        <w:widowControl/>
        <w:tabs>
          <w:tab w:val="clear" w:pos="4320"/>
          <w:tab w:val="clear" w:pos="8640"/>
        </w:tabs>
        <w:rPr>
          <w:snapToGrid/>
        </w:rPr>
      </w:pPr>
    </w:p>
    <w:p w14:paraId="5FDFB464" w14:textId="1D3D01FA" w:rsidR="003F1C7A" w:rsidRPr="001F3095" w:rsidRDefault="001F3095">
      <w:r>
        <w:rPr>
          <w:b/>
        </w:rPr>
        <w:t xml:space="preserve">REQUESTED APPROVAL DATE:  </w:t>
      </w:r>
      <w:r>
        <w:t xml:space="preserve">March </w:t>
      </w:r>
      <w:r w:rsidR="005E2143">
        <w:t>23</w:t>
      </w:r>
      <w:r>
        <w:t>, 2016</w:t>
      </w:r>
    </w:p>
    <w:p w14:paraId="241843FC" w14:textId="77777777" w:rsidR="003F1C7A" w:rsidRPr="00857BC0" w:rsidRDefault="003F1C7A">
      <w:pPr>
        <w:rPr>
          <w:bCs/>
        </w:rPr>
      </w:pPr>
      <w:r>
        <w:rPr>
          <w:b/>
        </w:rPr>
        <w:t xml:space="preserve">NAME OF CONTACT PERSON:  </w:t>
      </w:r>
      <w:r w:rsidR="00857BC0">
        <w:t>Alana Landey</w:t>
      </w:r>
    </w:p>
    <w:p w14:paraId="51F4E45A" w14:textId="77777777" w:rsidR="003F1C7A" w:rsidRDefault="003F1C7A"/>
    <w:p w14:paraId="3AE92750" w14:textId="77777777" w:rsidR="0037375D" w:rsidRPr="00857BC0" w:rsidRDefault="003F1C7A">
      <w:r>
        <w:rPr>
          <w:b/>
        </w:rPr>
        <w:t>TELEPHONE NUMBER:</w:t>
      </w:r>
      <w:r>
        <w:rPr>
          <w:b/>
        </w:rPr>
        <w:tab/>
      </w:r>
      <w:r w:rsidR="00857BC0">
        <w:t>202 401-6636</w:t>
      </w:r>
    </w:p>
    <w:p w14:paraId="1D960101" w14:textId="77777777" w:rsidR="0037375D" w:rsidRDefault="0037375D"/>
    <w:p w14:paraId="1EB14E25" w14:textId="77777777" w:rsidR="003F1C7A" w:rsidRDefault="003F1C7A">
      <w:pPr>
        <w:tabs>
          <w:tab w:val="left" w:pos="5670"/>
        </w:tabs>
        <w:suppressAutoHyphens/>
      </w:pPr>
      <w:r>
        <w:rPr>
          <w:b/>
        </w:rPr>
        <w:t>DEPARTMENT</w:t>
      </w:r>
      <w:r w:rsidR="0037375D">
        <w:rPr>
          <w:b/>
        </w:rPr>
        <w:t>/O</w:t>
      </w:r>
      <w:r>
        <w:rPr>
          <w:b/>
        </w:rPr>
        <w:t>FFICE</w:t>
      </w:r>
      <w:r w:rsidR="0037375D">
        <w:rPr>
          <w:b/>
        </w:rPr>
        <w:t>/BUREAU</w:t>
      </w:r>
      <w:r>
        <w:rPr>
          <w:b/>
        </w:rPr>
        <w:t xml:space="preserve">: </w:t>
      </w:r>
    </w:p>
    <w:p w14:paraId="130F9F8F" w14:textId="77777777" w:rsidR="00857BC0" w:rsidRDefault="00857BC0">
      <w:pPr>
        <w:tabs>
          <w:tab w:val="left" w:pos="5670"/>
        </w:tabs>
        <w:suppressAutoHyphens/>
      </w:pPr>
      <w:r>
        <w:t>HHS</w:t>
      </w:r>
    </w:p>
    <w:p w14:paraId="5968FAAD" w14:textId="77777777" w:rsidR="00857BC0" w:rsidRDefault="00857BC0">
      <w:pPr>
        <w:tabs>
          <w:tab w:val="left" w:pos="5670"/>
        </w:tabs>
        <w:suppressAutoHyphens/>
      </w:pPr>
      <w:r>
        <w:t>Office of the Assistant Secretary for Planning and Evaluation</w:t>
      </w:r>
    </w:p>
    <w:p w14:paraId="2B65B4DC" w14:textId="77777777" w:rsidR="00857BC0" w:rsidRPr="00857BC0" w:rsidRDefault="00857BC0">
      <w:pPr>
        <w:tabs>
          <w:tab w:val="left" w:pos="5670"/>
        </w:tabs>
        <w:suppressAutoHyphens/>
      </w:pPr>
      <w:r>
        <w:t>Office of Human Services Policy</w:t>
      </w:r>
    </w:p>
    <w:sectPr w:rsidR="00857BC0" w:rsidRPr="00857BC0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C1200" w14:textId="77777777" w:rsidR="001719CD" w:rsidRDefault="001719CD">
      <w:r>
        <w:separator/>
      </w:r>
    </w:p>
  </w:endnote>
  <w:endnote w:type="continuationSeparator" w:id="0">
    <w:p w14:paraId="70386241" w14:textId="77777777" w:rsidR="001719CD" w:rsidRDefault="0017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516BB" w14:textId="77777777" w:rsidR="003F1C7A" w:rsidRDefault="003F1C7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6B0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3F900" w14:textId="77777777" w:rsidR="001719CD" w:rsidRDefault="001719CD">
      <w:r>
        <w:separator/>
      </w:r>
    </w:p>
  </w:footnote>
  <w:footnote w:type="continuationSeparator" w:id="0">
    <w:p w14:paraId="52047BB6" w14:textId="77777777" w:rsidR="001719CD" w:rsidRDefault="00171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C0D07D9"/>
    <w:multiLevelType w:val="hybridMultilevel"/>
    <w:tmpl w:val="5C7699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 Elkin">
    <w15:presenceInfo w15:providerId="Windows Live" w15:userId="3d4ed4d6bbc0d230"/>
  </w15:person>
  <w15:person w15:author="Sam">
    <w15:presenceInfo w15:providerId="None" w15:userId="S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21137"/>
    <w:rsid w:val="000E11C9"/>
    <w:rsid w:val="001719CD"/>
    <w:rsid w:val="001954D7"/>
    <w:rsid w:val="001F3095"/>
    <w:rsid w:val="002A1D22"/>
    <w:rsid w:val="002E2C45"/>
    <w:rsid w:val="00311FFC"/>
    <w:rsid w:val="00317B26"/>
    <w:rsid w:val="0037375D"/>
    <w:rsid w:val="00384E1E"/>
    <w:rsid w:val="003E6B0E"/>
    <w:rsid w:val="003F1C7A"/>
    <w:rsid w:val="004A1D84"/>
    <w:rsid w:val="004C2F63"/>
    <w:rsid w:val="00525D6B"/>
    <w:rsid w:val="00576D0A"/>
    <w:rsid w:val="005E2143"/>
    <w:rsid w:val="00680499"/>
    <w:rsid w:val="006A38D9"/>
    <w:rsid w:val="006E1D6F"/>
    <w:rsid w:val="00744F5B"/>
    <w:rsid w:val="007B0634"/>
    <w:rsid w:val="007D2536"/>
    <w:rsid w:val="00844133"/>
    <w:rsid w:val="00857BC0"/>
    <w:rsid w:val="008A4F4C"/>
    <w:rsid w:val="00930572"/>
    <w:rsid w:val="00A174EC"/>
    <w:rsid w:val="00A22BF2"/>
    <w:rsid w:val="00AA071E"/>
    <w:rsid w:val="00AC39DA"/>
    <w:rsid w:val="00DA0CE0"/>
    <w:rsid w:val="00E26798"/>
    <w:rsid w:val="00EE3606"/>
    <w:rsid w:val="00F73A47"/>
    <w:rsid w:val="00FD0796"/>
    <w:rsid w:val="00FE0B92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5D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D0296BAA4E94AA869245249EE5204" ma:contentTypeVersion="2" ma:contentTypeDescription="Create a new document." ma:contentTypeScope="" ma:versionID="2f76f3418d6ef70e2bc0583c43198b4a">
  <xsd:schema xmlns:xsd="http://www.w3.org/2001/XMLSchema" xmlns:xs="http://www.w3.org/2001/XMLSchema" xmlns:p="http://schemas.microsoft.com/office/2006/metadata/properties" xmlns:ns2="166fd782-24a1-4c18-b023-e227e68e1b62" targetNamespace="http://schemas.microsoft.com/office/2006/metadata/properties" ma:root="true" ma:fieldsID="4ba29eeb49d84946d2ae543796d58544" ns2:_="">
    <xsd:import namespace="166fd782-24a1-4c18-b023-e227e68e1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fd782-24a1-4c18-b023-e227e68e1b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D2257-C1B5-47EF-A000-1318D7FF5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fd782-24a1-4c18-b023-e227e68e1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5452DB-83AE-42F3-9DDF-F79A47927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A92C3-AFDE-476E-84B9-7E481203FC55}">
  <ds:schemaRefs>
    <ds:schemaRef ds:uri="http://purl.org/dc/dcmitype/"/>
    <ds:schemaRef ds:uri="http://schemas.microsoft.com/office/infopath/2007/PartnerControls"/>
    <ds:schemaRef ds:uri="166fd782-24a1-4c18-b023-e227e68e1b62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2619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Windows User</cp:lastModifiedBy>
  <cp:revision>2</cp:revision>
  <cp:lastPrinted>2014-07-24T17:07:00Z</cp:lastPrinted>
  <dcterms:created xsi:type="dcterms:W3CDTF">2016-03-14T16:52:00Z</dcterms:created>
  <dcterms:modified xsi:type="dcterms:W3CDTF">2016-03-14T16:52:00Z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0x0101001FCD0296BAA4E94AA869245249EE5204</vt:lpwstr>
  </property>
</Properties>
</file>