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2A4811" w:rsidR="00E264E3" w:rsidP="0022024B" w:rsidRDefault="00E264E3" w14:paraId="34C54403" w14:textId="3BEFCC98">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caps/>
          <w:sz w:val="26"/>
          <w:szCs w:val="26"/>
        </w:rPr>
      </w:pPr>
      <w:r w:rsidRPr="002A4811">
        <w:rPr>
          <w:b/>
          <w:caps/>
          <w:sz w:val="26"/>
          <w:szCs w:val="26"/>
          <w:lang w:val="en-CA"/>
        </w:rPr>
        <w:fldChar w:fldCharType="begin"/>
      </w:r>
      <w:r w:rsidRPr="002A4811">
        <w:rPr>
          <w:b/>
          <w:caps/>
          <w:sz w:val="26"/>
          <w:szCs w:val="26"/>
          <w:lang w:val="en-CA"/>
        </w:rPr>
        <w:instrText xml:space="preserve"> SEQ CHAPTER \h \r 1</w:instrText>
      </w:r>
      <w:r w:rsidRPr="002A4811">
        <w:rPr>
          <w:b/>
          <w:caps/>
          <w:sz w:val="26"/>
          <w:szCs w:val="26"/>
          <w:lang w:val="en-CA"/>
        </w:rPr>
        <w:fldChar w:fldCharType="end"/>
      </w:r>
      <w:r w:rsidRPr="002A4811">
        <w:rPr>
          <w:b/>
          <w:caps/>
          <w:sz w:val="26"/>
          <w:szCs w:val="26"/>
        </w:rPr>
        <w:t>Supporting Statement A for</w:t>
      </w:r>
    </w:p>
    <w:p w:rsidRPr="002A4811" w:rsidR="00E264E3" w:rsidP="0022024B" w:rsidRDefault="00E264E3" w14:paraId="0ECF03EE"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caps/>
          <w:sz w:val="26"/>
          <w:szCs w:val="26"/>
        </w:rPr>
      </w:pPr>
      <w:r w:rsidRPr="002A4811">
        <w:rPr>
          <w:b/>
          <w:caps/>
          <w:sz w:val="26"/>
          <w:szCs w:val="26"/>
        </w:rPr>
        <w:t>Paperwork Reduction Act Submission</w:t>
      </w:r>
    </w:p>
    <w:p w:rsidRPr="002A4811" w:rsidR="00E264E3" w:rsidP="0022024B" w:rsidRDefault="00E264E3" w14:paraId="36D676F6"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6"/>
          <w:szCs w:val="26"/>
        </w:rPr>
      </w:pPr>
    </w:p>
    <w:p w:rsidRPr="002A4811" w:rsidR="00984E9E" w:rsidP="0022024B" w:rsidRDefault="00236677" w14:paraId="5C9E895E" w14:textId="08C9B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6"/>
          <w:szCs w:val="26"/>
        </w:rPr>
      </w:pPr>
      <w:r w:rsidRPr="002A4811">
        <w:rPr>
          <w:b/>
          <w:sz w:val="26"/>
          <w:szCs w:val="26"/>
        </w:rPr>
        <w:t>Programmatic Clearance</w:t>
      </w:r>
      <w:r w:rsidRPr="002A4811" w:rsidR="00464664">
        <w:rPr>
          <w:b/>
          <w:sz w:val="26"/>
          <w:szCs w:val="26"/>
        </w:rPr>
        <w:t xml:space="preserve"> for</w:t>
      </w:r>
    </w:p>
    <w:p w:rsidRPr="002A4811" w:rsidR="00984E9E" w:rsidP="0022024B" w:rsidRDefault="00236677" w14:paraId="4908B85C" w14:textId="3D357D34">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6"/>
          <w:szCs w:val="26"/>
        </w:rPr>
      </w:pPr>
      <w:r w:rsidRPr="002A4811">
        <w:rPr>
          <w:b/>
          <w:sz w:val="26"/>
          <w:szCs w:val="26"/>
        </w:rPr>
        <w:t>U</w:t>
      </w:r>
      <w:r w:rsidRPr="002A4811" w:rsidR="00C95CD5">
        <w:rPr>
          <w:b/>
          <w:sz w:val="26"/>
          <w:szCs w:val="26"/>
        </w:rPr>
        <w:t>.</w:t>
      </w:r>
      <w:r w:rsidRPr="002A4811">
        <w:rPr>
          <w:b/>
          <w:sz w:val="26"/>
          <w:szCs w:val="26"/>
        </w:rPr>
        <w:t>S</w:t>
      </w:r>
      <w:r w:rsidRPr="002A4811" w:rsidR="00C95CD5">
        <w:rPr>
          <w:b/>
          <w:sz w:val="26"/>
          <w:szCs w:val="26"/>
        </w:rPr>
        <w:t>.</w:t>
      </w:r>
      <w:r w:rsidRPr="002A4811">
        <w:rPr>
          <w:b/>
          <w:sz w:val="26"/>
          <w:szCs w:val="26"/>
        </w:rPr>
        <w:t xml:space="preserve"> Fish and Wildlife Service</w:t>
      </w:r>
      <w:r w:rsidRPr="002A4811" w:rsidR="00DC2DC5">
        <w:rPr>
          <w:b/>
          <w:sz w:val="26"/>
          <w:szCs w:val="26"/>
        </w:rPr>
        <w:t xml:space="preserve"> </w:t>
      </w:r>
      <w:r w:rsidRPr="002A4811">
        <w:rPr>
          <w:b/>
          <w:sz w:val="26"/>
          <w:szCs w:val="26"/>
        </w:rPr>
        <w:t>Social Science Research</w:t>
      </w:r>
    </w:p>
    <w:p w:rsidRPr="002A4811" w:rsidR="00984E9E" w:rsidP="0022024B" w:rsidRDefault="00236677" w14:paraId="6E9579C3"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6"/>
          <w:szCs w:val="26"/>
        </w:rPr>
      </w:pPr>
      <w:r w:rsidRPr="002A4811">
        <w:rPr>
          <w:b/>
          <w:sz w:val="26"/>
          <w:szCs w:val="26"/>
        </w:rPr>
        <w:t>OMB Control Number 1018-NEW</w:t>
      </w:r>
    </w:p>
    <w:p w:rsidRPr="00E264E3" w:rsidR="00984E9E" w:rsidP="0022024B" w:rsidRDefault="00984E9E" w14:paraId="776D0D98"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Pr="00E264E3" w:rsidR="00984E9E" w:rsidP="0022024B" w:rsidRDefault="00236677" w14:paraId="2DAF85D1"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6E5714">
        <w:rPr>
          <w:b/>
        </w:rPr>
        <w:t>Terms of Clearance</w:t>
      </w:r>
      <w:r w:rsidRPr="00E264E3">
        <w:t xml:space="preserve"> </w:t>
      </w:r>
      <w:r w:rsidR="00E264E3">
        <w:t>–</w:t>
      </w:r>
      <w:r w:rsidRPr="00E264E3">
        <w:t xml:space="preserve"> </w:t>
      </w:r>
      <w:r w:rsidRPr="00E264E3" w:rsidR="00E264E3">
        <w:t>None</w:t>
      </w:r>
      <w:r w:rsidR="00E264E3">
        <w:t>.</w:t>
      </w:r>
    </w:p>
    <w:p w:rsidRPr="00E264E3" w:rsidR="00984E9E" w:rsidP="0022024B" w:rsidRDefault="00984E9E" w14:paraId="41AD77AB"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1A5919" w:rsidP="0022024B" w:rsidRDefault="00236677" w14:paraId="04CB2327" w14:textId="6D1EC4CB">
      <w:pPr>
        <w:pStyle w:val="Heading1"/>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013B7E">
        <w:t>Introduction</w:t>
      </w:r>
    </w:p>
    <w:p w:rsidRPr="001A5919" w:rsidR="001A5919" w:rsidP="0022024B" w:rsidRDefault="001A5919" w14:paraId="5070820D"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Pr="00E264E3" w:rsidR="00984E9E" w:rsidP="00F6473A" w:rsidRDefault="00236677" w14:paraId="36D4C5AC" w14:textId="7DDEFFCC">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283105">
        <w:t>The Human Dimensions Branch (HD Branch) of the Natural Resource Program Center, on behalf of the U.S. Fish and Wildlife Service (Service, we), requests a programmatic clearance to enable the Service to more efficiently and effectively conduct research through standard social science methods (public surveys, focus groups, and interviews, and other information collections)</w:t>
      </w:r>
      <w:r w:rsidRPr="00283105" w:rsidR="00150231">
        <w:t xml:space="preserve">. </w:t>
      </w:r>
      <w:r w:rsidR="00F5203A">
        <w:t xml:space="preserve"> </w:t>
      </w:r>
      <w:r w:rsidRPr="00283105">
        <w:t xml:space="preserve">Data from collections undertaken through this proposed programmatic clearance would provide information for agency </w:t>
      </w:r>
      <w:r w:rsidRPr="00283105" w:rsidR="000D1C19">
        <w:t xml:space="preserve">management, </w:t>
      </w:r>
      <w:r w:rsidRPr="00283105">
        <w:t>planning</w:t>
      </w:r>
      <w:r w:rsidRPr="00283105" w:rsidR="000D1C19">
        <w:t>,</w:t>
      </w:r>
      <w:r w:rsidRPr="00283105" w:rsidR="00A36906">
        <w:t xml:space="preserve"> and</w:t>
      </w:r>
      <w:r w:rsidRPr="00283105">
        <w:t xml:space="preserve"> monitoring and evaluating </w:t>
      </w:r>
      <w:r w:rsidRPr="00283105" w:rsidR="00A36906">
        <w:t xml:space="preserve">the </w:t>
      </w:r>
      <w:r w:rsidRPr="00283105">
        <w:t xml:space="preserve">National Wildlife Refuge System (Refuge System) </w:t>
      </w:r>
      <w:r w:rsidRPr="00283105" w:rsidR="00DC5903">
        <w:t xml:space="preserve">and other Service program </w:t>
      </w:r>
      <w:r w:rsidRPr="00283105">
        <w:t xml:space="preserve">efforts generally, and the </w:t>
      </w:r>
      <w:hyperlink r:id="rId8">
        <w:r w:rsidRPr="00283105">
          <w:rPr>
            <w:color w:val="0000FF"/>
            <w:u w:val="single"/>
          </w:rPr>
          <w:t>Urban Wildlife Conservation Program</w:t>
        </w:r>
      </w:hyperlink>
      <w:r w:rsidRPr="00283105">
        <w:t xml:space="preserve"> and the National Wildlife Refuge Visitor Survey, specifically.</w:t>
      </w:r>
    </w:p>
    <w:p w:rsidR="00E264E3" w:rsidP="00F6473A" w:rsidRDefault="00E264E3" w14:paraId="1BB0163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4D507DA4" w14:textId="34F39541">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As part of the Service’s Refuge System, the HD Branch examines the complex relationships between people and the wildlife and habitats the Refuge System protects</w:t>
      </w:r>
      <w:r w:rsidR="00150231">
        <w:t xml:space="preserve">. </w:t>
      </w:r>
      <w:r w:rsidR="00F5203A">
        <w:t xml:space="preserve"> </w:t>
      </w:r>
      <w:r w:rsidRPr="00E264E3">
        <w:t>In the Service, both biological and social sciences inform landscape-scale management of wildlife and their habitats</w:t>
      </w:r>
      <w:r w:rsidR="00150231">
        <w:t xml:space="preserve">. </w:t>
      </w:r>
      <w:r w:rsidR="00F5203A">
        <w:t xml:space="preserve"> </w:t>
      </w:r>
      <w:r w:rsidRPr="00E264E3">
        <w:t>We offer decision-makers scientifically based information on social systems for conservation planning, design, implementation, and monitoring and evaluation</w:t>
      </w:r>
      <w:r w:rsidR="00150231">
        <w:t xml:space="preserve">. </w:t>
      </w:r>
      <w:r w:rsidR="00F5203A">
        <w:t xml:space="preserve"> </w:t>
      </w:r>
      <w:r w:rsidRPr="00E264E3">
        <w:t>Building a connected conservation community ensures continued protection of wildlife resources for the American people.</w:t>
      </w:r>
    </w:p>
    <w:p w:rsidR="00E264E3" w:rsidP="00F6473A" w:rsidRDefault="00E264E3" w14:paraId="23F0D1A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68A6A0D1" w14:textId="044D9F01">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Monitoring and evaluating activities of the Refuge System and other programs of the Service are essential components of </w:t>
      </w:r>
      <w:r w:rsidR="00245180">
        <w:t>an</w:t>
      </w:r>
      <w:r w:rsidRPr="00E264E3">
        <w:t xml:space="preserve"> adaptive management cycle where social science contributions are important </w:t>
      </w:r>
      <w:r w:rsidR="00245180">
        <w:t>to</w:t>
      </w:r>
      <w:r w:rsidRPr="00E264E3">
        <w:t xml:space="preserve"> identify gaps in knowledge, generat</w:t>
      </w:r>
      <w:r w:rsidR="00245180">
        <w:t>e</w:t>
      </w:r>
      <w:r w:rsidRPr="00E264E3">
        <w:t xml:space="preserve"> information and tools to answer questions, and inform and refin</w:t>
      </w:r>
      <w:r w:rsidR="00245180">
        <w:t>e</w:t>
      </w:r>
      <w:r w:rsidRPr="00E264E3">
        <w:t xml:space="preserve"> decision-making</w:t>
      </w:r>
      <w:r w:rsidR="00150231">
        <w:t xml:space="preserve">. </w:t>
      </w:r>
      <w:r w:rsidR="00F5203A">
        <w:t xml:space="preserve"> </w:t>
      </w:r>
      <w:r w:rsidRPr="00E264E3">
        <w:t xml:space="preserve">This </w:t>
      </w:r>
      <w:r w:rsidRPr="00E264E3" w:rsidR="00DD68ED">
        <w:t xml:space="preserve">approach </w:t>
      </w:r>
      <w:r w:rsidRPr="00E264E3">
        <w:t xml:space="preserve">includes systematically gauging the perspectives and opinions of visitors, community residents, </w:t>
      </w:r>
      <w:r w:rsidR="00245180">
        <w:t xml:space="preserve">partners, </w:t>
      </w:r>
      <w:r w:rsidRPr="00E264E3">
        <w:t>and other stakeholders through surveys, interviews, and focus groups</w:t>
      </w:r>
      <w:r w:rsidR="00150231">
        <w:t xml:space="preserve">. </w:t>
      </w:r>
      <w:r w:rsidR="00F5203A">
        <w:t xml:space="preserve"> </w:t>
      </w:r>
      <w:r w:rsidRPr="00E264E3">
        <w:t xml:space="preserve">A programmatic clearance presents </w:t>
      </w:r>
      <w:r w:rsidR="001A5919">
        <w:t>a more streamlined</w:t>
      </w:r>
      <w:r w:rsidRPr="00E264E3" w:rsidR="001A5919">
        <w:t xml:space="preserve"> </w:t>
      </w:r>
      <w:r w:rsidRPr="00E264E3">
        <w:t>approach to complying with the Paperwork Reduction Act of 1995 (PRA</w:t>
      </w:r>
      <w:r w:rsidR="00E73B6F">
        <w:t xml:space="preserve">, 44 U.S.C. 3501, </w:t>
      </w:r>
      <w:r w:rsidR="00E73B6F">
        <w:rPr>
          <w:i/>
        </w:rPr>
        <w:t>et seq.</w:t>
      </w:r>
      <w:r w:rsidRPr="00E264E3">
        <w:t>).</w:t>
      </w:r>
    </w:p>
    <w:p w:rsidR="00E264E3" w:rsidP="00F6473A" w:rsidRDefault="00E264E3" w14:paraId="5B746CE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1434E" w:rsidP="00F6473A" w:rsidRDefault="00236677" w14:paraId="1C81F6B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Examples of collections that </w:t>
      </w:r>
      <w:r w:rsidRPr="00E264E3">
        <w:rPr>
          <w:u w:val="single"/>
        </w:rPr>
        <w:t>would not</w:t>
      </w:r>
      <w:r w:rsidRPr="00E264E3">
        <w:t xml:space="preserve"> generally fall under </w:t>
      </w:r>
      <w:r w:rsidRPr="00E264E3" w:rsidR="009C15B4">
        <w:t>this</w:t>
      </w:r>
      <w:r w:rsidRPr="00E264E3">
        <w:t xml:space="preserve"> programmatic clearance are</w:t>
      </w:r>
      <w:r w:rsidR="00627ED6">
        <w:t xml:space="preserve"> collections that</w:t>
      </w:r>
      <w:r w:rsidRPr="00E264E3">
        <w:t xml:space="preserve">: </w:t>
      </w:r>
    </w:p>
    <w:p w:rsidR="0091434E" w:rsidP="00F6473A" w:rsidRDefault="0091434E" w14:paraId="40E2917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1434E" w:rsidP="00F6473A" w:rsidRDefault="00386A98" w14:paraId="4EF2500D" w14:textId="09008D2D">
      <w:pPr>
        <w:pStyle w:val="ListParagraph"/>
        <w:numPr>
          <w:ilvl w:val="0"/>
          <w:numId w:val="33"/>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w</w:t>
      </w:r>
      <w:r w:rsidRPr="00E264E3" w:rsidR="00236677">
        <w:t xml:space="preserve">ill be used for making significant policy decisions; </w:t>
      </w:r>
    </w:p>
    <w:p w:rsidR="0091434E" w:rsidP="00F6473A" w:rsidRDefault="00386A98" w14:paraId="40F5DECF" w14:textId="392A1EDE">
      <w:pPr>
        <w:pStyle w:val="ListParagraph"/>
        <w:numPr>
          <w:ilvl w:val="0"/>
          <w:numId w:val="33"/>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i</w:t>
      </w:r>
      <w:r w:rsidRPr="00E264E3" w:rsidR="00236677">
        <w:t xml:space="preserve">mpose significant burden on respondents or significant costs </w:t>
      </w:r>
      <w:r w:rsidRPr="00E264E3" w:rsidR="00DC5903">
        <w:t>to</w:t>
      </w:r>
      <w:r w:rsidRPr="00E264E3" w:rsidR="00236677">
        <w:t xml:space="preserve"> the </w:t>
      </w:r>
      <w:r w:rsidR="00633ED5">
        <w:t>g</w:t>
      </w:r>
      <w:r w:rsidRPr="00E264E3" w:rsidR="00236677">
        <w:t xml:space="preserve">overnment; </w:t>
      </w:r>
    </w:p>
    <w:p w:rsidR="0091434E" w:rsidP="00F6473A" w:rsidRDefault="00386A98" w14:paraId="33718E1B" w14:textId="7043D3F0">
      <w:pPr>
        <w:pStyle w:val="ListParagraph"/>
        <w:numPr>
          <w:ilvl w:val="0"/>
          <w:numId w:val="33"/>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i</w:t>
      </w:r>
      <w:r w:rsidRPr="00E264E3" w:rsidR="000D1C19">
        <w:t>nvolve</w:t>
      </w:r>
      <w:r w:rsidRPr="00E264E3" w:rsidR="00236677">
        <w:t xml:space="preserve"> potentially controversial topics or that raise issues of significant concern to other agencies; and </w:t>
      </w:r>
    </w:p>
    <w:p w:rsidRPr="00E264E3" w:rsidR="00984E9E" w:rsidP="00F6473A" w:rsidRDefault="00386A98" w14:paraId="266572A8" w14:textId="2AC504F9">
      <w:pPr>
        <w:pStyle w:val="ListParagraph"/>
        <w:numPr>
          <w:ilvl w:val="0"/>
          <w:numId w:val="33"/>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a</w:t>
      </w:r>
      <w:r w:rsidRPr="00E264E3" w:rsidR="00236677">
        <w:t>re intended for the purpose of basic research and that do not directly benefit the agency’s mission.</w:t>
      </w:r>
    </w:p>
    <w:p w:rsidRPr="00E264E3" w:rsidR="00745410" w:rsidP="00F6473A" w:rsidRDefault="00745410" w14:paraId="1CEC708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694555" w14:paraId="35A48D55"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1.</w:t>
      </w:r>
      <w:r>
        <w:tab/>
      </w:r>
      <w:r w:rsidR="00BA6BA5">
        <w:t>E</w:t>
      </w:r>
      <w:r w:rsidRPr="00BA6BA5" w:rsidR="00BA6BA5">
        <w:t>xplain the circumstances that make the collection of information necessary</w:t>
      </w:r>
      <w:r w:rsidR="00150231">
        <w:t xml:space="preserve">. </w:t>
      </w:r>
      <w:r w:rsidRPr="00BA6BA5" w:rsidR="00BA6BA5">
        <w:t>Identify any legal or administrative requirements that necessitate the collection</w:t>
      </w:r>
      <w:r w:rsidR="00150231">
        <w:t xml:space="preserve">. </w:t>
      </w:r>
    </w:p>
    <w:p w:rsidR="00E264E3" w:rsidP="00F6473A" w:rsidRDefault="00E264E3" w14:paraId="04CEBD8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84E9E" w:rsidP="00F6473A" w:rsidRDefault="00236677" w14:paraId="0A4916F2" w14:textId="64C30FEA">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We are pursuing a programmatic clearance under the PRA in order to facilitate the collection of social science information for the Service</w:t>
      </w:r>
      <w:r w:rsidR="00150231">
        <w:t xml:space="preserve">. </w:t>
      </w:r>
      <w:r w:rsidRPr="00E264E3">
        <w:t>In this section we present the legal and policy justifications for the data collection</w:t>
      </w:r>
      <w:r w:rsidR="00150231">
        <w:t xml:space="preserve">. </w:t>
      </w:r>
      <w:r w:rsidR="00A60FBF">
        <w:t xml:space="preserve"> </w:t>
      </w:r>
      <w:r w:rsidRPr="00E264E3">
        <w:t>We show that a programmatic clearance would provide an expeditious process for filling some of the existing information gaps, thereby increas</w:t>
      </w:r>
      <w:r w:rsidRPr="00E264E3" w:rsidR="0065341A">
        <w:t>ing</w:t>
      </w:r>
      <w:r w:rsidRPr="00E264E3">
        <w:t xml:space="preserve"> public input and improving the responsiveness of the Service. </w:t>
      </w:r>
    </w:p>
    <w:p w:rsidRPr="00E264E3" w:rsidR="00E264E3" w:rsidP="00F6473A" w:rsidRDefault="00E264E3" w14:paraId="3101F8EA"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013B7E" w:rsidR="00984E9E" w:rsidP="00F6473A" w:rsidRDefault="00236677" w14:paraId="33B6E8EC" w14:textId="77777777">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013B7E">
        <w:t>Legal Justification</w:t>
      </w:r>
    </w:p>
    <w:p w:rsidR="00984E9E" w:rsidP="00F6473A" w:rsidRDefault="00236677" w14:paraId="0B127D4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Below is a brief review of the laws, policies, and regulations that form the basis for the Service’s need to conduct social science-based information collections.</w:t>
      </w:r>
    </w:p>
    <w:p w:rsidRPr="006D5F76" w:rsidR="00E264E3" w:rsidP="00F6473A" w:rsidRDefault="00E264E3" w14:paraId="5F5BE01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b/>
        </w:rPr>
      </w:pPr>
    </w:p>
    <w:p w:rsidRPr="006D5F76" w:rsidR="00E264E3" w:rsidP="00F6473A" w:rsidRDefault="00236677" w14:paraId="62B06BAE"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6D5F76">
        <w:t xml:space="preserve">The National Wildlife Refuge Improvement Act of 1997 (P.L. 105-57) amended the National </w:t>
      </w:r>
    </w:p>
    <w:p w:rsidR="00984E9E" w:rsidP="00F6473A" w:rsidRDefault="00236677" w14:paraId="251FDB30" w14:textId="5B400BC0">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Wildlife Refuge Administration Act (</w:t>
      </w:r>
      <w:r w:rsidR="00795AA5">
        <w:t xml:space="preserve">Refuge Act, </w:t>
      </w:r>
      <w:r w:rsidRPr="00E264E3">
        <w:t>16 U.S.C. 668dd-668ee)</w:t>
      </w:r>
      <w:r w:rsidR="000F3B1A">
        <w:t xml:space="preserve"> and</w:t>
      </w:r>
      <w:r w:rsidRPr="00E264E3">
        <w:t xml:space="preserve"> </w:t>
      </w:r>
      <w:r w:rsidRPr="00E264E3" w:rsidR="001B27AD">
        <w:t xml:space="preserve">established the mission and </w:t>
      </w:r>
      <w:r w:rsidRPr="00E264E3" w:rsidR="00AD32CD">
        <w:t>objectives</w:t>
      </w:r>
      <w:r w:rsidRPr="00E264E3" w:rsidR="001B27AD">
        <w:t xml:space="preserve"> that guide planning and management of the National Wildlife Refuge system</w:t>
      </w:r>
      <w:r w:rsidR="00150231">
        <w:t xml:space="preserve">. </w:t>
      </w:r>
      <w:r w:rsidR="00A60FBF">
        <w:t xml:space="preserve"> </w:t>
      </w:r>
      <w:r w:rsidRPr="00E264E3">
        <w:t>The mission is “</w:t>
      </w:r>
      <w:r w:rsidRPr="00E264E3">
        <w:rPr>
          <w:i/>
        </w:rPr>
        <w:t>to administer a national network of lands and waters for the conservation, management and where appropriate, restoration of the fish, wildlife and plant resources and their habitats within the United States for the benefit of present and future generations of Americans.</w:t>
      </w:r>
      <w:r w:rsidRPr="00E264E3">
        <w:t xml:space="preserve">" </w:t>
      </w:r>
      <w:r w:rsidR="003502B6">
        <w:t xml:space="preserve"> </w:t>
      </w:r>
      <w:r w:rsidRPr="00E264E3">
        <w:t xml:space="preserve">In addition, </w:t>
      </w:r>
      <w:r w:rsidR="00633ED5">
        <w:t>Section 5</w:t>
      </w:r>
      <w:r w:rsidRPr="00E264E3">
        <w:t xml:space="preserve"> provides for:</w:t>
      </w:r>
    </w:p>
    <w:p w:rsidRPr="00E264E3" w:rsidR="00C95CD5" w:rsidP="00F6473A" w:rsidRDefault="00C95CD5" w14:paraId="5228864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386A98" w14:paraId="77B3E9FE" w14:textId="0105183E">
      <w:pPr>
        <w:pStyle w:val="ListParagraph"/>
        <w:numPr>
          <w:ilvl w:val="0"/>
          <w:numId w:val="18"/>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a</w:t>
      </w:r>
      <w:r w:rsidRPr="00E264E3" w:rsidR="00236677">
        <w:t xml:space="preserve"> requirement to maintain the biological integrity, diversity, and environmental health of the Refuge System; </w:t>
      </w:r>
    </w:p>
    <w:p w:rsidRPr="00E264E3" w:rsidR="00984E9E" w:rsidP="00F6473A" w:rsidRDefault="00386A98" w14:paraId="4C24A8D0" w14:textId="27B9DB77">
      <w:pPr>
        <w:pStyle w:val="ListParagraph"/>
        <w:numPr>
          <w:ilvl w:val="0"/>
          <w:numId w:val="18"/>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a</w:t>
      </w:r>
      <w:r w:rsidRPr="00E264E3" w:rsidR="00236677">
        <w:t xml:space="preserve"> new process for determining compatible uses on refuges;</w:t>
      </w:r>
    </w:p>
    <w:p w:rsidRPr="00E264E3" w:rsidR="00984E9E" w:rsidP="00F6473A" w:rsidRDefault="00386A98" w14:paraId="356D1100" w14:textId="6F062289">
      <w:pPr>
        <w:pStyle w:val="ListParagraph"/>
        <w:numPr>
          <w:ilvl w:val="0"/>
          <w:numId w:val="18"/>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a</w:t>
      </w:r>
      <w:r w:rsidRPr="00E264E3" w:rsidR="00236677">
        <w:t xml:space="preserve"> recognition that wildlife-dependent recreational uses (hunting, fishing, wildlife observation, photography, environmental education, and interpretation) when determined to be compatible, are legitimate and appropriate public uses of the Refuge System; and</w:t>
      </w:r>
    </w:p>
    <w:p w:rsidR="00E264E3" w:rsidP="00F6473A" w:rsidRDefault="00386A98" w14:paraId="3431F3E2" w14:textId="5D705E0C">
      <w:pPr>
        <w:pStyle w:val="ListParagraph"/>
        <w:numPr>
          <w:ilvl w:val="0"/>
          <w:numId w:val="18"/>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a</w:t>
      </w:r>
      <w:r w:rsidRPr="00E264E3" w:rsidR="00236677">
        <w:t xml:space="preserve"> requirement for preparing a comprehensive conservation plan for each refuge.</w:t>
      </w:r>
    </w:p>
    <w:p w:rsidRPr="00E264E3" w:rsidR="00E264E3" w:rsidP="00F6473A" w:rsidRDefault="00E264E3" w14:paraId="7B65F87E"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84E9E" w:rsidP="00F6473A" w:rsidRDefault="00236677" w14:paraId="11FB0059" w14:textId="31B590DA">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6D5F76">
        <w:t>The Government Performance and Results Act of 1993 (GPRA</w:t>
      </w:r>
      <w:r w:rsidRPr="006D5F76" w:rsidR="00795AA5">
        <w:t xml:space="preserve">, </w:t>
      </w:r>
      <w:r w:rsidR="006D5F76">
        <w:t>31 U.S.C. 1101</w:t>
      </w:r>
      <w:r w:rsidRPr="006D5F76">
        <w:t>)</w:t>
      </w:r>
      <w:r w:rsidRPr="00E264E3">
        <w:t xml:space="preserve"> requires Federal agencies </w:t>
      </w:r>
      <w:r w:rsidR="00633ED5">
        <w:t xml:space="preserve">to </w:t>
      </w:r>
      <w:r w:rsidRPr="00E264E3">
        <w:t>develop goals to improve program effectiveness and public accountability, and to measure performance related to these goals</w:t>
      </w:r>
      <w:r w:rsidR="00150231">
        <w:t xml:space="preserve">. </w:t>
      </w:r>
      <w:r w:rsidR="00A60FBF">
        <w:t xml:space="preserve"> </w:t>
      </w:r>
      <w:r w:rsidRPr="00E264E3">
        <w:t>The Service’s GPRA Strategic Plan and Annual Performance Plans, outline the following goals:</w:t>
      </w:r>
    </w:p>
    <w:p w:rsidRPr="00E264E3" w:rsidR="00C95CD5" w:rsidP="00F6473A" w:rsidRDefault="00C95CD5" w14:paraId="6549127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386A98" w14:paraId="3F578CDF" w14:textId="3AD4DD5C">
      <w:pPr>
        <w:pStyle w:val="ListParagraph"/>
        <w:numPr>
          <w:ilvl w:val="0"/>
          <w:numId w:val="20"/>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i</w:t>
      </w:r>
      <w:r w:rsidRPr="00E264E3" w:rsidR="00236677">
        <w:t>mprove the Quality and Diversity of Recreation Experiences and Visitor Enjoyment on DOI Lands</w:t>
      </w:r>
      <w:r w:rsidR="00627ED6">
        <w:t>;</w:t>
      </w:r>
    </w:p>
    <w:p w:rsidRPr="00E264E3" w:rsidR="00984E9E" w:rsidP="00F6473A" w:rsidRDefault="00386A98" w14:paraId="1CC40EB8" w14:textId="133CD496">
      <w:pPr>
        <w:pStyle w:val="ListParagraph"/>
        <w:numPr>
          <w:ilvl w:val="0"/>
          <w:numId w:val="20"/>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e</w:t>
      </w:r>
      <w:r w:rsidRPr="00E264E3" w:rsidR="00236677">
        <w:t>xpand Seamless Recreation Opportunities with Partners</w:t>
      </w:r>
      <w:r w:rsidR="00627ED6">
        <w:t>; and</w:t>
      </w:r>
    </w:p>
    <w:p w:rsidRPr="00E264E3" w:rsidR="00984E9E" w:rsidP="00F6473A" w:rsidRDefault="00386A98" w14:paraId="28757C2A" w14:textId="1FB440E2">
      <w:pPr>
        <w:pStyle w:val="ListParagraph"/>
        <w:numPr>
          <w:ilvl w:val="0"/>
          <w:numId w:val="20"/>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p</w:t>
      </w:r>
      <w:r w:rsidRPr="00E264E3" w:rsidR="00236677">
        <w:t>rovide educational opportunities to students.</w:t>
      </w:r>
    </w:p>
    <w:p w:rsidR="00E264E3" w:rsidP="00F6473A" w:rsidRDefault="00E264E3" w14:paraId="3E29307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4D365ECA" w14:textId="1DBD60E8">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rPr>
          <w:b/>
        </w:rPr>
        <w:t xml:space="preserve">The </w:t>
      </w:r>
      <w:hyperlink w:history="1" r:id="rId9">
        <w:r w:rsidRPr="00E264E3">
          <w:rPr>
            <w:rStyle w:val="Hyperlink"/>
            <w:b/>
          </w:rPr>
          <w:t xml:space="preserve">Urban Wildlife Conservation </w:t>
        </w:r>
        <w:r w:rsidRPr="00E264E3">
          <w:rPr>
            <w:rStyle w:val="Hyperlink"/>
            <w:b/>
          </w:rPr>
          <w:t>Program</w:t>
        </w:r>
      </w:hyperlink>
      <w:r w:rsidRPr="00E264E3">
        <w:rPr>
          <w:b/>
        </w:rPr>
        <w:t xml:space="preserve"> (Urban Program) Policy</w:t>
      </w:r>
      <w:r w:rsidRPr="00E264E3">
        <w:t xml:space="preserve"> (110 FW</w:t>
      </w:r>
      <w:r w:rsidRPr="00E264E3" w:rsidR="00DC5903">
        <w:t xml:space="preserve"> </w:t>
      </w:r>
      <w:r w:rsidRPr="00E264E3">
        <w:t>1) was established as a means to encourage engagement with urban communities in fish and wildlife conservation</w:t>
      </w:r>
      <w:r w:rsidR="00150231">
        <w:t>.</w:t>
      </w:r>
      <w:r w:rsidR="00A60FBF">
        <w:t xml:space="preserve"> </w:t>
      </w:r>
      <w:r w:rsidR="00150231">
        <w:t xml:space="preserve"> </w:t>
      </w:r>
      <w:r w:rsidRPr="00E264E3">
        <w:t>It enumerates designation criteria for Urban Wildlife Refuges (Urban Refuges), Partnerships and Bird Treaty cities, and describes</w:t>
      </w:r>
      <w:r w:rsidRPr="00E264E3" w:rsidR="0065341A">
        <w:t xml:space="preserve"> how the </w:t>
      </w:r>
      <w:hyperlink w:history="1" r:id="rId10">
        <w:r w:rsidRPr="00E264E3" w:rsidR="0065341A">
          <w:rPr>
            <w:rStyle w:val="Hyperlink"/>
          </w:rPr>
          <w:t>Standards of Excellence</w:t>
        </w:r>
      </w:hyperlink>
      <w:r w:rsidRPr="00E264E3">
        <w:t xml:space="preserve"> apply to Urban Refuges and other urban activities</w:t>
      </w:r>
      <w:r w:rsidR="00150231">
        <w:t xml:space="preserve">. </w:t>
      </w:r>
      <w:r w:rsidR="00A60FBF">
        <w:t xml:space="preserve"> </w:t>
      </w:r>
      <w:r w:rsidRPr="00E264E3">
        <w:t xml:space="preserve">The Service is required to ‘evaluate and adapt’ the practices of the Urban Program through internal review of the urban entities by the Chief, Division of Visitor Services &amp; Communications every 5 years, including an expanded visitor services review for the Urban Refuges; they, “…must analyze the people they are reaching and conduct approved visitor use surveys to monitor the changes </w:t>
      </w:r>
      <w:r w:rsidR="006A6204">
        <w:t>and track audience engagement.”</w:t>
      </w:r>
      <w:bookmarkStart w:name="_GoBack" w:id="0"/>
      <w:bookmarkEnd w:id="0"/>
      <w:r w:rsidR="003502B6">
        <w:t xml:space="preserve"> </w:t>
      </w:r>
      <w:r w:rsidR="00A60FBF">
        <w:t xml:space="preserve"> </w:t>
      </w:r>
      <w:r w:rsidRPr="00E264E3">
        <w:t>In addition, the</w:t>
      </w:r>
      <w:r w:rsidRPr="00E264E3" w:rsidR="00A11DD5">
        <w:t xml:space="preserve"> </w:t>
      </w:r>
      <w:r w:rsidRPr="00E264E3" w:rsidR="00DC5903">
        <w:t>Service’s</w:t>
      </w:r>
      <w:r w:rsidRPr="00E264E3">
        <w:t xml:space="preserve"> Directorate Oversight Team may establish additional metrics for evaluating progress and measuring success.</w:t>
      </w:r>
    </w:p>
    <w:p w:rsidR="00E264E3" w:rsidP="00F6473A" w:rsidRDefault="00E264E3" w14:paraId="39DF3F6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84E9E" w:rsidP="00F6473A" w:rsidRDefault="00236677" w14:paraId="448F3777" w14:textId="69E21564">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lastRenderedPageBreak/>
        <w:t>Among the standard</w:t>
      </w:r>
      <w:r w:rsidR="00245180">
        <w:t>s</w:t>
      </w:r>
      <w:r w:rsidRPr="00E264E3">
        <w:t xml:space="preserve"> of excellence most notable to the Service’s pursuit of a programmatic clearance for conducting social science research are:</w:t>
      </w:r>
    </w:p>
    <w:p w:rsidRPr="00E264E3" w:rsidR="00C95CD5" w:rsidP="00F6473A" w:rsidRDefault="00C95CD5" w14:paraId="454FB82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167C62" w14:paraId="1E58ADE6" w14:textId="57D05107">
      <w:pPr>
        <w:pStyle w:val="ListParagraph"/>
        <w:numPr>
          <w:ilvl w:val="0"/>
          <w:numId w:val="30"/>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k</w:t>
      </w:r>
      <w:r w:rsidRPr="00E264E3" w:rsidR="00236677">
        <w:t>now and relate to the community</w:t>
      </w:r>
      <w:r w:rsidR="005D0B89">
        <w:t>;</w:t>
      </w:r>
    </w:p>
    <w:p w:rsidRPr="00E264E3" w:rsidR="00984E9E" w:rsidP="00F6473A" w:rsidRDefault="00167C62" w14:paraId="4B142273" w14:textId="6DC15DA5">
      <w:pPr>
        <w:pStyle w:val="ListParagraph"/>
        <w:numPr>
          <w:ilvl w:val="0"/>
          <w:numId w:val="30"/>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c</w:t>
      </w:r>
      <w:r w:rsidRPr="00E264E3" w:rsidR="00236677">
        <w:t>onnect urban people with nature through the stepping stones of engagement</w:t>
      </w:r>
      <w:r w:rsidR="005D0B89">
        <w:t>;</w:t>
      </w:r>
    </w:p>
    <w:p w:rsidRPr="00E264E3" w:rsidR="00984E9E" w:rsidP="00F6473A" w:rsidRDefault="00167C62" w14:paraId="5E7A8412" w14:textId="2E328205">
      <w:pPr>
        <w:pStyle w:val="ListParagraph"/>
        <w:numPr>
          <w:ilvl w:val="0"/>
          <w:numId w:val="30"/>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b</w:t>
      </w:r>
      <w:r w:rsidRPr="00E264E3" w:rsidR="00236677">
        <w:t>uild partnerships</w:t>
      </w:r>
      <w:r w:rsidR="005D0B89">
        <w:t>;</w:t>
      </w:r>
    </w:p>
    <w:p w:rsidRPr="00E264E3" w:rsidR="00984E9E" w:rsidP="00F6473A" w:rsidRDefault="00167C62" w14:paraId="1D298EC4" w14:textId="62B2D60D">
      <w:pPr>
        <w:pStyle w:val="ListParagraph"/>
        <w:numPr>
          <w:ilvl w:val="0"/>
          <w:numId w:val="30"/>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b</w:t>
      </w:r>
      <w:r w:rsidRPr="00E264E3" w:rsidR="00236677">
        <w:t>e a community asset</w:t>
      </w:r>
      <w:r w:rsidR="005D0B89">
        <w:t>;</w:t>
      </w:r>
    </w:p>
    <w:p w:rsidRPr="00E264E3" w:rsidR="00984E9E" w:rsidP="00F6473A" w:rsidRDefault="00167C62" w14:paraId="5E56C214" w14:textId="01CAA192">
      <w:pPr>
        <w:pStyle w:val="ListParagraph"/>
        <w:numPr>
          <w:ilvl w:val="0"/>
          <w:numId w:val="30"/>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p</w:t>
      </w:r>
      <w:r w:rsidRPr="00E264E3" w:rsidR="00236677">
        <w:t>rovide equitable access</w:t>
      </w:r>
      <w:r w:rsidR="005D0B89">
        <w:t>; and</w:t>
      </w:r>
    </w:p>
    <w:p w:rsidRPr="00E264E3" w:rsidR="00984E9E" w:rsidP="00F6473A" w:rsidRDefault="00167C62" w14:paraId="4160610B" w14:textId="55A50048">
      <w:pPr>
        <w:pStyle w:val="ListParagraph"/>
        <w:numPr>
          <w:ilvl w:val="0"/>
          <w:numId w:val="30"/>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e</w:t>
      </w:r>
      <w:r w:rsidRPr="00E264E3" w:rsidR="00236677">
        <w:t>nsure visitors feel safe and welcome</w:t>
      </w:r>
      <w:r w:rsidR="005D0B89">
        <w:t>.</w:t>
      </w:r>
    </w:p>
    <w:p w:rsidR="00E264E3" w:rsidP="00F6473A" w:rsidRDefault="00E264E3" w14:paraId="2977AC6D"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245180" w:rsidR="00E264E3" w:rsidP="00F6473A" w:rsidRDefault="00245180" w14:paraId="4C688664" w14:textId="3B35CFA3">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b/>
        </w:rPr>
      </w:pPr>
      <w:r w:rsidRPr="00245180">
        <w:rPr>
          <w:b/>
        </w:rPr>
        <w:t>O</w:t>
      </w:r>
      <w:r w:rsidR="00AB33F8">
        <w:rPr>
          <w:b/>
        </w:rPr>
        <w:t>ffice of Management and Budget (O</w:t>
      </w:r>
      <w:r w:rsidRPr="00245180">
        <w:rPr>
          <w:b/>
        </w:rPr>
        <w:t>MB</w:t>
      </w:r>
      <w:r w:rsidR="00AB33F8">
        <w:rPr>
          <w:b/>
        </w:rPr>
        <w:t>)</w:t>
      </w:r>
      <w:r w:rsidRPr="00245180">
        <w:rPr>
          <w:b/>
        </w:rPr>
        <w:t xml:space="preserve"> Circular A-11</w:t>
      </w:r>
      <w:r>
        <w:rPr>
          <w:b/>
        </w:rPr>
        <w:t xml:space="preserve">, Section 280: Managing </w:t>
      </w:r>
      <w:r w:rsidRPr="00245180">
        <w:rPr>
          <w:b/>
        </w:rPr>
        <w:t>Customer Experience and Improving Service Delivery</w:t>
      </w:r>
    </w:p>
    <w:p w:rsidRPr="00AB33F8" w:rsidR="00245180" w:rsidP="00AB33F8" w:rsidRDefault="00AB33F8" w14:paraId="0186E57B" w14:textId="019D87F4">
      <w:pPr>
        <w:widowControl/>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00"/>
      </w:pPr>
      <w:r w:rsidRPr="00AB33F8">
        <w:t>This circular focuses on improving bureaus’ ability to address customer service delivery and response and is part of President Trump’s Management Agenda.</w:t>
      </w:r>
      <w:r w:rsidR="00A60FBF">
        <w:t xml:space="preserve"> </w:t>
      </w:r>
      <w:r>
        <w:t xml:space="preserve"> The Service has been designated a High Impact Service Provider and as such must provide data regularly to OMB on customer feedback.</w:t>
      </w:r>
    </w:p>
    <w:p w:rsidR="00245180" w:rsidP="00F6473A" w:rsidRDefault="00245180" w14:paraId="64191D40" w14:textId="36E27168">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b/>
        </w:rPr>
      </w:pPr>
      <w:r>
        <w:rPr>
          <w:b/>
        </w:rPr>
        <w:t>Department of the Interior Secretarial Orders 3356 (Hunting and Fishing Opportunities)</w:t>
      </w:r>
      <w:r w:rsidR="00AB33F8">
        <w:rPr>
          <w:b/>
        </w:rPr>
        <w:t>, 3362 (Big Game Corridors)</w:t>
      </w:r>
      <w:r>
        <w:rPr>
          <w:b/>
        </w:rPr>
        <w:t xml:space="preserve"> and 3366 (Outdoor Recreation Access)</w:t>
      </w:r>
    </w:p>
    <w:p w:rsidRPr="00AB33F8" w:rsidR="00AB33F8" w:rsidP="00AB33F8" w:rsidRDefault="00AB33F8" w14:paraId="016FB844" w14:textId="77777777">
      <w:pPr>
        <w:widowControl/>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00"/>
      </w:pPr>
      <w:r>
        <w:t xml:space="preserve">These Secretarial orders focus on </w:t>
      </w:r>
      <w:r w:rsidRPr="00AB33F8">
        <w:t>expanding access to hunting, fishing, and other outdoor recreation opportunities, including recruiting and retaining new sportsmen and women conservationists</w:t>
      </w:r>
      <w:r>
        <w:t xml:space="preserve">; </w:t>
      </w:r>
      <w:r w:rsidRPr="00AB33F8">
        <w:t xml:space="preserve">working more collaboratively with states, private landowners, and other stakeholders to improve management and conservation of habitat for fish and wildlife populations, including big game; and measuring economic benefits to local communities from recreation on national wildlife refuges, wetland management districts, and fish hatcheries. </w:t>
      </w:r>
    </w:p>
    <w:p w:rsidRPr="00E264E3" w:rsidR="00984E9E" w:rsidP="00F6473A" w:rsidRDefault="00236677" w14:paraId="60F897B9" w14:textId="43B7BE04">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Monitoring and evaluating activities of the </w:t>
      </w:r>
      <w:r w:rsidRPr="00E264E3" w:rsidR="00377A26">
        <w:t>Refuge System</w:t>
      </w:r>
      <w:r w:rsidRPr="00E264E3">
        <w:t xml:space="preserve"> and other programs of the Service are also essential components of the </w:t>
      </w:r>
      <w:r w:rsidRPr="00E264E3" w:rsidR="00DC5903">
        <w:t xml:space="preserve">Service’s </w:t>
      </w:r>
      <w:hyperlink r:id="rId11">
        <w:r w:rsidRPr="00E264E3">
          <w:rPr>
            <w:color w:val="0000FF"/>
            <w:u w:val="single"/>
          </w:rPr>
          <w:t>Strategic Habitat Conservation</w:t>
        </w:r>
      </w:hyperlink>
      <w:r w:rsidRPr="00E264E3">
        <w:t xml:space="preserve"> adaptive management cycle</w:t>
      </w:r>
      <w:r w:rsidR="00150231">
        <w:t xml:space="preserve">. </w:t>
      </w:r>
      <w:r w:rsidR="00A60FBF">
        <w:t xml:space="preserve"> </w:t>
      </w:r>
      <w:r w:rsidRPr="00E264E3">
        <w:t>The implementation of this model represents a shift to more strategic, accountable</w:t>
      </w:r>
      <w:r w:rsidRPr="00E264E3" w:rsidR="00DC5903">
        <w:t>,</w:t>
      </w:r>
      <w:r w:rsidRPr="00E264E3">
        <w:t xml:space="preserve"> and adaptive actions that require sound social science as part of the array of inputs considered by decision-makers</w:t>
      </w:r>
      <w:r w:rsidR="00150231">
        <w:t>.</w:t>
      </w:r>
      <w:r w:rsidR="00A60FBF">
        <w:t xml:space="preserve"> </w:t>
      </w:r>
      <w:r w:rsidR="00150231">
        <w:t xml:space="preserve"> </w:t>
      </w:r>
      <w:r w:rsidRPr="00E264E3">
        <w:t>Systematically gauging the perspectives and opinions of visitors, community residents, and other stakeholders through surveys, interviews, and focus groups are key to the success of this conservation model.</w:t>
      </w:r>
    </w:p>
    <w:p w:rsidRPr="00E264E3" w:rsidR="00745410" w:rsidP="00F6473A" w:rsidRDefault="00745410" w14:paraId="3BE1758A"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53670719" w14:textId="77777777">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The Need for a Programmatic Clearance</w:t>
      </w:r>
    </w:p>
    <w:p w:rsidRPr="00E264E3" w:rsidR="00984E9E" w:rsidP="00F6473A" w:rsidRDefault="00236677" w14:paraId="32882D5D" w14:textId="7441982A">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A programmatic clearance will make the Service more nimble in monitoring, evaluating, and prioritizing efforts on </w:t>
      </w:r>
      <w:r w:rsidR="00162790">
        <w:t>r</w:t>
      </w:r>
      <w:r w:rsidRPr="00E264E3">
        <w:t xml:space="preserve">efuges and </w:t>
      </w:r>
      <w:r w:rsidRPr="00E264E3" w:rsidR="00377A26">
        <w:t xml:space="preserve">for </w:t>
      </w:r>
      <w:r w:rsidRPr="00E264E3">
        <w:t xml:space="preserve">other Service programs, including those undertaken to support socioeconomic inventory and monitoring </w:t>
      </w:r>
      <w:r w:rsidRPr="00E264E3" w:rsidR="009C15B4">
        <w:t xml:space="preserve">and evaluation of the </w:t>
      </w:r>
      <w:r w:rsidRPr="00E264E3">
        <w:t>Urban Program</w:t>
      </w:r>
      <w:r w:rsidR="00150231">
        <w:t xml:space="preserve">. </w:t>
      </w:r>
      <w:r w:rsidR="00A60FBF">
        <w:t xml:space="preserve"> </w:t>
      </w:r>
      <w:r w:rsidRPr="00E264E3">
        <w:t xml:space="preserve">A programmatic clearance would increase the efficiency of Service personnel in collecting necessary information from the public pursuant to the established </w:t>
      </w:r>
      <w:r w:rsidR="00D24314">
        <w:t>Office of Management and Budget (</w:t>
      </w:r>
      <w:r w:rsidRPr="00E264E3" w:rsidR="00D24314">
        <w:t>OMB</w:t>
      </w:r>
      <w:r w:rsidR="00D24314">
        <w:t xml:space="preserve">) </w:t>
      </w:r>
      <w:r w:rsidRPr="00E264E3">
        <w:t>approval process</w:t>
      </w:r>
      <w:r w:rsidR="00150231">
        <w:t>.</w:t>
      </w:r>
      <w:r w:rsidR="00A60FBF">
        <w:t xml:space="preserve"> </w:t>
      </w:r>
      <w:r w:rsidR="00150231">
        <w:t xml:space="preserve"> </w:t>
      </w:r>
      <w:r w:rsidRPr="00E264E3">
        <w:t>It would also improve coordination of social science research across Service programs and lessen potential redund</w:t>
      </w:r>
      <w:r w:rsidRPr="00E264E3" w:rsidR="00377A26">
        <w:t>a</w:t>
      </w:r>
      <w:r w:rsidRPr="00E264E3">
        <w:t xml:space="preserve">ncy in studies. </w:t>
      </w:r>
    </w:p>
    <w:p w:rsidR="00E264E3" w:rsidP="00F6473A" w:rsidRDefault="00E264E3" w14:paraId="2D41161D"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34FA1B65" w14:textId="0D83158B">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Historically, neither the Refuge System nor other programs within the Service have monitored or evaluated the perspectives and preferences of visitors, community residents, and other stakeholders in a systematic way or to the extent needed</w:t>
      </w:r>
      <w:r w:rsidR="00150231">
        <w:t xml:space="preserve">. </w:t>
      </w:r>
      <w:r w:rsidR="00A60FBF">
        <w:t xml:space="preserve"> </w:t>
      </w:r>
      <w:r w:rsidRPr="00E264E3">
        <w:t xml:space="preserve">An increased recognition for the need for social science data and the </w:t>
      </w:r>
      <w:r w:rsidRPr="00E264E3" w:rsidR="00377A26">
        <w:t xml:space="preserve">establishment of the </w:t>
      </w:r>
      <w:r w:rsidRPr="00E264E3">
        <w:t xml:space="preserve">Urban Program in 2011 </w:t>
      </w:r>
      <w:r w:rsidRPr="00E264E3" w:rsidR="00047596">
        <w:t>has</w:t>
      </w:r>
      <w:r w:rsidRPr="00E264E3">
        <w:t xml:space="preserve"> elevated the demand for systematic social science data to inform Se</w:t>
      </w:r>
      <w:r w:rsidRPr="00E264E3" w:rsidR="00377A26">
        <w:t>rvice activities and decisions</w:t>
      </w:r>
      <w:r w:rsidR="00150231">
        <w:t xml:space="preserve">. </w:t>
      </w:r>
      <w:r w:rsidR="00A60FBF">
        <w:t xml:space="preserve"> </w:t>
      </w:r>
      <w:r w:rsidRPr="00E264E3" w:rsidR="00377A26">
        <w:t>T</w:t>
      </w:r>
      <w:r w:rsidRPr="00E264E3">
        <w:t>he National Wildlife Refuge Visitor Survey (Visitor Survey), Service landscape-scale conservation planning and design, and timely evaluati</w:t>
      </w:r>
      <w:r w:rsidRPr="00E264E3" w:rsidR="00377A26">
        <w:t>on of Urban Program activities</w:t>
      </w:r>
      <w:r w:rsidRPr="00E264E3" w:rsidR="0045175D">
        <w:t xml:space="preserve"> are priorities for this </w:t>
      </w:r>
      <w:r w:rsidRPr="00E264E3" w:rsidR="0045175D">
        <w:lastRenderedPageBreak/>
        <w:t>proposed programmatic clearance.</w:t>
      </w:r>
    </w:p>
    <w:p w:rsidR="00E264E3" w:rsidP="00F6473A" w:rsidRDefault="00E264E3" w14:paraId="79F9C8C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7E9796DC" w14:textId="16F4D82A">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The Visitor Survey, in particular, has been an important tool in refuge planning for the 78 refuges that participated in the initial studies in </w:t>
      </w:r>
      <w:hyperlink w:history="1" r:id="rId12">
        <w:r w:rsidRPr="00E264E3">
          <w:rPr>
            <w:rStyle w:val="Hyperlink"/>
          </w:rPr>
          <w:t>2010/2011 and 2012</w:t>
        </w:r>
      </w:hyperlink>
      <w:r w:rsidR="00150231">
        <w:t xml:space="preserve">. </w:t>
      </w:r>
      <w:r w:rsidR="00A60FBF">
        <w:t xml:space="preserve"> </w:t>
      </w:r>
      <w:r w:rsidRPr="00E264E3">
        <w:t>Many other refuges and approximately a dozen priority urban refuges are still in need of this baseline visitor data</w:t>
      </w:r>
      <w:r w:rsidR="00150231">
        <w:t xml:space="preserve">. </w:t>
      </w:r>
      <w:r w:rsidRPr="00E264E3">
        <w:t xml:space="preserve">Additionally, for effective socioeconomic monitoring of refuges, this study must be repeated over time (i.e., every 5 years) at more than </w:t>
      </w:r>
      <w:r w:rsidR="00D51CA0">
        <w:t>175</w:t>
      </w:r>
      <w:r w:rsidRPr="00E264E3" w:rsidR="00D51CA0">
        <w:t xml:space="preserve"> </w:t>
      </w:r>
      <w:r w:rsidRPr="00E264E3">
        <w:t>refuges that experience moderate to high levels of public use</w:t>
      </w:r>
      <w:r w:rsidR="00150231">
        <w:t xml:space="preserve">. </w:t>
      </w:r>
      <w:r w:rsidR="00A60FBF">
        <w:t xml:space="preserve"> </w:t>
      </w:r>
      <w:r w:rsidRPr="00E264E3">
        <w:t>Tracking visitor experiences over time will allow for customer service and planning that is more responsive to public expectations and needs</w:t>
      </w:r>
      <w:r w:rsidR="00150231">
        <w:t>.</w:t>
      </w:r>
      <w:r w:rsidR="00A60FBF">
        <w:t xml:space="preserve"> </w:t>
      </w:r>
      <w:r w:rsidR="00150231">
        <w:t xml:space="preserve"> </w:t>
      </w:r>
      <w:r w:rsidRPr="00E264E3">
        <w:t xml:space="preserve">In addition, data on visitor </w:t>
      </w:r>
      <w:r w:rsidRPr="00E264E3" w:rsidR="00D039CD">
        <w:t>perceptions and evaluations provide</w:t>
      </w:r>
      <w:r w:rsidRPr="00E264E3">
        <w:t xml:space="preserve"> a valuable baseline from which to track changes that could be attributed to refuge activities or community involvement efforts</w:t>
      </w:r>
      <w:r w:rsidR="00150231">
        <w:t xml:space="preserve">. </w:t>
      </w:r>
      <w:r w:rsidR="00A60FBF">
        <w:t xml:space="preserve"> </w:t>
      </w:r>
      <w:r w:rsidRPr="00E264E3" w:rsidR="00D039CD">
        <w:t>By gathering this information</w:t>
      </w:r>
      <w:r w:rsidRPr="00E264E3">
        <w:t xml:space="preserve"> </w:t>
      </w:r>
      <w:r w:rsidRPr="00E264E3" w:rsidR="00D039CD">
        <w:t xml:space="preserve">we can </w:t>
      </w:r>
      <w:r w:rsidRPr="00E264E3">
        <w:t xml:space="preserve">ensure we are meeting </w:t>
      </w:r>
      <w:r w:rsidRPr="00E264E3" w:rsidR="00D039CD">
        <w:t xml:space="preserve">the objectives of our programs and </w:t>
      </w:r>
      <w:r w:rsidRPr="00E264E3" w:rsidR="001D1B74">
        <w:t>inform</w:t>
      </w:r>
      <w:r w:rsidRPr="00E264E3" w:rsidR="00D039CD">
        <w:t xml:space="preserve"> resource management </w:t>
      </w:r>
      <w:r w:rsidRPr="00E264E3" w:rsidR="001D1B74">
        <w:t xml:space="preserve">priorities </w:t>
      </w:r>
      <w:r w:rsidRPr="00E264E3" w:rsidR="00D039CD">
        <w:t>throughout the Service</w:t>
      </w:r>
      <w:r w:rsidRPr="00E264E3" w:rsidR="001D1B74">
        <w:t>, thus</w:t>
      </w:r>
      <w:r w:rsidRPr="00E264E3" w:rsidR="00D039CD">
        <w:t xml:space="preserve"> </w:t>
      </w:r>
      <w:r w:rsidRPr="00E264E3">
        <w:t>assuring the most efficient use of hum</w:t>
      </w:r>
      <w:r w:rsidRPr="00E264E3" w:rsidR="00D039CD">
        <w:t>an and financial r</w:t>
      </w:r>
      <w:r w:rsidRPr="00E264E3" w:rsidR="001D1B74">
        <w:t>esources.</w:t>
      </w:r>
    </w:p>
    <w:p w:rsidR="00E264E3" w:rsidP="00F6473A" w:rsidRDefault="00E264E3" w14:paraId="188374C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0623BDB4" w14:textId="19E4D793">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Monitoring and evaluating outcomes of the </w:t>
      </w:r>
      <w:hyperlink r:id="rId13">
        <w:r w:rsidRPr="00E264E3">
          <w:rPr>
            <w:color w:val="0000FF"/>
            <w:u w:val="single"/>
          </w:rPr>
          <w:t>Urban Program and its Standards of Excellence</w:t>
        </w:r>
      </w:hyperlink>
      <w:r w:rsidRPr="00E264E3">
        <w:rPr>
          <w:color w:val="0000FF"/>
          <w:u w:val="single"/>
        </w:rPr>
        <w:t xml:space="preserve"> </w:t>
      </w:r>
      <w:r w:rsidRPr="00E264E3">
        <w:t>will be critical to the success of the program</w:t>
      </w:r>
      <w:r w:rsidR="00150231">
        <w:t xml:space="preserve">. </w:t>
      </w:r>
      <w:r w:rsidR="00A60FBF">
        <w:t xml:space="preserve"> </w:t>
      </w:r>
      <w:r w:rsidRPr="00E264E3">
        <w:t xml:space="preserve">A multi-year national evaluation plan for the 105 urban refuges under the Urban Program is currently being developed and will include performance measures that will require timely, </w:t>
      </w:r>
      <w:r w:rsidRPr="00E264E3" w:rsidR="008A0042">
        <w:t xml:space="preserve">replicable </w:t>
      </w:r>
      <w:r w:rsidRPr="00E264E3" w:rsidR="00F9469C">
        <w:t>implementation</w:t>
      </w:r>
      <w:r w:rsidRPr="00E264E3">
        <w:t xml:space="preserve"> and consistent feedback from program participants and partners</w:t>
      </w:r>
      <w:r w:rsidR="00150231">
        <w:t>.</w:t>
      </w:r>
      <w:r w:rsidR="00A60FBF">
        <w:t xml:space="preserve"> </w:t>
      </w:r>
      <w:r w:rsidR="00150231">
        <w:t xml:space="preserve"> </w:t>
      </w:r>
      <w:r w:rsidRPr="00E264E3">
        <w:t xml:space="preserve">A programmatic clearance would allow more efficient execution of this evaluation plan at the local scale in a timely and adaptive manner </w:t>
      </w:r>
      <w:r w:rsidRPr="00E264E3" w:rsidR="0010645D">
        <w:t>as urban refuges develop, grow -- and sometimes discard --</w:t>
      </w:r>
      <w:r w:rsidRPr="00E264E3">
        <w:t xml:space="preserve"> their programs.</w:t>
      </w:r>
    </w:p>
    <w:p w:rsidR="00E264E3" w:rsidP="00F6473A" w:rsidRDefault="00E264E3" w14:paraId="243159D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84E9E" w:rsidP="00F6473A" w:rsidRDefault="00236677" w14:paraId="1450507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The Service </w:t>
      </w:r>
      <w:r w:rsidRPr="00E264E3" w:rsidR="00A11DD5">
        <w:t>p</w:t>
      </w:r>
      <w:r w:rsidRPr="00E264E3" w:rsidR="00DC5903">
        <w:t xml:space="preserve">rincipal </w:t>
      </w:r>
      <w:r w:rsidRPr="00E264E3" w:rsidR="00A11DD5">
        <w:t>investigators</w:t>
      </w:r>
      <w:r w:rsidRPr="00E264E3" w:rsidR="00DC5903">
        <w:t xml:space="preserve"> </w:t>
      </w:r>
      <w:r w:rsidRPr="00E264E3">
        <w:t xml:space="preserve">and others who collect information under this clearance would benefit through: </w:t>
      </w:r>
    </w:p>
    <w:p w:rsidRPr="00E264E3" w:rsidR="00213EA4" w:rsidP="00F6473A" w:rsidRDefault="00213EA4" w14:paraId="682BCA6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72FFF3AE" w14:textId="77777777">
      <w:pPr>
        <w:pStyle w:val="ListParagraph"/>
        <w:numPr>
          <w:ilvl w:val="0"/>
          <w:numId w:val="32"/>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efficient, effec</w:t>
      </w:r>
      <w:r w:rsidR="00213EA4">
        <w:t>tive, and timely review process;</w:t>
      </w:r>
    </w:p>
    <w:p w:rsidRPr="00E264E3" w:rsidR="00984E9E" w:rsidP="00F6473A" w:rsidRDefault="00236677" w14:paraId="6034517F" w14:textId="77777777">
      <w:pPr>
        <w:pStyle w:val="ListParagraph"/>
        <w:numPr>
          <w:ilvl w:val="0"/>
          <w:numId w:val="32"/>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focus on peer review that improves the quality of information collections</w:t>
      </w:r>
      <w:r w:rsidR="00213EA4">
        <w:t>;</w:t>
      </w:r>
      <w:r w:rsidRPr="00E264E3">
        <w:t xml:space="preserve"> </w:t>
      </w:r>
    </w:p>
    <w:p w:rsidRPr="00E264E3" w:rsidR="00984E9E" w:rsidP="00F6473A" w:rsidRDefault="00236677" w14:paraId="52275592" w14:textId="77777777">
      <w:pPr>
        <w:pStyle w:val="ListParagraph"/>
        <w:numPr>
          <w:ilvl w:val="0"/>
          <w:numId w:val="32"/>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increased attention to methodological improvements and use of best practices</w:t>
      </w:r>
      <w:r w:rsidR="00213EA4">
        <w:t>;</w:t>
      </w:r>
    </w:p>
    <w:p w:rsidRPr="00E264E3" w:rsidR="00984E9E" w:rsidP="00F6473A" w:rsidRDefault="00236677" w14:paraId="4A0A931C" w14:textId="77777777">
      <w:pPr>
        <w:pStyle w:val="ListParagraph"/>
        <w:numPr>
          <w:ilvl w:val="0"/>
          <w:numId w:val="32"/>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better administration and wider sharing of information obtained from surveys of the public</w:t>
      </w:r>
      <w:r w:rsidR="00213EA4">
        <w:t>; and</w:t>
      </w:r>
    </w:p>
    <w:p w:rsidRPr="00E264E3" w:rsidR="00984E9E" w:rsidP="00F6473A" w:rsidRDefault="00236677" w14:paraId="12BA878B" w14:textId="77777777">
      <w:pPr>
        <w:pStyle w:val="ListParagraph"/>
        <w:numPr>
          <w:ilvl w:val="0"/>
          <w:numId w:val="32"/>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a renewed confidence and willingness to complete the review process</w:t>
      </w:r>
      <w:r w:rsidR="00162790">
        <w:t>.</w:t>
      </w:r>
    </w:p>
    <w:p w:rsidRPr="00E264E3" w:rsidR="00745410" w:rsidP="00F6473A" w:rsidRDefault="00745410" w14:paraId="18EEA85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D47C8C" w:rsidP="00F6473A" w:rsidRDefault="00D47C8C" w14:paraId="4083A2B0" w14:textId="77777777">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Assessment of Current Information Collections</w:t>
      </w:r>
    </w:p>
    <w:p w:rsidRPr="00E264E3" w:rsidR="00D47C8C" w:rsidP="00F6473A" w:rsidRDefault="00D47C8C" w14:paraId="15050CE3" w14:textId="17F2DABA">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While other programmatic clearances accessible by the Service exist, a new one is needed for several reasons</w:t>
      </w:r>
      <w:r>
        <w:t>.</w:t>
      </w:r>
      <w:r w:rsidR="00A60FBF">
        <w:t xml:space="preserve"> </w:t>
      </w:r>
      <w:r>
        <w:t xml:space="preserve"> </w:t>
      </w:r>
      <w:r w:rsidRPr="00E264E3">
        <w:t>The Department of the Interior (DOI) customer service clearance (OMB Control No.1040-0001) provides a useful mechanism for collecting information on current customer satisfaction</w:t>
      </w:r>
      <w:r>
        <w:t xml:space="preserve">. </w:t>
      </w:r>
      <w:r w:rsidR="00A60FBF">
        <w:t xml:space="preserve"> </w:t>
      </w:r>
      <w:r w:rsidRPr="00E264E3">
        <w:t>There is a need, however, for the Service to collect information beyond the scope of customer satisfaction that includes desires for future conditions and offerings</w:t>
      </w:r>
      <w:r>
        <w:t xml:space="preserve">.  </w:t>
      </w:r>
      <w:r w:rsidR="00A60FBF">
        <w:t xml:space="preserve"> </w:t>
      </w:r>
      <w:r w:rsidRPr="00E264E3">
        <w:t>Similarly, the DOI qualitative feedback Fast Track Clearance (OMB Control No. 1090-0011) is a useful tool to meet needs where appropriate, but the limitations in terms of releasing information outside of the agency and restricting the use of “statistically reliable results” does not make it practical for many uses within the Service’s social science goa</w:t>
      </w:r>
      <w:r>
        <w:t>ls.</w:t>
      </w:r>
    </w:p>
    <w:p w:rsidR="00D47C8C" w:rsidP="00F6473A" w:rsidRDefault="00D47C8C" w14:paraId="7DCC16DC"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D47C8C" w:rsidP="00F6473A" w:rsidRDefault="00D47C8C" w14:paraId="1995F12E" w14:textId="76947F83">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Finally, the Federal Land Management Agency (FLMA) Collaborative Visitor Transportation Survey (CVTS; OMB Control No. 0596-0236), </w:t>
      </w:r>
      <w:r w:rsidR="00795AA5">
        <w:t>co-managed by the Department of Transportation and the USDA-Forest Service (</w:t>
      </w:r>
      <w:r w:rsidRPr="00E264E3">
        <w:t>housed within the Forest Service</w:t>
      </w:r>
      <w:r w:rsidR="00795AA5">
        <w:t>),</w:t>
      </w:r>
      <w:r w:rsidRPr="00E264E3">
        <w:t xml:space="preserve"> provides a mechanism for the Service and other FLMAs to ask questions of visitors and community members about their perceptions and attitudes regarding transportation conditions, services, and recreation opportunities</w:t>
      </w:r>
      <w:r>
        <w:t>.</w:t>
      </w:r>
      <w:r w:rsidR="00A60FBF">
        <w:t xml:space="preserve"> </w:t>
      </w:r>
      <w:r>
        <w:t xml:space="preserve"> </w:t>
      </w:r>
      <w:r w:rsidRPr="00E264E3">
        <w:t xml:space="preserve">The CVTS clearance is a useful tool for gauging attitudes about transportation or </w:t>
      </w:r>
      <w:r w:rsidRPr="00E264E3">
        <w:lastRenderedPageBreak/>
        <w:t>trail related efforts, or if there is a need to collect information across multiple land management agencies on these topics</w:t>
      </w:r>
      <w:r>
        <w:t xml:space="preserve">. </w:t>
      </w:r>
      <w:r w:rsidR="00A60FBF">
        <w:t xml:space="preserve"> </w:t>
      </w:r>
      <w:r w:rsidRPr="00E264E3">
        <w:t>It will not, however, cover all the needs of the Service with respect to non-transportation related matters such as overall visitor satisfaction or program evaluation.</w:t>
      </w:r>
    </w:p>
    <w:p w:rsidRPr="00E264E3" w:rsidR="00D47C8C" w:rsidP="00F6473A" w:rsidRDefault="00D47C8C" w14:paraId="15CE6A69"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D47C8C" w:rsidP="00F6473A" w:rsidRDefault="00D47C8C" w14:paraId="16A68676" w14:textId="77777777">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Development of the</w:t>
      </w:r>
      <w:r w:rsidRPr="00E264E3">
        <w:t xml:space="preserve"> Programmatic Clearance</w:t>
      </w:r>
    </w:p>
    <w:p w:rsidR="00984E9E" w:rsidP="00F6473A" w:rsidRDefault="001A5919" w14:paraId="40009E95" w14:textId="52ACC12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The proposed </w:t>
      </w:r>
      <w:r w:rsidRPr="00E264E3" w:rsidR="00236677">
        <w:t xml:space="preserve">programmatic clearance for the Service is patterned after the </w:t>
      </w:r>
      <w:hyperlink r:id="rId14">
        <w:r w:rsidRPr="00E264E3" w:rsidR="00236677">
          <w:rPr>
            <w:color w:val="0000FF"/>
            <w:u w:val="single"/>
          </w:rPr>
          <w:t>National Park Service’s (NPS) Programmatic Review and Clearance Process</w:t>
        </w:r>
      </w:hyperlink>
      <w:r w:rsidR="00150231">
        <w:t>.</w:t>
      </w:r>
      <w:r w:rsidR="00A60FBF">
        <w:t xml:space="preserve"> </w:t>
      </w:r>
      <w:r w:rsidR="00150231">
        <w:t xml:space="preserve"> </w:t>
      </w:r>
      <w:r w:rsidRPr="00E264E3" w:rsidR="00236677">
        <w:t>The HD Branch has consulted with Mr. Bret Meldrum, NPS Social Science Program Chief, and Ms. Phadrea Ponds, NPS Information Collection Review Coordinator, to better understand the details of their programmatic clearance and how it is administered</w:t>
      </w:r>
      <w:r w:rsidR="00150231">
        <w:t xml:space="preserve">. </w:t>
      </w:r>
      <w:r w:rsidR="00A60FBF">
        <w:t xml:space="preserve"> </w:t>
      </w:r>
      <w:r w:rsidRPr="00E264E3" w:rsidR="00236677">
        <w:t>We also consulted with Ms. Margaret Petrel</w:t>
      </w:r>
      <w:r w:rsidR="00213EA4">
        <w:t xml:space="preserve">la, social scientist with Volpe; </w:t>
      </w:r>
      <w:r w:rsidRPr="00E264E3" w:rsidR="00236677">
        <w:t xml:space="preserve">Mr. Wolf Cota, former Information Collection </w:t>
      </w:r>
      <w:r w:rsidR="00213EA4">
        <w:t>Officer with the Forest Service;</w:t>
      </w:r>
      <w:r w:rsidRPr="00E264E3" w:rsidR="00236677">
        <w:t xml:space="preserve"> and Mr. Don Bieniewicz, former DOI Information Collection Coordinator</w:t>
      </w:r>
      <w:r w:rsidR="00AB1865">
        <w:t xml:space="preserve"> </w:t>
      </w:r>
      <w:r w:rsidRPr="00E264E3" w:rsidR="00236677">
        <w:t>/</w:t>
      </w:r>
      <w:r w:rsidR="00AB1865">
        <w:t xml:space="preserve"> </w:t>
      </w:r>
      <w:r w:rsidRPr="00E264E3" w:rsidR="00236677">
        <w:t>Clearance Officer, to learn about their experiences with the CVTS</w:t>
      </w:r>
      <w:r w:rsidR="00A444D9">
        <w:t xml:space="preserve"> </w:t>
      </w:r>
      <w:r w:rsidR="00993878">
        <w:t xml:space="preserve">and other </w:t>
      </w:r>
      <w:r w:rsidR="00A444D9">
        <w:t>clearance</w:t>
      </w:r>
      <w:r w:rsidR="00993878">
        <w:t>s</w:t>
      </w:r>
      <w:r w:rsidR="00A444D9">
        <w:t>.</w:t>
      </w:r>
    </w:p>
    <w:p w:rsidRPr="00E264E3" w:rsidR="00A444D9" w:rsidP="00F6473A" w:rsidRDefault="00A444D9" w14:paraId="72D095EA"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13EA4" w:rsidP="00F6473A" w:rsidRDefault="00236677" w14:paraId="47141F67" w14:textId="1867C6EB">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To gauge the breadth of need for a programmatic clearance for the Refuge System and other programs throughout the Service, we spoke by phone with over 20 Service employees in 10 programs during June 2015 using a semi-structured interview process. </w:t>
      </w:r>
      <w:r w:rsidR="00A60FBF">
        <w:t xml:space="preserve"> </w:t>
      </w:r>
      <w:r w:rsidRPr="00E264E3">
        <w:t>There was overwhelming positive receptivity to a social science programmatic clearance f</w:t>
      </w:r>
      <w:r w:rsidR="00AB1865">
        <w:t>or the Service across programs.</w:t>
      </w:r>
    </w:p>
    <w:p w:rsidR="00213EA4" w:rsidP="00F6473A" w:rsidRDefault="00213EA4" w14:paraId="6A0593B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84E9E" w:rsidP="00F6473A" w:rsidRDefault="00236677" w14:paraId="730204B7" w14:textId="758EC33D">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Benefits of a streamlined process expressed by those interviewed include: 1) reduced time to obtain OMB approval, thereby increasing the Service’s </w:t>
      </w:r>
      <w:r w:rsidRPr="00E264E3" w:rsidR="003A319D">
        <w:t>responsiveness and ability</w:t>
      </w:r>
      <w:r w:rsidRPr="00E264E3">
        <w:t xml:space="preserve"> to manage more adaptively; 2) time and cost savings; 3) greater likelihood</w:t>
      </w:r>
      <w:r w:rsidRPr="00E264E3" w:rsidR="003A319D">
        <w:t xml:space="preserve"> that</w:t>
      </w:r>
      <w:r w:rsidRPr="00E264E3">
        <w:t xml:space="preserve"> staff will gather needed information from audiences, such as visitors, community members, and customers; and 4) better understanding of the steps in the process via a coordinated Service effort</w:t>
      </w:r>
      <w:r w:rsidR="00150231">
        <w:t xml:space="preserve">. </w:t>
      </w:r>
      <w:r w:rsidR="00A60FBF">
        <w:t xml:space="preserve"> </w:t>
      </w:r>
      <w:r w:rsidRPr="00E264E3">
        <w:t xml:space="preserve">They also provided valuable feedback on the need for information collections under this programmatic clearance, the audiences they are interested in surveying, the methods they would employ, and the topic areas to consider under the Service programmatic clearance. </w:t>
      </w:r>
    </w:p>
    <w:p w:rsidRPr="00E264E3" w:rsidR="00213EA4" w:rsidP="00F6473A" w:rsidRDefault="00213EA4" w14:paraId="2F7BC3C3"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0B7E27" w:rsidP="00F6473A" w:rsidRDefault="000B7E27" w14:paraId="3A11DD3E" w14:textId="34987A6B">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In addition to multiple mandates to collect information and minimize the burden to the public we expect the volume of surveys will also necessitate the efficiencies afforded by a programmatic clearance</w:t>
      </w:r>
      <w:r w:rsidR="00150231">
        <w:t xml:space="preserve">. </w:t>
      </w:r>
      <w:r w:rsidR="00A60FBF">
        <w:t xml:space="preserve"> </w:t>
      </w:r>
      <w:r w:rsidRPr="00E264E3" w:rsidR="006B7895">
        <w:t>W</w:t>
      </w:r>
      <w:r w:rsidRPr="00E264E3">
        <w:t xml:space="preserve">e anticipate </w:t>
      </w:r>
      <w:r w:rsidRPr="00E264E3" w:rsidR="00304348">
        <w:t xml:space="preserve">that </w:t>
      </w:r>
      <w:r w:rsidRPr="00E264E3" w:rsidR="00B72737">
        <w:t>approximately</w:t>
      </w:r>
      <w:r w:rsidRPr="00E264E3" w:rsidR="00A71C4E">
        <w:t xml:space="preserve"> </w:t>
      </w:r>
      <w:r w:rsidRPr="00E264E3" w:rsidR="006B7895">
        <w:t>35</w:t>
      </w:r>
      <w:r w:rsidRPr="00E264E3">
        <w:t xml:space="preserve"> Information Collection Requests (ICRs) would be submitted under the clearance</w:t>
      </w:r>
      <w:r w:rsidRPr="00E264E3" w:rsidR="00A95F1F">
        <w:t xml:space="preserve"> each year</w:t>
      </w:r>
      <w:r w:rsidR="00150231">
        <w:t xml:space="preserve">. </w:t>
      </w:r>
      <w:r w:rsidR="00A60FBF">
        <w:t xml:space="preserve"> </w:t>
      </w:r>
      <w:r w:rsidRPr="00E264E3">
        <w:t xml:space="preserve">A programmatic clearance would increase the agility of Service programs and </w:t>
      </w:r>
      <w:r w:rsidRPr="00E264E3" w:rsidR="00416C96">
        <w:t>reduce</w:t>
      </w:r>
      <w:r w:rsidRPr="00E264E3">
        <w:t xml:space="preserve"> the workload inherent in </w:t>
      </w:r>
      <w:r w:rsidRPr="00E264E3" w:rsidR="007B029F">
        <w:t xml:space="preserve">standard </w:t>
      </w:r>
      <w:r w:rsidRPr="00E264E3">
        <w:t>OMB approvals.</w:t>
      </w:r>
    </w:p>
    <w:p w:rsidRPr="00E264E3" w:rsidR="00E264E3" w:rsidP="00F6473A" w:rsidRDefault="00E264E3" w14:paraId="5A615F59"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6493D2A4"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2.</w:t>
      </w:r>
      <w:r w:rsidRPr="00E264E3">
        <w:tab/>
      </w:r>
      <w:r w:rsidRPr="00BA6BA5" w:rsidR="00BA6BA5">
        <w:t>Indicate how, by whom, and for what purpose the information is to be used</w:t>
      </w:r>
      <w:r w:rsidR="00150231">
        <w:t xml:space="preserve">. </w:t>
      </w:r>
      <w:r w:rsidRPr="00BA6BA5" w:rsidR="00BA6BA5">
        <w:t>Except for a new collection, indicate the actual use the agency has made of the information received from the current collection</w:t>
      </w:r>
      <w:r w:rsidR="00150231">
        <w:t xml:space="preserve">. </w:t>
      </w:r>
      <w:r w:rsidRPr="00BA6BA5" w:rsidR="00BA6BA5">
        <w:t>Be specific</w:t>
      </w:r>
      <w:r w:rsidR="00150231">
        <w:t xml:space="preserve">. </w:t>
      </w:r>
      <w:r w:rsidRPr="00BA6BA5" w:rsidR="00BA6BA5">
        <w:t>If this collection is a form or a questionnaire, every question needs to be justified.</w:t>
      </w:r>
    </w:p>
    <w:p w:rsidR="00E264E3" w:rsidP="00F6473A" w:rsidRDefault="00E264E3" w14:paraId="1604BA5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84E9E" w:rsidP="00F6473A" w:rsidRDefault="006A6D0D" w14:paraId="4E6D7080" w14:textId="3CEE8633">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To ensure continuous improvement, Service activities and projects require ongoing systematic assessment of their design, implementation and outcomes</w:t>
      </w:r>
      <w:r w:rsidR="00150231">
        <w:t xml:space="preserve">. </w:t>
      </w:r>
      <w:r w:rsidR="00DE251B">
        <w:t xml:space="preserve"> </w:t>
      </w:r>
      <w:r w:rsidRPr="00E264E3" w:rsidR="00236677">
        <w:t>The scope of this programmatic clearance includes individual surveys, focus groups, or interviews of refuge visitors, potential visitors, and residents of communities near refug</w:t>
      </w:r>
      <w:r w:rsidRPr="00E264E3">
        <w:t>es</w:t>
      </w:r>
      <w:r w:rsidR="00993878">
        <w:t xml:space="preserve"> and other Service lands</w:t>
      </w:r>
      <w:r w:rsidRPr="00E264E3">
        <w:t>, stakeholders, and partners</w:t>
      </w:r>
      <w:r w:rsidR="00150231">
        <w:t xml:space="preserve">. </w:t>
      </w:r>
      <w:r w:rsidR="00DE251B">
        <w:t xml:space="preserve"> </w:t>
      </w:r>
      <w:r w:rsidRPr="00E264E3" w:rsidR="00A11DD5">
        <w:t xml:space="preserve">Principle investigators </w:t>
      </w:r>
      <w:r w:rsidRPr="00E264E3" w:rsidR="006A110A">
        <w:t>will be Service staff at the refuge, regional or national program le</w:t>
      </w:r>
      <w:r w:rsidR="00993878">
        <w:t xml:space="preserve">ads, and </w:t>
      </w:r>
      <w:r w:rsidRPr="00E264E3" w:rsidR="006A110A">
        <w:t>third parties such as universities or other governmental agencies</w:t>
      </w:r>
      <w:r w:rsidR="00150231">
        <w:t xml:space="preserve">. </w:t>
      </w:r>
      <w:r w:rsidR="00DE251B">
        <w:t xml:space="preserve"> </w:t>
      </w:r>
      <w:r w:rsidRPr="00E264E3" w:rsidR="00236677">
        <w:t>The data collected will provide Service programs with reliable information to better inform: strategic planning; allocations of physical, fiscal, or human resources; modification or refinement of various program management</w:t>
      </w:r>
      <w:r w:rsidRPr="00E264E3" w:rsidR="006A110A">
        <w:t xml:space="preserve"> plans,</w:t>
      </w:r>
      <w:r w:rsidRPr="00E264E3" w:rsidR="00236677">
        <w:t xml:space="preserve"> goals a</w:t>
      </w:r>
      <w:r w:rsidRPr="00E264E3" w:rsidR="006A110A">
        <w:t>nd objectives</w:t>
      </w:r>
      <w:r w:rsidRPr="00E264E3" w:rsidR="00236677">
        <w:t xml:space="preserve">; and future planning efforts focused on developing more effective and efficient delivery of </w:t>
      </w:r>
      <w:r w:rsidRPr="00E264E3" w:rsidR="004E39D2">
        <w:t xml:space="preserve">conservation </w:t>
      </w:r>
      <w:r w:rsidRPr="00E264E3" w:rsidR="00236677">
        <w:t xml:space="preserve">activities, projects, and </w:t>
      </w:r>
      <w:r w:rsidRPr="00E264E3" w:rsidR="00236677">
        <w:lastRenderedPageBreak/>
        <w:t xml:space="preserve">experiences. </w:t>
      </w:r>
    </w:p>
    <w:p w:rsidRPr="00E264E3" w:rsidR="00E264E3" w:rsidP="00F6473A" w:rsidRDefault="00E264E3" w14:paraId="5781B09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3E55F5" w:rsidR="00E264E3" w:rsidP="00F6473A" w:rsidRDefault="00236677" w14:paraId="2561A09A" w14:textId="77777777">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3E55F5">
        <w:t>Administration of Proposed Programmatic Clearance and Submission Process</w:t>
      </w:r>
    </w:p>
    <w:p w:rsidRPr="003E55F5" w:rsidR="00984E9E" w:rsidP="00F6473A" w:rsidRDefault="00236677" w14:paraId="2D5AE972" w14:textId="07FC42DD">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3E55F5">
        <w:t xml:space="preserve">The HD Branch of the Refuge System supports the mission of the </w:t>
      </w:r>
      <w:r w:rsidRPr="003E55F5" w:rsidR="003F0B21">
        <w:t xml:space="preserve">Service </w:t>
      </w:r>
      <w:r w:rsidRPr="003E55F5">
        <w:t>by providing social science understanding and information to Service headquarters, regional and field offices</w:t>
      </w:r>
      <w:r w:rsidR="00150231">
        <w:t xml:space="preserve">. </w:t>
      </w:r>
      <w:r w:rsidRPr="003E55F5">
        <w:t>The role of the HD Branch is to 1) build human dimensions understanding and capacity within the Refuge System and 2) provide social science expertise</w:t>
      </w:r>
      <w:r w:rsidR="00150231">
        <w:t xml:space="preserve">. </w:t>
      </w:r>
      <w:r w:rsidR="00DE251B">
        <w:t xml:space="preserve"> </w:t>
      </w:r>
      <w:r w:rsidRPr="003E55F5">
        <w:t xml:space="preserve">“Human dimensions” in this context is defined as how and why people value natural resources, how they want resources managed, and how they affect or </w:t>
      </w:r>
      <w:r w:rsidRPr="003E55F5" w:rsidR="00D31A03">
        <w:t xml:space="preserve">are </w:t>
      </w:r>
      <w:r w:rsidRPr="003E55F5">
        <w:t>affected by natural resource management decisions.</w:t>
      </w:r>
      <w:r w:rsidRPr="00162790">
        <w:rPr>
          <w:vertAlign w:val="superscript"/>
        </w:rPr>
        <w:footnoteReference w:id="2"/>
      </w:r>
      <w:r w:rsidRPr="003E55F5">
        <w:t xml:space="preserve"> </w:t>
      </w:r>
      <w:r w:rsidRPr="003E55F5" w:rsidR="00213EA4">
        <w:t xml:space="preserve"> </w:t>
      </w:r>
      <w:r w:rsidRPr="003E55F5">
        <w:t xml:space="preserve">The human dimensions of natural resource field covers a variety of disciplines and practices including cultural, social, and economic values; individual and social behavior; demographics; legal and institutional frameworks of management; communication and education; and, decision-making processes </w:t>
      </w:r>
      <w:r w:rsidR="003E55F5">
        <w:t>of management.</w:t>
      </w:r>
    </w:p>
    <w:p w:rsidR="00E264E3" w:rsidP="00F6473A" w:rsidRDefault="00E264E3" w14:paraId="13BA886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761027B7" w14:textId="6830BF72">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The HD Branch </w:t>
      </w:r>
      <w:r w:rsidRPr="00E264E3" w:rsidR="00F810BA">
        <w:t>will</w:t>
      </w:r>
      <w:r w:rsidRPr="00E264E3">
        <w:t xml:space="preserve"> serve as the Office of Control for the programmatic clearance.</w:t>
      </w:r>
      <w:r w:rsidRPr="00E264E3">
        <w:rPr>
          <w:vertAlign w:val="superscript"/>
        </w:rPr>
        <w:footnoteReference w:id="3"/>
      </w:r>
      <w:r w:rsidRPr="00E264E3" w:rsidR="003E0D9C">
        <w:t xml:space="preserve"> </w:t>
      </w:r>
      <w:r w:rsidR="00213EA4">
        <w:t xml:space="preserve"> </w:t>
      </w:r>
      <w:r w:rsidRPr="00E264E3" w:rsidR="003E0D9C">
        <w:t>Under the proposed programmatic c</w:t>
      </w:r>
      <w:r w:rsidRPr="00E264E3">
        <w:t xml:space="preserve">learance, we will be able to pursue an accurate understanding of the relationship between people and </w:t>
      </w:r>
      <w:r w:rsidRPr="00E264E3" w:rsidR="00D31A03">
        <w:t xml:space="preserve">the </w:t>
      </w:r>
      <w:r w:rsidRPr="00E264E3">
        <w:t xml:space="preserve">constituent components of the Refuge System and other programs critical to achieving the mission of the Service </w:t>
      </w:r>
      <w:r w:rsidRPr="00E264E3">
        <w:rPr>
          <w:i/>
        </w:rPr>
        <w:t>to work with others to conserve, protect and enhance fish, wildlife and plants and their habitats for the continuing benefit of the American people</w:t>
      </w:r>
      <w:r w:rsidRPr="00E264E3">
        <w:t xml:space="preserve">. </w:t>
      </w:r>
      <w:r w:rsidR="00DE251B">
        <w:t xml:space="preserve"> </w:t>
      </w:r>
      <w:r w:rsidRPr="00E264E3">
        <w:t>Such understanding requires a sound scientific basis</w:t>
      </w:r>
      <w:r w:rsidR="00150231">
        <w:t xml:space="preserve">. </w:t>
      </w:r>
      <w:r w:rsidRPr="00E264E3">
        <w:t>Hence, social science research is a necessary and important function of the agency</w:t>
      </w:r>
      <w:r w:rsidR="00150231">
        <w:t xml:space="preserve">. </w:t>
      </w:r>
      <w:r w:rsidR="00DE251B">
        <w:t xml:space="preserve"> </w:t>
      </w:r>
      <w:r w:rsidRPr="00E264E3">
        <w:t xml:space="preserve">As a science-based organization we subscribe to the highest standards of scientific integrity and reflect this commitment in the design, </w:t>
      </w:r>
      <w:r w:rsidRPr="00E264E3" w:rsidR="00CA6258">
        <w:t>implementation</w:t>
      </w:r>
      <w:r w:rsidRPr="00E264E3">
        <w:t xml:space="preserve"> and evaluation of all our work. </w:t>
      </w:r>
    </w:p>
    <w:p w:rsidR="00E264E3" w:rsidP="00F6473A" w:rsidRDefault="00E264E3" w14:paraId="64D0962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311E68E9" w14:textId="56CF0ED1">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The HD Branch is </w:t>
      </w:r>
      <w:r w:rsidRPr="00E264E3" w:rsidR="00777FE0">
        <w:t>well</w:t>
      </w:r>
      <w:r w:rsidR="005326FE">
        <w:t>-</w:t>
      </w:r>
      <w:r w:rsidRPr="00E264E3" w:rsidR="00777FE0">
        <w:t>equipped</w:t>
      </w:r>
      <w:r w:rsidRPr="00E264E3">
        <w:t xml:space="preserve"> to serve as the Office of Control for this clearance and provide necessary subject matter expert review to ensure submissions meet the spirit of the clearance, the topic areas covered, and that the questions and methodology follow sound social science practices</w:t>
      </w:r>
      <w:r w:rsidR="00150231">
        <w:t xml:space="preserve">. </w:t>
      </w:r>
      <w:r w:rsidR="00DE251B">
        <w:t xml:space="preserve"> </w:t>
      </w:r>
      <w:r w:rsidRPr="00E264E3" w:rsidR="005326FE">
        <w:t>Within the HD Branch, an Information Collection Request Coordinator (ICR Coordinator) would be assigned to manage this clearance process</w:t>
      </w:r>
      <w:r w:rsidR="005326FE">
        <w:t xml:space="preserve">. </w:t>
      </w:r>
    </w:p>
    <w:p w:rsidR="00E264E3" w:rsidP="00F6473A" w:rsidRDefault="00E264E3" w14:paraId="76AB725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2A4E0FDB" w14:textId="7D79F894">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The HD Branch </w:t>
      </w:r>
      <w:r w:rsidRPr="00E264E3" w:rsidR="00352B7B">
        <w:t>C</w:t>
      </w:r>
      <w:r w:rsidRPr="00E264E3">
        <w:t>hief, Natalie Sexton</w:t>
      </w:r>
      <w:r w:rsidR="00B568FB">
        <w:t>,</w:t>
      </w:r>
      <w:r w:rsidRPr="00E264E3">
        <w:t xml:space="preserve"> has over </w:t>
      </w:r>
      <w:r w:rsidR="005326FE">
        <w:t>20</w:t>
      </w:r>
      <w:r w:rsidRPr="00E264E3">
        <w:t xml:space="preserve"> years of social science research experience, including obtaining OMB PRA approval for information collections through both </w:t>
      </w:r>
      <w:r w:rsidRPr="00E264E3" w:rsidR="005A257A">
        <w:t xml:space="preserve">the </w:t>
      </w:r>
      <w:r w:rsidRPr="00E264E3">
        <w:t xml:space="preserve">regular PRA process and through </w:t>
      </w:r>
      <w:r w:rsidRPr="00E264E3" w:rsidR="005A257A">
        <w:t xml:space="preserve">a </w:t>
      </w:r>
      <w:r w:rsidRPr="00E264E3">
        <w:t xml:space="preserve">programmatic clearance. </w:t>
      </w:r>
      <w:r w:rsidR="00DE251B">
        <w:t xml:space="preserve"> </w:t>
      </w:r>
      <w:r w:rsidRPr="00E264E3">
        <w:t xml:space="preserve">Additionally, social science </w:t>
      </w:r>
      <w:r w:rsidRPr="00E264E3" w:rsidR="001863B1">
        <w:t>sta</w:t>
      </w:r>
      <w:r w:rsidR="001863B1">
        <w:t>ff</w:t>
      </w:r>
      <w:r w:rsidRPr="00E264E3" w:rsidR="001863B1">
        <w:t xml:space="preserve"> in the HD Branch (Dr. Christine Browne,</w:t>
      </w:r>
      <w:r w:rsidR="005326FE">
        <w:t xml:space="preserve"> Mr. Ryan Roberts, </w:t>
      </w:r>
      <w:r w:rsidRPr="00E264E3" w:rsidR="001863B1">
        <w:t xml:space="preserve">Mr. Brad Milley, </w:t>
      </w:r>
      <w:r w:rsidR="005326FE">
        <w:t xml:space="preserve">Ms. Emily Neidhardt, </w:t>
      </w:r>
      <w:r w:rsidRPr="00E264E3" w:rsidR="001863B1">
        <w:t>and Ms. Danielle Ross-Winslow) are</w:t>
      </w:r>
      <w:r w:rsidRPr="00E264E3">
        <w:t xml:space="preserve"> trained in social science theory, research methodology, and statistical design and analysis including </w:t>
      </w:r>
      <w:r w:rsidRPr="00E264E3" w:rsidR="00CA6258">
        <w:t xml:space="preserve">psychometrics, </w:t>
      </w:r>
      <w:r w:rsidRPr="00E264E3">
        <w:t>univariate and multivariate statistical analysis</w:t>
      </w:r>
      <w:r w:rsidR="005B479A">
        <w:t>,</w:t>
      </w:r>
      <w:r w:rsidRPr="00E264E3">
        <w:t xml:space="preserve"> and survey sampling</w:t>
      </w:r>
      <w:r w:rsidR="00150231">
        <w:t>.</w:t>
      </w:r>
      <w:r w:rsidR="00DE251B">
        <w:t xml:space="preserve"> </w:t>
      </w:r>
      <w:r w:rsidR="00150231">
        <w:t xml:space="preserve"> </w:t>
      </w:r>
      <w:r w:rsidRPr="00E264E3">
        <w:t xml:space="preserve">Collectively the </w:t>
      </w:r>
      <w:r w:rsidRPr="00E264E3" w:rsidR="00352B7B">
        <w:t xml:space="preserve">staff members </w:t>
      </w:r>
      <w:r w:rsidRPr="00E264E3">
        <w:t xml:space="preserve">have </w:t>
      </w:r>
      <w:r w:rsidR="005326FE">
        <w:t>over 60</w:t>
      </w:r>
      <w:r w:rsidRPr="00E264E3">
        <w:t xml:space="preserve"> years of social science research and technical assistance experience, including developing and conducting both qualitative (focus groups/interviews) and quantitative (survey) research. </w:t>
      </w:r>
      <w:r w:rsidR="00DE251B">
        <w:t xml:space="preserve"> </w:t>
      </w:r>
      <w:r w:rsidRPr="00E264E3">
        <w:t>Additionally, the HD Branch</w:t>
      </w:r>
      <w:r w:rsidRPr="00E264E3" w:rsidR="009C15B4">
        <w:t xml:space="preserve"> has</w:t>
      </w:r>
      <w:r w:rsidRPr="00E264E3">
        <w:t xml:space="preserve"> formalize</w:t>
      </w:r>
      <w:r w:rsidRPr="00E264E3" w:rsidR="009C15B4">
        <w:t>d</w:t>
      </w:r>
      <w:r w:rsidRPr="00E264E3">
        <w:t xml:space="preserve"> a team of social science experts (Information Collection Review Team, ICRT) who have been identified within the Service</w:t>
      </w:r>
      <w:r w:rsidRPr="00E264E3" w:rsidR="0057687F">
        <w:t>, yet</w:t>
      </w:r>
      <w:r w:rsidRPr="00E264E3">
        <w:t xml:space="preserve"> outside the HD Branch</w:t>
      </w:r>
      <w:r w:rsidRPr="00E264E3" w:rsidR="0057687F">
        <w:t>,</w:t>
      </w:r>
      <w:r w:rsidRPr="00E264E3">
        <w:t xml:space="preserve"> who can </w:t>
      </w:r>
      <w:r w:rsidRPr="00E264E3" w:rsidR="002343DD">
        <w:t xml:space="preserve">serve as a resource for </w:t>
      </w:r>
      <w:r w:rsidRPr="00E264E3" w:rsidR="00A11DD5">
        <w:t>principle investigators</w:t>
      </w:r>
      <w:r w:rsidRPr="00E264E3" w:rsidR="002343DD">
        <w:t xml:space="preserve"> developing ICRs and </w:t>
      </w:r>
      <w:r w:rsidRPr="00E264E3">
        <w:t xml:space="preserve">provide social science peer review of submissions under this programmatic clearance </w:t>
      </w:r>
      <w:r w:rsidRPr="00E264E3" w:rsidR="00806121">
        <w:t xml:space="preserve">on an </w:t>
      </w:r>
      <w:r w:rsidRPr="00E264E3">
        <w:t>as-needed basis</w:t>
      </w:r>
      <w:r w:rsidR="00150231">
        <w:t>.</w:t>
      </w:r>
      <w:r w:rsidR="00DE251B">
        <w:t xml:space="preserve"> </w:t>
      </w:r>
      <w:r w:rsidR="00150231">
        <w:t xml:space="preserve"> </w:t>
      </w:r>
      <w:r w:rsidRPr="00E264E3">
        <w:t xml:space="preserve">The </w:t>
      </w:r>
      <w:r w:rsidRPr="00E264E3">
        <w:rPr>
          <w:i/>
        </w:rPr>
        <w:t>Suite of Questions</w:t>
      </w:r>
      <w:r w:rsidRPr="00E264E3">
        <w:t xml:space="preserve"> </w:t>
      </w:r>
      <w:r w:rsidRPr="00E264E3" w:rsidR="009C15B4">
        <w:t>will</w:t>
      </w:r>
      <w:r w:rsidRPr="00E264E3">
        <w:t xml:space="preserve"> serve as the basis for all information collections under this </w:t>
      </w:r>
      <w:r w:rsidRPr="00E264E3" w:rsidR="00806121">
        <w:t>programmatic clearance</w:t>
      </w:r>
      <w:r w:rsidRPr="00E264E3">
        <w:t xml:space="preserve">. </w:t>
      </w:r>
    </w:p>
    <w:p w:rsidR="00E264E3" w:rsidP="00F6473A" w:rsidRDefault="00E264E3" w14:paraId="0FC30A7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48756321" w14:textId="72CB427F">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As the Office of Control, the HD Branch ICR Coordinator </w:t>
      </w:r>
      <w:r w:rsidRPr="00E264E3" w:rsidR="009C15B4">
        <w:t>will</w:t>
      </w:r>
      <w:r w:rsidRPr="00E264E3">
        <w:t xml:space="preserve"> conduct the necessary quality control, including assuring that each survey instrument comports with the guidelines of the programmatic clearance</w:t>
      </w:r>
      <w:r w:rsidR="00150231">
        <w:t xml:space="preserve">. </w:t>
      </w:r>
      <w:r w:rsidR="00DE251B">
        <w:t xml:space="preserve"> </w:t>
      </w:r>
      <w:r w:rsidRPr="00E264E3">
        <w:t>Each collection under this programmatic clearance must be well-defined in terms of its sample or respondent pool and research methodology, and each individual collection should clearly fit within the overall plan and scope of the currently approved ICR</w:t>
      </w:r>
      <w:r w:rsidR="00150231">
        <w:t xml:space="preserve">. </w:t>
      </w:r>
      <w:r w:rsidRPr="00E264E3">
        <w:t xml:space="preserve">Individual collections should not raise any </w:t>
      </w:r>
      <w:r w:rsidRPr="00E264E3" w:rsidR="00882C5E">
        <w:t>controversial</w:t>
      </w:r>
      <w:r w:rsidRPr="00E264E3">
        <w:t xml:space="preserve"> policy issues or go beyond the methods specified in this programmatic ICR</w:t>
      </w:r>
      <w:r w:rsidR="00150231">
        <w:t>.</w:t>
      </w:r>
      <w:r w:rsidR="00DE251B">
        <w:t xml:space="preserve"> </w:t>
      </w:r>
      <w:r w:rsidR="00150231">
        <w:t xml:space="preserve"> </w:t>
      </w:r>
      <w:r w:rsidRPr="00E264E3">
        <w:t>Any individual collection that requests non-agency goal-related data or information on controversial topics would be inappropriate for expedited review under this clearance and must go through the full PRA process</w:t>
      </w:r>
      <w:r w:rsidR="00150231">
        <w:t xml:space="preserve">. </w:t>
      </w:r>
      <w:r w:rsidR="00DE251B">
        <w:t xml:space="preserve"> </w:t>
      </w:r>
      <w:r w:rsidRPr="00E264E3">
        <w:t>In instances whe</w:t>
      </w:r>
      <w:r w:rsidR="00990D8A">
        <w:t>re</w:t>
      </w:r>
      <w:r w:rsidRPr="00E264E3">
        <w:t xml:space="preserve"> HD Branch </w:t>
      </w:r>
      <w:r w:rsidR="00990D8A">
        <w:t xml:space="preserve">staff </w:t>
      </w:r>
      <w:r w:rsidRPr="00E264E3">
        <w:t>are involved with the development or information collection, other uninvolved staff in the HD Branch or a member of the ICRT would review the ICR.</w:t>
      </w:r>
    </w:p>
    <w:p w:rsidR="00E264E3" w:rsidP="00F6473A" w:rsidRDefault="00E264E3" w14:paraId="5A68B20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7D832DA7" w14:textId="1B8EF82E">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A </w:t>
      </w:r>
      <w:r w:rsidRPr="00E264E3" w:rsidR="00B43BBC">
        <w:t xml:space="preserve">series </w:t>
      </w:r>
      <w:r w:rsidRPr="00E264E3">
        <w:t xml:space="preserve">of questions for each of the topic areas listed below </w:t>
      </w:r>
      <w:r w:rsidRPr="00E264E3" w:rsidR="00B43BBC">
        <w:t>has been</w:t>
      </w:r>
      <w:r w:rsidRPr="00E264E3">
        <w:t xml:space="preserve"> developed to streamline the ICR process</w:t>
      </w:r>
      <w:r w:rsidR="00150231">
        <w:t xml:space="preserve">. </w:t>
      </w:r>
      <w:r w:rsidR="00DE251B">
        <w:t xml:space="preserve"> </w:t>
      </w:r>
      <w:r w:rsidRPr="00E264E3">
        <w:t xml:space="preserve">These questions have been peer-reviewed by a team of social scientists outside </w:t>
      </w:r>
      <w:r w:rsidRPr="00E264E3" w:rsidR="00352B7B">
        <w:t xml:space="preserve">of </w:t>
      </w:r>
      <w:r w:rsidRPr="00E264E3">
        <w:t xml:space="preserve">the HD Branch and will provide a base from which </w:t>
      </w:r>
      <w:r w:rsidRPr="00E264E3" w:rsidR="00A11DD5">
        <w:t>principle investigators</w:t>
      </w:r>
      <w:r w:rsidRPr="00E264E3">
        <w:t xml:space="preserve"> can develop survey instrument</w:t>
      </w:r>
      <w:r w:rsidRPr="00E264E3" w:rsidR="00B43BBC">
        <w:t>s</w:t>
      </w:r>
      <w:r w:rsidR="00150231">
        <w:t xml:space="preserve">. </w:t>
      </w:r>
      <w:r w:rsidR="00DE251B">
        <w:t xml:space="preserve"> </w:t>
      </w:r>
      <w:r w:rsidRPr="00E264E3">
        <w:t xml:space="preserve">An initial information collection request and submission form will be used by the HD Branch for submissions under this clearance (see </w:t>
      </w:r>
      <w:r w:rsidR="005326FE">
        <w:t>Form 3-2140</w:t>
      </w:r>
      <w:r w:rsidRPr="00E264E3">
        <w:t>)</w:t>
      </w:r>
      <w:r w:rsidR="00150231">
        <w:t>.</w:t>
      </w:r>
      <w:r w:rsidR="00DE251B">
        <w:t xml:space="preserve"> </w:t>
      </w:r>
      <w:r w:rsidR="00150231">
        <w:t xml:space="preserve"> </w:t>
      </w:r>
      <w:r w:rsidRPr="00E264E3">
        <w:t xml:space="preserve">In addition to the </w:t>
      </w:r>
      <w:r w:rsidRPr="00E264E3">
        <w:rPr>
          <w:i/>
        </w:rPr>
        <w:t>Suite of Questions</w:t>
      </w:r>
      <w:r w:rsidRPr="00E264E3">
        <w:t xml:space="preserve"> incorporated in the programmatic clearance package, the submission form requires</w:t>
      </w:r>
      <w:r w:rsidRPr="00E264E3" w:rsidR="00A11DD5">
        <w:t xml:space="preserve"> principle investigators</w:t>
      </w:r>
      <w:r w:rsidRPr="00E264E3">
        <w:t xml:space="preserve"> to describe the methodology involved in surveys</w:t>
      </w:r>
      <w:r w:rsidR="00150231">
        <w:t xml:space="preserve">. </w:t>
      </w:r>
      <w:r w:rsidR="00DE251B">
        <w:t xml:space="preserve"> </w:t>
      </w:r>
      <w:r w:rsidRPr="00E264E3">
        <w:t>This would include a description of any statistical methods employed</w:t>
      </w:r>
      <w:r w:rsidR="00150231">
        <w:t xml:space="preserve">. </w:t>
      </w:r>
      <w:r w:rsidR="00DE251B">
        <w:t xml:space="preserve"> </w:t>
      </w:r>
      <w:r w:rsidRPr="00E264E3">
        <w:t>This will allow the ICR Coordinator to quickly determine whether the collection fits within the programmatic clearance and if additional review is needed.</w:t>
      </w:r>
    </w:p>
    <w:p w:rsidR="00E264E3" w:rsidP="00F6473A" w:rsidRDefault="00E264E3" w14:paraId="2C7B61D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E264E3" w:rsidR="00984E9E" w:rsidP="00F6473A" w:rsidRDefault="00236677" w14:paraId="14647C6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E264E3">
        <w:t xml:space="preserve">As </w:t>
      </w:r>
      <w:r w:rsidRPr="00E264E3" w:rsidR="00352B7B">
        <w:t xml:space="preserve">the </w:t>
      </w:r>
      <w:r w:rsidRPr="00E264E3">
        <w:t xml:space="preserve">Office of Control, the HD Branch will ensure the information collections are designed based upon standard statistical practices and sampling methodologies to ensure consistent, valid data that are representative of the target populations and account for non-response bias, according to OMB guidance such as </w:t>
      </w:r>
      <w:hyperlink r:id="rId15">
        <w:r w:rsidRPr="00E264E3">
          <w:rPr>
            <w:color w:val="0000FF"/>
            <w:u w:val="single"/>
          </w:rPr>
          <w:t>Agency Survey and Statistical Information Collections</w:t>
        </w:r>
      </w:hyperlink>
      <w:r w:rsidRPr="00E264E3">
        <w:t xml:space="preserve"> (January 20, 2006) and </w:t>
      </w:r>
      <w:hyperlink r:id="rId16">
        <w:r w:rsidRPr="00E264E3">
          <w:rPr>
            <w:color w:val="0000FF"/>
            <w:u w:val="single"/>
          </w:rPr>
          <w:t>Standards and Guidelines for Statistical Surveys</w:t>
        </w:r>
      </w:hyperlink>
      <w:r w:rsidRPr="00E264E3">
        <w:t xml:space="preserve"> (September 2006).</w:t>
      </w:r>
    </w:p>
    <w:p w:rsidRPr="00C95CD5" w:rsidR="00C95CD5" w:rsidP="00F6473A" w:rsidRDefault="00C95CD5" w14:paraId="6E0516FD"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812C27" w:rsidP="00F6473A" w:rsidRDefault="00812C27" w14:paraId="544FE21E" w14:textId="3D38B94B">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If, after consultation with the principle investigator, a proposed survey is recommended for approval by the ICR Coordinator, </w:t>
      </w:r>
      <w:r w:rsidRPr="00DE251B">
        <w:t xml:space="preserve">the </w:t>
      </w:r>
      <w:r w:rsidRPr="00DE251B" w:rsidR="00B9437F">
        <w:t xml:space="preserve">package will be sent to Service Information Collection </w:t>
      </w:r>
      <w:r w:rsidR="00DE251B">
        <w:t xml:space="preserve">Clearance </w:t>
      </w:r>
      <w:r w:rsidRPr="00DE251B" w:rsidR="00B9437F">
        <w:t xml:space="preserve">Officer </w:t>
      </w:r>
      <w:r w:rsidR="00DE251B">
        <w:t xml:space="preserve">for review and entry </w:t>
      </w:r>
      <w:r w:rsidRPr="00DE251B" w:rsidR="00B9437F">
        <w:t xml:space="preserve">into ROCIS. </w:t>
      </w:r>
      <w:r w:rsidR="007E0830">
        <w:t xml:space="preserve"> </w:t>
      </w:r>
      <w:r w:rsidRPr="00DE251B" w:rsidR="00B9437F">
        <w:t>The Departmental ICCO will review and transmit the ICR to OMB</w:t>
      </w:r>
      <w:r w:rsidRPr="00DE251B" w:rsidR="003F0116">
        <w:t>.</w:t>
      </w:r>
      <w:r w:rsidR="00B9437F">
        <w:t xml:space="preserve"> </w:t>
      </w:r>
      <w:r w:rsidR="00DE251B">
        <w:t xml:space="preserve"> </w:t>
      </w:r>
      <w:r w:rsidRPr="00C95CD5">
        <w:t xml:space="preserve">Once it has received approval from OMB, </w:t>
      </w:r>
      <w:r w:rsidR="00B9437F">
        <w:t>t</w:t>
      </w:r>
      <w:r w:rsidRPr="00C95CD5">
        <w:t xml:space="preserve">he ICR Coordinator will notify the principle investigator when the survey is approved. </w:t>
      </w:r>
      <w:r w:rsidR="00B9437F">
        <w:t>(Figure 1)</w:t>
      </w:r>
    </w:p>
    <w:p w:rsidR="005326FE" w:rsidP="00F6473A" w:rsidRDefault="005326FE" w14:paraId="5EE71D05" w14:textId="05282FF0">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B22057" w:rsidP="00F6473A" w:rsidRDefault="00B22057" w14:paraId="4F93FD43" w14:textId="0ADBB6B5">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Critical to implementing this programmatic clearance efficiently, the ICR Coordinator and ICRT members would undergo training for the ICR review procedures</w:t>
      </w:r>
      <w:r>
        <w:t xml:space="preserve">. </w:t>
      </w:r>
      <w:r w:rsidR="007E0830">
        <w:t xml:space="preserve"> </w:t>
      </w:r>
      <w:r w:rsidRPr="00C95CD5">
        <w:t xml:space="preserve">All administrative tracking, accountability and oversight processes, along with any </w:t>
      </w:r>
      <w:r w:rsidR="004370A9">
        <w:t xml:space="preserve">guidance documents and </w:t>
      </w:r>
      <w:r w:rsidRPr="00C95CD5">
        <w:t>standardized forms, would be finalized within the first three months of approval for this programmatic clearance</w:t>
      </w:r>
      <w:r w:rsidR="004370A9">
        <w:t>.</w:t>
      </w:r>
    </w:p>
    <w:p w:rsidR="00283105" w:rsidP="00F6473A" w:rsidRDefault="00283105" w14:paraId="7B67C5D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180"/>
      </w:pPr>
    </w:p>
    <w:p w:rsidR="008B5D51" w:rsidP="00F6473A" w:rsidRDefault="00B9437F" w14:paraId="571D7C0E" w14:textId="69CA9EF6">
      <w:pPr>
        <w:keepNext/>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Pr>
          <w:noProof/>
        </w:rPr>
        <w:lastRenderedPageBreak/>
        <mc:AlternateContent>
          <mc:Choice Requires="wps">
            <w:drawing>
              <wp:anchor distT="0" distB="0" distL="114300" distR="114300" simplePos="0" relativeHeight="251659264" behindDoc="0" locked="0" layoutInCell="1" allowOverlap="1" wp14:editId="7EE66631" wp14:anchorId="1D413436">
                <wp:simplePos x="0" y="0"/>
                <wp:positionH relativeFrom="column">
                  <wp:posOffset>231140</wp:posOffset>
                </wp:positionH>
                <wp:positionV relativeFrom="paragraph">
                  <wp:posOffset>835259</wp:posOffset>
                </wp:positionV>
                <wp:extent cx="1155946" cy="521117"/>
                <wp:effectExtent l="0" t="0" r="0" b="0"/>
                <wp:wrapNone/>
                <wp:docPr id="20" name="Flowchart: Process 20"/>
                <wp:cNvGraphicFramePr/>
                <a:graphic xmlns:a="http://schemas.openxmlformats.org/drawingml/2006/main">
                  <a:graphicData uri="http://schemas.microsoft.com/office/word/2010/wordprocessingShape">
                    <wps:wsp>
                      <wps:cNvSpPr/>
                      <wps:spPr>
                        <a:xfrm>
                          <a:off x="0" y="0"/>
                          <a:ext cx="1155946" cy="521117"/>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9A37C7" w:rsidR="00F5203A" w:rsidP="00B9437F" w:rsidRDefault="00F5203A" w14:paraId="202FEE03" w14:textId="5B2CD22F">
                            <w:pPr>
                              <w:pStyle w:val="NormalWeb"/>
                              <w:spacing w:before="0" w:beforeAutospacing="0" w:after="0" w:afterAutospacing="0"/>
                              <w:jc w:val="center"/>
                              <w:rPr>
                                <w:sz w:val="18"/>
                                <w:szCs w:val="18"/>
                              </w:rPr>
                            </w:pPr>
                            <w:r w:rsidRPr="007E0830">
                              <w:rPr>
                                <w:rFonts w:hAnsi="Calibri" w:eastAsia="Calibri" w:asciiTheme="minorHAnsi"/>
                                <w:color w:val="000000" w:themeColor="text1"/>
                                <w:kern w:val="24"/>
                                <w:sz w:val="18"/>
                                <w:szCs w:val="18"/>
                              </w:rPr>
                              <w:t>HD Branch</w:t>
                            </w:r>
                            <w:r>
                              <w:rPr>
                                <w:rFonts w:hAnsi="Calibri" w:eastAsia="Calibri" w:asciiTheme="minorHAnsi"/>
                                <w:color w:val="000000" w:themeColor="text1"/>
                                <w:kern w:val="24"/>
                                <w:sz w:val="18"/>
                                <w:szCs w:val="18"/>
                              </w:rPr>
                              <w:t xml:space="preserve"> notifies SO or PI of approval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w14:anchorId="1D413436">
                <v:stroke joinstyle="miter"/>
                <v:path gradientshapeok="t" o:connecttype="rect"/>
              </v:shapetype>
              <v:shape id="Flowchart: Process 20" style="position:absolute;left:0;text-align:left;margin-left:18.2pt;margin-top:65.75pt;width:91pt;height:4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be5f1 [660]"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">
                <v:textbox>
                  <w:txbxContent>
                    <w:p w:rsidRPr="009A37C7" w:rsidR="00F5203A" w:rsidP="00B9437F" w:rsidRDefault="00F5203A" w14:paraId="202FEE03" w14:textId="5B2CD22F">
                      <w:pPr>
                        <w:pStyle w:val="NormalWeb"/>
                        <w:spacing w:before="0" w:beforeAutospacing="0" w:after="0" w:afterAutospacing="0"/>
                        <w:jc w:val="center"/>
                        <w:rPr>
                          <w:sz w:val="18"/>
                          <w:szCs w:val="18"/>
                        </w:rPr>
                      </w:pPr>
                      <w:r w:rsidRPr="007E0830">
                        <w:rPr>
                          <w:rFonts w:hAnsi="Calibri" w:eastAsia="Calibri" w:asciiTheme="minorHAnsi"/>
                          <w:color w:val="000000" w:themeColor="text1"/>
                          <w:kern w:val="24"/>
                          <w:sz w:val="18"/>
                          <w:szCs w:val="18"/>
                        </w:rPr>
                        <w:t>HD Branch</w:t>
                      </w:r>
                      <w:r>
                        <w:rPr>
                          <w:rFonts w:hAnsi="Calibri" w:eastAsia="Calibri" w:asciiTheme="minorHAnsi"/>
                          <w:color w:val="000000" w:themeColor="text1"/>
                          <w:kern w:val="24"/>
                          <w:sz w:val="18"/>
                          <w:szCs w:val="18"/>
                        </w:rPr>
                        <w:t xml:space="preserve"> notifies SO or PI of approval </w:t>
                      </w:r>
                    </w:p>
                  </w:txbxContent>
                </v:textbox>
              </v:shape>
            </w:pict>
          </mc:Fallback>
        </mc:AlternateContent>
      </w:r>
      <w:r w:rsidRPr="00B22057" w:rsidR="00B22057">
        <w:rPr>
          <w:noProof/>
        </w:rPr>
        <mc:AlternateContent>
          <mc:Choice Requires="wpg">
            <w:drawing>
              <wp:inline distT="0" distB="0" distL="0" distR="0" wp14:anchorId="29A02D80" wp14:editId="387A5227">
                <wp:extent cx="5321300" cy="2612570"/>
                <wp:effectExtent l="0" t="0" r="12700" b="16510"/>
                <wp:docPr id="4" name="Group 3"/>
                <wp:cNvGraphicFramePr/>
                <a:graphic xmlns:a="http://schemas.openxmlformats.org/drawingml/2006/main">
                  <a:graphicData uri="http://schemas.microsoft.com/office/word/2010/wordprocessingGroup">
                    <wpg:wgp>
                      <wpg:cNvGrpSpPr/>
                      <wpg:grpSpPr>
                        <a:xfrm>
                          <a:off x="0" y="0"/>
                          <a:ext cx="5321300" cy="2612570"/>
                          <a:chOff x="-3" y="0"/>
                          <a:chExt cx="5943603" cy="3483988"/>
                        </a:xfrm>
                      </wpg:grpSpPr>
                      <wps:wsp>
                        <wps:cNvPr id="2" name="Rectangle 2"/>
                        <wps:cNvSpPr/>
                        <wps:spPr>
                          <a:xfrm>
                            <a:off x="-3" y="2726473"/>
                            <a:ext cx="5943600" cy="757515"/>
                          </a:xfrm>
                          <a:prstGeom prst="rect">
                            <a:avLst/>
                          </a:prstGeom>
                          <a:noFill/>
                          <a:ln w="9525" cap="flat" cmpd="sng">
                            <a:solidFill>
                              <a:schemeClr val="tx1"/>
                            </a:solidFill>
                            <a:prstDash val="solid"/>
                            <a:miter/>
                            <a:headEnd type="none" w="med" len="med"/>
                            <a:tailEnd type="none" w="med" len="med"/>
                          </a:ln>
                        </wps:spPr>
                        <wps:txbx>
                          <w:txbxContent>
                            <w:p w:rsidR="007E0830" w:rsidP="00B22057" w:rsidRDefault="00F5203A" w14:paraId="00F48A68" w14:textId="77777777">
                              <w:pPr>
                                <w:pStyle w:val="NormalWeb"/>
                                <w:spacing w:before="0" w:beforeAutospacing="0" w:after="0" w:afterAutospacing="0"/>
                                <w:jc w:val="center"/>
                                <w:rPr>
                                  <w:rFonts w:hAnsi="Calibri" w:eastAsia="Calibri" w:cs="Calibri" w:asciiTheme="minorHAnsi"/>
                                  <w:i/>
                                  <w:iCs/>
                                  <w:color w:val="000000"/>
                                  <w:kern w:val="24"/>
                                  <w:sz w:val="18"/>
                                  <w:szCs w:val="18"/>
                                </w:rPr>
                              </w:pPr>
                              <w:r>
                                <w:rPr>
                                  <w:rFonts w:ascii="Calibri" w:hAnsi="Calibri" w:eastAsia="Calibri" w:cs="Calibri"/>
                                  <w:i/>
                                  <w:iCs/>
                                  <w:color w:val="000000"/>
                                  <w:kern w:val="24"/>
                                  <w:sz w:val="18"/>
                                  <w:szCs w:val="18"/>
                                </w:rPr>
                                <w:t xml:space="preserve">*SO – Sponsoring Office, *PI – </w:t>
                              </w:r>
                              <w:r>
                                <w:rPr>
                                  <w:rFonts w:hAnsi="Calibri" w:eastAsia="Calibri" w:cs="Calibri" w:asciiTheme="minorHAnsi"/>
                                  <w:i/>
                                  <w:iCs/>
                                  <w:color w:val="000000"/>
                                  <w:kern w:val="24"/>
                                  <w:sz w:val="18"/>
                                  <w:szCs w:val="18"/>
                                </w:rPr>
                                <w:t>Principal Investigator</w:t>
                              </w:r>
                              <w:r w:rsidR="007E0830">
                                <w:rPr>
                                  <w:rFonts w:hAnsi="Calibri" w:eastAsia="Calibri" w:cs="Calibri" w:asciiTheme="minorHAnsi"/>
                                  <w:i/>
                                  <w:iCs/>
                                  <w:color w:val="000000"/>
                                  <w:kern w:val="24"/>
                                  <w:sz w:val="18"/>
                                  <w:szCs w:val="18"/>
                                </w:rPr>
                                <w:t>,</w:t>
                              </w:r>
                            </w:p>
                            <w:p w:rsidR="00F5203A" w:rsidP="00B22057" w:rsidRDefault="00F5203A" w14:paraId="5D1089CA" w14:textId="79710C5F">
                              <w:pPr>
                                <w:pStyle w:val="NormalWeb"/>
                                <w:spacing w:before="0" w:beforeAutospacing="0" w:after="0" w:afterAutospacing="0"/>
                                <w:jc w:val="center"/>
                              </w:pPr>
                              <w:r>
                                <w:rPr>
                                  <w:rFonts w:hAnsi="Calibri" w:eastAsia="Calibri" w:cs="Calibri" w:asciiTheme="minorHAnsi"/>
                                  <w:i/>
                                  <w:iCs/>
                                  <w:color w:val="000000"/>
                                  <w:kern w:val="24"/>
                                  <w:sz w:val="18"/>
                                  <w:szCs w:val="18"/>
                                </w:rPr>
                                <w:t>*ICR –</w:t>
                              </w:r>
                              <w:r w:rsidR="007E0830">
                                <w:rPr>
                                  <w:rFonts w:hAnsi="Calibri" w:eastAsia="Calibri" w:cs="Calibri" w:asciiTheme="minorHAnsi"/>
                                  <w:i/>
                                  <w:iCs/>
                                  <w:color w:val="000000"/>
                                  <w:kern w:val="24"/>
                                  <w:sz w:val="18"/>
                                  <w:szCs w:val="18"/>
                                </w:rPr>
                                <w:t xml:space="preserve"> </w:t>
                              </w:r>
                              <w:r>
                                <w:rPr>
                                  <w:rFonts w:hAnsi="Calibri" w:eastAsia="Calibri" w:cs="Calibri" w:asciiTheme="minorHAnsi"/>
                                  <w:i/>
                                  <w:iCs/>
                                  <w:color w:val="000000"/>
                                  <w:kern w:val="24"/>
                                  <w:sz w:val="18"/>
                                  <w:szCs w:val="18"/>
                                </w:rPr>
                                <w:t xml:space="preserve">Information Collection Request, </w:t>
                              </w:r>
                              <w:r w:rsidR="007E0830">
                                <w:rPr>
                                  <w:rFonts w:hAnsi="Calibri" w:eastAsia="Calibri" w:cs="Calibri" w:asciiTheme="minorHAnsi"/>
                                  <w:i/>
                                  <w:iCs/>
                                  <w:color w:val="000000"/>
                                  <w:kern w:val="24"/>
                                  <w:sz w:val="18"/>
                                  <w:szCs w:val="18"/>
                                </w:rPr>
                                <w:t xml:space="preserve">*ICCO </w:t>
                              </w:r>
                              <w:r w:rsidR="007E0830">
                                <w:rPr>
                                  <w:rFonts w:hAnsi="Calibri" w:eastAsia="Calibri" w:cs="Calibri" w:asciiTheme="minorHAnsi"/>
                                  <w:i/>
                                  <w:iCs/>
                                  <w:color w:val="000000"/>
                                  <w:kern w:val="24"/>
                                  <w:sz w:val="18"/>
                                  <w:szCs w:val="18"/>
                                </w:rPr>
                                <w:t>–</w:t>
                              </w:r>
                              <w:r>
                                <w:rPr>
                                  <w:rFonts w:hAnsi="Calibri" w:eastAsia="Calibri" w:cs="Calibri" w:asciiTheme="minorHAnsi"/>
                                  <w:i/>
                                  <w:iCs/>
                                  <w:color w:val="000000"/>
                                  <w:kern w:val="24"/>
                                  <w:sz w:val="18"/>
                                  <w:szCs w:val="18"/>
                                </w:rPr>
                                <w:t>Information Collection</w:t>
                              </w:r>
                              <w:r w:rsidR="007E0830">
                                <w:rPr>
                                  <w:rFonts w:hAnsi="Calibri" w:eastAsia="Calibri" w:cs="Calibri" w:asciiTheme="minorHAnsi"/>
                                  <w:i/>
                                  <w:iCs/>
                                  <w:color w:val="000000"/>
                                  <w:kern w:val="24"/>
                                  <w:sz w:val="18"/>
                                  <w:szCs w:val="18"/>
                                </w:rPr>
                                <w:t xml:space="preserve"> Clearance Officer</w:t>
                              </w:r>
                            </w:p>
                            <w:p w:rsidR="00F5203A" w:rsidP="00B22057" w:rsidRDefault="00F5203A" w14:paraId="5E82F24F" w14:textId="77777777">
                              <w:pPr>
                                <w:pStyle w:val="NormalWeb"/>
                                <w:spacing w:before="0" w:beforeAutospacing="0" w:after="0" w:afterAutospacing="0"/>
                                <w:jc w:val="center"/>
                              </w:pPr>
                              <w:r>
                                <w:rPr>
                                  <w:rFonts w:hAnsi="Calibri" w:eastAsia="Calibri" w:cs="Calibri" w:asciiTheme="minorHAnsi"/>
                                  <w:i/>
                                  <w:iCs/>
                                  <w:color w:val="000000"/>
                                  <w:kern w:val="24"/>
                                  <w:sz w:val="18"/>
                                  <w:szCs w:val="18"/>
                                </w:rPr>
                                <w:t xml:space="preserve">**Package includes survey, correspondence, and justification form—No need for Supporting Statements  </w:t>
                              </w:r>
                            </w:p>
                          </w:txbxContent>
                        </wps:txbx>
                        <wps:bodyPr lIns="91425" tIns="45700" rIns="91425" bIns="45700" anchor="ctr" anchorCtr="0"/>
                      </wps:wsp>
                      <wpg:grpSp>
                        <wpg:cNvPr id="3" name="Group 3"/>
                        <wpg:cNvGrpSpPr/>
                        <wpg:grpSpPr>
                          <a:xfrm>
                            <a:off x="0" y="0"/>
                            <a:ext cx="5943600" cy="2415038"/>
                            <a:chOff x="0" y="0"/>
                            <a:chExt cx="7008959" cy="2279637"/>
                          </a:xfrm>
                        </wpg:grpSpPr>
                        <wps:wsp>
                          <wps:cNvPr id="5" name="Flowchart: Process 5"/>
                          <wps:cNvSpPr/>
                          <wps:spPr>
                            <a:xfrm>
                              <a:off x="0" y="0"/>
                              <a:ext cx="1522557" cy="656018"/>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9A37C7" w:rsidR="00F5203A" w:rsidP="00B22057" w:rsidRDefault="00F5203A" w14:paraId="0C549613" w14:textId="77777777">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SO*/PI* completes</w:t>
                                </w:r>
                                <w:r w:rsidRPr="009A37C7">
                                  <w:rPr>
                                    <w:rFonts w:hAnsi="Calibri" w:eastAsia="Calibri" w:asciiTheme="minorHAnsi"/>
                                    <w:color w:val="000000" w:themeColor="text1"/>
                                    <w:kern w:val="24"/>
                                    <w:sz w:val="18"/>
                                    <w:szCs w:val="18"/>
                                  </w:rPr>
                                  <w:br/>
                                  <w:t>ICR* form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Straight Arrow Connector 6"/>
                          <wps:cNvCnPr>
                            <a:stCxn id="5" idx="3"/>
                            <a:endCxn id="17" idx="1"/>
                          </wps:cNvCnPr>
                          <wps:spPr>
                            <a:xfrm>
                              <a:off x="1522557" y="328009"/>
                              <a:ext cx="306243"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a:stCxn id="14" idx="3"/>
                            <a:endCxn id="13" idx="1"/>
                          </wps:cNvCnPr>
                          <wps:spPr>
                            <a:xfrm>
                              <a:off x="5180159" y="328009"/>
                              <a:ext cx="306243"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Flowchart: Process 8"/>
                          <wps:cNvSpPr/>
                          <wps:spPr>
                            <a:xfrm>
                              <a:off x="1695848" y="1053938"/>
                              <a:ext cx="1522557" cy="656018"/>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9A37C7" w:rsidR="00F5203A" w:rsidP="00B22057" w:rsidRDefault="00F5203A" w14:paraId="4CC1B99B" w14:textId="77777777">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Once approved OMB provides Notice of Action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a:stCxn id="13" idx="2"/>
                            <a:endCxn id="19" idx="0"/>
                          </wps:cNvCnPr>
                          <wps:spPr>
                            <a:xfrm flipH="1">
                              <a:off x="6247677" y="656019"/>
                              <a:ext cx="4" cy="25838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a:endCxn id="8" idx="3"/>
                          </wps:cNvCnPr>
                          <wps:spPr>
                            <a:xfrm flipH="1" flipV="1">
                              <a:off x="3218405" y="1381851"/>
                              <a:ext cx="394805" cy="41183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Flowchart: Process 13"/>
                          <wps:cNvSpPr/>
                          <wps:spPr>
                            <a:xfrm>
                              <a:off x="5486402" y="0"/>
                              <a:ext cx="1522557" cy="656019"/>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9A37C7" w:rsidR="00F5203A" w:rsidP="00B22057" w:rsidRDefault="00F5203A" w14:paraId="71F62643" w14:textId="77777777">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SO/PI work with HD Branch to finalize ICR package**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Flowchart: Process 14"/>
                          <wps:cNvSpPr/>
                          <wps:spPr>
                            <a:xfrm>
                              <a:off x="3657602" y="0"/>
                              <a:ext cx="1522557" cy="656019"/>
                            </a:xfrm>
                            <a:prstGeom prst="flowChartProcess">
                              <a:avLst/>
                            </a:prstGeom>
                            <a:solidFill>
                              <a:schemeClr val="accent1">
                                <a:lumMod val="20000"/>
                                <a:lumOff val="80000"/>
                              </a:schemeClr>
                            </a:solid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Pr="009A37C7" w:rsidR="00F5203A" w:rsidP="00B22057" w:rsidRDefault="00F5203A" w14:paraId="69825E85" w14:textId="77777777">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HD Branch reviews ICR and provides feedback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a:stCxn id="17" idx="3"/>
                            <a:endCxn id="14" idx="1"/>
                          </wps:cNvCnPr>
                          <wps:spPr>
                            <a:xfrm>
                              <a:off x="3351357" y="328009"/>
                              <a:ext cx="30624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a:stCxn id="19" idx="1"/>
                            <a:endCxn id="18" idx="3"/>
                          </wps:cNvCnPr>
                          <wps:spPr>
                            <a:xfrm flipH="1">
                              <a:off x="5179807" y="1242410"/>
                              <a:ext cx="306591" cy="35457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Flowchart: Process 17"/>
                          <wps:cNvSpPr/>
                          <wps:spPr>
                            <a:xfrm>
                              <a:off x="1828800" y="0"/>
                              <a:ext cx="1522557" cy="656019"/>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9A37C7" w:rsidR="00F5203A" w:rsidP="00B22057" w:rsidRDefault="00F5203A" w14:paraId="0CFFDF9C" w14:textId="77777777">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SO/PI submits ICR to HD Branch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Flowchart: Process 18"/>
                          <wps:cNvSpPr/>
                          <wps:spPr>
                            <a:xfrm>
                              <a:off x="3657250" y="914336"/>
                              <a:ext cx="1522557" cy="1365301"/>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9A37C7" w:rsidR="00F5203A" w:rsidP="00B22057" w:rsidRDefault="00F5203A" w14:paraId="529D1CB9" w14:textId="1E06F3CC">
                                <w:pPr>
                                  <w:pStyle w:val="NormalWeb"/>
                                  <w:spacing w:before="0" w:beforeAutospacing="0" w:after="0" w:afterAutospacing="0"/>
                                  <w:jc w:val="center"/>
                                  <w:rPr>
                                    <w:sz w:val="18"/>
                                    <w:szCs w:val="18"/>
                                  </w:rPr>
                                </w:pPr>
                                <w:r>
                                  <w:rPr>
                                    <w:rFonts w:hAnsi="Calibri" w:eastAsia="Calibri" w:asciiTheme="minorHAnsi"/>
                                    <w:color w:val="000000" w:themeColor="text1"/>
                                    <w:kern w:val="24"/>
                                    <w:sz w:val="18"/>
                                    <w:szCs w:val="18"/>
                                  </w:rPr>
                                  <w:t xml:space="preserve">Service </w:t>
                                </w:r>
                                <w:r w:rsidR="007E0830">
                                  <w:rPr>
                                    <w:rFonts w:hAnsi="Calibri" w:eastAsia="Calibri" w:asciiTheme="minorHAnsi"/>
                                    <w:color w:val="000000" w:themeColor="text1"/>
                                    <w:kern w:val="24"/>
                                    <w:sz w:val="18"/>
                                    <w:szCs w:val="18"/>
                                  </w:rPr>
                                  <w:t>ICCO</w:t>
                                </w:r>
                                <w:r>
                                  <w:rPr>
                                    <w:rFonts w:hAnsi="Calibri" w:eastAsia="Calibri" w:asciiTheme="minorHAnsi"/>
                                    <w:color w:val="000000" w:themeColor="text1"/>
                                    <w:kern w:val="24"/>
                                    <w:sz w:val="18"/>
                                    <w:szCs w:val="18"/>
                                  </w:rPr>
                                  <w:t xml:space="preserve"> enters into ROCIS and transmits to Departmental ICCO* for review and submission to OMB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lowchart: Process 19"/>
                          <wps:cNvSpPr/>
                          <wps:spPr>
                            <a:xfrm>
                              <a:off x="5486398" y="914400"/>
                              <a:ext cx="1522557" cy="656019"/>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9A37C7" w:rsidR="00F5203A" w:rsidP="00B22057" w:rsidRDefault="00F5203A" w14:paraId="3D5D2444" w14:textId="0CE5F85E">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 xml:space="preserve">HD Branch submits ICR package to </w:t>
                                </w:r>
                                <w:r>
                                  <w:rPr>
                                    <w:rFonts w:hAnsi="Calibri" w:eastAsia="Calibri" w:asciiTheme="minorHAnsi"/>
                                    <w:color w:val="000000" w:themeColor="text1"/>
                                    <w:kern w:val="24"/>
                                    <w:sz w:val="18"/>
                                    <w:szCs w:val="18"/>
                                  </w:rPr>
                                  <w:t xml:space="preserve">Service </w:t>
                                </w:r>
                                <w:r w:rsidR="007E0830">
                                  <w:rPr>
                                    <w:rFonts w:hAnsi="Calibri" w:eastAsia="Calibri" w:asciiTheme="minorHAnsi"/>
                                    <w:color w:val="000000" w:themeColor="text1"/>
                                    <w:kern w:val="24"/>
                                    <w:sz w:val="18"/>
                                    <w:szCs w:val="18"/>
                                  </w:rPr>
                                  <w:t>ICCO</w:t>
                                </w:r>
                                <w:r>
                                  <w:rPr>
                                    <w:rFonts w:hAnsi="Calibri" w:eastAsia="Calibri" w:asciiTheme="minorHAnsi"/>
                                    <w:color w:val="000000" w:themeColor="text1"/>
                                    <w:kern w:val="24"/>
                                    <w:sz w:val="18"/>
                                    <w:szCs w:val="1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3" style="width:419pt;height:205.7pt;mso-position-horizontal-relative:char;mso-position-vertical-relative:line" coordsize="59436,34839" coordorigin="" o:spid="_x0000_s1027" w14:anchorId="29A02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">
                <v:rect id="Rectangle 2" style="position:absolute;top:27264;width:59435;height:7575;visibility:visible;mso-wrap-style:square;v-text-anchor:middle" o:spid="_x0000_s1028" filled="f"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">
                  <v:textbox inset="2.53958mm,1.2694mm,2.53958mm,1.2694mm">
                    <w:txbxContent>
                      <w:p w:rsidR="007E0830" w:rsidP="00B22057" w:rsidRDefault="00F5203A" w14:paraId="00F48A68" w14:textId="77777777">
                        <w:pPr>
                          <w:pStyle w:val="NormalWeb"/>
                          <w:spacing w:before="0" w:beforeAutospacing="0" w:after="0" w:afterAutospacing="0"/>
                          <w:jc w:val="center"/>
                          <w:rPr>
                            <w:rFonts w:hAnsi="Calibri" w:eastAsia="Calibri" w:cs="Calibri" w:asciiTheme="minorHAnsi"/>
                            <w:i/>
                            <w:iCs/>
                            <w:color w:val="000000"/>
                            <w:kern w:val="24"/>
                            <w:sz w:val="18"/>
                            <w:szCs w:val="18"/>
                          </w:rPr>
                        </w:pPr>
                        <w:r>
                          <w:rPr>
                            <w:rFonts w:ascii="Calibri" w:hAnsi="Calibri" w:eastAsia="Calibri" w:cs="Calibri"/>
                            <w:i/>
                            <w:iCs/>
                            <w:color w:val="000000"/>
                            <w:kern w:val="24"/>
                            <w:sz w:val="18"/>
                            <w:szCs w:val="18"/>
                          </w:rPr>
                          <w:t xml:space="preserve">*SO – Sponsoring Office, *PI – </w:t>
                        </w:r>
                        <w:r>
                          <w:rPr>
                            <w:rFonts w:hAnsi="Calibri" w:eastAsia="Calibri" w:cs="Calibri" w:asciiTheme="minorHAnsi"/>
                            <w:i/>
                            <w:iCs/>
                            <w:color w:val="000000"/>
                            <w:kern w:val="24"/>
                            <w:sz w:val="18"/>
                            <w:szCs w:val="18"/>
                          </w:rPr>
                          <w:t>Principal Investigator</w:t>
                        </w:r>
                        <w:r w:rsidR="007E0830">
                          <w:rPr>
                            <w:rFonts w:hAnsi="Calibri" w:eastAsia="Calibri" w:cs="Calibri" w:asciiTheme="minorHAnsi"/>
                            <w:i/>
                            <w:iCs/>
                            <w:color w:val="000000"/>
                            <w:kern w:val="24"/>
                            <w:sz w:val="18"/>
                            <w:szCs w:val="18"/>
                          </w:rPr>
                          <w:t>,</w:t>
                        </w:r>
                      </w:p>
                      <w:p w:rsidR="00F5203A" w:rsidP="00B22057" w:rsidRDefault="00F5203A" w14:paraId="5D1089CA" w14:textId="79710C5F">
                        <w:pPr>
                          <w:pStyle w:val="NormalWeb"/>
                          <w:spacing w:before="0" w:beforeAutospacing="0" w:after="0" w:afterAutospacing="0"/>
                          <w:jc w:val="center"/>
                        </w:pPr>
                        <w:r>
                          <w:rPr>
                            <w:rFonts w:hAnsi="Calibri" w:eastAsia="Calibri" w:cs="Calibri" w:asciiTheme="minorHAnsi"/>
                            <w:i/>
                            <w:iCs/>
                            <w:color w:val="000000"/>
                            <w:kern w:val="24"/>
                            <w:sz w:val="18"/>
                            <w:szCs w:val="18"/>
                          </w:rPr>
                          <w:t>*ICR –</w:t>
                        </w:r>
                        <w:r w:rsidR="007E0830">
                          <w:rPr>
                            <w:rFonts w:hAnsi="Calibri" w:eastAsia="Calibri" w:cs="Calibri" w:asciiTheme="minorHAnsi"/>
                            <w:i/>
                            <w:iCs/>
                            <w:color w:val="000000"/>
                            <w:kern w:val="24"/>
                            <w:sz w:val="18"/>
                            <w:szCs w:val="18"/>
                          </w:rPr>
                          <w:t xml:space="preserve"> </w:t>
                        </w:r>
                        <w:r>
                          <w:rPr>
                            <w:rFonts w:hAnsi="Calibri" w:eastAsia="Calibri" w:cs="Calibri" w:asciiTheme="minorHAnsi"/>
                            <w:i/>
                            <w:iCs/>
                            <w:color w:val="000000"/>
                            <w:kern w:val="24"/>
                            <w:sz w:val="18"/>
                            <w:szCs w:val="18"/>
                          </w:rPr>
                          <w:t xml:space="preserve">Information Collection Request, </w:t>
                        </w:r>
                        <w:r w:rsidR="007E0830">
                          <w:rPr>
                            <w:rFonts w:hAnsi="Calibri" w:eastAsia="Calibri" w:cs="Calibri" w:asciiTheme="minorHAnsi"/>
                            <w:i/>
                            <w:iCs/>
                            <w:color w:val="000000"/>
                            <w:kern w:val="24"/>
                            <w:sz w:val="18"/>
                            <w:szCs w:val="18"/>
                          </w:rPr>
                          <w:t xml:space="preserve">*ICCO </w:t>
                        </w:r>
                        <w:r w:rsidR="007E0830">
                          <w:rPr>
                            <w:rFonts w:hAnsi="Calibri" w:eastAsia="Calibri" w:cs="Calibri" w:asciiTheme="minorHAnsi"/>
                            <w:i/>
                            <w:iCs/>
                            <w:color w:val="000000"/>
                            <w:kern w:val="24"/>
                            <w:sz w:val="18"/>
                            <w:szCs w:val="18"/>
                          </w:rPr>
                          <w:t>–</w:t>
                        </w:r>
                        <w:r>
                          <w:rPr>
                            <w:rFonts w:hAnsi="Calibri" w:eastAsia="Calibri" w:cs="Calibri" w:asciiTheme="minorHAnsi"/>
                            <w:i/>
                            <w:iCs/>
                            <w:color w:val="000000"/>
                            <w:kern w:val="24"/>
                            <w:sz w:val="18"/>
                            <w:szCs w:val="18"/>
                          </w:rPr>
                          <w:t>Information Collection</w:t>
                        </w:r>
                        <w:r w:rsidR="007E0830">
                          <w:rPr>
                            <w:rFonts w:hAnsi="Calibri" w:eastAsia="Calibri" w:cs="Calibri" w:asciiTheme="minorHAnsi"/>
                            <w:i/>
                            <w:iCs/>
                            <w:color w:val="000000"/>
                            <w:kern w:val="24"/>
                            <w:sz w:val="18"/>
                            <w:szCs w:val="18"/>
                          </w:rPr>
                          <w:t xml:space="preserve"> Clearance Officer</w:t>
                        </w:r>
                      </w:p>
                      <w:p w:rsidR="00F5203A" w:rsidP="00B22057" w:rsidRDefault="00F5203A" w14:paraId="5E82F24F" w14:textId="77777777">
                        <w:pPr>
                          <w:pStyle w:val="NormalWeb"/>
                          <w:spacing w:before="0" w:beforeAutospacing="0" w:after="0" w:afterAutospacing="0"/>
                          <w:jc w:val="center"/>
                        </w:pPr>
                        <w:r>
                          <w:rPr>
                            <w:rFonts w:hAnsi="Calibri" w:eastAsia="Calibri" w:cs="Calibri" w:asciiTheme="minorHAnsi"/>
                            <w:i/>
                            <w:iCs/>
                            <w:color w:val="000000"/>
                            <w:kern w:val="24"/>
                            <w:sz w:val="18"/>
                            <w:szCs w:val="18"/>
                          </w:rPr>
                          <w:t xml:space="preserve">**Package includes survey, correspondence, and justification form—No need for Supporting Statements  </w:t>
                        </w:r>
                      </w:p>
                    </w:txbxContent>
                  </v:textbox>
                </v:rect>
                <v:group id="_x0000_s1029" style="position:absolute;width:59436;height:24150" coordsize="70089,2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lowchart: Process 5" style="position:absolute;width:15225;height:6560;visibility:visible;mso-wrap-style:square;v-text-anchor:middle" o:spid="_x0000_s1030" fillcolor="#dbe5f1 [660]" strokecolor="black [3213]"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">
                    <v:textbox>
                      <w:txbxContent>
                        <w:p w:rsidRPr="009A37C7" w:rsidR="00F5203A" w:rsidP="00B22057" w:rsidRDefault="00F5203A" w14:paraId="0C549613" w14:textId="77777777">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SO*/PI* completes</w:t>
                          </w:r>
                          <w:r w:rsidRPr="009A37C7">
                            <w:rPr>
                              <w:rFonts w:hAnsi="Calibri" w:eastAsia="Calibri" w:asciiTheme="minorHAnsi"/>
                              <w:color w:val="000000" w:themeColor="text1"/>
                              <w:kern w:val="24"/>
                              <w:sz w:val="18"/>
                              <w:szCs w:val="18"/>
                            </w:rPr>
                            <w:br/>
                            <w:t>ICR* form</w:t>
                          </w:r>
                        </w:p>
                      </w:txbxContent>
                    </v:textbox>
                  </v:shape>
                  <v:shapetype id="_x0000_t32" coordsize="21600,21600" o:oned="t" filled="f" o:spt="32" path="m,l21600,21600e">
                    <v:path fillok="f" arrowok="t" o:connecttype="none"/>
                    <o:lock v:ext="edit" shapetype="t"/>
                  </v:shapetype>
                  <v:shape id="Straight Arrow Connector 6" style="position:absolute;left:15225;top:3280;width:3063;height:0;visibility:visible;mso-wrap-style:square" o:spid="_x0000_s1031"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">
                    <v:stroke endarrow="open"/>
                  </v:shape>
                  <v:shape id="Straight Arrow Connector 7" style="position:absolute;left:51801;top:3280;width:3063;height:0;visibility:visible;mso-wrap-style:square" o:spid="_x0000_s1032"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">
                    <v:stroke endarrow="open"/>
                  </v:shape>
                  <v:shape id="Flowchart: Process 8" style="position:absolute;left:16958;top:10539;width:15226;height:6560;visibility:visible;mso-wrap-style:square;v-text-anchor:middle" o:spid="_x0000_s1033" fillcolor="#dbe5f1 [660]" strokecolor="black [3213]"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">
                    <v:textbox>
                      <w:txbxContent>
                        <w:p w:rsidRPr="009A37C7" w:rsidR="00F5203A" w:rsidP="00B22057" w:rsidRDefault="00F5203A" w14:paraId="4CC1B99B" w14:textId="77777777">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Once approved OMB provides Notice of Action</w:t>
                          </w:r>
                        </w:p>
                      </w:txbxContent>
                    </v:textbox>
                  </v:shape>
                  <v:shape id="Straight Arrow Connector 10" style="position:absolute;left:62476;top:6560;width:0;height:2584;flip:x;visibility:visible;mso-wrap-style:square" o:spid="_x0000_s1034"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">
                    <v:stroke endarrow="open"/>
                  </v:shape>
                  <v:shape id="Straight Arrow Connector 11" style="position:absolute;left:32184;top:13818;width:3948;height:4118;flip:x y;visibility:visible;mso-wrap-style:square" o:spid="_x0000_s1035"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">
                    <v:stroke endarrow="open"/>
                  </v:shape>
                  <v:shape id="Flowchart: Process 13" style="position:absolute;left:54864;width:15225;height:6560;visibility:visible;mso-wrap-style:square;v-text-anchor:middle" o:spid="_x0000_s1036" fillcolor="#dbe5f1 [660]" strokecolor="black [3213]"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">
                    <v:textbox>
                      <w:txbxContent>
                        <w:p w:rsidRPr="009A37C7" w:rsidR="00F5203A" w:rsidP="00B22057" w:rsidRDefault="00F5203A" w14:paraId="71F62643" w14:textId="77777777">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SO/PI work with HD Branch to finalize ICR package**</w:t>
                          </w:r>
                        </w:p>
                      </w:txbxContent>
                    </v:textbox>
                  </v:shape>
                  <v:shape id="Flowchart: Process 14" style="position:absolute;left:36576;width:15225;height:6560;visibility:visible;mso-wrap-style:square;v-text-anchor:middle" o:spid="_x0000_s1037" fillcolor="#dbe5f1 [660]" strokecolor="black [3213]"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">
                    <v:textbox>
                      <w:txbxContent>
                        <w:p w:rsidRPr="009A37C7" w:rsidR="00F5203A" w:rsidP="00B22057" w:rsidRDefault="00F5203A" w14:paraId="69825E85" w14:textId="77777777">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HD Branch reviews ICR and provides feedback</w:t>
                          </w:r>
                        </w:p>
                      </w:txbxContent>
                    </v:textbox>
                  </v:shape>
                  <v:shape id="Straight Arrow Connector 15" style="position:absolute;left:33513;top:3280;width:3063;height:0;visibility:visible;mso-wrap-style:square" o:spid="_x0000_s1038"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">
                    <v:stroke endarrow="open"/>
                  </v:shape>
                  <v:shape id="Straight Arrow Connector 16" style="position:absolute;left:51798;top:12424;width:3065;height:3545;flip:x;visibility:visible;mso-wrap-style:square" o:spid="_x0000_s1039"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">
                    <v:stroke endarrow="open"/>
                  </v:shape>
                  <v:shape id="Flowchart: Process 17" style="position:absolute;left:18288;width:15225;height:6560;visibility:visible;mso-wrap-style:square;v-text-anchor:middle" o:spid="_x0000_s1040" fillcolor="#dbe5f1 [660]" strokecolor="black [3213]"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">
                    <v:textbox>
                      <w:txbxContent>
                        <w:p w:rsidRPr="009A37C7" w:rsidR="00F5203A" w:rsidP="00B22057" w:rsidRDefault="00F5203A" w14:paraId="0CFFDF9C" w14:textId="77777777">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SO/PI submits ICR to HD Branch</w:t>
                          </w:r>
                        </w:p>
                      </w:txbxContent>
                    </v:textbox>
                  </v:shape>
                  <v:shape id="Flowchart: Process 18" style="position:absolute;left:36572;top:9143;width:15226;height:13653;visibility:visible;mso-wrap-style:square;v-text-anchor:middle" o:spid="_x0000_s1041" fillcolor="#dbe5f1 [660]" strokecolor="black [3213]"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">
                    <v:textbox>
                      <w:txbxContent>
                        <w:p w:rsidRPr="009A37C7" w:rsidR="00F5203A" w:rsidP="00B22057" w:rsidRDefault="00F5203A" w14:paraId="529D1CB9" w14:textId="1E06F3CC">
                          <w:pPr>
                            <w:pStyle w:val="NormalWeb"/>
                            <w:spacing w:before="0" w:beforeAutospacing="0" w:after="0" w:afterAutospacing="0"/>
                            <w:jc w:val="center"/>
                            <w:rPr>
                              <w:sz w:val="18"/>
                              <w:szCs w:val="18"/>
                            </w:rPr>
                          </w:pPr>
                          <w:r>
                            <w:rPr>
                              <w:rFonts w:hAnsi="Calibri" w:eastAsia="Calibri" w:asciiTheme="minorHAnsi"/>
                              <w:color w:val="000000" w:themeColor="text1"/>
                              <w:kern w:val="24"/>
                              <w:sz w:val="18"/>
                              <w:szCs w:val="18"/>
                            </w:rPr>
                            <w:t xml:space="preserve">Service </w:t>
                          </w:r>
                          <w:r w:rsidR="007E0830">
                            <w:rPr>
                              <w:rFonts w:hAnsi="Calibri" w:eastAsia="Calibri" w:asciiTheme="minorHAnsi"/>
                              <w:color w:val="000000" w:themeColor="text1"/>
                              <w:kern w:val="24"/>
                              <w:sz w:val="18"/>
                              <w:szCs w:val="18"/>
                            </w:rPr>
                            <w:t>ICCO</w:t>
                          </w:r>
                          <w:r>
                            <w:rPr>
                              <w:rFonts w:hAnsi="Calibri" w:eastAsia="Calibri" w:asciiTheme="minorHAnsi"/>
                              <w:color w:val="000000" w:themeColor="text1"/>
                              <w:kern w:val="24"/>
                              <w:sz w:val="18"/>
                              <w:szCs w:val="18"/>
                            </w:rPr>
                            <w:t xml:space="preserve"> enters into ROCIS and transmits to Departmental ICCO* for review and submission to OMB</w:t>
                          </w:r>
                        </w:p>
                      </w:txbxContent>
                    </v:textbox>
                  </v:shape>
                  <v:shape id="Flowchart: Process 19" style="position:absolute;left:54863;top:9144;width:15226;height:6560;visibility:visible;mso-wrap-style:square;v-text-anchor:middle" o:spid="_x0000_s1042" fillcolor="#dbe5f1 [660]" strokecolor="black [3213]"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">
                    <v:textbox>
                      <w:txbxContent>
                        <w:p w:rsidRPr="009A37C7" w:rsidR="00F5203A" w:rsidP="00B22057" w:rsidRDefault="00F5203A" w14:paraId="3D5D2444" w14:textId="0CE5F85E">
                          <w:pPr>
                            <w:pStyle w:val="NormalWeb"/>
                            <w:spacing w:before="0" w:beforeAutospacing="0" w:after="0" w:afterAutospacing="0"/>
                            <w:jc w:val="center"/>
                            <w:rPr>
                              <w:sz w:val="18"/>
                              <w:szCs w:val="18"/>
                            </w:rPr>
                          </w:pPr>
                          <w:r w:rsidRPr="009A37C7">
                            <w:rPr>
                              <w:rFonts w:hAnsi="Calibri" w:eastAsia="Calibri" w:asciiTheme="minorHAnsi"/>
                              <w:color w:val="000000" w:themeColor="text1"/>
                              <w:kern w:val="24"/>
                              <w:sz w:val="18"/>
                              <w:szCs w:val="18"/>
                            </w:rPr>
                            <w:t xml:space="preserve">HD Branch submits ICR package to </w:t>
                          </w:r>
                          <w:r>
                            <w:rPr>
                              <w:rFonts w:hAnsi="Calibri" w:eastAsia="Calibri" w:asciiTheme="minorHAnsi"/>
                              <w:color w:val="000000" w:themeColor="text1"/>
                              <w:kern w:val="24"/>
                              <w:sz w:val="18"/>
                              <w:szCs w:val="18"/>
                            </w:rPr>
                            <w:t xml:space="preserve">Service </w:t>
                          </w:r>
                          <w:r w:rsidR="007E0830">
                            <w:rPr>
                              <w:rFonts w:hAnsi="Calibri" w:eastAsia="Calibri" w:asciiTheme="minorHAnsi"/>
                              <w:color w:val="000000" w:themeColor="text1"/>
                              <w:kern w:val="24"/>
                              <w:sz w:val="18"/>
                              <w:szCs w:val="18"/>
                            </w:rPr>
                            <w:t>ICCO</w:t>
                          </w:r>
                          <w:r>
                            <w:rPr>
                              <w:rFonts w:hAnsi="Calibri" w:eastAsia="Calibri" w:asciiTheme="minorHAnsi"/>
                              <w:color w:val="000000" w:themeColor="text1"/>
                              <w:kern w:val="24"/>
                              <w:sz w:val="18"/>
                              <w:szCs w:val="18"/>
                            </w:rPr>
                            <w:t>*</w:t>
                          </w:r>
                        </w:p>
                      </w:txbxContent>
                    </v:textbox>
                  </v:shape>
                </v:group>
                <w10:anchorlock/>
              </v:group>
            </w:pict>
          </mc:Fallback>
        </mc:AlternateContent>
      </w:r>
    </w:p>
    <w:p w:rsidRPr="008B5D51" w:rsidR="00D60D37" w:rsidP="007E0830" w:rsidRDefault="008B5D51" w14:paraId="212D12B5" w14:textId="5C255EF0">
      <w:pPr>
        <w:pStyle w:val="Caption"/>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after="240"/>
        <w:ind w:left="360"/>
        <w:rPr>
          <w:color w:val="auto"/>
        </w:rPr>
      </w:pPr>
      <w:r w:rsidRPr="008B5D51">
        <w:rPr>
          <w:color w:val="auto"/>
        </w:rPr>
        <w:t xml:space="preserve">Figure </w:t>
      </w:r>
      <w:r w:rsidRPr="008B5D51">
        <w:rPr>
          <w:color w:val="auto"/>
        </w:rPr>
        <w:fldChar w:fldCharType="begin"/>
      </w:r>
      <w:r w:rsidRPr="008B5D51">
        <w:rPr>
          <w:color w:val="auto"/>
        </w:rPr>
        <w:instrText xml:space="preserve"> SEQ Figure \* ARABIC </w:instrText>
      </w:r>
      <w:r w:rsidRPr="008B5D51">
        <w:rPr>
          <w:color w:val="auto"/>
        </w:rPr>
        <w:fldChar w:fldCharType="separate"/>
      </w:r>
      <w:r w:rsidR="006A5F3C">
        <w:rPr>
          <w:noProof/>
          <w:color w:val="auto"/>
        </w:rPr>
        <w:t>1</w:t>
      </w:r>
      <w:r w:rsidRPr="008B5D51">
        <w:rPr>
          <w:color w:val="auto"/>
        </w:rPr>
        <w:fldChar w:fldCharType="end"/>
      </w:r>
      <w:r w:rsidRPr="008B5D51">
        <w:rPr>
          <w:noProof/>
          <w:color w:val="auto"/>
        </w:rPr>
        <w:t xml:space="preserve">. Workflow for </w:t>
      </w:r>
      <w:r w:rsidR="004451F7">
        <w:rPr>
          <w:noProof/>
          <w:color w:val="auto"/>
        </w:rPr>
        <w:t xml:space="preserve">U.S. Fish and Wildlife Service </w:t>
      </w:r>
      <w:r w:rsidRPr="008B5D51">
        <w:rPr>
          <w:noProof/>
          <w:color w:val="auto"/>
        </w:rPr>
        <w:t>Programmatic Clearance</w:t>
      </w:r>
    </w:p>
    <w:p w:rsidRPr="00C95CD5" w:rsidR="00984E9E" w:rsidP="00F6473A" w:rsidRDefault="00236677" w14:paraId="593379A0" w14:textId="0D465FC9">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Typical Information Collection Methods</w:t>
      </w:r>
    </w:p>
    <w:p w:rsidR="00984E9E" w:rsidP="00F6473A" w:rsidRDefault="00236677" w14:paraId="26CDE118" w14:textId="58B23906">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The list below includes </w:t>
      </w:r>
      <w:r w:rsidRPr="00C95CD5" w:rsidR="009C15B4">
        <w:t xml:space="preserve">typical </w:t>
      </w:r>
      <w:r w:rsidRPr="00C95CD5">
        <w:t>collection methods that will be used under this programmatic clearance</w:t>
      </w:r>
      <w:r w:rsidR="00150231">
        <w:t xml:space="preserve">. </w:t>
      </w:r>
      <w:r w:rsidR="00405B37">
        <w:t xml:space="preserve"> </w:t>
      </w:r>
      <w:r w:rsidRPr="00C95CD5">
        <w:t>Depending on the needs of each specific ICR and the population(s) being surveyed, a multi-method approach may be advantageous</w:t>
      </w:r>
      <w:r w:rsidR="00150231">
        <w:t xml:space="preserve">. </w:t>
      </w:r>
      <w:r w:rsidR="00405B37">
        <w:t xml:space="preserve"> </w:t>
      </w:r>
      <w:r w:rsidRPr="00C95CD5" w:rsidR="00FE24A8">
        <w:t xml:space="preserve">Further details of </w:t>
      </w:r>
      <w:r w:rsidRPr="00C95CD5" w:rsidR="00BC5574">
        <w:t>potential respondent</w:t>
      </w:r>
      <w:r w:rsidRPr="00C95CD5" w:rsidR="00FE24A8">
        <w:t xml:space="preserve"> </w:t>
      </w:r>
      <w:r w:rsidRPr="00C95CD5" w:rsidR="00BC5574">
        <w:t xml:space="preserve">selections </w:t>
      </w:r>
      <w:r w:rsidRPr="00C95CD5" w:rsidR="00FE24A8">
        <w:t>and sampling strategies are discussed in Supporting Statement B.</w:t>
      </w:r>
    </w:p>
    <w:p w:rsidRPr="00C95CD5" w:rsidR="00990D8A" w:rsidP="00F6473A" w:rsidRDefault="00990D8A" w14:paraId="434113C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D51CA0" w:rsidP="00F6473A" w:rsidRDefault="006352F3" w14:paraId="329FE29A" w14:textId="2874E1A3">
      <w:pPr>
        <w:pStyle w:val="Heading3"/>
        <w:tabs>
          <w:tab w:val="left" w:pos="360"/>
          <w:tab w:val="left" w:pos="720"/>
        </w:tabs>
      </w:pPr>
      <w:r>
        <w:t>I</w:t>
      </w:r>
      <w:r w:rsidRPr="00C95CD5" w:rsidR="00D51CA0">
        <w:t>nterviews</w:t>
      </w:r>
    </w:p>
    <w:p w:rsidR="00984E9E" w:rsidP="00F6473A" w:rsidRDefault="00236677" w14:paraId="3AC501B7" w14:textId="4CC57860">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In some cases, it may be necessary to collect data through interviews, particularly for hard-to-reach populations or in cases where in-depth, qualitative information is required</w:t>
      </w:r>
      <w:r w:rsidR="00150231">
        <w:t xml:space="preserve">. </w:t>
      </w:r>
      <w:r w:rsidR="00405B37">
        <w:t xml:space="preserve"> </w:t>
      </w:r>
      <w:r w:rsidRPr="006352F3" w:rsidR="006352F3">
        <w:t xml:space="preserve">Interviews are a method of eliciting answers to predetermined, semi-structured questions from one individual at a time. </w:t>
      </w:r>
      <w:r w:rsidR="00405B37">
        <w:t xml:space="preserve"> </w:t>
      </w:r>
      <w:r w:rsidRPr="00C95CD5">
        <w:t xml:space="preserve">If this research method is utilized, interview scripts would be designed to guide the discussion and data recorded by electronic </w:t>
      </w:r>
      <w:r w:rsidRPr="00C95CD5" w:rsidR="00E51249">
        <w:t xml:space="preserve">means </w:t>
      </w:r>
      <w:r w:rsidRPr="00C95CD5">
        <w:t>or written notes.</w:t>
      </w:r>
    </w:p>
    <w:p w:rsidRPr="00C95CD5" w:rsidR="00C95CD5" w:rsidP="00F6473A" w:rsidRDefault="00C95CD5" w14:paraId="32DFA62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D51CA0" w:rsidP="00F6473A" w:rsidRDefault="00236677" w14:paraId="48F68D8C" w14:textId="77777777">
      <w:pPr>
        <w:pStyle w:val="Heading3"/>
        <w:tabs>
          <w:tab w:val="left" w:pos="360"/>
          <w:tab w:val="left" w:pos="720"/>
        </w:tabs>
      </w:pPr>
      <w:r w:rsidRPr="00C95CD5">
        <w:t>Focus groups</w:t>
      </w:r>
    </w:p>
    <w:p w:rsidR="00302533" w:rsidP="00F6473A" w:rsidRDefault="00236677" w14:paraId="35A10A1A" w14:textId="72207B16">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Some data and information are best collected through more conversational means</w:t>
      </w:r>
      <w:r w:rsidR="00150231">
        <w:t xml:space="preserve">. </w:t>
      </w:r>
      <w:r w:rsidR="00405B37">
        <w:t xml:space="preserve"> </w:t>
      </w:r>
      <w:r w:rsidRPr="00C95CD5">
        <w:t>Focus groups are small, semi-structured group discussions designed to obtain in-depth qualitative information and are most useful in an exploratory stage or when researchers want to develop a deeper understanding of a program or service</w:t>
      </w:r>
      <w:r w:rsidR="00150231">
        <w:t>.</w:t>
      </w:r>
      <w:r w:rsidR="00405B37">
        <w:t xml:space="preserve"> </w:t>
      </w:r>
      <w:r w:rsidR="00150231">
        <w:t xml:space="preserve"> </w:t>
      </w:r>
      <w:r w:rsidRPr="00C95CD5">
        <w:t xml:space="preserve">Individuals will be specifically recruited to participate in the discussion, </w:t>
      </w:r>
      <w:r w:rsidRPr="00C95CD5" w:rsidR="00E51249">
        <w:t>which may take place</w:t>
      </w:r>
      <w:r w:rsidRPr="00C95CD5">
        <w:t xml:space="preserve"> in person or through technologically enhanced means (e.g., video conferencing, on-line </w:t>
      </w:r>
      <w:r w:rsidRPr="00C95CD5" w:rsidR="00E51249">
        <w:t>sessions)</w:t>
      </w:r>
      <w:r w:rsidR="00150231">
        <w:t xml:space="preserve">. </w:t>
      </w:r>
      <w:r w:rsidR="00405B37">
        <w:t xml:space="preserve"> </w:t>
      </w:r>
      <w:r w:rsidRPr="00C95CD5" w:rsidR="00E51249">
        <w:t xml:space="preserve">A trained moderator </w:t>
      </w:r>
      <w:r w:rsidRPr="00C95CD5">
        <w:t>will lead the conversation using a</w:t>
      </w:r>
      <w:r w:rsidRPr="00C95CD5" w:rsidR="00E51249">
        <w:t>n approved</w:t>
      </w:r>
      <w:r w:rsidRPr="00C95CD5">
        <w:t xml:space="preserve"> moderator’s guide, and encourage participants to talk with each other about their experiences, preferences, needs, observations, or perceptions</w:t>
      </w:r>
      <w:r w:rsidR="00150231">
        <w:t>.</w:t>
      </w:r>
      <w:r w:rsidR="00405B37">
        <w:t xml:space="preserve"> </w:t>
      </w:r>
      <w:r w:rsidR="00150231">
        <w:t xml:space="preserve"> </w:t>
      </w:r>
      <w:r w:rsidRPr="00C95CD5">
        <w:t xml:space="preserve">The focus group participants may be randomly chosen using standard telephone sampling protocols, </w:t>
      </w:r>
      <w:r w:rsidRPr="00C95CD5" w:rsidR="00E51249">
        <w:t>recruited on-site</w:t>
      </w:r>
      <w:r w:rsidRPr="00C95CD5">
        <w:t xml:space="preserve"> or through </w:t>
      </w:r>
      <w:r w:rsidRPr="00C95CD5" w:rsidR="00BD03FA">
        <w:t xml:space="preserve">a </w:t>
      </w:r>
      <w:r w:rsidRPr="00C95CD5">
        <w:t>social media or web interface, as dictated by the needs of the study</w:t>
      </w:r>
      <w:r w:rsidR="00150231">
        <w:t>.</w:t>
      </w:r>
      <w:r w:rsidR="00405B37">
        <w:t xml:space="preserve"> </w:t>
      </w:r>
      <w:r w:rsidR="00150231">
        <w:t xml:space="preserve"> </w:t>
      </w:r>
      <w:r w:rsidRPr="00C95CD5">
        <w:t>They may also be assembled according to a key variable of interest to the study or a demographic characteristic – a research design element that would require thorough explanation in the ICR</w:t>
      </w:r>
      <w:r w:rsidR="00150231">
        <w:t xml:space="preserve">. </w:t>
      </w:r>
      <w:r w:rsidR="00405B37">
        <w:t xml:space="preserve"> </w:t>
      </w:r>
      <w:r w:rsidRPr="00C95CD5">
        <w:t xml:space="preserve">When pre- and post-surveys are implemented at part of a focus group, the ICR should include an appropriate statistical analysis plan and </w:t>
      </w:r>
      <w:r w:rsidRPr="00C95CD5" w:rsidR="00E51249">
        <w:t xml:space="preserve">discussion about </w:t>
      </w:r>
      <w:r w:rsidRPr="00C95CD5">
        <w:t>the uses and limitations of the data.</w:t>
      </w:r>
    </w:p>
    <w:p w:rsidR="004370A9" w:rsidP="00F6473A" w:rsidRDefault="004370A9" w14:paraId="7E0D63E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D51CA0" w:rsidP="00F6473A" w:rsidRDefault="00236677" w14:paraId="62BE9AAA" w14:textId="77777777">
      <w:pPr>
        <w:pStyle w:val="Heading3"/>
        <w:tabs>
          <w:tab w:val="left" w:pos="360"/>
          <w:tab w:val="left" w:pos="720"/>
        </w:tabs>
      </w:pPr>
      <w:r w:rsidRPr="00C95CD5">
        <w:t>On-site intercept surveys</w:t>
      </w:r>
    </w:p>
    <w:p w:rsidR="00984E9E" w:rsidP="00F6473A" w:rsidRDefault="00236677" w14:paraId="45404E70" w14:textId="526F2A4F">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Survey instruments will be provided to respondents while on site to complete and return</w:t>
      </w:r>
      <w:r w:rsidRPr="00C95CD5" w:rsidR="005203DA">
        <w:t xml:space="preserve"> before </w:t>
      </w:r>
      <w:r w:rsidRPr="00C95CD5" w:rsidR="005203DA">
        <w:lastRenderedPageBreak/>
        <w:t>they depart</w:t>
      </w:r>
      <w:r w:rsidR="00150231">
        <w:t xml:space="preserve">. </w:t>
      </w:r>
      <w:r w:rsidR="00405B37">
        <w:t xml:space="preserve"> </w:t>
      </w:r>
      <w:r w:rsidRPr="00C95CD5">
        <w:t>This may include oral administration, paper forms, or the use of electronic technology</w:t>
      </w:r>
      <w:r w:rsidRPr="00C95CD5" w:rsidR="005203DA">
        <w:t xml:space="preserve"> (e.g., tablets or smartphones)</w:t>
      </w:r>
      <w:r w:rsidRPr="00C95CD5">
        <w:t xml:space="preserve"> </w:t>
      </w:r>
      <w:r w:rsidRPr="00C95CD5" w:rsidR="005203DA">
        <w:t>or</w:t>
      </w:r>
      <w:r w:rsidRPr="00C95CD5">
        <w:t xml:space="preserve"> kiosks</w:t>
      </w:r>
      <w:r w:rsidR="00150231">
        <w:t xml:space="preserve">. </w:t>
      </w:r>
      <w:r w:rsidR="00405B37">
        <w:t xml:space="preserve"> </w:t>
      </w:r>
      <w:r w:rsidRPr="00C95CD5">
        <w:t xml:space="preserve">The survey administrator will be prepared to answer any questions </w:t>
      </w:r>
      <w:r w:rsidRPr="00C95CD5" w:rsidR="005203DA">
        <w:t>a</w:t>
      </w:r>
      <w:r w:rsidRPr="00C95CD5">
        <w:t xml:space="preserve"> respondent </w:t>
      </w:r>
      <w:r w:rsidRPr="00C95CD5" w:rsidR="005203DA">
        <w:t>might</w:t>
      </w:r>
      <w:r w:rsidRPr="00C95CD5">
        <w:t xml:space="preserve"> have about how to fill out the instrument but does not interfere or influence how </w:t>
      </w:r>
      <w:r w:rsidRPr="00C95CD5" w:rsidR="005203DA">
        <w:t>a respondent</w:t>
      </w:r>
      <w:r w:rsidRPr="00C95CD5">
        <w:t xml:space="preserve"> answer</w:t>
      </w:r>
      <w:r w:rsidRPr="00C95CD5" w:rsidR="005203DA">
        <w:t>s</w:t>
      </w:r>
      <w:r w:rsidRPr="00C95CD5">
        <w:t xml:space="preserve"> the questions</w:t>
      </w:r>
      <w:r w:rsidR="00150231">
        <w:t xml:space="preserve">. </w:t>
      </w:r>
      <w:r w:rsidR="00405B37">
        <w:t xml:space="preserve"> </w:t>
      </w:r>
      <w:r w:rsidRPr="00C95CD5">
        <w:t>In some cases, this method may be combined with other methods</w:t>
      </w:r>
      <w:r w:rsidR="00150231">
        <w:t xml:space="preserve">. </w:t>
      </w:r>
      <w:r w:rsidR="00405B37">
        <w:t xml:space="preserve"> </w:t>
      </w:r>
      <w:r w:rsidRPr="00C95CD5">
        <w:t>For example, respondents may be recruited in-person, given a survey instrument to complete at the end of their visit, or at the end of a program, and either drop it off at a specified location or return it via mail</w:t>
      </w:r>
      <w:r w:rsidR="00150231">
        <w:t xml:space="preserve">. </w:t>
      </w:r>
      <w:r w:rsidR="00405B37">
        <w:t xml:space="preserve"> </w:t>
      </w:r>
      <w:r w:rsidRPr="00C95CD5">
        <w:t>Additionally, respondents may be intercepted on-site and then asked to complete a survey online by a later date</w:t>
      </w:r>
      <w:r w:rsidR="00150231">
        <w:t xml:space="preserve">. </w:t>
      </w:r>
      <w:r w:rsidR="00405B37">
        <w:t xml:space="preserve"> </w:t>
      </w:r>
      <w:r w:rsidRPr="00C95CD5">
        <w:t>If the in-person intercept and mail back (or online) approach is used, a research design akin to Dillman’s “Tailored Design Method” (T</w:t>
      </w:r>
      <w:r w:rsidRPr="00C95CD5" w:rsidR="007D1E92">
        <w:t>DM</w:t>
      </w:r>
      <w:r w:rsidRPr="00C95CD5">
        <w:t>)</w:t>
      </w:r>
      <w:r w:rsidRPr="00C95CD5">
        <w:rPr>
          <w:vertAlign w:val="superscript"/>
        </w:rPr>
        <w:footnoteReference w:id="4"/>
      </w:r>
      <w:r w:rsidRPr="00C95CD5">
        <w:t>, involving follow-up or reminder attempts, should be followed and discussed in the ICR</w:t>
      </w:r>
      <w:r w:rsidR="00150231">
        <w:t xml:space="preserve">. </w:t>
      </w:r>
      <w:r w:rsidR="00405B37">
        <w:t xml:space="preserve"> </w:t>
      </w:r>
      <w:r w:rsidRPr="00C95CD5">
        <w:t>Th</w:t>
      </w:r>
      <w:r w:rsidRPr="00C95CD5" w:rsidR="005203DA">
        <w:t>is and any other</w:t>
      </w:r>
      <w:r w:rsidRPr="00C95CD5">
        <w:t xml:space="preserve"> efforts desi</w:t>
      </w:r>
      <w:r w:rsidRPr="00C95CD5" w:rsidR="005203DA">
        <w:t>gned to increase response rates should be discussed in the ICR.</w:t>
      </w:r>
    </w:p>
    <w:p w:rsidRPr="00C95CD5" w:rsidR="00C95CD5" w:rsidP="00F6473A" w:rsidRDefault="00C95CD5" w14:paraId="4F0E00FE"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D51CA0" w:rsidP="00F6473A" w:rsidRDefault="00236677" w14:paraId="6748F619" w14:textId="77777777">
      <w:pPr>
        <w:pStyle w:val="Heading3"/>
        <w:tabs>
          <w:tab w:val="left" w:pos="360"/>
          <w:tab w:val="left" w:pos="720"/>
        </w:tabs>
      </w:pPr>
      <w:r w:rsidRPr="00C95CD5">
        <w:t xml:space="preserve">Mail </w:t>
      </w:r>
      <w:r w:rsidR="00772254">
        <w:t>s</w:t>
      </w:r>
      <w:r w:rsidRPr="00C95CD5">
        <w:t>urveys</w:t>
      </w:r>
    </w:p>
    <w:p w:rsidR="00984E9E" w:rsidP="00F6473A" w:rsidRDefault="00236677" w14:paraId="75161783" w14:textId="5D46FE25">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If address lists for targeted respondent</w:t>
      </w:r>
      <w:r w:rsidRPr="00C95CD5" w:rsidR="006709B3">
        <w:t>s</w:t>
      </w:r>
      <w:r w:rsidRPr="00C95CD5">
        <w:t xml:space="preserve"> are available or may be acquired, a multiple contact-approach based on Dillman's T</w:t>
      </w:r>
      <w:r w:rsidRPr="00C95CD5" w:rsidR="007D1E92">
        <w:t>DM</w:t>
      </w:r>
      <w:r w:rsidRPr="00C95CD5">
        <w:t xml:space="preserve"> may be employed</w:t>
      </w:r>
      <w:r w:rsidR="00150231">
        <w:t>.</w:t>
      </w:r>
      <w:r w:rsidR="00B23918">
        <w:t xml:space="preserve"> </w:t>
      </w:r>
      <w:r w:rsidR="00150231">
        <w:t xml:space="preserve"> </w:t>
      </w:r>
      <w:r w:rsidRPr="00C95CD5">
        <w:t>For example, the first contact might be a ‘pre-notice’ postcard or a cover letter explaining that a survey is coming to them, why the data are needed and their likely use, and why the chosen respondent’s input is important</w:t>
      </w:r>
      <w:r w:rsidR="00150231">
        <w:t xml:space="preserve">. </w:t>
      </w:r>
      <w:r w:rsidR="00B23918">
        <w:t xml:space="preserve"> </w:t>
      </w:r>
      <w:r w:rsidRPr="00C95CD5">
        <w:t>The next contact would be the survey instrument along with a postage-paid addressed envelope to return the survey</w:t>
      </w:r>
      <w:r w:rsidR="00150231">
        <w:t xml:space="preserve">. </w:t>
      </w:r>
      <w:r w:rsidR="00B23918">
        <w:t xml:space="preserve"> </w:t>
      </w:r>
      <w:r w:rsidRPr="00C95CD5">
        <w:t>Several reminders could be sent over the data collection time period, the first of which would be a postcard mailed 10 days after the survey was sent</w:t>
      </w:r>
      <w:r w:rsidR="00150231">
        <w:t xml:space="preserve">. </w:t>
      </w:r>
      <w:r w:rsidR="00B23918">
        <w:t xml:space="preserve"> </w:t>
      </w:r>
      <w:r w:rsidRPr="00C95CD5">
        <w:t>Finally, the respondents would receive a letter thanking them for their willingness to participate in the survey and reminding them to return it if they have not already done so</w:t>
      </w:r>
      <w:r w:rsidR="00150231">
        <w:t xml:space="preserve">. </w:t>
      </w:r>
      <w:r w:rsidR="009D0C51">
        <w:t xml:space="preserve"> </w:t>
      </w:r>
      <w:r w:rsidRPr="00C95CD5">
        <w:t>At each juncture, the respondents will be given multiple ways to contact someone with questions regarding the survey (including phone, web, or email)</w:t>
      </w:r>
      <w:r w:rsidR="00150231">
        <w:t>.</w:t>
      </w:r>
      <w:r w:rsidR="00B23918">
        <w:t xml:space="preserve"> </w:t>
      </w:r>
      <w:r w:rsidR="00150231">
        <w:t xml:space="preserve"> </w:t>
      </w:r>
      <w:r w:rsidRPr="00C95CD5">
        <w:t xml:space="preserve">If the survey has been lost, the respondent can request that another be sent to them. </w:t>
      </w:r>
    </w:p>
    <w:p w:rsidRPr="00C95CD5" w:rsidR="00C95CD5" w:rsidP="00F6473A" w:rsidRDefault="00C95CD5" w14:paraId="6B90F52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D51CA0" w:rsidP="00F6473A" w:rsidRDefault="00236677" w14:paraId="331996AF" w14:textId="77777777">
      <w:pPr>
        <w:pStyle w:val="Heading3"/>
        <w:tabs>
          <w:tab w:val="left" w:pos="360"/>
          <w:tab w:val="left" w:pos="720"/>
        </w:tabs>
      </w:pPr>
      <w:r w:rsidRPr="00C95CD5">
        <w:t>Web-based surveys</w:t>
      </w:r>
    </w:p>
    <w:p w:rsidR="00984E9E" w:rsidP="00F6473A" w:rsidRDefault="00236677" w14:paraId="77B6965B" w14:textId="48590084">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The internet offers another means of surveying and </w:t>
      </w:r>
      <w:r w:rsidRPr="00C95CD5" w:rsidR="00BD03FA">
        <w:t xml:space="preserve">can be </w:t>
      </w:r>
      <w:r w:rsidRPr="00C95CD5">
        <w:t xml:space="preserve">more convenient </w:t>
      </w:r>
      <w:r w:rsidRPr="00C95CD5" w:rsidR="00BD03FA">
        <w:t>for</w:t>
      </w:r>
      <w:r w:rsidRPr="00C95CD5">
        <w:t xml:space="preserve"> respondent</w:t>
      </w:r>
      <w:r w:rsidRPr="00C95CD5" w:rsidR="00BD03FA">
        <w:t>s</w:t>
      </w:r>
      <w:r w:rsidRPr="00C95CD5">
        <w:t xml:space="preserve"> </w:t>
      </w:r>
      <w:r w:rsidRPr="00C95CD5" w:rsidR="00BD03FA">
        <w:t>because they</w:t>
      </w:r>
      <w:r w:rsidRPr="00C95CD5">
        <w:t xml:space="preserve"> can complete the survey electronically when they choose</w:t>
      </w:r>
      <w:r w:rsidR="00150231">
        <w:t>.</w:t>
      </w:r>
      <w:r w:rsidR="00B23918">
        <w:t xml:space="preserve"> </w:t>
      </w:r>
      <w:r w:rsidR="00150231">
        <w:t xml:space="preserve"> </w:t>
      </w:r>
      <w:r w:rsidRPr="00C95CD5">
        <w:t xml:space="preserve">(Or they can print the survey to </w:t>
      </w:r>
      <w:r w:rsidRPr="00C95CD5" w:rsidR="00AB4345">
        <w:t>complete</w:t>
      </w:r>
      <w:r w:rsidRPr="00C95CD5">
        <w:t xml:space="preserve"> and </w:t>
      </w:r>
      <w:r w:rsidR="00801152">
        <w:t>return by mail</w:t>
      </w:r>
      <w:r w:rsidRPr="00C95CD5">
        <w:t xml:space="preserve">.) </w:t>
      </w:r>
      <w:r w:rsidR="009D0C51">
        <w:t xml:space="preserve"> </w:t>
      </w:r>
      <w:r w:rsidRPr="00C95CD5">
        <w:t>Surveys may be posted on websites, including social media pages, or may be sent to respondents via email</w:t>
      </w:r>
      <w:r w:rsidR="00150231">
        <w:t xml:space="preserve">. </w:t>
      </w:r>
      <w:r w:rsidR="00B23918">
        <w:t xml:space="preserve"> </w:t>
      </w:r>
      <w:r w:rsidRPr="00C95CD5">
        <w:t>If respondents’ emails are available, Dillman’s TDM will be used, including multiple contacts via email to increase response rates</w:t>
      </w:r>
      <w:r w:rsidR="00150231">
        <w:t xml:space="preserve">. </w:t>
      </w:r>
      <w:r w:rsidR="00B23918">
        <w:t xml:space="preserve"> </w:t>
      </w:r>
      <w:r w:rsidRPr="00C95CD5">
        <w:t xml:space="preserve">Although this is a convenient and cost-effective </w:t>
      </w:r>
      <w:r w:rsidRPr="00C95CD5" w:rsidR="004217B1">
        <w:t>survey mode</w:t>
      </w:r>
      <w:r w:rsidRPr="00C95CD5">
        <w:t>, especially with large group</w:t>
      </w:r>
      <w:r w:rsidRPr="00C95CD5" w:rsidR="009167D9">
        <w:t>s</w:t>
      </w:r>
      <w:r w:rsidRPr="00C95CD5">
        <w:t xml:space="preserve"> of people, </w:t>
      </w:r>
      <w:r w:rsidRPr="00C95CD5" w:rsidR="00A11DD5">
        <w:t>principle investigators</w:t>
      </w:r>
      <w:r w:rsidRPr="00C95CD5">
        <w:t xml:space="preserve"> need to address sampling, response rate, and potential non-response bias </w:t>
      </w:r>
      <w:r w:rsidRPr="00C95CD5" w:rsidR="008C553A">
        <w:t>issues</w:t>
      </w:r>
      <w:r w:rsidR="00150231">
        <w:t>.</w:t>
      </w:r>
      <w:r w:rsidR="00B23918">
        <w:t xml:space="preserve"> </w:t>
      </w:r>
      <w:r w:rsidR="00150231">
        <w:t xml:space="preserve"> </w:t>
      </w:r>
      <w:r w:rsidRPr="00C95CD5">
        <w:t>Telephone calls to non-respondents can be used to increase response rates</w:t>
      </w:r>
      <w:r w:rsidR="00150231">
        <w:t xml:space="preserve">. </w:t>
      </w:r>
      <w:r w:rsidR="00B23918">
        <w:t xml:space="preserve"> </w:t>
      </w:r>
      <w:r w:rsidRPr="00C95CD5">
        <w:t>For activities and projects or environmental education curricula that are provided through electronic means, a web or email survey may be most appropriate</w:t>
      </w:r>
      <w:r w:rsidR="00150231">
        <w:t xml:space="preserve">. </w:t>
      </w:r>
      <w:r w:rsidR="00B23918">
        <w:t xml:space="preserve"> </w:t>
      </w:r>
      <w:r w:rsidRPr="00C95CD5">
        <w:t xml:space="preserve">During the course of their web interaction, users can volunteer </w:t>
      </w:r>
      <w:r w:rsidRPr="00C95CD5" w:rsidR="009167D9">
        <w:t xml:space="preserve">to </w:t>
      </w:r>
      <w:r w:rsidRPr="00C95CD5">
        <w:t xml:space="preserve">take a survey at the beginning or end of their web experience, or add their names to a list for future surveys. </w:t>
      </w:r>
      <w:r w:rsidR="00B23918">
        <w:t xml:space="preserve"> </w:t>
      </w:r>
      <w:r w:rsidRPr="00C95CD5">
        <w:t xml:space="preserve">From this list, a respondent pool will be selected in accordance with the sampling procedures outlined </w:t>
      </w:r>
      <w:r w:rsidRPr="00C95CD5" w:rsidR="009167D9">
        <w:t>in the ICR</w:t>
      </w:r>
      <w:r w:rsidR="00150231">
        <w:t xml:space="preserve">. </w:t>
      </w:r>
      <w:r w:rsidR="00B23918">
        <w:t xml:space="preserve"> </w:t>
      </w:r>
      <w:r w:rsidRPr="00C95CD5">
        <w:t>Discussion of additional non-response bias surveys may also be necessary.</w:t>
      </w:r>
    </w:p>
    <w:p w:rsidRPr="00C95CD5" w:rsidR="00C95CD5" w:rsidP="00F6473A" w:rsidRDefault="00C95CD5" w14:paraId="32B318A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D51CA0" w:rsidP="00F6473A" w:rsidRDefault="00236677" w14:paraId="1BC547E3" w14:textId="77777777">
      <w:pPr>
        <w:pStyle w:val="Heading3"/>
        <w:tabs>
          <w:tab w:val="left" w:pos="360"/>
          <w:tab w:val="left" w:pos="720"/>
        </w:tabs>
      </w:pPr>
      <w:r w:rsidRPr="00C95CD5">
        <w:t xml:space="preserve">Telephone </w:t>
      </w:r>
      <w:r w:rsidR="00772254">
        <w:t>s</w:t>
      </w:r>
      <w:r w:rsidRPr="00C95CD5">
        <w:t>urveys</w:t>
      </w:r>
    </w:p>
    <w:p w:rsidR="00984E9E" w:rsidP="00F6473A" w:rsidRDefault="00236677" w14:paraId="7A63900D" w14:textId="1F2099DD">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If telephone numbers are available or can be acquired for respondents, telephone su</w:t>
      </w:r>
      <w:r w:rsidRPr="00C95CD5" w:rsidR="009167D9">
        <w:t xml:space="preserve">rveys may be used either alone </w:t>
      </w:r>
      <w:r w:rsidRPr="00C95CD5">
        <w:t>or in combination with some other method</w:t>
      </w:r>
      <w:r w:rsidR="00150231">
        <w:t>.</w:t>
      </w:r>
      <w:r w:rsidR="00B23918">
        <w:t xml:space="preserve"> </w:t>
      </w:r>
      <w:r w:rsidR="00150231">
        <w:t xml:space="preserve"> </w:t>
      </w:r>
      <w:r w:rsidRPr="00C95CD5">
        <w:t>In particular, this method is likely to be used if a national sample is required, or to reach respondents located in physically inaccessible or broadly dispersed locations</w:t>
      </w:r>
      <w:r w:rsidR="00150231">
        <w:t xml:space="preserve">. </w:t>
      </w:r>
      <w:r w:rsidR="00B23918">
        <w:t xml:space="preserve"> </w:t>
      </w:r>
      <w:r w:rsidRPr="00C95CD5">
        <w:t xml:space="preserve">As described in Dillman’s TDM, multiple attempts </w:t>
      </w:r>
      <w:r w:rsidRPr="00C95CD5">
        <w:lastRenderedPageBreak/>
        <w:t>will be made to reach each respondent in an effort to boost response rates</w:t>
      </w:r>
      <w:r w:rsidR="00150231">
        <w:t xml:space="preserve">. </w:t>
      </w:r>
      <w:r w:rsidR="00B23918">
        <w:t xml:space="preserve"> </w:t>
      </w:r>
      <w:r w:rsidRPr="00C95CD5">
        <w:t>Trained interviewers will be utilized to collect the survey responses</w:t>
      </w:r>
      <w:r w:rsidR="00150231">
        <w:t>.</w:t>
      </w:r>
      <w:r w:rsidR="00B23918">
        <w:t xml:space="preserve"> </w:t>
      </w:r>
      <w:r w:rsidR="00150231">
        <w:t xml:space="preserve"> </w:t>
      </w:r>
      <w:r w:rsidRPr="00C95CD5">
        <w:t xml:space="preserve">Given the increasing number of households in the United States that no longer have a landline telephone in their homes, any ICR that includes a national survey conducted by telephone will also need to discuss current best practices for </w:t>
      </w:r>
      <w:r w:rsidRPr="00C95CD5" w:rsidR="009167D9">
        <w:t>incorporating</w:t>
      </w:r>
      <w:r w:rsidRPr="00C95CD5">
        <w:t xml:space="preserve"> cell phone sample</w:t>
      </w:r>
      <w:r w:rsidRPr="00C95CD5" w:rsidR="009167D9">
        <w:t>s</w:t>
      </w:r>
      <w:r w:rsidRPr="00C95CD5">
        <w:t xml:space="preserve"> to avoid coverage bias.</w:t>
      </w:r>
      <w:r w:rsidRPr="00C95CD5">
        <w:rPr>
          <w:vertAlign w:val="superscript"/>
        </w:rPr>
        <w:footnoteReference w:id="5"/>
      </w:r>
      <w:r w:rsidRPr="00C95CD5">
        <w:t xml:space="preserve"> </w:t>
      </w:r>
    </w:p>
    <w:p w:rsidR="00013B7E" w:rsidP="00F6473A" w:rsidRDefault="00013B7E" w14:paraId="589A329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2E93AC0A" w14:textId="77777777">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Question Topic Areas</w:t>
      </w:r>
    </w:p>
    <w:p w:rsidRPr="00C95CD5" w:rsidR="00984E9E" w:rsidP="00F6473A" w:rsidRDefault="00236677" w14:paraId="723BC5A9" w14:textId="5DFA4E5A">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To qualify for </w:t>
      </w:r>
      <w:r w:rsidRPr="00C95CD5" w:rsidR="000C42CE">
        <w:t>the</w:t>
      </w:r>
      <w:r w:rsidRPr="00C95CD5">
        <w:t xml:space="preserve"> programmatic clearance, all questions in an information collection need to fit within one or more of the approved topic areas in the </w:t>
      </w:r>
      <w:r w:rsidRPr="00E264E3" w:rsidR="00D24314">
        <w:rPr>
          <w:i/>
        </w:rPr>
        <w:t>Suite of Questions</w:t>
      </w:r>
      <w:r w:rsidRPr="00E264E3" w:rsidR="00D24314">
        <w:t xml:space="preserve"> </w:t>
      </w:r>
      <w:r w:rsidRPr="00C95CD5">
        <w:t>accompanying this programmatic clearance</w:t>
      </w:r>
      <w:r w:rsidR="00150231">
        <w:t xml:space="preserve">. </w:t>
      </w:r>
      <w:r w:rsidR="00B23918">
        <w:t xml:space="preserve"> </w:t>
      </w:r>
      <w:r w:rsidRPr="00C95CD5">
        <w:t xml:space="preserve">Some of the questions in </w:t>
      </w:r>
      <w:r w:rsidR="002E3287">
        <w:t>the</w:t>
      </w:r>
      <w:r w:rsidRPr="00D51CA0">
        <w:t xml:space="preserve"> </w:t>
      </w:r>
      <w:r w:rsidRPr="00E264E3" w:rsidR="00D24314">
        <w:rPr>
          <w:i/>
        </w:rPr>
        <w:t>Suite of Questions</w:t>
      </w:r>
      <w:r w:rsidRPr="00C95CD5">
        <w:rPr>
          <w:i/>
        </w:rPr>
        <w:t xml:space="preserve"> </w:t>
      </w:r>
      <w:r w:rsidRPr="00C95CD5">
        <w:t>have been taken from Service information collections previously approved by OMB; all questions have been peer-reviewed by a team of experts representing a cross-section of Service programs</w:t>
      </w:r>
      <w:r w:rsidR="00150231">
        <w:t xml:space="preserve">. </w:t>
      </w:r>
      <w:r w:rsidR="00B23918">
        <w:t xml:space="preserve"> </w:t>
      </w:r>
      <w:r w:rsidRPr="00C95CD5">
        <w:t xml:space="preserve">Principal investigators conducting the information collection would have flexibility, within accepted standards of appropriate survey, interview, or focus group design and OMB regulations, to develop need-specific questions within the topic areas. </w:t>
      </w:r>
      <w:r w:rsidR="00B23918">
        <w:t xml:space="preserve"> </w:t>
      </w:r>
      <w:r w:rsidRPr="00C95CD5">
        <w:t>Altered and new questions would be subject to peer-review</w:t>
      </w:r>
      <w:r w:rsidR="00150231">
        <w:t xml:space="preserve">. </w:t>
      </w:r>
      <w:r w:rsidR="00B23918">
        <w:t xml:space="preserve"> </w:t>
      </w:r>
      <w:r w:rsidRPr="00C95CD5">
        <w:t>Topic areas included in the Service programmatic clearance include the following:</w:t>
      </w:r>
    </w:p>
    <w:p w:rsidRPr="00C95CD5" w:rsidR="00745410" w:rsidP="00F6473A" w:rsidRDefault="00745410" w14:paraId="7A1ACFEA"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3E55F5" w:rsidR="00F11F19" w:rsidP="00F6473A" w:rsidRDefault="002E3287" w14:paraId="71A73705" w14:textId="4B578863">
      <w:pPr>
        <w:pStyle w:val="Heading3"/>
        <w:tabs>
          <w:tab w:val="left" w:pos="360"/>
          <w:tab w:val="left" w:pos="720"/>
        </w:tabs>
      </w:pPr>
      <w:r>
        <w:t xml:space="preserve">Topic Area </w:t>
      </w:r>
      <w:r w:rsidRPr="003E55F5" w:rsidR="00B01C36">
        <w:t xml:space="preserve">1: </w:t>
      </w:r>
      <w:r w:rsidRPr="003E55F5" w:rsidR="009D0C51">
        <w:t xml:space="preserve"> </w:t>
      </w:r>
      <w:r w:rsidRPr="003E55F5" w:rsidR="00B01C36">
        <w:t>Respondent C</w:t>
      </w:r>
      <w:r w:rsidRPr="003E55F5" w:rsidR="00F11F19">
        <w:t>haracteristics</w:t>
      </w:r>
      <w:r w:rsidRPr="00613043" w:rsidR="001F1A61">
        <w:rPr>
          <w:rStyle w:val="FootnoteReference"/>
          <w:b w:val="0"/>
        </w:rPr>
        <w:footnoteReference w:id="6"/>
      </w:r>
    </w:p>
    <w:p w:rsidR="002E3287" w:rsidP="002E3287" w:rsidRDefault="00B01C36" w14:paraId="37F21DAB" w14:textId="61AC5E39">
      <w:pPr>
        <w:rPr>
          <w:rFonts w:ascii="Times New Roman" w:hAnsi="Times New Roman" w:cs="Calibri"/>
          <w:color w:val="auto"/>
        </w:rPr>
      </w:pPr>
      <w:r w:rsidRPr="00C95CD5">
        <w:t>The questions in this section characterize respondents</w:t>
      </w:r>
      <w:r w:rsidR="00150231">
        <w:t>.</w:t>
      </w:r>
      <w:r w:rsidR="00B23918">
        <w:t xml:space="preserve"> </w:t>
      </w:r>
      <w:r w:rsidR="00150231">
        <w:t xml:space="preserve"> </w:t>
      </w:r>
      <w:r w:rsidR="002E3287">
        <w:rPr>
          <w:color w:val="auto"/>
        </w:rPr>
        <w:t xml:space="preserve">Questions include individual or group socio-demographic information that will help management understand various populations of interest, including visitors and non-visitors, partners and stakeholders. </w:t>
      </w:r>
      <w:r w:rsidR="00B23918">
        <w:rPr>
          <w:color w:val="auto"/>
        </w:rPr>
        <w:t xml:space="preserve"> </w:t>
      </w:r>
      <w:r w:rsidR="002E3287">
        <w:rPr>
          <w:color w:val="auto"/>
        </w:rPr>
        <w:t>Analysis of questions will be used to check the representativeness of respondents to the population of interest, to better serve audiences, and provide baseline information for programs intended to increase variability in visitation.</w:t>
      </w:r>
      <w:r w:rsidR="00B23918">
        <w:rPr>
          <w:color w:val="auto"/>
        </w:rPr>
        <w:t xml:space="preserve"> </w:t>
      </w:r>
      <w:r w:rsidR="002E3287">
        <w:rPr>
          <w:color w:val="auto"/>
        </w:rPr>
        <w:t xml:space="preserve"> In addition to relevant demographic information, including user group characteristics, questions regarding visitation history, recreational history, conservation behaviors, and basic transportation behaviors are also included.</w:t>
      </w:r>
    </w:p>
    <w:p w:rsidRPr="00C95CD5" w:rsidR="00C95CD5" w:rsidP="00F6473A" w:rsidRDefault="00C95CD5" w14:paraId="31690C7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3E55F5" w:rsidR="00B01C36" w:rsidP="00F6473A" w:rsidRDefault="00B01C36" w14:paraId="260FE6BB" w14:textId="3E949383">
      <w:pPr>
        <w:pStyle w:val="Heading3"/>
        <w:tabs>
          <w:tab w:val="left" w:pos="360"/>
          <w:tab w:val="left" w:pos="720"/>
        </w:tabs>
        <w:rPr>
          <w:rStyle w:val="Strong"/>
          <w:b/>
          <w:bCs w:val="0"/>
        </w:rPr>
      </w:pPr>
      <w:bookmarkStart w:name="_Toc447018540" w:id="1"/>
      <w:bookmarkStart w:name="_Toc460424566" w:id="2"/>
      <w:r w:rsidRPr="003E55F5">
        <w:rPr>
          <w:rStyle w:val="Strong"/>
          <w:b/>
          <w:bCs w:val="0"/>
        </w:rPr>
        <w:t xml:space="preserve">Topic Area 2: </w:t>
      </w:r>
      <w:r w:rsidRPr="003E55F5" w:rsidR="009D0C51">
        <w:rPr>
          <w:rStyle w:val="Strong"/>
          <w:b/>
          <w:bCs w:val="0"/>
        </w:rPr>
        <w:t xml:space="preserve"> </w:t>
      </w:r>
      <w:r w:rsidRPr="003E55F5">
        <w:rPr>
          <w:rStyle w:val="Strong"/>
          <w:b/>
          <w:bCs w:val="0"/>
        </w:rPr>
        <w:t>Communication</w:t>
      </w:r>
      <w:bookmarkEnd w:id="1"/>
      <w:bookmarkEnd w:id="2"/>
    </w:p>
    <w:p w:rsidR="002E3287" w:rsidP="002E3287" w:rsidRDefault="002E3287" w14:paraId="171B1010" w14:textId="1E78B555">
      <w:pPr>
        <w:rPr>
          <w:rFonts w:ascii="Times New Roman" w:hAnsi="Times New Roman" w:cs="Calibri"/>
        </w:rPr>
      </w:pPr>
      <w:r>
        <w:t xml:space="preserve">The questions in this section will be used to characterize preference for accessing or receiving information and communications about the U.S. Fish &amp; Wildlife Service or a specific site. </w:t>
      </w:r>
      <w:r w:rsidR="00B23918">
        <w:t xml:space="preserve"> </w:t>
      </w:r>
      <w:r>
        <w:t>As the U.S. Fish &amp; Wildlife Service increases its presence in the virtual world (e.g., websites, Facebook, Instagram, Twitter), understanding the communication habits and preference of our “virtual visitors” is paramount.</w:t>
      </w:r>
      <w:r w:rsidR="00B23918">
        <w:t xml:space="preserve"> </w:t>
      </w:r>
      <w:r>
        <w:t xml:space="preserve"> Information from questions in this section will help site managers determine how to prioritize resources for providing information about the site before or during visits.</w:t>
      </w:r>
      <w:r w:rsidR="00B23918">
        <w:t xml:space="preserve"> </w:t>
      </w:r>
      <w:r>
        <w:t xml:space="preserve"> It also identifies the need to develop interpretive programs and printed materials/signage in other languages.</w:t>
      </w:r>
    </w:p>
    <w:p w:rsidRPr="00C95CD5" w:rsidR="00C95CD5" w:rsidP="00F6473A" w:rsidRDefault="00C95CD5" w14:paraId="41A0EB09" w14:textId="77777777">
      <w:pPr>
        <w:pStyle w:val="Question"/>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3E55F5" w:rsidR="00B01C36" w:rsidP="00F6473A" w:rsidRDefault="00B01C36" w14:paraId="5565909C" w14:textId="77777777">
      <w:pPr>
        <w:pStyle w:val="Heading3"/>
        <w:tabs>
          <w:tab w:val="left" w:pos="360"/>
          <w:tab w:val="left" w:pos="720"/>
        </w:tabs>
        <w:rPr>
          <w:rStyle w:val="Strong"/>
          <w:b/>
        </w:rPr>
      </w:pPr>
      <w:bookmarkStart w:name="_Toc460424573" w:id="3"/>
      <w:r w:rsidRPr="003E55F5">
        <w:rPr>
          <w:rStyle w:val="Strong"/>
          <w:b/>
        </w:rPr>
        <w:t xml:space="preserve">Topic Area 3: </w:t>
      </w:r>
      <w:r w:rsidRPr="003E55F5" w:rsidR="009D0C51">
        <w:rPr>
          <w:rStyle w:val="Strong"/>
          <w:b/>
        </w:rPr>
        <w:t xml:space="preserve"> </w:t>
      </w:r>
      <w:r w:rsidRPr="003E55F5">
        <w:rPr>
          <w:rStyle w:val="Strong"/>
          <w:b/>
        </w:rPr>
        <w:t>Trip Planning and Logistics</w:t>
      </w:r>
      <w:bookmarkEnd w:id="3"/>
    </w:p>
    <w:p w:rsidR="002E3287" w:rsidP="002E3287" w:rsidRDefault="002E3287" w14:paraId="6537BB85" w14:textId="23306A8F">
      <w:pPr>
        <w:pStyle w:val="Question"/>
        <w:rPr>
          <w:rFonts w:ascii="Times New Roman" w:hAnsi="Times New Roman" w:cs="Times New Roman"/>
        </w:rPr>
      </w:pPr>
      <w:r>
        <w:t xml:space="preserve">This section includes information that might affect decisions made by individuals prior to, during, or following their visits to U.S. Fish &amp; Wildlife Service lands or sponsored activities in nearby communities. </w:t>
      </w:r>
      <w:r w:rsidR="00B23918">
        <w:t xml:space="preserve"> </w:t>
      </w:r>
      <w:r>
        <w:t>Trip characteristics will be relevant to the mission, management, and/or operations of the Refuge System and improve Service understanding of visitor planning and the role of local communities in related decisions.</w:t>
      </w:r>
    </w:p>
    <w:p w:rsidRPr="00C95CD5" w:rsidR="00C95CD5" w:rsidP="00F6473A" w:rsidRDefault="00C95CD5" w14:paraId="50D6AB0B" w14:textId="77777777">
      <w:pPr>
        <w:pStyle w:val="Question"/>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3E55F5" w:rsidR="00B01C36" w:rsidP="00F6473A" w:rsidRDefault="00B01C36" w14:paraId="566CB217" w14:textId="76793281">
      <w:pPr>
        <w:pStyle w:val="Heading3"/>
        <w:tabs>
          <w:tab w:val="left" w:pos="360"/>
          <w:tab w:val="left" w:pos="720"/>
        </w:tabs>
        <w:rPr>
          <w:rStyle w:val="Strong"/>
          <w:b/>
        </w:rPr>
      </w:pPr>
      <w:bookmarkStart w:name="_Toc460424597" w:id="4"/>
      <w:r w:rsidRPr="003E55F5">
        <w:rPr>
          <w:rStyle w:val="Strong"/>
          <w:b/>
        </w:rPr>
        <w:lastRenderedPageBreak/>
        <w:t xml:space="preserve">Topic Area 4: </w:t>
      </w:r>
      <w:r w:rsidRPr="003E55F5" w:rsidR="009D0C51">
        <w:rPr>
          <w:rStyle w:val="Strong"/>
          <w:b/>
        </w:rPr>
        <w:t xml:space="preserve"> </w:t>
      </w:r>
      <w:r w:rsidR="002E3287">
        <w:rPr>
          <w:rStyle w:val="Strong"/>
          <w:b/>
        </w:rPr>
        <w:t>Recreation Activities, Experiences, and Preferences</w:t>
      </w:r>
      <w:bookmarkEnd w:id="4"/>
    </w:p>
    <w:p w:rsidR="002E3287" w:rsidP="002E3287" w:rsidRDefault="002E3287" w14:paraId="3AEA888B" w14:textId="4BE086BD">
      <w:pPr>
        <w:pStyle w:val="Question"/>
        <w:rPr>
          <w:rFonts w:ascii="Times New Roman" w:hAnsi="Times New Roman" w:cs="Times New Roman"/>
          <w:color w:val="auto"/>
        </w:rPr>
      </w:pPr>
      <w:bookmarkStart w:name="_Toc385426495" w:id="5"/>
      <w:bookmarkStart w:name="_Toc416894075" w:id="6"/>
      <w:bookmarkStart w:name="_Toc443916311" w:id="7"/>
      <w:r>
        <w:t xml:space="preserve">The questions in this topic area will be used to identify activities, behaviors, or uses of natural and cultural resources which are relevant to the mission, management, and/or operations of U.S. Fish &amp; Wildlife sites. </w:t>
      </w:r>
      <w:r w:rsidR="00B23918">
        <w:t xml:space="preserve"> </w:t>
      </w:r>
      <w:r>
        <w:rPr>
          <w:color w:val="auto"/>
        </w:rPr>
        <w:t xml:space="preserve">Understanding the public’s opinions of facilities, services, and recreational opportunities offered by the U.S. Fish &amp; Wildlife Service will help managers understand values held by the public in relation to services offered and identify areas for improvements. </w:t>
      </w:r>
    </w:p>
    <w:p w:rsidRPr="00C95CD5" w:rsidR="00C95CD5" w:rsidP="00F6473A" w:rsidRDefault="00C95CD5" w14:paraId="46BB8ECC" w14:textId="77777777">
      <w:pPr>
        <w:pStyle w:val="Question"/>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3E55F5" w:rsidR="00B01C36" w:rsidP="00F6473A" w:rsidRDefault="00B01C36" w14:paraId="246209E5" w14:textId="72139EB3">
      <w:pPr>
        <w:pStyle w:val="Heading3"/>
        <w:tabs>
          <w:tab w:val="left" w:pos="360"/>
          <w:tab w:val="left" w:pos="720"/>
        </w:tabs>
        <w:rPr>
          <w:rStyle w:val="Strong"/>
          <w:b/>
        </w:rPr>
      </w:pPr>
      <w:bookmarkStart w:name="_Toc460424624" w:id="8"/>
      <w:bookmarkEnd w:id="5"/>
      <w:bookmarkEnd w:id="6"/>
      <w:bookmarkEnd w:id="7"/>
      <w:r w:rsidRPr="003E55F5">
        <w:rPr>
          <w:rStyle w:val="Strong"/>
          <w:b/>
        </w:rPr>
        <w:t xml:space="preserve">Topic Area 5: </w:t>
      </w:r>
      <w:r w:rsidRPr="003E55F5" w:rsidR="009D0C51">
        <w:rPr>
          <w:rStyle w:val="Strong"/>
          <w:b/>
        </w:rPr>
        <w:t xml:space="preserve"> </w:t>
      </w:r>
      <w:r w:rsidR="002E3287">
        <w:rPr>
          <w:rStyle w:val="Strong"/>
          <w:b/>
        </w:rPr>
        <w:t>Knowledge, Attitudes, and Beliefs</w:t>
      </w:r>
      <w:bookmarkEnd w:id="8"/>
    </w:p>
    <w:p w:rsidR="002E3287" w:rsidP="002E3287" w:rsidRDefault="002E3287" w14:paraId="1C962921" w14:textId="796BC090">
      <w:pPr>
        <w:pStyle w:val="Question"/>
        <w:rPr>
          <w:rFonts w:ascii="Times New Roman" w:hAnsi="Times New Roman" w:cs="Times New Roman"/>
        </w:rPr>
      </w:pPr>
      <w:bookmarkStart w:name="h.30j0zll" w:colFirst="0" w:colLast="0" w:id="9"/>
      <w:bookmarkStart w:name="_Toc433873522" w:id="10"/>
      <w:bookmarkEnd w:id="9"/>
      <w:r>
        <w:t>Questions in this topic area will be used to elicit public knowledge, attitudes, beliefs, and values related to natural resources conservation and management.</w:t>
      </w:r>
      <w:r w:rsidR="00B23918">
        <w:t xml:space="preserve"> </w:t>
      </w:r>
      <w:r>
        <w:t xml:space="preserve"> Understanding how people comprehend the natural world and issues that affect it will aid in resource allocation, outreach and other management decisions.</w:t>
      </w:r>
      <w:r w:rsidR="00B23918">
        <w:t xml:space="preserve"> </w:t>
      </w:r>
      <w:r>
        <w:t xml:space="preserve"> Questions will be limited to circumstances that can be directly influenced by the U.S. Fish &amp; Wildlife Service. </w:t>
      </w:r>
    </w:p>
    <w:p w:rsidRPr="00C95CD5" w:rsidR="00C95CD5" w:rsidP="00F6473A" w:rsidRDefault="00C95CD5" w14:paraId="1EAD541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E3287" w:rsidP="00F6473A" w:rsidRDefault="00B01C36" w14:paraId="4E827256" w14:textId="77777777">
      <w:pPr>
        <w:pStyle w:val="Heading3"/>
        <w:tabs>
          <w:tab w:val="left" w:pos="360"/>
          <w:tab w:val="left" w:pos="720"/>
        </w:tabs>
        <w:rPr>
          <w:rStyle w:val="Strong"/>
          <w:b/>
        </w:rPr>
      </w:pPr>
      <w:bookmarkStart w:name="_Toc460424644" w:id="11"/>
      <w:bookmarkEnd w:id="10"/>
      <w:r w:rsidRPr="003E55F5">
        <w:rPr>
          <w:rStyle w:val="Strong"/>
          <w:b/>
        </w:rPr>
        <w:t xml:space="preserve">Topic Area 6: </w:t>
      </w:r>
      <w:r w:rsidRPr="003E55F5" w:rsidR="009D0C51">
        <w:rPr>
          <w:rStyle w:val="Strong"/>
          <w:b/>
        </w:rPr>
        <w:t xml:space="preserve"> </w:t>
      </w:r>
      <w:r w:rsidR="002E3287">
        <w:rPr>
          <w:rStyle w:val="Strong"/>
          <w:b/>
        </w:rPr>
        <w:t>Resource Management Perceptions and Preferences</w:t>
      </w:r>
    </w:p>
    <w:bookmarkEnd w:id="11"/>
    <w:p w:rsidR="002E3287" w:rsidP="002E3287" w:rsidRDefault="002E3287" w14:paraId="5FF8E547" w14:textId="7DD2688E">
      <w:pPr>
        <w:pStyle w:val="Question"/>
        <w:rPr>
          <w:rFonts w:ascii="Times New Roman" w:hAnsi="Times New Roman" w:cs="Times New Roman"/>
        </w:rPr>
      </w:pPr>
      <w:r>
        <w:t xml:space="preserve">Questions in this topic area focus on gauging public knowledge of the U.S Fish &amp; Wildlife Service, its mission and functions, as well as understanding of current conservation management practices on Service lands. </w:t>
      </w:r>
      <w:r w:rsidR="00B23918">
        <w:t xml:space="preserve"> </w:t>
      </w:r>
      <w:r>
        <w:t>By understanding public perceptions of the U.S. Fish &amp; Wildlife Service as an agency and its management practices, managers can more effectively communicate the reason for actions or changes made to programs, lands, and/or uses.</w:t>
      </w:r>
      <w:r w:rsidR="00B23918">
        <w:t xml:space="preserve"> </w:t>
      </w:r>
      <w:r>
        <w:t xml:space="preserve"> Please note that questions pertaining to resource protection are also located in other sections of this document.</w:t>
      </w:r>
    </w:p>
    <w:p w:rsidRPr="00C95CD5" w:rsidR="00C95CD5" w:rsidP="00F6473A" w:rsidRDefault="00C95CD5" w14:paraId="0607EB22" w14:textId="77777777">
      <w:pPr>
        <w:pStyle w:val="Question"/>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3E55F5" w:rsidR="00B01C36" w:rsidP="00F6473A" w:rsidRDefault="00B01C36" w14:paraId="78D41938" w14:textId="1A5F46F4">
      <w:pPr>
        <w:pStyle w:val="Heading3"/>
        <w:tabs>
          <w:tab w:val="left" w:pos="360"/>
          <w:tab w:val="left" w:pos="720"/>
        </w:tabs>
        <w:rPr>
          <w:rStyle w:val="Strong"/>
          <w:b/>
        </w:rPr>
      </w:pPr>
      <w:bookmarkStart w:name="_Toc460424657" w:id="12"/>
      <w:r w:rsidRPr="003E55F5">
        <w:rPr>
          <w:rStyle w:val="Strong"/>
          <w:b/>
        </w:rPr>
        <w:t xml:space="preserve">Topic Area 7: </w:t>
      </w:r>
      <w:r w:rsidRPr="003E55F5" w:rsidR="009D0C51">
        <w:rPr>
          <w:rStyle w:val="Strong"/>
          <w:b/>
        </w:rPr>
        <w:t xml:space="preserve"> </w:t>
      </w:r>
      <w:r w:rsidR="002E3287">
        <w:rPr>
          <w:rStyle w:val="Strong"/>
          <w:b/>
        </w:rPr>
        <w:t>Visitor Expenditures and Economic Inputs</w:t>
      </w:r>
      <w:bookmarkEnd w:id="12"/>
      <w:r w:rsidRPr="003E55F5">
        <w:rPr>
          <w:rStyle w:val="Strong"/>
          <w:b/>
        </w:rPr>
        <w:t xml:space="preserve"> </w:t>
      </w:r>
    </w:p>
    <w:p w:rsidR="002E3287" w:rsidP="002E3287" w:rsidRDefault="002E3287" w14:paraId="7FF97338" w14:textId="48029D3C">
      <w:pPr>
        <w:spacing w:before="40" w:after="40"/>
        <w:rPr>
          <w:rFonts w:ascii="Times New Roman" w:hAnsi="Times New Roman" w:cs="Calibri"/>
          <w:i/>
          <w:color w:val="auto"/>
        </w:rPr>
      </w:pPr>
      <w:r>
        <w:rPr>
          <w:color w:val="auto"/>
        </w:rPr>
        <w:t>Information about income and visitor expenditures is used to estimate economic impact on local economies.</w:t>
      </w:r>
      <w:r w:rsidR="00B23918">
        <w:rPr>
          <w:color w:val="auto"/>
        </w:rPr>
        <w:t xml:space="preserve"> </w:t>
      </w:r>
      <w:r>
        <w:rPr>
          <w:color w:val="auto"/>
        </w:rPr>
        <w:t xml:space="preserve"> Questions are intended for visitors to Service lands and landowners who conduct business or hold agreements with the </w:t>
      </w:r>
      <w:r w:rsidR="004451F7">
        <w:rPr>
          <w:color w:val="auto"/>
        </w:rPr>
        <w:t>Service</w:t>
      </w:r>
      <w:r>
        <w:rPr>
          <w:color w:val="auto"/>
        </w:rPr>
        <w:t>.</w:t>
      </w:r>
      <w:r w:rsidR="00B23918">
        <w:rPr>
          <w:color w:val="auto"/>
        </w:rPr>
        <w:t xml:space="preserve"> </w:t>
      </w:r>
      <w:r>
        <w:rPr>
          <w:color w:val="auto"/>
        </w:rPr>
        <w:t xml:space="preserve"> Questions will be used to develop spending estimates in the case of visitors.</w:t>
      </w:r>
    </w:p>
    <w:p w:rsidRPr="00C95CD5" w:rsidR="00C95CD5" w:rsidP="00F6473A" w:rsidRDefault="00C95CD5" w14:paraId="374A8B47" w14:textId="77777777">
      <w:pPr>
        <w:pStyle w:val="Question"/>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3E55F5" w:rsidR="00B01C36" w:rsidP="00F6473A" w:rsidRDefault="00B01C36" w14:paraId="41CDEF98" w14:textId="48D979F8">
      <w:pPr>
        <w:pStyle w:val="Heading3"/>
        <w:tabs>
          <w:tab w:val="left" w:pos="360"/>
          <w:tab w:val="left" w:pos="720"/>
        </w:tabs>
        <w:rPr>
          <w:rStyle w:val="Strong"/>
          <w:b/>
        </w:rPr>
      </w:pPr>
      <w:bookmarkStart w:name="_Toc447018672" w:id="13"/>
      <w:bookmarkStart w:name="_Toc460424665" w:id="14"/>
      <w:r w:rsidRPr="003E55F5">
        <w:rPr>
          <w:rStyle w:val="Strong"/>
          <w:b/>
        </w:rPr>
        <w:t xml:space="preserve">Topic Area 8: </w:t>
      </w:r>
      <w:bookmarkEnd w:id="13"/>
      <w:r w:rsidRPr="003E55F5" w:rsidR="009D0C51">
        <w:rPr>
          <w:rStyle w:val="Strong"/>
          <w:b/>
        </w:rPr>
        <w:t xml:space="preserve"> </w:t>
      </w:r>
      <w:r w:rsidR="002E3287">
        <w:rPr>
          <w:rStyle w:val="Strong"/>
          <w:b/>
        </w:rPr>
        <w:t>Public, Stakeholder, and Partner Engagement</w:t>
      </w:r>
      <w:bookmarkEnd w:id="14"/>
    </w:p>
    <w:p w:rsidR="002E3287" w:rsidP="002E3287" w:rsidRDefault="002E3287" w14:paraId="10ED1F20" w14:textId="64EDD1D8">
      <w:pPr>
        <w:pStyle w:val="Question"/>
        <w:rPr>
          <w:rFonts w:ascii="Times New Roman" w:hAnsi="Times New Roman" w:cs="Times New Roman"/>
          <w:color w:val="auto"/>
        </w:rPr>
      </w:pPr>
      <w:r>
        <w:rPr>
          <w:color w:val="auto"/>
        </w:rPr>
        <w:t xml:space="preserve">In order engage partners and the general public in fish and wildlife conservation it is important to understand the dynamics of various aspects of participation and collaboration. </w:t>
      </w:r>
      <w:r w:rsidR="00B23918">
        <w:rPr>
          <w:color w:val="auto"/>
        </w:rPr>
        <w:t xml:space="preserve"> </w:t>
      </w:r>
      <w:r>
        <w:rPr>
          <w:color w:val="auto"/>
        </w:rPr>
        <w:t xml:space="preserve">Questions in this topic area assess to what degree the public is willing to participate in conservation advocacy for Service sites and programs, including basic participation measures and Friends-specific questions. </w:t>
      </w:r>
      <w:r w:rsidR="00B23918">
        <w:rPr>
          <w:color w:val="auto"/>
        </w:rPr>
        <w:t xml:space="preserve"> </w:t>
      </w:r>
      <w:r>
        <w:rPr>
          <w:color w:val="auto"/>
        </w:rPr>
        <w:t xml:space="preserve">For our partnerships with local municipalities, the private sector, non-governmental organizations, and other State, tribal and Federal agencies, monitoring and evaluating factors that influence the quality and effectiveness of our partnerships (e.g., agency responsiveness, shared goals, effectiveness of communications, satisfaction with decision making, volunteer activities) will be key in creating and sustaining effective collaborations. </w:t>
      </w:r>
    </w:p>
    <w:p w:rsidRPr="00C95CD5" w:rsidR="00C95CD5" w:rsidP="00F6473A" w:rsidRDefault="00C95CD5" w14:paraId="4715891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E3287" w:rsidP="00F6473A" w:rsidRDefault="00B01C36" w14:paraId="5ECEB99C" w14:textId="77777777">
      <w:pPr>
        <w:pStyle w:val="Heading3"/>
        <w:tabs>
          <w:tab w:val="left" w:pos="360"/>
          <w:tab w:val="left" w:pos="720"/>
        </w:tabs>
        <w:rPr>
          <w:rStyle w:val="Strong"/>
          <w:b/>
        </w:rPr>
      </w:pPr>
      <w:bookmarkStart w:name="_Toc460424676" w:id="15"/>
      <w:r w:rsidRPr="003E55F5">
        <w:rPr>
          <w:rStyle w:val="Strong"/>
          <w:b/>
        </w:rPr>
        <w:t xml:space="preserve">Topic Area 9: </w:t>
      </w:r>
      <w:r w:rsidRPr="003E55F5" w:rsidR="009D0C51">
        <w:rPr>
          <w:rStyle w:val="Strong"/>
          <w:b/>
        </w:rPr>
        <w:t xml:space="preserve"> </w:t>
      </w:r>
      <w:r w:rsidR="002E3287">
        <w:rPr>
          <w:rStyle w:val="Strong"/>
          <w:b/>
        </w:rPr>
        <w:t>Program Evaluation</w:t>
      </w:r>
    </w:p>
    <w:bookmarkEnd w:id="15"/>
    <w:p w:rsidR="00B01C36" w:rsidP="00F6473A" w:rsidRDefault="00B01C36" w14:paraId="4E125AC0" w14:textId="629AEC4C">
      <w:pPr>
        <w:pStyle w:val="Question"/>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Program evaluation is the systematic collection of information about the activities, outputs, characteristics, and outcomes of a program or project in order to make judgments about, improve the effectiveness of, and inform decisions about future program or project development</w:t>
      </w:r>
      <w:r w:rsidR="00150231">
        <w:t xml:space="preserve">. </w:t>
      </w:r>
      <w:r w:rsidR="00B23918">
        <w:t xml:space="preserve"> </w:t>
      </w:r>
      <w:r w:rsidRPr="00C95CD5">
        <w:t>Questions related to program evaluation are asked to assess the effectiveness of Service activities and programs geared toward engaging communities and visitors in the outdoors, building connected conservation constituencies and ensuring these efforts are meeting targeted objectives</w:t>
      </w:r>
      <w:r w:rsidR="00150231">
        <w:t>.</w:t>
      </w:r>
      <w:r w:rsidR="00B23918">
        <w:t xml:space="preserve"> </w:t>
      </w:r>
      <w:r w:rsidR="00150231">
        <w:t xml:space="preserve"> </w:t>
      </w:r>
      <w:r w:rsidRPr="00C95CD5">
        <w:t>They will also be helpful to managers updating management plans and improving educational and outreach efforts.</w:t>
      </w:r>
    </w:p>
    <w:p w:rsidRPr="00C95CD5" w:rsidR="00C95CD5" w:rsidP="00F6473A" w:rsidRDefault="00C95CD5" w14:paraId="31305543" w14:textId="77777777">
      <w:pPr>
        <w:pStyle w:val="Question"/>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84E9E" w:rsidP="00F6473A" w:rsidRDefault="00236677" w14:paraId="24C3E50F" w14:textId="2E17CD2C">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The </w:t>
      </w:r>
      <w:r w:rsidRPr="00C95CD5" w:rsidR="007843E1">
        <w:t xml:space="preserve">items </w:t>
      </w:r>
      <w:r w:rsidRPr="00C95CD5">
        <w:t xml:space="preserve">in the </w:t>
      </w:r>
      <w:r w:rsidRPr="00E264E3" w:rsidR="00D24314">
        <w:rPr>
          <w:i/>
        </w:rPr>
        <w:t>Suite of Questions</w:t>
      </w:r>
      <w:r w:rsidRPr="00E264E3" w:rsidR="00D24314">
        <w:t xml:space="preserve"> </w:t>
      </w:r>
      <w:r w:rsidRPr="00C95CD5">
        <w:t>we</w:t>
      </w:r>
      <w:r w:rsidRPr="00C95CD5" w:rsidR="007843E1">
        <w:t>re</w:t>
      </w:r>
      <w:r w:rsidRPr="00C95CD5">
        <w:t xml:space="preserve"> developed primarily from the following sources:</w:t>
      </w:r>
    </w:p>
    <w:p w:rsidRPr="00C95CD5" w:rsidR="009D0C51" w:rsidP="00F6473A" w:rsidRDefault="009D0C51" w14:paraId="0A37303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BD22B0" w:rsidR="00FC3063" w:rsidP="00F6473A" w:rsidRDefault="00FC3063" w14:paraId="02418311" w14:textId="77777777">
      <w:pPr>
        <w:pStyle w:val="ListParagraph"/>
        <w:numPr>
          <w:ilvl w:val="0"/>
          <w:numId w:val="28"/>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F61764">
        <w:t xml:space="preserve">National Park Service’s </w:t>
      </w:r>
      <w:r w:rsidRPr="00BD22B0">
        <w:t>Pool of Known Questions</w:t>
      </w:r>
      <w:r w:rsidRPr="00F94AA5" w:rsidR="00F61764">
        <w:t xml:space="preserve"> (</w:t>
      </w:r>
      <w:r w:rsidR="00BD22B0">
        <w:t>OMB #</w:t>
      </w:r>
      <w:r w:rsidRPr="00F94AA5" w:rsidR="00F61764">
        <w:t>1024-0</w:t>
      </w:r>
      <w:r w:rsidRPr="00BD22B0" w:rsidR="00F61764">
        <w:t>224)</w:t>
      </w:r>
      <w:r w:rsidRPr="00BD22B0">
        <w:t>;</w:t>
      </w:r>
    </w:p>
    <w:p w:rsidR="00FC3063" w:rsidP="00F6473A" w:rsidRDefault="00FC3063" w14:paraId="264DCD2D" w14:textId="77777777">
      <w:pPr>
        <w:pStyle w:val="ListParagraph"/>
        <w:numPr>
          <w:ilvl w:val="0"/>
          <w:numId w:val="28"/>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T</w:t>
      </w:r>
      <w:r w:rsidRPr="00C95CD5">
        <w:t>he F</w:t>
      </w:r>
      <w:r>
        <w:t xml:space="preserve">ederal </w:t>
      </w:r>
      <w:r w:rsidRPr="00C95CD5">
        <w:t>L</w:t>
      </w:r>
      <w:r>
        <w:t xml:space="preserve">and </w:t>
      </w:r>
      <w:r w:rsidRPr="00C95CD5">
        <w:t>M</w:t>
      </w:r>
      <w:r>
        <w:t xml:space="preserve">anagement </w:t>
      </w:r>
      <w:r w:rsidRPr="00C95CD5">
        <w:t>A</w:t>
      </w:r>
      <w:r>
        <w:t>gencies</w:t>
      </w:r>
      <w:r w:rsidRPr="00C95CD5">
        <w:t xml:space="preserve"> Collaborative Visitor Transportation S</w:t>
      </w:r>
      <w:r>
        <w:t>urvey Compendium of Questions (</w:t>
      </w:r>
      <w:r w:rsidR="00BD22B0">
        <w:t>OMB #</w:t>
      </w:r>
      <w:r w:rsidRPr="00F61764" w:rsidR="00F61764">
        <w:t>0596-0236</w:t>
      </w:r>
      <w:r>
        <w:t>);</w:t>
      </w:r>
    </w:p>
    <w:p w:rsidRPr="00C95CD5" w:rsidR="00F94AA5" w:rsidP="00F6473A" w:rsidRDefault="00F94AA5" w14:paraId="11C4F6B4" w14:textId="3076DD72">
      <w:pPr>
        <w:pStyle w:val="ListParagraph"/>
        <w:numPr>
          <w:ilvl w:val="0"/>
          <w:numId w:val="28"/>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Expired OMB-approved </w:t>
      </w:r>
      <w:r>
        <w:t>National Wildlife Refuge</w:t>
      </w:r>
      <w:r w:rsidRPr="00C95CD5">
        <w:t xml:space="preserve"> Visitor Survey</w:t>
      </w:r>
      <w:r>
        <w:t>;</w:t>
      </w:r>
    </w:p>
    <w:p w:rsidR="00FC3063" w:rsidP="00F6473A" w:rsidRDefault="00FC3063" w14:paraId="4C3924D4" w14:textId="77777777">
      <w:pPr>
        <w:pStyle w:val="ListParagraph"/>
        <w:numPr>
          <w:ilvl w:val="0"/>
          <w:numId w:val="28"/>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Surveys found in peer-reviewed literature conducted for federal land management agencies</w:t>
      </w:r>
      <w:r>
        <w:t>; and</w:t>
      </w:r>
    </w:p>
    <w:p w:rsidRPr="007C3160" w:rsidR="00984E9E" w:rsidP="00F6473A" w:rsidRDefault="00236677" w14:paraId="4746BB82" w14:textId="63C1FD83">
      <w:pPr>
        <w:pStyle w:val="ListParagraph"/>
        <w:numPr>
          <w:ilvl w:val="0"/>
          <w:numId w:val="28"/>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Previous nonfederally funded studies</w:t>
      </w:r>
      <w:r w:rsidR="00150231">
        <w:t>.</w:t>
      </w:r>
    </w:p>
    <w:p w:rsidRPr="00C95CD5" w:rsidR="00013B7E" w:rsidP="00F6473A" w:rsidRDefault="00013B7E" w14:paraId="7F944E5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778DE020" w14:textId="77777777">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Potential Respondents</w:t>
      </w:r>
    </w:p>
    <w:p w:rsidRPr="00C95CD5" w:rsidR="00984E9E" w:rsidP="00F6473A" w:rsidRDefault="00236677" w14:paraId="18DC365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The programmatic clearance will include information collections of the following audiences: </w:t>
      </w:r>
      <w:r w:rsidR="009D0C51">
        <w:t xml:space="preserve"> </w:t>
      </w:r>
      <w:r w:rsidRPr="00C95CD5">
        <w:t>visitors, potential visitors, local community members, educators, Government officials, landowners, partners and other stakeholders, volunteers, and tribal interests.</w:t>
      </w:r>
    </w:p>
    <w:p w:rsidR="00C95CD5" w:rsidP="00F6473A" w:rsidRDefault="00C95CD5" w14:paraId="531CA3A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42A86" w:rsidP="00F6473A" w:rsidRDefault="00236677" w14:paraId="0CBF42E5" w14:textId="77777777">
      <w:pPr>
        <w:pStyle w:val="Heading3"/>
        <w:tabs>
          <w:tab w:val="left" w:pos="360"/>
          <w:tab w:val="left" w:pos="720"/>
        </w:tabs>
      </w:pPr>
      <w:r w:rsidRPr="00C95CD5">
        <w:t>Visitors</w:t>
      </w:r>
    </w:p>
    <w:p w:rsidR="00984E9E" w:rsidP="00F6473A" w:rsidRDefault="00236677" w14:paraId="2075FD05" w14:textId="412C6A5E">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Visitors include any person visiting a unit </w:t>
      </w:r>
      <w:r w:rsidRPr="00C95CD5" w:rsidR="000D6E3B">
        <w:t xml:space="preserve">or website </w:t>
      </w:r>
      <w:r w:rsidRPr="00C95CD5">
        <w:t>managed by the Service</w:t>
      </w:r>
      <w:r w:rsidR="00150231">
        <w:t xml:space="preserve">. </w:t>
      </w:r>
      <w:r w:rsidRPr="00C95CD5">
        <w:t xml:space="preserve">Visitors may </w:t>
      </w:r>
      <w:r w:rsidRPr="00C95CD5" w:rsidR="00270DD1">
        <w:t xml:space="preserve">be pursuing recreational activities at the site, </w:t>
      </w:r>
      <w:r w:rsidRPr="00C95CD5">
        <w:t>attending</w:t>
      </w:r>
      <w:r w:rsidRPr="00C95CD5" w:rsidR="000D6E3B">
        <w:t xml:space="preserve"> </w:t>
      </w:r>
      <w:r w:rsidRPr="00C95CD5">
        <w:t>an educational event, or traveling through or stopping incidentally while traveling or on business-related purposes</w:t>
      </w:r>
      <w:r w:rsidR="00150231">
        <w:t>.</w:t>
      </w:r>
      <w:r w:rsidR="00B23918">
        <w:t xml:space="preserve"> </w:t>
      </w:r>
      <w:r w:rsidR="00150231">
        <w:t xml:space="preserve"> </w:t>
      </w:r>
      <w:r w:rsidRPr="00C95CD5" w:rsidR="00270DD1">
        <w:t>They may be visiting a website for trip planning</w:t>
      </w:r>
      <w:r w:rsidRPr="00C95CD5" w:rsidR="00682BCC">
        <w:t xml:space="preserve"> and research</w:t>
      </w:r>
      <w:r w:rsidRPr="00C95CD5" w:rsidR="00270DD1">
        <w:t xml:space="preserve"> or viewing a virtual presentation</w:t>
      </w:r>
      <w:r w:rsidR="00150231">
        <w:t xml:space="preserve">. </w:t>
      </w:r>
      <w:r w:rsidR="00B23918">
        <w:t xml:space="preserve"> </w:t>
      </w:r>
      <w:r w:rsidRPr="00C95CD5">
        <w:t>Visitors</w:t>
      </w:r>
      <w:r w:rsidRPr="00C95CD5" w:rsidR="00962DFE">
        <w:t>, both physical and virtual,</w:t>
      </w:r>
      <w:r w:rsidRPr="00C95CD5">
        <w:t xml:space="preserve"> include</w:t>
      </w:r>
      <w:r w:rsidRPr="00C95CD5" w:rsidR="000D6E3B">
        <w:t>, but are not limited to,</w:t>
      </w:r>
      <w:r w:rsidRPr="00C95CD5">
        <w:t xml:space="preserve"> members of the general public, students</w:t>
      </w:r>
      <w:r w:rsidRPr="00C95CD5" w:rsidR="00962DFE">
        <w:t>, youth groups</w:t>
      </w:r>
      <w:r w:rsidRPr="00C95CD5">
        <w:t>, teachers, partner employees, and legal resources users, such as hunters and anglers, including subsistence users.</w:t>
      </w:r>
      <w:r w:rsidRPr="00C95CD5" w:rsidR="000D6E3B">
        <w:t xml:space="preserve"> </w:t>
      </w:r>
    </w:p>
    <w:p w:rsidRPr="00C95CD5" w:rsidR="00C95CD5" w:rsidP="00F6473A" w:rsidRDefault="00C95CD5" w14:paraId="69787AA3"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42A86" w:rsidP="00F6473A" w:rsidRDefault="00236677" w14:paraId="4E05A68A" w14:textId="77777777">
      <w:pPr>
        <w:pStyle w:val="Heading3"/>
        <w:tabs>
          <w:tab w:val="left" w:pos="360"/>
          <w:tab w:val="left" w:pos="720"/>
        </w:tabs>
      </w:pPr>
      <w:r w:rsidRPr="00C95CD5">
        <w:t>Potential visitors</w:t>
      </w:r>
    </w:p>
    <w:p w:rsidR="00984E9E" w:rsidP="00F6473A" w:rsidRDefault="00236677" w14:paraId="49D2E87B" w14:textId="1EB81BF8">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Potential visitors are any persons who </w:t>
      </w:r>
      <w:r w:rsidRPr="00C95CD5">
        <w:rPr>
          <w:i/>
        </w:rPr>
        <w:t xml:space="preserve">are </w:t>
      </w:r>
      <w:r w:rsidRPr="00C95CD5" w:rsidR="00270DD1">
        <w:rPr>
          <w:i/>
        </w:rPr>
        <w:t xml:space="preserve">contacted </w:t>
      </w:r>
      <w:r w:rsidRPr="00C95CD5">
        <w:rPr>
          <w:i/>
        </w:rPr>
        <w:t xml:space="preserve">off Service lands and </w:t>
      </w:r>
      <w:r w:rsidRPr="00C95CD5">
        <w:t>might visit a unit owned by the Service to attend an educational event, visit for recreational purposes, incidentally as part of other travel, or for non-recreational uses.</w:t>
      </w:r>
    </w:p>
    <w:p w:rsidRPr="00C95CD5" w:rsidR="00C95CD5" w:rsidP="00F6473A" w:rsidRDefault="00C95CD5" w14:paraId="3B2D833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42A86" w:rsidP="00F6473A" w:rsidRDefault="00236677" w14:paraId="5C0E8D5F" w14:textId="77777777">
      <w:pPr>
        <w:pStyle w:val="Heading3"/>
        <w:tabs>
          <w:tab w:val="left" w:pos="360"/>
          <w:tab w:val="left" w:pos="720"/>
        </w:tabs>
      </w:pPr>
      <w:r w:rsidRPr="00C95CD5">
        <w:t>Local community members</w:t>
      </w:r>
    </w:p>
    <w:p w:rsidR="00984E9E" w:rsidP="00F6473A" w:rsidRDefault="00236677" w14:paraId="3552538C" w14:textId="0D5D4A8A">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Local community members are individuals who live in communities directly adjacent to or in close proximity to Service-owned units.</w:t>
      </w:r>
    </w:p>
    <w:p w:rsidRPr="00C95CD5" w:rsidR="00C95CD5" w:rsidP="00F6473A" w:rsidRDefault="00C95CD5" w14:paraId="325BFA2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42A86" w:rsidP="00F6473A" w:rsidRDefault="00236677" w14:paraId="0D97766B" w14:textId="77777777">
      <w:pPr>
        <w:pStyle w:val="Heading3"/>
        <w:tabs>
          <w:tab w:val="left" w:pos="360"/>
          <w:tab w:val="left" w:pos="720"/>
        </w:tabs>
      </w:pPr>
      <w:r w:rsidRPr="00C95CD5">
        <w:t>Educators</w:t>
      </w:r>
    </w:p>
    <w:p w:rsidR="00C95CD5" w:rsidP="00F6473A" w:rsidRDefault="00236677" w14:paraId="06A6A3B7" w14:textId="33530719">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Educators include any persons who participate in or lead an educational event for the Service or in partnership with the Service</w:t>
      </w:r>
      <w:r w:rsidR="00150231">
        <w:t xml:space="preserve">. </w:t>
      </w:r>
      <w:r w:rsidR="00B23918">
        <w:t xml:space="preserve"> </w:t>
      </w:r>
      <w:r w:rsidRPr="00C95CD5">
        <w:t>These individuals might be teachers, administrators, program leaders, or volunteers working specifically on environmental education efforts</w:t>
      </w:r>
      <w:r w:rsidR="00150231">
        <w:t xml:space="preserve">. </w:t>
      </w:r>
      <w:r w:rsidR="00B23918">
        <w:t xml:space="preserve"> </w:t>
      </w:r>
      <w:r w:rsidRPr="00C95CD5">
        <w:t xml:space="preserve">Educators </w:t>
      </w:r>
      <w:r w:rsidRPr="00C95CD5" w:rsidR="007843E1">
        <w:t>may participate in events in Servic</w:t>
      </w:r>
      <w:r w:rsidR="00EC0F42">
        <w:t>e or non-Service venues.</w:t>
      </w:r>
    </w:p>
    <w:p w:rsidRPr="00C95CD5" w:rsidR="00984E9E" w:rsidP="00F6473A" w:rsidRDefault="00984E9E" w14:paraId="41E369D7" w14:textId="059E536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42A86" w:rsidP="00F6473A" w:rsidRDefault="00236677" w14:paraId="4C602616" w14:textId="6DC31F39">
      <w:pPr>
        <w:pStyle w:val="Heading3"/>
        <w:tabs>
          <w:tab w:val="left" w:pos="360"/>
          <w:tab w:val="left" w:pos="720"/>
        </w:tabs>
      </w:pPr>
      <w:r w:rsidRPr="00C95CD5">
        <w:t xml:space="preserve">Government officials </w:t>
      </w:r>
      <w:r w:rsidRPr="00C95CD5" w:rsidR="00C4132D">
        <w:t>representing the local area</w:t>
      </w:r>
      <w:r w:rsidRPr="00C95CD5" w:rsidR="00C72F38">
        <w:t xml:space="preserve"> (non-federal)</w:t>
      </w:r>
    </w:p>
    <w:p w:rsidR="00984E9E" w:rsidP="00F6473A" w:rsidRDefault="00236677" w14:paraId="1FA1F0B0" w14:textId="31F38DF4">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Government officials include those not directly employed by the Service</w:t>
      </w:r>
      <w:r w:rsidR="00150231">
        <w:t xml:space="preserve">. </w:t>
      </w:r>
      <w:r w:rsidR="00B23918">
        <w:t xml:space="preserve"> </w:t>
      </w:r>
      <w:r w:rsidRPr="00C95CD5">
        <w:t>They may be State, county, or city officials</w:t>
      </w:r>
      <w:r w:rsidRPr="00C95CD5" w:rsidR="00E01D5E">
        <w:t xml:space="preserve">, or members of other governing boards such as conservancy </w:t>
      </w:r>
      <w:r w:rsidRPr="00C95CD5" w:rsidR="008E3E25">
        <w:t>districts</w:t>
      </w:r>
      <w:r w:rsidR="00150231">
        <w:t xml:space="preserve">. </w:t>
      </w:r>
      <w:r w:rsidRPr="00C95CD5">
        <w:t>Officials may or may not have visited the Service unit, but have a vested interest in outcomes related to Service management.</w:t>
      </w:r>
    </w:p>
    <w:p w:rsidRPr="00C95CD5" w:rsidR="00C95CD5" w:rsidP="00F6473A" w:rsidRDefault="00C95CD5" w14:paraId="229B497C"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42A86" w:rsidP="00F6473A" w:rsidRDefault="00236677" w14:paraId="3A5EE0B4" w14:textId="77777777">
      <w:pPr>
        <w:pStyle w:val="Heading3"/>
        <w:tabs>
          <w:tab w:val="left" w:pos="360"/>
          <w:tab w:val="left" w:pos="720"/>
        </w:tabs>
      </w:pPr>
      <w:r w:rsidRPr="00C95CD5">
        <w:t>Landowners</w:t>
      </w:r>
    </w:p>
    <w:p w:rsidR="00984E9E" w:rsidP="00F6473A" w:rsidRDefault="00236677" w14:paraId="64DF3E3E" w14:textId="41D9E5B2">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Landowners include people who </w:t>
      </w:r>
      <w:r w:rsidR="00BF1BF7">
        <w:t>currently</w:t>
      </w:r>
      <w:r w:rsidR="00DC1FF3">
        <w:t>,</w:t>
      </w:r>
      <w:r w:rsidR="00BF1BF7">
        <w:t xml:space="preserve"> or </w:t>
      </w:r>
      <w:r w:rsidR="00561EEA">
        <w:t>may</w:t>
      </w:r>
      <w:r w:rsidR="00BF1BF7">
        <w:t xml:space="preserve"> potentially</w:t>
      </w:r>
      <w:r w:rsidR="00DC1FF3">
        <w:t>,</w:t>
      </w:r>
      <w:r w:rsidR="00BF1BF7">
        <w:t xml:space="preserve"> </w:t>
      </w:r>
      <w:r w:rsidRPr="00C95CD5">
        <w:t xml:space="preserve">work with Service personnel to complete management </w:t>
      </w:r>
      <w:r w:rsidRPr="00C95CD5" w:rsidR="00CF3486">
        <w:t xml:space="preserve">goals </w:t>
      </w:r>
      <w:r w:rsidRPr="00C95CD5">
        <w:t>on their private land holdings</w:t>
      </w:r>
      <w:r w:rsidR="00BF1BF7">
        <w:t xml:space="preserve">. </w:t>
      </w:r>
      <w:r w:rsidR="00B23918">
        <w:t xml:space="preserve"> </w:t>
      </w:r>
      <w:r w:rsidRPr="00C95CD5">
        <w:t>They may or may not live adjacent to Service-owned units</w:t>
      </w:r>
      <w:r w:rsidR="00150231">
        <w:t xml:space="preserve">. </w:t>
      </w:r>
      <w:r w:rsidR="00B23918">
        <w:t xml:space="preserve"> </w:t>
      </w:r>
      <w:r w:rsidRPr="00C95CD5">
        <w:t xml:space="preserve">Individuals may work directly with Service personnel on a specific </w:t>
      </w:r>
      <w:r w:rsidRPr="00C95CD5">
        <w:lastRenderedPageBreak/>
        <w:t xml:space="preserve">project or may have agreements with the Service for a conservation easement, restoration activity, or other </w:t>
      </w:r>
      <w:r w:rsidRPr="00C95CD5" w:rsidR="00CF3486">
        <w:t xml:space="preserve">activities </w:t>
      </w:r>
      <w:r w:rsidRPr="00C95CD5">
        <w:t>related to their private land holdings.</w:t>
      </w:r>
    </w:p>
    <w:p w:rsidRPr="00C95CD5" w:rsidR="00C95CD5" w:rsidP="00F6473A" w:rsidRDefault="00C95CD5" w14:paraId="6363BD1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42A86" w:rsidP="00F6473A" w:rsidRDefault="00236677" w14:paraId="045A2321" w14:textId="77777777">
      <w:pPr>
        <w:pStyle w:val="Heading3"/>
        <w:tabs>
          <w:tab w:val="left" w:pos="360"/>
          <w:tab w:val="left" w:pos="720"/>
        </w:tabs>
      </w:pPr>
      <w:r w:rsidRPr="00C95CD5">
        <w:t>Partners and other stakeholders</w:t>
      </w:r>
    </w:p>
    <w:p w:rsidR="00984E9E" w:rsidP="00F6473A" w:rsidRDefault="00236677" w14:paraId="11026190" w14:textId="22F1F6C3">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Partners and other stakeholders include individuals who work with the Service in some capacity other than direct employment</w:t>
      </w:r>
      <w:r w:rsidR="00150231">
        <w:t xml:space="preserve">. </w:t>
      </w:r>
      <w:r w:rsidR="00B23918">
        <w:t xml:space="preserve"> </w:t>
      </w:r>
      <w:r w:rsidRPr="00C95CD5" w:rsidR="008E3E25">
        <w:t>They may be</w:t>
      </w:r>
      <w:r w:rsidRPr="00C95CD5">
        <w:t xml:space="preserve"> volunteers or </w:t>
      </w:r>
      <w:r w:rsidRPr="00C95CD5" w:rsidR="00CF3486">
        <w:t xml:space="preserve">those who </w:t>
      </w:r>
      <w:r w:rsidRPr="00C95CD5">
        <w:t>have a vested interest in outcomes related to Service management</w:t>
      </w:r>
      <w:r w:rsidRPr="00C95CD5" w:rsidR="008E3E25">
        <w:t>, such as guides and outfitters or local Chambers of Commerce</w:t>
      </w:r>
      <w:r w:rsidR="00150231">
        <w:t xml:space="preserve">. </w:t>
      </w:r>
      <w:r w:rsidR="00B23918">
        <w:t xml:space="preserve"> </w:t>
      </w:r>
      <w:r w:rsidRPr="00C95CD5">
        <w:t>Individuals may be employed by Federal, State, county, city, or nongovernmental entities that work directly with the Service</w:t>
      </w:r>
      <w:r w:rsidRPr="00C95CD5" w:rsidR="008E3E25">
        <w:t xml:space="preserve"> or those who work for non-profit and for profit entities</w:t>
      </w:r>
      <w:r w:rsidR="00150231">
        <w:t xml:space="preserve">. </w:t>
      </w:r>
      <w:r w:rsidR="00B23918">
        <w:t xml:space="preserve"> </w:t>
      </w:r>
      <w:r w:rsidRPr="00C95CD5">
        <w:t>They may also be members of the general public who have an interest or stake in specific Service management or decisions.</w:t>
      </w:r>
    </w:p>
    <w:p w:rsidRPr="00C95CD5" w:rsidR="00C95CD5" w:rsidP="00F6473A" w:rsidRDefault="00C95CD5" w14:paraId="23658A1C"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42A86" w:rsidP="00F6473A" w:rsidRDefault="00236677" w14:paraId="097021E0" w14:textId="77777777">
      <w:pPr>
        <w:pStyle w:val="Heading3"/>
        <w:tabs>
          <w:tab w:val="left" w:pos="360"/>
          <w:tab w:val="left" w:pos="720"/>
        </w:tabs>
      </w:pPr>
      <w:r w:rsidRPr="00C95CD5">
        <w:t>Volunteers</w:t>
      </w:r>
    </w:p>
    <w:p w:rsidR="00984E9E" w:rsidP="00F6473A" w:rsidRDefault="00236677" w14:paraId="2DD04FB7" w14:textId="3B87B600">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Volunteers are individuals who work with the Service in a nonpaid capacity</w:t>
      </w:r>
      <w:r w:rsidR="00150231">
        <w:t xml:space="preserve">. </w:t>
      </w:r>
      <w:r w:rsidR="00B23918">
        <w:t xml:space="preserve"> </w:t>
      </w:r>
      <w:r w:rsidRPr="00C95CD5">
        <w:t>They may work directly on a Service-owned unit or conduct work on behalf of the Service on lands or projects not directly located on Service property.</w:t>
      </w:r>
    </w:p>
    <w:p w:rsidRPr="00C95CD5" w:rsidR="00C95CD5" w:rsidP="00F6473A" w:rsidRDefault="00C95CD5" w14:paraId="2B8EE1F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242A86" w:rsidP="00F6473A" w:rsidRDefault="00236677" w14:paraId="237EB8D0" w14:textId="77777777">
      <w:pPr>
        <w:pStyle w:val="Heading3"/>
        <w:tabs>
          <w:tab w:val="left" w:pos="360"/>
          <w:tab w:val="left" w:pos="720"/>
        </w:tabs>
      </w:pPr>
      <w:r w:rsidRPr="00C95CD5">
        <w:t>Tribal interests</w:t>
      </w:r>
    </w:p>
    <w:p w:rsidR="00984E9E" w:rsidP="00F6473A" w:rsidRDefault="00236677" w14:paraId="4F84CA5E" w14:textId="721400A6">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Tribal interests include citizens of Native American tribal nations, tribal leaders, and Alaskan Native Tribes</w:t>
      </w:r>
      <w:r w:rsidR="00150231">
        <w:t xml:space="preserve">. </w:t>
      </w:r>
      <w:r w:rsidR="00B23918">
        <w:t xml:space="preserve"> </w:t>
      </w:r>
      <w:r w:rsidRPr="00C95CD5">
        <w:t>They may be visitors to a Service-owned unit or members of the local community</w:t>
      </w:r>
      <w:r w:rsidR="00150231">
        <w:t xml:space="preserve">. </w:t>
      </w:r>
      <w:r w:rsidR="00B23918">
        <w:t xml:space="preserve"> </w:t>
      </w:r>
      <w:r w:rsidRPr="00C95CD5">
        <w:t>They may take part in non-recreational or recreational pursuits on Service-owned lands including subsistence harvest</w:t>
      </w:r>
      <w:r w:rsidR="00150231">
        <w:t xml:space="preserve">. </w:t>
      </w:r>
      <w:r w:rsidR="00B23918">
        <w:t xml:space="preserve"> </w:t>
      </w:r>
      <w:r w:rsidRPr="00C95CD5" w:rsidR="00E01D5E">
        <w:t xml:space="preserve">They may </w:t>
      </w:r>
      <w:r w:rsidRPr="00C95CD5">
        <w:t>also be members who have an interest or stake in Service management or decisions.</w:t>
      </w:r>
    </w:p>
    <w:p w:rsidRPr="00C95CD5" w:rsidR="00C95CD5" w:rsidP="00F6473A" w:rsidRDefault="00C95CD5" w14:paraId="34546AF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25975D85" w14:textId="77777777">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Information Collections Covered</w:t>
      </w:r>
    </w:p>
    <w:p w:rsidR="00984E9E" w:rsidP="00F6473A" w:rsidRDefault="00236677" w14:paraId="5B802F1F" w14:textId="01BC97D6">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We anticipate reviewing </w:t>
      </w:r>
      <w:r w:rsidRPr="00C95CD5" w:rsidR="000A6149">
        <w:t xml:space="preserve">between </w:t>
      </w:r>
      <w:r w:rsidRPr="00C95CD5" w:rsidR="00C436F1">
        <w:t>100-125</w:t>
      </w:r>
      <w:r w:rsidRPr="00C95CD5">
        <w:t xml:space="preserve"> Information Collections Requests (ICRs) over the three year duration of this clearance</w:t>
      </w:r>
      <w:r w:rsidR="00150231">
        <w:t>.</w:t>
      </w:r>
      <w:r w:rsidR="00B23918">
        <w:t xml:space="preserve"> </w:t>
      </w:r>
      <w:r w:rsidR="00150231">
        <w:t xml:space="preserve"> </w:t>
      </w:r>
      <w:r w:rsidRPr="00C95CD5">
        <w:t xml:space="preserve">The </w:t>
      </w:r>
      <w:r w:rsidRPr="00C95CD5" w:rsidR="00B779F9">
        <w:t>Service’s programmatic clearance</w:t>
      </w:r>
      <w:r w:rsidRPr="00C95CD5">
        <w:t xml:space="preserve"> would be limited to non-controversial information collections that do not attract attention to significant, </w:t>
      </w:r>
      <w:r w:rsidRPr="00C95CD5" w:rsidR="00B779F9">
        <w:t>sensitive, or political issues.</w:t>
      </w:r>
      <w:r w:rsidR="00B23918">
        <w:t xml:space="preserve"> </w:t>
      </w:r>
      <w:r w:rsidR="004451F7">
        <w:t xml:space="preserve"> </w:t>
      </w:r>
      <w:r w:rsidRPr="00C95CD5">
        <w:t xml:space="preserve">All information collection survey instruments will be designed and implemented based upon acceptable </w:t>
      </w:r>
      <w:r w:rsidRPr="00C95CD5" w:rsidR="00B779F9">
        <w:t>survey research practices, sampling methodologies and statistical analysis</w:t>
      </w:r>
      <w:r w:rsidR="00150231">
        <w:t>.</w:t>
      </w:r>
      <w:r w:rsidR="00B23918">
        <w:t xml:space="preserve"> </w:t>
      </w:r>
      <w:r w:rsidR="00150231">
        <w:t xml:space="preserve"> </w:t>
      </w:r>
      <w:r w:rsidRPr="00C95CD5" w:rsidR="00B779F9">
        <w:t xml:space="preserve">This </w:t>
      </w:r>
      <w:r w:rsidRPr="00C95CD5" w:rsidR="00CA6258">
        <w:t xml:space="preserve">requirement </w:t>
      </w:r>
      <w:r w:rsidRPr="00C95CD5" w:rsidR="00B779F9">
        <w:t xml:space="preserve">will ensure </w:t>
      </w:r>
      <w:r w:rsidRPr="00C95CD5">
        <w:t xml:space="preserve">consistent, valid data that are representative of the target populations and account for non-response bias, according to the most recent OMB guidance on </w:t>
      </w:r>
      <w:r w:rsidRPr="00C95CD5" w:rsidR="00CF3486">
        <w:t xml:space="preserve">agency survey </w:t>
      </w:r>
      <w:r w:rsidRPr="00C95CD5">
        <w:t xml:space="preserve">and </w:t>
      </w:r>
      <w:r w:rsidRPr="00C95CD5" w:rsidR="00CF3486">
        <w:t>statistical information collections</w:t>
      </w:r>
      <w:r w:rsidRPr="00C95CD5">
        <w:t>.</w:t>
      </w:r>
    </w:p>
    <w:p w:rsidRPr="00C95CD5" w:rsidR="00C95CD5" w:rsidP="00F6473A" w:rsidRDefault="00C95CD5" w14:paraId="5F9CB01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191B8D64" w14:textId="77777777">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Data Uses</w:t>
      </w:r>
    </w:p>
    <w:p w:rsidR="00984E9E" w:rsidP="00F6473A" w:rsidRDefault="00236677" w14:paraId="510BE98D" w14:textId="21E2166D">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P</w:t>
      </w:r>
      <w:r w:rsidRPr="00C95CD5" w:rsidR="00A11DD5">
        <w:t>rinciple investigators</w:t>
      </w:r>
      <w:r w:rsidRPr="00C95CD5">
        <w:t xml:space="preserve"> </w:t>
      </w:r>
      <w:r w:rsidR="004451F7">
        <w:t>will</w:t>
      </w:r>
      <w:r w:rsidRPr="00C95CD5">
        <w:t xml:space="preserve"> use these data to identify:</w:t>
      </w:r>
    </w:p>
    <w:p w:rsidRPr="00C95CD5" w:rsidR="00D94756" w:rsidP="00F6473A" w:rsidRDefault="00D94756" w14:paraId="510BB73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hanging="360"/>
      </w:pPr>
    </w:p>
    <w:p w:rsidRPr="00C95CD5" w:rsidR="00984E9E" w:rsidP="00F6473A" w:rsidRDefault="00561EEA" w14:paraId="49808F86" w14:textId="5790A8C5">
      <w:pPr>
        <w:pStyle w:val="ListParagraph"/>
        <w:numPr>
          <w:ilvl w:val="0"/>
          <w:numId w:val="17"/>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v</w:t>
      </w:r>
      <w:r w:rsidRPr="00C95CD5">
        <w:t>isitor</w:t>
      </w:r>
      <w:r w:rsidRPr="00C95CD5" w:rsidR="00FC3063">
        <w:t xml:space="preserve"> </w:t>
      </w:r>
      <w:r w:rsidRPr="00C95CD5" w:rsidR="00236677">
        <w:t>and program participant needs</w:t>
      </w:r>
      <w:r w:rsidR="00D67843">
        <w:t>;</w:t>
      </w:r>
    </w:p>
    <w:p w:rsidRPr="00C95CD5" w:rsidR="00984E9E" w:rsidP="00F6473A" w:rsidRDefault="00386A98" w14:paraId="640ED9A6" w14:textId="345333AC">
      <w:pPr>
        <w:pStyle w:val="ListParagraph"/>
        <w:numPr>
          <w:ilvl w:val="0"/>
          <w:numId w:val="17"/>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l</w:t>
      </w:r>
      <w:r w:rsidRPr="00C95CD5" w:rsidR="00FC3063">
        <w:t xml:space="preserve">evels </w:t>
      </w:r>
      <w:r w:rsidRPr="00C95CD5" w:rsidR="00236677">
        <w:t>of understanding and knowledge</w:t>
      </w:r>
      <w:r w:rsidR="00D67843">
        <w:t>;</w:t>
      </w:r>
    </w:p>
    <w:p w:rsidRPr="00C95CD5" w:rsidR="00984E9E" w:rsidP="00F6473A" w:rsidRDefault="00386A98" w14:paraId="28C0AA92" w14:textId="24831BB3">
      <w:pPr>
        <w:pStyle w:val="ListParagraph"/>
        <w:numPr>
          <w:ilvl w:val="0"/>
          <w:numId w:val="17"/>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i</w:t>
      </w:r>
      <w:r w:rsidRPr="00C95CD5" w:rsidR="00FC3063">
        <w:t xml:space="preserve">deas </w:t>
      </w:r>
      <w:r w:rsidRPr="00C95CD5" w:rsidR="00236677">
        <w:t>or suggestions for improvement to activities, programs, and/or management</w:t>
      </w:r>
      <w:r w:rsidR="00D67843">
        <w:t>;</w:t>
      </w:r>
    </w:p>
    <w:p w:rsidRPr="00C95CD5" w:rsidR="00984E9E" w:rsidP="00F6473A" w:rsidRDefault="00386A98" w14:paraId="025C60C9" w14:textId="6BF2BDBA">
      <w:pPr>
        <w:pStyle w:val="ListParagraph"/>
        <w:numPr>
          <w:ilvl w:val="0"/>
          <w:numId w:val="17"/>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b</w:t>
      </w:r>
      <w:r w:rsidRPr="00C95CD5" w:rsidR="00FC3063">
        <w:t xml:space="preserve">arriers </w:t>
      </w:r>
      <w:r w:rsidRPr="00C95CD5" w:rsidR="00236677">
        <w:t>and constraints to achieving customer service standards</w:t>
      </w:r>
      <w:r w:rsidR="00D67843">
        <w:t>;</w:t>
      </w:r>
    </w:p>
    <w:p w:rsidRPr="00C95CD5" w:rsidR="00984E9E" w:rsidP="00F6473A" w:rsidRDefault="00386A98" w14:paraId="2CF9A5E9" w14:textId="1DF984EF">
      <w:pPr>
        <w:pStyle w:val="ListParagraph"/>
        <w:numPr>
          <w:ilvl w:val="0"/>
          <w:numId w:val="17"/>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p</w:t>
      </w:r>
      <w:r w:rsidRPr="00C95CD5" w:rsidR="00FC3063">
        <w:t xml:space="preserve">erceptions </w:t>
      </w:r>
      <w:r w:rsidRPr="00C95CD5" w:rsidR="00236677">
        <w:t>and values</w:t>
      </w:r>
      <w:r w:rsidR="00D67843">
        <w:t>;</w:t>
      </w:r>
    </w:p>
    <w:p w:rsidRPr="00C95CD5" w:rsidR="00984E9E" w:rsidP="00F6473A" w:rsidRDefault="00386A98" w14:paraId="005E998B" w14:textId="60D33B77">
      <w:pPr>
        <w:pStyle w:val="ListParagraph"/>
        <w:numPr>
          <w:ilvl w:val="0"/>
          <w:numId w:val="17"/>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b</w:t>
      </w:r>
      <w:r w:rsidRPr="00C95CD5" w:rsidR="00FC3063">
        <w:t xml:space="preserve">aseline </w:t>
      </w:r>
      <w:r w:rsidRPr="00C95CD5" w:rsidR="00236677">
        <w:t>measurements to observe changes over time</w:t>
      </w:r>
      <w:r w:rsidR="00D67843">
        <w:t>; and</w:t>
      </w:r>
    </w:p>
    <w:p w:rsidRPr="007C3160" w:rsidR="00984E9E" w:rsidP="00F6473A" w:rsidRDefault="00386A98" w14:paraId="48350EF6" w14:textId="3C9400A6">
      <w:pPr>
        <w:pStyle w:val="ListParagraph"/>
        <w:numPr>
          <w:ilvl w:val="0"/>
          <w:numId w:val="17"/>
        </w:num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i/>
        </w:rPr>
      </w:pPr>
      <w:r>
        <w:t>s</w:t>
      </w:r>
      <w:r w:rsidRPr="00C95CD5" w:rsidR="00FC3063">
        <w:t xml:space="preserve">pending </w:t>
      </w:r>
      <w:r w:rsidRPr="00C95CD5" w:rsidR="00236677">
        <w:t>behaviors</w:t>
      </w:r>
      <w:r w:rsidR="00D67843">
        <w:t>.</w:t>
      </w:r>
    </w:p>
    <w:p w:rsidRPr="00C95CD5" w:rsidR="00745410" w:rsidP="00F6473A" w:rsidRDefault="00745410" w14:paraId="368BC65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2B43D636"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3.</w:t>
      </w:r>
      <w:r w:rsidRPr="00C95CD5">
        <w:tab/>
      </w:r>
      <w:r w:rsidRPr="005E1689" w:rsidR="005E168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50231">
        <w:t xml:space="preserve">. </w:t>
      </w:r>
      <w:r w:rsidRPr="005E1689" w:rsidR="005E1689">
        <w:t xml:space="preserve">Also </w:t>
      </w:r>
      <w:r w:rsidRPr="005E1689" w:rsidR="005E1689">
        <w:lastRenderedPageBreak/>
        <w:t>describe any consideration of using information technology to reduce burden and specifically how this collection meets GPEA requirements.</w:t>
      </w:r>
    </w:p>
    <w:p w:rsidR="00C95CD5" w:rsidP="00F6473A" w:rsidRDefault="00C95CD5" w14:paraId="647DA5B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434B3DFD" w14:textId="15B2A9F6">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As noted in the Information Collection section above, if appropriate and feasible, </w:t>
      </w:r>
      <w:r w:rsidR="00613043">
        <w:t>the Service</w:t>
      </w:r>
      <w:r w:rsidRPr="00C95CD5">
        <w:t xml:space="preserve"> will collect information electronically to reduce burden and cost</w:t>
      </w:r>
      <w:r w:rsidR="00150231">
        <w:t xml:space="preserve">. </w:t>
      </w:r>
      <w:r w:rsidR="00A468E5">
        <w:t xml:space="preserve"> </w:t>
      </w:r>
      <w:r w:rsidRPr="00C95CD5">
        <w:t>When ICRs have not addressed this issue</w:t>
      </w:r>
      <w:r w:rsidR="00D94756">
        <w:t>,</w:t>
      </w:r>
      <w:r w:rsidRPr="00C95CD5">
        <w:t xml:space="preserve"> the ICR Coordinator may recommend such adaptations to collection methods. </w:t>
      </w:r>
    </w:p>
    <w:p w:rsidRPr="00C95CD5" w:rsidR="00984E9E" w:rsidP="00F6473A" w:rsidRDefault="00984E9E" w14:paraId="3895EAF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6A635686"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4.</w:t>
      </w:r>
      <w:r w:rsidRPr="00C95CD5">
        <w:tab/>
      </w:r>
      <w:r w:rsidRPr="005E1689" w:rsidR="005E1689">
        <w:t>Describe efforts to identify duplication</w:t>
      </w:r>
      <w:r w:rsidR="00150231">
        <w:t xml:space="preserve">. </w:t>
      </w:r>
      <w:r w:rsidRPr="005E1689" w:rsidR="005E1689">
        <w:t>Show specifically why any similar information already available cannot be used or modified for use for the purposes described in Item 2 above</w:t>
      </w:r>
      <w:r w:rsidR="00150231">
        <w:t xml:space="preserve">. </w:t>
      </w:r>
    </w:p>
    <w:p w:rsidR="00C95CD5" w:rsidP="00F6473A" w:rsidRDefault="00C95CD5" w14:paraId="7FFB423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6529567B" w14:textId="05370C7D">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This programmatic clearance seeks to reduce duplication through increased collaboration and coordination across the Service</w:t>
      </w:r>
      <w:r w:rsidR="00150231">
        <w:t xml:space="preserve">. </w:t>
      </w:r>
      <w:r w:rsidR="00A468E5">
        <w:t xml:space="preserve"> </w:t>
      </w:r>
      <w:r w:rsidRPr="00C95CD5">
        <w:t>As the Control Office for this clearance, we can recommend standardize</w:t>
      </w:r>
      <w:r w:rsidRPr="00C95CD5" w:rsidR="00EE52D8">
        <w:t>d</w:t>
      </w:r>
      <w:r w:rsidRPr="00C95CD5">
        <w:t xml:space="preserve"> survey instruments and protocols to speed IC processes</w:t>
      </w:r>
      <w:r w:rsidR="00150231">
        <w:t xml:space="preserve">. </w:t>
      </w:r>
      <w:r w:rsidR="00A468E5">
        <w:t xml:space="preserve"> </w:t>
      </w:r>
      <w:r w:rsidRPr="00C95CD5">
        <w:t xml:space="preserve">The ICR Coordinator would be sensitive to any duplication of efforts </w:t>
      </w:r>
      <w:r w:rsidRPr="00C95CD5" w:rsidR="00621EAB">
        <w:t>conducted</w:t>
      </w:r>
      <w:r w:rsidRPr="00C95CD5">
        <w:t xml:space="preserve"> by other entities</w:t>
      </w:r>
      <w:r w:rsidR="00150231">
        <w:t xml:space="preserve">. </w:t>
      </w:r>
      <w:r w:rsidR="00A468E5">
        <w:t xml:space="preserve"> </w:t>
      </w:r>
      <w:r w:rsidR="006655D8">
        <w:t>We will examine an</w:t>
      </w:r>
      <w:r w:rsidRPr="00C95CD5">
        <w:t xml:space="preserve">y possible duplication during the technical and administrative review of individual submissions. </w:t>
      </w:r>
    </w:p>
    <w:p w:rsidRPr="00C95CD5" w:rsidR="00984E9E" w:rsidP="00F6473A" w:rsidRDefault="00984E9E" w14:paraId="7DE7A69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3AEEDD00"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5.</w:t>
      </w:r>
      <w:r w:rsidRPr="00C95CD5">
        <w:tab/>
      </w:r>
      <w:r w:rsidRPr="005E1689" w:rsidR="005E1689">
        <w:t>If the collection of information impacts small businesses or other small entities, describe any methods used to minimize burden.</w:t>
      </w:r>
    </w:p>
    <w:p w:rsidR="00C95CD5" w:rsidP="00F6473A" w:rsidRDefault="00C95CD5" w14:paraId="78A1236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EE52D8" w14:paraId="58D962BE" w14:textId="6B3E1481">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A significant advantage of a programmatic clearance is to gather information without putting additional burden on small </w:t>
      </w:r>
      <w:r w:rsidR="002359D7">
        <w:t xml:space="preserve">businesses or </w:t>
      </w:r>
      <w:r w:rsidRPr="00C95CD5">
        <w:t>entities</w:t>
      </w:r>
      <w:r w:rsidR="00150231">
        <w:t xml:space="preserve">. </w:t>
      </w:r>
      <w:r w:rsidR="00A468E5">
        <w:t xml:space="preserve"> </w:t>
      </w:r>
      <w:r w:rsidRPr="00C95CD5" w:rsidR="00236677">
        <w:t>Small businesses or other small entities may be included in sampling frames for some surveys</w:t>
      </w:r>
      <w:r w:rsidR="00150231">
        <w:t xml:space="preserve">. </w:t>
      </w:r>
      <w:r w:rsidR="00A468E5">
        <w:t xml:space="preserve"> </w:t>
      </w:r>
      <w:r w:rsidRPr="00C95CD5" w:rsidR="00236677">
        <w:t>When designing the surveys, researchers will be sensitive to respondent burden and will seek to collect the required information using the fewest possible questions</w:t>
      </w:r>
      <w:r w:rsidR="00150231">
        <w:t xml:space="preserve">. </w:t>
      </w:r>
      <w:r w:rsidR="00A468E5">
        <w:t xml:space="preserve"> </w:t>
      </w:r>
      <w:r w:rsidRPr="00C95CD5" w:rsidR="00236677">
        <w:t xml:space="preserve">As appropriate, </w:t>
      </w:r>
      <w:r w:rsidR="006655D8">
        <w:t xml:space="preserve">we will utilize </w:t>
      </w:r>
      <w:r w:rsidRPr="00C95CD5" w:rsidR="00236677">
        <w:t>electronic collection methods to reduce respondent burden</w:t>
      </w:r>
      <w:r w:rsidR="00360FA7">
        <w:t>.</w:t>
      </w:r>
    </w:p>
    <w:p w:rsidRPr="00C95CD5" w:rsidR="00984E9E" w:rsidP="00F6473A" w:rsidRDefault="00984E9E" w14:paraId="26ADF1F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7A282329"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6.</w:t>
      </w:r>
      <w:r w:rsidRPr="00C95CD5">
        <w:tab/>
      </w:r>
      <w:r w:rsidRPr="005E1689" w:rsidR="005E1689">
        <w:t>Describe the consequence to Federal program or policy activities if the collection is not conducted or is conducted less frequently, as well as any technical or legal obstacles to reducing burden.</w:t>
      </w:r>
    </w:p>
    <w:p w:rsidR="00C95CD5" w:rsidP="00F6473A" w:rsidRDefault="00C95CD5" w14:paraId="70D9CFF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84E9E" w:rsidP="00F6473A" w:rsidRDefault="00236677" w14:paraId="6F0BD1C7" w14:textId="0F01A8DE">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The U.S. population continues to grow, as does the public’s use demands on its public lands</w:t>
      </w:r>
      <w:r w:rsidR="00150231">
        <w:t xml:space="preserve">. </w:t>
      </w:r>
      <w:r w:rsidRPr="00C95CD5">
        <w:t xml:space="preserve">Understanding public conservation beliefs, expectations, and use patterns </w:t>
      </w:r>
      <w:r w:rsidRPr="00C95CD5" w:rsidR="00033FD6">
        <w:t>aids</w:t>
      </w:r>
      <w:r w:rsidRPr="00C95CD5">
        <w:t xml:space="preserve"> managers and staff at the local, regional, and national level</w:t>
      </w:r>
      <w:r w:rsidR="00150231">
        <w:t xml:space="preserve">. </w:t>
      </w:r>
      <w:r w:rsidR="00A468E5">
        <w:t xml:space="preserve"> </w:t>
      </w:r>
      <w:r w:rsidRPr="00C95CD5">
        <w:t xml:space="preserve">For the Service, these inputs are integral to </w:t>
      </w:r>
      <w:r w:rsidR="004451F7">
        <w:t>effective conservation and addressing our trust responsibilities.</w:t>
      </w:r>
      <w:r w:rsidR="00A468E5">
        <w:t xml:space="preserve"> </w:t>
      </w:r>
      <w:r w:rsidR="004451F7">
        <w:t xml:space="preserve"> </w:t>
      </w:r>
      <w:r w:rsidRPr="00C95CD5">
        <w:t xml:space="preserve">This </w:t>
      </w:r>
      <w:r w:rsidRPr="00C95CD5" w:rsidR="00033FD6">
        <w:t>p</w:t>
      </w:r>
      <w:r w:rsidRPr="00C95CD5">
        <w:t xml:space="preserve">rogrammatic </w:t>
      </w:r>
      <w:r w:rsidRPr="00C95CD5" w:rsidR="00033FD6">
        <w:t>c</w:t>
      </w:r>
      <w:r w:rsidRPr="00C95CD5">
        <w:t xml:space="preserve">learance </w:t>
      </w:r>
      <w:r w:rsidRPr="00C95CD5" w:rsidR="00033FD6">
        <w:t>would simplify and streamline</w:t>
      </w:r>
      <w:r w:rsidRPr="00C95CD5">
        <w:t xml:space="preserve"> the information collection requests to OMB in a manner that </w:t>
      </w:r>
      <w:r w:rsidRPr="00C95CD5" w:rsidR="00990D8B">
        <w:t>will allow</w:t>
      </w:r>
      <w:r w:rsidRPr="00C95CD5">
        <w:t xml:space="preserve"> the Refuge System </w:t>
      </w:r>
      <w:r w:rsidRPr="00C95CD5" w:rsidR="002D5F25">
        <w:t xml:space="preserve">and other Service programs </w:t>
      </w:r>
      <w:r w:rsidRPr="00C95CD5">
        <w:t xml:space="preserve">to submit more requests per year than </w:t>
      </w:r>
      <w:r w:rsidRPr="00C95CD5" w:rsidR="00033FD6">
        <w:t>would occur</w:t>
      </w:r>
      <w:r w:rsidRPr="00C95CD5">
        <w:t xml:space="preserve"> through the regular submission route</w:t>
      </w:r>
      <w:r w:rsidR="00150231">
        <w:t xml:space="preserve">. </w:t>
      </w:r>
      <w:r w:rsidR="00360FA7">
        <w:t xml:space="preserve"> </w:t>
      </w:r>
      <w:r w:rsidRPr="00C95CD5">
        <w:t>Surveys are reviewed and approved expeditious</w:t>
      </w:r>
      <w:r w:rsidRPr="00C95CD5" w:rsidR="00B67376">
        <w:t>ly,</w:t>
      </w:r>
      <w:r w:rsidRPr="00C95CD5">
        <w:t xml:space="preserve"> allowing data collections to occur more frequently and in a timely manner – more specifically during the visitation season of interest</w:t>
      </w:r>
      <w:r w:rsidR="00150231">
        <w:t>.</w:t>
      </w:r>
      <w:r w:rsidR="00360FA7">
        <w:t xml:space="preserve"> </w:t>
      </w:r>
      <w:r w:rsidR="00150231">
        <w:t xml:space="preserve"> </w:t>
      </w:r>
      <w:r w:rsidRPr="00C95CD5">
        <w:t>Without these ex</w:t>
      </w:r>
      <w:r w:rsidRPr="00C95CD5" w:rsidR="00DD65EC">
        <w:t>pedited information collections</w:t>
      </w:r>
      <w:r w:rsidRPr="00C95CD5">
        <w:t xml:space="preserve"> the public will be denied the opportunity for </w:t>
      </w:r>
      <w:r w:rsidRPr="00C95CD5" w:rsidR="00DD65EC">
        <w:t>timely</w:t>
      </w:r>
      <w:r w:rsidRPr="00C95CD5">
        <w:t xml:space="preserve"> input into management plans, </w:t>
      </w:r>
      <w:r w:rsidR="004451F7">
        <w:t xml:space="preserve">and the Service will not be able to respond nimbly to needs of the American public. </w:t>
      </w:r>
    </w:p>
    <w:p w:rsidRPr="00C95CD5" w:rsidR="00C95CD5" w:rsidP="00F6473A" w:rsidRDefault="00C95CD5" w14:paraId="337BAF29"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B50214" w:rsidR="005E1689" w:rsidP="00F6473A" w:rsidRDefault="00236677" w14:paraId="2AFB9914"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7.</w:t>
      </w:r>
      <w:r w:rsidRPr="00C95CD5">
        <w:tab/>
      </w:r>
      <w:r w:rsidRPr="00B50214" w:rsidR="005E1689">
        <w:t>Explain any special circumstances that would cause an information collection to be conducted in a manner:</w:t>
      </w:r>
    </w:p>
    <w:p w:rsidRPr="007C3160" w:rsidR="005E1689" w:rsidP="00F6473A" w:rsidRDefault="007C3160" w14:paraId="112C5E4C"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sidR="005E1689">
        <w:rPr>
          <w:b/>
        </w:rPr>
        <w:t>requiring respondents to report information to the agency more often than quarterly;</w:t>
      </w:r>
    </w:p>
    <w:p w:rsidRPr="007C3160" w:rsidR="005E1689" w:rsidP="00F6473A" w:rsidRDefault="007C3160" w14:paraId="6E2A4EC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sidR="005E1689">
        <w:rPr>
          <w:b/>
        </w:rPr>
        <w:t>requiring respondents to prepare a written response to a collection of information in fewer than 30 days after receipt of it;</w:t>
      </w:r>
    </w:p>
    <w:p w:rsidRPr="007C3160" w:rsidR="005E1689" w:rsidP="00F6473A" w:rsidRDefault="007C3160" w14:paraId="681CA82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sidR="005E1689">
        <w:rPr>
          <w:b/>
        </w:rPr>
        <w:t xml:space="preserve">requiring respondents to submit more than an original and two copies of any </w:t>
      </w:r>
      <w:r w:rsidRPr="007C3160" w:rsidR="005E1689">
        <w:rPr>
          <w:b/>
        </w:rPr>
        <w:lastRenderedPageBreak/>
        <w:t>document;</w:t>
      </w:r>
    </w:p>
    <w:p w:rsidRPr="007C3160" w:rsidR="005E1689" w:rsidP="00F6473A" w:rsidRDefault="007C3160" w14:paraId="2E6B5F7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sidR="005E1689">
        <w:rPr>
          <w:b/>
        </w:rPr>
        <w:t>requiring respondents to retain records, other than health, medical, government contract, grant-in-aid, or tax records, for more than three years;</w:t>
      </w:r>
    </w:p>
    <w:p w:rsidRPr="007C3160" w:rsidR="005E1689" w:rsidP="00F6473A" w:rsidRDefault="007C3160" w14:paraId="683B4C9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sidR="005E1689">
        <w:rPr>
          <w:b/>
        </w:rPr>
        <w:t>in connection with a statistical survey that is not designed to produce valid and reliable results that can be generalized to the universe of study;</w:t>
      </w:r>
    </w:p>
    <w:p w:rsidRPr="007C3160" w:rsidR="005E1689" w:rsidP="00F6473A" w:rsidRDefault="005E1689" w14:paraId="45F7668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Pr>
          <w:b/>
        </w:rPr>
        <w:t>requiring the use of a statistical data classification that has not been reviewed and approved by OMB;</w:t>
      </w:r>
    </w:p>
    <w:p w:rsidRPr="007C3160" w:rsidR="005E1689" w:rsidP="00F6473A" w:rsidRDefault="005E1689" w14:paraId="3F24F8B3"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95CD5" w:rsidR="00984E9E" w:rsidP="00F6473A" w:rsidRDefault="005E1689" w14:paraId="0865B29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pPr>
      <w:r w:rsidRPr="007C3160">
        <w:rPr>
          <w:b/>
        </w:rPr>
        <w:t>*</w:t>
      </w:r>
      <w:r w:rsidR="002B28AC">
        <w:rPr>
          <w:b/>
        </w:rPr>
        <w:tab/>
      </w:r>
      <w:r w:rsidRPr="007C3160">
        <w:rPr>
          <w:b/>
        </w:rPr>
        <w:t>requiring respondents to submit proprietary trade secrets, or other confidential information, unless the agency can demonstrate that it has instituted procedures to protect the information's confidentiality to the extent permitted by law.</w:t>
      </w:r>
    </w:p>
    <w:p w:rsidR="00C95CD5" w:rsidP="00F6473A" w:rsidRDefault="00C95CD5" w14:paraId="4080E9E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1A5919" w:rsidP="00F6473A" w:rsidRDefault="001A5919" w14:paraId="426450B2" w14:textId="0758F384">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This request contains no special circumstances with respect to 5 CFR 1320.5 (2) (i) and (iii-viii) with the exception of (ii). </w:t>
      </w:r>
      <w:r w:rsidR="00360FA7">
        <w:t xml:space="preserve"> </w:t>
      </w:r>
      <w:r w:rsidRPr="00C95CD5">
        <w:t>We may be asking respondents to send back their responses in fewer than 30 days after receipt of the survey</w:t>
      </w:r>
      <w:r>
        <w:t>, which is common practice to ensure a reasonable and representative response rate</w:t>
      </w:r>
      <w:r w:rsidRPr="00C95CD5">
        <w:t xml:space="preserve">. </w:t>
      </w:r>
      <w:r w:rsidR="00360FA7">
        <w:t xml:space="preserve"> </w:t>
      </w:r>
      <w:r w:rsidRPr="00C95CD5">
        <w:t>There are no other circumstances that require the</w:t>
      </w:r>
      <w:r w:rsidR="006655D8">
        <w:t xml:space="preserve"> collection of</w:t>
      </w:r>
      <w:r w:rsidRPr="00C95CD5">
        <w:t xml:space="preserve"> information in a manner inconsistent with OMB guidelines.</w:t>
      </w:r>
    </w:p>
    <w:p w:rsidRPr="00C95CD5" w:rsidR="00745410" w:rsidP="00F6473A" w:rsidRDefault="00745410" w14:paraId="0835127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5E1689" w:rsidR="005E1689" w:rsidP="00F6473A" w:rsidRDefault="00236677" w14:paraId="771213E7"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8.</w:t>
      </w:r>
      <w:r w:rsidRPr="00C95CD5">
        <w:tab/>
      </w:r>
      <w:r w:rsidRPr="005E1689" w:rsidR="005E1689">
        <w:t>If applicable, provide a copy and identify the date and page number of publication in the Federal Register of the agency's notice, required by 5 CFR 1320.8(d), soliciting comments on the information collection prior to submission to OMB</w:t>
      </w:r>
      <w:r w:rsidR="00150231">
        <w:t xml:space="preserve">. </w:t>
      </w:r>
      <w:r w:rsidRPr="005E1689" w:rsidR="005E1689">
        <w:t>Summarize public comments received in response to that notice and in response to the PRA statement associated with the collection over the past three years, and describe actions taken by the agency in response to these comments</w:t>
      </w:r>
      <w:r w:rsidR="00150231">
        <w:t xml:space="preserve">. </w:t>
      </w:r>
      <w:r w:rsidRPr="005E1689" w:rsidR="005E1689">
        <w:t>Specifically address comments received on cost and hour burden.</w:t>
      </w:r>
    </w:p>
    <w:p w:rsidRPr="003F7334" w:rsidR="005E1689" w:rsidP="00F6473A" w:rsidRDefault="005E1689" w14:paraId="0B92795C"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b/>
        </w:rPr>
      </w:pPr>
    </w:p>
    <w:p w:rsidRPr="003F7334" w:rsidR="005E1689" w:rsidP="00F6473A" w:rsidRDefault="005E1689" w14:paraId="0D467C6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b/>
        </w:rPr>
      </w:pPr>
      <w:r w:rsidRPr="003F733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F7334" w:rsidR="005E1689" w:rsidP="00F6473A" w:rsidRDefault="005E1689" w14:paraId="641EC41E"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b/>
        </w:rPr>
      </w:pPr>
    </w:p>
    <w:p w:rsidRPr="003F7334" w:rsidR="00984E9E" w:rsidP="00F6473A" w:rsidRDefault="005E1689" w14:paraId="0B56B12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b/>
        </w:rPr>
      </w:pPr>
      <w:r w:rsidRPr="003F7334">
        <w:rPr>
          <w:b/>
        </w:rPr>
        <w:t>Consultation with representatives of those from whom information is to be obtained or those who must compile records should occur at least once every three years — even if the collection of information activity is the same as in prior periods</w:t>
      </w:r>
      <w:r w:rsidRPr="003F7334" w:rsidR="00150231">
        <w:rPr>
          <w:b/>
        </w:rPr>
        <w:t xml:space="preserve">. </w:t>
      </w:r>
      <w:r w:rsidRPr="003F7334">
        <w:rPr>
          <w:b/>
        </w:rPr>
        <w:t>There may be circumstances that may preclude consultation in a specific situation</w:t>
      </w:r>
      <w:r w:rsidRPr="003F7334" w:rsidR="00150231">
        <w:rPr>
          <w:b/>
        </w:rPr>
        <w:t xml:space="preserve">. </w:t>
      </w:r>
      <w:r w:rsidRPr="003F7334">
        <w:rPr>
          <w:b/>
        </w:rPr>
        <w:t>These circumstances should be explained.</w:t>
      </w:r>
      <w:r w:rsidRPr="003F7334" w:rsidR="00236677">
        <w:rPr>
          <w:b/>
        </w:rPr>
        <w:t xml:space="preserve"> </w:t>
      </w:r>
    </w:p>
    <w:p w:rsidR="00C95CD5" w:rsidP="00F6473A" w:rsidRDefault="00C95CD5" w14:paraId="17D7017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A7109" w:rsidR="00CA7109" w:rsidP="00F6473A" w:rsidRDefault="00225A5C" w14:paraId="0575E657" w14:textId="62DE35DA">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right="186"/>
        <w:rPr>
          <w:rFonts w:eastAsia="Arial"/>
          <w:color w:val="auto"/>
        </w:rPr>
      </w:pPr>
      <w:r w:rsidRPr="00FA1867">
        <w:t xml:space="preserve">On </w:t>
      </w:r>
      <w:r w:rsidR="000823EE">
        <w:t>April 17, 2020</w:t>
      </w:r>
      <w:r w:rsidRPr="00FA1867">
        <w:t xml:space="preserve">, we published in the Federal Register </w:t>
      </w:r>
      <w:r w:rsidRPr="002A4811">
        <w:t>(</w:t>
      </w:r>
      <w:hyperlink w:history="1" r:id="rId17">
        <w:r w:rsidRPr="00215544" w:rsidR="002A4811">
          <w:rPr>
            <w:rStyle w:val="Hyperlink"/>
          </w:rPr>
          <w:t>85 FR 21450</w:t>
        </w:r>
      </w:hyperlink>
      <w:r w:rsidRPr="00FA1867">
        <w:t>) a notice of our intent to request that OMB approve this information collection</w:t>
      </w:r>
      <w:r w:rsidR="00150231">
        <w:t>.</w:t>
      </w:r>
      <w:r w:rsidR="00810817">
        <w:t xml:space="preserve"> </w:t>
      </w:r>
      <w:r w:rsidR="00150231">
        <w:t xml:space="preserve"> </w:t>
      </w:r>
      <w:r w:rsidRPr="00FA1867">
        <w:t xml:space="preserve">In that notice, we solicited comments for 60 days, ending on </w:t>
      </w:r>
      <w:r w:rsidR="002A4811">
        <w:t>June 16, 2020</w:t>
      </w:r>
      <w:r w:rsidR="00150231">
        <w:t>.</w:t>
      </w:r>
      <w:r w:rsidR="00810817">
        <w:t xml:space="preserve"> </w:t>
      </w:r>
      <w:r w:rsidR="00150231">
        <w:t xml:space="preserve"> </w:t>
      </w:r>
      <w:r w:rsidRPr="00CA7109" w:rsidR="00CA7109">
        <w:rPr>
          <w:rFonts w:eastAsia="Arial"/>
          <w:color w:val="auto"/>
        </w:rPr>
        <w:t xml:space="preserve">We </w:t>
      </w:r>
      <w:r w:rsidRPr="00810817" w:rsidR="00CA7109">
        <w:rPr>
          <w:rFonts w:eastAsia="Arial"/>
          <w:color w:val="auto"/>
        </w:rPr>
        <w:t>did not receive any comments</w:t>
      </w:r>
      <w:r w:rsidR="00810817">
        <w:rPr>
          <w:rFonts w:eastAsia="Arial"/>
          <w:color w:val="auto"/>
        </w:rPr>
        <w:t xml:space="preserve"> in response to that notice.</w:t>
      </w:r>
    </w:p>
    <w:p w:rsidRPr="00CA7109" w:rsidR="00CA7109" w:rsidP="00F6473A" w:rsidRDefault="00CA7109" w14:paraId="4547C062" w14:textId="1CBB7C26">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autoSpaceDE w:val="0"/>
        <w:autoSpaceDN w:val="0"/>
        <w:ind w:right="186"/>
        <w:rPr>
          <w:rFonts w:eastAsia="Arial"/>
          <w:color w:val="auto"/>
        </w:rPr>
      </w:pPr>
    </w:p>
    <w:p w:rsidRPr="00DF0F1F" w:rsidR="00DF0F1F" w:rsidP="00F6473A" w:rsidRDefault="00DF0F1F" w14:paraId="78161D54" w14:textId="77777777">
      <w:pPr>
        <w:pStyle w:val="Heading2"/>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Outside Agency Peer Review</w:t>
      </w:r>
      <w:r w:rsidRPr="00DF0F1F">
        <w:t xml:space="preserve"> Comments and Actions Taken to Address Comments.</w:t>
      </w:r>
    </w:p>
    <w:p w:rsidR="00AA49AB" w:rsidP="00F6473A" w:rsidRDefault="00AA49AB" w14:paraId="6F0A488A" w14:textId="2AA68A5A">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762C3">
        <w:t xml:space="preserve">In addition to the Federal Register Notice, </w:t>
      </w:r>
      <w:r w:rsidR="001162EB">
        <w:t>peer review sessions by</w:t>
      </w:r>
      <w:r w:rsidR="00331B57">
        <w:t xml:space="preserve"> the </w:t>
      </w:r>
      <w:r w:rsidR="00EC66AE">
        <w:t>four</w:t>
      </w:r>
      <w:r w:rsidRPr="00C762C3">
        <w:t xml:space="preserve"> (</w:t>
      </w:r>
      <w:r w:rsidR="00EC66AE">
        <w:t>4</w:t>
      </w:r>
      <w:r w:rsidRPr="00C762C3">
        <w:t xml:space="preserve">) individuals </w:t>
      </w:r>
      <w:r w:rsidR="00331B57">
        <w:t xml:space="preserve">identified below who are </w:t>
      </w:r>
      <w:r w:rsidRPr="00C762C3">
        <w:t xml:space="preserve">familiar with this collection of information </w:t>
      </w:r>
      <w:r w:rsidR="001162EB">
        <w:t xml:space="preserve">were conducted </w:t>
      </w:r>
      <w:r w:rsidRPr="00C762C3">
        <w:t>in order to validate our time burden estimate and asked for co</w:t>
      </w:r>
      <w:r w:rsidR="00386A98">
        <w:t>mments on the questions below:</w:t>
      </w:r>
    </w:p>
    <w:p w:rsidR="00331B57" w:rsidP="00F6473A" w:rsidRDefault="00331B57" w14:paraId="52166833" w14:textId="556BF19E">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331B57" w:rsidR="00331B57" w:rsidP="00F6473A" w:rsidRDefault="00331B57" w14:paraId="024403F6" w14:textId="4CFA1159">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630"/>
        <w:rPr>
          <w:b/>
          <w:u w:val="single"/>
        </w:rPr>
      </w:pPr>
      <w:r>
        <w:rPr>
          <w:b/>
          <w:u w:val="single"/>
        </w:rPr>
        <w:lastRenderedPageBreak/>
        <w:t>Position</w:t>
      </w:r>
      <w:r>
        <w:rPr>
          <w:b/>
          <w:u w:val="single"/>
        </w:rPr>
        <w:tab/>
      </w:r>
      <w:r>
        <w:rPr>
          <w:b/>
          <w:u w:val="single"/>
        </w:rPr>
        <w:tab/>
      </w:r>
      <w:r>
        <w:rPr>
          <w:b/>
          <w:u w:val="single"/>
        </w:rPr>
        <w:tab/>
      </w:r>
      <w:r>
        <w:rPr>
          <w:b/>
          <w:u w:val="single"/>
        </w:rPr>
        <w:tab/>
        <w:t>Organization</w:t>
      </w:r>
    </w:p>
    <w:p w:rsidR="00331B57" w:rsidP="00F6473A" w:rsidRDefault="00331B57" w14:paraId="0B321E61" w14:textId="49DB6F2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630"/>
      </w:pPr>
      <w:r>
        <w:t>Assistant Professor</w:t>
      </w:r>
      <w:r>
        <w:tab/>
        <w:t>Virginia Tech</w:t>
      </w:r>
    </w:p>
    <w:p w:rsidR="00331B57" w:rsidP="00F6473A" w:rsidRDefault="00331B57" w14:paraId="1CC436CC" w14:textId="4154B4F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630"/>
      </w:pPr>
      <w:r>
        <w:t>Assistant Professor</w:t>
      </w:r>
      <w:r>
        <w:tab/>
        <w:t>Ohio State University</w:t>
      </w:r>
    </w:p>
    <w:p w:rsidR="00331B57" w:rsidP="00F6473A" w:rsidRDefault="00331B57" w14:paraId="2E76F57F" w14:textId="0279493B">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630"/>
      </w:pPr>
      <w:r>
        <w:t>Assistant Professor</w:t>
      </w:r>
      <w:r>
        <w:tab/>
        <w:t>Pennsylvania State University</w:t>
      </w:r>
    </w:p>
    <w:p w:rsidRPr="00C762C3" w:rsidR="00331B57" w:rsidP="00F6473A" w:rsidRDefault="00331B57" w14:paraId="29211118" w14:textId="2713C3A6">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630"/>
      </w:pPr>
      <w:r>
        <w:t>Senior Director</w:t>
      </w:r>
      <w:r>
        <w:tab/>
      </w:r>
      <w:r>
        <w:tab/>
      </w:r>
      <w:r>
        <w:tab/>
        <w:t>Resource Systems Group, Inc.</w:t>
      </w:r>
    </w:p>
    <w:p w:rsidRPr="00C762C3" w:rsidR="00AA49AB" w:rsidP="00F6473A" w:rsidRDefault="00AA49AB" w14:paraId="788DCC3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762C3" w:rsidR="00AA49AB" w:rsidP="00F6473A" w:rsidRDefault="00AA49AB" w14:paraId="72E0645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b/>
          <w:i/>
        </w:rPr>
      </w:pPr>
      <w:r w:rsidRPr="00C762C3">
        <w:t>“</w:t>
      </w:r>
      <w:r w:rsidRPr="00C762C3">
        <w:rPr>
          <w:b/>
          <w:i/>
        </w:rPr>
        <w:t>Whether or not the collection of information is necessary, including whether or not the information will have practical utility; whether there are any questions they felt were unnecessary”</w:t>
      </w:r>
    </w:p>
    <w:p w:rsidRPr="00C762C3" w:rsidR="00AA49AB" w:rsidP="00F6473A" w:rsidRDefault="00AA49AB" w14:paraId="25777D3C"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762C3" w:rsidR="00AA49AB" w:rsidP="000823EE" w:rsidRDefault="00AA49AB" w14:paraId="740C2FD9" w14:textId="47139201">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sidRPr="00C762C3">
        <w:rPr>
          <w:i/>
          <w:u w:val="single"/>
        </w:rPr>
        <w:t>Comments</w:t>
      </w:r>
      <w:r w:rsidRPr="00C762C3">
        <w:rPr>
          <w:i/>
        </w:rPr>
        <w:t>:</w:t>
      </w:r>
      <w:r w:rsidR="000823EE">
        <w:t xml:space="preserve">  </w:t>
      </w:r>
      <w:r w:rsidR="00EC66AE">
        <w:t>All r</w:t>
      </w:r>
      <w:r w:rsidRPr="00C762C3">
        <w:t xml:space="preserve">eviewers believe this collection of information is necessary and will have practical utility. </w:t>
      </w:r>
      <w:r w:rsidR="00405FA6">
        <w:t xml:space="preserve"> </w:t>
      </w:r>
      <w:r w:rsidR="00EC66AE">
        <w:t>Reviewers commented that t</w:t>
      </w:r>
      <w:r w:rsidRPr="00C762C3">
        <w:t xml:space="preserve">he justification is well detailed and empirical support is also provided from conversations with </w:t>
      </w:r>
      <w:r w:rsidR="004451F7">
        <w:t>Service</w:t>
      </w:r>
      <w:r w:rsidRPr="00C762C3">
        <w:t xml:space="preserve"> staff who will potentially use this programmatic clearance. </w:t>
      </w:r>
      <w:r w:rsidR="00405FA6">
        <w:t xml:space="preserve"> </w:t>
      </w:r>
      <w:r w:rsidRPr="00C762C3">
        <w:t xml:space="preserve">The collection of information is critical to inform management, planning, and policy. </w:t>
      </w:r>
      <w:r w:rsidR="00405FA6">
        <w:t xml:space="preserve"> </w:t>
      </w:r>
      <w:r w:rsidRPr="00C762C3">
        <w:t>This information will provide the agency with a basis to document and assess trends concerning refuge</w:t>
      </w:r>
      <w:r w:rsidR="00E94B1A">
        <w:t xml:space="preserve"> visitation</w:t>
      </w:r>
      <w:r w:rsidRPr="00C762C3">
        <w:t>, the effects of visitors and visitor use on National Wildlife Refuge wildlif</w:t>
      </w:r>
      <w:r w:rsidR="00E94B1A">
        <w:t>e, habitat, and other resources;</w:t>
      </w:r>
      <w:r w:rsidRPr="00C762C3">
        <w:t xml:space="preserve"> the impacts of refuge mana</w:t>
      </w:r>
      <w:r w:rsidR="00E94B1A">
        <w:t>gement on visitors’ experiences;</w:t>
      </w:r>
      <w:r w:rsidRPr="00C762C3">
        <w:t xml:space="preserve"> and the effectiveness of </w:t>
      </w:r>
      <w:r w:rsidR="004451F7">
        <w:t>Service</w:t>
      </w:r>
      <w:r w:rsidRPr="00C762C3">
        <w:t xml:space="preserve"> educational efforts and public programs (e.g., Urban Wildlife Conservation Program).</w:t>
      </w:r>
    </w:p>
    <w:p w:rsidRPr="00C762C3" w:rsidR="00AA49AB" w:rsidP="000823EE" w:rsidRDefault="00AA49AB" w14:paraId="12949BDC"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p>
    <w:p w:rsidRPr="00C762C3" w:rsidR="00AA49AB" w:rsidP="000823EE" w:rsidRDefault="004451F7" w14:paraId="6A2BFC7E" w14:textId="0668B5EB">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Pr>
          <w:i/>
          <w:u w:val="single"/>
        </w:rPr>
        <w:t>Service</w:t>
      </w:r>
      <w:r w:rsidRPr="00C762C3" w:rsidR="00AA49AB">
        <w:rPr>
          <w:i/>
          <w:u w:val="single"/>
        </w:rPr>
        <w:t xml:space="preserve"> Response/Action Taken</w:t>
      </w:r>
      <w:r w:rsidRPr="00C762C3" w:rsidR="00AA49AB">
        <w:rPr>
          <w:i/>
        </w:rPr>
        <w:t>:</w:t>
      </w:r>
      <w:r w:rsidRPr="00C762C3" w:rsidR="00AA49AB">
        <w:t xml:space="preserve">  No further action was taken based on these comments.</w:t>
      </w:r>
    </w:p>
    <w:p w:rsidRPr="00C762C3" w:rsidR="00AA49AB" w:rsidP="00F6473A" w:rsidRDefault="00AA49AB" w14:paraId="0A0709E7" w14:textId="089DD370">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762C3" w:rsidR="00AA49AB" w:rsidP="00F6473A" w:rsidRDefault="00AA49AB" w14:paraId="4B13954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b/>
          <w:i/>
        </w:rPr>
      </w:pPr>
      <w:r w:rsidRPr="00C762C3">
        <w:rPr>
          <w:b/>
          <w:i/>
        </w:rPr>
        <w:t>“The accuracy of our estimate of the burden for this collection of information”</w:t>
      </w:r>
    </w:p>
    <w:p w:rsidRPr="00C762C3" w:rsidR="00AA49AB" w:rsidP="00F6473A" w:rsidRDefault="00AA49AB" w14:paraId="4952544E"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AA49AB" w:rsidP="000823EE" w:rsidRDefault="00AA49AB" w14:paraId="7678FED0" w14:textId="65CCD1C5">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sidRPr="00C762C3">
        <w:rPr>
          <w:i/>
          <w:u w:val="single"/>
        </w:rPr>
        <w:t>Comments</w:t>
      </w:r>
      <w:r w:rsidRPr="00C762C3">
        <w:rPr>
          <w:i/>
        </w:rPr>
        <w:t>:</w:t>
      </w:r>
      <w:r w:rsidR="000823EE">
        <w:t xml:space="preserve">  </w:t>
      </w:r>
      <w:r w:rsidRPr="00C762C3">
        <w:t xml:space="preserve">Reviewers believe the estimate of burden for this collection is reasonable and appropriate. </w:t>
      </w:r>
      <w:r w:rsidR="00405FA6">
        <w:t xml:space="preserve"> </w:t>
      </w:r>
      <w:r w:rsidRPr="00C762C3">
        <w:t>One reviewer commented that the estimate of an average completion time of 60 minutes per focus group is consistent with social science research conventions, though could be increased to 90 or even 120 minutes per completion to provide a more conservative estimate of burden.</w:t>
      </w:r>
    </w:p>
    <w:p w:rsidR="00AA49AB" w:rsidP="000823EE" w:rsidRDefault="00AA49AB" w14:paraId="1AD46089"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p>
    <w:p w:rsidRPr="00C762C3" w:rsidR="00AA49AB" w:rsidP="000823EE" w:rsidRDefault="00AA49AB" w14:paraId="60881BB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t>In addition, one reviewer commented that overall burden will be reduced due to the streamlined nature of the clearance.</w:t>
      </w:r>
    </w:p>
    <w:p w:rsidRPr="00C762C3" w:rsidR="00AA49AB" w:rsidP="000823EE" w:rsidRDefault="00AA49AB" w14:paraId="4176EFA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p>
    <w:p w:rsidRPr="00C762C3" w:rsidR="00AA49AB" w:rsidP="000823EE" w:rsidRDefault="004451F7" w14:paraId="0AD5DD0D" w14:textId="36C1F6D1">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Pr>
          <w:i/>
          <w:u w:val="single"/>
        </w:rPr>
        <w:t>Service</w:t>
      </w:r>
      <w:r w:rsidRPr="00C762C3" w:rsidR="00AA49AB">
        <w:rPr>
          <w:i/>
          <w:u w:val="single"/>
        </w:rPr>
        <w:t xml:space="preserve"> Response/Action Taken</w:t>
      </w:r>
      <w:r w:rsidRPr="00C762C3" w:rsidR="00AA49AB">
        <w:rPr>
          <w:i/>
        </w:rPr>
        <w:t>:</w:t>
      </w:r>
      <w:r w:rsidR="000823EE">
        <w:t xml:space="preserve">  </w:t>
      </w:r>
      <w:r w:rsidRPr="00C762C3" w:rsidR="00AA49AB">
        <w:t xml:space="preserve">Since the estimate </w:t>
      </w:r>
      <w:r w:rsidR="00AA49AB">
        <w:t xml:space="preserve">for focus groups </w:t>
      </w:r>
      <w:r w:rsidRPr="00C762C3" w:rsidR="00AA49AB">
        <w:t xml:space="preserve">is consistent with past experience and recommendations we did not take any further action to change the burden. </w:t>
      </w:r>
      <w:r w:rsidR="00405FA6">
        <w:t xml:space="preserve"> </w:t>
      </w:r>
      <w:r w:rsidRPr="00C762C3" w:rsidR="00AA49AB">
        <w:t>However, we will monitor completion times to see if adjustments need to be made in the future.</w:t>
      </w:r>
    </w:p>
    <w:p w:rsidR="000823EE" w:rsidP="000823EE" w:rsidRDefault="000823EE" w14:paraId="13CF55B7" w14:textId="77777777">
      <w:pPr>
        <w:tabs>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762C3" w:rsidR="00AA49AB" w:rsidP="000823EE" w:rsidRDefault="00AA49AB" w14:paraId="6D786252" w14:textId="3DA23B72">
      <w:pPr>
        <w:tabs>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b/>
          <w:i/>
        </w:rPr>
      </w:pPr>
      <w:r w:rsidRPr="00C762C3">
        <w:rPr>
          <w:b/>
          <w:i/>
        </w:rPr>
        <w:t>“Ways to enhance the quality, utility, and clarity of the information to be collected”</w:t>
      </w:r>
    </w:p>
    <w:p w:rsidRPr="00C762C3" w:rsidR="00AA49AB" w:rsidP="00F6473A" w:rsidRDefault="00AA49AB" w14:paraId="3E60E81D"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762C3" w:rsidR="00AA49AB" w:rsidP="000823EE" w:rsidRDefault="00AA49AB" w14:paraId="26B571FC" w14:textId="65FC8D94">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sidRPr="00C762C3">
        <w:rPr>
          <w:i/>
          <w:u w:val="single"/>
        </w:rPr>
        <w:t>Comments</w:t>
      </w:r>
      <w:r w:rsidRPr="00C762C3">
        <w:rPr>
          <w:i/>
        </w:rPr>
        <w:t>:</w:t>
      </w:r>
      <w:r w:rsidR="000823EE">
        <w:t xml:space="preserve">  </w:t>
      </w:r>
      <w:r w:rsidRPr="00C762C3">
        <w:t>Reviewers commented that the specifications in this Information Collection Request align with best practices for conduct of mail, internet, and telephone surveys (</w:t>
      </w:r>
      <w:r>
        <w:t xml:space="preserve">e.g., </w:t>
      </w:r>
      <w:r w:rsidRPr="00C762C3">
        <w:t>Dillman et al., 2014).</w:t>
      </w:r>
    </w:p>
    <w:p w:rsidRPr="00C762C3" w:rsidR="00AA49AB" w:rsidP="000823EE" w:rsidRDefault="00AA49AB" w14:paraId="19E29509"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p>
    <w:p w:rsidRPr="00C762C3" w:rsidR="00AA49AB" w:rsidP="000823EE" w:rsidRDefault="004451F7" w14:paraId="247C2E7F" w14:textId="0AB91DBD">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Pr>
          <w:i/>
          <w:u w:val="single"/>
        </w:rPr>
        <w:t>Service</w:t>
      </w:r>
      <w:r w:rsidRPr="00C762C3" w:rsidR="00AA49AB">
        <w:rPr>
          <w:i/>
          <w:u w:val="single"/>
        </w:rPr>
        <w:t xml:space="preserve"> Response/Action Taken</w:t>
      </w:r>
      <w:r w:rsidRPr="00C762C3" w:rsidR="00AA49AB">
        <w:rPr>
          <w:i/>
        </w:rPr>
        <w:t>:</w:t>
      </w:r>
      <w:r w:rsidRPr="00C762C3" w:rsidR="00AA49AB">
        <w:t xml:space="preserve">  No further action was taken based on these comments.</w:t>
      </w:r>
    </w:p>
    <w:p w:rsidRPr="00C762C3" w:rsidR="00AA49AB" w:rsidP="00F6473A" w:rsidRDefault="00AA49AB" w14:paraId="545B9DBF" w14:textId="17A2E86D">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AA49AB" w:rsidP="00F6473A" w:rsidRDefault="00AA49AB" w14:paraId="59BF7A5B" w14:textId="5B09A165">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762C3">
        <w:rPr>
          <w:b/>
          <w:i/>
        </w:rPr>
        <w:t>“Ways to minimize the burden of the collection of information on respondents”</w:t>
      </w:r>
    </w:p>
    <w:p w:rsidRPr="00F00857" w:rsidR="00F00857" w:rsidP="00F6473A" w:rsidRDefault="00F00857" w14:paraId="1B81849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762C3" w:rsidR="00AA49AB" w:rsidP="000823EE" w:rsidRDefault="00AA49AB" w14:paraId="40BB2FE5" w14:textId="130073E4">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sidRPr="00C762C3">
        <w:rPr>
          <w:i/>
          <w:u w:val="single"/>
        </w:rPr>
        <w:t>Comments</w:t>
      </w:r>
      <w:r w:rsidRPr="00C762C3">
        <w:rPr>
          <w:i/>
        </w:rPr>
        <w:t>:</w:t>
      </w:r>
      <w:r w:rsidR="000823EE">
        <w:t xml:space="preserve">  </w:t>
      </w:r>
      <w:r>
        <w:t>One reviewer commented on the use of p</w:t>
      </w:r>
      <w:r w:rsidRPr="00C762C3">
        <w:t xml:space="preserve">re-testing </w:t>
      </w:r>
      <w:r>
        <w:t xml:space="preserve">as a way to </w:t>
      </w:r>
      <w:r w:rsidRPr="00C762C3">
        <w:t xml:space="preserve">test </w:t>
      </w:r>
      <w:r>
        <w:rPr>
          <w:rFonts w:cstheme="minorHAnsi"/>
        </w:rPr>
        <w:t>for question clarity and respondent comprehension</w:t>
      </w:r>
      <w:r w:rsidRPr="00C762C3">
        <w:t xml:space="preserve"> </w:t>
      </w:r>
      <w:r>
        <w:t xml:space="preserve">and to test </w:t>
      </w:r>
      <w:r w:rsidRPr="00C762C3">
        <w:t xml:space="preserve">assumptions about the completion time </w:t>
      </w:r>
      <w:r>
        <w:t>as a way to</w:t>
      </w:r>
      <w:r w:rsidRPr="00C762C3">
        <w:t xml:space="preserve"> minimiz</w:t>
      </w:r>
      <w:r>
        <w:t>e</w:t>
      </w:r>
      <w:r w:rsidRPr="00C762C3">
        <w:t xml:space="preserve"> burden.</w:t>
      </w:r>
    </w:p>
    <w:p w:rsidRPr="00C762C3" w:rsidR="00AA49AB" w:rsidP="000823EE" w:rsidRDefault="00AA49AB" w14:paraId="6829317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p>
    <w:p w:rsidR="00AA49AB" w:rsidP="000823EE" w:rsidRDefault="004451F7" w14:paraId="0F5AA04F" w14:textId="703EC52B">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Pr>
          <w:i/>
          <w:u w:val="single"/>
        </w:rPr>
        <w:t>Service</w:t>
      </w:r>
      <w:r w:rsidRPr="00C762C3" w:rsidR="00AA49AB">
        <w:rPr>
          <w:i/>
          <w:u w:val="single"/>
        </w:rPr>
        <w:t xml:space="preserve"> Response/Action Taken</w:t>
      </w:r>
      <w:r w:rsidRPr="00C762C3" w:rsidR="00AA49AB">
        <w:rPr>
          <w:i/>
        </w:rPr>
        <w:t>:</w:t>
      </w:r>
      <w:r w:rsidR="000823EE">
        <w:t xml:space="preserve">  </w:t>
      </w:r>
      <w:r w:rsidR="00AA49AB">
        <w:t xml:space="preserve">We agree with this comment and encourage investigators to </w:t>
      </w:r>
      <w:r w:rsidR="00110CBF">
        <w:t>pre-test their collection instrument(s)</w:t>
      </w:r>
      <w:r w:rsidR="00AA49AB">
        <w:t xml:space="preserve">. </w:t>
      </w:r>
      <w:r w:rsidR="00405FA6">
        <w:t xml:space="preserve"> </w:t>
      </w:r>
      <w:r w:rsidR="00AA49AB">
        <w:t xml:space="preserve">There is </w:t>
      </w:r>
      <w:r w:rsidR="00110CBF">
        <w:t xml:space="preserve">also </w:t>
      </w:r>
      <w:r w:rsidR="00AA49AB">
        <w:t xml:space="preserve">a question regarding pre-testing </w:t>
      </w:r>
      <w:r w:rsidR="00110CBF">
        <w:t xml:space="preserve">and peer review </w:t>
      </w:r>
      <w:r w:rsidR="00AA49AB">
        <w:t xml:space="preserve">on the submission form. </w:t>
      </w:r>
      <w:r w:rsidR="00405FA6">
        <w:t xml:space="preserve"> </w:t>
      </w:r>
      <w:r w:rsidR="00AA49AB">
        <w:t>No further action was needed based on this comment.</w:t>
      </w:r>
    </w:p>
    <w:p w:rsidRPr="00C762C3" w:rsidR="00F00857" w:rsidP="00F6473A" w:rsidRDefault="00F00857" w14:paraId="3B046EB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AA49AB" w:rsidP="00F6473A" w:rsidRDefault="00AA49AB" w14:paraId="6DF50FB0" w14:textId="7D2C4CE1">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762C3">
        <w:rPr>
          <w:b/>
          <w:i/>
        </w:rPr>
        <w:t xml:space="preserve">Comments on the </w:t>
      </w:r>
      <w:r w:rsidR="004451F7">
        <w:rPr>
          <w:b/>
          <w:i/>
        </w:rPr>
        <w:t>Service</w:t>
      </w:r>
      <w:r w:rsidRPr="00C762C3">
        <w:rPr>
          <w:b/>
          <w:i/>
        </w:rPr>
        <w:t xml:space="preserve"> </w:t>
      </w:r>
      <w:r w:rsidRPr="00C762C3">
        <w:rPr>
          <w:b/>
          <w:i/>
          <w:spacing w:val="2"/>
        </w:rPr>
        <w:t xml:space="preserve">Programmatic </w:t>
      </w:r>
      <w:r w:rsidRPr="00C762C3">
        <w:rPr>
          <w:b/>
          <w:i/>
        </w:rPr>
        <w:t xml:space="preserve">Clearance Guidelines </w:t>
      </w:r>
    </w:p>
    <w:p w:rsidRPr="00F00857" w:rsidR="00F00857" w:rsidP="00F6473A" w:rsidRDefault="00F00857" w14:paraId="472C7EEE"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762C3" w:rsidR="00AA49AB" w:rsidP="000823EE" w:rsidRDefault="00AA49AB" w14:paraId="436C5A34" w14:textId="3895A8BE">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sidRPr="00C762C3">
        <w:rPr>
          <w:i/>
          <w:u w:val="single"/>
        </w:rPr>
        <w:t>Comments</w:t>
      </w:r>
      <w:r w:rsidRPr="00C762C3">
        <w:rPr>
          <w:i/>
        </w:rPr>
        <w:t>:</w:t>
      </w:r>
      <w:r w:rsidR="000823EE">
        <w:t xml:space="preserve">  </w:t>
      </w:r>
      <w:r w:rsidR="00110CBF">
        <w:t xml:space="preserve">Reviewers felt the Guidelines were clear and </w:t>
      </w:r>
      <w:r w:rsidRPr="00C762C3">
        <w:t>thorough</w:t>
      </w:r>
      <w:r w:rsidR="00110CBF">
        <w:t>, and would be extremely helpful for applicants</w:t>
      </w:r>
      <w:r w:rsidRPr="00C762C3">
        <w:t xml:space="preserve">. </w:t>
      </w:r>
      <w:r>
        <w:t>Several of the reviewers offered suggestions to improve</w:t>
      </w:r>
      <w:r w:rsidRPr="00C762C3">
        <w:t xml:space="preserve"> </w:t>
      </w:r>
      <w:r>
        <w:t>the guidance.</w:t>
      </w:r>
    </w:p>
    <w:p w:rsidR="00AA49AB" w:rsidP="000823EE" w:rsidRDefault="00AA49AB" w14:paraId="2ECD5D0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p>
    <w:p w:rsidR="00AA49AB" w:rsidP="000823EE" w:rsidRDefault="004451F7" w14:paraId="17768ABF" w14:textId="754027C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Pr>
          <w:i/>
          <w:u w:val="single"/>
        </w:rPr>
        <w:t>Service</w:t>
      </w:r>
      <w:r w:rsidRPr="00C762C3" w:rsidR="00AA49AB">
        <w:rPr>
          <w:i/>
          <w:u w:val="single"/>
        </w:rPr>
        <w:t xml:space="preserve"> Response/Action Taken</w:t>
      </w:r>
      <w:r w:rsidRPr="00C762C3" w:rsidR="00AA49AB">
        <w:rPr>
          <w:i/>
        </w:rPr>
        <w:t>:</w:t>
      </w:r>
      <w:r w:rsidR="000823EE">
        <w:t xml:space="preserve">  </w:t>
      </w:r>
      <w:r>
        <w:t>We incorporated r</w:t>
      </w:r>
      <w:r w:rsidR="00AA49AB">
        <w:t>eviewer comments into the revised Guidelines.</w:t>
      </w:r>
    </w:p>
    <w:p w:rsidRPr="00C762C3" w:rsidR="00F00857" w:rsidP="00F6473A" w:rsidRDefault="00F00857" w14:paraId="10CE7A1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AA49AB" w:rsidP="00F6473A" w:rsidRDefault="00AA49AB" w14:paraId="011D564A" w14:textId="50EE3F90">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spacing w:val="3"/>
        </w:rPr>
      </w:pPr>
      <w:r w:rsidRPr="00C762C3">
        <w:rPr>
          <w:b/>
          <w:i/>
        </w:rPr>
        <w:t xml:space="preserve">Comments on the </w:t>
      </w:r>
      <w:r w:rsidR="004451F7">
        <w:rPr>
          <w:b/>
          <w:i/>
        </w:rPr>
        <w:t xml:space="preserve">Service’s </w:t>
      </w:r>
      <w:r w:rsidRPr="00C762C3">
        <w:rPr>
          <w:b/>
          <w:i/>
          <w:spacing w:val="2"/>
        </w:rPr>
        <w:t xml:space="preserve">Programmatic </w:t>
      </w:r>
      <w:r w:rsidRPr="00C762C3">
        <w:rPr>
          <w:b/>
          <w:i/>
        </w:rPr>
        <w:t xml:space="preserve">Clearance Submission </w:t>
      </w:r>
      <w:r w:rsidRPr="00C762C3">
        <w:rPr>
          <w:b/>
          <w:i/>
          <w:spacing w:val="3"/>
        </w:rPr>
        <w:t>Form</w:t>
      </w:r>
    </w:p>
    <w:p w:rsidRPr="00F00857" w:rsidR="00F00857" w:rsidP="00F6473A" w:rsidRDefault="00F00857" w14:paraId="51A6F34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spacing w:val="3"/>
        </w:rPr>
      </w:pPr>
    </w:p>
    <w:p w:rsidRPr="00C762C3" w:rsidR="00AA49AB" w:rsidP="000823EE" w:rsidRDefault="00AA49AB" w14:paraId="5D84055C" w14:textId="2434F5E1">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sidRPr="00C762C3">
        <w:rPr>
          <w:i/>
          <w:u w:val="single"/>
        </w:rPr>
        <w:t>Comments</w:t>
      </w:r>
      <w:r w:rsidRPr="00C762C3">
        <w:rPr>
          <w:i/>
        </w:rPr>
        <w:t>:</w:t>
      </w:r>
      <w:r w:rsidR="000823EE">
        <w:t xml:space="preserve">  </w:t>
      </w:r>
      <w:r>
        <w:t>Reviewers offered minor suggestions to improve the submission form but overall</w:t>
      </w:r>
      <w:r w:rsidRPr="00C762C3">
        <w:t xml:space="preserve">, thought the form was well </w:t>
      </w:r>
      <w:r w:rsidRPr="00C762C3">
        <w:rPr>
          <w:spacing w:val="2"/>
        </w:rPr>
        <w:t xml:space="preserve">organized </w:t>
      </w:r>
      <w:r w:rsidRPr="00C762C3">
        <w:t>and clear</w:t>
      </w:r>
      <w:r>
        <w:t xml:space="preserve"> and t</w:t>
      </w:r>
      <w:r w:rsidRPr="00C762C3">
        <w:rPr>
          <w:spacing w:val="3"/>
        </w:rPr>
        <w:t xml:space="preserve">he </w:t>
      </w:r>
      <w:r w:rsidRPr="00C762C3">
        <w:t xml:space="preserve">instructions </w:t>
      </w:r>
      <w:r>
        <w:t>were</w:t>
      </w:r>
      <w:r w:rsidRPr="00C762C3">
        <w:rPr>
          <w:spacing w:val="28"/>
        </w:rPr>
        <w:t xml:space="preserve"> </w:t>
      </w:r>
      <w:r w:rsidRPr="00C762C3">
        <w:t>helpful.</w:t>
      </w:r>
    </w:p>
    <w:p w:rsidRPr="00C762C3" w:rsidR="00AA49AB" w:rsidP="000823EE" w:rsidRDefault="00AA49AB" w14:paraId="2CCE884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p>
    <w:p w:rsidR="00AA49AB" w:rsidP="000823EE" w:rsidRDefault="004451F7" w14:paraId="0A4E88F3" w14:textId="2E200D33">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Pr>
          <w:i/>
          <w:u w:val="single"/>
        </w:rPr>
        <w:t>Service</w:t>
      </w:r>
      <w:r w:rsidRPr="00C762C3" w:rsidR="00AA49AB">
        <w:rPr>
          <w:i/>
          <w:u w:val="single"/>
        </w:rPr>
        <w:t xml:space="preserve"> Response/Action Taken</w:t>
      </w:r>
      <w:r w:rsidRPr="00C762C3" w:rsidR="00AA49AB">
        <w:rPr>
          <w:i/>
        </w:rPr>
        <w:t>:</w:t>
      </w:r>
      <w:r w:rsidRPr="00C762C3" w:rsidR="00AA49AB">
        <w:t xml:space="preserve">  </w:t>
      </w:r>
      <w:r w:rsidR="00AA49AB">
        <w:t>We made several edits to the form based on the comments.</w:t>
      </w:r>
    </w:p>
    <w:p w:rsidRPr="00C762C3" w:rsidR="00F00857" w:rsidP="00F6473A" w:rsidRDefault="00F00857" w14:paraId="4412F52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AA49AB" w:rsidP="00F6473A" w:rsidRDefault="00AA49AB" w14:paraId="50EFC851" w14:textId="5F639F0C">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762C3">
        <w:rPr>
          <w:b/>
          <w:i/>
        </w:rPr>
        <w:t xml:space="preserve">Comments on the </w:t>
      </w:r>
      <w:r w:rsidR="004451F7">
        <w:rPr>
          <w:b/>
          <w:i/>
        </w:rPr>
        <w:t xml:space="preserve">Service’s </w:t>
      </w:r>
      <w:r w:rsidRPr="00C762C3">
        <w:rPr>
          <w:b/>
          <w:i/>
          <w:spacing w:val="2"/>
        </w:rPr>
        <w:t xml:space="preserve">Programmatic </w:t>
      </w:r>
      <w:r w:rsidRPr="00C762C3">
        <w:rPr>
          <w:b/>
          <w:i/>
        </w:rPr>
        <w:t>Clearance Suite of Questions</w:t>
      </w:r>
    </w:p>
    <w:p w:rsidRPr="00F00857" w:rsidR="00F00857" w:rsidP="00F6473A" w:rsidRDefault="00F00857" w14:paraId="186A5C6E"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spacing w:val="3"/>
        </w:rPr>
      </w:pPr>
    </w:p>
    <w:p w:rsidRPr="00C762C3" w:rsidR="00AA49AB" w:rsidP="00281153" w:rsidRDefault="00AA49AB" w14:paraId="19E4BCF2" w14:textId="7463E2BD">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sidRPr="00C762C3">
        <w:rPr>
          <w:i/>
          <w:u w:val="single"/>
        </w:rPr>
        <w:t>Comments</w:t>
      </w:r>
      <w:r w:rsidRPr="00C762C3">
        <w:rPr>
          <w:i/>
        </w:rPr>
        <w:t>:</w:t>
      </w:r>
      <w:r w:rsidR="00281153">
        <w:t xml:space="preserve">  </w:t>
      </w:r>
      <w:r>
        <w:t>Overall, reviewers thought t</w:t>
      </w:r>
      <w:r w:rsidRPr="00311EC0">
        <w:t xml:space="preserve">he range of topics included in the </w:t>
      </w:r>
      <w:r>
        <w:t>Suite of Questions is</w:t>
      </w:r>
      <w:r w:rsidRPr="00311EC0">
        <w:t xml:space="preserve"> very comprehensive</w:t>
      </w:r>
      <w:r>
        <w:t>, which will ensure that information collection</w:t>
      </w:r>
      <w:r w:rsidR="00EC66AE">
        <w:t>s</w:t>
      </w:r>
      <w:r>
        <w:t xml:space="preserve"> </w:t>
      </w:r>
      <w:r w:rsidR="00EC66AE">
        <w:t>will</w:t>
      </w:r>
      <w:r>
        <w:t xml:space="preserve"> have practical utility in addressing questions of importance to the Service</w:t>
      </w:r>
      <w:r w:rsidRPr="00311EC0">
        <w:t>.</w:t>
      </w:r>
      <w:r>
        <w:t xml:space="preserve"> </w:t>
      </w:r>
      <w:r w:rsidR="00405FA6">
        <w:t xml:space="preserve"> </w:t>
      </w:r>
      <w:r>
        <w:t>All reviewers</w:t>
      </w:r>
      <w:r w:rsidRPr="00C762C3">
        <w:t xml:space="preserve"> supplied </w:t>
      </w:r>
      <w:r>
        <w:t xml:space="preserve">specific </w:t>
      </w:r>
      <w:r w:rsidRPr="00C762C3">
        <w:t>suggestions for additions to the Suite of Questions (e.g., birdwatching, Leave No Trace).</w:t>
      </w:r>
    </w:p>
    <w:p w:rsidRPr="00C762C3" w:rsidR="00AA49AB" w:rsidP="00281153" w:rsidRDefault="00AA49AB" w14:paraId="7731618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p>
    <w:p w:rsidR="00405FA6" w:rsidP="004451F7" w:rsidRDefault="004451F7" w14:paraId="5E4C535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Pr>
          <w:i/>
          <w:u w:val="single"/>
        </w:rPr>
        <w:t>Service</w:t>
      </w:r>
      <w:r w:rsidRPr="00C762C3" w:rsidR="00AA49AB">
        <w:rPr>
          <w:i/>
          <w:u w:val="single"/>
        </w:rPr>
        <w:t xml:space="preserve"> Response/Action Taken</w:t>
      </w:r>
      <w:r w:rsidRPr="00C762C3" w:rsidR="00AA49AB">
        <w:rPr>
          <w:i/>
        </w:rPr>
        <w:t>:</w:t>
      </w:r>
      <w:r w:rsidRPr="00C762C3" w:rsidR="00AA49AB">
        <w:t xml:space="preserve">  We added several questions based on </w:t>
      </w:r>
      <w:r w:rsidR="00EC66AE">
        <w:t>reviewer</w:t>
      </w:r>
      <w:r w:rsidRPr="00C762C3" w:rsidR="00AA49AB">
        <w:t xml:space="preserve"> comments.</w:t>
      </w:r>
    </w:p>
    <w:p w:rsidR="00405FA6" w:rsidP="00405FA6" w:rsidRDefault="00405FA6" w14:paraId="660F292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u w:val="single"/>
        </w:rPr>
      </w:pPr>
    </w:p>
    <w:p w:rsidR="00AA49AB" w:rsidP="00F6473A" w:rsidRDefault="00AA49AB" w14:paraId="100B9E12" w14:textId="11C0D7E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762C3">
        <w:rPr>
          <w:b/>
          <w:i/>
        </w:rPr>
        <w:t>Additional comment</w:t>
      </w:r>
      <w:r w:rsidR="00F00857">
        <w:rPr>
          <w:b/>
          <w:i/>
        </w:rPr>
        <w:t>s received during the outreach</w:t>
      </w:r>
    </w:p>
    <w:p w:rsidRPr="00F00857" w:rsidR="00F00857" w:rsidP="00F6473A" w:rsidRDefault="00F00857" w14:paraId="1C0CE8F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762C3" w:rsidR="00AA49AB" w:rsidP="00281153" w:rsidRDefault="00AA49AB" w14:paraId="4601D8F9" w14:textId="4BF6B3DD">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sidRPr="00C762C3">
        <w:rPr>
          <w:i/>
          <w:u w:val="single"/>
        </w:rPr>
        <w:t>Comments</w:t>
      </w:r>
      <w:r w:rsidRPr="00C762C3">
        <w:rPr>
          <w:i/>
        </w:rPr>
        <w:t>:</w:t>
      </w:r>
      <w:r w:rsidR="00281153">
        <w:t xml:space="preserve">  </w:t>
      </w:r>
      <w:r>
        <w:t>One reviewer commented that t</w:t>
      </w:r>
      <w:r w:rsidRPr="00C762C3">
        <w:t xml:space="preserve">he Information Collection Request reflects a high-level of experience and expertise in the design and conduct of social science research for Human Dimensions of Natural Resource Management in federal land management agencies, generally, and the </w:t>
      </w:r>
      <w:r w:rsidR="004451F7">
        <w:t>Service</w:t>
      </w:r>
      <w:r w:rsidRPr="00C762C3">
        <w:t xml:space="preserve"> specifically. </w:t>
      </w:r>
      <w:r w:rsidR="00405FA6">
        <w:t xml:space="preserve"> </w:t>
      </w:r>
      <w:r w:rsidRPr="00C762C3">
        <w:t>Moreover, the request reflects a substantial effort to incorporate best practices, lessons learned, and successfully established conventions from other Programmatic Clearances (e.g., NPS Programmatic Review and Clearance Process).</w:t>
      </w:r>
    </w:p>
    <w:p w:rsidRPr="00C762C3" w:rsidR="00AA49AB" w:rsidP="00281153" w:rsidRDefault="00AA49AB" w14:paraId="4FED9B1A"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p>
    <w:p w:rsidRPr="00C762C3" w:rsidR="00AA49AB" w:rsidP="00281153" w:rsidRDefault="004451F7" w14:paraId="69641BB2" w14:textId="17CC2A05">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360"/>
      </w:pPr>
      <w:r>
        <w:rPr>
          <w:i/>
          <w:u w:val="single"/>
        </w:rPr>
        <w:t>Service</w:t>
      </w:r>
      <w:r w:rsidRPr="00C762C3" w:rsidR="00AA49AB">
        <w:rPr>
          <w:i/>
          <w:u w:val="single"/>
        </w:rPr>
        <w:t xml:space="preserve"> Response/Action Taken</w:t>
      </w:r>
      <w:r w:rsidRPr="00C762C3" w:rsidR="00AA49AB">
        <w:rPr>
          <w:i/>
        </w:rPr>
        <w:t>:</w:t>
      </w:r>
      <w:r w:rsidRPr="00C762C3" w:rsidR="00AA49AB">
        <w:t xml:space="preserve">  No further action was taken based on these comments.</w:t>
      </w:r>
    </w:p>
    <w:p w:rsidRPr="00FA1867" w:rsidR="00225A5C" w:rsidP="00F6473A" w:rsidRDefault="00225A5C" w14:paraId="7D3621C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20BA548A"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9.</w:t>
      </w:r>
      <w:r w:rsidRPr="00C95CD5">
        <w:tab/>
      </w:r>
      <w:r w:rsidRPr="005E1689" w:rsidR="005E1689">
        <w:t>Explain any decision to provide any payment or gift to respondents, other than remuneration of contractors or grantees.</w:t>
      </w:r>
    </w:p>
    <w:p w:rsidR="00C95CD5" w:rsidP="00F6473A" w:rsidRDefault="00C95CD5" w14:paraId="274A012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8B7E84" w14:paraId="5D1C33C0" w14:textId="3D7C8702">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In some cases, the provision of gifts and incentives to respondents may appear to be a conflict of interest. </w:t>
      </w:r>
      <w:r w:rsidR="00405FA6">
        <w:t xml:space="preserve"> </w:t>
      </w:r>
      <w:r w:rsidRPr="00C95CD5" w:rsidR="00236677">
        <w:t xml:space="preserve">Incentives, remuneration, and gifts beyond a </w:t>
      </w:r>
      <w:r w:rsidRPr="00C95CD5" w:rsidR="00236677">
        <w:rPr>
          <w:i/>
        </w:rPr>
        <w:t xml:space="preserve">de minimus </w:t>
      </w:r>
      <w:r w:rsidRPr="00C95CD5" w:rsidR="00236677">
        <w:t xml:space="preserve">token would generally be deemed inappropriate within the scope of this </w:t>
      </w:r>
      <w:r w:rsidRPr="00C95CD5" w:rsidR="00192FCA">
        <w:t>programmatic clearance</w:t>
      </w:r>
      <w:r w:rsidR="00150231">
        <w:t xml:space="preserve">. </w:t>
      </w:r>
      <w:r w:rsidR="00405FA6">
        <w:t xml:space="preserve"> </w:t>
      </w:r>
      <w:r w:rsidRPr="00C95CD5" w:rsidR="00236677">
        <w:t>Service outreach activities commonly include items such as a magnet, notepad, or other item</w:t>
      </w:r>
      <w:r w:rsidRPr="00C95CD5">
        <w:t>s</w:t>
      </w:r>
      <w:r w:rsidRPr="00C95CD5" w:rsidR="00236677">
        <w:t xml:space="preserve"> displaying U.S. </w:t>
      </w:r>
      <w:r w:rsidRPr="00C95CD5" w:rsidR="00236677">
        <w:lastRenderedPageBreak/>
        <w:t>Fish and Wildlife Service or National Wildlife Refuge System visual identifier</w:t>
      </w:r>
      <w:r w:rsidRPr="00C95CD5">
        <w:t>s</w:t>
      </w:r>
      <w:r w:rsidR="00150231">
        <w:t xml:space="preserve">. </w:t>
      </w:r>
      <w:r w:rsidR="00405FA6">
        <w:t xml:space="preserve"> </w:t>
      </w:r>
      <w:r w:rsidRPr="00C95CD5" w:rsidR="00236677">
        <w:t xml:space="preserve">Providing this type of incentive will not increase </w:t>
      </w:r>
      <w:r w:rsidRPr="00C95CD5">
        <w:t xml:space="preserve">the </w:t>
      </w:r>
      <w:r w:rsidRPr="00C95CD5" w:rsidR="00236677">
        <w:t>burden on refuge personnel or the Government and may increase response rates (Dillman</w:t>
      </w:r>
      <w:r w:rsidRPr="00C95CD5" w:rsidR="00BE5984">
        <w:t xml:space="preserve"> et al</w:t>
      </w:r>
      <w:r w:rsidRPr="00C95CD5" w:rsidR="00236677">
        <w:t>, 20</w:t>
      </w:r>
      <w:r w:rsidRPr="00C95CD5" w:rsidR="00BE5984">
        <w:t>14</w:t>
      </w:r>
      <w:r w:rsidRPr="00C95CD5" w:rsidR="00236677">
        <w:t>)</w:t>
      </w:r>
      <w:r w:rsidR="00150231">
        <w:t xml:space="preserve">. </w:t>
      </w:r>
      <w:r w:rsidR="00405FA6">
        <w:t xml:space="preserve"> </w:t>
      </w:r>
      <w:r w:rsidRPr="00C95CD5" w:rsidR="00236677">
        <w:t xml:space="preserve">However, there may be extraordinary circumstances under which </w:t>
      </w:r>
      <w:r w:rsidRPr="00C95CD5">
        <w:t xml:space="preserve">more substantial </w:t>
      </w:r>
      <w:r w:rsidRPr="00C95CD5" w:rsidR="00236677">
        <w:t>remuneration may be appropriate wit</w:t>
      </w:r>
      <w:r w:rsidRPr="00C95CD5">
        <w:t xml:space="preserve">hin the scope of this program. </w:t>
      </w:r>
    </w:p>
    <w:p w:rsidR="005E1689" w:rsidP="00F6473A" w:rsidRDefault="005E1689" w14:paraId="1DFA382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8B7E84" w:rsidP="00F6473A" w:rsidRDefault="008B7E84" w14:paraId="2347E24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In the event that there are collections that seek to use incentives, the </w:t>
      </w:r>
      <w:r w:rsidRPr="00C95CD5" w:rsidR="00A11DD5">
        <w:t>principle investigator</w:t>
      </w:r>
      <w:r w:rsidRPr="00C95CD5">
        <w:t xml:space="preserve"> will be required to justify the purpose and description of the proposed incentive; the proposed purpose will be reviewed and considered.</w:t>
      </w:r>
    </w:p>
    <w:p w:rsidRPr="00C95CD5" w:rsidR="00745410" w:rsidP="00F6473A" w:rsidRDefault="00745410" w14:paraId="17C01EDA"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013B7E" w:rsidR="00984E9E" w:rsidP="00F6473A" w:rsidRDefault="00236677" w14:paraId="406C43FF"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013B7E">
        <w:t>10.</w:t>
      </w:r>
      <w:r w:rsidRPr="00013B7E">
        <w:tab/>
      </w:r>
      <w:r w:rsidRPr="00013B7E" w:rsidR="005E1689">
        <w:t>Describe any assurance of confidentiality provided to respondents and the basis for the assurance in statute, regulation, or agency policy.</w:t>
      </w:r>
    </w:p>
    <w:p w:rsidR="00C95CD5" w:rsidP="00F6473A" w:rsidRDefault="00C95CD5" w14:paraId="14796D53"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1163BAE8" w14:textId="3DD0751F">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We will not provide any assurance of confidentiality</w:t>
      </w:r>
      <w:r w:rsidR="00150231">
        <w:t xml:space="preserve">. </w:t>
      </w:r>
      <w:r w:rsidR="00405FA6">
        <w:t xml:space="preserve"> </w:t>
      </w:r>
      <w:r w:rsidRPr="00C95CD5">
        <w:t>Those who inquire about this issue will be told that their answers are used only for statistical purposes</w:t>
      </w:r>
      <w:r w:rsidR="00150231">
        <w:t xml:space="preserve">. </w:t>
      </w:r>
      <w:r w:rsidR="00405FA6">
        <w:t xml:space="preserve"> </w:t>
      </w:r>
      <w:r w:rsidRPr="00C95CD5">
        <w:t>Visitors, programs participants and partners will also be told that reports prepared from studies covered under this clearance will summarize findings so that responses will not be associated with any specific individual</w:t>
      </w:r>
      <w:r w:rsidR="00150231">
        <w:t xml:space="preserve">. </w:t>
      </w:r>
      <w:r w:rsidR="00405FA6">
        <w:t xml:space="preserve"> </w:t>
      </w:r>
      <w:r w:rsidRPr="00C95CD5">
        <w:t>Data will only be reported in aggregate and no individually identifiable responses will be reported.</w:t>
      </w:r>
    </w:p>
    <w:p w:rsidRPr="00C95CD5" w:rsidR="00745410" w:rsidP="00F6473A" w:rsidRDefault="00745410" w14:paraId="3A062123"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013B7E" w:rsidR="00984E9E" w:rsidP="00F6473A" w:rsidRDefault="00236677" w14:paraId="183200CD"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013B7E">
        <w:t>11.</w:t>
      </w:r>
      <w:r w:rsidRPr="00013B7E">
        <w:tab/>
      </w:r>
      <w:r w:rsidRPr="00013B7E" w:rsidR="005E1689">
        <w:t>Provide additional justification for any questions of a sensitive nature, such as sexual behavior and attitudes, religious beliefs, and other matters that are commonly considered private</w:t>
      </w:r>
      <w:r w:rsidR="00150231">
        <w:t xml:space="preserve">. </w:t>
      </w:r>
      <w:r w:rsidRPr="00013B7E" w:rsidR="005E1689">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150231">
        <w:t xml:space="preserve">. </w:t>
      </w:r>
    </w:p>
    <w:p w:rsidR="00C95CD5" w:rsidP="00F6473A" w:rsidRDefault="00C95CD5" w14:paraId="51557E1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794AF3" w14:paraId="57D2BBA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Questions </w:t>
      </w:r>
      <w:r w:rsidRPr="00C95CD5" w:rsidR="006274B0">
        <w:t>about matters that are commonly considered private</w:t>
      </w:r>
      <w:r w:rsidRPr="00C95CD5">
        <w:t xml:space="preserve"> are beyond the purview of this programmatic clearance.</w:t>
      </w:r>
    </w:p>
    <w:p w:rsidRPr="00C95CD5" w:rsidR="00745410" w:rsidP="00F6473A" w:rsidRDefault="00745410" w14:paraId="4A75CF3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02CEF" w:rsidR="00C02CEF" w:rsidP="00F6473A" w:rsidRDefault="00236677" w14:paraId="249B006B"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12.</w:t>
      </w:r>
      <w:r w:rsidRPr="00C95CD5">
        <w:tab/>
      </w:r>
      <w:r w:rsidRPr="00C02CEF" w:rsidR="00C02CEF">
        <w:t>Provide estimates of the hour burden of the collection of information</w:t>
      </w:r>
      <w:r w:rsidR="00150231">
        <w:t xml:space="preserve">. </w:t>
      </w:r>
      <w:r w:rsidRPr="00C02CEF" w:rsidR="00C02CEF">
        <w:t>The statement should:</w:t>
      </w:r>
    </w:p>
    <w:p w:rsidRPr="007C3160" w:rsidR="00C02CEF" w:rsidP="00F6473A" w:rsidRDefault="007C3160" w14:paraId="696BCC6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sidR="00C02CEF">
        <w:rPr>
          <w:b/>
        </w:rPr>
        <w:t>Indicate the number of respondents, frequency of response, annual hour burden, and an explanation of how the burden was estimated</w:t>
      </w:r>
      <w:r w:rsidR="00150231">
        <w:rPr>
          <w:b/>
        </w:rPr>
        <w:t xml:space="preserve">. </w:t>
      </w:r>
      <w:r w:rsidRPr="007C3160" w:rsidR="00C02CEF">
        <w:rPr>
          <w:b/>
        </w:rPr>
        <w:t>Unless directed to do so, agencies should not conduct special surveys to obtain information on which to base hour burden estimates</w:t>
      </w:r>
      <w:r w:rsidR="00150231">
        <w:rPr>
          <w:b/>
        </w:rPr>
        <w:t xml:space="preserve">. </w:t>
      </w:r>
      <w:r w:rsidRPr="007C3160" w:rsidR="00C02CEF">
        <w:rPr>
          <w:b/>
        </w:rPr>
        <w:t>Consultation with a sample (fewer than 10) of potential respondents is desirable</w:t>
      </w:r>
      <w:r w:rsidR="00150231">
        <w:rPr>
          <w:b/>
        </w:rPr>
        <w:t xml:space="preserve">. </w:t>
      </w:r>
      <w:r w:rsidRPr="007C3160" w:rsidR="00C02CEF">
        <w:rPr>
          <w:b/>
        </w:rPr>
        <w:t>If the hour burden on respondents is expected to vary widely because of differences in activity, size, or complexity, show the range of estimated hour burden, and explain the reasons for the variance</w:t>
      </w:r>
      <w:r w:rsidR="00150231">
        <w:rPr>
          <w:b/>
        </w:rPr>
        <w:t xml:space="preserve">. </w:t>
      </w:r>
      <w:r w:rsidRPr="007C3160" w:rsidR="00C02CEF">
        <w:rPr>
          <w:b/>
        </w:rPr>
        <w:t>Generally, estimates should not include burden hours for customary and usual business practices.</w:t>
      </w:r>
    </w:p>
    <w:p w:rsidRPr="007C3160" w:rsidR="00C02CEF" w:rsidP="00F6473A" w:rsidRDefault="007C3160" w14:paraId="678C9853"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sidR="00C02CEF">
        <w:rPr>
          <w:b/>
        </w:rPr>
        <w:t>If this request for approval covers more than one form, provide separate hour burden estimates for each form and aggregate the hour burdens.</w:t>
      </w:r>
    </w:p>
    <w:p w:rsidRPr="007C3160" w:rsidR="00C02CEF" w:rsidP="00F6473A" w:rsidRDefault="007C3160" w14:paraId="17BCA85C"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sidR="00C02CEF">
        <w:rPr>
          <w:b/>
        </w:rPr>
        <w:t>Provide estimates of annualized cost to respondents for the hour burdens for collections of information, identifying and using appropriate wage rate categories</w:t>
      </w:r>
      <w:r w:rsidR="00150231">
        <w:rPr>
          <w:b/>
        </w:rPr>
        <w:t xml:space="preserve">. </w:t>
      </w:r>
      <w:r w:rsidRPr="007C3160" w:rsidR="00C02CEF">
        <w:rPr>
          <w:b/>
        </w:rPr>
        <w:t>The cost of contracting out or paying outside parties for information collection activities should not be included here.</w:t>
      </w:r>
    </w:p>
    <w:p w:rsidRPr="00C95CD5" w:rsidR="00984E9E" w:rsidP="00F6473A" w:rsidRDefault="00984E9E" w14:paraId="3B937CB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2424EB53" w14:textId="69DC386E">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ICRs submitted through this programmatic clearance will use a variety of instruments and platforms to collect information from respondents</w:t>
      </w:r>
      <w:r w:rsidR="00150231">
        <w:t xml:space="preserve">. </w:t>
      </w:r>
      <w:r w:rsidR="0022671A">
        <w:t xml:space="preserve"> </w:t>
      </w:r>
      <w:r w:rsidRPr="00C95CD5">
        <w:t>We anticipate that over a three</w:t>
      </w:r>
      <w:r w:rsidR="0022671A">
        <w:t>-</w:t>
      </w:r>
      <w:r w:rsidRPr="00C95CD5">
        <w:t xml:space="preserve">year period, there will be </w:t>
      </w:r>
      <w:r w:rsidRPr="00C95CD5" w:rsidR="0081662B">
        <w:t>approximately 105</w:t>
      </w:r>
      <w:r w:rsidRPr="00C95CD5">
        <w:t xml:space="preserve"> </w:t>
      </w:r>
      <w:r w:rsidRPr="00C95CD5" w:rsidR="002E1B3A">
        <w:t>c</w:t>
      </w:r>
      <w:r w:rsidRPr="00C95CD5">
        <w:t xml:space="preserve">ollections representing no more than </w:t>
      </w:r>
      <w:r w:rsidRPr="00C95CD5" w:rsidR="00C71D28">
        <w:t>66,02</w:t>
      </w:r>
      <w:r w:rsidRPr="00C95CD5" w:rsidR="001A3E70">
        <w:t>7</w:t>
      </w:r>
      <w:r w:rsidRPr="00C95CD5">
        <w:t xml:space="preserve"> respondents</w:t>
      </w:r>
      <w:r w:rsidR="00150231">
        <w:t xml:space="preserve">. </w:t>
      </w:r>
      <w:r w:rsidR="0022671A">
        <w:t xml:space="preserve"> </w:t>
      </w:r>
      <w:r w:rsidRPr="00C95CD5">
        <w:t>Given these estimates, the total burden hours over the three</w:t>
      </w:r>
      <w:r w:rsidR="0022671A">
        <w:t>-</w:t>
      </w:r>
      <w:r w:rsidRPr="00C95CD5">
        <w:t>year</w:t>
      </w:r>
      <w:r w:rsidR="009D6831">
        <w:t xml:space="preserve"> period</w:t>
      </w:r>
      <w:r w:rsidRPr="00C95CD5">
        <w:t xml:space="preserve"> will not exceed </w:t>
      </w:r>
      <w:r w:rsidRPr="00C95CD5" w:rsidR="00112714">
        <w:t>21,747</w:t>
      </w:r>
      <w:r w:rsidRPr="00C95CD5">
        <w:t xml:space="preserve"> </w:t>
      </w:r>
      <w:r w:rsidRPr="00C95CD5">
        <w:lastRenderedPageBreak/>
        <w:t>burden hours (see table below).</w:t>
      </w:r>
    </w:p>
    <w:p w:rsidR="00C95CD5" w:rsidP="00F6473A" w:rsidRDefault="00C95CD5" w14:paraId="37649D6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C95CD5" w:rsidP="00F6473A" w:rsidRDefault="00236677" w14:paraId="29F65DFE" w14:textId="3A9B0128">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We estimate the total dollar value of the annual burden hours for this collection to be $</w:t>
      </w:r>
      <w:r w:rsidRPr="0022671A" w:rsidR="0022671A">
        <w:t>2</w:t>
      </w:r>
      <w:r w:rsidR="00405FA6">
        <w:t>73,504</w:t>
      </w:r>
      <w:r w:rsidRPr="00C95CD5">
        <w:t xml:space="preserve"> (</w:t>
      </w:r>
      <w:r w:rsidR="000543CD">
        <w:t>total burden hours x average hourly rate for individuals</w:t>
      </w:r>
      <w:r w:rsidRPr="00C95CD5">
        <w:t>)</w:t>
      </w:r>
      <w:r w:rsidR="00150231">
        <w:t xml:space="preserve">. </w:t>
      </w:r>
      <w:r w:rsidR="0022671A">
        <w:t xml:space="preserve"> </w:t>
      </w:r>
      <w:r w:rsidRPr="0094045F" w:rsidR="006D678A">
        <w:t xml:space="preserve">We used </w:t>
      </w:r>
      <w:r w:rsidR="000543CD">
        <w:t xml:space="preserve">Table 1 from </w:t>
      </w:r>
      <w:r w:rsidRPr="0094045F" w:rsidR="006D678A">
        <w:t xml:space="preserve">the Bureau of Labor Statistics </w:t>
      </w:r>
      <w:r w:rsidR="00C96358">
        <w:t xml:space="preserve">(BLS) </w:t>
      </w:r>
      <w:r w:rsidR="00AE517D">
        <w:t>N</w:t>
      </w:r>
      <w:r w:rsidRPr="0094045F" w:rsidR="006D678A">
        <w:t xml:space="preserve">ews </w:t>
      </w:r>
      <w:r w:rsidR="00AE517D">
        <w:t>R</w:t>
      </w:r>
      <w:r w:rsidRPr="0094045F" w:rsidR="006D678A">
        <w:t xml:space="preserve">elease </w:t>
      </w:r>
      <w:hyperlink w:history="1" r:id="rId18">
        <w:r w:rsidR="00931F87">
          <w:rPr>
            <w:rStyle w:val="Hyperlink"/>
          </w:rPr>
          <w:t>USDL-20-1232</w:t>
        </w:r>
      </w:hyperlink>
      <w:r w:rsidRPr="0094045F" w:rsidR="006D678A">
        <w:t xml:space="preserve">, </w:t>
      </w:r>
      <w:r w:rsidR="00405FA6">
        <w:t>June</w:t>
      </w:r>
      <w:r w:rsidR="00DF3F64">
        <w:t xml:space="preserve"> 1</w:t>
      </w:r>
      <w:r w:rsidR="00405FA6">
        <w:t>8</w:t>
      </w:r>
      <w:r w:rsidR="006D678A">
        <w:t>, 20</w:t>
      </w:r>
      <w:r w:rsidR="001A04F3">
        <w:t>20</w:t>
      </w:r>
      <w:r w:rsidRPr="0094045F" w:rsidR="006D678A">
        <w:t>, Employer Costs for Employee Compensation—</w:t>
      </w:r>
      <w:r w:rsidR="00405FA6">
        <w:t>March 2020</w:t>
      </w:r>
      <w:r w:rsidRPr="0094045F" w:rsidR="006D678A">
        <w:t>,</w:t>
      </w:r>
      <w:r w:rsidR="006D678A">
        <w:t xml:space="preserve"> </w:t>
      </w:r>
      <w:r w:rsidRPr="000543CD" w:rsidR="000543CD">
        <w:t>to obtain the average hourly wage of $</w:t>
      </w:r>
      <w:r w:rsidR="001A04F3">
        <w:t>37.</w:t>
      </w:r>
      <w:r w:rsidR="00931F87">
        <w:t>73</w:t>
      </w:r>
      <w:r w:rsidRPr="000543CD" w:rsidR="000543CD">
        <w:t xml:space="preserve"> for individuals (including benefits)</w:t>
      </w:r>
      <w:r w:rsidRPr="00C95CD5" w:rsidR="004629C1">
        <w:t>.</w:t>
      </w:r>
      <w:r w:rsidR="000543CD">
        <w:t xml:space="preserve"> </w:t>
      </w:r>
    </w:p>
    <w:p w:rsidRPr="00C95CD5" w:rsidR="00C436F1" w:rsidP="00F6473A" w:rsidRDefault="00C436F1" w14:paraId="6B80A54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6D678A" w:rsidR="00E51779" w:rsidP="00F6473A" w:rsidRDefault="00236677" w14:paraId="41506922" w14:textId="5F68977E">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777FE0">
        <w:rPr>
          <w:b/>
        </w:rPr>
        <w:t>T</w:t>
      </w:r>
      <w:r w:rsidRPr="00777FE0" w:rsidR="00D01C84">
        <w:rPr>
          <w:b/>
        </w:rPr>
        <w:t>able</w:t>
      </w:r>
      <w:r w:rsidRPr="00777FE0">
        <w:rPr>
          <w:b/>
        </w:rPr>
        <w:t xml:space="preserve"> 1</w:t>
      </w:r>
      <w:r w:rsidRPr="00777FE0" w:rsidR="00CA7109">
        <w:rPr>
          <w:b/>
        </w:rPr>
        <w:t>2.1</w:t>
      </w:r>
      <w:r w:rsidR="00CA7109">
        <w:t xml:space="preserve"> - </w:t>
      </w:r>
      <w:r w:rsidRPr="006D678A">
        <w:t xml:space="preserve">Estimated </w:t>
      </w:r>
      <w:r w:rsidRPr="006D678A" w:rsidR="006B411C">
        <w:t xml:space="preserve">Annual </w:t>
      </w:r>
      <w:r w:rsidR="006D678A">
        <w:t>Respondent Burden and Cost</w:t>
      </w:r>
      <w:r w:rsidR="001F03C2">
        <w:t xml:space="preserve"> </w:t>
      </w:r>
      <w:r w:rsidRPr="006D678A">
        <w:t xml:space="preserve">for </w:t>
      </w:r>
      <w:r w:rsidR="00B22057">
        <w:t>3-</w:t>
      </w:r>
      <w:r w:rsidRPr="006D678A">
        <w:t xml:space="preserve">Year </w:t>
      </w:r>
      <w:r w:rsidRPr="006D678A" w:rsidR="00A43133">
        <w:t>Programmatic</w:t>
      </w:r>
      <w:r w:rsidRPr="006D678A">
        <w:t xml:space="preserve"> Clearance</w:t>
      </w:r>
    </w:p>
    <w:tbl>
      <w:tblPr>
        <w:tblW w:w="5000" w:type="pct"/>
        <w:tblLook w:val="04A0" w:firstRow="1" w:lastRow="0" w:firstColumn="1" w:lastColumn="0" w:noHBand="0" w:noVBand="1"/>
      </w:tblPr>
      <w:tblGrid>
        <w:gridCol w:w="3228"/>
        <w:gridCol w:w="1429"/>
        <w:gridCol w:w="1732"/>
        <w:gridCol w:w="1361"/>
        <w:gridCol w:w="1610"/>
      </w:tblGrid>
      <w:tr w:rsidRPr="00162277" w:rsidR="00D01C84" w:rsidTr="00777FE0" w14:paraId="7AA1FAFF" w14:textId="77777777">
        <w:tc>
          <w:tcPr>
            <w:tcW w:w="3348" w:type="dxa"/>
            <w:vMerge w:val="restart"/>
            <w:tcBorders>
              <w:top w:val="single" w:color="auto" w:sz="4" w:space="0"/>
              <w:left w:val="nil"/>
              <w:right w:val="nil"/>
            </w:tcBorders>
            <w:shd w:val="clear" w:color="auto" w:fill="DBE5F1" w:themeFill="accent1" w:themeFillTint="33"/>
            <w:vAlign w:val="bottom"/>
          </w:tcPr>
          <w:p w:rsidRPr="00777FE0" w:rsidR="00D01C84" w:rsidP="00F6473A" w:rsidRDefault="00D01C84" w14:paraId="44DE11F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b/>
                <w:sz w:val="16"/>
                <w:szCs w:val="18"/>
              </w:rPr>
            </w:pPr>
            <w:r w:rsidRPr="00777FE0">
              <w:rPr>
                <w:b/>
                <w:sz w:val="16"/>
                <w:szCs w:val="18"/>
              </w:rPr>
              <w:t>Mode</w:t>
            </w:r>
          </w:p>
        </w:tc>
        <w:tc>
          <w:tcPr>
            <w:tcW w:w="6228" w:type="dxa"/>
            <w:gridSpan w:val="4"/>
            <w:tcBorders>
              <w:top w:val="single" w:color="auto" w:sz="4" w:space="0"/>
              <w:left w:val="nil"/>
              <w:bottom w:val="single" w:color="auto" w:sz="4" w:space="0"/>
              <w:right w:val="nil"/>
            </w:tcBorders>
            <w:shd w:val="clear" w:color="auto" w:fill="DBE5F1" w:themeFill="accent1" w:themeFillTint="33"/>
            <w:vAlign w:val="bottom"/>
          </w:tcPr>
          <w:p w:rsidRPr="00777FE0" w:rsidR="00D01C84" w:rsidP="00F6473A" w:rsidRDefault="00D01C84" w14:paraId="16634D8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b/>
                <w:sz w:val="16"/>
                <w:szCs w:val="18"/>
              </w:rPr>
            </w:pPr>
            <w:r w:rsidRPr="00777FE0">
              <w:rPr>
                <w:b/>
                <w:sz w:val="16"/>
                <w:szCs w:val="18"/>
              </w:rPr>
              <w:t>Annual Estimates</w:t>
            </w:r>
          </w:p>
        </w:tc>
      </w:tr>
      <w:tr w:rsidRPr="00162277" w:rsidR="00D01C84" w:rsidTr="00777FE0" w14:paraId="60B95EE9" w14:textId="77777777">
        <w:tc>
          <w:tcPr>
            <w:tcW w:w="3348" w:type="dxa"/>
            <w:vMerge/>
            <w:tcBorders>
              <w:left w:val="nil"/>
              <w:bottom w:val="single" w:color="auto" w:sz="4" w:space="0"/>
              <w:right w:val="nil"/>
            </w:tcBorders>
            <w:shd w:val="clear" w:color="auto" w:fill="DBE5F1" w:themeFill="accent1" w:themeFillTint="33"/>
            <w:vAlign w:val="bottom"/>
            <w:hideMark/>
          </w:tcPr>
          <w:p w:rsidRPr="00777FE0" w:rsidR="00D01C84" w:rsidP="00F6473A" w:rsidRDefault="00D01C84" w14:paraId="3327095D"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b/>
                <w:sz w:val="16"/>
                <w:szCs w:val="18"/>
              </w:rPr>
            </w:pPr>
          </w:p>
        </w:tc>
        <w:tc>
          <w:tcPr>
            <w:tcW w:w="1440" w:type="dxa"/>
            <w:tcBorders>
              <w:top w:val="single" w:color="auto" w:sz="4" w:space="0"/>
              <w:left w:val="nil"/>
              <w:bottom w:val="single" w:color="auto" w:sz="4" w:space="0"/>
              <w:right w:val="nil"/>
            </w:tcBorders>
            <w:shd w:val="clear" w:color="auto" w:fill="DBE5F1" w:themeFill="accent1" w:themeFillTint="33"/>
            <w:vAlign w:val="bottom"/>
            <w:hideMark/>
          </w:tcPr>
          <w:p w:rsidRPr="00777FE0" w:rsidR="00D01C84" w:rsidP="00F6473A" w:rsidRDefault="00D01C84" w14:paraId="7B9F110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b/>
                <w:sz w:val="16"/>
                <w:szCs w:val="18"/>
              </w:rPr>
            </w:pPr>
            <w:r w:rsidRPr="00777FE0">
              <w:rPr>
                <w:b/>
                <w:sz w:val="16"/>
                <w:szCs w:val="18"/>
              </w:rPr>
              <w:t>Number of</w:t>
            </w:r>
            <w:r w:rsidRPr="00777FE0">
              <w:rPr>
                <w:b/>
                <w:sz w:val="16"/>
                <w:szCs w:val="18"/>
              </w:rPr>
              <w:br/>
              <w:t>Respondents</w:t>
            </w:r>
          </w:p>
        </w:tc>
        <w:tc>
          <w:tcPr>
            <w:tcW w:w="1768" w:type="dxa"/>
            <w:tcBorders>
              <w:top w:val="single" w:color="auto" w:sz="4" w:space="0"/>
              <w:left w:val="nil"/>
              <w:bottom w:val="single" w:color="auto" w:sz="4" w:space="0"/>
              <w:right w:val="nil"/>
            </w:tcBorders>
            <w:shd w:val="clear" w:color="auto" w:fill="DBE5F1" w:themeFill="accent1" w:themeFillTint="33"/>
            <w:vAlign w:val="bottom"/>
            <w:hideMark/>
          </w:tcPr>
          <w:p w:rsidRPr="00777FE0" w:rsidR="00D01C84" w:rsidP="00F6473A" w:rsidRDefault="00D01C84" w14:paraId="205CDDA9"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b/>
                <w:sz w:val="16"/>
                <w:szCs w:val="18"/>
              </w:rPr>
            </w:pPr>
            <w:r w:rsidRPr="00777FE0">
              <w:rPr>
                <w:b/>
                <w:sz w:val="16"/>
                <w:szCs w:val="18"/>
              </w:rPr>
              <w:t>Completion Time</w:t>
            </w:r>
            <w:r w:rsidRPr="00777FE0" w:rsidR="003874E6">
              <w:rPr>
                <w:b/>
                <w:sz w:val="16"/>
                <w:szCs w:val="18"/>
              </w:rPr>
              <w:t xml:space="preserve"> </w:t>
            </w:r>
            <w:r w:rsidRPr="00777FE0">
              <w:rPr>
                <w:b/>
                <w:sz w:val="16"/>
                <w:szCs w:val="18"/>
              </w:rPr>
              <w:t>per</w:t>
            </w:r>
            <w:r w:rsidRPr="00777FE0" w:rsidR="003874E6">
              <w:rPr>
                <w:b/>
                <w:sz w:val="16"/>
                <w:szCs w:val="18"/>
              </w:rPr>
              <w:br/>
            </w:r>
            <w:r w:rsidRPr="00777FE0">
              <w:rPr>
                <w:b/>
                <w:sz w:val="16"/>
                <w:szCs w:val="18"/>
              </w:rPr>
              <w:t>Response</w:t>
            </w:r>
            <w:r w:rsidRPr="00777FE0">
              <w:rPr>
                <w:b/>
                <w:sz w:val="16"/>
                <w:szCs w:val="18"/>
              </w:rPr>
              <w:br/>
              <w:t>(Avg. Minutes)</w:t>
            </w:r>
          </w:p>
        </w:tc>
        <w:tc>
          <w:tcPr>
            <w:tcW w:w="1382" w:type="dxa"/>
            <w:tcBorders>
              <w:top w:val="single" w:color="auto" w:sz="4" w:space="0"/>
              <w:left w:val="nil"/>
              <w:bottom w:val="single" w:color="auto" w:sz="4" w:space="0"/>
              <w:right w:val="nil"/>
            </w:tcBorders>
            <w:shd w:val="clear" w:color="auto" w:fill="DBE5F1" w:themeFill="accent1" w:themeFillTint="33"/>
            <w:vAlign w:val="bottom"/>
            <w:hideMark/>
          </w:tcPr>
          <w:p w:rsidRPr="00777FE0" w:rsidR="00D01C84" w:rsidP="00F6473A" w:rsidRDefault="00D01C84" w14:paraId="25B0652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b/>
                <w:sz w:val="16"/>
                <w:szCs w:val="18"/>
              </w:rPr>
            </w:pPr>
            <w:r w:rsidRPr="00777FE0">
              <w:rPr>
                <w:b/>
                <w:sz w:val="16"/>
                <w:szCs w:val="18"/>
              </w:rPr>
              <w:t>Burden</w:t>
            </w:r>
            <w:r w:rsidRPr="00777FE0">
              <w:rPr>
                <w:b/>
                <w:sz w:val="16"/>
                <w:szCs w:val="18"/>
              </w:rPr>
              <w:br/>
              <w:t>Hours**</w:t>
            </w:r>
          </w:p>
        </w:tc>
        <w:tc>
          <w:tcPr>
            <w:tcW w:w="1638" w:type="dxa"/>
            <w:tcBorders>
              <w:top w:val="single" w:color="auto" w:sz="4" w:space="0"/>
              <w:left w:val="nil"/>
              <w:bottom w:val="single" w:color="auto" w:sz="4" w:space="0"/>
              <w:right w:val="nil"/>
            </w:tcBorders>
            <w:shd w:val="clear" w:color="auto" w:fill="DBE5F1" w:themeFill="accent1" w:themeFillTint="33"/>
            <w:vAlign w:val="bottom"/>
            <w:hideMark/>
          </w:tcPr>
          <w:p w:rsidRPr="00777FE0" w:rsidR="00D01C84" w:rsidP="00931F87" w:rsidRDefault="00D01C84" w14:paraId="7B254AF4" w14:textId="00466425">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b/>
                <w:sz w:val="16"/>
                <w:szCs w:val="18"/>
              </w:rPr>
            </w:pPr>
            <w:r w:rsidRPr="00777FE0">
              <w:rPr>
                <w:b/>
                <w:sz w:val="16"/>
                <w:szCs w:val="18"/>
              </w:rPr>
              <w:t xml:space="preserve">Cost of </w:t>
            </w:r>
            <w:r w:rsidRPr="00777FE0" w:rsidR="00DE5BB3">
              <w:rPr>
                <w:b/>
                <w:sz w:val="16"/>
                <w:szCs w:val="18"/>
              </w:rPr>
              <w:br/>
            </w:r>
            <w:r w:rsidRPr="00777FE0">
              <w:rPr>
                <w:b/>
                <w:sz w:val="16"/>
                <w:szCs w:val="18"/>
              </w:rPr>
              <w:t>Burden</w:t>
            </w:r>
            <w:r w:rsidRPr="00777FE0" w:rsidR="003874E6">
              <w:rPr>
                <w:b/>
                <w:sz w:val="16"/>
                <w:szCs w:val="18"/>
              </w:rPr>
              <w:br/>
            </w:r>
            <w:r w:rsidRPr="00777FE0">
              <w:rPr>
                <w:b/>
                <w:sz w:val="16"/>
                <w:szCs w:val="18"/>
              </w:rPr>
              <w:t>Hours**</w:t>
            </w:r>
            <w:r w:rsidRPr="00777FE0">
              <w:rPr>
                <w:b/>
                <w:sz w:val="16"/>
                <w:szCs w:val="18"/>
              </w:rPr>
              <w:br/>
              <w:t>@ $</w:t>
            </w:r>
            <w:r w:rsidR="001A04F3">
              <w:rPr>
                <w:b/>
                <w:sz w:val="16"/>
                <w:szCs w:val="18"/>
              </w:rPr>
              <w:t>37.</w:t>
            </w:r>
            <w:r w:rsidR="00931F87">
              <w:rPr>
                <w:b/>
                <w:sz w:val="16"/>
                <w:szCs w:val="18"/>
              </w:rPr>
              <w:t>73</w:t>
            </w:r>
          </w:p>
        </w:tc>
      </w:tr>
      <w:tr w:rsidRPr="00162277" w:rsidR="00D01C84" w:rsidTr="00162277" w14:paraId="7DBFD174" w14:textId="77777777">
        <w:trPr>
          <w:trHeight w:val="233"/>
        </w:trPr>
        <w:tc>
          <w:tcPr>
            <w:tcW w:w="3348" w:type="dxa"/>
            <w:tcBorders>
              <w:top w:val="single" w:color="auto" w:sz="4" w:space="0"/>
              <w:left w:val="nil"/>
              <w:bottom w:val="single" w:color="D9D9D9" w:themeColor="background1" w:themeShade="D9" w:sz="8" w:space="0"/>
              <w:right w:val="nil"/>
            </w:tcBorders>
            <w:shd w:val="clear" w:color="auto" w:fill="auto"/>
            <w:vAlign w:val="center"/>
            <w:hideMark/>
          </w:tcPr>
          <w:p w:rsidRPr="00162277" w:rsidR="007D1387" w:rsidP="00F6473A" w:rsidRDefault="007D1387" w14:paraId="427AFC9E"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rPr>
                <w:sz w:val="20"/>
                <w:szCs w:val="20"/>
              </w:rPr>
            </w:pPr>
            <w:r w:rsidRPr="00162277">
              <w:rPr>
                <w:sz w:val="20"/>
                <w:szCs w:val="20"/>
              </w:rPr>
              <w:t xml:space="preserve">On-site, mail, internet </w:t>
            </w:r>
            <w:r w:rsidRPr="00162277" w:rsidR="00D60D37">
              <w:rPr>
                <w:sz w:val="20"/>
                <w:szCs w:val="20"/>
              </w:rPr>
              <w:t>s</w:t>
            </w:r>
            <w:r w:rsidRPr="00162277">
              <w:rPr>
                <w:sz w:val="20"/>
                <w:szCs w:val="20"/>
              </w:rPr>
              <w:t>urveys*</w:t>
            </w:r>
          </w:p>
        </w:tc>
        <w:tc>
          <w:tcPr>
            <w:tcW w:w="1440" w:type="dxa"/>
            <w:tcBorders>
              <w:top w:val="single" w:color="auto" w:sz="4" w:space="0"/>
              <w:left w:val="nil"/>
              <w:bottom w:val="single" w:color="D9D9D9" w:themeColor="background1" w:themeShade="D9" w:sz="8" w:space="0"/>
              <w:right w:val="nil"/>
            </w:tcBorders>
            <w:shd w:val="clear" w:color="auto" w:fill="auto"/>
            <w:hideMark/>
          </w:tcPr>
          <w:p w:rsidRPr="00162277" w:rsidR="007D1387" w:rsidP="00F6473A" w:rsidRDefault="007D1387" w14:paraId="033A096D"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20,333</w:t>
            </w:r>
          </w:p>
        </w:tc>
        <w:tc>
          <w:tcPr>
            <w:tcW w:w="1768" w:type="dxa"/>
            <w:tcBorders>
              <w:top w:val="single" w:color="auto" w:sz="4" w:space="0"/>
              <w:left w:val="nil"/>
              <w:bottom w:val="single" w:color="D9D9D9" w:themeColor="background1" w:themeShade="D9" w:sz="8" w:space="0"/>
              <w:right w:val="nil"/>
            </w:tcBorders>
            <w:shd w:val="clear" w:color="auto" w:fill="auto"/>
            <w:hideMark/>
          </w:tcPr>
          <w:p w:rsidRPr="00162277" w:rsidR="007D1387" w:rsidP="00F6473A" w:rsidRDefault="007D1387" w14:paraId="64884DC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sz w:val="20"/>
                <w:szCs w:val="20"/>
              </w:rPr>
            </w:pPr>
            <w:r w:rsidRPr="00162277">
              <w:rPr>
                <w:sz w:val="20"/>
                <w:szCs w:val="20"/>
              </w:rPr>
              <w:t>20</w:t>
            </w:r>
          </w:p>
        </w:tc>
        <w:tc>
          <w:tcPr>
            <w:tcW w:w="1382" w:type="dxa"/>
            <w:tcBorders>
              <w:top w:val="single" w:color="auto" w:sz="4" w:space="0"/>
              <w:left w:val="nil"/>
              <w:bottom w:val="single" w:color="D9D9D9" w:themeColor="background1" w:themeShade="D9" w:sz="8" w:space="0"/>
              <w:right w:val="nil"/>
            </w:tcBorders>
            <w:shd w:val="clear" w:color="auto" w:fill="auto"/>
            <w:hideMark/>
          </w:tcPr>
          <w:p w:rsidRPr="00162277" w:rsidR="007D1387" w:rsidP="00F6473A" w:rsidRDefault="00E51779" w14:paraId="5C1C811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6,778</w:t>
            </w:r>
          </w:p>
        </w:tc>
        <w:tc>
          <w:tcPr>
            <w:tcW w:w="1638" w:type="dxa"/>
            <w:tcBorders>
              <w:top w:val="single" w:color="auto" w:sz="4" w:space="0"/>
              <w:left w:val="nil"/>
              <w:bottom w:val="single" w:color="D9D9D9" w:themeColor="background1" w:themeShade="D9" w:sz="8" w:space="0"/>
              <w:right w:val="nil"/>
            </w:tcBorders>
            <w:shd w:val="clear" w:color="auto" w:fill="auto"/>
            <w:hideMark/>
          </w:tcPr>
          <w:p w:rsidRPr="00162277" w:rsidR="007D1387" w:rsidP="00931F87" w:rsidRDefault="007D1387" w14:paraId="4C91503B" w14:textId="57A69E49">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80"/>
              <w:jc w:val="right"/>
              <w:rPr>
                <w:sz w:val="20"/>
                <w:szCs w:val="20"/>
              </w:rPr>
            </w:pPr>
            <w:r w:rsidRPr="00162277">
              <w:rPr>
                <w:sz w:val="20"/>
                <w:szCs w:val="20"/>
              </w:rPr>
              <w:t>$</w:t>
            </w:r>
            <w:r w:rsidR="0022671A">
              <w:rPr>
                <w:sz w:val="20"/>
                <w:szCs w:val="20"/>
              </w:rPr>
              <w:t xml:space="preserve"> 2</w:t>
            </w:r>
            <w:r w:rsidR="00AE517D">
              <w:rPr>
                <w:sz w:val="20"/>
                <w:szCs w:val="20"/>
              </w:rPr>
              <w:t>5</w:t>
            </w:r>
            <w:r w:rsidR="00931F87">
              <w:rPr>
                <w:sz w:val="20"/>
                <w:szCs w:val="20"/>
              </w:rPr>
              <w:t>5,734</w:t>
            </w:r>
          </w:p>
        </w:tc>
      </w:tr>
      <w:tr w:rsidRPr="00162277" w:rsidR="00D01C84" w:rsidTr="00162277" w14:paraId="58BA780D" w14:textId="77777777">
        <w:trPr>
          <w:trHeight w:val="144"/>
        </w:trPr>
        <w:tc>
          <w:tcPr>
            <w:tcW w:w="3348" w:type="dxa"/>
            <w:tcBorders>
              <w:top w:val="single" w:color="D9D9D9" w:themeColor="background1" w:themeShade="D9" w:sz="8" w:space="0"/>
              <w:left w:val="nil"/>
              <w:bottom w:val="single" w:color="D9D9D9" w:themeColor="background1" w:themeShade="D9" w:sz="8" w:space="0"/>
              <w:right w:val="nil"/>
            </w:tcBorders>
            <w:shd w:val="clear" w:color="auto" w:fill="auto"/>
            <w:vAlign w:val="center"/>
            <w:hideMark/>
          </w:tcPr>
          <w:p w:rsidRPr="00162277" w:rsidR="007D1387" w:rsidP="00F6473A" w:rsidRDefault="007D1387" w14:paraId="42D3502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rPr>
                <w:sz w:val="20"/>
                <w:szCs w:val="20"/>
              </w:rPr>
            </w:pPr>
            <w:r w:rsidRPr="00162277">
              <w:rPr>
                <w:sz w:val="20"/>
                <w:szCs w:val="20"/>
              </w:rPr>
              <w:t xml:space="preserve">Telephone </w:t>
            </w:r>
            <w:r w:rsidRPr="00162277" w:rsidR="00D60D37">
              <w:rPr>
                <w:sz w:val="20"/>
                <w:szCs w:val="20"/>
              </w:rPr>
              <w:t>s</w:t>
            </w:r>
            <w:r w:rsidRPr="00162277">
              <w:rPr>
                <w:sz w:val="20"/>
                <w:szCs w:val="20"/>
              </w:rPr>
              <w:t>urveys</w:t>
            </w:r>
          </w:p>
        </w:tc>
        <w:tc>
          <w:tcPr>
            <w:tcW w:w="1440"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F6473A" w:rsidRDefault="007D1387" w14:paraId="3FB7535E"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833</w:t>
            </w:r>
          </w:p>
        </w:tc>
        <w:tc>
          <w:tcPr>
            <w:tcW w:w="1768"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F6473A" w:rsidRDefault="007D1387" w14:paraId="77061D8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sz w:val="20"/>
                <w:szCs w:val="20"/>
              </w:rPr>
            </w:pPr>
            <w:r w:rsidRPr="00162277">
              <w:rPr>
                <w:sz w:val="20"/>
                <w:szCs w:val="20"/>
              </w:rPr>
              <w:t>25</w:t>
            </w:r>
          </w:p>
        </w:tc>
        <w:tc>
          <w:tcPr>
            <w:tcW w:w="1382"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F6473A" w:rsidRDefault="007D1387" w14:paraId="40A6CE5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347</w:t>
            </w:r>
          </w:p>
        </w:tc>
        <w:tc>
          <w:tcPr>
            <w:tcW w:w="1638"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AE517D" w:rsidRDefault="00931F87" w14:paraId="5A465F14" w14:textId="169CB46F">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80"/>
              <w:jc w:val="right"/>
              <w:rPr>
                <w:sz w:val="20"/>
                <w:szCs w:val="20"/>
              </w:rPr>
            </w:pPr>
            <w:r>
              <w:rPr>
                <w:sz w:val="20"/>
                <w:szCs w:val="20"/>
              </w:rPr>
              <w:t>13,092</w:t>
            </w:r>
          </w:p>
        </w:tc>
      </w:tr>
      <w:tr w:rsidRPr="00162277" w:rsidR="00D01C84" w:rsidTr="00162277" w14:paraId="779168CA" w14:textId="77777777">
        <w:trPr>
          <w:trHeight w:val="144"/>
        </w:trPr>
        <w:tc>
          <w:tcPr>
            <w:tcW w:w="3348" w:type="dxa"/>
            <w:tcBorders>
              <w:top w:val="single" w:color="D9D9D9" w:themeColor="background1" w:themeShade="D9" w:sz="8" w:space="0"/>
              <w:left w:val="nil"/>
              <w:bottom w:val="single" w:color="D9D9D9" w:themeColor="background1" w:themeShade="D9" w:sz="8" w:space="0"/>
              <w:right w:val="nil"/>
            </w:tcBorders>
            <w:shd w:val="clear" w:color="auto" w:fill="auto"/>
            <w:vAlign w:val="center"/>
            <w:hideMark/>
          </w:tcPr>
          <w:p w:rsidRPr="00162277" w:rsidR="007D1387" w:rsidP="00F6473A" w:rsidRDefault="007D1387" w14:paraId="049C793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rPr>
                <w:sz w:val="20"/>
                <w:szCs w:val="20"/>
              </w:rPr>
            </w:pPr>
            <w:r w:rsidRPr="00162277">
              <w:rPr>
                <w:sz w:val="20"/>
                <w:szCs w:val="20"/>
              </w:rPr>
              <w:t>All non-response surveys</w:t>
            </w:r>
          </w:p>
        </w:tc>
        <w:tc>
          <w:tcPr>
            <w:tcW w:w="1440"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F6473A" w:rsidRDefault="007D1387" w14:paraId="01E4164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784</w:t>
            </w:r>
          </w:p>
        </w:tc>
        <w:tc>
          <w:tcPr>
            <w:tcW w:w="1768"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F6473A" w:rsidRDefault="003874E6" w14:paraId="2637FBC3"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sz w:val="20"/>
                <w:szCs w:val="20"/>
              </w:rPr>
            </w:pPr>
            <w:r w:rsidRPr="00162277">
              <w:rPr>
                <w:sz w:val="20"/>
                <w:szCs w:val="20"/>
              </w:rPr>
              <w:t xml:space="preserve">  </w:t>
            </w:r>
            <w:r w:rsidRPr="00162277" w:rsidR="007D1387">
              <w:rPr>
                <w:sz w:val="20"/>
                <w:szCs w:val="20"/>
              </w:rPr>
              <w:t>5</w:t>
            </w:r>
          </w:p>
        </w:tc>
        <w:tc>
          <w:tcPr>
            <w:tcW w:w="1382"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F6473A" w:rsidRDefault="007D1387" w14:paraId="4CC22A6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65</w:t>
            </w:r>
          </w:p>
        </w:tc>
        <w:tc>
          <w:tcPr>
            <w:tcW w:w="1638"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931F87" w:rsidRDefault="007D1387" w14:paraId="4FE0A11B" w14:textId="3CF5BAB8">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80"/>
              <w:jc w:val="right"/>
              <w:rPr>
                <w:sz w:val="20"/>
                <w:szCs w:val="20"/>
              </w:rPr>
            </w:pPr>
            <w:r w:rsidRPr="00162277">
              <w:rPr>
                <w:sz w:val="20"/>
                <w:szCs w:val="20"/>
              </w:rPr>
              <w:t>2,</w:t>
            </w:r>
            <w:r w:rsidR="00AE517D">
              <w:rPr>
                <w:sz w:val="20"/>
                <w:szCs w:val="20"/>
              </w:rPr>
              <w:t>4</w:t>
            </w:r>
            <w:r w:rsidR="00931F87">
              <w:rPr>
                <w:sz w:val="20"/>
                <w:szCs w:val="20"/>
              </w:rPr>
              <w:t>5</w:t>
            </w:r>
            <w:r w:rsidR="00AE517D">
              <w:rPr>
                <w:sz w:val="20"/>
                <w:szCs w:val="20"/>
              </w:rPr>
              <w:t>2</w:t>
            </w:r>
          </w:p>
        </w:tc>
      </w:tr>
      <w:tr w:rsidRPr="00162277" w:rsidR="00D01C84" w:rsidTr="00162277" w14:paraId="6E10171F" w14:textId="77777777">
        <w:trPr>
          <w:trHeight w:val="144"/>
        </w:trPr>
        <w:tc>
          <w:tcPr>
            <w:tcW w:w="3348" w:type="dxa"/>
            <w:tcBorders>
              <w:top w:val="single" w:color="D9D9D9" w:themeColor="background1" w:themeShade="D9" w:sz="8" w:space="0"/>
              <w:left w:val="nil"/>
              <w:bottom w:val="single" w:color="D9D9D9" w:themeColor="background1" w:themeShade="D9" w:sz="8" w:space="0"/>
              <w:right w:val="nil"/>
            </w:tcBorders>
            <w:shd w:val="clear" w:color="auto" w:fill="auto"/>
            <w:vAlign w:val="center"/>
            <w:hideMark/>
          </w:tcPr>
          <w:p w:rsidRPr="00162277" w:rsidR="007D1387" w:rsidP="00F6473A" w:rsidRDefault="007D1387" w14:paraId="206E016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rPr>
                <w:sz w:val="20"/>
                <w:szCs w:val="20"/>
              </w:rPr>
            </w:pPr>
            <w:r w:rsidRPr="00162277">
              <w:rPr>
                <w:sz w:val="20"/>
                <w:szCs w:val="20"/>
              </w:rPr>
              <w:t xml:space="preserve">Focus </w:t>
            </w:r>
            <w:r w:rsidRPr="00162277" w:rsidR="00D01C84">
              <w:rPr>
                <w:sz w:val="20"/>
                <w:szCs w:val="20"/>
              </w:rPr>
              <w:t>g</w:t>
            </w:r>
            <w:r w:rsidRPr="00162277">
              <w:rPr>
                <w:sz w:val="20"/>
                <w:szCs w:val="20"/>
              </w:rPr>
              <w:t>roups/In person interviews</w:t>
            </w:r>
          </w:p>
        </w:tc>
        <w:tc>
          <w:tcPr>
            <w:tcW w:w="1440"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F6473A" w:rsidRDefault="006729BE" w14:paraId="37377A3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59</w:t>
            </w:r>
          </w:p>
        </w:tc>
        <w:tc>
          <w:tcPr>
            <w:tcW w:w="1768"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F6473A" w:rsidRDefault="007D1387" w14:paraId="6659897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sz w:val="20"/>
                <w:szCs w:val="20"/>
              </w:rPr>
            </w:pPr>
            <w:r w:rsidRPr="00162277">
              <w:rPr>
                <w:sz w:val="20"/>
                <w:szCs w:val="20"/>
              </w:rPr>
              <w:t>60</w:t>
            </w:r>
          </w:p>
        </w:tc>
        <w:tc>
          <w:tcPr>
            <w:tcW w:w="1382"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F6473A" w:rsidRDefault="007D1387" w14:paraId="13FB9E7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59</w:t>
            </w:r>
          </w:p>
        </w:tc>
        <w:tc>
          <w:tcPr>
            <w:tcW w:w="1638" w:type="dxa"/>
            <w:tcBorders>
              <w:top w:val="single" w:color="D9D9D9" w:themeColor="background1" w:themeShade="D9" w:sz="8" w:space="0"/>
              <w:left w:val="nil"/>
              <w:bottom w:val="single" w:color="D9D9D9" w:themeColor="background1" w:themeShade="D9" w:sz="8" w:space="0"/>
              <w:right w:val="nil"/>
            </w:tcBorders>
            <w:shd w:val="clear" w:color="auto" w:fill="auto"/>
            <w:hideMark/>
          </w:tcPr>
          <w:p w:rsidRPr="00162277" w:rsidR="007D1387" w:rsidP="00931F87" w:rsidRDefault="00637D2D" w14:paraId="36FB9F03" w14:textId="759F734C">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80"/>
              <w:jc w:val="right"/>
              <w:rPr>
                <w:sz w:val="20"/>
                <w:szCs w:val="20"/>
              </w:rPr>
            </w:pPr>
            <w:r w:rsidRPr="00162277">
              <w:rPr>
                <w:sz w:val="20"/>
                <w:szCs w:val="20"/>
              </w:rPr>
              <w:t>2,</w:t>
            </w:r>
            <w:r w:rsidR="00931F87">
              <w:rPr>
                <w:sz w:val="20"/>
                <w:szCs w:val="20"/>
              </w:rPr>
              <w:t>226</w:t>
            </w:r>
            <w:r w:rsidRPr="00162277" w:rsidR="007D1387">
              <w:rPr>
                <w:sz w:val="20"/>
                <w:szCs w:val="20"/>
              </w:rPr>
              <w:t xml:space="preserve"> </w:t>
            </w:r>
          </w:p>
        </w:tc>
      </w:tr>
      <w:tr w:rsidRPr="00162277" w:rsidR="00D01C84" w:rsidTr="00162277" w14:paraId="0D986E27" w14:textId="77777777">
        <w:trPr>
          <w:trHeight w:val="144"/>
        </w:trPr>
        <w:tc>
          <w:tcPr>
            <w:tcW w:w="3348" w:type="dxa"/>
            <w:tcBorders>
              <w:top w:val="single" w:color="auto" w:sz="8" w:space="0"/>
              <w:left w:val="nil"/>
              <w:bottom w:val="single" w:color="auto" w:sz="8" w:space="0"/>
              <w:right w:val="nil"/>
            </w:tcBorders>
            <w:shd w:val="clear" w:color="auto" w:fill="auto"/>
            <w:vAlign w:val="center"/>
            <w:hideMark/>
          </w:tcPr>
          <w:p w:rsidRPr="00162277" w:rsidR="007D1387" w:rsidP="00F6473A" w:rsidRDefault="007D1387" w14:paraId="7A53E2B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rPr>
                <w:sz w:val="20"/>
                <w:szCs w:val="20"/>
              </w:rPr>
            </w:pPr>
            <w:r w:rsidRPr="00162277">
              <w:rPr>
                <w:sz w:val="20"/>
                <w:szCs w:val="20"/>
              </w:rPr>
              <w:t xml:space="preserve">Annual </w:t>
            </w:r>
            <w:r w:rsidRPr="00162277" w:rsidR="00F2540C">
              <w:rPr>
                <w:sz w:val="20"/>
                <w:szCs w:val="20"/>
              </w:rPr>
              <w:t>Total</w:t>
            </w:r>
          </w:p>
        </w:tc>
        <w:tc>
          <w:tcPr>
            <w:tcW w:w="1440" w:type="dxa"/>
            <w:tcBorders>
              <w:top w:val="single" w:color="auto" w:sz="8" w:space="0"/>
              <w:left w:val="nil"/>
              <w:bottom w:val="single" w:color="auto" w:sz="8" w:space="0"/>
              <w:right w:val="nil"/>
            </w:tcBorders>
            <w:shd w:val="clear" w:color="auto" w:fill="auto"/>
            <w:hideMark/>
          </w:tcPr>
          <w:p w:rsidRPr="00162277" w:rsidR="007D1387" w:rsidP="00F6473A" w:rsidRDefault="007D1387" w14:paraId="7F2D7A64"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22,0</w:t>
            </w:r>
            <w:r w:rsidRPr="00162277" w:rsidR="006729BE">
              <w:rPr>
                <w:sz w:val="20"/>
                <w:szCs w:val="20"/>
              </w:rPr>
              <w:t>09</w:t>
            </w:r>
          </w:p>
        </w:tc>
        <w:tc>
          <w:tcPr>
            <w:tcW w:w="1768" w:type="dxa"/>
            <w:tcBorders>
              <w:top w:val="single" w:color="auto" w:sz="8" w:space="0"/>
              <w:left w:val="nil"/>
              <w:bottom w:val="single" w:color="auto" w:sz="8" w:space="0"/>
              <w:right w:val="nil"/>
            </w:tcBorders>
            <w:shd w:val="clear" w:color="auto" w:fill="auto"/>
            <w:hideMark/>
          </w:tcPr>
          <w:p w:rsidRPr="00162277" w:rsidR="007D1387" w:rsidP="00F6473A" w:rsidRDefault="00DE5BB3" w14:paraId="0EBD4E89"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sz w:val="20"/>
                <w:szCs w:val="20"/>
              </w:rPr>
            </w:pPr>
            <w:r w:rsidRPr="00162277">
              <w:rPr>
                <w:sz w:val="20"/>
                <w:szCs w:val="20"/>
              </w:rPr>
              <w:t>--</w:t>
            </w:r>
          </w:p>
        </w:tc>
        <w:tc>
          <w:tcPr>
            <w:tcW w:w="1382" w:type="dxa"/>
            <w:tcBorders>
              <w:top w:val="single" w:color="auto" w:sz="8" w:space="0"/>
              <w:left w:val="nil"/>
              <w:bottom w:val="single" w:color="auto" w:sz="8" w:space="0"/>
              <w:right w:val="nil"/>
            </w:tcBorders>
            <w:shd w:val="clear" w:color="auto" w:fill="auto"/>
            <w:hideMark/>
          </w:tcPr>
          <w:p w:rsidRPr="00162277" w:rsidR="007D1387" w:rsidP="00F6473A" w:rsidRDefault="007D1387" w14:paraId="0F7A892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7,</w:t>
            </w:r>
            <w:r w:rsidRPr="00162277" w:rsidR="00E51779">
              <w:rPr>
                <w:sz w:val="20"/>
                <w:szCs w:val="20"/>
              </w:rPr>
              <w:t>249</w:t>
            </w:r>
          </w:p>
        </w:tc>
        <w:tc>
          <w:tcPr>
            <w:tcW w:w="1638" w:type="dxa"/>
            <w:tcBorders>
              <w:top w:val="single" w:color="auto" w:sz="8" w:space="0"/>
              <w:left w:val="nil"/>
              <w:bottom w:val="single" w:color="auto" w:sz="8" w:space="0"/>
              <w:right w:val="nil"/>
            </w:tcBorders>
            <w:shd w:val="clear" w:color="auto" w:fill="auto"/>
            <w:hideMark/>
          </w:tcPr>
          <w:p w:rsidRPr="00162277" w:rsidR="007D1387" w:rsidP="009B0D90" w:rsidRDefault="007D1387" w14:paraId="6AEC7D86" w14:textId="46728C85">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80"/>
              <w:jc w:val="right"/>
              <w:rPr>
                <w:sz w:val="20"/>
                <w:szCs w:val="20"/>
              </w:rPr>
            </w:pPr>
            <w:r w:rsidRPr="00162277">
              <w:rPr>
                <w:sz w:val="20"/>
                <w:szCs w:val="20"/>
              </w:rPr>
              <w:t>$</w:t>
            </w:r>
            <w:r w:rsidR="0022671A">
              <w:rPr>
                <w:sz w:val="20"/>
                <w:szCs w:val="20"/>
              </w:rPr>
              <w:t xml:space="preserve"> </w:t>
            </w:r>
            <w:r w:rsidRPr="00162277" w:rsidR="000543CD">
              <w:rPr>
                <w:sz w:val="20"/>
                <w:szCs w:val="20"/>
              </w:rPr>
              <w:t>2</w:t>
            </w:r>
            <w:r w:rsidR="009B0D90">
              <w:rPr>
                <w:sz w:val="20"/>
                <w:szCs w:val="20"/>
              </w:rPr>
              <w:t>73,504</w:t>
            </w:r>
          </w:p>
        </w:tc>
      </w:tr>
      <w:tr w:rsidRPr="00162277" w:rsidR="00AB47A5" w:rsidTr="00162277" w14:paraId="240FFFAE" w14:textId="77777777">
        <w:trPr>
          <w:trHeight w:val="144"/>
        </w:trPr>
        <w:tc>
          <w:tcPr>
            <w:tcW w:w="3348" w:type="dxa"/>
            <w:tcBorders>
              <w:top w:val="nil"/>
              <w:left w:val="nil"/>
              <w:bottom w:val="single" w:color="auto" w:sz="8" w:space="0"/>
              <w:right w:val="nil"/>
            </w:tcBorders>
            <w:shd w:val="clear" w:color="auto" w:fill="DBE5F1" w:themeFill="accent1" w:themeFillTint="33"/>
            <w:vAlign w:val="center"/>
            <w:hideMark/>
          </w:tcPr>
          <w:p w:rsidRPr="00162277" w:rsidR="007D1387" w:rsidP="00F6473A" w:rsidRDefault="007D1387" w14:paraId="2BC6740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rPr>
                <w:sz w:val="20"/>
                <w:szCs w:val="20"/>
              </w:rPr>
            </w:pPr>
            <w:r w:rsidRPr="00162277">
              <w:rPr>
                <w:sz w:val="20"/>
                <w:szCs w:val="20"/>
              </w:rPr>
              <w:t>3 Y</w:t>
            </w:r>
            <w:r w:rsidRPr="00162277" w:rsidR="00F2540C">
              <w:rPr>
                <w:sz w:val="20"/>
                <w:szCs w:val="20"/>
              </w:rPr>
              <w:t>ear</w:t>
            </w:r>
            <w:r w:rsidRPr="00162277">
              <w:rPr>
                <w:sz w:val="20"/>
                <w:szCs w:val="20"/>
              </w:rPr>
              <w:t xml:space="preserve"> Total</w:t>
            </w:r>
          </w:p>
        </w:tc>
        <w:tc>
          <w:tcPr>
            <w:tcW w:w="1440" w:type="dxa"/>
            <w:tcBorders>
              <w:top w:val="nil"/>
              <w:left w:val="nil"/>
              <w:bottom w:val="single" w:color="auto" w:sz="8" w:space="0"/>
              <w:right w:val="nil"/>
            </w:tcBorders>
            <w:shd w:val="clear" w:color="auto" w:fill="DBE5F1" w:themeFill="accent1" w:themeFillTint="33"/>
            <w:hideMark/>
          </w:tcPr>
          <w:p w:rsidRPr="00162277" w:rsidR="007D1387" w:rsidP="00F6473A" w:rsidRDefault="007D1387" w14:paraId="775D402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66,0</w:t>
            </w:r>
            <w:r w:rsidRPr="00162277" w:rsidR="006729BE">
              <w:rPr>
                <w:sz w:val="20"/>
                <w:szCs w:val="20"/>
              </w:rPr>
              <w:t>27</w:t>
            </w:r>
          </w:p>
        </w:tc>
        <w:tc>
          <w:tcPr>
            <w:tcW w:w="1768" w:type="dxa"/>
            <w:tcBorders>
              <w:top w:val="nil"/>
              <w:left w:val="nil"/>
              <w:bottom w:val="single" w:color="auto" w:sz="8" w:space="0"/>
              <w:right w:val="nil"/>
            </w:tcBorders>
            <w:shd w:val="clear" w:color="auto" w:fill="DBE5F1" w:themeFill="accent1" w:themeFillTint="33"/>
            <w:hideMark/>
          </w:tcPr>
          <w:p w:rsidRPr="00162277" w:rsidR="007D1387" w:rsidP="00F6473A" w:rsidRDefault="00DE5BB3" w14:paraId="4F72E053"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jc w:val="center"/>
              <w:rPr>
                <w:sz w:val="20"/>
                <w:szCs w:val="20"/>
              </w:rPr>
            </w:pPr>
            <w:r w:rsidRPr="00162277">
              <w:rPr>
                <w:sz w:val="20"/>
                <w:szCs w:val="20"/>
              </w:rPr>
              <w:t>--</w:t>
            </w:r>
          </w:p>
        </w:tc>
        <w:tc>
          <w:tcPr>
            <w:tcW w:w="1382" w:type="dxa"/>
            <w:tcBorders>
              <w:top w:val="nil"/>
              <w:left w:val="nil"/>
              <w:bottom w:val="single" w:color="auto" w:sz="8" w:space="0"/>
              <w:right w:val="nil"/>
            </w:tcBorders>
            <w:shd w:val="clear" w:color="auto" w:fill="DBE5F1" w:themeFill="accent1" w:themeFillTint="33"/>
            <w:hideMark/>
          </w:tcPr>
          <w:p w:rsidRPr="00162277" w:rsidR="007D1387" w:rsidP="00F6473A" w:rsidRDefault="00E51779" w14:paraId="0514A70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62"/>
              <w:jc w:val="right"/>
              <w:rPr>
                <w:sz w:val="20"/>
                <w:szCs w:val="20"/>
              </w:rPr>
            </w:pPr>
            <w:r w:rsidRPr="00162277">
              <w:rPr>
                <w:sz w:val="20"/>
                <w:szCs w:val="20"/>
              </w:rPr>
              <w:t>21,74</w:t>
            </w:r>
            <w:r w:rsidRPr="00162277" w:rsidR="006729BE">
              <w:rPr>
                <w:sz w:val="20"/>
                <w:szCs w:val="20"/>
              </w:rPr>
              <w:t>7</w:t>
            </w:r>
          </w:p>
        </w:tc>
        <w:tc>
          <w:tcPr>
            <w:tcW w:w="1638" w:type="dxa"/>
            <w:tcBorders>
              <w:top w:val="nil"/>
              <w:left w:val="nil"/>
              <w:bottom w:val="single" w:color="auto" w:sz="8" w:space="0"/>
              <w:right w:val="nil"/>
            </w:tcBorders>
            <w:shd w:val="clear" w:color="auto" w:fill="DBE5F1" w:themeFill="accent1" w:themeFillTint="33"/>
            <w:hideMark/>
          </w:tcPr>
          <w:p w:rsidRPr="00162277" w:rsidR="007D1387" w:rsidP="0033533D" w:rsidRDefault="007D1387" w14:paraId="04574C1F" w14:textId="4F7F1D63">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48" w:beforeLines="20" w:after="48" w:afterLines="20"/>
              <w:ind w:right="180"/>
              <w:jc w:val="right"/>
              <w:rPr>
                <w:sz w:val="20"/>
                <w:szCs w:val="20"/>
              </w:rPr>
            </w:pPr>
            <w:r w:rsidRPr="00162277">
              <w:rPr>
                <w:sz w:val="20"/>
                <w:szCs w:val="20"/>
              </w:rPr>
              <w:t>$</w:t>
            </w:r>
            <w:r w:rsidR="0022671A">
              <w:rPr>
                <w:sz w:val="20"/>
                <w:szCs w:val="20"/>
              </w:rPr>
              <w:t xml:space="preserve"> </w:t>
            </w:r>
            <w:r w:rsidR="00AE517D">
              <w:rPr>
                <w:sz w:val="20"/>
                <w:szCs w:val="20"/>
              </w:rPr>
              <w:t>8</w:t>
            </w:r>
            <w:r w:rsidR="0033533D">
              <w:rPr>
                <w:sz w:val="20"/>
                <w:szCs w:val="20"/>
              </w:rPr>
              <w:t>2</w:t>
            </w:r>
            <w:r w:rsidR="00AE517D">
              <w:rPr>
                <w:sz w:val="20"/>
                <w:szCs w:val="20"/>
              </w:rPr>
              <w:t>0,</w:t>
            </w:r>
            <w:r w:rsidR="0033533D">
              <w:rPr>
                <w:sz w:val="20"/>
                <w:szCs w:val="20"/>
              </w:rPr>
              <w:t>512</w:t>
            </w:r>
          </w:p>
        </w:tc>
      </w:tr>
      <w:tr w:rsidRPr="006D678A" w:rsidR="007D1387" w:rsidTr="00DE5BB3" w14:paraId="72ADFBDF" w14:textId="77777777">
        <w:tblPrEx>
          <w:jc w:val="center"/>
        </w:tblPrEx>
        <w:trPr>
          <w:trHeight w:val="348"/>
          <w:jc w:val="center"/>
        </w:trPr>
        <w:tc>
          <w:tcPr>
            <w:tcW w:w="9576" w:type="dxa"/>
            <w:gridSpan w:val="5"/>
            <w:tcBorders>
              <w:top w:val="single" w:color="auto" w:sz="8" w:space="0"/>
              <w:left w:val="nil"/>
              <w:bottom w:val="nil"/>
              <w:right w:val="nil"/>
            </w:tcBorders>
            <w:shd w:val="clear" w:color="auto" w:fill="auto"/>
            <w:vAlign w:val="center"/>
            <w:hideMark/>
          </w:tcPr>
          <w:p w:rsidRPr="00777FE0" w:rsidR="002D5F25" w:rsidP="00F6473A" w:rsidRDefault="007D1387" w14:paraId="14D07574" w14:textId="255EBBC3">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sz w:val="20"/>
                <w:szCs w:val="20"/>
              </w:rPr>
            </w:pPr>
            <w:r w:rsidRPr="00777FE0">
              <w:rPr>
                <w:sz w:val="20"/>
                <w:szCs w:val="20"/>
              </w:rPr>
              <w:t xml:space="preserve">*Includes </w:t>
            </w:r>
            <w:r w:rsidRPr="00777FE0" w:rsidR="0022671A">
              <w:rPr>
                <w:sz w:val="20"/>
                <w:szCs w:val="20"/>
              </w:rPr>
              <w:t>2-minute</w:t>
            </w:r>
            <w:r w:rsidRPr="00777FE0">
              <w:rPr>
                <w:sz w:val="20"/>
                <w:szCs w:val="20"/>
              </w:rPr>
              <w:t xml:space="preserve"> contact time for some surveys</w:t>
            </w:r>
            <w:r w:rsidRPr="00777FE0" w:rsidR="00F36550">
              <w:rPr>
                <w:sz w:val="20"/>
                <w:szCs w:val="20"/>
              </w:rPr>
              <w:t>, interviews and focus groups and approximately 2,500 electronic surveys.</w:t>
            </w:r>
          </w:p>
          <w:p w:rsidRPr="00777FE0" w:rsidR="00DF3F64" w:rsidP="00F6473A" w:rsidRDefault="002D5F25" w14:paraId="76FD68E4" w14:textId="0A4794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rPr>
                <w:sz w:val="20"/>
                <w:szCs w:val="20"/>
              </w:rPr>
            </w:pPr>
            <w:r w:rsidRPr="00777FE0">
              <w:rPr>
                <w:sz w:val="20"/>
                <w:szCs w:val="20"/>
              </w:rPr>
              <w:t>**All figures are rounded.</w:t>
            </w:r>
          </w:p>
        </w:tc>
      </w:tr>
    </w:tbl>
    <w:p w:rsidR="00344541" w:rsidP="00F6473A" w:rsidRDefault="00344541" w14:paraId="17A47C6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02CEF" w:rsidR="00C02CEF" w:rsidP="00F6473A" w:rsidRDefault="00236677" w14:paraId="1C44F534"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13.</w:t>
      </w:r>
      <w:r w:rsidRPr="00C95CD5">
        <w:tab/>
      </w:r>
      <w:r w:rsidRPr="00C02CEF" w:rsidR="00C02CEF">
        <w:t>Provide an estimate of the total annual non-hour cost burden to respondents or recordkeepers resulting from the collection of information</w:t>
      </w:r>
      <w:r w:rsidR="00150231">
        <w:t xml:space="preserve">. </w:t>
      </w:r>
      <w:r w:rsidRPr="00C02CEF" w:rsidR="00C02CEF">
        <w:t>(Do not include the cost of any hour burden already reflected in item 12.)</w:t>
      </w:r>
    </w:p>
    <w:p w:rsidRPr="007C3160" w:rsidR="00C02CEF" w:rsidP="00F6473A" w:rsidRDefault="007C3160" w14:paraId="1C7F7C7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sidR="00C02CEF">
        <w:rPr>
          <w:b/>
        </w:rPr>
        <w:t>The cost estimate should be split into two components: (a) a total capital and start-up cost component (annualized over its expected useful life) and (b) a total operation and maintenance and purchase of services component</w:t>
      </w:r>
      <w:r w:rsidR="00150231">
        <w:rPr>
          <w:b/>
        </w:rPr>
        <w:t xml:space="preserve">. </w:t>
      </w:r>
      <w:r w:rsidRPr="007C3160" w:rsidR="00C02CEF">
        <w:rPr>
          <w:b/>
        </w:rPr>
        <w:t>The estimates should take into account costs associated with generating, maintaining, and disclosing or providing the information (including filing fees paid for form processing)</w:t>
      </w:r>
      <w:r w:rsidR="00150231">
        <w:rPr>
          <w:b/>
        </w:rPr>
        <w:t xml:space="preserve">. </w:t>
      </w:r>
      <w:r w:rsidRPr="007C3160" w:rsidR="00C02CEF">
        <w:rPr>
          <w:b/>
        </w:rPr>
        <w:t>Include descriptions of methods used to estimate major cost factors including system and technology acquisition, expected useful life of capital equipment, the discount rate(s), and the time period over which costs will be incurred</w:t>
      </w:r>
      <w:r w:rsidR="00150231">
        <w:rPr>
          <w:b/>
        </w:rPr>
        <w:t xml:space="preserve">. </w:t>
      </w:r>
      <w:r w:rsidRPr="007C3160" w:rsidR="00C02CEF">
        <w:rPr>
          <w:b/>
        </w:rPr>
        <w:t>Capital and start-up costs include, among other items, preparations for collecting information such as purchasing computers and software; monitoring, sampling, drilling and testing equipment; and record storage facilities.</w:t>
      </w:r>
    </w:p>
    <w:p w:rsidRPr="007C3160" w:rsidR="00C02CEF" w:rsidP="00F6473A" w:rsidRDefault="007C3160" w14:paraId="61D5EFDD"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rPr>
          <w:b/>
        </w:rPr>
      </w:pPr>
      <w:r w:rsidRPr="007C3160">
        <w:rPr>
          <w:b/>
        </w:rPr>
        <w:t>*</w:t>
      </w:r>
      <w:r w:rsidR="002B28AC">
        <w:rPr>
          <w:b/>
        </w:rPr>
        <w:tab/>
      </w:r>
      <w:r w:rsidRPr="007C3160" w:rsidR="00C02CEF">
        <w:rPr>
          <w:b/>
        </w:rPr>
        <w:t>If cost estimates are expected to vary widely, agencies should present ranges of cost burdens and explain the reasons for the variance</w:t>
      </w:r>
      <w:r w:rsidR="00150231">
        <w:rPr>
          <w:b/>
        </w:rPr>
        <w:t xml:space="preserve">. </w:t>
      </w:r>
      <w:r w:rsidRPr="007C3160" w:rsidR="00C02CEF">
        <w:rPr>
          <w:b/>
        </w:rPr>
        <w:t>The cost of purchasing or contracting out information collection services should be a part of this cost burden estimate</w:t>
      </w:r>
      <w:r w:rsidR="00150231">
        <w:rPr>
          <w:b/>
        </w:rPr>
        <w:t xml:space="preserve">. </w:t>
      </w:r>
      <w:r w:rsidRPr="007C3160" w:rsidR="00C02CEF">
        <w:rPr>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95CD5" w:rsidR="00984E9E" w:rsidP="00F6473A" w:rsidRDefault="00C02CEF" w14:paraId="675FD1F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ind w:left="720" w:hanging="360"/>
      </w:pPr>
      <w:r w:rsidRPr="007C3160">
        <w:rPr>
          <w:b/>
        </w:rPr>
        <w:t>*</w:t>
      </w:r>
      <w:r w:rsidR="002B28AC">
        <w:rPr>
          <w:b/>
        </w:rPr>
        <w:tab/>
      </w:r>
      <w:r w:rsidRPr="007C3160">
        <w:rPr>
          <w:b/>
        </w:rPr>
        <w:t xml:space="preserve">Generally, estimates should not include purchases of equipment or services, or </w:t>
      </w:r>
      <w:r w:rsidRPr="007C3160">
        <w:rPr>
          <w:b/>
        </w:rPr>
        <w:lastRenderedPageBreak/>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95CD5" w:rsidP="00F6473A" w:rsidRDefault="00C95CD5" w14:paraId="6205F08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18E94D0D"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There is no non-ho</w:t>
      </w:r>
      <w:r w:rsidRPr="00C95CD5" w:rsidR="00DF211A">
        <w:t>ur cost burden, record keeping</w:t>
      </w:r>
      <w:r w:rsidR="000543CD">
        <w:t>,</w:t>
      </w:r>
      <w:r w:rsidRPr="00C95CD5" w:rsidR="00DF211A">
        <w:t xml:space="preserve"> </w:t>
      </w:r>
      <w:r w:rsidRPr="00C95CD5">
        <w:t>or any fees associated this collection.</w:t>
      </w:r>
    </w:p>
    <w:p w:rsidRPr="00C95CD5" w:rsidR="00984E9E" w:rsidP="00F6473A" w:rsidRDefault="00984E9E" w14:paraId="493DB5AD"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5F6F9266"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14.</w:t>
      </w:r>
      <w:r w:rsidRPr="00C95CD5">
        <w:tab/>
      </w:r>
      <w:r w:rsidRPr="00C57665" w:rsidR="00C57665">
        <w:t>Provide estimates of annualized cost to the Federal government</w:t>
      </w:r>
      <w:r w:rsidR="00150231">
        <w:t xml:space="preserve">. </w:t>
      </w:r>
      <w:r w:rsidRPr="00C57665" w:rsidR="00C57665">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95CD5" w:rsidP="00F6473A" w:rsidRDefault="00C95CD5" w14:paraId="56504A1D"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C81553" w:rsidP="00F6473A" w:rsidRDefault="007B6F30" w14:paraId="61382C6D" w14:textId="66922BB0">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 xml:space="preserve">The total estimated </w:t>
      </w:r>
      <w:r w:rsidRPr="00C95CD5">
        <w:t xml:space="preserve">annualized </w:t>
      </w:r>
      <w:r>
        <w:t xml:space="preserve">cost for this </w:t>
      </w:r>
      <w:r w:rsidRPr="00C95CD5">
        <w:t xml:space="preserve">generic clearance </w:t>
      </w:r>
      <w:r>
        <w:t xml:space="preserve">is </w:t>
      </w:r>
      <w:r w:rsidRPr="005B77FA">
        <w:rPr>
          <w:b/>
        </w:rPr>
        <w:t>$1,41</w:t>
      </w:r>
      <w:r w:rsidR="005B77FA">
        <w:rPr>
          <w:b/>
        </w:rPr>
        <w:t>7,532</w:t>
      </w:r>
      <w:r w:rsidR="005C117D">
        <w:t xml:space="preserve">, which includes </w:t>
      </w:r>
      <w:r>
        <w:t>$</w:t>
      </w:r>
      <w:r w:rsidR="005B77FA">
        <w:rPr>
          <w:sz w:val="20"/>
          <w:szCs w:val="20"/>
        </w:rPr>
        <w:t>17,532 (rounded)</w:t>
      </w:r>
      <w:r>
        <w:t xml:space="preserve"> </w:t>
      </w:r>
      <w:r w:rsidR="005C117D">
        <w:t>in</w:t>
      </w:r>
      <w:r>
        <w:t xml:space="preserve"> </w:t>
      </w:r>
      <w:r w:rsidR="00937784">
        <w:t xml:space="preserve">fixed </w:t>
      </w:r>
      <w:r>
        <w:t>salar</w:t>
      </w:r>
      <w:r w:rsidR="00892A6E">
        <w:t>y</w:t>
      </w:r>
      <w:r>
        <w:t xml:space="preserve"> </w:t>
      </w:r>
      <w:r w:rsidR="00937784">
        <w:t xml:space="preserve">costs </w:t>
      </w:r>
      <w:r w:rsidR="005C117D">
        <w:t xml:space="preserve">to administer the programmatic clearance (Table 2) </w:t>
      </w:r>
      <w:r>
        <w:t>and $</w:t>
      </w:r>
      <w:r w:rsidR="00892A6E">
        <w:t>1,400,000</w:t>
      </w:r>
      <w:r>
        <w:t xml:space="preserve"> </w:t>
      </w:r>
      <w:r w:rsidR="005C117D">
        <w:t>in</w:t>
      </w:r>
      <w:r>
        <w:t xml:space="preserve"> </w:t>
      </w:r>
      <w:r w:rsidR="005C117D">
        <w:t>other</w:t>
      </w:r>
      <w:r>
        <w:t xml:space="preserve"> costs</w:t>
      </w:r>
      <w:r w:rsidR="005C117D">
        <w:t xml:space="preserve"> associated with the collection of information (</w:t>
      </w:r>
      <w:r w:rsidRPr="00C95CD5" w:rsidR="005C117D">
        <w:t>Table 3</w:t>
      </w:r>
      <w:r w:rsidR="005C117D">
        <w:t>)</w:t>
      </w:r>
      <w:r>
        <w:t>.</w:t>
      </w:r>
    </w:p>
    <w:p w:rsidR="00C81553" w:rsidP="00F6473A" w:rsidRDefault="00C81553" w14:paraId="430D2F09"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C81553" w:rsidP="00F6473A" w:rsidRDefault="001E2CED" w14:paraId="6BD23326" w14:textId="590F8D98">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We estimate that there will be an average of 35 submissions per year</w:t>
      </w:r>
      <w:r>
        <w:t xml:space="preserve">. </w:t>
      </w:r>
      <w:r w:rsidR="00F5203A">
        <w:t xml:space="preserve"> </w:t>
      </w:r>
      <w:r w:rsidRPr="00C95CD5" w:rsidR="00C81553">
        <w:t xml:space="preserve">Using the NPS Programmatic Clearance (OMB Control Number 1024-0224) as a model, we provide a reasoned estimate based upon their experience with the resources necessary for the development, review and submission of each ICR. </w:t>
      </w:r>
      <w:r w:rsidR="00BA3D2D">
        <w:t xml:space="preserve"> </w:t>
      </w:r>
      <w:r w:rsidRPr="00C95CD5" w:rsidR="00B14D04">
        <w:t xml:space="preserve">Although the time to review each submission will vary depending on the complexity and completeness of each </w:t>
      </w:r>
      <w:r w:rsidRPr="00C95CD5" w:rsidR="0022671A">
        <w:t>ICR,</w:t>
      </w:r>
      <w:r w:rsidRPr="00C95CD5" w:rsidR="00B14D04">
        <w:t xml:space="preserve"> we have assumed a ratio of 10 hours of time per Federal worker associated with the development of a programmatic submission</w:t>
      </w:r>
      <w:r w:rsidR="00150231">
        <w:t xml:space="preserve">. </w:t>
      </w:r>
      <w:r w:rsidR="00BA3D2D">
        <w:t xml:space="preserve"> </w:t>
      </w:r>
      <w:r w:rsidRPr="00C95CD5" w:rsidR="00236677">
        <w:t xml:space="preserve">We used the Office of Personnel Management Salary Table </w:t>
      </w:r>
      <w:hyperlink w:history="1" r:id="rId19">
        <w:r w:rsidR="0070226C">
          <w:rPr>
            <w:rStyle w:val="Hyperlink"/>
          </w:rPr>
          <w:t>2020-D</w:t>
        </w:r>
        <w:r w:rsidR="0070226C">
          <w:rPr>
            <w:rStyle w:val="Hyperlink"/>
          </w:rPr>
          <w:t>E</w:t>
        </w:r>
        <w:r w:rsidR="0070226C">
          <w:rPr>
            <w:rStyle w:val="Hyperlink"/>
          </w:rPr>
          <w:t>N</w:t>
        </w:r>
      </w:hyperlink>
      <w:r w:rsidRPr="00C95CD5" w:rsidR="00236677">
        <w:t xml:space="preserve"> to</w:t>
      </w:r>
      <w:r w:rsidR="000543CD">
        <w:t xml:space="preserve"> determine the hourly rate</w:t>
      </w:r>
      <w:r w:rsidR="00150231">
        <w:t xml:space="preserve">. </w:t>
      </w:r>
      <w:r w:rsidR="00BA3D2D">
        <w:t xml:space="preserve"> </w:t>
      </w:r>
      <w:r w:rsidRPr="00C95CD5" w:rsidR="00236677">
        <w:t>We multiplied the hourly rate by 1.</w:t>
      </w:r>
      <w:r w:rsidR="000543CD">
        <w:t>5</w:t>
      </w:r>
      <w:r w:rsidR="00065595">
        <w:t>9</w:t>
      </w:r>
      <w:r w:rsidR="000543CD">
        <w:t xml:space="preserve"> </w:t>
      </w:r>
      <w:r w:rsidRPr="00C95CD5" w:rsidR="00236677">
        <w:t>to account for benefits</w:t>
      </w:r>
      <w:r w:rsidR="000543CD">
        <w:t xml:space="preserve"> in accordance with </w:t>
      </w:r>
      <w:r w:rsidR="0070226C">
        <w:t xml:space="preserve">BLS </w:t>
      </w:r>
      <w:r w:rsidR="00F5203A">
        <w:t>N</w:t>
      </w:r>
      <w:r w:rsidRPr="0094045F" w:rsidR="00F5203A">
        <w:t xml:space="preserve">ews </w:t>
      </w:r>
      <w:r w:rsidR="00F5203A">
        <w:t>R</w:t>
      </w:r>
      <w:r w:rsidRPr="0094045F" w:rsidR="00F5203A">
        <w:t xml:space="preserve">elease </w:t>
      </w:r>
      <w:hyperlink w:history="1" r:id="rId20">
        <w:r w:rsidR="00F5203A">
          <w:rPr>
            <w:rStyle w:val="Hyperlink"/>
          </w:rPr>
          <w:t>USDL-20-1232</w:t>
        </w:r>
      </w:hyperlink>
      <w:r w:rsidR="00150231">
        <w:t xml:space="preserve">. </w:t>
      </w:r>
    </w:p>
    <w:p w:rsidR="00C81553" w:rsidP="00F6473A" w:rsidRDefault="00C81553" w14:paraId="7A01328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984E9E" w:rsidP="00F6473A" w:rsidRDefault="00236677" w14:paraId="140940F7" w14:textId="77CEEDFD">
      <w:pPr>
        <w:keepNext/>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892A6E">
        <w:rPr>
          <w:b/>
        </w:rPr>
        <w:t xml:space="preserve">Table </w:t>
      </w:r>
      <w:r w:rsidR="00CA7109">
        <w:rPr>
          <w:b/>
        </w:rPr>
        <w:t>14.1</w:t>
      </w:r>
      <w:r w:rsidRPr="00CA7109" w:rsidR="00CA7109">
        <w:t xml:space="preserve"> - </w:t>
      </w:r>
      <w:r w:rsidR="00892A6E">
        <w:t>Fixed</w:t>
      </w:r>
      <w:r w:rsidRPr="00C95CD5">
        <w:t xml:space="preserve"> costs </w:t>
      </w:r>
      <w:r w:rsidR="00013B7E">
        <w:t xml:space="preserve">for </w:t>
      </w:r>
      <w:r w:rsidR="004451F7">
        <w:t xml:space="preserve">U.S. Fish and Wildlife Service </w:t>
      </w:r>
      <w:r w:rsidR="00892A6E">
        <w:t xml:space="preserve">administration of the </w:t>
      </w:r>
      <w:r w:rsidR="00013B7E">
        <w:t>programmatic clearance.</w:t>
      </w:r>
    </w:p>
    <w:tbl>
      <w:tblPr>
        <w:tblStyle w:val="a2"/>
        <w:tblW w:w="4978" w:type="pct"/>
        <w:tblLayout w:type="fixed"/>
        <w:tblLook w:val="0000" w:firstRow="0" w:lastRow="0" w:firstColumn="0" w:lastColumn="0" w:noHBand="0" w:noVBand="0"/>
      </w:tblPr>
      <w:tblGrid>
        <w:gridCol w:w="1435"/>
        <w:gridCol w:w="1080"/>
        <w:gridCol w:w="900"/>
        <w:gridCol w:w="1800"/>
        <w:gridCol w:w="1710"/>
        <w:gridCol w:w="1170"/>
        <w:gridCol w:w="1214"/>
      </w:tblGrid>
      <w:tr w:rsidRPr="00892A6E" w:rsidR="00892A6E" w:rsidTr="0022671A" w14:paraId="2D576AEA" w14:textId="77777777">
        <w:trPr>
          <w:cantSplit/>
          <w:trHeight w:val="584"/>
        </w:trPr>
        <w:tc>
          <w:tcPr>
            <w:tcW w:w="1435" w:type="dxa"/>
            <w:tcBorders>
              <w:top w:val="single" w:color="000000" w:sz="4" w:space="0"/>
              <w:left w:val="single" w:color="000000" w:sz="4" w:space="0"/>
              <w:bottom w:val="single" w:color="000000" w:sz="4" w:space="0"/>
              <w:right w:val="single" w:color="000000" w:sz="4" w:space="0"/>
            </w:tcBorders>
            <w:shd w:val="clear" w:color="auto" w:fill="B8CCE4"/>
            <w:vAlign w:val="bottom"/>
          </w:tcPr>
          <w:p w:rsidRPr="0022671A" w:rsidR="00984E9E" w:rsidP="00F6473A" w:rsidRDefault="00236677" w14:paraId="420E07B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b/>
                <w:sz w:val="15"/>
                <w:szCs w:val="15"/>
              </w:rPr>
            </w:pPr>
            <w:r w:rsidRPr="0022671A">
              <w:rPr>
                <w:b/>
                <w:sz w:val="15"/>
                <w:szCs w:val="15"/>
              </w:rPr>
              <w:t>Position</w:t>
            </w:r>
          </w:p>
        </w:tc>
        <w:tc>
          <w:tcPr>
            <w:tcW w:w="1080" w:type="dxa"/>
            <w:tcBorders>
              <w:top w:val="single" w:color="000000" w:sz="4" w:space="0"/>
              <w:left w:val="nil"/>
              <w:bottom w:val="single" w:color="000000" w:sz="4" w:space="0"/>
              <w:right w:val="single" w:color="000000" w:sz="4" w:space="0"/>
            </w:tcBorders>
            <w:shd w:val="clear" w:color="auto" w:fill="B8CCE4"/>
            <w:vAlign w:val="bottom"/>
          </w:tcPr>
          <w:p w:rsidRPr="0022671A" w:rsidR="00984E9E" w:rsidP="00F6473A" w:rsidRDefault="00236677" w14:paraId="2F49E17A"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b/>
                <w:sz w:val="15"/>
                <w:szCs w:val="15"/>
              </w:rPr>
            </w:pPr>
            <w:r w:rsidRPr="0022671A">
              <w:rPr>
                <w:b/>
                <w:sz w:val="15"/>
                <w:szCs w:val="15"/>
              </w:rPr>
              <w:t>Grade/</w:t>
            </w:r>
            <w:r w:rsidRPr="0022671A" w:rsidR="00761AA8">
              <w:rPr>
                <w:b/>
                <w:sz w:val="15"/>
                <w:szCs w:val="15"/>
              </w:rPr>
              <w:br/>
            </w:r>
            <w:r w:rsidRPr="0022671A">
              <w:rPr>
                <w:b/>
                <w:sz w:val="15"/>
                <w:szCs w:val="15"/>
              </w:rPr>
              <w:t>Step</w:t>
            </w:r>
          </w:p>
        </w:tc>
        <w:tc>
          <w:tcPr>
            <w:tcW w:w="900" w:type="dxa"/>
            <w:tcBorders>
              <w:top w:val="single" w:color="000000" w:sz="4" w:space="0"/>
              <w:left w:val="nil"/>
              <w:bottom w:val="single" w:color="000000" w:sz="4" w:space="0"/>
              <w:right w:val="single" w:color="000000" w:sz="4" w:space="0"/>
            </w:tcBorders>
            <w:shd w:val="clear" w:color="auto" w:fill="B8CCE4"/>
            <w:vAlign w:val="bottom"/>
          </w:tcPr>
          <w:p w:rsidRPr="0022671A" w:rsidR="00984E9E" w:rsidP="00F6473A" w:rsidRDefault="00236677" w14:paraId="405BC66F"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b/>
                <w:sz w:val="15"/>
                <w:szCs w:val="15"/>
              </w:rPr>
            </w:pPr>
            <w:r w:rsidRPr="0022671A">
              <w:rPr>
                <w:b/>
                <w:sz w:val="15"/>
                <w:szCs w:val="15"/>
              </w:rPr>
              <w:t>Hourly</w:t>
            </w:r>
            <w:r w:rsidRPr="0022671A" w:rsidR="00761AA8">
              <w:rPr>
                <w:b/>
                <w:sz w:val="15"/>
                <w:szCs w:val="15"/>
              </w:rPr>
              <w:br/>
            </w:r>
            <w:r w:rsidRPr="0022671A">
              <w:rPr>
                <w:b/>
                <w:sz w:val="15"/>
                <w:szCs w:val="15"/>
              </w:rPr>
              <w:t>Rate</w:t>
            </w:r>
          </w:p>
        </w:tc>
        <w:tc>
          <w:tcPr>
            <w:tcW w:w="1800" w:type="dxa"/>
            <w:tcBorders>
              <w:top w:val="single" w:color="000000" w:sz="4" w:space="0"/>
              <w:left w:val="nil"/>
              <w:bottom w:val="single" w:color="000000" w:sz="4" w:space="0"/>
              <w:right w:val="single" w:color="000000" w:sz="4" w:space="0"/>
            </w:tcBorders>
            <w:shd w:val="clear" w:color="auto" w:fill="B8CCE4"/>
            <w:vAlign w:val="bottom"/>
          </w:tcPr>
          <w:p w:rsidRPr="0022671A" w:rsidR="00984E9E" w:rsidP="00F6473A" w:rsidRDefault="00236677" w14:paraId="1BD8643F" w14:textId="31B4B4A9">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b/>
                <w:sz w:val="15"/>
                <w:szCs w:val="15"/>
              </w:rPr>
            </w:pPr>
            <w:r w:rsidRPr="0022671A">
              <w:rPr>
                <w:b/>
                <w:sz w:val="15"/>
                <w:szCs w:val="15"/>
              </w:rPr>
              <w:t>Hourly Rate</w:t>
            </w:r>
            <w:r w:rsidRPr="0022671A" w:rsidR="007B6F30">
              <w:rPr>
                <w:b/>
                <w:sz w:val="15"/>
                <w:szCs w:val="15"/>
              </w:rPr>
              <w:br/>
            </w:r>
            <w:r w:rsidRPr="0022671A">
              <w:rPr>
                <w:b/>
                <w:sz w:val="15"/>
                <w:szCs w:val="15"/>
              </w:rPr>
              <w:t>incl. benefits</w:t>
            </w:r>
            <w:r w:rsidRPr="0022671A" w:rsidR="007B6F30">
              <w:rPr>
                <w:b/>
                <w:sz w:val="15"/>
                <w:szCs w:val="15"/>
              </w:rPr>
              <w:br/>
            </w:r>
            <w:r w:rsidRPr="0022671A">
              <w:rPr>
                <w:b/>
                <w:sz w:val="15"/>
                <w:szCs w:val="15"/>
              </w:rPr>
              <w:t>(1.</w:t>
            </w:r>
            <w:r w:rsidRPr="0022671A" w:rsidR="00225A5C">
              <w:rPr>
                <w:b/>
                <w:sz w:val="15"/>
                <w:szCs w:val="15"/>
              </w:rPr>
              <w:t>5</w:t>
            </w:r>
            <w:r w:rsidRPr="0022671A" w:rsidR="00356CEA">
              <w:rPr>
                <w:b/>
                <w:sz w:val="15"/>
                <w:szCs w:val="15"/>
              </w:rPr>
              <w:t>9</w:t>
            </w:r>
            <w:r w:rsidRPr="0022671A" w:rsidR="00A6271A">
              <w:rPr>
                <w:b/>
                <w:sz w:val="15"/>
                <w:szCs w:val="15"/>
              </w:rPr>
              <w:t xml:space="preserve"> </w:t>
            </w:r>
            <w:r w:rsidRPr="0022671A">
              <w:rPr>
                <w:b/>
                <w:sz w:val="15"/>
                <w:szCs w:val="15"/>
              </w:rPr>
              <w:t xml:space="preserve">x </w:t>
            </w:r>
            <w:r w:rsidRPr="0022671A" w:rsidR="007B6F30">
              <w:rPr>
                <w:b/>
                <w:sz w:val="15"/>
                <w:szCs w:val="15"/>
              </w:rPr>
              <w:t>H</w:t>
            </w:r>
            <w:r w:rsidRPr="0022671A">
              <w:rPr>
                <w:b/>
                <w:sz w:val="15"/>
                <w:szCs w:val="15"/>
              </w:rPr>
              <w:t xml:space="preserve">ourly </w:t>
            </w:r>
            <w:r w:rsidRPr="0022671A" w:rsidR="007B6F30">
              <w:rPr>
                <w:b/>
                <w:sz w:val="15"/>
                <w:szCs w:val="15"/>
              </w:rPr>
              <w:t>R</w:t>
            </w:r>
            <w:r w:rsidRPr="0022671A">
              <w:rPr>
                <w:b/>
                <w:sz w:val="15"/>
                <w:szCs w:val="15"/>
              </w:rPr>
              <w:t>ate)</w:t>
            </w:r>
          </w:p>
        </w:tc>
        <w:tc>
          <w:tcPr>
            <w:tcW w:w="1710" w:type="dxa"/>
            <w:tcBorders>
              <w:top w:val="single" w:color="000000" w:sz="4" w:space="0"/>
              <w:left w:val="nil"/>
              <w:bottom w:val="single" w:color="000000" w:sz="4" w:space="0"/>
              <w:right w:val="single" w:color="000000" w:sz="4" w:space="0"/>
            </w:tcBorders>
            <w:shd w:val="clear" w:color="auto" w:fill="B8CCE4"/>
            <w:vAlign w:val="bottom"/>
          </w:tcPr>
          <w:p w:rsidRPr="0022671A" w:rsidR="00984E9E" w:rsidP="00F6473A" w:rsidRDefault="00236677" w14:paraId="578A892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b/>
                <w:sz w:val="15"/>
                <w:szCs w:val="15"/>
              </w:rPr>
            </w:pPr>
            <w:r w:rsidRPr="0022671A">
              <w:rPr>
                <w:b/>
                <w:sz w:val="15"/>
                <w:szCs w:val="15"/>
              </w:rPr>
              <w:t>Estimated</w:t>
            </w:r>
            <w:r w:rsidRPr="0022671A" w:rsidR="007B6F30">
              <w:rPr>
                <w:b/>
                <w:sz w:val="15"/>
                <w:szCs w:val="15"/>
              </w:rPr>
              <w:br/>
            </w:r>
            <w:r w:rsidRPr="0022671A">
              <w:rPr>
                <w:b/>
                <w:sz w:val="15"/>
                <w:szCs w:val="15"/>
              </w:rPr>
              <w:t>time (hours)</w:t>
            </w:r>
            <w:r w:rsidRPr="0022671A" w:rsidR="007B6F30">
              <w:rPr>
                <w:b/>
                <w:sz w:val="15"/>
                <w:szCs w:val="15"/>
              </w:rPr>
              <w:br/>
            </w:r>
            <w:r w:rsidRPr="0022671A">
              <w:rPr>
                <w:b/>
                <w:sz w:val="15"/>
                <w:szCs w:val="15"/>
              </w:rPr>
              <w:t>per</w:t>
            </w:r>
            <w:r w:rsidRPr="0022671A" w:rsidR="007B6F30">
              <w:rPr>
                <w:b/>
                <w:sz w:val="15"/>
                <w:szCs w:val="15"/>
              </w:rPr>
              <w:br/>
            </w:r>
            <w:r w:rsidRPr="0022671A" w:rsidR="00225A5C">
              <w:rPr>
                <w:b/>
                <w:sz w:val="15"/>
                <w:szCs w:val="15"/>
              </w:rPr>
              <w:t>S</w:t>
            </w:r>
            <w:r w:rsidRPr="0022671A">
              <w:rPr>
                <w:b/>
                <w:sz w:val="15"/>
                <w:szCs w:val="15"/>
              </w:rPr>
              <w:t>ubmission</w:t>
            </w:r>
          </w:p>
        </w:tc>
        <w:tc>
          <w:tcPr>
            <w:tcW w:w="1170" w:type="dxa"/>
            <w:tcBorders>
              <w:top w:val="single" w:color="000000" w:sz="4" w:space="0"/>
              <w:left w:val="nil"/>
              <w:bottom w:val="single" w:color="000000" w:sz="4" w:space="0"/>
              <w:right w:val="single" w:color="000000" w:sz="4" w:space="0"/>
            </w:tcBorders>
            <w:shd w:val="clear" w:color="auto" w:fill="B8CCE4"/>
            <w:vAlign w:val="bottom"/>
          </w:tcPr>
          <w:p w:rsidRPr="0022671A" w:rsidR="00984E9E" w:rsidP="00F6473A" w:rsidRDefault="00236677" w14:paraId="78BC3C7C" w14:textId="391F5E81">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b/>
                <w:sz w:val="15"/>
                <w:szCs w:val="15"/>
              </w:rPr>
            </w:pPr>
            <w:r w:rsidRPr="0022671A">
              <w:rPr>
                <w:b/>
                <w:sz w:val="15"/>
                <w:szCs w:val="15"/>
              </w:rPr>
              <w:t>Cost</w:t>
            </w:r>
            <w:r w:rsidRPr="0022671A" w:rsidR="0022671A">
              <w:rPr>
                <w:b/>
                <w:sz w:val="15"/>
                <w:szCs w:val="15"/>
              </w:rPr>
              <w:t xml:space="preserve"> </w:t>
            </w:r>
            <w:r w:rsidRPr="0022671A" w:rsidR="00C81553">
              <w:rPr>
                <w:b/>
                <w:sz w:val="15"/>
                <w:szCs w:val="15"/>
              </w:rPr>
              <w:t>p</w:t>
            </w:r>
            <w:r w:rsidRPr="0022671A">
              <w:rPr>
                <w:b/>
                <w:sz w:val="15"/>
                <w:szCs w:val="15"/>
              </w:rPr>
              <w:t>er</w:t>
            </w:r>
            <w:r w:rsidRPr="0022671A" w:rsidR="00761AA8">
              <w:rPr>
                <w:b/>
                <w:sz w:val="15"/>
                <w:szCs w:val="15"/>
              </w:rPr>
              <w:br/>
            </w:r>
            <w:r w:rsidRPr="0022671A" w:rsidR="00225A5C">
              <w:rPr>
                <w:b/>
                <w:sz w:val="15"/>
                <w:szCs w:val="15"/>
              </w:rPr>
              <w:t>S</w:t>
            </w:r>
            <w:r w:rsidRPr="0022671A">
              <w:rPr>
                <w:b/>
                <w:sz w:val="15"/>
                <w:szCs w:val="15"/>
              </w:rPr>
              <w:t>ubmission</w:t>
            </w:r>
          </w:p>
        </w:tc>
        <w:tc>
          <w:tcPr>
            <w:tcW w:w="1214" w:type="dxa"/>
            <w:tcBorders>
              <w:top w:val="single" w:color="000000" w:sz="4" w:space="0"/>
              <w:left w:val="nil"/>
              <w:bottom w:val="single" w:color="000000" w:sz="4" w:space="0"/>
              <w:right w:val="single" w:color="000000" w:sz="4" w:space="0"/>
            </w:tcBorders>
            <w:shd w:val="clear" w:color="auto" w:fill="B8CCE4"/>
            <w:vAlign w:val="bottom"/>
          </w:tcPr>
          <w:p w:rsidRPr="0022671A" w:rsidR="00984E9E" w:rsidP="00F6473A" w:rsidRDefault="00236677" w14:paraId="68695E6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b/>
                <w:sz w:val="15"/>
                <w:szCs w:val="15"/>
              </w:rPr>
            </w:pPr>
            <w:r w:rsidRPr="0022671A">
              <w:rPr>
                <w:b/>
                <w:sz w:val="15"/>
                <w:szCs w:val="15"/>
              </w:rPr>
              <w:t>Annual</w:t>
            </w:r>
            <w:r w:rsidRPr="0022671A" w:rsidR="00892A6E">
              <w:rPr>
                <w:b/>
                <w:sz w:val="15"/>
                <w:szCs w:val="15"/>
              </w:rPr>
              <w:br/>
            </w:r>
            <w:r w:rsidRPr="0022671A">
              <w:rPr>
                <w:b/>
                <w:sz w:val="15"/>
                <w:szCs w:val="15"/>
              </w:rPr>
              <w:t>Cost</w:t>
            </w:r>
            <w:r w:rsidRPr="0022671A" w:rsidR="00252002">
              <w:rPr>
                <w:b/>
                <w:sz w:val="15"/>
                <w:szCs w:val="15"/>
              </w:rPr>
              <w:br/>
            </w:r>
            <w:r w:rsidRPr="0022671A">
              <w:rPr>
                <w:b/>
                <w:sz w:val="15"/>
                <w:szCs w:val="15"/>
              </w:rPr>
              <w:t>(</w:t>
            </w:r>
            <w:r w:rsidRPr="0022671A" w:rsidR="00761AA8">
              <w:rPr>
                <w:b/>
                <w:sz w:val="15"/>
                <w:szCs w:val="15"/>
              </w:rPr>
              <w:t xml:space="preserve">x </w:t>
            </w:r>
            <w:r w:rsidRPr="0022671A" w:rsidR="006B7895">
              <w:rPr>
                <w:b/>
                <w:sz w:val="15"/>
                <w:szCs w:val="15"/>
              </w:rPr>
              <w:t>35</w:t>
            </w:r>
            <w:r w:rsidRPr="0022671A">
              <w:rPr>
                <w:b/>
                <w:sz w:val="15"/>
                <w:szCs w:val="15"/>
              </w:rPr>
              <w:t>)</w:t>
            </w:r>
          </w:p>
        </w:tc>
      </w:tr>
      <w:tr w:rsidRPr="00892A6E" w:rsidR="00225A5C" w:rsidTr="0022671A" w14:paraId="5ECD5CA8" w14:textId="77777777">
        <w:trPr>
          <w:cantSplit/>
          <w:trHeight w:val="278"/>
        </w:trPr>
        <w:tc>
          <w:tcPr>
            <w:tcW w:w="1435" w:type="dxa"/>
            <w:tcBorders>
              <w:top w:val="single" w:color="000000" w:sz="4" w:space="0"/>
              <w:left w:val="single" w:color="000000" w:sz="4" w:space="0"/>
              <w:bottom w:val="single" w:color="000000" w:sz="4" w:space="0"/>
              <w:right w:val="single" w:color="000000" w:sz="4" w:space="0"/>
            </w:tcBorders>
            <w:vAlign w:val="center"/>
          </w:tcPr>
          <w:p w:rsidRPr="00892A6E" w:rsidR="00984E9E" w:rsidP="00F6473A" w:rsidRDefault="00892A6E" w14:paraId="0DAD5027" w14:textId="24D14B9B">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rPr>
                <w:sz w:val="18"/>
                <w:szCs w:val="18"/>
              </w:rPr>
            </w:pPr>
            <w:r>
              <w:rPr>
                <w:sz w:val="18"/>
                <w:szCs w:val="18"/>
              </w:rPr>
              <w:t>Administrative</w:t>
            </w:r>
          </w:p>
        </w:tc>
        <w:tc>
          <w:tcPr>
            <w:tcW w:w="1080" w:type="dxa"/>
            <w:tcBorders>
              <w:top w:val="single" w:color="000000" w:sz="4" w:space="0"/>
              <w:left w:val="nil"/>
              <w:bottom w:val="single" w:color="000000" w:sz="4" w:space="0"/>
              <w:right w:val="single" w:color="000000" w:sz="4" w:space="0"/>
            </w:tcBorders>
            <w:vAlign w:val="center"/>
          </w:tcPr>
          <w:p w:rsidRPr="00892A6E" w:rsidR="00984E9E" w:rsidP="00F6473A" w:rsidRDefault="00225A5C" w14:paraId="4CE8A409"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sz w:val="18"/>
                <w:szCs w:val="18"/>
              </w:rPr>
            </w:pPr>
            <w:r w:rsidRPr="00892A6E">
              <w:rPr>
                <w:sz w:val="18"/>
                <w:szCs w:val="18"/>
              </w:rPr>
              <w:t>GS-0</w:t>
            </w:r>
            <w:r w:rsidRPr="00892A6E" w:rsidR="00BB04E3">
              <w:rPr>
                <w:sz w:val="18"/>
                <w:szCs w:val="18"/>
              </w:rPr>
              <w:t>9/</w:t>
            </w:r>
            <w:r w:rsidRPr="00892A6E">
              <w:rPr>
                <w:sz w:val="18"/>
                <w:szCs w:val="18"/>
              </w:rPr>
              <w:t>0</w:t>
            </w:r>
            <w:r w:rsidRPr="00892A6E" w:rsidR="00BB04E3">
              <w:rPr>
                <w:sz w:val="18"/>
                <w:szCs w:val="18"/>
              </w:rPr>
              <w:t>5</w:t>
            </w:r>
          </w:p>
        </w:tc>
        <w:tc>
          <w:tcPr>
            <w:tcW w:w="900" w:type="dxa"/>
            <w:tcBorders>
              <w:top w:val="single" w:color="000000" w:sz="4" w:space="0"/>
              <w:left w:val="nil"/>
              <w:bottom w:val="single" w:color="000000" w:sz="4" w:space="0"/>
              <w:right w:val="single" w:color="000000" w:sz="4" w:space="0"/>
            </w:tcBorders>
            <w:vAlign w:val="center"/>
          </w:tcPr>
          <w:p w:rsidRPr="00892A6E" w:rsidR="00984E9E" w:rsidP="0070226C" w:rsidRDefault="00BB04E3" w14:paraId="13E9CC22" w14:textId="745C3A46">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right"/>
              <w:rPr>
                <w:sz w:val="18"/>
                <w:szCs w:val="18"/>
              </w:rPr>
            </w:pPr>
            <w:r w:rsidRPr="00892A6E">
              <w:rPr>
                <w:sz w:val="18"/>
                <w:szCs w:val="18"/>
              </w:rPr>
              <w:t>$</w:t>
            </w:r>
            <w:r w:rsidR="0022671A">
              <w:rPr>
                <w:sz w:val="18"/>
                <w:szCs w:val="18"/>
              </w:rPr>
              <w:t xml:space="preserve"> 3</w:t>
            </w:r>
            <w:r w:rsidR="0070226C">
              <w:rPr>
                <w:sz w:val="18"/>
                <w:szCs w:val="18"/>
              </w:rPr>
              <w:t>1</w:t>
            </w:r>
            <w:r w:rsidR="0022671A">
              <w:rPr>
                <w:sz w:val="18"/>
                <w:szCs w:val="18"/>
              </w:rPr>
              <w:t>.50</w:t>
            </w:r>
          </w:p>
        </w:tc>
        <w:tc>
          <w:tcPr>
            <w:tcW w:w="1800" w:type="dxa"/>
            <w:tcBorders>
              <w:top w:val="single" w:color="000000" w:sz="4" w:space="0"/>
              <w:left w:val="nil"/>
              <w:bottom w:val="single" w:color="000000" w:sz="4" w:space="0"/>
              <w:right w:val="single" w:color="000000" w:sz="4" w:space="0"/>
            </w:tcBorders>
            <w:vAlign w:val="center"/>
          </w:tcPr>
          <w:p w:rsidRPr="00892A6E" w:rsidR="00984E9E" w:rsidP="0070226C" w:rsidRDefault="0022671A" w14:paraId="0B48E62F" w14:textId="1C125123">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right"/>
              <w:rPr>
                <w:sz w:val="18"/>
                <w:szCs w:val="18"/>
              </w:rPr>
            </w:pPr>
            <w:r>
              <w:rPr>
                <w:sz w:val="18"/>
                <w:szCs w:val="18"/>
              </w:rPr>
              <w:t xml:space="preserve">$ </w:t>
            </w:r>
            <w:r w:rsidR="0070226C">
              <w:rPr>
                <w:sz w:val="18"/>
                <w:szCs w:val="18"/>
              </w:rPr>
              <w:t>50.09</w:t>
            </w:r>
          </w:p>
        </w:tc>
        <w:tc>
          <w:tcPr>
            <w:tcW w:w="1710" w:type="dxa"/>
            <w:tcBorders>
              <w:top w:val="single" w:color="000000" w:sz="4" w:space="0"/>
              <w:left w:val="nil"/>
              <w:bottom w:val="single" w:color="000000" w:sz="4" w:space="0"/>
              <w:right w:val="single" w:color="000000" w:sz="4" w:space="0"/>
            </w:tcBorders>
            <w:vAlign w:val="center"/>
          </w:tcPr>
          <w:p w:rsidRPr="00892A6E" w:rsidR="00984E9E" w:rsidP="00F6473A" w:rsidRDefault="00BB04E3" w14:paraId="06B34489"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sz w:val="18"/>
                <w:szCs w:val="18"/>
              </w:rPr>
            </w:pPr>
            <w:r w:rsidRPr="00892A6E">
              <w:rPr>
                <w:sz w:val="18"/>
                <w:szCs w:val="18"/>
              </w:rPr>
              <w:t>10</w:t>
            </w:r>
          </w:p>
        </w:tc>
        <w:tc>
          <w:tcPr>
            <w:tcW w:w="1170" w:type="dxa"/>
            <w:tcBorders>
              <w:top w:val="single" w:color="000000" w:sz="4" w:space="0"/>
              <w:left w:val="nil"/>
              <w:bottom w:val="single" w:color="000000" w:sz="4" w:space="0"/>
              <w:right w:val="single" w:color="000000" w:sz="4" w:space="0"/>
            </w:tcBorders>
            <w:vAlign w:val="center"/>
          </w:tcPr>
          <w:p w:rsidRPr="00892A6E" w:rsidR="00984E9E" w:rsidP="0070226C" w:rsidRDefault="0022671A" w14:paraId="2658FCBC" w14:textId="4E5A131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right"/>
              <w:rPr>
                <w:sz w:val="18"/>
                <w:szCs w:val="18"/>
              </w:rPr>
            </w:pPr>
            <w:r>
              <w:rPr>
                <w:sz w:val="18"/>
                <w:szCs w:val="18"/>
              </w:rPr>
              <w:t xml:space="preserve">$ </w:t>
            </w:r>
            <w:r w:rsidR="0070226C">
              <w:rPr>
                <w:sz w:val="18"/>
                <w:szCs w:val="18"/>
              </w:rPr>
              <w:t>500.90</w:t>
            </w:r>
          </w:p>
        </w:tc>
        <w:tc>
          <w:tcPr>
            <w:tcW w:w="1214" w:type="dxa"/>
            <w:tcBorders>
              <w:top w:val="single" w:color="000000" w:sz="4" w:space="0"/>
              <w:left w:val="nil"/>
              <w:bottom w:val="single" w:color="000000" w:sz="4" w:space="0"/>
              <w:right w:val="single" w:color="000000" w:sz="4" w:space="0"/>
            </w:tcBorders>
            <w:vAlign w:val="center"/>
          </w:tcPr>
          <w:p w:rsidRPr="00892A6E" w:rsidR="00984E9E" w:rsidP="005B77FA" w:rsidRDefault="0022671A" w14:paraId="3EE47E48" w14:textId="48B030CC">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right"/>
              <w:rPr>
                <w:sz w:val="18"/>
                <w:szCs w:val="18"/>
              </w:rPr>
            </w:pPr>
            <w:r>
              <w:rPr>
                <w:sz w:val="18"/>
                <w:szCs w:val="18"/>
              </w:rPr>
              <w:t xml:space="preserve">$ </w:t>
            </w:r>
            <w:r w:rsidR="005B77FA">
              <w:rPr>
                <w:sz w:val="18"/>
                <w:szCs w:val="18"/>
              </w:rPr>
              <w:t>17,531</w:t>
            </w:r>
            <w:r>
              <w:rPr>
                <w:sz w:val="18"/>
                <w:szCs w:val="18"/>
              </w:rPr>
              <w:t>.</w:t>
            </w:r>
            <w:r w:rsidR="005B77FA">
              <w:rPr>
                <w:sz w:val="18"/>
                <w:szCs w:val="18"/>
              </w:rPr>
              <w:t>5</w:t>
            </w:r>
            <w:r>
              <w:rPr>
                <w:sz w:val="18"/>
                <w:szCs w:val="18"/>
              </w:rPr>
              <w:t>0</w:t>
            </w:r>
          </w:p>
        </w:tc>
      </w:tr>
    </w:tbl>
    <w:p w:rsidRPr="00C95CD5" w:rsidR="00984E9E" w:rsidP="00F6473A" w:rsidRDefault="00984E9E" w14:paraId="0768845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4FA9688D" w14:textId="019F2696">
      <w:pPr>
        <w:keepNext/>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892A6E">
        <w:rPr>
          <w:b/>
        </w:rPr>
        <w:t xml:space="preserve">Table </w:t>
      </w:r>
      <w:r w:rsidR="00CA7109">
        <w:rPr>
          <w:b/>
        </w:rPr>
        <w:t>14.2</w:t>
      </w:r>
      <w:r w:rsidR="00CA7109">
        <w:t xml:space="preserve"> - </w:t>
      </w:r>
      <w:r w:rsidR="00937784">
        <w:t>Other</w:t>
      </w:r>
      <w:r w:rsidR="00892A6E">
        <w:t xml:space="preserve"> c</w:t>
      </w:r>
      <w:r w:rsidRPr="00C95CD5">
        <w:t xml:space="preserve">osts </w:t>
      </w:r>
      <w:r w:rsidR="00892A6E">
        <w:t>associated with this programmatic clearance</w:t>
      </w:r>
    </w:p>
    <w:tbl>
      <w:tblPr>
        <w:tblStyle w:val="a4"/>
        <w:tblW w:w="4987" w:type="pct"/>
        <w:tblLayout w:type="fixed"/>
        <w:tblLook w:val="0000" w:firstRow="0" w:lastRow="0" w:firstColumn="0" w:lastColumn="0" w:noHBand="0" w:noVBand="0"/>
      </w:tblPr>
      <w:tblGrid>
        <w:gridCol w:w="8058"/>
        <w:gridCol w:w="1268"/>
      </w:tblGrid>
      <w:tr w:rsidRPr="00892A6E" w:rsidR="002B59AE" w:rsidTr="0022671A" w14:paraId="050EF6A9" w14:textId="77777777">
        <w:trPr>
          <w:trHeight w:val="380"/>
        </w:trPr>
        <w:tc>
          <w:tcPr>
            <w:tcW w:w="8058" w:type="dxa"/>
            <w:tcBorders>
              <w:top w:val="single" w:color="000000" w:sz="4" w:space="0"/>
              <w:left w:val="single" w:color="000000" w:sz="4" w:space="0"/>
              <w:bottom w:val="single" w:color="000000" w:sz="4" w:space="0"/>
              <w:right w:val="single" w:color="000000" w:sz="4" w:space="0"/>
            </w:tcBorders>
            <w:shd w:val="clear" w:color="auto" w:fill="B8CCE4"/>
            <w:vAlign w:val="bottom"/>
          </w:tcPr>
          <w:p w:rsidRPr="0022671A" w:rsidR="002B59AE" w:rsidP="00F6473A" w:rsidRDefault="002B59AE" w14:paraId="3737B133" w14:textId="4EBD3D24">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b/>
                <w:sz w:val="15"/>
                <w:szCs w:val="15"/>
              </w:rPr>
            </w:pPr>
            <w:r w:rsidRPr="0022671A">
              <w:rPr>
                <w:b/>
                <w:sz w:val="15"/>
                <w:szCs w:val="15"/>
              </w:rPr>
              <w:t>Description</w:t>
            </w:r>
          </w:p>
        </w:tc>
        <w:tc>
          <w:tcPr>
            <w:tcW w:w="1268" w:type="dxa"/>
            <w:tcBorders>
              <w:top w:val="single" w:color="000000" w:sz="4" w:space="0"/>
              <w:bottom w:val="single" w:color="000000" w:sz="4" w:space="0"/>
              <w:right w:val="single" w:color="000000" w:sz="4" w:space="0"/>
            </w:tcBorders>
            <w:shd w:val="clear" w:color="auto" w:fill="B8CCE4"/>
            <w:vAlign w:val="bottom"/>
          </w:tcPr>
          <w:p w:rsidRPr="0022671A" w:rsidR="002B59AE" w:rsidP="00F6473A" w:rsidRDefault="002B59AE" w14:paraId="6E95D4BB" w14:textId="2852163D">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b/>
                <w:sz w:val="15"/>
                <w:szCs w:val="15"/>
              </w:rPr>
            </w:pPr>
            <w:r w:rsidRPr="0022671A">
              <w:rPr>
                <w:b/>
                <w:sz w:val="15"/>
                <w:szCs w:val="15"/>
              </w:rPr>
              <w:t>Annual</w:t>
            </w:r>
            <w:r w:rsidRPr="0022671A">
              <w:rPr>
                <w:b/>
                <w:sz w:val="15"/>
                <w:szCs w:val="15"/>
              </w:rPr>
              <w:br/>
              <w:t>Cost</w:t>
            </w:r>
          </w:p>
        </w:tc>
      </w:tr>
      <w:tr w:rsidRPr="00892A6E" w:rsidR="002B59AE" w:rsidTr="002B59AE" w14:paraId="34813E89" w14:textId="77777777">
        <w:trPr>
          <w:trHeight w:val="300"/>
        </w:trPr>
        <w:tc>
          <w:tcPr>
            <w:tcW w:w="8058" w:type="dxa"/>
            <w:tcBorders>
              <w:left w:val="single" w:color="000000" w:sz="4" w:space="0"/>
              <w:right w:val="single" w:color="auto" w:sz="4" w:space="0"/>
            </w:tcBorders>
            <w:vAlign w:val="center"/>
          </w:tcPr>
          <w:p w:rsidRPr="00892A6E" w:rsidR="002B59AE" w:rsidP="00F6473A" w:rsidRDefault="002B59AE" w14:paraId="28BBADA8" w14:textId="14D0EB88">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rPr>
                <w:sz w:val="18"/>
                <w:szCs w:val="18"/>
              </w:rPr>
            </w:pPr>
            <w:r w:rsidRPr="00892A6E">
              <w:rPr>
                <w:sz w:val="18"/>
                <w:szCs w:val="18"/>
              </w:rPr>
              <w:t>Researcher/Principal Investigator</w:t>
            </w:r>
            <w:r>
              <w:rPr>
                <w:sz w:val="18"/>
                <w:szCs w:val="18"/>
              </w:rPr>
              <w:t xml:space="preserve"> Salaries</w:t>
            </w:r>
          </w:p>
        </w:tc>
        <w:tc>
          <w:tcPr>
            <w:tcW w:w="1268" w:type="dxa"/>
            <w:tcBorders>
              <w:left w:val="single" w:color="auto" w:sz="4" w:space="0"/>
              <w:right w:val="single" w:color="000000" w:sz="4" w:space="0"/>
            </w:tcBorders>
          </w:tcPr>
          <w:p w:rsidRPr="00892A6E" w:rsidR="002B59AE" w:rsidP="00F6473A" w:rsidRDefault="002B59AE" w14:paraId="4301BB7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sz w:val="18"/>
                <w:szCs w:val="18"/>
              </w:rPr>
            </w:pPr>
            <w:r w:rsidRPr="00892A6E">
              <w:rPr>
                <w:sz w:val="18"/>
                <w:szCs w:val="18"/>
              </w:rPr>
              <w:t>$525,000</w:t>
            </w:r>
          </w:p>
        </w:tc>
      </w:tr>
      <w:tr w:rsidRPr="00892A6E" w:rsidR="002B59AE" w:rsidTr="002B59AE" w14:paraId="13EB1313" w14:textId="77777777">
        <w:trPr>
          <w:trHeight w:val="740"/>
        </w:trPr>
        <w:tc>
          <w:tcPr>
            <w:tcW w:w="8058" w:type="dxa"/>
            <w:tcBorders>
              <w:left w:val="single" w:color="000000" w:sz="4" w:space="0"/>
              <w:bottom w:val="single" w:color="auto" w:sz="4" w:space="0"/>
              <w:right w:val="single" w:color="auto" w:sz="4" w:space="0"/>
            </w:tcBorders>
            <w:vAlign w:val="center"/>
          </w:tcPr>
          <w:p w:rsidRPr="00892A6E" w:rsidR="002B59AE" w:rsidP="00F6473A" w:rsidRDefault="002B59AE" w14:paraId="2912DC23"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rPr>
                <w:sz w:val="18"/>
                <w:szCs w:val="18"/>
              </w:rPr>
            </w:pPr>
            <w:r>
              <w:rPr>
                <w:sz w:val="18"/>
                <w:szCs w:val="18"/>
              </w:rPr>
              <w:t>Operational Expenses</w:t>
            </w:r>
          </w:p>
          <w:p w:rsidRPr="00892A6E" w:rsidR="002B59AE" w:rsidP="00F6473A" w:rsidRDefault="002B59AE" w14:paraId="1CEEF5ED" w14:textId="02894689">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rPr>
                <w:sz w:val="18"/>
                <w:szCs w:val="18"/>
              </w:rPr>
            </w:pPr>
            <w:r w:rsidRPr="00892A6E">
              <w:rPr>
                <w:sz w:val="18"/>
                <w:szCs w:val="18"/>
              </w:rPr>
              <w:t>(Survey Design and Development, Survey Administration, Data Collection, Data Entry, Data Analysis and Reporting)</w:t>
            </w:r>
          </w:p>
        </w:tc>
        <w:tc>
          <w:tcPr>
            <w:tcW w:w="1268" w:type="dxa"/>
            <w:tcBorders>
              <w:left w:val="single" w:color="auto" w:sz="4" w:space="0"/>
              <w:bottom w:val="single" w:color="auto" w:sz="4" w:space="0"/>
              <w:right w:val="single" w:color="000000" w:sz="4" w:space="0"/>
            </w:tcBorders>
          </w:tcPr>
          <w:p w:rsidRPr="00892A6E" w:rsidR="002B59AE" w:rsidP="00F6473A" w:rsidRDefault="002B59AE" w14:paraId="165D49F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sz w:val="18"/>
                <w:szCs w:val="18"/>
              </w:rPr>
            </w:pPr>
            <w:r w:rsidRPr="00892A6E">
              <w:rPr>
                <w:sz w:val="18"/>
                <w:szCs w:val="18"/>
              </w:rPr>
              <w:t>$875,000</w:t>
            </w:r>
          </w:p>
        </w:tc>
      </w:tr>
      <w:tr w:rsidRPr="00892A6E" w:rsidR="002B59AE" w:rsidTr="002B59AE" w14:paraId="6ACBEB63" w14:textId="77777777">
        <w:trPr>
          <w:trHeight w:val="305"/>
        </w:trPr>
        <w:tc>
          <w:tcPr>
            <w:tcW w:w="8058" w:type="dxa"/>
            <w:tcBorders>
              <w:top w:val="single" w:color="auto" w:sz="4" w:space="0"/>
              <w:left w:val="single" w:color="000000" w:sz="4" w:space="0"/>
              <w:bottom w:val="single" w:color="000000" w:sz="4" w:space="0"/>
              <w:right w:val="single" w:color="auto" w:sz="4" w:space="0"/>
            </w:tcBorders>
            <w:vAlign w:val="center"/>
          </w:tcPr>
          <w:p w:rsidRPr="00892A6E" w:rsidR="002B59AE" w:rsidP="00F6473A" w:rsidRDefault="002B59AE" w14:paraId="1C83DD84" w14:textId="3276C9B5">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rPr>
                <w:sz w:val="18"/>
                <w:szCs w:val="18"/>
              </w:rPr>
            </w:pPr>
            <w:r w:rsidRPr="0022024B">
              <w:rPr>
                <w:b/>
                <w:sz w:val="18"/>
                <w:szCs w:val="18"/>
              </w:rPr>
              <w:t>Total</w:t>
            </w:r>
          </w:p>
        </w:tc>
        <w:tc>
          <w:tcPr>
            <w:tcW w:w="1268" w:type="dxa"/>
            <w:tcBorders>
              <w:top w:val="single" w:color="auto" w:sz="4" w:space="0"/>
              <w:left w:val="single" w:color="auto" w:sz="4" w:space="0"/>
              <w:bottom w:val="single" w:color="000000" w:sz="4" w:space="0"/>
              <w:right w:val="single" w:color="000000" w:sz="4" w:space="0"/>
            </w:tcBorders>
          </w:tcPr>
          <w:p w:rsidRPr="00892A6E" w:rsidR="002B59AE" w:rsidP="00F6473A" w:rsidRDefault="002B59AE" w14:paraId="09D5D15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spacing w:before="60" w:after="60"/>
              <w:jc w:val="center"/>
              <w:rPr>
                <w:sz w:val="18"/>
                <w:szCs w:val="18"/>
              </w:rPr>
            </w:pPr>
            <w:r w:rsidRPr="00892A6E">
              <w:rPr>
                <w:sz w:val="18"/>
                <w:szCs w:val="18"/>
              </w:rPr>
              <w:t>$1,400,000</w:t>
            </w:r>
          </w:p>
        </w:tc>
      </w:tr>
    </w:tbl>
    <w:p w:rsidRPr="00C95CD5" w:rsidR="00984E9E" w:rsidP="00F6473A" w:rsidRDefault="00984E9E" w14:paraId="2C122270"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4EBFE4B3"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15.</w:t>
      </w:r>
      <w:r w:rsidRPr="00C95CD5">
        <w:tab/>
      </w:r>
      <w:r w:rsidRPr="00C57665" w:rsidR="00C57665">
        <w:t>Explain the reasons for any program changes or adjustments in hour or cost burden.</w:t>
      </w:r>
    </w:p>
    <w:p w:rsidR="00C95CD5" w:rsidP="00F6473A" w:rsidRDefault="00C95CD5" w14:paraId="32B581D7"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00C95CD5" w:rsidP="00F6473A" w:rsidRDefault="00DA492D" w14:paraId="3BB001C2" w14:textId="5D86D78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DA492D">
        <w:t xml:space="preserve">This is a request for a new programmatic clearance for the </w:t>
      </w:r>
      <w:r w:rsidR="004451F7">
        <w:t>Service</w:t>
      </w:r>
      <w:r w:rsidRPr="00DA492D">
        <w:t>.</w:t>
      </w:r>
    </w:p>
    <w:p w:rsidRPr="00C95CD5" w:rsidR="00DA492D" w:rsidP="00F6473A" w:rsidRDefault="00DA492D" w14:paraId="422FF34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6A4042B8"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16.</w:t>
      </w:r>
      <w:r w:rsidRPr="00C95CD5">
        <w:tab/>
      </w:r>
      <w:r w:rsidRPr="00C57665" w:rsidR="00C57665">
        <w:t>For collections of information whose results will be published, outline plans for tabulation and publication</w:t>
      </w:r>
      <w:r w:rsidR="00150231">
        <w:t xml:space="preserve">. </w:t>
      </w:r>
      <w:r w:rsidRPr="00C57665" w:rsidR="00C57665">
        <w:t>Address any complex analytical techniques that will be used</w:t>
      </w:r>
      <w:r w:rsidR="00150231">
        <w:t xml:space="preserve">. </w:t>
      </w:r>
      <w:r w:rsidRPr="00C57665" w:rsidR="00C57665">
        <w:lastRenderedPageBreak/>
        <w:t>Provide the time schedule for the entire project, including beginning and ending dates of the collection of information, completion of report, publication dates, and other actions</w:t>
      </w:r>
      <w:r w:rsidR="00150231">
        <w:t xml:space="preserve">. </w:t>
      </w:r>
    </w:p>
    <w:p w:rsidR="00C95CD5" w:rsidP="00F6473A" w:rsidRDefault="00C95CD5" w14:paraId="3E4C857B"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bookmarkStart w:name="h.gjdgxs" w:colFirst="0" w:colLast="0" w:id="16"/>
      <w:bookmarkEnd w:id="16"/>
    </w:p>
    <w:p w:rsidRPr="00C95CD5" w:rsidR="00984E9E" w:rsidP="00F6473A" w:rsidRDefault="00D42C19" w14:paraId="3A3D6057" w14:textId="5FF25FA1">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We expect that information from data collections approved by the programmatic clearance will be a mixture of internally and externally distributed findings. </w:t>
      </w:r>
      <w:r w:rsidR="00BA3D2D">
        <w:t xml:space="preserve"> </w:t>
      </w:r>
      <w:r w:rsidRPr="00C95CD5">
        <w:t>If the results of a particular collection are to be published or otherwise made public, that fact will be disclosed in the completed ICR for that survey, along with an information dissemin</w:t>
      </w:r>
      <w:r w:rsidR="00BA3D2D">
        <w:t xml:space="preserve">ation plan.  </w:t>
      </w:r>
      <w:r w:rsidRPr="00C95CD5" w:rsidR="00236677">
        <w:t xml:space="preserve">Each information collection will provide an explanation of the specific tabulation methods to be used to synthesize, analyze, and aggregate the data collected. </w:t>
      </w:r>
      <w:r w:rsidR="00BA3D2D">
        <w:t xml:space="preserve"> </w:t>
      </w:r>
      <w:r w:rsidRPr="00C95CD5">
        <w:t>A</w:t>
      </w:r>
      <w:r w:rsidRPr="00C95CD5" w:rsidR="00236677">
        <w:t xml:space="preserve">nalyses </w:t>
      </w:r>
      <w:r w:rsidRPr="00C95CD5">
        <w:t>may</w:t>
      </w:r>
      <w:r w:rsidRPr="00C95CD5" w:rsidR="00236677">
        <w:t xml:space="preserve"> typically include response frequencies, means, standard devia</w:t>
      </w:r>
      <w:r w:rsidRPr="00C95CD5">
        <w:t xml:space="preserve">tions, and confidence intervals, and cross tabulations with appropriate statistical measures of fit and significance. </w:t>
      </w:r>
      <w:r w:rsidR="00BA3D2D">
        <w:t xml:space="preserve"> </w:t>
      </w:r>
      <w:r w:rsidRPr="00C95CD5" w:rsidR="00236677">
        <w:t>Additional analysis for determining economic impact might include the development of scalar multipliers (as in the IMPLAN methodology).</w:t>
      </w:r>
      <w:r w:rsidR="00BA3D2D">
        <w:t xml:space="preserve"> </w:t>
      </w:r>
      <w:r w:rsidRPr="00C95CD5" w:rsidR="00236677">
        <w:t xml:space="preserve"> </w:t>
      </w:r>
      <w:r w:rsidRPr="00C95CD5" w:rsidR="00374FD1">
        <w:t>Collections that will u</w:t>
      </w:r>
      <w:r w:rsidRPr="00C95CD5">
        <w:t xml:space="preserve">se statistical models (regression, time series, social network analysis, etc.) </w:t>
      </w:r>
      <w:r w:rsidRPr="00C95CD5" w:rsidR="00374FD1">
        <w:t>should</w:t>
      </w:r>
      <w:r w:rsidRPr="00C95CD5">
        <w:t xml:space="preserve"> </w:t>
      </w:r>
      <w:r w:rsidRPr="00C95CD5" w:rsidR="00374FD1">
        <w:t xml:space="preserve">include </w:t>
      </w:r>
      <w:r w:rsidRPr="00C95CD5">
        <w:t>an explanation of how the findings are related to Service goals.</w:t>
      </w:r>
    </w:p>
    <w:p w:rsidRPr="00C95CD5" w:rsidR="00984E9E" w:rsidP="00F6473A" w:rsidRDefault="00984E9E" w14:paraId="5FA5B85A"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739E5139"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17.</w:t>
      </w:r>
      <w:r w:rsidRPr="00C95CD5">
        <w:tab/>
      </w:r>
      <w:r w:rsidRPr="00C57665" w:rsidR="00C57665">
        <w:t>If seeking approval to not display the expiration date for OMB approval of the information collection, explain the reasons that display would be inappropriate.</w:t>
      </w:r>
    </w:p>
    <w:p w:rsidR="00C95CD5" w:rsidP="00F6473A" w:rsidRDefault="00C95CD5" w14:paraId="1B9EF391"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3BF2BEE5"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The OMB’s expiration date will be displayed on the information collection instruments.</w:t>
      </w:r>
    </w:p>
    <w:p w:rsidRPr="00C95CD5" w:rsidR="00984E9E" w:rsidP="00F6473A" w:rsidRDefault="00984E9E" w14:paraId="6A921A06"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013B7E" w14:paraId="01FD5949" w14:textId="77777777">
      <w:pPr>
        <w:pStyle w:val="Heading1"/>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t>18.</w:t>
      </w:r>
      <w:r>
        <w:tab/>
      </w:r>
      <w:r w:rsidRPr="00C57665" w:rsidR="00C57665">
        <w:t>Explain each exception to the topics of the certification statement identified in "Certification for Paperwork Reduction Act Submissions."</w:t>
      </w:r>
      <w:r w:rsidRPr="00C95CD5" w:rsidR="00236677">
        <w:t xml:space="preserve"> </w:t>
      </w:r>
    </w:p>
    <w:p w:rsidR="00C95CD5" w:rsidP="00F6473A" w:rsidRDefault="00C95CD5" w14:paraId="6F56F7B8"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p>
    <w:p w:rsidRPr="00C95CD5" w:rsidR="00984E9E" w:rsidP="00F6473A" w:rsidRDefault="00236677" w14:paraId="766A4282" w14:textId="77777777">
      <w:pPr>
        <w:tabs>
          <w:tab w:val="clear" w:pos="-1440"/>
          <w:tab w:val="clear" w:pos="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pPr>
      <w:r w:rsidRPr="00C95CD5">
        <w:t xml:space="preserve">We are requesting no exceptions to the certification statement. </w:t>
      </w:r>
    </w:p>
    <w:sectPr w:rsidRPr="00C95CD5" w:rsidR="00984E9E" w:rsidSect="00E264E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540" w:footer="67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E5212" w14:textId="77777777" w:rsidR="00F5203A" w:rsidRDefault="00F5203A" w:rsidP="003E55F5">
      <w:r>
        <w:separator/>
      </w:r>
    </w:p>
  </w:endnote>
  <w:endnote w:type="continuationSeparator" w:id="0">
    <w:p w14:paraId="47E71856" w14:textId="77777777" w:rsidR="00F5203A" w:rsidRDefault="00F5203A" w:rsidP="003E55F5">
      <w:r>
        <w:continuationSeparator/>
      </w:r>
    </w:p>
  </w:endnote>
  <w:endnote w:type="continuationNotice" w:id="1">
    <w:p w14:paraId="3F289239" w14:textId="77777777" w:rsidR="00F5203A" w:rsidRDefault="00F52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448C" w14:textId="77777777" w:rsidR="00F5203A" w:rsidRDefault="00F52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328747"/>
      <w:docPartObj>
        <w:docPartGallery w:val="Page Numbers (Bottom of Page)"/>
        <w:docPartUnique/>
      </w:docPartObj>
    </w:sdtPr>
    <w:sdtEndPr>
      <w:rPr>
        <w:noProof/>
      </w:rPr>
    </w:sdtEndPr>
    <w:sdtContent>
      <w:p w14:paraId="7AEC3702" w14:textId="0586C285" w:rsidR="00F5203A" w:rsidRPr="005D0B89" w:rsidRDefault="00F5203A" w:rsidP="000A245A">
        <w:pPr>
          <w:pStyle w:val="Footer"/>
          <w:jc w:val="center"/>
        </w:pPr>
        <w:r w:rsidRPr="005D0B89">
          <w:t xml:space="preserve">- </w:t>
        </w:r>
        <w:r w:rsidRPr="005D0B89">
          <w:fldChar w:fldCharType="begin"/>
        </w:r>
        <w:r w:rsidRPr="005D0B89">
          <w:instrText xml:space="preserve"> PAGE   \* MERGEFORMAT </w:instrText>
        </w:r>
        <w:r w:rsidRPr="005D0B89">
          <w:fldChar w:fldCharType="separate"/>
        </w:r>
        <w:r w:rsidR="006A6204">
          <w:rPr>
            <w:noProof/>
          </w:rPr>
          <w:t>21</w:t>
        </w:r>
        <w:r w:rsidRPr="005D0B89">
          <w:rPr>
            <w:noProof/>
          </w:rPr>
          <w:fldChar w:fldCharType="end"/>
        </w:r>
        <w:r w:rsidRPr="005D0B89">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18E4E" w14:textId="77777777" w:rsidR="00F5203A" w:rsidRDefault="00F52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04ED2" w14:textId="77777777" w:rsidR="00F5203A" w:rsidRDefault="00F5203A" w:rsidP="003E55F5">
      <w:r>
        <w:separator/>
      </w:r>
    </w:p>
  </w:footnote>
  <w:footnote w:type="continuationSeparator" w:id="0">
    <w:p w14:paraId="6B51630D" w14:textId="77777777" w:rsidR="00F5203A" w:rsidRDefault="00F5203A" w:rsidP="003E55F5">
      <w:r>
        <w:continuationSeparator/>
      </w:r>
    </w:p>
  </w:footnote>
  <w:footnote w:type="continuationNotice" w:id="1">
    <w:p w14:paraId="5943ABFD" w14:textId="77777777" w:rsidR="00F5203A" w:rsidRDefault="00F5203A"/>
  </w:footnote>
  <w:footnote w:id="2">
    <w:p w14:paraId="4AA14D01" w14:textId="072EDEC7" w:rsidR="00F5203A" w:rsidRPr="003E55F5" w:rsidRDefault="00F5203A" w:rsidP="00F61764">
      <w:pPr>
        <w:pStyle w:val="FootnoteT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3E55F5">
        <w:rPr>
          <w:vertAlign w:val="superscript"/>
        </w:rPr>
        <w:footnoteRef/>
      </w:r>
      <w:r w:rsidRPr="003E55F5">
        <w:t xml:space="preserve"> Adapted from: </w:t>
      </w:r>
      <w:r w:rsidRPr="00F61764">
        <w:t>Decker, D. J., Brown, T. L., &amp; Siemer, W. F. (2001). Evolution of people-wildlife relations. In D. J. Decker, T. L. Brown, &amp; W. F. Siemer (Eds.), Human Dimensions of Wildlife Management in North America (pp. 3-22). Bethesda, MD: The Wildlife Society.</w:t>
      </w:r>
    </w:p>
  </w:footnote>
  <w:footnote w:id="3">
    <w:p w14:paraId="2913FB01" w14:textId="77777777" w:rsidR="00F5203A" w:rsidRPr="00C57665" w:rsidRDefault="00F5203A" w:rsidP="00F61764">
      <w:pPr>
        <w:pStyle w:val="FootnoteT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3E55F5">
        <w:rPr>
          <w:vertAlign w:val="superscript"/>
        </w:rPr>
        <w:footnoteRef/>
      </w:r>
      <w:r w:rsidRPr="003E55F5">
        <w:t xml:space="preserve"> Administration determined through consultation with DOI’s Office of Policy, Management and Budget, and the Service’s Division of Policy, Performance, and Management Programs.</w:t>
      </w:r>
    </w:p>
  </w:footnote>
  <w:footnote w:id="4">
    <w:p w14:paraId="7E910E75" w14:textId="77777777" w:rsidR="00F5203A" w:rsidRPr="003E55F5" w:rsidRDefault="00F5203A" w:rsidP="00F61764">
      <w:pPr>
        <w:pStyle w:val="FootnoteT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3E55F5">
        <w:rPr>
          <w:vertAlign w:val="superscript"/>
        </w:rPr>
        <w:footnoteRef/>
      </w:r>
      <w:r w:rsidRPr="003E55F5">
        <w:t xml:space="preserve"> Dillman, D., Smyth, J. &amp; Christian, L.M. (2014). </w:t>
      </w:r>
      <w:r w:rsidRPr="003E55F5">
        <w:rPr>
          <w:i/>
        </w:rPr>
        <w:t>Internet, mail, and mixed-mode surveys: The tailored design method.</w:t>
      </w:r>
      <w:r w:rsidRPr="003E55F5">
        <w:t xml:space="preserve"> (4th ed.). Hoboken, N.J.: Wiley &amp; Sons. </w:t>
      </w:r>
    </w:p>
  </w:footnote>
  <w:footnote w:id="5">
    <w:p w14:paraId="1DE48815" w14:textId="77777777" w:rsidR="00F5203A" w:rsidRPr="00AB1865" w:rsidRDefault="00F5203A" w:rsidP="00F61764">
      <w:pPr>
        <w:pStyle w:val="FootnoteT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zCs w:val="18"/>
        </w:rPr>
      </w:pPr>
      <w:r w:rsidRPr="00AB1865">
        <w:rPr>
          <w:szCs w:val="18"/>
          <w:vertAlign w:val="superscript"/>
        </w:rPr>
        <w:footnoteRef/>
      </w:r>
      <w:r w:rsidRPr="00AB1865">
        <w:rPr>
          <w:szCs w:val="18"/>
        </w:rPr>
        <w:t xml:space="preserve"> According to the Center for Disease Control’s National Center for Health Statistics (January – June 2013), 39.4 % of American homes have only wireless telephones</w:t>
      </w:r>
      <w:r>
        <w:rPr>
          <w:szCs w:val="18"/>
        </w:rPr>
        <w:t xml:space="preserve">. </w:t>
      </w:r>
      <w:r w:rsidRPr="00AB1865">
        <w:rPr>
          <w:szCs w:val="18"/>
        </w:rPr>
        <w:t xml:space="preserve">Hispanics, younger adults and the poor are more likely to use only a cell-phone. See: </w:t>
      </w:r>
      <w:hyperlink r:id="rId1">
        <w:r w:rsidRPr="00AB1865">
          <w:rPr>
            <w:color w:val="0000FF"/>
            <w:szCs w:val="18"/>
            <w:u w:val="single"/>
          </w:rPr>
          <w:t>http://www.cdc.gov/nchs/data/nhis/earlyrelease/wireless201312.pdf</w:t>
        </w:r>
      </w:hyperlink>
      <w:hyperlink r:id="rId2"/>
    </w:p>
  </w:footnote>
  <w:footnote w:id="6">
    <w:p w14:paraId="63453E8E" w14:textId="77777777" w:rsidR="00F5203A" w:rsidRPr="00225A5C" w:rsidRDefault="00F5203A" w:rsidP="00F61764">
      <w:pPr>
        <w:pStyle w:val="FootnoteT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225A5C">
        <w:rPr>
          <w:rStyle w:val="FootnoteReference"/>
        </w:rPr>
        <w:footnoteRef/>
      </w:r>
      <w:r w:rsidRPr="00225A5C">
        <w:t xml:space="preserve"> Information that might be considered sensitive, such as income or education level, is reported in aggregate so that no one individual may be identified or associated with his or her stated views.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AE69D" w14:textId="77777777" w:rsidR="00F5203A" w:rsidRDefault="00F5203A" w:rsidP="003E5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4E30" w14:textId="77777777" w:rsidR="00F5203A" w:rsidRDefault="00F5203A" w:rsidP="003E55F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F06F7" w14:textId="77777777" w:rsidR="00F5203A" w:rsidRDefault="00F5203A" w:rsidP="003E5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70E"/>
    <w:multiLevelType w:val="multilevel"/>
    <w:tmpl w:val="1F24F3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DE3647E"/>
    <w:multiLevelType w:val="multilevel"/>
    <w:tmpl w:val="BFC8CCBA"/>
    <w:lvl w:ilvl="0">
      <w:start w:val="1"/>
      <w:numFmt w:val="bullet"/>
      <w:lvlText w:val="●"/>
      <w:lvlJc w:val="left"/>
      <w:pPr>
        <w:ind w:left="415" w:firstLine="415"/>
      </w:pPr>
      <w:rPr>
        <w:rFonts w:ascii="Arial" w:eastAsia="Arial" w:hAnsi="Arial" w:cs="Arial"/>
      </w:rPr>
    </w:lvl>
    <w:lvl w:ilvl="1">
      <w:start w:val="1"/>
      <w:numFmt w:val="lowerLetter"/>
      <w:lvlText w:val="%2."/>
      <w:lvlJc w:val="left"/>
      <w:pPr>
        <w:ind w:left="1135" w:firstLine="1135"/>
      </w:pPr>
    </w:lvl>
    <w:lvl w:ilvl="2">
      <w:start w:val="1"/>
      <w:numFmt w:val="lowerRoman"/>
      <w:lvlText w:val="%3."/>
      <w:lvlJc w:val="right"/>
      <w:pPr>
        <w:ind w:left="1855" w:firstLine="2035"/>
      </w:pPr>
    </w:lvl>
    <w:lvl w:ilvl="3">
      <w:start w:val="1"/>
      <w:numFmt w:val="decimal"/>
      <w:lvlText w:val="%4."/>
      <w:lvlJc w:val="left"/>
      <w:pPr>
        <w:ind w:left="2575" w:firstLine="2575"/>
      </w:pPr>
    </w:lvl>
    <w:lvl w:ilvl="4">
      <w:start w:val="1"/>
      <w:numFmt w:val="lowerLetter"/>
      <w:lvlText w:val="%5."/>
      <w:lvlJc w:val="left"/>
      <w:pPr>
        <w:ind w:left="3295" w:firstLine="3295"/>
      </w:pPr>
    </w:lvl>
    <w:lvl w:ilvl="5">
      <w:start w:val="1"/>
      <w:numFmt w:val="lowerRoman"/>
      <w:lvlText w:val="%6."/>
      <w:lvlJc w:val="right"/>
      <w:pPr>
        <w:ind w:left="4015" w:firstLine="4195"/>
      </w:pPr>
    </w:lvl>
    <w:lvl w:ilvl="6">
      <w:start w:val="1"/>
      <w:numFmt w:val="decimal"/>
      <w:lvlText w:val="%7."/>
      <w:lvlJc w:val="left"/>
      <w:pPr>
        <w:ind w:left="4735" w:firstLine="4735"/>
      </w:pPr>
    </w:lvl>
    <w:lvl w:ilvl="7">
      <w:start w:val="1"/>
      <w:numFmt w:val="lowerLetter"/>
      <w:lvlText w:val="%8."/>
      <w:lvlJc w:val="left"/>
      <w:pPr>
        <w:ind w:left="5455" w:firstLine="5455"/>
      </w:pPr>
    </w:lvl>
    <w:lvl w:ilvl="8">
      <w:start w:val="1"/>
      <w:numFmt w:val="lowerRoman"/>
      <w:lvlText w:val="%9."/>
      <w:lvlJc w:val="right"/>
      <w:pPr>
        <w:ind w:left="6175" w:firstLine="6355"/>
      </w:pPr>
    </w:lvl>
  </w:abstractNum>
  <w:abstractNum w:abstractNumId="2" w15:restartNumberingAfterBreak="0">
    <w:nsid w:val="0F060790"/>
    <w:multiLevelType w:val="multilevel"/>
    <w:tmpl w:val="BFC8CCBA"/>
    <w:lvl w:ilvl="0">
      <w:start w:val="1"/>
      <w:numFmt w:val="bullet"/>
      <w:lvlText w:val="●"/>
      <w:lvlJc w:val="left"/>
      <w:pPr>
        <w:ind w:left="775" w:firstLine="415"/>
      </w:pPr>
      <w:rPr>
        <w:rFonts w:ascii="Arial" w:eastAsia="Arial" w:hAnsi="Arial" w:cs="Arial"/>
      </w:rPr>
    </w:lvl>
    <w:lvl w:ilvl="1">
      <w:start w:val="1"/>
      <w:numFmt w:val="lowerLetter"/>
      <w:lvlText w:val="%2."/>
      <w:lvlJc w:val="left"/>
      <w:pPr>
        <w:ind w:left="1495" w:firstLine="1135"/>
      </w:pPr>
    </w:lvl>
    <w:lvl w:ilvl="2">
      <w:start w:val="1"/>
      <w:numFmt w:val="lowerRoman"/>
      <w:lvlText w:val="%3."/>
      <w:lvlJc w:val="righ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righ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right"/>
      <w:pPr>
        <w:ind w:left="6535" w:firstLine="6355"/>
      </w:pPr>
    </w:lvl>
  </w:abstractNum>
  <w:abstractNum w:abstractNumId="3" w15:restartNumberingAfterBreak="0">
    <w:nsid w:val="12782C92"/>
    <w:multiLevelType w:val="multilevel"/>
    <w:tmpl w:val="BFC8CCBA"/>
    <w:lvl w:ilvl="0">
      <w:start w:val="1"/>
      <w:numFmt w:val="bullet"/>
      <w:lvlText w:val="●"/>
      <w:lvlJc w:val="left"/>
      <w:pPr>
        <w:ind w:left="1855" w:firstLine="415"/>
      </w:pPr>
      <w:rPr>
        <w:rFonts w:ascii="Arial" w:eastAsia="Arial" w:hAnsi="Arial" w:cs="Arial"/>
      </w:rPr>
    </w:lvl>
    <w:lvl w:ilvl="1">
      <w:start w:val="1"/>
      <w:numFmt w:val="lowerLetter"/>
      <w:lvlText w:val="%2."/>
      <w:lvlJc w:val="left"/>
      <w:pPr>
        <w:ind w:left="2575" w:firstLine="1135"/>
      </w:pPr>
    </w:lvl>
    <w:lvl w:ilvl="2">
      <w:start w:val="1"/>
      <w:numFmt w:val="lowerRoman"/>
      <w:lvlText w:val="%3."/>
      <w:lvlJc w:val="right"/>
      <w:pPr>
        <w:ind w:left="3295" w:firstLine="2035"/>
      </w:pPr>
    </w:lvl>
    <w:lvl w:ilvl="3">
      <w:start w:val="1"/>
      <w:numFmt w:val="decimal"/>
      <w:lvlText w:val="%4."/>
      <w:lvlJc w:val="left"/>
      <w:pPr>
        <w:ind w:left="4015" w:firstLine="2575"/>
      </w:pPr>
    </w:lvl>
    <w:lvl w:ilvl="4">
      <w:start w:val="1"/>
      <w:numFmt w:val="lowerLetter"/>
      <w:lvlText w:val="%5."/>
      <w:lvlJc w:val="left"/>
      <w:pPr>
        <w:ind w:left="4735" w:firstLine="3295"/>
      </w:pPr>
    </w:lvl>
    <w:lvl w:ilvl="5">
      <w:start w:val="1"/>
      <w:numFmt w:val="lowerRoman"/>
      <w:lvlText w:val="%6."/>
      <w:lvlJc w:val="right"/>
      <w:pPr>
        <w:ind w:left="5455" w:firstLine="4195"/>
      </w:pPr>
    </w:lvl>
    <w:lvl w:ilvl="6">
      <w:start w:val="1"/>
      <w:numFmt w:val="decimal"/>
      <w:lvlText w:val="%7."/>
      <w:lvlJc w:val="left"/>
      <w:pPr>
        <w:ind w:left="6175" w:firstLine="4735"/>
      </w:pPr>
    </w:lvl>
    <w:lvl w:ilvl="7">
      <w:start w:val="1"/>
      <w:numFmt w:val="lowerLetter"/>
      <w:lvlText w:val="%8."/>
      <w:lvlJc w:val="left"/>
      <w:pPr>
        <w:ind w:left="6895" w:firstLine="5455"/>
      </w:pPr>
    </w:lvl>
    <w:lvl w:ilvl="8">
      <w:start w:val="1"/>
      <w:numFmt w:val="lowerRoman"/>
      <w:lvlText w:val="%9."/>
      <w:lvlJc w:val="right"/>
      <w:pPr>
        <w:ind w:left="7615" w:firstLine="6355"/>
      </w:pPr>
    </w:lvl>
  </w:abstractNum>
  <w:abstractNum w:abstractNumId="4" w15:restartNumberingAfterBreak="0">
    <w:nsid w:val="173634BF"/>
    <w:multiLevelType w:val="multilevel"/>
    <w:tmpl w:val="9BD6C6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8746010"/>
    <w:multiLevelType w:val="hybridMultilevel"/>
    <w:tmpl w:val="4288C4A6"/>
    <w:lvl w:ilvl="0" w:tplc="354AA1B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77A68"/>
    <w:multiLevelType w:val="multilevel"/>
    <w:tmpl w:val="12DAB310"/>
    <w:lvl w:ilvl="0">
      <w:numFmt w:val="bullet"/>
      <w:lvlText w:val="•"/>
      <w:lvlJc w:val="left"/>
      <w:pPr>
        <w:ind w:left="0" w:firstLine="415"/>
      </w:pPr>
      <w:rPr>
        <w:rFonts w:ascii="Calibri" w:eastAsiaTheme="minorHAnsi" w:hAnsi="Calibri" w:cs="Arial" w:hint="default"/>
      </w:rPr>
    </w:lvl>
    <w:lvl w:ilvl="1">
      <w:start w:val="1"/>
      <w:numFmt w:val="lowerLetter"/>
      <w:lvlText w:val="%2."/>
      <w:lvlJc w:val="left"/>
      <w:pPr>
        <w:ind w:left="720" w:firstLine="1135"/>
      </w:pPr>
    </w:lvl>
    <w:lvl w:ilvl="2">
      <w:start w:val="1"/>
      <w:numFmt w:val="lowerRoman"/>
      <w:lvlText w:val="%3."/>
      <w:lvlJc w:val="right"/>
      <w:pPr>
        <w:ind w:left="1440" w:firstLine="2035"/>
      </w:pPr>
    </w:lvl>
    <w:lvl w:ilvl="3">
      <w:start w:val="1"/>
      <w:numFmt w:val="decimal"/>
      <w:lvlText w:val="%4."/>
      <w:lvlJc w:val="left"/>
      <w:pPr>
        <w:ind w:left="2160" w:firstLine="2575"/>
      </w:pPr>
    </w:lvl>
    <w:lvl w:ilvl="4">
      <w:start w:val="1"/>
      <w:numFmt w:val="lowerLetter"/>
      <w:lvlText w:val="%5."/>
      <w:lvlJc w:val="left"/>
      <w:pPr>
        <w:ind w:left="2880" w:firstLine="3295"/>
      </w:pPr>
    </w:lvl>
    <w:lvl w:ilvl="5">
      <w:start w:val="1"/>
      <w:numFmt w:val="lowerRoman"/>
      <w:lvlText w:val="%6."/>
      <w:lvlJc w:val="right"/>
      <w:pPr>
        <w:ind w:left="3600" w:firstLine="4195"/>
      </w:pPr>
    </w:lvl>
    <w:lvl w:ilvl="6">
      <w:start w:val="1"/>
      <w:numFmt w:val="decimal"/>
      <w:lvlText w:val="%7."/>
      <w:lvlJc w:val="left"/>
      <w:pPr>
        <w:ind w:left="4320" w:firstLine="4735"/>
      </w:pPr>
    </w:lvl>
    <w:lvl w:ilvl="7">
      <w:start w:val="1"/>
      <w:numFmt w:val="lowerLetter"/>
      <w:lvlText w:val="%8."/>
      <w:lvlJc w:val="left"/>
      <w:pPr>
        <w:ind w:left="5040" w:firstLine="5455"/>
      </w:pPr>
    </w:lvl>
    <w:lvl w:ilvl="8">
      <w:start w:val="1"/>
      <w:numFmt w:val="lowerRoman"/>
      <w:lvlText w:val="%9."/>
      <w:lvlJc w:val="right"/>
      <w:pPr>
        <w:ind w:left="5760" w:firstLine="6355"/>
      </w:pPr>
    </w:lvl>
  </w:abstractNum>
  <w:abstractNum w:abstractNumId="7" w15:restartNumberingAfterBreak="0">
    <w:nsid w:val="25E569E8"/>
    <w:multiLevelType w:val="multilevel"/>
    <w:tmpl w:val="752EC1C6"/>
    <w:lvl w:ilvl="0">
      <w:numFmt w:val="bullet"/>
      <w:lvlText w:val="•"/>
      <w:lvlJc w:val="left"/>
      <w:pPr>
        <w:ind w:left="0" w:firstLine="415"/>
      </w:pPr>
      <w:rPr>
        <w:rFonts w:ascii="Calibri" w:eastAsiaTheme="minorHAnsi" w:hAnsi="Calibri" w:cs="Arial" w:hint="default"/>
      </w:rPr>
    </w:lvl>
    <w:lvl w:ilvl="1">
      <w:start w:val="1"/>
      <w:numFmt w:val="lowerLetter"/>
      <w:lvlText w:val="%2."/>
      <w:lvlJc w:val="left"/>
      <w:pPr>
        <w:ind w:left="720" w:firstLine="1135"/>
      </w:pPr>
    </w:lvl>
    <w:lvl w:ilvl="2">
      <w:start w:val="1"/>
      <w:numFmt w:val="lowerRoman"/>
      <w:lvlText w:val="%3."/>
      <w:lvlJc w:val="right"/>
      <w:pPr>
        <w:ind w:left="1440" w:firstLine="2035"/>
      </w:pPr>
    </w:lvl>
    <w:lvl w:ilvl="3">
      <w:start w:val="1"/>
      <w:numFmt w:val="decimal"/>
      <w:lvlText w:val="%4."/>
      <w:lvlJc w:val="left"/>
      <w:pPr>
        <w:ind w:left="2160" w:firstLine="2575"/>
      </w:pPr>
    </w:lvl>
    <w:lvl w:ilvl="4">
      <w:start w:val="1"/>
      <w:numFmt w:val="lowerLetter"/>
      <w:lvlText w:val="%5."/>
      <w:lvlJc w:val="left"/>
      <w:pPr>
        <w:ind w:left="2880" w:firstLine="3295"/>
      </w:pPr>
    </w:lvl>
    <w:lvl w:ilvl="5">
      <w:start w:val="1"/>
      <w:numFmt w:val="lowerRoman"/>
      <w:lvlText w:val="%6."/>
      <w:lvlJc w:val="right"/>
      <w:pPr>
        <w:ind w:left="3600" w:firstLine="4195"/>
      </w:pPr>
    </w:lvl>
    <w:lvl w:ilvl="6">
      <w:start w:val="1"/>
      <w:numFmt w:val="decimal"/>
      <w:lvlText w:val="%7."/>
      <w:lvlJc w:val="left"/>
      <w:pPr>
        <w:ind w:left="4320" w:firstLine="4735"/>
      </w:pPr>
    </w:lvl>
    <w:lvl w:ilvl="7">
      <w:start w:val="1"/>
      <w:numFmt w:val="lowerLetter"/>
      <w:lvlText w:val="%8."/>
      <w:lvlJc w:val="left"/>
      <w:pPr>
        <w:ind w:left="5040" w:firstLine="5455"/>
      </w:pPr>
    </w:lvl>
    <w:lvl w:ilvl="8">
      <w:start w:val="1"/>
      <w:numFmt w:val="lowerRoman"/>
      <w:lvlText w:val="%9."/>
      <w:lvlJc w:val="right"/>
      <w:pPr>
        <w:ind w:left="5760" w:firstLine="6355"/>
      </w:pPr>
    </w:lvl>
  </w:abstractNum>
  <w:abstractNum w:abstractNumId="8" w15:restartNumberingAfterBreak="0">
    <w:nsid w:val="29A01225"/>
    <w:multiLevelType w:val="hybridMultilevel"/>
    <w:tmpl w:val="9E280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5A48D1"/>
    <w:multiLevelType w:val="multilevel"/>
    <w:tmpl w:val="DBA4E29E"/>
    <w:lvl w:ilvl="0">
      <w:numFmt w:val="bullet"/>
      <w:lvlText w:val="•"/>
      <w:lvlJc w:val="left"/>
      <w:pPr>
        <w:ind w:left="775" w:firstLine="415"/>
      </w:pPr>
      <w:rPr>
        <w:rFonts w:ascii="Calibri" w:eastAsiaTheme="minorHAnsi" w:hAnsi="Calibri" w:cs="Arial" w:hint="default"/>
      </w:rPr>
    </w:lvl>
    <w:lvl w:ilvl="1">
      <w:start w:val="1"/>
      <w:numFmt w:val="lowerLetter"/>
      <w:lvlText w:val="%2."/>
      <w:lvlJc w:val="left"/>
      <w:pPr>
        <w:ind w:left="1495" w:firstLine="1135"/>
      </w:pPr>
    </w:lvl>
    <w:lvl w:ilvl="2">
      <w:start w:val="1"/>
      <w:numFmt w:val="lowerRoman"/>
      <w:lvlText w:val="%3."/>
      <w:lvlJc w:val="righ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righ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right"/>
      <w:pPr>
        <w:ind w:left="6535" w:firstLine="6355"/>
      </w:pPr>
    </w:lvl>
  </w:abstractNum>
  <w:abstractNum w:abstractNumId="10" w15:restartNumberingAfterBreak="0">
    <w:nsid w:val="2C421BB3"/>
    <w:multiLevelType w:val="hybridMultilevel"/>
    <w:tmpl w:val="7ACAF7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71049B"/>
    <w:multiLevelType w:val="multilevel"/>
    <w:tmpl w:val="BFC8CCBA"/>
    <w:lvl w:ilvl="0">
      <w:start w:val="1"/>
      <w:numFmt w:val="bullet"/>
      <w:lvlText w:val="●"/>
      <w:lvlJc w:val="left"/>
      <w:pPr>
        <w:ind w:left="775" w:firstLine="415"/>
      </w:pPr>
      <w:rPr>
        <w:rFonts w:ascii="Arial" w:eastAsia="Arial" w:hAnsi="Arial" w:cs="Arial"/>
      </w:rPr>
    </w:lvl>
    <w:lvl w:ilvl="1">
      <w:start w:val="1"/>
      <w:numFmt w:val="lowerLetter"/>
      <w:lvlText w:val="%2."/>
      <w:lvlJc w:val="left"/>
      <w:pPr>
        <w:ind w:left="1495" w:firstLine="1135"/>
      </w:pPr>
    </w:lvl>
    <w:lvl w:ilvl="2">
      <w:start w:val="1"/>
      <w:numFmt w:val="lowerRoman"/>
      <w:lvlText w:val="%3."/>
      <w:lvlJc w:val="righ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righ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right"/>
      <w:pPr>
        <w:ind w:left="6535" w:firstLine="6355"/>
      </w:pPr>
    </w:lvl>
  </w:abstractNum>
  <w:abstractNum w:abstractNumId="12" w15:restartNumberingAfterBreak="0">
    <w:nsid w:val="3150033C"/>
    <w:multiLevelType w:val="hybridMultilevel"/>
    <w:tmpl w:val="85B04726"/>
    <w:lvl w:ilvl="0" w:tplc="7FC05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4768D"/>
    <w:multiLevelType w:val="multilevel"/>
    <w:tmpl w:val="BFC8CCBA"/>
    <w:lvl w:ilvl="0">
      <w:start w:val="1"/>
      <w:numFmt w:val="bullet"/>
      <w:lvlText w:val="●"/>
      <w:lvlJc w:val="left"/>
      <w:pPr>
        <w:ind w:left="775" w:firstLine="415"/>
      </w:pPr>
      <w:rPr>
        <w:rFonts w:ascii="Arial" w:eastAsia="Arial" w:hAnsi="Arial" w:cs="Arial"/>
      </w:rPr>
    </w:lvl>
    <w:lvl w:ilvl="1">
      <w:start w:val="1"/>
      <w:numFmt w:val="lowerLetter"/>
      <w:lvlText w:val="%2."/>
      <w:lvlJc w:val="left"/>
      <w:pPr>
        <w:ind w:left="1495" w:firstLine="1135"/>
      </w:pPr>
    </w:lvl>
    <w:lvl w:ilvl="2">
      <w:start w:val="1"/>
      <w:numFmt w:val="lowerRoman"/>
      <w:lvlText w:val="%3."/>
      <w:lvlJc w:val="righ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righ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right"/>
      <w:pPr>
        <w:ind w:left="6535" w:firstLine="6355"/>
      </w:pPr>
    </w:lvl>
  </w:abstractNum>
  <w:abstractNum w:abstractNumId="14" w15:restartNumberingAfterBreak="0">
    <w:nsid w:val="37CF3F07"/>
    <w:multiLevelType w:val="multilevel"/>
    <w:tmpl w:val="69E4C48C"/>
    <w:lvl w:ilvl="0">
      <w:start w:val="1"/>
      <w:numFmt w:val="bullet"/>
      <w:lvlText w:val="●"/>
      <w:lvlJc w:val="left"/>
      <w:pPr>
        <w:ind w:left="780" w:firstLine="420"/>
      </w:pPr>
      <w:rPr>
        <w:rFonts w:ascii="Arial" w:eastAsia="Arial" w:hAnsi="Arial" w:cs="Arial"/>
      </w:rPr>
    </w:lvl>
    <w:lvl w:ilvl="1">
      <w:start w:val="1"/>
      <w:numFmt w:val="bullet"/>
      <w:lvlText w:val="o"/>
      <w:lvlJc w:val="left"/>
      <w:pPr>
        <w:ind w:left="1500" w:firstLine="1140"/>
      </w:pPr>
      <w:rPr>
        <w:rFonts w:ascii="Arial" w:eastAsia="Arial" w:hAnsi="Arial" w:cs="Arial"/>
      </w:rPr>
    </w:lvl>
    <w:lvl w:ilvl="2">
      <w:start w:val="1"/>
      <w:numFmt w:val="bullet"/>
      <w:lvlText w:val="▪"/>
      <w:lvlJc w:val="left"/>
      <w:pPr>
        <w:ind w:left="2220" w:firstLine="1860"/>
      </w:pPr>
      <w:rPr>
        <w:rFonts w:ascii="Arial" w:eastAsia="Arial" w:hAnsi="Arial" w:cs="Arial"/>
      </w:rPr>
    </w:lvl>
    <w:lvl w:ilvl="3">
      <w:start w:val="1"/>
      <w:numFmt w:val="bullet"/>
      <w:lvlText w:val="●"/>
      <w:lvlJc w:val="left"/>
      <w:pPr>
        <w:ind w:left="2940" w:firstLine="2580"/>
      </w:pPr>
      <w:rPr>
        <w:rFonts w:ascii="Arial" w:eastAsia="Arial" w:hAnsi="Arial" w:cs="Arial"/>
      </w:rPr>
    </w:lvl>
    <w:lvl w:ilvl="4">
      <w:start w:val="1"/>
      <w:numFmt w:val="bullet"/>
      <w:lvlText w:val="o"/>
      <w:lvlJc w:val="left"/>
      <w:pPr>
        <w:ind w:left="3660" w:firstLine="3300"/>
      </w:pPr>
      <w:rPr>
        <w:rFonts w:ascii="Arial" w:eastAsia="Arial" w:hAnsi="Arial" w:cs="Arial"/>
      </w:rPr>
    </w:lvl>
    <w:lvl w:ilvl="5">
      <w:start w:val="1"/>
      <w:numFmt w:val="bullet"/>
      <w:lvlText w:val="▪"/>
      <w:lvlJc w:val="left"/>
      <w:pPr>
        <w:ind w:left="4380" w:firstLine="4020"/>
      </w:pPr>
      <w:rPr>
        <w:rFonts w:ascii="Arial" w:eastAsia="Arial" w:hAnsi="Arial" w:cs="Arial"/>
      </w:rPr>
    </w:lvl>
    <w:lvl w:ilvl="6">
      <w:start w:val="1"/>
      <w:numFmt w:val="bullet"/>
      <w:lvlText w:val="●"/>
      <w:lvlJc w:val="left"/>
      <w:pPr>
        <w:ind w:left="5100" w:firstLine="4740"/>
      </w:pPr>
      <w:rPr>
        <w:rFonts w:ascii="Arial" w:eastAsia="Arial" w:hAnsi="Arial" w:cs="Arial"/>
      </w:rPr>
    </w:lvl>
    <w:lvl w:ilvl="7">
      <w:start w:val="1"/>
      <w:numFmt w:val="bullet"/>
      <w:lvlText w:val="o"/>
      <w:lvlJc w:val="left"/>
      <w:pPr>
        <w:ind w:left="5820" w:firstLine="5460"/>
      </w:pPr>
      <w:rPr>
        <w:rFonts w:ascii="Arial" w:eastAsia="Arial" w:hAnsi="Arial" w:cs="Arial"/>
      </w:rPr>
    </w:lvl>
    <w:lvl w:ilvl="8">
      <w:start w:val="1"/>
      <w:numFmt w:val="bullet"/>
      <w:lvlText w:val="▪"/>
      <w:lvlJc w:val="left"/>
      <w:pPr>
        <w:ind w:left="6540" w:firstLine="6180"/>
      </w:pPr>
      <w:rPr>
        <w:rFonts w:ascii="Arial" w:eastAsia="Arial" w:hAnsi="Arial" w:cs="Arial"/>
      </w:rPr>
    </w:lvl>
  </w:abstractNum>
  <w:abstractNum w:abstractNumId="15" w15:restartNumberingAfterBreak="0">
    <w:nsid w:val="38850CF0"/>
    <w:multiLevelType w:val="hybridMultilevel"/>
    <w:tmpl w:val="207A7160"/>
    <w:lvl w:ilvl="0" w:tplc="354AA1B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3667C"/>
    <w:multiLevelType w:val="multilevel"/>
    <w:tmpl w:val="D4E863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3BBC6BCB"/>
    <w:multiLevelType w:val="hybridMultilevel"/>
    <w:tmpl w:val="24DA0B50"/>
    <w:lvl w:ilvl="0" w:tplc="354AA1B0">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250" w:hanging="360"/>
      </w:pPr>
      <w:rPr>
        <w:rFonts w:ascii="Courier New" w:hAnsi="Courier New" w:cs="Courier New" w:hint="default"/>
      </w:rPr>
    </w:lvl>
    <w:lvl w:ilvl="2" w:tplc="04090005">
      <w:start w:val="1"/>
      <w:numFmt w:val="bullet"/>
      <w:lvlText w:val=""/>
      <w:lvlJc w:val="left"/>
      <w:pPr>
        <w:ind w:left="970" w:hanging="360"/>
      </w:pPr>
      <w:rPr>
        <w:rFonts w:ascii="Wingdings" w:hAnsi="Wingdings" w:hint="default"/>
      </w:rPr>
    </w:lvl>
    <w:lvl w:ilvl="3" w:tplc="04090001">
      <w:start w:val="1"/>
      <w:numFmt w:val="bullet"/>
      <w:lvlText w:val=""/>
      <w:lvlJc w:val="left"/>
      <w:pPr>
        <w:ind w:left="1690" w:hanging="360"/>
      </w:pPr>
      <w:rPr>
        <w:rFonts w:ascii="Symbol" w:hAnsi="Symbol" w:hint="default"/>
      </w:rPr>
    </w:lvl>
    <w:lvl w:ilvl="4" w:tplc="04090003" w:tentative="1">
      <w:start w:val="1"/>
      <w:numFmt w:val="bullet"/>
      <w:lvlText w:val="o"/>
      <w:lvlJc w:val="left"/>
      <w:pPr>
        <w:ind w:left="2410" w:hanging="360"/>
      </w:pPr>
      <w:rPr>
        <w:rFonts w:ascii="Courier New" w:hAnsi="Courier New" w:cs="Courier New" w:hint="default"/>
      </w:rPr>
    </w:lvl>
    <w:lvl w:ilvl="5" w:tplc="04090005" w:tentative="1">
      <w:start w:val="1"/>
      <w:numFmt w:val="bullet"/>
      <w:lvlText w:val=""/>
      <w:lvlJc w:val="left"/>
      <w:pPr>
        <w:ind w:left="3130" w:hanging="360"/>
      </w:pPr>
      <w:rPr>
        <w:rFonts w:ascii="Wingdings" w:hAnsi="Wingdings" w:hint="default"/>
      </w:rPr>
    </w:lvl>
    <w:lvl w:ilvl="6" w:tplc="04090001" w:tentative="1">
      <w:start w:val="1"/>
      <w:numFmt w:val="bullet"/>
      <w:lvlText w:val=""/>
      <w:lvlJc w:val="left"/>
      <w:pPr>
        <w:ind w:left="3850" w:hanging="360"/>
      </w:pPr>
      <w:rPr>
        <w:rFonts w:ascii="Symbol" w:hAnsi="Symbol" w:hint="default"/>
      </w:rPr>
    </w:lvl>
    <w:lvl w:ilvl="7" w:tplc="04090003" w:tentative="1">
      <w:start w:val="1"/>
      <w:numFmt w:val="bullet"/>
      <w:lvlText w:val="o"/>
      <w:lvlJc w:val="left"/>
      <w:pPr>
        <w:ind w:left="4570" w:hanging="360"/>
      </w:pPr>
      <w:rPr>
        <w:rFonts w:ascii="Courier New" w:hAnsi="Courier New" w:cs="Courier New" w:hint="default"/>
      </w:rPr>
    </w:lvl>
    <w:lvl w:ilvl="8" w:tplc="04090005" w:tentative="1">
      <w:start w:val="1"/>
      <w:numFmt w:val="bullet"/>
      <w:lvlText w:val=""/>
      <w:lvlJc w:val="left"/>
      <w:pPr>
        <w:ind w:left="5290" w:hanging="360"/>
      </w:pPr>
      <w:rPr>
        <w:rFonts w:ascii="Wingdings" w:hAnsi="Wingdings" w:hint="default"/>
      </w:rPr>
    </w:lvl>
  </w:abstractNum>
  <w:abstractNum w:abstractNumId="18" w15:restartNumberingAfterBreak="0">
    <w:nsid w:val="4626709C"/>
    <w:multiLevelType w:val="hybridMultilevel"/>
    <w:tmpl w:val="CA6C25AE"/>
    <w:lvl w:ilvl="0" w:tplc="354AA1B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E0F2C"/>
    <w:multiLevelType w:val="hybridMultilevel"/>
    <w:tmpl w:val="8A5EA626"/>
    <w:lvl w:ilvl="0" w:tplc="354AA1B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22623"/>
    <w:multiLevelType w:val="multilevel"/>
    <w:tmpl w:val="9E8CFF9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4D882CB0"/>
    <w:multiLevelType w:val="multilevel"/>
    <w:tmpl w:val="12DAB310"/>
    <w:lvl w:ilvl="0">
      <w:numFmt w:val="bullet"/>
      <w:lvlText w:val="•"/>
      <w:lvlJc w:val="left"/>
      <w:pPr>
        <w:ind w:left="360" w:firstLine="415"/>
      </w:pPr>
      <w:rPr>
        <w:rFonts w:ascii="Calibri" w:eastAsiaTheme="minorHAnsi" w:hAnsi="Calibri" w:cs="Arial" w:hint="default"/>
      </w:rPr>
    </w:lvl>
    <w:lvl w:ilvl="1">
      <w:start w:val="1"/>
      <w:numFmt w:val="lowerLetter"/>
      <w:lvlText w:val="%2."/>
      <w:lvlJc w:val="left"/>
      <w:pPr>
        <w:ind w:left="1080" w:firstLine="1135"/>
      </w:pPr>
    </w:lvl>
    <w:lvl w:ilvl="2">
      <w:start w:val="1"/>
      <w:numFmt w:val="lowerRoman"/>
      <w:lvlText w:val="%3."/>
      <w:lvlJc w:val="right"/>
      <w:pPr>
        <w:ind w:left="1800" w:firstLine="2035"/>
      </w:pPr>
    </w:lvl>
    <w:lvl w:ilvl="3">
      <w:start w:val="1"/>
      <w:numFmt w:val="decimal"/>
      <w:lvlText w:val="%4."/>
      <w:lvlJc w:val="left"/>
      <w:pPr>
        <w:ind w:left="2520" w:firstLine="2575"/>
      </w:pPr>
    </w:lvl>
    <w:lvl w:ilvl="4">
      <w:start w:val="1"/>
      <w:numFmt w:val="lowerLetter"/>
      <w:lvlText w:val="%5."/>
      <w:lvlJc w:val="left"/>
      <w:pPr>
        <w:ind w:left="3240" w:firstLine="3295"/>
      </w:pPr>
    </w:lvl>
    <w:lvl w:ilvl="5">
      <w:start w:val="1"/>
      <w:numFmt w:val="lowerRoman"/>
      <w:lvlText w:val="%6."/>
      <w:lvlJc w:val="right"/>
      <w:pPr>
        <w:ind w:left="3960" w:firstLine="4195"/>
      </w:pPr>
    </w:lvl>
    <w:lvl w:ilvl="6">
      <w:start w:val="1"/>
      <w:numFmt w:val="decimal"/>
      <w:lvlText w:val="%7."/>
      <w:lvlJc w:val="left"/>
      <w:pPr>
        <w:ind w:left="4680" w:firstLine="4735"/>
      </w:pPr>
    </w:lvl>
    <w:lvl w:ilvl="7">
      <w:start w:val="1"/>
      <w:numFmt w:val="lowerLetter"/>
      <w:lvlText w:val="%8."/>
      <w:lvlJc w:val="left"/>
      <w:pPr>
        <w:ind w:left="5400" w:firstLine="5455"/>
      </w:pPr>
    </w:lvl>
    <w:lvl w:ilvl="8">
      <w:start w:val="1"/>
      <w:numFmt w:val="lowerRoman"/>
      <w:lvlText w:val="%9."/>
      <w:lvlJc w:val="right"/>
      <w:pPr>
        <w:ind w:left="6120" w:firstLine="6355"/>
      </w:pPr>
    </w:lvl>
  </w:abstractNum>
  <w:abstractNum w:abstractNumId="22" w15:restartNumberingAfterBreak="0">
    <w:nsid w:val="51B8394D"/>
    <w:multiLevelType w:val="hybridMultilevel"/>
    <w:tmpl w:val="EB608286"/>
    <w:lvl w:ilvl="0" w:tplc="B0D66F94">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C53D0"/>
    <w:multiLevelType w:val="multilevel"/>
    <w:tmpl w:val="32DA2D12"/>
    <w:lvl w:ilvl="0">
      <w:numFmt w:val="bullet"/>
      <w:lvlText w:val="•"/>
      <w:lvlJc w:val="left"/>
      <w:pPr>
        <w:ind w:left="2880" w:firstLine="360"/>
      </w:pPr>
      <w:rPr>
        <w:rFonts w:ascii="Calibri" w:eastAsiaTheme="minorHAnsi" w:hAnsi="Calibri" w:cs="Arial" w:hint="default"/>
      </w:rPr>
    </w:lvl>
    <w:lvl w:ilvl="1">
      <w:start w:val="1"/>
      <w:numFmt w:val="lowerLetter"/>
      <w:lvlText w:val="%2."/>
      <w:lvlJc w:val="left"/>
      <w:pPr>
        <w:ind w:left="3600" w:firstLine="1080"/>
      </w:pPr>
    </w:lvl>
    <w:lvl w:ilvl="2">
      <w:start w:val="1"/>
      <w:numFmt w:val="lowerRoman"/>
      <w:lvlText w:val="%3."/>
      <w:lvlJc w:val="right"/>
      <w:pPr>
        <w:ind w:left="4320" w:firstLine="1980"/>
      </w:pPr>
    </w:lvl>
    <w:lvl w:ilvl="3">
      <w:start w:val="1"/>
      <w:numFmt w:val="decimal"/>
      <w:lvlText w:val="%4."/>
      <w:lvlJc w:val="left"/>
      <w:pPr>
        <w:ind w:left="5040" w:firstLine="2520"/>
      </w:pPr>
    </w:lvl>
    <w:lvl w:ilvl="4">
      <w:start w:val="1"/>
      <w:numFmt w:val="lowerLetter"/>
      <w:lvlText w:val="%5."/>
      <w:lvlJc w:val="left"/>
      <w:pPr>
        <w:ind w:left="5760" w:firstLine="3240"/>
      </w:pPr>
    </w:lvl>
    <w:lvl w:ilvl="5">
      <w:start w:val="1"/>
      <w:numFmt w:val="lowerRoman"/>
      <w:lvlText w:val="%6."/>
      <w:lvlJc w:val="right"/>
      <w:pPr>
        <w:ind w:left="6480" w:firstLine="4140"/>
      </w:pPr>
    </w:lvl>
    <w:lvl w:ilvl="6">
      <w:start w:val="1"/>
      <w:numFmt w:val="decimal"/>
      <w:lvlText w:val="%7."/>
      <w:lvlJc w:val="left"/>
      <w:pPr>
        <w:ind w:left="7200" w:firstLine="4680"/>
      </w:pPr>
    </w:lvl>
    <w:lvl w:ilvl="7">
      <w:start w:val="1"/>
      <w:numFmt w:val="lowerLetter"/>
      <w:lvlText w:val="%8."/>
      <w:lvlJc w:val="left"/>
      <w:pPr>
        <w:ind w:left="7920" w:firstLine="5400"/>
      </w:pPr>
    </w:lvl>
    <w:lvl w:ilvl="8">
      <w:start w:val="1"/>
      <w:numFmt w:val="lowerRoman"/>
      <w:lvlText w:val="%9."/>
      <w:lvlJc w:val="right"/>
      <w:pPr>
        <w:ind w:left="8640" w:firstLine="6300"/>
      </w:pPr>
    </w:lvl>
  </w:abstractNum>
  <w:abstractNum w:abstractNumId="24" w15:restartNumberingAfterBreak="0">
    <w:nsid w:val="5A43037E"/>
    <w:multiLevelType w:val="hybridMultilevel"/>
    <w:tmpl w:val="2D464600"/>
    <w:lvl w:ilvl="0" w:tplc="354AA1B0">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610" w:hanging="360"/>
      </w:pPr>
      <w:rPr>
        <w:rFonts w:ascii="Courier New" w:hAnsi="Courier New" w:cs="Courier New" w:hint="default"/>
      </w:rPr>
    </w:lvl>
    <w:lvl w:ilvl="2" w:tplc="04090005" w:tentative="1">
      <w:start w:val="1"/>
      <w:numFmt w:val="bullet"/>
      <w:lvlText w:val=""/>
      <w:lvlJc w:val="left"/>
      <w:pPr>
        <w:ind w:left="1330" w:hanging="360"/>
      </w:pPr>
      <w:rPr>
        <w:rFonts w:ascii="Wingdings" w:hAnsi="Wingdings" w:hint="default"/>
      </w:rPr>
    </w:lvl>
    <w:lvl w:ilvl="3" w:tplc="04090001" w:tentative="1">
      <w:start w:val="1"/>
      <w:numFmt w:val="bullet"/>
      <w:lvlText w:val=""/>
      <w:lvlJc w:val="left"/>
      <w:pPr>
        <w:ind w:left="2050" w:hanging="360"/>
      </w:pPr>
      <w:rPr>
        <w:rFonts w:ascii="Symbol" w:hAnsi="Symbol" w:hint="default"/>
      </w:rPr>
    </w:lvl>
    <w:lvl w:ilvl="4" w:tplc="04090003" w:tentative="1">
      <w:start w:val="1"/>
      <w:numFmt w:val="bullet"/>
      <w:lvlText w:val="o"/>
      <w:lvlJc w:val="left"/>
      <w:pPr>
        <w:ind w:left="2770" w:hanging="360"/>
      </w:pPr>
      <w:rPr>
        <w:rFonts w:ascii="Courier New" w:hAnsi="Courier New" w:cs="Courier New" w:hint="default"/>
      </w:rPr>
    </w:lvl>
    <w:lvl w:ilvl="5" w:tplc="04090005" w:tentative="1">
      <w:start w:val="1"/>
      <w:numFmt w:val="bullet"/>
      <w:lvlText w:val=""/>
      <w:lvlJc w:val="left"/>
      <w:pPr>
        <w:ind w:left="3490" w:hanging="360"/>
      </w:pPr>
      <w:rPr>
        <w:rFonts w:ascii="Wingdings" w:hAnsi="Wingdings" w:hint="default"/>
      </w:rPr>
    </w:lvl>
    <w:lvl w:ilvl="6" w:tplc="04090001" w:tentative="1">
      <w:start w:val="1"/>
      <w:numFmt w:val="bullet"/>
      <w:lvlText w:val=""/>
      <w:lvlJc w:val="left"/>
      <w:pPr>
        <w:ind w:left="4210" w:hanging="360"/>
      </w:pPr>
      <w:rPr>
        <w:rFonts w:ascii="Symbol" w:hAnsi="Symbol" w:hint="default"/>
      </w:rPr>
    </w:lvl>
    <w:lvl w:ilvl="7" w:tplc="04090003" w:tentative="1">
      <w:start w:val="1"/>
      <w:numFmt w:val="bullet"/>
      <w:lvlText w:val="o"/>
      <w:lvlJc w:val="left"/>
      <w:pPr>
        <w:ind w:left="4930" w:hanging="360"/>
      </w:pPr>
      <w:rPr>
        <w:rFonts w:ascii="Courier New" w:hAnsi="Courier New" w:cs="Courier New" w:hint="default"/>
      </w:rPr>
    </w:lvl>
    <w:lvl w:ilvl="8" w:tplc="04090005" w:tentative="1">
      <w:start w:val="1"/>
      <w:numFmt w:val="bullet"/>
      <w:lvlText w:val=""/>
      <w:lvlJc w:val="left"/>
      <w:pPr>
        <w:ind w:left="5650" w:hanging="360"/>
      </w:pPr>
      <w:rPr>
        <w:rFonts w:ascii="Wingdings" w:hAnsi="Wingdings" w:hint="default"/>
      </w:rPr>
    </w:lvl>
  </w:abstractNum>
  <w:abstractNum w:abstractNumId="25" w15:restartNumberingAfterBreak="0">
    <w:nsid w:val="5C364A1F"/>
    <w:multiLevelType w:val="multilevel"/>
    <w:tmpl w:val="7C3A5DD0"/>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5E5E1172"/>
    <w:multiLevelType w:val="hybridMultilevel"/>
    <w:tmpl w:val="C820EC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85D05"/>
    <w:multiLevelType w:val="hybridMultilevel"/>
    <w:tmpl w:val="A1DC2832"/>
    <w:lvl w:ilvl="0" w:tplc="7FC05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00698"/>
    <w:multiLevelType w:val="hybridMultilevel"/>
    <w:tmpl w:val="3BC693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6667E1"/>
    <w:multiLevelType w:val="hybridMultilevel"/>
    <w:tmpl w:val="C624F536"/>
    <w:lvl w:ilvl="0" w:tplc="354AA1B0">
      <w:numFmt w:val="bullet"/>
      <w:lvlText w:val="•"/>
      <w:lvlJc w:val="left"/>
      <w:pPr>
        <w:ind w:left="191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E5593"/>
    <w:multiLevelType w:val="hybridMultilevel"/>
    <w:tmpl w:val="78B6522E"/>
    <w:lvl w:ilvl="0" w:tplc="354AA1B0">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610" w:hanging="360"/>
      </w:pPr>
      <w:rPr>
        <w:rFonts w:ascii="Courier New" w:hAnsi="Courier New" w:cs="Courier New" w:hint="default"/>
      </w:rPr>
    </w:lvl>
    <w:lvl w:ilvl="2" w:tplc="04090005" w:tentative="1">
      <w:start w:val="1"/>
      <w:numFmt w:val="bullet"/>
      <w:lvlText w:val=""/>
      <w:lvlJc w:val="left"/>
      <w:pPr>
        <w:ind w:left="1330" w:hanging="360"/>
      </w:pPr>
      <w:rPr>
        <w:rFonts w:ascii="Wingdings" w:hAnsi="Wingdings" w:hint="default"/>
      </w:rPr>
    </w:lvl>
    <w:lvl w:ilvl="3" w:tplc="04090001" w:tentative="1">
      <w:start w:val="1"/>
      <w:numFmt w:val="bullet"/>
      <w:lvlText w:val=""/>
      <w:lvlJc w:val="left"/>
      <w:pPr>
        <w:ind w:left="2050" w:hanging="360"/>
      </w:pPr>
      <w:rPr>
        <w:rFonts w:ascii="Symbol" w:hAnsi="Symbol" w:hint="default"/>
      </w:rPr>
    </w:lvl>
    <w:lvl w:ilvl="4" w:tplc="04090003" w:tentative="1">
      <w:start w:val="1"/>
      <w:numFmt w:val="bullet"/>
      <w:lvlText w:val="o"/>
      <w:lvlJc w:val="left"/>
      <w:pPr>
        <w:ind w:left="2770" w:hanging="360"/>
      </w:pPr>
      <w:rPr>
        <w:rFonts w:ascii="Courier New" w:hAnsi="Courier New" w:cs="Courier New" w:hint="default"/>
      </w:rPr>
    </w:lvl>
    <w:lvl w:ilvl="5" w:tplc="04090005" w:tentative="1">
      <w:start w:val="1"/>
      <w:numFmt w:val="bullet"/>
      <w:lvlText w:val=""/>
      <w:lvlJc w:val="left"/>
      <w:pPr>
        <w:ind w:left="3490" w:hanging="360"/>
      </w:pPr>
      <w:rPr>
        <w:rFonts w:ascii="Wingdings" w:hAnsi="Wingdings" w:hint="default"/>
      </w:rPr>
    </w:lvl>
    <w:lvl w:ilvl="6" w:tplc="04090001" w:tentative="1">
      <w:start w:val="1"/>
      <w:numFmt w:val="bullet"/>
      <w:lvlText w:val=""/>
      <w:lvlJc w:val="left"/>
      <w:pPr>
        <w:ind w:left="4210" w:hanging="360"/>
      </w:pPr>
      <w:rPr>
        <w:rFonts w:ascii="Symbol" w:hAnsi="Symbol" w:hint="default"/>
      </w:rPr>
    </w:lvl>
    <w:lvl w:ilvl="7" w:tplc="04090003" w:tentative="1">
      <w:start w:val="1"/>
      <w:numFmt w:val="bullet"/>
      <w:lvlText w:val="o"/>
      <w:lvlJc w:val="left"/>
      <w:pPr>
        <w:ind w:left="4930" w:hanging="360"/>
      </w:pPr>
      <w:rPr>
        <w:rFonts w:ascii="Courier New" w:hAnsi="Courier New" w:cs="Courier New" w:hint="default"/>
      </w:rPr>
    </w:lvl>
    <w:lvl w:ilvl="8" w:tplc="04090005" w:tentative="1">
      <w:start w:val="1"/>
      <w:numFmt w:val="bullet"/>
      <w:lvlText w:val=""/>
      <w:lvlJc w:val="left"/>
      <w:pPr>
        <w:ind w:left="5650" w:hanging="360"/>
      </w:pPr>
      <w:rPr>
        <w:rFonts w:ascii="Wingdings" w:hAnsi="Wingdings" w:hint="default"/>
      </w:rPr>
    </w:lvl>
  </w:abstractNum>
  <w:abstractNum w:abstractNumId="31" w15:restartNumberingAfterBreak="0">
    <w:nsid w:val="778461D7"/>
    <w:multiLevelType w:val="hybridMultilevel"/>
    <w:tmpl w:val="91B0B096"/>
    <w:lvl w:ilvl="0" w:tplc="354AA1B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64A95"/>
    <w:multiLevelType w:val="multilevel"/>
    <w:tmpl w:val="DBA4E29E"/>
    <w:lvl w:ilvl="0">
      <w:numFmt w:val="bullet"/>
      <w:lvlText w:val="•"/>
      <w:lvlJc w:val="left"/>
      <w:pPr>
        <w:ind w:left="775" w:firstLine="415"/>
      </w:pPr>
      <w:rPr>
        <w:rFonts w:ascii="Calibri" w:eastAsiaTheme="minorHAnsi" w:hAnsi="Calibri" w:cs="Arial" w:hint="default"/>
      </w:rPr>
    </w:lvl>
    <w:lvl w:ilvl="1">
      <w:start w:val="1"/>
      <w:numFmt w:val="lowerLetter"/>
      <w:lvlText w:val="%2."/>
      <w:lvlJc w:val="left"/>
      <w:pPr>
        <w:ind w:left="1495" w:firstLine="1135"/>
      </w:pPr>
    </w:lvl>
    <w:lvl w:ilvl="2">
      <w:start w:val="1"/>
      <w:numFmt w:val="lowerRoman"/>
      <w:lvlText w:val="%3."/>
      <w:lvlJc w:val="righ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righ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right"/>
      <w:pPr>
        <w:ind w:left="6535" w:firstLine="6355"/>
      </w:pPr>
    </w:lvl>
  </w:abstractNum>
  <w:abstractNum w:abstractNumId="33" w15:restartNumberingAfterBreak="0">
    <w:nsid w:val="7AE200C3"/>
    <w:multiLevelType w:val="hybridMultilevel"/>
    <w:tmpl w:val="2DE05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5"/>
  </w:num>
  <w:num w:numId="4">
    <w:abstractNumId w:val="16"/>
  </w:num>
  <w:num w:numId="5">
    <w:abstractNumId w:val="13"/>
  </w:num>
  <w:num w:numId="6">
    <w:abstractNumId w:val="20"/>
  </w:num>
  <w:num w:numId="7">
    <w:abstractNumId w:val="0"/>
  </w:num>
  <w:num w:numId="8">
    <w:abstractNumId w:val="22"/>
  </w:num>
  <w:num w:numId="9">
    <w:abstractNumId w:val="28"/>
  </w:num>
  <w:num w:numId="10">
    <w:abstractNumId w:val="10"/>
  </w:num>
  <w:num w:numId="11">
    <w:abstractNumId w:val="1"/>
  </w:num>
  <w:num w:numId="12">
    <w:abstractNumId w:val="2"/>
  </w:num>
  <w:num w:numId="13">
    <w:abstractNumId w:val="3"/>
  </w:num>
  <w:num w:numId="14">
    <w:abstractNumId w:val="11"/>
  </w:num>
  <w:num w:numId="15">
    <w:abstractNumId w:val="32"/>
  </w:num>
  <w:num w:numId="16">
    <w:abstractNumId w:val="9"/>
  </w:num>
  <w:num w:numId="17">
    <w:abstractNumId w:val="17"/>
  </w:num>
  <w:num w:numId="18">
    <w:abstractNumId w:val="30"/>
  </w:num>
  <w:num w:numId="19">
    <w:abstractNumId w:val="29"/>
  </w:num>
  <w:num w:numId="20">
    <w:abstractNumId w:val="24"/>
  </w:num>
  <w:num w:numId="21">
    <w:abstractNumId w:val="26"/>
  </w:num>
  <w:num w:numId="22">
    <w:abstractNumId w:val="33"/>
  </w:num>
  <w:num w:numId="23">
    <w:abstractNumId w:val="12"/>
  </w:num>
  <w:num w:numId="24">
    <w:abstractNumId w:val="27"/>
  </w:num>
  <w:num w:numId="25">
    <w:abstractNumId w:val="21"/>
  </w:num>
  <w:num w:numId="26">
    <w:abstractNumId w:val="6"/>
  </w:num>
  <w:num w:numId="27">
    <w:abstractNumId w:val="7"/>
  </w:num>
  <w:num w:numId="28">
    <w:abstractNumId w:val="15"/>
  </w:num>
  <w:num w:numId="29">
    <w:abstractNumId w:val="23"/>
  </w:num>
  <w:num w:numId="30">
    <w:abstractNumId w:val="19"/>
  </w:num>
  <w:num w:numId="31">
    <w:abstractNumId w:val="31"/>
  </w:num>
  <w:num w:numId="32">
    <w:abstractNumId w:val="18"/>
  </w:num>
  <w:num w:numId="33">
    <w:abstractNumId w:val="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36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9E"/>
    <w:rsid w:val="00010FE8"/>
    <w:rsid w:val="00013B7E"/>
    <w:rsid w:val="00020013"/>
    <w:rsid w:val="000302FB"/>
    <w:rsid w:val="00033FD6"/>
    <w:rsid w:val="0003631A"/>
    <w:rsid w:val="000427C8"/>
    <w:rsid w:val="00047596"/>
    <w:rsid w:val="00050D2E"/>
    <w:rsid w:val="000543CD"/>
    <w:rsid w:val="0005562B"/>
    <w:rsid w:val="0006480E"/>
    <w:rsid w:val="00065595"/>
    <w:rsid w:val="0007050B"/>
    <w:rsid w:val="00081760"/>
    <w:rsid w:val="000823EE"/>
    <w:rsid w:val="00084BC2"/>
    <w:rsid w:val="00086479"/>
    <w:rsid w:val="000A245A"/>
    <w:rsid w:val="000A6149"/>
    <w:rsid w:val="000B19F7"/>
    <w:rsid w:val="000B6114"/>
    <w:rsid w:val="000B7E27"/>
    <w:rsid w:val="000C42CE"/>
    <w:rsid w:val="000D1C19"/>
    <w:rsid w:val="000D40FE"/>
    <w:rsid w:val="000D6E3B"/>
    <w:rsid w:val="000F3B1A"/>
    <w:rsid w:val="000F5E03"/>
    <w:rsid w:val="0010645D"/>
    <w:rsid w:val="00110CBF"/>
    <w:rsid w:val="00112714"/>
    <w:rsid w:val="001162EB"/>
    <w:rsid w:val="0011635A"/>
    <w:rsid w:val="001219BF"/>
    <w:rsid w:val="00150231"/>
    <w:rsid w:val="00150E73"/>
    <w:rsid w:val="00152F23"/>
    <w:rsid w:val="00162277"/>
    <w:rsid w:val="00162790"/>
    <w:rsid w:val="001673A6"/>
    <w:rsid w:val="00167C62"/>
    <w:rsid w:val="00176FAB"/>
    <w:rsid w:val="001863B1"/>
    <w:rsid w:val="00192FCA"/>
    <w:rsid w:val="001974B1"/>
    <w:rsid w:val="001A04F3"/>
    <w:rsid w:val="001A3E70"/>
    <w:rsid w:val="001A5919"/>
    <w:rsid w:val="001A6C93"/>
    <w:rsid w:val="001B2744"/>
    <w:rsid w:val="001B27AD"/>
    <w:rsid w:val="001B4D0C"/>
    <w:rsid w:val="001C14ED"/>
    <w:rsid w:val="001C3711"/>
    <w:rsid w:val="001C6F57"/>
    <w:rsid w:val="001D0DD8"/>
    <w:rsid w:val="001D1B74"/>
    <w:rsid w:val="001E2CED"/>
    <w:rsid w:val="001E3419"/>
    <w:rsid w:val="001E6D9B"/>
    <w:rsid w:val="001F03C2"/>
    <w:rsid w:val="001F1A61"/>
    <w:rsid w:val="00203253"/>
    <w:rsid w:val="002048B1"/>
    <w:rsid w:val="002139DA"/>
    <w:rsid w:val="00213EA4"/>
    <w:rsid w:val="00215544"/>
    <w:rsid w:val="002155C1"/>
    <w:rsid w:val="0022024B"/>
    <w:rsid w:val="00220386"/>
    <w:rsid w:val="00221AF4"/>
    <w:rsid w:val="00225A5C"/>
    <w:rsid w:val="0022671A"/>
    <w:rsid w:val="002276B0"/>
    <w:rsid w:val="002343DD"/>
    <w:rsid w:val="002359D7"/>
    <w:rsid w:val="00236677"/>
    <w:rsid w:val="00242A86"/>
    <w:rsid w:val="00245180"/>
    <w:rsid w:val="002464D3"/>
    <w:rsid w:val="00246E1A"/>
    <w:rsid w:val="00252002"/>
    <w:rsid w:val="00254D97"/>
    <w:rsid w:val="00255D61"/>
    <w:rsid w:val="00257E3C"/>
    <w:rsid w:val="00266168"/>
    <w:rsid w:val="00270DD1"/>
    <w:rsid w:val="00281153"/>
    <w:rsid w:val="00283105"/>
    <w:rsid w:val="002A4811"/>
    <w:rsid w:val="002A5F8C"/>
    <w:rsid w:val="002B28AC"/>
    <w:rsid w:val="002B59AE"/>
    <w:rsid w:val="002C5823"/>
    <w:rsid w:val="002C6286"/>
    <w:rsid w:val="002D42F3"/>
    <w:rsid w:val="002D5F25"/>
    <w:rsid w:val="002E1B3A"/>
    <w:rsid w:val="002E2FBD"/>
    <w:rsid w:val="002E3287"/>
    <w:rsid w:val="00302533"/>
    <w:rsid w:val="003042BF"/>
    <w:rsid w:val="00304348"/>
    <w:rsid w:val="00306042"/>
    <w:rsid w:val="00306ECA"/>
    <w:rsid w:val="00311DBE"/>
    <w:rsid w:val="00326587"/>
    <w:rsid w:val="003271B6"/>
    <w:rsid w:val="00331B57"/>
    <w:rsid w:val="00333C91"/>
    <w:rsid w:val="00334362"/>
    <w:rsid w:val="0033533D"/>
    <w:rsid w:val="00344541"/>
    <w:rsid w:val="003502B6"/>
    <w:rsid w:val="00351DEA"/>
    <w:rsid w:val="00352B7B"/>
    <w:rsid w:val="00356CEA"/>
    <w:rsid w:val="00360532"/>
    <w:rsid w:val="00360FA7"/>
    <w:rsid w:val="00362AA7"/>
    <w:rsid w:val="00366118"/>
    <w:rsid w:val="00374FD1"/>
    <w:rsid w:val="00377A26"/>
    <w:rsid w:val="003850AF"/>
    <w:rsid w:val="00385E03"/>
    <w:rsid w:val="00386A98"/>
    <w:rsid w:val="003874E6"/>
    <w:rsid w:val="003A319D"/>
    <w:rsid w:val="003A5791"/>
    <w:rsid w:val="003B131C"/>
    <w:rsid w:val="003B5625"/>
    <w:rsid w:val="003C55A2"/>
    <w:rsid w:val="003D5022"/>
    <w:rsid w:val="003E0D9C"/>
    <w:rsid w:val="003E55F5"/>
    <w:rsid w:val="003F0116"/>
    <w:rsid w:val="003F0B21"/>
    <w:rsid w:val="003F7334"/>
    <w:rsid w:val="00405B37"/>
    <w:rsid w:val="00405FA6"/>
    <w:rsid w:val="00407715"/>
    <w:rsid w:val="004107D7"/>
    <w:rsid w:val="004121F9"/>
    <w:rsid w:val="0041298F"/>
    <w:rsid w:val="00416C96"/>
    <w:rsid w:val="00420843"/>
    <w:rsid w:val="004217B1"/>
    <w:rsid w:val="004370A9"/>
    <w:rsid w:val="004451F7"/>
    <w:rsid w:val="0045175D"/>
    <w:rsid w:val="0045699A"/>
    <w:rsid w:val="00456DF9"/>
    <w:rsid w:val="004629C1"/>
    <w:rsid w:val="00462B7E"/>
    <w:rsid w:val="00464664"/>
    <w:rsid w:val="00482EFD"/>
    <w:rsid w:val="00493E9C"/>
    <w:rsid w:val="004B2C9A"/>
    <w:rsid w:val="004B7AB7"/>
    <w:rsid w:val="004C24A3"/>
    <w:rsid w:val="004E39D2"/>
    <w:rsid w:val="004E3CC7"/>
    <w:rsid w:val="004E6DEA"/>
    <w:rsid w:val="00513789"/>
    <w:rsid w:val="005203DA"/>
    <w:rsid w:val="005326FE"/>
    <w:rsid w:val="00561EEA"/>
    <w:rsid w:val="00564D25"/>
    <w:rsid w:val="00571521"/>
    <w:rsid w:val="0057687F"/>
    <w:rsid w:val="00584129"/>
    <w:rsid w:val="00586AB4"/>
    <w:rsid w:val="005920BF"/>
    <w:rsid w:val="005969CA"/>
    <w:rsid w:val="00597891"/>
    <w:rsid w:val="005A257A"/>
    <w:rsid w:val="005A5289"/>
    <w:rsid w:val="005A6792"/>
    <w:rsid w:val="005A6E2D"/>
    <w:rsid w:val="005B479A"/>
    <w:rsid w:val="005B77FA"/>
    <w:rsid w:val="005C117D"/>
    <w:rsid w:val="005D0B89"/>
    <w:rsid w:val="005D13BF"/>
    <w:rsid w:val="005D4A36"/>
    <w:rsid w:val="005D64EE"/>
    <w:rsid w:val="005E1689"/>
    <w:rsid w:val="005E2B50"/>
    <w:rsid w:val="005E3845"/>
    <w:rsid w:val="005E634F"/>
    <w:rsid w:val="005F7E7C"/>
    <w:rsid w:val="006014B9"/>
    <w:rsid w:val="006016D0"/>
    <w:rsid w:val="00613043"/>
    <w:rsid w:val="00621EAB"/>
    <w:rsid w:val="00624BE7"/>
    <w:rsid w:val="00624BED"/>
    <w:rsid w:val="006274B0"/>
    <w:rsid w:val="00627ED6"/>
    <w:rsid w:val="00633ED5"/>
    <w:rsid w:val="006352F3"/>
    <w:rsid w:val="00637D2D"/>
    <w:rsid w:val="006412DC"/>
    <w:rsid w:val="006470C7"/>
    <w:rsid w:val="00647D73"/>
    <w:rsid w:val="0065333F"/>
    <w:rsid w:val="0065341A"/>
    <w:rsid w:val="006548D6"/>
    <w:rsid w:val="006655D8"/>
    <w:rsid w:val="00665927"/>
    <w:rsid w:val="006709B3"/>
    <w:rsid w:val="006729BE"/>
    <w:rsid w:val="00673514"/>
    <w:rsid w:val="00682BCC"/>
    <w:rsid w:val="00684B26"/>
    <w:rsid w:val="00694555"/>
    <w:rsid w:val="0069558A"/>
    <w:rsid w:val="006A110A"/>
    <w:rsid w:val="006A5F3C"/>
    <w:rsid w:val="006A6204"/>
    <w:rsid w:val="006A6D0D"/>
    <w:rsid w:val="006B40CF"/>
    <w:rsid w:val="006B411C"/>
    <w:rsid w:val="006B7895"/>
    <w:rsid w:val="006C3B7C"/>
    <w:rsid w:val="006D096E"/>
    <w:rsid w:val="006D44EF"/>
    <w:rsid w:val="006D5F76"/>
    <w:rsid w:val="006D678A"/>
    <w:rsid w:val="006E5714"/>
    <w:rsid w:val="006F1CCB"/>
    <w:rsid w:val="006F5B82"/>
    <w:rsid w:val="007010E5"/>
    <w:rsid w:val="0070226C"/>
    <w:rsid w:val="00705468"/>
    <w:rsid w:val="007055CF"/>
    <w:rsid w:val="007073B3"/>
    <w:rsid w:val="007120B2"/>
    <w:rsid w:val="00717A60"/>
    <w:rsid w:val="007326E4"/>
    <w:rsid w:val="00733F83"/>
    <w:rsid w:val="00745410"/>
    <w:rsid w:val="00754D35"/>
    <w:rsid w:val="00761AA8"/>
    <w:rsid w:val="00772254"/>
    <w:rsid w:val="0077719E"/>
    <w:rsid w:val="00777FE0"/>
    <w:rsid w:val="00780EEA"/>
    <w:rsid w:val="007843E1"/>
    <w:rsid w:val="00794AF3"/>
    <w:rsid w:val="00795AA5"/>
    <w:rsid w:val="007B029F"/>
    <w:rsid w:val="007B6F30"/>
    <w:rsid w:val="007C3160"/>
    <w:rsid w:val="007D1387"/>
    <w:rsid w:val="007D1E92"/>
    <w:rsid w:val="007E0830"/>
    <w:rsid w:val="007E646F"/>
    <w:rsid w:val="007F20AF"/>
    <w:rsid w:val="007F70E6"/>
    <w:rsid w:val="00800BA2"/>
    <w:rsid w:val="00801152"/>
    <w:rsid w:val="00806121"/>
    <w:rsid w:val="00810817"/>
    <w:rsid w:val="00812C27"/>
    <w:rsid w:val="0081662B"/>
    <w:rsid w:val="00824315"/>
    <w:rsid w:val="0084410B"/>
    <w:rsid w:val="00852388"/>
    <w:rsid w:val="00854157"/>
    <w:rsid w:val="00865160"/>
    <w:rsid w:val="00875934"/>
    <w:rsid w:val="00882C5E"/>
    <w:rsid w:val="00892A6E"/>
    <w:rsid w:val="008A0042"/>
    <w:rsid w:val="008B5162"/>
    <w:rsid w:val="008B5D51"/>
    <w:rsid w:val="008B7E84"/>
    <w:rsid w:val="008C553A"/>
    <w:rsid w:val="008D66CB"/>
    <w:rsid w:val="008E1176"/>
    <w:rsid w:val="008E3E25"/>
    <w:rsid w:val="008F07BF"/>
    <w:rsid w:val="008F158A"/>
    <w:rsid w:val="00911087"/>
    <w:rsid w:val="0091434E"/>
    <w:rsid w:val="009167D9"/>
    <w:rsid w:val="00930A60"/>
    <w:rsid w:val="00931F87"/>
    <w:rsid w:val="00937784"/>
    <w:rsid w:val="00940BEC"/>
    <w:rsid w:val="00946D04"/>
    <w:rsid w:val="00956AA2"/>
    <w:rsid w:val="00962DFE"/>
    <w:rsid w:val="00984E9E"/>
    <w:rsid w:val="00990D8A"/>
    <w:rsid w:val="00990D8B"/>
    <w:rsid w:val="009928FA"/>
    <w:rsid w:val="00993878"/>
    <w:rsid w:val="00994303"/>
    <w:rsid w:val="009A34AE"/>
    <w:rsid w:val="009A37C7"/>
    <w:rsid w:val="009A3A2E"/>
    <w:rsid w:val="009A4C77"/>
    <w:rsid w:val="009A7A5D"/>
    <w:rsid w:val="009B0D90"/>
    <w:rsid w:val="009B1726"/>
    <w:rsid w:val="009B2C66"/>
    <w:rsid w:val="009C15B4"/>
    <w:rsid w:val="009C1A71"/>
    <w:rsid w:val="009C243B"/>
    <w:rsid w:val="009D0C51"/>
    <w:rsid w:val="009D6831"/>
    <w:rsid w:val="009E4A92"/>
    <w:rsid w:val="009E7832"/>
    <w:rsid w:val="009F4947"/>
    <w:rsid w:val="009F688A"/>
    <w:rsid w:val="00A11DD5"/>
    <w:rsid w:val="00A16303"/>
    <w:rsid w:val="00A21D06"/>
    <w:rsid w:val="00A22799"/>
    <w:rsid w:val="00A358E7"/>
    <w:rsid w:val="00A3622D"/>
    <w:rsid w:val="00A36906"/>
    <w:rsid w:val="00A42823"/>
    <w:rsid w:val="00A43133"/>
    <w:rsid w:val="00A444D9"/>
    <w:rsid w:val="00A468E5"/>
    <w:rsid w:val="00A60FBF"/>
    <w:rsid w:val="00A6271A"/>
    <w:rsid w:val="00A65246"/>
    <w:rsid w:val="00A67520"/>
    <w:rsid w:val="00A67B2D"/>
    <w:rsid w:val="00A70553"/>
    <w:rsid w:val="00A71C4E"/>
    <w:rsid w:val="00A74520"/>
    <w:rsid w:val="00A92B05"/>
    <w:rsid w:val="00A95F1F"/>
    <w:rsid w:val="00AA49AB"/>
    <w:rsid w:val="00AA54CA"/>
    <w:rsid w:val="00AB1865"/>
    <w:rsid w:val="00AB33F8"/>
    <w:rsid w:val="00AB4345"/>
    <w:rsid w:val="00AB47A5"/>
    <w:rsid w:val="00AB501B"/>
    <w:rsid w:val="00AD32CD"/>
    <w:rsid w:val="00AD42DF"/>
    <w:rsid w:val="00AD4443"/>
    <w:rsid w:val="00AE517D"/>
    <w:rsid w:val="00AE58A3"/>
    <w:rsid w:val="00B01C36"/>
    <w:rsid w:val="00B1252F"/>
    <w:rsid w:val="00B143AB"/>
    <w:rsid w:val="00B14D04"/>
    <w:rsid w:val="00B22057"/>
    <w:rsid w:val="00B23918"/>
    <w:rsid w:val="00B24FF5"/>
    <w:rsid w:val="00B2588C"/>
    <w:rsid w:val="00B30C77"/>
    <w:rsid w:val="00B33821"/>
    <w:rsid w:val="00B43BBC"/>
    <w:rsid w:val="00B44553"/>
    <w:rsid w:val="00B460E1"/>
    <w:rsid w:val="00B469CD"/>
    <w:rsid w:val="00B568FB"/>
    <w:rsid w:val="00B56C67"/>
    <w:rsid w:val="00B61EBB"/>
    <w:rsid w:val="00B6269E"/>
    <w:rsid w:val="00B67376"/>
    <w:rsid w:val="00B72737"/>
    <w:rsid w:val="00B73C33"/>
    <w:rsid w:val="00B779F9"/>
    <w:rsid w:val="00B9437F"/>
    <w:rsid w:val="00BA083F"/>
    <w:rsid w:val="00BA1C3B"/>
    <w:rsid w:val="00BA3D2D"/>
    <w:rsid w:val="00BA6BA5"/>
    <w:rsid w:val="00BB04E3"/>
    <w:rsid w:val="00BC5574"/>
    <w:rsid w:val="00BD03FA"/>
    <w:rsid w:val="00BD1C75"/>
    <w:rsid w:val="00BD22B0"/>
    <w:rsid w:val="00BE20F4"/>
    <w:rsid w:val="00BE5984"/>
    <w:rsid w:val="00BE6F8C"/>
    <w:rsid w:val="00BF1BF7"/>
    <w:rsid w:val="00BF22B2"/>
    <w:rsid w:val="00BF5926"/>
    <w:rsid w:val="00BF7A05"/>
    <w:rsid w:val="00C02CEF"/>
    <w:rsid w:val="00C15459"/>
    <w:rsid w:val="00C218D8"/>
    <w:rsid w:val="00C26552"/>
    <w:rsid w:val="00C4132D"/>
    <w:rsid w:val="00C436F1"/>
    <w:rsid w:val="00C57665"/>
    <w:rsid w:val="00C67DC9"/>
    <w:rsid w:val="00C71D28"/>
    <w:rsid w:val="00C724E0"/>
    <w:rsid w:val="00C72F38"/>
    <w:rsid w:val="00C73B57"/>
    <w:rsid w:val="00C81553"/>
    <w:rsid w:val="00C830C1"/>
    <w:rsid w:val="00C93D72"/>
    <w:rsid w:val="00C95CD5"/>
    <w:rsid w:val="00C96358"/>
    <w:rsid w:val="00CA0F1F"/>
    <w:rsid w:val="00CA43C5"/>
    <w:rsid w:val="00CA4CEE"/>
    <w:rsid w:val="00CA5EC0"/>
    <w:rsid w:val="00CA6258"/>
    <w:rsid w:val="00CA7109"/>
    <w:rsid w:val="00CB003D"/>
    <w:rsid w:val="00CB70D5"/>
    <w:rsid w:val="00CC4E14"/>
    <w:rsid w:val="00CC7011"/>
    <w:rsid w:val="00CD03C1"/>
    <w:rsid w:val="00CD0B1E"/>
    <w:rsid w:val="00CD5AF6"/>
    <w:rsid w:val="00CE0BE6"/>
    <w:rsid w:val="00CF3486"/>
    <w:rsid w:val="00CF3F48"/>
    <w:rsid w:val="00D01C84"/>
    <w:rsid w:val="00D039CD"/>
    <w:rsid w:val="00D215CF"/>
    <w:rsid w:val="00D21E93"/>
    <w:rsid w:val="00D2360A"/>
    <w:rsid w:val="00D24314"/>
    <w:rsid w:val="00D26E2F"/>
    <w:rsid w:val="00D31A03"/>
    <w:rsid w:val="00D402AB"/>
    <w:rsid w:val="00D41A1E"/>
    <w:rsid w:val="00D42C19"/>
    <w:rsid w:val="00D47C8C"/>
    <w:rsid w:val="00D50963"/>
    <w:rsid w:val="00D50A98"/>
    <w:rsid w:val="00D51CA0"/>
    <w:rsid w:val="00D60D37"/>
    <w:rsid w:val="00D67843"/>
    <w:rsid w:val="00D94756"/>
    <w:rsid w:val="00DA1E78"/>
    <w:rsid w:val="00DA492D"/>
    <w:rsid w:val="00DB1171"/>
    <w:rsid w:val="00DC1FF3"/>
    <w:rsid w:val="00DC2DC5"/>
    <w:rsid w:val="00DC5903"/>
    <w:rsid w:val="00DD2A09"/>
    <w:rsid w:val="00DD561E"/>
    <w:rsid w:val="00DD65EC"/>
    <w:rsid w:val="00DD68ED"/>
    <w:rsid w:val="00DE251B"/>
    <w:rsid w:val="00DE5BB3"/>
    <w:rsid w:val="00DF0F1F"/>
    <w:rsid w:val="00DF211A"/>
    <w:rsid w:val="00DF3F64"/>
    <w:rsid w:val="00DF40CE"/>
    <w:rsid w:val="00E01D5E"/>
    <w:rsid w:val="00E06A69"/>
    <w:rsid w:val="00E264E3"/>
    <w:rsid w:val="00E26704"/>
    <w:rsid w:val="00E440C7"/>
    <w:rsid w:val="00E51249"/>
    <w:rsid w:val="00E51779"/>
    <w:rsid w:val="00E53482"/>
    <w:rsid w:val="00E72431"/>
    <w:rsid w:val="00E73B6F"/>
    <w:rsid w:val="00E73BAA"/>
    <w:rsid w:val="00E76A2D"/>
    <w:rsid w:val="00E87D61"/>
    <w:rsid w:val="00E94B1A"/>
    <w:rsid w:val="00E9606B"/>
    <w:rsid w:val="00EA6640"/>
    <w:rsid w:val="00EB3598"/>
    <w:rsid w:val="00EC0F42"/>
    <w:rsid w:val="00EC66AE"/>
    <w:rsid w:val="00ED336C"/>
    <w:rsid w:val="00EE4237"/>
    <w:rsid w:val="00EE52D8"/>
    <w:rsid w:val="00F007AE"/>
    <w:rsid w:val="00F00857"/>
    <w:rsid w:val="00F11F19"/>
    <w:rsid w:val="00F2540C"/>
    <w:rsid w:val="00F32005"/>
    <w:rsid w:val="00F326B0"/>
    <w:rsid w:val="00F36550"/>
    <w:rsid w:val="00F37A45"/>
    <w:rsid w:val="00F40D05"/>
    <w:rsid w:val="00F45AFE"/>
    <w:rsid w:val="00F47A76"/>
    <w:rsid w:val="00F518E9"/>
    <w:rsid w:val="00F5203A"/>
    <w:rsid w:val="00F55460"/>
    <w:rsid w:val="00F61764"/>
    <w:rsid w:val="00F6473A"/>
    <w:rsid w:val="00F65BD5"/>
    <w:rsid w:val="00F810BA"/>
    <w:rsid w:val="00F854A9"/>
    <w:rsid w:val="00F9469C"/>
    <w:rsid w:val="00F94AA5"/>
    <w:rsid w:val="00FA0133"/>
    <w:rsid w:val="00FA1867"/>
    <w:rsid w:val="00FC26E4"/>
    <w:rsid w:val="00FC3063"/>
    <w:rsid w:val="00FC5B29"/>
    <w:rsid w:val="00FD09FA"/>
    <w:rsid w:val="00FE24A8"/>
    <w:rsid w:val="00FF2A46"/>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1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F5"/>
    <w:pPr>
      <w:tabs>
        <w:tab w:val="left" w:pos="-1440"/>
        <w:tab w:val="left" w:pos="0"/>
        <w:tab w:val="left" w:pos="360"/>
        <w:tab w:val="left" w:pos="2160"/>
        <w:tab w:val="left" w:pos="28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Calibri" w:hAnsi="Arial" w:cs="Arial"/>
      <w:sz w:val="22"/>
      <w:szCs w:val="22"/>
    </w:rPr>
  </w:style>
  <w:style w:type="paragraph" w:styleId="Heading1">
    <w:name w:val="heading 1"/>
    <w:basedOn w:val="Normal"/>
    <w:next w:val="Normal"/>
    <w:qFormat/>
    <w:rsid w:val="00013B7E"/>
    <w:pPr>
      <w:outlineLvl w:val="0"/>
    </w:pPr>
    <w:rPr>
      <w:b/>
    </w:rPr>
  </w:style>
  <w:style w:type="paragraph" w:styleId="Heading2">
    <w:name w:val="heading 2"/>
    <w:basedOn w:val="Normal"/>
    <w:next w:val="Normal"/>
    <w:qFormat/>
    <w:rsid w:val="003E55F5"/>
    <w:pPr>
      <w:keepNext/>
      <w:spacing w:after="240"/>
      <w:outlineLvl w:val="1"/>
    </w:pPr>
    <w:rPr>
      <w:b/>
      <w:u w:val="single"/>
    </w:rPr>
  </w:style>
  <w:style w:type="paragraph" w:styleId="Heading3">
    <w:name w:val="heading 3"/>
    <w:basedOn w:val="Normal"/>
    <w:next w:val="Normal"/>
    <w:qFormat/>
    <w:rsid w:val="003E55F5"/>
    <w:pPr>
      <w:keepN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utlineLvl w:val="2"/>
    </w:pPr>
    <w:rPr>
      <w:b/>
    </w:rPr>
  </w:style>
  <w:style w:type="paragraph" w:styleId="Heading4">
    <w:name w:val="heading 4"/>
    <w:basedOn w:val="Normal"/>
    <w:next w:val="Normal"/>
    <w:pPr>
      <w:keepNext/>
      <w:keepLines/>
      <w:widowControl/>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2" w:type="dxa"/>
        <w:right w:w="102"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724E0"/>
    <w:pPr>
      <w:tabs>
        <w:tab w:val="center" w:pos="4680"/>
        <w:tab w:val="right" w:pos="9360"/>
      </w:tabs>
    </w:pPr>
  </w:style>
  <w:style w:type="character" w:customStyle="1" w:styleId="HeaderChar">
    <w:name w:val="Header Char"/>
    <w:basedOn w:val="DefaultParagraphFont"/>
    <w:link w:val="Header"/>
    <w:uiPriority w:val="99"/>
    <w:rsid w:val="00C724E0"/>
  </w:style>
  <w:style w:type="paragraph" w:styleId="Footer">
    <w:name w:val="footer"/>
    <w:basedOn w:val="Normal"/>
    <w:link w:val="FooterChar"/>
    <w:uiPriority w:val="99"/>
    <w:unhideWhenUsed/>
    <w:rsid w:val="00C724E0"/>
    <w:pPr>
      <w:tabs>
        <w:tab w:val="center" w:pos="4680"/>
        <w:tab w:val="right" w:pos="9360"/>
      </w:tabs>
    </w:pPr>
  </w:style>
  <w:style w:type="character" w:customStyle="1" w:styleId="FooterChar">
    <w:name w:val="Footer Char"/>
    <w:basedOn w:val="DefaultParagraphFont"/>
    <w:link w:val="Footer"/>
    <w:uiPriority w:val="99"/>
    <w:rsid w:val="00C724E0"/>
  </w:style>
  <w:style w:type="character" w:styleId="CommentReference">
    <w:name w:val="annotation reference"/>
    <w:basedOn w:val="DefaultParagraphFont"/>
    <w:uiPriority w:val="99"/>
    <w:unhideWhenUsed/>
    <w:rsid w:val="001B27AD"/>
    <w:rPr>
      <w:sz w:val="16"/>
      <w:szCs w:val="16"/>
    </w:rPr>
  </w:style>
  <w:style w:type="paragraph" w:styleId="CommentText">
    <w:name w:val="annotation text"/>
    <w:basedOn w:val="Normal"/>
    <w:link w:val="CommentTextChar"/>
    <w:uiPriority w:val="99"/>
    <w:unhideWhenUsed/>
    <w:rsid w:val="001B27AD"/>
  </w:style>
  <w:style w:type="character" w:customStyle="1" w:styleId="CommentTextChar">
    <w:name w:val="Comment Text Char"/>
    <w:basedOn w:val="DefaultParagraphFont"/>
    <w:link w:val="CommentText"/>
    <w:uiPriority w:val="99"/>
    <w:rsid w:val="001B27AD"/>
  </w:style>
  <w:style w:type="paragraph" w:styleId="CommentSubject">
    <w:name w:val="annotation subject"/>
    <w:basedOn w:val="CommentText"/>
    <w:next w:val="CommentText"/>
    <w:link w:val="CommentSubjectChar"/>
    <w:uiPriority w:val="99"/>
    <w:semiHidden/>
    <w:unhideWhenUsed/>
    <w:rsid w:val="001B27AD"/>
    <w:rPr>
      <w:b/>
      <w:bCs/>
    </w:rPr>
  </w:style>
  <w:style w:type="character" w:customStyle="1" w:styleId="CommentSubjectChar">
    <w:name w:val="Comment Subject Char"/>
    <w:basedOn w:val="CommentTextChar"/>
    <w:link w:val="CommentSubject"/>
    <w:uiPriority w:val="99"/>
    <w:semiHidden/>
    <w:rsid w:val="001B27AD"/>
    <w:rPr>
      <w:b/>
      <w:bCs/>
    </w:rPr>
  </w:style>
  <w:style w:type="paragraph" w:styleId="BalloonText">
    <w:name w:val="Balloon Text"/>
    <w:basedOn w:val="Normal"/>
    <w:link w:val="BalloonTextChar"/>
    <w:uiPriority w:val="99"/>
    <w:semiHidden/>
    <w:unhideWhenUsed/>
    <w:rsid w:val="001B27AD"/>
    <w:rPr>
      <w:rFonts w:ascii="Tahoma" w:hAnsi="Tahoma" w:cs="Tahoma"/>
      <w:sz w:val="16"/>
      <w:szCs w:val="16"/>
    </w:rPr>
  </w:style>
  <w:style w:type="character" w:customStyle="1" w:styleId="BalloonTextChar">
    <w:name w:val="Balloon Text Char"/>
    <w:basedOn w:val="DefaultParagraphFont"/>
    <w:link w:val="BalloonText"/>
    <w:uiPriority w:val="99"/>
    <w:semiHidden/>
    <w:rsid w:val="001B27AD"/>
    <w:rPr>
      <w:rFonts w:ascii="Tahoma" w:hAnsi="Tahoma" w:cs="Tahoma"/>
      <w:sz w:val="16"/>
      <w:szCs w:val="16"/>
    </w:rPr>
  </w:style>
  <w:style w:type="paragraph" w:styleId="FootnoteText">
    <w:name w:val="footnote text"/>
    <w:basedOn w:val="Normal"/>
    <w:link w:val="FootnoteTextChar"/>
    <w:uiPriority w:val="99"/>
    <w:unhideWhenUsed/>
    <w:rsid w:val="00AB1865"/>
    <w:rPr>
      <w:sz w:val="18"/>
    </w:rPr>
  </w:style>
  <w:style w:type="character" w:customStyle="1" w:styleId="FootnoteTextChar">
    <w:name w:val="Footnote Text Char"/>
    <w:basedOn w:val="DefaultParagraphFont"/>
    <w:link w:val="FootnoteText"/>
    <w:uiPriority w:val="99"/>
    <w:rsid w:val="00AB1865"/>
    <w:rPr>
      <w:rFonts w:ascii="Arial" w:eastAsia="Calibri" w:hAnsi="Arial" w:cs="Arial"/>
      <w:sz w:val="18"/>
      <w:szCs w:val="22"/>
    </w:rPr>
  </w:style>
  <w:style w:type="character" w:styleId="FootnoteReference">
    <w:name w:val="footnote reference"/>
    <w:basedOn w:val="DefaultParagraphFont"/>
    <w:uiPriority w:val="99"/>
    <w:semiHidden/>
    <w:unhideWhenUsed/>
    <w:rsid w:val="001B27AD"/>
    <w:rPr>
      <w:vertAlign w:val="superscript"/>
    </w:rPr>
  </w:style>
  <w:style w:type="character" w:styleId="Hyperlink">
    <w:name w:val="Hyperlink"/>
    <w:basedOn w:val="DefaultParagraphFont"/>
    <w:uiPriority w:val="99"/>
    <w:unhideWhenUsed/>
    <w:rsid w:val="0065341A"/>
    <w:rPr>
      <w:color w:val="0000FF" w:themeColor="hyperlink"/>
      <w:u w:val="single"/>
    </w:rPr>
  </w:style>
  <w:style w:type="paragraph" w:styleId="ListParagraph">
    <w:name w:val="List Paragraph"/>
    <w:basedOn w:val="Normal"/>
    <w:uiPriority w:val="34"/>
    <w:qFormat/>
    <w:rsid w:val="006A6D0D"/>
    <w:pPr>
      <w:ind w:left="720"/>
      <w:contextualSpacing/>
    </w:pPr>
  </w:style>
  <w:style w:type="paragraph" w:styleId="EndnoteText">
    <w:name w:val="endnote text"/>
    <w:basedOn w:val="Normal"/>
    <w:link w:val="EndnoteTextChar"/>
    <w:uiPriority w:val="99"/>
    <w:semiHidden/>
    <w:unhideWhenUsed/>
    <w:rsid w:val="001F1A61"/>
  </w:style>
  <w:style w:type="character" w:customStyle="1" w:styleId="EndnoteTextChar">
    <w:name w:val="Endnote Text Char"/>
    <w:basedOn w:val="DefaultParagraphFont"/>
    <w:link w:val="EndnoteText"/>
    <w:uiPriority w:val="99"/>
    <w:semiHidden/>
    <w:rsid w:val="001F1A61"/>
  </w:style>
  <w:style w:type="character" w:styleId="EndnoteReference">
    <w:name w:val="endnote reference"/>
    <w:basedOn w:val="DefaultParagraphFont"/>
    <w:uiPriority w:val="99"/>
    <w:semiHidden/>
    <w:unhideWhenUsed/>
    <w:rsid w:val="001F1A61"/>
    <w:rPr>
      <w:vertAlign w:val="superscript"/>
    </w:rPr>
  </w:style>
  <w:style w:type="character" w:customStyle="1" w:styleId="apple-converted-space">
    <w:name w:val="apple-converted-space"/>
    <w:basedOn w:val="DefaultParagraphFont"/>
    <w:rsid w:val="008D66CB"/>
  </w:style>
  <w:style w:type="paragraph" w:styleId="Revision">
    <w:name w:val="Revision"/>
    <w:hidden/>
    <w:uiPriority w:val="99"/>
    <w:semiHidden/>
    <w:rsid w:val="001673A6"/>
    <w:pPr>
      <w:widowControl/>
    </w:pPr>
  </w:style>
  <w:style w:type="paragraph" w:customStyle="1" w:styleId="Question">
    <w:name w:val="Question"/>
    <w:basedOn w:val="Normal"/>
    <w:autoRedefine/>
    <w:uiPriority w:val="9"/>
    <w:unhideWhenUsed/>
    <w:qFormat/>
    <w:rsid w:val="00B01C36"/>
    <w:pPr>
      <w:widowControl/>
    </w:pPr>
  </w:style>
  <w:style w:type="character" w:styleId="Strong">
    <w:name w:val="Strong"/>
    <w:basedOn w:val="DefaultParagraphFont"/>
    <w:uiPriority w:val="22"/>
    <w:qFormat/>
    <w:rsid w:val="00B01C36"/>
    <w:rPr>
      <w:b/>
      <w:bCs/>
    </w:rPr>
  </w:style>
  <w:style w:type="paragraph" w:styleId="NoSpacing">
    <w:name w:val="No Spacing"/>
    <w:uiPriority w:val="1"/>
    <w:qFormat/>
    <w:rsid w:val="003E55F5"/>
    <w:pPr>
      <w:tabs>
        <w:tab w:val="left" w:pos="-1440"/>
        <w:tab w:val="left" w:pos="0"/>
        <w:tab w:val="left" w:pos="360"/>
        <w:tab w:val="left" w:pos="2160"/>
        <w:tab w:val="left" w:pos="28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Calibri" w:hAnsi="Arial" w:cs="Arial"/>
      <w:sz w:val="22"/>
      <w:szCs w:val="22"/>
    </w:rPr>
  </w:style>
  <w:style w:type="paragraph" w:styleId="Caption">
    <w:name w:val="caption"/>
    <w:basedOn w:val="Normal"/>
    <w:next w:val="Normal"/>
    <w:uiPriority w:val="35"/>
    <w:unhideWhenUsed/>
    <w:qFormat/>
    <w:rsid w:val="00D60D37"/>
    <w:pPr>
      <w:spacing w:after="200"/>
    </w:pPr>
    <w:rPr>
      <w:b/>
      <w:bCs/>
      <w:color w:val="4F81BD" w:themeColor="accent1"/>
      <w:sz w:val="18"/>
      <w:szCs w:val="18"/>
    </w:rPr>
  </w:style>
  <w:style w:type="paragraph" w:styleId="NormalWeb">
    <w:name w:val="Normal (Web)"/>
    <w:basedOn w:val="Normal"/>
    <w:uiPriority w:val="99"/>
    <w:semiHidden/>
    <w:unhideWhenUsed/>
    <w:rsid w:val="000D40FE"/>
    <w:pPr>
      <w:widowControl/>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00" w:beforeAutospacing="1" w:after="100" w:afterAutospacing="1"/>
    </w:pPr>
    <w:rPr>
      <w:rFonts w:ascii="Times New Roman" w:eastAsiaTheme="minorEastAsia" w:hAnsi="Times New Roman" w:cs="Times New Roman"/>
      <w:color w:val="auto"/>
      <w:sz w:val="24"/>
      <w:szCs w:val="24"/>
    </w:rPr>
  </w:style>
  <w:style w:type="character" w:styleId="FollowedHyperlink">
    <w:name w:val="FollowedHyperlink"/>
    <w:basedOn w:val="DefaultParagraphFont"/>
    <w:uiPriority w:val="99"/>
    <w:semiHidden/>
    <w:unhideWhenUsed/>
    <w:rsid w:val="00BD2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49933">
      <w:bodyDiv w:val="1"/>
      <w:marLeft w:val="0"/>
      <w:marRight w:val="0"/>
      <w:marTop w:val="0"/>
      <w:marBottom w:val="0"/>
      <w:divBdr>
        <w:top w:val="none" w:sz="0" w:space="0" w:color="auto"/>
        <w:left w:val="none" w:sz="0" w:space="0" w:color="auto"/>
        <w:bottom w:val="none" w:sz="0" w:space="0" w:color="auto"/>
        <w:right w:val="none" w:sz="0" w:space="0" w:color="auto"/>
      </w:divBdr>
    </w:div>
    <w:div w:id="372733985">
      <w:bodyDiv w:val="1"/>
      <w:marLeft w:val="0"/>
      <w:marRight w:val="0"/>
      <w:marTop w:val="0"/>
      <w:marBottom w:val="0"/>
      <w:divBdr>
        <w:top w:val="none" w:sz="0" w:space="0" w:color="auto"/>
        <w:left w:val="none" w:sz="0" w:space="0" w:color="auto"/>
        <w:bottom w:val="none" w:sz="0" w:space="0" w:color="auto"/>
        <w:right w:val="none" w:sz="0" w:space="0" w:color="auto"/>
      </w:divBdr>
    </w:div>
    <w:div w:id="743337352">
      <w:bodyDiv w:val="1"/>
      <w:marLeft w:val="0"/>
      <w:marRight w:val="0"/>
      <w:marTop w:val="0"/>
      <w:marBottom w:val="0"/>
      <w:divBdr>
        <w:top w:val="none" w:sz="0" w:space="0" w:color="auto"/>
        <w:left w:val="none" w:sz="0" w:space="0" w:color="auto"/>
        <w:bottom w:val="none" w:sz="0" w:space="0" w:color="auto"/>
        <w:right w:val="none" w:sz="0" w:space="0" w:color="auto"/>
      </w:divBdr>
    </w:div>
    <w:div w:id="780731926">
      <w:bodyDiv w:val="1"/>
      <w:marLeft w:val="0"/>
      <w:marRight w:val="0"/>
      <w:marTop w:val="0"/>
      <w:marBottom w:val="0"/>
      <w:divBdr>
        <w:top w:val="none" w:sz="0" w:space="0" w:color="auto"/>
        <w:left w:val="none" w:sz="0" w:space="0" w:color="auto"/>
        <w:bottom w:val="none" w:sz="0" w:space="0" w:color="auto"/>
        <w:right w:val="none" w:sz="0" w:space="0" w:color="auto"/>
      </w:divBdr>
    </w:div>
    <w:div w:id="846990185">
      <w:bodyDiv w:val="1"/>
      <w:marLeft w:val="0"/>
      <w:marRight w:val="0"/>
      <w:marTop w:val="0"/>
      <w:marBottom w:val="0"/>
      <w:divBdr>
        <w:top w:val="none" w:sz="0" w:space="0" w:color="auto"/>
        <w:left w:val="none" w:sz="0" w:space="0" w:color="auto"/>
        <w:bottom w:val="none" w:sz="0" w:space="0" w:color="auto"/>
        <w:right w:val="none" w:sz="0" w:space="0" w:color="auto"/>
      </w:divBdr>
    </w:div>
    <w:div w:id="981740133">
      <w:bodyDiv w:val="1"/>
      <w:marLeft w:val="0"/>
      <w:marRight w:val="0"/>
      <w:marTop w:val="0"/>
      <w:marBottom w:val="0"/>
      <w:divBdr>
        <w:top w:val="none" w:sz="0" w:space="0" w:color="auto"/>
        <w:left w:val="none" w:sz="0" w:space="0" w:color="auto"/>
        <w:bottom w:val="none" w:sz="0" w:space="0" w:color="auto"/>
        <w:right w:val="none" w:sz="0" w:space="0" w:color="auto"/>
      </w:divBdr>
    </w:div>
    <w:div w:id="1240553343">
      <w:bodyDiv w:val="1"/>
      <w:marLeft w:val="0"/>
      <w:marRight w:val="0"/>
      <w:marTop w:val="0"/>
      <w:marBottom w:val="0"/>
      <w:divBdr>
        <w:top w:val="none" w:sz="0" w:space="0" w:color="auto"/>
        <w:left w:val="none" w:sz="0" w:space="0" w:color="auto"/>
        <w:bottom w:val="none" w:sz="0" w:space="0" w:color="auto"/>
        <w:right w:val="none" w:sz="0" w:space="0" w:color="auto"/>
      </w:divBdr>
    </w:div>
    <w:div w:id="1418986326">
      <w:bodyDiv w:val="1"/>
      <w:marLeft w:val="0"/>
      <w:marRight w:val="0"/>
      <w:marTop w:val="0"/>
      <w:marBottom w:val="0"/>
      <w:divBdr>
        <w:top w:val="none" w:sz="0" w:space="0" w:color="auto"/>
        <w:left w:val="none" w:sz="0" w:space="0" w:color="auto"/>
        <w:bottom w:val="none" w:sz="0" w:space="0" w:color="auto"/>
        <w:right w:val="none" w:sz="0" w:space="0" w:color="auto"/>
      </w:divBdr>
    </w:div>
    <w:div w:id="1439638551">
      <w:bodyDiv w:val="1"/>
      <w:marLeft w:val="0"/>
      <w:marRight w:val="0"/>
      <w:marTop w:val="0"/>
      <w:marBottom w:val="0"/>
      <w:divBdr>
        <w:top w:val="none" w:sz="0" w:space="0" w:color="auto"/>
        <w:left w:val="none" w:sz="0" w:space="0" w:color="auto"/>
        <w:bottom w:val="none" w:sz="0" w:space="0" w:color="auto"/>
        <w:right w:val="none" w:sz="0" w:space="0" w:color="auto"/>
      </w:divBdr>
    </w:div>
    <w:div w:id="1635480670">
      <w:bodyDiv w:val="1"/>
      <w:marLeft w:val="0"/>
      <w:marRight w:val="0"/>
      <w:marTop w:val="0"/>
      <w:marBottom w:val="0"/>
      <w:divBdr>
        <w:top w:val="none" w:sz="0" w:space="0" w:color="auto"/>
        <w:left w:val="none" w:sz="0" w:space="0" w:color="auto"/>
        <w:bottom w:val="none" w:sz="0" w:space="0" w:color="auto"/>
        <w:right w:val="none" w:sz="0" w:space="0" w:color="auto"/>
      </w:divBdr>
    </w:div>
    <w:div w:id="1642614363">
      <w:bodyDiv w:val="1"/>
      <w:marLeft w:val="0"/>
      <w:marRight w:val="0"/>
      <w:marTop w:val="0"/>
      <w:marBottom w:val="0"/>
      <w:divBdr>
        <w:top w:val="none" w:sz="0" w:space="0" w:color="auto"/>
        <w:left w:val="none" w:sz="0" w:space="0" w:color="auto"/>
        <w:bottom w:val="none" w:sz="0" w:space="0" w:color="auto"/>
        <w:right w:val="none" w:sz="0" w:space="0" w:color="auto"/>
      </w:divBdr>
    </w:div>
    <w:div w:id="1653288046">
      <w:bodyDiv w:val="1"/>
      <w:marLeft w:val="0"/>
      <w:marRight w:val="0"/>
      <w:marTop w:val="0"/>
      <w:marBottom w:val="0"/>
      <w:divBdr>
        <w:top w:val="none" w:sz="0" w:space="0" w:color="auto"/>
        <w:left w:val="none" w:sz="0" w:space="0" w:color="auto"/>
        <w:bottom w:val="none" w:sz="0" w:space="0" w:color="auto"/>
        <w:right w:val="none" w:sz="0" w:space="0" w:color="auto"/>
      </w:divBdr>
    </w:div>
    <w:div w:id="1790780278">
      <w:bodyDiv w:val="1"/>
      <w:marLeft w:val="0"/>
      <w:marRight w:val="0"/>
      <w:marTop w:val="0"/>
      <w:marBottom w:val="0"/>
      <w:divBdr>
        <w:top w:val="none" w:sz="0" w:space="0" w:color="auto"/>
        <w:left w:val="none" w:sz="0" w:space="0" w:color="auto"/>
        <w:bottom w:val="none" w:sz="0" w:space="0" w:color="auto"/>
        <w:right w:val="none" w:sz="0" w:space="0" w:color="auto"/>
      </w:divBdr>
    </w:div>
    <w:div w:id="1932228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urban/index.php" TargetMode="External"/><Relationship Id="rId13" Type="http://schemas.openxmlformats.org/officeDocument/2006/relationships/hyperlink" Target="http://www.fws.gov/urban" TargetMode="External"/><Relationship Id="rId18" Type="http://schemas.openxmlformats.org/officeDocument/2006/relationships/hyperlink" Target="https://www.bls.gov/news.release/pdf/ecec.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ubs.usgs.gov/ds/685/" TargetMode="External"/><Relationship Id="rId17" Type="http://schemas.openxmlformats.org/officeDocument/2006/relationships/hyperlink" Target="https://www.govinfo.gov/content/pkg/FR-2020-04-17/pdf/2020-08119.pdf?utm_medium=email&amp;utm_campaign=subscription+mailing+list&amp;utm_source=federalregister.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obamawhitehouse.archives.gov/sites/default/files/omb/inforeg/statpolicy/standards_stat_surveys.pdf" TargetMode="External"/><Relationship Id="rId20"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landscape-conservation/shc.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bamawhitehouse.archives.gov/sites/default/files/omb/assets/omb/inforeg/pmc_survey_guidance_2006.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fws.gov/urban/soe.php" TargetMode="External"/><Relationship Id="rId19" Type="http://schemas.openxmlformats.org/officeDocument/2006/relationships/hyperlink" Target="https://www.opm.gov/policy-data-oversight/pay-leave/salaries-wages/salary-tables/pdf/2020/DEN_h.pdf" TargetMode="External"/><Relationship Id="rId4" Type="http://schemas.openxmlformats.org/officeDocument/2006/relationships/settings" Target="settings.xml"/><Relationship Id="rId9" Type="http://schemas.openxmlformats.org/officeDocument/2006/relationships/hyperlink" Target="https://www.fws.gov/policy/110fw1.html" TargetMode="External"/><Relationship Id="rId14" Type="http://schemas.openxmlformats.org/officeDocument/2006/relationships/hyperlink" Target="https://www.nps.gov/subjects/socialscience/programmaticclearance.ht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nchs/data/nhis/earlyrelease/wireless201312.pdf" TargetMode="External"/><Relationship Id="rId1" Type="http://schemas.openxmlformats.org/officeDocument/2006/relationships/hyperlink" Target="http://www.cdc.gov/nchs/data/nhis/earlyrelease/wireless2013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495E-6172-4F63-91DE-901D2093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9868</Words>
  <Characters>56252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2020-06-17T23:44:00Z</dcterms:created>
  <dcterms:modified xsi:type="dcterms:W3CDTF">2020-06-26T17:00:00Z</dcterms:modified>
</cp:coreProperties>
</file>