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5D6" w:rsidRDefault="005855D6" w:rsidP="005855D6">
      <w:pPr>
        <w:jc w:val="center"/>
        <w:rPr>
          <w:b/>
          <w:bCs/>
        </w:rPr>
      </w:pPr>
      <w:r>
        <w:rPr>
          <w:b/>
          <w:bCs/>
        </w:rPr>
        <w:t>SUPPORTING STATEMENT FOR</w:t>
      </w:r>
    </w:p>
    <w:p w:rsidR="005855D6" w:rsidRDefault="005855D6" w:rsidP="005855D6">
      <w:pPr>
        <w:jc w:val="center"/>
        <w:rPr>
          <w:b/>
          <w:bCs/>
        </w:rPr>
      </w:pPr>
      <w:r>
        <w:rPr>
          <w:b/>
          <w:bCs/>
        </w:rPr>
        <w:t>THE INFORMATION COLLECTION REQUIREMENTS</w:t>
      </w:r>
    </w:p>
    <w:p w:rsidR="005855D6" w:rsidRDefault="005855D6" w:rsidP="005855D6">
      <w:pPr>
        <w:jc w:val="center"/>
        <w:rPr>
          <w:b/>
          <w:bCs/>
        </w:rPr>
      </w:pPr>
      <w:r>
        <w:rPr>
          <w:b/>
          <w:bCs/>
        </w:rPr>
        <w:t>OF THE CONCRETE AND MASONRY CONSTRUCTION</w:t>
      </w:r>
    </w:p>
    <w:p w:rsidR="005855D6" w:rsidRDefault="00D67D17" w:rsidP="005855D6">
      <w:pPr>
        <w:jc w:val="center"/>
      </w:pPr>
      <w:r>
        <w:rPr>
          <w:b/>
          <w:bCs/>
        </w:rPr>
        <w:t xml:space="preserve">STANDARD (29 CFR PART </w:t>
      </w:r>
      <w:r w:rsidR="005855D6">
        <w:rPr>
          <w:b/>
          <w:bCs/>
        </w:rPr>
        <w:t>1926, SUBPART Q)</w:t>
      </w:r>
      <w:r w:rsidR="005855D6">
        <w:rPr>
          <w:rStyle w:val="FootnoteReference"/>
          <w:vertAlign w:val="superscript"/>
        </w:rPr>
        <w:footnoteReference w:id="1"/>
      </w:r>
    </w:p>
    <w:p w:rsidR="005855D6" w:rsidRDefault="005855D6" w:rsidP="005855D6">
      <w:pPr>
        <w:tabs>
          <w:tab w:val="right" w:pos="9360"/>
        </w:tabs>
        <w:jc w:val="center"/>
        <w:rPr>
          <w:b/>
        </w:rPr>
      </w:pPr>
      <w:r>
        <w:rPr>
          <w:b/>
        </w:rPr>
        <w:t>OFFICE OF MANAGEMENT</w:t>
      </w:r>
      <w:r w:rsidR="002A0557">
        <w:rPr>
          <w:b/>
        </w:rPr>
        <w:t xml:space="preserve"> </w:t>
      </w:r>
      <w:r>
        <w:rPr>
          <w:b/>
        </w:rPr>
        <w:t xml:space="preserve">AND BUDGET </w:t>
      </w:r>
    </w:p>
    <w:p w:rsidR="005855D6" w:rsidRDefault="005855D6" w:rsidP="005855D6">
      <w:pPr>
        <w:tabs>
          <w:tab w:val="right" w:pos="9360"/>
        </w:tabs>
        <w:jc w:val="center"/>
        <w:rPr>
          <w:b/>
        </w:rPr>
      </w:pPr>
      <w:r>
        <w:rPr>
          <w:b/>
        </w:rPr>
        <w:t>(OMB) Control</w:t>
      </w:r>
      <w:r w:rsidR="008A4583">
        <w:rPr>
          <w:b/>
        </w:rPr>
        <w:t xml:space="preserve"> Number 1218-0095 (</w:t>
      </w:r>
      <w:r w:rsidR="00770B12">
        <w:rPr>
          <w:b/>
        </w:rPr>
        <w:t xml:space="preserve">June </w:t>
      </w:r>
      <w:r w:rsidR="00A01533">
        <w:rPr>
          <w:b/>
        </w:rPr>
        <w:t>201</w:t>
      </w:r>
      <w:r w:rsidR="002B5FC6">
        <w:rPr>
          <w:b/>
        </w:rPr>
        <w:t>7</w:t>
      </w:r>
      <w:r w:rsidR="00061C6A">
        <w:rPr>
          <w:b/>
        </w:rPr>
        <w:t>)</w:t>
      </w:r>
    </w:p>
    <w:p w:rsidR="005855D6" w:rsidRDefault="005855D6" w:rsidP="005855D6">
      <w:pPr>
        <w:rPr>
          <w:b/>
          <w:bCs/>
        </w:rPr>
      </w:pPr>
    </w:p>
    <w:p w:rsidR="005855D6" w:rsidRDefault="005855D6" w:rsidP="005855D6">
      <w:pPr>
        <w:rPr>
          <w:b/>
          <w:bCs/>
        </w:rPr>
      </w:pPr>
    </w:p>
    <w:p w:rsidR="005855D6" w:rsidRDefault="006F1055" w:rsidP="005855D6">
      <w:r>
        <w:rPr>
          <w:b/>
          <w:bCs/>
        </w:rPr>
        <w:t xml:space="preserve">A.  </w:t>
      </w:r>
      <w:r w:rsidR="005855D6">
        <w:rPr>
          <w:b/>
          <w:bCs/>
        </w:rPr>
        <w:t>JUSTIFICATION</w:t>
      </w:r>
    </w:p>
    <w:p w:rsidR="005855D6" w:rsidRDefault="005855D6" w:rsidP="005855D6"/>
    <w:p w:rsidR="00014FCB" w:rsidRDefault="00014FCB" w:rsidP="005855D6">
      <w:pPr>
        <w:rPr>
          <w:b/>
          <w:bCs/>
          <w:sz w:val="20"/>
          <w:szCs w:val="20"/>
        </w:rPr>
      </w:pPr>
    </w:p>
    <w:p w:rsidR="005855D6" w:rsidRDefault="005855D6" w:rsidP="005855D6">
      <w:pPr>
        <w:rPr>
          <w:b/>
          <w:bCs/>
          <w:sz w:val="20"/>
          <w:szCs w:val="20"/>
        </w:rPr>
      </w:pPr>
      <w:r>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855D6" w:rsidRDefault="005855D6" w:rsidP="005855D6"/>
    <w:p w:rsidR="005855D6" w:rsidRDefault="005855D6" w:rsidP="005855D6">
      <w:r>
        <w:t>The main purpose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In addition, the OSH Act specifies that “[e]ach employer shall make, keep and preserve, and make available to the Secretary . . . such records . . . as the Secretary . . . may prescribe by regulation as necessary or appropriate for the enforcement of this Act . . . ” (29 U.S.C. 657).</w:t>
      </w:r>
    </w:p>
    <w:p w:rsidR="005855D6" w:rsidRDefault="005855D6" w:rsidP="005855D6"/>
    <w:p w:rsidR="00E05E7D" w:rsidRDefault="005855D6" w:rsidP="00E05E7D">
      <w:r>
        <w:t xml:space="preserve">Under the authority granted by the OSH Act, the Occupational Safety and Health Administration ( “OSHA” or “the Agency”) published 29 CFR part 1926, subpart Q (“Concrete and Masonry Construction”; hereafter, “Subpart”).  The Subpart specifies requirements to protect </w:t>
      </w:r>
      <w:r w:rsidR="00760B3F">
        <w:t>workers</w:t>
      </w:r>
      <w:r>
        <w:t xml:space="preserve"> who construct, erect, brace, maintain, remove, or perform similar tasks on concrete or masonry structures</w:t>
      </w:r>
      <w:r w:rsidR="00E05E7D">
        <w:t>.</w:t>
      </w:r>
    </w:p>
    <w:p w:rsidR="00E05E7D" w:rsidRDefault="00E05E7D" w:rsidP="00E05E7D"/>
    <w:p w:rsidR="00E05E7D" w:rsidRDefault="00A233D4" w:rsidP="00E05E7D">
      <w:r>
        <w:t>Section 1926.701(c)(2) requires</w:t>
      </w:r>
      <w:r w:rsidR="004A6C25">
        <w:t xml:space="preserve"> </w:t>
      </w:r>
      <w:r w:rsidR="005855D6">
        <w:t xml:space="preserve"> signs and barriers to limit employee access to areas where post-tensioning operations will take place, </w:t>
      </w:r>
    </w:p>
    <w:p w:rsidR="00E05E7D" w:rsidRDefault="00E05E7D" w:rsidP="00E05E7D"/>
    <w:p w:rsidR="00E05E7D" w:rsidRDefault="0080448C" w:rsidP="00E05E7D">
      <w:r>
        <w:t xml:space="preserve">Sections </w:t>
      </w:r>
      <w:r w:rsidR="00FB5B95" w:rsidRPr="00FB5B95">
        <w:t>1926.702(a)(2) and (j)(1)</w:t>
      </w:r>
      <w:r>
        <w:t xml:space="preserve"> require</w:t>
      </w:r>
      <w:r w:rsidR="005855D6">
        <w:t xml:space="preserve"> lockout/tagout measures to protect workers from injury associated with</w:t>
      </w:r>
      <w:r w:rsidR="00DE4D0A">
        <w:t xml:space="preserve"> entering</w:t>
      </w:r>
      <w:r w:rsidR="00A233D4">
        <w:t xml:space="preserve"> facilities</w:t>
      </w:r>
      <w:r w:rsidR="00DE4D0A">
        <w:t>,</w:t>
      </w:r>
      <w:r w:rsidR="005855D6">
        <w:t xml:space="preserve"> </w:t>
      </w:r>
      <w:r w:rsidR="00A233D4">
        <w:t xml:space="preserve">or </w:t>
      </w:r>
      <w:r>
        <w:t>operating or performing</w:t>
      </w:r>
      <w:r w:rsidR="00DE4D0A">
        <w:t xml:space="preserve"> maintenance/repairs,</w:t>
      </w:r>
      <w:r w:rsidR="00A233D4">
        <w:t xml:space="preserve"> on</w:t>
      </w:r>
      <w:r w:rsidR="00DE4D0A">
        <w:t xml:space="preserve"> </w:t>
      </w:r>
      <w:r w:rsidR="005855D6">
        <w:t xml:space="preserve">equipment </w:t>
      </w:r>
      <w:r w:rsidR="00DE4D0A">
        <w:t xml:space="preserve">or </w:t>
      </w:r>
      <w:r w:rsidR="005855D6">
        <w:t xml:space="preserve"> machinery)</w:t>
      </w:r>
      <w:r w:rsidR="00926F85">
        <w:t>,</w:t>
      </w:r>
    </w:p>
    <w:p w:rsidR="002671A7" w:rsidRDefault="005855D6" w:rsidP="00E05E7D">
      <w:pPr>
        <w:pStyle w:val="block1"/>
        <w:spacing w:before="0" w:beforeAutospacing="0" w:after="0" w:afterAutospacing="0"/>
      </w:pPr>
      <w:r>
        <w:t xml:space="preserve">  </w:t>
      </w:r>
    </w:p>
    <w:p w:rsidR="005855D6" w:rsidRDefault="00FB5B95" w:rsidP="00E05E7D">
      <w:pPr>
        <w:pStyle w:val="block1"/>
        <w:spacing w:before="0" w:beforeAutospacing="0" w:after="0" w:afterAutospacing="0"/>
      </w:pPr>
      <w:r>
        <w:t>Section</w:t>
      </w:r>
      <w:r w:rsidR="00E05E7D">
        <w:t xml:space="preserve"> </w:t>
      </w:r>
      <w:r w:rsidR="005855D6">
        <w:t>1926.702</w:t>
      </w:r>
      <w:r>
        <w:t>(j)(2)</w:t>
      </w:r>
      <w:r w:rsidR="005855D6">
        <w:t xml:space="preserve"> requires </w:t>
      </w:r>
      <w:r>
        <w:t>“[</w:t>
      </w:r>
      <w:r w:rsidR="005855D6">
        <w:t xml:space="preserve">tags </w:t>
      </w:r>
      <w:r w:rsidR="00EC21E3">
        <w:t>to</w:t>
      </w:r>
      <w:r>
        <w:t>]</w:t>
      </w:r>
      <w:r w:rsidR="00EC21E3">
        <w:t xml:space="preserve"> </w:t>
      </w:r>
      <w:r w:rsidR="005855D6">
        <w:t xml:space="preserve">read </w:t>
      </w:r>
      <w:r w:rsidR="005855D6" w:rsidRPr="00061C6A">
        <w:rPr>
          <w:i/>
        </w:rPr>
        <w:t>Do Not Start</w:t>
      </w:r>
      <w:r w:rsidR="005855D6">
        <w:t xml:space="preserve"> or similar language to indicate that the equipment is not to be operated.</w:t>
      </w:r>
      <w:r>
        <w:t>”</w:t>
      </w:r>
    </w:p>
    <w:p w:rsidR="00FB5B95" w:rsidRDefault="00FB5B95" w:rsidP="00061C6A">
      <w:pPr>
        <w:pStyle w:val="block1"/>
        <w:spacing w:before="0" w:beforeAutospacing="0" w:after="0" w:afterAutospacing="0"/>
      </w:pPr>
    </w:p>
    <w:p w:rsidR="00BB24F7" w:rsidRDefault="002C6F15" w:rsidP="00061C6A">
      <w:pPr>
        <w:pStyle w:val="block1"/>
        <w:spacing w:before="0" w:beforeAutospacing="0" w:after="0" w:afterAutospacing="0"/>
      </w:pPr>
      <w:r>
        <w:t xml:space="preserve">Section 1926.703(a)(2) </w:t>
      </w:r>
      <w:r w:rsidR="005855D6">
        <w:t>require</w:t>
      </w:r>
      <w:r w:rsidR="005423FB">
        <w:t>s</w:t>
      </w:r>
      <w:r w:rsidR="00E364EE">
        <w:t xml:space="preserve"> that</w:t>
      </w:r>
      <w:r w:rsidR="005855D6">
        <w:t xml:space="preserve"> </w:t>
      </w:r>
      <w:r w:rsidR="00BE74C8">
        <w:t>“…</w:t>
      </w:r>
      <w:r w:rsidR="005855D6">
        <w:t xml:space="preserve">drawings or plans  </w:t>
      </w:r>
      <w:r w:rsidR="00BE74C8">
        <w:t xml:space="preserve">including all revisions, for the jack layout, formwork (including shoring equipment), working decks, and scaffolds </w:t>
      </w:r>
      <w:r w:rsidR="00E364EE">
        <w:t xml:space="preserve">shall </w:t>
      </w:r>
      <w:r w:rsidR="00BE74C8">
        <w:t xml:space="preserve">be </w:t>
      </w:r>
      <w:r w:rsidR="005423FB">
        <w:t xml:space="preserve">available </w:t>
      </w:r>
      <w:r w:rsidR="005423FB">
        <w:lastRenderedPageBreak/>
        <w:t xml:space="preserve">at </w:t>
      </w:r>
      <w:r w:rsidR="00BE74C8">
        <w:t>the jobsite</w:t>
      </w:r>
      <w:r w:rsidR="00061C6A">
        <w:t>.</w:t>
      </w:r>
      <w:r w:rsidR="005423FB">
        <w:t xml:space="preserve">” </w:t>
      </w:r>
      <w:r w:rsidR="000501AC">
        <w:t xml:space="preserve">Since these drawings or plans are created </w:t>
      </w:r>
      <w:r w:rsidR="00BB24F7">
        <w:t xml:space="preserve">and </w:t>
      </w:r>
      <w:r w:rsidR="000501AC">
        <w:t xml:space="preserve">are </w:t>
      </w:r>
      <w:r w:rsidR="00BB24F7">
        <w:t>made</w:t>
      </w:r>
      <w:r w:rsidR="000501AC">
        <w:t xml:space="preserve"> available to the various contractors engaged during the project</w:t>
      </w:r>
      <w:r w:rsidR="00BB24F7">
        <w:t xml:space="preserve"> at the jobsite as matter of usual and customary business practice, OSHA is not requesting clearance under the </w:t>
      </w:r>
      <w:r w:rsidR="007E10BC">
        <w:t>Paperwork Reduction Act of 1995</w:t>
      </w:r>
      <w:r w:rsidR="004D15E8">
        <w:t xml:space="preserve"> (</w:t>
      </w:r>
      <w:r w:rsidR="00BB24F7">
        <w:t>PRA</w:t>
      </w:r>
      <w:r w:rsidR="004D15E8">
        <w:t>)</w:t>
      </w:r>
      <w:r w:rsidR="00BB24F7">
        <w:t xml:space="preserve"> for the associated burden.</w:t>
      </w:r>
    </w:p>
    <w:p w:rsidR="00B72027" w:rsidRDefault="00AC61D5" w:rsidP="00061C6A">
      <w:pPr>
        <w:pStyle w:val="block1"/>
      </w:pPr>
      <w:r>
        <w:t>Section</w:t>
      </w:r>
      <w:r w:rsidR="00810B9E">
        <w:t xml:space="preserve"> </w:t>
      </w:r>
      <w:r w:rsidR="005855D6">
        <w:t>1926.705</w:t>
      </w:r>
      <w:r w:rsidR="00CA5583">
        <w:t>(</w:t>
      </w:r>
      <w:r>
        <w:t xml:space="preserve">a) mandates that </w:t>
      </w:r>
    </w:p>
    <w:p w:rsidR="00B72027" w:rsidRDefault="00AC61D5" w:rsidP="00061C6A">
      <w:pPr>
        <w:pStyle w:val="block1"/>
        <w:ind w:left="1440" w:right="1440"/>
      </w:pPr>
      <w:r>
        <w:t>Lift-slab operations [ ] be designed and planned by a registered professional engineer who has experience in lift-slab construction.  Such plans and designs shall be implemented by the employer and shall include detailed instructions and sketches indicating the prescribed method of erections. These plans and designs shall also include</w:t>
      </w:r>
      <w:r w:rsidR="00B72027">
        <w:t xml:space="preserve"> provisions for ensuring laterals stability of the building/</w:t>
      </w:r>
      <w:r w:rsidR="00061C6A">
        <w:t xml:space="preserve"> </w:t>
      </w:r>
      <w:r w:rsidR="00B72027">
        <w:t>structure during construction.</w:t>
      </w:r>
      <w:r w:rsidR="005855D6">
        <w:t xml:space="preserve">  </w:t>
      </w:r>
    </w:p>
    <w:p w:rsidR="005855D6" w:rsidRDefault="00B72027" w:rsidP="008912D4">
      <w:pPr>
        <w:pStyle w:val="block1"/>
        <w:spacing w:before="0" w:beforeAutospacing="0" w:after="0" w:afterAutospacing="0"/>
        <w:ind w:left="-90"/>
      </w:pPr>
      <w:r>
        <w:t>Th</w:t>
      </w:r>
      <w:r w:rsidR="00E70A98">
        <w:t>e</w:t>
      </w:r>
      <w:r>
        <w:t xml:space="preserve"> </w:t>
      </w:r>
      <w:r w:rsidR="004D15E8">
        <w:t>S</w:t>
      </w:r>
      <w:r>
        <w:t>tandard is silent as to where the plans</w:t>
      </w:r>
      <w:r w:rsidR="00251945">
        <w:t>,</w:t>
      </w:r>
      <w:r>
        <w:t xml:space="preserve"> designs</w:t>
      </w:r>
      <w:r w:rsidR="00251945">
        <w:t>, instructions and sketches</w:t>
      </w:r>
      <w:r>
        <w:t xml:space="preserve"> must be kept.  As a matter of </w:t>
      </w:r>
      <w:r w:rsidR="00251945">
        <w:t>usual and customary business practice they are maintained at the construction jobsite in order to be available to the various contractors engaged during the project.</w:t>
      </w:r>
      <w:r w:rsidR="005855D6">
        <w:t xml:space="preserve"> </w:t>
      </w:r>
      <w:r w:rsidR="00251945">
        <w:t>T</w:t>
      </w:r>
      <w:r w:rsidR="005855D6">
        <w:t xml:space="preserve">herefore, OSHA is not requesting clearance under the PRA for the burden associated with preparing </w:t>
      </w:r>
      <w:r w:rsidR="000501AC" w:rsidRPr="000501AC">
        <w:t>plans, designs, instructions and sketches</w:t>
      </w:r>
      <w:r w:rsidR="005855D6">
        <w:t xml:space="preserve"> and having them </w:t>
      </w:r>
      <w:r w:rsidR="000501AC">
        <w:t xml:space="preserve">available </w:t>
      </w:r>
      <w:r w:rsidR="005855D6">
        <w:t>at the jobsite.</w:t>
      </w:r>
    </w:p>
    <w:p w:rsidR="00E70A98" w:rsidRDefault="00E70A98" w:rsidP="00061C6A">
      <w:pPr>
        <w:pStyle w:val="block1"/>
        <w:spacing w:before="0" w:beforeAutospacing="0" w:after="0" w:afterAutospacing="0"/>
      </w:pPr>
    </w:p>
    <w:p w:rsidR="005855D6" w:rsidRDefault="005855D6" w:rsidP="005855D6">
      <w:pPr>
        <w:ind w:left="-90"/>
      </w:pPr>
      <w:r>
        <w:t xml:space="preserve">Section 1926.705(b) requires that jacks used for </w:t>
      </w:r>
      <w:r w:rsidR="00710607">
        <w:t xml:space="preserve">lift-slab </w:t>
      </w:r>
      <w:r>
        <w:t xml:space="preserve">operations be marked to indicate their rated capacity.  </w:t>
      </w:r>
      <w:r w:rsidR="00710607">
        <w:t xml:space="preserve">The </w:t>
      </w:r>
      <w:r w:rsidR="00061C6A">
        <w:t>J</w:t>
      </w:r>
      <w:r w:rsidR="00E70A98">
        <w:t xml:space="preserve">ack </w:t>
      </w:r>
      <w:r>
        <w:t xml:space="preserve">Manufacturers rate the equipment as a usual and customary practice; therefore, OSHA is not requesting clearance under the PRA for the burden associated with the marking operation. </w:t>
      </w:r>
    </w:p>
    <w:p w:rsidR="005855D6" w:rsidRDefault="005855D6" w:rsidP="005855D6">
      <w:pPr>
        <w:ind w:left="-90" w:firstLine="720"/>
      </w:pPr>
    </w:p>
    <w:p w:rsidR="005855D6" w:rsidRDefault="005855D6" w:rsidP="005855D6">
      <w:pPr>
        <w:ind w:left="-90"/>
        <w:rPr>
          <w:sz w:val="20"/>
          <w:szCs w:val="20"/>
        </w:rPr>
      </w:pPr>
      <w:r>
        <w:rPr>
          <w:sz w:val="20"/>
          <w:szCs w:val="20"/>
        </w:rPr>
        <w:t xml:space="preserve"> </w:t>
      </w:r>
      <w:r>
        <w:rPr>
          <w:b/>
          <w:bCs/>
          <w:sz w:val="20"/>
          <w:szCs w:val="20"/>
        </w:rPr>
        <w:t>2.  Indicate how, by whom, and for what purpose the information is to be used.  Except for a new collection, indicate the actual use the Agency has made of the information received from the current collection</w:t>
      </w:r>
      <w:r>
        <w:rPr>
          <w:sz w:val="20"/>
          <w:szCs w:val="20"/>
        </w:rPr>
        <w:t>.</w:t>
      </w:r>
    </w:p>
    <w:p w:rsidR="005855D6" w:rsidRDefault="005855D6" w:rsidP="005855D6">
      <w:pPr>
        <w:ind w:left="-90"/>
      </w:pPr>
    </w:p>
    <w:p w:rsidR="005855D6" w:rsidRDefault="005855D6" w:rsidP="005855D6">
      <w:pPr>
        <w:ind w:left="-90"/>
      </w:pPr>
      <w:r>
        <w:t>The warning signs</w:t>
      </w:r>
      <w:r w:rsidR="00422FB4">
        <w:t xml:space="preserve"> and </w:t>
      </w:r>
      <w:r>
        <w:t xml:space="preserve">barriers required by paragraph 1926.701(c)(2) reduce exposure </w:t>
      </w:r>
      <w:r w:rsidR="00422FB4">
        <w:t>for</w:t>
      </w:r>
      <w:r>
        <w:t xml:space="preserve"> non-essential </w:t>
      </w:r>
      <w:r w:rsidR="00760B3F">
        <w:t>workers</w:t>
      </w:r>
      <w:r>
        <w:t xml:space="preserve"> to the hazards of post-tensioning operations</w:t>
      </w:r>
      <w:r w:rsidR="00422FB4">
        <w:t>. The</w:t>
      </w:r>
      <w:r>
        <w:t xml:space="preserve"> principal</w:t>
      </w:r>
      <w:r w:rsidR="00422FB4">
        <w:t xml:space="preserve"> hazards </w:t>
      </w:r>
      <w:r w:rsidR="00996595">
        <w:t>originate with</w:t>
      </w:r>
      <w:r>
        <w:t xml:space="preserve"> fail</w:t>
      </w:r>
      <w:r w:rsidR="00422FB4">
        <w:t>ure</w:t>
      </w:r>
      <w:r w:rsidR="00536ED7">
        <w:t xml:space="preserve"> of</w:t>
      </w:r>
      <w:r>
        <w:t xml:space="preserve"> </w:t>
      </w:r>
      <w:r w:rsidR="00C763C5">
        <w:t>wire</w:t>
      </w:r>
      <w:r w:rsidR="00996595">
        <w:t xml:space="preserve"> </w:t>
      </w:r>
      <w:r w:rsidR="006F1055">
        <w:t>strands or</w:t>
      </w:r>
      <w:r>
        <w:t xml:space="preserve"> </w:t>
      </w:r>
      <w:r w:rsidR="00536ED7">
        <w:t>metal rod tendons</w:t>
      </w:r>
      <w:r w:rsidR="007962D4">
        <w:t xml:space="preserve"> </w:t>
      </w:r>
      <w:r w:rsidR="00C763C5">
        <w:t xml:space="preserve">under </w:t>
      </w:r>
      <w:r w:rsidR="00996595">
        <w:t xml:space="preserve">tens of thousands of pounds </w:t>
      </w:r>
      <w:r w:rsidR="00C763C5">
        <w:t xml:space="preserve">tension. </w:t>
      </w:r>
      <w:r w:rsidR="00536ED7">
        <w:t>When strands</w:t>
      </w:r>
      <w:r w:rsidR="00720C66">
        <w:t xml:space="preserve"> or tendons fail and</w:t>
      </w:r>
      <w:r w:rsidR="00536ED7">
        <w:t xml:space="preserve"> contract</w:t>
      </w:r>
      <w:r w:rsidR="00720C66">
        <w:t>,</w:t>
      </w:r>
      <w:r w:rsidR="00536ED7">
        <w:t xml:space="preserve"> they strike with catastrophic force against structure</w:t>
      </w:r>
      <w:r w:rsidR="00720C66">
        <w:t>s</w:t>
      </w:r>
      <w:r w:rsidR="00536ED7">
        <w:t>, materials, too</w:t>
      </w:r>
      <w:r w:rsidR="00E015C2">
        <w:t>l</w:t>
      </w:r>
      <w:r w:rsidR="00536ED7">
        <w:t xml:space="preserve">s and </w:t>
      </w:r>
      <w:r w:rsidR="00760B3F">
        <w:t>workers</w:t>
      </w:r>
      <w:r>
        <w:t xml:space="preserve"> causing </w:t>
      </w:r>
      <w:r w:rsidR="00B14FAC">
        <w:t xml:space="preserve">damage, </w:t>
      </w:r>
      <w:r>
        <w:t>serious injury</w:t>
      </w:r>
      <w:r w:rsidR="00710607">
        <w:t xml:space="preserve"> or death</w:t>
      </w:r>
      <w:r>
        <w:t>.  The requirements to lock-out and tag-out</w:t>
      </w:r>
      <w:r w:rsidR="00050EF1">
        <w:t xml:space="preserve"> bulk-storage</w:t>
      </w:r>
      <w:r w:rsidR="007962D4">
        <w:t xml:space="preserve"> </w:t>
      </w:r>
      <w:r>
        <w:t xml:space="preserve">ejection systems and other hazardous equipment (e.g., compressors, mixers, screens or pumps used for concrete and masonry construction) </w:t>
      </w:r>
      <w:r w:rsidR="00E015C2">
        <w:t xml:space="preserve">as </w:t>
      </w:r>
      <w:r>
        <w:t xml:space="preserve">specified by §§1926.702(a)(2), (j)(1), and (j)(2) </w:t>
      </w:r>
      <w:r w:rsidR="00050EF1">
        <w:t xml:space="preserve">prevent equipment from being </w:t>
      </w:r>
      <w:r w:rsidR="00E015C2">
        <w:t xml:space="preserve">unexpectedly </w:t>
      </w:r>
      <w:r w:rsidR="00050EF1">
        <w:t xml:space="preserve">operated and </w:t>
      </w:r>
      <w:r w:rsidR="008912D4">
        <w:t xml:space="preserve">warn </w:t>
      </w:r>
      <w:r w:rsidR="00760B3F">
        <w:t>workers</w:t>
      </w:r>
      <w:r w:rsidR="004C134F">
        <w:t xml:space="preserve"> that others</w:t>
      </w:r>
      <w:r>
        <w:t xml:space="preserve"> </w:t>
      </w:r>
      <w:r w:rsidR="005E4A07">
        <w:t>are</w:t>
      </w:r>
      <w:r w:rsidR="00AE58EF" w:rsidRPr="00AE58EF">
        <w:t xml:space="preserve"> </w:t>
      </w:r>
      <w:r w:rsidR="00AE58EF">
        <w:t>on/in the equipment or facility</w:t>
      </w:r>
      <w:r>
        <w:t xml:space="preserve"> perform</w:t>
      </w:r>
      <w:r w:rsidR="005E4A07">
        <w:t>ing</w:t>
      </w:r>
      <w:r>
        <w:t xml:space="preserve">  task</w:t>
      </w:r>
      <w:r w:rsidR="005E4A07">
        <w:t xml:space="preserve">s </w:t>
      </w:r>
      <w:r>
        <w:t xml:space="preserve">(e.g., cleaning, inspecting, </w:t>
      </w:r>
      <w:r w:rsidR="001B2617">
        <w:t>maintaining</w:t>
      </w:r>
      <w:r>
        <w:t xml:space="preserve">, repairing), </w:t>
      </w:r>
      <w:r w:rsidR="00AE58EF">
        <w:t>where unexpected operation could cause</w:t>
      </w:r>
      <w:r w:rsidR="005E4A07">
        <w:t xml:space="preserve"> </w:t>
      </w:r>
      <w:r>
        <w:t>serious injury or death.</w:t>
      </w:r>
    </w:p>
    <w:p w:rsidR="005855D6" w:rsidRDefault="005855D6" w:rsidP="005855D6">
      <w:pPr>
        <w:ind w:left="-90"/>
      </w:pPr>
    </w:p>
    <w:p w:rsidR="005855D6" w:rsidRDefault="005855D6" w:rsidP="007E10BC">
      <w:pPr>
        <w:ind w:left="-90"/>
      </w:pPr>
      <w:r>
        <w:t xml:space="preserve">Construction contractors and </w:t>
      </w:r>
      <w:r w:rsidR="00760B3F">
        <w:t>workers</w:t>
      </w:r>
      <w:r>
        <w:t xml:space="preserve"> use the drawings</w:t>
      </w:r>
      <w:r w:rsidR="0032543E">
        <w:t xml:space="preserve"> or</w:t>
      </w:r>
      <w:r>
        <w:t xml:space="preserve"> plans</w:t>
      </w:r>
      <w:r w:rsidR="00065A89">
        <w:t xml:space="preserve"> including their revisions</w:t>
      </w:r>
      <w:r>
        <w:t>, required by §1926.703(a)(2)</w:t>
      </w:r>
      <w:r w:rsidR="001742CA">
        <w:t xml:space="preserve"> to be at the jobsite</w:t>
      </w:r>
      <w:r w:rsidR="00A97277">
        <w:t>,</w:t>
      </w:r>
      <w:r w:rsidR="001742CA">
        <w:t xml:space="preserve"> for</w:t>
      </w:r>
      <w:r>
        <w:t xml:space="preserve"> instructions on  construct</w:t>
      </w:r>
      <w:r w:rsidR="001742CA">
        <w:t>ing</w:t>
      </w:r>
      <w:r>
        <w:t>, erect</w:t>
      </w:r>
      <w:r w:rsidR="001742CA">
        <w:t>ing</w:t>
      </w:r>
      <w:r>
        <w:t>, brac</w:t>
      </w:r>
      <w:r w:rsidR="001742CA">
        <w:t>ing</w:t>
      </w:r>
      <w:r>
        <w:t>, maintain</w:t>
      </w:r>
      <w:r w:rsidR="001742CA">
        <w:t>ing</w:t>
      </w:r>
      <w:r>
        <w:t>, and remov</w:t>
      </w:r>
      <w:r w:rsidR="001742CA">
        <w:t>ing</w:t>
      </w:r>
      <w:r>
        <w:t xml:space="preserve"> shores</w:t>
      </w:r>
      <w:r w:rsidR="004F2983">
        <w:t>,</w:t>
      </w:r>
      <w:r>
        <w:t xml:space="preserve"> form</w:t>
      </w:r>
      <w:r w:rsidR="005D2CEE">
        <w:t xml:space="preserve"> </w:t>
      </w:r>
      <w:r>
        <w:t>work</w:t>
      </w:r>
      <w:r w:rsidR="004F2983">
        <w:t>, working decks, and scaffolds</w:t>
      </w:r>
      <w:r>
        <w:t xml:space="preserve"> </w:t>
      </w:r>
      <w:r w:rsidR="001742CA">
        <w:t>during</w:t>
      </w:r>
      <w:r>
        <w:t xml:space="preserve"> </w:t>
      </w:r>
      <w:r w:rsidR="004F2983">
        <w:t xml:space="preserve">cast-in-place </w:t>
      </w:r>
      <w:r>
        <w:t xml:space="preserve">concrete </w:t>
      </w:r>
      <w:r w:rsidR="001742CA">
        <w:t>construction</w:t>
      </w:r>
      <w:r w:rsidR="00A97277">
        <w:t xml:space="preserve"> operations</w:t>
      </w:r>
      <w:r w:rsidR="001742CA">
        <w:t>.</w:t>
      </w:r>
      <w:r>
        <w:t xml:space="preserve"> </w:t>
      </w:r>
    </w:p>
    <w:p w:rsidR="00014FCB" w:rsidRDefault="00014FCB" w:rsidP="005855D6">
      <w:pPr>
        <w:ind w:left="-90"/>
        <w:rPr>
          <w:b/>
          <w:bCs/>
          <w:sz w:val="20"/>
          <w:szCs w:val="20"/>
        </w:rPr>
      </w:pPr>
    </w:p>
    <w:p w:rsidR="005855D6" w:rsidRDefault="005855D6" w:rsidP="005855D6">
      <w:pPr>
        <w:ind w:left="-90"/>
        <w:rPr>
          <w:sz w:val="20"/>
          <w:szCs w:val="20"/>
        </w:rPr>
      </w:pPr>
      <w:r>
        <w:rPr>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855D6" w:rsidRDefault="005855D6" w:rsidP="005855D6">
      <w:pPr>
        <w:ind w:left="-90"/>
        <w:rPr>
          <w:sz w:val="20"/>
          <w:szCs w:val="20"/>
        </w:rPr>
      </w:pPr>
    </w:p>
    <w:p w:rsidR="005855D6" w:rsidRDefault="005855D6" w:rsidP="002A0557">
      <w:pPr>
        <w:widowControl/>
        <w:autoSpaceDE/>
        <w:autoSpaceDN/>
        <w:adjustRightInd/>
        <w:spacing w:after="200"/>
      </w:pPr>
      <w:r>
        <w:t xml:space="preserve">Employers may use any available technology to establish and maintain the documents specified by the Subpart.  The Agency wrote the paperwork requirements in performance-oriented language, i.e., in terms of </w:t>
      </w:r>
      <w:r>
        <w:rPr>
          <w:u w:val="single"/>
        </w:rPr>
        <w:t>what</w:t>
      </w:r>
      <w:r>
        <w:t xml:space="preserve"> data to collect, not </w:t>
      </w:r>
      <w:r>
        <w:rPr>
          <w:u w:val="single"/>
        </w:rPr>
        <w:t>how</w:t>
      </w:r>
      <w:r>
        <w:t xml:space="preserve"> to record the data.</w:t>
      </w:r>
    </w:p>
    <w:p w:rsidR="005855D6" w:rsidRDefault="005855D6" w:rsidP="005855D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sz w:val="20"/>
          <w:szCs w:val="20"/>
        </w:rPr>
      </w:pPr>
      <w:r>
        <w:rPr>
          <w:b/>
          <w:bCs/>
          <w:sz w:val="20"/>
          <w:szCs w:val="20"/>
        </w:rPr>
        <w:t>4.  Describe efforts to identify duplication.  Show specifically why any similar information already available cannot be used or modified for use for the purposes described in Item</w:t>
      </w:r>
      <w:r w:rsidR="006F1055">
        <w:rPr>
          <w:b/>
          <w:bCs/>
          <w:sz w:val="20"/>
          <w:szCs w:val="20"/>
        </w:rPr>
        <w:t xml:space="preserve"> A.</w:t>
      </w:r>
      <w:r>
        <w:rPr>
          <w:b/>
          <w:bCs/>
          <w:sz w:val="20"/>
          <w:szCs w:val="20"/>
        </w:rPr>
        <w:t>2 above.</w:t>
      </w:r>
    </w:p>
    <w:p w:rsidR="005855D6" w:rsidRDefault="005855D6" w:rsidP="005855D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00A036D8" w:rsidRDefault="00A036D8" w:rsidP="00A036D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r>
        <w:t xml:space="preserve">The information collection requirements of the Subpart are specific to each employer involved and no other source or agency duplicates these requirements or can make the required information available to OSHA (i.e., the required information is available only from </w:t>
      </w:r>
      <w:r w:rsidR="00A97277">
        <w:t xml:space="preserve">affected </w:t>
      </w:r>
      <w:r>
        <w:t>employers).</w:t>
      </w:r>
    </w:p>
    <w:p w:rsidR="00A036D8" w:rsidRDefault="00A036D8" w:rsidP="00A036D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00A036D8" w:rsidRDefault="00A036D8" w:rsidP="00A036D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b/>
          <w:bCs/>
          <w:sz w:val="20"/>
          <w:szCs w:val="20"/>
        </w:rPr>
      </w:pPr>
      <w:r>
        <w:rPr>
          <w:b/>
          <w:bCs/>
          <w:sz w:val="20"/>
          <w:szCs w:val="20"/>
        </w:rPr>
        <w:t xml:space="preserve"> 5. </w:t>
      </w:r>
      <w:r w:rsidR="001D1BA9">
        <w:rPr>
          <w:b/>
          <w:bCs/>
          <w:sz w:val="20"/>
          <w:szCs w:val="20"/>
        </w:rPr>
        <w:t xml:space="preserve"> </w:t>
      </w:r>
      <w:r>
        <w:rPr>
          <w:b/>
          <w:bCs/>
          <w:sz w:val="20"/>
          <w:szCs w:val="20"/>
        </w:rPr>
        <w:t>If the collection of information impacts small businesses or other small entities, describe any methods used to minimize burden.</w:t>
      </w:r>
    </w:p>
    <w:p w:rsidR="00A036D8" w:rsidRDefault="00A036D8" w:rsidP="00A036D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p>
    <w:p w:rsidR="00A036D8" w:rsidRDefault="00A036D8" w:rsidP="00A036D8">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r>
        <w:t>The information collection requirements specified by the Subpart do not have a significant impact on a substantial number of small entities.</w:t>
      </w:r>
    </w:p>
    <w:p w:rsidR="00A036D8" w:rsidRDefault="00A036D8" w:rsidP="00A036D8">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rsidR="00A036D8" w:rsidRDefault="00A036D8" w:rsidP="00A036D8">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sz w:val="20"/>
          <w:szCs w:val="20"/>
        </w:rPr>
      </w:pPr>
      <w:r>
        <w:rPr>
          <w:b/>
          <w:bCs/>
          <w:sz w:val="20"/>
          <w:szCs w:val="20"/>
        </w:rPr>
        <w:t>6.  Describe the consequence to Federal program or policy activities if the collection is not conducted or is conducted less frequently, as well as any technical or legal obstacles to reducing burden.</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A036D8" w:rsidRDefault="00A036D8" w:rsidP="00A036D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pPr>
      <w:r>
        <w:t xml:space="preserve">Employers need to comply with each paperwork requirement specified by the Subpart only once for each task at a jobsite (e.g., placing warning signs for a post-tensioning operation, tagging a piece of hazardous equipment for entry and repair, developing drawings or plans).  Any reduction in frequency would eliminate the requirements entirely, thereby, jeopardizing the safety of workers who rely on signs and tags to warn them of hazards or who use drawing, plans, </w:t>
      </w:r>
      <w:r w:rsidR="00B62373">
        <w:t xml:space="preserve">sketches, </w:t>
      </w:r>
      <w:r>
        <w:t>or designs to ensure the structural stability and integrity of the concrete structure</w:t>
      </w:r>
      <w:r w:rsidR="00B62373">
        <w:t xml:space="preserve"> being built</w:t>
      </w:r>
      <w:r w:rsidR="008A29BE">
        <w:t>.</w:t>
      </w:r>
    </w:p>
    <w:p w:rsidR="00A036D8" w:rsidRPr="00014FCB" w:rsidRDefault="00A036D8" w:rsidP="00014FC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jc w:val="both"/>
        <w:rPr>
          <w:b/>
        </w:rPr>
      </w:pPr>
    </w:p>
    <w:p w:rsidR="00A036D8" w:rsidRDefault="00A036D8" w:rsidP="00014FC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rPr>
          <w:b/>
          <w:bCs/>
          <w:sz w:val="20"/>
          <w:szCs w:val="20"/>
        </w:rPr>
      </w:pPr>
      <w:r w:rsidRPr="00014FCB">
        <w:rPr>
          <w:b/>
          <w:bCs/>
          <w:sz w:val="20"/>
          <w:szCs w:val="20"/>
        </w:rPr>
        <w:t>7.</w:t>
      </w:r>
      <w:r>
        <w:rPr>
          <w:b/>
          <w:bCs/>
          <w:sz w:val="20"/>
          <w:szCs w:val="20"/>
        </w:rPr>
        <w:t xml:space="preserve">  Explain any special circumstances that would cause an information collection to be conducted in a manner:</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Requiring respondents to report information to the agency more often than quarterly;</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Requiring respondents to prepare a written response to a collection of information in fewer than 30 days after receipt of it;</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 xml:space="preserve">     ·  Requiring respondents to submit more than an original and two copies of any document;</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Requiring respondents to retain records, other than health, medical, government contract, grant-in-aid, or tax records for more than three years;</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In connection with a statistical survey, that is not designed to produce valid and reliable results that can be generalized to the universe of study;</w:t>
      </w: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A036D8" w:rsidRDefault="00A036D8"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Requiring the use of a statistical data classification that has not been reviewed and approved by OMB;</w:t>
      </w:r>
    </w:p>
    <w:p w:rsidR="006B0E33" w:rsidRDefault="006B0E33" w:rsidP="00A03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6B0E33">
      <w:pPr>
        <w:widowControl/>
        <w:autoSpaceDE/>
        <w:autoSpaceDN/>
        <w:adjustRightInd/>
        <w:spacing w:after="200" w:line="276" w:lineRule="auto"/>
        <w:rPr>
          <w:b/>
          <w:bCs/>
          <w:sz w:val="20"/>
          <w:szCs w:val="20"/>
        </w:rPr>
      </w:pPr>
      <w:r>
        <w:rPr>
          <w:b/>
          <w:bCs/>
          <w:sz w:val="20"/>
          <w:szCs w:val="20"/>
        </w:rPr>
        <w:lastRenderedPageBreak/>
        <w:t xml:space="preserve">     ·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 xml:space="preserve">     ·  Requiring respondents to submit proprietary trade secret, or other confidential information unless the agency can demonstrate that it has instituted procedures to protect the information's confidentiality to the extent permitted by law.</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 special circumstances exist that require employers to collect information in the manner or using the procedures specified by this item.</w:t>
      </w:r>
    </w:p>
    <w:p w:rsidR="008A29BE" w:rsidRDefault="008A29BE"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695" w:rsidRPr="00DB42A3" w:rsidRDefault="00066695" w:rsidP="00066695">
      <w:pPr>
        <w:overflowPunct w:val="0"/>
        <w:rPr>
          <w:kern w:val="28"/>
        </w:rPr>
      </w:pPr>
      <w:r w:rsidRPr="00DB42A3">
        <w:rPr>
          <w:kern w:val="28"/>
        </w:rPr>
        <w:t>As required by the Paperwork Reduction Act of 1995 (44 U.S.C. 3506(c)(2)(A)</w:t>
      </w:r>
      <w:r>
        <w:rPr>
          <w:kern w:val="28"/>
        </w:rPr>
        <w:t xml:space="preserve">), OSHA </w:t>
      </w:r>
      <w:r w:rsidRPr="00DB42A3">
        <w:rPr>
          <w:kern w:val="28"/>
        </w:rPr>
        <w:t xml:space="preserve"> publish</w:t>
      </w:r>
      <w:r>
        <w:rPr>
          <w:kern w:val="28"/>
        </w:rPr>
        <w:t>ed</w:t>
      </w:r>
      <w:r w:rsidRPr="00DB42A3">
        <w:rPr>
          <w:kern w:val="28"/>
        </w:rPr>
        <w:t xml:space="preserve"> a </w:t>
      </w:r>
      <w:r w:rsidR="001B4495">
        <w:rPr>
          <w:kern w:val="28"/>
        </w:rPr>
        <w:t xml:space="preserve"> notice in the </w:t>
      </w:r>
      <w:r w:rsidRPr="007E10BC">
        <w:rPr>
          <w:i/>
          <w:iCs/>
          <w:kern w:val="28"/>
        </w:rPr>
        <w:t>Federal</w:t>
      </w:r>
      <w:r w:rsidRPr="004D15E8">
        <w:rPr>
          <w:i/>
          <w:iCs/>
          <w:kern w:val="28"/>
        </w:rPr>
        <w:t xml:space="preserve"> </w:t>
      </w:r>
      <w:r w:rsidRPr="007E10BC">
        <w:rPr>
          <w:i/>
          <w:iCs/>
          <w:kern w:val="28"/>
        </w:rPr>
        <w:t>Register</w:t>
      </w:r>
      <w:r w:rsidR="001B4495">
        <w:rPr>
          <w:b/>
          <w:bCs/>
          <w:kern w:val="28"/>
        </w:rPr>
        <w:t xml:space="preserve"> </w:t>
      </w:r>
      <w:r w:rsidR="001B4495" w:rsidRPr="001B4495">
        <w:rPr>
          <w:bCs/>
          <w:kern w:val="28"/>
        </w:rPr>
        <w:t>on February 24, 2017</w:t>
      </w:r>
      <w:r w:rsidR="00396753">
        <w:rPr>
          <w:bCs/>
          <w:kern w:val="28"/>
        </w:rPr>
        <w:t xml:space="preserve"> </w:t>
      </w:r>
      <w:r w:rsidR="001B4495">
        <w:rPr>
          <w:bCs/>
          <w:kern w:val="28"/>
        </w:rPr>
        <w:t>(82 FR 11658)</w:t>
      </w:r>
      <w:r w:rsidRPr="00DB42A3">
        <w:rPr>
          <w:kern w:val="28"/>
        </w:rPr>
        <w:t xml:space="preserve"> </w:t>
      </w:r>
      <w:r>
        <w:rPr>
          <w:kern w:val="28"/>
        </w:rPr>
        <w:t>soliciting comments</w:t>
      </w:r>
      <w:r w:rsidR="001B4495">
        <w:rPr>
          <w:kern w:val="28"/>
        </w:rPr>
        <w:t xml:space="preserve"> on its proposal to extend the Office of Management and Budget’s approval of the i</w:t>
      </w:r>
      <w:r w:rsidRPr="00DB42A3">
        <w:rPr>
          <w:kern w:val="28"/>
        </w:rPr>
        <w:t>nformation collection</w:t>
      </w:r>
      <w:r>
        <w:rPr>
          <w:kern w:val="28"/>
        </w:rPr>
        <w:t xml:space="preserve"> </w:t>
      </w:r>
      <w:r w:rsidRPr="00DB42A3">
        <w:rPr>
          <w:kern w:val="28"/>
        </w:rPr>
        <w:t xml:space="preserve"> requirements contained in the </w:t>
      </w:r>
      <w:r>
        <w:rPr>
          <w:kern w:val="28"/>
        </w:rPr>
        <w:t>Concrete and Masonry Construction Standard (29 CFR part 1926, subpart Q).  Th</w:t>
      </w:r>
      <w:r w:rsidR="001B4495">
        <w:rPr>
          <w:kern w:val="28"/>
        </w:rPr>
        <w:t xml:space="preserve">is </w:t>
      </w:r>
      <w:r>
        <w:rPr>
          <w:kern w:val="28"/>
        </w:rPr>
        <w:t xml:space="preserve">notice </w:t>
      </w:r>
      <w:r w:rsidR="00CE13F2">
        <w:rPr>
          <w:kern w:val="28"/>
        </w:rPr>
        <w:t>was</w:t>
      </w:r>
      <w:r w:rsidRPr="00DB42A3">
        <w:rPr>
          <w:kern w:val="28"/>
        </w:rPr>
        <w:t xml:space="preserve"> part of a preclearance consultation program </w:t>
      </w:r>
      <w:r>
        <w:rPr>
          <w:kern w:val="28"/>
        </w:rPr>
        <w:t>that</w:t>
      </w:r>
      <w:r w:rsidRPr="00DB42A3">
        <w:rPr>
          <w:kern w:val="28"/>
        </w:rPr>
        <w:t xml:space="preserve"> provide</w:t>
      </w:r>
      <w:r w:rsidR="00CE13F2">
        <w:rPr>
          <w:kern w:val="28"/>
        </w:rPr>
        <w:t>d</w:t>
      </w:r>
      <w:r w:rsidRPr="00DB42A3">
        <w:rPr>
          <w:kern w:val="28"/>
        </w:rPr>
        <w:t xml:space="preserve"> </w:t>
      </w:r>
      <w:r w:rsidR="001B4495">
        <w:rPr>
          <w:kern w:val="28"/>
        </w:rPr>
        <w:t xml:space="preserve">the general public and government agencies </w:t>
      </w:r>
      <w:r w:rsidRPr="00DB42A3">
        <w:rPr>
          <w:kern w:val="28"/>
        </w:rPr>
        <w:t xml:space="preserve">with </w:t>
      </w:r>
      <w:r w:rsidR="001B4495">
        <w:rPr>
          <w:kern w:val="28"/>
        </w:rPr>
        <w:t>an</w:t>
      </w:r>
      <w:r w:rsidRPr="00DB42A3">
        <w:rPr>
          <w:kern w:val="28"/>
        </w:rPr>
        <w:t xml:space="preserve"> opportunity to comment</w:t>
      </w:r>
      <w:r w:rsidR="001B4495">
        <w:rPr>
          <w:kern w:val="28"/>
        </w:rPr>
        <w:t xml:space="preserve">.  </w:t>
      </w:r>
      <w:r w:rsidRPr="00DB42A3">
        <w:rPr>
          <w:kern w:val="28"/>
        </w:rPr>
        <w:t xml:space="preserve"> The Agency</w:t>
      </w:r>
      <w:r w:rsidR="00496785">
        <w:rPr>
          <w:kern w:val="28"/>
        </w:rPr>
        <w:t xml:space="preserve"> did not receive </w:t>
      </w:r>
      <w:r w:rsidR="000B48BD">
        <w:rPr>
          <w:kern w:val="28"/>
        </w:rPr>
        <w:t xml:space="preserve">any comments </w:t>
      </w:r>
      <w:r w:rsidR="001B4495">
        <w:rPr>
          <w:kern w:val="28"/>
        </w:rPr>
        <w:t>in response to</w:t>
      </w:r>
      <w:r>
        <w:rPr>
          <w:kern w:val="28"/>
        </w:rPr>
        <w:t xml:space="preserve"> </w:t>
      </w:r>
      <w:r w:rsidR="000A2676">
        <w:rPr>
          <w:kern w:val="28"/>
        </w:rPr>
        <w:t>this notice.</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9.  Explain any decision to provide any payment or gift to respondents, other than rem</w:t>
      </w:r>
      <w:r w:rsidR="00221F6F">
        <w:rPr>
          <w:b/>
          <w:bCs/>
          <w:sz w:val="20"/>
          <w:szCs w:val="20"/>
        </w:rPr>
        <w:t>un</w:t>
      </w:r>
      <w:r>
        <w:rPr>
          <w:b/>
          <w:bCs/>
          <w:sz w:val="20"/>
          <w:szCs w:val="20"/>
        </w:rPr>
        <w:t>eration of contractors or grantees.</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Agency will </w:t>
      </w:r>
      <w:r>
        <w:rPr>
          <w:u w:val="single"/>
        </w:rPr>
        <w:t>not</w:t>
      </w:r>
      <w:r>
        <w:t xml:space="preserve"> provide payments or gifts to the respondents.</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10.  Describe any assurance of confidentiality provided to respondents and the basis for the assurance in statute, regulation, or agency policy.</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paperwork requirements specified by the Subpart do not involve confidential information.</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A0557"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information, the explanation to be given to persons from whom the information is requested, and any steps to be taken to obtain their consent.</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The paperwork requirements specified by the Subpart do not involve sensitive information.</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12.  Provide estimates of the hour burden of the collection of information.  The statement should:</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If this request for approval covers more than one form, provide separate hour burden estimates for each form and aggregate the hour burdens in Item 13.</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 xml:space="preserve">     ·  Provide estimates of annualized cost to respondents for the hour burdens for collections of information, identifying and using appropriate wage-rate categories.</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5855D6" w:rsidRDefault="00E81C2B" w:rsidP="005855D6">
      <w:r>
        <w:t xml:space="preserve">Posting </w:t>
      </w:r>
      <w:r w:rsidR="005855D6">
        <w:t>signs, and us</w:t>
      </w:r>
      <w:r>
        <w:t>ing</w:t>
      </w:r>
      <w:r w:rsidR="005855D6">
        <w:t xml:space="preserve"> barriers (tapes with warning messages or </w:t>
      </w:r>
      <w:r w:rsidR="00B311D6">
        <w:t xml:space="preserve">other </w:t>
      </w:r>
      <w:r w:rsidR="005855D6">
        <w:t xml:space="preserve">messages </w:t>
      </w:r>
      <w:r w:rsidR="00B311D6">
        <w:t xml:space="preserve">couched </w:t>
      </w:r>
      <w:r w:rsidR="005855D6">
        <w:t xml:space="preserve">to </w:t>
      </w:r>
      <w:r w:rsidR="005855D6" w:rsidRPr="00014FCB">
        <w:t>prevent entry to specific areas of the jobsite</w:t>
      </w:r>
      <w:r w:rsidR="004F09A3" w:rsidRPr="00014FCB">
        <w:t xml:space="preserve"> §1926.701(c)(2)</w:t>
      </w:r>
      <w:r w:rsidR="005855D6" w:rsidRPr="00014FCB">
        <w:t>)</w:t>
      </w:r>
      <w:r w:rsidRPr="00014FCB">
        <w:t xml:space="preserve">, except for </w:t>
      </w:r>
      <w:r w:rsidR="00760B3F" w:rsidRPr="00014FCB">
        <w:t>workers</w:t>
      </w:r>
      <w:r w:rsidRPr="00014FCB">
        <w:t xml:space="preserve"> essential to post-tensioning operations </w:t>
      </w:r>
      <w:r w:rsidR="005855D6" w:rsidRPr="00014FCB">
        <w:t xml:space="preserve">and </w:t>
      </w:r>
      <w:r w:rsidRPr="00014FCB">
        <w:t xml:space="preserve">using </w:t>
      </w:r>
      <w:r w:rsidR="005855D6" w:rsidRPr="00014FCB">
        <w:t>lock</w:t>
      </w:r>
      <w:r w:rsidR="00E1777C" w:rsidRPr="00014FCB">
        <w:t>out</w:t>
      </w:r>
      <w:r w:rsidR="005855D6" w:rsidRPr="00014FCB">
        <w:t xml:space="preserve"> and tags</w:t>
      </w:r>
      <w:r w:rsidR="005855D6" w:rsidRPr="00014FCB">
        <w:rPr>
          <w:rStyle w:val="FootnoteReference"/>
          <w:vertAlign w:val="superscript"/>
        </w:rPr>
        <w:footnoteReference w:id="2"/>
      </w:r>
      <w:r w:rsidR="005855D6" w:rsidRPr="00014FCB">
        <w:t xml:space="preserve"> </w:t>
      </w:r>
      <w:r w:rsidRPr="00014FCB">
        <w:t xml:space="preserve"> to prevent unintended entry or operation of facilities/equipment</w:t>
      </w:r>
      <w:r w:rsidR="004F09A3" w:rsidRPr="00014FCB">
        <w:t xml:space="preserve"> (§1926.702(a)(2) and (j)(2)</w:t>
      </w:r>
      <w:r w:rsidR="00E40C7A" w:rsidRPr="00014FCB">
        <w:t>)</w:t>
      </w:r>
      <w:r w:rsidRPr="00014FCB">
        <w:t xml:space="preserve"> are</w:t>
      </w:r>
      <w:r w:rsidR="005855D6" w:rsidRPr="00014FCB">
        <w:t xml:space="preserve"> common practice</w:t>
      </w:r>
      <w:r w:rsidRPr="00014FCB">
        <w:t>s</w:t>
      </w:r>
      <w:r w:rsidR="005855D6" w:rsidRPr="00014FCB">
        <w:t xml:space="preserve"> on construction jobs</w:t>
      </w:r>
      <w:r w:rsidRPr="00014FCB">
        <w:t>ites</w:t>
      </w:r>
      <w:r w:rsidR="005855D6" w:rsidRPr="00014FCB">
        <w:rPr>
          <w:b/>
        </w:rPr>
        <w:t xml:space="preserve">.  </w:t>
      </w:r>
      <w:r w:rsidR="005855D6" w:rsidRPr="00014FCB">
        <w:t xml:space="preserve">Information taken from </w:t>
      </w:r>
      <w:r w:rsidR="007F61A7" w:rsidRPr="00014FCB">
        <w:t xml:space="preserve">McGraw Hill’s </w:t>
      </w:r>
      <w:r w:rsidR="005855D6" w:rsidRPr="00014FCB">
        <w:t>FW Dodge reports and analyzed by the University of Tennessee indicate</w:t>
      </w:r>
      <w:r w:rsidR="00E31161" w:rsidRPr="00014FCB">
        <w:t>d</w:t>
      </w:r>
      <w:r w:rsidR="005855D6" w:rsidRPr="00014FCB">
        <w:t xml:space="preserve"> for calendar year 2009 </w:t>
      </w:r>
      <w:r w:rsidR="00A41759" w:rsidRPr="00014FCB">
        <w:t xml:space="preserve">that </w:t>
      </w:r>
      <w:r w:rsidR="005855D6" w:rsidRPr="00014FCB">
        <w:t xml:space="preserve">the number of active construction worksites (excluding single-family houses) was approximately168,199.  </w:t>
      </w:r>
      <w:r w:rsidR="00A41759" w:rsidRPr="00014FCB">
        <w:t>Using Dodge Construction Out</w:t>
      </w:r>
      <w:r w:rsidR="00061C6A" w:rsidRPr="00014FCB">
        <w:t>l</w:t>
      </w:r>
      <w:r w:rsidR="00A41759" w:rsidRPr="00014FCB">
        <w:t xml:space="preserve">ook 2014-Pattern of U.S. Construction Starts chart OSHA calculates a 0.083% increase in construction excluding single family houses from 2009 through 2012 or 182,160 worksites. </w:t>
      </w:r>
      <w:r w:rsidR="00B751D4" w:rsidRPr="00014FCB">
        <w:t xml:space="preserve"> </w:t>
      </w:r>
      <w:r w:rsidR="005855D6" w:rsidRPr="00014FCB">
        <w:t>According to the U.S. Census Bureau News Joint Release (CB1</w:t>
      </w:r>
      <w:r w:rsidR="0014270C" w:rsidRPr="00014FCB">
        <w:t>3</w:t>
      </w:r>
      <w:r w:rsidR="005855D6" w:rsidRPr="00014FCB">
        <w:t>-</w:t>
      </w:r>
      <w:r w:rsidR="0014270C" w:rsidRPr="00014FCB">
        <w:t>1</w:t>
      </w:r>
      <w:r w:rsidR="005855D6" w:rsidRPr="00014FCB">
        <w:t xml:space="preserve">0), </w:t>
      </w:r>
      <w:r w:rsidR="0014270C" w:rsidRPr="00014FCB">
        <w:t>single-family</w:t>
      </w:r>
      <w:r w:rsidR="005855D6" w:rsidRPr="00014FCB">
        <w:t xml:space="preserve"> housing starts in December 20</w:t>
      </w:r>
      <w:r w:rsidR="0014270C" w:rsidRPr="00014FCB">
        <w:t>12</w:t>
      </w:r>
      <w:r w:rsidR="005855D6" w:rsidRPr="00014FCB">
        <w:t xml:space="preserve"> were at a rate of </w:t>
      </w:r>
      <w:r w:rsidR="00B914FA" w:rsidRPr="00014FCB">
        <w:t>616,000</w:t>
      </w:r>
      <w:r w:rsidR="005855D6" w:rsidRPr="00014FCB">
        <w:t xml:space="preserve">.  OSHA estimates that at least 20 percent of </w:t>
      </w:r>
      <w:r w:rsidR="00B914FA" w:rsidRPr="00014FCB">
        <w:t xml:space="preserve">all </w:t>
      </w:r>
      <w:r w:rsidR="005855D6" w:rsidRPr="00014FCB">
        <w:t>the</w:t>
      </w:r>
      <w:r w:rsidR="00B914FA" w:rsidRPr="00014FCB">
        <w:t>se</w:t>
      </w:r>
      <w:r w:rsidR="005855D6" w:rsidRPr="00014FCB">
        <w:t xml:space="preserve"> worksites </w:t>
      </w:r>
      <w:r w:rsidR="00D225BD" w:rsidRPr="00014FCB">
        <w:t xml:space="preserve">(182,160 + 616,000 = 798,160) </w:t>
      </w:r>
      <w:r w:rsidR="005855D6" w:rsidRPr="00014FCB">
        <w:t xml:space="preserve">will involve one instance of posting warnings or </w:t>
      </w:r>
      <w:r w:rsidR="00B914FA" w:rsidRPr="00014FCB">
        <w:t xml:space="preserve">using </w:t>
      </w:r>
      <w:r w:rsidR="005855D6" w:rsidRPr="00014FCB">
        <w:t>locks and tags at jobs covered by this collection.</w:t>
      </w:r>
      <w:r w:rsidR="005855D6">
        <w:t xml:space="preserve">  </w:t>
      </w:r>
    </w:p>
    <w:p w:rsidR="006A7AD5" w:rsidRDefault="006A7AD5" w:rsidP="005855D6">
      <w:pPr>
        <w:widowControl/>
        <w:autoSpaceDE/>
        <w:adjustRightInd/>
      </w:pPr>
    </w:p>
    <w:p w:rsidR="006A7AD5" w:rsidRDefault="00306483" w:rsidP="006A7AD5">
      <w:pPr>
        <w:keepLines/>
        <w:overflowPunct w:val="0"/>
        <w:rPr>
          <w:kern w:val="28"/>
        </w:rPr>
      </w:pPr>
      <w:r>
        <w:rPr>
          <w:kern w:val="28"/>
        </w:rPr>
        <w:t xml:space="preserve">The Agency determined average wage </w:t>
      </w:r>
      <w:r w:rsidR="00567FDF">
        <w:rPr>
          <w:kern w:val="28"/>
        </w:rPr>
        <w:t>rates from average</w:t>
      </w:r>
      <w:r>
        <w:rPr>
          <w:kern w:val="28"/>
        </w:rPr>
        <w:t xml:space="preserve"> hourly earnings, including benefits, to represent the cost of employee time.  For the </w:t>
      </w:r>
      <w:r w:rsidR="00567FDF">
        <w:rPr>
          <w:kern w:val="28"/>
        </w:rPr>
        <w:t>relevant</w:t>
      </w:r>
      <w:r>
        <w:rPr>
          <w:kern w:val="28"/>
        </w:rPr>
        <w:t xml:space="preserve"> occupational categories, OSHA adjusted the mean hourly </w:t>
      </w:r>
      <w:r w:rsidR="00567FDF">
        <w:rPr>
          <w:kern w:val="28"/>
        </w:rPr>
        <w:t>earnings</w:t>
      </w:r>
      <w:r>
        <w:rPr>
          <w:kern w:val="28"/>
        </w:rPr>
        <w:t xml:space="preserve"> according to the Bureau of Labor Statistics (BLS), U.S. Department of Labor, Occupational Emplo</w:t>
      </w:r>
      <w:r w:rsidR="00B436D4">
        <w:rPr>
          <w:kern w:val="28"/>
        </w:rPr>
        <w:t>yment Statistics (OES), May 2016</w:t>
      </w:r>
      <w:r>
        <w:rPr>
          <w:kern w:val="28"/>
        </w:rPr>
        <w:t xml:space="preserve"> (</w:t>
      </w:r>
      <w:hyperlink r:id="rId9" w:history="1">
        <w:r w:rsidR="00AF05A6">
          <w:rPr>
            <w:rStyle w:val="Hyperlink"/>
            <w:kern w:val="28"/>
          </w:rPr>
          <w:t>https:www.bls.gov/oes/current/oes_nat.htm</w:t>
        </w:r>
      </w:hyperlink>
      <w:r>
        <w:rPr>
          <w:kern w:val="28"/>
        </w:rPr>
        <w:t xml:space="preserve">) to allow for fringe benefits.  To account for fringe benefits, we used the fringe benefit </w:t>
      </w:r>
      <w:r w:rsidR="00567FDF">
        <w:rPr>
          <w:kern w:val="28"/>
        </w:rPr>
        <w:t>rate</w:t>
      </w:r>
      <w:r w:rsidR="00465B14">
        <w:rPr>
          <w:kern w:val="28"/>
        </w:rPr>
        <w:t xml:space="preserve"> reported in BLS” </w:t>
      </w:r>
      <w:r w:rsidR="00884798">
        <w:rPr>
          <w:kern w:val="28"/>
        </w:rPr>
        <w:t xml:space="preserve">Employer </w:t>
      </w:r>
      <w:r>
        <w:rPr>
          <w:kern w:val="28"/>
        </w:rPr>
        <w:t>Costs for Employee Compensation (ECEC</w:t>
      </w:r>
      <w:r w:rsidR="00884798">
        <w:rPr>
          <w:kern w:val="28"/>
        </w:rPr>
        <w:t>) news release for December 2016</w:t>
      </w:r>
      <w:r w:rsidR="00A9643C">
        <w:rPr>
          <w:kern w:val="28"/>
        </w:rPr>
        <w:t xml:space="preserve">.  BLS reported that for private industry, fringe </w:t>
      </w:r>
      <w:r w:rsidR="00567FDF">
        <w:rPr>
          <w:kern w:val="28"/>
        </w:rPr>
        <w:t>benefits</w:t>
      </w:r>
      <w:r w:rsidR="00884798">
        <w:rPr>
          <w:kern w:val="28"/>
        </w:rPr>
        <w:t xml:space="preserve"> accounted for 31.6</w:t>
      </w:r>
      <w:r w:rsidR="00A9643C">
        <w:rPr>
          <w:kern w:val="28"/>
        </w:rPr>
        <w:t xml:space="preserve"> percent of total compensation and wage </w:t>
      </w:r>
      <w:r w:rsidR="00884798">
        <w:rPr>
          <w:kern w:val="28"/>
        </w:rPr>
        <w:t>accounted for the remaining 68.4</w:t>
      </w:r>
      <w:r w:rsidR="00A9643C">
        <w:rPr>
          <w:kern w:val="28"/>
        </w:rPr>
        <w:t xml:space="preserve"> percent.  To calculate the loaded hourly wage for each </w:t>
      </w:r>
      <w:r w:rsidR="00567FDF">
        <w:rPr>
          <w:kern w:val="28"/>
        </w:rPr>
        <w:t>occupation</w:t>
      </w:r>
      <w:r w:rsidR="00A9643C">
        <w:rPr>
          <w:kern w:val="28"/>
        </w:rPr>
        <w:t>, thus we d</w:t>
      </w:r>
      <w:r w:rsidR="00524964">
        <w:rPr>
          <w:kern w:val="28"/>
        </w:rPr>
        <w:t>ivide the mean hourly wage by 68</w:t>
      </w:r>
      <w:r w:rsidR="00D63344">
        <w:rPr>
          <w:kern w:val="28"/>
        </w:rPr>
        <w:t>.</w:t>
      </w:r>
      <w:r w:rsidR="00A15EF8">
        <w:rPr>
          <w:kern w:val="28"/>
        </w:rPr>
        <w:t xml:space="preserve">4 </w:t>
      </w:r>
      <w:r w:rsidR="00A9643C">
        <w:rPr>
          <w:kern w:val="28"/>
        </w:rPr>
        <w:t>percent.</w:t>
      </w:r>
    </w:p>
    <w:p w:rsidR="00FC62D7" w:rsidRDefault="00FC62D7" w:rsidP="00FC62D7">
      <w:pPr>
        <w:widowControl/>
        <w:autoSpaceDE/>
        <w:adjustRightInd/>
        <w:rPr>
          <w:kern w:val="28"/>
        </w:rPr>
      </w:pPr>
      <w:r w:rsidRPr="006A7AD5">
        <w:rPr>
          <w:kern w:val="28"/>
        </w:rPr>
        <w:lastRenderedPageBreak/>
        <w:t>The costs of labor used in this analysis are, therefore, estimates of total hourly compensation.</w:t>
      </w:r>
      <w:r w:rsidRPr="0083729D">
        <w:t xml:space="preserve"> </w:t>
      </w:r>
      <w:r>
        <w:t xml:space="preserve">It typically takes 5 minutes (.08 hour) to post or place the warning signs, locks, tags, etc. </w:t>
      </w:r>
      <w:r>
        <w:rPr>
          <w:kern w:val="28"/>
        </w:rPr>
        <w:t xml:space="preserve"> The</w:t>
      </w:r>
      <w:r w:rsidRPr="006A7AD5">
        <w:rPr>
          <w:kern w:val="28"/>
        </w:rPr>
        <w:t xml:space="preserve"> hourl</w:t>
      </w:r>
      <w:r>
        <w:rPr>
          <w:kern w:val="28"/>
        </w:rPr>
        <w:t>y wage rate is</w:t>
      </w:r>
      <w:r w:rsidRPr="006A7AD5">
        <w:rPr>
          <w:kern w:val="28"/>
        </w:rPr>
        <w:t>:</w:t>
      </w:r>
    </w:p>
    <w:p w:rsidR="00FC62D7" w:rsidRPr="0083729D" w:rsidRDefault="00FC62D7" w:rsidP="00FC62D7">
      <w:pPr>
        <w:widowControl/>
        <w:autoSpaceDE/>
        <w:adjustRightInd/>
      </w:pPr>
    </w:p>
    <w:p w:rsidR="003D4D13" w:rsidRDefault="006A7AD5" w:rsidP="003D4D13">
      <w:r>
        <w:rPr>
          <w:kern w:val="28"/>
        </w:rPr>
        <w:t>Painter</w:t>
      </w:r>
      <w:r w:rsidR="0083729D">
        <w:rPr>
          <w:kern w:val="28"/>
        </w:rPr>
        <w:t>s, Construction and M</w:t>
      </w:r>
      <w:r>
        <w:rPr>
          <w:kern w:val="28"/>
        </w:rPr>
        <w:t>aintenance</w:t>
      </w:r>
      <w:r w:rsidR="003D4D13">
        <w:rPr>
          <w:kern w:val="28"/>
        </w:rPr>
        <w:t xml:space="preserve">:  </w:t>
      </w:r>
      <w:hyperlink r:id="rId10" w:history="1">
        <w:r w:rsidR="00DB1003" w:rsidRPr="00CE13F2">
          <w:rPr>
            <w:rStyle w:val="Hyperlink"/>
            <w:kern w:val="28"/>
          </w:rPr>
          <w:t>http://www.bls.gov/oes/current/oes472141.htm</w:t>
        </w:r>
      </w:hyperlink>
    </w:p>
    <w:p w:rsidR="006A7AD5" w:rsidRPr="006A7AD5" w:rsidRDefault="00465B14" w:rsidP="00066695">
      <w:pPr>
        <w:keepLines/>
        <w:overflowPunct w:val="0"/>
        <w:ind w:firstLine="720"/>
        <w:rPr>
          <w:kern w:val="28"/>
        </w:rPr>
      </w:pPr>
      <w:r>
        <w:rPr>
          <w:kern w:val="28"/>
        </w:rPr>
        <w:t xml:space="preserve"> $19.</w:t>
      </w:r>
      <w:r w:rsidR="00D63344">
        <w:rPr>
          <w:kern w:val="28"/>
        </w:rPr>
        <w:t>9</w:t>
      </w:r>
      <w:r>
        <w:rPr>
          <w:kern w:val="28"/>
        </w:rPr>
        <w:t>6/.684</w:t>
      </w:r>
      <w:r w:rsidR="007B6FD1">
        <w:rPr>
          <w:kern w:val="28"/>
        </w:rPr>
        <w:t xml:space="preserve"> =</w:t>
      </w:r>
      <w:r w:rsidR="00981A1A">
        <w:rPr>
          <w:kern w:val="28"/>
        </w:rPr>
        <w:t xml:space="preserve"> </w:t>
      </w:r>
      <w:r>
        <w:rPr>
          <w:kern w:val="28"/>
        </w:rPr>
        <w:t>$29.18</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tab/>
      </w:r>
      <w:r>
        <w:rPr>
          <w:b/>
        </w:rPr>
        <w:t>Burden Hours</w:t>
      </w:r>
      <w:r>
        <w:t xml:space="preserve">: </w:t>
      </w:r>
      <w:r w:rsidR="00D225BD">
        <w:t>798,160</w:t>
      </w:r>
      <w:r>
        <w:t xml:space="preserve"> x 20% x .08 hour = </w:t>
      </w:r>
      <w:r w:rsidR="00D225BD">
        <w:t>12,771</w:t>
      </w:r>
      <w:r>
        <w:t xml:space="preserve"> hours</w:t>
      </w:r>
    </w:p>
    <w:p w:rsidR="005855D6" w:rsidRDefault="005855D6" w:rsidP="008177EB">
      <w:pPr>
        <w:tabs>
          <w:tab w:val="left" w:pos="0"/>
          <w:tab w:val="left" w:pos="720"/>
          <w:tab w:val="left" w:pos="1440"/>
          <w:tab w:val="left" w:pos="2250"/>
          <w:tab w:val="left" w:pos="2340"/>
          <w:tab w:val="left" w:pos="3600"/>
          <w:tab w:val="left" w:pos="4320"/>
          <w:tab w:val="left" w:pos="5040"/>
          <w:tab w:val="left" w:pos="5760"/>
          <w:tab w:val="left" w:pos="6480"/>
          <w:tab w:val="left" w:pos="7200"/>
          <w:tab w:val="left" w:pos="7920"/>
          <w:tab w:val="left" w:pos="8640"/>
        </w:tabs>
        <w:ind w:left="720" w:hanging="720"/>
        <w:rPr>
          <w:b/>
        </w:rPr>
      </w:pPr>
      <w:r>
        <w:rPr>
          <w:b/>
        </w:rPr>
        <w:tab/>
      </w:r>
      <w:r>
        <w:rPr>
          <w:b/>
        </w:rPr>
        <w:tab/>
      </w:r>
      <w:r>
        <w:rPr>
          <w:b/>
        </w:rPr>
        <w:tab/>
        <w:t xml:space="preserve">   Cost</w:t>
      </w:r>
      <w:r w:rsidR="0083729D">
        <w:t xml:space="preserve">:  </w:t>
      </w:r>
      <w:r w:rsidR="00D225BD">
        <w:t xml:space="preserve">12,771 </w:t>
      </w:r>
      <w:r w:rsidR="0083729D">
        <w:t>hours x $</w:t>
      </w:r>
      <w:r w:rsidR="00465B14">
        <w:t xml:space="preserve">29.18 </w:t>
      </w:r>
      <w:r w:rsidR="00BC5C18">
        <w:t>= $</w:t>
      </w:r>
      <w:r w:rsidR="004927C2">
        <w:t>3</w:t>
      </w:r>
      <w:r w:rsidR="00FF530A">
        <w:t>7</w:t>
      </w:r>
      <w:r w:rsidR="004927C2">
        <w:t>2</w:t>
      </w:r>
      <w:r w:rsidR="00FF530A">
        <w:t>,</w:t>
      </w:r>
      <w:r w:rsidR="004927C2">
        <w:t>6</w:t>
      </w:r>
      <w:r w:rsidR="00FF530A">
        <w:t>58</w:t>
      </w:r>
      <w:r w:rsidR="00850A19">
        <w:t xml:space="preserve"> </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described in Item 1, OSHA determined that requirements contained in §1926.703(a)(2) and §1926.705(b) of the paperwork requirements specified by the Subpart impose no burden hours or costs as specified by the Paperwork Reduction Act of 1995. </w:t>
      </w:r>
    </w:p>
    <w:p w:rsidR="0076632E" w:rsidRDefault="0076632E"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6632E" w:rsidRDefault="0076632E" w:rsidP="007663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Table A-12</w:t>
      </w:r>
    </w:p>
    <w:p w:rsidR="0076632E" w:rsidRDefault="0076632E"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100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260"/>
        <w:gridCol w:w="1530"/>
        <w:gridCol w:w="1170"/>
        <w:gridCol w:w="1080"/>
        <w:gridCol w:w="1080"/>
        <w:gridCol w:w="810"/>
        <w:gridCol w:w="1350"/>
      </w:tblGrid>
      <w:tr w:rsidR="0076632E" w:rsidRPr="0076632E" w:rsidTr="00110C04">
        <w:trPr>
          <w:trHeight w:val="1545"/>
        </w:trPr>
        <w:tc>
          <w:tcPr>
            <w:tcW w:w="1800" w:type="dxa"/>
            <w:shd w:val="clear" w:color="auto" w:fill="auto"/>
            <w:hideMark/>
          </w:tcPr>
          <w:p w:rsidR="0076632E" w:rsidRPr="0076632E" w:rsidRDefault="0076632E" w:rsidP="0076632E">
            <w:pPr>
              <w:widowControl/>
              <w:autoSpaceDE/>
              <w:adjustRightInd/>
              <w:spacing w:line="276" w:lineRule="auto"/>
              <w:rPr>
                <w:b/>
                <w:bCs/>
                <w:color w:val="000000"/>
                <w:sz w:val="20"/>
                <w:szCs w:val="20"/>
              </w:rPr>
            </w:pPr>
            <w:r w:rsidRPr="0076632E">
              <w:rPr>
                <w:b/>
                <w:bCs/>
                <w:color w:val="000000"/>
                <w:sz w:val="20"/>
                <w:szCs w:val="20"/>
              </w:rPr>
              <w:t xml:space="preserve">Collections of Information </w:t>
            </w:r>
          </w:p>
        </w:tc>
        <w:tc>
          <w:tcPr>
            <w:tcW w:w="1260" w:type="dxa"/>
            <w:shd w:val="clear" w:color="auto" w:fill="auto"/>
            <w:hideMark/>
          </w:tcPr>
          <w:p w:rsidR="0076632E" w:rsidRDefault="0076632E" w:rsidP="0076632E">
            <w:pPr>
              <w:widowControl/>
              <w:autoSpaceDE/>
              <w:adjustRightInd/>
              <w:spacing w:line="276" w:lineRule="auto"/>
              <w:rPr>
                <w:b/>
                <w:bCs/>
                <w:color w:val="000000"/>
                <w:sz w:val="20"/>
                <w:szCs w:val="20"/>
              </w:rPr>
            </w:pPr>
            <w:r w:rsidRPr="0076632E">
              <w:rPr>
                <w:b/>
                <w:bCs/>
                <w:color w:val="000000"/>
                <w:sz w:val="20"/>
                <w:szCs w:val="20"/>
              </w:rPr>
              <w:t xml:space="preserve">No. of Respon-dents </w:t>
            </w:r>
          </w:p>
          <w:p w:rsidR="0076632E" w:rsidRPr="0076632E" w:rsidRDefault="0076632E" w:rsidP="0076632E">
            <w:pPr>
              <w:widowControl/>
              <w:autoSpaceDE/>
              <w:adjustRightInd/>
              <w:spacing w:line="276" w:lineRule="auto"/>
              <w:rPr>
                <w:b/>
                <w:bCs/>
                <w:color w:val="000000"/>
                <w:sz w:val="20"/>
                <w:szCs w:val="20"/>
              </w:rPr>
            </w:pPr>
            <w:r w:rsidRPr="0076632E">
              <w:rPr>
                <w:b/>
                <w:bCs/>
                <w:color w:val="000000"/>
                <w:sz w:val="20"/>
                <w:szCs w:val="20"/>
              </w:rPr>
              <w:t>(</w:t>
            </w:r>
            <w:r>
              <w:rPr>
                <w:b/>
                <w:bCs/>
                <w:color w:val="000000"/>
                <w:sz w:val="18"/>
                <w:szCs w:val="18"/>
              </w:rPr>
              <w:t>worksites</w:t>
            </w:r>
            <w:r w:rsidRPr="00110C04">
              <w:rPr>
                <w:rStyle w:val="FootnoteReference"/>
                <w:b/>
                <w:bCs/>
                <w:color w:val="000000"/>
                <w:sz w:val="18"/>
                <w:szCs w:val="18"/>
                <w:vertAlign w:val="superscript"/>
              </w:rPr>
              <w:footnoteReference w:id="3"/>
            </w:r>
            <w:r w:rsidRPr="0076632E">
              <w:rPr>
                <w:b/>
                <w:bCs/>
                <w:color w:val="000000"/>
                <w:sz w:val="18"/>
                <w:szCs w:val="18"/>
              </w:rPr>
              <w:t>)</w:t>
            </w:r>
            <w:r w:rsidRPr="0076632E">
              <w:rPr>
                <w:b/>
                <w:bCs/>
                <w:color w:val="000000"/>
                <w:sz w:val="20"/>
                <w:szCs w:val="20"/>
              </w:rPr>
              <w:t xml:space="preserve"> </w:t>
            </w:r>
          </w:p>
          <w:p w:rsidR="0076632E" w:rsidRPr="0076632E" w:rsidRDefault="0076632E" w:rsidP="0076632E">
            <w:pPr>
              <w:widowControl/>
              <w:autoSpaceDE/>
              <w:adjustRightInd/>
              <w:spacing w:line="276" w:lineRule="auto"/>
              <w:rPr>
                <w:b/>
                <w:bCs/>
                <w:color w:val="000000"/>
                <w:sz w:val="20"/>
                <w:szCs w:val="20"/>
              </w:rPr>
            </w:pPr>
            <w:r w:rsidRPr="0076632E">
              <w:rPr>
                <w:b/>
                <w:bCs/>
                <w:color w:val="000000"/>
                <w:sz w:val="20"/>
                <w:szCs w:val="20"/>
              </w:rPr>
              <w:t xml:space="preserve">[a]                       </w:t>
            </w:r>
          </w:p>
        </w:tc>
        <w:tc>
          <w:tcPr>
            <w:tcW w:w="1530" w:type="dxa"/>
            <w:shd w:val="clear" w:color="auto" w:fill="auto"/>
            <w:hideMark/>
          </w:tcPr>
          <w:p w:rsidR="0076632E" w:rsidRPr="0076632E" w:rsidRDefault="0076632E" w:rsidP="0076632E">
            <w:pPr>
              <w:widowControl/>
              <w:autoSpaceDE/>
              <w:adjustRightInd/>
              <w:spacing w:line="276" w:lineRule="auto"/>
              <w:rPr>
                <w:b/>
                <w:bCs/>
                <w:color w:val="000000"/>
                <w:sz w:val="20"/>
                <w:szCs w:val="20"/>
              </w:rPr>
            </w:pPr>
            <w:r w:rsidRPr="0076632E">
              <w:rPr>
                <w:b/>
                <w:bCs/>
                <w:color w:val="000000"/>
                <w:sz w:val="20"/>
                <w:szCs w:val="20"/>
              </w:rPr>
              <w:t>No of Responses per Respondent (</w:t>
            </w:r>
            <w:r>
              <w:rPr>
                <w:b/>
                <w:bCs/>
                <w:color w:val="000000"/>
                <w:sz w:val="20"/>
                <w:szCs w:val="20"/>
              </w:rPr>
              <w:t>F</w:t>
            </w:r>
            <w:r w:rsidRPr="0076632E">
              <w:rPr>
                <w:b/>
                <w:bCs/>
                <w:color w:val="000000"/>
                <w:sz w:val="20"/>
                <w:szCs w:val="20"/>
              </w:rPr>
              <w:t>requency</w:t>
            </w:r>
            <w:r>
              <w:rPr>
                <w:b/>
                <w:bCs/>
                <w:color w:val="000000"/>
                <w:sz w:val="20"/>
                <w:szCs w:val="20"/>
              </w:rPr>
              <w:t>* Compliance Rate</w:t>
            </w:r>
            <w:r w:rsidRPr="0076632E">
              <w:rPr>
                <w:b/>
                <w:bCs/>
                <w:color w:val="000000"/>
                <w:sz w:val="20"/>
                <w:szCs w:val="20"/>
              </w:rPr>
              <w:t>) [b]</w:t>
            </w:r>
          </w:p>
        </w:tc>
        <w:tc>
          <w:tcPr>
            <w:tcW w:w="1170" w:type="dxa"/>
            <w:shd w:val="clear" w:color="auto" w:fill="auto"/>
          </w:tcPr>
          <w:p w:rsidR="0076632E" w:rsidRPr="0076632E" w:rsidRDefault="0076632E" w:rsidP="0076632E">
            <w:pPr>
              <w:widowControl/>
              <w:autoSpaceDE/>
              <w:adjustRightInd/>
              <w:spacing w:line="276" w:lineRule="auto"/>
              <w:rPr>
                <w:b/>
                <w:bCs/>
                <w:color w:val="000000"/>
                <w:sz w:val="20"/>
                <w:szCs w:val="20"/>
              </w:rPr>
            </w:pPr>
            <w:r w:rsidRPr="0076632E">
              <w:rPr>
                <w:b/>
                <w:bCs/>
                <w:color w:val="000000"/>
                <w:sz w:val="20"/>
                <w:szCs w:val="20"/>
              </w:rPr>
              <w:t xml:space="preserve">Total No. of Responses [c]              </w:t>
            </w:r>
          </w:p>
          <w:p w:rsidR="0076632E" w:rsidRPr="0076632E" w:rsidRDefault="0076632E" w:rsidP="0076632E">
            <w:pPr>
              <w:widowControl/>
              <w:autoSpaceDE/>
              <w:adjustRightInd/>
              <w:spacing w:line="276" w:lineRule="auto"/>
              <w:rPr>
                <w:bCs/>
                <w:color w:val="000000"/>
                <w:sz w:val="20"/>
                <w:szCs w:val="20"/>
              </w:rPr>
            </w:pPr>
          </w:p>
          <w:p w:rsidR="0076632E" w:rsidRPr="0076632E" w:rsidRDefault="0076632E" w:rsidP="0076632E">
            <w:pPr>
              <w:widowControl/>
              <w:autoSpaceDE/>
              <w:adjustRightInd/>
              <w:spacing w:line="276" w:lineRule="auto"/>
              <w:rPr>
                <w:b/>
                <w:bCs/>
                <w:color w:val="000000"/>
                <w:sz w:val="20"/>
                <w:szCs w:val="20"/>
              </w:rPr>
            </w:pPr>
            <w:r w:rsidRPr="0076632E">
              <w:rPr>
                <w:bCs/>
                <w:color w:val="000000"/>
                <w:sz w:val="20"/>
                <w:szCs w:val="20"/>
              </w:rPr>
              <w:t>(a x b=c)</w:t>
            </w:r>
          </w:p>
        </w:tc>
        <w:tc>
          <w:tcPr>
            <w:tcW w:w="1080" w:type="dxa"/>
            <w:shd w:val="clear" w:color="auto" w:fill="auto"/>
            <w:hideMark/>
          </w:tcPr>
          <w:p w:rsidR="0076632E" w:rsidRPr="0076632E" w:rsidRDefault="0076632E" w:rsidP="0076632E">
            <w:pPr>
              <w:widowControl/>
              <w:autoSpaceDE/>
              <w:adjustRightInd/>
              <w:spacing w:line="276" w:lineRule="auto"/>
              <w:rPr>
                <w:b/>
                <w:bCs/>
                <w:color w:val="000000"/>
                <w:sz w:val="20"/>
                <w:szCs w:val="20"/>
              </w:rPr>
            </w:pPr>
            <w:r w:rsidRPr="0076632E">
              <w:rPr>
                <w:b/>
                <w:bCs/>
                <w:color w:val="000000"/>
                <w:sz w:val="20"/>
                <w:szCs w:val="20"/>
              </w:rPr>
              <w:t>Avg. Burden per Response (in Hrs.) [d]</w:t>
            </w:r>
          </w:p>
        </w:tc>
        <w:tc>
          <w:tcPr>
            <w:tcW w:w="1080" w:type="dxa"/>
            <w:shd w:val="clear" w:color="auto" w:fill="auto"/>
          </w:tcPr>
          <w:p w:rsidR="0076632E" w:rsidRPr="0076632E" w:rsidRDefault="0076632E" w:rsidP="0076632E">
            <w:pPr>
              <w:widowControl/>
              <w:autoSpaceDE/>
              <w:adjustRightInd/>
              <w:spacing w:line="276" w:lineRule="auto"/>
              <w:rPr>
                <w:b/>
                <w:bCs/>
                <w:color w:val="000000"/>
                <w:sz w:val="20"/>
                <w:szCs w:val="20"/>
              </w:rPr>
            </w:pPr>
            <w:r w:rsidRPr="0076632E">
              <w:rPr>
                <w:b/>
                <w:bCs/>
                <w:color w:val="000000"/>
                <w:sz w:val="20"/>
                <w:szCs w:val="20"/>
              </w:rPr>
              <w:t xml:space="preserve">Total Burden Hours [e] </w:t>
            </w:r>
          </w:p>
          <w:p w:rsidR="0076632E" w:rsidRPr="0076632E" w:rsidRDefault="0076632E" w:rsidP="0076632E">
            <w:pPr>
              <w:widowControl/>
              <w:autoSpaceDE/>
              <w:adjustRightInd/>
              <w:spacing w:line="276" w:lineRule="auto"/>
              <w:rPr>
                <w:b/>
                <w:bCs/>
                <w:color w:val="000000"/>
                <w:sz w:val="20"/>
                <w:szCs w:val="20"/>
              </w:rPr>
            </w:pPr>
          </w:p>
          <w:p w:rsidR="0076632E" w:rsidRPr="0076632E" w:rsidRDefault="0076632E" w:rsidP="0076632E">
            <w:pPr>
              <w:widowControl/>
              <w:autoSpaceDE/>
              <w:adjustRightInd/>
              <w:spacing w:line="276" w:lineRule="auto"/>
              <w:rPr>
                <w:b/>
                <w:bCs/>
                <w:color w:val="000000"/>
                <w:sz w:val="20"/>
                <w:szCs w:val="20"/>
              </w:rPr>
            </w:pPr>
            <w:r w:rsidRPr="0076632E">
              <w:rPr>
                <w:bCs/>
                <w:color w:val="000000"/>
                <w:sz w:val="20"/>
                <w:szCs w:val="20"/>
              </w:rPr>
              <w:t>(c x d=e</w:t>
            </w:r>
            <w:r>
              <w:rPr>
                <w:bCs/>
                <w:color w:val="000000"/>
                <w:sz w:val="20"/>
                <w:szCs w:val="20"/>
              </w:rPr>
              <w:t xml:space="preserve"> (rounded)</w:t>
            </w:r>
            <w:r w:rsidRPr="0076632E">
              <w:rPr>
                <w:bCs/>
                <w:color w:val="000000"/>
                <w:sz w:val="20"/>
                <w:szCs w:val="20"/>
              </w:rPr>
              <w:t>)</w:t>
            </w:r>
          </w:p>
        </w:tc>
        <w:tc>
          <w:tcPr>
            <w:tcW w:w="810" w:type="dxa"/>
            <w:shd w:val="clear" w:color="auto" w:fill="auto"/>
            <w:hideMark/>
          </w:tcPr>
          <w:p w:rsidR="0076632E" w:rsidRPr="0076632E" w:rsidRDefault="0076632E" w:rsidP="0076632E">
            <w:pPr>
              <w:widowControl/>
              <w:autoSpaceDE/>
              <w:adjustRightInd/>
              <w:spacing w:line="276" w:lineRule="auto"/>
              <w:rPr>
                <w:b/>
                <w:bCs/>
                <w:color w:val="000000"/>
                <w:sz w:val="20"/>
                <w:szCs w:val="20"/>
              </w:rPr>
            </w:pPr>
            <w:r w:rsidRPr="0076632E">
              <w:rPr>
                <w:b/>
                <w:bCs/>
                <w:color w:val="000000"/>
                <w:sz w:val="20"/>
                <w:szCs w:val="20"/>
              </w:rPr>
              <w:t>Mean Wage Rate [f]</w:t>
            </w:r>
          </w:p>
        </w:tc>
        <w:tc>
          <w:tcPr>
            <w:tcW w:w="1350" w:type="dxa"/>
            <w:shd w:val="clear" w:color="auto" w:fill="auto"/>
          </w:tcPr>
          <w:p w:rsidR="0076632E" w:rsidRPr="0076632E" w:rsidRDefault="0076632E" w:rsidP="0076632E">
            <w:pPr>
              <w:widowControl/>
              <w:autoSpaceDE/>
              <w:adjustRightInd/>
              <w:spacing w:line="276" w:lineRule="auto"/>
              <w:rPr>
                <w:b/>
                <w:bCs/>
                <w:color w:val="000000"/>
                <w:sz w:val="20"/>
                <w:szCs w:val="20"/>
              </w:rPr>
            </w:pPr>
            <w:r w:rsidRPr="0076632E">
              <w:rPr>
                <w:b/>
                <w:bCs/>
                <w:color w:val="000000"/>
                <w:sz w:val="20"/>
                <w:szCs w:val="20"/>
              </w:rPr>
              <w:t xml:space="preserve">Total Burden Costs [g] </w:t>
            </w:r>
          </w:p>
          <w:p w:rsidR="0076632E" w:rsidRPr="0076632E" w:rsidRDefault="0076632E" w:rsidP="0076632E">
            <w:pPr>
              <w:widowControl/>
              <w:autoSpaceDE/>
              <w:adjustRightInd/>
              <w:spacing w:line="276" w:lineRule="auto"/>
              <w:rPr>
                <w:bCs/>
                <w:color w:val="000000"/>
                <w:sz w:val="20"/>
                <w:szCs w:val="20"/>
              </w:rPr>
            </w:pPr>
          </w:p>
          <w:p w:rsidR="0076632E" w:rsidRPr="0076632E" w:rsidRDefault="0076632E" w:rsidP="0076632E">
            <w:pPr>
              <w:widowControl/>
              <w:autoSpaceDE/>
              <w:adjustRightInd/>
              <w:spacing w:line="276" w:lineRule="auto"/>
              <w:rPr>
                <w:bCs/>
                <w:color w:val="000000"/>
                <w:sz w:val="20"/>
                <w:szCs w:val="20"/>
              </w:rPr>
            </w:pPr>
            <w:r w:rsidRPr="0076632E">
              <w:rPr>
                <w:bCs/>
                <w:color w:val="000000"/>
                <w:sz w:val="20"/>
                <w:szCs w:val="20"/>
              </w:rPr>
              <w:t>(e x f= g)</w:t>
            </w:r>
          </w:p>
        </w:tc>
      </w:tr>
      <w:tr w:rsidR="0076632E" w:rsidRPr="0076632E" w:rsidTr="00110C04">
        <w:trPr>
          <w:trHeight w:val="1545"/>
        </w:trPr>
        <w:tc>
          <w:tcPr>
            <w:tcW w:w="1800" w:type="dxa"/>
            <w:shd w:val="clear" w:color="auto" w:fill="auto"/>
          </w:tcPr>
          <w:p w:rsidR="0076632E" w:rsidRDefault="0076632E" w:rsidP="0076632E">
            <w:pPr>
              <w:widowControl/>
              <w:autoSpaceDE/>
              <w:adjustRightInd/>
              <w:spacing w:line="276" w:lineRule="auto"/>
            </w:pPr>
            <w:r>
              <w:t>1926.701(c)(2), 1</w:t>
            </w:r>
            <w:r w:rsidRPr="00FB5B95">
              <w:t>926.702(a)(2)</w:t>
            </w:r>
            <w:r>
              <w:t>,</w:t>
            </w:r>
            <w:r w:rsidRPr="00FB5B95">
              <w:t xml:space="preserve"> (j)(1)</w:t>
            </w:r>
            <w:r>
              <w:t>, (j)(2), 1926.703(a)(2).</w:t>
            </w:r>
          </w:p>
          <w:p w:rsidR="0076632E" w:rsidRPr="0076632E" w:rsidRDefault="0076632E" w:rsidP="0076632E">
            <w:pPr>
              <w:widowControl/>
              <w:autoSpaceDE/>
              <w:adjustRightInd/>
              <w:spacing w:line="276" w:lineRule="auto"/>
              <w:rPr>
                <w:b/>
                <w:bCs/>
                <w:color w:val="000000"/>
                <w:sz w:val="20"/>
                <w:szCs w:val="20"/>
              </w:rPr>
            </w:pPr>
            <w:r>
              <w:rPr>
                <w:b/>
                <w:bCs/>
                <w:color w:val="000000"/>
                <w:sz w:val="20"/>
                <w:szCs w:val="20"/>
              </w:rPr>
              <w:t>Post or place warning signs, locks, tags.</w:t>
            </w:r>
          </w:p>
        </w:tc>
        <w:tc>
          <w:tcPr>
            <w:tcW w:w="1260" w:type="dxa"/>
            <w:shd w:val="clear" w:color="auto" w:fill="auto"/>
          </w:tcPr>
          <w:p w:rsidR="0076632E" w:rsidRPr="0076632E" w:rsidRDefault="0076632E" w:rsidP="0076632E">
            <w:pPr>
              <w:widowControl/>
              <w:autoSpaceDE/>
              <w:adjustRightInd/>
              <w:spacing w:line="276" w:lineRule="auto"/>
              <w:rPr>
                <w:b/>
                <w:bCs/>
                <w:color w:val="000000"/>
                <w:sz w:val="20"/>
                <w:szCs w:val="20"/>
              </w:rPr>
            </w:pPr>
            <w:r>
              <w:rPr>
                <w:b/>
                <w:bCs/>
                <w:color w:val="000000"/>
                <w:sz w:val="20"/>
                <w:szCs w:val="20"/>
              </w:rPr>
              <w:t>798,160</w:t>
            </w:r>
          </w:p>
        </w:tc>
        <w:tc>
          <w:tcPr>
            <w:tcW w:w="1530" w:type="dxa"/>
            <w:shd w:val="clear" w:color="auto" w:fill="auto"/>
          </w:tcPr>
          <w:p w:rsidR="0076632E" w:rsidRPr="0076632E" w:rsidRDefault="0076632E" w:rsidP="0076632E">
            <w:pPr>
              <w:widowControl/>
              <w:autoSpaceDE/>
              <w:adjustRightInd/>
              <w:spacing w:line="276" w:lineRule="auto"/>
              <w:rPr>
                <w:b/>
                <w:bCs/>
                <w:color w:val="000000"/>
                <w:sz w:val="20"/>
                <w:szCs w:val="20"/>
              </w:rPr>
            </w:pPr>
            <w:r>
              <w:rPr>
                <w:b/>
                <w:bCs/>
                <w:color w:val="000000"/>
                <w:sz w:val="20"/>
                <w:szCs w:val="20"/>
              </w:rPr>
              <w:t>1*20%</w:t>
            </w:r>
          </w:p>
        </w:tc>
        <w:tc>
          <w:tcPr>
            <w:tcW w:w="1170" w:type="dxa"/>
            <w:shd w:val="clear" w:color="auto" w:fill="auto"/>
          </w:tcPr>
          <w:p w:rsidR="0076632E" w:rsidRPr="0076632E" w:rsidRDefault="0076632E" w:rsidP="0076632E">
            <w:pPr>
              <w:widowControl/>
              <w:autoSpaceDE/>
              <w:adjustRightInd/>
              <w:spacing w:line="276" w:lineRule="auto"/>
              <w:rPr>
                <w:b/>
                <w:bCs/>
                <w:color w:val="000000"/>
                <w:sz w:val="20"/>
                <w:szCs w:val="20"/>
              </w:rPr>
            </w:pPr>
            <w:r>
              <w:rPr>
                <w:b/>
                <w:bCs/>
                <w:color w:val="000000"/>
                <w:sz w:val="20"/>
                <w:szCs w:val="20"/>
              </w:rPr>
              <w:t>159,632</w:t>
            </w:r>
          </w:p>
        </w:tc>
        <w:tc>
          <w:tcPr>
            <w:tcW w:w="1080" w:type="dxa"/>
            <w:shd w:val="clear" w:color="auto" w:fill="auto"/>
          </w:tcPr>
          <w:p w:rsidR="0076632E" w:rsidRPr="0076632E" w:rsidRDefault="0076632E" w:rsidP="0076632E">
            <w:pPr>
              <w:widowControl/>
              <w:autoSpaceDE/>
              <w:adjustRightInd/>
              <w:spacing w:line="276" w:lineRule="auto"/>
              <w:rPr>
                <w:b/>
                <w:bCs/>
                <w:color w:val="000000"/>
                <w:sz w:val="20"/>
                <w:szCs w:val="20"/>
              </w:rPr>
            </w:pPr>
            <w:r>
              <w:rPr>
                <w:b/>
                <w:bCs/>
                <w:color w:val="000000"/>
                <w:sz w:val="20"/>
                <w:szCs w:val="20"/>
              </w:rPr>
              <w:t>.08</w:t>
            </w:r>
          </w:p>
        </w:tc>
        <w:tc>
          <w:tcPr>
            <w:tcW w:w="1080" w:type="dxa"/>
            <w:shd w:val="clear" w:color="auto" w:fill="auto"/>
          </w:tcPr>
          <w:p w:rsidR="0076632E" w:rsidRPr="0076632E" w:rsidRDefault="0076632E" w:rsidP="0076632E">
            <w:pPr>
              <w:widowControl/>
              <w:autoSpaceDE/>
              <w:adjustRightInd/>
              <w:spacing w:line="276" w:lineRule="auto"/>
              <w:rPr>
                <w:b/>
                <w:bCs/>
                <w:color w:val="000000"/>
                <w:sz w:val="20"/>
                <w:szCs w:val="20"/>
              </w:rPr>
            </w:pPr>
            <w:r>
              <w:rPr>
                <w:b/>
                <w:bCs/>
                <w:color w:val="000000"/>
                <w:sz w:val="20"/>
                <w:szCs w:val="20"/>
              </w:rPr>
              <w:t>12,771</w:t>
            </w:r>
          </w:p>
        </w:tc>
        <w:tc>
          <w:tcPr>
            <w:tcW w:w="810" w:type="dxa"/>
            <w:shd w:val="clear" w:color="auto" w:fill="auto"/>
          </w:tcPr>
          <w:p w:rsidR="0076632E" w:rsidRPr="0076632E" w:rsidRDefault="0076632E" w:rsidP="0076632E">
            <w:pPr>
              <w:widowControl/>
              <w:autoSpaceDE/>
              <w:adjustRightInd/>
              <w:spacing w:line="276" w:lineRule="auto"/>
              <w:rPr>
                <w:b/>
                <w:bCs/>
                <w:color w:val="000000"/>
                <w:sz w:val="20"/>
                <w:szCs w:val="20"/>
              </w:rPr>
            </w:pPr>
            <w:r>
              <w:rPr>
                <w:b/>
                <w:bCs/>
                <w:color w:val="000000"/>
                <w:sz w:val="20"/>
                <w:szCs w:val="20"/>
              </w:rPr>
              <w:t>$29.18</w:t>
            </w:r>
          </w:p>
        </w:tc>
        <w:tc>
          <w:tcPr>
            <w:tcW w:w="1350" w:type="dxa"/>
            <w:shd w:val="clear" w:color="auto" w:fill="auto"/>
          </w:tcPr>
          <w:p w:rsidR="0076632E" w:rsidRPr="0076632E" w:rsidRDefault="0076632E" w:rsidP="0076632E">
            <w:pPr>
              <w:widowControl/>
              <w:autoSpaceDE/>
              <w:adjustRightInd/>
              <w:spacing w:line="276" w:lineRule="auto"/>
              <w:rPr>
                <w:b/>
                <w:bCs/>
                <w:color w:val="000000"/>
                <w:sz w:val="20"/>
                <w:szCs w:val="20"/>
              </w:rPr>
            </w:pPr>
            <w:r>
              <w:rPr>
                <w:b/>
                <w:bCs/>
                <w:color w:val="000000"/>
                <w:sz w:val="20"/>
                <w:szCs w:val="20"/>
              </w:rPr>
              <w:t>$372,658</w:t>
            </w:r>
          </w:p>
        </w:tc>
      </w:tr>
    </w:tbl>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13.  Provide an estimate of the total annual cost burden to respondents or recordkeepers resulting from the collection of information.  (Do not include the cost of any hour burden shown in Items 12 and 14).</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  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preparations for collecting information such as purchasing computers and software; monitoring, sampling, drilling and testing equipment; and record storage facilities.</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 xml:space="preserve">     ·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w:t>
      </w:r>
      <w:r>
        <w:rPr>
          <w:b/>
          <w:bCs/>
          <w:sz w:val="20"/>
          <w:szCs w:val="20"/>
        </w:rPr>
        <w:lastRenderedPageBreak/>
        <w:t>sample of respondent (fewer than 10), utilize the 60-day pre-OMB submission public comment process and use existing economic or regulatory impact analysis associated with the rulemaking containing the information collection, as appropriate</w:t>
      </w:r>
      <w:r>
        <w:rPr>
          <w:sz w:val="20"/>
          <w:szCs w:val="20"/>
        </w:rPr>
        <w:t>.</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 xml:space="preserve">     ·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55D6" w:rsidRDefault="005855D6" w:rsidP="005855D6">
      <w:pPr>
        <w:widowControl/>
        <w:tabs>
          <w:tab w:val="left" w:pos="0"/>
          <w:tab w:val="left" w:pos="360"/>
          <w:tab w:val="left" w:pos="720"/>
          <w:tab w:val="left" w:pos="2160"/>
        </w:tabs>
      </w:pPr>
      <w:r>
        <w:t xml:space="preserve">The cost determinations made under Item 12 account for the total annual cost burden to respondents or recordkeepers resulting from these collection of information requirements. </w:t>
      </w:r>
    </w:p>
    <w:p w:rsidR="00061C6A" w:rsidRDefault="00061C6A"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915BDC"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without this collection of information.  Agencies also may aggregate cost estimates from Items 12, 13, and 14 in a single table.</w:t>
      </w:r>
    </w:p>
    <w:p w:rsidR="005855D6" w:rsidRDefault="005855D6" w:rsidP="00585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highlight w:val="yellow"/>
        </w:rPr>
      </w:pPr>
    </w:p>
    <w:p w:rsidR="00066695" w:rsidRDefault="00437542"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There is no cost to the </w:t>
      </w:r>
      <w:r w:rsidR="00066695">
        <w:t>Federal government</w:t>
      </w:r>
      <w:r>
        <w:t>.</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15.  Explain the reasons for any program changes or adjustments reporting in Items 13 or 14.</w:t>
      </w:r>
    </w:p>
    <w:p w:rsidR="001D501E" w:rsidRDefault="001D501E"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C569BE" w:rsidRDefault="00F1358B"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Agency is requesting to </w:t>
      </w:r>
      <w:r w:rsidR="00C569BE">
        <w:t xml:space="preserve">retain </w:t>
      </w:r>
      <w:r w:rsidR="0073074B">
        <w:t>its</w:t>
      </w:r>
      <w:r w:rsidR="00C569BE">
        <w:t xml:space="preserve"> current </w:t>
      </w:r>
      <w:r w:rsidR="00CD449A">
        <w:t>b</w:t>
      </w:r>
      <w:r w:rsidR="00C569BE">
        <w:t>urden hour</w:t>
      </w:r>
      <w:r w:rsidR="00EA0CEB">
        <w:t xml:space="preserve"> estimate</w:t>
      </w:r>
      <w:r>
        <w:t xml:space="preserve"> of </w:t>
      </w:r>
      <w:r w:rsidR="00C80D69">
        <w:t xml:space="preserve">12,771 </w:t>
      </w:r>
      <w:r w:rsidR="0073074B">
        <w:t>hours</w:t>
      </w:r>
      <w:r w:rsidR="00066695">
        <w:t xml:space="preserve">. </w:t>
      </w:r>
    </w:p>
    <w:p w:rsidR="00C569BE" w:rsidRDefault="00C569BE"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will not publish the information collected under the Subpart.</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 xml:space="preserve">17. </w:t>
      </w:r>
      <w:r w:rsidR="008912D4">
        <w:rPr>
          <w:b/>
          <w:bCs/>
          <w:sz w:val="20"/>
          <w:szCs w:val="20"/>
        </w:rPr>
        <w:t xml:space="preserve"> </w:t>
      </w:r>
      <w:r w:rsidR="001D6462">
        <w:rPr>
          <w:b/>
          <w:bCs/>
          <w:sz w:val="20"/>
          <w:szCs w:val="20"/>
        </w:rPr>
        <w:t>I</w:t>
      </w:r>
      <w:r>
        <w:rPr>
          <w:b/>
          <w:bCs/>
          <w:sz w:val="20"/>
          <w:szCs w:val="20"/>
        </w:rPr>
        <w:t>f seeking approval to not display the expiration date for OMB approval of the information collection, explain the reasons that display would be appropriate.</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695" w:rsidRPr="00C567F9" w:rsidRDefault="00066695" w:rsidP="00066695">
      <w:pPr>
        <w:widowControl/>
        <w:autoSpaceDE/>
        <w:autoSpaceDN/>
        <w:adjustRightInd/>
        <w:rPr>
          <w:rFonts w:eastAsia="Calibri"/>
        </w:rPr>
      </w:pPr>
      <w:r w:rsidRPr="00C567F9">
        <w:rPr>
          <w:rFonts w:eastAsia="Calibri"/>
        </w:rPr>
        <w:t>OSHA lists current valid control numbers in §§1910.8, 1915.8, 1917.4, 1918.4, and 1926.5 and publishes the expiration date in the Federal Register notice announcing OMB approval of the information</w:t>
      </w:r>
      <w:r w:rsidR="00356D75">
        <w:rPr>
          <w:rFonts w:eastAsia="Calibri"/>
        </w:rPr>
        <w:t xml:space="preserve"> </w:t>
      </w:r>
      <w:r w:rsidRPr="00C567F9">
        <w:rPr>
          <w:rFonts w:eastAsia="Calibri"/>
        </w:rPr>
        <w:t>collection requi</w:t>
      </w:r>
      <w:r w:rsidR="00606FBB">
        <w:rPr>
          <w:rFonts w:eastAsia="Calibri"/>
        </w:rPr>
        <w:t>rement. (See 5 CFR 1320.3(f)(3)</w:t>
      </w:r>
      <w:r w:rsidRPr="00C567F9">
        <w:rPr>
          <w:rFonts w:eastAsia="Calibri"/>
        </w:rPr>
        <w:t>)</w:t>
      </w:r>
      <w:r w:rsidR="00606FBB">
        <w:rPr>
          <w:rFonts w:eastAsia="Calibri"/>
        </w:rPr>
        <w:t>.</w:t>
      </w:r>
      <w:r w:rsidRPr="00C567F9">
        <w:rPr>
          <w:rFonts w:eastAsia="Calibri"/>
        </w:rPr>
        <w:t xml:space="preserve"> </w:t>
      </w:r>
      <w:r w:rsidR="00606FBB">
        <w:rPr>
          <w:rFonts w:eastAsia="Calibri"/>
        </w:rPr>
        <w:t xml:space="preserve"> </w:t>
      </w:r>
      <w:r w:rsidRPr="00C567F9">
        <w:rPr>
          <w:rFonts w:eastAsia="Calibri"/>
        </w:rPr>
        <w:t>OSHA believes that this is the most appropriate and accurate mechanism to inform interested parties of these expiration dates.</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18.  Explain each exception to the certification statement.</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is not requesting an exception to the certification statement.</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B. COLLECTION OF INFORMATION EMPLOYING STATISTICAL METHODS</w:t>
      </w: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066695" w:rsidRDefault="00066695" w:rsidP="00066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cs="Shruti"/>
        </w:rPr>
      </w:pPr>
      <w:r>
        <w:t>This Supporting Statement does not contain any collection of information requirements that employ statistical methods.</w:t>
      </w:r>
    </w:p>
    <w:sectPr w:rsidR="0006669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20C" w:rsidRDefault="0083720C" w:rsidP="005855D6">
      <w:r>
        <w:separator/>
      </w:r>
    </w:p>
  </w:endnote>
  <w:endnote w:type="continuationSeparator" w:id="0">
    <w:p w:rsidR="0083720C" w:rsidRDefault="0083720C" w:rsidP="0058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F49" w:rsidRDefault="00164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31359"/>
      <w:docPartObj>
        <w:docPartGallery w:val="Page Numbers (Bottom of Page)"/>
        <w:docPartUnique/>
      </w:docPartObj>
    </w:sdtPr>
    <w:sdtEndPr>
      <w:rPr>
        <w:noProof/>
      </w:rPr>
    </w:sdtEndPr>
    <w:sdtContent>
      <w:p w:rsidR="00850A19" w:rsidRDefault="00850A19">
        <w:pPr>
          <w:pStyle w:val="Footer"/>
          <w:jc w:val="center"/>
        </w:pPr>
        <w:r>
          <w:fldChar w:fldCharType="begin"/>
        </w:r>
        <w:r>
          <w:instrText xml:space="preserve"> PAGE   \* MERGEFORMAT </w:instrText>
        </w:r>
        <w:r>
          <w:fldChar w:fldCharType="separate"/>
        </w:r>
        <w:r w:rsidR="00164F49">
          <w:rPr>
            <w:noProof/>
          </w:rPr>
          <w:t>1</w:t>
        </w:r>
        <w:r>
          <w:rPr>
            <w:noProof/>
          </w:rPr>
          <w:fldChar w:fldCharType="end"/>
        </w:r>
      </w:p>
    </w:sdtContent>
  </w:sdt>
  <w:p w:rsidR="00850A19" w:rsidRDefault="00850A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F49" w:rsidRDefault="00164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20C" w:rsidRDefault="0083720C" w:rsidP="005855D6">
      <w:r>
        <w:separator/>
      </w:r>
    </w:p>
  </w:footnote>
  <w:footnote w:type="continuationSeparator" w:id="0">
    <w:p w:rsidR="0083720C" w:rsidRDefault="0083720C" w:rsidP="005855D6">
      <w:r>
        <w:continuationSeparator/>
      </w:r>
    </w:p>
  </w:footnote>
  <w:footnote w:id="1">
    <w:p w:rsidR="005855D6" w:rsidRDefault="005855D6" w:rsidP="005855D6">
      <w:pPr>
        <w:spacing w:after="72"/>
        <w:rPr>
          <w:sz w:val="20"/>
          <w:szCs w:val="20"/>
        </w:rPr>
      </w:pPr>
      <w:r>
        <w:rPr>
          <w:sz w:val="20"/>
          <w:szCs w:val="20"/>
        </w:rPr>
        <w:t xml:space="preserve">     </w:t>
      </w:r>
      <w:r>
        <w:rPr>
          <w:sz w:val="20"/>
          <w:szCs w:val="20"/>
        </w:rPr>
        <w:tab/>
      </w:r>
      <w:r>
        <w:rPr>
          <w:rStyle w:val="FootnoteReference"/>
          <w:sz w:val="20"/>
          <w:szCs w:val="20"/>
          <w:vertAlign w:val="superscript"/>
        </w:rPr>
        <w:footnoteRef/>
      </w:r>
      <w:r>
        <w:rPr>
          <w:sz w:val="20"/>
          <w:szCs w:val="20"/>
        </w:rPr>
        <w:t>The purpose of this Supporting Statement is to analyze and describe the burden hours and costs associated with provisions of this subpart that contain paperwork requirements; this Supporting Statement does not provide information or guidance on how to comply with, or how to enforce, these provisions.</w:t>
      </w:r>
    </w:p>
  </w:footnote>
  <w:footnote w:id="2">
    <w:p w:rsidR="005855D6" w:rsidRDefault="005855D6" w:rsidP="005855D6">
      <w:pPr>
        <w:pStyle w:val="FootnoteText"/>
        <w:ind w:firstLine="720"/>
      </w:pPr>
      <w:r>
        <w:rPr>
          <w:rStyle w:val="FootnoteReference"/>
          <w:sz w:val="24"/>
          <w:szCs w:val="24"/>
          <w:vertAlign w:val="superscript"/>
        </w:rPr>
        <w:footnoteRef/>
      </w:r>
      <w:r>
        <w:t>OSHA is intentionally overestimating the paperwork burden by assuming that § 1926.702(j)(2) affects all worksites.  OSHA made this assumption to simplify the formula, but the Agency notes that § 1926.702(j)(2) probably does not affect all worksites because OSHA believes most employers will use the language OSHA has provided (“Do not start”) rather than take the time to develop their own language.  (See 5 CFR 1320.3(c)(2)).</w:t>
      </w:r>
    </w:p>
  </w:footnote>
  <w:footnote w:id="3">
    <w:p w:rsidR="0076632E" w:rsidRDefault="0076632E">
      <w:pPr>
        <w:pStyle w:val="FootnoteText"/>
      </w:pPr>
      <w:r w:rsidRPr="008E4E22">
        <w:rPr>
          <w:rStyle w:val="FootnoteReference"/>
          <w:sz w:val="22"/>
          <w:szCs w:val="22"/>
          <w:vertAlign w:val="superscript"/>
        </w:rPr>
        <w:footnoteRef/>
      </w:r>
      <w:r w:rsidRPr="008E4E22">
        <w:rPr>
          <w:sz w:val="22"/>
          <w:szCs w:val="22"/>
          <w:vertAlign w:val="superscript"/>
        </w:rPr>
        <w:t xml:space="preserve"> </w:t>
      </w:r>
      <w:r>
        <w:t>For purposes of the PRA analysis, the Agency assumes that each employer has one worksite.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F49" w:rsidRDefault="00164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0BC" w:rsidRPr="00EA0CEB" w:rsidRDefault="007E10BC">
    <w:pPr>
      <w:pStyle w:val="Header"/>
      <w:rPr>
        <w:sz w:val="20"/>
        <w:szCs w:val="20"/>
      </w:rPr>
    </w:pPr>
    <w:r w:rsidRPr="00EA0CEB">
      <w:rPr>
        <w:sz w:val="20"/>
        <w:szCs w:val="20"/>
      </w:rPr>
      <w:t>CONCRETE AND MASONRY CONSTRUCTION</w:t>
    </w:r>
  </w:p>
  <w:p w:rsidR="00E05E7D" w:rsidRPr="00EA0CEB" w:rsidRDefault="007E10BC">
    <w:pPr>
      <w:pStyle w:val="Header"/>
      <w:rPr>
        <w:sz w:val="20"/>
        <w:szCs w:val="20"/>
      </w:rPr>
    </w:pPr>
    <w:r w:rsidRPr="00EA0CEB">
      <w:rPr>
        <w:sz w:val="20"/>
        <w:szCs w:val="20"/>
      </w:rPr>
      <w:t>STANDARD (29 CFR PART 1926, SUBPART Q</w:t>
    </w:r>
    <w:r w:rsidR="00EA0CEB">
      <w:rPr>
        <w:sz w:val="20"/>
        <w:szCs w:val="20"/>
      </w:rPr>
      <w:t>)</w:t>
    </w:r>
  </w:p>
  <w:p w:rsidR="007E10BC" w:rsidRPr="00EA0CEB" w:rsidRDefault="007E10BC">
    <w:pPr>
      <w:pStyle w:val="Header"/>
      <w:rPr>
        <w:sz w:val="20"/>
        <w:szCs w:val="20"/>
      </w:rPr>
    </w:pPr>
    <w:r w:rsidRPr="00EA0CEB">
      <w:rPr>
        <w:sz w:val="20"/>
        <w:szCs w:val="20"/>
      </w:rPr>
      <w:t>1218-0095</w:t>
    </w:r>
  </w:p>
  <w:p w:rsidR="007E10BC" w:rsidRPr="00EA0CEB" w:rsidRDefault="00EA0CEB">
    <w:pPr>
      <w:pStyle w:val="Header"/>
      <w:rPr>
        <w:sz w:val="20"/>
        <w:szCs w:val="20"/>
      </w:rPr>
    </w:pPr>
    <w:r>
      <w:rPr>
        <w:sz w:val="20"/>
        <w:szCs w:val="20"/>
      </w:rPr>
      <w:t>June</w:t>
    </w:r>
    <w:r w:rsidR="007E10BC" w:rsidRPr="00EA0CEB">
      <w:rPr>
        <w:sz w:val="20"/>
        <w:szCs w:val="20"/>
      </w:rPr>
      <w:t xml:space="preserve"> </w:t>
    </w:r>
    <w:bookmarkStart w:id="0" w:name="_GoBack"/>
    <w:bookmarkEnd w:id="0"/>
    <w:r w:rsidR="007E10BC" w:rsidRPr="00EA0CEB">
      <w:rPr>
        <w:sz w:val="20"/>
        <w:szCs w:val="20"/>
      </w:rPr>
      <w:t>2017</w:t>
    </w:r>
  </w:p>
  <w:p w:rsidR="007E10BC" w:rsidRDefault="007E10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F49" w:rsidRDefault="00164F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450A8"/>
    <w:multiLevelType w:val="hybridMultilevel"/>
    <w:tmpl w:val="0EBC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D6"/>
    <w:rsid w:val="00014FCB"/>
    <w:rsid w:val="000501AC"/>
    <w:rsid w:val="00050EF1"/>
    <w:rsid w:val="00061C6A"/>
    <w:rsid w:val="00065A89"/>
    <w:rsid w:val="00066695"/>
    <w:rsid w:val="00082762"/>
    <w:rsid w:val="00086056"/>
    <w:rsid w:val="00091B01"/>
    <w:rsid w:val="000A2676"/>
    <w:rsid w:val="000B48BD"/>
    <w:rsid w:val="000F716F"/>
    <w:rsid w:val="00106B60"/>
    <w:rsid w:val="00110C04"/>
    <w:rsid w:val="00115909"/>
    <w:rsid w:val="00127375"/>
    <w:rsid w:val="00141460"/>
    <w:rsid w:val="0014270C"/>
    <w:rsid w:val="00164F49"/>
    <w:rsid w:val="0016743C"/>
    <w:rsid w:val="001742CA"/>
    <w:rsid w:val="00180BE4"/>
    <w:rsid w:val="0019302E"/>
    <w:rsid w:val="001B2617"/>
    <w:rsid w:val="001B4495"/>
    <w:rsid w:val="001D1BA9"/>
    <w:rsid w:val="001D501E"/>
    <w:rsid w:val="001D6462"/>
    <w:rsid w:val="001E25C9"/>
    <w:rsid w:val="002148F6"/>
    <w:rsid w:val="00221F6F"/>
    <w:rsid w:val="00247ABB"/>
    <w:rsid w:val="00251945"/>
    <w:rsid w:val="002671A7"/>
    <w:rsid w:val="00291AA3"/>
    <w:rsid w:val="002949AE"/>
    <w:rsid w:val="00295265"/>
    <w:rsid w:val="002A0557"/>
    <w:rsid w:val="002A0B1D"/>
    <w:rsid w:val="002B5FC6"/>
    <w:rsid w:val="002C6F15"/>
    <w:rsid w:val="002E3133"/>
    <w:rsid w:val="00305C16"/>
    <w:rsid w:val="00306483"/>
    <w:rsid w:val="00312B07"/>
    <w:rsid w:val="0032543E"/>
    <w:rsid w:val="00356D75"/>
    <w:rsid w:val="00364C35"/>
    <w:rsid w:val="00386CCF"/>
    <w:rsid w:val="003946CF"/>
    <w:rsid w:val="00396753"/>
    <w:rsid w:val="003D4D13"/>
    <w:rsid w:val="003F063D"/>
    <w:rsid w:val="004033E6"/>
    <w:rsid w:val="00422FB4"/>
    <w:rsid w:val="00436A15"/>
    <w:rsid w:val="00437542"/>
    <w:rsid w:val="00450C4C"/>
    <w:rsid w:val="004648E9"/>
    <w:rsid w:val="00465B14"/>
    <w:rsid w:val="004701A3"/>
    <w:rsid w:val="004753CD"/>
    <w:rsid w:val="004777B0"/>
    <w:rsid w:val="004927C2"/>
    <w:rsid w:val="00496532"/>
    <w:rsid w:val="00496785"/>
    <w:rsid w:val="004A6C25"/>
    <w:rsid w:val="004B27C4"/>
    <w:rsid w:val="004C134F"/>
    <w:rsid w:val="004D15E8"/>
    <w:rsid w:val="004D3002"/>
    <w:rsid w:val="004E434F"/>
    <w:rsid w:val="004F09A3"/>
    <w:rsid w:val="004F2983"/>
    <w:rsid w:val="00517C42"/>
    <w:rsid w:val="00524964"/>
    <w:rsid w:val="00530D70"/>
    <w:rsid w:val="00536ED7"/>
    <w:rsid w:val="0054189A"/>
    <w:rsid w:val="005423FB"/>
    <w:rsid w:val="00546595"/>
    <w:rsid w:val="00567FDF"/>
    <w:rsid w:val="005855D6"/>
    <w:rsid w:val="005973E3"/>
    <w:rsid w:val="005B3CCE"/>
    <w:rsid w:val="005D2CEE"/>
    <w:rsid w:val="005E4A07"/>
    <w:rsid w:val="005F6037"/>
    <w:rsid w:val="00603881"/>
    <w:rsid w:val="00606FBB"/>
    <w:rsid w:val="00630ADC"/>
    <w:rsid w:val="00645FF0"/>
    <w:rsid w:val="00651350"/>
    <w:rsid w:val="00653E1E"/>
    <w:rsid w:val="006604C0"/>
    <w:rsid w:val="00666F85"/>
    <w:rsid w:val="006A7AD5"/>
    <w:rsid w:val="006B0E33"/>
    <w:rsid w:val="006D2F76"/>
    <w:rsid w:val="006D45A2"/>
    <w:rsid w:val="006F1055"/>
    <w:rsid w:val="00710607"/>
    <w:rsid w:val="00712831"/>
    <w:rsid w:val="00720C66"/>
    <w:rsid w:val="0073074B"/>
    <w:rsid w:val="00760B3F"/>
    <w:rsid w:val="0076632E"/>
    <w:rsid w:val="00770B12"/>
    <w:rsid w:val="00786E73"/>
    <w:rsid w:val="007962D4"/>
    <w:rsid w:val="007B6FD1"/>
    <w:rsid w:val="007D0C02"/>
    <w:rsid w:val="007E10BC"/>
    <w:rsid w:val="007F61A7"/>
    <w:rsid w:val="00801F0B"/>
    <w:rsid w:val="0080448C"/>
    <w:rsid w:val="00810B9E"/>
    <w:rsid w:val="008177EB"/>
    <w:rsid w:val="0083720C"/>
    <w:rsid w:val="0083729D"/>
    <w:rsid w:val="00850A19"/>
    <w:rsid w:val="00863DA0"/>
    <w:rsid w:val="00884798"/>
    <w:rsid w:val="008912D4"/>
    <w:rsid w:val="008A29BE"/>
    <w:rsid w:val="008A4583"/>
    <w:rsid w:val="008A7794"/>
    <w:rsid w:val="008B5677"/>
    <w:rsid w:val="008E4E22"/>
    <w:rsid w:val="009013FB"/>
    <w:rsid w:val="0091117F"/>
    <w:rsid w:val="00913837"/>
    <w:rsid w:val="00915BDC"/>
    <w:rsid w:val="00926F85"/>
    <w:rsid w:val="00930C39"/>
    <w:rsid w:val="00940745"/>
    <w:rsid w:val="00940B15"/>
    <w:rsid w:val="00941E87"/>
    <w:rsid w:val="009544EA"/>
    <w:rsid w:val="00963CD6"/>
    <w:rsid w:val="0096711B"/>
    <w:rsid w:val="00972F0E"/>
    <w:rsid w:val="0098028E"/>
    <w:rsid w:val="00981A1A"/>
    <w:rsid w:val="0098746F"/>
    <w:rsid w:val="00991BF3"/>
    <w:rsid w:val="009961A1"/>
    <w:rsid w:val="00996595"/>
    <w:rsid w:val="00996B61"/>
    <w:rsid w:val="009A5ACC"/>
    <w:rsid w:val="009B4574"/>
    <w:rsid w:val="009D13BE"/>
    <w:rsid w:val="009F13B7"/>
    <w:rsid w:val="009F3A74"/>
    <w:rsid w:val="00A01533"/>
    <w:rsid w:val="00A036D8"/>
    <w:rsid w:val="00A15EF8"/>
    <w:rsid w:val="00A233D4"/>
    <w:rsid w:val="00A2771F"/>
    <w:rsid w:val="00A41759"/>
    <w:rsid w:val="00A53A2E"/>
    <w:rsid w:val="00A6597E"/>
    <w:rsid w:val="00A756FD"/>
    <w:rsid w:val="00A9643C"/>
    <w:rsid w:val="00A97277"/>
    <w:rsid w:val="00AC61D5"/>
    <w:rsid w:val="00AE58EF"/>
    <w:rsid w:val="00AF05A6"/>
    <w:rsid w:val="00AF7889"/>
    <w:rsid w:val="00B13E98"/>
    <w:rsid w:val="00B14FAC"/>
    <w:rsid w:val="00B2019B"/>
    <w:rsid w:val="00B311D6"/>
    <w:rsid w:val="00B436D4"/>
    <w:rsid w:val="00B62373"/>
    <w:rsid w:val="00B72027"/>
    <w:rsid w:val="00B751D4"/>
    <w:rsid w:val="00B77BB7"/>
    <w:rsid w:val="00B900E2"/>
    <w:rsid w:val="00B914FA"/>
    <w:rsid w:val="00B96403"/>
    <w:rsid w:val="00BB24F7"/>
    <w:rsid w:val="00BC5C18"/>
    <w:rsid w:val="00BE74C8"/>
    <w:rsid w:val="00C019F7"/>
    <w:rsid w:val="00C26DFE"/>
    <w:rsid w:val="00C5014E"/>
    <w:rsid w:val="00C55A3C"/>
    <w:rsid w:val="00C567F9"/>
    <w:rsid w:val="00C569BE"/>
    <w:rsid w:val="00C56EE4"/>
    <w:rsid w:val="00C63373"/>
    <w:rsid w:val="00C763C5"/>
    <w:rsid w:val="00C80D69"/>
    <w:rsid w:val="00CA5583"/>
    <w:rsid w:val="00CA5C16"/>
    <w:rsid w:val="00CD449A"/>
    <w:rsid w:val="00CE13F2"/>
    <w:rsid w:val="00CF52DF"/>
    <w:rsid w:val="00CF689E"/>
    <w:rsid w:val="00D10495"/>
    <w:rsid w:val="00D12A3C"/>
    <w:rsid w:val="00D225BD"/>
    <w:rsid w:val="00D2604F"/>
    <w:rsid w:val="00D4558C"/>
    <w:rsid w:val="00D62069"/>
    <w:rsid w:val="00D63344"/>
    <w:rsid w:val="00D67D17"/>
    <w:rsid w:val="00D826B7"/>
    <w:rsid w:val="00D957E6"/>
    <w:rsid w:val="00D96D52"/>
    <w:rsid w:val="00DB1003"/>
    <w:rsid w:val="00DB42A3"/>
    <w:rsid w:val="00DD0BDB"/>
    <w:rsid w:val="00DE4D0A"/>
    <w:rsid w:val="00E015C2"/>
    <w:rsid w:val="00E0277C"/>
    <w:rsid w:val="00E05E7D"/>
    <w:rsid w:val="00E07EDB"/>
    <w:rsid w:val="00E12F30"/>
    <w:rsid w:val="00E14EAD"/>
    <w:rsid w:val="00E1777C"/>
    <w:rsid w:val="00E25653"/>
    <w:rsid w:val="00E31161"/>
    <w:rsid w:val="00E3303B"/>
    <w:rsid w:val="00E364EE"/>
    <w:rsid w:val="00E40C7A"/>
    <w:rsid w:val="00E6413A"/>
    <w:rsid w:val="00E704F0"/>
    <w:rsid w:val="00E70A98"/>
    <w:rsid w:val="00E81C2B"/>
    <w:rsid w:val="00E9670D"/>
    <w:rsid w:val="00EA0CEB"/>
    <w:rsid w:val="00EA20FA"/>
    <w:rsid w:val="00EB23B9"/>
    <w:rsid w:val="00EC0BA5"/>
    <w:rsid w:val="00EC21E3"/>
    <w:rsid w:val="00EE06AD"/>
    <w:rsid w:val="00F010C4"/>
    <w:rsid w:val="00F1358B"/>
    <w:rsid w:val="00F335F8"/>
    <w:rsid w:val="00F3587C"/>
    <w:rsid w:val="00F36684"/>
    <w:rsid w:val="00F418C0"/>
    <w:rsid w:val="00F66472"/>
    <w:rsid w:val="00F67114"/>
    <w:rsid w:val="00F76765"/>
    <w:rsid w:val="00FB1F3B"/>
    <w:rsid w:val="00FB2D16"/>
    <w:rsid w:val="00FB5B95"/>
    <w:rsid w:val="00FB6DDF"/>
    <w:rsid w:val="00FB7FEF"/>
    <w:rsid w:val="00FC1448"/>
    <w:rsid w:val="00FC62D7"/>
    <w:rsid w:val="00FE0D76"/>
    <w:rsid w:val="00FF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5D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855D6"/>
    <w:rPr>
      <w:sz w:val="20"/>
      <w:szCs w:val="20"/>
    </w:rPr>
  </w:style>
  <w:style w:type="character" w:customStyle="1" w:styleId="FootnoteTextChar">
    <w:name w:val="Footnote Text Char"/>
    <w:basedOn w:val="DefaultParagraphFont"/>
    <w:link w:val="FootnoteText"/>
    <w:semiHidden/>
    <w:rsid w:val="005855D6"/>
    <w:rPr>
      <w:rFonts w:ascii="Times New Roman" w:eastAsia="Times New Roman" w:hAnsi="Times New Roman" w:cs="Times New Roman"/>
      <w:sz w:val="20"/>
      <w:szCs w:val="20"/>
    </w:rPr>
  </w:style>
  <w:style w:type="paragraph" w:customStyle="1" w:styleId="block1">
    <w:name w:val="block1"/>
    <w:basedOn w:val="Normal"/>
    <w:rsid w:val="005855D6"/>
    <w:pPr>
      <w:widowControl/>
      <w:autoSpaceDE/>
      <w:autoSpaceDN/>
      <w:adjustRightInd/>
      <w:spacing w:before="100" w:beforeAutospacing="1" w:after="100" w:afterAutospacing="1"/>
    </w:pPr>
  </w:style>
  <w:style w:type="character" w:styleId="FootnoteReference">
    <w:name w:val="footnote reference"/>
    <w:basedOn w:val="DefaultParagraphFont"/>
    <w:semiHidden/>
    <w:unhideWhenUsed/>
    <w:rsid w:val="005855D6"/>
  </w:style>
  <w:style w:type="character" w:styleId="CommentReference">
    <w:name w:val="annotation reference"/>
    <w:basedOn w:val="DefaultParagraphFont"/>
    <w:uiPriority w:val="99"/>
    <w:semiHidden/>
    <w:unhideWhenUsed/>
    <w:rsid w:val="00712831"/>
    <w:rPr>
      <w:sz w:val="16"/>
      <w:szCs w:val="16"/>
    </w:rPr>
  </w:style>
  <w:style w:type="paragraph" w:styleId="CommentText">
    <w:name w:val="annotation text"/>
    <w:basedOn w:val="Normal"/>
    <w:link w:val="CommentTextChar"/>
    <w:uiPriority w:val="99"/>
    <w:semiHidden/>
    <w:unhideWhenUsed/>
    <w:rsid w:val="00712831"/>
    <w:rPr>
      <w:sz w:val="20"/>
      <w:szCs w:val="20"/>
    </w:rPr>
  </w:style>
  <w:style w:type="character" w:customStyle="1" w:styleId="CommentTextChar">
    <w:name w:val="Comment Text Char"/>
    <w:basedOn w:val="DefaultParagraphFont"/>
    <w:link w:val="CommentText"/>
    <w:uiPriority w:val="99"/>
    <w:semiHidden/>
    <w:rsid w:val="007128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2831"/>
    <w:rPr>
      <w:b/>
      <w:bCs/>
    </w:rPr>
  </w:style>
  <w:style w:type="character" w:customStyle="1" w:styleId="CommentSubjectChar">
    <w:name w:val="Comment Subject Char"/>
    <w:basedOn w:val="CommentTextChar"/>
    <w:link w:val="CommentSubject"/>
    <w:uiPriority w:val="99"/>
    <w:semiHidden/>
    <w:rsid w:val="007128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12831"/>
    <w:rPr>
      <w:rFonts w:ascii="Tahoma" w:hAnsi="Tahoma" w:cs="Tahoma"/>
      <w:sz w:val="16"/>
      <w:szCs w:val="16"/>
    </w:rPr>
  </w:style>
  <w:style w:type="character" w:customStyle="1" w:styleId="BalloonTextChar">
    <w:name w:val="Balloon Text Char"/>
    <w:basedOn w:val="DefaultParagraphFont"/>
    <w:link w:val="BalloonText"/>
    <w:uiPriority w:val="99"/>
    <w:semiHidden/>
    <w:rsid w:val="00712831"/>
    <w:rPr>
      <w:rFonts w:ascii="Tahoma" w:eastAsia="Times New Roman" w:hAnsi="Tahoma" w:cs="Tahoma"/>
      <w:sz w:val="16"/>
      <w:szCs w:val="16"/>
    </w:rPr>
  </w:style>
  <w:style w:type="paragraph" w:styleId="Header">
    <w:name w:val="header"/>
    <w:basedOn w:val="Normal"/>
    <w:link w:val="HeaderChar"/>
    <w:uiPriority w:val="99"/>
    <w:unhideWhenUsed/>
    <w:rsid w:val="00850A19"/>
    <w:pPr>
      <w:tabs>
        <w:tab w:val="center" w:pos="4680"/>
        <w:tab w:val="right" w:pos="9360"/>
      </w:tabs>
    </w:pPr>
  </w:style>
  <w:style w:type="character" w:customStyle="1" w:styleId="HeaderChar">
    <w:name w:val="Header Char"/>
    <w:basedOn w:val="DefaultParagraphFont"/>
    <w:link w:val="Header"/>
    <w:uiPriority w:val="99"/>
    <w:rsid w:val="00850A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0A19"/>
    <w:pPr>
      <w:tabs>
        <w:tab w:val="center" w:pos="4680"/>
        <w:tab w:val="right" w:pos="9360"/>
      </w:tabs>
    </w:pPr>
  </w:style>
  <w:style w:type="character" w:customStyle="1" w:styleId="FooterChar">
    <w:name w:val="Footer Char"/>
    <w:basedOn w:val="DefaultParagraphFont"/>
    <w:link w:val="Footer"/>
    <w:uiPriority w:val="99"/>
    <w:rsid w:val="00850A1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558C"/>
    <w:rPr>
      <w:color w:val="0000FF" w:themeColor="hyperlink"/>
      <w:u w:val="single"/>
    </w:rPr>
  </w:style>
  <w:style w:type="character" w:styleId="FollowedHyperlink">
    <w:name w:val="FollowedHyperlink"/>
    <w:basedOn w:val="DefaultParagraphFont"/>
    <w:uiPriority w:val="99"/>
    <w:semiHidden/>
    <w:unhideWhenUsed/>
    <w:rsid w:val="00A15E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5D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855D6"/>
    <w:rPr>
      <w:sz w:val="20"/>
      <w:szCs w:val="20"/>
    </w:rPr>
  </w:style>
  <w:style w:type="character" w:customStyle="1" w:styleId="FootnoteTextChar">
    <w:name w:val="Footnote Text Char"/>
    <w:basedOn w:val="DefaultParagraphFont"/>
    <w:link w:val="FootnoteText"/>
    <w:semiHidden/>
    <w:rsid w:val="005855D6"/>
    <w:rPr>
      <w:rFonts w:ascii="Times New Roman" w:eastAsia="Times New Roman" w:hAnsi="Times New Roman" w:cs="Times New Roman"/>
      <w:sz w:val="20"/>
      <w:szCs w:val="20"/>
    </w:rPr>
  </w:style>
  <w:style w:type="paragraph" w:customStyle="1" w:styleId="block1">
    <w:name w:val="block1"/>
    <w:basedOn w:val="Normal"/>
    <w:rsid w:val="005855D6"/>
    <w:pPr>
      <w:widowControl/>
      <w:autoSpaceDE/>
      <w:autoSpaceDN/>
      <w:adjustRightInd/>
      <w:spacing w:before="100" w:beforeAutospacing="1" w:after="100" w:afterAutospacing="1"/>
    </w:pPr>
  </w:style>
  <w:style w:type="character" w:styleId="FootnoteReference">
    <w:name w:val="footnote reference"/>
    <w:basedOn w:val="DefaultParagraphFont"/>
    <w:semiHidden/>
    <w:unhideWhenUsed/>
    <w:rsid w:val="005855D6"/>
  </w:style>
  <w:style w:type="character" w:styleId="CommentReference">
    <w:name w:val="annotation reference"/>
    <w:basedOn w:val="DefaultParagraphFont"/>
    <w:uiPriority w:val="99"/>
    <w:semiHidden/>
    <w:unhideWhenUsed/>
    <w:rsid w:val="00712831"/>
    <w:rPr>
      <w:sz w:val="16"/>
      <w:szCs w:val="16"/>
    </w:rPr>
  </w:style>
  <w:style w:type="paragraph" w:styleId="CommentText">
    <w:name w:val="annotation text"/>
    <w:basedOn w:val="Normal"/>
    <w:link w:val="CommentTextChar"/>
    <w:uiPriority w:val="99"/>
    <w:semiHidden/>
    <w:unhideWhenUsed/>
    <w:rsid w:val="00712831"/>
    <w:rPr>
      <w:sz w:val="20"/>
      <w:szCs w:val="20"/>
    </w:rPr>
  </w:style>
  <w:style w:type="character" w:customStyle="1" w:styleId="CommentTextChar">
    <w:name w:val="Comment Text Char"/>
    <w:basedOn w:val="DefaultParagraphFont"/>
    <w:link w:val="CommentText"/>
    <w:uiPriority w:val="99"/>
    <w:semiHidden/>
    <w:rsid w:val="007128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2831"/>
    <w:rPr>
      <w:b/>
      <w:bCs/>
    </w:rPr>
  </w:style>
  <w:style w:type="character" w:customStyle="1" w:styleId="CommentSubjectChar">
    <w:name w:val="Comment Subject Char"/>
    <w:basedOn w:val="CommentTextChar"/>
    <w:link w:val="CommentSubject"/>
    <w:uiPriority w:val="99"/>
    <w:semiHidden/>
    <w:rsid w:val="007128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12831"/>
    <w:rPr>
      <w:rFonts w:ascii="Tahoma" w:hAnsi="Tahoma" w:cs="Tahoma"/>
      <w:sz w:val="16"/>
      <w:szCs w:val="16"/>
    </w:rPr>
  </w:style>
  <w:style w:type="character" w:customStyle="1" w:styleId="BalloonTextChar">
    <w:name w:val="Balloon Text Char"/>
    <w:basedOn w:val="DefaultParagraphFont"/>
    <w:link w:val="BalloonText"/>
    <w:uiPriority w:val="99"/>
    <w:semiHidden/>
    <w:rsid w:val="00712831"/>
    <w:rPr>
      <w:rFonts w:ascii="Tahoma" w:eastAsia="Times New Roman" w:hAnsi="Tahoma" w:cs="Tahoma"/>
      <w:sz w:val="16"/>
      <w:szCs w:val="16"/>
    </w:rPr>
  </w:style>
  <w:style w:type="paragraph" w:styleId="Header">
    <w:name w:val="header"/>
    <w:basedOn w:val="Normal"/>
    <w:link w:val="HeaderChar"/>
    <w:uiPriority w:val="99"/>
    <w:unhideWhenUsed/>
    <w:rsid w:val="00850A19"/>
    <w:pPr>
      <w:tabs>
        <w:tab w:val="center" w:pos="4680"/>
        <w:tab w:val="right" w:pos="9360"/>
      </w:tabs>
    </w:pPr>
  </w:style>
  <w:style w:type="character" w:customStyle="1" w:styleId="HeaderChar">
    <w:name w:val="Header Char"/>
    <w:basedOn w:val="DefaultParagraphFont"/>
    <w:link w:val="Header"/>
    <w:uiPriority w:val="99"/>
    <w:rsid w:val="00850A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0A19"/>
    <w:pPr>
      <w:tabs>
        <w:tab w:val="center" w:pos="4680"/>
        <w:tab w:val="right" w:pos="9360"/>
      </w:tabs>
    </w:pPr>
  </w:style>
  <w:style w:type="character" w:customStyle="1" w:styleId="FooterChar">
    <w:name w:val="Footer Char"/>
    <w:basedOn w:val="DefaultParagraphFont"/>
    <w:link w:val="Footer"/>
    <w:uiPriority w:val="99"/>
    <w:rsid w:val="00850A1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558C"/>
    <w:rPr>
      <w:color w:val="0000FF" w:themeColor="hyperlink"/>
      <w:u w:val="single"/>
    </w:rPr>
  </w:style>
  <w:style w:type="character" w:styleId="FollowedHyperlink">
    <w:name w:val="FollowedHyperlink"/>
    <w:basedOn w:val="DefaultParagraphFont"/>
    <w:uiPriority w:val="99"/>
    <w:semiHidden/>
    <w:unhideWhenUsed/>
    <w:rsid w:val="00A15E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7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ls.gov/oes/current/oes472141.htm"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B77B8-348D-48DF-BBC4-C75E1E64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3038</Words>
  <Characters>17321</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Smyth, Michel - OASAM OCIO</cp:lastModifiedBy>
  <cp:revision>2</cp:revision>
  <cp:lastPrinted>2017-01-10T17:27:00Z</cp:lastPrinted>
  <dcterms:created xsi:type="dcterms:W3CDTF">2017-06-29T15:50:00Z</dcterms:created>
  <dcterms:modified xsi:type="dcterms:W3CDTF">2017-06-29T15:50:00Z</dcterms:modified>
</cp:coreProperties>
</file>