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D587E" w14:textId="77777777" w:rsidR="004B0D70" w:rsidRDefault="004B0D70">
      <w:pPr>
        <w:pStyle w:val="Title"/>
        <w:rPr>
          <w:u w:val="single"/>
        </w:rPr>
      </w:pPr>
    </w:p>
    <w:p w14:paraId="5368BF27" w14:textId="77777777" w:rsidR="004B0D70" w:rsidRDefault="004B0D70">
      <w:pPr>
        <w:pStyle w:val="Title"/>
        <w:rPr>
          <w:u w:val="single"/>
        </w:rPr>
      </w:pPr>
    </w:p>
    <w:p w14:paraId="747A0BCA" w14:textId="77777777" w:rsidR="004B0D70" w:rsidRPr="005B69F2" w:rsidRDefault="004B0D70">
      <w:pPr>
        <w:pStyle w:val="Title"/>
        <w:rPr>
          <w:u w:val="single"/>
        </w:rPr>
      </w:pPr>
      <w:r w:rsidRPr="005B69F2">
        <w:rPr>
          <w:u w:val="single"/>
        </w:rPr>
        <w:t>Supporting Statement</w:t>
      </w:r>
    </w:p>
    <w:p w14:paraId="09232F4F" w14:textId="77777777" w:rsidR="004B0D70" w:rsidRPr="005B69F2" w:rsidRDefault="004B0D70">
      <w:pPr>
        <w:pStyle w:val="Title"/>
        <w:rPr>
          <w:u w:val="single"/>
        </w:rPr>
      </w:pPr>
    </w:p>
    <w:p w14:paraId="25DAA4F8" w14:textId="77777777" w:rsidR="004B0D70" w:rsidRPr="005B69F2" w:rsidRDefault="004B0D70">
      <w:pPr>
        <w:jc w:val="center"/>
        <w:rPr>
          <w:sz w:val="24"/>
          <w:u w:val="single"/>
        </w:rPr>
      </w:pPr>
      <w:r w:rsidRPr="005B69F2">
        <w:rPr>
          <w:sz w:val="24"/>
          <w:u w:val="single"/>
        </w:rPr>
        <w:t>Report on Occupational Employment and Wages</w:t>
      </w:r>
    </w:p>
    <w:p w14:paraId="4FF78B92" w14:textId="77777777" w:rsidR="004B0D70" w:rsidRDefault="004B0D70">
      <w:pPr>
        <w:jc w:val="center"/>
        <w:rPr>
          <w:sz w:val="24"/>
        </w:rPr>
      </w:pPr>
    </w:p>
    <w:p w14:paraId="66B232D5" w14:textId="77777777" w:rsidR="004B0D70" w:rsidRPr="0007494F" w:rsidRDefault="004B0D70" w:rsidP="0063667B">
      <w:pPr>
        <w:pStyle w:val="Heading1"/>
        <w:rPr>
          <w:rFonts w:ascii="Times New Roman" w:hAnsi="Times New Roman"/>
          <w:b/>
        </w:rPr>
      </w:pPr>
      <w:r w:rsidRPr="0007494F">
        <w:rPr>
          <w:rFonts w:ascii="Times New Roman" w:hAnsi="Times New Roman"/>
          <w:b/>
        </w:rPr>
        <w:t>B.</w:t>
      </w:r>
      <w:r w:rsidRPr="0007494F">
        <w:rPr>
          <w:rFonts w:ascii="Times New Roman" w:hAnsi="Times New Roman"/>
          <w:b/>
        </w:rPr>
        <w:tab/>
      </w:r>
      <w:r>
        <w:rPr>
          <w:rFonts w:ascii="Times New Roman" w:hAnsi="Times New Roman"/>
          <w:b/>
        </w:rPr>
        <w:t>Co</w:t>
      </w:r>
      <w:bookmarkStart w:id="0" w:name="_GoBack"/>
      <w:bookmarkEnd w:id="0"/>
      <w:r>
        <w:rPr>
          <w:rFonts w:ascii="Times New Roman" w:hAnsi="Times New Roman"/>
          <w:b/>
        </w:rPr>
        <w:t>llection of Information Employing Statistical Methods</w:t>
      </w:r>
    </w:p>
    <w:p w14:paraId="5D550A91" w14:textId="77777777" w:rsidR="004B0D70" w:rsidRPr="0007494F" w:rsidRDefault="004B0D70" w:rsidP="0063667B">
      <w:pPr>
        <w:rPr>
          <w:sz w:val="24"/>
        </w:rPr>
      </w:pPr>
    </w:p>
    <w:p w14:paraId="228339D0" w14:textId="33D55ED7" w:rsidR="004B0D70" w:rsidRDefault="004B0D70" w:rsidP="0063667B">
      <w:pPr>
        <w:rPr>
          <w:b/>
          <w:sz w:val="24"/>
        </w:rPr>
      </w:pPr>
      <w:r w:rsidRPr="005B69F2">
        <w:rPr>
          <w:b/>
          <w:sz w:val="24"/>
        </w:rPr>
        <w:t>1</w:t>
      </w:r>
      <w:r>
        <w:rPr>
          <w:b/>
          <w:sz w:val="24"/>
        </w:rPr>
        <w:t>(</w:t>
      </w:r>
      <w:r w:rsidRPr="005B69F2">
        <w:rPr>
          <w:b/>
          <w:sz w:val="24"/>
        </w:rPr>
        <w:t>a</w:t>
      </w:r>
      <w:r>
        <w:rPr>
          <w:b/>
          <w:sz w:val="24"/>
        </w:rPr>
        <w:t>)</w:t>
      </w:r>
      <w:r w:rsidRPr="00740ECE">
        <w:rPr>
          <w:b/>
          <w:sz w:val="24"/>
        </w:rPr>
        <w:t xml:space="preserve">  </w:t>
      </w:r>
      <w:r w:rsidR="00306BCF">
        <w:rPr>
          <w:b/>
          <w:sz w:val="24"/>
        </w:rPr>
        <w:tab/>
      </w:r>
      <w:r w:rsidRPr="00740ECE">
        <w:rPr>
          <w:b/>
          <w:sz w:val="24"/>
        </w:rPr>
        <w:t>Respondent</w:t>
      </w:r>
      <w:r>
        <w:rPr>
          <w:b/>
          <w:sz w:val="24"/>
        </w:rPr>
        <w:t xml:space="preserve"> </w:t>
      </w:r>
      <w:r w:rsidRPr="005B69F2">
        <w:rPr>
          <w:b/>
          <w:sz w:val="24"/>
        </w:rPr>
        <w:t>Universe</w:t>
      </w:r>
    </w:p>
    <w:p w14:paraId="1F4DB1F0" w14:textId="77777777" w:rsidR="004B0D70" w:rsidRPr="005B69F2" w:rsidRDefault="004B0D70" w:rsidP="0063667B">
      <w:pPr>
        <w:rPr>
          <w:b/>
          <w:sz w:val="24"/>
          <w:u w:val="single"/>
        </w:rPr>
      </w:pPr>
    </w:p>
    <w:p w14:paraId="02B001B5" w14:textId="14FA3585" w:rsidR="004B0D70" w:rsidRDefault="004B0D70" w:rsidP="005B69F2">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over nine million business establishments of which </w:t>
      </w:r>
      <w:proofErr w:type="gramStart"/>
      <w:r>
        <w:rPr>
          <w:sz w:val="24"/>
          <w:szCs w:val="24"/>
        </w:rPr>
        <w:t>about</w:t>
      </w:r>
      <w:proofErr w:type="gramEnd"/>
      <w:r>
        <w:rPr>
          <w:sz w:val="24"/>
          <w:szCs w:val="24"/>
        </w:rPr>
        <w:t xml:space="preserve"> </w:t>
      </w:r>
      <w:r w:rsidR="00031036">
        <w:rPr>
          <w:sz w:val="24"/>
          <w:szCs w:val="24"/>
        </w:rPr>
        <w:t>7.4</w:t>
      </w:r>
      <w:r>
        <w:rPr>
          <w:sz w:val="24"/>
          <w:szCs w:val="24"/>
        </w:rPr>
        <w:t xml:space="preserve"> 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Pr="005A47DE">
        <w:rPr>
          <w:sz w:val="24"/>
          <w:szCs w:val="24"/>
        </w:rPr>
        <w:t xml:space="preserve">Similar data for Federal Government employees covered by the Unemployment Compensation for Federal Employees program (UCFE) are </w:t>
      </w:r>
      <w:r>
        <w:rPr>
          <w:sz w:val="24"/>
          <w:szCs w:val="24"/>
        </w:rPr>
        <w:t xml:space="preserve">also </w:t>
      </w:r>
      <w:r w:rsidRPr="005A47DE">
        <w:rPr>
          <w:sz w:val="24"/>
          <w:szCs w:val="24"/>
        </w:rPr>
        <w:t xml:space="preserve">included. 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Type">
        <w:smartTag w:uri="urn:schemas-microsoft-com:office:smarttags" w:element="plac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Government of Guam, Department of Labor.</w:t>
      </w:r>
    </w:p>
    <w:p w14:paraId="353E351A" w14:textId="77777777" w:rsidR="004B0D70" w:rsidRPr="0007494F" w:rsidRDefault="004B0D70" w:rsidP="0063667B">
      <w:pPr>
        <w:rPr>
          <w:sz w:val="24"/>
        </w:rPr>
      </w:pPr>
    </w:p>
    <w:p w14:paraId="2E87F0B4" w14:textId="1BA4248A" w:rsidR="004B0D70" w:rsidRDefault="004B0D70" w:rsidP="0063667B">
      <w:pPr>
        <w:rPr>
          <w:b/>
          <w:sz w:val="24"/>
          <w:u w:val="single"/>
        </w:rPr>
      </w:pPr>
      <w:r w:rsidRPr="00740ECE">
        <w:rPr>
          <w:b/>
          <w:sz w:val="24"/>
        </w:rPr>
        <w:t>1(b)</w:t>
      </w:r>
      <w:r w:rsidRPr="0007494F">
        <w:rPr>
          <w:sz w:val="24"/>
        </w:rPr>
        <w:t xml:space="preserve">  </w:t>
      </w:r>
      <w:r w:rsidR="00306BCF">
        <w:rPr>
          <w:sz w:val="24"/>
        </w:rPr>
        <w:tab/>
      </w:r>
      <w:r w:rsidRPr="00740ECE">
        <w:rPr>
          <w:b/>
          <w:sz w:val="24"/>
        </w:rPr>
        <w:t>Sample</w:t>
      </w:r>
    </w:p>
    <w:p w14:paraId="3029F418" w14:textId="77777777" w:rsidR="004B0D70" w:rsidRDefault="004B0D70" w:rsidP="0063667B">
      <w:pPr>
        <w:rPr>
          <w:b/>
          <w:sz w:val="24"/>
          <w:u w:val="single"/>
        </w:rPr>
      </w:pPr>
    </w:p>
    <w:p w14:paraId="54861A3A" w14:textId="77777777" w:rsidR="004B0D70" w:rsidRDefault="004B0D70" w:rsidP="005B69F2">
      <w:pPr>
        <w:rPr>
          <w:sz w:val="24"/>
        </w:rPr>
      </w:pPr>
      <w:r w:rsidRPr="005B69F2">
        <w:rPr>
          <w:i/>
          <w:sz w:val="24"/>
        </w:rPr>
        <w:t>Scope</w:t>
      </w:r>
      <w:r>
        <w:rPr>
          <w:sz w:val="24"/>
        </w:rPr>
        <w:t>--The OES measures</w:t>
      </w:r>
      <w:r w:rsidRPr="005B69F2">
        <w:rPr>
          <w:sz w:val="24"/>
        </w:rPr>
        <w:t xml:space="preserve"> occupational employment and wage rates of wage and salary workers in nonfarm establishments in the 50 States and the </w:t>
      </w:r>
      <w:smartTag w:uri="urn:schemas-microsoft-com:office:smarttags" w:element="State">
        <w:smartTag w:uri="urn:schemas-microsoft-com:office:smarttags" w:element="place">
          <w:r w:rsidRPr="005B69F2">
            <w:rPr>
              <w:sz w:val="24"/>
            </w:rPr>
            <w:t>District of Columbia</w:t>
          </w:r>
        </w:smartTag>
      </w:smartTag>
      <w:r w:rsidRPr="005B69F2">
        <w:rPr>
          <w:sz w:val="24"/>
        </w:rPr>
        <w:t>. Guam, Puerto Rico, and the Virgin Islands are also surveyed, but their data are not included in national estimates.</w:t>
      </w:r>
      <w:r>
        <w:rPr>
          <w:sz w:val="24"/>
        </w:rPr>
        <w:t xml:space="preserve">  </w:t>
      </w:r>
      <w:r w:rsidRPr="005B69F2">
        <w:rPr>
          <w:sz w:val="24"/>
        </w:rPr>
        <w:t>The survey covers the following NAICS industry sectors:</w:t>
      </w:r>
    </w:p>
    <w:p w14:paraId="37A91749" w14:textId="77777777" w:rsidR="004B0D70" w:rsidRPr="005B69F2" w:rsidRDefault="004B0D70" w:rsidP="005B69F2">
      <w:pPr>
        <w:rPr>
          <w:sz w:val="24"/>
        </w:rPr>
      </w:pPr>
    </w:p>
    <w:p w14:paraId="6CEF1ACB" w14:textId="77777777" w:rsidR="004B0D70" w:rsidRPr="005B69F2" w:rsidRDefault="004B0D70" w:rsidP="00CF296B">
      <w:pPr>
        <w:ind w:left="1440" w:hanging="1440"/>
        <w:rPr>
          <w:sz w:val="24"/>
        </w:rPr>
      </w:pPr>
      <w:r>
        <w:rPr>
          <w:sz w:val="24"/>
        </w:rPr>
        <w:t>11</w:t>
      </w:r>
      <w:r>
        <w:rPr>
          <w:sz w:val="24"/>
        </w:rPr>
        <w:tab/>
      </w:r>
      <w:r w:rsidRPr="005B69F2">
        <w:rPr>
          <w:sz w:val="24"/>
        </w:rPr>
        <w:t>Logging (1133), support activities for crop production</w:t>
      </w:r>
      <w:r>
        <w:rPr>
          <w:sz w:val="24"/>
        </w:rPr>
        <w:t xml:space="preserve"> </w:t>
      </w:r>
      <w:r w:rsidRPr="005B69F2">
        <w:rPr>
          <w:sz w:val="24"/>
        </w:rPr>
        <w:t xml:space="preserve">(1151), and support activities for animal production (1152) </w:t>
      </w:r>
      <w:r w:rsidRPr="005B69F2">
        <w:rPr>
          <w:i/>
          <w:sz w:val="24"/>
        </w:rPr>
        <w:t>only</w:t>
      </w:r>
    </w:p>
    <w:p w14:paraId="2BE3BE55" w14:textId="77777777" w:rsidR="004B0D70" w:rsidRPr="005B69F2" w:rsidRDefault="004B0D70" w:rsidP="005B69F2">
      <w:pPr>
        <w:rPr>
          <w:sz w:val="24"/>
        </w:rPr>
      </w:pPr>
      <w:r w:rsidRPr="005B69F2">
        <w:rPr>
          <w:sz w:val="24"/>
        </w:rPr>
        <w:t>21</w:t>
      </w:r>
      <w:r w:rsidRPr="005B69F2">
        <w:rPr>
          <w:sz w:val="24"/>
        </w:rPr>
        <w:tab/>
      </w:r>
      <w:r w:rsidRPr="005B69F2">
        <w:rPr>
          <w:sz w:val="24"/>
        </w:rPr>
        <w:tab/>
        <w:t>Mining</w:t>
      </w:r>
    </w:p>
    <w:p w14:paraId="5B097B99" w14:textId="77777777" w:rsidR="004B0D70" w:rsidRPr="005B69F2" w:rsidRDefault="004B0D70" w:rsidP="005B69F2">
      <w:pPr>
        <w:rPr>
          <w:sz w:val="24"/>
        </w:rPr>
      </w:pPr>
      <w:r w:rsidRPr="005B69F2">
        <w:rPr>
          <w:sz w:val="24"/>
        </w:rPr>
        <w:t>22</w:t>
      </w:r>
      <w:r w:rsidRPr="005B69F2">
        <w:rPr>
          <w:sz w:val="24"/>
        </w:rPr>
        <w:tab/>
      </w:r>
      <w:r w:rsidRPr="005B69F2">
        <w:rPr>
          <w:sz w:val="24"/>
        </w:rPr>
        <w:tab/>
        <w:t>Utilities</w:t>
      </w:r>
    </w:p>
    <w:p w14:paraId="15D789AE" w14:textId="77777777" w:rsidR="004B0D70" w:rsidRPr="005B69F2" w:rsidRDefault="004B0D70" w:rsidP="005B69F2">
      <w:pPr>
        <w:rPr>
          <w:sz w:val="24"/>
        </w:rPr>
      </w:pPr>
      <w:r w:rsidRPr="005B69F2">
        <w:rPr>
          <w:sz w:val="24"/>
        </w:rPr>
        <w:t>23</w:t>
      </w:r>
      <w:r w:rsidRPr="005B69F2">
        <w:rPr>
          <w:sz w:val="24"/>
        </w:rPr>
        <w:tab/>
      </w:r>
      <w:r w:rsidRPr="005B69F2">
        <w:rPr>
          <w:sz w:val="24"/>
        </w:rPr>
        <w:tab/>
        <w:t>Construction</w:t>
      </w:r>
    </w:p>
    <w:p w14:paraId="08C99DAC" w14:textId="77777777" w:rsidR="004B0D70" w:rsidRPr="005B69F2" w:rsidRDefault="004B0D70" w:rsidP="005B69F2">
      <w:pPr>
        <w:rPr>
          <w:sz w:val="24"/>
        </w:rPr>
      </w:pPr>
      <w:r w:rsidRPr="005B69F2">
        <w:rPr>
          <w:sz w:val="24"/>
        </w:rPr>
        <w:t>31-33</w:t>
      </w:r>
      <w:r w:rsidRPr="005B69F2">
        <w:rPr>
          <w:sz w:val="24"/>
        </w:rPr>
        <w:tab/>
      </w:r>
      <w:r w:rsidRPr="005B69F2">
        <w:rPr>
          <w:sz w:val="24"/>
        </w:rPr>
        <w:tab/>
        <w:t>Manufacturing</w:t>
      </w:r>
    </w:p>
    <w:p w14:paraId="39B29192" w14:textId="77777777" w:rsidR="004B0D70" w:rsidRPr="005B69F2" w:rsidRDefault="004B0D70" w:rsidP="005B69F2">
      <w:pPr>
        <w:rPr>
          <w:sz w:val="24"/>
        </w:rPr>
      </w:pPr>
      <w:r w:rsidRPr="005B69F2">
        <w:rPr>
          <w:sz w:val="24"/>
        </w:rPr>
        <w:t>42</w:t>
      </w:r>
      <w:r w:rsidRPr="005B69F2">
        <w:rPr>
          <w:sz w:val="24"/>
        </w:rPr>
        <w:tab/>
      </w:r>
      <w:r w:rsidRPr="005B69F2">
        <w:rPr>
          <w:sz w:val="24"/>
        </w:rPr>
        <w:tab/>
        <w:t>Wholesale Trade</w:t>
      </w:r>
    </w:p>
    <w:p w14:paraId="12876FD3" w14:textId="77777777" w:rsidR="004B0D70" w:rsidRPr="005B69F2" w:rsidRDefault="004B0D70" w:rsidP="005B69F2">
      <w:pPr>
        <w:rPr>
          <w:sz w:val="24"/>
        </w:rPr>
      </w:pPr>
      <w:r w:rsidRPr="005B69F2">
        <w:rPr>
          <w:sz w:val="24"/>
        </w:rPr>
        <w:t>44-45</w:t>
      </w:r>
      <w:r w:rsidRPr="005B69F2">
        <w:rPr>
          <w:sz w:val="24"/>
        </w:rPr>
        <w:tab/>
      </w:r>
      <w:r w:rsidRPr="005B69F2">
        <w:rPr>
          <w:sz w:val="24"/>
        </w:rPr>
        <w:tab/>
        <w:t>Retail Trade</w:t>
      </w:r>
    </w:p>
    <w:p w14:paraId="70D9A6B3" w14:textId="77777777" w:rsidR="004B0D70" w:rsidRPr="005B69F2" w:rsidRDefault="004B0D70" w:rsidP="005B69F2">
      <w:pPr>
        <w:rPr>
          <w:sz w:val="24"/>
        </w:rPr>
      </w:pPr>
      <w:r w:rsidRPr="005B69F2">
        <w:rPr>
          <w:sz w:val="24"/>
        </w:rPr>
        <w:t>48-49</w:t>
      </w:r>
      <w:r w:rsidRPr="005B69F2">
        <w:rPr>
          <w:sz w:val="24"/>
        </w:rPr>
        <w:tab/>
      </w:r>
      <w:r w:rsidRPr="005B69F2">
        <w:rPr>
          <w:sz w:val="24"/>
        </w:rPr>
        <w:tab/>
        <w:t>Transportation and warehousing</w:t>
      </w:r>
    </w:p>
    <w:p w14:paraId="68DD11F1" w14:textId="77777777" w:rsidR="004B0D70" w:rsidRPr="005B69F2" w:rsidRDefault="004B0D70" w:rsidP="005B69F2">
      <w:pPr>
        <w:rPr>
          <w:sz w:val="24"/>
        </w:rPr>
      </w:pPr>
      <w:r w:rsidRPr="005B69F2">
        <w:rPr>
          <w:sz w:val="24"/>
        </w:rPr>
        <w:t>51</w:t>
      </w:r>
      <w:r w:rsidRPr="005B69F2">
        <w:rPr>
          <w:sz w:val="24"/>
        </w:rPr>
        <w:tab/>
      </w:r>
      <w:r w:rsidRPr="005B69F2">
        <w:rPr>
          <w:sz w:val="24"/>
        </w:rPr>
        <w:tab/>
        <w:t>Information</w:t>
      </w:r>
    </w:p>
    <w:p w14:paraId="04064091" w14:textId="77777777" w:rsidR="004B0D70" w:rsidRPr="005B69F2" w:rsidRDefault="004B0D70" w:rsidP="005B69F2">
      <w:pPr>
        <w:rPr>
          <w:sz w:val="24"/>
        </w:rPr>
      </w:pPr>
      <w:r w:rsidRPr="005B69F2">
        <w:rPr>
          <w:sz w:val="24"/>
        </w:rPr>
        <w:t>52</w:t>
      </w:r>
      <w:r w:rsidRPr="005B69F2">
        <w:rPr>
          <w:sz w:val="24"/>
        </w:rPr>
        <w:tab/>
      </w:r>
      <w:r w:rsidRPr="005B69F2">
        <w:rPr>
          <w:sz w:val="24"/>
        </w:rPr>
        <w:tab/>
        <w:t>Finance and insurance</w:t>
      </w:r>
    </w:p>
    <w:p w14:paraId="7EE7B15F" w14:textId="77777777" w:rsidR="004B0D70" w:rsidRPr="005B69F2" w:rsidRDefault="004B0D70" w:rsidP="005B69F2">
      <w:pPr>
        <w:rPr>
          <w:sz w:val="24"/>
        </w:rPr>
      </w:pPr>
      <w:r w:rsidRPr="005B69F2">
        <w:rPr>
          <w:sz w:val="24"/>
        </w:rPr>
        <w:t>53</w:t>
      </w:r>
      <w:r w:rsidRPr="005B69F2">
        <w:rPr>
          <w:sz w:val="24"/>
        </w:rPr>
        <w:tab/>
      </w:r>
      <w:r w:rsidRPr="005B69F2">
        <w:rPr>
          <w:sz w:val="24"/>
        </w:rPr>
        <w:tab/>
        <w:t>Real estate and rental and leasing</w:t>
      </w:r>
    </w:p>
    <w:p w14:paraId="198C7A48" w14:textId="77777777" w:rsidR="004B0D70" w:rsidRPr="005B69F2" w:rsidRDefault="004B0D70" w:rsidP="005B69F2">
      <w:pPr>
        <w:rPr>
          <w:sz w:val="24"/>
        </w:rPr>
      </w:pPr>
      <w:r w:rsidRPr="005B69F2">
        <w:rPr>
          <w:sz w:val="24"/>
        </w:rPr>
        <w:t>54</w:t>
      </w:r>
      <w:r w:rsidRPr="005B69F2">
        <w:rPr>
          <w:sz w:val="24"/>
        </w:rPr>
        <w:tab/>
      </w:r>
      <w:r w:rsidRPr="005B69F2">
        <w:rPr>
          <w:sz w:val="24"/>
        </w:rPr>
        <w:tab/>
        <w:t>Professional, scientific, and technical services</w:t>
      </w:r>
    </w:p>
    <w:p w14:paraId="3D3BDDDE" w14:textId="77777777" w:rsidR="004B0D70" w:rsidRPr="005B69F2" w:rsidRDefault="004B0D70" w:rsidP="005B69F2">
      <w:pPr>
        <w:rPr>
          <w:sz w:val="24"/>
        </w:rPr>
      </w:pPr>
      <w:r w:rsidRPr="005B69F2">
        <w:rPr>
          <w:sz w:val="24"/>
        </w:rPr>
        <w:t>55</w:t>
      </w:r>
      <w:r w:rsidRPr="005B69F2">
        <w:rPr>
          <w:sz w:val="24"/>
        </w:rPr>
        <w:tab/>
      </w:r>
      <w:r w:rsidRPr="005B69F2">
        <w:rPr>
          <w:sz w:val="24"/>
        </w:rPr>
        <w:tab/>
        <w:t>Management of companies and enterprises</w:t>
      </w:r>
    </w:p>
    <w:p w14:paraId="3CBB72F4" w14:textId="77777777" w:rsidR="004B0D70" w:rsidRPr="005B69F2" w:rsidRDefault="004B0D70" w:rsidP="005B69F2">
      <w:pPr>
        <w:rPr>
          <w:sz w:val="24"/>
        </w:rPr>
      </w:pPr>
      <w:r w:rsidRPr="005B69F2">
        <w:rPr>
          <w:sz w:val="24"/>
        </w:rPr>
        <w:t>56</w:t>
      </w:r>
      <w:r w:rsidRPr="005B69F2">
        <w:rPr>
          <w:sz w:val="24"/>
        </w:rPr>
        <w:tab/>
      </w:r>
      <w:r w:rsidRPr="005B69F2">
        <w:rPr>
          <w:sz w:val="24"/>
        </w:rPr>
        <w:tab/>
        <w:t>Administrative and support and waste management and remediation services</w:t>
      </w:r>
    </w:p>
    <w:p w14:paraId="7E35C44B" w14:textId="77777777" w:rsidR="004B0D70" w:rsidRPr="005B69F2" w:rsidRDefault="004B0D70" w:rsidP="005B69F2">
      <w:pPr>
        <w:rPr>
          <w:sz w:val="24"/>
        </w:rPr>
      </w:pPr>
      <w:r w:rsidRPr="005B69F2">
        <w:rPr>
          <w:sz w:val="24"/>
        </w:rPr>
        <w:t>61</w:t>
      </w:r>
      <w:r w:rsidRPr="005B69F2">
        <w:rPr>
          <w:sz w:val="24"/>
        </w:rPr>
        <w:tab/>
      </w:r>
      <w:r w:rsidRPr="005B69F2">
        <w:rPr>
          <w:sz w:val="24"/>
        </w:rPr>
        <w:tab/>
        <w:t>Educational services</w:t>
      </w:r>
    </w:p>
    <w:p w14:paraId="6FB8604A" w14:textId="77777777" w:rsidR="004B0D70" w:rsidRPr="005B69F2" w:rsidRDefault="004B0D70" w:rsidP="005B69F2">
      <w:pPr>
        <w:rPr>
          <w:sz w:val="24"/>
        </w:rPr>
      </w:pPr>
      <w:r w:rsidRPr="005B69F2">
        <w:rPr>
          <w:sz w:val="24"/>
        </w:rPr>
        <w:lastRenderedPageBreak/>
        <w:t>62</w:t>
      </w:r>
      <w:r w:rsidRPr="005B69F2">
        <w:rPr>
          <w:sz w:val="24"/>
        </w:rPr>
        <w:tab/>
      </w:r>
      <w:r w:rsidRPr="005B69F2">
        <w:rPr>
          <w:sz w:val="24"/>
        </w:rPr>
        <w:tab/>
        <w:t>Health care and social assistance</w:t>
      </w:r>
    </w:p>
    <w:p w14:paraId="0F52D838" w14:textId="77777777" w:rsidR="004B0D70" w:rsidRPr="005B69F2" w:rsidRDefault="004B0D70" w:rsidP="005B69F2">
      <w:pPr>
        <w:rPr>
          <w:sz w:val="24"/>
        </w:rPr>
      </w:pPr>
      <w:r w:rsidRPr="005B69F2">
        <w:rPr>
          <w:sz w:val="24"/>
        </w:rPr>
        <w:t>71</w:t>
      </w:r>
      <w:r w:rsidRPr="005B69F2">
        <w:rPr>
          <w:sz w:val="24"/>
        </w:rPr>
        <w:tab/>
      </w:r>
      <w:r w:rsidRPr="005B69F2">
        <w:rPr>
          <w:sz w:val="24"/>
        </w:rPr>
        <w:tab/>
        <w:t>Arts, entertainment, and recreation</w:t>
      </w:r>
    </w:p>
    <w:p w14:paraId="783D8E05" w14:textId="77777777" w:rsidR="004B0D70" w:rsidRPr="005B69F2" w:rsidRDefault="004B0D70" w:rsidP="005B69F2">
      <w:pPr>
        <w:rPr>
          <w:sz w:val="24"/>
        </w:rPr>
      </w:pPr>
      <w:r w:rsidRPr="005B69F2">
        <w:rPr>
          <w:sz w:val="24"/>
        </w:rPr>
        <w:t>72</w:t>
      </w:r>
      <w:r w:rsidRPr="005B69F2">
        <w:rPr>
          <w:sz w:val="24"/>
        </w:rPr>
        <w:tab/>
      </w:r>
      <w:r w:rsidRPr="005B69F2">
        <w:rPr>
          <w:sz w:val="24"/>
        </w:rPr>
        <w:tab/>
        <w:t>Accommodation and food services</w:t>
      </w:r>
    </w:p>
    <w:p w14:paraId="6C7E4010" w14:textId="77777777" w:rsidR="004B0D70" w:rsidRPr="005B69F2" w:rsidRDefault="004B0D70" w:rsidP="005B69F2">
      <w:pPr>
        <w:rPr>
          <w:sz w:val="24"/>
        </w:rPr>
      </w:pPr>
      <w:r w:rsidRPr="005B69F2">
        <w:rPr>
          <w:sz w:val="24"/>
        </w:rPr>
        <w:t>81</w:t>
      </w:r>
      <w:r w:rsidRPr="005B69F2">
        <w:rPr>
          <w:sz w:val="24"/>
        </w:rPr>
        <w:tab/>
      </w:r>
      <w:r w:rsidRPr="005B69F2">
        <w:rPr>
          <w:sz w:val="24"/>
        </w:rPr>
        <w:tab/>
        <w:t>Other services, except public administration [private households (814) are excluded]</w:t>
      </w:r>
    </w:p>
    <w:p w14:paraId="426C9588" w14:textId="77777777" w:rsidR="004B0D70" w:rsidRDefault="004B0D70" w:rsidP="005B69F2">
      <w:pPr>
        <w:rPr>
          <w:sz w:val="24"/>
        </w:rPr>
      </w:pPr>
      <w:r w:rsidRPr="005B69F2">
        <w:rPr>
          <w:sz w:val="24"/>
        </w:rPr>
        <w:t>99</w:t>
      </w:r>
      <w:r w:rsidRPr="005B69F2">
        <w:rPr>
          <w:sz w:val="24"/>
        </w:rPr>
        <w:tab/>
      </w:r>
      <w:r w:rsidRPr="005B69F2">
        <w:rPr>
          <w:sz w:val="24"/>
        </w:rPr>
        <w:tab/>
        <w:t>Federal, State, and local government (OES designation)</w:t>
      </w:r>
    </w:p>
    <w:p w14:paraId="5AB155A6" w14:textId="77777777" w:rsidR="004B0D70" w:rsidRDefault="004B0D70" w:rsidP="005B69F2">
      <w:pPr>
        <w:rPr>
          <w:sz w:val="24"/>
        </w:rPr>
      </w:pPr>
    </w:p>
    <w:p w14:paraId="602FB9F0" w14:textId="77777777" w:rsidR="004B0D70" w:rsidRDefault="004B0D70" w:rsidP="005B69F2">
      <w:pPr>
        <w:rPr>
          <w:sz w:val="24"/>
        </w:rPr>
      </w:pPr>
      <w:r w:rsidRPr="00AD7086">
        <w:rPr>
          <w:i/>
          <w:sz w:val="24"/>
        </w:rPr>
        <w:t>Sample Size</w:t>
      </w:r>
      <w:r>
        <w:rPr>
          <w:sz w:val="24"/>
        </w:rPr>
        <w:t xml:space="preserve">--The sample size is approximately 1.2 million establishments over a 3-year period.  The sample is divided into six panels over three years with two semi-annual samples of about 200,000 establishments selected each year.  </w:t>
      </w:r>
      <w:r w:rsidRPr="0007494F">
        <w:rPr>
          <w:sz w:val="24"/>
        </w:rPr>
        <w:t xml:space="preserve">The following table shows the estimated number of universe units, sampled units, and responding units for all in-scope NAICS by Fiscal </w:t>
      </w:r>
      <w:r>
        <w:rPr>
          <w:sz w:val="24"/>
        </w:rPr>
        <w:t>Year for the regular OES survey:</w:t>
      </w:r>
    </w:p>
    <w:p w14:paraId="21FD16F6" w14:textId="77777777" w:rsidR="004B0D70" w:rsidRDefault="004B0D70" w:rsidP="005B69F2">
      <w:pPr>
        <w:rPr>
          <w:sz w:val="24"/>
        </w:rPr>
      </w:pPr>
    </w:p>
    <w:p w14:paraId="0566AEFE" w14:textId="77777777" w:rsidR="004B0D70" w:rsidRPr="00E27A09" w:rsidRDefault="004B0D70" w:rsidP="005B69F2">
      <w:pPr>
        <w:rPr>
          <w:b/>
          <w:sz w:val="24"/>
        </w:rPr>
      </w:pPr>
      <w:r w:rsidRPr="00E27A09">
        <w:rPr>
          <w:b/>
          <w:sz w:val="24"/>
        </w:rPr>
        <w:t>Table 1: Universe and Sample Size Summary</w:t>
      </w:r>
    </w:p>
    <w:tbl>
      <w:tblPr>
        <w:tblW w:w="9825" w:type="dxa"/>
        <w:tblInd w:w="93" w:type="dxa"/>
        <w:tblLook w:val="00A0" w:firstRow="1" w:lastRow="0" w:firstColumn="1" w:lastColumn="0" w:noHBand="0" w:noVBand="0"/>
      </w:tblPr>
      <w:tblGrid>
        <w:gridCol w:w="2715"/>
        <w:gridCol w:w="1440"/>
        <w:gridCol w:w="1980"/>
        <w:gridCol w:w="1800"/>
        <w:gridCol w:w="1890"/>
      </w:tblGrid>
      <w:tr w:rsidR="004B0D70" w:rsidRPr="00434048" w14:paraId="1EE47DAE" w14:textId="77777777" w:rsidTr="00AD7086">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14:paraId="4F53EEA9" w14:textId="77777777" w:rsidR="004B0D70" w:rsidRPr="00434048" w:rsidRDefault="004B0D70" w:rsidP="005B69F2">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14:paraId="61F79F8F" w14:textId="77777777" w:rsidR="004B0D70" w:rsidRPr="00434048" w:rsidRDefault="004B0D70" w:rsidP="005B69F2">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14:paraId="73B12CCE" w14:textId="77777777" w:rsidR="004B0D70" w:rsidRPr="00434048" w:rsidRDefault="004B0D70" w:rsidP="005B69F2">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14:paraId="6F10BE57" w14:textId="77777777" w:rsidR="004B0D70" w:rsidRPr="00434048" w:rsidRDefault="004B0D70" w:rsidP="005B69F2">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14:paraId="7062F1D5" w14:textId="77777777" w:rsidR="004B0D70" w:rsidRPr="00434048" w:rsidRDefault="004B0D70" w:rsidP="005B69F2">
            <w:pPr>
              <w:rPr>
                <w:b/>
                <w:bCs/>
                <w:sz w:val="24"/>
              </w:rPr>
            </w:pPr>
            <w:r>
              <w:rPr>
                <w:b/>
                <w:bCs/>
                <w:sz w:val="24"/>
              </w:rPr>
              <w:t>Universe Units</w:t>
            </w:r>
          </w:p>
        </w:tc>
      </w:tr>
      <w:tr w:rsidR="004B0D70" w:rsidRPr="00434048" w14:paraId="1BB49619"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3EB63515" w14:textId="751C8DC4" w:rsidR="00DC522E" w:rsidRPr="00434048" w:rsidRDefault="004B0D70" w:rsidP="00105ABF">
            <w:pPr>
              <w:rPr>
                <w:sz w:val="24"/>
              </w:rPr>
            </w:pPr>
            <w:r w:rsidRPr="00434048">
              <w:rPr>
                <w:sz w:val="24"/>
              </w:rPr>
              <w:t>FY 20</w:t>
            </w:r>
            <w:r>
              <w:rPr>
                <w:sz w:val="24"/>
              </w:rPr>
              <w:t>1</w:t>
            </w:r>
            <w:r w:rsidR="00105ABF">
              <w:rPr>
                <w:sz w:val="24"/>
              </w:rPr>
              <w:t>3</w:t>
            </w:r>
            <w:r w:rsidRPr="00434048">
              <w:rPr>
                <w:sz w:val="24"/>
              </w:rPr>
              <w:t xml:space="preserve"> (November 20</w:t>
            </w:r>
            <w:r w:rsidR="00105ABF">
              <w:rPr>
                <w:sz w:val="24"/>
              </w:rPr>
              <w:t>12</w:t>
            </w:r>
            <w:r w:rsidRPr="00434048">
              <w:rPr>
                <w:sz w:val="24"/>
              </w:rPr>
              <w:t xml:space="preserve"> &amp; May 20</w:t>
            </w:r>
            <w:r>
              <w:rPr>
                <w:sz w:val="24"/>
              </w:rPr>
              <w:t>1</w:t>
            </w:r>
            <w:r w:rsidR="00105ABF">
              <w:rPr>
                <w:sz w:val="24"/>
              </w:rPr>
              <w:t>3</w:t>
            </w:r>
            <w:r w:rsidRPr="00434048">
              <w:rPr>
                <w:sz w:val="24"/>
              </w:rPr>
              <w:t xml:space="preserve"> panels)</w:t>
            </w:r>
          </w:p>
        </w:tc>
        <w:tc>
          <w:tcPr>
            <w:tcW w:w="1440" w:type="dxa"/>
            <w:vMerge w:val="restart"/>
            <w:tcBorders>
              <w:top w:val="nil"/>
              <w:left w:val="single" w:sz="4" w:space="0" w:color="auto"/>
              <w:bottom w:val="nil"/>
              <w:right w:val="single" w:sz="4" w:space="0" w:color="auto"/>
            </w:tcBorders>
            <w:vAlign w:val="center"/>
          </w:tcPr>
          <w:p w14:paraId="6F1F3B4C" w14:textId="77777777" w:rsidR="004B0D70" w:rsidRPr="00434048" w:rsidRDefault="004B0D70" w:rsidP="005B69F2">
            <w:pPr>
              <w:rPr>
                <w:sz w:val="24"/>
              </w:rPr>
            </w:pPr>
            <w:r w:rsidRPr="00434048">
              <w:rPr>
                <w:sz w:val="24"/>
              </w:rPr>
              <w:t>All in-scope NAICS</w:t>
            </w:r>
          </w:p>
        </w:tc>
        <w:tc>
          <w:tcPr>
            <w:tcW w:w="1980" w:type="dxa"/>
            <w:tcBorders>
              <w:top w:val="nil"/>
              <w:left w:val="nil"/>
              <w:bottom w:val="single" w:sz="4" w:space="0" w:color="auto"/>
              <w:right w:val="single" w:sz="4" w:space="0" w:color="auto"/>
            </w:tcBorders>
            <w:noWrap/>
            <w:vAlign w:val="center"/>
          </w:tcPr>
          <w:p w14:paraId="1C32B631" w14:textId="667E9F9C" w:rsidR="00B55E89" w:rsidRPr="00434048" w:rsidRDefault="00105ABF" w:rsidP="005B69F2">
            <w:pPr>
              <w:jc w:val="right"/>
              <w:rPr>
                <w:sz w:val="24"/>
              </w:rPr>
            </w:pPr>
            <w:r>
              <w:rPr>
                <w:sz w:val="24"/>
              </w:rPr>
              <w:t>291,461</w:t>
            </w:r>
          </w:p>
        </w:tc>
        <w:tc>
          <w:tcPr>
            <w:tcW w:w="1800" w:type="dxa"/>
            <w:tcBorders>
              <w:top w:val="nil"/>
              <w:left w:val="nil"/>
              <w:bottom w:val="single" w:sz="4" w:space="0" w:color="auto"/>
              <w:right w:val="single" w:sz="4" w:space="0" w:color="auto"/>
            </w:tcBorders>
            <w:noWrap/>
            <w:vAlign w:val="center"/>
          </w:tcPr>
          <w:p w14:paraId="608438B6" w14:textId="22BE1830" w:rsidR="004B0D70" w:rsidRPr="00434048" w:rsidRDefault="00105ABF" w:rsidP="005B69F2">
            <w:pPr>
              <w:jc w:val="right"/>
              <w:rPr>
                <w:sz w:val="24"/>
              </w:rPr>
            </w:pPr>
            <w:r>
              <w:rPr>
                <w:sz w:val="24"/>
              </w:rPr>
              <w:t>402,686</w:t>
            </w:r>
          </w:p>
        </w:tc>
        <w:tc>
          <w:tcPr>
            <w:tcW w:w="1890" w:type="dxa"/>
            <w:tcBorders>
              <w:top w:val="nil"/>
              <w:left w:val="nil"/>
              <w:bottom w:val="single" w:sz="4" w:space="0" w:color="auto"/>
              <w:right w:val="single" w:sz="4" w:space="0" w:color="auto"/>
            </w:tcBorders>
            <w:noWrap/>
            <w:vAlign w:val="center"/>
          </w:tcPr>
          <w:p w14:paraId="4B807FD3" w14:textId="71B2AE38" w:rsidR="00DA680A" w:rsidRPr="00434048" w:rsidRDefault="00105ABF" w:rsidP="005B69F2">
            <w:pPr>
              <w:jc w:val="right"/>
              <w:rPr>
                <w:sz w:val="24"/>
              </w:rPr>
            </w:pPr>
            <w:r>
              <w:rPr>
                <w:sz w:val="24"/>
              </w:rPr>
              <w:t>6,779,927</w:t>
            </w:r>
          </w:p>
        </w:tc>
      </w:tr>
      <w:tr w:rsidR="004B0D70" w:rsidRPr="00434048" w14:paraId="34B8DCA2"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79EF0BC1" w14:textId="5FFE5AF4" w:rsidR="00DC522E" w:rsidRPr="00434048" w:rsidRDefault="004B0D70" w:rsidP="00105ABF">
            <w:pPr>
              <w:rPr>
                <w:sz w:val="24"/>
              </w:rPr>
            </w:pPr>
            <w:r w:rsidRPr="00434048">
              <w:rPr>
                <w:sz w:val="24"/>
              </w:rPr>
              <w:t>FY 20</w:t>
            </w:r>
            <w:r>
              <w:rPr>
                <w:sz w:val="24"/>
              </w:rPr>
              <w:t>1</w:t>
            </w:r>
            <w:r w:rsidR="00105ABF">
              <w:rPr>
                <w:sz w:val="24"/>
              </w:rPr>
              <w:t>4</w:t>
            </w:r>
            <w:r w:rsidRPr="00434048">
              <w:rPr>
                <w:sz w:val="24"/>
              </w:rPr>
              <w:t xml:space="preserve"> (November 20</w:t>
            </w:r>
            <w:r>
              <w:rPr>
                <w:sz w:val="24"/>
              </w:rPr>
              <w:t>1</w:t>
            </w:r>
            <w:r w:rsidR="00105ABF">
              <w:rPr>
                <w:sz w:val="24"/>
              </w:rPr>
              <w:t>3</w:t>
            </w:r>
            <w:r w:rsidRPr="00434048">
              <w:rPr>
                <w:sz w:val="24"/>
              </w:rPr>
              <w:t xml:space="preserve"> &amp; May 20</w:t>
            </w:r>
            <w:r>
              <w:rPr>
                <w:sz w:val="24"/>
              </w:rPr>
              <w:t>1</w:t>
            </w:r>
            <w:r w:rsidR="00105ABF">
              <w:rPr>
                <w:sz w:val="24"/>
              </w:rPr>
              <w:t>4</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14:paraId="62A2E0AD" w14:textId="77777777" w:rsidR="004B0D70" w:rsidRPr="00434048" w:rsidRDefault="004B0D70" w:rsidP="005B69F2">
            <w:pPr>
              <w:rPr>
                <w:sz w:val="24"/>
              </w:rPr>
            </w:pPr>
          </w:p>
        </w:tc>
        <w:tc>
          <w:tcPr>
            <w:tcW w:w="1980" w:type="dxa"/>
            <w:tcBorders>
              <w:top w:val="nil"/>
              <w:left w:val="nil"/>
              <w:bottom w:val="single" w:sz="4" w:space="0" w:color="auto"/>
              <w:right w:val="single" w:sz="4" w:space="0" w:color="auto"/>
            </w:tcBorders>
            <w:noWrap/>
            <w:vAlign w:val="center"/>
          </w:tcPr>
          <w:p w14:paraId="1D92268A" w14:textId="21D82B1F" w:rsidR="00B55E89" w:rsidRPr="00434048" w:rsidRDefault="00105ABF" w:rsidP="005B69F2">
            <w:pPr>
              <w:jc w:val="right"/>
              <w:rPr>
                <w:sz w:val="24"/>
              </w:rPr>
            </w:pPr>
            <w:r>
              <w:rPr>
                <w:sz w:val="24"/>
              </w:rPr>
              <w:t>291,035</w:t>
            </w:r>
          </w:p>
        </w:tc>
        <w:tc>
          <w:tcPr>
            <w:tcW w:w="1800" w:type="dxa"/>
            <w:tcBorders>
              <w:top w:val="nil"/>
              <w:left w:val="nil"/>
              <w:bottom w:val="single" w:sz="4" w:space="0" w:color="auto"/>
              <w:right w:val="single" w:sz="4" w:space="0" w:color="auto"/>
            </w:tcBorders>
            <w:noWrap/>
            <w:vAlign w:val="center"/>
          </w:tcPr>
          <w:p w14:paraId="0ADD3FDF" w14:textId="452F661D" w:rsidR="00DC522E" w:rsidRPr="00434048" w:rsidRDefault="00105ABF" w:rsidP="005B69F2">
            <w:pPr>
              <w:jc w:val="right"/>
              <w:rPr>
                <w:sz w:val="24"/>
              </w:rPr>
            </w:pPr>
            <w:r>
              <w:rPr>
                <w:sz w:val="24"/>
              </w:rPr>
              <w:t>403,422</w:t>
            </w:r>
          </w:p>
        </w:tc>
        <w:tc>
          <w:tcPr>
            <w:tcW w:w="1890" w:type="dxa"/>
            <w:tcBorders>
              <w:top w:val="nil"/>
              <w:left w:val="nil"/>
              <w:bottom w:val="single" w:sz="4" w:space="0" w:color="auto"/>
              <w:right w:val="single" w:sz="4" w:space="0" w:color="auto"/>
            </w:tcBorders>
            <w:noWrap/>
            <w:vAlign w:val="center"/>
          </w:tcPr>
          <w:p w14:paraId="64E80947" w14:textId="2BD011D8" w:rsidR="00DA680A" w:rsidRPr="00434048" w:rsidRDefault="00105ABF" w:rsidP="007068AC">
            <w:pPr>
              <w:jc w:val="right"/>
              <w:rPr>
                <w:sz w:val="24"/>
              </w:rPr>
            </w:pPr>
            <w:r>
              <w:rPr>
                <w:sz w:val="24"/>
              </w:rPr>
              <w:t>7,285,864</w:t>
            </w:r>
          </w:p>
        </w:tc>
      </w:tr>
      <w:tr w:rsidR="004B0D70" w:rsidRPr="00434048" w14:paraId="6992898D"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32F505A6" w14:textId="25D0CDD3" w:rsidR="00DC522E" w:rsidRPr="00434048" w:rsidRDefault="004B0D70" w:rsidP="00105ABF">
            <w:pPr>
              <w:rPr>
                <w:sz w:val="24"/>
              </w:rPr>
            </w:pPr>
            <w:r w:rsidRPr="00434048">
              <w:rPr>
                <w:sz w:val="24"/>
              </w:rPr>
              <w:t>FY 20</w:t>
            </w:r>
            <w:r>
              <w:rPr>
                <w:sz w:val="24"/>
              </w:rPr>
              <w:t>1</w:t>
            </w:r>
            <w:r w:rsidR="00105ABF">
              <w:rPr>
                <w:sz w:val="24"/>
              </w:rPr>
              <w:t>5</w:t>
            </w:r>
            <w:r w:rsidRPr="00434048">
              <w:rPr>
                <w:sz w:val="24"/>
              </w:rPr>
              <w:t xml:space="preserve"> (November 20</w:t>
            </w:r>
            <w:r>
              <w:rPr>
                <w:sz w:val="24"/>
              </w:rPr>
              <w:t>1</w:t>
            </w:r>
            <w:r w:rsidR="00105ABF">
              <w:rPr>
                <w:sz w:val="24"/>
              </w:rPr>
              <w:t>4</w:t>
            </w:r>
            <w:r w:rsidRPr="00434048">
              <w:rPr>
                <w:sz w:val="24"/>
              </w:rPr>
              <w:t xml:space="preserve"> &amp; May 20</w:t>
            </w:r>
            <w:r>
              <w:rPr>
                <w:sz w:val="24"/>
              </w:rPr>
              <w:t>1</w:t>
            </w:r>
            <w:r w:rsidR="00105ABF">
              <w:rPr>
                <w:sz w:val="24"/>
              </w:rPr>
              <w:t>5</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14:paraId="7CE68020" w14:textId="77777777" w:rsidR="004B0D70" w:rsidRPr="00434048" w:rsidRDefault="004B0D70" w:rsidP="005B69F2">
            <w:pPr>
              <w:rPr>
                <w:sz w:val="24"/>
              </w:rPr>
            </w:pPr>
          </w:p>
        </w:tc>
        <w:tc>
          <w:tcPr>
            <w:tcW w:w="1980" w:type="dxa"/>
            <w:tcBorders>
              <w:top w:val="nil"/>
              <w:left w:val="nil"/>
              <w:bottom w:val="nil"/>
              <w:right w:val="single" w:sz="4" w:space="0" w:color="auto"/>
            </w:tcBorders>
            <w:noWrap/>
            <w:vAlign w:val="center"/>
          </w:tcPr>
          <w:p w14:paraId="31CE4F20" w14:textId="5B1CF196" w:rsidR="00DC20A0" w:rsidRPr="00434048" w:rsidRDefault="00105ABF" w:rsidP="005B69F2">
            <w:pPr>
              <w:jc w:val="right"/>
              <w:rPr>
                <w:sz w:val="24"/>
              </w:rPr>
            </w:pPr>
            <w:r>
              <w:rPr>
                <w:sz w:val="24"/>
              </w:rPr>
              <w:t>290,603</w:t>
            </w:r>
          </w:p>
        </w:tc>
        <w:tc>
          <w:tcPr>
            <w:tcW w:w="1800" w:type="dxa"/>
            <w:tcBorders>
              <w:top w:val="nil"/>
              <w:left w:val="nil"/>
              <w:bottom w:val="nil"/>
              <w:right w:val="single" w:sz="4" w:space="0" w:color="auto"/>
            </w:tcBorders>
            <w:noWrap/>
            <w:vAlign w:val="center"/>
          </w:tcPr>
          <w:p w14:paraId="52BE5012" w14:textId="2AF77859" w:rsidR="00DC522E" w:rsidRPr="00434048" w:rsidRDefault="00105ABF" w:rsidP="006049B4">
            <w:pPr>
              <w:jc w:val="right"/>
              <w:rPr>
                <w:sz w:val="24"/>
              </w:rPr>
            </w:pPr>
            <w:r>
              <w:rPr>
                <w:sz w:val="24"/>
              </w:rPr>
              <w:t>405,468</w:t>
            </w:r>
          </w:p>
        </w:tc>
        <w:tc>
          <w:tcPr>
            <w:tcW w:w="1890" w:type="dxa"/>
            <w:tcBorders>
              <w:top w:val="nil"/>
              <w:left w:val="nil"/>
              <w:bottom w:val="nil"/>
              <w:right w:val="single" w:sz="4" w:space="0" w:color="auto"/>
            </w:tcBorders>
            <w:noWrap/>
            <w:vAlign w:val="center"/>
          </w:tcPr>
          <w:p w14:paraId="6A12AD62" w14:textId="4E6B4D04" w:rsidR="004B0D70" w:rsidRPr="00434048" w:rsidRDefault="00105ABF" w:rsidP="0006527E">
            <w:pPr>
              <w:jc w:val="right"/>
              <w:rPr>
                <w:sz w:val="24"/>
              </w:rPr>
            </w:pPr>
            <w:r>
              <w:rPr>
                <w:sz w:val="24"/>
              </w:rPr>
              <w:t>7,401,315</w:t>
            </w:r>
          </w:p>
        </w:tc>
      </w:tr>
      <w:tr w:rsidR="004B0D70" w:rsidRPr="00434048" w14:paraId="7D10236C" w14:textId="77777777" w:rsidTr="00AD7086">
        <w:trPr>
          <w:trHeight w:val="450"/>
        </w:trPr>
        <w:tc>
          <w:tcPr>
            <w:tcW w:w="2715" w:type="dxa"/>
            <w:tcBorders>
              <w:top w:val="single" w:sz="8" w:space="0" w:color="auto"/>
              <w:left w:val="single" w:sz="4" w:space="0" w:color="auto"/>
              <w:bottom w:val="single" w:sz="4" w:space="0" w:color="auto"/>
              <w:right w:val="single" w:sz="4" w:space="0" w:color="auto"/>
            </w:tcBorders>
            <w:vAlign w:val="center"/>
          </w:tcPr>
          <w:p w14:paraId="35B3D737" w14:textId="77777777" w:rsidR="004B0D70" w:rsidRPr="00434048" w:rsidRDefault="004B0D70" w:rsidP="005B69F2">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vAlign w:val="center"/>
          </w:tcPr>
          <w:p w14:paraId="4F542F86" w14:textId="77777777" w:rsidR="004B0D70" w:rsidRPr="00434048" w:rsidRDefault="004B0D70" w:rsidP="005B69F2">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noWrap/>
            <w:vAlign w:val="center"/>
          </w:tcPr>
          <w:p w14:paraId="6BAFF9A6" w14:textId="6E5755AE" w:rsidR="00DC20A0" w:rsidRPr="00434048" w:rsidRDefault="00105ABF" w:rsidP="00B5511C">
            <w:pPr>
              <w:jc w:val="right"/>
              <w:rPr>
                <w:sz w:val="24"/>
              </w:rPr>
            </w:pPr>
            <w:r>
              <w:rPr>
                <w:sz w:val="24"/>
              </w:rPr>
              <w:t>873,099</w:t>
            </w:r>
          </w:p>
        </w:tc>
        <w:tc>
          <w:tcPr>
            <w:tcW w:w="1800" w:type="dxa"/>
            <w:tcBorders>
              <w:top w:val="single" w:sz="8" w:space="0" w:color="auto"/>
              <w:left w:val="nil"/>
              <w:bottom w:val="single" w:sz="4" w:space="0" w:color="auto"/>
              <w:right w:val="single" w:sz="4" w:space="0" w:color="auto"/>
            </w:tcBorders>
            <w:noWrap/>
            <w:vAlign w:val="center"/>
          </w:tcPr>
          <w:p w14:paraId="59094A91" w14:textId="4F886785" w:rsidR="004B0D70" w:rsidRPr="00434048" w:rsidRDefault="00105ABF" w:rsidP="006049B4">
            <w:pPr>
              <w:jc w:val="right"/>
              <w:rPr>
                <w:sz w:val="24"/>
              </w:rPr>
            </w:pPr>
            <w:r>
              <w:rPr>
                <w:sz w:val="24"/>
              </w:rPr>
              <w:t>1,211,576</w:t>
            </w:r>
          </w:p>
        </w:tc>
        <w:tc>
          <w:tcPr>
            <w:tcW w:w="1890" w:type="dxa"/>
            <w:tcBorders>
              <w:top w:val="single" w:sz="8" w:space="0" w:color="auto"/>
              <w:left w:val="nil"/>
              <w:bottom w:val="single" w:sz="4" w:space="0" w:color="auto"/>
              <w:right w:val="single" w:sz="4" w:space="0" w:color="auto"/>
            </w:tcBorders>
            <w:noWrap/>
            <w:vAlign w:val="center"/>
          </w:tcPr>
          <w:p w14:paraId="547E80DB" w14:textId="42439A0F" w:rsidR="004B0D70" w:rsidRDefault="00105ABF" w:rsidP="005B69F2">
            <w:pPr>
              <w:jc w:val="right"/>
              <w:rPr>
                <w:sz w:val="24"/>
              </w:rPr>
            </w:pPr>
            <w:r>
              <w:rPr>
                <w:sz w:val="24"/>
              </w:rPr>
              <w:t>7,401,315</w:t>
            </w:r>
          </w:p>
          <w:p w14:paraId="142225C8" w14:textId="77777777" w:rsidR="00DA680A" w:rsidRPr="00434048" w:rsidRDefault="00DA680A" w:rsidP="005B69F2">
            <w:pPr>
              <w:jc w:val="right"/>
              <w:rPr>
                <w:sz w:val="24"/>
              </w:rPr>
            </w:pPr>
          </w:p>
        </w:tc>
      </w:tr>
    </w:tbl>
    <w:p w14:paraId="6F2BE828" w14:textId="77777777" w:rsidR="004B0D70" w:rsidRDefault="004B0D70" w:rsidP="005B69F2">
      <w:pPr>
        <w:rPr>
          <w:sz w:val="24"/>
        </w:rPr>
      </w:pPr>
    </w:p>
    <w:p w14:paraId="0276458A" w14:textId="77777777" w:rsidR="004B0D70" w:rsidRPr="00434048" w:rsidRDefault="004B0D70" w:rsidP="005B69F2">
      <w:pPr>
        <w:rPr>
          <w:sz w:val="24"/>
        </w:rPr>
      </w:pPr>
    </w:p>
    <w:p w14:paraId="0E566E1E" w14:textId="77777777" w:rsidR="004B0D70" w:rsidRDefault="004B0D70" w:rsidP="00AD7086">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Metropolitan Division, and Balance of State</w:t>
      </w:r>
      <w:r w:rsidRPr="0007494F">
        <w:rPr>
          <w:sz w:val="24"/>
        </w:rPr>
        <w:t>,</w:t>
      </w:r>
      <w:r>
        <w:rPr>
          <w:sz w:val="24"/>
        </w:rPr>
        <w:t xml:space="preserve"> and </w:t>
      </w:r>
      <w:r w:rsidRPr="0007494F">
        <w:rPr>
          <w:sz w:val="24"/>
        </w:rPr>
        <w:t>by 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remaining establishments are non-certainty establishments and are selected with probability less than one but greater than zero.  </w:t>
      </w:r>
    </w:p>
    <w:p w14:paraId="24CB241C" w14:textId="77777777" w:rsidR="004B0D70" w:rsidRPr="0007494F" w:rsidRDefault="004B0D70" w:rsidP="0063667B">
      <w:pPr>
        <w:rPr>
          <w:sz w:val="24"/>
        </w:rPr>
      </w:pPr>
    </w:p>
    <w:p w14:paraId="2034FAEC" w14:textId="4A583ED0" w:rsidR="004B0D70" w:rsidRDefault="004B0D70" w:rsidP="0063667B">
      <w:pPr>
        <w:rPr>
          <w:b/>
          <w:sz w:val="24"/>
        </w:rPr>
      </w:pPr>
      <w:r w:rsidRPr="00711B8A">
        <w:rPr>
          <w:b/>
          <w:sz w:val="24"/>
        </w:rPr>
        <w:t>2</w:t>
      </w:r>
      <w:r>
        <w:rPr>
          <w:b/>
          <w:sz w:val="24"/>
        </w:rPr>
        <w:t>(</w:t>
      </w:r>
      <w:r w:rsidRPr="00711B8A">
        <w:rPr>
          <w:b/>
          <w:sz w:val="24"/>
        </w:rPr>
        <w:t>a</w:t>
      </w:r>
      <w:r>
        <w:rPr>
          <w:b/>
          <w:sz w:val="24"/>
        </w:rPr>
        <w:t>)</w:t>
      </w:r>
      <w:r w:rsidRPr="00711B8A">
        <w:rPr>
          <w:b/>
          <w:sz w:val="24"/>
        </w:rPr>
        <w:t xml:space="preserve">  </w:t>
      </w:r>
      <w:r w:rsidR="00306BCF">
        <w:rPr>
          <w:b/>
          <w:sz w:val="24"/>
        </w:rPr>
        <w:tab/>
      </w:r>
      <w:r w:rsidRPr="00711B8A">
        <w:rPr>
          <w:b/>
          <w:sz w:val="24"/>
        </w:rPr>
        <w:t>Sample Design</w:t>
      </w:r>
    </w:p>
    <w:p w14:paraId="2B8B04C8" w14:textId="77777777" w:rsidR="004B0D70" w:rsidRPr="00711B8A" w:rsidRDefault="004B0D70" w:rsidP="0063667B">
      <w:pPr>
        <w:rPr>
          <w:b/>
          <w:sz w:val="24"/>
        </w:rPr>
      </w:pPr>
    </w:p>
    <w:p w14:paraId="0F43265B" w14:textId="77777777" w:rsidR="004B0D70" w:rsidRDefault="004B0D70" w:rsidP="0063667B">
      <w:pPr>
        <w:rPr>
          <w:sz w:val="24"/>
        </w:rPr>
      </w:pPr>
      <w:r w:rsidRPr="00711B8A">
        <w:rPr>
          <w:i/>
          <w:sz w:val="24"/>
        </w:rPr>
        <w:t>Allocation method</w:t>
      </w:r>
      <w:r>
        <w:rPr>
          <w:sz w:val="24"/>
        </w:rPr>
        <w:t xml:space="preserve">--A variation of </w:t>
      </w:r>
      <w:proofErr w:type="spellStart"/>
      <w:r>
        <w:rPr>
          <w:sz w:val="24"/>
        </w:rPr>
        <w:t>Neyman</w:t>
      </w:r>
      <w:proofErr w:type="spellEnd"/>
      <w:r>
        <w:rPr>
          <w:sz w:val="24"/>
        </w:rPr>
        <w:t xml:space="preserve"> allocation procedure called a Power Allocation (</w:t>
      </w:r>
      <w:proofErr w:type="spellStart"/>
      <w:r>
        <w:rPr>
          <w:sz w:val="24"/>
        </w:rPr>
        <w:t>Bankier</w:t>
      </w:r>
      <w:proofErr w:type="spellEnd"/>
      <w:r>
        <w:rPr>
          <w:sz w:val="24"/>
        </w:rPr>
        <w:t>, 1988) is used to allocate the remaining non-certainty sample to each State-MSA/4-5-6-digit NAICS stratum.  The allocation methodology balances employment size of areas and industries with the variability of the occupational employment in each industry.  The use of the power allocation shifts sample away from very large areas and industries to medium and smaller ones allowing more comparable estimates for smaller domains.   The power allocation is calculated as follows:</w:t>
      </w:r>
    </w:p>
    <w:p w14:paraId="1E231F4B" w14:textId="77777777" w:rsidR="004B0D70" w:rsidRDefault="004B0D70" w:rsidP="0063667B">
      <w:pPr>
        <w:rPr>
          <w:sz w:val="24"/>
        </w:rPr>
      </w:pPr>
    </w:p>
    <w:p w14:paraId="4474367F" w14:textId="77777777" w:rsidR="004B0D70" w:rsidRPr="007C21A1" w:rsidRDefault="004B0D70" w:rsidP="00175C6C">
      <w:pPr>
        <w:ind w:left="1980" w:firstLine="540"/>
        <w:rPr>
          <w:b/>
          <w:sz w:val="24"/>
          <w:szCs w:val="24"/>
        </w:rPr>
      </w:pPr>
      <w:r w:rsidRPr="007C21A1">
        <w:rPr>
          <w:position w:val="-60"/>
          <w:sz w:val="24"/>
          <w:szCs w:val="24"/>
        </w:rPr>
        <w:object w:dxaOrig="2200" w:dyaOrig="1060" w14:anchorId="64383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5pt;height:53.1pt" o:ole="">
            <v:imagedata r:id="rId7" o:title=""/>
          </v:shape>
          <o:OLEObject Type="Embed" ProgID="Equation.3" ShapeID="_x0000_i1025" DrawAspect="Content" ObjectID="_1530522835" r:id="rId8"/>
        </w:object>
      </w:r>
      <w:r w:rsidRPr="007C21A1">
        <w:rPr>
          <w:sz w:val="24"/>
          <w:szCs w:val="24"/>
        </w:rPr>
        <w:t xml:space="preserve">                                             </w:t>
      </w:r>
    </w:p>
    <w:p w14:paraId="395B6D18" w14:textId="77777777" w:rsidR="004B0D70" w:rsidRPr="007C21A1" w:rsidRDefault="004B0D70" w:rsidP="00175C6C">
      <w:pPr>
        <w:ind w:left="1620"/>
        <w:rPr>
          <w:sz w:val="24"/>
          <w:szCs w:val="24"/>
        </w:rPr>
      </w:pPr>
    </w:p>
    <w:p w14:paraId="03750C16" w14:textId="77777777" w:rsidR="004B0D70" w:rsidRDefault="004B0D70" w:rsidP="001236A3">
      <w:pPr>
        <w:ind w:left="3600" w:hanging="1080"/>
        <w:rPr>
          <w:sz w:val="24"/>
          <w:szCs w:val="24"/>
        </w:rPr>
      </w:pPr>
      <w:r w:rsidRPr="007C21A1">
        <w:rPr>
          <w:sz w:val="24"/>
          <w:szCs w:val="24"/>
        </w:rPr>
        <w:t xml:space="preserve">Where, </w:t>
      </w:r>
      <w:r w:rsidRPr="007C21A1">
        <w:rPr>
          <w:sz w:val="24"/>
          <w:szCs w:val="24"/>
        </w:rPr>
        <w:tab/>
      </w:r>
    </w:p>
    <w:p w14:paraId="3C5D5DB7" w14:textId="77777777" w:rsidR="004B0D70" w:rsidRDefault="004B0D70" w:rsidP="001236A3">
      <w:pPr>
        <w:ind w:left="3600" w:hanging="1080"/>
        <w:rPr>
          <w:sz w:val="24"/>
          <w:szCs w:val="24"/>
        </w:rPr>
      </w:pPr>
    </w:p>
    <w:p w14:paraId="64E11862" w14:textId="77777777" w:rsidR="004B0D70" w:rsidRPr="007C21A1" w:rsidRDefault="004B0D70" w:rsidP="001236A3">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State-MSA/4-5-6 digit NAICS industry</w:t>
      </w:r>
    </w:p>
    <w:p w14:paraId="2A715ED0" w14:textId="77777777" w:rsidR="004B0D70" w:rsidRPr="007C21A1" w:rsidRDefault="004B0D70" w:rsidP="00175C6C">
      <w:pPr>
        <w:tabs>
          <w:tab w:val="left" w:pos="-5220"/>
        </w:tabs>
        <w:ind w:left="2520" w:hanging="900"/>
        <w:rPr>
          <w:sz w:val="24"/>
          <w:szCs w:val="24"/>
        </w:rPr>
      </w:pPr>
      <w:r w:rsidRPr="007C21A1">
        <w:rPr>
          <w:i/>
          <w:sz w:val="24"/>
          <w:szCs w:val="24"/>
        </w:rPr>
        <w:tab/>
      </w:r>
      <w:r w:rsidRPr="007C21A1">
        <w:rPr>
          <w:position w:val="-12"/>
          <w:sz w:val="24"/>
          <w:szCs w:val="24"/>
        </w:rPr>
        <w:object w:dxaOrig="279" w:dyaOrig="360" w14:anchorId="5B44F730">
          <v:shape id="_x0000_i1026" type="#_x0000_t75" style="width:14.75pt;height:18.9pt" o:ole="">
            <v:imagedata r:id="rId9" o:title=""/>
          </v:shape>
          <o:OLEObject Type="Embed" ProgID="Equation.3" ShapeID="_x0000_i1026" DrawAspect="Content" ObjectID="_1530522836" r:id="rId10"/>
        </w:object>
      </w:r>
      <w:r w:rsidRPr="007C21A1">
        <w:rPr>
          <w:sz w:val="24"/>
          <w:szCs w:val="24"/>
        </w:rPr>
        <w:t xml:space="preserve"> = non-certainty sample allocated to stratum </w:t>
      </w:r>
      <w:r w:rsidRPr="00436562">
        <w:rPr>
          <w:i/>
          <w:sz w:val="24"/>
          <w:szCs w:val="24"/>
        </w:rPr>
        <w:t>h</w:t>
      </w:r>
    </w:p>
    <w:p w14:paraId="5A4F2B07" w14:textId="77777777" w:rsidR="004B0D70" w:rsidRPr="007C21A1" w:rsidRDefault="004B0D70" w:rsidP="001236A3">
      <w:pPr>
        <w:tabs>
          <w:tab w:val="left" w:pos="-5220"/>
        </w:tabs>
        <w:ind w:left="2520" w:hanging="900"/>
        <w:rPr>
          <w:i/>
          <w:sz w:val="24"/>
          <w:szCs w:val="24"/>
        </w:rPr>
      </w:pPr>
      <w:r w:rsidRPr="007C21A1">
        <w:rPr>
          <w:i/>
          <w:sz w:val="24"/>
          <w:szCs w:val="24"/>
        </w:rPr>
        <w:tab/>
      </w:r>
      <w:r w:rsidRPr="007C21A1">
        <w:rPr>
          <w:position w:val="-6"/>
          <w:sz w:val="24"/>
          <w:szCs w:val="24"/>
        </w:rPr>
        <w:object w:dxaOrig="200" w:dyaOrig="220" w14:anchorId="7FCBD0D6">
          <v:shape id="_x0000_i1027" type="#_x0000_t75" style="width:9.7pt;height:11.1pt" o:ole="">
            <v:imagedata r:id="rId11" o:title=""/>
          </v:shape>
          <o:OLEObject Type="Embed" ProgID="Equation.3" ShapeID="_x0000_i1027" DrawAspect="Content" ObjectID="_1530522837" r:id="rId12"/>
        </w:object>
      </w:r>
      <w:r>
        <w:rPr>
          <w:sz w:val="24"/>
          <w:szCs w:val="24"/>
        </w:rPr>
        <w:t xml:space="preserve">  = national sample size less the number of certainty units</w:t>
      </w:r>
    </w:p>
    <w:p w14:paraId="2A3280BD" w14:textId="77777777" w:rsidR="004B0D70" w:rsidRPr="007C21A1" w:rsidRDefault="004B0D70" w:rsidP="00436562">
      <w:pPr>
        <w:tabs>
          <w:tab w:val="left" w:pos="-5220"/>
        </w:tabs>
        <w:ind w:left="2520" w:hanging="900"/>
        <w:rPr>
          <w:sz w:val="24"/>
          <w:szCs w:val="24"/>
        </w:rPr>
      </w:pPr>
      <w:r w:rsidRPr="007C21A1">
        <w:rPr>
          <w:i/>
          <w:sz w:val="24"/>
          <w:szCs w:val="24"/>
        </w:rPr>
        <w:tab/>
      </w:r>
      <w:proofErr w:type="spellStart"/>
      <w:r w:rsidRPr="007C21A1">
        <w:rPr>
          <w:i/>
          <w:sz w:val="24"/>
          <w:szCs w:val="24"/>
        </w:rPr>
        <w:t>X</w:t>
      </w:r>
      <w:r w:rsidRPr="007C21A1">
        <w:rPr>
          <w:i/>
          <w:sz w:val="24"/>
          <w:szCs w:val="24"/>
          <w:vertAlign w:val="subscript"/>
        </w:rPr>
        <w:t>h</w:t>
      </w:r>
      <w:proofErr w:type="spellEnd"/>
      <w:r>
        <w:rPr>
          <w:sz w:val="24"/>
          <w:szCs w:val="24"/>
        </w:rPr>
        <w:t xml:space="preserve">  =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14:paraId="6E819A4A" w14:textId="77777777" w:rsidR="004B0D70" w:rsidRPr="00436562" w:rsidRDefault="004B0D70" w:rsidP="001236A3">
      <w:pPr>
        <w:tabs>
          <w:tab w:val="left" w:pos="-5220"/>
        </w:tabs>
        <w:ind w:left="2520" w:hanging="900"/>
        <w:rPr>
          <w:sz w:val="24"/>
          <w:szCs w:val="24"/>
        </w:rPr>
      </w:pPr>
      <w:r w:rsidRPr="007C21A1">
        <w:rPr>
          <w:i/>
          <w:sz w:val="24"/>
          <w:szCs w:val="24"/>
        </w:rPr>
        <w:t xml:space="preserve"> </w:t>
      </w:r>
      <w:r w:rsidRPr="007C21A1">
        <w:rPr>
          <w:i/>
          <w:sz w:val="24"/>
          <w:szCs w:val="24"/>
        </w:rPr>
        <w:tab/>
      </w:r>
      <w:proofErr w:type="spellStart"/>
      <w:r w:rsidRPr="007C21A1">
        <w:rPr>
          <w:i/>
          <w:sz w:val="24"/>
          <w:szCs w:val="24"/>
        </w:rPr>
        <w:t>S</w:t>
      </w:r>
      <w:r w:rsidRPr="007C21A1">
        <w:rPr>
          <w:i/>
          <w:sz w:val="24"/>
          <w:szCs w:val="24"/>
          <w:vertAlign w:val="subscript"/>
        </w:rPr>
        <w:t>h</w:t>
      </w:r>
      <w:proofErr w:type="spellEnd"/>
      <w:r w:rsidRPr="007C21A1">
        <w:rPr>
          <w:i/>
          <w:sz w:val="24"/>
          <w:szCs w:val="24"/>
          <w:vertAlign w:val="subscript"/>
        </w:rPr>
        <w:t xml:space="preserve">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14:paraId="7D08FB98" w14:textId="77777777" w:rsidR="004B0D70" w:rsidRDefault="004B0D70" w:rsidP="00175C6C">
      <w:pPr>
        <w:rPr>
          <w:sz w:val="24"/>
          <w:szCs w:val="24"/>
        </w:rPr>
      </w:pPr>
    </w:p>
    <w:p w14:paraId="5CA8FA04" w14:textId="77777777" w:rsidR="004B0D70" w:rsidRPr="007C21A1" w:rsidRDefault="004B0D70" w:rsidP="00175C6C">
      <w:pPr>
        <w:rPr>
          <w:sz w:val="24"/>
          <w:szCs w:val="24"/>
        </w:rPr>
      </w:pPr>
      <w:r>
        <w:rPr>
          <w:sz w:val="24"/>
          <w:szCs w:val="24"/>
        </w:rPr>
        <w:t>Additionally, OES ensures that a minimum sample size is allocated to each sample stratum such that the final sample allocation for each stratum is equal to the maximum of the minimum allocation and the power allocation.</w:t>
      </w:r>
    </w:p>
    <w:p w14:paraId="598C58C6" w14:textId="77777777" w:rsidR="004B0D70" w:rsidRDefault="004B0D70" w:rsidP="0063667B">
      <w:pPr>
        <w:rPr>
          <w:sz w:val="24"/>
        </w:rPr>
      </w:pPr>
    </w:p>
    <w:p w14:paraId="78367E4A" w14:textId="77777777" w:rsidR="004B0D70" w:rsidRDefault="004B0D70" w:rsidP="0063667B">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14:paraId="5D97DF55" w14:textId="77777777" w:rsidR="004B0D70" w:rsidRPr="004F5CC9" w:rsidRDefault="004B0D70" w:rsidP="004F5CC9">
      <w:pPr>
        <w:rPr>
          <w:sz w:val="24"/>
          <w:szCs w:val="24"/>
        </w:rPr>
      </w:pPr>
    </w:p>
    <w:p w14:paraId="265FA2DC" w14:textId="77777777" w:rsidR="004B0D70" w:rsidRPr="0007494F" w:rsidRDefault="004B0D70" w:rsidP="0063667B">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of 10 to 20 percent for the typical occupations in each MSA/ 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stimates for typical occupations at higher aggregate levels of area and industry will have substantially smaller relative standard errors.</w:t>
      </w:r>
    </w:p>
    <w:p w14:paraId="3DF7A9BD" w14:textId="77777777" w:rsidR="004B0D70" w:rsidRPr="0007494F" w:rsidRDefault="004B0D70" w:rsidP="0063667B">
      <w:pPr>
        <w:tabs>
          <w:tab w:val="left" w:pos="0"/>
        </w:tabs>
        <w:rPr>
          <w:sz w:val="24"/>
        </w:rPr>
      </w:pPr>
    </w:p>
    <w:p w14:paraId="61378D00" w14:textId="77777777" w:rsidR="004B0D70" w:rsidRDefault="004B0D70" w:rsidP="0063667B">
      <w:pPr>
        <w:tabs>
          <w:tab w:val="left" w:pos="0"/>
        </w:tabs>
        <w:rPr>
          <w:sz w:val="24"/>
        </w:rPr>
      </w:pPr>
      <w:r w:rsidRPr="00711B8A">
        <w:rPr>
          <w:i/>
          <w:sz w:val="24"/>
        </w:rPr>
        <w:t>Frequency of Sampling</w:t>
      </w:r>
      <w:r>
        <w:rPr>
          <w:sz w:val="24"/>
        </w:rPr>
        <w:t>--</w:t>
      </w:r>
      <w:r w:rsidRPr="0007494F">
        <w:rPr>
          <w:sz w:val="24"/>
        </w:rPr>
        <w:t>Each year, semiannual panels of about 20</w:t>
      </w:r>
      <w:r>
        <w:rPr>
          <w:sz w:val="24"/>
        </w:rPr>
        <w:t>0</w:t>
      </w:r>
      <w:r w:rsidRPr="0007494F">
        <w:rPr>
          <w:sz w:val="24"/>
        </w:rPr>
        <w:t xml:space="preserve">,000 establishments each are selected for the May and November </w:t>
      </w:r>
      <w:r>
        <w:rPr>
          <w:sz w:val="24"/>
        </w:rPr>
        <w:t>reference periods</w:t>
      </w:r>
      <w:r w:rsidRPr="0007494F">
        <w:rPr>
          <w:sz w:val="24"/>
        </w:rPr>
        <w:t>.</w:t>
      </w:r>
      <w:r>
        <w:rPr>
          <w:sz w:val="24"/>
        </w:rPr>
        <w:t xml:space="preserve"> </w:t>
      </w:r>
    </w:p>
    <w:p w14:paraId="2B2934EF" w14:textId="77777777" w:rsidR="004B0D70" w:rsidRPr="0007494F" w:rsidRDefault="004B0D70" w:rsidP="0063667B">
      <w:pPr>
        <w:tabs>
          <w:tab w:val="left" w:pos="0"/>
        </w:tabs>
        <w:rPr>
          <w:sz w:val="24"/>
        </w:rPr>
      </w:pPr>
    </w:p>
    <w:p w14:paraId="66E078EF" w14:textId="77777777" w:rsidR="004B0D70" w:rsidRDefault="004B0D70" w:rsidP="00711B8A">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w:t>
      </w:r>
    </w:p>
    <w:p w14:paraId="4C8C46EF" w14:textId="77777777" w:rsidR="004B0D70" w:rsidRDefault="004B0D70" w:rsidP="00711B8A">
      <w:pPr>
        <w:tabs>
          <w:tab w:val="left" w:pos="0"/>
        </w:tabs>
        <w:rPr>
          <w:sz w:val="24"/>
          <w:szCs w:val="24"/>
        </w:rPr>
      </w:pPr>
    </w:p>
    <w:p w14:paraId="3C8A1E0F" w14:textId="367A0ED0" w:rsidR="00E60761" w:rsidRDefault="004B0D70" w:rsidP="0063667B">
      <w:pPr>
        <w:rPr>
          <w:sz w:val="24"/>
        </w:rPr>
      </w:pPr>
      <w:r>
        <w:rPr>
          <w:sz w:val="24"/>
        </w:rPr>
        <w:t>More detailed information about OES sample allocation and selection procedures can be found in Chapter 3 of the BLS Handbook of Methods (</w:t>
      </w:r>
      <w:r w:rsidR="00652F8E" w:rsidRPr="00652F8E">
        <w:t>http://www.bls.gov/opub/hom/pdf/homch3.pdf</w:t>
      </w:r>
      <w:r w:rsidR="00E60761">
        <w:t>)</w:t>
      </w:r>
      <w:r w:rsidR="00AE5074">
        <w:t>.</w:t>
      </w:r>
    </w:p>
    <w:p w14:paraId="19AFFA1F" w14:textId="366E8BB4" w:rsidR="004B0D70" w:rsidRPr="00A54C81" w:rsidRDefault="004B0D70" w:rsidP="0063667B">
      <w:pPr>
        <w:rPr>
          <w:b/>
          <w:sz w:val="24"/>
        </w:rPr>
      </w:pPr>
      <w:r>
        <w:rPr>
          <w:sz w:val="24"/>
        </w:rPr>
        <w:br w:type="page"/>
      </w:r>
      <w:r w:rsidRPr="00A54C81">
        <w:rPr>
          <w:b/>
          <w:sz w:val="24"/>
        </w:rPr>
        <w:lastRenderedPageBreak/>
        <w:t xml:space="preserve">2(b) </w:t>
      </w:r>
      <w:r w:rsidR="00306BCF">
        <w:rPr>
          <w:b/>
          <w:sz w:val="24"/>
        </w:rPr>
        <w:tab/>
      </w:r>
      <w:r w:rsidRPr="00A54C81">
        <w:rPr>
          <w:b/>
          <w:sz w:val="24"/>
        </w:rPr>
        <w:t>Estimation Procedures</w:t>
      </w:r>
    </w:p>
    <w:p w14:paraId="0F1B347B" w14:textId="77777777" w:rsidR="004B0D70" w:rsidRPr="0007494F" w:rsidRDefault="004B0D70" w:rsidP="0063667B">
      <w:pPr>
        <w:rPr>
          <w:sz w:val="24"/>
        </w:rPr>
      </w:pPr>
    </w:p>
    <w:p w14:paraId="21B91586" w14:textId="77777777" w:rsidR="004B0D70" w:rsidRDefault="004B0D70" w:rsidP="0063667B">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about 1,200,000 establishments).  Data from several panels are combined in order to reduce the sampling error of the estimates at detailed levels (MSA</w:t>
      </w:r>
      <w:r>
        <w:rPr>
          <w:sz w:val="24"/>
        </w:rPr>
        <w:t xml:space="preserve"> by 4-5-6 digit NAICS</w:t>
      </w:r>
      <w:r w:rsidRPr="0007494F">
        <w:rPr>
          <w:sz w:val="24"/>
        </w:rPr>
        <w:t>).</w:t>
      </w:r>
      <w:r>
        <w:rPr>
          <w:sz w:val="24"/>
        </w:rPr>
        <w:t xml:space="preserve">  Combining samples from six panels increases the sample population counts at the total level by six fold.  However, not all cells have sample in them in each panel because many of the detailed cells are sparsely populated.  To avoid a multiple count of up to six fold, the sampling weight for each establishment in a “State-MSA/4-5-6 digit sampling cell”  is reduced by a factor 1/d, where, d is a counter indicating if the sampling cell has establishments from 1, 2, 3, 4, 5, or 6 panels.  The six-panel combined sample weight is used to calculate the employment and wage estimates.  </w:t>
      </w:r>
    </w:p>
    <w:p w14:paraId="547B6A0E" w14:textId="77777777" w:rsidR="004B0D70" w:rsidRPr="0007494F" w:rsidRDefault="004B0D70" w:rsidP="0063667B">
      <w:pPr>
        <w:rPr>
          <w:sz w:val="24"/>
        </w:rPr>
      </w:pPr>
    </w:p>
    <w:p w14:paraId="1DA073A7" w14:textId="77777777" w:rsidR="004B0D70" w:rsidRPr="00C1739F" w:rsidRDefault="004B0D70" w:rsidP="0063667B">
      <w:pPr>
        <w:autoSpaceDE w:val="0"/>
        <w:autoSpaceDN w:val="0"/>
        <w:adjustRightInd w:val="0"/>
        <w:rPr>
          <w:i/>
          <w:sz w:val="24"/>
        </w:rPr>
      </w:pPr>
      <w:r w:rsidRPr="00C1739F">
        <w:rPr>
          <w:i/>
          <w:sz w:val="24"/>
        </w:rPr>
        <w:t>Employment Estimation</w:t>
      </w:r>
    </w:p>
    <w:p w14:paraId="2F819BF8" w14:textId="77777777" w:rsidR="004B0D70" w:rsidRPr="00C1739F" w:rsidRDefault="004B0D70" w:rsidP="0063667B">
      <w:pPr>
        <w:autoSpaceDE w:val="0"/>
        <w:autoSpaceDN w:val="0"/>
        <w:adjustRightInd w:val="0"/>
        <w:rPr>
          <w:i/>
          <w:sz w:val="24"/>
        </w:rPr>
      </w:pPr>
    </w:p>
    <w:p w14:paraId="1A494BD1" w14:textId="77777777" w:rsidR="004B0D70" w:rsidRPr="00B6273E" w:rsidRDefault="004B0D70" w:rsidP="00B6273E">
      <w:pPr>
        <w:autoSpaceDE w:val="0"/>
        <w:autoSpaceDN w:val="0"/>
        <w:adjustRightInd w:val="0"/>
        <w:rPr>
          <w:bCs/>
          <w:sz w:val="24"/>
          <w:szCs w:val="24"/>
        </w:rPr>
      </w:pPr>
      <w:r w:rsidRPr="0007494F">
        <w:rPr>
          <w:sz w:val="24"/>
        </w:rPr>
        <w:t xml:space="preserve">The OES survey </w:t>
      </w:r>
      <w:r>
        <w:rPr>
          <w:sz w:val="24"/>
        </w:rPr>
        <w:t xml:space="preserve">publishes </w:t>
      </w:r>
      <w:r w:rsidRPr="0007494F">
        <w:rPr>
          <w:sz w:val="24"/>
        </w:rPr>
        <w:t>estimates of occupational employment for four-</w:t>
      </w:r>
      <w:r>
        <w:rPr>
          <w:sz w:val="24"/>
        </w:rPr>
        <w:t xml:space="preserve">, </w:t>
      </w:r>
      <w:r w:rsidRPr="0007494F">
        <w:rPr>
          <w:sz w:val="24"/>
        </w:rPr>
        <w:t>five-</w:t>
      </w:r>
      <w:r>
        <w:rPr>
          <w:sz w:val="24"/>
        </w:rPr>
        <w:t>, or six-</w:t>
      </w:r>
      <w:r w:rsidRPr="0007494F">
        <w:rPr>
          <w:sz w:val="24"/>
        </w:rPr>
        <w:t>digit industry</w:t>
      </w:r>
      <w:r>
        <w:rPr>
          <w:sz w:val="24"/>
        </w:rPr>
        <w:t xml:space="preserve"> </w:t>
      </w:r>
      <w:r w:rsidRPr="0007494F">
        <w:rPr>
          <w:sz w:val="24"/>
        </w:rPr>
        <w:t>cell</w:t>
      </w:r>
      <w:r>
        <w:rPr>
          <w:sz w:val="24"/>
        </w:rPr>
        <w:t>s</w:t>
      </w:r>
      <w:r w:rsidRPr="0007494F">
        <w:rPr>
          <w:sz w:val="24"/>
        </w:rPr>
        <w:t xml:space="preserve"> within State</w:t>
      </w:r>
      <w:r>
        <w:rPr>
          <w:sz w:val="24"/>
        </w:rPr>
        <w:t>s</w:t>
      </w:r>
      <w:r w:rsidRPr="0007494F">
        <w:rPr>
          <w:sz w:val="24"/>
        </w:rPr>
        <w:t xml:space="preserve"> </w:t>
      </w:r>
      <w:r>
        <w:rPr>
          <w:sz w:val="24"/>
        </w:rPr>
        <w:t>and</w:t>
      </w:r>
      <w:r w:rsidRPr="0007494F">
        <w:rPr>
          <w:sz w:val="24"/>
        </w:rPr>
        <w:t xml:space="preserve"> the Nation</w:t>
      </w:r>
      <w:r>
        <w:rPr>
          <w:sz w:val="24"/>
        </w:rPr>
        <w:t xml:space="preserve"> and cross-industry cells for MSAs</w:t>
      </w:r>
      <w:r w:rsidRPr="0007494F">
        <w:rPr>
          <w:sz w:val="24"/>
        </w:rPr>
        <w:t xml:space="preserve">.  The estimation process begins with an edit procedure to identify and correct inconsistent or incomplete data on the file.  The procedure also identifies and makes adjustments to atypical reporting units.  Afterwards, a hot-deck nearest-neighbor imputation is used to impute </w:t>
      </w:r>
      <w:r>
        <w:rPr>
          <w:sz w:val="24"/>
        </w:rPr>
        <w:t xml:space="preserve">occupational </w:t>
      </w:r>
      <w:r w:rsidRPr="0007494F">
        <w:rPr>
          <w:sz w:val="24"/>
        </w:rPr>
        <w:t xml:space="preserve">staffing patterns for the </w:t>
      </w:r>
      <w:proofErr w:type="spellStart"/>
      <w:r w:rsidRPr="0007494F">
        <w:rPr>
          <w:sz w:val="24"/>
        </w:rPr>
        <w:t>nonresponding</w:t>
      </w:r>
      <w:proofErr w:type="spellEnd"/>
      <w:r w:rsidRPr="0007494F">
        <w:rPr>
          <w:sz w:val="24"/>
        </w:rPr>
        <w:t xml:space="preserve"> units.  Next, a mean of cell imputation procedure is used to impute for missing occupational wage employment data.  </w:t>
      </w:r>
      <w:r>
        <w:rPr>
          <w:sz w:val="24"/>
        </w:rPr>
        <w:t xml:space="preserve">After the data are edited and imputed, the d-weighting as described in the previous paragraph is processed.  </w:t>
      </w:r>
      <w:r w:rsidRPr="0007494F">
        <w:rPr>
          <w:sz w:val="24"/>
        </w:rPr>
        <w:t xml:space="preserve">Finally, the weighted sampled employment totals are ratio adjusted, or benchmarked, to known employment totals.  These known employment totals are extracted from the Bureau’s </w:t>
      </w:r>
      <w:r>
        <w:rPr>
          <w:sz w:val="24"/>
        </w:rPr>
        <w:t>Enhanced Quarterly Unemployment Insurance (</w:t>
      </w:r>
      <w:r w:rsidRPr="0007494F">
        <w:rPr>
          <w:sz w:val="24"/>
        </w:rPr>
        <w:t>EQUI</w:t>
      </w:r>
      <w:r>
        <w:rPr>
          <w:sz w:val="24"/>
        </w:rPr>
        <w:t>)</w:t>
      </w:r>
      <w:r w:rsidRPr="0007494F">
        <w:rPr>
          <w:sz w:val="24"/>
        </w:rPr>
        <w:t xml:space="preserve"> files</w:t>
      </w:r>
      <w:r>
        <w:rPr>
          <w:sz w:val="24"/>
        </w:rPr>
        <w:t>, which are the raw state micro-data used to create the longitudinal links for the QCEW</w:t>
      </w:r>
      <w:r w:rsidRPr="0007494F">
        <w:rPr>
          <w:sz w:val="24"/>
        </w:rPr>
        <w:t xml:space="preserve">.  The sampling weight of each unit is multiplied by the benchmark factor to produce a final weight value for the unit.  </w:t>
      </w:r>
      <w:r w:rsidRPr="00234E64">
        <w:rPr>
          <w:sz w:val="24"/>
          <w:szCs w:val="24"/>
        </w:rPr>
        <w:t xml:space="preserve"> </w:t>
      </w:r>
      <w:r w:rsidRPr="00B6273E">
        <w:rPr>
          <w:bCs/>
          <w:sz w:val="24"/>
          <w:szCs w:val="24"/>
        </w:rPr>
        <w:t>The following equation is used to calculate occupational employment estimates for an estimation cell defined by geographic area,</w:t>
      </w:r>
      <w:r>
        <w:rPr>
          <w:bCs/>
          <w:sz w:val="24"/>
          <w:szCs w:val="24"/>
        </w:rPr>
        <w:t xml:space="preserve"> industry group, and size class:</w:t>
      </w:r>
    </w:p>
    <w:p w14:paraId="08EE58C9" w14:textId="77777777" w:rsidR="004B0D70" w:rsidRPr="00B6273E" w:rsidRDefault="004B0D70" w:rsidP="00B6273E">
      <w:pPr>
        <w:autoSpaceDE w:val="0"/>
        <w:autoSpaceDN w:val="0"/>
        <w:adjustRightInd w:val="0"/>
        <w:rPr>
          <w:sz w:val="24"/>
          <w:szCs w:val="24"/>
        </w:rPr>
      </w:pPr>
    </w:p>
    <w:p w14:paraId="3AD0D1EA" w14:textId="77777777" w:rsidR="004B0D70" w:rsidRDefault="004B0D70" w:rsidP="00B6273E">
      <w:pPr>
        <w:autoSpaceDE w:val="0"/>
        <w:autoSpaceDN w:val="0"/>
        <w:adjustRightInd w:val="0"/>
        <w:rPr>
          <w:sz w:val="24"/>
          <w:szCs w:val="24"/>
        </w:rPr>
      </w:pPr>
      <w:r w:rsidRPr="00B6273E">
        <w:rPr>
          <w:sz w:val="24"/>
          <w:szCs w:val="24"/>
        </w:rPr>
        <w:tab/>
      </w:r>
      <w:r w:rsidRPr="00B6273E">
        <w:rPr>
          <w:sz w:val="24"/>
          <w:szCs w:val="24"/>
        </w:rPr>
        <w:tab/>
      </w:r>
      <w:r w:rsidRPr="00B6273E">
        <w:rPr>
          <w:sz w:val="24"/>
          <w:szCs w:val="24"/>
        </w:rPr>
        <w:object w:dxaOrig="2439" w:dyaOrig="560" w14:anchorId="4917B13B">
          <v:shape id="_x0000_i1028" type="#_x0000_t75" style="width:123.25pt;height:26.75pt" o:ole="" fillcolor="window">
            <v:imagedata r:id="rId13" o:title=""/>
          </v:shape>
          <o:OLEObject Type="Embed" ProgID="Equation.3" ShapeID="_x0000_i1028" DrawAspect="Content" ObjectID="_1530522838" r:id="rId14"/>
        </w:object>
      </w:r>
    </w:p>
    <w:p w14:paraId="7811CF01" w14:textId="77777777" w:rsidR="004B0D70" w:rsidRPr="00B6273E" w:rsidRDefault="004B0D70" w:rsidP="00E36497">
      <w:pPr>
        <w:autoSpaceDE w:val="0"/>
        <w:autoSpaceDN w:val="0"/>
        <w:adjustRightInd w:val="0"/>
        <w:ind w:firstLine="720"/>
        <w:rPr>
          <w:sz w:val="24"/>
          <w:szCs w:val="24"/>
        </w:rPr>
      </w:pPr>
      <w:r>
        <w:rPr>
          <w:sz w:val="24"/>
          <w:szCs w:val="24"/>
        </w:rPr>
        <w:t>Where,</w:t>
      </w:r>
    </w:p>
    <w:p w14:paraId="5E3F40C3" w14:textId="77777777" w:rsidR="004B0D70" w:rsidRPr="00B6273E" w:rsidRDefault="004B0D70" w:rsidP="00B6273E">
      <w:pPr>
        <w:autoSpaceDE w:val="0"/>
        <w:autoSpaceDN w:val="0"/>
        <w:adjustRightInd w:val="0"/>
        <w:ind w:left="720"/>
        <w:rPr>
          <w:sz w:val="24"/>
          <w:szCs w:val="24"/>
        </w:rPr>
      </w:pPr>
      <w:r w:rsidRPr="00B6273E">
        <w:rPr>
          <w:i/>
          <w:sz w:val="24"/>
          <w:szCs w:val="24"/>
        </w:rPr>
        <w:t>o</w:t>
      </w:r>
      <w:r w:rsidRPr="00B6273E">
        <w:rPr>
          <w:sz w:val="24"/>
          <w:szCs w:val="24"/>
        </w:rPr>
        <w:tab/>
        <w:t>=  occupation;</w:t>
      </w:r>
    </w:p>
    <w:p w14:paraId="3BA46C28"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h</w:t>
      </w:r>
      <w:r w:rsidRPr="00B6273E">
        <w:rPr>
          <w:sz w:val="24"/>
          <w:szCs w:val="24"/>
        </w:rPr>
        <w:tab/>
        <w:t>=  estimation cell;</w:t>
      </w:r>
    </w:p>
    <w:p w14:paraId="2DD602EA" w14:textId="77777777" w:rsidR="004B0D70" w:rsidRPr="00B6273E" w:rsidRDefault="004B0D70" w:rsidP="00B6273E">
      <w:pPr>
        <w:autoSpaceDE w:val="0"/>
        <w:autoSpaceDN w:val="0"/>
        <w:adjustRightInd w:val="0"/>
        <w:rPr>
          <w:sz w:val="24"/>
          <w:szCs w:val="24"/>
        </w:rPr>
      </w:pPr>
      <w:r w:rsidRPr="00B6273E">
        <w:rPr>
          <w:sz w:val="24"/>
          <w:szCs w:val="24"/>
        </w:rPr>
        <w:tab/>
      </w:r>
      <w:proofErr w:type="spellStart"/>
      <w:r w:rsidRPr="00B6273E">
        <w:rPr>
          <w:i/>
          <w:sz w:val="24"/>
          <w:szCs w:val="24"/>
        </w:rPr>
        <w:t>w</w:t>
      </w:r>
      <w:r w:rsidRPr="00B6273E">
        <w:rPr>
          <w:i/>
          <w:sz w:val="24"/>
          <w:szCs w:val="24"/>
          <w:vertAlign w:val="subscript"/>
        </w:rPr>
        <w:t>i</w:t>
      </w:r>
      <w:proofErr w:type="spellEnd"/>
      <w:r w:rsidRPr="00B6273E">
        <w:rPr>
          <w:sz w:val="24"/>
          <w:szCs w:val="24"/>
        </w:rPr>
        <w:tab/>
        <w:t xml:space="preserve">=  six-panel combined sample weight for establishment </w:t>
      </w:r>
      <w:r w:rsidRPr="00B6273E">
        <w:rPr>
          <w:i/>
          <w:sz w:val="24"/>
          <w:szCs w:val="24"/>
        </w:rPr>
        <w:t>i</w:t>
      </w:r>
      <w:r w:rsidRPr="00B6273E">
        <w:rPr>
          <w:sz w:val="24"/>
          <w:szCs w:val="24"/>
        </w:rPr>
        <w:t>;</w:t>
      </w:r>
    </w:p>
    <w:p w14:paraId="063A9052" w14:textId="77777777" w:rsidR="004B0D70" w:rsidRPr="00B6273E" w:rsidRDefault="004B0D70" w:rsidP="00B6273E">
      <w:pPr>
        <w:autoSpaceDE w:val="0"/>
        <w:autoSpaceDN w:val="0"/>
        <w:adjustRightInd w:val="0"/>
        <w:rPr>
          <w:sz w:val="24"/>
          <w:szCs w:val="24"/>
        </w:rPr>
      </w:pPr>
      <w:r w:rsidRPr="00B6273E">
        <w:rPr>
          <w:i/>
          <w:sz w:val="24"/>
          <w:szCs w:val="24"/>
        </w:rPr>
        <w:tab/>
      </w:r>
      <w:proofErr w:type="spellStart"/>
      <w:r w:rsidRPr="00B6273E">
        <w:rPr>
          <w:i/>
          <w:sz w:val="24"/>
          <w:szCs w:val="24"/>
        </w:rPr>
        <w:t>BMF</w:t>
      </w:r>
      <w:r w:rsidRPr="00B6273E">
        <w:rPr>
          <w:i/>
          <w:sz w:val="24"/>
          <w:szCs w:val="24"/>
          <w:vertAlign w:val="subscript"/>
        </w:rPr>
        <w:t>i</w:t>
      </w:r>
      <w:proofErr w:type="spellEnd"/>
      <w:r w:rsidRPr="00B6273E">
        <w:rPr>
          <w:i/>
          <w:sz w:val="24"/>
          <w:szCs w:val="24"/>
          <w:vertAlign w:val="subscript"/>
        </w:rPr>
        <w:t xml:space="preserve"> </w:t>
      </w:r>
      <w:r w:rsidRPr="00B6273E">
        <w:rPr>
          <w:i/>
          <w:sz w:val="24"/>
          <w:szCs w:val="24"/>
          <w:vertAlign w:val="subscript"/>
        </w:rPr>
        <w:tab/>
      </w:r>
      <w:r w:rsidRPr="00B6273E">
        <w:rPr>
          <w:sz w:val="24"/>
          <w:szCs w:val="24"/>
        </w:rPr>
        <w:t xml:space="preserve">=  final benchmark factor for establishment </w:t>
      </w:r>
      <w:r w:rsidRPr="00B6273E">
        <w:rPr>
          <w:i/>
          <w:sz w:val="24"/>
          <w:szCs w:val="24"/>
        </w:rPr>
        <w:t>i</w:t>
      </w:r>
      <w:r w:rsidRPr="00B6273E">
        <w:rPr>
          <w:sz w:val="24"/>
          <w:szCs w:val="24"/>
        </w:rPr>
        <w:t>;</w:t>
      </w:r>
    </w:p>
    <w:p w14:paraId="0FBF4DF1" w14:textId="77777777" w:rsidR="004B0D70" w:rsidRPr="00B6273E" w:rsidRDefault="004B0D70" w:rsidP="00B6273E">
      <w:pPr>
        <w:autoSpaceDE w:val="0"/>
        <w:autoSpaceDN w:val="0"/>
        <w:adjustRightInd w:val="0"/>
        <w:rPr>
          <w:sz w:val="24"/>
          <w:szCs w:val="24"/>
        </w:rPr>
      </w:pPr>
      <w:r w:rsidRPr="00B6273E">
        <w:rPr>
          <w:sz w:val="24"/>
          <w:szCs w:val="24"/>
        </w:rPr>
        <w:tab/>
      </w:r>
      <w:proofErr w:type="spellStart"/>
      <w:r w:rsidRPr="00B6273E">
        <w:rPr>
          <w:i/>
          <w:sz w:val="24"/>
          <w:szCs w:val="24"/>
        </w:rPr>
        <w:t>x</w:t>
      </w:r>
      <w:r w:rsidRPr="00B6273E">
        <w:rPr>
          <w:i/>
          <w:sz w:val="24"/>
          <w:szCs w:val="24"/>
          <w:vertAlign w:val="subscript"/>
        </w:rPr>
        <w:t>io</w:t>
      </w:r>
      <w:proofErr w:type="spellEnd"/>
      <w:r w:rsidRPr="00B6273E">
        <w:rPr>
          <w:sz w:val="24"/>
          <w:szCs w:val="24"/>
        </w:rPr>
        <w:t xml:space="preserve">  </w:t>
      </w:r>
      <w:r w:rsidRPr="00B6273E">
        <w:rPr>
          <w:sz w:val="24"/>
          <w:szCs w:val="24"/>
        </w:rPr>
        <w:tab/>
        <w:t xml:space="preserve">=  reported employment for occupation </w:t>
      </w:r>
      <w:r w:rsidRPr="00B6273E">
        <w:rPr>
          <w:i/>
          <w:sz w:val="24"/>
          <w:szCs w:val="24"/>
        </w:rPr>
        <w:t>o</w:t>
      </w:r>
      <w:r w:rsidRPr="00B6273E">
        <w:rPr>
          <w:sz w:val="24"/>
          <w:szCs w:val="24"/>
        </w:rPr>
        <w:t xml:space="preserve"> in establishment </w:t>
      </w:r>
      <w:r w:rsidRPr="00B6273E">
        <w:rPr>
          <w:i/>
          <w:sz w:val="24"/>
          <w:szCs w:val="24"/>
        </w:rPr>
        <w:t>i</w:t>
      </w:r>
      <w:r w:rsidRPr="00B6273E">
        <w:rPr>
          <w:sz w:val="24"/>
          <w:szCs w:val="24"/>
        </w:rPr>
        <w:t>;</w:t>
      </w:r>
    </w:p>
    <w:p w14:paraId="391DDA36" w14:textId="77777777" w:rsidR="004B0D70" w:rsidRDefault="004B0D70" w:rsidP="00B6273E">
      <w:pPr>
        <w:autoSpaceDE w:val="0"/>
        <w:autoSpaceDN w:val="0"/>
        <w:adjustRightInd w:val="0"/>
        <w:rPr>
          <w:i/>
          <w:sz w:val="24"/>
          <w:szCs w:val="24"/>
        </w:rPr>
      </w:pPr>
      <w:r w:rsidRPr="00B6273E">
        <w:rPr>
          <w:sz w:val="24"/>
          <w:szCs w:val="24"/>
        </w:rPr>
        <w:tab/>
      </w:r>
      <w:r w:rsidRPr="00B6273E">
        <w:rPr>
          <w:position w:val="-12"/>
          <w:sz w:val="24"/>
          <w:szCs w:val="24"/>
        </w:rPr>
        <w:object w:dxaOrig="420" w:dyaOrig="400" w14:anchorId="2CF6F848">
          <v:shape id="_x0000_i1029" type="#_x0000_t75" style="width:21.25pt;height:19.85pt" o:ole="" fillcolor="window">
            <v:imagedata r:id="rId15" o:title=""/>
          </v:shape>
          <o:OLEObject Type="Embed" ProgID="Equation.3" ShapeID="_x0000_i1029" DrawAspect="Content" ObjectID="_1530522839" r:id="rId16"/>
        </w:object>
      </w:r>
      <w:r w:rsidRPr="00B6273E">
        <w:rPr>
          <w:sz w:val="24"/>
          <w:szCs w:val="24"/>
        </w:rPr>
        <w:tab/>
      </w:r>
      <w:proofErr w:type="gramStart"/>
      <w:r w:rsidRPr="00B6273E">
        <w:rPr>
          <w:sz w:val="24"/>
          <w:szCs w:val="24"/>
        </w:rPr>
        <w:t>=  estimated</w:t>
      </w:r>
      <w:proofErr w:type="gramEnd"/>
      <w:r w:rsidRPr="00B6273E">
        <w:rPr>
          <w:sz w:val="24"/>
          <w:szCs w:val="24"/>
        </w:rPr>
        <w:t xml:space="preserve"> employment for occupation </w:t>
      </w:r>
      <w:r w:rsidRPr="00B6273E">
        <w:rPr>
          <w:i/>
          <w:sz w:val="24"/>
          <w:szCs w:val="24"/>
        </w:rPr>
        <w:t>o</w:t>
      </w:r>
      <w:r w:rsidRPr="00B6273E">
        <w:rPr>
          <w:sz w:val="24"/>
          <w:szCs w:val="24"/>
        </w:rPr>
        <w:t xml:space="preserve"> in cell </w:t>
      </w:r>
      <w:r w:rsidRPr="00B6273E">
        <w:rPr>
          <w:i/>
          <w:sz w:val="24"/>
          <w:szCs w:val="24"/>
        </w:rPr>
        <w:t>h</w:t>
      </w:r>
    </w:p>
    <w:p w14:paraId="49492448" w14:textId="77777777" w:rsidR="004B0D70" w:rsidRPr="00B6273E" w:rsidRDefault="004B0D70" w:rsidP="00B6273E">
      <w:pPr>
        <w:autoSpaceDE w:val="0"/>
        <w:autoSpaceDN w:val="0"/>
        <w:adjustRightInd w:val="0"/>
        <w:rPr>
          <w:sz w:val="24"/>
          <w:szCs w:val="24"/>
        </w:rPr>
      </w:pPr>
    </w:p>
    <w:p w14:paraId="1601AFC2" w14:textId="77777777" w:rsidR="004B0D70" w:rsidRPr="004F5CC9" w:rsidRDefault="004B0D70" w:rsidP="0063667B">
      <w:pPr>
        <w:autoSpaceDE w:val="0"/>
        <w:autoSpaceDN w:val="0"/>
        <w:adjustRightInd w:val="0"/>
        <w:rPr>
          <w:sz w:val="24"/>
          <w:szCs w:val="24"/>
        </w:rPr>
      </w:pPr>
      <w:r w:rsidRPr="00234E64">
        <w:rPr>
          <w:sz w:val="24"/>
          <w:szCs w:val="24"/>
        </w:rPr>
        <w:t xml:space="preserve">Each occupational employment estimate has a standard error that is calculated using a </w:t>
      </w:r>
      <w:r>
        <w:rPr>
          <w:sz w:val="24"/>
          <w:szCs w:val="24"/>
        </w:rPr>
        <w:t xml:space="preserve">random group </w:t>
      </w:r>
      <w:r w:rsidRPr="00234E64">
        <w:rPr>
          <w:sz w:val="24"/>
          <w:szCs w:val="24"/>
        </w:rPr>
        <w:t>jackknife variance estimator.</w:t>
      </w:r>
      <w:r>
        <w:rPr>
          <w:sz w:val="24"/>
          <w:szCs w:val="24"/>
        </w:rPr>
        <w:t xml:space="preserve">  </w:t>
      </w:r>
    </w:p>
    <w:p w14:paraId="59C05188" w14:textId="77777777" w:rsidR="004B0D70" w:rsidRPr="0007494F" w:rsidRDefault="004B0D70" w:rsidP="0063667B">
      <w:pPr>
        <w:rPr>
          <w:sz w:val="24"/>
        </w:rPr>
      </w:pPr>
    </w:p>
    <w:p w14:paraId="4204C71E" w14:textId="77777777" w:rsidR="004B0D70" w:rsidRPr="00C1739F" w:rsidRDefault="004B0D70" w:rsidP="0063667B">
      <w:pPr>
        <w:autoSpaceDE w:val="0"/>
        <w:autoSpaceDN w:val="0"/>
        <w:adjustRightInd w:val="0"/>
        <w:rPr>
          <w:i/>
          <w:sz w:val="24"/>
          <w:szCs w:val="24"/>
        </w:rPr>
      </w:pPr>
      <w:r w:rsidRPr="00C1739F">
        <w:rPr>
          <w:i/>
          <w:sz w:val="24"/>
          <w:szCs w:val="24"/>
        </w:rPr>
        <w:t>Wage Estimation</w:t>
      </w:r>
    </w:p>
    <w:p w14:paraId="4C579547" w14:textId="77777777" w:rsidR="004B0D70" w:rsidRDefault="004B0D70" w:rsidP="0063667B">
      <w:pPr>
        <w:autoSpaceDE w:val="0"/>
        <w:autoSpaceDN w:val="0"/>
        <w:adjustRightInd w:val="0"/>
        <w:rPr>
          <w:sz w:val="24"/>
          <w:szCs w:val="24"/>
        </w:rPr>
      </w:pPr>
    </w:p>
    <w:p w14:paraId="5706944A" w14:textId="77777777" w:rsidR="004B0D70" w:rsidRDefault="004B0D70" w:rsidP="0063667B">
      <w:pPr>
        <w:autoSpaceDE w:val="0"/>
        <w:autoSpaceDN w:val="0"/>
        <w:adjustRightInd w:val="0"/>
        <w:rPr>
          <w:sz w:val="24"/>
          <w:szCs w:val="24"/>
        </w:rPr>
      </w:pPr>
      <w:r w:rsidRPr="003559EB">
        <w:rPr>
          <w:sz w:val="24"/>
          <w:szCs w:val="24"/>
        </w:rPr>
        <w:t>Mean wage and median wage estimates are calculated for each occupation within an MSA/four-</w:t>
      </w:r>
      <w:r>
        <w:rPr>
          <w:sz w:val="24"/>
          <w:szCs w:val="24"/>
        </w:rPr>
        <w:t xml:space="preserve">, </w:t>
      </w:r>
      <w:r w:rsidRPr="003559EB">
        <w:rPr>
          <w:sz w:val="24"/>
          <w:szCs w:val="24"/>
        </w:rPr>
        <w:t>five-</w:t>
      </w:r>
      <w:r>
        <w:rPr>
          <w:sz w:val="24"/>
          <w:szCs w:val="24"/>
        </w:rPr>
        <w:t>, or six-</w:t>
      </w:r>
      <w:r w:rsidRPr="003559EB">
        <w:rPr>
          <w:sz w:val="24"/>
          <w:szCs w:val="24"/>
        </w:rPr>
        <w:t xml:space="preserve">digit industry cell (and these are summed to higher levels).  </w:t>
      </w:r>
      <w:r>
        <w:rPr>
          <w:sz w:val="24"/>
          <w:szCs w:val="24"/>
        </w:rPr>
        <w:t xml:space="preserve">Traditionally </w:t>
      </w:r>
      <w:r w:rsidRPr="003559EB">
        <w:rPr>
          <w:sz w:val="24"/>
          <w:szCs w:val="24"/>
        </w:rPr>
        <w:t xml:space="preserve">OES wage rate data are </w:t>
      </w:r>
      <w:r w:rsidRPr="003559EB">
        <w:rPr>
          <w:sz w:val="24"/>
          <w:szCs w:val="24"/>
        </w:rPr>
        <w:lastRenderedPageBreak/>
        <w:t>collected in broad wage bands instead of exact data points</w:t>
      </w:r>
      <w:r>
        <w:rPr>
          <w:sz w:val="24"/>
          <w:szCs w:val="24"/>
        </w:rPr>
        <w:t>.  In 2009, OES began incorporating exact point data for federal and state governments for wage and percentile estimates.</w:t>
      </w:r>
    </w:p>
    <w:p w14:paraId="3273D05F" w14:textId="77777777" w:rsidR="004B0D70" w:rsidRDefault="004B0D70" w:rsidP="0063667B">
      <w:pPr>
        <w:autoSpaceDE w:val="0"/>
        <w:autoSpaceDN w:val="0"/>
        <w:adjustRightInd w:val="0"/>
        <w:rPr>
          <w:sz w:val="24"/>
          <w:szCs w:val="24"/>
        </w:rPr>
      </w:pPr>
    </w:p>
    <w:p w14:paraId="200D9F29" w14:textId="77777777" w:rsidR="004B0D70" w:rsidRDefault="004B0D70" w:rsidP="0063667B">
      <w:pPr>
        <w:autoSpaceDE w:val="0"/>
        <w:autoSpaceDN w:val="0"/>
        <w:adjustRightInd w:val="0"/>
        <w:rPr>
          <w:sz w:val="24"/>
          <w:szCs w:val="24"/>
        </w:rPr>
      </w:pPr>
      <w:r>
        <w:rPr>
          <w:sz w:val="24"/>
          <w:szCs w:val="24"/>
        </w:rPr>
        <w:t>For data that is collected in wage bands, t</w:t>
      </w:r>
      <w:r w:rsidRPr="003559EB">
        <w:rPr>
          <w:sz w:val="24"/>
          <w:szCs w:val="24"/>
        </w:rPr>
        <w:t xml:space="preserve">he mean wage rate for each wage band is obtained externally from the Bureau's National Compensation Survey (NCS).  The inflation factor from the Employment Cost Index is used to update wage data collected in past panels to be used in current wage estimates.  To approximate median wage rates, </w:t>
      </w:r>
      <w:r>
        <w:rPr>
          <w:sz w:val="24"/>
          <w:szCs w:val="24"/>
        </w:rPr>
        <w:t xml:space="preserve">OES assumes a uniform distribution within wage intervals and uses a </w:t>
      </w:r>
      <w:r w:rsidRPr="003559EB">
        <w:rPr>
          <w:sz w:val="24"/>
          <w:szCs w:val="24"/>
        </w:rPr>
        <w:t>simple linear interpolation b</w:t>
      </w:r>
      <w:r>
        <w:rPr>
          <w:sz w:val="24"/>
          <w:szCs w:val="24"/>
        </w:rPr>
        <w:t xml:space="preserve">etween the endpoints of the </w:t>
      </w:r>
      <w:r w:rsidRPr="003559EB">
        <w:rPr>
          <w:sz w:val="24"/>
          <w:szCs w:val="24"/>
        </w:rPr>
        <w:t>wage intervals</w:t>
      </w:r>
      <w:r>
        <w:rPr>
          <w:sz w:val="24"/>
          <w:szCs w:val="24"/>
        </w:rPr>
        <w:t xml:space="preserve">. </w:t>
      </w:r>
      <w:r w:rsidRPr="003559EB">
        <w:rPr>
          <w:sz w:val="24"/>
          <w:szCs w:val="24"/>
        </w:rPr>
        <w:t xml:space="preserve"> </w:t>
      </w:r>
      <w:r>
        <w:rPr>
          <w:sz w:val="24"/>
          <w:szCs w:val="24"/>
        </w:rPr>
        <w:t xml:space="preserve">Background on median wage estimators used in OES can be found on </w:t>
      </w:r>
      <w:hyperlink r:id="rId17" w:history="1">
        <w:r w:rsidRPr="002226BA">
          <w:rPr>
            <w:rStyle w:val="Hyperlink"/>
            <w:sz w:val="24"/>
            <w:szCs w:val="24"/>
          </w:rPr>
          <w:t>http://www.bls.gov/ore/pdf/st990160.pdf</w:t>
        </w:r>
      </w:hyperlink>
      <w:r>
        <w:rPr>
          <w:sz w:val="24"/>
          <w:szCs w:val="24"/>
        </w:rPr>
        <w:t xml:space="preserve">. </w:t>
      </w:r>
    </w:p>
    <w:p w14:paraId="459FA8C8" w14:textId="77777777" w:rsidR="004B0D70" w:rsidRDefault="004B0D70" w:rsidP="0063667B">
      <w:pPr>
        <w:autoSpaceDE w:val="0"/>
        <w:autoSpaceDN w:val="0"/>
        <w:adjustRightInd w:val="0"/>
        <w:rPr>
          <w:sz w:val="24"/>
          <w:szCs w:val="24"/>
        </w:rPr>
      </w:pPr>
    </w:p>
    <w:p w14:paraId="191AE609" w14:textId="77777777" w:rsidR="004B0D70" w:rsidRDefault="004B0D70" w:rsidP="0063667B">
      <w:pPr>
        <w:autoSpaceDE w:val="0"/>
        <w:autoSpaceDN w:val="0"/>
        <w:adjustRightInd w:val="0"/>
        <w:rPr>
          <w:sz w:val="24"/>
          <w:szCs w:val="24"/>
        </w:rPr>
      </w:pPr>
      <w:r w:rsidRPr="003559EB">
        <w:rPr>
          <w:sz w:val="24"/>
          <w:szCs w:val="24"/>
        </w:rPr>
        <w:t xml:space="preserve">Because </w:t>
      </w:r>
      <w:r>
        <w:rPr>
          <w:sz w:val="24"/>
          <w:szCs w:val="24"/>
        </w:rPr>
        <w:t xml:space="preserve">most </w:t>
      </w:r>
      <w:r w:rsidRPr="003559EB">
        <w:rPr>
          <w:sz w:val="24"/>
          <w:szCs w:val="24"/>
        </w:rPr>
        <w:t xml:space="preserve">wage rate data are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is used to account for the variability observed in the collected OES wage data.  Since the mean wage rate for each wage band is obtained externally from the Bureau's National Compensation Survey (NCS), there are unobserved components of wage rate variance that are modeled.  Detailed wage data collected by the NCS are used to estimate the variability of the unobserved components.  </w:t>
      </w:r>
    </w:p>
    <w:p w14:paraId="37F7B7E5" w14:textId="77777777" w:rsidR="004B0D70" w:rsidRPr="004379B7" w:rsidRDefault="004B0D70" w:rsidP="0063667B">
      <w:pPr>
        <w:autoSpaceDE w:val="0"/>
        <w:autoSpaceDN w:val="0"/>
        <w:adjustRightInd w:val="0"/>
        <w:rPr>
          <w:sz w:val="24"/>
          <w:szCs w:val="24"/>
        </w:rPr>
      </w:pPr>
    </w:p>
    <w:p w14:paraId="355690C0" w14:textId="77777777" w:rsidR="004B0D70" w:rsidRPr="004379B7" w:rsidRDefault="004B0D70" w:rsidP="004379B7">
      <w:pPr>
        <w:autoSpaceDE w:val="0"/>
        <w:autoSpaceDN w:val="0"/>
        <w:adjustRightInd w:val="0"/>
        <w:rPr>
          <w:sz w:val="24"/>
          <w:szCs w:val="24"/>
        </w:rPr>
      </w:pPr>
      <w:r>
        <w:rPr>
          <w:sz w:val="24"/>
          <w:szCs w:val="24"/>
        </w:rPr>
        <w:t xml:space="preserve">As mentioned above, </w:t>
      </w:r>
      <w:r w:rsidRPr="0040341F">
        <w:rPr>
          <w:sz w:val="24"/>
          <w:szCs w:val="24"/>
        </w:rPr>
        <w:t xml:space="preserve">OES began incorporating federal and state point data </w:t>
      </w:r>
      <w:r>
        <w:rPr>
          <w:sz w:val="24"/>
          <w:szCs w:val="24"/>
        </w:rPr>
        <w:t>for</w:t>
      </w:r>
      <w:r w:rsidRPr="0040341F">
        <w:rPr>
          <w:sz w:val="24"/>
          <w:szCs w:val="24"/>
        </w:rPr>
        <w:t xml:space="preserve"> both wage and percentile estimates</w:t>
      </w:r>
      <w:r>
        <w:rPr>
          <w:sz w:val="24"/>
          <w:szCs w:val="24"/>
        </w:rPr>
        <w:t xml:space="preserve"> in 2009</w:t>
      </w:r>
      <w:r w:rsidRPr="0040341F">
        <w:rPr>
          <w:sz w:val="24"/>
          <w:szCs w:val="24"/>
        </w:rPr>
        <w:t xml:space="preserve">. </w:t>
      </w:r>
      <w:r>
        <w:rPr>
          <w:sz w:val="24"/>
          <w:szCs w:val="24"/>
        </w:rPr>
        <w:t xml:space="preserve"> S</w:t>
      </w:r>
      <w:r w:rsidRPr="0040341F">
        <w:rPr>
          <w:sz w:val="24"/>
          <w:szCs w:val="24"/>
        </w:rPr>
        <w:t>tate government</w:t>
      </w:r>
      <w:r>
        <w:rPr>
          <w:sz w:val="24"/>
          <w:szCs w:val="24"/>
        </w:rPr>
        <w:t>s</w:t>
      </w:r>
      <w:r w:rsidRPr="0040341F">
        <w:rPr>
          <w:sz w:val="24"/>
          <w:szCs w:val="24"/>
        </w:rPr>
        <w:t xml:space="preserve"> report some of their data as </w:t>
      </w:r>
      <w:r>
        <w:rPr>
          <w:sz w:val="24"/>
          <w:szCs w:val="24"/>
        </w:rPr>
        <w:t>exact</w:t>
      </w:r>
      <w:r w:rsidRPr="0040341F">
        <w:rPr>
          <w:sz w:val="24"/>
          <w:szCs w:val="24"/>
        </w:rPr>
        <w:t xml:space="preserve"> wage rates and some </w:t>
      </w:r>
      <w:r>
        <w:rPr>
          <w:sz w:val="24"/>
          <w:szCs w:val="24"/>
        </w:rPr>
        <w:t>in</w:t>
      </w:r>
      <w:r w:rsidRPr="0040341F">
        <w:rPr>
          <w:sz w:val="24"/>
          <w:szCs w:val="24"/>
        </w:rPr>
        <w:t xml:space="preserve"> interval </w:t>
      </w:r>
      <w:r>
        <w:rPr>
          <w:sz w:val="24"/>
          <w:szCs w:val="24"/>
        </w:rPr>
        <w:t>bands</w:t>
      </w:r>
      <w:r w:rsidRPr="0040341F">
        <w:rPr>
          <w:sz w:val="24"/>
          <w:szCs w:val="24"/>
        </w:rPr>
        <w:t>.</w:t>
      </w:r>
      <w:r>
        <w:rPr>
          <w:sz w:val="24"/>
          <w:szCs w:val="24"/>
        </w:rPr>
        <w:t xml:space="preserve"> </w:t>
      </w:r>
      <w:r w:rsidRPr="0040341F">
        <w:rPr>
          <w:sz w:val="24"/>
          <w:szCs w:val="24"/>
        </w:rPr>
        <w:t xml:space="preserve"> </w:t>
      </w:r>
      <w:r w:rsidRPr="004379B7">
        <w:rPr>
          <w:sz w:val="24"/>
          <w:szCs w:val="24"/>
        </w:rPr>
        <w:t xml:space="preserve">OES receives a census of occupational employment and exact wage information from these reporters each year so </w:t>
      </w:r>
      <w:r>
        <w:rPr>
          <w:sz w:val="24"/>
          <w:szCs w:val="24"/>
        </w:rPr>
        <w:t xml:space="preserve">these do not contribute to the sampling error for the survey.  Furthermore, these reporters are currently out-of-scope for the NCS and would not introduce bias by using exact wages in the estimator instead of the NCS means. </w:t>
      </w:r>
    </w:p>
    <w:p w14:paraId="54FBF74E" w14:textId="77777777" w:rsidR="004B0D70" w:rsidRDefault="004B0D70" w:rsidP="00AF29A6">
      <w:pPr>
        <w:autoSpaceDE w:val="0"/>
        <w:autoSpaceDN w:val="0"/>
        <w:adjustRightInd w:val="0"/>
        <w:rPr>
          <w:sz w:val="24"/>
          <w:szCs w:val="24"/>
        </w:rPr>
      </w:pPr>
    </w:p>
    <w:p w14:paraId="614B5834" w14:textId="77777777" w:rsidR="004B0D70" w:rsidRPr="00791296" w:rsidRDefault="004B0D70" w:rsidP="0063667B">
      <w:pPr>
        <w:autoSpaceDE w:val="0"/>
        <w:autoSpaceDN w:val="0"/>
        <w:adjustRightInd w:val="0"/>
        <w:rPr>
          <w:sz w:val="24"/>
          <w:szCs w:val="24"/>
        </w:rPr>
      </w:pPr>
      <w:r>
        <w:rPr>
          <w:sz w:val="24"/>
        </w:rPr>
        <w:t xml:space="preserve">For more detailed information about estimation procedures for employment and wages please see </w:t>
      </w:r>
      <w:r w:rsidRPr="00E62F31">
        <w:rPr>
          <w:sz w:val="24"/>
        </w:rPr>
        <w:t>Bureau of Labor Statistics</w:t>
      </w:r>
      <w:r>
        <w:rPr>
          <w:sz w:val="24"/>
        </w:rPr>
        <w:t>’ Handbook of Methods, Chapter 3 and Appendix M of the OES State Operations Manual (</w:t>
      </w:r>
      <w:hyperlink r:id="rId18" w:history="1">
        <w:r w:rsidRPr="00EA2C20">
          <w:rPr>
            <w:rStyle w:val="Hyperlink"/>
            <w:sz w:val="24"/>
          </w:rPr>
          <w:t>http://199.221.111.170/program/oes/documentation/StOpsApps%20Dec2012.pdf</w:t>
        </w:r>
      </w:hyperlink>
      <w:r>
        <w:rPr>
          <w:sz w:val="24"/>
        </w:rPr>
        <w:t>).</w:t>
      </w:r>
    </w:p>
    <w:p w14:paraId="2283C02C" w14:textId="77777777" w:rsidR="004B0D70" w:rsidRPr="0007494F" w:rsidRDefault="004B0D70" w:rsidP="0063667B">
      <w:pPr>
        <w:rPr>
          <w:sz w:val="24"/>
        </w:rPr>
      </w:pPr>
    </w:p>
    <w:p w14:paraId="3370266F" w14:textId="49F23F92" w:rsidR="004B0D70" w:rsidRPr="00C1739F" w:rsidRDefault="004B0D70" w:rsidP="0063667B">
      <w:pPr>
        <w:rPr>
          <w:b/>
          <w:sz w:val="24"/>
        </w:rPr>
      </w:pPr>
      <w:r w:rsidRPr="00C1739F">
        <w:rPr>
          <w:b/>
          <w:sz w:val="24"/>
        </w:rPr>
        <w:t xml:space="preserve">2(c)  </w:t>
      </w:r>
      <w:r w:rsidR="00306BCF">
        <w:rPr>
          <w:b/>
          <w:sz w:val="24"/>
        </w:rPr>
        <w:tab/>
      </w:r>
      <w:r w:rsidRPr="00C1739F">
        <w:rPr>
          <w:b/>
          <w:sz w:val="24"/>
        </w:rPr>
        <w:t>Reliability</w:t>
      </w:r>
    </w:p>
    <w:p w14:paraId="707F50FB" w14:textId="77777777" w:rsidR="004B0D70" w:rsidRDefault="004B0D70" w:rsidP="0063667B">
      <w:pPr>
        <w:rPr>
          <w:sz w:val="24"/>
          <w:u w:val="single"/>
        </w:rPr>
      </w:pPr>
    </w:p>
    <w:p w14:paraId="5F529329" w14:textId="77777777" w:rsidR="004B0D70" w:rsidRPr="0007494F" w:rsidRDefault="004B0D70" w:rsidP="002602ED">
      <w:pPr>
        <w:rPr>
          <w:sz w:val="24"/>
        </w:rPr>
      </w:pPr>
      <w:r w:rsidRPr="0007494F">
        <w:rPr>
          <w:sz w:val="24"/>
        </w:rPr>
        <w:t xml:space="preserve">A probability based sample design is used to develop the OES survey.  This design allows the Bureau to control and measure the sampling error of the occupational employment and wage rate estimates.  Relative standard error estimates are used to measure sampling error.  A </w:t>
      </w:r>
      <w:r>
        <w:rPr>
          <w:sz w:val="24"/>
        </w:rPr>
        <w:t xml:space="preserve">random group </w:t>
      </w:r>
      <w:r w:rsidRPr="0007494F">
        <w:rPr>
          <w:sz w:val="24"/>
        </w:rPr>
        <w:t>jackknife variance estimator is used to estimate the relative standard errors for the occupational employment estimates.  A variation of the stratified ratio estimator is used to estimate the relative standard errors for the mean wage estimates.</w:t>
      </w:r>
      <w:r w:rsidRPr="00791296">
        <w:rPr>
          <w:sz w:val="24"/>
          <w:szCs w:val="24"/>
        </w:rPr>
        <w:t xml:space="preserve"> </w:t>
      </w:r>
      <w:r>
        <w:rPr>
          <w:sz w:val="24"/>
          <w:szCs w:val="24"/>
        </w:rPr>
        <w:t xml:space="preserve">Background on the variance estimator used in OES can be found on </w:t>
      </w:r>
      <w:hyperlink r:id="rId19" w:history="1">
        <w:r w:rsidRPr="002226BA">
          <w:rPr>
            <w:rStyle w:val="Hyperlink"/>
            <w:sz w:val="24"/>
            <w:szCs w:val="24"/>
          </w:rPr>
          <w:t>http://www.amstat.org/Sections/Srms/Proceedings/papers/1997_081.pdf</w:t>
        </w:r>
      </w:hyperlink>
      <w:r>
        <w:rPr>
          <w:sz w:val="24"/>
          <w:szCs w:val="24"/>
        </w:rPr>
        <w:t>.</w:t>
      </w:r>
    </w:p>
    <w:p w14:paraId="7DE46DF9" w14:textId="77777777" w:rsidR="004B0D70" w:rsidRPr="0007494F" w:rsidRDefault="004B0D70" w:rsidP="002602ED">
      <w:pPr>
        <w:rPr>
          <w:sz w:val="24"/>
        </w:rPr>
      </w:pPr>
    </w:p>
    <w:p w14:paraId="3F5BE0BE" w14:textId="77777777" w:rsidR="004B0D70" w:rsidRPr="002602ED" w:rsidRDefault="004B0D70" w:rsidP="0063667B">
      <w:pPr>
        <w:rPr>
          <w:sz w:val="24"/>
        </w:rPr>
      </w:pPr>
      <w:proofErr w:type="spellStart"/>
      <w:r w:rsidRPr="0007494F">
        <w:rPr>
          <w:sz w:val="24"/>
        </w:rPr>
        <w:t>Nonsampling</w:t>
      </w:r>
      <w:proofErr w:type="spellEnd"/>
      <w:r w:rsidRPr="0007494F">
        <w:rPr>
          <w:sz w:val="24"/>
        </w:rPr>
        <w:t xml:space="preserve">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w:t>
      </w:r>
      <w:proofErr w:type="spellStart"/>
      <w:r w:rsidRPr="0007494F">
        <w:rPr>
          <w:sz w:val="24"/>
        </w:rPr>
        <w:t>nonsampling</w:t>
      </w:r>
      <w:proofErr w:type="spellEnd"/>
      <w:r w:rsidRPr="0007494F">
        <w:rPr>
          <w:sz w:val="24"/>
        </w:rPr>
        <w:t xml:space="preserve"> error.</w:t>
      </w:r>
      <w:r>
        <w:rPr>
          <w:sz w:val="24"/>
        </w:rPr>
        <w:t xml:space="preserve">  State and BLS staff use automated and manual data screening procedures that help identify data that was misreported, or keypunched incorrectly. </w:t>
      </w:r>
    </w:p>
    <w:p w14:paraId="42C9B975" w14:textId="77777777" w:rsidR="004B0D70" w:rsidRDefault="004B0D70" w:rsidP="0063667B">
      <w:pPr>
        <w:rPr>
          <w:sz w:val="24"/>
        </w:rPr>
      </w:pPr>
    </w:p>
    <w:p w14:paraId="42E8D42D" w14:textId="77777777" w:rsidR="00306BCF" w:rsidRDefault="00306BCF" w:rsidP="0063667B">
      <w:pPr>
        <w:rPr>
          <w:sz w:val="24"/>
        </w:rPr>
      </w:pPr>
    </w:p>
    <w:p w14:paraId="792091B2" w14:textId="77777777" w:rsidR="00306BCF" w:rsidRPr="0007494F" w:rsidRDefault="00306BCF" w:rsidP="0063667B">
      <w:pPr>
        <w:rPr>
          <w:sz w:val="24"/>
        </w:rPr>
      </w:pPr>
    </w:p>
    <w:p w14:paraId="4FDC8E93" w14:textId="6D7DB34E" w:rsidR="004B0D70" w:rsidRPr="00C1739F" w:rsidRDefault="004B0D70" w:rsidP="0063667B">
      <w:pPr>
        <w:rPr>
          <w:b/>
          <w:sz w:val="24"/>
        </w:rPr>
      </w:pPr>
      <w:r w:rsidRPr="00C1739F">
        <w:rPr>
          <w:b/>
          <w:sz w:val="24"/>
        </w:rPr>
        <w:lastRenderedPageBreak/>
        <w:t xml:space="preserve">2(d)  </w:t>
      </w:r>
      <w:r w:rsidR="00306BCF">
        <w:rPr>
          <w:b/>
          <w:sz w:val="24"/>
        </w:rPr>
        <w:tab/>
      </w:r>
      <w:r w:rsidRPr="00C1739F">
        <w:rPr>
          <w:b/>
          <w:sz w:val="24"/>
        </w:rPr>
        <w:t>Special Procedures</w:t>
      </w:r>
    </w:p>
    <w:p w14:paraId="5B568BC5" w14:textId="77777777" w:rsidR="004B0D70" w:rsidRPr="0007494F" w:rsidRDefault="004B0D70" w:rsidP="0063667B">
      <w:pPr>
        <w:rPr>
          <w:sz w:val="24"/>
        </w:rPr>
      </w:pPr>
    </w:p>
    <w:p w14:paraId="223CF3C3" w14:textId="77777777" w:rsidR="004B0D70" w:rsidRPr="0007494F" w:rsidRDefault="004B0D70" w:rsidP="0063667B">
      <w:pPr>
        <w:rPr>
          <w:sz w:val="24"/>
        </w:rPr>
      </w:pPr>
      <w:r>
        <w:rPr>
          <w:sz w:val="24"/>
        </w:rPr>
        <w:t>I</w:t>
      </w:r>
      <w:r w:rsidRPr="0007494F">
        <w:rPr>
          <w:sz w:val="24"/>
        </w:rPr>
        <w:t xml:space="preserve">n order to produce wage rate and employment estimates at detailed geographic levels, </w:t>
      </w:r>
      <w:r>
        <w:rPr>
          <w:sz w:val="24"/>
        </w:rPr>
        <w:t xml:space="preserve">the OES </w:t>
      </w:r>
      <w:r w:rsidRPr="0007494F">
        <w:rPr>
          <w:sz w:val="24"/>
        </w:rPr>
        <w:t xml:space="preserve">combines data across a three-year time period </w:t>
      </w:r>
      <w:r w:rsidRPr="0007494F">
        <w:rPr>
          <w:sz w:val="24"/>
          <w:szCs w:val="24"/>
        </w:rPr>
        <w:t>(six semiannual panels)</w:t>
      </w:r>
      <w:r w:rsidRPr="0007494F">
        <w:rPr>
          <w:sz w:val="24"/>
        </w:rPr>
        <w:t xml:space="preserve">.  Special sampling procedures are in place to allocate the sample, to limit the inclusion of units to once in a three-year time period, and to combine the data to produce estimates.  Among these special procedures are </w:t>
      </w:r>
      <w:r>
        <w:rPr>
          <w:sz w:val="24"/>
        </w:rPr>
        <w:t>methods</w:t>
      </w:r>
      <w:r w:rsidRPr="0007494F">
        <w:rPr>
          <w:sz w:val="24"/>
        </w:rPr>
        <w:t xml:space="preserve"> to update, or “age” the previous years</w:t>
      </w:r>
      <w:r>
        <w:rPr>
          <w:sz w:val="24"/>
        </w:rPr>
        <w:t>’</w:t>
      </w:r>
      <w:r w:rsidRPr="0007494F">
        <w:rPr>
          <w:sz w:val="24"/>
        </w:rPr>
        <w:t xml:space="preserve"> wage data to reflect the current time period.  </w:t>
      </w:r>
      <w:r>
        <w:rPr>
          <w:sz w:val="24"/>
        </w:rPr>
        <w:t>Background on procedures for wage updating can be found on:</w:t>
      </w:r>
      <w:r w:rsidRPr="00791296">
        <w:t xml:space="preserve"> </w:t>
      </w:r>
      <w:hyperlink r:id="rId20" w:history="1">
        <w:r w:rsidRPr="002226BA">
          <w:rPr>
            <w:rStyle w:val="Hyperlink"/>
            <w:sz w:val="24"/>
          </w:rPr>
          <w:t>http://www.bls.gov/ore/pdf/st000080.pdf</w:t>
        </w:r>
      </w:hyperlink>
      <w:r>
        <w:rPr>
          <w:sz w:val="24"/>
        </w:rPr>
        <w:t xml:space="preserve">.  BLS continues to conduct </w:t>
      </w:r>
      <w:r w:rsidRPr="00FD4B10">
        <w:rPr>
          <w:sz w:val="24"/>
        </w:rPr>
        <w:t>research to evaluate the effectiveness of the updating process, and to improve it where possible.  Collecting all of the certainty units each year would allow these data to be used in the validation of the updating process; we are evaluating several collection options with respect to these units.</w:t>
      </w:r>
      <w:r w:rsidRPr="0007494F">
        <w:rPr>
          <w:sz w:val="24"/>
        </w:rPr>
        <w:t xml:space="preserve"> </w:t>
      </w:r>
    </w:p>
    <w:p w14:paraId="17604899" w14:textId="77777777" w:rsidR="004B0D70" w:rsidRPr="0007494F" w:rsidRDefault="004B0D70" w:rsidP="0063667B">
      <w:pPr>
        <w:rPr>
          <w:sz w:val="24"/>
        </w:rPr>
      </w:pPr>
    </w:p>
    <w:p w14:paraId="63CDD75E" w14:textId="0A54AD6D" w:rsidR="004B0D70" w:rsidRPr="00C1739F" w:rsidRDefault="004B0D70" w:rsidP="0063667B">
      <w:pPr>
        <w:rPr>
          <w:b/>
          <w:sz w:val="24"/>
        </w:rPr>
      </w:pPr>
      <w:r w:rsidRPr="00C1739F">
        <w:rPr>
          <w:b/>
          <w:sz w:val="24"/>
        </w:rPr>
        <w:t xml:space="preserve">2(e)  </w:t>
      </w:r>
      <w:r w:rsidR="00306BCF">
        <w:rPr>
          <w:b/>
          <w:sz w:val="24"/>
        </w:rPr>
        <w:tab/>
      </w:r>
      <w:r w:rsidRPr="00C1739F">
        <w:rPr>
          <w:b/>
          <w:sz w:val="24"/>
        </w:rPr>
        <w:t>Data Collection Cycles</w:t>
      </w:r>
    </w:p>
    <w:p w14:paraId="6ACC1D6B" w14:textId="77777777" w:rsidR="004B0D70" w:rsidRPr="0007494F" w:rsidRDefault="004B0D70" w:rsidP="0063667B">
      <w:pPr>
        <w:rPr>
          <w:sz w:val="24"/>
        </w:rPr>
      </w:pPr>
    </w:p>
    <w:p w14:paraId="33917DC5" w14:textId="77777777" w:rsidR="004B0D70" w:rsidRPr="0007494F" w:rsidRDefault="004B0D70" w:rsidP="0063667B">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1,200,000 establishment sample is selected for nonagricultural industries, where overlap with the prior five panels’ samples is minimal.  Thus, establishments will be included in the sample at most once every three years.</w:t>
      </w:r>
    </w:p>
    <w:p w14:paraId="6F92B79E" w14:textId="77777777" w:rsidR="004B0D70" w:rsidRPr="0007494F" w:rsidRDefault="004B0D70" w:rsidP="0063667B">
      <w:pPr>
        <w:rPr>
          <w:sz w:val="24"/>
        </w:rPr>
      </w:pPr>
    </w:p>
    <w:p w14:paraId="6A9B2C6B" w14:textId="6D8DEC43" w:rsidR="004B0D70" w:rsidRPr="00C1739F" w:rsidRDefault="004B0D70" w:rsidP="00E067C7">
      <w:pPr>
        <w:rPr>
          <w:b/>
          <w:sz w:val="24"/>
        </w:rPr>
      </w:pPr>
      <w:r w:rsidRPr="00C1739F">
        <w:rPr>
          <w:b/>
          <w:sz w:val="24"/>
        </w:rPr>
        <w:t xml:space="preserve">3(a)  </w:t>
      </w:r>
      <w:r w:rsidR="00306BCF">
        <w:rPr>
          <w:b/>
          <w:sz w:val="24"/>
        </w:rPr>
        <w:tab/>
      </w:r>
      <w:r w:rsidRPr="00C1739F">
        <w:rPr>
          <w:b/>
          <w:sz w:val="24"/>
        </w:rPr>
        <w:t>Maximizing Response</w:t>
      </w:r>
    </w:p>
    <w:p w14:paraId="5E04072B" w14:textId="77777777" w:rsidR="004B0D70" w:rsidRPr="00C1739F" w:rsidRDefault="004B0D70" w:rsidP="00E067C7">
      <w:pPr>
        <w:rPr>
          <w:b/>
          <w:sz w:val="24"/>
        </w:rPr>
      </w:pPr>
    </w:p>
    <w:p w14:paraId="5B93F7F4" w14:textId="152B89BC" w:rsidR="004B0D70" w:rsidRDefault="004B0D70" w:rsidP="00E067C7">
      <w:pPr>
        <w:rPr>
          <w:sz w:val="24"/>
        </w:rPr>
      </w:pPr>
      <w:r>
        <w:rPr>
          <w:sz w:val="24"/>
        </w:rPr>
        <w:t>A</w:t>
      </w:r>
      <w:r w:rsidRPr="0007494F">
        <w:rPr>
          <w:sz w:val="24"/>
        </w:rPr>
        <w:t xml:space="preserve"> goal of the OES survey is that each State achieves an 80 percent response rate.  The overall response rate for the </w:t>
      </w:r>
      <w:r w:rsidR="00DC20A0" w:rsidRPr="0007494F">
        <w:rPr>
          <w:sz w:val="24"/>
        </w:rPr>
        <w:t>20</w:t>
      </w:r>
      <w:r w:rsidR="00DC20A0">
        <w:rPr>
          <w:sz w:val="24"/>
        </w:rPr>
        <w:t>14</w:t>
      </w:r>
      <w:r w:rsidR="00DC20A0" w:rsidRPr="0007494F">
        <w:rPr>
          <w:sz w:val="24"/>
        </w:rPr>
        <w:t xml:space="preserve"> </w:t>
      </w:r>
      <w:r w:rsidRPr="0007494F">
        <w:rPr>
          <w:sz w:val="24"/>
        </w:rPr>
        <w:t xml:space="preserve">survey was approximately </w:t>
      </w:r>
      <w:r w:rsidR="00267A2E">
        <w:rPr>
          <w:sz w:val="24"/>
        </w:rPr>
        <w:t>73</w:t>
      </w:r>
      <w:r w:rsidR="00DC20A0">
        <w:rPr>
          <w:sz w:val="24"/>
        </w:rPr>
        <w:t xml:space="preserve"> </w:t>
      </w:r>
      <w:r w:rsidRPr="00901AFD">
        <w:rPr>
          <w:sz w:val="24"/>
        </w:rPr>
        <w:t>percent</w:t>
      </w:r>
      <w:r w:rsidRPr="0007494F">
        <w:rPr>
          <w:sz w:val="24"/>
        </w:rPr>
        <w:t xml:space="preserve"> based on units.  </w:t>
      </w:r>
    </w:p>
    <w:p w14:paraId="569C24BB" w14:textId="63D9354C" w:rsidR="004B0D70" w:rsidRDefault="004B0D70" w:rsidP="00E067C7">
      <w:pPr>
        <w:rPr>
          <w:sz w:val="24"/>
        </w:rPr>
      </w:pPr>
      <w:r>
        <w:rPr>
          <w:sz w:val="24"/>
        </w:rPr>
        <w:t xml:space="preserve"> </w:t>
      </w:r>
    </w:p>
    <w:p w14:paraId="3F39F2A6" w14:textId="77777777" w:rsidR="004B0D70" w:rsidRPr="0007494F" w:rsidRDefault="004B0D70" w:rsidP="00E067C7">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Pr="0007494F">
        <w:rPr>
          <w:sz w:val="24"/>
        </w:rPr>
        <w:t xml:space="preserve">questionnaire forms </w:t>
      </w:r>
      <w:r>
        <w:rPr>
          <w:sz w:val="24"/>
        </w:rPr>
        <w:t xml:space="preserve">mailed </w:t>
      </w:r>
      <w:r w:rsidRPr="0007494F">
        <w:rPr>
          <w:sz w:val="24"/>
        </w:rPr>
        <w:t>to the sample units selected in their State.  Every effort is made to maximize response rates to achieve the 80-percent goal by:</w:t>
      </w:r>
    </w:p>
    <w:p w14:paraId="2D1EA68B" w14:textId="77777777" w:rsidR="004B0D70" w:rsidRPr="0007494F" w:rsidRDefault="004B0D70" w:rsidP="00E067C7">
      <w:pPr>
        <w:rPr>
          <w:sz w:val="24"/>
        </w:rPr>
      </w:pPr>
    </w:p>
    <w:p w14:paraId="0BE7ECFA" w14:textId="77777777" w:rsidR="004B0D70" w:rsidRPr="00C1739F" w:rsidRDefault="004B0D70" w:rsidP="00E067C7">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OES survey this constraint </w:t>
      </w:r>
      <w:r>
        <w:rPr>
          <w:sz w:val="24"/>
          <w:szCs w:val="24"/>
        </w:rPr>
        <w:t>may</w:t>
      </w:r>
      <w:r w:rsidRPr="00C1739F">
        <w:rPr>
          <w:sz w:val="24"/>
          <w:szCs w:val="24"/>
        </w:rPr>
        <w:t xml:space="preserve"> be relaxed for some employers.</w:t>
      </w:r>
    </w:p>
    <w:p w14:paraId="5B7AFB6D" w14:textId="77777777" w:rsidR="004B0D70" w:rsidRDefault="004B0D70" w:rsidP="00E067C7">
      <w:pPr>
        <w:numPr>
          <w:ilvl w:val="0"/>
          <w:numId w:val="2"/>
        </w:numPr>
        <w:rPr>
          <w:sz w:val="24"/>
        </w:rPr>
      </w:pPr>
      <w:r>
        <w:rPr>
          <w:sz w:val="24"/>
        </w:rPr>
        <w:t>Conducting extensive address refinement to ensure that the survey form reaches the correct establishment in a timely manner.</w:t>
      </w:r>
    </w:p>
    <w:p w14:paraId="180C5ED0" w14:textId="77777777" w:rsidR="004B0D70" w:rsidRPr="0007494F" w:rsidRDefault="004B0D70" w:rsidP="00E067C7">
      <w:pPr>
        <w:numPr>
          <w:ilvl w:val="0"/>
          <w:numId w:val="2"/>
        </w:numPr>
        <w:rPr>
          <w:sz w:val="24"/>
        </w:rPr>
      </w:pPr>
      <w:r w:rsidRPr="0007494F">
        <w:rPr>
          <w:sz w:val="24"/>
        </w:rPr>
        <w:t>Providing each sampled unit with a cover letter explaining the importance of the survey and the need for voluntary cooperation</w:t>
      </w:r>
      <w:r>
        <w:rPr>
          <w:sz w:val="24"/>
        </w:rPr>
        <w:t>.</w:t>
      </w:r>
    </w:p>
    <w:p w14:paraId="2D9E1FB7" w14:textId="77777777" w:rsidR="004B0D70" w:rsidRDefault="004B0D70" w:rsidP="00E067C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14:paraId="26337444" w14:textId="77777777" w:rsidR="00F062F0" w:rsidRPr="0007494F" w:rsidRDefault="00F062F0" w:rsidP="00E067C7">
      <w:pPr>
        <w:numPr>
          <w:ilvl w:val="0"/>
          <w:numId w:val="2"/>
        </w:numPr>
        <w:rPr>
          <w:sz w:val="24"/>
        </w:rPr>
      </w:pPr>
      <w:r>
        <w:rPr>
          <w:sz w:val="24"/>
        </w:rPr>
        <w:t>Sending pre-notification letters to certain establishments before they are contacted to provide data.</w:t>
      </w:r>
    </w:p>
    <w:p w14:paraId="1F0024CE" w14:textId="77777777" w:rsidR="004B0D70" w:rsidRPr="0007494F" w:rsidRDefault="004B0D70" w:rsidP="00E067C7">
      <w:pPr>
        <w:numPr>
          <w:ilvl w:val="0"/>
          <w:numId w:val="2"/>
        </w:numPr>
        <w:rPr>
          <w:sz w:val="24"/>
        </w:rPr>
      </w:pPr>
      <w:r w:rsidRPr="0007494F">
        <w:rPr>
          <w:sz w:val="24"/>
        </w:rPr>
        <w:t xml:space="preserve">Sending each </w:t>
      </w:r>
      <w:proofErr w:type="spellStart"/>
      <w:r w:rsidRPr="0007494F">
        <w:rPr>
          <w:sz w:val="24"/>
        </w:rPr>
        <w:t>nonresponding</w:t>
      </w:r>
      <w:proofErr w:type="spellEnd"/>
      <w:r w:rsidRPr="0007494F">
        <w:rPr>
          <w:sz w:val="24"/>
        </w:rPr>
        <w:t xml:space="preserve">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14:paraId="6390ACFA" w14:textId="77777777" w:rsidR="004B0D70" w:rsidRPr="0007494F" w:rsidRDefault="004B0D70" w:rsidP="00E067C7">
      <w:pPr>
        <w:numPr>
          <w:ilvl w:val="0"/>
          <w:numId w:val="2"/>
        </w:numPr>
        <w:rPr>
          <w:sz w:val="24"/>
        </w:rPr>
      </w:pPr>
      <w:r w:rsidRPr="0007494F">
        <w:rPr>
          <w:sz w:val="24"/>
        </w:rPr>
        <w:t xml:space="preserve">Contacting key </w:t>
      </w:r>
      <w:proofErr w:type="spellStart"/>
      <w:r w:rsidRPr="0007494F">
        <w:rPr>
          <w:sz w:val="24"/>
        </w:rPr>
        <w:t>nonresponding</w:t>
      </w:r>
      <w:proofErr w:type="spellEnd"/>
      <w:r w:rsidRPr="0007494F">
        <w:rPr>
          <w:sz w:val="24"/>
        </w:rPr>
        <w:t xml:space="preserve"> units in each MSA/four-or-five-digit industry or MSA/three-digit industry cell by telephone</w:t>
      </w:r>
      <w:r>
        <w:rPr>
          <w:sz w:val="24"/>
        </w:rPr>
        <w:t>.</w:t>
      </w:r>
    </w:p>
    <w:p w14:paraId="4048F13A" w14:textId="77777777" w:rsidR="004B0D70" w:rsidRDefault="004B0D70" w:rsidP="00E067C7">
      <w:pPr>
        <w:numPr>
          <w:ilvl w:val="0"/>
          <w:numId w:val="2"/>
        </w:numPr>
        <w:rPr>
          <w:sz w:val="24"/>
        </w:rPr>
      </w:pPr>
      <w:r w:rsidRPr="0007494F">
        <w:rPr>
          <w:sz w:val="24"/>
        </w:rPr>
        <w:t xml:space="preserve">Contacting critical </w:t>
      </w:r>
      <w:proofErr w:type="spellStart"/>
      <w:r w:rsidRPr="0007494F">
        <w:rPr>
          <w:sz w:val="24"/>
        </w:rPr>
        <w:t>nonresponding</w:t>
      </w:r>
      <w:proofErr w:type="spellEnd"/>
      <w:r w:rsidRPr="0007494F">
        <w:rPr>
          <w:sz w:val="24"/>
        </w:rPr>
        <w:t xml:space="preserve"> units through personal visits (if necessary)</w:t>
      </w:r>
      <w:r>
        <w:rPr>
          <w:sz w:val="24"/>
        </w:rPr>
        <w:t>.</w:t>
      </w:r>
    </w:p>
    <w:p w14:paraId="495B01F5" w14:textId="77777777" w:rsidR="004B0D70" w:rsidRPr="0007494F" w:rsidRDefault="004B0D70" w:rsidP="00E067C7">
      <w:pPr>
        <w:numPr>
          <w:ilvl w:val="0"/>
          <w:numId w:val="2"/>
        </w:numPr>
        <w:rPr>
          <w:sz w:val="24"/>
        </w:rPr>
      </w:pPr>
      <w:r>
        <w:rPr>
          <w:sz w:val="24"/>
        </w:rPr>
        <w:t>Including brochures that explain the many uses of the OES data.</w:t>
      </w:r>
    </w:p>
    <w:p w14:paraId="4366DD35" w14:textId="77777777" w:rsidR="004B0D70" w:rsidRPr="0007494F" w:rsidRDefault="004B0D70" w:rsidP="00E067C7">
      <w:pPr>
        <w:numPr>
          <w:ilvl w:val="0"/>
          <w:numId w:val="2"/>
        </w:numPr>
        <w:rPr>
          <w:sz w:val="24"/>
        </w:rPr>
      </w:pPr>
      <w:r w:rsidRPr="0007494F">
        <w:rPr>
          <w:sz w:val="24"/>
        </w:rPr>
        <w:t>Using status reports and control files to identify MSA/industry cells with low response rates</w:t>
      </w:r>
      <w:r>
        <w:rPr>
          <w:sz w:val="24"/>
        </w:rPr>
        <w:t>.</w:t>
      </w:r>
    </w:p>
    <w:p w14:paraId="5C4125D9" w14:textId="77777777" w:rsidR="004B0D70" w:rsidRPr="0007494F" w:rsidRDefault="004B0D70" w:rsidP="00E067C7">
      <w:pPr>
        <w:numPr>
          <w:ilvl w:val="0"/>
          <w:numId w:val="2"/>
        </w:numPr>
        <w:rPr>
          <w:sz w:val="24"/>
        </w:rPr>
      </w:pPr>
      <w:r w:rsidRPr="0007494F">
        <w:rPr>
          <w:sz w:val="24"/>
        </w:rPr>
        <w:t>Requesting that States consider making initial personal visits to firms identified as requiring special attention</w:t>
      </w:r>
      <w:r>
        <w:rPr>
          <w:sz w:val="24"/>
        </w:rPr>
        <w:t>.</w:t>
      </w:r>
    </w:p>
    <w:p w14:paraId="4A55EFBD" w14:textId="77777777" w:rsidR="004B0D70" w:rsidRPr="0007494F" w:rsidRDefault="004B0D70" w:rsidP="00E067C7">
      <w:pPr>
        <w:numPr>
          <w:ilvl w:val="0"/>
          <w:numId w:val="2"/>
        </w:numPr>
        <w:rPr>
          <w:sz w:val="24"/>
        </w:rPr>
      </w:pPr>
      <w:r w:rsidRPr="0007494F">
        <w:rPr>
          <w:sz w:val="24"/>
        </w:rPr>
        <w:lastRenderedPageBreak/>
        <w:t>Stressing to respondents that assistance is available to help them complete the survey form.</w:t>
      </w:r>
    </w:p>
    <w:p w14:paraId="5DDB13CE" w14:textId="77777777" w:rsidR="004B0D70" w:rsidRDefault="004B0D70" w:rsidP="00E067C7">
      <w:pPr>
        <w:numPr>
          <w:ilvl w:val="0"/>
          <w:numId w:val="2"/>
        </w:numPr>
        <w:rPr>
          <w:sz w:val="24"/>
        </w:rPr>
      </w:pPr>
      <w:r w:rsidRPr="0007494F">
        <w:rPr>
          <w:sz w:val="24"/>
        </w:rPr>
        <w:t>Providing a link on the survey form to OES data on the BLS Internet website to demonstrate program usefulness.</w:t>
      </w:r>
    </w:p>
    <w:p w14:paraId="3893A020" w14:textId="77777777" w:rsidR="004B0D70" w:rsidRDefault="004B0D70" w:rsidP="00E067C7">
      <w:pPr>
        <w:numPr>
          <w:ilvl w:val="0"/>
          <w:numId w:val="2"/>
        </w:numPr>
        <w:rPr>
          <w:sz w:val="24"/>
        </w:rPr>
      </w:pPr>
      <w:r>
        <w:rPr>
          <w:sz w:val="24"/>
        </w:rPr>
        <w:t xml:space="preserve">Using a respondent web page that provides detailed information about responding to the OES survey, including state contact information for those needing assistance. </w:t>
      </w:r>
    </w:p>
    <w:p w14:paraId="1272C0BF" w14:textId="77777777" w:rsidR="004B0D70" w:rsidRDefault="004B0D70" w:rsidP="00E067C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14:paraId="5759200C" w14:textId="77777777" w:rsidR="004B0D70" w:rsidRDefault="004B0D70" w:rsidP="0089016B">
      <w:pPr>
        <w:numPr>
          <w:ilvl w:val="0"/>
          <w:numId w:val="2"/>
        </w:numPr>
        <w:rPr>
          <w:sz w:val="24"/>
        </w:rPr>
      </w:pPr>
      <w:r>
        <w:rPr>
          <w:sz w:val="24"/>
        </w:rPr>
        <w:t>Providing email and online data submission options.</w:t>
      </w:r>
    </w:p>
    <w:p w14:paraId="112F6333" w14:textId="77777777" w:rsidR="004B0D70" w:rsidRDefault="004B0D70" w:rsidP="0089016B">
      <w:pPr>
        <w:numPr>
          <w:ilvl w:val="0"/>
          <w:numId w:val="2"/>
        </w:numPr>
        <w:rPr>
          <w:sz w:val="24"/>
        </w:rPr>
      </w:pPr>
      <w:r>
        <w:rPr>
          <w:sz w:val="24"/>
        </w:rPr>
        <w:t>Advertising electronic submission options to certain large establishments.</w:t>
      </w:r>
    </w:p>
    <w:p w14:paraId="61FD5226" w14:textId="77777777" w:rsidR="004B0D70" w:rsidRPr="0089016B" w:rsidRDefault="004B0D70" w:rsidP="0089016B">
      <w:pPr>
        <w:numPr>
          <w:ilvl w:val="0"/>
          <w:numId w:val="2"/>
        </w:numPr>
        <w:rPr>
          <w:sz w:val="24"/>
        </w:rPr>
      </w:pPr>
      <w:r>
        <w:rPr>
          <w:sz w:val="24"/>
        </w:rPr>
        <w:t>Coordinating collection for multi-unit establishments.</w:t>
      </w:r>
    </w:p>
    <w:p w14:paraId="4E45659A" w14:textId="424FAFDD" w:rsidR="004B0D70" w:rsidRPr="0007494F" w:rsidRDefault="004B0D70" w:rsidP="00E067C7">
      <w:pPr>
        <w:rPr>
          <w:sz w:val="24"/>
        </w:rPr>
      </w:pPr>
    </w:p>
    <w:p w14:paraId="5757B111" w14:textId="77777777" w:rsidR="004B0D70" w:rsidRDefault="004B0D70" w:rsidP="00CD1C34">
      <w:pPr>
        <w:rPr>
          <w:sz w:val="24"/>
        </w:rPr>
      </w:pPr>
      <w:r w:rsidRPr="00C1739F">
        <w:rPr>
          <w:i/>
          <w:sz w:val="24"/>
        </w:rPr>
        <w:t>Response Burden</w:t>
      </w:r>
      <w:r>
        <w:rPr>
          <w:i/>
          <w:sz w:val="24"/>
        </w:rPr>
        <w:t>--</w:t>
      </w:r>
      <w:r>
        <w:rPr>
          <w:sz w:val="24"/>
        </w:rPr>
        <w:t>The following table shows the estimated response burden by Mandatory/Voluntary and Ownership:</w:t>
      </w:r>
    </w:p>
    <w:p w14:paraId="5A30B722" w14:textId="77777777" w:rsidR="004B0D70" w:rsidRPr="00C1739F" w:rsidRDefault="004B0D70" w:rsidP="00CD1C34">
      <w:pPr>
        <w:rPr>
          <w:i/>
          <w:sz w:val="24"/>
        </w:rPr>
      </w:pPr>
    </w:p>
    <w:p w14:paraId="19EE8B04" w14:textId="77777777" w:rsidR="004B0D70" w:rsidRDefault="004B0D70" w:rsidP="00CD1C34">
      <w:pPr>
        <w:rPr>
          <w:b/>
          <w:sz w:val="24"/>
        </w:rPr>
      </w:pPr>
      <w:r>
        <w:rPr>
          <w:sz w:val="24"/>
        </w:rPr>
        <w:tab/>
      </w:r>
      <w:r w:rsidRPr="00E36497">
        <w:rPr>
          <w:b/>
          <w:sz w:val="24"/>
        </w:rPr>
        <w:t>Table 2: Response Burden</w:t>
      </w:r>
    </w:p>
    <w:tbl>
      <w:tblPr>
        <w:tblW w:w="8820" w:type="dxa"/>
        <w:tblInd w:w="648" w:type="dxa"/>
        <w:tblLook w:val="0000" w:firstRow="0" w:lastRow="0" w:firstColumn="0" w:lastColumn="0" w:noHBand="0" w:noVBand="0"/>
      </w:tblPr>
      <w:tblGrid>
        <w:gridCol w:w="1036"/>
        <w:gridCol w:w="1385"/>
        <w:gridCol w:w="1361"/>
        <w:gridCol w:w="1710"/>
        <w:gridCol w:w="1664"/>
        <w:gridCol w:w="1664"/>
      </w:tblGrid>
      <w:tr w:rsidR="004B0D70" w:rsidRPr="00FA2510" w14:paraId="38B0F031"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6F57CF00"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16AD15D5"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092B5656"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5E9BDF6E"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1CD77606"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10D78FB6"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23D96" w:rsidRPr="00FA2510" w14:paraId="570AA16C"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bottom"/>
          </w:tcPr>
          <w:p w14:paraId="76FB4EAE" w14:textId="061A7E77" w:rsidR="00823D96" w:rsidRPr="00FA2510" w:rsidRDefault="00823D96">
            <w:pPr>
              <w:jc w:val="center"/>
              <w:rPr>
                <w:rFonts w:ascii="Arial" w:hAnsi="Arial" w:cs="Arial"/>
                <w:b/>
                <w:bCs/>
              </w:rPr>
            </w:pPr>
            <w:r w:rsidRPr="00FA2510">
              <w:rPr>
                <w:rFonts w:ascii="Arial" w:hAnsi="Arial" w:cs="Arial"/>
                <w:b/>
                <w:bCs/>
              </w:rPr>
              <w:t>FY 201</w:t>
            </w:r>
            <w:r>
              <w:rPr>
                <w:rFonts w:ascii="Arial" w:hAnsi="Arial" w:cs="Arial"/>
                <w:b/>
                <w:bCs/>
              </w:rPr>
              <w:t>7</w:t>
            </w:r>
          </w:p>
        </w:tc>
        <w:tc>
          <w:tcPr>
            <w:tcW w:w="1385" w:type="dxa"/>
            <w:tcBorders>
              <w:top w:val="single" w:sz="4" w:space="0" w:color="auto"/>
              <w:left w:val="nil"/>
              <w:bottom w:val="single" w:sz="4" w:space="0" w:color="auto"/>
              <w:right w:val="single" w:sz="4" w:space="0" w:color="auto"/>
            </w:tcBorders>
            <w:vAlign w:val="bottom"/>
          </w:tcPr>
          <w:p w14:paraId="220662F9"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6A0FA460"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7521E05F"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2FA99320" w14:textId="41725227" w:rsidR="00823D96" w:rsidRPr="00FA2510" w:rsidRDefault="00823D96" w:rsidP="00823D96">
            <w:pPr>
              <w:jc w:val="center"/>
              <w:rPr>
                <w:rFonts w:ascii="Arial" w:hAnsi="Arial" w:cs="Arial"/>
                <w:b/>
                <w:bCs/>
                <w:sz w:val="18"/>
                <w:szCs w:val="18"/>
              </w:rPr>
            </w:pPr>
            <w:r>
              <w:rPr>
                <w:rFonts w:ascii="Calibri" w:hAnsi="Calibri"/>
                <w:color w:val="000000"/>
                <w:sz w:val="22"/>
                <w:szCs w:val="22"/>
              </w:rPr>
              <w:t>258,632</w:t>
            </w:r>
          </w:p>
        </w:tc>
        <w:tc>
          <w:tcPr>
            <w:tcW w:w="1664" w:type="dxa"/>
            <w:tcBorders>
              <w:top w:val="single" w:sz="4" w:space="0" w:color="auto"/>
              <w:left w:val="nil"/>
              <w:bottom w:val="single" w:sz="4" w:space="0" w:color="auto"/>
              <w:right w:val="single" w:sz="4" w:space="0" w:color="auto"/>
            </w:tcBorders>
            <w:vAlign w:val="bottom"/>
          </w:tcPr>
          <w:p w14:paraId="177DFAC9" w14:textId="59C6817A" w:rsidR="00823D96" w:rsidRPr="00FA2510" w:rsidRDefault="00823D96" w:rsidP="00823D96">
            <w:pPr>
              <w:jc w:val="center"/>
              <w:rPr>
                <w:rFonts w:ascii="Arial" w:hAnsi="Arial" w:cs="Arial"/>
                <w:b/>
                <w:bCs/>
                <w:sz w:val="18"/>
                <w:szCs w:val="18"/>
              </w:rPr>
            </w:pPr>
            <w:r>
              <w:rPr>
                <w:rFonts w:ascii="Calibri" w:hAnsi="Calibri"/>
                <w:color w:val="000000"/>
                <w:sz w:val="22"/>
                <w:szCs w:val="22"/>
              </w:rPr>
              <w:t>129,316</w:t>
            </w:r>
          </w:p>
        </w:tc>
      </w:tr>
      <w:tr w:rsidR="00823D96" w:rsidRPr="00FA2510" w14:paraId="57902AFA" w14:textId="77777777" w:rsidTr="00823D96">
        <w:trPr>
          <w:trHeight w:val="512"/>
        </w:trPr>
        <w:tc>
          <w:tcPr>
            <w:tcW w:w="1036" w:type="dxa"/>
            <w:tcBorders>
              <w:top w:val="single" w:sz="4" w:space="0" w:color="auto"/>
              <w:left w:val="single" w:sz="4" w:space="0" w:color="auto"/>
              <w:bottom w:val="single" w:sz="4" w:space="0" w:color="auto"/>
              <w:right w:val="single" w:sz="4" w:space="0" w:color="auto"/>
            </w:tcBorders>
            <w:vAlign w:val="bottom"/>
          </w:tcPr>
          <w:p w14:paraId="4DDF931C"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51B8213"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5B59D1C4"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1FD13541"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37F4CB6A" w14:textId="2F6200F5" w:rsidR="00823D96" w:rsidRPr="00FA2510" w:rsidRDefault="00823D96" w:rsidP="00823D96">
            <w:pPr>
              <w:jc w:val="center"/>
              <w:rPr>
                <w:rFonts w:ascii="Arial" w:hAnsi="Arial" w:cs="Arial"/>
                <w:b/>
                <w:bCs/>
                <w:sz w:val="18"/>
                <w:szCs w:val="18"/>
              </w:rPr>
            </w:pPr>
            <w:r>
              <w:rPr>
                <w:rFonts w:ascii="Calibri" w:hAnsi="Calibri"/>
                <w:color w:val="000000"/>
                <w:sz w:val="22"/>
                <w:szCs w:val="22"/>
              </w:rPr>
              <w:t>7,215</w:t>
            </w:r>
          </w:p>
        </w:tc>
        <w:tc>
          <w:tcPr>
            <w:tcW w:w="1664" w:type="dxa"/>
            <w:tcBorders>
              <w:top w:val="single" w:sz="4" w:space="0" w:color="auto"/>
              <w:left w:val="nil"/>
              <w:bottom w:val="single" w:sz="4" w:space="0" w:color="auto"/>
              <w:right w:val="single" w:sz="4" w:space="0" w:color="auto"/>
            </w:tcBorders>
            <w:vAlign w:val="bottom"/>
          </w:tcPr>
          <w:p w14:paraId="452C8251" w14:textId="5DCB9676" w:rsidR="00823D96" w:rsidRPr="00FA2510" w:rsidRDefault="00823D96" w:rsidP="00823D96">
            <w:pPr>
              <w:jc w:val="center"/>
              <w:rPr>
                <w:rFonts w:ascii="Arial" w:hAnsi="Arial" w:cs="Arial"/>
                <w:b/>
                <w:bCs/>
                <w:sz w:val="18"/>
                <w:szCs w:val="18"/>
              </w:rPr>
            </w:pPr>
            <w:r>
              <w:rPr>
                <w:rFonts w:ascii="Calibri" w:hAnsi="Calibri"/>
                <w:color w:val="000000"/>
                <w:sz w:val="22"/>
                <w:szCs w:val="22"/>
              </w:rPr>
              <w:t>3,607</w:t>
            </w:r>
          </w:p>
        </w:tc>
      </w:tr>
      <w:tr w:rsidR="00823D96" w:rsidRPr="00FA2510" w14:paraId="79C7EA98"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50CD9295"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797D4F31"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57540EAC"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4EC3D0B3"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492A324D" w14:textId="1E86D0BC" w:rsidR="00823D96" w:rsidRPr="00FA2510" w:rsidRDefault="00823D96" w:rsidP="00823D96">
            <w:pPr>
              <w:jc w:val="center"/>
              <w:rPr>
                <w:rFonts w:ascii="Arial" w:hAnsi="Arial" w:cs="Arial"/>
                <w:b/>
                <w:bCs/>
                <w:sz w:val="18"/>
                <w:szCs w:val="18"/>
              </w:rPr>
            </w:pPr>
            <w:r>
              <w:rPr>
                <w:rFonts w:ascii="Calibri" w:hAnsi="Calibri"/>
                <w:color w:val="000000"/>
                <w:sz w:val="22"/>
                <w:szCs w:val="22"/>
              </w:rPr>
              <w:t>30,83</w:t>
            </w:r>
            <w:r w:rsidR="008264A1">
              <w:rPr>
                <w:rFonts w:ascii="Calibri" w:hAnsi="Calibri"/>
                <w:color w:val="000000"/>
                <w:sz w:val="22"/>
                <w:szCs w:val="22"/>
              </w:rPr>
              <w:t>6</w:t>
            </w:r>
          </w:p>
        </w:tc>
        <w:tc>
          <w:tcPr>
            <w:tcW w:w="1664" w:type="dxa"/>
            <w:tcBorders>
              <w:top w:val="single" w:sz="4" w:space="0" w:color="auto"/>
              <w:left w:val="nil"/>
              <w:bottom w:val="single" w:sz="4" w:space="0" w:color="auto"/>
              <w:right w:val="single" w:sz="4" w:space="0" w:color="auto"/>
            </w:tcBorders>
            <w:vAlign w:val="bottom"/>
          </w:tcPr>
          <w:p w14:paraId="72D8948D" w14:textId="5C61C444" w:rsidR="00823D96" w:rsidRPr="00FA2510" w:rsidRDefault="00823D96" w:rsidP="00823D96">
            <w:pPr>
              <w:jc w:val="center"/>
              <w:rPr>
                <w:rFonts w:ascii="Arial" w:hAnsi="Arial" w:cs="Arial"/>
                <w:b/>
                <w:bCs/>
                <w:sz w:val="18"/>
                <w:szCs w:val="18"/>
              </w:rPr>
            </w:pPr>
            <w:r>
              <w:rPr>
                <w:rFonts w:ascii="Calibri" w:hAnsi="Calibri"/>
                <w:color w:val="000000"/>
                <w:sz w:val="22"/>
                <w:szCs w:val="22"/>
              </w:rPr>
              <w:t>15,418</w:t>
            </w:r>
          </w:p>
        </w:tc>
      </w:tr>
      <w:tr w:rsidR="00823D96" w:rsidRPr="00FA2510" w14:paraId="2488EAD7" w14:textId="77777777" w:rsidTr="00823D96">
        <w:trPr>
          <w:trHeight w:val="440"/>
        </w:trPr>
        <w:tc>
          <w:tcPr>
            <w:tcW w:w="1036" w:type="dxa"/>
            <w:tcBorders>
              <w:top w:val="single" w:sz="4" w:space="0" w:color="auto"/>
              <w:left w:val="single" w:sz="4" w:space="0" w:color="auto"/>
              <w:bottom w:val="single" w:sz="4" w:space="0" w:color="auto"/>
              <w:right w:val="single" w:sz="4" w:space="0" w:color="auto"/>
            </w:tcBorders>
            <w:vAlign w:val="bottom"/>
          </w:tcPr>
          <w:p w14:paraId="057FAF5A"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E76B2FD"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7ABD5C96"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4D95EE09"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0BD9BFBE" w14:textId="2DB34F07" w:rsidR="00823D96" w:rsidRPr="00FA2510" w:rsidRDefault="00823D96" w:rsidP="00823D96">
            <w:pPr>
              <w:jc w:val="center"/>
              <w:rPr>
                <w:rFonts w:ascii="Arial" w:hAnsi="Arial" w:cs="Arial"/>
                <w:b/>
                <w:bCs/>
                <w:sz w:val="18"/>
                <w:szCs w:val="18"/>
              </w:rPr>
            </w:pPr>
            <w:r>
              <w:rPr>
                <w:rFonts w:ascii="Calibri" w:hAnsi="Calibri"/>
                <w:color w:val="000000"/>
                <w:sz w:val="22"/>
                <w:szCs w:val="22"/>
              </w:rPr>
              <w:t>838</w:t>
            </w:r>
          </w:p>
        </w:tc>
        <w:tc>
          <w:tcPr>
            <w:tcW w:w="1664" w:type="dxa"/>
            <w:tcBorders>
              <w:top w:val="single" w:sz="4" w:space="0" w:color="auto"/>
              <w:left w:val="nil"/>
              <w:bottom w:val="single" w:sz="4" w:space="0" w:color="auto"/>
              <w:right w:val="single" w:sz="4" w:space="0" w:color="auto"/>
            </w:tcBorders>
            <w:vAlign w:val="bottom"/>
          </w:tcPr>
          <w:p w14:paraId="3B9D81CA" w14:textId="52EB8FB7" w:rsidR="00823D96" w:rsidRPr="00FA2510" w:rsidRDefault="00823D96" w:rsidP="00823D96">
            <w:pPr>
              <w:jc w:val="center"/>
              <w:rPr>
                <w:rFonts w:ascii="Arial" w:hAnsi="Arial" w:cs="Arial"/>
                <w:b/>
                <w:bCs/>
                <w:sz w:val="18"/>
                <w:szCs w:val="18"/>
              </w:rPr>
            </w:pPr>
            <w:r>
              <w:rPr>
                <w:rFonts w:ascii="Calibri" w:hAnsi="Calibri"/>
                <w:color w:val="000000"/>
                <w:sz w:val="22"/>
                <w:szCs w:val="22"/>
              </w:rPr>
              <w:t>419</w:t>
            </w:r>
          </w:p>
        </w:tc>
      </w:tr>
      <w:tr w:rsidR="00823D96" w:rsidRPr="00FA2510" w14:paraId="14BEBB5C" w14:textId="77777777" w:rsidTr="00823D96">
        <w:trPr>
          <w:trHeight w:val="503"/>
        </w:trPr>
        <w:tc>
          <w:tcPr>
            <w:tcW w:w="1036" w:type="dxa"/>
            <w:tcBorders>
              <w:top w:val="single" w:sz="4" w:space="0" w:color="auto"/>
              <w:left w:val="single" w:sz="4" w:space="0" w:color="auto"/>
              <w:bottom w:val="single" w:sz="4" w:space="0" w:color="auto"/>
              <w:right w:val="single" w:sz="4" w:space="0" w:color="auto"/>
            </w:tcBorders>
            <w:vAlign w:val="bottom"/>
          </w:tcPr>
          <w:p w14:paraId="33A60662"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34FB3FF" w14:textId="77777777" w:rsidR="00823D96" w:rsidRPr="00FA2510" w:rsidRDefault="00823D96" w:rsidP="00823D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23B901AC"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710" w:type="dxa"/>
            <w:tcBorders>
              <w:top w:val="single" w:sz="4" w:space="0" w:color="auto"/>
              <w:left w:val="nil"/>
              <w:bottom w:val="single" w:sz="4" w:space="0" w:color="auto"/>
              <w:right w:val="single" w:sz="4" w:space="0" w:color="auto"/>
            </w:tcBorders>
            <w:vAlign w:val="bottom"/>
          </w:tcPr>
          <w:p w14:paraId="0B81FAA2"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664" w:type="dxa"/>
            <w:tcBorders>
              <w:top w:val="single" w:sz="4" w:space="0" w:color="auto"/>
              <w:left w:val="nil"/>
              <w:bottom w:val="single" w:sz="4" w:space="0" w:color="auto"/>
              <w:right w:val="single" w:sz="4" w:space="0" w:color="auto"/>
            </w:tcBorders>
            <w:vAlign w:val="bottom"/>
          </w:tcPr>
          <w:p w14:paraId="1478C67C" w14:textId="31F546F5" w:rsidR="00823D96" w:rsidRPr="00FA2510" w:rsidRDefault="00823D96" w:rsidP="00823D96">
            <w:pPr>
              <w:jc w:val="center"/>
              <w:rPr>
                <w:rFonts w:ascii="Arial" w:hAnsi="Arial" w:cs="Arial"/>
                <w:b/>
                <w:bCs/>
                <w:sz w:val="18"/>
                <w:szCs w:val="18"/>
              </w:rPr>
            </w:pPr>
            <w:r>
              <w:rPr>
                <w:rFonts w:ascii="Calibri" w:hAnsi="Calibri"/>
                <w:color w:val="000000"/>
                <w:sz w:val="22"/>
                <w:szCs w:val="22"/>
              </w:rPr>
              <w:t>297,521</w:t>
            </w:r>
          </w:p>
        </w:tc>
        <w:tc>
          <w:tcPr>
            <w:tcW w:w="1664" w:type="dxa"/>
            <w:tcBorders>
              <w:top w:val="single" w:sz="4" w:space="0" w:color="auto"/>
              <w:left w:val="nil"/>
              <w:bottom w:val="single" w:sz="4" w:space="0" w:color="auto"/>
              <w:right w:val="single" w:sz="4" w:space="0" w:color="auto"/>
            </w:tcBorders>
            <w:vAlign w:val="bottom"/>
          </w:tcPr>
          <w:p w14:paraId="78634E46" w14:textId="29AFF8ED" w:rsidR="00823D96" w:rsidRPr="00FA2510" w:rsidRDefault="00823D96" w:rsidP="00823D96">
            <w:pPr>
              <w:jc w:val="center"/>
              <w:rPr>
                <w:rFonts w:ascii="Arial" w:hAnsi="Arial" w:cs="Arial"/>
                <w:b/>
                <w:bCs/>
                <w:sz w:val="18"/>
                <w:szCs w:val="18"/>
              </w:rPr>
            </w:pPr>
            <w:r>
              <w:rPr>
                <w:rFonts w:ascii="Calibri" w:hAnsi="Calibri"/>
                <w:color w:val="000000"/>
                <w:sz w:val="22"/>
                <w:szCs w:val="22"/>
              </w:rPr>
              <w:t>148,760</w:t>
            </w:r>
          </w:p>
        </w:tc>
      </w:tr>
      <w:tr w:rsidR="004B0D70" w:rsidRPr="00FA2510" w14:paraId="5BA2E999" w14:textId="77777777" w:rsidTr="00823D96">
        <w:trPr>
          <w:trHeight w:val="143"/>
        </w:trPr>
        <w:tc>
          <w:tcPr>
            <w:tcW w:w="1036" w:type="dxa"/>
            <w:tcBorders>
              <w:top w:val="single" w:sz="4" w:space="0" w:color="auto"/>
              <w:left w:val="single" w:sz="4" w:space="0" w:color="auto"/>
              <w:bottom w:val="single" w:sz="4" w:space="0" w:color="auto"/>
              <w:right w:val="single" w:sz="4" w:space="0" w:color="auto"/>
            </w:tcBorders>
            <w:vAlign w:val="bottom"/>
          </w:tcPr>
          <w:p w14:paraId="7426697F" w14:textId="77777777" w:rsidR="004B0D70" w:rsidRPr="00FA2510" w:rsidRDefault="004B0D70" w:rsidP="005E2D4C">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0AA2C5F" w14:textId="77777777" w:rsidR="004B0D70" w:rsidRPr="00FA2510" w:rsidRDefault="004B0D70" w:rsidP="005E2D4C">
            <w:pPr>
              <w:jc w:val="center"/>
              <w:rPr>
                <w:rFonts w:ascii="Arial" w:hAnsi="Arial" w:cs="Arial"/>
                <w:b/>
                <w:bCs/>
              </w:rPr>
            </w:pPr>
          </w:p>
        </w:tc>
        <w:tc>
          <w:tcPr>
            <w:tcW w:w="1361" w:type="dxa"/>
            <w:tcBorders>
              <w:top w:val="single" w:sz="4" w:space="0" w:color="auto"/>
              <w:left w:val="nil"/>
              <w:bottom w:val="single" w:sz="4" w:space="0" w:color="auto"/>
              <w:right w:val="single" w:sz="4" w:space="0" w:color="auto"/>
            </w:tcBorders>
            <w:vAlign w:val="bottom"/>
          </w:tcPr>
          <w:p w14:paraId="1B74D61C" w14:textId="77777777" w:rsidR="004B0D70" w:rsidRPr="00FA2510" w:rsidRDefault="004B0D70" w:rsidP="005E2D4C">
            <w:pPr>
              <w:jc w:val="center"/>
              <w:rPr>
                <w:rFonts w:ascii="Arial" w:hAnsi="Arial" w:cs="Arial"/>
                <w:b/>
                <w:bCs/>
              </w:rPr>
            </w:pPr>
          </w:p>
        </w:tc>
        <w:tc>
          <w:tcPr>
            <w:tcW w:w="1710" w:type="dxa"/>
            <w:tcBorders>
              <w:top w:val="single" w:sz="4" w:space="0" w:color="auto"/>
              <w:left w:val="nil"/>
              <w:bottom w:val="single" w:sz="4" w:space="0" w:color="auto"/>
              <w:right w:val="single" w:sz="4" w:space="0" w:color="auto"/>
            </w:tcBorders>
            <w:vAlign w:val="bottom"/>
          </w:tcPr>
          <w:p w14:paraId="6C46C058" w14:textId="77777777" w:rsidR="004B0D70" w:rsidRPr="00FA2510" w:rsidRDefault="004B0D70" w:rsidP="005E2D4C">
            <w:pPr>
              <w:jc w:val="center"/>
              <w:rPr>
                <w:rFonts w:ascii="Arial" w:hAnsi="Arial" w:cs="Arial"/>
                <w:b/>
                <w:bCs/>
              </w:rPr>
            </w:pPr>
          </w:p>
        </w:tc>
        <w:tc>
          <w:tcPr>
            <w:tcW w:w="1664" w:type="dxa"/>
            <w:tcBorders>
              <w:top w:val="single" w:sz="4" w:space="0" w:color="auto"/>
              <w:left w:val="nil"/>
              <w:bottom w:val="single" w:sz="4" w:space="0" w:color="auto"/>
              <w:right w:val="single" w:sz="4" w:space="0" w:color="auto"/>
            </w:tcBorders>
            <w:vAlign w:val="bottom"/>
          </w:tcPr>
          <w:p w14:paraId="714DE2F2" w14:textId="77777777" w:rsidR="004B0D70" w:rsidRPr="00FA2510" w:rsidRDefault="004B0D70" w:rsidP="005E2D4C">
            <w:pPr>
              <w:jc w:val="center"/>
              <w:rPr>
                <w:rFonts w:ascii="Arial" w:hAnsi="Arial" w:cs="Arial"/>
                <w:b/>
                <w:bCs/>
                <w:sz w:val="18"/>
                <w:szCs w:val="18"/>
              </w:rPr>
            </w:pPr>
          </w:p>
        </w:tc>
        <w:tc>
          <w:tcPr>
            <w:tcW w:w="1664" w:type="dxa"/>
            <w:tcBorders>
              <w:top w:val="single" w:sz="4" w:space="0" w:color="auto"/>
              <w:left w:val="nil"/>
              <w:bottom w:val="single" w:sz="4" w:space="0" w:color="auto"/>
              <w:right w:val="single" w:sz="4" w:space="0" w:color="auto"/>
            </w:tcBorders>
            <w:vAlign w:val="bottom"/>
          </w:tcPr>
          <w:p w14:paraId="54084098" w14:textId="77777777" w:rsidR="004B0D70" w:rsidRPr="00FA2510" w:rsidRDefault="004B0D70" w:rsidP="005E2D4C">
            <w:pPr>
              <w:jc w:val="center"/>
              <w:rPr>
                <w:rFonts w:ascii="Arial" w:hAnsi="Arial" w:cs="Arial"/>
                <w:b/>
                <w:bCs/>
                <w:sz w:val="18"/>
                <w:szCs w:val="18"/>
              </w:rPr>
            </w:pPr>
          </w:p>
        </w:tc>
      </w:tr>
      <w:tr w:rsidR="004B0D70" w:rsidRPr="00FA2510" w14:paraId="7D3B45DE"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13E87F62"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596B7C2F"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0B881003"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7DDAFD02"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55291F3A"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259FC452"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23D96" w:rsidRPr="00FA2510" w14:paraId="543C38BE" w14:textId="77777777" w:rsidTr="00823D96">
        <w:trPr>
          <w:trHeight w:val="557"/>
        </w:trPr>
        <w:tc>
          <w:tcPr>
            <w:tcW w:w="1036" w:type="dxa"/>
            <w:tcBorders>
              <w:top w:val="single" w:sz="4" w:space="0" w:color="auto"/>
              <w:left w:val="single" w:sz="4" w:space="0" w:color="auto"/>
              <w:bottom w:val="single" w:sz="4" w:space="0" w:color="auto"/>
              <w:right w:val="single" w:sz="4" w:space="0" w:color="auto"/>
            </w:tcBorders>
            <w:vAlign w:val="bottom"/>
          </w:tcPr>
          <w:p w14:paraId="65F44BCF" w14:textId="5EED605B" w:rsidR="00823D96" w:rsidRPr="00FA2510" w:rsidRDefault="00823D96" w:rsidP="00823D96">
            <w:pPr>
              <w:jc w:val="center"/>
              <w:rPr>
                <w:rFonts w:ascii="Arial" w:hAnsi="Arial" w:cs="Arial"/>
                <w:b/>
                <w:bCs/>
              </w:rPr>
            </w:pPr>
            <w:r w:rsidRPr="00FA2510">
              <w:rPr>
                <w:rFonts w:ascii="Arial" w:hAnsi="Arial" w:cs="Arial"/>
                <w:b/>
                <w:bCs/>
              </w:rPr>
              <w:t>FY 201</w:t>
            </w:r>
            <w:r>
              <w:rPr>
                <w:rFonts w:ascii="Arial" w:hAnsi="Arial" w:cs="Arial"/>
                <w:b/>
                <w:bCs/>
              </w:rPr>
              <w:t>8</w:t>
            </w:r>
          </w:p>
        </w:tc>
        <w:tc>
          <w:tcPr>
            <w:tcW w:w="1385" w:type="dxa"/>
            <w:tcBorders>
              <w:top w:val="single" w:sz="4" w:space="0" w:color="auto"/>
              <w:left w:val="nil"/>
              <w:bottom w:val="single" w:sz="4" w:space="0" w:color="auto"/>
              <w:right w:val="single" w:sz="4" w:space="0" w:color="auto"/>
            </w:tcBorders>
            <w:vAlign w:val="bottom"/>
          </w:tcPr>
          <w:p w14:paraId="680D2F45"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5CDB598F"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6607A793"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4EB4B06E" w14:textId="53966F1B" w:rsidR="00823D96" w:rsidRPr="00FA2510" w:rsidRDefault="00823D96" w:rsidP="00823D96">
            <w:pPr>
              <w:jc w:val="center"/>
              <w:rPr>
                <w:rFonts w:ascii="Arial" w:hAnsi="Arial" w:cs="Arial"/>
                <w:b/>
                <w:bCs/>
                <w:sz w:val="18"/>
                <w:szCs w:val="18"/>
              </w:rPr>
            </w:pPr>
            <w:r>
              <w:rPr>
                <w:rFonts w:ascii="Calibri" w:hAnsi="Calibri"/>
                <w:color w:val="000000"/>
                <w:sz w:val="22"/>
                <w:szCs w:val="22"/>
              </w:rPr>
              <w:t>258,632</w:t>
            </w:r>
          </w:p>
        </w:tc>
        <w:tc>
          <w:tcPr>
            <w:tcW w:w="1664" w:type="dxa"/>
            <w:tcBorders>
              <w:top w:val="single" w:sz="4" w:space="0" w:color="auto"/>
              <w:left w:val="nil"/>
              <w:bottom w:val="single" w:sz="4" w:space="0" w:color="auto"/>
              <w:right w:val="single" w:sz="4" w:space="0" w:color="auto"/>
            </w:tcBorders>
            <w:vAlign w:val="bottom"/>
          </w:tcPr>
          <w:p w14:paraId="04E159BC" w14:textId="4D3135CD" w:rsidR="00823D96" w:rsidRPr="00FA2510" w:rsidRDefault="00823D96" w:rsidP="00823D96">
            <w:pPr>
              <w:jc w:val="center"/>
              <w:rPr>
                <w:rFonts w:ascii="Arial" w:hAnsi="Arial" w:cs="Arial"/>
                <w:b/>
                <w:bCs/>
                <w:sz w:val="18"/>
                <w:szCs w:val="18"/>
              </w:rPr>
            </w:pPr>
            <w:r>
              <w:rPr>
                <w:rFonts w:ascii="Calibri" w:hAnsi="Calibri"/>
                <w:color w:val="000000"/>
                <w:sz w:val="22"/>
                <w:szCs w:val="22"/>
              </w:rPr>
              <w:t>129,316</w:t>
            </w:r>
          </w:p>
        </w:tc>
      </w:tr>
      <w:tr w:rsidR="00823D96" w:rsidRPr="00FA2510" w14:paraId="6BFB22AA" w14:textId="77777777" w:rsidTr="00823D96">
        <w:trPr>
          <w:trHeight w:val="458"/>
        </w:trPr>
        <w:tc>
          <w:tcPr>
            <w:tcW w:w="1036" w:type="dxa"/>
            <w:tcBorders>
              <w:top w:val="single" w:sz="4" w:space="0" w:color="auto"/>
              <w:left w:val="single" w:sz="4" w:space="0" w:color="auto"/>
              <w:bottom w:val="single" w:sz="4" w:space="0" w:color="auto"/>
              <w:right w:val="single" w:sz="4" w:space="0" w:color="auto"/>
            </w:tcBorders>
            <w:vAlign w:val="bottom"/>
          </w:tcPr>
          <w:p w14:paraId="2559BAC0"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7E5E1689"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7A938E36"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09C3A4FB"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319CF24C" w14:textId="73E9CEE3" w:rsidR="00823D96" w:rsidRPr="00FA2510" w:rsidRDefault="00823D96" w:rsidP="00823D96">
            <w:pPr>
              <w:jc w:val="center"/>
              <w:rPr>
                <w:rFonts w:ascii="Arial" w:hAnsi="Arial" w:cs="Arial"/>
                <w:b/>
                <w:bCs/>
                <w:sz w:val="18"/>
                <w:szCs w:val="18"/>
              </w:rPr>
            </w:pPr>
            <w:r>
              <w:rPr>
                <w:rFonts w:ascii="Calibri" w:hAnsi="Calibri"/>
                <w:color w:val="000000"/>
                <w:sz w:val="22"/>
                <w:szCs w:val="22"/>
              </w:rPr>
              <w:t>7,215</w:t>
            </w:r>
          </w:p>
        </w:tc>
        <w:tc>
          <w:tcPr>
            <w:tcW w:w="1664" w:type="dxa"/>
            <w:tcBorders>
              <w:top w:val="single" w:sz="4" w:space="0" w:color="auto"/>
              <w:left w:val="nil"/>
              <w:bottom w:val="single" w:sz="4" w:space="0" w:color="auto"/>
              <w:right w:val="single" w:sz="4" w:space="0" w:color="auto"/>
            </w:tcBorders>
            <w:vAlign w:val="bottom"/>
          </w:tcPr>
          <w:p w14:paraId="6D082187" w14:textId="6BB2DD5D" w:rsidR="00823D96" w:rsidRPr="00FA2510" w:rsidRDefault="00823D96" w:rsidP="00823D96">
            <w:pPr>
              <w:jc w:val="center"/>
              <w:rPr>
                <w:rFonts w:ascii="Arial" w:hAnsi="Arial" w:cs="Arial"/>
                <w:b/>
                <w:bCs/>
                <w:sz w:val="18"/>
                <w:szCs w:val="18"/>
              </w:rPr>
            </w:pPr>
            <w:r>
              <w:rPr>
                <w:rFonts w:ascii="Calibri" w:hAnsi="Calibri"/>
                <w:color w:val="000000"/>
                <w:sz w:val="22"/>
                <w:szCs w:val="22"/>
              </w:rPr>
              <w:t>3,607</w:t>
            </w:r>
          </w:p>
        </w:tc>
      </w:tr>
      <w:tr w:rsidR="00823D96" w:rsidRPr="00FA2510" w14:paraId="443FB4C8" w14:textId="77777777" w:rsidTr="00823D96">
        <w:trPr>
          <w:trHeight w:val="503"/>
        </w:trPr>
        <w:tc>
          <w:tcPr>
            <w:tcW w:w="1036" w:type="dxa"/>
            <w:tcBorders>
              <w:top w:val="single" w:sz="4" w:space="0" w:color="auto"/>
              <w:left w:val="single" w:sz="4" w:space="0" w:color="auto"/>
              <w:bottom w:val="single" w:sz="4" w:space="0" w:color="auto"/>
              <w:right w:val="single" w:sz="4" w:space="0" w:color="auto"/>
            </w:tcBorders>
            <w:vAlign w:val="bottom"/>
          </w:tcPr>
          <w:p w14:paraId="1C6DBFE2"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3966F8C6"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3E629C32"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680F02F4"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22F12DD9" w14:textId="3E6C1837" w:rsidR="00823D96" w:rsidRPr="00FA2510" w:rsidRDefault="00823D96" w:rsidP="00823D96">
            <w:pPr>
              <w:jc w:val="center"/>
              <w:rPr>
                <w:rFonts w:ascii="Arial" w:hAnsi="Arial" w:cs="Arial"/>
                <w:b/>
                <w:bCs/>
                <w:sz w:val="18"/>
                <w:szCs w:val="18"/>
              </w:rPr>
            </w:pPr>
            <w:r>
              <w:rPr>
                <w:rFonts w:ascii="Calibri" w:hAnsi="Calibri"/>
                <w:color w:val="000000"/>
                <w:sz w:val="22"/>
                <w:szCs w:val="22"/>
              </w:rPr>
              <w:t>30,83</w:t>
            </w:r>
            <w:r w:rsidR="008264A1">
              <w:rPr>
                <w:rFonts w:ascii="Calibri" w:hAnsi="Calibri"/>
                <w:color w:val="000000"/>
                <w:sz w:val="22"/>
                <w:szCs w:val="22"/>
              </w:rPr>
              <w:t>6</w:t>
            </w:r>
          </w:p>
        </w:tc>
        <w:tc>
          <w:tcPr>
            <w:tcW w:w="1664" w:type="dxa"/>
            <w:tcBorders>
              <w:top w:val="single" w:sz="4" w:space="0" w:color="auto"/>
              <w:left w:val="nil"/>
              <w:bottom w:val="single" w:sz="4" w:space="0" w:color="auto"/>
              <w:right w:val="single" w:sz="4" w:space="0" w:color="auto"/>
            </w:tcBorders>
            <w:vAlign w:val="bottom"/>
          </w:tcPr>
          <w:p w14:paraId="1978A431" w14:textId="6F314024" w:rsidR="00823D96" w:rsidRPr="00FA2510" w:rsidRDefault="00823D96" w:rsidP="00823D96">
            <w:pPr>
              <w:jc w:val="center"/>
              <w:rPr>
                <w:rFonts w:ascii="Arial" w:hAnsi="Arial" w:cs="Arial"/>
                <w:b/>
                <w:bCs/>
                <w:sz w:val="18"/>
                <w:szCs w:val="18"/>
              </w:rPr>
            </w:pPr>
            <w:r>
              <w:rPr>
                <w:rFonts w:ascii="Calibri" w:hAnsi="Calibri"/>
                <w:color w:val="000000"/>
                <w:sz w:val="22"/>
                <w:szCs w:val="22"/>
              </w:rPr>
              <w:t>15,418</w:t>
            </w:r>
          </w:p>
        </w:tc>
      </w:tr>
      <w:tr w:rsidR="00823D96" w:rsidRPr="00FA2510" w14:paraId="3E620429"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5B073359"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3E49BD3E"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2DEDBA2F"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140C5B91"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39218FE2" w14:textId="4F76AA00" w:rsidR="00823D96" w:rsidRPr="00FA2510" w:rsidRDefault="00823D96" w:rsidP="00823D96">
            <w:pPr>
              <w:jc w:val="center"/>
              <w:rPr>
                <w:rFonts w:ascii="Arial" w:hAnsi="Arial" w:cs="Arial"/>
                <w:b/>
                <w:bCs/>
                <w:sz w:val="18"/>
                <w:szCs w:val="18"/>
              </w:rPr>
            </w:pPr>
            <w:r>
              <w:rPr>
                <w:rFonts w:ascii="Calibri" w:hAnsi="Calibri"/>
                <w:color w:val="000000"/>
                <w:sz w:val="22"/>
                <w:szCs w:val="22"/>
              </w:rPr>
              <w:t>838</w:t>
            </w:r>
          </w:p>
        </w:tc>
        <w:tc>
          <w:tcPr>
            <w:tcW w:w="1664" w:type="dxa"/>
            <w:tcBorders>
              <w:top w:val="single" w:sz="4" w:space="0" w:color="auto"/>
              <w:left w:val="nil"/>
              <w:bottom w:val="single" w:sz="4" w:space="0" w:color="auto"/>
              <w:right w:val="single" w:sz="4" w:space="0" w:color="auto"/>
            </w:tcBorders>
            <w:vAlign w:val="bottom"/>
          </w:tcPr>
          <w:p w14:paraId="5799B282" w14:textId="1664A4D5" w:rsidR="00823D96" w:rsidRPr="00FA2510" w:rsidRDefault="00823D96" w:rsidP="00823D96">
            <w:pPr>
              <w:jc w:val="center"/>
              <w:rPr>
                <w:rFonts w:ascii="Arial" w:hAnsi="Arial" w:cs="Arial"/>
                <w:b/>
                <w:bCs/>
                <w:sz w:val="18"/>
                <w:szCs w:val="18"/>
              </w:rPr>
            </w:pPr>
            <w:r>
              <w:rPr>
                <w:rFonts w:ascii="Calibri" w:hAnsi="Calibri"/>
                <w:color w:val="000000"/>
                <w:sz w:val="22"/>
                <w:szCs w:val="22"/>
              </w:rPr>
              <w:t>419</w:t>
            </w:r>
          </w:p>
        </w:tc>
      </w:tr>
      <w:tr w:rsidR="00823D96" w:rsidRPr="00FA2510" w14:paraId="675A47A5"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5146780D"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7787ECA" w14:textId="77777777" w:rsidR="00823D96" w:rsidRPr="00FA2510" w:rsidRDefault="00823D96" w:rsidP="00823D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04A4CCB9" w14:textId="77777777" w:rsidR="00823D96" w:rsidRPr="00FA2510" w:rsidRDefault="00823D96" w:rsidP="00823D96">
            <w:pPr>
              <w:jc w:val="center"/>
              <w:rPr>
                <w:rFonts w:ascii="Arial" w:hAnsi="Arial" w:cs="Arial"/>
                <w:b/>
                <w:bCs/>
              </w:rPr>
            </w:pPr>
          </w:p>
        </w:tc>
        <w:tc>
          <w:tcPr>
            <w:tcW w:w="1710" w:type="dxa"/>
            <w:tcBorders>
              <w:top w:val="single" w:sz="4" w:space="0" w:color="auto"/>
              <w:left w:val="nil"/>
              <w:bottom w:val="single" w:sz="4" w:space="0" w:color="auto"/>
              <w:right w:val="single" w:sz="4" w:space="0" w:color="auto"/>
            </w:tcBorders>
            <w:vAlign w:val="bottom"/>
          </w:tcPr>
          <w:p w14:paraId="414E97AB" w14:textId="77777777" w:rsidR="00823D96" w:rsidRPr="00FA2510" w:rsidRDefault="00823D96" w:rsidP="00823D96">
            <w:pPr>
              <w:jc w:val="center"/>
              <w:rPr>
                <w:rFonts w:ascii="Arial" w:hAnsi="Arial" w:cs="Arial"/>
                <w:b/>
                <w:bCs/>
              </w:rPr>
            </w:pPr>
          </w:p>
        </w:tc>
        <w:tc>
          <w:tcPr>
            <w:tcW w:w="1664" w:type="dxa"/>
            <w:tcBorders>
              <w:top w:val="single" w:sz="4" w:space="0" w:color="auto"/>
              <w:left w:val="nil"/>
              <w:bottom w:val="single" w:sz="4" w:space="0" w:color="auto"/>
              <w:right w:val="single" w:sz="4" w:space="0" w:color="auto"/>
            </w:tcBorders>
            <w:vAlign w:val="bottom"/>
          </w:tcPr>
          <w:p w14:paraId="7F1D5961" w14:textId="2E144942" w:rsidR="00823D96" w:rsidRPr="00FA2510" w:rsidRDefault="00823D96" w:rsidP="00823D96">
            <w:pPr>
              <w:jc w:val="center"/>
              <w:rPr>
                <w:rFonts w:ascii="Arial" w:hAnsi="Arial" w:cs="Arial"/>
                <w:b/>
                <w:bCs/>
                <w:sz w:val="18"/>
                <w:szCs w:val="18"/>
              </w:rPr>
            </w:pPr>
            <w:r>
              <w:rPr>
                <w:rFonts w:ascii="Calibri" w:hAnsi="Calibri"/>
                <w:color w:val="000000"/>
                <w:sz w:val="22"/>
                <w:szCs w:val="22"/>
              </w:rPr>
              <w:t>297,521</w:t>
            </w:r>
          </w:p>
        </w:tc>
        <w:tc>
          <w:tcPr>
            <w:tcW w:w="1664" w:type="dxa"/>
            <w:tcBorders>
              <w:top w:val="single" w:sz="4" w:space="0" w:color="auto"/>
              <w:left w:val="nil"/>
              <w:bottom w:val="single" w:sz="4" w:space="0" w:color="auto"/>
              <w:right w:val="single" w:sz="4" w:space="0" w:color="auto"/>
            </w:tcBorders>
            <w:vAlign w:val="bottom"/>
          </w:tcPr>
          <w:p w14:paraId="23FACB69" w14:textId="5B4B4690" w:rsidR="00823D96" w:rsidRPr="00FA2510" w:rsidRDefault="00823D96" w:rsidP="00823D96">
            <w:pPr>
              <w:jc w:val="center"/>
              <w:rPr>
                <w:rFonts w:ascii="Arial" w:hAnsi="Arial" w:cs="Arial"/>
                <w:b/>
                <w:bCs/>
                <w:sz w:val="18"/>
                <w:szCs w:val="18"/>
              </w:rPr>
            </w:pPr>
            <w:r>
              <w:rPr>
                <w:rFonts w:ascii="Calibri" w:hAnsi="Calibri"/>
                <w:color w:val="000000"/>
                <w:sz w:val="22"/>
                <w:szCs w:val="22"/>
              </w:rPr>
              <w:t>148,760</w:t>
            </w:r>
          </w:p>
        </w:tc>
      </w:tr>
      <w:tr w:rsidR="004B0D70" w:rsidRPr="00FA2510" w14:paraId="4BF5F787" w14:textId="77777777" w:rsidTr="00823D96">
        <w:trPr>
          <w:trHeight w:val="215"/>
        </w:trPr>
        <w:tc>
          <w:tcPr>
            <w:tcW w:w="1036" w:type="dxa"/>
            <w:tcBorders>
              <w:top w:val="single" w:sz="4" w:space="0" w:color="auto"/>
              <w:left w:val="single" w:sz="4" w:space="0" w:color="auto"/>
              <w:bottom w:val="single" w:sz="4" w:space="0" w:color="auto"/>
              <w:right w:val="single" w:sz="4" w:space="0" w:color="auto"/>
            </w:tcBorders>
            <w:vAlign w:val="bottom"/>
          </w:tcPr>
          <w:p w14:paraId="0D7B703E" w14:textId="77777777" w:rsidR="004B0D70" w:rsidRPr="00FA2510" w:rsidRDefault="004B0D70" w:rsidP="005E2D4C">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538DB232" w14:textId="77777777" w:rsidR="004B0D70" w:rsidRPr="00FA2510" w:rsidRDefault="004B0D70" w:rsidP="005E2D4C">
            <w:pPr>
              <w:jc w:val="center"/>
              <w:rPr>
                <w:rFonts w:ascii="Arial" w:hAnsi="Arial" w:cs="Arial"/>
                <w:b/>
                <w:bCs/>
              </w:rPr>
            </w:pPr>
          </w:p>
        </w:tc>
        <w:tc>
          <w:tcPr>
            <w:tcW w:w="1361" w:type="dxa"/>
            <w:tcBorders>
              <w:top w:val="single" w:sz="4" w:space="0" w:color="auto"/>
              <w:left w:val="nil"/>
              <w:bottom w:val="single" w:sz="4" w:space="0" w:color="auto"/>
              <w:right w:val="single" w:sz="4" w:space="0" w:color="auto"/>
            </w:tcBorders>
            <w:vAlign w:val="bottom"/>
          </w:tcPr>
          <w:p w14:paraId="7DFA006D" w14:textId="77777777" w:rsidR="004B0D70" w:rsidRPr="00FA2510" w:rsidRDefault="004B0D70" w:rsidP="005E2D4C">
            <w:pPr>
              <w:jc w:val="center"/>
              <w:rPr>
                <w:rFonts w:ascii="Arial" w:hAnsi="Arial" w:cs="Arial"/>
                <w:b/>
                <w:bCs/>
              </w:rPr>
            </w:pPr>
          </w:p>
        </w:tc>
        <w:tc>
          <w:tcPr>
            <w:tcW w:w="1710" w:type="dxa"/>
            <w:tcBorders>
              <w:top w:val="single" w:sz="4" w:space="0" w:color="auto"/>
              <w:left w:val="nil"/>
              <w:bottom w:val="single" w:sz="4" w:space="0" w:color="auto"/>
              <w:right w:val="single" w:sz="4" w:space="0" w:color="auto"/>
            </w:tcBorders>
            <w:vAlign w:val="bottom"/>
          </w:tcPr>
          <w:p w14:paraId="7AEF54BF" w14:textId="77777777" w:rsidR="004B0D70" w:rsidRPr="00FA2510" w:rsidRDefault="004B0D70" w:rsidP="005E2D4C">
            <w:pPr>
              <w:jc w:val="center"/>
              <w:rPr>
                <w:rFonts w:ascii="Arial" w:hAnsi="Arial" w:cs="Arial"/>
                <w:b/>
                <w:bCs/>
              </w:rPr>
            </w:pPr>
          </w:p>
        </w:tc>
        <w:tc>
          <w:tcPr>
            <w:tcW w:w="1664" w:type="dxa"/>
            <w:tcBorders>
              <w:top w:val="single" w:sz="4" w:space="0" w:color="auto"/>
              <w:left w:val="nil"/>
              <w:bottom w:val="single" w:sz="4" w:space="0" w:color="auto"/>
              <w:right w:val="single" w:sz="4" w:space="0" w:color="auto"/>
            </w:tcBorders>
            <w:vAlign w:val="bottom"/>
          </w:tcPr>
          <w:p w14:paraId="4A932D08" w14:textId="77777777" w:rsidR="004B0D70" w:rsidRPr="00FA2510" w:rsidRDefault="004B0D70" w:rsidP="005E2D4C">
            <w:pPr>
              <w:jc w:val="center"/>
              <w:rPr>
                <w:rFonts w:ascii="Arial" w:hAnsi="Arial" w:cs="Arial"/>
                <w:b/>
                <w:bCs/>
                <w:sz w:val="18"/>
                <w:szCs w:val="18"/>
              </w:rPr>
            </w:pPr>
          </w:p>
        </w:tc>
        <w:tc>
          <w:tcPr>
            <w:tcW w:w="1664" w:type="dxa"/>
            <w:tcBorders>
              <w:top w:val="single" w:sz="4" w:space="0" w:color="auto"/>
              <w:left w:val="nil"/>
              <w:bottom w:val="single" w:sz="4" w:space="0" w:color="auto"/>
              <w:right w:val="single" w:sz="4" w:space="0" w:color="auto"/>
            </w:tcBorders>
            <w:vAlign w:val="bottom"/>
          </w:tcPr>
          <w:p w14:paraId="0B335950" w14:textId="77777777" w:rsidR="004B0D70" w:rsidRPr="00FA2510" w:rsidRDefault="004B0D70" w:rsidP="005E2D4C">
            <w:pPr>
              <w:jc w:val="center"/>
              <w:rPr>
                <w:rFonts w:ascii="Arial" w:hAnsi="Arial" w:cs="Arial"/>
                <w:b/>
                <w:bCs/>
                <w:sz w:val="18"/>
                <w:szCs w:val="18"/>
              </w:rPr>
            </w:pPr>
          </w:p>
        </w:tc>
      </w:tr>
    </w:tbl>
    <w:p w14:paraId="250E3254" w14:textId="77777777" w:rsidR="00306BCF" w:rsidRDefault="00306BCF">
      <w:r>
        <w:br w:type="page"/>
      </w:r>
    </w:p>
    <w:tbl>
      <w:tblPr>
        <w:tblW w:w="8820" w:type="dxa"/>
        <w:tblInd w:w="648" w:type="dxa"/>
        <w:tblLook w:val="0000" w:firstRow="0" w:lastRow="0" w:firstColumn="0" w:lastColumn="0" w:noHBand="0" w:noVBand="0"/>
      </w:tblPr>
      <w:tblGrid>
        <w:gridCol w:w="1036"/>
        <w:gridCol w:w="1385"/>
        <w:gridCol w:w="1361"/>
        <w:gridCol w:w="1710"/>
        <w:gridCol w:w="1664"/>
        <w:gridCol w:w="1664"/>
      </w:tblGrid>
      <w:tr w:rsidR="004B0D70" w:rsidRPr="00FA2510" w14:paraId="0B60E71C"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3625C8FD" w14:textId="28D240D7" w:rsidR="004B0D70" w:rsidRPr="00FA2510" w:rsidRDefault="004B0D70" w:rsidP="005E2D4C">
            <w:pPr>
              <w:jc w:val="center"/>
              <w:rPr>
                <w:rFonts w:ascii="Arial" w:hAnsi="Arial" w:cs="Arial"/>
                <w:b/>
                <w:bCs/>
              </w:rPr>
            </w:pPr>
            <w:r w:rsidRPr="00FA2510">
              <w:rPr>
                <w:rFonts w:ascii="Arial" w:hAnsi="Arial" w:cs="Arial"/>
                <w:b/>
                <w:bCs/>
              </w:rPr>
              <w:lastRenderedPageBreak/>
              <w:t>Survey year</w:t>
            </w:r>
          </w:p>
        </w:tc>
        <w:tc>
          <w:tcPr>
            <w:tcW w:w="1385" w:type="dxa"/>
            <w:tcBorders>
              <w:top w:val="single" w:sz="4" w:space="0" w:color="auto"/>
              <w:left w:val="nil"/>
              <w:bottom w:val="single" w:sz="4" w:space="0" w:color="auto"/>
              <w:right w:val="single" w:sz="4" w:space="0" w:color="auto"/>
            </w:tcBorders>
            <w:vAlign w:val="center"/>
          </w:tcPr>
          <w:p w14:paraId="629C6EAB"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264E9161"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2F2C085C"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47498E42"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6BE355D6"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23D96" w:rsidRPr="00FA2510" w14:paraId="1644CF91" w14:textId="77777777" w:rsidTr="00823D96">
        <w:trPr>
          <w:trHeight w:val="485"/>
        </w:trPr>
        <w:tc>
          <w:tcPr>
            <w:tcW w:w="1036" w:type="dxa"/>
            <w:tcBorders>
              <w:top w:val="single" w:sz="4" w:space="0" w:color="auto"/>
              <w:left w:val="single" w:sz="4" w:space="0" w:color="auto"/>
              <w:bottom w:val="single" w:sz="4" w:space="0" w:color="auto"/>
              <w:right w:val="single" w:sz="4" w:space="0" w:color="auto"/>
            </w:tcBorders>
            <w:vAlign w:val="bottom"/>
          </w:tcPr>
          <w:p w14:paraId="1F8ED419" w14:textId="71DED721" w:rsidR="00823D96" w:rsidRPr="00FA2510" w:rsidRDefault="00823D96" w:rsidP="00823D96">
            <w:pPr>
              <w:jc w:val="center"/>
              <w:rPr>
                <w:rFonts w:ascii="Arial" w:hAnsi="Arial" w:cs="Arial"/>
                <w:b/>
                <w:bCs/>
              </w:rPr>
            </w:pPr>
            <w:r w:rsidRPr="00FA2510">
              <w:rPr>
                <w:rFonts w:ascii="Arial" w:hAnsi="Arial" w:cs="Arial"/>
                <w:b/>
                <w:bCs/>
              </w:rPr>
              <w:t>FY 201</w:t>
            </w:r>
            <w:r>
              <w:rPr>
                <w:rFonts w:ascii="Arial" w:hAnsi="Arial" w:cs="Arial"/>
                <w:b/>
                <w:bCs/>
              </w:rPr>
              <w:t>9</w:t>
            </w:r>
          </w:p>
        </w:tc>
        <w:tc>
          <w:tcPr>
            <w:tcW w:w="1385" w:type="dxa"/>
            <w:tcBorders>
              <w:top w:val="single" w:sz="4" w:space="0" w:color="auto"/>
              <w:left w:val="nil"/>
              <w:bottom w:val="single" w:sz="4" w:space="0" w:color="auto"/>
              <w:right w:val="single" w:sz="4" w:space="0" w:color="auto"/>
            </w:tcBorders>
            <w:vAlign w:val="bottom"/>
          </w:tcPr>
          <w:p w14:paraId="456B7C07"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4781F42E"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5F81682B"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02862333" w14:textId="0CEFFE82" w:rsidR="00823D96" w:rsidRPr="00FA2510" w:rsidRDefault="00823D96" w:rsidP="00823D96">
            <w:pPr>
              <w:jc w:val="center"/>
              <w:rPr>
                <w:rFonts w:ascii="Arial" w:hAnsi="Arial" w:cs="Arial"/>
                <w:b/>
                <w:bCs/>
                <w:sz w:val="18"/>
                <w:szCs w:val="18"/>
              </w:rPr>
            </w:pPr>
            <w:r>
              <w:rPr>
                <w:rFonts w:ascii="Calibri" w:hAnsi="Calibri"/>
                <w:color w:val="000000"/>
                <w:sz w:val="22"/>
                <w:szCs w:val="22"/>
              </w:rPr>
              <w:t>258,632</w:t>
            </w:r>
          </w:p>
        </w:tc>
        <w:tc>
          <w:tcPr>
            <w:tcW w:w="1664" w:type="dxa"/>
            <w:tcBorders>
              <w:top w:val="single" w:sz="4" w:space="0" w:color="auto"/>
              <w:left w:val="nil"/>
              <w:bottom w:val="single" w:sz="4" w:space="0" w:color="auto"/>
              <w:right w:val="single" w:sz="4" w:space="0" w:color="auto"/>
            </w:tcBorders>
            <w:vAlign w:val="bottom"/>
          </w:tcPr>
          <w:p w14:paraId="6F010C61" w14:textId="6E037BE5" w:rsidR="00823D96" w:rsidRPr="00FA2510" w:rsidRDefault="00823D96" w:rsidP="00823D96">
            <w:pPr>
              <w:jc w:val="center"/>
              <w:rPr>
                <w:rFonts w:ascii="Arial" w:hAnsi="Arial" w:cs="Arial"/>
                <w:b/>
                <w:bCs/>
                <w:sz w:val="18"/>
                <w:szCs w:val="18"/>
              </w:rPr>
            </w:pPr>
            <w:r>
              <w:rPr>
                <w:rFonts w:ascii="Calibri" w:hAnsi="Calibri"/>
                <w:color w:val="000000"/>
                <w:sz w:val="22"/>
                <w:szCs w:val="22"/>
              </w:rPr>
              <w:t>129,316</w:t>
            </w:r>
          </w:p>
        </w:tc>
      </w:tr>
      <w:tr w:rsidR="00823D96" w:rsidRPr="00FA2510" w14:paraId="1A72E455"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68DBAE7D"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4EC1CFD2"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7C4E8008"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6A929D74"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15AF505F" w14:textId="16B4E2A6" w:rsidR="00823D96" w:rsidRPr="00FA2510" w:rsidRDefault="00823D96" w:rsidP="00823D96">
            <w:pPr>
              <w:jc w:val="center"/>
              <w:rPr>
                <w:rFonts w:ascii="Arial" w:hAnsi="Arial" w:cs="Arial"/>
                <w:b/>
                <w:bCs/>
                <w:sz w:val="18"/>
                <w:szCs w:val="18"/>
              </w:rPr>
            </w:pPr>
            <w:r>
              <w:rPr>
                <w:rFonts w:ascii="Calibri" w:hAnsi="Calibri"/>
                <w:color w:val="000000"/>
                <w:sz w:val="22"/>
                <w:szCs w:val="22"/>
              </w:rPr>
              <w:t>7,215</w:t>
            </w:r>
          </w:p>
        </w:tc>
        <w:tc>
          <w:tcPr>
            <w:tcW w:w="1664" w:type="dxa"/>
            <w:tcBorders>
              <w:top w:val="single" w:sz="4" w:space="0" w:color="auto"/>
              <w:left w:val="nil"/>
              <w:bottom w:val="single" w:sz="4" w:space="0" w:color="auto"/>
              <w:right w:val="single" w:sz="4" w:space="0" w:color="auto"/>
            </w:tcBorders>
            <w:vAlign w:val="bottom"/>
          </w:tcPr>
          <w:p w14:paraId="01AB0F34" w14:textId="3467C7DB" w:rsidR="00823D96" w:rsidRPr="00FA2510" w:rsidRDefault="00823D96" w:rsidP="00823D96">
            <w:pPr>
              <w:jc w:val="center"/>
              <w:rPr>
                <w:rFonts w:ascii="Arial" w:hAnsi="Arial" w:cs="Arial"/>
                <w:b/>
                <w:bCs/>
                <w:sz w:val="18"/>
                <w:szCs w:val="18"/>
              </w:rPr>
            </w:pPr>
            <w:r>
              <w:rPr>
                <w:rFonts w:ascii="Calibri" w:hAnsi="Calibri"/>
                <w:color w:val="000000"/>
                <w:sz w:val="22"/>
                <w:szCs w:val="22"/>
              </w:rPr>
              <w:t>3,607</w:t>
            </w:r>
          </w:p>
        </w:tc>
      </w:tr>
      <w:tr w:rsidR="00823D96" w:rsidRPr="00FA2510" w14:paraId="0C21000E"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44AE4B53"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6D8C93B4"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450B5774"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5F26C8BE"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6DF0056D" w14:textId="4CB6B2DF" w:rsidR="00823D96" w:rsidRPr="00FA2510" w:rsidRDefault="00823D96" w:rsidP="00823D96">
            <w:pPr>
              <w:jc w:val="center"/>
              <w:rPr>
                <w:rFonts w:ascii="Arial" w:hAnsi="Arial" w:cs="Arial"/>
                <w:b/>
                <w:bCs/>
                <w:sz w:val="18"/>
                <w:szCs w:val="18"/>
              </w:rPr>
            </w:pPr>
            <w:r>
              <w:rPr>
                <w:rFonts w:ascii="Calibri" w:hAnsi="Calibri"/>
                <w:color w:val="000000"/>
                <w:sz w:val="22"/>
                <w:szCs w:val="22"/>
              </w:rPr>
              <w:t>30,83</w:t>
            </w:r>
            <w:r w:rsidR="008264A1">
              <w:rPr>
                <w:rFonts w:ascii="Calibri" w:hAnsi="Calibri"/>
                <w:color w:val="000000"/>
                <w:sz w:val="22"/>
                <w:szCs w:val="22"/>
              </w:rPr>
              <w:t>6</w:t>
            </w:r>
          </w:p>
        </w:tc>
        <w:tc>
          <w:tcPr>
            <w:tcW w:w="1664" w:type="dxa"/>
            <w:tcBorders>
              <w:top w:val="single" w:sz="4" w:space="0" w:color="auto"/>
              <w:left w:val="nil"/>
              <w:bottom w:val="single" w:sz="4" w:space="0" w:color="auto"/>
              <w:right w:val="single" w:sz="4" w:space="0" w:color="auto"/>
            </w:tcBorders>
            <w:vAlign w:val="bottom"/>
          </w:tcPr>
          <w:p w14:paraId="2C0D0FB9" w14:textId="7E7898DA" w:rsidR="00823D96" w:rsidRPr="00FA2510" w:rsidRDefault="00823D96" w:rsidP="00823D96">
            <w:pPr>
              <w:jc w:val="center"/>
              <w:rPr>
                <w:rFonts w:ascii="Arial" w:hAnsi="Arial" w:cs="Arial"/>
                <w:b/>
                <w:bCs/>
                <w:sz w:val="18"/>
                <w:szCs w:val="18"/>
              </w:rPr>
            </w:pPr>
            <w:r>
              <w:rPr>
                <w:rFonts w:ascii="Calibri" w:hAnsi="Calibri"/>
                <w:color w:val="000000"/>
                <w:sz w:val="22"/>
                <w:szCs w:val="22"/>
              </w:rPr>
              <w:t>15,418</w:t>
            </w:r>
          </w:p>
        </w:tc>
      </w:tr>
      <w:tr w:rsidR="00823D96" w:rsidRPr="00FA2510" w14:paraId="069D568C" w14:textId="77777777" w:rsidTr="00823D96">
        <w:trPr>
          <w:trHeight w:val="440"/>
        </w:trPr>
        <w:tc>
          <w:tcPr>
            <w:tcW w:w="1036" w:type="dxa"/>
            <w:tcBorders>
              <w:top w:val="single" w:sz="4" w:space="0" w:color="auto"/>
              <w:left w:val="single" w:sz="4" w:space="0" w:color="auto"/>
              <w:bottom w:val="single" w:sz="4" w:space="0" w:color="auto"/>
              <w:right w:val="single" w:sz="4" w:space="0" w:color="auto"/>
            </w:tcBorders>
            <w:vAlign w:val="bottom"/>
          </w:tcPr>
          <w:p w14:paraId="690BD660"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62C110C"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6396A99D"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25F5C4FA"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60927599" w14:textId="738CE711" w:rsidR="00823D96" w:rsidRPr="00FA2510" w:rsidRDefault="00823D96" w:rsidP="00823D96">
            <w:pPr>
              <w:jc w:val="center"/>
              <w:rPr>
                <w:rFonts w:ascii="Arial" w:hAnsi="Arial" w:cs="Arial"/>
                <w:b/>
                <w:bCs/>
                <w:sz w:val="18"/>
                <w:szCs w:val="18"/>
              </w:rPr>
            </w:pPr>
            <w:r>
              <w:rPr>
                <w:rFonts w:ascii="Calibri" w:hAnsi="Calibri"/>
                <w:color w:val="000000"/>
                <w:sz w:val="22"/>
                <w:szCs w:val="22"/>
              </w:rPr>
              <w:t>838</w:t>
            </w:r>
          </w:p>
        </w:tc>
        <w:tc>
          <w:tcPr>
            <w:tcW w:w="1664" w:type="dxa"/>
            <w:tcBorders>
              <w:top w:val="single" w:sz="4" w:space="0" w:color="auto"/>
              <w:left w:val="nil"/>
              <w:bottom w:val="single" w:sz="4" w:space="0" w:color="auto"/>
              <w:right w:val="single" w:sz="4" w:space="0" w:color="auto"/>
            </w:tcBorders>
            <w:vAlign w:val="bottom"/>
          </w:tcPr>
          <w:p w14:paraId="6DB6530F" w14:textId="7F896B63" w:rsidR="00823D96" w:rsidRPr="00FA2510" w:rsidRDefault="00823D96" w:rsidP="00823D96">
            <w:pPr>
              <w:jc w:val="center"/>
              <w:rPr>
                <w:rFonts w:ascii="Arial" w:hAnsi="Arial" w:cs="Arial"/>
                <w:b/>
                <w:bCs/>
                <w:sz w:val="18"/>
                <w:szCs w:val="18"/>
              </w:rPr>
            </w:pPr>
            <w:r>
              <w:rPr>
                <w:rFonts w:ascii="Calibri" w:hAnsi="Calibri"/>
                <w:color w:val="000000"/>
                <w:sz w:val="22"/>
                <w:szCs w:val="22"/>
              </w:rPr>
              <w:t>419</w:t>
            </w:r>
          </w:p>
        </w:tc>
      </w:tr>
      <w:tr w:rsidR="00823D96" w:rsidRPr="00FA2510" w14:paraId="032937EB" w14:textId="77777777" w:rsidTr="00823D96">
        <w:trPr>
          <w:trHeight w:val="512"/>
        </w:trPr>
        <w:tc>
          <w:tcPr>
            <w:tcW w:w="1036" w:type="dxa"/>
            <w:tcBorders>
              <w:top w:val="single" w:sz="4" w:space="0" w:color="auto"/>
              <w:left w:val="single" w:sz="4" w:space="0" w:color="auto"/>
              <w:bottom w:val="single" w:sz="4" w:space="0" w:color="auto"/>
              <w:right w:val="single" w:sz="4" w:space="0" w:color="auto"/>
            </w:tcBorders>
            <w:vAlign w:val="bottom"/>
          </w:tcPr>
          <w:p w14:paraId="5D0DE225"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78A98280" w14:textId="77777777" w:rsidR="00823D96" w:rsidRPr="00FA2510" w:rsidRDefault="00823D96" w:rsidP="00823D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1A005945"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710" w:type="dxa"/>
            <w:tcBorders>
              <w:top w:val="single" w:sz="4" w:space="0" w:color="auto"/>
              <w:left w:val="nil"/>
              <w:bottom w:val="single" w:sz="4" w:space="0" w:color="auto"/>
              <w:right w:val="single" w:sz="4" w:space="0" w:color="auto"/>
            </w:tcBorders>
            <w:vAlign w:val="bottom"/>
          </w:tcPr>
          <w:p w14:paraId="1A6D6DC8"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664" w:type="dxa"/>
            <w:tcBorders>
              <w:top w:val="single" w:sz="4" w:space="0" w:color="auto"/>
              <w:left w:val="nil"/>
              <w:bottom w:val="single" w:sz="4" w:space="0" w:color="auto"/>
              <w:right w:val="single" w:sz="4" w:space="0" w:color="auto"/>
            </w:tcBorders>
            <w:vAlign w:val="bottom"/>
          </w:tcPr>
          <w:p w14:paraId="73195098" w14:textId="55E9AAAD" w:rsidR="00823D96" w:rsidRPr="00FA2510" w:rsidRDefault="00823D96" w:rsidP="00823D96">
            <w:pPr>
              <w:jc w:val="center"/>
              <w:rPr>
                <w:rFonts w:ascii="Arial" w:hAnsi="Arial" w:cs="Arial"/>
                <w:b/>
                <w:bCs/>
                <w:sz w:val="18"/>
                <w:szCs w:val="18"/>
              </w:rPr>
            </w:pPr>
            <w:r>
              <w:rPr>
                <w:rFonts w:ascii="Calibri" w:hAnsi="Calibri"/>
                <w:color w:val="000000"/>
                <w:sz w:val="22"/>
                <w:szCs w:val="22"/>
              </w:rPr>
              <w:t>297,521</w:t>
            </w:r>
          </w:p>
        </w:tc>
        <w:tc>
          <w:tcPr>
            <w:tcW w:w="1664" w:type="dxa"/>
            <w:tcBorders>
              <w:top w:val="single" w:sz="4" w:space="0" w:color="auto"/>
              <w:left w:val="nil"/>
              <w:bottom w:val="single" w:sz="4" w:space="0" w:color="auto"/>
              <w:right w:val="single" w:sz="4" w:space="0" w:color="auto"/>
            </w:tcBorders>
            <w:vAlign w:val="bottom"/>
          </w:tcPr>
          <w:p w14:paraId="2D35C73D" w14:textId="0045967A" w:rsidR="00823D96" w:rsidRPr="00FA2510" w:rsidRDefault="00823D96" w:rsidP="00823D96">
            <w:pPr>
              <w:jc w:val="center"/>
              <w:rPr>
                <w:rFonts w:ascii="Arial" w:hAnsi="Arial" w:cs="Arial"/>
                <w:b/>
                <w:bCs/>
                <w:sz w:val="18"/>
                <w:szCs w:val="18"/>
              </w:rPr>
            </w:pPr>
            <w:r>
              <w:rPr>
                <w:rFonts w:ascii="Calibri" w:hAnsi="Calibri"/>
                <w:color w:val="000000"/>
                <w:sz w:val="22"/>
                <w:szCs w:val="22"/>
              </w:rPr>
              <w:t>148,760</w:t>
            </w:r>
          </w:p>
        </w:tc>
      </w:tr>
    </w:tbl>
    <w:p w14:paraId="5F52F428" w14:textId="77777777" w:rsidR="004B0D70" w:rsidRDefault="004B0D70" w:rsidP="0063667B">
      <w:pPr>
        <w:rPr>
          <w:b/>
          <w:sz w:val="24"/>
        </w:rPr>
      </w:pPr>
    </w:p>
    <w:p w14:paraId="0C6D8ECF" w14:textId="77777777" w:rsidR="004B0D70" w:rsidRDefault="004B0D70" w:rsidP="0063667B">
      <w:pPr>
        <w:rPr>
          <w:b/>
          <w:sz w:val="24"/>
        </w:rPr>
      </w:pPr>
    </w:p>
    <w:p w14:paraId="620C515F" w14:textId="18E8B05C" w:rsidR="004B0D70" w:rsidRPr="00C1739F" w:rsidRDefault="004B0D70" w:rsidP="0063667B">
      <w:pPr>
        <w:rPr>
          <w:b/>
          <w:sz w:val="24"/>
        </w:rPr>
      </w:pPr>
      <w:r w:rsidRPr="00C1739F">
        <w:rPr>
          <w:b/>
          <w:sz w:val="24"/>
        </w:rPr>
        <w:t xml:space="preserve">3(b) </w:t>
      </w:r>
      <w:r w:rsidR="006F55A7">
        <w:rPr>
          <w:b/>
          <w:sz w:val="24"/>
        </w:rPr>
        <w:tab/>
      </w:r>
      <w:r w:rsidRPr="00C1739F">
        <w:rPr>
          <w:b/>
          <w:sz w:val="24"/>
        </w:rPr>
        <w:t>Nonresponse Adjustment</w:t>
      </w:r>
    </w:p>
    <w:p w14:paraId="0D9A8FDE" w14:textId="77777777" w:rsidR="004B0D70" w:rsidRPr="0007494F" w:rsidRDefault="004B0D70" w:rsidP="0063667B">
      <w:pPr>
        <w:rPr>
          <w:sz w:val="24"/>
        </w:rPr>
      </w:pPr>
    </w:p>
    <w:p w14:paraId="7D8DEFC4" w14:textId="77777777" w:rsidR="004B0D70" w:rsidRPr="00791296" w:rsidRDefault="004B0D70" w:rsidP="0063667B">
      <w:pPr>
        <w:rPr>
          <w:sz w:val="24"/>
        </w:rPr>
      </w:pPr>
      <w:r w:rsidRPr="0007494F">
        <w:rPr>
          <w:sz w:val="24"/>
        </w:rPr>
        <w:t xml:space="preserve">A hot deck (nearest neighbor) imputation procedure is used to impute for unit nonresponse.  This type of nonresponse occurs when a unit reports no employment data.  In this procedure, units in the sample are stratified into ‘Year / State / </w:t>
      </w:r>
      <w:r>
        <w:rPr>
          <w:sz w:val="24"/>
        </w:rPr>
        <w:t>5 or 6</w:t>
      </w:r>
      <w:r w:rsidRPr="0007494F">
        <w:rPr>
          <w:sz w:val="24"/>
        </w:rPr>
        <w:t xml:space="preserve">-digit industry’ cells.  Within each cell, the “nearest” donor (i.e., responding unit) is selected for each </w:t>
      </w:r>
      <w:proofErr w:type="spellStart"/>
      <w:r w:rsidRPr="0007494F">
        <w:rPr>
          <w:sz w:val="24"/>
        </w:rPr>
        <w:t>nonrespondent</w:t>
      </w:r>
      <w:proofErr w:type="spellEnd"/>
      <w:r w:rsidRPr="0007494F">
        <w:rPr>
          <w:sz w:val="24"/>
        </w:rPr>
        <w:t xml:space="preserve">; an algorithm is used, which minimizes the possibility of selecting the same donor twice.  The </w:t>
      </w:r>
      <w:proofErr w:type="spellStart"/>
      <w:r w:rsidRPr="0007494F">
        <w:rPr>
          <w:sz w:val="24"/>
        </w:rPr>
        <w:t>nonrespondent’s</w:t>
      </w:r>
      <w:proofErr w:type="spellEnd"/>
      <w:r w:rsidRPr="0007494F">
        <w:rPr>
          <w:sz w:val="24"/>
        </w:rPr>
        <w:t xml:space="preserve"> sampling frame employment and the donor’s summed total employment are used within a cell to match donors with </w:t>
      </w:r>
      <w:proofErr w:type="spellStart"/>
      <w:r w:rsidRPr="0007494F">
        <w:rPr>
          <w:sz w:val="24"/>
        </w:rPr>
        <w:t>nonrespondents</w:t>
      </w:r>
      <w:proofErr w:type="spellEnd"/>
      <w:r w:rsidRPr="0007494F">
        <w:rPr>
          <w:sz w:val="24"/>
        </w:rPr>
        <w:t xml:space="preserve">.  Once a donor and </w:t>
      </w:r>
      <w:proofErr w:type="spellStart"/>
      <w:r w:rsidRPr="0007494F">
        <w:rPr>
          <w:sz w:val="24"/>
        </w:rPr>
        <w:t>nonrespondent</w:t>
      </w:r>
      <w:proofErr w:type="spellEnd"/>
      <w:r w:rsidRPr="0007494F">
        <w:rPr>
          <w:sz w:val="24"/>
        </w:rPr>
        <w:t xml:space="preserve"> are matched, the occupational employment totals of the </w:t>
      </w:r>
      <w:proofErr w:type="spellStart"/>
      <w:r w:rsidRPr="0007494F">
        <w:rPr>
          <w:sz w:val="24"/>
        </w:rPr>
        <w:t>nonrespondent</w:t>
      </w:r>
      <w:proofErr w:type="spellEnd"/>
      <w:r w:rsidRPr="0007494F">
        <w:rPr>
          <w:sz w:val="24"/>
        </w:rPr>
        <w:t xml:space="preserve"> are computed using the proportional distribution of the donor’s occupational employment totals.  In the event that a donor is not available at the ‘Year / State / </w:t>
      </w:r>
      <w:r>
        <w:rPr>
          <w:sz w:val="24"/>
        </w:rPr>
        <w:t>5 or 6</w:t>
      </w:r>
      <w:r w:rsidRPr="0007494F">
        <w:rPr>
          <w:sz w:val="24"/>
        </w:rPr>
        <w:t>-digit industry level, the procedure advances to succeeding higher-level cells until a donor is found.</w:t>
      </w:r>
      <w:r>
        <w:rPr>
          <w:sz w:val="24"/>
        </w:rPr>
        <w:t xml:space="preserve">   Background on nearest neighbor imputation procedures for OES can be found on </w:t>
      </w:r>
      <w:hyperlink r:id="rId21" w:history="1">
        <w:r w:rsidRPr="002226BA">
          <w:rPr>
            <w:rStyle w:val="Hyperlink"/>
            <w:sz w:val="24"/>
          </w:rPr>
          <w:t>http://www.bls.gov/ore/pdf/st950180.pdf</w:t>
        </w:r>
      </w:hyperlink>
      <w:r>
        <w:rPr>
          <w:sz w:val="24"/>
        </w:rPr>
        <w:t xml:space="preserve">. </w:t>
      </w:r>
    </w:p>
    <w:p w14:paraId="49343447" w14:textId="77777777" w:rsidR="004B0D70" w:rsidRPr="0007494F" w:rsidRDefault="004B0D70" w:rsidP="0063667B">
      <w:pPr>
        <w:rPr>
          <w:sz w:val="24"/>
        </w:rPr>
      </w:pPr>
    </w:p>
    <w:p w14:paraId="72C66E38" w14:textId="77777777" w:rsidR="004B0D70" w:rsidRPr="0007494F" w:rsidRDefault="004B0D70" w:rsidP="0063667B">
      <w:pPr>
        <w:rPr>
          <w:sz w:val="24"/>
        </w:rPr>
      </w:pPr>
      <w:r w:rsidRPr="0007494F">
        <w:rPr>
          <w:sz w:val="24"/>
        </w:rPr>
        <w:t xml:space="preserve">A variation of the mean imputation procedure is used to impute for item nonresponse.  This type of nonresponse occurs when a unit reports the total-employment for an occupation but not the corresponding wage-employment.  Units where occupational employment was imputed in the previous step are also included as </w:t>
      </w:r>
      <w:proofErr w:type="spellStart"/>
      <w:r w:rsidRPr="0007494F">
        <w:rPr>
          <w:sz w:val="24"/>
        </w:rPr>
        <w:t>nonrespondents</w:t>
      </w:r>
      <w:proofErr w:type="spellEnd"/>
      <w:r w:rsidRPr="0007494F">
        <w:rPr>
          <w:sz w:val="24"/>
        </w:rPr>
        <w:t xml:space="preserve"> in this procedure.  In this procedure, units in the sample are stratified into ‘Year / MSA / 4-digit industry / Size class’ cells.  A wage-employment distribution is then calculated for those occupations missing wage-employment based on the usable data in the cell.  Missing wage-employment is then imputed by using that distribution to prorate the reported total-employment across the wage intervals. </w:t>
      </w:r>
    </w:p>
    <w:p w14:paraId="417F3FCC" w14:textId="77777777" w:rsidR="004B0D70" w:rsidRDefault="004B0D70" w:rsidP="0063667B">
      <w:pPr>
        <w:rPr>
          <w:sz w:val="24"/>
        </w:rPr>
      </w:pPr>
    </w:p>
    <w:p w14:paraId="49BF4CDA" w14:textId="31C28361" w:rsidR="004B0D70" w:rsidRDefault="004B0D70" w:rsidP="00E067C7">
      <w:pPr>
        <w:rPr>
          <w:b/>
          <w:sz w:val="24"/>
          <w:szCs w:val="24"/>
        </w:rPr>
      </w:pPr>
      <w:r w:rsidRPr="00E067C7">
        <w:rPr>
          <w:b/>
          <w:sz w:val="24"/>
        </w:rPr>
        <w:t>3(c)</w:t>
      </w:r>
      <w:r>
        <w:rPr>
          <w:sz w:val="24"/>
        </w:rPr>
        <w:t xml:space="preserve">  </w:t>
      </w:r>
      <w:r w:rsidR="006F55A7">
        <w:rPr>
          <w:sz w:val="24"/>
        </w:rPr>
        <w:tab/>
      </w:r>
      <w:r>
        <w:rPr>
          <w:rFonts w:ascii="TimesNewRoman" w:hAnsi="TimesNewRoman" w:cs="TimesNewRoman"/>
          <w:b/>
          <w:sz w:val="24"/>
          <w:szCs w:val="24"/>
        </w:rPr>
        <w:t>Non-Response Bias Research</w:t>
      </w:r>
    </w:p>
    <w:p w14:paraId="4AF41592" w14:textId="77777777" w:rsidR="004B0D70" w:rsidRDefault="004B0D70" w:rsidP="00E067C7">
      <w:pPr>
        <w:pStyle w:val="BodyText"/>
        <w:rPr>
          <w:szCs w:val="24"/>
        </w:rPr>
      </w:pPr>
    </w:p>
    <w:p w14:paraId="10EC5BBB" w14:textId="08AA81D1" w:rsidR="004B0D70" w:rsidRPr="00C42612" w:rsidRDefault="004B0D70" w:rsidP="00E067C7">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OES survey differ systematically in some important respect from the respondents of the survey and would thus bias OES estimates.  A study of comparison of average hourly occupational wages from OES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Employment Cost Index and for President’s Pay Agent in setting locality pays.  </w:t>
      </w:r>
      <w:r>
        <w:rPr>
          <w:sz w:val="24"/>
          <w:szCs w:val="24"/>
        </w:rPr>
        <w:t xml:space="preserve">The comparisons were done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Pr>
          <w:sz w:val="24"/>
          <w:szCs w:val="24"/>
        </w:rPr>
        <w:t xml:space="preserve">  Many of </w:t>
      </w:r>
      <w:r>
        <w:rPr>
          <w:sz w:val="24"/>
          <w:szCs w:val="24"/>
        </w:rPr>
        <w:lastRenderedPageBreak/>
        <w:t xml:space="preserve">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(BLS</w:t>
      </w:r>
      <w:r w:rsidRPr="00C42612">
        <w:rPr>
          <w:sz w:val="24"/>
          <w:szCs w:val="24"/>
        </w:rPr>
        <w:t xml:space="preserve"> internal report “Comparing OES and NCS Wage Estimates”,  November 2006 (final report), by Tony </w:t>
      </w:r>
      <w:proofErr w:type="spellStart"/>
      <w:r w:rsidRPr="00C42612">
        <w:rPr>
          <w:sz w:val="24"/>
          <w:szCs w:val="24"/>
        </w:rPr>
        <w:t>Barkume</w:t>
      </w:r>
      <w:proofErr w:type="spellEnd"/>
      <w:r w:rsidRPr="00C42612">
        <w:rPr>
          <w:sz w:val="24"/>
          <w:szCs w:val="24"/>
        </w:rPr>
        <w:t xml:space="preserve">, Matt </w:t>
      </w:r>
      <w:proofErr w:type="spellStart"/>
      <w:r w:rsidRPr="00C42612">
        <w:rPr>
          <w:sz w:val="24"/>
          <w:szCs w:val="24"/>
        </w:rPr>
        <w:t>Dey</w:t>
      </w:r>
      <w:proofErr w:type="spellEnd"/>
      <w:r w:rsidRPr="00C42612">
        <w:rPr>
          <w:sz w:val="24"/>
          <w:szCs w:val="24"/>
        </w:rPr>
        <w:t xml:space="preserve">, Larry Ernst, Maury </w:t>
      </w:r>
      <w:proofErr w:type="spellStart"/>
      <w:r w:rsidRPr="00C42612">
        <w:rPr>
          <w:sz w:val="24"/>
          <w:szCs w:val="24"/>
        </w:rPr>
        <w:t>Gittleman</w:t>
      </w:r>
      <w:proofErr w:type="spellEnd"/>
      <w:r w:rsidRPr="00C42612">
        <w:rPr>
          <w:sz w:val="24"/>
          <w:szCs w:val="24"/>
        </w:rPr>
        <w:t xml:space="preserve">, and Anne </w:t>
      </w:r>
      <w:proofErr w:type="spellStart"/>
      <w:r w:rsidRPr="00C42612">
        <w:rPr>
          <w:sz w:val="24"/>
          <w:szCs w:val="24"/>
        </w:rPr>
        <w:t>Polivka</w:t>
      </w:r>
      <w:proofErr w:type="spellEnd"/>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r w:rsidR="00B10FAC">
        <w:rPr>
          <w:sz w:val="24"/>
          <w:szCs w:val="24"/>
        </w:rPr>
        <w:t>, resources permitting.</w:t>
      </w:r>
    </w:p>
    <w:p w14:paraId="5687D8AB" w14:textId="77777777" w:rsidR="004B0D70" w:rsidRPr="0007494F" w:rsidRDefault="004B0D70" w:rsidP="0063667B">
      <w:pPr>
        <w:rPr>
          <w:sz w:val="24"/>
        </w:rPr>
      </w:pPr>
    </w:p>
    <w:p w14:paraId="348FF9C1" w14:textId="0E36DE6F" w:rsidR="004B0D70" w:rsidRPr="001F19A5" w:rsidRDefault="004B0D70" w:rsidP="00CD1C34">
      <w:pPr>
        <w:rPr>
          <w:b/>
          <w:sz w:val="24"/>
        </w:rPr>
      </w:pPr>
      <w:r w:rsidRPr="00E067C7">
        <w:rPr>
          <w:b/>
          <w:sz w:val="24"/>
        </w:rPr>
        <w:t xml:space="preserve">3(d) </w:t>
      </w:r>
      <w:r w:rsidR="006F55A7">
        <w:rPr>
          <w:b/>
          <w:sz w:val="24"/>
        </w:rPr>
        <w:tab/>
      </w:r>
      <w:r w:rsidRPr="00E067C7">
        <w:rPr>
          <w:b/>
          <w:sz w:val="24"/>
        </w:rPr>
        <w:t>Confidentiality</w:t>
      </w:r>
    </w:p>
    <w:p w14:paraId="126D2E98" w14:textId="77777777" w:rsidR="004B0D70" w:rsidRPr="0007494F" w:rsidRDefault="004B0D70" w:rsidP="00CD1C34">
      <w:pPr>
        <w:rPr>
          <w:sz w:val="24"/>
        </w:rPr>
      </w:pPr>
    </w:p>
    <w:p w14:paraId="01A129A8" w14:textId="77777777" w:rsidR="004B0D70" w:rsidRDefault="004B0D70" w:rsidP="00CD1C34">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Pr>
          <w:color w:val="auto"/>
        </w:rPr>
        <w:t xml:space="preserve">private sector </w:t>
      </w:r>
      <w:r w:rsidRPr="0007494F">
        <w:rPr>
          <w:color w:val="auto"/>
        </w:rPr>
        <w:t>sample unit that the BLS will not release its employment data to the public in a manner that would allow others to identify the unit.  If an occupational employment estimate fails confidentiality screening, the estimate is suppressed.</w:t>
      </w:r>
    </w:p>
    <w:p w14:paraId="1EC7BA7F" w14:textId="77777777" w:rsidR="004B0D70" w:rsidRDefault="004B0D70" w:rsidP="00CD1C34">
      <w:pPr>
        <w:pStyle w:val="BodyText3"/>
        <w:rPr>
          <w:color w:val="auto"/>
        </w:rPr>
      </w:pPr>
    </w:p>
    <w:p w14:paraId="6F4A50E8" w14:textId="69FFF2A8" w:rsidR="004B0D70" w:rsidRPr="001F19A5" w:rsidRDefault="004B0D70" w:rsidP="00CD1C34">
      <w:pPr>
        <w:pStyle w:val="BodyText3"/>
        <w:rPr>
          <w:b/>
          <w:color w:val="auto"/>
        </w:rPr>
      </w:pPr>
      <w:r>
        <w:rPr>
          <w:b/>
          <w:color w:val="auto"/>
        </w:rPr>
        <w:t xml:space="preserve">3(e) </w:t>
      </w:r>
      <w:r w:rsidR="006F55A7">
        <w:rPr>
          <w:b/>
          <w:color w:val="auto"/>
        </w:rPr>
        <w:tab/>
      </w:r>
      <w:proofErr w:type="spellStart"/>
      <w:r w:rsidRPr="001F19A5">
        <w:rPr>
          <w:b/>
          <w:color w:val="auto"/>
        </w:rPr>
        <w:t>Publishability</w:t>
      </w:r>
      <w:proofErr w:type="spellEnd"/>
    </w:p>
    <w:p w14:paraId="110ED785" w14:textId="77777777" w:rsidR="004B0D70" w:rsidRPr="0007494F" w:rsidRDefault="004B0D70" w:rsidP="00CD1C34">
      <w:pPr>
        <w:rPr>
          <w:sz w:val="24"/>
        </w:rPr>
      </w:pPr>
    </w:p>
    <w:p w14:paraId="016ED586" w14:textId="77777777" w:rsidR="004B0D70" w:rsidRPr="0007494F" w:rsidRDefault="004B0D70" w:rsidP="00CD1C34">
      <w:pPr>
        <w:rPr>
          <w:sz w:val="24"/>
        </w:rPr>
      </w:pPr>
      <w:r w:rsidRPr="0007494F">
        <w:rPr>
          <w:sz w:val="24"/>
        </w:rPr>
        <w:t xml:space="preserve">After confidentiality screening, the estimates (including confidentiality collapsed estimates) are screened a second time to ensure that they satisfy the Bureau’s </w:t>
      </w:r>
      <w:proofErr w:type="spellStart"/>
      <w:r w:rsidRPr="0007494F">
        <w:rPr>
          <w:sz w:val="24"/>
        </w:rPr>
        <w:t>publishability</w:t>
      </w:r>
      <w:proofErr w:type="spellEnd"/>
      <w:r w:rsidRPr="0007494F">
        <w:rPr>
          <w:sz w:val="24"/>
        </w:rPr>
        <w:t xml:space="preserve"> standards.  Among them, employment estimates must have an associated relative standard error of 50 percent or less, </w:t>
      </w:r>
      <w:r w:rsidRPr="0007494F">
        <w:rPr>
          <w:sz w:val="24"/>
          <w:szCs w:val="24"/>
        </w:rPr>
        <w:t xml:space="preserve">there must be at least two responses (i.e., not imputed) for the occupation, </w:t>
      </w:r>
      <w:r w:rsidRPr="0007494F">
        <w:rPr>
          <w:sz w:val="24"/>
        </w:rPr>
        <w:t xml:space="preserve">and the employment estimate must be </w:t>
      </w:r>
      <w:r>
        <w:rPr>
          <w:sz w:val="24"/>
        </w:rPr>
        <w:t>1</w:t>
      </w:r>
      <w:r w:rsidRPr="0007494F">
        <w:rPr>
          <w:sz w:val="24"/>
        </w:rPr>
        <w:t>0 or greater.</w:t>
      </w:r>
      <w:r>
        <w:rPr>
          <w:sz w:val="24"/>
        </w:rPr>
        <w:t xml:space="preserve">  For wage estimates, the relative standard errors must be 30 percent or less.</w:t>
      </w:r>
    </w:p>
    <w:p w14:paraId="14021EBE" w14:textId="77777777" w:rsidR="004B0D70" w:rsidRPr="0007494F" w:rsidRDefault="004B0D70" w:rsidP="0063667B">
      <w:pPr>
        <w:rPr>
          <w:sz w:val="24"/>
        </w:rPr>
      </w:pPr>
    </w:p>
    <w:p w14:paraId="3062272F" w14:textId="77777777" w:rsidR="004B0D70" w:rsidRPr="00E067C7" w:rsidRDefault="004B0D70" w:rsidP="0063667B">
      <w:pPr>
        <w:rPr>
          <w:b/>
          <w:sz w:val="24"/>
        </w:rPr>
      </w:pPr>
      <w:r w:rsidRPr="00E067C7">
        <w:rPr>
          <w:b/>
          <w:sz w:val="24"/>
        </w:rPr>
        <w:t>4.</w:t>
      </w:r>
      <w:r w:rsidRPr="00E067C7">
        <w:rPr>
          <w:b/>
          <w:sz w:val="24"/>
        </w:rPr>
        <w:tab/>
        <w:t>Developmental Tests</w:t>
      </w:r>
    </w:p>
    <w:p w14:paraId="4085F1FB" w14:textId="77777777" w:rsidR="004B0D70" w:rsidRPr="0007494F" w:rsidRDefault="004B0D70" w:rsidP="0063667B">
      <w:pPr>
        <w:rPr>
          <w:sz w:val="24"/>
          <w:u w:val="single"/>
        </w:rPr>
      </w:pPr>
    </w:p>
    <w:p w14:paraId="6DA0F958" w14:textId="77777777" w:rsidR="00E563C8" w:rsidRPr="0007494F" w:rsidRDefault="00E563C8" w:rsidP="00E563C8">
      <w:pPr>
        <w:rPr>
          <w:sz w:val="24"/>
        </w:rPr>
      </w:pPr>
      <w:r w:rsidRPr="0007494F">
        <w:rPr>
          <w:sz w:val="24"/>
        </w:rPr>
        <w:t>The OES data collection process</w:t>
      </w:r>
      <w:r>
        <w:rPr>
          <w:sz w:val="24"/>
        </w:rPr>
        <w:t xml:space="preserve"> continues to evolve over time</w:t>
      </w:r>
      <w:r w:rsidRPr="0007494F">
        <w:rPr>
          <w:sz w:val="24"/>
        </w:rPr>
        <w:t xml:space="preserve">.  </w:t>
      </w:r>
      <w:r>
        <w:rPr>
          <w:sz w:val="24"/>
        </w:rPr>
        <w:t>I</w:t>
      </w:r>
      <w:r w:rsidRPr="0007494F">
        <w:rPr>
          <w:sz w:val="24"/>
        </w:rPr>
        <w:t>mprovements have been made to this survey through better machinery, better operational procedures, and improved sampling and estimation methodology.</w:t>
      </w:r>
    </w:p>
    <w:p w14:paraId="538A8E51" w14:textId="77777777" w:rsidR="00E563C8" w:rsidRPr="0007494F" w:rsidRDefault="00E563C8" w:rsidP="00E563C8">
      <w:pPr>
        <w:rPr>
          <w:sz w:val="24"/>
        </w:rPr>
      </w:pPr>
    </w:p>
    <w:p w14:paraId="0582A241" w14:textId="723C1AB9" w:rsidR="00E563C8" w:rsidRDefault="00E563C8" w:rsidP="00E563C8">
      <w:pPr>
        <w:rPr>
          <w:sz w:val="24"/>
        </w:rPr>
      </w:pPr>
      <w:r w:rsidRPr="0007494F">
        <w:rPr>
          <w:sz w:val="24"/>
        </w:rPr>
        <w:t xml:space="preserve">The OES survey maintains ongoing efforts to reduce respondent burden.  These efforts include periodic evaluations of the effectiveness of the materials mailed to each sampled unit.  These evaluations encompass most aspects of the data collection environment.  </w:t>
      </w:r>
      <w:r w:rsidR="00635A0F">
        <w:rPr>
          <w:sz w:val="24"/>
        </w:rPr>
        <w:t>OES uses a</w:t>
      </w:r>
      <w:r>
        <w:rPr>
          <w:sz w:val="24"/>
        </w:rPr>
        <w:t xml:space="preserve"> continuous feedback process which asks for improvements in the survey questionnaire, the content of the form, the instructions on how to fill out the form, and other issues related to respondent burden.    </w:t>
      </w:r>
    </w:p>
    <w:p w14:paraId="7F974F82" w14:textId="77777777" w:rsidR="00E563C8" w:rsidRPr="0007494F" w:rsidRDefault="00E563C8" w:rsidP="00E563C8">
      <w:pPr>
        <w:rPr>
          <w:sz w:val="24"/>
        </w:rPr>
      </w:pPr>
    </w:p>
    <w:p w14:paraId="6AD21B65" w14:textId="632F0E9B" w:rsidR="00E563C8" w:rsidRDefault="00E563C8" w:rsidP="00E563C8">
      <w:pPr>
        <w:rPr>
          <w:sz w:val="24"/>
        </w:rPr>
      </w:pPr>
      <w:r>
        <w:rPr>
          <w:sz w:val="24"/>
        </w:rPr>
        <w:t>OES occasionally conducts d tests to measure effects on data quality and response rates.  These tests typically are used to evaluate procedures</w:t>
      </w:r>
      <w:r w:rsidR="00433FDD">
        <w:rPr>
          <w:sz w:val="24"/>
        </w:rPr>
        <w:t>, looking for ways</w:t>
      </w:r>
      <w:r>
        <w:rPr>
          <w:sz w:val="24"/>
        </w:rPr>
        <w:t xml:space="preserve"> to reduce response burden</w:t>
      </w:r>
      <w:r w:rsidR="00433FDD">
        <w:rPr>
          <w:sz w:val="24"/>
        </w:rPr>
        <w:t>, improve data quality and improve response rates</w:t>
      </w:r>
      <w:r>
        <w:rPr>
          <w:sz w:val="24"/>
        </w:rPr>
        <w:t>.  If funding is available, OES would like to conduct a Response Analysis Survey (RAS).  The purpose of the RAS would be to re-contact respondents to ask questions about the OES survey and look for ways to improve the OES survey and reduce respondent burden.</w:t>
      </w:r>
    </w:p>
    <w:p w14:paraId="1971E48F" w14:textId="77777777" w:rsidR="00E563C8" w:rsidRDefault="00E563C8" w:rsidP="00E563C8">
      <w:pPr>
        <w:rPr>
          <w:sz w:val="24"/>
        </w:rPr>
      </w:pPr>
      <w:r>
        <w:rPr>
          <w:sz w:val="24"/>
        </w:rPr>
        <w:t xml:space="preserve">  </w:t>
      </w:r>
    </w:p>
    <w:p w14:paraId="2CAD792A" w14:textId="77777777" w:rsidR="00306BCF" w:rsidRDefault="00306BCF" w:rsidP="00E563C8">
      <w:pPr>
        <w:rPr>
          <w:sz w:val="24"/>
        </w:rPr>
      </w:pPr>
    </w:p>
    <w:p w14:paraId="160E0006" w14:textId="77777777" w:rsidR="00306BCF" w:rsidRDefault="00306BCF" w:rsidP="00E563C8">
      <w:pPr>
        <w:rPr>
          <w:sz w:val="24"/>
        </w:rPr>
      </w:pPr>
    </w:p>
    <w:p w14:paraId="3223AFC3" w14:textId="77777777" w:rsidR="00306BCF" w:rsidRDefault="00306BCF" w:rsidP="00E563C8">
      <w:pPr>
        <w:rPr>
          <w:sz w:val="24"/>
          <w:szCs w:val="24"/>
        </w:rPr>
      </w:pPr>
    </w:p>
    <w:p w14:paraId="415A06F5" w14:textId="77777777" w:rsidR="00E563C8" w:rsidRPr="0056578A" w:rsidRDefault="00E563C8" w:rsidP="00E563C8">
      <w:pPr>
        <w:rPr>
          <w:i/>
          <w:sz w:val="24"/>
          <w:szCs w:val="24"/>
        </w:rPr>
      </w:pPr>
      <w:r>
        <w:rPr>
          <w:i/>
          <w:sz w:val="24"/>
          <w:szCs w:val="24"/>
        </w:rPr>
        <w:lastRenderedPageBreak/>
        <w:t>Future R</w:t>
      </w:r>
      <w:r w:rsidRPr="0056578A">
        <w:rPr>
          <w:i/>
          <w:sz w:val="24"/>
          <w:szCs w:val="24"/>
        </w:rPr>
        <w:t>esearch:</w:t>
      </w:r>
    </w:p>
    <w:p w14:paraId="35C9CA02" w14:textId="77777777" w:rsidR="00E563C8" w:rsidRPr="0056578A" w:rsidRDefault="00E563C8" w:rsidP="00E563C8">
      <w:pPr>
        <w:rPr>
          <w:sz w:val="24"/>
          <w:szCs w:val="24"/>
        </w:rPr>
      </w:pPr>
    </w:p>
    <w:p w14:paraId="195782E0" w14:textId="1F5043ED" w:rsidR="00E563C8" w:rsidRPr="0056578A" w:rsidRDefault="00E563C8" w:rsidP="00E563C8">
      <w:pPr>
        <w:rPr>
          <w:sz w:val="24"/>
          <w:szCs w:val="24"/>
        </w:rPr>
      </w:pPr>
      <w:r>
        <w:rPr>
          <w:sz w:val="24"/>
          <w:szCs w:val="24"/>
        </w:rPr>
        <w:t xml:space="preserve">Subject to funding availability, </w:t>
      </w:r>
      <w:r w:rsidRPr="0056578A">
        <w:rPr>
          <w:sz w:val="24"/>
          <w:szCs w:val="24"/>
        </w:rPr>
        <w:t xml:space="preserve">OES would like to conduct tests to investigate the viability of collecting additional information from employers, which could potentially improve the quality of occupational wages, reduce response burden on employers, allow for further analysis of factors affecting occupational wages, and lead to </w:t>
      </w:r>
      <w:r>
        <w:rPr>
          <w:sz w:val="24"/>
          <w:szCs w:val="24"/>
        </w:rPr>
        <w:t>expansion of OES data products.</w:t>
      </w:r>
      <w:r w:rsidRPr="0056578A">
        <w:rPr>
          <w:sz w:val="24"/>
          <w:szCs w:val="24"/>
        </w:rPr>
        <w:t xml:space="preserve">  BLS is planning to develop more detailed proposals on testing the collection of actual wage rates</w:t>
      </w:r>
      <w:r w:rsidR="00232607">
        <w:rPr>
          <w:sz w:val="24"/>
          <w:szCs w:val="24"/>
        </w:rPr>
        <w:t xml:space="preserve"> from more employers</w:t>
      </w:r>
      <w:r w:rsidRPr="0056578A">
        <w:rPr>
          <w:sz w:val="24"/>
          <w:szCs w:val="24"/>
        </w:rPr>
        <w:t>, additional data items, and additional establishments</w:t>
      </w:r>
      <w:r w:rsidR="00635A0F">
        <w:rPr>
          <w:sz w:val="24"/>
          <w:szCs w:val="24"/>
        </w:rPr>
        <w:t xml:space="preserve"> such as larger employers and multi-unit establishments</w:t>
      </w:r>
      <w:r w:rsidRPr="0056578A">
        <w:rPr>
          <w:sz w:val="24"/>
          <w:szCs w:val="24"/>
        </w:rPr>
        <w:t xml:space="preserve">.  </w:t>
      </w:r>
      <w:r>
        <w:rPr>
          <w:sz w:val="24"/>
          <w:szCs w:val="24"/>
        </w:rPr>
        <w:t xml:space="preserve">This research may use a split panel design, and may lead to reduced burden hours.  </w:t>
      </w:r>
      <w:r w:rsidRPr="0056578A">
        <w:rPr>
          <w:sz w:val="24"/>
          <w:szCs w:val="24"/>
        </w:rPr>
        <w:t xml:space="preserve">Sample designs, survey instruments, and survey methods </w:t>
      </w:r>
      <w:r w:rsidR="00635A0F">
        <w:rPr>
          <w:sz w:val="24"/>
          <w:szCs w:val="24"/>
        </w:rPr>
        <w:t>for this research will be detailed later</w:t>
      </w:r>
      <w:r w:rsidRPr="0056578A">
        <w:rPr>
          <w:sz w:val="24"/>
          <w:szCs w:val="24"/>
        </w:rPr>
        <w:t xml:space="preserve">. </w:t>
      </w:r>
    </w:p>
    <w:p w14:paraId="4D447E2D" w14:textId="77777777" w:rsidR="00E563C8" w:rsidRPr="0056578A" w:rsidRDefault="00E563C8" w:rsidP="00E563C8">
      <w:pPr>
        <w:rPr>
          <w:sz w:val="24"/>
          <w:szCs w:val="24"/>
        </w:rPr>
      </w:pPr>
    </w:p>
    <w:p w14:paraId="57A96408" w14:textId="77777777" w:rsidR="00E563C8" w:rsidRPr="0056578A" w:rsidRDefault="00E563C8" w:rsidP="00E563C8">
      <w:pPr>
        <w:ind w:left="288" w:hanging="288"/>
        <w:rPr>
          <w:sz w:val="24"/>
          <w:szCs w:val="24"/>
        </w:rPr>
      </w:pPr>
      <w:r>
        <w:rPr>
          <w:sz w:val="24"/>
          <w:szCs w:val="24"/>
        </w:rPr>
        <w:t>a</w:t>
      </w:r>
      <w:r w:rsidRPr="0056578A">
        <w:rPr>
          <w:sz w:val="24"/>
          <w:szCs w:val="24"/>
        </w:rPr>
        <w:t xml:space="preserve">.  </w:t>
      </w:r>
      <w:r w:rsidRPr="0056578A">
        <w:rPr>
          <w:sz w:val="24"/>
          <w:szCs w:val="24"/>
          <w:u w:val="single"/>
        </w:rPr>
        <w:t>Using wage rate data in combination with interval data</w:t>
      </w:r>
      <w:r w:rsidRPr="0056578A">
        <w:rPr>
          <w:sz w:val="24"/>
          <w:szCs w:val="24"/>
        </w:rPr>
        <w:t xml:space="preserve">. </w:t>
      </w:r>
    </w:p>
    <w:p w14:paraId="186F5F06" w14:textId="77777777" w:rsidR="00E563C8" w:rsidRPr="0056578A" w:rsidRDefault="00E563C8" w:rsidP="00E563C8">
      <w:pPr>
        <w:ind w:left="288" w:right="288"/>
        <w:rPr>
          <w:sz w:val="24"/>
          <w:szCs w:val="24"/>
        </w:rPr>
      </w:pPr>
      <w:r w:rsidRPr="0056578A">
        <w:rPr>
          <w:sz w:val="24"/>
          <w:szCs w:val="24"/>
        </w:rPr>
        <w:t xml:space="preserve">Currently some employers provide electronic files of employees with actual wage rates rather than wages reported in intervals because it requires less time and effort.  Many employers find it easier to provide wage rate data rather than converting their data to wage intervals.  Many employers already do this and BLS or the SWAs convert the reported data to intervals.  We would like to provide employers the option of filling out a survey form with wage rates, or providing their data in </w:t>
      </w:r>
      <w:proofErr w:type="spellStart"/>
      <w:r w:rsidRPr="0056578A">
        <w:rPr>
          <w:sz w:val="24"/>
          <w:szCs w:val="24"/>
        </w:rPr>
        <w:t>weblite</w:t>
      </w:r>
      <w:proofErr w:type="spellEnd"/>
      <w:r w:rsidRPr="0056578A">
        <w:rPr>
          <w:sz w:val="24"/>
          <w:szCs w:val="24"/>
        </w:rPr>
        <w:t xml:space="preserve"> by wage rate.  In addition to adapting to respondents preferred method of reporting, this data is valuable in conducting research on methodology improvements. </w:t>
      </w:r>
    </w:p>
    <w:p w14:paraId="039D3409" w14:textId="77777777" w:rsidR="00E563C8" w:rsidRPr="0056578A" w:rsidRDefault="00E563C8" w:rsidP="00E563C8">
      <w:pPr>
        <w:rPr>
          <w:sz w:val="24"/>
          <w:szCs w:val="24"/>
        </w:rPr>
      </w:pPr>
    </w:p>
    <w:p w14:paraId="40E2025B" w14:textId="77777777" w:rsidR="00E563C8" w:rsidRPr="0056578A" w:rsidRDefault="00E563C8" w:rsidP="00E563C8">
      <w:pPr>
        <w:ind w:left="288" w:right="288"/>
        <w:rPr>
          <w:sz w:val="24"/>
          <w:szCs w:val="24"/>
        </w:rPr>
      </w:pPr>
      <w:r w:rsidRPr="0056578A">
        <w:rPr>
          <w:sz w:val="24"/>
          <w:szCs w:val="24"/>
        </w:rPr>
        <w:t xml:space="preserve">Examination of wage rate data already provided by respondents on a volunteer </w:t>
      </w:r>
      <w:r>
        <w:rPr>
          <w:sz w:val="24"/>
          <w:szCs w:val="24"/>
        </w:rPr>
        <w:t xml:space="preserve">basis </w:t>
      </w:r>
      <w:r w:rsidRPr="0056578A">
        <w:rPr>
          <w:sz w:val="24"/>
          <w:szCs w:val="24"/>
        </w:rPr>
        <w:t xml:space="preserve">has suggested that improvements in methodology can be obtained by capturing the wage rate data from employers.  This is especially true when wages are clustered, such as for minimum wage workers, or for union workers within a particular industry or area.  In addition, wages for highly paid occupations are affected by </w:t>
      </w:r>
      <w:r>
        <w:rPr>
          <w:sz w:val="24"/>
          <w:szCs w:val="24"/>
        </w:rPr>
        <w:t>assigning them to predefined intervals</w:t>
      </w:r>
      <w:r w:rsidRPr="0056578A">
        <w:rPr>
          <w:sz w:val="24"/>
          <w:szCs w:val="24"/>
        </w:rPr>
        <w:t xml:space="preserve">.  In order to study this more fully, and incorporate it into our methodology, BLS is exploring </w:t>
      </w:r>
      <w:r>
        <w:rPr>
          <w:sz w:val="24"/>
          <w:szCs w:val="24"/>
        </w:rPr>
        <w:t>ways</w:t>
      </w:r>
      <w:r w:rsidRPr="0056578A">
        <w:rPr>
          <w:sz w:val="24"/>
          <w:szCs w:val="24"/>
        </w:rPr>
        <w:t xml:space="preserve"> to incorporate the data from employers that choose to report </w:t>
      </w:r>
      <w:r>
        <w:rPr>
          <w:sz w:val="24"/>
          <w:szCs w:val="24"/>
        </w:rPr>
        <w:t>wage rates.</w:t>
      </w:r>
      <w:r w:rsidRPr="0056578A">
        <w:rPr>
          <w:sz w:val="24"/>
          <w:szCs w:val="24"/>
        </w:rPr>
        <w:t xml:space="preserve"> </w:t>
      </w:r>
    </w:p>
    <w:p w14:paraId="398122AB" w14:textId="77777777" w:rsidR="00E563C8" w:rsidRPr="0056578A" w:rsidRDefault="00E563C8" w:rsidP="00E563C8">
      <w:pPr>
        <w:tabs>
          <w:tab w:val="left" w:pos="9465"/>
        </w:tabs>
        <w:rPr>
          <w:sz w:val="24"/>
          <w:szCs w:val="24"/>
        </w:rPr>
      </w:pPr>
      <w:r>
        <w:rPr>
          <w:sz w:val="24"/>
          <w:szCs w:val="24"/>
        </w:rPr>
        <w:tab/>
      </w:r>
    </w:p>
    <w:p w14:paraId="2A1BCA25" w14:textId="77777777" w:rsidR="00E563C8" w:rsidRPr="0056578A" w:rsidRDefault="00E563C8" w:rsidP="00E563C8">
      <w:pPr>
        <w:ind w:left="288" w:hanging="288"/>
        <w:rPr>
          <w:sz w:val="24"/>
          <w:szCs w:val="24"/>
        </w:rPr>
      </w:pPr>
      <w:r>
        <w:rPr>
          <w:sz w:val="24"/>
          <w:szCs w:val="24"/>
        </w:rPr>
        <w:t>b</w:t>
      </w:r>
      <w:r w:rsidRPr="0056578A">
        <w:rPr>
          <w:sz w:val="24"/>
          <w:szCs w:val="24"/>
        </w:rPr>
        <w:t xml:space="preserve">.  </w:t>
      </w:r>
      <w:r w:rsidRPr="0056578A">
        <w:rPr>
          <w:sz w:val="24"/>
          <w:szCs w:val="24"/>
          <w:u w:val="single"/>
        </w:rPr>
        <w:t>Asking employers for additional data elements</w:t>
      </w:r>
      <w:r w:rsidRPr="0056578A">
        <w:rPr>
          <w:sz w:val="24"/>
          <w:szCs w:val="24"/>
        </w:rPr>
        <w:t xml:space="preserve">. </w:t>
      </w:r>
    </w:p>
    <w:p w14:paraId="0726C6FC" w14:textId="77777777" w:rsidR="00E563C8" w:rsidRPr="0056578A" w:rsidRDefault="00E563C8" w:rsidP="00E563C8">
      <w:pPr>
        <w:ind w:left="288" w:right="288"/>
        <w:rPr>
          <w:sz w:val="24"/>
          <w:szCs w:val="24"/>
        </w:rPr>
      </w:pPr>
      <w:r w:rsidRPr="0056578A">
        <w:rPr>
          <w:sz w:val="24"/>
          <w:szCs w:val="24"/>
        </w:rPr>
        <w:t xml:space="preserve">BLS would like to ask employers to report data items that many already report without solicitation.  Often employers include additional data items such as the number of hours the person is paid for.  Many employers already provide many data elements in their electronic OES report that we do not ask for.  These data elements include information that is </w:t>
      </w:r>
      <w:r>
        <w:rPr>
          <w:sz w:val="24"/>
          <w:szCs w:val="24"/>
        </w:rPr>
        <w:t>requested by customers, but can</w:t>
      </w:r>
      <w:r w:rsidRPr="0056578A">
        <w:rPr>
          <w:sz w:val="24"/>
          <w:szCs w:val="24"/>
        </w:rPr>
        <w:t>not be provided by OES or other BLS surveys.  For example</w:t>
      </w:r>
      <w:r>
        <w:rPr>
          <w:sz w:val="24"/>
          <w:szCs w:val="24"/>
        </w:rPr>
        <w:t>,</w:t>
      </w:r>
      <w:r w:rsidRPr="0056578A">
        <w:rPr>
          <w:sz w:val="24"/>
          <w:szCs w:val="24"/>
        </w:rPr>
        <w:t xml:space="preserve"> establishments report data items along with the occupation and wages such as: part</w:t>
      </w:r>
      <w:r>
        <w:rPr>
          <w:sz w:val="24"/>
          <w:szCs w:val="24"/>
        </w:rPr>
        <w:t>-</w:t>
      </w:r>
      <w:r w:rsidRPr="0056578A">
        <w:rPr>
          <w:sz w:val="24"/>
          <w:szCs w:val="24"/>
        </w:rPr>
        <w:t>time or full</w:t>
      </w:r>
      <w:r>
        <w:rPr>
          <w:sz w:val="24"/>
          <w:szCs w:val="24"/>
        </w:rPr>
        <w:t>-</w:t>
      </w:r>
      <w:r w:rsidRPr="0056578A">
        <w:rPr>
          <w:sz w:val="24"/>
          <w:szCs w:val="24"/>
        </w:rPr>
        <w:t>time status, hours, whether or not employees are exempt from the Fair Labor Standards Act, gender, age, EEO category, union status, specific job</w:t>
      </w:r>
      <w:r>
        <w:rPr>
          <w:sz w:val="24"/>
          <w:szCs w:val="24"/>
        </w:rPr>
        <w:t xml:space="preserve"> title, department, and others.</w:t>
      </w:r>
      <w:r w:rsidRPr="0056578A">
        <w:rPr>
          <w:sz w:val="24"/>
          <w:szCs w:val="24"/>
        </w:rPr>
        <w:t xml:space="preserve">  While some of these occupational characteristics are available from other BLS sources, none are available for states and all areas, and in the cas</w:t>
      </w:r>
      <w:r>
        <w:rPr>
          <w:sz w:val="24"/>
          <w:szCs w:val="24"/>
        </w:rPr>
        <w:t>e of demographic data, they can</w:t>
      </w:r>
      <w:r w:rsidRPr="0056578A">
        <w:rPr>
          <w:sz w:val="24"/>
          <w:szCs w:val="24"/>
        </w:rPr>
        <w:t>not be associated with a particular employer</w:t>
      </w:r>
      <w:r>
        <w:rPr>
          <w:sz w:val="24"/>
          <w:szCs w:val="24"/>
        </w:rPr>
        <w:t>’</w:t>
      </w:r>
      <w:r w:rsidRPr="0056578A">
        <w:rPr>
          <w:sz w:val="24"/>
          <w:szCs w:val="24"/>
        </w:rPr>
        <w:t xml:space="preserve">s industry or size, and are not available for many occupations.  </w:t>
      </w:r>
      <w:r>
        <w:rPr>
          <w:sz w:val="24"/>
          <w:szCs w:val="24"/>
        </w:rPr>
        <w:t>A small-scale test successfully collected extra data elements.  These results showed that extra elements can be collected from respondents.  While the test was limited in time and scope, the response rates mirrored those of regular OES data collection.  Also, a Response Analysis Survey (RAS) conducted in 2011-12 showed that most employers are willing to provide additional data like hours worked and part-time/full-time status.  BLS would like to continue this research.</w:t>
      </w:r>
    </w:p>
    <w:p w14:paraId="75AC6758" w14:textId="77777777" w:rsidR="00E563C8" w:rsidRDefault="00E563C8" w:rsidP="00E563C8">
      <w:pPr>
        <w:rPr>
          <w:sz w:val="24"/>
          <w:szCs w:val="24"/>
        </w:rPr>
      </w:pPr>
    </w:p>
    <w:p w14:paraId="58C8E537" w14:textId="77777777" w:rsidR="006F55A7" w:rsidRDefault="006F55A7" w:rsidP="00E563C8">
      <w:pPr>
        <w:rPr>
          <w:sz w:val="24"/>
          <w:szCs w:val="24"/>
        </w:rPr>
      </w:pPr>
    </w:p>
    <w:p w14:paraId="2E0E654B" w14:textId="77777777" w:rsidR="006F55A7" w:rsidRPr="0056578A" w:rsidRDefault="006F55A7" w:rsidP="00E563C8">
      <w:pPr>
        <w:rPr>
          <w:sz w:val="24"/>
          <w:szCs w:val="24"/>
        </w:rPr>
      </w:pPr>
    </w:p>
    <w:p w14:paraId="720584D7" w14:textId="2A01F236" w:rsidR="00E563C8" w:rsidRPr="0056578A" w:rsidRDefault="00E563C8" w:rsidP="00E563C8">
      <w:pPr>
        <w:ind w:left="288" w:hanging="288"/>
        <w:rPr>
          <w:sz w:val="24"/>
          <w:szCs w:val="24"/>
        </w:rPr>
      </w:pPr>
      <w:r>
        <w:rPr>
          <w:sz w:val="24"/>
          <w:szCs w:val="24"/>
        </w:rPr>
        <w:lastRenderedPageBreak/>
        <w:t>c</w:t>
      </w:r>
      <w:r w:rsidRPr="0056578A">
        <w:rPr>
          <w:sz w:val="24"/>
          <w:szCs w:val="24"/>
        </w:rPr>
        <w:t xml:space="preserve">. </w:t>
      </w:r>
      <w:r w:rsidR="006F55A7">
        <w:rPr>
          <w:sz w:val="24"/>
          <w:szCs w:val="24"/>
        </w:rPr>
        <w:tab/>
      </w:r>
      <w:r w:rsidRPr="0056578A">
        <w:rPr>
          <w:sz w:val="24"/>
          <w:szCs w:val="24"/>
          <w:u w:val="single"/>
        </w:rPr>
        <w:t>Asking employers to report for all their establishments instead of randomly selected establishments</w:t>
      </w:r>
      <w:r w:rsidRPr="0056578A">
        <w:rPr>
          <w:sz w:val="24"/>
          <w:szCs w:val="24"/>
        </w:rPr>
        <w:t xml:space="preserve">.   </w:t>
      </w:r>
    </w:p>
    <w:p w14:paraId="58C61F45" w14:textId="77777777" w:rsidR="00E563C8" w:rsidRPr="0056578A" w:rsidRDefault="00E563C8" w:rsidP="00E563C8">
      <w:pPr>
        <w:ind w:left="288" w:right="288"/>
        <w:rPr>
          <w:sz w:val="24"/>
          <w:szCs w:val="24"/>
        </w:rPr>
      </w:pPr>
      <w:r w:rsidRPr="0056578A">
        <w:rPr>
          <w:sz w:val="24"/>
          <w:szCs w:val="24"/>
        </w:rPr>
        <w:t>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for all of their establishments every year, rather than providing data for just the sampled establishment.   The OES analyst sorts through the reports, and matches them to the sampled units, saving the respondent the burden of doing so.  The OES analysts ignore the unsolicited establishments.  Some of the volunteered establishments might be included in the OES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OES data.  BLS is interested in testing ways to improve time series.  Asking more multi-unit reporters to report all their data, rather than selected sample units is one way to do so. </w:t>
      </w:r>
    </w:p>
    <w:p w14:paraId="43AA7AF3" w14:textId="77777777" w:rsidR="00E563C8" w:rsidRPr="0056578A" w:rsidRDefault="00E563C8" w:rsidP="00E563C8">
      <w:pPr>
        <w:ind w:left="288" w:right="288"/>
        <w:rPr>
          <w:sz w:val="24"/>
          <w:szCs w:val="24"/>
        </w:rPr>
      </w:pPr>
    </w:p>
    <w:p w14:paraId="7E3B90CB" w14:textId="77777777" w:rsidR="00E563C8" w:rsidRDefault="00E563C8" w:rsidP="00E563C8">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Pr="0056578A">
        <w:rPr>
          <w:sz w:val="24"/>
          <w:szCs w:val="24"/>
        </w:rPr>
        <w:t>S survey.  We would like to explore the possibility of asking selected employers to provide this data in their OES report to address any bias that may</w:t>
      </w:r>
      <w:r>
        <w:rPr>
          <w:sz w:val="24"/>
          <w:szCs w:val="24"/>
        </w:rPr>
        <w:t xml:space="preserve"> be the result of self-</w:t>
      </w:r>
      <w:r w:rsidRPr="0056578A">
        <w:rPr>
          <w:sz w:val="24"/>
          <w:szCs w:val="24"/>
        </w:rPr>
        <w:t>selection to report this data.</w:t>
      </w:r>
    </w:p>
    <w:p w14:paraId="4E2EB7C0" w14:textId="77777777" w:rsidR="00E563C8" w:rsidRDefault="00E563C8" w:rsidP="00E563C8">
      <w:pPr>
        <w:ind w:left="288" w:right="288"/>
        <w:rPr>
          <w:sz w:val="24"/>
          <w:szCs w:val="24"/>
        </w:rPr>
      </w:pPr>
    </w:p>
    <w:p w14:paraId="714C3244" w14:textId="77777777" w:rsidR="00E563C8" w:rsidRDefault="00E563C8" w:rsidP="00E563C8">
      <w:pPr>
        <w:ind w:left="288" w:right="288" w:hanging="288"/>
        <w:rPr>
          <w:sz w:val="24"/>
          <w:szCs w:val="24"/>
        </w:rPr>
      </w:pPr>
      <w:r>
        <w:rPr>
          <w:sz w:val="24"/>
          <w:szCs w:val="24"/>
        </w:rPr>
        <w:t xml:space="preserve">d. </w:t>
      </w:r>
      <w:r w:rsidRPr="0056578A">
        <w:rPr>
          <w:sz w:val="24"/>
          <w:szCs w:val="24"/>
        </w:rPr>
        <w:t xml:space="preserve"> </w:t>
      </w:r>
      <w:r w:rsidRPr="006F03AF">
        <w:rPr>
          <w:sz w:val="24"/>
          <w:szCs w:val="24"/>
          <w:u w:val="single"/>
        </w:rPr>
        <w:t>Survey form redesign.</w:t>
      </w:r>
    </w:p>
    <w:p w14:paraId="13313BAA" w14:textId="77777777" w:rsidR="00E563C8" w:rsidRPr="00967912" w:rsidRDefault="00E563C8" w:rsidP="00E563C8">
      <w:pPr>
        <w:ind w:left="288" w:right="288"/>
        <w:rPr>
          <w:sz w:val="24"/>
          <w:szCs w:val="24"/>
        </w:rPr>
      </w:pPr>
      <w:r>
        <w:rPr>
          <w:sz w:val="24"/>
          <w:szCs w:val="24"/>
        </w:rPr>
        <w:t>OES is exploring a redesign of the short write-in form.  The design under consideration includes a write-in section for job titles and wage rates with certain areas reserved for displaying OES data.  The displays would be vary according to the characteristics of the sample member.  For example, if the unit is a printing firm in California, the form would show wages for California and employment data for the printing industry.  The point of the data displays is to show the utility and benefits of the data being requested.  OES wants to test this design to both refine the design, address any potential issues, and evaluate the successfulness of the form.</w:t>
      </w:r>
    </w:p>
    <w:p w14:paraId="3ADDAA5E" w14:textId="77777777" w:rsidR="004B0D70" w:rsidRPr="0056578A" w:rsidRDefault="004B0D70" w:rsidP="0056578A">
      <w:pPr>
        <w:ind w:left="288" w:right="288"/>
        <w:rPr>
          <w:sz w:val="24"/>
          <w:szCs w:val="24"/>
        </w:rPr>
      </w:pPr>
    </w:p>
    <w:p w14:paraId="24675219" w14:textId="77777777" w:rsidR="004B0D70" w:rsidRPr="00E067C7" w:rsidRDefault="004B0D70" w:rsidP="0063667B">
      <w:pPr>
        <w:rPr>
          <w:b/>
          <w:sz w:val="24"/>
        </w:rPr>
      </w:pPr>
      <w:r w:rsidRPr="00E067C7">
        <w:rPr>
          <w:b/>
          <w:sz w:val="24"/>
        </w:rPr>
        <w:t>5.</w:t>
      </w:r>
      <w:r w:rsidRPr="00E067C7">
        <w:rPr>
          <w:b/>
          <w:sz w:val="24"/>
        </w:rPr>
        <w:tab/>
        <w:t>Statistical and Analytical Responsibility</w:t>
      </w:r>
    </w:p>
    <w:p w14:paraId="2AC54E9E" w14:textId="77777777" w:rsidR="004B0D70" w:rsidRPr="00E067C7" w:rsidRDefault="004B0D70" w:rsidP="0063667B">
      <w:pPr>
        <w:rPr>
          <w:b/>
          <w:sz w:val="24"/>
        </w:rPr>
      </w:pPr>
    </w:p>
    <w:p w14:paraId="6E65CC73" w14:textId="067A91CA" w:rsidR="004B0D70" w:rsidRDefault="00832433" w:rsidP="0063667B">
      <w:pPr>
        <w:rPr>
          <w:sz w:val="24"/>
        </w:rPr>
      </w:pPr>
      <w:r>
        <w:rPr>
          <w:sz w:val="24"/>
        </w:rPr>
        <w:t>Mr</w:t>
      </w:r>
      <w:r w:rsidR="00A4626F">
        <w:rPr>
          <w:sz w:val="24"/>
        </w:rPr>
        <w:t xml:space="preserve">. </w:t>
      </w:r>
      <w:r w:rsidR="009763B5">
        <w:rPr>
          <w:sz w:val="24"/>
        </w:rPr>
        <w:t>Larry Huff</w:t>
      </w:r>
      <w:r w:rsidR="004B0D70" w:rsidRPr="00436562">
        <w:rPr>
          <w:sz w:val="24"/>
        </w:rPr>
        <w:t>,</w:t>
      </w:r>
      <w:r w:rsidR="00E75EF1">
        <w:rPr>
          <w:sz w:val="24"/>
        </w:rPr>
        <w:t xml:space="preserve"> </w:t>
      </w:r>
      <w:r w:rsidR="004B0D70" w:rsidRPr="00436562">
        <w:rPr>
          <w:sz w:val="24"/>
        </w:rPr>
        <w:t xml:space="preserve">Chief, Statistical Methods Division of the Office of Employment and Unemployment Statistics, is responsible for the statistical aspects of the </w:t>
      </w:r>
      <w:r w:rsidR="004B0D70">
        <w:rPr>
          <w:sz w:val="24"/>
        </w:rPr>
        <w:t>OES</w:t>
      </w:r>
      <w:r w:rsidR="004B0D70" w:rsidRPr="00436562">
        <w:rPr>
          <w:sz w:val="24"/>
        </w:rPr>
        <w:t xml:space="preserve"> program.  </w:t>
      </w:r>
      <w:r w:rsidR="004B0D70">
        <w:rPr>
          <w:sz w:val="24"/>
        </w:rPr>
        <w:t xml:space="preserve">Additionally, </w:t>
      </w:r>
      <w:r w:rsidR="004B0D70" w:rsidRPr="00436562">
        <w:rPr>
          <w:sz w:val="24"/>
        </w:rPr>
        <w:t xml:space="preserve">BLS seeks consultation with other outside experts on an as needed basis.  </w:t>
      </w:r>
    </w:p>
    <w:p w14:paraId="52615BCD" w14:textId="77777777" w:rsidR="004B0D70" w:rsidRDefault="004B0D70" w:rsidP="0063667B">
      <w:pPr>
        <w:rPr>
          <w:sz w:val="24"/>
        </w:rPr>
      </w:pPr>
    </w:p>
    <w:p w14:paraId="7C0BA368" w14:textId="77777777" w:rsidR="004B0D70" w:rsidRPr="00A50B71" w:rsidRDefault="004B0D70" w:rsidP="00A50B71">
      <w:pPr>
        <w:pStyle w:val="Index1"/>
      </w:pPr>
      <w:r w:rsidRPr="00A50B71">
        <w:t xml:space="preserve">6.  </w:t>
      </w:r>
      <w:r w:rsidRPr="00A50B71">
        <w:tab/>
        <w:t>References</w:t>
      </w:r>
    </w:p>
    <w:p w14:paraId="6588C81C" w14:textId="77777777" w:rsidR="004B0D70" w:rsidRDefault="004B0D70" w:rsidP="0063667B">
      <w:pPr>
        <w:rPr>
          <w:sz w:val="24"/>
        </w:rPr>
      </w:pPr>
    </w:p>
    <w:p w14:paraId="4B71D9C6" w14:textId="77777777" w:rsidR="004B0D70" w:rsidRPr="002827D8" w:rsidRDefault="004B0D70" w:rsidP="005440E0">
      <w:pPr>
        <w:ind w:left="360" w:hanging="360"/>
        <w:jc w:val="both"/>
        <w:rPr>
          <w:sz w:val="24"/>
          <w:szCs w:val="24"/>
        </w:rPr>
      </w:pPr>
      <w:proofErr w:type="spellStart"/>
      <w:r w:rsidRPr="002827D8">
        <w:rPr>
          <w:sz w:val="24"/>
          <w:szCs w:val="24"/>
        </w:rPr>
        <w:t>Bankier</w:t>
      </w:r>
      <w:proofErr w:type="spellEnd"/>
      <w:r w:rsidRPr="002827D8">
        <w:rPr>
          <w:sz w:val="24"/>
          <w:szCs w:val="24"/>
        </w:rPr>
        <w:t xml:space="preserve">, Michael D. (1988). Power Allocations: Determining Sample Sizes for Subnational Areas. </w:t>
      </w:r>
      <w:r w:rsidRPr="002827D8">
        <w:rPr>
          <w:i/>
          <w:sz w:val="24"/>
          <w:szCs w:val="24"/>
        </w:rPr>
        <w:t>American Statistician</w:t>
      </w:r>
      <w:r w:rsidRPr="002827D8">
        <w:rPr>
          <w:sz w:val="24"/>
          <w:szCs w:val="24"/>
        </w:rPr>
        <w:t>, Vol. 42, pp. 174-177.</w:t>
      </w:r>
      <w:r w:rsidRPr="002827D8">
        <w:rPr>
          <w:i/>
          <w:sz w:val="24"/>
          <w:szCs w:val="24"/>
        </w:rPr>
        <w:t xml:space="preserve"> </w:t>
      </w:r>
    </w:p>
    <w:p w14:paraId="69BC6794" w14:textId="77777777" w:rsidR="004B0D70" w:rsidRPr="002827D8" w:rsidRDefault="004B0D70" w:rsidP="0063667B">
      <w:pPr>
        <w:rPr>
          <w:sz w:val="24"/>
          <w:szCs w:val="24"/>
        </w:rPr>
      </w:pPr>
    </w:p>
    <w:p w14:paraId="7BDE931F" w14:textId="7906E75D" w:rsidR="004B0D70" w:rsidRPr="002827D8" w:rsidRDefault="004B0D70" w:rsidP="0063667B">
      <w:pPr>
        <w:rPr>
          <w:sz w:val="24"/>
          <w:szCs w:val="24"/>
        </w:rPr>
      </w:pPr>
      <w:r w:rsidRPr="002827D8">
        <w:rPr>
          <w:sz w:val="24"/>
          <w:szCs w:val="24"/>
        </w:rPr>
        <w:lastRenderedPageBreak/>
        <w:t>Bureau of Labor Statistics’ Handbook of Methods, Chapter 3, Bureau of Labor Statistics, 2008 (</w:t>
      </w:r>
      <w:r w:rsidR="00154271" w:rsidRPr="00652F8E">
        <w:t>http://www.bls.gov/opub/hom/pdf/homch3.pdf</w:t>
      </w:r>
      <w:r w:rsidR="00154271" w:rsidDel="00154271">
        <w:t xml:space="preserve"> </w:t>
      </w:r>
      <w:r w:rsidRPr="002827D8">
        <w:rPr>
          <w:sz w:val="24"/>
          <w:szCs w:val="24"/>
        </w:rPr>
        <w:t>).</w:t>
      </w:r>
    </w:p>
    <w:p w14:paraId="24BEFDDB" w14:textId="77777777" w:rsidR="004B0D70" w:rsidRPr="002827D8" w:rsidRDefault="004B0D70" w:rsidP="0063667B">
      <w:pPr>
        <w:rPr>
          <w:sz w:val="24"/>
          <w:szCs w:val="24"/>
        </w:rPr>
      </w:pPr>
    </w:p>
    <w:p w14:paraId="4E1D7C1F" w14:textId="77777777" w:rsidR="004B0D70" w:rsidRPr="002827D8" w:rsidRDefault="004B0D70" w:rsidP="005440E0">
      <w:pPr>
        <w:ind w:left="360" w:hanging="360"/>
        <w:jc w:val="both"/>
        <w:rPr>
          <w:sz w:val="24"/>
          <w:szCs w:val="24"/>
        </w:rPr>
      </w:pPr>
      <w:proofErr w:type="spellStart"/>
      <w:r w:rsidRPr="002827D8">
        <w:rPr>
          <w:sz w:val="24"/>
          <w:szCs w:val="24"/>
        </w:rPr>
        <w:t>Lawley</w:t>
      </w:r>
      <w:proofErr w:type="spellEnd"/>
      <w:r w:rsidRPr="002827D8">
        <w:rPr>
          <w:sz w:val="24"/>
          <w:szCs w:val="24"/>
        </w:rPr>
        <w:t xml:space="preserve">, Ernest, </w:t>
      </w:r>
      <w:proofErr w:type="spellStart"/>
      <w:r w:rsidRPr="002827D8">
        <w:rPr>
          <w:sz w:val="24"/>
          <w:szCs w:val="24"/>
        </w:rPr>
        <w:t>Stetser</w:t>
      </w:r>
      <w:proofErr w:type="spellEnd"/>
      <w:r w:rsidRPr="002827D8">
        <w:rPr>
          <w:sz w:val="24"/>
          <w:szCs w:val="24"/>
        </w:rPr>
        <w:t xml:space="preserve">, Marie, and </w:t>
      </w:r>
      <w:proofErr w:type="spellStart"/>
      <w:r w:rsidRPr="002827D8">
        <w:rPr>
          <w:sz w:val="24"/>
          <w:szCs w:val="24"/>
        </w:rPr>
        <w:t>Valaitis</w:t>
      </w:r>
      <w:proofErr w:type="spellEnd"/>
      <w:r w:rsidRPr="002827D8">
        <w:rPr>
          <w:sz w:val="24"/>
          <w:szCs w:val="24"/>
        </w:rPr>
        <w:t xml:space="preserve">, </w:t>
      </w:r>
      <w:proofErr w:type="spellStart"/>
      <w:r w:rsidRPr="002827D8">
        <w:rPr>
          <w:sz w:val="24"/>
          <w:szCs w:val="24"/>
        </w:rPr>
        <w:t>Eduardas</w:t>
      </w:r>
      <w:proofErr w:type="spellEnd"/>
      <w:r w:rsidRPr="002827D8">
        <w:rPr>
          <w:sz w:val="24"/>
          <w:szCs w:val="24"/>
        </w:rPr>
        <w:t xml:space="preserve">. (2007) </w:t>
      </w:r>
      <w:r w:rsidRPr="002827D8">
        <w:rPr>
          <w:i/>
          <w:sz w:val="24"/>
          <w:szCs w:val="24"/>
        </w:rPr>
        <w:t>Alternative Allocation Designs for a Highly Stratified Establishment Survey</w:t>
      </w:r>
      <w:r w:rsidRPr="002827D8">
        <w:rPr>
          <w:sz w:val="24"/>
          <w:szCs w:val="24"/>
        </w:rPr>
        <w:t>. 2007 Joint Statistical Meetings.</w:t>
      </w:r>
    </w:p>
    <w:p w14:paraId="5C2F88A0" w14:textId="77777777" w:rsidR="004B0D70" w:rsidRPr="002827D8" w:rsidRDefault="004B0D70" w:rsidP="0063667B">
      <w:pPr>
        <w:rPr>
          <w:sz w:val="24"/>
          <w:szCs w:val="24"/>
        </w:rPr>
      </w:pPr>
    </w:p>
    <w:p w14:paraId="26995A63" w14:textId="77777777" w:rsidR="004B0D70" w:rsidRPr="002827D8" w:rsidRDefault="004B0D70" w:rsidP="0063667B">
      <w:pPr>
        <w:rPr>
          <w:sz w:val="24"/>
          <w:szCs w:val="24"/>
        </w:rPr>
      </w:pPr>
      <w:r>
        <w:rPr>
          <w:sz w:val="24"/>
          <w:szCs w:val="24"/>
        </w:rPr>
        <w:t>Response Analysis Survey Results for the Occupational Employment Statistics Survey, Bureau of Labor Statistics, Internal Document, 2013</w:t>
      </w:r>
    </w:p>
    <w:p w14:paraId="642D4FE5" w14:textId="77777777" w:rsidR="004B0D70" w:rsidRPr="002827D8" w:rsidRDefault="004B0D70" w:rsidP="0063667B">
      <w:pPr>
        <w:rPr>
          <w:sz w:val="24"/>
          <w:szCs w:val="24"/>
        </w:rPr>
      </w:pPr>
    </w:p>
    <w:p w14:paraId="395EEC6B" w14:textId="77777777" w:rsidR="004B0D70" w:rsidRPr="002827D8" w:rsidRDefault="004B0D70" w:rsidP="005440E0">
      <w:pPr>
        <w:ind w:left="360" w:hanging="360"/>
        <w:jc w:val="both"/>
        <w:rPr>
          <w:sz w:val="24"/>
          <w:szCs w:val="24"/>
        </w:rPr>
      </w:pPr>
      <w:proofErr w:type="spellStart"/>
      <w:r w:rsidRPr="002827D8">
        <w:rPr>
          <w:sz w:val="24"/>
          <w:szCs w:val="24"/>
        </w:rPr>
        <w:t>Piccone</w:t>
      </w:r>
      <w:proofErr w:type="spellEnd"/>
      <w:r w:rsidRPr="002827D8">
        <w:rPr>
          <w:sz w:val="24"/>
          <w:szCs w:val="24"/>
        </w:rPr>
        <w:t xml:space="preserve">, David and </w:t>
      </w:r>
      <w:proofErr w:type="spellStart"/>
      <w:r w:rsidRPr="002827D8">
        <w:rPr>
          <w:sz w:val="24"/>
          <w:szCs w:val="24"/>
        </w:rPr>
        <w:t>Stetser</w:t>
      </w:r>
      <w:proofErr w:type="spellEnd"/>
      <w:r w:rsidRPr="002827D8">
        <w:rPr>
          <w:sz w:val="24"/>
          <w:szCs w:val="24"/>
        </w:rPr>
        <w:t xml:space="preserve">, Marie. (2009) </w:t>
      </w:r>
      <w:r w:rsidRPr="002827D8">
        <w:rPr>
          <w:i/>
          <w:sz w:val="24"/>
          <w:szCs w:val="24"/>
        </w:rPr>
        <w:t xml:space="preserve">National Sample Reallocation for the Occupational Employment Statistics Survey, </w:t>
      </w:r>
      <w:r w:rsidRPr="002827D8">
        <w:rPr>
          <w:sz w:val="24"/>
          <w:szCs w:val="24"/>
        </w:rPr>
        <w:t>2009 Joint Statistical Meetings.</w:t>
      </w:r>
    </w:p>
    <w:p w14:paraId="09A091C0" w14:textId="77777777" w:rsidR="004B0D70" w:rsidRPr="002827D8" w:rsidRDefault="004B0D70" w:rsidP="0063667B">
      <w:pPr>
        <w:rPr>
          <w:sz w:val="24"/>
          <w:szCs w:val="24"/>
        </w:rPr>
      </w:pPr>
    </w:p>
    <w:p w14:paraId="70043429" w14:textId="77777777" w:rsidR="004B0D70" w:rsidRPr="002827D8" w:rsidRDefault="004B0D70" w:rsidP="004261E5">
      <w:pPr>
        <w:rPr>
          <w:sz w:val="24"/>
          <w:szCs w:val="24"/>
        </w:rPr>
      </w:pPr>
      <w:r w:rsidRPr="002827D8">
        <w:rPr>
          <w:sz w:val="24"/>
          <w:szCs w:val="24"/>
        </w:rPr>
        <w:t>Technical Notes for May 20</w:t>
      </w:r>
      <w:r>
        <w:rPr>
          <w:sz w:val="24"/>
          <w:szCs w:val="24"/>
        </w:rPr>
        <w:t>12</w:t>
      </w:r>
      <w:r w:rsidRPr="002827D8">
        <w:rPr>
          <w:sz w:val="24"/>
          <w:szCs w:val="24"/>
        </w:rPr>
        <w:t xml:space="preserve"> OES Estimates, Bureau of Labor Statistics, 20</w:t>
      </w:r>
      <w:r>
        <w:rPr>
          <w:sz w:val="24"/>
          <w:szCs w:val="24"/>
        </w:rPr>
        <w:t>12</w:t>
      </w:r>
      <w:r w:rsidRPr="002827D8">
        <w:rPr>
          <w:sz w:val="24"/>
          <w:szCs w:val="24"/>
        </w:rPr>
        <w:t xml:space="preserve"> (http://www.bls.gov/oes/current/oes_tec.htm).</w:t>
      </w:r>
    </w:p>
    <w:p w14:paraId="6C51F8AF" w14:textId="77777777" w:rsidR="004B0D70" w:rsidRPr="002827D8" w:rsidRDefault="004B0D70" w:rsidP="004261E5">
      <w:pPr>
        <w:keepNext/>
        <w:outlineLvl w:val="0"/>
        <w:rPr>
          <w:b/>
          <w:sz w:val="24"/>
          <w:szCs w:val="24"/>
        </w:rPr>
      </w:pPr>
    </w:p>
    <w:p w14:paraId="1FBE5214" w14:textId="77777777" w:rsidR="004B0D70" w:rsidRDefault="004B0D70" w:rsidP="004261E5">
      <w:pPr>
        <w:keepNext/>
        <w:outlineLvl w:val="0"/>
        <w:rPr>
          <w:sz w:val="24"/>
        </w:rPr>
      </w:pPr>
    </w:p>
    <w:p w14:paraId="635F9085" w14:textId="77777777" w:rsidR="004B0D70" w:rsidRPr="0063667B" w:rsidRDefault="004B0D70" w:rsidP="004261E5">
      <w:pPr>
        <w:rPr>
          <w:b/>
        </w:rPr>
      </w:pPr>
    </w:p>
    <w:sectPr w:rsidR="004B0D70" w:rsidRPr="0063667B" w:rsidSect="00656E12">
      <w:headerReference w:type="default" r:id="rId22"/>
      <w:footerReference w:type="even" r:id="rId23"/>
      <w:footerReference w:type="default" r:id="rId24"/>
      <w:headerReference w:type="first" r:id="rId25"/>
      <w:pgSz w:w="12240" w:h="15840"/>
      <w:pgMar w:top="1008" w:right="864" w:bottom="1008"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8C58" w14:textId="77777777" w:rsidR="00B5399A" w:rsidRDefault="00B5399A">
      <w:r>
        <w:separator/>
      </w:r>
    </w:p>
  </w:endnote>
  <w:endnote w:type="continuationSeparator" w:id="0">
    <w:p w14:paraId="6812C253" w14:textId="77777777" w:rsidR="00B5399A" w:rsidRDefault="00B5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EC00" w14:textId="77777777" w:rsidR="004B0D70" w:rsidRDefault="00D27EFE">
    <w:pPr>
      <w:pStyle w:val="Footer"/>
      <w:framePr w:wrap="around" w:vAnchor="text" w:hAnchor="margin" w:xAlign="center" w:y="1"/>
      <w:rPr>
        <w:rStyle w:val="PageNumber"/>
      </w:rPr>
    </w:pPr>
    <w:r>
      <w:rPr>
        <w:rStyle w:val="PageNumber"/>
      </w:rPr>
      <w:fldChar w:fldCharType="begin"/>
    </w:r>
    <w:r w:rsidR="004B0D70">
      <w:rPr>
        <w:rStyle w:val="PageNumber"/>
      </w:rPr>
      <w:instrText xml:space="preserve">PAGE  </w:instrText>
    </w:r>
    <w:r>
      <w:rPr>
        <w:rStyle w:val="PageNumber"/>
      </w:rPr>
      <w:fldChar w:fldCharType="separate"/>
    </w:r>
    <w:r w:rsidR="004B0D70">
      <w:rPr>
        <w:rStyle w:val="PageNumber"/>
        <w:noProof/>
      </w:rPr>
      <w:t>12</w:t>
    </w:r>
    <w:r>
      <w:rPr>
        <w:rStyle w:val="PageNumber"/>
      </w:rPr>
      <w:fldChar w:fldCharType="end"/>
    </w:r>
  </w:p>
  <w:p w14:paraId="4CA96B34" w14:textId="77777777" w:rsidR="004B0D70" w:rsidRDefault="004B0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91E6" w14:textId="77777777" w:rsidR="004B0D70" w:rsidRDefault="00D27EFE">
    <w:pPr>
      <w:pStyle w:val="Footer"/>
      <w:framePr w:wrap="around" w:vAnchor="text" w:hAnchor="margin" w:xAlign="center" w:y="1"/>
      <w:rPr>
        <w:rStyle w:val="PageNumber"/>
        <w:sz w:val="24"/>
      </w:rPr>
    </w:pPr>
    <w:r>
      <w:rPr>
        <w:rStyle w:val="PageNumber"/>
        <w:sz w:val="24"/>
      </w:rPr>
      <w:fldChar w:fldCharType="begin"/>
    </w:r>
    <w:r w:rsidR="004B0D70">
      <w:rPr>
        <w:rStyle w:val="PageNumber"/>
        <w:sz w:val="24"/>
      </w:rPr>
      <w:instrText xml:space="preserve">PAGE  </w:instrText>
    </w:r>
    <w:r>
      <w:rPr>
        <w:rStyle w:val="PageNumber"/>
        <w:sz w:val="24"/>
      </w:rPr>
      <w:fldChar w:fldCharType="separate"/>
    </w:r>
    <w:r w:rsidR="00DF58B0">
      <w:rPr>
        <w:rStyle w:val="PageNumber"/>
        <w:noProof/>
        <w:sz w:val="24"/>
      </w:rPr>
      <w:t>12</w:t>
    </w:r>
    <w:r>
      <w:rPr>
        <w:rStyle w:val="PageNumber"/>
        <w:sz w:val="24"/>
      </w:rPr>
      <w:fldChar w:fldCharType="end"/>
    </w:r>
  </w:p>
  <w:p w14:paraId="1223DD6E" w14:textId="77777777" w:rsidR="004B0D70" w:rsidRDefault="004B0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C6BF" w14:textId="77777777" w:rsidR="00B5399A" w:rsidRDefault="00B5399A">
      <w:r>
        <w:separator/>
      </w:r>
    </w:p>
  </w:footnote>
  <w:footnote w:type="continuationSeparator" w:id="0">
    <w:p w14:paraId="3554418C" w14:textId="77777777" w:rsidR="00B5399A" w:rsidRDefault="00B53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B2A32" w14:textId="77777777" w:rsidR="00481473" w:rsidRDefault="00481473" w:rsidP="00481473">
    <w:pPr>
      <w:pStyle w:val="Header"/>
    </w:pPr>
    <w:r>
      <w:t>Occupational Employment and Wages</w:t>
    </w:r>
  </w:p>
  <w:p w14:paraId="719E8FE3" w14:textId="77777777" w:rsidR="00481473" w:rsidRDefault="00481473" w:rsidP="00481473">
    <w:pPr>
      <w:pStyle w:val="Header"/>
    </w:pPr>
    <w:r>
      <w:t>1220-0042</w:t>
    </w:r>
  </w:p>
  <w:p w14:paraId="6B02DB7E" w14:textId="77777777" w:rsidR="00481473" w:rsidRDefault="00481473" w:rsidP="00481473">
    <w:pPr>
      <w:pStyle w:val="Header"/>
    </w:pPr>
    <w:r>
      <w:t>April 2016</w:t>
    </w:r>
  </w:p>
  <w:p w14:paraId="325AF85B" w14:textId="77777777" w:rsidR="00481473" w:rsidRDefault="00481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310DE" w14:textId="77777777" w:rsidR="00481473" w:rsidRDefault="00481473" w:rsidP="00481473">
    <w:pPr>
      <w:pStyle w:val="Header"/>
    </w:pPr>
    <w:r>
      <w:t>Occupational Employment and Wages</w:t>
    </w:r>
  </w:p>
  <w:p w14:paraId="7FDB0869" w14:textId="77777777" w:rsidR="00481473" w:rsidRDefault="00481473" w:rsidP="00481473">
    <w:pPr>
      <w:pStyle w:val="Header"/>
    </w:pPr>
    <w:r>
      <w:t>1220-0042</w:t>
    </w:r>
  </w:p>
  <w:p w14:paraId="10DE9657" w14:textId="12AE5175" w:rsidR="00481473" w:rsidRDefault="00DF58B0" w:rsidP="00481473">
    <w:pPr>
      <w:pStyle w:val="Header"/>
    </w:pPr>
    <w:r>
      <w:t>July</w:t>
    </w:r>
    <w:r w:rsidR="00481473">
      <w:t xml:space="preserve"> 2016</w:t>
    </w:r>
  </w:p>
  <w:p w14:paraId="350CEFCA" w14:textId="77777777" w:rsidR="00481473" w:rsidRDefault="00481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3" w15:restartNumberingAfterBreak="0">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2B"/>
    <w:rsid w:val="00003F77"/>
    <w:rsid w:val="00004169"/>
    <w:rsid w:val="000114DE"/>
    <w:rsid w:val="00012D6B"/>
    <w:rsid w:val="00014E15"/>
    <w:rsid w:val="00031036"/>
    <w:rsid w:val="00036AF1"/>
    <w:rsid w:val="00042C6A"/>
    <w:rsid w:val="00052639"/>
    <w:rsid w:val="00060703"/>
    <w:rsid w:val="00062A26"/>
    <w:rsid w:val="00064839"/>
    <w:rsid w:val="0006527E"/>
    <w:rsid w:val="00067B68"/>
    <w:rsid w:val="0007494F"/>
    <w:rsid w:val="000814DB"/>
    <w:rsid w:val="000849A6"/>
    <w:rsid w:val="00087ECD"/>
    <w:rsid w:val="00095564"/>
    <w:rsid w:val="000A04B4"/>
    <w:rsid w:val="000A0AE8"/>
    <w:rsid w:val="000A7458"/>
    <w:rsid w:val="000B22C0"/>
    <w:rsid w:val="000B483F"/>
    <w:rsid w:val="000B7E93"/>
    <w:rsid w:val="000D4130"/>
    <w:rsid w:val="000D5137"/>
    <w:rsid w:val="000D74B5"/>
    <w:rsid w:val="000E42A0"/>
    <w:rsid w:val="000E44EE"/>
    <w:rsid w:val="000F2ED4"/>
    <w:rsid w:val="0010554C"/>
    <w:rsid w:val="00105ABF"/>
    <w:rsid w:val="001236A3"/>
    <w:rsid w:val="00123AA5"/>
    <w:rsid w:val="001473AD"/>
    <w:rsid w:val="00154271"/>
    <w:rsid w:val="00155765"/>
    <w:rsid w:val="00166525"/>
    <w:rsid w:val="00171E80"/>
    <w:rsid w:val="00175C6C"/>
    <w:rsid w:val="00182DC1"/>
    <w:rsid w:val="00185B0B"/>
    <w:rsid w:val="001900C2"/>
    <w:rsid w:val="0019218D"/>
    <w:rsid w:val="001947A8"/>
    <w:rsid w:val="00195768"/>
    <w:rsid w:val="001957CB"/>
    <w:rsid w:val="00196B40"/>
    <w:rsid w:val="00197CBD"/>
    <w:rsid w:val="001A024F"/>
    <w:rsid w:val="001A3BA8"/>
    <w:rsid w:val="001B18FB"/>
    <w:rsid w:val="001B56DD"/>
    <w:rsid w:val="001B6905"/>
    <w:rsid w:val="001C7E72"/>
    <w:rsid w:val="001D1F97"/>
    <w:rsid w:val="001D208E"/>
    <w:rsid w:val="001D26B5"/>
    <w:rsid w:val="001E2DCB"/>
    <w:rsid w:val="001E3EE7"/>
    <w:rsid w:val="001E6542"/>
    <w:rsid w:val="001F19A5"/>
    <w:rsid w:val="00200BBB"/>
    <w:rsid w:val="00203FAE"/>
    <w:rsid w:val="00205DB8"/>
    <w:rsid w:val="00214C77"/>
    <w:rsid w:val="002226BA"/>
    <w:rsid w:val="00222734"/>
    <w:rsid w:val="0022553F"/>
    <w:rsid w:val="002308D4"/>
    <w:rsid w:val="00232607"/>
    <w:rsid w:val="00234E64"/>
    <w:rsid w:val="002401F0"/>
    <w:rsid w:val="0024036B"/>
    <w:rsid w:val="002403CA"/>
    <w:rsid w:val="002407E2"/>
    <w:rsid w:val="00240DEE"/>
    <w:rsid w:val="002423EB"/>
    <w:rsid w:val="00244FA2"/>
    <w:rsid w:val="00251CDD"/>
    <w:rsid w:val="00251FA3"/>
    <w:rsid w:val="002602ED"/>
    <w:rsid w:val="00267A2E"/>
    <w:rsid w:val="002827D8"/>
    <w:rsid w:val="00283A03"/>
    <w:rsid w:val="00284642"/>
    <w:rsid w:val="00285A67"/>
    <w:rsid w:val="00286633"/>
    <w:rsid w:val="0029095C"/>
    <w:rsid w:val="00291E6B"/>
    <w:rsid w:val="002971C0"/>
    <w:rsid w:val="002B23CB"/>
    <w:rsid w:val="002B7650"/>
    <w:rsid w:val="002C07ED"/>
    <w:rsid w:val="002C240E"/>
    <w:rsid w:val="002D7CAA"/>
    <w:rsid w:val="002E02F0"/>
    <w:rsid w:val="002E5EE8"/>
    <w:rsid w:val="002F1DBA"/>
    <w:rsid w:val="002F2C27"/>
    <w:rsid w:val="002F579A"/>
    <w:rsid w:val="0030405A"/>
    <w:rsid w:val="00305906"/>
    <w:rsid w:val="00306BCF"/>
    <w:rsid w:val="00314624"/>
    <w:rsid w:val="00317B22"/>
    <w:rsid w:val="003231B6"/>
    <w:rsid w:val="003243AE"/>
    <w:rsid w:val="0033281C"/>
    <w:rsid w:val="00334099"/>
    <w:rsid w:val="0034196C"/>
    <w:rsid w:val="00344001"/>
    <w:rsid w:val="00344DDD"/>
    <w:rsid w:val="00351231"/>
    <w:rsid w:val="0035125B"/>
    <w:rsid w:val="00352732"/>
    <w:rsid w:val="003537B9"/>
    <w:rsid w:val="00354B98"/>
    <w:rsid w:val="003559EB"/>
    <w:rsid w:val="00362797"/>
    <w:rsid w:val="00365DE6"/>
    <w:rsid w:val="00367023"/>
    <w:rsid w:val="0037099B"/>
    <w:rsid w:val="00377D80"/>
    <w:rsid w:val="00381FBD"/>
    <w:rsid w:val="003A133A"/>
    <w:rsid w:val="003A5266"/>
    <w:rsid w:val="003A6024"/>
    <w:rsid w:val="003B5254"/>
    <w:rsid w:val="003B5F05"/>
    <w:rsid w:val="003C0350"/>
    <w:rsid w:val="003C2C02"/>
    <w:rsid w:val="003C5682"/>
    <w:rsid w:val="003D068F"/>
    <w:rsid w:val="003D285F"/>
    <w:rsid w:val="003E0AA6"/>
    <w:rsid w:val="003E5A58"/>
    <w:rsid w:val="003F2195"/>
    <w:rsid w:val="003F3A37"/>
    <w:rsid w:val="004003E3"/>
    <w:rsid w:val="00402E9B"/>
    <w:rsid w:val="0040341F"/>
    <w:rsid w:val="00420838"/>
    <w:rsid w:val="004261E5"/>
    <w:rsid w:val="00426FCF"/>
    <w:rsid w:val="00427F6A"/>
    <w:rsid w:val="00433FDD"/>
    <w:rsid w:val="00434048"/>
    <w:rsid w:val="00436562"/>
    <w:rsid w:val="004367C4"/>
    <w:rsid w:val="004379B7"/>
    <w:rsid w:val="00442ECE"/>
    <w:rsid w:val="00444687"/>
    <w:rsid w:val="00447FDA"/>
    <w:rsid w:val="004508B4"/>
    <w:rsid w:val="00453678"/>
    <w:rsid w:val="00455FFF"/>
    <w:rsid w:val="00467AF2"/>
    <w:rsid w:val="0047498F"/>
    <w:rsid w:val="00480CD9"/>
    <w:rsid w:val="00481473"/>
    <w:rsid w:val="00485643"/>
    <w:rsid w:val="004870E4"/>
    <w:rsid w:val="00493DB1"/>
    <w:rsid w:val="0049480B"/>
    <w:rsid w:val="00497F43"/>
    <w:rsid w:val="004A5A76"/>
    <w:rsid w:val="004B0D70"/>
    <w:rsid w:val="004B65C8"/>
    <w:rsid w:val="004B7219"/>
    <w:rsid w:val="004B7E67"/>
    <w:rsid w:val="004C1EA2"/>
    <w:rsid w:val="004C21A4"/>
    <w:rsid w:val="004C68A9"/>
    <w:rsid w:val="004D4732"/>
    <w:rsid w:val="004D65B6"/>
    <w:rsid w:val="004E33C1"/>
    <w:rsid w:val="004E499A"/>
    <w:rsid w:val="004E6A18"/>
    <w:rsid w:val="004F043A"/>
    <w:rsid w:val="004F5CC9"/>
    <w:rsid w:val="00500279"/>
    <w:rsid w:val="005020F7"/>
    <w:rsid w:val="00504DF6"/>
    <w:rsid w:val="00506081"/>
    <w:rsid w:val="005062AC"/>
    <w:rsid w:val="00507824"/>
    <w:rsid w:val="005104A5"/>
    <w:rsid w:val="0051238A"/>
    <w:rsid w:val="0051280A"/>
    <w:rsid w:val="00520555"/>
    <w:rsid w:val="005263AE"/>
    <w:rsid w:val="005326EF"/>
    <w:rsid w:val="00537836"/>
    <w:rsid w:val="00540F53"/>
    <w:rsid w:val="00542F8B"/>
    <w:rsid w:val="005440E0"/>
    <w:rsid w:val="0055324D"/>
    <w:rsid w:val="0055703B"/>
    <w:rsid w:val="00564A25"/>
    <w:rsid w:val="0056578A"/>
    <w:rsid w:val="0057426A"/>
    <w:rsid w:val="0057680E"/>
    <w:rsid w:val="005805A6"/>
    <w:rsid w:val="0058149F"/>
    <w:rsid w:val="005854C1"/>
    <w:rsid w:val="00587AEC"/>
    <w:rsid w:val="0059014A"/>
    <w:rsid w:val="00594983"/>
    <w:rsid w:val="005A05CC"/>
    <w:rsid w:val="005A067E"/>
    <w:rsid w:val="005A1284"/>
    <w:rsid w:val="005A47DE"/>
    <w:rsid w:val="005A4AEB"/>
    <w:rsid w:val="005A53C5"/>
    <w:rsid w:val="005A56C1"/>
    <w:rsid w:val="005B365E"/>
    <w:rsid w:val="005B69F2"/>
    <w:rsid w:val="005C3616"/>
    <w:rsid w:val="005C3F63"/>
    <w:rsid w:val="005C6A71"/>
    <w:rsid w:val="005C7E39"/>
    <w:rsid w:val="005D37BF"/>
    <w:rsid w:val="005D64E4"/>
    <w:rsid w:val="005E2D4C"/>
    <w:rsid w:val="005E2E10"/>
    <w:rsid w:val="005E3490"/>
    <w:rsid w:val="005E789C"/>
    <w:rsid w:val="005F1A50"/>
    <w:rsid w:val="005F3B17"/>
    <w:rsid w:val="00603D65"/>
    <w:rsid w:val="00603E41"/>
    <w:rsid w:val="006049B4"/>
    <w:rsid w:val="00605A36"/>
    <w:rsid w:val="0061141C"/>
    <w:rsid w:val="00614B6E"/>
    <w:rsid w:val="0061588F"/>
    <w:rsid w:val="006169F2"/>
    <w:rsid w:val="00635A0F"/>
    <w:rsid w:val="0063667B"/>
    <w:rsid w:val="0064649F"/>
    <w:rsid w:val="00652F8E"/>
    <w:rsid w:val="006533B6"/>
    <w:rsid w:val="006556AC"/>
    <w:rsid w:val="00656E12"/>
    <w:rsid w:val="0066029E"/>
    <w:rsid w:val="0066509C"/>
    <w:rsid w:val="0066689F"/>
    <w:rsid w:val="00673EF6"/>
    <w:rsid w:val="006811F8"/>
    <w:rsid w:val="00696EE5"/>
    <w:rsid w:val="00697E35"/>
    <w:rsid w:val="00697F5D"/>
    <w:rsid w:val="006A3264"/>
    <w:rsid w:val="006A4C5A"/>
    <w:rsid w:val="006B61BA"/>
    <w:rsid w:val="006E796C"/>
    <w:rsid w:val="006F5377"/>
    <w:rsid w:val="006F55A7"/>
    <w:rsid w:val="007039E6"/>
    <w:rsid w:val="00704098"/>
    <w:rsid w:val="0070426A"/>
    <w:rsid w:val="007043DD"/>
    <w:rsid w:val="00705E79"/>
    <w:rsid w:val="007061C5"/>
    <w:rsid w:val="007068AC"/>
    <w:rsid w:val="007110A7"/>
    <w:rsid w:val="00711B8A"/>
    <w:rsid w:val="00720121"/>
    <w:rsid w:val="00722DB3"/>
    <w:rsid w:val="007254C6"/>
    <w:rsid w:val="007365BA"/>
    <w:rsid w:val="00737420"/>
    <w:rsid w:val="00740ECE"/>
    <w:rsid w:val="007458FA"/>
    <w:rsid w:val="00746938"/>
    <w:rsid w:val="00757D59"/>
    <w:rsid w:val="00757E5E"/>
    <w:rsid w:val="0076115A"/>
    <w:rsid w:val="00761C68"/>
    <w:rsid w:val="00766A8E"/>
    <w:rsid w:val="00780EA6"/>
    <w:rsid w:val="007875BA"/>
    <w:rsid w:val="00791296"/>
    <w:rsid w:val="00791A9D"/>
    <w:rsid w:val="0079371A"/>
    <w:rsid w:val="007A349D"/>
    <w:rsid w:val="007A4D3F"/>
    <w:rsid w:val="007B2F53"/>
    <w:rsid w:val="007B56FC"/>
    <w:rsid w:val="007B5728"/>
    <w:rsid w:val="007B6CD7"/>
    <w:rsid w:val="007C1F4E"/>
    <w:rsid w:val="007C21A1"/>
    <w:rsid w:val="007C2E14"/>
    <w:rsid w:val="007D09F3"/>
    <w:rsid w:val="007D2B86"/>
    <w:rsid w:val="007D4388"/>
    <w:rsid w:val="007D7296"/>
    <w:rsid w:val="007D7436"/>
    <w:rsid w:val="007E341D"/>
    <w:rsid w:val="007E3DB5"/>
    <w:rsid w:val="007E46C5"/>
    <w:rsid w:val="007E5F8F"/>
    <w:rsid w:val="007E6098"/>
    <w:rsid w:val="007F0F8A"/>
    <w:rsid w:val="007F512F"/>
    <w:rsid w:val="007F6586"/>
    <w:rsid w:val="007F6FC2"/>
    <w:rsid w:val="007F7084"/>
    <w:rsid w:val="00803024"/>
    <w:rsid w:val="00807D8C"/>
    <w:rsid w:val="008166C8"/>
    <w:rsid w:val="00816C76"/>
    <w:rsid w:val="00817694"/>
    <w:rsid w:val="00821E7B"/>
    <w:rsid w:val="008229A8"/>
    <w:rsid w:val="00822AB7"/>
    <w:rsid w:val="008232DC"/>
    <w:rsid w:val="00823D96"/>
    <w:rsid w:val="008264A1"/>
    <w:rsid w:val="00826780"/>
    <w:rsid w:val="00832433"/>
    <w:rsid w:val="00837723"/>
    <w:rsid w:val="0084213E"/>
    <w:rsid w:val="008439BD"/>
    <w:rsid w:val="00846C8D"/>
    <w:rsid w:val="0084757C"/>
    <w:rsid w:val="008503D9"/>
    <w:rsid w:val="008510F7"/>
    <w:rsid w:val="00851D44"/>
    <w:rsid w:val="008523C9"/>
    <w:rsid w:val="008531CF"/>
    <w:rsid w:val="00864443"/>
    <w:rsid w:val="0086581A"/>
    <w:rsid w:val="00865F2E"/>
    <w:rsid w:val="0089016B"/>
    <w:rsid w:val="0089410A"/>
    <w:rsid w:val="008A029F"/>
    <w:rsid w:val="008B04A7"/>
    <w:rsid w:val="008C0332"/>
    <w:rsid w:val="008C13CF"/>
    <w:rsid w:val="008C3CE9"/>
    <w:rsid w:val="008D0204"/>
    <w:rsid w:val="008D0B40"/>
    <w:rsid w:val="008D25BC"/>
    <w:rsid w:val="008D4097"/>
    <w:rsid w:val="008D5261"/>
    <w:rsid w:val="008E05BC"/>
    <w:rsid w:val="008E23A9"/>
    <w:rsid w:val="008E3D7D"/>
    <w:rsid w:val="008E4E6F"/>
    <w:rsid w:val="008E598D"/>
    <w:rsid w:val="008E62D9"/>
    <w:rsid w:val="008F17E3"/>
    <w:rsid w:val="00901AFD"/>
    <w:rsid w:val="00901C9F"/>
    <w:rsid w:val="00905882"/>
    <w:rsid w:val="0091133C"/>
    <w:rsid w:val="009311E8"/>
    <w:rsid w:val="00935D48"/>
    <w:rsid w:val="0093765A"/>
    <w:rsid w:val="009412D5"/>
    <w:rsid w:val="009508FA"/>
    <w:rsid w:val="00955365"/>
    <w:rsid w:val="00957B63"/>
    <w:rsid w:val="0096307B"/>
    <w:rsid w:val="00964D2A"/>
    <w:rsid w:val="009654B9"/>
    <w:rsid w:val="00965FB2"/>
    <w:rsid w:val="00967DA9"/>
    <w:rsid w:val="009763B5"/>
    <w:rsid w:val="00980735"/>
    <w:rsid w:val="009843C0"/>
    <w:rsid w:val="0098557B"/>
    <w:rsid w:val="009875F6"/>
    <w:rsid w:val="00991A0F"/>
    <w:rsid w:val="00994988"/>
    <w:rsid w:val="00996A1A"/>
    <w:rsid w:val="009A03A0"/>
    <w:rsid w:val="009A091B"/>
    <w:rsid w:val="009A550E"/>
    <w:rsid w:val="009A6218"/>
    <w:rsid w:val="009B3323"/>
    <w:rsid w:val="009D64D5"/>
    <w:rsid w:val="009D77DF"/>
    <w:rsid w:val="009E3877"/>
    <w:rsid w:val="009E7CC2"/>
    <w:rsid w:val="009E7F8F"/>
    <w:rsid w:val="009F7E0C"/>
    <w:rsid w:val="00A0255C"/>
    <w:rsid w:val="00A025E5"/>
    <w:rsid w:val="00A06C38"/>
    <w:rsid w:val="00A101D0"/>
    <w:rsid w:val="00A173CC"/>
    <w:rsid w:val="00A3056D"/>
    <w:rsid w:val="00A30B04"/>
    <w:rsid w:val="00A3758F"/>
    <w:rsid w:val="00A37902"/>
    <w:rsid w:val="00A42344"/>
    <w:rsid w:val="00A4626F"/>
    <w:rsid w:val="00A46D15"/>
    <w:rsid w:val="00A50B71"/>
    <w:rsid w:val="00A52FF1"/>
    <w:rsid w:val="00A54C81"/>
    <w:rsid w:val="00A54D4B"/>
    <w:rsid w:val="00A55980"/>
    <w:rsid w:val="00A56666"/>
    <w:rsid w:val="00A57E10"/>
    <w:rsid w:val="00A63768"/>
    <w:rsid w:val="00A63F37"/>
    <w:rsid w:val="00A641B7"/>
    <w:rsid w:val="00A64466"/>
    <w:rsid w:val="00A73308"/>
    <w:rsid w:val="00A777F3"/>
    <w:rsid w:val="00A80858"/>
    <w:rsid w:val="00A91A0D"/>
    <w:rsid w:val="00A93713"/>
    <w:rsid w:val="00A97E25"/>
    <w:rsid w:val="00AA01B0"/>
    <w:rsid w:val="00AA38D1"/>
    <w:rsid w:val="00AA5143"/>
    <w:rsid w:val="00AA7FCD"/>
    <w:rsid w:val="00AB3B09"/>
    <w:rsid w:val="00AB407F"/>
    <w:rsid w:val="00AC10A9"/>
    <w:rsid w:val="00AC3EF9"/>
    <w:rsid w:val="00AC4088"/>
    <w:rsid w:val="00AC41AC"/>
    <w:rsid w:val="00AD16DA"/>
    <w:rsid w:val="00AD4AC8"/>
    <w:rsid w:val="00AD5915"/>
    <w:rsid w:val="00AD7086"/>
    <w:rsid w:val="00AE0091"/>
    <w:rsid w:val="00AE0358"/>
    <w:rsid w:val="00AE5074"/>
    <w:rsid w:val="00AF29A6"/>
    <w:rsid w:val="00AF5B1E"/>
    <w:rsid w:val="00B0166D"/>
    <w:rsid w:val="00B02024"/>
    <w:rsid w:val="00B04025"/>
    <w:rsid w:val="00B10FAC"/>
    <w:rsid w:val="00B11E4A"/>
    <w:rsid w:val="00B12227"/>
    <w:rsid w:val="00B12754"/>
    <w:rsid w:val="00B14981"/>
    <w:rsid w:val="00B20B0F"/>
    <w:rsid w:val="00B216B1"/>
    <w:rsid w:val="00B22333"/>
    <w:rsid w:val="00B23538"/>
    <w:rsid w:val="00B305BB"/>
    <w:rsid w:val="00B46AC1"/>
    <w:rsid w:val="00B5399A"/>
    <w:rsid w:val="00B5511C"/>
    <w:rsid w:val="00B55E89"/>
    <w:rsid w:val="00B55F75"/>
    <w:rsid w:val="00B623FC"/>
    <w:rsid w:val="00B6273E"/>
    <w:rsid w:val="00B720C3"/>
    <w:rsid w:val="00B74904"/>
    <w:rsid w:val="00B76538"/>
    <w:rsid w:val="00B76E3E"/>
    <w:rsid w:val="00B80BDF"/>
    <w:rsid w:val="00B903EF"/>
    <w:rsid w:val="00B910B4"/>
    <w:rsid w:val="00B92C95"/>
    <w:rsid w:val="00B93C12"/>
    <w:rsid w:val="00BA0A2E"/>
    <w:rsid w:val="00BB3279"/>
    <w:rsid w:val="00BB4B16"/>
    <w:rsid w:val="00BC178D"/>
    <w:rsid w:val="00BC2A30"/>
    <w:rsid w:val="00BC4276"/>
    <w:rsid w:val="00BC66BF"/>
    <w:rsid w:val="00BD067D"/>
    <w:rsid w:val="00BD38A7"/>
    <w:rsid w:val="00BD55A2"/>
    <w:rsid w:val="00BE3A10"/>
    <w:rsid w:val="00BE5B9E"/>
    <w:rsid w:val="00BF54C8"/>
    <w:rsid w:val="00C01770"/>
    <w:rsid w:val="00C06143"/>
    <w:rsid w:val="00C06B61"/>
    <w:rsid w:val="00C06F35"/>
    <w:rsid w:val="00C165C2"/>
    <w:rsid w:val="00C1739F"/>
    <w:rsid w:val="00C310B1"/>
    <w:rsid w:val="00C326E7"/>
    <w:rsid w:val="00C32BB4"/>
    <w:rsid w:val="00C33171"/>
    <w:rsid w:val="00C33976"/>
    <w:rsid w:val="00C33ECB"/>
    <w:rsid w:val="00C42612"/>
    <w:rsid w:val="00C4781C"/>
    <w:rsid w:val="00C47ACF"/>
    <w:rsid w:val="00C6336C"/>
    <w:rsid w:val="00C64E9F"/>
    <w:rsid w:val="00C651A3"/>
    <w:rsid w:val="00C66D76"/>
    <w:rsid w:val="00C70595"/>
    <w:rsid w:val="00C70B35"/>
    <w:rsid w:val="00C716B8"/>
    <w:rsid w:val="00C76162"/>
    <w:rsid w:val="00C804A3"/>
    <w:rsid w:val="00C81268"/>
    <w:rsid w:val="00C856B5"/>
    <w:rsid w:val="00CA2F82"/>
    <w:rsid w:val="00CB217B"/>
    <w:rsid w:val="00CC1687"/>
    <w:rsid w:val="00CC199E"/>
    <w:rsid w:val="00CC5134"/>
    <w:rsid w:val="00CC5B75"/>
    <w:rsid w:val="00CC5FE0"/>
    <w:rsid w:val="00CD1C34"/>
    <w:rsid w:val="00CE33F2"/>
    <w:rsid w:val="00CE51F1"/>
    <w:rsid w:val="00CE65CF"/>
    <w:rsid w:val="00CF296B"/>
    <w:rsid w:val="00D135F8"/>
    <w:rsid w:val="00D1784E"/>
    <w:rsid w:val="00D27EFE"/>
    <w:rsid w:val="00D32516"/>
    <w:rsid w:val="00D332B6"/>
    <w:rsid w:val="00D463A7"/>
    <w:rsid w:val="00D52792"/>
    <w:rsid w:val="00D52F11"/>
    <w:rsid w:val="00D710ED"/>
    <w:rsid w:val="00D732A7"/>
    <w:rsid w:val="00D733DC"/>
    <w:rsid w:val="00D73569"/>
    <w:rsid w:val="00D80DE6"/>
    <w:rsid w:val="00D81A85"/>
    <w:rsid w:val="00D84765"/>
    <w:rsid w:val="00D84882"/>
    <w:rsid w:val="00D915B4"/>
    <w:rsid w:val="00D91816"/>
    <w:rsid w:val="00D944FB"/>
    <w:rsid w:val="00D97D33"/>
    <w:rsid w:val="00DA072B"/>
    <w:rsid w:val="00DA1C1E"/>
    <w:rsid w:val="00DA399A"/>
    <w:rsid w:val="00DA680A"/>
    <w:rsid w:val="00DB0E40"/>
    <w:rsid w:val="00DB44F3"/>
    <w:rsid w:val="00DB4656"/>
    <w:rsid w:val="00DB55E0"/>
    <w:rsid w:val="00DB7686"/>
    <w:rsid w:val="00DC20A0"/>
    <w:rsid w:val="00DC2995"/>
    <w:rsid w:val="00DC522E"/>
    <w:rsid w:val="00DD1B79"/>
    <w:rsid w:val="00DE4B44"/>
    <w:rsid w:val="00DF1F29"/>
    <w:rsid w:val="00DF28B2"/>
    <w:rsid w:val="00DF520D"/>
    <w:rsid w:val="00DF58B0"/>
    <w:rsid w:val="00DF60D4"/>
    <w:rsid w:val="00E01CA5"/>
    <w:rsid w:val="00E03195"/>
    <w:rsid w:val="00E05312"/>
    <w:rsid w:val="00E067C7"/>
    <w:rsid w:val="00E07E14"/>
    <w:rsid w:val="00E14A27"/>
    <w:rsid w:val="00E17F78"/>
    <w:rsid w:val="00E21CA2"/>
    <w:rsid w:val="00E27A09"/>
    <w:rsid w:val="00E3145D"/>
    <w:rsid w:val="00E32215"/>
    <w:rsid w:val="00E36497"/>
    <w:rsid w:val="00E43F8B"/>
    <w:rsid w:val="00E50A31"/>
    <w:rsid w:val="00E51ED2"/>
    <w:rsid w:val="00E51EE4"/>
    <w:rsid w:val="00E53D38"/>
    <w:rsid w:val="00E563C8"/>
    <w:rsid w:val="00E60761"/>
    <w:rsid w:val="00E61A27"/>
    <w:rsid w:val="00E62C06"/>
    <w:rsid w:val="00E62F31"/>
    <w:rsid w:val="00E72E2B"/>
    <w:rsid w:val="00E74106"/>
    <w:rsid w:val="00E75EF1"/>
    <w:rsid w:val="00E76675"/>
    <w:rsid w:val="00E8497E"/>
    <w:rsid w:val="00E85150"/>
    <w:rsid w:val="00E85FE7"/>
    <w:rsid w:val="00E907C4"/>
    <w:rsid w:val="00E91DC9"/>
    <w:rsid w:val="00E95924"/>
    <w:rsid w:val="00E963A3"/>
    <w:rsid w:val="00EA193F"/>
    <w:rsid w:val="00EA2C20"/>
    <w:rsid w:val="00EB162B"/>
    <w:rsid w:val="00EB7619"/>
    <w:rsid w:val="00EC119C"/>
    <w:rsid w:val="00EC4648"/>
    <w:rsid w:val="00ED4916"/>
    <w:rsid w:val="00ED5F15"/>
    <w:rsid w:val="00EE2AC4"/>
    <w:rsid w:val="00EE462B"/>
    <w:rsid w:val="00EE6027"/>
    <w:rsid w:val="00EF39C9"/>
    <w:rsid w:val="00EF7CC8"/>
    <w:rsid w:val="00F062F0"/>
    <w:rsid w:val="00F1069E"/>
    <w:rsid w:val="00F1589B"/>
    <w:rsid w:val="00F160B2"/>
    <w:rsid w:val="00F20801"/>
    <w:rsid w:val="00F23661"/>
    <w:rsid w:val="00F26C1C"/>
    <w:rsid w:val="00F27CB3"/>
    <w:rsid w:val="00F34220"/>
    <w:rsid w:val="00F44AC5"/>
    <w:rsid w:val="00F51B21"/>
    <w:rsid w:val="00F53C03"/>
    <w:rsid w:val="00F60B24"/>
    <w:rsid w:val="00F61343"/>
    <w:rsid w:val="00F809D5"/>
    <w:rsid w:val="00F87438"/>
    <w:rsid w:val="00F91E68"/>
    <w:rsid w:val="00FA0A2C"/>
    <w:rsid w:val="00FA1634"/>
    <w:rsid w:val="00FA2510"/>
    <w:rsid w:val="00FA2588"/>
    <w:rsid w:val="00FB1167"/>
    <w:rsid w:val="00FC5246"/>
    <w:rsid w:val="00FD0DCB"/>
    <w:rsid w:val="00FD4B10"/>
    <w:rsid w:val="00FD668C"/>
    <w:rsid w:val="00FE708E"/>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31"/>
    <o:shapelayout v:ext="edit">
      <o:idmap v:ext="edit" data="1"/>
    </o:shapelayout>
  </w:shapeDefaults>
  <w:decimalSymbol w:val="."/>
  <w:listSeparator w:val=","/>
  <w14:docId w14:val="7DBF77CB"/>
  <w15:docId w15:val="{F9EAA13B-152D-4DEB-83A2-41A1403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semiHidden/>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semiHidden/>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76282">
      <w:marLeft w:val="0"/>
      <w:marRight w:val="0"/>
      <w:marTop w:val="0"/>
      <w:marBottom w:val="0"/>
      <w:divBdr>
        <w:top w:val="none" w:sz="0" w:space="0" w:color="auto"/>
        <w:left w:val="none" w:sz="0" w:space="0" w:color="auto"/>
        <w:bottom w:val="none" w:sz="0" w:space="0" w:color="auto"/>
        <w:right w:val="none" w:sz="0" w:space="0" w:color="auto"/>
      </w:divBdr>
    </w:div>
    <w:div w:id="1697776283">
      <w:marLeft w:val="0"/>
      <w:marRight w:val="0"/>
      <w:marTop w:val="0"/>
      <w:marBottom w:val="0"/>
      <w:divBdr>
        <w:top w:val="none" w:sz="0" w:space="0" w:color="auto"/>
        <w:left w:val="none" w:sz="0" w:space="0" w:color="auto"/>
        <w:bottom w:val="none" w:sz="0" w:space="0" w:color="auto"/>
        <w:right w:val="none" w:sz="0" w:space="0" w:color="auto"/>
      </w:divBdr>
    </w:div>
    <w:div w:id="1697776284">
      <w:marLeft w:val="0"/>
      <w:marRight w:val="0"/>
      <w:marTop w:val="0"/>
      <w:marBottom w:val="0"/>
      <w:divBdr>
        <w:top w:val="none" w:sz="0" w:space="0" w:color="auto"/>
        <w:left w:val="none" w:sz="0" w:space="0" w:color="auto"/>
        <w:bottom w:val="none" w:sz="0" w:space="0" w:color="auto"/>
        <w:right w:val="none" w:sz="0" w:space="0" w:color="auto"/>
      </w:divBdr>
      <w:divsChild>
        <w:div w:id="1697776281">
          <w:marLeft w:val="720"/>
          <w:marRight w:val="720"/>
          <w:marTop w:val="100"/>
          <w:marBottom w:val="100"/>
          <w:divBdr>
            <w:top w:val="none" w:sz="0" w:space="0" w:color="auto"/>
            <w:left w:val="none" w:sz="0" w:space="0" w:color="auto"/>
            <w:bottom w:val="none" w:sz="0" w:space="0" w:color="auto"/>
            <w:right w:val="none" w:sz="0" w:space="0" w:color="auto"/>
          </w:divBdr>
        </w:div>
      </w:divsChild>
    </w:div>
    <w:div w:id="1697776285">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697776287">
      <w:marLeft w:val="0"/>
      <w:marRight w:val="0"/>
      <w:marTop w:val="0"/>
      <w:marBottom w:val="0"/>
      <w:divBdr>
        <w:top w:val="none" w:sz="0" w:space="0" w:color="auto"/>
        <w:left w:val="none" w:sz="0" w:space="0" w:color="auto"/>
        <w:bottom w:val="none" w:sz="0" w:space="0" w:color="auto"/>
        <w:right w:val="none" w:sz="0" w:space="0" w:color="auto"/>
      </w:divBdr>
    </w:div>
    <w:div w:id="17147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199.221.111.170/program/oes/documentation/StOpsApps%20Dec2012.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ls.gov/ore/pdf/st950180.pdf"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bls.gov/ore/pdf/st990160.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bls.gov/ore/pdf/st00008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http://www.amstat.org/Sections/Srms/Proceedings/papers/1997_081.pdf"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4862</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33126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Rowan, Carol - BLS</cp:lastModifiedBy>
  <cp:revision>4</cp:revision>
  <cp:lastPrinted>2013-03-28T12:57:00Z</cp:lastPrinted>
  <dcterms:created xsi:type="dcterms:W3CDTF">2016-07-01T18:00:00Z</dcterms:created>
  <dcterms:modified xsi:type="dcterms:W3CDTF">2016-07-20T16:27:00Z</dcterms:modified>
</cp:coreProperties>
</file>