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54894" w14:textId="77777777" w:rsidR="006B59CF" w:rsidRPr="00820E94" w:rsidRDefault="006B59CF">
      <w:pPr>
        <w:pStyle w:val="Title"/>
        <w:rPr>
          <w:sz w:val="28"/>
          <w:szCs w:val="28"/>
        </w:rPr>
      </w:pPr>
      <w:r w:rsidRPr="00820E94">
        <w:rPr>
          <w:sz w:val="28"/>
          <w:szCs w:val="28"/>
        </w:rPr>
        <w:t>SUPPORTING STATEMENT FOR</w:t>
      </w:r>
    </w:p>
    <w:p w14:paraId="514E19CD" w14:textId="77777777" w:rsidR="000C5C62" w:rsidRPr="00820E94" w:rsidRDefault="000C5C62">
      <w:pPr>
        <w:pStyle w:val="Title"/>
        <w:rPr>
          <w:sz w:val="28"/>
          <w:szCs w:val="28"/>
        </w:rPr>
      </w:pPr>
      <w:r w:rsidRPr="00820E94">
        <w:rPr>
          <w:sz w:val="28"/>
          <w:szCs w:val="28"/>
        </w:rPr>
        <w:t>PAPERWORK</w:t>
      </w:r>
      <w:r w:rsidR="006B59CF" w:rsidRPr="00820E94">
        <w:rPr>
          <w:sz w:val="28"/>
          <w:szCs w:val="28"/>
        </w:rPr>
        <w:t xml:space="preserve"> </w:t>
      </w:r>
      <w:r w:rsidRPr="00820E94">
        <w:rPr>
          <w:sz w:val="28"/>
          <w:szCs w:val="28"/>
        </w:rPr>
        <w:t xml:space="preserve">REDUCTION ACT SUBMISSIONS </w:t>
      </w:r>
    </w:p>
    <w:p w14:paraId="3C40A49D" w14:textId="77777777" w:rsidR="00B32A53" w:rsidRPr="00820E94" w:rsidRDefault="00B32A53">
      <w:pPr>
        <w:jc w:val="center"/>
        <w:rPr>
          <w:b/>
          <w:sz w:val="28"/>
          <w:szCs w:val="28"/>
        </w:rPr>
      </w:pPr>
    </w:p>
    <w:p w14:paraId="16F7FE65" w14:textId="77777777" w:rsidR="00432FAC" w:rsidRDefault="00C93F19">
      <w:pPr>
        <w:jc w:val="center"/>
        <w:rPr>
          <w:b/>
          <w:sz w:val="28"/>
          <w:szCs w:val="28"/>
        </w:rPr>
      </w:pPr>
      <w:r>
        <w:rPr>
          <w:b/>
          <w:sz w:val="28"/>
          <w:szCs w:val="28"/>
        </w:rPr>
        <w:t xml:space="preserve">Statement of Material Change, Merger, Acquisition, or Divestiture of </w:t>
      </w:r>
      <w:r w:rsidR="00DE7BFA">
        <w:rPr>
          <w:b/>
          <w:sz w:val="28"/>
          <w:szCs w:val="28"/>
        </w:rPr>
        <w:t xml:space="preserve">a </w:t>
      </w:r>
      <w:r>
        <w:rPr>
          <w:b/>
          <w:sz w:val="28"/>
          <w:szCs w:val="28"/>
        </w:rPr>
        <w:t>Registered Party</w:t>
      </w:r>
    </w:p>
    <w:p w14:paraId="42E7169F" w14:textId="77777777" w:rsidR="000C5C62" w:rsidRPr="00820E94" w:rsidRDefault="0035739E">
      <w:pPr>
        <w:jc w:val="center"/>
        <w:rPr>
          <w:b/>
          <w:sz w:val="28"/>
          <w:szCs w:val="28"/>
        </w:rPr>
      </w:pPr>
      <w:r w:rsidRPr="00820E94">
        <w:rPr>
          <w:b/>
          <w:sz w:val="28"/>
          <w:szCs w:val="28"/>
        </w:rPr>
        <w:t>OMB 1405-</w:t>
      </w:r>
      <w:r w:rsidR="00E43597">
        <w:rPr>
          <w:b/>
          <w:sz w:val="28"/>
          <w:szCs w:val="28"/>
        </w:rPr>
        <w:t>XXXX</w:t>
      </w:r>
    </w:p>
    <w:p w14:paraId="365BB8DD" w14:textId="77777777" w:rsidR="00B04CA2" w:rsidRPr="00820E94" w:rsidRDefault="003454E0">
      <w:pPr>
        <w:jc w:val="center"/>
        <w:rPr>
          <w:b/>
          <w:sz w:val="28"/>
          <w:szCs w:val="28"/>
        </w:rPr>
      </w:pPr>
      <w:r>
        <w:rPr>
          <w:b/>
          <w:sz w:val="28"/>
          <w:szCs w:val="28"/>
        </w:rPr>
        <w:t>Form Number DS-7789</w:t>
      </w:r>
    </w:p>
    <w:p w14:paraId="77CFCDB9" w14:textId="77777777" w:rsidR="00B04CA2" w:rsidRPr="00820E94" w:rsidRDefault="00B04CA2">
      <w:pPr>
        <w:jc w:val="center"/>
        <w:rPr>
          <w:b/>
          <w:sz w:val="28"/>
          <w:szCs w:val="28"/>
        </w:rPr>
      </w:pPr>
    </w:p>
    <w:p w14:paraId="7A14316F" w14:textId="77777777" w:rsidR="00196270" w:rsidRPr="00D81AD0" w:rsidRDefault="00196270" w:rsidP="00196270">
      <w:pPr>
        <w:pStyle w:val="Heading2"/>
        <w:jc w:val="left"/>
        <w:rPr>
          <w:color w:val="auto"/>
          <w:sz w:val="28"/>
          <w:szCs w:val="28"/>
        </w:rPr>
      </w:pPr>
      <w:r w:rsidRPr="00D81AD0">
        <w:rPr>
          <w:color w:val="auto"/>
          <w:sz w:val="28"/>
          <w:szCs w:val="28"/>
        </w:rPr>
        <w:t>A.  Justification</w:t>
      </w:r>
    </w:p>
    <w:p w14:paraId="73B959A5" w14:textId="77777777" w:rsidR="00196270" w:rsidRPr="00D81AD0" w:rsidRDefault="00196270" w:rsidP="00196270">
      <w:pPr>
        <w:jc w:val="center"/>
        <w:rPr>
          <w:b/>
          <w:sz w:val="28"/>
          <w:szCs w:val="28"/>
        </w:rPr>
      </w:pPr>
    </w:p>
    <w:p w14:paraId="28B1058E" w14:textId="77777777" w:rsidR="00C02E14" w:rsidRPr="00C02E14" w:rsidRDefault="00C02E14" w:rsidP="004134BF">
      <w:pPr>
        <w:numPr>
          <w:ilvl w:val="0"/>
          <w:numId w:val="16"/>
        </w:numPr>
        <w:spacing w:after="120" w:line="360" w:lineRule="auto"/>
        <w:rPr>
          <w:sz w:val="28"/>
          <w:szCs w:val="28"/>
          <w:u w:val="single"/>
        </w:rPr>
      </w:pPr>
      <w:r w:rsidRPr="005B0F33">
        <w:rPr>
          <w:sz w:val="28"/>
          <w:szCs w:val="28"/>
          <w:u w:val="single"/>
        </w:rPr>
        <w:t>Why is this collection necessary and what are the legal statutes that allow this?</w:t>
      </w:r>
    </w:p>
    <w:p w14:paraId="2A2EE0BE" w14:textId="77777777" w:rsidR="00196270" w:rsidRPr="00820E94" w:rsidRDefault="0065119A" w:rsidP="004134BF">
      <w:pPr>
        <w:spacing w:line="360" w:lineRule="auto"/>
        <w:rPr>
          <w:sz w:val="28"/>
          <w:szCs w:val="28"/>
        </w:rPr>
      </w:pPr>
      <w:r w:rsidRPr="00820E94">
        <w:rPr>
          <w:sz w:val="28"/>
          <w:szCs w:val="28"/>
        </w:rPr>
        <w:t xml:space="preserve">By statute, Executive Order, regulation, and delegation of authority, </w:t>
      </w:r>
      <w:r>
        <w:rPr>
          <w:sz w:val="28"/>
          <w:szCs w:val="28"/>
        </w:rPr>
        <w:t>t</w:t>
      </w:r>
      <w:r w:rsidRPr="00820E94">
        <w:rPr>
          <w:sz w:val="28"/>
          <w:szCs w:val="28"/>
        </w:rPr>
        <w:t xml:space="preserve">he </w:t>
      </w:r>
      <w:r w:rsidR="00196270" w:rsidRPr="00820E94">
        <w:rPr>
          <w:sz w:val="28"/>
          <w:szCs w:val="28"/>
        </w:rPr>
        <w:t>Directorate of Defense Trade Controls (DDTC), Bureau of Political-Military Affairs, U.S. Department of State, in accordance with the Arms Export Control Act (AECA)</w:t>
      </w:r>
      <w:r>
        <w:rPr>
          <w:sz w:val="28"/>
          <w:szCs w:val="28"/>
        </w:rPr>
        <w:t>,</w:t>
      </w:r>
      <w:r w:rsidR="00196270" w:rsidRPr="00820E94">
        <w:rPr>
          <w:sz w:val="28"/>
          <w:szCs w:val="28"/>
        </w:rPr>
        <w:t xml:space="preserve"> 22 U.S.C. 2751 </w:t>
      </w:r>
      <w:r w:rsidR="00196270" w:rsidRPr="002414A6">
        <w:rPr>
          <w:i/>
          <w:sz w:val="28"/>
          <w:szCs w:val="28"/>
        </w:rPr>
        <w:t>et seq</w:t>
      </w:r>
      <w:r w:rsidR="00196270" w:rsidRPr="00820E94">
        <w:rPr>
          <w:sz w:val="28"/>
          <w:szCs w:val="28"/>
        </w:rPr>
        <w:t>.</w:t>
      </w:r>
      <w:r>
        <w:rPr>
          <w:sz w:val="28"/>
          <w:szCs w:val="28"/>
        </w:rPr>
        <w:t>,</w:t>
      </w:r>
      <w:r w:rsidR="00196270" w:rsidRPr="00820E94">
        <w:rPr>
          <w:sz w:val="28"/>
          <w:szCs w:val="28"/>
        </w:rPr>
        <w:t xml:space="preserve"> and the International Traffic in Arms Regulations (ITAR)</w:t>
      </w:r>
      <w:r>
        <w:rPr>
          <w:sz w:val="28"/>
          <w:szCs w:val="28"/>
        </w:rPr>
        <w:t>,</w:t>
      </w:r>
      <w:r w:rsidR="00196270" w:rsidRPr="00820E94">
        <w:rPr>
          <w:sz w:val="28"/>
          <w:szCs w:val="28"/>
        </w:rPr>
        <w:t xml:space="preserve"> 22 CFR Parts 120-130, has the principal mission</w:t>
      </w:r>
      <w:r>
        <w:rPr>
          <w:sz w:val="28"/>
          <w:szCs w:val="28"/>
        </w:rPr>
        <w:t xml:space="preserve"> of controlling the export and </w:t>
      </w:r>
      <w:r w:rsidR="00AA01E3">
        <w:rPr>
          <w:sz w:val="28"/>
          <w:szCs w:val="28"/>
        </w:rPr>
        <w:t xml:space="preserve">temporary </w:t>
      </w:r>
      <w:r>
        <w:rPr>
          <w:sz w:val="28"/>
          <w:szCs w:val="28"/>
        </w:rPr>
        <w:t>import of defense articles and services</w:t>
      </w:r>
      <w:r w:rsidR="00704310">
        <w:rPr>
          <w:sz w:val="28"/>
          <w:szCs w:val="28"/>
        </w:rPr>
        <w:t xml:space="preserve">. </w:t>
      </w:r>
      <w:r w:rsidR="001F6F9A">
        <w:rPr>
          <w:sz w:val="28"/>
          <w:szCs w:val="28"/>
        </w:rPr>
        <w:t xml:space="preserve"> </w:t>
      </w:r>
      <w:r w:rsidR="00704310">
        <w:rPr>
          <w:sz w:val="28"/>
          <w:szCs w:val="28"/>
        </w:rPr>
        <w:t xml:space="preserve">This mission is </w:t>
      </w:r>
      <w:r>
        <w:rPr>
          <w:sz w:val="28"/>
          <w:szCs w:val="28"/>
        </w:rPr>
        <w:t xml:space="preserve">primarily </w:t>
      </w:r>
      <w:r w:rsidR="00704310">
        <w:rPr>
          <w:sz w:val="28"/>
          <w:szCs w:val="28"/>
        </w:rPr>
        <w:t>accomplished</w:t>
      </w:r>
      <w:r>
        <w:rPr>
          <w:sz w:val="28"/>
          <w:szCs w:val="28"/>
        </w:rPr>
        <w:t xml:space="preserve"> through the review and issuance of export and temporary import authorization requests, maintenance of the U.S. Munitions List, the registration of manufacturers</w:t>
      </w:r>
      <w:r w:rsidR="0098454D">
        <w:rPr>
          <w:sz w:val="28"/>
          <w:szCs w:val="28"/>
        </w:rPr>
        <w:t xml:space="preserve">, </w:t>
      </w:r>
      <w:r>
        <w:rPr>
          <w:sz w:val="28"/>
          <w:szCs w:val="28"/>
        </w:rPr>
        <w:t>export</w:t>
      </w:r>
      <w:r w:rsidR="00704310">
        <w:rPr>
          <w:sz w:val="28"/>
          <w:szCs w:val="28"/>
        </w:rPr>
        <w:t>e</w:t>
      </w:r>
      <w:r>
        <w:rPr>
          <w:sz w:val="28"/>
          <w:szCs w:val="28"/>
        </w:rPr>
        <w:t>rs</w:t>
      </w:r>
      <w:r w:rsidR="0098454D">
        <w:rPr>
          <w:sz w:val="28"/>
          <w:szCs w:val="28"/>
        </w:rPr>
        <w:t>, and brokers</w:t>
      </w:r>
      <w:r>
        <w:rPr>
          <w:sz w:val="28"/>
          <w:szCs w:val="28"/>
        </w:rPr>
        <w:t xml:space="preserve"> of defense articles and services, and enforcement of ITAR requirements. </w:t>
      </w:r>
      <w:r w:rsidR="001F6F9A">
        <w:rPr>
          <w:sz w:val="28"/>
          <w:szCs w:val="28"/>
        </w:rPr>
        <w:t xml:space="preserve"> </w:t>
      </w:r>
      <w:r>
        <w:rPr>
          <w:sz w:val="28"/>
          <w:szCs w:val="28"/>
        </w:rPr>
        <w:t xml:space="preserve">The collection and storage of various types of data are integral to DDTC’s mission and responsibilities. </w:t>
      </w:r>
    </w:p>
    <w:p w14:paraId="6370AFCA" w14:textId="77777777" w:rsidR="00E9406F" w:rsidRDefault="00E9406F" w:rsidP="004134BF">
      <w:pPr>
        <w:spacing w:line="360" w:lineRule="auto"/>
        <w:rPr>
          <w:sz w:val="28"/>
          <w:szCs w:val="28"/>
        </w:rPr>
      </w:pPr>
    </w:p>
    <w:p w14:paraId="7514BF42" w14:textId="3E0B5F90" w:rsidR="000C5C62" w:rsidRDefault="00AB0ADA" w:rsidP="004134BF">
      <w:pPr>
        <w:spacing w:line="360" w:lineRule="auto"/>
        <w:ind w:firstLine="720"/>
        <w:rPr>
          <w:sz w:val="28"/>
          <w:szCs w:val="28"/>
        </w:rPr>
      </w:pPr>
      <w:r>
        <w:rPr>
          <w:sz w:val="28"/>
          <w:szCs w:val="28"/>
        </w:rPr>
        <w:t xml:space="preserve">ITAR </w:t>
      </w:r>
      <w:r w:rsidR="00D404B7">
        <w:rPr>
          <w:sz w:val="28"/>
          <w:szCs w:val="28"/>
        </w:rPr>
        <w:t>§</w:t>
      </w:r>
      <w:r>
        <w:rPr>
          <w:sz w:val="28"/>
          <w:szCs w:val="28"/>
        </w:rPr>
        <w:t>§</w:t>
      </w:r>
      <w:r w:rsidR="001301DE">
        <w:rPr>
          <w:sz w:val="28"/>
          <w:szCs w:val="28"/>
        </w:rPr>
        <w:t> </w:t>
      </w:r>
      <w:r>
        <w:rPr>
          <w:sz w:val="28"/>
          <w:szCs w:val="28"/>
        </w:rPr>
        <w:t>122.4</w:t>
      </w:r>
      <w:r w:rsidR="00D404B7">
        <w:rPr>
          <w:sz w:val="28"/>
          <w:szCs w:val="28"/>
        </w:rPr>
        <w:t xml:space="preserve"> and 129.8 </w:t>
      </w:r>
      <w:r w:rsidR="000C6497">
        <w:rPr>
          <w:sz w:val="28"/>
          <w:szCs w:val="28"/>
        </w:rPr>
        <w:t>(22 CFR 122.4</w:t>
      </w:r>
      <w:r w:rsidR="00D404B7">
        <w:rPr>
          <w:sz w:val="28"/>
          <w:szCs w:val="28"/>
        </w:rPr>
        <w:t>, 129.8</w:t>
      </w:r>
      <w:r w:rsidR="000C6497">
        <w:rPr>
          <w:sz w:val="28"/>
          <w:szCs w:val="28"/>
        </w:rPr>
        <w:t xml:space="preserve">) </w:t>
      </w:r>
      <w:r w:rsidR="00D404B7">
        <w:rPr>
          <w:sz w:val="28"/>
          <w:szCs w:val="28"/>
        </w:rPr>
        <w:t>require</w:t>
      </w:r>
      <w:r w:rsidR="006130E1">
        <w:rPr>
          <w:sz w:val="28"/>
          <w:szCs w:val="28"/>
        </w:rPr>
        <w:t xml:space="preserve"> registrants to </w:t>
      </w:r>
      <w:r w:rsidR="00A30946">
        <w:rPr>
          <w:sz w:val="28"/>
          <w:szCs w:val="28"/>
        </w:rPr>
        <w:t>notify</w:t>
      </w:r>
      <w:r w:rsidR="00BF532D">
        <w:rPr>
          <w:sz w:val="28"/>
          <w:szCs w:val="28"/>
        </w:rPr>
        <w:t xml:space="preserve"> DDTC in the event of a</w:t>
      </w:r>
      <w:r w:rsidR="000C6497">
        <w:rPr>
          <w:sz w:val="28"/>
          <w:szCs w:val="28"/>
        </w:rPr>
        <w:t xml:space="preserve"> change in</w:t>
      </w:r>
      <w:r w:rsidR="00704310">
        <w:rPr>
          <w:sz w:val="28"/>
          <w:szCs w:val="28"/>
        </w:rPr>
        <w:t xml:space="preserve"> certain</w:t>
      </w:r>
      <w:r w:rsidR="000C6497">
        <w:rPr>
          <w:sz w:val="28"/>
          <w:szCs w:val="28"/>
        </w:rPr>
        <w:t xml:space="preserve"> registration information or if the registrant is a party to a merger, acquisition</w:t>
      </w:r>
      <w:r w:rsidR="006130E1">
        <w:rPr>
          <w:sz w:val="28"/>
          <w:szCs w:val="28"/>
        </w:rPr>
        <w:t>, or dives</w:t>
      </w:r>
      <w:r w:rsidR="00D404B7">
        <w:rPr>
          <w:sz w:val="28"/>
          <w:szCs w:val="28"/>
        </w:rPr>
        <w:t>titure of an entity producing,</w:t>
      </w:r>
      <w:r w:rsidR="006130E1">
        <w:rPr>
          <w:sz w:val="28"/>
          <w:szCs w:val="28"/>
        </w:rPr>
        <w:t xml:space="preserve"> marketing</w:t>
      </w:r>
      <w:r w:rsidR="00D404B7">
        <w:rPr>
          <w:sz w:val="28"/>
          <w:szCs w:val="28"/>
        </w:rPr>
        <w:t>, or brokering</w:t>
      </w:r>
      <w:r w:rsidR="006130E1">
        <w:rPr>
          <w:sz w:val="28"/>
          <w:szCs w:val="28"/>
        </w:rPr>
        <w:t xml:space="preserve"> ITAR-controlled items</w:t>
      </w:r>
      <w:r w:rsidR="00704310">
        <w:rPr>
          <w:sz w:val="28"/>
          <w:szCs w:val="28"/>
        </w:rPr>
        <w:t xml:space="preserve"> (collectively “material changes”)</w:t>
      </w:r>
      <w:r w:rsidR="006130E1">
        <w:rPr>
          <w:sz w:val="28"/>
          <w:szCs w:val="28"/>
        </w:rPr>
        <w:t xml:space="preserve">. </w:t>
      </w:r>
      <w:r w:rsidR="001F6F9A">
        <w:rPr>
          <w:sz w:val="28"/>
          <w:szCs w:val="28"/>
        </w:rPr>
        <w:t xml:space="preserve"> </w:t>
      </w:r>
      <w:r w:rsidR="00704310">
        <w:rPr>
          <w:sz w:val="28"/>
          <w:szCs w:val="28"/>
        </w:rPr>
        <w:t xml:space="preserve"> </w:t>
      </w:r>
      <w:r w:rsidR="001F6F9A">
        <w:rPr>
          <w:sz w:val="28"/>
          <w:szCs w:val="28"/>
        </w:rPr>
        <w:t xml:space="preserve"> </w:t>
      </w:r>
      <w:r w:rsidR="00762DA2" w:rsidRPr="00762DA2">
        <w:rPr>
          <w:sz w:val="28"/>
          <w:szCs w:val="28"/>
        </w:rPr>
        <w:t>This information is necessary for DDTC to ensure registration records are accurate</w:t>
      </w:r>
      <w:r w:rsidR="00704310">
        <w:rPr>
          <w:sz w:val="28"/>
          <w:szCs w:val="28"/>
        </w:rPr>
        <w:t xml:space="preserve">, to ensure the material change </w:t>
      </w:r>
      <w:r w:rsidR="00762DA2" w:rsidRPr="00762DA2">
        <w:rPr>
          <w:sz w:val="28"/>
          <w:szCs w:val="28"/>
        </w:rPr>
        <w:t xml:space="preserve">is in compliance with the regulations (e.g. </w:t>
      </w:r>
      <w:r w:rsidR="00704310">
        <w:rPr>
          <w:sz w:val="28"/>
          <w:szCs w:val="28"/>
        </w:rPr>
        <w:t xml:space="preserve">verify that a debarred entity is not in control of a registrant), to ensure export authorizations </w:t>
      </w:r>
      <w:r w:rsidR="00704310">
        <w:rPr>
          <w:sz w:val="28"/>
          <w:szCs w:val="28"/>
        </w:rPr>
        <w:lastRenderedPageBreak/>
        <w:t xml:space="preserve">remain current (e.g. if a transfer occurs), and to evaluate the implications on </w:t>
      </w:r>
      <w:r w:rsidR="00762DA2" w:rsidRPr="00762DA2">
        <w:rPr>
          <w:sz w:val="28"/>
          <w:szCs w:val="28"/>
        </w:rPr>
        <w:t xml:space="preserve">national security and foreign policy.   </w:t>
      </w:r>
    </w:p>
    <w:p w14:paraId="37FA2FE1" w14:textId="77777777" w:rsidR="00762DA2" w:rsidRPr="00820E94" w:rsidRDefault="00762DA2" w:rsidP="004134BF">
      <w:pPr>
        <w:spacing w:line="360" w:lineRule="auto"/>
        <w:ind w:firstLine="720"/>
        <w:rPr>
          <w:sz w:val="28"/>
          <w:szCs w:val="28"/>
        </w:rPr>
      </w:pPr>
    </w:p>
    <w:p w14:paraId="140B899B" w14:textId="77777777" w:rsidR="00C02E14" w:rsidRPr="00C02E14" w:rsidRDefault="00C02E14" w:rsidP="004134BF">
      <w:pPr>
        <w:pStyle w:val="ListParagraph"/>
        <w:numPr>
          <w:ilvl w:val="0"/>
          <w:numId w:val="16"/>
        </w:numPr>
        <w:spacing w:line="360" w:lineRule="auto"/>
        <w:rPr>
          <w:sz w:val="28"/>
          <w:szCs w:val="28"/>
        </w:rPr>
      </w:pPr>
      <w:r w:rsidRPr="00C02E14">
        <w:rPr>
          <w:sz w:val="28"/>
          <w:szCs w:val="28"/>
          <w:u w:val="single"/>
        </w:rPr>
        <w:t>What business purpose is the information gathered going to be used for?</w:t>
      </w:r>
    </w:p>
    <w:p w14:paraId="19AAC1FF" w14:textId="77777777" w:rsidR="000C5C62" w:rsidRPr="00820E94" w:rsidRDefault="00FF780C" w:rsidP="004134BF">
      <w:pPr>
        <w:spacing w:line="360" w:lineRule="auto"/>
        <w:rPr>
          <w:sz w:val="28"/>
          <w:szCs w:val="28"/>
        </w:rPr>
      </w:pPr>
      <w:r>
        <w:rPr>
          <w:sz w:val="28"/>
          <w:szCs w:val="28"/>
        </w:rPr>
        <w:t>DDTC will use th</w:t>
      </w:r>
      <w:r w:rsidR="00704310">
        <w:rPr>
          <w:sz w:val="28"/>
          <w:szCs w:val="28"/>
        </w:rPr>
        <w:t>e requested</w:t>
      </w:r>
      <w:r>
        <w:rPr>
          <w:sz w:val="28"/>
          <w:szCs w:val="28"/>
        </w:rPr>
        <w:t xml:space="preserve"> information to fulfill its statutorily-mandated </w:t>
      </w:r>
      <w:r w:rsidR="00A30946">
        <w:rPr>
          <w:sz w:val="28"/>
          <w:szCs w:val="28"/>
        </w:rPr>
        <w:t>function of ensuring that ITAR-controlled articles and technical data are not transported or transmitted to unauthorized ind</w:t>
      </w:r>
      <w:r>
        <w:rPr>
          <w:sz w:val="28"/>
          <w:szCs w:val="28"/>
        </w:rPr>
        <w:t xml:space="preserve">ividuals, companies, or </w:t>
      </w:r>
      <w:r w:rsidR="00BF532D">
        <w:rPr>
          <w:sz w:val="28"/>
          <w:szCs w:val="28"/>
        </w:rPr>
        <w:t xml:space="preserve">nations and </w:t>
      </w:r>
      <w:r>
        <w:rPr>
          <w:sz w:val="28"/>
          <w:szCs w:val="28"/>
        </w:rPr>
        <w:t>transactions involving such items are in furtherance of the foreign policy and national security interests of the United States.</w:t>
      </w:r>
    </w:p>
    <w:p w14:paraId="46E12070" w14:textId="77777777" w:rsidR="00B32A53" w:rsidRPr="00820E94" w:rsidRDefault="00B32A53" w:rsidP="004134BF">
      <w:pPr>
        <w:spacing w:line="360" w:lineRule="auto"/>
        <w:rPr>
          <w:sz w:val="28"/>
          <w:szCs w:val="28"/>
        </w:rPr>
      </w:pPr>
    </w:p>
    <w:p w14:paraId="45A6497F" w14:textId="77777777" w:rsidR="00C02E14" w:rsidRPr="00C02E14" w:rsidRDefault="00C02E14" w:rsidP="004134BF">
      <w:pPr>
        <w:numPr>
          <w:ilvl w:val="0"/>
          <w:numId w:val="16"/>
        </w:numPr>
        <w:spacing w:after="120" w:line="360" w:lineRule="auto"/>
        <w:rPr>
          <w:sz w:val="28"/>
          <w:szCs w:val="28"/>
          <w:u w:val="single"/>
        </w:rPr>
      </w:pPr>
      <w:r w:rsidRPr="005B0F33">
        <w:rPr>
          <w:sz w:val="28"/>
          <w:szCs w:val="28"/>
          <w:u w:val="single"/>
        </w:rPr>
        <w:t>Is this collection able to be completed electronically (e.g. through a website or application)?</w:t>
      </w:r>
      <w:r w:rsidR="000C5C62" w:rsidRPr="00C02E14">
        <w:rPr>
          <w:sz w:val="28"/>
          <w:szCs w:val="28"/>
        </w:rPr>
        <w:tab/>
      </w:r>
    </w:p>
    <w:p w14:paraId="56D99658" w14:textId="73C7B23A" w:rsidR="00897C6C" w:rsidRDefault="00F17D54" w:rsidP="004134BF">
      <w:pPr>
        <w:spacing w:line="360" w:lineRule="auto"/>
        <w:rPr>
          <w:sz w:val="28"/>
          <w:szCs w:val="28"/>
        </w:rPr>
      </w:pPr>
      <w:r>
        <w:rPr>
          <w:sz w:val="28"/>
          <w:szCs w:val="28"/>
        </w:rPr>
        <w:t>Respondents to this collection are instructed to submit a written notification pursuant to ITAR §</w:t>
      </w:r>
      <w:r w:rsidR="00EB4520">
        <w:rPr>
          <w:sz w:val="28"/>
          <w:szCs w:val="28"/>
        </w:rPr>
        <w:t>§</w:t>
      </w:r>
      <w:r>
        <w:rPr>
          <w:sz w:val="28"/>
          <w:szCs w:val="28"/>
        </w:rPr>
        <w:t xml:space="preserve"> 122.4</w:t>
      </w:r>
      <w:r w:rsidR="00EB4520">
        <w:rPr>
          <w:sz w:val="28"/>
          <w:szCs w:val="28"/>
        </w:rPr>
        <w:t xml:space="preserve"> and 129.8</w:t>
      </w:r>
      <w:r>
        <w:rPr>
          <w:sz w:val="28"/>
          <w:szCs w:val="28"/>
        </w:rPr>
        <w:t>.  This collection does not currently have an active form associated with it</w:t>
      </w:r>
      <w:r w:rsidR="00897C6C">
        <w:rPr>
          <w:sz w:val="28"/>
          <w:szCs w:val="28"/>
        </w:rPr>
        <w:t>.</w:t>
      </w:r>
      <w:r w:rsidR="00672285">
        <w:rPr>
          <w:sz w:val="28"/>
          <w:szCs w:val="28"/>
        </w:rPr>
        <w:t xml:space="preserve">  R</w:t>
      </w:r>
      <w:r w:rsidR="002B1576">
        <w:rPr>
          <w:sz w:val="28"/>
          <w:szCs w:val="28"/>
        </w:rPr>
        <w:t xml:space="preserve">espondents </w:t>
      </w:r>
      <w:r w:rsidR="0079022C">
        <w:rPr>
          <w:sz w:val="28"/>
          <w:szCs w:val="28"/>
        </w:rPr>
        <w:t xml:space="preserve">currently </w:t>
      </w:r>
      <w:r w:rsidR="002B1576">
        <w:rPr>
          <w:sz w:val="28"/>
          <w:szCs w:val="28"/>
        </w:rPr>
        <w:t xml:space="preserve">transmit all documents </w:t>
      </w:r>
      <w:r w:rsidR="00E037E7">
        <w:rPr>
          <w:sz w:val="28"/>
          <w:szCs w:val="28"/>
        </w:rPr>
        <w:t>in hard cop</w:t>
      </w:r>
      <w:r w:rsidR="00897C6C">
        <w:rPr>
          <w:sz w:val="28"/>
          <w:szCs w:val="28"/>
        </w:rPr>
        <w:t xml:space="preserve">y, </w:t>
      </w:r>
      <w:r w:rsidR="00E037E7">
        <w:rPr>
          <w:sz w:val="28"/>
          <w:szCs w:val="28"/>
        </w:rPr>
        <w:t xml:space="preserve">often </w:t>
      </w:r>
      <w:r w:rsidR="002B1576">
        <w:rPr>
          <w:sz w:val="28"/>
          <w:szCs w:val="28"/>
        </w:rPr>
        <w:t>via overnight mail</w:t>
      </w:r>
      <w:r w:rsidR="00897C6C">
        <w:rPr>
          <w:sz w:val="28"/>
          <w:szCs w:val="28"/>
        </w:rPr>
        <w:t>, as recommended by DDTC</w:t>
      </w:r>
      <w:r w:rsidR="002B1576">
        <w:rPr>
          <w:sz w:val="28"/>
          <w:szCs w:val="28"/>
        </w:rPr>
        <w:t>.</w:t>
      </w:r>
      <w:r>
        <w:rPr>
          <w:sz w:val="28"/>
          <w:szCs w:val="28"/>
        </w:rPr>
        <w:t xml:space="preserve">  </w:t>
      </w:r>
    </w:p>
    <w:p w14:paraId="0FED9D7A" w14:textId="77777777" w:rsidR="00897C6C" w:rsidRDefault="00897C6C" w:rsidP="004134BF">
      <w:pPr>
        <w:spacing w:line="360" w:lineRule="auto"/>
        <w:rPr>
          <w:sz w:val="28"/>
          <w:szCs w:val="28"/>
        </w:rPr>
      </w:pPr>
    </w:p>
    <w:p w14:paraId="71A89ED4" w14:textId="21C47B85" w:rsidR="0079022C" w:rsidRDefault="002B1576" w:rsidP="004134BF">
      <w:pPr>
        <w:spacing w:line="360" w:lineRule="auto"/>
        <w:rPr>
          <w:sz w:val="28"/>
          <w:szCs w:val="28"/>
        </w:rPr>
      </w:pPr>
      <w:r>
        <w:rPr>
          <w:sz w:val="28"/>
          <w:szCs w:val="28"/>
        </w:rPr>
        <w:t>DDTC is</w:t>
      </w:r>
      <w:r w:rsidR="00F17D54">
        <w:rPr>
          <w:sz w:val="28"/>
          <w:szCs w:val="28"/>
        </w:rPr>
        <w:t xml:space="preserve"> </w:t>
      </w:r>
      <w:r>
        <w:rPr>
          <w:sz w:val="28"/>
          <w:szCs w:val="28"/>
        </w:rPr>
        <w:t xml:space="preserve">in the process of developing a new case management system that will allow respondents to submit </w:t>
      </w:r>
      <w:r w:rsidR="008D4BA1">
        <w:rPr>
          <w:sz w:val="28"/>
          <w:szCs w:val="28"/>
        </w:rPr>
        <w:t>information sufficient to satisfy the</w:t>
      </w:r>
      <w:r w:rsidR="00F17D54">
        <w:rPr>
          <w:sz w:val="28"/>
          <w:szCs w:val="28"/>
        </w:rPr>
        <w:t>ir</w:t>
      </w:r>
      <w:r w:rsidR="008D4BA1">
        <w:rPr>
          <w:sz w:val="28"/>
          <w:szCs w:val="28"/>
        </w:rPr>
        <w:t xml:space="preserve"> ITAR §</w:t>
      </w:r>
      <w:r w:rsidR="00EB4520">
        <w:rPr>
          <w:sz w:val="28"/>
          <w:szCs w:val="28"/>
        </w:rPr>
        <w:t>§</w:t>
      </w:r>
      <w:r w:rsidR="008D4BA1">
        <w:rPr>
          <w:sz w:val="28"/>
          <w:szCs w:val="28"/>
        </w:rPr>
        <w:t xml:space="preserve"> 122.4 </w:t>
      </w:r>
      <w:r w:rsidR="00EB4520">
        <w:rPr>
          <w:sz w:val="28"/>
          <w:szCs w:val="28"/>
        </w:rPr>
        <w:t xml:space="preserve">and 129.8 </w:t>
      </w:r>
      <w:r w:rsidR="008D4BA1">
        <w:rPr>
          <w:sz w:val="28"/>
          <w:szCs w:val="28"/>
        </w:rPr>
        <w:t>obligations</w:t>
      </w:r>
      <w:r>
        <w:rPr>
          <w:sz w:val="28"/>
          <w:szCs w:val="28"/>
        </w:rPr>
        <w:t xml:space="preserve"> electronically. </w:t>
      </w:r>
      <w:r w:rsidR="00BE3D3B">
        <w:rPr>
          <w:sz w:val="28"/>
          <w:szCs w:val="28"/>
        </w:rPr>
        <w:t xml:space="preserve"> </w:t>
      </w:r>
      <w:r w:rsidR="0077147B">
        <w:rPr>
          <w:sz w:val="28"/>
          <w:szCs w:val="28"/>
        </w:rPr>
        <w:t xml:space="preserve">Once deployed, industry users will have the option </w:t>
      </w:r>
      <w:r w:rsidR="0093003E">
        <w:rPr>
          <w:sz w:val="28"/>
          <w:szCs w:val="28"/>
        </w:rPr>
        <w:t>to</w:t>
      </w:r>
      <w:r w:rsidR="0077147B">
        <w:rPr>
          <w:sz w:val="28"/>
          <w:szCs w:val="28"/>
        </w:rPr>
        <w:t xml:space="preserve"> </w:t>
      </w:r>
      <w:r w:rsidR="00F17D54">
        <w:rPr>
          <w:sz w:val="28"/>
          <w:szCs w:val="28"/>
        </w:rPr>
        <w:t xml:space="preserve">make electronic submissions using the new system or via hard copy.  </w:t>
      </w:r>
      <w:r w:rsidR="0077147B">
        <w:rPr>
          <w:sz w:val="28"/>
          <w:szCs w:val="28"/>
        </w:rPr>
        <w:t>Respondents who choose to submit electronically will access Form DS-7789 through DDTC’s website (</w:t>
      </w:r>
      <w:hyperlink r:id="rId9" w:history="1">
        <w:r w:rsidR="0077147B" w:rsidRPr="003A6EE0">
          <w:rPr>
            <w:rStyle w:val="Hyperlink"/>
            <w:sz w:val="28"/>
            <w:szCs w:val="28"/>
          </w:rPr>
          <w:t>https://www.pmddtc.state.gov</w:t>
        </w:r>
      </w:hyperlink>
      <w:r w:rsidR="0077147B">
        <w:rPr>
          <w:sz w:val="28"/>
          <w:szCs w:val="28"/>
        </w:rPr>
        <w:t xml:space="preserve">). </w:t>
      </w:r>
      <w:r w:rsidR="0093003E">
        <w:rPr>
          <w:sz w:val="28"/>
          <w:szCs w:val="28"/>
        </w:rPr>
        <w:t xml:space="preserve"> </w:t>
      </w:r>
      <w:r w:rsidR="0077147B">
        <w:rPr>
          <w:sz w:val="28"/>
          <w:szCs w:val="28"/>
        </w:rPr>
        <w:t>Form DS-7789</w:t>
      </w:r>
      <w:r w:rsidR="00BE3D3B">
        <w:rPr>
          <w:sz w:val="28"/>
          <w:szCs w:val="28"/>
        </w:rPr>
        <w:t xml:space="preserve"> will </w:t>
      </w:r>
      <w:r>
        <w:rPr>
          <w:sz w:val="28"/>
          <w:szCs w:val="28"/>
        </w:rPr>
        <w:t xml:space="preserve">prompt the respondent to provide specific information depending on his or her role in the transaction and the responses provided.  </w:t>
      </w:r>
      <w:r w:rsidR="00F17D54">
        <w:rPr>
          <w:sz w:val="28"/>
          <w:szCs w:val="28"/>
        </w:rPr>
        <w:t xml:space="preserve">Note that the </w:t>
      </w:r>
      <w:r>
        <w:rPr>
          <w:sz w:val="28"/>
          <w:szCs w:val="28"/>
        </w:rPr>
        <w:t>forms</w:t>
      </w:r>
      <w:r w:rsidR="0077147B">
        <w:rPr>
          <w:sz w:val="28"/>
          <w:szCs w:val="28"/>
        </w:rPr>
        <w:t xml:space="preserve"> currently</w:t>
      </w:r>
      <w:r>
        <w:rPr>
          <w:sz w:val="28"/>
          <w:szCs w:val="28"/>
        </w:rPr>
        <w:t xml:space="preserve"> uploaded with this collection do not represent what</w:t>
      </w:r>
      <w:r w:rsidR="0079022C">
        <w:rPr>
          <w:sz w:val="28"/>
          <w:szCs w:val="28"/>
        </w:rPr>
        <w:t xml:space="preserve"> </w:t>
      </w:r>
      <w:r w:rsidR="0077147B">
        <w:rPr>
          <w:sz w:val="28"/>
          <w:szCs w:val="28"/>
        </w:rPr>
        <w:t xml:space="preserve">Form DS-7789 </w:t>
      </w:r>
      <w:r>
        <w:rPr>
          <w:sz w:val="28"/>
          <w:szCs w:val="28"/>
        </w:rPr>
        <w:t xml:space="preserve">will look like </w:t>
      </w:r>
      <w:r>
        <w:rPr>
          <w:sz w:val="28"/>
          <w:szCs w:val="28"/>
        </w:rPr>
        <w:lastRenderedPageBreak/>
        <w:t xml:space="preserve">electronically.  Rather, the included forms are meant to demonstrate </w:t>
      </w:r>
      <w:r w:rsidR="0077147B">
        <w:rPr>
          <w:sz w:val="28"/>
          <w:szCs w:val="28"/>
        </w:rPr>
        <w:t>Form DS-7789’s</w:t>
      </w:r>
      <w:r>
        <w:rPr>
          <w:sz w:val="28"/>
          <w:szCs w:val="28"/>
        </w:rPr>
        <w:t xml:space="preserve"> required and conditional fields.</w:t>
      </w:r>
      <w:r w:rsidR="00897C6C">
        <w:rPr>
          <w:sz w:val="28"/>
          <w:szCs w:val="28"/>
        </w:rPr>
        <w:t xml:space="preserve">  </w:t>
      </w:r>
    </w:p>
    <w:p w14:paraId="39BB0ADF" w14:textId="77777777" w:rsidR="0079022C" w:rsidRDefault="0079022C" w:rsidP="004134BF">
      <w:pPr>
        <w:spacing w:line="360" w:lineRule="auto"/>
        <w:rPr>
          <w:sz w:val="28"/>
          <w:szCs w:val="28"/>
        </w:rPr>
      </w:pPr>
    </w:p>
    <w:p w14:paraId="175E5AB1" w14:textId="5B743B00" w:rsidR="00110F1A" w:rsidRDefault="00897C6C" w:rsidP="004134BF">
      <w:pPr>
        <w:spacing w:line="360" w:lineRule="auto"/>
        <w:rPr>
          <w:sz w:val="28"/>
          <w:szCs w:val="28"/>
        </w:rPr>
      </w:pPr>
      <w:r>
        <w:rPr>
          <w:sz w:val="28"/>
          <w:szCs w:val="28"/>
        </w:rPr>
        <w:t xml:space="preserve">Respondents who wish to submit information in hard copy </w:t>
      </w:r>
      <w:r w:rsidR="00EB4520">
        <w:rPr>
          <w:sz w:val="28"/>
          <w:szCs w:val="28"/>
        </w:rPr>
        <w:t xml:space="preserve">should fill out and </w:t>
      </w:r>
      <w:r w:rsidR="005A7D28">
        <w:rPr>
          <w:sz w:val="28"/>
          <w:szCs w:val="28"/>
        </w:rPr>
        <w:t>submit</w:t>
      </w:r>
      <w:r w:rsidR="00EB4520">
        <w:rPr>
          <w:sz w:val="28"/>
          <w:szCs w:val="28"/>
        </w:rPr>
        <w:t xml:space="preserve"> the</w:t>
      </w:r>
      <w:r w:rsidR="0079022C">
        <w:rPr>
          <w:sz w:val="28"/>
          <w:szCs w:val="28"/>
        </w:rPr>
        <w:t xml:space="preserve"> </w:t>
      </w:r>
      <w:r w:rsidR="00EB4520">
        <w:rPr>
          <w:sz w:val="28"/>
          <w:szCs w:val="28"/>
        </w:rPr>
        <w:t>.</w:t>
      </w:r>
      <w:r w:rsidR="0079022C">
        <w:rPr>
          <w:sz w:val="28"/>
          <w:szCs w:val="28"/>
        </w:rPr>
        <w:t xml:space="preserve">pdf form </w:t>
      </w:r>
      <w:r w:rsidR="00EB4520">
        <w:rPr>
          <w:sz w:val="28"/>
          <w:szCs w:val="28"/>
        </w:rPr>
        <w:t>associated</w:t>
      </w:r>
      <w:r w:rsidR="0079022C">
        <w:rPr>
          <w:sz w:val="28"/>
          <w:szCs w:val="28"/>
        </w:rPr>
        <w:t xml:space="preserve"> with this </w:t>
      </w:r>
      <w:r w:rsidR="00EB4520">
        <w:rPr>
          <w:sz w:val="28"/>
          <w:szCs w:val="28"/>
        </w:rPr>
        <w:t>collection</w:t>
      </w:r>
      <w:r>
        <w:rPr>
          <w:sz w:val="28"/>
          <w:szCs w:val="28"/>
        </w:rPr>
        <w:t>.</w:t>
      </w:r>
      <w:r w:rsidR="00EB4520">
        <w:rPr>
          <w:sz w:val="28"/>
          <w:szCs w:val="28"/>
        </w:rPr>
        <w:t xml:space="preserve">  </w:t>
      </w:r>
    </w:p>
    <w:p w14:paraId="19C9EBB4" w14:textId="77777777" w:rsidR="00BE3D3B" w:rsidRPr="00820E94" w:rsidRDefault="00BE3D3B" w:rsidP="004134BF">
      <w:pPr>
        <w:spacing w:line="360" w:lineRule="auto"/>
        <w:rPr>
          <w:sz w:val="28"/>
          <w:szCs w:val="28"/>
        </w:rPr>
      </w:pPr>
    </w:p>
    <w:p w14:paraId="72642317" w14:textId="77777777" w:rsidR="00C02E14" w:rsidRPr="00C02E14" w:rsidRDefault="00C02E14" w:rsidP="004134BF">
      <w:pPr>
        <w:numPr>
          <w:ilvl w:val="0"/>
          <w:numId w:val="16"/>
        </w:numPr>
        <w:spacing w:after="120" w:line="360" w:lineRule="auto"/>
        <w:rPr>
          <w:sz w:val="28"/>
          <w:szCs w:val="28"/>
          <w:u w:val="single"/>
        </w:rPr>
      </w:pPr>
      <w:r w:rsidRPr="005B0F33">
        <w:rPr>
          <w:sz w:val="28"/>
          <w:szCs w:val="28"/>
          <w:u w:val="single"/>
        </w:rPr>
        <w:t>Does this collection duplicate any other collection of information?</w:t>
      </w:r>
    </w:p>
    <w:p w14:paraId="06A32D3C" w14:textId="77777777" w:rsidR="000C5C62" w:rsidRPr="005170AD" w:rsidRDefault="000A3566" w:rsidP="004134BF">
      <w:pPr>
        <w:spacing w:line="360" w:lineRule="auto"/>
        <w:rPr>
          <w:sz w:val="28"/>
          <w:szCs w:val="28"/>
        </w:rPr>
      </w:pPr>
      <w:r>
        <w:rPr>
          <w:sz w:val="28"/>
          <w:szCs w:val="28"/>
        </w:rPr>
        <w:t>DDTC is unaware of any information collections which duplicate this information.</w:t>
      </w:r>
    </w:p>
    <w:p w14:paraId="3D0AFE49" w14:textId="77777777" w:rsidR="000C5C62" w:rsidRPr="005170AD" w:rsidRDefault="000C5C62" w:rsidP="004134BF">
      <w:pPr>
        <w:spacing w:line="360" w:lineRule="auto"/>
        <w:rPr>
          <w:sz w:val="28"/>
          <w:szCs w:val="28"/>
        </w:rPr>
      </w:pPr>
    </w:p>
    <w:p w14:paraId="69CA05CB" w14:textId="77777777" w:rsidR="00C02E14" w:rsidRPr="00C02E14" w:rsidRDefault="000C5C62" w:rsidP="004134BF">
      <w:pPr>
        <w:numPr>
          <w:ilvl w:val="0"/>
          <w:numId w:val="16"/>
        </w:numPr>
        <w:spacing w:after="120" w:line="360" w:lineRule="auto"/>
        <w:rPr>
          <w:sz w:val="28"/>
          <w:szCs w:val="28"/>
          <w:u w:val="single"/>
        </w:rPr>
      </w:pPr>
      <w:r w:rsidRPr="005170AD">
        <w:rPr>
          <w:sz w:val="28"/>
          <w:szCs w:val="28"/>
        </w:rPr>
        <w:t xml:space="preserve"> </w:t>
      </w:r>
      <w:r w:rsidR="00C02E14" w:rsidRPr="005B0F33">
        <w:rPr>
          <w:sz w:val="28"/>
          <w:szCs w:val="28"/>
          <w:u w:val="single"/>
        </w:rPr>
        <w:t>Describe any impacts on small business.</w:t>
      </w:r>
      <w:r w:rsidRPr="00C02E14">
        <w:rPr>
          <w:sz w:val="28"/>
          <w:szCs w:val="28"/>
        </w:rPr>
        <w:tab/>
      </w:r>
    </w:p>
    <w:p w14:paraId="064D1D55" w14:textId="77777777" w:rsidR="00527F0D" w:rsidRPr="005170AD" w:rsidRDefault="000A3566" w:rsidP="004134BF">
      <w:pPr>
        <w:spacing w:line="360" w:lineRule="auto"/>
        <w:rPr>
          <w:sz w:val="28"/>
          <w:szCs w:val="28"/>
        </w:rPr>
      </w:pPr>
      <w:r>
        <w:rPr>
          <w:sz w:val="28"/>
          <w:szCs w:val="28"/>
        </w:rPr>
        <w:t>This information collection applies to</w:t>
      </w:r>
      <w:r w:rsidR="00FF780C">
        <w:rPr>
          <w:sz w:val="28"/>
          <w:szCs w:val="28"/>
        </w:rPr>
        <w:t xml:space="preserve"> all entities</w:t>
      </w:r>
      <w:r>
        <w:rPr>
          <w:sz w:val="28"/>
          <w:szCs w:val="28"/>
        </w:rPr>
        <w:t xml:space="preserve"> and individuals engaged in manufacturing</w:t>
      </w:r>
      <w:r w:rsidR="00FF780C">
        <w:rPr>
          <w:sz w:val="28"/>
          <w:szCs w:val="28"/>
        </w:rPr>
        <w:t>, brokering,</w:t>
      </w:r>
      <w:r>
        <w:rPr>
          <w:sz w:val="28"/>
          <w:szCs w:val="28"/>
        </w:rPr>
        <w:t xml:space="preserve"> and exporting </w:t>
      </w:r>
      <w:r w:rsidR="00AA01E3">
        <w:rPr>
          <w:sz w:val="28"/>
          <w:szCs w:val="28"/>
        </w:rPr>
        <w:t xml:space="preserve">of </w:t>
      </w:r>
      <w:r>
        <w:rPr>
          <w:sz w:val="28"/>
          <w:szCs w:val="28"/>
        </w:rPr>
        <w:t xml:space="preserve">defense </w:t>
      </w:r>
      <w:r w:rsidR="00AA01E3">
        <w:rPr>
          <w:sz w:val="28"/>
          <w:szCs w:val="28"/>
        </w:rPr>
        <w:t xml:space="preserve">articles </w:t>
      </w:r>
      <w:r>
        <w:rPr>
          <w:sz w:val="28"/>
          <w:szCs w:val="28"/>
        </w:rPr>
        <w:t>and defense services; therefore, this reporti</w:t>
      </w:r>
      <w:r w:rsidR="00FF780C">
        <w:rPr>
          <w:sz w:val="28"/>
          <w:szCs w:val="28"/>
        </w:rPr>
        <w:t>ng requirement applies to</w:t>
      </w:r>
      <w:r>
        <w:rPr>
          <w:sz w:val="28"/>
          <w:szCs w:val="28"/>
        </w:rPr>
        <w:t xml:space="preserve"> large and small businesses equally. </w:t>
      </w:r>
    </w:p>
    <w:p w14:paraId="576AFE86" w14:textId="77777777" w:rsidR="000C5C62" w:rsidRPr="005170AD" w:rsidRDefault="000C5C62" w:rsidP="004134BF">
      <w:pPr>
        <w:pStyle w:val="Header"/>
        <w:tabs>
          <w:tab w:val="clear" w:pos="4320"/>
          <w:tab w:val="clear" w:pos="8640"/>
        </w:tabs>
        <w:spacing w:line="360" w:lineRule="auto"/>
        <w:rPr>
          <w:sz w:val="28"/>
          <w:szCs w:val="28"/>
        </w:rPr>
      </w:pPr>
    </w:p>
    <w:p w14:paraId="3EB340CF" w14:textId="77777777" w:rsidR="00C02E14" w:rsidRPr="00C02E14" w:rsidRDefault="00C02E14" w:rsidP="004134BF">
      <w:pPr>
        <w:pStyle w:val="ListParagraph"/>
        <w:numPr>
          <w:ilvl w:val="0"/>
          <w:numId w:val="16"/>
        </w:numPr>
        <w:spacing w:line="360" w:lineRule="auto"/>
        <w:rPr>
          <w:sz w:val="28"/>
          <w:szCs w:val="28"/>
          <w:u w:val="single"/>
        </w:rPr>
      </w:pPr>
      <w:r w:rsidRPr="005B0F33">
        <w:rPr>
          <w:sz w:val="28"/>
          <w:szCs w:val="28"/>
          <w:u w:val="single"/>
        </w:rPr>
        <w:t>What are consequences if this collection is not done?</w:t>
      </w:r>
    </w:p>
    <w:p w14:paraId="7DCA0EC6" w14:textId="77777777" w:rsidR="000C5C62" w:rsidRPr="00820E94" w:rsidRDefault="001E5070" w:rsidP="004134BF">
      <w:pPr>
        <w:spacing w:line="360" w:lineRule="auto"/>
        <w:rPr>
          <w:sz w:val="28"/>
          <w:szCs w:val="28"/>
        </w:rPr>
      </w:pPr>
      <w:r>
        <w:rPr>
          <w:sz w:val="28"/>
          <w:szCs w:val="28"/>
        </w:rPr>
        <w:t xml:space="preserve">Absent this </w:t>
      </w:r>
      <w:r w:rsidR="002B2BF4">
        <w:rPr>
          <w:sz w:val="28"/>
          <w:szCs w:val="28"/>
        </w:rPr>
        <w:t>information collection</w:t>
      </w:r>
      <w:r>
        <w:rPr>
          <w:sz w:val="28"/>
          <w:szCs w:val="28"/>
        </w:rPr>
        <w:t xml:space="preserve">, it would be extremely difficult for DDTC to meet its legally mandated responsibilities to ensure oversight of defense </w:t>
      </w:r>
      <w:r w:rsidR="00AA01E3">
        <w:rPr>
          <w:sz w:val="28"/>
          <w:szCs w:val="28"/>
        </w:rPr>
        <w:t xml:space="preserve">manufacturing and </w:t>
      </w:r>
      <w:r>
        <w:rPr>
          <w:sz w:val="28"/>
          <w:szCs w:val="28"/>
        </w:rPr>
        <w:t>exports in furtherance of foreign policy objectives, national security interests, and world peace.</w:t>
      </w:r>
    </w:p>
    <w:p w14:paraId="4BA5D05E" w14:textId="77777777" w:rsidR="000C5C62" w:rsidRPr="00820E94" w:rsidRDefault="000C5C62" w:rsidP="004134BF">
      <w:pPr>
        <w:spacing w:line="360" w:lineRule="auto"/>
        <w:rPr>
          <w:sz w:val="28"/>
          <w:szCs w:val="28"/>
        </w:rPr>
      </w:pPr>
    </w:p>
    <w:p w14:paraId="33378B87" w14:textId="77777777" w:rsidR="00C02E14" w:rsidRPr="00C02E14" w:rsidRDefault="00C02E14" w:rsidP="004134BF">
      <w:pPr>
        <w:pStyle w:val="ListParagraph"/>
        <w:numPr>
          <w:ilvl w:val="0"/>
          <w:numId w:val="16"/>
        </w:numPr>
        <w:spacing w:line="360" w:lineRule="auto"/>
        <w:rPr>
          <w:sz w:val="28"/>
          <w:szCs w:val="28"/>
          <w:u w:val="single"/>
        </w:rPr>
      </w:pPr>
      <w:r w:rsidRPr="00C02E14">
        <w:rPr>
          <w:sz w:val="28"/>
          <w:szCs w:val="28"/>
          <w:u w:val="single"/>
        </w:rPr>
        <w:t>Are there any special collection circumstances (e.g. responding in less than 30 days, excessive record retention, or requiring submission of proprietary trade secrets)?</w:t>
      </w:r>
    </w:p>
    <w:p w14:paraId="74F08AAA" w14:textId="77777777" w:rsidR="000C5C62" w:rsidRDefault="00596F4E" w:rsidP="004134BF">
      <w:pPr>
        <w:spacing w:line="360" w:lineRule="auto"/>
        <w:rPr>
          <w:sz w:val="28"/>
          <w:szCs w:val="28"/>
        </w:rPr>
      </w:pPr>
      <w:r>
        <w:rPr>
          <w:sz w:val="28"/>
          <w:szCs w:val="28"/>
        </w:rPr>
        <w:t xml:space="preserve">ITAR </w:t>
      </w:r>
      <w:r w:rsidR="00FF780C">
        <w:rPr>
          <w:sz w:val="28"/>
          <w:szCs w:val="28"/>
        </w:rPr>
        <w:t>§</w:t>
      </w:r>
      <w:r w:rsidR="001301DE">
        <w:rPr>
          <w:sz w:val="28"/>
          <w:szCs w:val="28"/>
        </w:rPr>
        <w:t> </w:t>
      </w:r>
      <w:r w:rsidR="00FF780C">
        <w:rPr>
          <w:sz w:val="28"/>
          <w:szCs w:val="28"/>
        </w:rPr>
        <w:t xml:space="preserve">122.5 (OMB Control #1405-0111) </w:t>
      </w:r>
      <w:r>
        <w:rPr>
          <w:sz w:val="28"/>
          <w:szCs w:val="28"/>
        </w:rPr>
        <w:t xml:space="preserve">requires that companies or individuals registered with DDTC </w:t>
      </w:r>
      <w:r w:rsidR="00955E06">
        <w:rPr>
          <w:sz w:val="28"/>
          <w:szCs w:val="28"/>
        </w:rPr>
        <w:t xml:space="preserve">maintain records for a minimum period of five years from the expiration of </w:t>
      </w:r>
      <w:r>
        <w:rPr>
          <w:sz w:val="28"/>
          <w:szCs w:val="28"/>
        </w:rPr>
        <w:t xml:space="preserve">a license or written approval. </w:t>
      </w:r>
      <w:r w:rsidR="001F6F9A">
        <w:rPr>
          <w:sz w:val="28"/>
          <w:szCs w:val="28"/>
        </w:rPr>
        <w:t xml:space="preserve"> </w:t>
      </w:r>
      <w:r w:rsidR="00FF780C">
        <w:rPr>
          <w:sz w:val="28"/>
          <w:szCs w:val="28"/>
        </w:rPr>
        <w:t>In addition,</w:t>
      </w:r>
      <w:r w:rsidR="00A30946">
        <w:rPr>
          <w:sz w:val="28"/>
          <w:szCs w:val="28"/>
        </w:rPr>
        <w:t xml:space="preserve"> to comply with the </w:t>
      </w:r>
      <w:r w:rsidR="00A30946">
        <w:rPr>
          <w:sz w:val="28"/>
          <w:szCs w:val="28"/>
        </w:rPr>
        <w:lastRenderedPageBreak/>
        <w:t>requirements of ITAR §</w:t>
      </w:r>
      <w:r w:rsidR="005C0F76">
        <w:rPr>
          <w:sz w:val="28"/>
          <w:szCs w:val="28"/>
        </w:rPr>
        <w:t>§</w:t>
      </w:r>
      <w:r w:rsidR="001301DE">
        <w:rPr>
          <w:sz w:val="28"/>
          <w:szCs w:val="28"/>
        </w:rPr>
        <w:t> </w:t>
      </w:r>
      <w:r w:rsidR="00A30946">
        <w:rPr>
          <w:sz w:val="28"/>
          <w:szCs w:val="28"/>
        </w:rPr>
        <w:t>122.4</w:t>
      </w:r>
      <w:r w:rsidR="005C0F76">
        <w:rPr>
          <w:sz w:val="28"/>
          <w:szCs w:val="28"/>
        </w:rPr>
        <w:t xml:space="preserve"> and 129.8</w:t>
      </w:r>
      <w:r w:rsidR="00A30946">
        <w:rPr>
          <w:sz w:val="28"/>
          <w:szCs w:val="28"/>
        </w:rPr>
        <w:t xml:space="preserve">, companies and individuals may be required to submit proprietary or business-sensitive materials for DDTC to </w:t>
      </w:r>
      <w:r w:rsidR="0084635D">
        <w:rPr>
          <w:sz w:val="28"/>
          <w:szCs w:val="28"/>
        </w:rPr>
        <w:t>understand</w:t>
      </w:r>
      <w:r w:rsidR="00A30946">
        <w:rPr>
          <w:sz w:val="28"/>
          <w:szCs w:val="28"/>
        </w:rPr>
        <w:t xml:space="preserve"> </w:t>
      </w:r>
      <w:r w:rsidR="0084635D">
        <w:rPr>
          <w:sz w:val="28"/>
          <w:szCs w:val="28"/>
        </w:rPr>
        <w:t xml:space="preserve">the foreign policy and national security implications of </w:t>
      </w:r>
      <w:r w:rsidR="00FF780C">
        <w:rPr>
          <w:sz w:val="28"/>
          <w:szCs w:val="28"/>
        </w:rPr>
        <w:t>a proposed transaction or change in registration.</w:t>
      </w:r>
    </w:p>
    <w:p w14:paraId="4B0486AE" w14:textId="77777777" w:rsidR="00596F4E" w:rsidRDefault="00596F4E" w:rsidP="004134BF">
      <w:pPr>
        <w:spacing w:line="360" w:lineRule="auto"/>
        <w:rPr>
          <w:sz w:val="28"/>
          <w:szCs w:val="28"/>
        </w:rPr>
      </w:pPr>
    </w:p>
    <w:p w14:paraId="07AFA2D9" w14:textId="77777777" w:rsidR="00C02E14" w:rsidRPr="00820E94" w:rsidRDefault="00C02E14" w:rsidP="004134BF">
      <w:pPr>
        <w:spacing w:line="360" w:lineRule="auto"/>
        <w:rPr>
          <w:sz w:val="28"/>
          <w:szCs w:val="28"/>
        </w:rPr>
      </w:pPr>
    </w:p>
    <w:p w14:paraId="780705F1" w14:textId="77777777" w:rsidR="00C02E14" w:rsidRPr="00C02E14" w:rsidRDefault="00C02E14" w:rsidP="004134BF">
      <w:pPr>
        <w:pStyle w:val="ListParagraph"/>
        <w:numPr>
          <w:ilvl w:val="0"/>
          <w:numId w:val="16"/>
        </w:numPr>
        <w:spacing w:line="360" w:lineRule="auto"/>
        <w:rPr>
          <w:sz w:val="28"/>
          <w:szCs w:val="28"/>
        </w:rPr>
      </w:pPr>
      <w:r w:rsidRPr="00C02E14">
        <w:rPr>
          <w:sz w:val="28"/>
          <w:szCs w:val="28"/>
          <w:u w:val="single"/>
        </w:rPr>
        <w:t>Document the publication (or intent to publish) a request for public comments in the Federal Register.</w:t>
      </w:r>
    </w:p>
    <w:p w14:paraId="407BE7B6" w14:textId="77777777" w:rsidR="000C5C62" w:rsidRDefault="00BA1FFA" w:rsidP="004134BF">
      <w:pPr>
        <w:spacing w:line="360" w:lineRule="auto"/>
        <w:rPr>
          <w:sz w:val="28"/>
        </w:rPr>
      </w:pPr>
      <w:r w:rsidRPr="00FE0CCD">
        <w:rPr>
          <w:sz w:val="28"/>
          <w:szCs w:val="28"/>
        </w:rPr>
        <w:t xml:space="preserve">The </w:t>
      </w:r>
      <w:r w:rsidR="00611A76">
        <w:rPr>
          <w:sz w:val="28"/>
        </w:rPr>
        <w:t>Department</w:t>
      </w:r>
      <w:r w:rsidR="001D3450">
        <w:rPr>
          <w:sz w:val="28"/>
        </w:rPr>
        <w:t xml:space="preserve"> publish</w:t>
      </w:r>
      <w:r w:rsidR="00611A76">
        <w:rPr>
          <w:sz w:val="28"/>
        </w:rPr>
        <w:t>ed</w:t>
      </w:r>
      <w:r w:rsidR="001D3450">
        <w:rPr>
          <w:sz w:val="28"/>
        </w:rPr>
        <w:t xml:space="preserve"> a </w:t>
      </w:r>
      <w:r w:rsidR="00611A76">
        <w:rPr>
          <w:i/>
          <w:sz w:val="28"/>
        </w:rPr>
        <w:t>Federal Register</w:t>
      </w:r>
      <w:r w:rsidR="00611A76">
        <w:rPr>
          <w:sz w:val="28"/>
        </w:rPr>
        <w:t xml:space="preserve"> </w:t>
      </w:r>
      <w:r w:rsidR="001D3450">
        <w:rPr>
          <w:sz w:val="28"/>
        </w:rPr>
        <w:t xml:space="preserve">notification </w:t>
      </w:r>
      <w:r w:rsidR="00611A76">
        <w:rPr>
          <w:sz w:val="28"/>
        </w:rPr>
        <w:t xml:space="preserve">on July 20, 2016 </w:t>
      </w:r>
      <w:r w:rsidR="001D3450">
        <w:rPr>
          <w:sz w:val="28"/>
        </w:rPr>
        <w:t>requesting public comment</w:t>
      </w:r>
      <w:r w:rsidR="00611A76">
        <w:rPr>
          <w:sz w:val="28"/>
        </w:rPr>
        <w:t xml:space="preserve"> on this information collection (81 FR 39992). </w:t>
      </w:r>
      <w:r w:rsidR="001F6F9A">
        <w:rPr>
          <w:sz w:val="28"/>
        </w:rPr>
        <w:t xml:space="preserve"> </w:t>
      </w:r>
      <w:r w:rsidR="00611A76">
        <w:rPr>
          <w:sz w:val="28"/>
        </w:rPr>
        <w:t xml:space="preserve">Nine comments were received, one of which was not germane to the information collection. </w:t>
      </w:r>
      <w:r w:rsidR="001F6F9A">
        <w:rPr>
          <w:sz w:val="28"/>
        </w:rPr>
        <w:t xml:space="preserve"> </w:t>
      </w:r>
      <w:r w:rsidR="00611A76">
        <w:rPr>
          <w:sz w:val="28"/>
        </w:rPr>
        <w:t xml:space="preserve">The remaining eight comments provided significant feedback on the proposed form and instructions, summarized </w:t>
      </w:r>
      <w:r w:rsidR="003C52C1">
        <w:rPr>
          <w:sz w:val="28"/>
        </w:rPr>
        <w:t>below</w:t>
      </w:r>
      <w:r w:rsidR="00611A76">
        <w:rPr>
          <w:sz w:val="28"/>
        </w:rPr>
        <w:t>:</w:t>
      </w:r>
    </w:p>
    <w:p w14:paraId="6C750004" w14:textId="77777777" w:rsidR="00611A76" w:rsidRPr="001D3450" w:rsidRDefault="00611A76" w:rsidP="004134BF">
      <w:pPr>
        <w:spacing w:line="360" w:lineRule="auto"/>
        <w:rPr>
          <w:sz w:val="28"/>
          <w:szCs w:val="28"/>
        </w:rPr>
      </w:pPr>
    </w:p>
    <w:p w14:paraId="5F8E7D8E" w14:textId="79009390" w:rsidR="00611A76" w:rsidRDefault="00611A76" w:rsidP="004134BF">
      <w:pPr>
        <w:spacing w:line="360" w:lineRule="auto"/>
        <w:rPr>
          <w:bCs/>
          <w:iCs/>
          <w:sz w:val="28"/>
          <w:szCs w:val="28"/>
        </w:rPr>
      </w:pPr>
      <w:r w:rsidRPr="00611A76">
        <w:rPr>
          <w:bCs/>
          <w:iCs/>
          <w:sz w:val="28"/>
          <w:szCs w:val="28"/>
        </w:rPr>
        <w:t xml:space="preserve">One commenter remarked that the proposed 2-hour burden for the DS-7789 is low and should be revised. </w:t>
      </w:r>
      <w:r w:rsidR="001F6F9A">
        <w:rPr>
          <w:bCs/>
          <w:iCs/>
          <w:sz w:val="28"/>
          <w:szCs w:val="28"/>
        </w:rPr>
        <w:t xml:space="preserve"> </w:t>
      </w:r>
      <w:r w:rsidRPr="00611A76">
        <w:rPr>
          <w:bCs/>
          <w:iCs/>
          <w:sz w:val="28"/>
          <w:szCs w:val="28"/>
        </w:rPr>
        <w:t>DDTC replies that the burden is an average of all submissions using the DS-7789, and while some responses will require a longer period based on the complexity of a transaction, many will be far below the declared burden for the form.</w:t>
      </w:r>
      <w:r w:rsidR="004D7A48">
        <w:rPr>
          <w:bCs/>
          <w:iCs/>
          <w:sz w:val="28"/>
          <w:szCs w:val="28"/>
        </w:rPr>
        <w:t xml:space="preserve"> </w:t>
      </w:r>
      <w:r w:rsidR="001F6F9A">
        <w:rPr>
          <w:bCs/>
          <w:iCs/>
          <w:sz w:val="28"/>
          <w:szCs w:val="28"/>
        </w:rPr>
        <w:t xml:space="preserve"> </w:t>
      </w:r>
      <w:r w:rsidR="004D7A48">
        <w:rPr>
          <w:bCs/>
          <w:iCs/>
          <w:sz w:val="28"/>
          <w:szCs w:val="28"/>
        </w:rPr>
        <w:t xml:space="preserve">Additionally, where the applicant is already a registrant some fields will pre-populate based on prior submissions. </w:t>
      </w:r>
      <w:r w:rsidR="001F6F9A">
        <w:rPr>
          <w:bCs/>
          <w:iCs/>
          <w:sz w:val="28"/>
          <w:szCs w:val="28"/>
        </w:rPr>
        <w:t xml:space="preserve"> </w:t>
      </w:r>
      <w:r w:rsidRPr="00611A76">
        <w:rPr>
          <w:bCs/>
          <w:iCs/>
          <w:sz w:val="28"/>
          <w:szCs w:val="28"/>
        </w:rPr>
        <w:t>DDTC therefore believes that a 2-hour burden is accurate for this form.</w:t>
      </w:r>
    </w:p>
    <w:p w14:paraId="7873A432" w14:textId="77777777" w:rsidR="00611A76" w:rsidRPr="00611A76" w:rsidRDefault="00611A76" w:rsidP="004134BF">
      <w:pPr>
        <w:spacing w:line="360" w:lineRule="auto"/>
        <w:rPr>
          <w:bCs/>
          <w:iCs/>
          <w:sz w:val="28"/>
          <w:szCs w:val="28"/>
        </w:rPr>
      </w:pPr>
    </w:p>
    <w:p w14:paraId="076F1CC9" w14:textId="77777777" w:rsidR="00611A76" w:rsidRDefault="00611A76" w:rsidP="004134BF">
      <w:pPr>
        <w:spacing w:line="360" w:lineRule="auto"/>
        <w:rPr>
          <w:bCs/>
          <w:iCs/>
          <w:sz w:val="28"/>
          <w:szCs w:val="28"/>
        </w:rPr>
      </w:pPr>
      <w:r w:rsidRPr="00861171">
        <w:rPr>
          <w:bCs/>
          <w:iCs/>
          <w:sz w:val="28"/>
          <w:szCs w:val="28"/>
        </w:rPr>
        <w:t xml:space="preserve">Another comment centered on the name of the form itself, “Statement of Material Change, Merger, Acquisition, or Divestiture of a Registered Party.” </w:t>
      </w:r>
      <w:r w:rsidR="001F6F9A">
        <w:rPr>
          <w:bCs/>
          <w:iCs/>
          <w:sz w:val="28"/>
          <w:szCs w:val="28"/>
        </w:rPr>
        <w:t xml:space="preserve"> </w:t>
      </w:r>
      <w:r w:rsidRPr="00861171">
        <w:rPr>
          <w:bCs/>
          <w:iCs/>
          <w:sz w:val="28"/>
          <w:szCs w:val="28"/>
        </w:rPr>
        <w:t>The commenter was concerned that the term “material change” is inconsistent with current business usage and the use of this form could potentially affect the market value of the submitting company.</w:t>
      </w:r>
      <w:r w:rsidR="00E21608" w:rsidRPr="00E21608">
        <w:t xml:space="preserve"> </w:t>
      </w:r>
      <w:r w:rsidR="001F6F9A">
        <w:t xml:space="preserve"> </w:t>
      </w:r>
      <w:r w:rsidRPr="00861171">
        <w:rPr>
          <w:bCs/>
          <w:iCs/>
          <w:sz w:val="28"/>
          <w:szCs w:val="28"/>
        </w:rPr>
        <w:t>While DDTC understands these concerns,</w:t>
      </w:r>
      <w:r w:rsidR="007E45A6" w:rsidRPr="00861171">
        <w:rPr>
          <w:bCs/>
          <w:iCs/>
          <w:sz w:val="28"/>
          <w:szCs w:val="28"/>
        </w:rPr>
        <w:t xml:space="preserve"> the changes that </w:t>
      </w:r>
      <w:r w:rsidR="00BB5907">
        <w:rPr>
          <w:bCs/>
          <w:iCs/>
          <w:sz w:val="28"/>
          <w:szCs w:val="28"/>
        </w:rPr>
        <w:t xml:space="preserve">require notification, and </w:t>
      </w:r>
      <w:r w:rsidR="007E45A6" w:rsidRPr="00861171">
        <w:rPr>
          <w:bCs/>
          <w:iCs/>
          <w:sz w:val="28"/>
          <w:szCs w:val="28"/>
        </w:rPr>
        <w:t xml:space="preserve">are </w:t>
      </w:r>
      <w:r w:rsidR="00BB5907">
        <w:rPr>
          <w:bCs/>
          <w:iCs/>
          <w:sz w:val="28"/>
          <w:szCs w:val="28"/>
        </w:rPr>
        <w:t>therefore “</w:t>
      </w:r>
      <w:r w:rsidR="007E45A6" w:rsidRPr="00861171">
        <w:rPr>
          <w:bCs/>
          <w:iCs/>
          <w:sz w:val="28"/>
          <w:szCs w:val="28"/>
        </w:rPr>
        <w:t>material</w:t>
      </w:r>
      <w:r w:rsidR="00BB5907">
        <w:rPr>
          <w:bCs/>
          <w:iCs/>
          <w:sz w:val="28"/>
          <w:szCs w:val="28"/>
        </w:rPr>
        <w:t xml:space="preserve"> changes”</w:t>
      </w:r>
      <w:r w:rsidR="007E45A6" w:rsidRPr="00861171">
        <w:rPr>
          <w:bCs/>
          <w:iCs/>
          <w:sz w:val="28"/>
          <w:szCs w:val="28"/>
        </w:rPr>
        <w:t xml:space="preserve"> for ITAR purposes</w:t>
      </w:r>
      <w:r w:rsidR="00BB5907">
        <w:rPr>
          <w:bCs/>
          <w:iCs/>
          <w:sz w:val="28"/>
          <w:szCs w:val="28"/>
        </w:rPr>
        <w:t>,</w:t>
      </w:r>
      <w:r w:rsidR="007E45A6" w:rsidRPr="00861171">
        <w:rPr>
          <w:bCs/>
          <w:iCs/>
          <w:sz w:val="28"/>
          <w:szCs w:val="28"/>
        </w:rPr>
        <w:t xml:space="preserve"> are defined in the regulations (see ITAR § 122.4). </w:t>
      </w:r>
      <w:r w:rsidR="001F6F9A">
        <w:rPr>
          <w:bCs/>
          <w:iCs/>
          <w:sz w:val="28"/>
          <w:szCs w:val="28"/>
        </w:rPr>
        <w:t xml:space="preserve"> </w:t>
      </w:r>
      <w:r w:rsidR="004D7A48" w:rsidRPr="00861171">
        <w:rPr>
          <w:bCs/>
          <w:iCs/>
          <w:sz w:val="28"/>
          <w:szCs w:val="28"/>
        </w:rPr>
        <w:t xml:space="preserve">Therefore the title of the </w:t>
      </w:r>
      <w:r w:rsidRPr="00861171">
        <w:rPr>
          <w:bCs/>
          <w:iCs/>
          <w:sz w:val="28"/>
          <w:szCs w:val="28"/>
        </w:rPr>
        <w:t>form will remain the same.</w:t>
      </w:r>
      <w:r w:rsidRPr="00611A76">
        <w:rPr>
          <w:bCs/>
          <w:iCs/>
          <w:sz w:val="28"/>
          <w:szCs w:val="28"/>
        </w:rPr>
        <w:t xml:space="preserve">  </w:t>
      </w:r>
    </w:p>
    <w:p w14:paraId="4CAFFFFE" w14:textId="77777777" w:rsidR="00611A76" w:rsidRPr="00611A76" w:rsidRDefault="00611A76" w:rsidP="004134BF">
      <w:pPr>
        <w:spacing w:line="360" w:lineRule="auto"/>
        <w:rPr>
          <w:bCs/>
          <w:iCs/>
          <w:sz w:val="28"/>
          <w:szCs w:val="28"/>
        </w:rPr>
      </w:pPr>
    </w:p>
    <w:p w14:paraId="16FC9D3A" w14:textId="1A82D556" w:rsidR="00611A76" w:rsidRDefault="00611A76" w:rsidP="004134BF">
      <w:pPr>
        <w:spacing w:line="360" w:lineRule="auto"/>
        <w:rPr>
          <w:bCs/>
          <w:iCs/>
          <w:sz w:val="28"/>
          <w:szCs w:val="28"/>
        </w:rPr>
      </w:pPr>
      <w:r w:rsidRPr="00611A76">
        <w:rPr>
          <w:bCs/>
          <w:iCs/>
          <w:sz w:val="28"/>
          <w:szCs w:val="28"/>
        </w:rPr>
        <w:t xml:space="preserve">Multiple commenters opined that the form, currently formatted in four separate sheets, is difficult to follow. </w:t>
      </w:r>
      <w:r w:rsidR="001F6F9A">
        <w:rPr>
          <w:bCs/>
          <w:iCs/>
          <w:sz w:val="28"/>
          <w:szCs w:val="28"/>
        </w:rPr>
        <w:t xml:space="preserve"> </w:t>
      </w:r>
      <w:r w:rsidRPr="00611A76">
        <w:rPr>
          <w:bCs/>
          <w:iCs/>
          <w:sz w:val="28"/>
          <w:szCs w:val="28"/>
        </w:rPr>
        <w:t xml:space="preserve">DDTC notes that the form as currently written serves as a “placeholder” for a new case management system that is in development, and the focus throughout the form’s creation has been to finalize discrete data fields and workflows more than format. </w:t>
      </w:r>
      <w:r w:rsidR="001F6F9A">
        <w:rPr>
          <w:bCs/>
          <w:iCs/>
          <w:sz w:val="28"/>
          <w:szCs w:val="28"/>
        </w:rPr>
        <w:t xml:space="preserve"> </w:t>
      </w:r>
      <w:r w:rsidRPr="00611A76">
        <w:rPr>
          <w:bCs/>
          <w:iCs/>
          <w:sz w:val="28"/>
          <w:szCs w:val="28"/>
        </w:rPr>
        <w:t xml:space="preserve">The data fields on the form will be used as the basis for workflows which will guide users through questions based on their previous responses; not all users will see all fields during each submission. </w:t>
      </w:r>
      <w:r w:rsidR="001F6F9A">
        <w:rPr>
          <w:bCs/>
          <w:iCs/>
          <w:sz w:val="28"/>
          <w:szCs w:val="28"/>
        </w:rPr>
        <w:t xml:space="preserve"> </w:t>
      </w:r>
      <w:r w:rsidRPr="00611A76">
        <w:rPr>
          <w:bCs/>
          <w:iCs/>
          <w:sz w:val="28"/>
          <w:szCs w:val="28"/>
        </w:rPr>
        <w:t xml:space="preserve">Similarly, information previously provided to the Directorate via the DS-2032, Statement of Registration, will auto-populate into the DS-7789, saving respondents the burden of re-keying their basic information multiple times. </w:t>
      </w:r>
    </w:p>
    <w:p w14:paraId="74286766" w14:textId="77777777" w:rsidR="00611A76" w:rsidRPr="00611A76" w:rsidRDefault="00611A76" w:rsidP="004134BF">
      <w:pPr>
        <w:spacing w:line="360" w:lineRule="auto"/>
        <w:rPr>
          <w:bCs/>
          <w:iCs/>
          <w:sz w:val="28"/>
          <w:szCs w:val="28"/>
        </w:rPr>
      </w:pPr>
    </w:p>
    <w:p w14:paraId="4D13B023" w14:textId="77777777" w:rsidR="00611A76" w:rsidRPr="00611A76" w:rsidRDefault="00611A76" w:rsidP="004134BF">
      <w:pPr>
        <w:spacing w:line="360" w:lineRule="auto"/>
        <w:rPr>
          <w:bCs/>
          <w:iCs/>
          <w:sz w:val="28"/>
          <w:szCs w:val="28"/>
        </w:rPr>
      </w:pPr>
      <w:r w:rsidRPr="00611A76">
        <w:rPr>
          <w:bCs/>
          <w:iCs/>
          <w:sz w:val="28"/>
          <w:szCs w:val="28"/>
        </w:rPr>
        <w:t>Relatedly, many commenters noted that Block 1 of the form, currently named “Applicant Information</w:t>
      </w:r>
      <w:r w:rsidR="00C46D7B">
        <w:rPr>
          <w:bCs/>
          <w:iCs/>
          <w:sz w:val="28"/>
          <w:szCs w:val="28"/>
        </w:rPr>
        <w:t>,</w:t>
      </w:r>
      <w:r w:rsidRPr="00611A76">
        <w:rPr>
          <w:bCs/>
          <w:iCs/>
          <w:sz w:val="28"/>
          <w:szCs w:val="28"/>
        </w:rPr>
        <w:t>” should be changed to “Registrant Information”</w:t>
      </w:r>
      <w:r w:rsidR="00473E6D">
        <w:rPr>
          <w:bCs/>
          <w:iCs/>
          <w:sz w:val="28"/>
          <w:szCs w:val="28"/>
        </w:rPr>
        <w:t xml:space="preserve"> to avoid confusing nomenclature.</w:t>
      </w:r>
      <w:r w:rsidRPr="00611A76">
        <w:rPr>
          <w:bCs/>
          <w:iCs/>
          <w:sz w:val="28"/>
          <w:szCs w:val="28"/>
        </w:rPr>
        <w:t xml:space="preserve"> </w:t>
      </w:r>
      <w:r w:rsidR="001F6F9A">
        <w:rPr>
          <w:bCs/>
          <w:iCs/>
          <w:sz w:val="28"/>
          <w:szCs w:val="28"/>
        </w:rPr>
        <w:t xml:space="preserve"> </w:t>
      </w:r>
      <w:r w:rsidRPr="00611A76">
        <w:rPr>
          <w:bCs/>
          <w:iCs/>
          <w:sz w:val="28"/>
          <w:szCs w:val="28"/>
        </w:rPr>
        <w:t>DDTC notes that th</w:t>
      </w:r>
      <w:r w:rsidR="00473E6D">
        <w:rPr>
          <w:bCs/>
          <w:iCs/>
          <w:sz w:val="28"/>
          <w:szCs w:val="28"/>
        </w:rPr>
        <w:t>e</w:t>
      </w:r>
      <w:r w:rsidRPr="00611A76">
        <w:rPr>
          <w:bCs/>
          <w:iCs/>
          <w:sz w:val="28"/>
          <w:szCs w:val="28"/>
        </w:rPr>
        <w:t xml:space="preserve"> </w:t>
      </w:r>
      <w:r w:rsidR="00473E6D">
        <w:rPr>
          <w:bCs/>
          <w:iCs/>
          <w:sz w:val="28"/>
          <w:szCs w:val="28"/>
        </w:rPr>
        <w:t xml:space="preserve">title of this block </w:t>
      </w:r>
      <w:r w:rsidRPr="00611A76">
        <w:rPr>
          <w:bCs/>
          <w:iCs/>
          <w:sz w:val="28"/>
          <w:szCs w:val="28"/>
        </w:rPr>
        <w:t>is a field designator only, a</w:t>
      </w:r>
      <w:r w:rsidR="00473E6D">
        <w:rPr>
          <w:bCs/>
          <w:iCs/>
          <w:sz w:val="28"/>
          <w:szCs w:val="28"/>
        </w:rPr>
        <w:t>s</w:t>
      </w:r>
      <w:r w:rsidRPr="00611A76">
        <w:rPr>
          <w:bCs/>
          <w:iCs/>
          <w:sz w:val="28"/>
          <w:szCs w:val="28"/>
        </w:rPr>
        <w:t xml:space="preserve"> the word “Applicant” </w:t>
      </w:r>
      <w:r w:rsidR="0084635D">
        <w:rPr>
          <w:bCs/>
          <w:iCs/>
          <w:sz w:val="28"/>
          <w:szCs w:val="28"/>
        </w:rPr>
        <w:t>will be</w:t>
      </w:r>
      <w:r w:rsidR="0084635D" w:rsidRPr="00611A76">
        <w:rPr>
          <w:bCs/>
          <w:iCs/>
          <w:sz w:val="28"/>
          <w:szCs w:val="28"/>
        </w:rPr>
        <w:t xml:space="preserve"> </w:t>
      </w:r>
      <w:r w:rsidRPr="00611A76">
        <w:rPr>
          <w:bCs/>
          <w:iCs/>
          <w:sz w:val="28"/>
          <w:szCs w:val="28"/>
        </w:rPr>
        <w:t xml:space="preserve">used throughout the case management system to collate data fields for interoperability. </w:t>
      </w:r>
      <w:r w:rsidR="001F6F9A">
        <w:rPr>
          <w:bCs/>
          <w:iCs/>
          <w:sz w:val="28"/>
          <w:szCs w:val="28"/>
        </w:rPr>
        <w:t xml:space="preserve"> </w:t>
      </w:r>
      <w:r w:rsidR="00473E6D">
        <w:rPr>
          <w:bCs/>
          <w:iCs/>
          <w:sz w:val="28"/>
          <w:szCs w:val="28"/>
        </w:rPr>
        <w:t>The title of the field</w:t>
      </w:r>
      <w:r w:rsidRPr="00611A76">
        <w:rPr>
          <w:bCs/>
          <w:iCs/>
          <w:sz w:val="28"/>
          <w:szCs w:val="28"/>
        </w:rPr>
        <w:t xml:space="preserve"> has no bearing on the role of the submitter of the DS-7789</w:t>
      </w:r>
      <w:r w:rsidR="00473E6D">
        <w:rPr>
          <w:bCs/>
          <w:iCs/>
          <w:sz w:val="28"/>
          <w:szCs w:val="28"/>
        </w:rPr>
        <w:t xml:space="preserve"> and is not intended </w:t>
      </w:r>
      <w:r w:rsidR="00C46D7B">
        <w:rPr>
          <w:bCs/>
          <w:iCs/>
          <w:sz w:val="28"/>
          <w:szCs w:val="28"/>
        </w:rPr>
        <w:t>to imply that the submitter is “applying” to declare a material change</w:t>
      </w:r>
      <w:r w:rsidRPr="00611A76">
        <w:rPr>
          <w:bCs/>
          <w:iCs/>
          <w:sz w:val="28"/>
          <w:szCs w:val="28"/>
        </w:rPr>
        <w:t>.</w:t>
      </w:r>
      <w:r w:rsidR="00AE3BAA">
        <w:rPr>
          <w:bCs/>
          <w:iCs/>
          <w:sz w:val="28"/>
          <w:szCs w:val="28"/>
        </w:rPr>
        <w:t xml:space="preserve"> </w:t>
      </w:r>
      <w:r w:rsidR="001F6F9A">
        <w:rPr>
          <w:bCs/>
          <w:iCs/>
          <w:sz w:val="28"/>
          <w:szCs w:val="28"/>
        </w:rPr>
        <w:t xml:space="preserve"> </w:t>
      </w:r>
      <w:r w:rsidR="00AE3BAA">
        <w:rPr>
          <w:bCs/>
          <w:iCs/>
          <w:sz w:val="28"/>
          <w:szCs w:val="28"/>
        </w:rPr>
        <w:t>Rather, this was done in order for the electronic system to recognize the information in this block as duplicative of information that might be contained</w:t>
      </w:r>
      <w:r w:rsidR="005B5FD1">
        <w:rPr>
          <w:bCs/>
          <w:iCs/>
          <w:sz w:val="28"/>
          <w:szCs w:val="28"/>
        </w:rPr>
        <w:t xml:space="preserve"> elsewhere</w:t>
      </w:r>
      <w:r w:rsidR="00AE3BAA">
        <w:rPr>
          <w:bCs/>
          <w:iCs/>
          <w:sz w:val="28"/>
          <w:szCs w:val="28"/>
        </w:rPr>
        <w:t xml:space="preserve"> in the user’s system profile.</w:t>
      </w:r>
    </w:p>
    <w:p w14:paraId="075900C4" w14:textId="77777777" w:rsidR="002427D8" w:rsidRDefault="002427D8" w:rsidP="004134BF">
      <w:pPr>
        <w:spacing w:line="360" w:lineRule="auto"/>
        <w:rPr>
          <w:bCs/>
          <w:iCs/>
          <w:sz w:val="28"/>
          <w:szCs w:val="28"/>
        </w:rPr>
      </w:pPr>
    </w:p>
    <w:p w14:paraId="7C7F0EB4" w14:textId="77777777" w:rsidR="00611A76" w:rsidRDefault="00611A76" w:rsidP="004134BF">
      <w:pPr>
        <w:spacing w:line="360" w:lineRule="auto"/>
        <w:rPr>
          <w:bCs/>
          <w:iCs/>
          <w:sz w:val="28"/>
          <w:szCs w:val="28"/>
        </w:rPr>
      </w:pPr>
      <w:r w:rsidRPr="00611A76">
        <w:rPr>
          <w:bCs/>
          <w:iCs/>
          <w:sz w:val="28"/>
          <w:szCs w:val="28"/>
        </w:rPr>
        <w:t xml:space="preserve">DDTC believes that many of the usability issues identified by the commenters will be resolved through the guided nature of the case management system. </w:t>
      </w:r>
      <w:r w:rsidR="001F6F9A">
        <w:rPr>
          <w:bCs/>
          <w:iCs/>
          <w:sz w:val="28"/>
          <w:szCs w:val="28"/>
        </w:rPr>
        <w:t xml:space="preserve"> </w:t>
      </w:r>
      <w:r w:rsidRPr="00611A76">
        <w:rPr>
          <w:bCs/>
          <w:iCs/>
          <w:sz w:val="28"/>
          <w:szCs w:val="28"/>
        </w:rPr>
        <w:t xml:space="preserve">For instance, some comments noted that the .pdf version of the DS-7789 lacked functionality to add additional supporting documentation and that text fields did not expand to accommodate easier editing. </w:t>
      </w:r>
      <w:r w:rsidR="001F6F9A">
        <w:rPr>
          <w:bCs/>
          <w:iCs/>
          <w:sz w:val="28"/>
          <w:szCs w:val="28"/>
        </w:rPr>
        <w:t xml:space="preserve"> </w:t>
      </w:r>
      <w:r w:rsidRPr="00611A76">
        <w:rPr>
          <w:bCs/>
          <w:iCs/>
          <w:sz w:val="28"/>
          <w:szCs w:val="28"/>
        </w:rPr>
        <w:t xml:space="preserve">DDTC notes that the case management system will have fully functional “add” capability as well as unlimited-character text boxes which will allow for easy editing of responses. </w:t>
      </w:r>
      <w:r w:rsidR="001F6F9A">
        <w:rPr>
          <w:bCs/>
          <w:iCs/>
          <w:sz w:val="28"/>
          <w:szCs w:val="28"/>
        </w:rPr>
        <w:t xml:space="preserve"> </w:t>
      </w:r>
      <w:r w:rsidRPr="00611A76">
        <w:rPr>
          <w:bCs/>
          <w:iCs/>
          <w:sz w:val="28"/>
          <w:szCs w:val="28"/>
        </w:rPr>
        <w:t xml:space="preserve">To this point, some commenters also noted that uploading information on each authorization (licenses and agreements) that will transfer ownership through a </w:t>
      </w:r>
      <w:r w:rsidR="00DF6D84">
        <w:rPr>
          <w:bCs/>
          <w:iCs/>
          <w:sz w:val="28"/>
          <w:szCs w:val="28"/>
        </w:rPr>
        <w:t>merger, acquisition, or divestiture (“MAD”)</w:t>
      </w:r>
      <w:r w:rsidRPr="00611A76">
        <w:rPr>
          <w:bCs/>
          <w:iCs/>
          <w:sz w:val="28"/>
          <w:szCs w:val="28"/>
        </w:rPr>
        <w:t xml:space="preserve"> event is unduly burdensome and that respondents should have the ability to upload documentation in lieu of keying such information into the system. </w:t>
      </w:r>
      <w:r w:rsidR="001F6F9A">
        <w:rPr>
          <w:bCs/>
          <w:iCs/>
          <w:sz w:val="28"/>
          <w:szCs w:val="28"/>
        </w:rPr>
        <w:t xml:space="preserve"> </w:t>
      </w:r>
      <w:r w:rsidRPr="00611A76">
        <w:rPr>
          <w:bCs/>
          <w:iCs/>
          <w:sz w:val="28"/>
          <w:szCs w:val="28"/>
        </w:rPr>
        <w:t>DDTC replies that the case management system will automatically populate this field from the registrant’s information; users will then have the ability to select which authorizations will transfer under the proposed merger, acquisition, or divestiture instead of keying information on each authorization.</w:t>
      </w:r>
    </w:p>
    <w:p w14:paraId="316415BD" w14:textId="77777777" w:rsidR="00611A76" w:rsidRPr="00611A76" w:rsidRDefault="00611A76" w:rsidP="004134BF">
      <w:pPr>
        <w:spacing w:line="360" w:lineRule="auto"/>
        <w:rPr>
          <w:bCs/>
          <w:iCs/>
          <w:sz w:val="28"/>
          <w:szCs w:val="28"/>
        </w:rPr>
      </w:pPr>
    </w:p>
    <w:p w14:paraId="67A2C15C" w14:textId="77777777" w:rsidR="00611A76" w:rsidRDefault="00611A76" w:rsidP="004134BF">
      <w:pPr>
        <w:spacing w:line="360" w:lineRule="auto"/>
        <w:rPr>
          <w:bCs/>
          <w:iCs/>
          <w:sz w:val="28"/>
          <w:szCs w:val="28"/>
        </w:rPr>
      </w:pPr>
      <w:r w:rsidRPr="00611A76">
        <w:rPr>
          <w:bCs/>
          <w:iCs/>
          <w:sz w:val="28"/>
          <w:szCs w:val="28"/>
        </w:rPr>
        <w:t xml:space="preserve">One commenter noted that DDTC has historically provided a limited period for an acquired entity’s registration to remain current after the date of the transaction to allow for the shipment of unshipped balances on authorizations which are transferring to the new or acquiring entity, but that this practice is not reflected on the DS-7789. </w:t>
      </w:r>
      <w:r w:rsidR="001F6F9A">
        <w:rPr>
          <w:bCs/>
          <w:iCs/>
          <w:sz w:val="28"/>
          <w:szCs w:val="28"/>
        </w:rPr>
        <w:t xml:space="preserve"> </w:t>
      </w:r>
      <w:r w:rsidRPr="00611A76">
        <w:rPr>
          <w:bCs/>
          <w:iCs/>
          <w:sz w:val="28"/>
          <w:szCs w:val="28"/>
        </w:rPr>
        <w:t xml:space="preserve">DDTC replies that this practice stemmed from paper-based reporting and was used to allow companies to continue exporting goods under approved licenses while the authorizations were manually updated within DDTC. </w:t>
      </w:r>
      <w:r w:rsidR="001F6F9A">
        <w:rPr>
          <w:bCs/>
          <w:iCs/>
          <w:sz w:val="28"/>
          <w:szCs w:val="28"/>
        </w:rPr>
        <w:t xml:space="preserve"> </w:t>
      </w:r>
      <w:r w:rsidRPr="00611A76">
        <w:rPr>
          <w:bCs/>
          <w:iCs/>
          <w:sz w:val="28"/>
          <w:szCs w:val="28"/>
        </w:rPr>
        <w:t>Because of the automated nature of the DS-7789, authorizations will be rapidly transferred from one entity to another and therefore the “grace period” will no longer be needed</w:t>
      </w:r>
      <w:r w:rsidR="00985A7B">
        <w:rPr>
          <w:bCs/>
          <w:iCs/>
          <w:sz w:val="28"/>
          <w:szCs w:val="28"/>
        </w:rPr>
        <w:t xml:space="preserve"> nor provided in the ordinary course</w:t>
      </w:r>
      <w:r w:rsidRPr="00611A76">
        <w:rPr>
          <w:bCs/>
          <w:iCs/>
          <w:sz w:val="28"/>
          <w:szCs w:val="28"/>
        </w:rPr>
        <w:t>.</w:t>
      </w:r>
    </w:p>
    <w:p w14:paraId="69E0CE1F" w14:textId="77777777" w:rsidR="00611A76" w:rsidRPr="00611A76" w:rsidRDefault="00611A76" w:rsidP="004134BF">
      <w:pPr>
        <w:spacing w:line="360" w:lineRule="auto"/>
        <w:rPr>
          <w:bCs/>
          <w:iCs/>
          <w:sz w:val="28"/>
          <w:szCs w:val="28"/>
        </w:rPr>
      </w:pPr>
    </w:p>
    <w:p w14:paraId="70506415" w14:textId="77777777" w:rsidR="00611A76" w:rsidRDefault="00611A76" w:rsidP="004134BF">
      <w:pPr>
        <w:spacing w:line="360" w:lineRule="auto"/>
        <w:rPr>
          <w:bCs/>
          <w:iCs/>
          <w:sz w:val="28"/>
          <w:szCs w:val="28"/>
        </w:rPr>
      </w:pPr>
      <w:r w:rsidRPr="00611A76">
        <w:rPr>
          <w:bCs/>
          <w:iCs/>
          <w:sz w:val="28"/>
          <w:szCs w:val="28"/>
        </w:rPr>
        <w:t xml:space="preserve">Several commenters also opined that DDTC should convene an industry working group to beta test the new form and system that is being developed. </w:t>
      </w:r>
      <w:r w:rsidR="001F6F9A">
        <w:rPr>
          <w:bCs/>
          <w:iCs/>
          <w:sz w:val="28"/>
          <w:szCs w:val="28"/>
        </w:rPr>
        <w:t xml:space="preserve"> </w:t>
      </w:r>
      <w:r w:rsidRPr="00611A76">
        <w:rPr>
          <w:bCs/>
          <w:iCs/>
          <w:sz w:val="28"/>
          <w:szCs w:val="28"/>
        </w:rPr>
        <w:t xml:space="preserve">In fact, DDTC has already convened such a group, and all interested industry users are welcome to join by contacting </w:t>
      </w:r>
      <w:hyperlink r:id="rId10" w:history="1">
        <w:r w:rsidRPr="00611A76">
          <w:rPr>
            <w:rStyle w:val="Hyperlink"/>
            <w:bCs/>
            <w:iCs/>
            <w:sz w:val="28"/>
            <w:szCs w:val="28"/>
          </w:rPr>
          <w:t>PM_DDTCProjectTeam@state.gov</w:t>
        </w:r>
      </w:hyperlink>
      <w:r w:rsidRPr="00611A76">
        <w:rPr>
          <w:bCs/>
          <w:iCs/>
          <w:sz w:val="28"/>
          <w:szCs w:val="28"/>
        </w:rPr>
        <w:t xml:space="preserve">. </w:t>
      </w:r>
    </w:p>
    <w:p w14:paraId="571C7E40" w14:textId="77777777" w:rsidR="00611A76" w:rsidRPr="00611A76" w:rsidRDefault="00611A76" w:rsidP="004134BF">
      <w:pPr>
        <w:spacing w:line="360" w:lineRule="auto"/>
        <w:rPr>
          <w:bCs/>
          <w:iCs/>
          <w:sz w:val="28"/>
          <w:szCs w:val="28"/>
        </w:rPr>
      </w:pPr>
    </w:p>
    <w:p w14:paraId="7B244A91" w14:textId="30640E27" w:rsidR="00E94F97" w:rsidRDefault="00611A76" w:rsidP="004134BF">
      <w:pPr>
        <w:spacing w:line="360" w:lineRule="auto"/>
        <w:rPr>
          <w:bCs/>
          <w:iCs/>
          <w:sz w:val="28"/>
          <w:szCs w:val="28"/>
        </w:rPr>
      </w:pPr>
      <w:r w:rsidRPr="00611A76">
        <w:rPr>
          <w:bCs/>
          <w:iCs/>
          <w:sz w:val="28"/>
          <w:szCs w:val="28"/>
        </w:rPr>
        <w:t xml:space="preserve">Many respondents provided feedback on the instructions for the DS-7789. </w:t>
      </w:r>
      <w:r w:rsidR="001F6F9A">
        <w:rPr>
          <w:bCs/>
          <w:iCs/>
          <w:sz w:val="28"/>
          <w:szCs w:val="28"/>
        </w:rPr>
        <w:t xml:space="preserve"> </w:t>
      </w:r>
      <w:r w:rsidRPr="00611A76">
        <w:rPr>
          <w:bCs/>
          <w:iCs/>
          <w:sz w:val="28"/>
          <w:szCs w:val="28"/>
        </w:rPr>
        <w:t>Most comments centered on requesting more detailed guidance for specific fields on the form</w:t>
      </w:r>
      <w:r w:rsidR="00985A7B">
        <w:rPr>
          <w:bCs/>
          <w:iCs/>
          <w:sz w:val="28"/>
          <w:szCs w:val="28"/>
        </w:rPr>
        <w:t xml:space="preserve">. </w:t>
      </w:r>
      <w:r w:rsidR="001F6F9A">
        <w:rPr>
          <w:bCs/>
          <w:iCs/>
          <w:sz w:val="28"/>
          <w:szCs w:val="28"/>
        </w:rPr>
        <w:t xml:space="preserve"> </w:t>
      </w:r>
      <w:r w:rsidR="00985A7B">
        <w:rPr>
          <w:bCs/>
          <w:iCs/>
          <w:sz w:val="28"/>
          <w:szCs w:val="28"/>
        </w:rPr>
        <w:t>DDTC is pleased to provide additional guidance and r</w:t>
      </w:r>
      <w:r w:rsidRPr="00611A76">
        <w:rPr>
          <w:bCs/>
          <w:iCs/>
          <w:sz w:val="28"/>
          <w:szCs w:val="28"/>
        </w:rPr>
        <w:t>evised instructions will be made available on the DDTC website (</w:t>
      </w:r>
      <w:hyperlink r:id="rId11" w:history="1">
        <w:r w:rsidRPr="00611A76">
          <w:rPr>
            <w:rStyle w:val="Hyperlink"/>
            <w:bCs/>
            <w:iCs/>
            <w:sz w:val="28"/>
            <w:szCs w:val="28"/>
          </w:rPr>
          <w:t>https://www.pmddtc.state.gov</w:t>
        </w:r>
      </w:hyperlink>
      <w:r w:rsidRPr="00611A76">
        <w:rPr>
          <w:bCs/>
          <w:iCs/>
          <w:sz w:val="28"/>
          <w:szCs w:val="28"/>
        </w:rPr>
        <w:t xml:space="preserve">) in conjunction with the publication of </w:t>
      </w:r>
      <w:r w:rsidR="00007A9A">
        <w:rPr>
          <w:bCs/>
          <w:iCs/>
          <w:sz w:val="28"/>
          <w:szCs w:val="28"/>
        </w:rPr>
        <w:t xml:space="preserve">30-day </w:t>
      </w:r>
      <w:r w:rsidR="00007A9A" w:rsidRPr="0054196C">
        <w:rPr>
          <w:bCs/>
          <w:i/>
          <w:iCs/>
          <w:sz w:val="28"/>
          <w:szCs w:val="28"/>
        </w:rPr>
        <w:t>Federal Register</w:t>
      </w:r>
      <w:r w:rsidR="00007A9A">
        <w:rPr>
          <w:bCs/>
          <w:iCs/>
          <w:sz w:val="28"/>
          <w:szCs w:val="28"/>
        </w:rPr>
        <w:t xml:space="preserve"> notice</w:t>
      </w:r>
      <w:r w:rsidR="00C2092D">
        <w:rPr>
          <w:bCs/>
          <w:iCs/>
          <w:sz w:val="28"/>
          <w:szCs w:val="28"/>
        </w:rPr>
        <w:t xml:space="preserve">. </w:t>
      </w:r>
      <w:r w:rsidR="001F6F9A">
        <w:rPr>
          <w:bCs/>
          <w:iCs/>
          <w:sz w:val="28"/>
          <w:szCs w:val="28"/>
        </w:rPr>
        <w:t xml:space="preserve"> </w:t>
      </w:r>
      <w:r w:rsidR="00C0692C" w:rsidRPr="005C6217">
        <w:rPr>
          <w:bCs/>
          <w:iCs/>
          <w:sz w:val="28"/>
          <w:szCs w:val="28"/>
        </w:rPr>
        <w:t xml:space="preserve">For example, </w:t>
      </w:r>
      <w:r w:rsidR="00E94F97" w:rsidRPr="005C6217">
        <w:rPr>
          <w:bCs/>
          <w:iCs/>
          <w:sz w:val="28"/>
          <w:szCs w:val="28"/>
        </w:rPr>
        <w:t xml:space="preserve">a commenter asked for clarification regarding DDTC’s request for information regarding </w:t>
      </w:r>
      <w:r w:rsidR="00313370" w:rsidRPr="005C6217">
        <w:rPr>
          <w:bCs/>
          <w:iCs/>
          <w:sz w:val="28"/>
          <w:szCs w:val="28"/>
        </w:rPr>
        <w:t>percent</w:t>
      </w:r>
      <w:r w:rsidR="005B5FD1" w:rsidRPr="005C6217">
        <w:rPr>
          <w:bCs/>
          <w:iCs/>
          <w:sz w:val="28"/>
          <w:szCs w:val="28"/>
        </w:rPr>
        <w:t>-</w:t>
      </w:r>
      <w:r w:rsidR="00E94F97" w:rsidRPr="005C6217">
        <w:rPr>
          <w:bCs/>
          <w:iCs/>
          <w:sz w:val="28"/>
          <w:szCs w:val="28"/>
        </w:rPr>
        <w:t xml:space="preserve">ownership of outstanding voting securities of </w:t>
      </w:r>
      <w:r w:rsidR="00217A22" w:rsidRPr="005C6217">
        <w:rPr>
          <w:bCs/>
          <w:iCs/>
          <w:sz w:val="28"/>
          <w:szCs w:val="28"/>
        </w:rPr>
        <w:t xml:space="preserve">the foreign buyer of </w:t>
      </w:r>
      <w:r w:rsidR="00E94F97" w:rsidRPr="005C6217">
        <w:rPr>
          <w:bCs/>
          <w:iCs/>
          <w:sz w:val="28"/>
          <w:szCs w:val="28"/>
        </w:rPr>
        <w:t xml:space="preserve">a registered entity. </w:t>
      </w:r>
      <w:r w:rsidR="001F6F9A" w:rsidRPr="005C6217">
        <w:rPr>
          <w:bCs/>
          <w:iCs/>
          <w:sz w:val="28"/>
          <w:szCs w:val="28"/>
        </w:rPr>
        <w:t xml:space="preserve"> </w:t>
      </w:r>
      <w:r w:rsidR="00E94F97" w:rsidRPr="005C6217">
        <w:rPr>
          <w:bCs/>
          <w:iCs/>
          <w:sz w:val="28"/>
          <w:szCs w:val="28"/>
        </w:rPr>
        <w:t xml:space="preserve">In response, DDTC </w:t>
      </w:r>
      <w:r w:rsidR="00994AEA" w:rsidRPr="005C6217">
        <w:rPr>
          <w:bCs/>
          <w:iCs/>
          <w:sz w:val="28"/>
          <w:szCs w:val="28"/>
        </w:rPr>
        <w:t xml:space="preserve">revised the instructions to </w:t>
      </w:r>
      <w:r w:rsidR="00E94F97" w:rsidRPr="005C6217">
        <w:rPr>
          <w:bCs/>
          <w:iCs/>
          <w:sz w:val="28"/>
          <w:szCs w:val="28"/>
        </w:rPr>
        <w:t>clarif</w:t>
      </w:r>
      <w:r w:rsidR="00994AEA" w:rsidRPr="005C6217">
        <w:rPr>
          <w:bCs/>
          <w:iCs/>
          <w:sz w:val="28"/>
          <w:szCs w:val="28"/>
        </w:rPr>
        <w:t>y</w:t>
      </w:r>
      <w:r w:rsidR="00E94F97" w:rsidRPr="005C6217">
        <w:rPr>
          <w:bCs/>
          <w:iCs/>
          <w:sz w:val="28"/>
          <w:szCs w:val="28"/>
        </w:rPr>
        <w:t xml:space="preserve"> the distinction between the 50% ownership, as referenced in 22 CFR 122.2, and the presumption of control in 22 CFR 120.37 associated with 25% ownership. </w:t>
      </w:r>
      <w:r w:rsidR="001F6F9A" w:rsidRPr="005C6217">
        <w:rPr>
          <w:bCs/>
          <w:iCs/>
          <w:sz w:val="28"/>
          <w:szCs w:val="28"/>
        </w:rPr>
        <w:t xml:space="preserve"> </w:t>
      </w:r>
      <w:r w:rsidR="00E94F97" w:rsidRPr="005C6217">
        <w:rPr>
          <w:bCs/>
          <w:iCs/>
          <w:sz w:val="28"/>
          <w:szCs w:val="28"/>
        </w:rPr>
        <w:t xml:space="preserve">The </w:t>
      </w:r>
      <w:r w:rsidR="00313370" w:rsidRPr="005C6217">
        <w:rPr>
          <w:bCs/>
          <w:iCs/>
          <w:sz w:val="28"/>
          <w:szCs w:val="28"/>
        </w:rPr>
        <w:t>percent</w:t>
      </w:r>
      <w:r w:rsidR="005B5FD1" w:rsidRPr="005C6217">
        <w:rPr>
          <w:bCs/>
          <w:iCs/>
          <w:sz w:val="28"/>
          <w:szCs w:val="28"/>
        </w:rPr>
        <w:t>-</w:t>
      </w:r>
      <w:r w:rsidR="00E94F97" w:rsidRPr="005C6217">
        <w:rPr>
          <w:bCs/>
          <w:iCs/>
          <w:sz w:val="28"/>
          <w:szCs w:val="28"/>
        </w:rPr>
        <w:t>ownership question in the DS-7789 facilitates DDTC’s national security and foreign policy evaluation which, as part of the transactional review, includes an understanding of who has potential control of the foreign buyer.</w:t>
      </w:r>
    </w:p>
    <w:p w14:paraId="3A4D9D67" w14:textId="77777777" w:rsidR="00611A76" w:rsidRDefault="00E94F97" w:rsidP="004134BF">
      <w:pPr>
        <w:spacing w:line="360" w:lineRule="auto"/>
        <w:rPr>
          <w:bCs/>
          <w:iCs/>
          <w:sz w:val="28"/>
          <w:szCs w:val="28"/>
        </w:rPr>
      </w:pPr>
      <w:r>
        <w:rPr>
          <w:bCs/>
          <w:iCs/>
          <w:sz w:val="28"/>
          <w:szCs w:val="28"/>
        </w:rPr>
        <w:t xml:space="preserve">  </w:t>
      </w:r>
      <w:r w:rsidR="00611A76" w:rsidRPr="00611A76">
        <w:rPr>
          <w:bCs/>
          <w:iCs/>
          <w:sz w:val="28"/>
          <w:szCs w:val="28"/>
        </w:rPr>
        <w:t xml:space="preserve"> </w:t>
      </w:r>
    </w:p>
    <w:p w14:paraId="4E9C54A7" w14:textId="77777777" w:rsidR="00611A76" w:rsidRDefault="00611A76" w:rsidP="004134BF">
      <w:pPr>
        <w:spacing w:line="360" w:lineRule="auto"/>
        <w:rPr>
          <w:bCs/>
          <w:iCs/>
          <w:sz w:val="28"/>
          <w:szCs w:val="28"/>
        </w:rPr>
      </w:pPr>
      <w:r w:rsidRPr="00611A76">
        <w:rPr>
          <w:bCs/>
          <w:iCs/>
          <w:sz w:val="28"/>
          <w:szCs w:val="28"/>
        </w:rPr>
        <w:t xml:space="preserve">DDTC also received several comments related to the electronic signature requirement for the DS-7789. </w:t>
      </w:r>
      <w:r w:rsidR="001F6F9A">
        <w:rPr>
          <w:bCs/>
          <w:iCs/>
          <w:sz w:val="28"/>
          <w:szCs w:val="28"/>
        </w:rPr>
        <w:t xml:space="preserve"> </w:t>
      </w:r>
      <w:r w:rsidRPr="00611A76">
        <w:rPr>
          <w:bCs/>
          <w:iCs/>
          <w:sz w:val="28"/>
          <w:szCs w:val="28"/>
        </w:rPr>
        <w:t xml:space="preserve">Numerous responses noted that the signature requirement for a senior officer is unduly burdensome for their executive-level managers; DDTC notes that the requirement for a senior officer to sign a notification of a change in registration information is enunciated in ITAR § 122.4. </w:t>
      </w:r>
      <w:r w:rsidR="001F6F9A">
        <w:rPr>
          <w:bCs/>
          <w:iCs/>
          <w:sz w:val="28"/>
          <w:szCs w:val="28"/>
        </w:rPr>
        <w:t xml:space="preserve"> </w:t>
      </w:r>
      <w:r w:rsidRPr="00611A76">
        <w:rPr>
          <w:bCs/>
          <w:iCs/>
          <w:sz w:val="28"/>
          <w:szCs w:val="28"/>
        </w:rPr>
        <w:t xml:space="preserve">Similarly, one commenter opined that the requirement to provide information about senior officers and board members on the 60-day submission preceding a MAD event should be dispensed with since they may not be the same once the event actually occurs; however, DDTC needs this information to evaluate the entirety of a transaction, and it will still be required. </w:t>
      </w:r>
    </w:p>
    <w:p w14:paraId="5E687B82" w14:textId="77777777" w:rsidR="00611A76" w:rsidRPr="00611A76" w:rsidRDefault="00611A76" w:rsidP="004134BF">
      <w:pPr>
        <w:spacing w:line="360" w:lineRule="auto"/>
        <w:rPr>
          <w:bCs/>
          <w:iCs/>
          <w:sz w:val="28"/>
          <w:szCs w:val="28"/>
        </w:rPr>
      </w:pPr>
    </w:p>
    <w:p w14:paraId="69571931" w14:textId="77777777" w:rsidR="00950B05" w:rsidRDefault="00611A76" w:rsidP="004134BF">
      <w:pPr>
        <w:spacing w:line="360" w:lineRule="auto"/>
        <w:rPr>
          <w:bCs/>
          <w:iCs/>
          <w:sz w:val="28"/>
          <w:szCs w:val="28"/>
        </w:rPr>
      </w:pPr>
      <w:r w:rsidRPr="00E21608">
        <w:rPr>
          <w:bCs/>
          <w:iCs/>
          <w:sz w:val="28"/>
          <w:szCs w:val="28"/>
        </w:rPr>
        <w:t xml:space="preserve">Many commenters also remarked that the “60-day Buyer” portion of the form should be removed as only registered parties are required to submit information to DDTC. </w:t>
      </w:r>
      <w:r w:rsidR="001F6F9A">
        <w:rPr>
          <w:bCs/>
          <w:iCs/>
          <w:sz w:val="28"/>
          <w:szCs w:val="28"/>
        </w:rPr>
        <w:t xml:space="preserve"> </w:t>
      </w:r>
      <w:r w:rsidR="00985A7B" w:rsidRPr="00E21608">
        <w:rPr>
          <w:bCs/>
          <w:iCs/>
          <w:sz w:val="28"/>
          <w:szCs w:val="28"/>
        </w:rPr>
        <w:t xml:space="preserve">DDTC notes that the requested information is </w:t>
      </w:r>
      <w:r w:rsidR="00985A7B" w:rsidRPr="00E21608">
        <w:rPr>
          <w:b/>
          <w:bCs/>
          <w:iCs/>
          <w:sz w:val="28"/>
          <w:szCs w:val="28"/>
        </w:rPr>
        <w:t>about</w:t>
      </w:r>
      <w:r w:rsidR="00985A7B" w:rsidRPr="00E21608">
        <w:rPr>
          <w:bCs/>
          <w:iCs/>
          <w:sz w:val="28"/>
          <w:szCs w:val="28"/>
        </w:rPr>
        <w:t xml:space="preserve"> the buyer</w:t>
      </w:r>
      <w:r w:rsidR="00950B05" w:rsidRPr="00E21608">
        <w:rPr>
          <w:bCs/>
          <w:iCs/>
          <w:sz w:val="28"/>
          <w:szCs w:val="28"/>
        </w:rPr>
        <w:t xml:space="preserve"> and </w:t>
      </w:r>
      <w:r w:rsidR="00985A7B" w:rsidRPr="00E21608">
        <w:rPr>
          <w:bCs/>
          <w:iCs/>
          <w:sz w:val="28"/>
          <w:szCs w:val="28"/>
        </w:rPr>
        <w:t xml:space="preserve">not necessarily </w:t>
      </w:r>
      <w:r w:rsidR="00985A7B" w:rsidRPr="00E21608">
        <w:rPr>
          <w:b/>
          <w:bCs/>
          <w:iCs/>
          <w:sz w:val="28"/>
          <w:szCs w:val="28"/>
        </w:rPr>
        <w:t>from</w:t>
      </w:r>
      <w:r w:rsidR="00985A7B" w:rsidRPr="00E21608">
        <w:rPr>
          <w:bCs/>
          <w:iCs/>
          <w:sz w:val="28"/>
          <w:szCs w:val="28"/>
        </w:rPr>
        <w:t xml:space="preserve"> the buyer.</w:t>
      </w:r>
      <w:r w:rsidR="00950B05" w:rsidRPr="00E21608">
        <w:rPr>
          <w:bCs/>
          <w:iCs/>
          <w:sz w:val="28"/>
          <w:szCs w:val="28"/>
        </w:rPr>
        <w:t xml:space="preserve"> </w:t>
      </w:r>
      <w:r w:rsidR="001F6F9A">
        <w:rPr>
          <w:bCs/>
          <w:iCs/>
          <w:sz w:val="28"/>
          <w:szCs w:val="28"/>
        </w:rPr>
        <w:t xml:space="preserve"> </w:t>
      </w:r>
      <w:r w:rsidR="00950B05" w:rsidRPr="00E21608">
        <w:rPr>
          <w:bCs/>
          <w:iCs/>
          <w:sz w:val="28"/>
          <w:szCs w:val="28"/>
        </w:rPr>
        <w:t xml:space="preserve">For this reason, </w:t>
      </w:r>
      <w:r w:rsidR="00985A7B" w:rsidRPr="00E21608">
        <w:rPr>
          <w:bCs/>
          <w:iCs/>
          <w:sz w:val="28"/>
          <w:szCs w:val="28"/>
        </w:rPr>
        <w:t xml:space="preserve">DDTC is providing registrants the ability to provide this information </w:t>
      </w:r>
      <w:r w:rsidR="00950B05" w:rsidRPr="00E21608">
        <w:rPr>
          <w:bCs/>
          <w:iCs/>
          <w:sz w:val="28"/>
          <w:szCs w:val="28"/>
        </w:rPr>
        <w:t xml:space="preserve">about the buyer </w:t>
      </w:r>
      <w:r w:rsidR="000B7260" w:rsidRPr="00E21608">
        <w:rPr>
          <w:bCs/>
          <w:iCs/>
          <w:sz w:val="28"/>
          <w:szCs w:val="28"/>
          <w:u w:val="single"/>
        </w:rPr>
        <w:t>or</w:t>
      </w:r>
      <w:r w:rsidR="00950B05" w:rsidRPr="00E21608">
        <w:rPr>
          <w:bCs/>
          <w:iCs/>
          <w:sz w:val="28"/>
          <w:szCs w:val="28"/>
        </w:rPr>
        <w:t xml:space="preserve"> to have the buyer provide the information directly.</w:t>
      </w:r>
      <w:r w:rsidR="001F6F9A">
        <w:rPr>
          <w:bCs/>
          <w:iCs/>
          <w:sz w:val="28"/>
          <w:szCs w:val="28"/>
        </w:rPr>
        <w:t xml:space="preserve"> </w:t>
      </w:r>
      <w:r w:rsidR="00950B05" w:rsidRPr="00E21608">
        <w:rPr>
          <w:bCs/>
          <w:iCs/>
          <w:sz w:val="28"/>
          <w:szCs w:val="28"/>
        </w:rPr>
        <w:t xml:space="preserve"> In practice, </w:t>
      </w:r>
      <w:r w:rsidR="004F3E84">
        <w:rPr>
          <w:bCs/>
          <w:iCs/>
          <w:sz w:val="28"/>
          <w:szCs w:val="28"/>
        </w:rPr>
        <w:t>registrants</w:t>
      </w:r>
      <w:r w:rsidR="004F3E84" w:rsidRPr="00E21608">
        <w:rPr>
          <w:bCs/>
          <w:iCs/>
          <w:sz w:val="28"/>
          <w:szCs w:val="28"/>
        </w:rPr>
        <w:t xml:space="preserve"> </w:t>
      </w:r>
      <w:r w:rsidR="00950B05" w:rsidRPr="00E21608">
        <w:rPr>
          <w:bCs/>
          <w:iCs/>
          <w:sz w:val="28"/>
          <w:szCs w:val="28"/>
        </w:rPr>
        <w:t xml:space="preserve">already </w:t>
      </w:r>
      <w:r w:rsidR="004F3E84">
        <w:rPr>
          <w:bCs/>
          <w:iCs/>
          <w:sz w:val="28"/>
          <w:szCs w:val="28"/>
        </w:rPr>
        <w:t>provide buyer information</w:t>
      </w:r>
      <w:r w:rsidR="00950B05" w:rsidRPr="00E21608">
        <w:rPr>
          <w:bCs/>
          <w:iCs/>
          <w:sz w:val="28"/>
          <w:szCs w:val="28"/>
        </w:rPr>
        <w:t xml:space="preserve"> in many divestitures (in other words, the buyer provides the registrant with the requested information, which the registrant then submits</w:t>
      </w:r>
      <w:r w:rsidR="0084635D">
        <w:rPr>
          <w:bCs/>
          <w:iCs/>
          <w:sz w:val="28"/>
          <w:szCs w:val="28"/>
        </w:rPr>
        <w:t xml:space="preserve"> to DDTC</w:t>
      </w:r>
      <w:r w:rsidR="00950B05" w:rsidRPr="00E21608">
        <w:rPr>
          <w:bCs/>
          <w:iCs/>
          <w:sz w:val="28"/>
          <w:szCs w:val="28"/>
        </w:rPr>
        <w:t xml:space="preserve">). </w:t>
      </w:r>
      <w:r w:rsidR="001F6F9A">
        <w:rPr>
          <w:bCs/>
          <w:iCs/>
          <w:sz w:val="28"/>
          <w:szCs w:val="28"/>
        </w:rPr>
        <w:t xml:space="preserve"> </w:t>
      </w:r>
      <w:r w:rsidR="004F3E84">
        <w:rPr>
          <w:bCs/>
          <w:iCs/>
          <w:sz w:val="28"/>
          <w:szCs w:val="28"/>
        </w:rPr>
        <w:t>A</w:t>
      </w:r>
      <w:r w:rsidR="00950B05" w:rsidRPr="00E21608">
        <w:rPr>
          <w:bCs/>
          <w:iCs/>
          <w:sz w:val="28"/>
          <w:szCs w:val="28"/>
        </w:rPr>
        <w:t xml:space="preserve">llowing the buyer to submit the information </w:t>
      </w:r>
      <w:r w:rsidR="004F3E84">
        <w:rPr>
          <w:bCs/>
          <w:iCs/>
          <w:sz w:val="28"/>
          <w:szCs w:val="28"/>
        </w:rPr>
        <w:t xml:space="preserve">to DDTC </w:t>
      </w:r>
      <w:r w:rsidR="00950B05" w:rsidRPr="00E21608">
        <w:rPr>
          <w:bCs/>
          <w:iCs/>
          <w:sz w:val="28"/>
          <w:szCs w:val="28"/>
        </w:rPr>
        <w:t>directly allows the</w:t>
      </w:r>
      <w:r w:rsidR="004F3E84">
        <w:rPr>
          <w:bCs/>
          <w:iCs/>
          <w:sz w:val="28"/>
          <w:szCs w:val="28"/>
        </w:rPr>
        <w:t xml:space="preserve"> buyer</w:t>
      </w:r>
      <w:r w:rsidR="00950B05" w:rsidRPr="00E21608">
        <w:rPr>
          <w:bCs/>
          <w:iCs/>
          <w:sz w:val="28"/>
          <w:szCs w:val="28"/>
        </w:rPr>
        <w:t xml:space="preserve"> to provide information that they may not otherwise wish to share with the registrant</w:t>
      </w:r>
      <w:r w:rsidR="003B135E" w:rsidRPr="00E21608">
        <w:rPr>
          <w:bCs/>
          <w:iCs/>
          <w:sz w:val="28"/>
          <w:szCs w:val="28"/>
        </w:rPr>
        <w:t xml:space="preserve">. </w:t>
      </w:r>
      <w:r w:rsidR="001F6F9A">
        <w:rPr>
          <w:bCs/>
          <w:iCs/>
          <w:sz w:val="28"/>
          <w:szCs w:val="28"/>
        </w:rPr>
        <w:t xml:space="preserve"> </w:t>
      </w:r>
      <w:r w:rsidR="003B135E" w:rsidRPr="00E21608">
        <w:rPr>
          <w:bCs/>
          <w:iCs/>
          <w:sz w:val="28"/>
          <w:szCs w:val="28"/>
        </w:rPr>
        <w:t xml:space="preserve">The requested information is relevant to DDTC’s analysis of </w:t>
      </w:r>
      <w:r w:rsidR="006F1352" w:rsidRPr="00E21608">
        <w:rPr>
          <w:bCs/>
          <w:iCs/>
          <w:sz w:val="28"/>
          <w:szCs w:val="28"/>
        </w:rPr>
        <w:t xml:space="preserve">the foreign policy and national security implications of </w:t>
      </w:r>
      <w:r w:rsidR="00E94F97" w:rsidRPr="00E21608">
        <w:rPr>
          <w:bCs/>
          <w:iCs/>
          <w:sz w:val="28"/>
          <w:szCs w:val="28"/>
        </w:rPr>
        <w:t>transactions and</w:t>
      </w:r>
      <w:r w:rsidR="000B7260" w:rsidRPr="00E21608">
        <w:rPr>
          <w:bCs/>
          <w:iCs/>
          <w:sz w:val="28"/>
          <w:szCs w:val="28"/>
        </w:rPr>
        <w:t xml:space="preserve">, in many cases, </w:t>
      </w:r>
      <w:r w:rsidR="00F941E3" w:rsidRPr="00E21608">
        <w:rPr>
          <w:bCs/>
          <w:iCs/>
          <w:sz w:val="28"/>
          <w:szCs w:val="28"/>
        </w:rPr>
        <w:t xml:space="preserve">is what </w:t>
      </w:r>
      <w:r w:rsidR="000B7260" w:rsidRPr="00E21608">
        <w:rPr>
          <w:bCs/>
          <w:iCs/>
          <w:sz w:val="28"/>
          <w:szCs w:val="28"/>
        </w:rPr>
        <w:t>the acquiring company will ultimately provide in a post-transaction DS-2032</w:t>
      </w:r>
      <w:r w:rsidR="00723893" w:rsidRPr="00E21608">
        <w:rPr>
          <w:bCs/>
          <w:iCs/>
          <w:sz w:val="28"/>
          <w:szCs w:val="28"/>
        </w:rPr>
        <w:t xml:space="preserve"> (Statement of Registration)</w:t>
      </w:r>
      <w:r w:rsidR="000B7260" w:rsidRPr="00E21608">
        <w:rPr>
          <w:bCs/>
          <w:iCs/>
          <w:sz w:val="28"/>
          <w:szCs w:val="28"/>
        </w:rPr>
        <w:t xml:space="preserve"> covering the acquired entity.</w:t>
      </w:r>
      <w:r w:rsidR="000B7260">
        <w:rPr>
          <w:bCs/>
          <w:iCs/>
          <w:sz w:val="28"/>
          <w:szCs w:val="28"/>
        </w:rPr>
        <w:t xml:space="preserve">  </w:t>
      </w:r>
    </w:p>
    <w:p w14:paraId="4D6E6D61" w14:textId="77777777" w:rsidR="00950B05" w:rsidRDefault="00950B05" w:rsidP="004134BF">
      <w:pPr>
        <w:spacing w:line="360" w:lineRule="auto"/>
        <w:rPr>
          <w:bCs/>
          <w:iCs/>
          <w:sz w:val="28"/>
          <w:szCs w:val="28"/>
        </w:rPr>
      </w:pPr>
    </w:p>
    <w:p w14:paraId="2066F064" w14:textId="77777777" w:rsidR="00611A76" w:rsidRPr="00611A76" w:rsidRDefault="00611A76" w:rsidP="004134BF">
      <w:pPr>
        <w:spacing w:line="360" w:lineRule="auto"/>
        <w:rPr>
          <w:bCs/>
          <w:iCs/>
          <w:sz w:val="28"/>
          <w:szCs w:val="28"/>
        </w:rPr>
      </w:pPr>
      <w:r w:rsidRPr="00611A76">
        <w:rPr>
          <w:bCs/>
          <w:iCs/>
          <w:sz w:val="28"/>
          <w:szCs w:val="28"/>
        </w:rPr>
        <w:t xml:space="preserve">Two comments also centered on the protection of information submitted via the form’s proposed electronic interface. </w:t>
      </w:r>
      <w:r w:rsidR="001F6F9A">
        <w:rPr>
          <w:bCs/>
          <w:iCs/>
          <w:sz w:val="28"/>
          <w:szCs w:val="28"/>
        </w:rPr>
        <w:t xml:space="preserve"> </w:t>
      </w:r>
      <w:r w:rsidRPr="00611A76">
        <w:rPr>
          <w:bCs/>
          <w:iCs/>
          <w:sz w:val="28"/>
          <w:szCs w:val="28"/>
        </w:rPr>
        <w:t xml:space="preserve">DDTC notes there are two parts to this question – the security of information and information disclosure practices. </w:t>
      </w:r>
      <w:r w:rsidR="001F6F9A">
        <w:rPr>
          <w:bCs/>
          <w:iCs/>
          <w:sz w:val="28"/>
          <w:szCs w:val="28"/>
        </w:rPr>
        <w:t xml:space="preserve"> </w:t>
      </w:r>
      <w:r w:rsidRPr="00611A76">
        <w:rPr>
          <w:bCs/>
          <w:iCs/>
          <w:sz w:val="28"/>
          <w:szCs w:val="28"/>
        </w:rPr>
        <w:t xml:space="preserve">DDTC’s IT security team is working on a secure web-based system to accept proprietary data from industry users. </w:t>
      </w:r>
      <w:r w:rsidR="001F6F9A">
        <w:rPr>
          <w:bCs/>
          <w:iCs/>
          <w:sz w:val="28"/>
          <w:szCs w:val="28"/>
        </w:rPr>
        <w:t xml:space="preserve"> </w:t>
      </w:r>
      <w:r w:rsidR="00C264EB" w:rsidRPr="00C264EB">
        <w:rPr>
          <w:bCs/>
          <w:iCs/>
          <w:sz w:val="28"/>
          <w:szCs w:val="28"/>
        </w:rPr>
        <w:t>Recognizing the sensitivity of the data submitted</w:t>
      </w:r>
      <w:proofErr w:type="gramStart"/>
      <w:r w:rsidR="00C264EB" w:rsidRPr="00C264EB">
        <w:rPr>
          <w:bCs/>
          <w:iCs/>
          <w:sz w:val="28"/>
          <w:szCs w:val="28"/>
        </w:rPr>
        <w:t>,</w:t>
      </w:r>
      <w:proofErr w:type="gramEnd"/>
      <w:r w:rsidR="00C264EB" w:rsidRPr="00C264EB">
        <w:rPr>
          <w:bCs/>
          <w:iCs/>
          <w:sz w:val="28"/>
          <w:szCs w:val="28"/>
        </w:rPr>
        <w:t xml:space="preserve"> the system will meet all current government standards for data security </w:t>
      </w:r>
      <w:r w:rsidR="00C264EB">
        <w:rPr>
          <w:bCs/>
          <w:iCs/>
          <w:sz w:val="28"/>
          <w:szCs w:val="28"/>
        </w:rPr>
        <w:t>and the Privacy Act of 1974</w:t>
      </w:r>
      <w:r w:rsidRPr="00611A76">
        <w:rPr>
          <w:bCs/>
          <w:iCs/>
          <w:sz w:val="28"/>
          <w:szCs w:val="28"/>
        </w:rPr>
        <w:t>.</w:t>
      </w:r>
      <w:r w:rsidR="001F6F9A">
        <w:rPr>
          <w:bCs/>
          <w:iCs/>
          <w:sz w:val="28"/>
          <w:szCs w:val="28"/>
        </w:rPr>
        <w:t xml:space="preserve"> </w:t>
      </w:r>
      <w:r w:rsidRPr="00611A76">
        <w:rPr>
          <w:bCs/>
          <w:iCs/>
          <w:sz w:val="28"/>
          <w:szCs w:val="28"/>
        </w:rPr>
        <w:t xml:space="preserve"> Similarly, DDTC will protect information from public disclosure to the extent permitted by law. </w:t>
      </w:r>
      <w:r w:rsidR="001F6F9A">
        <w:rPr>
          <w:bCs/>
          <w:iCs/>
          <w:sz w:val="28"/>
          <w:szCs w:val="28"/>
        </w:rPr>
        <w:t xml:space="preserve"> </w:t>
      </w:r>
      <w:r w:rsidRPr="00611A76">
        <w:rPr>
          <w:bCs/>
          <w:iCs/>
          <w:sz w:val="28"/>
          <w:szCs w:val="28"/>
        </w:rPr>
        <w:t>DDTC encourages submitters to clearly mark proprietary information in accordance with the Department of State guidelines at 22 CFR §</w:t>
      </w:r>
      <w:r w:rsidR="004F3E84">
        <w:rPr>
          <w:bCs/>
          <w:iCs/>
          <w:sz w:val="28"/>
          <w:szCs w:val="28"/>
        </w:rPr>
        <w:t> </w:t>
      </w:r>
      <w:r w:rsidRPr="00611A76">
        <w:rPr>
          <w:bCs/>
          <w:iCs/>
          <w:sz w:val="28"/>
          <w:szCs w:val="28"/>
        </w:rPr>
        <w:t xml:space="preserve">171.12. </w:t>
      </w:r>
    </w:p>
    <w:p w14:paraId="2820F11D" w14:textId="77777777" w:rsidR="000C5C62" w:rsidRPr="00820E94" w:rsidRDefault="000C5C62" w:rsidP="004134BF">
      <w:pPr>
        <w:spacing w:line="360" w:lineRule="auto"/>
        <w:rPr>
          <w:sz w:val="28"/>
          <w:szCs w:val="28"/>
        </w:rPr>
      </w:pPr>
    </w:p>
    <w:p w14:paraId="12CEB5A3" w14:textId="77777777" w:rsidR="00C02E14" w:rsidRPr="00C02E14" w:rsidRDefault="00C02E14" w:rsidP="004134BF">
      <w:pPr>
        <w:pStyle w:val="ListParagraph"/>
        <w:numPr>
          <w:ilvl w:val="0"/>
          <w:numId w:val="16"/>
        </w:numPr>
        <w:spacing w:line="360" w:lineRule="auto"/>
        <w:rPr>
          <w:sz w:val="28"/>
          <w:szCs w:val="28"/>
        </w:rPr>
      </w:pPr>
      <w:r w:rsidRPr="00C02E14">
        <w:rPr>
          <w:sz w:val="28"/>
          <w:szCs w:val="28"/>
          <w:u w:val="single"/>
        </w:rPr>
        <w:t>Are any payments or gifts given to the respondents?</w:t>
      </w:r>
      <w:r w:rsidR="005170AD" w:rsidRPr="00C02E14">
        <w:rPr>
          <w:sz w:val="28"/>
          <w:szCs w:val="28"/>
        </w:rPr>
        <w:tab/>
      </w:r>
    </w:p>
    <w:p w14:paraId="1F1AE85D" w14:textId="77777777" w:rsidR="000C5C62" w:rsidRPr="00820E94" w:rsidRDefault="000C5C62" w:rsidP="004134BF">
      <w:pPr>
        <w:spacing w:line="360" w:lineRule="auto"/>
        <w:rPr>
          <w:sz w:val="28"/>
          <w:szCs w:val="28"/>
        </w:rPr>
      </w:pPr>
      <w:r w:rsidRPr="00820E94">
        <w:rPr>
          <w:sz w:val="28"/>
          <w:szCs w:val="28"/>
        </w:rPr>
        <w:t>No payment or gift has been or will be provided to any respondent.</w:t>
      </w:r>
    </w:p>
    <w:p w14:paraId="6650E976" w14:textId="77777777" w:rsidR="000C5C62" w:rsidRPr="00820E94" w:rsidRDefault="000C5C62" w:rsidP="004134BF">
      <w:pPr>
        <w:spacing w:line="360" w:lineRule="auto"/>
        <w:rPr>
          <w:sz w:val="28"/>
          <w:szCs w:val="28"/>
        </w:rPr>
      </w:pPr>
    </w:p>
    <w:p w14:paraId="49193E1E" w14:textId="02B08E5D" w:rsidR="00C02E14" w:rsidRPr="00C02E14" w:rsidRDefault="00C02E14" w:rsidP="004134BF">
      <w:pPr>
        <w:pStyle w:val="ListParagraph"/>
        <w:numPr>
          <w:ilvl w:val="0"/>
          <w:numId w:val="16"/>
        </w:numPr>
        <w:spacing w:line="360" w:lineRule="auto"/>
        <w:rPr>
          <w:sz w:val="28"/>
          <w:szCs w:val="28"/>
        </w:rPr>
      </w:pPr>
      <w:r>
        <w:rPr>
          <w:sz w:val="28"/>
          <w:szCs w:val="28"/>
        </w:rPr>
        <w:t xml:space="preserve"> </w:t>
      </w:r>
      <w:r w:rsidRPr="00C02E14">
        <w:rPr>
          <w:sz w:val="28"/>
          <w:szCs w:val="28"/>
          <w:u w:val="single"/>
        </w:rPr>
        <w:t>Describe any assurances of privacy/confidentiality.</w:t>
      </w:r>
      <w:r w:rsidR="000C5C62" w:rsidRPr="00C02E14">
        <w:rPr>
          <w:sz w:val="28"/>
          <w:szCs w:val="28"/>
        </w:rPr>
        <w:tab/>
      </w:r>
    </w:p>
    <w:p w14:paraId="4D35E26C" w14:textId="31894C37" w:rsidR="0078707C" w:rsidRDefault="0078707C" w:rsidP="004134BF">
      <w:pPr>
        <w:spacing w:line="360" w:lineRule="auto"/>
        <w:rPr>
          <w:sz w:val="28"/>
          <w:szCs w:val="28"/>
        </w:rPr>
      </w:pPr>
      <w:r>
        <w:rPr>
          <w:sz w:val="28"/>
          <w:szCs w:val="28"/>
        </w:rPr>
        <w:t>A privacy impact assessment (PIA) was conducted</w:t>
      </w:r>
      <w:r w:rsidR="0090670E">
        <w:rPr>
          <w:sz w:val="28"/>
          <w:szCs w:val="28"/>
        </w:rPr>
        <w:t xml:space="preserve"> in 2016</w:t>
      </w:r>
      <w:r>
        <w:rPr>
          <w:sz w:val="28"/>
          <w:szCs w:val="28"/>
        </w:rPr>
        <w:t xml:space="preserve"> and can be viewed at </w:t>
      </w:r>
      <w:hyperlink r:id="rId12" w:history="1">
        <w:r w:rsidRPr="0078707C">
          <w:rPr>
            <w:rStyle w:val="Hyperlink"/>
            <w:sz w:val="28"/>
            <w:szCs w:val="28"/>
          </w:rPr>
          <w:t>https://www.state.gov/privacy</w:t>
        </w:r>
      </w:hyperlink>
      <w:r>
        <w:rPr>
          <w:sz w:val="28"/>
          <w:szCs w:val="28"/>
        </w:rPr>
        <w:t>.   This collection of information is covered under STATE-42, Munitions Control Records</w:t>
      </w:r>
      <w:r w:rsidR="0090670E">
        <w:rPr>
          <w:sz w:val="28"/>
          <w:szCs w:val="28"/>
        </w:rPr>
        <w:t>, which</w:t>
      </w:r>
      <w:r>
        <w:rPr>
          <w:sz w:val="28"/>
          <w:szCs w:val="28"/>
        </w:rPr>
        <w:t xml:space="preserve"> is also published on </w:t>
      </w:r>
      <w:hyperlink r:id="rId13" w:history="1">
        <w:r w:rsidRPr="00705331">
          <w:rPr>
            <w:rStyle w:val="Hyperlink"/>
            <w:sz w:val="28"/>
            <w:szCs w:val="28"/>
          </w:rPr>
          <w:t>https://www.state.gov/privacy</w:t>
        </w:r>
      </w:hyperlink>
      <w:r>
        <w:rPr>
          <w:sz w:val="28"/>
          <w:szCs w:val="28"/>
        </w:rPr>
        <w:t xml:space="preserve">.  </w:t>
      </w:r>
    </w:p>
    <w:p w14:paraId="4AACCF78" w14:textId="77777777" w:rsidR="0078707C" w:rsidRDefault="0078707C" w:rsidP="004134BF">
      <w:pPr>
        <w:spacing w:line="360" w:lineRule="auto"/>
        <w:rPr>
          <w:sz w:val="28"/>
          <w:szCs w:val="28"/>
        </w:rPr>
      </w:pPr>
    </w:p>
    <w:p w14:paraId="00427560" w14:textId="2807D850" w:rsidR="00253CF8" w:rsidRPr="00820E94" w:rsidRDefault="00BE4A03" w:rsidP="004134BF">
      <w:pPr>
        <w:spacing w:line="360" w:lineRule="auto"/>
        <w:rPr>
          <w:sz w:val="28"/>
          <w:szCs w:val="28"/>
        </w:rPr>
      </w:pPr>
      <w:r w:rsidRPr="00BE4A03">
        <w:rPr>
          <w:sz w:val="28"/>
          <w:szCs w:val="28"/>
        </w:rPr>
        <w:t xml:space="preserve">Respondents to this collection </w:t>
      </w:r>
      <w:r w:rsidR="00D4208D">
        <w:rPr>
          <w:sz w:val="28"/>
          <w:szCs w:val="28"/>
        </w:rPr>
        <w:t>may</w:t>
      </w:r>
      <w:r w:rsidRPr="00BE4A03">
        <w:rPr>
          <w:sz w:val="28"/>
          <w:szCs w:val="28"/>
        </w:rPr>
        <w:t xml:space="preserve"> </w:t>
      </w:r>
      <w:r w:rsidR="00CE6AA7">
        <w:rPr>
          <w:sz w:val="28"/>
          <w:szCs w:val="28"/>
        </w:rPr>
        <w:t>review</w:t>
      </w:r>
      <w:r w:rsidRPr="00BE4A03">
        <w:rPr>
          <w:sz w:val="28"/>
          <w:szCs w:val="28"/>
        </w:rPr>
        <w:t xml:space="preserve"> ITAR § 126.10, which describes DDTC’s policy regarding </w:t>
      </w:r>
      <w:r w:rsidR="00651766">
        <w:rPr>
          <w:sz w:val="28"/>
          <w:szCs w:val="28"/>
        </w:rPr>
        <w:t>the disclosure of information.</w:t>
      </w:r>
    </w:p>
    <w:p w14:paraId="4A9FA70B" w14:textId="77777777" w:rsidR="000C5C62" w:rsidRPr="00820E94" w:rsidRDefault="000C5C62" w:rsidP="004134BF">
      <w:pPr>
        <w:spacing w:line="360" w:lineRule="auto"/>
        <w:rPr>
          <w:sz w:val="28"/>
          <w:szCs w:val="28"/>
        </w:rPr>
      </w:pPr>
    </w:p>
    <w:p w14:paraId="69D8248A" w14:textId="77777777" w:rsidR="00C02E14" w:rsidRPr="00C02E14" w:rsidRDefault="00C02E14" w:rsidP="004134BF">
      <w:pPr>
        <w:spacing w:line="360" w:lineRule="auto"/>
        <w:rPr>
          <w:sz w:val="28"/>
          <w:szCs w:val="28"/>
          <w:u w:val="single"/>
        </w:rPr>
      </w:pPr>
      <w:r>
        <w:rPr>
          <w:sz w:val="28"/>
          <w:szCs w:val="28"/>
        </w:rPr>
        <w:t>11.</w:t>
      </w:r>
      <w:r w:rsidR="000C5C62" w:rsidRPr="00820E94">
        <w:rPr>
          <w:sz w:val="28"/>
          <w:szCs w:val="28"/>
        </w:rPr>
        <w:t xml:space="preserve"> </w:t>
      </w:r>
      <w:r w:rsidRPr="005B0F33">
        <w:rPr>
          <w:sz w:val="28"/>
          <w:szCs w:val="28"/>
          <w:u w:val="single"/>
        </w:rPr>
        <w:t>Are any questions of a sensitive nature asked?</w:t>
      </w:r>
    </w:p>
    <w:p w14:paraId="23FEB048" w14:textId="77777777" w:rsidR="000C5C62" w:rsidRPr="00820E94" w:rsidRDefault="00480DC0" w:rsidP="004134BF">
      <w:pPr>
        <w:spacing w:line="360" w:lineRule="auto"/>
        <w:rPr>
          <w:sz w:val="28"/>
          <w:szCs w:val="28"/>
        </w:rPr>
      </w:pPr>
      <w:r w:rsidRPr="00FE0CCD">
        <w:rPr>
          <w:sz w:val="28"/>
          <w:szCs w:val="28"/>
        </w:rPr>
        <w:t xml:space="preserve">The Department of State is not soliciting any information regarding </w:t>
      </w:r>
      <w:r w:rsidR="00F011D3">
        <w:rPr>
          <w:sz w:val="28"/>
          <w:szCs w:val="28"/>
        </w:rPr>
        <w:t xml:space="preserve">sexual behaviors, religious practices or attitudes, or other </w:t>
      </w:r>
      <w:r w:rsidRPr="00FE0CCD">
        <w:rPr>
          <w:sz w:val="28"/>
          <w:szCs w:val="28"/>
        </w:rPr>
        <w:t>matters commonly considered private</w:t>
      </w:r>
      <w:r w:rsidR="000C5C62" w:rsidRPr="00820E94">
        <w:rPr>
          <w:sz w:val="28"/>
          <w:szCs w:val="28"/>
        </w:rPr>
        <w:t>.</w:t>
      </w:r>
    </w:p>
    <w:p w14:paraId="7CBD6E14" w14:textId="77777777" w:rsidR="0035739E" w:rsidRPr="00820E94" w:rsidRDefault="0035739E" w:rsidP="004134BF">
      <w:pPr>
        <w:spacing w:line="360" w:lineRule="auto"/>
        <w:rPr>
          <w:sz w:val="28"/>
          <w:szCs w:val="28"/>
        </w:rPr>
      </w:pPr>
    </w:p>
    <w:p w14:paraId="0A34F0C0" w14:textId="77777777" w:rsidR="00C02E14" w:rsidRPr="006F022E" w:rsidRDefault="006F022E" w:rsidP="004134BF">
      <w:pPr>
        <w:spacing w:line="360" w:lineRule="auto"/>
        <w:ind w:left="450" w:hanging="450"/>
        <w:rPr>
          <w:sz w:val="28"/>
          <w:szCs w:val="28"/>
        </w:rPr>
      </w:pPr>
      <w:r>
        <w:rPr>
          <w:sz w:val="28"/>
          <w:szCs w:val="28"/>
        </w:rPr>
        <w:t>12.</w:t>
      </w:r>
      <w:r w:rsidRPr="006F022E">
        <w:rPr>
          <w:sz w:val="28"/>
          <w:szCs w:val="28"/>
        </w:rPr>
        <w:t xml:space="preserve"> </w:t>
      </w:r>
      <w:r w:rsidR="00C02E14" w:rsidRPr="006F022E">
        <w:rPr>
          <w:sz w:val="28"/>
          <w:szCs w:val="28"/>
          <w:u w:val="single"/>
        </w:rPr>
        <w:t>Describe the hour time burden and the hour cost burden on the respondent needed to complete this collection.</w:t>
      </w:r>
    </w:p>
    <w:p w14:paraId="2C04B66A" w14:textId="50022A43" w:rsidR="000E766C" w:rsidRDefault="004A0744" w:rsidP="004134BF">
      <w:pPr>
        <w:spacing w:line="360" w:lineRule="auto"/>
        <w:rPr>
          <w:sz w:val="28"/>
          <w:szCs w:val="28"/>
        </w:rPr>
      </w:pPr>
      <w:r>
        <w:rPr>
          <w:sz w:val="28"/>
          <w:szCs w:val="28"/>
        </w:rPr>
        <w:t>This information collection</w:t>
      </w:r>
      <w:r w:rsidR="00D2761D">
        <w:rPr>
          <w:sz w:val="28"/>
          <w:szCs w:val="28"/>
        </w:rPr>
        <w:t xml:space="preserve"> is estimated to take an average of 2 hours to execute, and DDTC expe</w:t>
      </w:r>
      <w:r>
        <w:rPr>
          <w:sz w:val="28"/>
          <w:szCs w:val="28"/>
        </w:rPr>
        <w:t>cts to receive approximately 1,700</w:t>
      </w:r>
      <w:r w:rsidR="00D2761D">
        <w:rPr>
          <w:sz w:val="28"/>
          <w:szCs w:val="28"/>
        </w:rPr>
        <w:t xml:space="preserve"> </w:t>
      </w:r>
      <w:r w:rsidR="007B31B6">
        <w:rPr>
          <w:sz w:val="28"/>
          <w:szCs w:val="28"/>
        </w:rPr>
        <w:t xml:space="preserve">submissions </w:t>
      </w:r>
      <w:r w:rsidR="00D2761D">
        <w:rPr>
          <w:sz w:val="28"/>
          <w:szCs w:val="28"/>
        </w:rPr>
        <w:t xml:space="preserve">per year; therefore, the total burden for </w:t>
      </w:r>
      <w:r>
        <w:rPr>
          <w:sz w:val="28"/>
          <w:szCs w:val="28"/>
        </w:rPr>
        <w:t>this collection will be 3,400</w:t>
      </w:r>
      <w:r w:rsidR="00D2761D">
        <w:rPr>
          <w:sz w:val="28"/>
          <w:szCs w:val="28"/>
        </w:rPr>
        <w:t xml:space="preserve"> hours per year. </w:t>
      </w:r>
    </w:p>
    <w:p w14:paraId="4BD6D0FB" w14:textId="77777777" w:rsidR="004A0744" w:rsidRDefault="004A0744" w:rsidP="004134BF">
      <w:pPr>
        <w:spacing w:line="360" w:lineRule="auto"/>
        <w:rPr>
          <w:sz w:val="28"/>
          <w:szCs w:val="28"/>
        </w:rPr>
      </w:pPr>
    </w:p>
    <w:p w14:paraId="0B1C0A2C" w14:textId="77777777" w:rsidR="000E766C" w:rsidRPr="00820E94" w:rsidRDefault="000E766C" w:rsidP="004134BF">
      <w:pPr>
        <w:spacing w:line="360" w:lineRule="auto"/>
        <w:rPr>
          <w:sz w:val="28"/>
          <w:szCs w:val="28"/>
        </w:rPr>
      </w:pPr>
      <w:r>
        <w:rPr>
          <w:sz w:val="28"/>
          <w:szCs w:val="28"/>
        </w:rPr>
        <w:t xml:space="preserve">According to the US Department of Labor Bureau of Labor Statistics, the </w:t>
      </w:r>
      <w:r w:rsidR="006B0CE9">
        <w:rPr>
          <w:sz w:val="28"/>
          <w:szCs w:val="28"/>
        </w:rPr>
        <w:t xml:space="preserve">weighted </w:t>
      </w:r>
      <w:r>
        <w:rPr>
          <w:sz w:val="28"/>
          <w:szCs w:val="28"/>
        </w:rPr>
        <w:t>median hourly wage for “Compliance Officers” in the United States is $</w:t>
      </w:r>
      <w:r w:rsidR="006B0CE9">
        <w:rPr>
          <w:sz w:val="28"/>
          <w:szCs w:val="28"/>
        </w:rPr>
        <w:t>43.75</w:t>
      </w:r>
      <w:r>
        <w:rPr>
          <w:sz w:val="28"/>
          <w:szCs w:val="28"/>
        </w:rPr>
        <w:t xml:space="preserve"> per hour</w:t>
      </w:r>
      <w:r w:rsidR="006B0CE9">
        <w:rPr>
          <w:sz w:val="28"/>
          <w:szCs w:val="28"/>
        </w:rPr>
        <w:t xml:space="preserve"> ($31.25 hourly wage x 1.4 multiplier = $43.75)</w:t>
      </w:r>
      <w:r>
        <w:rPr>
          <w:sz w:val="28"/>
          <w:szCs w:val="28"/>
        </w:rPr>
        <w:t xml:space="preserve">. </w:t>
      </w:r>
      <w:r w:rsidR="001F6F9A">
        <w:rPr>
          <w:sz w:val="28"/>
          <w:szCs w:val="28"/>
        </w:rPr>
        <w:t xml:space="preserve"> </w:t>
      </w:r>
      <w:r w:rsidR="000B360E">
        <w:rPr>
          <w:sz w:val="28"/>
          <w:szCs w:val="28"/>
        </w:rPr>
        <w:t>Multiplied by the average annual hourly burden</w:t>
      </w:r>
      <w:r w:rsidR="004A0744">
        <w:rPr>
          <w:sz w:val="28"/>
          <w:szCs w:val="28"/>
        </w:rPr>
        <w:t xml:space="preserve"> of 3,400</w:t>
      </w:r>
      <w:r w:rsidR="00E70F63">
        <w:rPr>
          <w:sz w:val="28"/>
          <w:szCs w:val="28"/>
        </w:rPr>
        <w:t xml:space="preserve"> hours</w:t>
      </w:r>
      <w:r w:rsidR="000B360E">
        <w:rPr>
          <w:sz w:val="28"/>
          <w:szCs w:val="28"/>
        </w:rPr>
        <w:t>, the hour-cost burden for this</w:t>
      </w:r>
      <w:r w:rsidR="00D2761D">
        <w:rPr>
          <w:sz w:val="28"/>
          <w:szCs w:val="28"/>
        </w:rPr>
        <w:t xml:space="preserve"> infor</w:t>
      </w:r>
      <w:r w:rsidR="006B0CE9">
        <w:rPr>
          <w:sz w:val="28"/>
          <w:szCs w:val="28"/>
        </w:rPr>
        <w:t>mation collection is $148,750</w:t>
      </w:r>
      <w:r w:rsidR="004A0744">
        <w:rPr>
          <w:sz w:val="28"/>
          <w:szCs w:val="28"/>
        </w:rPr>
        <w:t>.00</w:t>
      </w:r>
      <w:r w:rsidR="000B360E">
        <w:rPr>
          <w:sz w:val="28"/>
          <w:szCs w:val="28"/>
        </w:rPr>
        <w:t xml:space="preserve"> per year.</w:t>
      </w:r>
    </w:p>
    <w:p w14:paraId="4DBEFD6B" w14:textId="77777777" w:rsidR="006F022E" w:rsidRDefault="006F022E" w:rsidP="004134BF">
      <w:pPr>
        <w:spacing w:line="360" w:lineRule="auto"/>
        <w:rPr>
          <w:sz w:val="28"/>
          <w:szCs w:val="28"/>
        </w:rPr>
      </w:pPr>
    </w:p>
    <w:p w14:paraId="330CDDFE" w14:textId="77777777" w:rsidR="006F022E" w:rsidRPr="006F022E" w:rsidRDefault="006F022E" w:rsidP="004134BF">
      <w:pPr>
        <w:spacing w:line="360" w:lineRule="auto"/>
        <w:ind w:left="450" w:hanging="450"/>
        <w:rPr>
          <w:sz w:val="28"/>
          <w:szCs w:val="28"/>
          <w:u w:val="single"/>
        </w:rPr>
      </w:pPr>
      <w:r>
        <w:rPr>
          <w:sz w:val="28"/>
          <w:szCs w:val="28"/>
        </w:rPr>
        <w:t xml:space="preserve">13. </w:t>
      </w:r>
      <w:r w:rsidRPr="005B0F33">
        <w:rPr>
          <w:sz w:val="28"/>
          <w:szCs w:val="28"/>
          <w:u w:val="single"/>
        </w:rPr>
        <w:t>Describe any monetary burden on the respondent needed to complete this collection.</w:t>
      </w:r>
    </w:p>
    <w:p w14:paraId="584CC0D4" w14:textId="2F1A46DA" w:rsidR="002A510F" w:rsidRPr="002A510F" w:rsidRDefault="002A510F" w:rsidP="002A510F">
      <w:pPr>
        <w:spacing w:line="360" w:lineRule="auto"/>
        <w:rPr>
          <w:sz w:val="28"/>
          <w:szCs w:val="28"/>
        </w:rPr>
      </w:pPr>
      <w:r w:rsidRPr="002A510F">
        <w:rPr>
          <w:sz w:val="28"/>
          <w:szCs w:val="28"/>
        </w:rPr>
        <w:t xml:space="preserve">Respondents primarily utilize mail services such as UPS and FedEx to </w:t>
      </w:r>
      <w:r>
        <w:rPr>
          <w:sz w:val="28"/>
          <w:szCs w:val="28"/>
        </w:rPr>
        <w:t>submit documents</w:t>
      </w:r>
      <w:r w:rsidRPr="002A510F">
        <w:rPr>
          <w:sz w:val="28"/>
          <w:szCs w:val="28"/>
        </w:rPr>
        <w:t xml:space="preserve"> to DDTC.  DDTC estimates the </w:t>
      </w:r>
      <w:r>
        <w:rPr>
          <w:sz w:val="28"/>
          <w:szCs w:val="28"/>
        </w:rPr>
        <w:t xml:space="preserve">average </w:t>
      </w:r>
      <w:r w:rsidRPr="002A510F">
        <w:rPr>
          <w:sz w:val="28"/>
          <w:szCs w:val="28"/>
        </w:rPr>
        <w:t>monetary cost to respondents</w:t>
      </w:r>
      <w:r>
        <w:rPr>
          <w:sz w:val="28"/>
          <w:szCs w:val="28"/>
        </w:rPr>
        <w:t xml:space="preserve"> (the cost of shipping)</w:t>
      </w:r>
      <w:r w:rsidRPr="002A510F">
        <w:rPr>
          <w:sz w:val="28"/>
          <w:szCs w:val="28"/>
        </w:rPr>
        <w:t xml:space="preserve"> per submission to be approximately $35.00.  Therefore, the annual monetary burden to respondents is estimated to be $5</w:t>
      </w:r>
      <w:r>
        <w:rPr>
          <w:sz w:val="28"/>
          <w:szCs w:val="28"/>
        </w:rPr>
        <w:t>9</w:t>
      </w:r>
      <w:r w:rsidRPr="002A510F">
        <w:rPr>
          <w:sz w:val="28"/>
          <w:szCs w:val="28"/>
        </w:rPr>
        <w:t>,500</w:t>
      </w:r>
      <w:r w:rsidR="007B31B6">
        <w:rPr>
          <w:sz w:val="28"/>
          <w:szCs w:val="28"/>
        </w:rPr>
        <w:t>, based on 1,700 submissions per year</w:t>
      </w:r>
      <w:r w:rsidRPr="002A510F">
        <w:rPr>
          <w:sz w:val="28"/>
          <w:szCs w:val="28"/>
        </w:rPr>
        <w:t>.</w:t>
      </w:r>
    </w:p>
    <w:p w14:paraId="138E78B5" w14:textId="77777777" w:rsidR="002A510F" w:rsidRPr="002A510F" w:rsidRDefault="002A510F" w:rsidP="002A510F">
      <w:pPr>
        <w:spacing w:line="360" w:lineRule="auto"/>
        <w:rPr>
          <w:sz w:val="28"/>
          <w:szCs w:val="28"/>
        </w:rPr>
      </w:pPr>
    </w:p>
    <w:p w14:paraId="241CB0B1" w14:textId="32089FF5" w:rsidR="00A7230B" w:rsidRDefault="002A510F" w:rsidP="004134BF">
      <w:pPr>
        <w:spacing w:line="360" w:lineRule="auto"/>
        <w:rPr>
          <w:sz w:val="28"/>
          <w:szCs w:val="28"/>
        </w:rPr>
      </w:pPr>
      <w:r w:rsidRPr="002A510F">
        <w:rPr>
          <w:sz w:val="28"/>
          <w:szCs w:val="28"/>
        </w:rPr>
        <w:t>The monetary burden to respondents will decrease once the electronic DS-778</w:t>
      </w:r>
      <w:r>
        <w:rPr>
          <w:sz w:val="28"/>
          <w:szCs w:val="28"/>
        </w:rPr>
        <w:t>9</w:t>
      </w:r>
      <w:r w:rsidRPr="002A510F">
        <w:rPr>
          <w:sz w:val="28"/>
          <w:szCs w:val="28"/>
        </w:rPr>
        <w:t xml:space="preserve"> is launched.  Respondents who elect to submit </w:t>
      </w:r>
      <w:r>
        <w:rPr>
          <w:sz w:val="28"/>
          <w:szCs w:val="28"/>
        </w:rPr>
        <w:t>e</w:t>
      </w:r>
      <w:r w:rsidRPr="002A510F">
        <w:rPr>
          <w:sz w:val="28"/>
          <w:szCs w:val="28"/>
        </w:rPr>
        <w:t>lectronically will save, on average, $35.00 per response because there will be no costs associated with electronic submission</w:t>
      </w:r>
      <w:r>
        <w:rPr>
          <w:sz w:val="28"/>
          <w:szCs w:val="28"/>
        </w:rPr>
        <w:t xml:space="preserve"> other than what is usual and customary for their business practices</w:t>
      </w:r>
      <w:r w:rsidRPr="002A510F">
        <w:rPr>
          <w:sz w:val="28"/>
          <w:szCs w:val="28"/>
        </w:rPr>
        <w:t xml:space="preserve">.  </w:t>
      </w:r>
    </w:p>
    <w:p w14:paraId="256A510B" w14:textId="77777777" w:rsidR="00A7230B" w:rsidRDefault="00A7230B" w:rsidP="004134BF">
      <w:pPr>
        <w:spacing w:line="360" w:lineRule="auto"/>
        <w:rPr>
          <w:sz w:val="28"/>
          <w:szCs w:val="28"/>
        </w:rPr>
      </w:pPr>
    </w:p>
    <w:p w14:paraId="6851D7A1" w14:textId="04FE3A2E" w:rsidR="006F022E" w:rsidRDefault="006F022E" w:rsidP="004134BF">
      <w:pPr>
        <w:spacing w:line="360" w:lineRule="auto"/>
        <w:rPr>
          <w:sz w:val="28"/>
          <w:szCs w:val="28"/>
        </w:rPr>
      </w:pPr>
      <w:r>
        <w:rPr>
          <w:sz w:val="28"/>
          <w:szCs w:val="28"/>
        </w:rPr>
        <w:t xml:space="preserve">14. </w:t>
      </w:r>
      <w:r w:rsidRPr="005B0F33">
        <w:rPr>
          <w:sz w:val="28"/>
          <w:szCs w:val="28"/>
          <w:u w:val="single"/>
        </w:rPr>
        <w:t xml:space="preserve">Describe the </w:t>
      </w:r>
      <w:r>
        <w:rPr>
          <w:sz w:val="28"/>
          <w:szCs w:val="28"/>
          <w:u w:val="single"/>
        </w:rPr>
        <w:t xml:space="preserve">cost to the Federal Government </w:t>
      </w:r>
      <w:r w:rsidRPr="005B0F33">
        <w:rPr>
          <w:sz w:val="28"/>
          <w:szCs w:val="28"/>
          <w:u w:val="single"/>
        </w:rPr>
        <w:t>to complete this collection.</w:t>
      </w:r>
      <w:r w:rsidR="00BB6D5A">
        <w:rPr>
          <w:sz w:val="28"/>
          <w:szCs w:val="28"/>
        </w:rPr>
        <w:t xml:space="preserve"> </w:t>
      </w:r>
      <w:r w:rsidR="00BB6D5A">
        <w:rPr>
          <w:sz w:val="28"/>
          <w:szCs w:val="28"/>
        </w:rPr>
        <w:tab/>
      </w:r>
    </w:p>
    <w:p w14:paraId="1123BF6B" w14:textId="4F2ACB5B" w:rsidR="00BC0241" w:rsidRDefault="0090670E" w:rsidP="004134BF">
      <w:pPr>
        <w:spacing w:line="360" w:lineRule="auto"/>
        <w:rPr>
          <w:sz w:val="28"/>
          <w:szCs w:val="28"/>
        </w:rPr>
      </w:pPr>
      <w:r>
        <w:rPr>
          <w:sz w:val="28"/>
          <w:szCs w:val="28"/>
        </w:rPr>
        <w:t>Two employees</w:t>
      </w:r>
      <w:r w:rsidR="00B34898">
        <w:rPr>
          <w:sz w:val="28"/>
          <w:szCs w:val="28"/>
        </w:rPr>
        <w:t xml:space="preserve"> (GS-1</w:t>
      </w:r>
      <w:r w:rsidR="007B5F41">
        <w:rPr>
          <w:sz w:val="28"/>
          <w:szCs w:val="28"/>
        </w:rPr>
        <w:t>3</w:t>
      </w:r>
      <w:r w:rsidR="00B34898">
        <w:rPr>
          <w:sz w:val="28"/>
          <w:szCs w:val="28"/>
        </w:rPr>
        <w:t xml:space="preserve"> or equivalent)</w:t>
      </w:r>
      <w:r>
        <w:rPr>
          <w:sz w:val="28"/>
          <w:szCs w:val="28"/>
        </w:rPr>
        <w:t xml:space="preserve"> spend all of their time reviewing and processing material change, merger, acquisition, and divestiture responses</w:t>
      </w:r>
      <w:r w:rsidR="00B34898">
        <w:rPr>
          <w:sz w:val="28"/>
          <w:szCs w:val="28"/>
        </w:rPr>
        <w:t>.  At an average annual cost of $1</w:t>
      </w:r>
      <w:r w:rsidR="007B5F41">
        <w:rPr>
          <w:sz w:val="28"/>
          <w:szCs w:val="28"/>
        </w:rPr>
        <w:t>09,015</w:t>
      </w:r>
      <w:r w:rsidR="00B34898">
        <w:rPr>
          <w:sz w:val="28"/>
          <w:szCs w:val="28"/>
        </w:rPr>
        <w:t xml:space="preserve"> per employee, DDTC estimates the total cost to the Federal Government to be $2</w:t>
      </w:r>
      <w:r w:rsidR="007B5F41">
        <w:rPr>
          <w:sz w:val="28"/>
          <w:szCs w:val="28"/>
        </w:rPr>
        <w:t>18,030</w:t>
      </w:r>
      <w:r w:rsidR="00B34898">
        <w:rPr>
          <w:sz w:val="28"/>
          <w:szCs w:val="28"/>
        </w:rPr>
        <w:t>.</w:t>
      </w:r>
      <w:r w:rsidR="007B5F41">
        <w:rPr>
          <w:sz w:val="28"/>
          <w:szCs w:val="28"/>
        </w:rPr>
        <w:t xml:space="preserve">  </w:t>
      </w:r>
    </w:p>
    <w:p w14:paraId="124FCD77" w14:textId="77777777" w:rsidR="00BC0241" w:rsidRDefault="00BC0241" w:rsidP="004134BF">
      <w:pPr>
        <w:spacing w:line="360" w:lineRule="auto"/>
        <w:rPr>
          <w:sz w:val="28"/>
          <w:szCs w:val="28"/>
        </w:rPr>
      </w:pPr>
    </w:p>
    <w:p w14:paraId="32FA10AC" w14:textId="37C8300F" w:rsidR="000C5C62" w:rsidRPr="00820E94" w:rsidRDefault="007B5F41" w:rsidP="004134BF">
      <w:pPr>
        <w:spacing w:line="360" w:lineRule="auto"/>
        <w:rPr>
          <w:sz w:val="28"/>
          <w:szCs w:val="28"/>
        </w:rPr>
      </w:pPr>
      <w:r>
        <w:rPr>
          <w:sz w:val="28"/>
          <w:szCs w:val="28"/>
        </w:rPr>
        <w:t>DDTC expects this cost to</w:t>
      </w:r>
      <w:r w:rsidR="00BC0241">
        <w:rPr>
          <w:sz w:val="28"/>
          <w:szCs w:val="28"/>
        </w:rPr>
        <w:t xml:space="preserve"> decrease as respondents choose</w:t>
      </w:r>
      <w:r>
        <w:rPr>
          <w:sz w:val="28"/>
          <w:szCs w:val="28"/>
        </w:rPr>
        <w:t xml:space="preserve"> to submit documents electronically.</w:t>
      </w:r>
      <w:r w:rsidR="00BC0241">
        <w:rPr>
          <w:sz w:val="28"/>
          <w:szCs w:val="28"/>
        </w:rPr>
        <w:t xml:space="preserve">  Electronic submission</w:t>
      </w:r>
      <w:r>
        <w:rPr>
          <w:sz w:val="28"/>
          <w:szCs w:val="28"/>
        </w:rPr>
        <w:t xml:space="preserve"> will </w:t>
      </w:r>
      <w:r w:rsidR="00BC0241">
        <w:rPr>
          <w:sz w:val="28"/>
          <w:szCs w:val="28"/>
        </w:rPr>
        <w:t xml:space="preserve">prompt respondents to provide all of the information necessary for DDTC review, </w:t>
      </w:r>
      <w:r>
        <w:rPr>
          <w:sz w:val="28"/>
          <w:szCs w:val="28"/>
        </w:rPr>
        <w:t>significantly reduc</w:t>
      </w:r>
      <w:r w:rsidR="00BC0241">
        <w:rPr>
          <w:sz w:val="28"/>
          <w:szCs w:val="28"/>
        </w:rPr>
        <w:t>ing</w:t>
      </w:r>
      <w:r>
        <w:rPr>
          <w:sz w:val="28"/>
          <w:szCs w:val="28"/>
        </w:rPr>
        <w:t xml:space="preserve"> the amount </w:t>
      </w:r>
      <w:r w:rsidR="00BC0241">
        <w:rPr>
          <w:sz w:val="28"/>
          <w:szCs w:val="28"/>
        </w:rPr>
        <w:t xml:space="preserve">of </w:t>
      </w:r>
      <w:r>
        <w:rPr>
          <w:sz w:val="28"/>
          <w:szCs w:val="28"/>
        </w:rPr>
        <w:t>unintentional omissions and errors made by respondents</w:t>
      </w:r>
      <w:r w:rsidR="00BC0241">
        <w:rPr>
          <w:sz w:val="28"/>
          <w:szCs w:val="28"/>
        </w:rPr>
        <w:t>.</w:t>
      </w:r>
      <w:r>
        <w:rPr>
          <w:sz w:val="28"/>
          <w:szCs w:val="28"/>
        </w:rPr>
        <w:t xml:space="preserve"> </w:t>
      </w:r>
      <w:r w:rsidR="00BC0241">
        <w:rPr>
          <w:sz w:val="28"/>
          <w:szCs w:val="28"/>
        </w:rPr>
        <w:t>This, in turn, will minimize</w:t>
      </w:r>
      <w:r>
        <w:rPr>
          <w:sz w:val="28"/>
          <w:szCs w:val="28"/>
        </w:rPr>
        <w:t xml:space="preserve"> the amount of time spent by analysts conducting follow-up requests and revi</w:t>
      </w:r>
      <w:r w:rsidR="00BC0241">
        <w:rPr>
          <w:sz w:val="28"/>
          <w:szCs w:val="28"/>
        </w:rPr>
        <w:t>ewing incomplete submissions</w:t>
      </w:r>
      <w:r>
        <w:rPr>
          <w:sz w:val="28"/>
          <w:szCs w:val="28"/>
        </w:rPr>
        <w:t>.</w:t>
      </w:r>
      <w:r w:rsidR="00BC0241">
        <w:rPr>
          <w:sz w:val="28"/>
          <w:szCs w:val="28"/>
        </w:rPr>
        <w:t xml:space="preserve">  As a result, DDTC anticipates the cost to the Federal Government could decrease by as much as 25% with the advent of electronic submission.</w:t>
      </w:r>
    </w:p>
    <w:p w14:paraId="7AB3CAF7" w14:textId="77777777" w:rsidR="00A7230B" w:rsidRDefault="00A7230B" w:rsidP="00CC0425">
      <w:pPr>
        <w:spacing w:line="360" w:lineRule="auto"/>
        <w:ind w:left="450" w:hanging="450"/>
        <w:rPr>
          <w:sz w:val="28"/>
          <w:szCs w:val="28"/>
        </w:rPr>
      </w:pPr>
    </w:p>
    <w:p w14:paraId="3E5E6B01" w14:textId="77777777" w:rsidR="006F022E" w:rsidRPr="006F022E" w:rsidRDefault="006F022E" w:rsidP="004134BF">
      <w:pPr>
        <w:spacing w:line="360" w:lineRule="auto"/>
        <w:ind w:left="450" w:hanging="450"/>
        <w:rPr>
          <w:sz w:val="28"/>
          <w:szCs w:val="28"/>
          <w:u w:val="single"/>
        </w:rPr>
      </w:pPr>
      <w:r>
        <w:rPr>
          <w:sz w:val="28"/>
          <w:szCs w:val="28"/>
        </w:rPr>
        <w:t xml:space="preserve">15. </w:t>
      </w:r>
      <w:r w:rsidRPr="005B0F33">
        <w:rPr>
          <w:sz w:val="28"/>
          <w:szCs w:val="28"/>
          <w:u w:val="single"/>
        </w:rPr>
        <w:t>Explain any changes/adjustments to this collection since the previous submission.</w:t>
      </w:r>
    </w:p>
    <w:p w14:paraId="473BDB02" w14:textId="74895185" w:rsidR="000C5C62" w:rsidRPr="00D372D3" w:rsidRDefault="00663B0E" w:rsidP="004134BF">
      <w:pPr>
        <w:spacing w:line="360" w:lineRule="auto"/>
        <w:rPr>
          <w:sz w:val="28"/>
          <w:szCs w:val="28"/>
        </w:rPr>
      </w:pPr>
      <w:bookmarkStart w:id="0" w:name="_GoBack"/>
      <w:r>
        <w:rPr>
          <w:sz w:val="28"/>
          <w:szCs w:val="28"/>
        </w:rPr>
        <w:t>This is a new information collection request</w:t>
      </w:r>
      <w:r w:rsidR="00BC0241">
        <w:rPr>
          <w:sz w:val="28"/>
          <w:szCs w:val="28"/>
        </w:rPr>
        <w:t xml:space="preserve">; however, this collection has </w:t>
      </w:r>
      <w:r w:rsidR="00B32F6C">
        <w:rPr>
          <w:sz w:val="28"/>
          <w:szCs w:val="28"/>
        </w:rPr>
        <w:t>b</w:t>
      </w:r>
      <w:r w:rsidR="00BC0241">
        <w:rPr>
          <w:sz w:val="28"/>
          <w:szCs w:val="28"/>
        </w:rPr>
        <w:t xml:space="preserve">een in place without </w:t>
      </w:r>
      <w:r w:rsidR="00B32F6C">
        <w:rPr>
          <w:sz w:val="28"/>
          <w:szCs w:val="28"/>
        </w:rPr>
        <w:t>a valid OMB control number.  Approval of this</w:t>
      </w:r>
      <w:r w:rsidR="00BC0241">
        <w:rPr>
          <w:sz w:val="28"/>
          <w:szCs w:val="28"/>
        </w:rPr>
        <w:t xml:space="preserve"> collection </w:t>
      </w:r>
      <w:r w:rsidR="00B32F6C">
        <w:rPr>
          <w:sz w:val="28"/>
          <w:szCs w:val="28"/>
        </w:rPr>
        <w:t>will</w:t>
      </w:r>
      <w:r w:rsidR="00BC0241">
        <w:rPr>
          <w:sz w:val="28"/>
          <w:szCs w:val="28"/>
        </w:rPr>
        <w:t xml:space="preserve"> not impose new burden on the </w:t>
      </w:r>
      <w:r w:rsidR="00B32F6C">
        <w:rPr>
          <w:sz w:val="28"/>
          <w:szCs w:val="28"/>
        </w:rPr>
        <w:t>public nor will costs to the Federal government increase as a result of this “new” collection</w:t>
      </w:r>
      <w:r w:rsidR="00BC0241">
        <w:rPr>
          <w:sz w:val="28"/>
          <w:szCs w:val="28"/>
        </w:rPr>
        <w:t>.</w:t>
      </w:r>
      <w:bookmarkEnd w:id="0"/>
      <w:r w:rsidR="00BC0241">
        <w:rPr>
          <w:sz w:val="28"/>
          <w:szCs w:val="28"/>
        </w:rPr>
        <w:t xml:space="preserve">  </w:t>
      </w:r>
    </w:p>
    <w:p w14:paraId="5E4DA6CE" w14:textId="77777777" w:rsidR="000C5C62" w:rsidRPr="00820E94" w:rsidRDefault="000C5C62" w:rsidP="004134BF">
      <w:pPr>
        <w:spacing w:line="360" w:lineRule="auto"/>
        <w:rPr>
          <w:sz w:val="28"/>
          <w:szCs w:val="28"/>
        </w:rPr>
      </w:pPr>
    </w:p>
    <w:p w14:paraId="640506D3" w14:textId="77777777" w:rsidR="006F022E" w:rsidRDefault="006F022E" w:rsidP="004134BF">
      <w:pPr>
        <w:spacing w:line="360" w:lineRule="auto"/>
        <w:rPr>
          <w:sz w:val="28"/>
          <w:szCs w:val="28"/>
        </w:rPr>
      </w:pPr>
      <w:r>
        <w:rPr>
          <w:sz w:val="28"/>
          <w:szCs w:val="28"/>
        </w:rPr>
        <w:t xml:space="preserve">16. </w:t>
      </w:r>
      <w:r w:rsidRPr="005B0F33">
        <w:rPr>
          <w:sz w:val="28"/>
          <w:szCs w:val="28"/>
          <w:u w:val="single"/>
        </w:rPr>
        <w:t>Specify if the data gathered by this collection will be published.</w:t>
      </w:r>
    </w:p>
    <w:p w14:paraId="06E23735" w14:textId="28135DE8" w:rsidR="00D4208D" w:rsidRDefault="00BE3BB9" w:rsidP="004134BF">
      <w:pPr>
        <w:spacing w:line="360" w:lineRule="auto"/>
        <w:rPr>
          <w:sz w:val="28"/>
          <w:szCs w:val="28"/>
        </w:rPr>
      </w:pPr>
      <w:r>
        <w:rPr>
          <w:sz w:val="28"/>
          <w:szCs w:val="28"/>
        </w:rPr>
        <w:t>DDTC will publish name and address changes to the DDTC website (https://www.pmddtc.state.gov/licensing/name_change.html) if it is determined that an ex</w:t>
      </w:r>
      <w:r w:rsidR="00B039F0">
        <w:rPr>
          <w:sz w:val="28"/>
          <w:szCs w:val="28"/>
        </w:rPr>
        <w:t>c</w:t>
      </w:r>
      <w:r>
        <w:rPr>
          <w:sz w:val="28"/>
          <w:szCs w:val="28"/>
        </w:rPr>
        <w:t>eption pursuant to ITAR</w:t>
      </w:r>
      <w:r w:rsidR="00D537F7">
        <w:rPr>
          <w:sz w:val="28"/>
          <w:szCs w:val="28"/>
        </w:rPr>
        <w:t xml:space="preserve"> §</w:t>
      </w:r>
      <w:r>
        <w:rPr>
          <w:sz w:val="28"/>
          <w:szCs w:val="28"/>
        </w:rPr>
        <w:t xml:space="preserve"> 126.3 is applied to waive the requirement to amend all current authorizations.  </w:t>
      </w:r>
      <w:r w:rsidR="00B039F0">
        <w:rPr>
          <w:sz w:val="28"/>
          <w:szCs w:val="28"/>
        </w:rPr>
        <w:t xml:space="preserve">Section 126.3 exceptions are very common in this context.  DDTC publishes these notices </w:t>
      </w:r>
      <w:r w:rsidR="0016664C">
        <w:rPr>
          <w:sz w:val="28"/>
          <w:szCs w:val="28"/>
        </w:rPr>
        <w:t>as they are the current</w:t>
      </w:r>
      <w:r w:rsidR="00CC0425">
        <w:rPr>
          <w:sz w:val="28"/>
          <w:szCs w:val="28"/>
        </w:rPr>
        <w:t xml:space="preserve"> </w:t>
      </w:r>
      <w:r w:rsidR="00B039F0">
        <w:rPr>
          <w:sz w:val="28"/>
          <w:szCs w:val="28"/>
        </w:rPr>
        <w:t xml:space="preserve">mechanism for letting industry know when an entity </w:t>
      </w:r>
      <w:r w:rsidR="0016664C">
        <w:rPr>
          <w:sz w:val="28"/>
          <w:szCs w:val="28"/>
        </w:rPr>
        <w:t xml:space="preserve">appearing on a license or other authorization </w:t>
      </w:r>
      <w:r w:rsidR="00B039F0">
        <w:rPr>
          <w:sz w:val="28"/>
          <w:szCs w:val="28"/>
        </w:rPr>
        <w:t xml:space="preserve">changes its name.  </w:t>
      </w:r>
      <w:r w:rsidR="0016664C">
        <w:rPr>
          <w:sz w:val="28"/>
          <w:szCs w:val="28"/>
        </w:rPr>
        <w:t xml:space="preserve">These notices serve a critical purpose with respect to notifying industry that otherwise prohibited conduct is acceptable (e.g. </w:t>
      </w:r>
      <w:proofErr w:type="gramStart"/>
      <w:r w:rsidR="0016664C">
        <w:rPr>
          <w:sz w:val="28"/>
          <w:szCs w:val="28"/>
        </w:rPr>
        <w:t>an exporter</w:t>
      </w:r>
      <w:proofErr w:type="gramEnd"/>
      <w:r w:rsidR="0016664C">
        <w:rPr>
          <w:sz w:val="28"/>
          <w:szCs w:val="28"/>
        </w:rPr>
        <w:t xml:space="preserve"> shipping under a new name that is not otherwise reflected on the license).  </w:t>
      </w:r>
      <w:r>
        <w:rPr>
          <w:sz w:val="28"/>
          <w:szCs w:val="28"/>
        </w:rPr>
        <w:t>No information will be published except what is necessary to announce the name or address change.</w:t>
      </w:r>
      <w:r w:rsidR="00B039F0">
        <w:rPr>
          <w:sz w:val="28"/>
          <w:szCs w:val="28"/>
        </w:rPr>
        <w:t xml:space="preserve">  DDTC is </w:t>
      </w:r>
      <w:r w:rsidR="0016664C">
        <w:rPr>
          <w:sz w:val="28"/>
          <w:szCs w:val="28"/>
        </w:rPr>
        <w:t xml:space="preserve">actively </w:t>
      </w:r>
      <w:r w:rsidR="00B039F0">
        <w:rPr>
          <w:sz w:val="28"/>
          <w:szCs w:val="28"/>
        </w:rPr>
        <w:t>exploring more effective automated ways to update this information.</w:t>
      </w:r>
      <w:r>
        <w:rPr>
          <w:sz w:val="28"/>
          <w:szCs w:val="28"/>
        </w:rPr>
        <w:t xml:space="preserve">  </w:t>
      </w:r>
    </w:p>
    <w:p w14:paraId="4C54577D" w14:textId="77777777" w:rsidR="000C5C62" w:rsidRPr="00820E94" w:rsidRDefault="000C5C62" w:rsidP="004134BF">
      <w:pPr>
        <w:spacing w:line="360" w:lineRule="auto"/>
        <w:rPr>
          <w:sz w:val="28"/>
          <w:szCs w:val="28"/>
        </w:rPr>
      </w:pPr>
    </w:p>
    <w:p w14:paraId="5AAD2562" w14:textId="77777777" w:rsidR="006F022E" w:rsidRPr="006F022E" w:rsidRDefault="006F022E" w:rsidP="004134BF">
      <w:pPr>
        <w:spacing w:line="360" w:lineRule="auto"/>
        <w:ind w:left="450" w:hanging="450"/>
        <w:rPr>
          <w:sz w:val="28"/>
          <w:szCs w:val="28"/>
          <w:u w:val="single"/>
        </w:rPr>
      </w:pPr>
      <w:r>
        <w:rPr>
          <w:sz w:val="28"/>
          <w:szCs w:val="28"/>
        </w:rPr>
        <w:t xml:space="preserve">17. </w:t>
      </w:r>
      <w:r w:rsidRPr="005B0F33">
        <w:rPr>
          <w:sz w:val="28"/>
          <w:szCs w:val="28"/>
          <w:u w:val="single"/>
        </w:rPr>
        <w:t>Explain the reasons for seeking approval to not display the OMB expiration date.</w:t>
      </w:r>
    </w:p>
    <w:p w14:paraId="3F800BAD" w14:textId="44FC3060" w:rsidR="000C5C62" w:rsidRPr="00820E94" w:rsidRDefault="00D46979" w:rsidP="004134BF">
      <w:pPr>
        <w:spacing w:line="360" w:lineRule="auto"/>
        <w:rPr>
          <w:sz w:val="28"/>
          <w:szCs w:val="28"/>
        </w:rPr>
      </w:pPr>
      <w:r>
        <w:rPr>
          <w:sz w:val="28"/>
          <w:szCs w:val="28"/>
        </w:rPr>
        <w:t xml:space="preserve">The Department of State </w:t>
      </w:r>
      <w:r w:rsidR="00996696">
        <w:rPr>
          <w:sz w:val="28"/>
          <w:szCs w:val="28"/>
        </w:rPr>
        <w:t>will display the OMB expiration date</w:t>
      </w:r>
      <w:r w:rsidR="002B6F59">
        <w:rPr>
          <w:sz w:val="28"/>
          <w:szCs w:val="28"/>
        </w:rPr>
        <w:t>.</w:t>
      </w:r>
    </w:p>
    <w:p w14:paraId="2E4CB4FB" w14:textId="77777777" w:rsidR="000C5C62" w:rsidRPr="00820E94" w:rsidRDefault="000C5C62" w:rsidP="004134BF">
      <w:pPr>
        <w:spacing w:line="360" w:lineRule="auto"/>
        <w:rPr>
          <w:sz w:val="28"/>
          <w:szCs w:val="28"/>
        </w:rPr>
      </w:pPr>
    </w:p>
    <w:p w14:paraId="4FC7BF73" w14:textId="77777777" w:rsidR="006F022E" w:rsidRDefault="006F022E" w:rsidP="004134BF">
      <w:pPr>
        <w:spacing w:line="360" w:lineRule="auto"/>
        <w:rPr>
          <w:sz w:val="28"/>
          <w:szCs w:val="28"/>
        </w:rPr>
      </w:pPr>
      <w:r>
        <w:rPr>
          <w:sz w:val="28"/>
          <w:szCs w:val="28"/>
        </w:rPr>
        <w:t xml:space="preserve">18. </w:t>
      </w:r>
      <w:r w:rsidRPr="005B0F33">
        <w:rPr>
          <w:sz w:val="28"/>
          <w:szCs w:val="28"/>
          <w:u w:val="single"/>
        </w:rPr>
        <w:t>Explain any exceptions to the OMB certification statement.</w:t>
      </w:r>
      <w:r w:rsidR="000C5C62" w:rsidRPr="00820E94">
        <w:rPr>
          <w:sz w:val="28"/>
          <w:szCs w:val="28"/>
        </w:rPr>
        <w:tab/>
      </w:r>
    </w:p>
    <w:p w14:paraId="3D087672" w14:textId="19D8AA8B" w:rsidR="000C5C62" w:rsidRPr="00820E94" w:rsidRDefault="00480DC0" w:rsidP="004134BF">
      <w:pPr>
        <w:spacing w:line="360" w:lineRule="auto"/>
        <w:rPr>
          <w:sz w:val="28"/>
          <w:szCs w:val="28"/>
        </w:rPr>
      </w:pPr>
      <w:r w:rsidRPr="00FE0CCD">
        <w:rPr>
          <w:sz w:val="28"/>
          <w:szCs w:val="28"/>
        </w:rPr>
        <w:t>The Department of State does not seek any exception</w:t>
      </w:r>
      <w:r w:rsidR="00D4208D">
        <w:rPr>
          <w:sz w:val="28"/>
          <w:szCs w:val="28"/>
        </w:rPr>
        <w:t>s</w:t>
      </w:r>
      <w:r w:rsidRPr="00FE0CCD">
        <w:rPr>
          <w:sz w:val="28"/>
          <w:szCs w:val="28"/>
        </w:rPr>
        <w:t xml:space="preserve"> to the </w:t>
      </w:r>
      <w:r>
        <w:rPr>
          <w:sz w:val="28"/>
          <w:szCs w:val="28"/>
        </w:rPr>
        <w:t xml:space="preserve">certification </w:t>
      </w:r>
      <w:r w:rsidRPr="00FE0CCD">
        <w:rPr>
          <w:sz w:val="28"/>
          <w:szCs w:val="28"/>
        </w:rPr>
        <w:t>statement</w:t>
      </w:r>
      <w:r w:rsidR="000C5C62" w:rsidRPr="00820E94">
        <w:rPr>
          <w:sz w:val="28"/>
          <w:szCs w:val="28"/>
        </w:rPr>
        <w:t>.</w:t>
      </w:r>
    </w:p>
    <w:p w14:paraId="08B4BAD3" w14:textId="77777777" w:rsidR="000C5C62" w:rsidRPr="00820E94" w:rsidRDefault="000C5C62" w:rsidP="004134BF">
      <w:pPr>
        <w:spacing w:line="360" w:lineRule="auto"/>
        <w:rPr>
          <w:sz w:val="28"/>
          <w:szCs w:val="28"/>
        </w:rPr>
      </w:pPr>
    </w:p>
    <w:p w14:paraId="186FE81A" w14:textId="77777777" w:rsidR="005A31A2" w:rsidRPr="00820E94" w:rsidRDefault="005A31A2" w:rsidP="004134BF">
      <w:pPr>
        <w:pStyle w:val="Heading2"/>
        <w:spacing w:line="360" w:lineRule="auto"/>
        <w:jc w:val="left"/>
        <w:rPr>
          <w:color w:val="auto"/>
          <w:sz w:val="28"/>
          <w:szCs w:val="28"/>
        </w:rPr>
      </w:pPr>
      <w:r w:rsidRPr="00820E94">
        <w:rPr>
          <w:color w:val="auto"/>
          <w:sz w:val="28"/>
          <w:szCs w:val="28"/>
        </w:rPr>
        <w:t>B.  Collections of Information Employing Statistical Methods</w:t>
      </w:r>
    </w:p>
    <w:p w14:paraId="1827F0CF" w14:textId="77777777" w:rsidR="005A31A2" w:rsidRPr="00820E94" w:rsidRDefault="005A31A2" w:rsidP="004134BF">
      <w:pPr>
        <w:spacing w:line="360" w:lineRule="auto"/>
        <w:jc w:val="center"/>
        <w:rPr>
          <w:b/>
          <w:sz w:val="28"/>
          <w:szCs w:val="28"/>
        </w:rPr>
      </w:pPr>
    </w:p>
    <w:p w14:paraId="4F4DF3FD" w14:textId="77777777" w:rsidR="000C5C62" w:rsidRPr="00820E94" w:rsidRDefault="005A31A2" w:rsidP="004134BF">
      <w:pPr>
        <w:spacing w:line="360" w:lineRule="auto"/>
        <w:rPr>
          <w:sz w:val="28"/>
          <w:szCs w:val="28"/>
        </w:rPr>
      </w:pPr>
      <w:r w:rsidRPr="00820E94">
        <w:rPr>
          <w:sz w:val="28"/>
          <w:szCs w:val="28"/>
        </w:rPr>
        <w:tab/>
        <w:t>This collection of information does not employ statistical methods.</w:t>
      </w:r>
    </w:p>
    <w:sectPr w:rsidR="000C5C62" w:rsidRPr="00820E94">
      <w:headerReference w:type="even" r:id="rId14"/>
      <w:footerReference w:type="even" r:id="rId15"/>
      <w:footerReference w:type="default" r:id="rId16"/>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3AAA9" w15:done="0"/>
  <w15:commentEx w15:paraId="746BE2C7" w15:done="0"/>
  <w15:commentEx w15:paraId="51F38121" w15:done="0"/>
  <w15:commentEx w15:paraId="7E8D375B" w15:done="0"/>
  <w15:commentEx w15:paraId="711351C8" w15:done="0"/>
  <w15:commentEx w15:paraId="24636B33" w15:done="0"/>
  <w15:commentEx w15:paraId="6E0F55AC" w15:done="0"/>
  <w15:commentEx w15:paraId="15143D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730CC" w14:textId="77777777" w:rsidR="00853BAA" w:rsidRDefault="00853BAA">
      <w:r>
        <w:separator/>
      </w:r>
    </w:p>
  </w:endnote>
  <w:endnote w:type="continuationSeparator" w:id="0">
    <w:p w14:paraId="0BB505FB" w14:textId="77777777" w:rsidR="00853BAA" w:rsidRDefault="00853BAA">
      <w:r>
        <w:continuationSeparator/>
      </w:r>
    </w:p>
  </w:endnote>
  <w:endnote w:type="continuationNotice" w:id="1">
    <w:p w14:paraId="38689E7E" w14:textId="77777777" w:rsidR="00853BAA" w:rsidRDefault="00853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4C13" w14:textId="77777777" w:rsidR="00AA6A9A" w:rsidRDefault="00AA6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931D2" w14:textId="77777777" w:rsidR="00AA6A9A" w:rsidRDefault="00AA6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BFC41" w14:textId="77777777" w:rsidR="00AA6A9A" w:rsidRDefault="00AA6A9A">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AA799A">
      <w:rPr>
        <w:rStyle w:val="PageNumber"/>
        <w:noProof/>
        <w:sz w:val="28"/>
        <w:szCs w:val="28"/>
      </w:rPr>
      <w:t>12</w:t>
    </w:r>
    <w:r>
      <w:rPr>
        <w:rStyle w:val="PageNumber"/>
        <w:sz w:val="28"/>
        <w:szCs w:val="28"/>
      </w:rPr>
      <w:fldChar w:fldCharType="end"/>
    </w:r>
  </w:p>
  <w:p w14:paraId="1FE9471F" w14:textId="77777777" w:rsidR="00AA6A9A" w:rsidRDefault="00AA6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607FB" w14:textId="77777777" w:rsidR="00853BAA" w:rsidRDefault="00853BAA">
      <w:r>
        <w:separator/>
      </w:r>
    </w:p>
  </w:footnote>
  <w:footnote w:type="continuationSeparator" w:id="0">
    <w:p w14:paraId="5A25339B" w14:textId="77777777" w:rsidR="00853BAA" w:rsidRDefault="00853BAA">
      <w:r>
        <w:continuationSeparator/>
      </w:r>
    </w:p>
  </w:footnote>
  <w:footnote w:type="continuationNotice" w:id="1">
    <w:p w14:paraId="0EC75F1B" w14:textId="77777777" w:rsidR="00853BAA" w:rsidRDefault="00853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265CA" w14:textId="77777777" w:rsidR="00AA6A9A" w:rsidRDefault="00AA6A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E7BD6A" w14:textId="77777777" w:rsidR="00AA6A9A" w:rsidRDefault="00AA6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0">
    <w:nsid w:val="5C8C395C"/>
    <w:multiLevelType w:val="hybridMultilevel"/>
    <w:tmpl w:val="80C0B108"/>
    <w:lvl w:ilvl="0" w:tplc="6AB080E0">
      <w:start w:val="12"/>
      <w:numFmt w:val="decimal"/>
      <w:lvlText w:val="%1."/>
      <w:lvlJc w:val="left"/>
      <w:pPr>
        <w:ind w:left="735" w:hanging="375"/>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2">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3">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4">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5">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5"/>
  </w:num>
  <w:num w:numId="2">
    <w:abstractNumId w:val="8"/>
  </w:num>
  <w:num w:numId="3">
    <w:abstractNumId w:val="12"/>
  </w:num>
  <w:num w:numId="4">
    <w:abstractNumId w:val="7"/>
  </w:num>
  <w:num w:numId="5">
    <w:abstractNumId w:val="1"/>
  </w:num>
  <w:num w:numId="6">
    <w:abstractNumId w:val="3"/>
  </w:num>
  <w:num w:numId="7">
    <w:abstractNumId w:val="16"/>
  </w:num>
  <w:num w:numId="8">
    <w:abstractNumId w:val="14"/>
  </w:num>
  <w:num w:numId="9">
    <w:abstractNumId w:val="6"/>
  </w:num>
  <w:num w:numId="10">
    <w:abstractNumId w:val="13"/>
  </w:num>
  <w:num w:numId="11">
    <w:abstractNumId w:val="15"/>
  </w:num>
  <w:num w:numId="12">
    <w:abstractNumId w:val="2"/>
  </w:num>
  <w:num w:numId="13">
    <w:abstractNumId w:val="9"/>
  </w:num>
  <w:num w:numId="14">
    <w:abstractNumId w:val="11"/>
  </w:num>
  <w:num w:numId="15">
    <w:abstractNumId w:val="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62"/>
    <w:rsid w:val="00007969"/>
    <w:rsid w:val="00007A9A"/>
    <w:rsid w:val="00070F5B"/>
    <w:rsid w:val="000845BE"/>
    <w:rsid w:val="00084E33"/>
    <w:rsid w:val="000943FE"/>
    <w:rsid w:val="000A3566"/>
    <w:rsid w:val="000B360E"/>
    <w:rsid w:val="000B7260"/>
    <w:rsid w:val="000C5BEC"/>
    <w:rsid w:val="000C5C62"/>
    <w:rsid w:val="000C6497"/>
    <w:rsid w:val="000D246C"/>
    <w:rsid w:val="000E1EE0"/>
    <w:rsid w:val="000E766C"/>
    <w:rsid w:val="000F1E63"/>
    <w:rsid w:val="00110F1A"/>
    <w:rsid w:val="001136DB"/>
    <w:rsid w:val="001263E9"/>
    <w:rsid w:val="001301DE"/>
    <w:rsid w:val="00150F23"/>
    <w:rsid w:val="0016664C"/>
    <w:rsid w:val="00170C2F"/>
    <w:rsid w:val="00172D4D"/>
    <w:rsid w:val="00196270"/>
    <w:rsid w:val="001A2DA8"/>
    <w:rsid w:val="001A329D"/>
    <w:rsid w:val="001A5A93"/>
    <w:rsid w:val="001B371D"/>
    <w:rsid w:val="001B3759"/>
    <w:rsid w:val="001D2758"/>
    <w:rsid w:val="001D3450"/>
    <w:rsid w:val="001D423A"/>
    <w:rsid w:val="001E5070"/>
    <w:rsid w:val="001F6F9A"/>
    <w:rsid w:val="001F7D45"/>
    <w:rsid w:val="002117B0"/>
    <w:rsid w:val="00217A22"/>
    <w:rsid w:val="002414A6"/>
    <w:rsid w:val="002427D8"/>
    <w:rsid w:val="00253CF8"/>
    <w:rsid w:val="00260F2C"/>
    <w:rsid w:val="00282625"/>
    <w:rsid w:val="002A17C6"/>
    <w:rsid w:val="002A510F"/>
    <w:rsid w:val="002B1576"/>
    <w:rsid w:val="002B2BF4"/>
    <w:rsid w:val="002B43D7"/>
    <w:rsid w:val="002B6F59"/>
    <w:rsid w:val="002C26CA"/>
    <w:rsid w:val="002C41CE"/>
    <w:rsid w:val="002C6B3D"/>
    <w:rsid w:val="002D7C48"/>
    <w:rsid w:val="002E7B90"/>
    <w:rsid w:val="00313370"/>
    <w:rsid w:val="00313F9D"/>
    <w:rsid w:val="00314C6E"/>
    <w:rsid w:val="00326A85"/>
    <w:rsid w:val="003349B0"/>
    <w:rsid w:val="0034035E"/>
    <w:rsid w:val="003451A2"/>
    <w:rsid w:val="003454E0"/>
    <w:rsid w:val="0035217A"/>
    <w:rsid w:val="0035739E"/>
    <w:rsid w:val="00365762"/>
    <w:rsid w:val="003829A9"/>
    <w:rsid w:val="003B135E"/>
    <w:rsid w:val="003C3CA8"/>
    <w:rsid w:val="003C52C1"/>
    <w:rsid w:val="004134BF"/>
    <w:rsid w:val="004229A4"/>
    <w:rsid w:val="00423692"/>
    <w:rsid w:val="00426D41"/>
    <w:rsid w:val="00432FAC"/>
    <w:rsid w:val="00441800"/>
    <w:rsid w:val="0046160D"/>
    <w:rsid w:val="00463A66"/>
    <w:rsid w:val="00473E6D"/>
    <w:rsid w:val="00480DC0"/>
    <w:rsid w:val="00481D08"/>
    <w:rsid w:val="00491D81"/>
    <w:rsid w:val="004A0744"/>
    <w:rsid w:val="004A57A9"/>
    <w:rsid w:val="004B071C"/>
    <w:rsid w:val="004C024E"/>
    <w:rsid w:val="004C6349"/>
    <w:rsid w:val="004D7A48"/>
    <w:rsid w:val="004E1440"/>
    <w:rsid w:val="004F1C46"/>
    <w:rsid w:val="004F3E84"/>
    <w:rsid w:val="00502908"/>
    <w:rsid w:val="00515A19"/>
    <w:rsid w:val="005170AD"/>
    <w:rsid w:val="005269B3"/>
    <w:rsid w:val="00527F0D"/>
    <w:rsid w:val="00537EB8"/>
    <w:rsid w:val="005412C6"/>
    <w:rsid w:val="0054196C"/>
    <w:rsid w:val="00570437"/>
    <w:rsid w:val="00576DBC"/>
    <w:rsid w:val="00591D64"/>
    <w:rsid w:val="00596F4E"/>
    <w:rsid w:val="005A31A2"/>
    <w:rsid w:val="005A7D28"/>
    <w:rsid w:val="005B3CD7"/>
    <w:rsid w:val="005B5FD1"/>
    <w:rsid w:val="005B60F9"/>
    <w:rsid w:val="005C0F76"/>
    <w:rsid w:val="005C6217"/>
    <w:rsid w:val="005D6DC5"/>
    <w:rsid w:val="005E48CC"/>
    <w:rsid w:val="00611A76"/>
    <w:rsid w:val="006130E1"/>
    <w:rsid w:val="00641AE2"/>
    <w:rsid w:val="0065119A"/>
    <w:rsid w:val="00651766"/>
    <w:rsid w:val="00653989"/>
    <w:rsid w:val="00663B0E"/>
    <w:rsid w:val="00672285"/>
    <w:rsid w:val="00683836"/>
    <w:rsid w:val="006B0CE9"/>
    <w:rsid w:val="006B59CF"/>
    <w:rsid w:val="006E5492"/>
    <w:rsid w:val="006F022E"/>
    <w:rsid w:val="006F1352"/>
    <w:rsid w:val="00704310"/>
    <w:rsid w:val="00723893"/>
    <w:rsid w:val="007330A2"/>
    <w:rsid w:val="00735065"/>
    <w:rsid w:val="00750244"/>
    <w:rsid w:val="007520A9"/>
    <w:rsid w:val="00762DA2"/>
    <w:rsid w:val="00765DD8"/>
    <w:rsid w:val="0077147B"/>
    <w:rsid w:val="0078076E"/>
    <w:rsid w:val="007814C1"/>
    <w:rsid w:val="0078707C"/>
    <w:rsid w:val="0079022C"/>
    <w:rsid w:val="007905A8"/>
    <w:rsid w:val="00792BBD"/>
    <w:rsid w:val="007A0C54"/>
    <w:rsid w:val="007A26D8"/>
    <w:rsid w:val="007B31B6"/>
    <w:rsid w:val="007B5F41"/>
    <w:rsid w:val="007D1587"/>
    <w:rsid w:val="007E45A6"/>
    <w:rsid w:val="007F375F"/>
    <w:rsid w:val="00800394"/>
    <w:rsid w:val="008150A9"/>
    <w:rsid w:val="00820E94"/>
    <w:rsid w:val="008409A2"/>
    <w:rsid w:val="00842DEB"/>
    <w:rsid w:val="0084635D"/>
    <w:rsid w:val="008520CE"/>
    <w:rsid w:val="00853BAA"/>
    <w:rsid w:val="00857D51"/>
    <w:rsid w:val="008606DA"/>
    <w:rsid w:val="00861171"/>
    <w:rsid w:val="00864A23"/>
    <w:rsid w:val="00876EDB"/>
    <w:rsid w:val="00895B8F"/>
    <w:rsid w:val="00897C6C"/>
    <w:rsid w:val="008A27AD"/>
    <w:rsid w:val="008C4D30"/>
    <w:rsid w:val="008D08F9"/>
    <w:rsid w:val="008D148D"/>
    <w:rsid w:val="008D4BA1"/>
    <w:rsid w:val="008F2A61"/>
    <w:rsid w:val="0090670E"/>
    <w:rsid w:val="0093003E"/>
    <w:rsid w:val="009329B6"/>
    <w:rsid w:val="00950B05"/>
    <w:rsid w:val="009530A6"/>
    <w:rsid w:val="00955E06"/>
    <w:rsid w:val="00970AB2"/>
    <w:rsid w:val="00972E18"/>
    <w:rsid w:val="0098454D"/>
    <w:rsid w:val="00985A7B"/>
    <w:rsid w:val="009917DF"/>
    <w:rsid w:val="00994AEA"/>
    <w:rsid w:val="00996696"/>
    <w:rsid w:val="009B51FB"/>
    <w:rsid w:val="009C22FE"/>
    <w:rsid w:val="009C3A28"/>
    <w:rsid w:val="009C65E2"/>
    <w:rsid w:val="009D0556"/>
    <w:rsid w:val="009F30AD"/>
    <w:rsid w:val="00A1365B"/>
    <w:rsid w:val="00A30946"/>
    <w:rsid w:val="00A30E36"/>
    <w:rsid w:val="00A46E05"/>
    <w:rsid w:val="00A7230B"/>
    <w:rsid w:val="00A83B8E"/>
    <w:rsid w:val="00AA01E3"/>
    <w:rsid w:val="00AA4C67"/>
    <w:rsid w:val="00AA6A9A"/>
    <w:rsid w:val="00AA799A"/>
    <w:rsid w:val="00AB0ADA"/>
    <w:rsid w:val="00AC3C51"/>
    <w:rsid w:val="00AC3E3F"/>
    <w:rsid w:val="00AC6DB8"/>
    <w:rsid w:val="00AE3BAA"/>
    <w:rsid w:val="00AF2A49"/>
    <w:rsid w:val="00B0007B"/>
    <w:rsid w:val="00B039F0"/>
    <w:rsid w:val="00B04CA2"/>
    <w:rsid w:val="00B04FBA"/>
    <w:rsid w:val="00B2741D"/>
    <w:rsid w:val="00B32A53"/>
    <w:rsid w:val="00B32F6C"/>
    <w:rsid w:val="00B34898"/>
    <w:rsid w:val="00B55AB8"/>
    <w:rsid w:val="00B563C0"/>
    <w:rsid w:val="00B6416A"/>
    <w:rsid w:val="00B80B58"/>
    <w:rsid w:val="00BA1FFA"/>
    <w:rsid w:val="00BB5907"/>
    <w:rsid w:val="00BB6D5A"/>
    <w:rsid w:val="00BC0241"/>
    <w:rsid w:val="00BC72BC"/>
    <w:rsid w:val="00BD3401"/>
    <w:rsid w:val="00BE3BB9"/>
    <w:rsid w:val="00BE3D3B"/>
    <w:rsid w:val="00BE4A03"/>
    <w:rsid w:val="00BF532D"/>
    <w:rsid w:val="00C02C0C"/>
    <w:rsid w:val="00C02E14"/>
    <w:rsid w:val="00C0692C"/>
    <w:rsid w:val="00C2092D"/>
    <w:rsid w:val="00C264EB"/>
    <w:rsid w:val="00C458CA"/>
    <w:rsid w:val="00C46D7B"/>
    <w:rsid w:val="00C64BB6"/>
    <w:rsid w:val="00C93F19"/>
    <w:rsid w:val="00CC0425"/>
    <w:rsid w:val="00CC69FB"/>
    <w:rsid w:val="00CD34D4"/>
    <w:rsid w:val="00CE6AA7"/>
    <w:rsid w:val="00D2761D"/>
    <w:rsid w:val="00D33757"/>
    <w:rsid w:val="00D372D3"/>
    <w:rsid w:val="00D404B7"/>
    <w:rsid w:val="00D4208D"/>
    <w:rsid w:val="00D46979"/>
    <w:rsid w:val="00D537F7"/>
    <w:rsid w:val="00D67D4E"/>
    <w:rsid w:val="00D831D0"/>
    <w:rsid w:val="00DA2D5E"/>
    <w:rsid w:val="00DE7BFA"/>
    <w:rsid w:val="00DF6D84"/>
    <w:rsid w:val="00E037E7"/>
    <w:rsid w:val="00E054CB"/>
    <w:rsid w:val="00E05E5E"/>
    <w:rsid w:val="00E14AFB"/>
    <w:rsid w:val="00E21608"/>
    <w:rsid w:val="00E235D8"/>
    <w:rsid w:val="00E36394"/>
    <w:rsid w:val="00E43597"/>
    <w:rsid w:val="00E53121"/>
    <w:rsid w:val="00E60FA9"/>
    <w:rsid w:val="00E610D8"/>
    <w:rsid w:val="00E70F63"/>
    <w:rsid w:val="00E9406F"/>
    <w:rsid w:val="00E94F97"/>
    <w:rsid w:val="00EB061E"/>
    <w:rsid w:val="00EB4520"/>
    <w:rsid w:val="00EE4EB9"/>
    <w:rsid w:val="00F011D3"/>
    <w:rsid w:val="00F10FF3"/>
    <w:rsid w:val="00F12605"/>
    <w:rsid w:val="00F17D54"/>
    <w:rsid w:val="00F278AE"/>
    <w:rsid w:val="00F44E45"/>
    <w:rsid w:val="00F45BE0"/>
    <w:rsid w:val="00F4773B"/>
    <w:rsid w:val="00F60984"/>
    <w:rsid w:val="00F941E3"/>
    <w:rsid w:val="00FA138A"/>
    <w:rsid w:val="00FA2F97"/>
    <w:rsid w:val="00FB6B1F"/>
    <w:rsid w:val="00FB7A43"/>
    <w:rsid w:val="00FB7D0C"/>
    <w:rsid w:val="00FC0EC0"/>
    <w:rsid w:val="00FC5A0D"/>
    <w:rsid w:val="00FE4A4B"/>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9C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paragraph" w:styleId="ListParagraph">
    <w:name w:val="List Paragraph"/>
    <w:basedOn w:val="Normal"/>
    <w:uiPriority w:val="34"/>
    <w:qFormat/>
    <w:rsid w:val="00C02E14"/>
    <w:pPr>
      <w:ind w:left="720"/>
      <w:contextualSpacing/>
    </w:pPr>
  </w:style>
  <w:style w:type="character" w:styleId="Hyperlink">
    <w:name w:val="Hyperlink"/>
    <w:basedOn w:val="DefaultParagraphFont"/>
    <w:rsid w:val="00611A76"/>
    <w:rPr>
      <w:color w:val="0000FF" w:themeColor="hyperlink"/>
      <w:u w:val="single"/>
    </w:rPr>
  </w:style>
  <w:style w:type="paragraph" w:styleId="Revision">
    <w:name w:val="Revision"/>
    <w:hidden/>
    <w:uiPriority w:val="99"/>
    <w:semiHidden/>
    <w:rsid w:val="00AE3B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paragraph" w:styleId="ListParagraph">
    <w:name w:val="List Paragraph"/>
    <w:basedOn w:val="Normal"/>
    <w:uiPriority w:val="34"/>
    <w:qFormat/>
    <w:rsid w:val="00C02E14"/>
    <w:pPr>
      <w:ind w:left="720"/>
      <w:contextualSpacing/>
    </w:pPr>
  </w:style>
  <w:style w:type="character" w:styleId="Hyperlink">
    <w:name w:val="Hyperlink"/>
    <w:basedOn w:val="DefaultParagraphFont"/>
    <w:rsid w:val="00611A76"/>
    <w:rPr>
      <w:color w:val="0000FF" w:themeColor="hyperlink"/>
      <w:u w:val="single"/>
    </w:rPr>
  </w:style>
  <w:style w:type="paragraph" w:styleId="Revision">
    <w:name w:val="Revision"/>
    <w:hidden/>
    <w:uiPriority w:val="99"/>
    <w:semiHidden/>
    <w:rsid w:val="00AE3B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ate.gov/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tate.gov/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mddtc.state.gov"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mailto:PM_DDTCProjectTeam@state.gov" TargetMode="External"/><Relationship Id="rId4" Type="http://schemas.microsoft.com/office/2007/relationships/stylesWithEffects" Target="stylesWithEffects.xml"/><Relationship Id="rId9" Type="http://schemas.openxmlformats.org/officeDocument/2006/relationships/hyperlink" Target="https://www.pmddtc.stat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D56D-9455-45B5-92C3-74040C2C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2828</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2017-04-27T20:25:00Z</dcterms:created>
  <dcterms:modified xsi:type="dcterms:W3CDTF">2017-04-28T12:58:00Z</dcterms:modified>
</cp:coreProperties>
</file>