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14759D7F" w14:textId="77777777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1C7BFA" w:rsidR="001C7BFA">
        <w:rPr>
          <w:sz w:val="28"/>
        </w:rPr>
        <w:t>1545-2256</w:t>
      </w:r>
      <w:r>
        <w:rPr>
          <w:sz w:val="28"/>
        </w:rPr>
        <w:t>)</w:t>
      </w:r>
    </w:p>
    <w:p w:rsidRPr="009239AA" w:rsidR="00E50293" w:rsidP="00434E33" w:rsidRDefault="0009635A" w14:paraId="7F27C4E9" w14:textId="7EF42B8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1DE1EAAA" wp14:anchorId="07CEF5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B5C08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D45CD4">
        <w:rPr>
          <w:color w:val="262626"/>
        </w:rPr>
        <w:t>CP14IA Notice</w:t>
      </w:r>
      <w:r w:rsidR="007A3B30">
        <w:rPr>
          <w:color w:val="262626"/>
        </w:rPr>
        <w:t xml:space="preserve"> Survey</w:t>
      </w:r>
      <w:r w:rsidR="00481996">
        <w:rPr>
          <w:color w:val="262626"/>
        </w:rPr>
        <w:t xml:space="preserve"> </w:t>
      </w:r>
    </w:p>
    <w:p w:rsidR="005E714A" w:rsidRDefault="005E714A" w14:paraId="33BA0C31" w14:textId="77777777"/>
    <w:p w:rsidRPr="00D45CD4" w:rsidR="00D45CD4" w:rsidP="00D45CD4" w:rsidRDefault="00F15956" w14:paraId="03727CDC" w14:textId="77777777">
      <w:pPr>
        <w:pStyle w:val="Header"/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9F4EDD" w:rsidR="009F4EDD">
        <w:t xml:space="preserve">This </w:t>
      </w:r>
      <w:r w:rsidR="009F4EDD">
        <w:t xml:space="preserve">survey </w:t>
      </w:r>
      <w:r w:rsidRPr="00D45CD4" w:rsidR="00D45CD4">
        <w:t>will evaluate taxpayers’ ability to understand the CP14-IA notice and their understanding of options after reading the notice.</w:t>
      </w:r>
    </w:p>
    <w:p w:rsidR="00143910" w:rsidP="009F4EDD" w:rsidRDefault="00143910" w14:paraId="5A2CBB38" w14:textId="77777777">
      <w:pPr>
        <w:pStyle w:val="Header"/>
        <w:tabs>
          <w:tab w:val="clear" w:pos="4320"/>
          <w:tab w:val="clear" w:pos="8640"/>
        </w:tabs>
      </w:pPr>
    </w:p>
    <w:p w:rsidRPr="003E7452" w:rsidR="003E7452" w:rsidP="003E7452" w:rsidRDefault="003E7452" w14:paraId="01172F23" w14:textId="77777777">
      <w:pPr>
        <w:contextualSpacing/>
        <w:rPr>
          <w:snapToGrid w:val="0"/>
        </w:rPr>
      </w:pPr>
      <w:r w:rsidRPr="003E7452">
        <w:rPr>
          <w:snapToGrid w:val="0"/>
        </w:rPr>
        <w:t>After taxpayers set up a pre-assessed payment plan (including short term, DDIA, or regular installment agreement), either at the time that they file their return or after, they receive a confirmation notice that a payment plan has been created.  That notice currently does not contain the legally mandated language that IRS must send to all taxpayers who owe a balance (CP14 notice).  The goal of this project is to test a revised CP14-IA notice that also includes language referencing the newly created payment plan.  This will allow IRS to reiterate that a payment plan has been set up while also communicating the mandated content regarding an unpaid balance [with the goals to reduce confusion and decrease Customer Service calls].</w:t>
      </w:r>
    </w:p>
    <w:p w:rsidRPr="00D45CD4" w:rsidR="00D45CD4" w:rsidP="00D45CD4" w:rsidRDefault="00D45CD4" w14:paraId="7177F262" w14:textId="77777777">
      <w:pPr>
        <w:contextualSpacing/>
        <w:rPr>
          <w:snapToGrid w:val="0"/>
        </w:rPr>
      </w:pPr>
    </w:p>
    <w:p w:rsidRPr="00D45CD4" w:rsidR="00D45CD4" w:rsidP="00D45CD4" w:rsidRDefault="00D45CD4" w14:paraId="219A7AF0" w14:textId="77777777">
      <w:pPr>
        <w:contextualSpacing/>
        <w:rPr>
          <w:b/>
          <w:bCs/>
          <w:snapToGrid w:val="0"/>
        </w:rPr>
      </w:pPr>
      <w:r w:rsidRPr="00D45CD4">
        <w:rPr>
          <w:b/>
          <w:bCs/>
          <w:snapToGrid w:val="0"/>
        </w:rPr>
        <w:t>Goals</w:t>
      </w:r>
    </w:p>
    <w:p w:rsidRPr="00D45CD4" w:rsidR="00D45CD4" w:rsidP="00D45CD4" w:rsidRDefault="00D45CD4" w14:paraId="3E6B0668" w14:textId="77777777">
      <w:pPr>
        <w:contextualSpacing/>
        <w:rPr>
          <w:snapToGrid w:val="0"/>
        </w:rPr>
      </w:pPr>
      <w:r w:rsidRPr="00D45CD4">
        <w:rPr>
          <w:snapToGrid w:val="0"/>
        </w:rPr>
        <w:t>To develop insights on the user experience regarding the new CP14-IA notice.  Ultimately, the creation of the new notice is to: 1) decrease inbound phone calls, 2) ensure taxpayers understand their tax obligation and consequences of noncompliance, 3) increase use of self-service channels, and 4) encourage taxpayers to full pay (if possible).</w:t>
      </w:r>
    </w:p>
    <w:p w:rsidR="00D45CD4" w:rsidP="009F4EDD" w:rsidRDefault="00D45CD4" w14:paraId="2AE1869E" w14:textId="77777777">
      <w:pPr>
        <w:contextualSpacing/>
        <w:rPr>
          <w:b/>
        </w:rPr>
      </w:pPr>
    </w:p>
    <w:p w:rsidRPr="0077516A" w:rsidR="009F4EDD" w:rsidP="009F4EDD" w:rsidRDefault="00434E33" w14:paraId="28F63623" w14:textId="77777777">
      <w:pPr>
        <w:contextualSpacing/>
        <w:rPr>
          <w:color w:val="000000"/>
        </w:rPr>
      </w:pPr>
      <w:r w:rsidRPr="00434E33">
        <w:rPr>
          <w:b/>
        </w:rPr>
        <w:t>DESCRIPTION OF RESPONDENTS</w:t>
      </w:r>
      <w:r w:rsidR="00C156B6">
        <w:t xml:space="preserve">: </w:t>
      </w:r>
      <w:r w:rsidRPr="00D45CD4" w:rsidR="00D45CD4">
        <w:rPr>
          <w:color w:val="000000"/>
        </w:rPr>
        <w:t xml:space="preserve">To qualify to participate in the study, all respondents will have owed a balance to the IRS within the recent past (past 3 tax years).  </w:t>
      </w:r>
      <w:r w:rsidR="003E7452">
        <w:rPr>
          <w:color w:val="000000"/>
        </w:rPr>
        <w:t>Half of the sample will NOT have set up a payment plan in real-life, and half of the sample will have set up a payment plan in real-life (with one-third each of these having set up a DDIA, and regular monthly installment agreement, and a short-term payment plan).</w:t>
      </w:r>
    </w:p>
    <w:p w:rsidR="00E26329" w:rsidP="009F4EDD" w:rsidRDefault="00E26329" w14:paraId="0887B54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F06866" w:rsidR="00F06866" w:rsidRDefault="00F06866" w14:paraId="5942597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16EB03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6E6B68E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29A52D5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666E7B">
        <w:rPr>
          <w:bCs/>
          <w:sz w:val="24"/>
        </w:rPr>
        <w:t>)</w:t>
      </w:r>
      <w:r w:rsidR="00F06866">
        <w:rPr>
          <w:bCs/>
          <w:sz w:val="24"/>
        </w:rPr>
        <w:tab/>
        <w:t>[</w:t>
      </w:r>
      <w:r w:rsidR="00953F7F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:rsidRPr="00F06866" w:rsidR="00F500DC" w:rsidP="00F500DC" w:rsidRDefault="00935ADA" w14:paraId="40C9CD3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500DC">
        <w:rPr>
          <w:bCs/>
          <w:sz w:val="24"/>
        </w:rPr>
        <w:t>[</w:t>
      </w:r>
      <w:r w:rsidR="00F500DC">
        <w:rPr>
          <w:bCs/>
          <w:sz w:val="24"/>
        </w:rPr>
        <w:t>X</w:t>
      </w:r>
      <w:r w:rsidRPr="00F06866" w:rsidR="00F500DC">
        <w:rPr>
          <w:bCs/>
          <w:sz w:val="24"/>
        </w:rPr>
        <w:t>]</w:t>
      </w:r>
      <w:r w:rsidR="00F500DC">
        <w:rPr>
          <w:bCs/>
          <w:sz w:val="24"/>
        </w:rPr>
        <w:t xml:space="preserve"> Other:</w:t>
      </w:r>
      <w:r w:rsidRPr="00F06866" w:rsidR="00F500DC">
        <w:rPr>
          <w:bCs/>
          <w:sz w:val="24"/>
          <w:u w:val="single"/>
        </w:rPr>
        <w:t xml:space="preserve"> </w:t>
      </w:r>
      <w:r w:rsidR="003E7452">
        <w:rPr>
          <w:bCs/>
          <w:sz w:val="24"/>
          <w:u w:val="single"/>
        </w:rPr>
        <w:t xml:space="preserve">Unmoderated Online </w:t>
      </w:r>
      <w:r w:rsidR="007A3B30">
        <w:rPr>
          <w:bCs/>
          <w:sz w:val="24"/>
          <w:u w:val="single"/>
        </w:rPr>
        <w:t>Survey</w:t>
      </w:r>
    </w:p>
    <w:p w:rsidR="00434E33" w:rsidP="00F500DC" w:rsidRDefault="00434E33" w14:paraId="18D2393B" w14:textId="77777777">
      <w:pPr>
        <w:pStyle w:val="BodyTextIndent"/>
        <w:tabs>
          <w:tab w:val="left" w:pos="360"/>
        </w:tabs>
        <w:ind w:left="0"/>
      </w:pPr>
    </w:p>
    <w:p w:rsidR="00CA2650" w:rsidRDefault="00441434" w14:paraId="53EA512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F37C192" w14:textId="77777777">
      <w:pPr>
        <w:rPr>
          <w:sz w:val="16"/>
          <w:szCs w:val="16"/>
        </w:rPr>
      </w:pPr>
    </w:p>
    <w:p w:rsidRPr="009C13B9" w:rsidR="008101A5" w:rsidP="008101A5" w:rsidRDefault="008101A5" w14:paraId="7909E2AA" w14:textId="77777777">
      <w:r>
        <w:t xml:space="preserve">I certify the following to be true: </w:t>
      </w:r>
    </w:p>
    <w:p w:rsidR="008101A5" w:rsidP="008101A5" w:rsidRDefault="008101A5" w14:paraId="0B4991CA" w14:textId="77777777">
      <w:pPr>
        <w:pStyle w:val="MediumGrid1-Accent2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06AB9F1" w14:textId="77777777">
      <w:pPr>
        <w:pStyle w:val="MediumGrid1-Accent2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396C17EF" w14:textId="77777777">
      <w:pPr>
        <w:pStyle w:val="MediumGrid1-Accent2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2DF0D4F" w14:textId="77777777">
      <w:pPr>
        <w:pStyle w:val="MediumGrid1-Accent2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20E4F3D" w14:textId="77777777">
      <w:pPr>
        <w:pStyle w:val="MediumGrid1-Accent2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A02B233" w14:textId="77777777">
      <w:pPr>
        <w:pStyle w:val="MediumGrid1-Accent2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47B339C" w14:textId="77777777"/>
    <w:p w:rsidR="009C13B9" w:rsidP="009C13B9" w:rsidRDefault="00AA0D27" w14:paraId="55779C6C" w14:textId="77777777">
      <w:r>
        <w:t xml:space="preserve">Name: </w:t>
      </w:r>
      <w:r w:rsidR="003B7C57">
        <w:t xml:space="preserve"> </w:t>
      </w:r>
      <w:r w:rsidRPr="00D45CD4" w:rsidR="00C764EF">
        <w:rPr>
          <w:highlight w:val="yellow"/>
        </w:rPr>
        <w:t>Alcora Walden</w:t>
      </w:r>
      <w:r w:rsidRPr="00D45CD4" w:rsidR="003B7C57">
        <w:rPr>
          <w:highlight w:val="yellow"/>
        </w:rPr>
        <w:t xml:space="preserve">, </w:t>
      </w:r>
      <w:hyperlink w:history="1" r:id="rId7">
        <w:r w:rsidRPr="00D45CD4" w:rsidR="007E479E">
          <w:rPr>
            <w:rStyle w:val="Hyperlink"/>
            <w:highlight w:val="yellow"/>
          </w:rPr>
          <w:t>Alcora.N.Walden@irs.gov</w:t>
        </w:r>
      </w:hyperlink>
    </w:p>
    <w:p w:rsidR="007E479E" w:rsidP="009C13B9" w:rsidRDefault="007E479E" w14:paraId="68B8B047" w14:textId="77777777"/>
    <w:p w:rsidR="009C13B9" w:rsidP="009C13B9" w:rsidRDefault="009C13B9" w14:paraId="104F73DB" w14:textId="77777777">
      <w:r>
        <w:lastRenderedPageBreak/>
        <w:t>To assist review, please provide answers to the following question</w:t>
      </w:r>
      <w:r w:rsidR="00C764EF">
        <w:t>s</w:t>
      </w:r>
      <w:r>
        <w:t>:</w:t>
      </w:r>
    </w:p>
    <w:p w:rsidRPr="00C86E91" w:rsidR="009C13B9" w:rsidP="00C86E91" w:rsidRDefault="00C86E91" w14:paraId="531C46CA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7ED48FFE" w14:textId="77777777">
      <w:pPr>
        <w:pStyle w:val="MediumGrid1-Accent2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3E7452">
        <w:t>X</w:t>
      </w:r>
      <w:r w:rsidR="009239AA">
        <w:t xml:space="preserve">] Yes  [ </w:t>
      </w:r>
      <w:r w:rsidR="003E7452">
        <w:t xml:space="preserve"> ]</w:t>
      </w:r>
      <w:r w:rsidR="009239AA">
        <w:t xml:space="preserve">  No </w:t>
      </w:r>
    </w:p>
    <w:p w:rsidR="00C86E91" w:rsidP="00C86E91" w:rsidRDefault="009C13B9" w14:paraId="3BA4F098" w14:textId="77777777">
      <w:pPr>
        <w:pStyle w:val="MediumGrid1-Accent2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3E7452">
        <w:t>X</w:t>
      </w:r>
      <w:r w:rsidR="009239AA">
        <w:t>] No</w:t>
      </w:r>
      <w:r w:rsidR="00C86E91">
        <w:t xml:space="preserve">   </w:t>
      </w:r>
    </w:p>
    <w:p w:rsidR="00C86E91" w:rsidP="003E7452" w:rsidRDefault="00C86E91" w14:paraId="41AED1A8" w14:textId="77777777">
      <w:pPr>
        <w:pStyle w:val="MediumGrid1-Accent2"/>
        <w:numPr>
          <w:ilvl w:val="0"/>
          <w:numId w:val="18"/>
        </w:numPr>
        <w:ind w:right="-90"/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</w:t>
      </w:r>
      <w:r w:rsidR="003E7452">
        <w:t>X</w:t>
      </w:r>
      <w:r>
        <w:t>] Yes  [  ] No</w:t>
      </w:r>
    </w:p>
    <w:p w:rsidR="00CF6542" w:rsidP="00C86E91" w:rsidRDefault="00CF6542" w14:paraId="6AADFD16" w14:textId="77777777">
      <w:pPr>
        <w:pStyle w:val="MediumGrid1-Accent2"/>
        <w:ind w:left="0"/>
        <w:rPr>
          <w:b/>
        </w:rPr>
      </w:pPr>
    </w:p>
    <w:p w:rsidR="004D6E14" w:rsidP="006B37CB" w:rsidRDefault="00CB1078" w14:paraId="2FD313C7" w14:textId="77777777">
      <w:pPr>
        <w:pStyle w:val="MediumGrid1-Accent2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  <w:r w:rsidR="006B37CB">
        <w:rPr>
          <w:b/>
        </w:rPr>
        <w:t xml:space="preserve"> </w:t>
      </w:r>
      <w:r w:rsidR="00C86E91">
        <w:t>Is an incentive (e.g., money or reimbursement of expenses, token of appreciation) provided to participants?  [</w:t>
      </w:r>
      <w:r w:rsidR="00F500DC">
        <w:t>X</w:t>
      </w:r>
      <w:r w:rsidR="00C86E91">
        <w:t xml:space="preserve">] Yes [  ] No  </w:t>
      </w:r>
    </w:p>
    <w:p w:rsidR="003E7452" w:rsidRDefault="003E7452" w14:paraId="4FAA8A84" w14:textId="77777777">
      <w:pPr>
        <w:rPr>
          <w:color w:val="000000"/>
        </w:rPr>
      </w:pPr>
    </w:p>
    <w:p w:rsidRPr="002F26E4" w:rsidR="00C86E91" w:rsidRDefault="003E7452" w14:paraId="5C90BFE5" w14:textId="77777777">
      <w:pPr>
        <w:rPr>
          <w:color w:val="000000"/>
        </w:rPr>
      </w:pPr>
      <w:r>
        <w:rPr>
          <w:color w:val="000000"/>
        </w:rPr>
        <w:t>Each respondent will receive a $50 gift certificate.</w:t>
      </w:r>
    </w:p>
    <w:p w:rsidR="00C86E91" w:rsidRDefault="00C86E91" w14:paraId="381E9B25" w14:textId="77777777">
      <w:pPr>
        <w:rPr>
          <w:b/>
        </w:rPr>
      </w:pPr>
    </w:p>
    <w:p w:rsidRPr="006B37CB" w:rsidR="006832D9" w:rsidP="006B37CB" w:rsidRDefault="005E714A" w14:paraId="0932A3F3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F20B0E" w14:paraId="35D60BD2" w14:textId="77777777">
        <w:trPr>
          <w:trHeight w:val="584"/>
        </w:trPr>
        <w:tc>
          <w:tcPr>
            <w:tcW w:w="5418" w:type="dxa"/>
          </w:tcPr>
          <w:p w:rsidRPr="0001027E" w:rsidR="006832D9" w:rsidP="00C8488C" w:rsidRDefault="00E40B50" w14:paraId="76C85C05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7F7F153D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495EB4E1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514DEEFC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8C77B9" w14:paraId="2ABA3642" w14:textId="77777777">
        <w:trPr>
          <w:trHeight w:val="305"/>
        </w:trPr>
        <w:tc>
          <w:tcPr>
            <w:tcW w:w="5418" w:type="dxa"/>
          </w:tcPr>
          <w:p w:rsidRPr="002F26E4" w:rsidR="006832D9" w:rsidP="00843796" w:rsidRDefault="007A3B30" w14:paraId="6F903BB2" w14:textId="77777777">
            <w:pPr>
              <w:rPr>
                <w:color w:val="000000"/>
              </w:rPr>
            </w:pPr>
            <w:r>
              <w:rPr>
                <w:color w:val="000000"/>
              </w:rPr>
              <w:t>Online survey respondents</w:t>
            </w:r>
          </w:p>
        </w:tc>
        <w:tc>
          <w:tcPr>
            <w:tcW w:w="1530" w:type="dxa"/>
          </w:tcPr>
          <w:p w:rsidRPr="002F26E4" w:rsidR="006832D9" w:rsidP="00AB688A" w:rsidRDefault="007A3B30" w14:paraId="0B4F15A7" w14:textId="7777777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E7452">
              <w:rPr>
                <w:color w:val="000000"/>
              </w:rPr>
              <w:t>0</w:t>
            </w:r>
          </w:p>
        </w:tc>
        <w:tc>
          <w:tcPr>
            <w:tcW w:w="1710" w:type="dxa"/>
          </w:tcPr>
          <w:p w:rsidRPr="002F26E4" w:rsidR="006832D9" w:rsidP="00F20B0E" w:rsidRDefault="003E7452" w14:paraId="73FE500D" w14:textId="77777777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2F26E4" w:rsidR="00F20B0E">
              <w:rPr>
                <w:color w:val="000000"/>
              </w:rPr>
              <w:t xml:space="preserve"> minutes</w:t>
            </w:r>
            <w:r w:rsidR="000413FF">
              <w:rPr>
                <w:color w:val="000000"/>
              </w:rPr>
              <w:t xml:space="preserve"> (maximum)</w:t>
            </w:r>
          </w:p>
        </w:tc>
        <w:tc>
          <w:tcPr>
            <w:tcW w:w="1003" w:type="dxa"/>
          </w:tcPr>
          <w:p w:rsidR="006832D9" w:rsidP="00843796" w:rsidRDefault="003E7452" w14:paraId="7E51FF40" w14:textId="77777777">
            <w:r>
              <w:t>15</w:t>
            </w:r>
            <w:r w:rsidR="00D45CD4">
              <w:t xml:space="preserve"> </w:t>
            </w:r>
            <w:r w:rsidR="00AB688A">
              <w:t>hours</w:t>
            </w:r>
          </w:p>
        </w:tc>
      </w:tr>
      <w:tr w:rsidR="00EF2095" w:rsidTr="005A1CD5" w14:paraId="0DCB7702" w14:textId="77777777">
        <w:trPr>
          <w:trHeight w:val="260"/>
        </w:trPr>
        <w:tc>
          <w:tcPr>
            <w:tcW w:w="5418" w:type="dxa"/>
          </w:tcPr>
          <w:p w:rsidRPr="0001027E" w:rsidR="006832D9" w:rsidP="00843796" w:rsidRDefault="006832D9" w14:paraId="44C04D21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832D9" w14:paraId="205BCBF3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Pr="005A1CD5" w:rsidR="006832D9" w:rsidP="00843796" w:rsidRDefault="006832D9" w14:paraId="7CABDE66" w14:textId="77777777">
            <w:pPr>
              <w:rPr>
                <w:b/>
              </w:rPr>
            </w:pPr>
          </w:p>
        </w:tc>
        <w:tc>
          <w:tcPr>
            <w:tcW w:w="1003" w:type="dxa"/>
          </w:tcPr>
          <w:p w:rsidRPr="0001027E" w:rsidR="006832D9" w:rsidP="00843796" w:rsidRDefault="003E7452" w14:paraId="687FE6F0" w14:textId="77777777">
            <w:pPr>
              <w:rPr>
                <w:b/>
              </w:rPr>
            </w:pPr>
            <w:r>
              <w:rPr>
                <w:b/>
              </w:rPr>
              <w:t>15</w:t>
            </w:r>
            <w:r w:rsidR="005A1CD5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51A137D4" w14:textId="77777777"/>
    <w:p w:rsidR="005E714A" w:rsidRDefault="001C39F7" w14:paraId="30E7B162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</w:t>
      </w:r>
      <w:r w:rsidR="0003595E">
        <w:t xml:space="preserve">one-time </w:t>
      </w:r>
      <w:r w:rsidR="00C86E91">
        <w:t>cos</w:t>
      </w:r>
      <w:r w:rsidR="003B7C57">
        <w:t xml:space="preserve">t to </w:t>
      </w:r>
      <w:r w:rsidRPr="003E7452" w:rsidR="003B7C57">
        <w:t xml:space="preserve">the Federal government is </w:t>
      </w:r>
      <w:r w:rsidRPr="003E7452" w:rsidR="003B7C57">
        <w:rPr>
          <w:b/>
        </w:rPr>
        <w:t>$</w:t>
      </w:r>
      <w:r w:rsidR="003E7452">
        <w:rPr>
          <w:b/>
        </w:rPr>
        <w:t>1,5</w:t>
      </w:r>
      <w:r w:rsidRPr="003E7452" w:rsidR="0003595E">
        <w:rPr>
          <w:b/>
        </w:rPr>
        <w:t>00</w:t>
      </w:r>
    </w:p>
    <w:p w:rsidRPr="002F26E4" w:rsidR="006E5705" w:rsidP="00F06866" w:rsidRDefault="006E5705" w14:paraId="438CCF9F" w14:textId="77777777">
      <w:pPr>
        <w:rPr>
          <w:bCs/>
          <w:color w:val="4472C4"/>
        </w:rPr>
      </w:pPr>
    </w:p>
    <w:p w:rsidR="0069403B" w:rsidP="00F06866" w:rsidRDefault="00ED6492" w14:paraId="0C05EA7F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  <w:r w:rsidR="00A25EF6">
        <w:rPr>
          <w:b/>
          <w:bCs/>
          <w:u w:val="single"/>
        </w:rPr>
        <w:t xml:space="preserve"> </w:t>
      </w:r>
    </w:p>
    <w:p w:rsidR="00F06866" w:rsidP="00F06866" w:rsidRDefault="00636621" w14:paraId="5A01B48B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Pr="006B37CB" w:rsidR="00A25EF6" w:rsidP="006B37CB" w:rsidRDefault="0069403B" w14:paraId="0E78315C" w14:textId="77777777">
      <w:pPr>
        <w:pStyle w:val="MediumGrid1-Accent2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A3B30">
        <w:t>X</w:t>
      </w:r>
      <w:r>
        <w:t>] Yes</w:t>
      </w:r>
      <w:r>
        <w:tab/>
        <w:t>[</w:t>
      </w:r>
      <w:r w:rsidR="00953F7F">
        <w:t xml:space="preserve"> </w:t>
      </w:r>
      <w:r>
        <w:t xml:space="preserve"> ] No</w:t>
      </w:r>
    </w:p>
    <w:p w:rsidR="00A403BB" w:rsidP="006B37CB" w:rsidRDefault="00636621" w14:paraId="340A4960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5858EB" w:rsidP="00076976" w:rsidRDefault="005858EB" w14:paraId="09ADAF23" w14:textId="77777777">
      <w:pPr>
        <w:pStyle w:val="MediumGrid1-Accent2"/>
        <w:ind w:left="0"/>
        <w:rPr>
          <w:color w:val="000000"/>
        </w:rPr>
      </w:pPr>
    </w:p>
    <w:p w:rsidR="003E7452" w:rsidP="0077516A" w:rsidRDefault="0077516A" w14:paraId="67247B39" w14:textId="77777777">
      <w:pPr>
        <w:contextualSpacing/>
        <w:rPr>
          <w:color w:val="000000"/>
        </w:rPr>
      </w:pPr>
      <w:r>
        <w:rPr>
          <w:color w:val="000000"/>
        </w:rPr>
        <w:t>We plan</w:t>
      </w:r>
      <w:r w:rsidRPr="0077516A">
        <w:rPr>
          <w:color w:val="000000"/>
        </w:rPr>
        <w:t xml:space="preserve"> to use a variety of resources, including our respondent database, social media, and online community boards</w:t>
      </w:r>
      <w:r w:rsidR="00BE579D">
        <w:rPr>
          <w:color w:val="000000"/>
        </w:rPr>
        <w:t xml:space="preserve"> </w:t>
      </w:r>
      <w:r w:rsidRPr="0077516A">
        <w:rPr>
          <w:color w:val="000000"/>
        </w:rPr>
        <w:t>to recruit for this research.</w:t>
      </w:r>
      <w:r w:rsidR="000070FF">
        <w:rPr>
          <w:color w:val="000000"/>
        </w:rPr>
        <w:t xml:space="preserve"> </w:t>
      </w:r>
      <w:r w:rsidR="003E7452">
        <w:rPr>
          <w:color w:val="000000"/>
        </w:rPr>
        <w:t>Each participant who qualifies by answering screening questions will be invited to participate in the online survey.</w:t>
      </w:r>
    </w:p>
    <w:p w:rsidR="0077516A" w:rsidP="0077516A" w:rsidRDefault="0077516A" w14:paraId="7D982BAB" w14:textId="77777777">
      <w:pPr>
        <w:contextualSpacing/>
        <w:rPr>
          <w:color w:val="000000"/>
        </w:rPr>
      </w:pPr>
    </w:p>
    <w:p w:rsidR="00A403BB" w:rsidP="00A403BB" w:rsidRDefault="00A403BB" w14:paraId="51D049E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EAF7297" w14:textId="77777777">
      <w:pPr>
        <w:pStyle w:val="MediumGrid1-Accent2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BCBDE9F" w14:textId="77777777">
      <w:pPr>
        <w:ind w:left="720"/>
      </w:pPr>
      <w:r>
        <w:t>[</w:t>
      </w:r>
      <w:r w:rsidR="00A25EF6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07287CD1" w14:textId="77777777">
      <w:pPr>
        <w:ind w:left="720"/>
      </w:pPr>
      <w:r>
        <w:t>[</w:t>
      </w:r>
      <w:r w:rsidR="003E7452">
        <w:t>X</w:t>
      </w:r>
      <w:r>
        <w:t>] Telephone</w:t>
      </w:r>
      <w:r>
        <w:tab/>
      </w:r>
    </w:p>
    <w:p w:rsidR="001B0AAA" w:rsidP="001B0AAA" w:rsidRDefault="00A403BB" w14:paraId="37490590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07674287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1F6FE706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5858EB" w:rsidP="001B0AAA" w:rsidRDefault="005858EB" w14:paraId="22FE8A94" w14:textId="77777777">
      <w:pPr>
        <w:ind w:left="720"/>
      </w:pPr>
    </w:p>
    <w:p w:rsidR="00F24CFC" w:rsidP="006B37CB" w:rsidRDefault="00F24CFC" w14:paraId="1A17087D" w14:textId="77777777">
      <w:pPr>
        <w:pStyle w:val="MediumGrid1-Accent2"/>
        <w:numPr>
          <w:ilvl w:val="0"/>
          <w:numId w:val="17"/>
        </w:numPr>
      </w:pPr>
      <w:r>
        <w:t>Will interviewers or facilitators be used?  [</w:t>
      </w:r>
      <w:r w:rsidR="003E7452">
        <w:t>X</w:t>
      </w:r>
      <w:r>
        <w:t>] Yes [</w:t>
      </w:r>
      <w:r w:rsidR="003E7452">
        <w:t xml:space="preserve">  </w:t>
      </w:r>
      <w:r>
        <w:t>] No</w:t>
      </w:r>
    </w:p>
    <w:p w:rsidR="006B37CB" w:rsidP="006B37CB" w:rsidRDefault="006B37CB" w14:paraId="00AD6A26" w14:textId="77777777">
      <w:pPr>
        <w:pStyle w:val="MediumGrid1-Accent2"/>
        <w:ind w:left="0"/>
      </w:pPr>
    </w:p>
    <w:p w:rsidR="00B811D1" w:rsidP="0024521E" w:rsidRDefault="00F24CFC" w14:paraId="17CDD2E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F24CFC" w14:paraId="4E20AA01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09635A" w14:paraId="5626D5A5" w14:textId="06A1A79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462EA5F6" wp14:anchorId="29B266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42B2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 w14:paraId="2ADF050B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 w14:paraId="48D13244" w14:textId="77777777">
      <w:pPr>
        <w:rPr>
          <w:sz w:val="20"/>
          <w:szCs w:val="20"/>
        </w:rPr>
      </w:pPr>
    </w:p>
    <w:p w:rsidRPr="008F50D4" w:rsidR="00F24CFC" w:rsidP="00F24CFC" w:rsidRDefault="00F24CFC" w14:paraId="1C82282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484C3F8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302D2D0D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502628DC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62FA514B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380D8E20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7B124055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063AED80" w14:textId="77777777">
      <w:pPr>
        <w:rPr>
          <w:sz w:val="16"/>
          <w:szCs w:val="16"/>
        </w:rPr>
      </w:pPr>
    </w:p>
    <w:p w:rsidR="00F24CFC" w:rsidP="00F24CFC" w:rsidRDefault="00F24CFC" w14:paraId="1DB5FB47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 w14:paraId="697599F9" w14:textId="77777777">
      <w:pPr>
        <w:rPr>
          <w:sz w:val="20"/>
          <w:szCs w:val="20"/>
        </w:rPr>
      </w:pPr>
    </w:p>
    <w:p w:rsidRPr="008F50D4" w:rsidR="00F24CFC" w:rsidP="008F50D4" w:rsidRDefault="00CB1078" w14:paraId="5FA0D4B9" w14:textId="77777777">
      <w:pPr>
        <w:pStyle w:val="MediumGrid1-Accent2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380DB34B" w14:textId="77777777">
      <w:pPr>
        <w:rPr>
          <w:b/>
        </w:rPr>
      </w:pPr>
    </w:p>
    <w:p w:rsidR="008F50D4" w:rsidP="00F24CFC" w:rsidRDefault="00F24CFC" w14:paraId="00A42848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34A9F214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76B8AB47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:rsidRDefault="008F50D4" w14:paraId="258FA91C" w14:textId="77777777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Pr="008F50D4" w:rsidR="00F24CFC" w:rsidP="00F24CFC" w:rsidRDefault="008F50D4" w14:paraId="13575F08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 xml:space="preserve">Annual burden </w:t>
      </w:r>
      <w:r w:rsidR="00F51AC7">
        <w:t>hours:  Multiply the Number of R</w:t>
      </w:r>
      <w:r w:rsidRPr="008F50D4" w:rsidR="00F24CFC">
        <w:t>espon</w:t>
      </w:r>
      <w:r w:rsidR="00F51AC7">
        <w:t>dents and the P</w:t>
      </w:r>
      <w:r w:rsidRPr="008F50D4" w:rsidR="00F24CFC">
        <w:t>articipat</w:t>
      </w:r>
      <w:r w:rsidR="00F51AC7">
        <w:t>ion T</w:t>
      </w:r>
      <w:r w:rsidRPr="008F50D4" w:rsidR="00F24CFC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19E570CD" w14:textId="77777777">
      <w:pPr>
        <w:keepNext/>
        <w:keepLines/>
        <w:rPr>
          <w:b/>
        </w:rPr>
      </w:pPr>
    </w:p>
    <w:p w:rsidR="00F24CFC" w:rsidP="00F24CFC" w:rsidRDefault="00F24CFC" w14:paraId="12253979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391A97FF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4C45DE96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 w14:paraId="2F790F3D" w14:textId="77777777">
      <w:pPr>
        <w:rPr>
          <w:b/>
          <w:sz w:val="20"/>
          <w:szCs w:val="20"/>
        </w:rPr>
      </w:pPr>
    </w:p>
    <w:p w:rsidR="00F24CFC" w:rsidP="00F24CFC" w:rsidRDefault="00F24CFC" w14:paraId="524A5C78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09CA421C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2F56EFD5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353B990B" w14:textId="77777777">
      <w:pPr>
        <w:pStyle w:val="MediumGrid1-Accent2"/>
        <w:ind w:left="360"/>
      </w:pPr>
    </w:p>
    <w:p w:rsidRPr="008228C3" w:rsidR="005E714A" w:rsidP="008228C3" w:rsidRDefault="007E479E" w14:paraId="4A6B0C98" w14:textId="77777777">
      <w:pPr>
        <w:rPr>
          <w:b/>
        </w:rPr>
      </w:pPr>
      <w:r>
        <w:rPr>
          <w:b/>
        </w:rPr>
        <w:t>Ensure</w:t>
      </w:r>
      <w:r w:rsidR="00CF6542">
        <w:rPr>
          <w:b/>
        </w:rPr>
        <w:t xml:space="preserve"> </w:t>
      </w:r>
      <w:r w:rsidRPr="00F24CFC" w:rsidR="00F24CFC">
        <w:rPr>
          <w:b/>
        </w:rPr>
        <w:t>all instruments, instructions, and scripts are submitted with the request.</w:t>
      </w:r>
    </w:p>
    <w:sectPr w:rsidRPr="008228C3"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B3CBF" w14:textId="77777777" w:rsidR="00E34D2C" w:rsidRDefault="00E34D2C">
      <w:r>
        <w:separator/>
      </w:r>
    </w:p>
  </w:endnote>
  <w:endnote w:type="continuationSeparator" w:id="0">
    <w:p w14:paraId="2BC3379B" w14:textId="77777777" w:rsidR="00E34D2C" w:rsidRDefault="00E3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A1D75" w14:textId="77777777" w:rsidR="006B37CB" w:rsidRDefault="006B37C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6277C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2925F" w14:textId="77777777" w:rsidR="00E34D2C" w:rsidRDefault="00E34D2C">
      <w:r>
        <w:separator/>
      </w:r>
    </w:p>
  </w:footnote>
  <w:footnote w:type="continuationSeparator" w:id="0">
    <w:p w14:paraId="610B4EC1" w14:textId="77777777" w:rsidR="00E34D2C" w:rsidRDefault="00E3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15145" w14:textId="77777777" w:rsidR="006B37CB" w:rsidRDefault="006B3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D3DF3"/>
    <w:multiLevelType w:val="hybridMultilevel"/>
    <w:tmpl w:val="9B385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70FF"/>
    <w:rsid w:val="0001027E"/>
    <w:rsid w:val="00023313"/>
    <w:rsid w:val="00023A57"/>
    <w:rsid w:val="0003595E"/>
    <w:rsid w:val="000413FF"/>
    <w:rsid w:val="00047A64"/>
    <w:rsid w:val="00067329"/>
    <w:rsid w:val="00067852"/>
    <w:rsid w:val="00076976"/>
    <w:rsid w:val="0009635A"/>
    <w:rsid w:val="000B2838"/>
    <w:rsid w:val="000B7EDE"/>
    <w:rsid w:val="000D44CA"/>
    <w:rsid w:val="000E200B"/>
    <w:rsid w:val="000F68BE"/>
    <w:rsid w:val="0013316A"/>
    <w:rsid w:val="00143910"/>
    <w:rsid w:val="00180F4B"/>
    <w:rsid w:val="001927A4"/>
    <w:rsid w:val="00194AC6"/>
    <w:rsid w:val="001A23B0"/>
    <w:rsid w:val="001A25CC"/>
    <w:rsid w:val="001B0AAA"/>
    <w:rsid w:val="001C39F7"/>
    <w:rsid w:val="001C7BFA"/>
    <w:rsid w:val="001D73B9"/>
    <w:rsid w:val="001E1009"/>
    <w:rsid w:val="002240DE"/>
    <w:rsid w:val="00237B48"/>
    <w:rsid w:val="0024521E"/>
    <w:rsid w:val="00263C3D"/>
    <w:rsid w:val="0027291C"/>
    <w:rsid w:val="00274D0B"/>
    <w:rsid w:val="002B052D"/>
    <w:rsid w:val="002B34CD"/>
    <w:rsid w:val="002B3C95"/>
    <w:rsid w:val="002D0B92"/>
    <w:rsid w:val="002F26E4"/>
    <w:rsid w:val="0036277C"/>
    <w:rsid w:val="00365F2C"/>
    <w:rsid w:val="00366F06"/>
    <w:rsid w:val="003A407F"/>
    <w:rsid w:val="003B7C57"/>
    <w:rsid w:val="003D5BBE"/>
    <w:rsid w:val="003E3C61"/>
    <w:rsid w:val="003E7452"/>
    <w:rsid w:val="003F1C5B"/>
    <w:rsid w:val="003F3F50"/>
    <w:rsid w:val="0041242E"/>
    <w:rsid w:val="0042575A"/>
    <w:rsid w:val="00434E33"/>
    <w:rsid w:val="00441434"/>
    <w:rsid w:val="0045264C"/>
    <w:rsid w:val="004808A6"/>
    <w:rsid w:val="00481996"/>
    <w:rsid w:val="004876EC"/>
    <w:rsid w:val="004D6E14"/>
    <w:rsid w:val="004E19BA"/>
    <w:rsid w:val="005009B0"/>
    <w:rsid w:val="00563B2D"/>
    <w:rsid w:val="005858EB"/>
    <w:rsid w:val="005A1006"/>
    <w:rsid w:val="005A1CD5"/>
    <w:rsid w:val="005C31E6"/>
    <w:rsid w:val="005E2537"/>
    <w:rsid w:val="005E714A"/>
    <w:rsid w:val="005F2E6E"/>
    <w:rsid w:val="005F54F3"/>
    <w:rsid w:val="005F693D"/>
    <w:rsid w:val="006140A0"/>
    <w:rsid w:val="00620BB6"/>
    <w:rsid w:val="00636621"/>
    <w:rsid w:val="00642B49"/>
    <w:rsid w:val="00666E7B"/>
    <w:rsid w:val="00680246"/>
    <w:rsid w:val="006832D9"/>
    <w:rsid w:val="0069403B"/>
    <w:rsid w:val="006A5501"/>
    <w:rsid w:val="006B37CB"/>
    <w:rsid w:val="006E5705"/>
    <w:rsid w:val="006F3DDE"/>
    <w:rsid w:val="00704678"/>
    <w:rsid w:val="007253C0"/>
    <w:rsid w:val="0073418C"/>
    <w:rsid w:val="007425E7"/>
    <w:rsid w:val="0074626A"/>
    <w:rsid w:val="0077516A"/>
    <w:rsid w:val="007A3B30"/>
    <w:rsid w:val="007A6CA9"/>
    <w:rsid w:val="007A7187"/>
    <w:rsid w:val="007E479E"/>
    <w:rsid w:val="007F7080"/>
    <w:rsid w:val="00802607"/>
    <w:rsid w:val="008101A5"/>
    <w:rsid w:val="00822664"/>
    <w:rsid w:val="008228C3"/>
    <w:rsid w:val="00843796"/>
    <w:rsid w:val="00895229"/>
    <w:rsid w:val="008B2EB3"/>
    <w:rsid w:val="008C312F"/>
    <w:rsid w:val="008C77B9"/>
    <w:rsid w:val="008E0865"/>
    <w:rsid w:val="008F0203"/>
    <w:rsid w:val="008F50D4"/>
    <w:rsid w:val="008F63B5"/>
    <w:rsid w:val="009239AA"/>
    <w:rsid w:val="00935ADA"/>
    <w:rsid w:val="009436F0"/>
    <w:rsid w:val="00946B6C"/>
    <w:rsid w:val="00953F7F"/>
    <w:rsid w:val="00955A71"/>
    <w:rsid w:val="0096108F"/>
    <w:rsid w:val="0098404E"/>
    <w:rsid w:val="009C13B9"/>
    <w:rsid w:val="009C3BC0"/>
    <w:rsid w:val="009D01A2"/>
    <w:rsid w:val="009F3012"/>
    <w:rsid w:val="009F4EDD"/>
    <w:rsid w:val="009F5923"/>
    <w:rsid w:val="00A25EF6"/>
    <w:rsid w:val="00A33CFD"/>
    <w:rsid w:val="00A403BB"/>
    <w:rsid w:val="00A54DBF"/>
    <w:rsid w:val="00A674DF"/>
    <w:rsid w:val="00A7119A"/>
    <w:rsid w:val="00A83AA6"/>
    <w:rsid w:val="00A934D6"/>
    <w:rsid w:val="00AA0D27"/>
    <w:rsid w:val="00AB688A"/>
    <w:rsid w:val="00AE1809"/>
    <w:rsid w:val="00AE7E20"/>
    <w:rsid w:val="00AF1A50"/>
    <w:rsid w:val="00AF5EEA"/>
    <w:rsid w:val="00B06BF9"/>
    <w:rsid w:val="00B35E49"/>
    <w:rsid w:val="00B40634"/>
    <w:rsid w:val="00B80D76"/>
    <w:rsid w:val="00B811D1"/>
    <w:rsid w:val="00B824F4"/>
    <w:rsid w:val="00B83057"/>
    <w:rsid w:val="00BA2105"/>
    <w:rsid w:val="00BA7E06"/>
    <w:rsid w:val="00BB43B5"/>
    <w:rsid w:val="00BB6219"/>
    <w:rsid w:val="00BD290F"/>
    <w:rsid w:val="00BD78CA"/>
    <w:rsid w:val="00BE579D"/>
    <w:rsid w:val="00C14CC4"/>
    <w:rsid w:val="00C156B6"/>
    <w:rsid w:val="00C2048A"/>
    <w:rsid w:val="00C33C52"/>
    <w:rsid w:val="00C36170"/>
    <w:rsid w:val="00C40D8B"/>
    <w:rsid w:val="00C764EF"/>
    <w:rsid w:val="00C8407A"/>
    <w:rsid w:val="00C8488C"/>
    <w:rsid w:val="00C86E91"/>
    <w:rsid w:val="00CA2650"/>
    <w:rsid w:val="00CB1078"/>
    <w:rsid w:val="00CC6FAF"/>
    <w:rsid w:val="00CF6542"/>
    <w:rsid w:val="00D16FFC"/>
    <w:rsid w:val="00D24698"/>
    <w:rsid w:val="00D45CD4"/>
    <w:rsid w:val="00D57A4B"/>
    <w:rsid w:val="00D6383F"/>
    <w:rsid w:val="00D6468C"/>
    <w:rsid w:val="00D94746"/>
    <w:rsid w:val="00DB4569"/>
    <w:rsid w:val="00DB59D0"/>
    <w:rsid w:val="00DC33D3"/>
    <w:rsid w:val="00E25D06"/>
    <w:rsid w:val="00E26329"/>
    <w:rsid w:val="00E34D2C"/>
    <w:rsid w:val="00E40B50"/>
    <w:rsid w:val="00E50293"/>
    <w:rsid w:val="00E62C69"/>
    <w:rsid w:val="00E65FFC"/>
    <w:rsid w:val="00E744EA"/>
    <w:rsid w:val="00E80951"/>
    <w:rsid w:val="00E86CC6"/>
    <w:rsid w:val="00EB56B3"/>
    <w:rsid w:val="00EC4132"/>
    <w:rsid w:val="00ED6492"/>
    <w:rsid w:val="00EF2095"/>
    <w:rsid w:val="00F06866"/>
    <w:rsid w:val="00F15956"/>
    <w:rsid w:val="00F20B0E"/>
    <w:rsid w:val="00F24CFC"/>
    <w:rsid w:val="00F3042D"/>
    <w:rsid w:val="00F3170F"/>
    <w:rsid w:val="00F4295F"/>
    <w:rsid w:val="00F500DC"/>
    <w:rsid w:val="00F51AC7"/>
    <w:rsid w:val="00F9623E"/>
    <w:rsid w:val="00F976B0"/>
    <w:rsid w:val="00FA47EF"/>
    <w:rsid w:val="00FA6DE7"/>
    <w:rsid w:val="00FC0A8E"/>
    <w:rsid w:val="00FE2FA6"/>
    <w:rsid w:val="00FE3DF2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5358E"/>
  <w14:defaultImageDpi w14:val="32767"/>
  <w15:chartTrackingRefBased/>
  <w15:docId w15:val="{20562E04-53B5-4C4B-88DB-E3BAE778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MediumGrid1-Accent2">
    <w:name w:val="Medium Grid 1 Accent 2"/>
    <w:basedOn w:val="Normal"/>
    <w:uiPriority w:val="34"/>
    <w:qFormat/>
    <w:rsid w:val="00C14CC4"/>
    <w:pPr>
      <w:ind w:left="720"/>
      <w:contextualSpacing/>
    </w:pPr>
  </w:style>
  <w:style w:type="paragraph" w:customStyle="1" w:styleId="TemplateFields">
    <w:name w:val="Template Fields"/>
    <w:basedOn w:val="Normal"/>
    <w:link w:val="TemplateFieldsChar"/>
    <w:qFormat/>
    <w:rsid w:val="003A407F"/>
    <w:pPr>
      <w:spacing w:line="259" w:lineRule="auto"/>
      <w:contextualSpacing/>
    </w:pPr>
    <w:rPr>
      <w:rFonts w:ascii="Helvetica Neue" w:eastAsia="Calibri" w:hAnsi="Helvetica Neue" w:cs="Calibri"/>
      <w:color w:val="4A7090"/>
      <w:sz w:val="22"/>
      <w:szCs w:val="22"/>
    </w:rPr>
  </w:style>
  <w:style w:type="character" w:customStyle="1" w:styleId="TemplateFieldsChar">
    <w:name w:val="Template Fields Char"/>
    <w:link w:val="TemplateFields"/>
    <w:rsid w:val="003A407F"/>
    <w:rPr>
      <w:rFonts w:ascii="Helvetica Neue" w:eastAsia="Calibri" w:hAnsi="Helvetica Neue" w:cs="Calibri"/>
      <w:color w:val="4A709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3042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styleId="Hyperlink">
    <w:name w:val="Hyperlink"/>
    <w:rsid w:val="007E479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E4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cora.N.Walden@ir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7720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mailto:Alcora.N.Walden@irs.gov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Heather Gay/Mediabarn</dc:creator>
  <cp:keywords/>
  <cp:lastModifiedBy>Durbala R Joseph</cp:lastModifiedBy>
  <cp:revision>2</cp:revision>
  <cp:lastPrinted>2010-10-04T15:59:00Z</cp:lastPrinted>
  <dcterms:created xsi:type="dcterms:W3CDTF">2020-06-16T16:45:00Z</dcterms:created>
  <dcterms:modified xsi:type="dcterms:W3CDTF">2020-06-16T16:45:00Z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