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49673" w14:textId="6C6F1DFD" w:rsidR="00EB5E96" w:rsidRPr="00596A43" w:rsidRDefault="00FC4AAA" w:rsidP="000C4293">
      <w:pPr>
        <w:pStyle w:val="Title"/>
        <w:jc w:val="both"/>
        <w:rPr>
          <w:sz w:val="24"/>
          <w:szCs w:val="24"/>
        </w:rPr>
      </w:pPr>
      <w:bookmarkStart w:id="0" w:name="_GoBack"/>
      <w:bookmarkEnd w:id="0"/>
      <w:r>
        <w:rPr>
          <w:sz w:val="24"/>
          <w:szCs w:val="24"/>
        </w:rPr>
        <w:tab/>
      </w:r>
    </w:p>
    <w:p w14:paraId="09AC7F50" w14:textId="1141454B" w:rsidR="00EB5E96" w:rsidRPr="00596A43" w:rsidRDefault="00EB5E96" w:rsidP="006A0B1C">
      <w:pPr>
        <w:pStyle w:val="Title"/>
        <w:rPr>
          <w:sz w:val="24"/>
          <w:szCs w:val="24"/>
        </w:rPr>
      </w:pPr>
      <w:r w:rsidRPr="00596A43">
        <w:rPr>
          <w:sz w:val="24"/>
          <w:szCs w:val="24"/>
        </w:rPr>
        <w:t>Supporting Statement for Paperwork Reduction Act Submissions</w:t>
      </w:r>
    </w:p>
    <w:p w14:paraId="399CE91E" w14:textId="77777777" w:rsidR="00EB5E96" w:rsidRPr="00596A43" w:rsidRDefault="00EB5E96" w:rsidP="000C4293">
      <w:pPr>
        <w:tabs>
          <w:tab w:val="left" w:pos="-720"/>
        </w:tabs>
        <w:suppressAutoHyphens/>
        <w:ind w:right="-720"/>
        <w:jc w:val="both"/>
        <w:rPr>
          <w:b/>
        </w:rPr>
      </w:pPr>
    </w:p>
    <w:p w14:paraId="53A8018F" w14:textId="77777777" w:rsidR="00EB5E96" w:rsidRPr="00596A43" w:rsidRDefault="00EB5E96" w:rsidP="00D73BBC">
      <w:pPr>
        <w:tabs>
          <w:tab w:val="left" w:pos="-720"/>
        </w:tabs>
        <w:suppressAutoHyphens/>
        <w:jc w:val="center"/>
        <w:rPr>
          <w:b/>
        </w:rPr>
      </w:pPr>
      <w:r w:rsidRPr="00596A43">
        <w:rPr>
          <w:b/>
        </w:rPr>
        <w:t>Title:</w:t>
      </w:r>
    </w:p>
    <w:p w14:paraId="6F50A6BC" w14:textId="77777777" w:rsidR="00EB5E96" w:rsidRPr="00596A43" w:rsidRDefault="00EB5E96" w:rsidP="00D73BBC">
      <w:pPr>
        <w:tabs>
          <w:tab w:val="left" w:pos="-720"/>
        </w:tabs>
        <w:suppressAutoHyphens/>
        <w:jc w:val="center"/>
        <w:rPr>
          <w:b/>
        </w:rPr>
      </w:pPr>
    </w:p>
    <w:p w14:paraId="041967B2" w14:textId="77777777" w:rsidR="00EB5E96" w:rsidRPr="00596A43" w:rsidRDefault="00EB5E96" w:rsidP="00D73BBC">
      <w:pPr>
        <w:tabs>
          <w:tab w:val="left" w:pos="-720"/>
        </w:tabs>
        <w:suppressAutoHyphens/>
        <w:jc w:val="center"/>
        <w:rPr>
          <w:b/>
        </w:rPr>
      </w:pPr>
      <w:r w:rsidRPr="00596A43">
        <w:rPr>
          <w:b/>
        </w:rPr>
        <w:t xml:space="preserve">OMB Control Number:  </w:t>
      </w:r>
      <w:r w:rsidR="000A6FC5" w:rsidRPr="00596A43">
        <w:rPr>
          <w:b/>
        </w:rPr>
        <w:t>1670-</w:t>
      </w:r>
      <w:r w:rsidR="004505A3">
        <w:rPr>
          <w:b/>
        </w:rPr>
        <w:t>0014</w:t>
      </w:r>
    </w:p>
    <w:p w14:paraId="5DABD2A2" w14:textId="77777777" w:rsidR="00EB5E96" w:rsidRDefault="00EB5E96" w:rsidP="00D73BBC">
      <w:pPr>
        <w:tabs>
          <w:tab w:val="left" w:pos="-720"/>
        </w:tabs>
        <w:suppressAutoHyphens/>
        <w:jc w:val="center"/>
      </w:pPr>
    </w:p>
    <w:p w14:paraId="23BC68D2" w14:textId="20F0A7A3" w:rsidR="00E57C22" w:rsidRDefault="00E57C22" w:rsidP="00E57C22">
      <w:pPr>
        <w:pStyle w:val="Title1"/>
      </w:pPr>
      <w:r>
        <w:t xml:space="preserve">Chemical </w:t>
      </w:r>
      <w:r w:rsidR="004505A3">
        <w:t>Facility Anti-Terrorism Standards</w:t>
      </w:r>
    </w:p>
    <w:p w14:paraId="0E0DFD36" w14:textId="77777777" w:rsidR="00E57C22" w:rsidRPr="008F1669" w:rsidRDefault="00E57C22" w:rsidP="00E57C22">
      <w:pPr>
        <w:pStyle w:val="Title1"/>
      </w:pPr>
    </w:p>
    <w:p w14:paraId="49B7A794" w14:textId="77777777" w:rsidR="009F06EB" w:rsidRPr="00CB393B" w:rsidRDefault="009F06EB" w:rsidP="00D73BBC">
      <w:pPr>
        <w:tabs>
          <w:tab w:val="left" w:pos="-720"/>
        </w:tabs>
        <w:suppressAutoHyphens/>
        <w:jc w:val="center"/>
        <w:rPr>
          <w:b/>
        </w:rPr>
      </w:pPr>
      <w:r w:rsidRPr="00CB393B">
        <w:rPr>
          <w:b/>
        </w:rPr>
        <w:t>Supporting Statement A</w:t>
      </w:r>
    </w:p>
    <w:p w14:paraId="25A4C3FD" w14:textId="77777777" w:rsidR="009F06EB" w:rsidRPr="00596A43" w:rsidRDefault="009F06EB" w:rsidP="000C4293">
      <w:pPr>
        <w:tabs>
          <w:tab w:val="left" w:pos="-720"/>
        </w:tabs>
        <w:suppressAutoHyphens/>
        <w:jc w:val="both"/>
      </w:pPr>
    </w:p>
    <w:p w14:paraId="3CFF97FA" w14:textId="77777777" w:rsidR="00EB5E96" w:rsidRPr="00596A43" w:rsidRDefault="00EB5E96" w:rsidP="000C4293">
      <w:pPr>
        <w:pStyle w:val="Heading1"/>
        <w:jc w:val="both"/>
        <w:rPr>
          <w:sz w:val="24"/>
          <w:szCs w:val="24"/>
        </w:rPr>
      </w:pPr>
      <w:r w:rsidRPr="00596A43">
        <w:rPr>
          <w:sz w:val="24"/>
          <w:szCs w:val="24"/>
        </w:rPr>
        <w:t>A.  Justification</w:t>
      </w:r>
    </w:p>
    <w:p w14:paraId="34762E35" w14:textId="77777777" w:rsidR="00EB5E96" w:rsidRPr="00596A43" w:rsidRDefault="00EB5E96" w:rsidP="000C4293">
      <w:pPr>
        <w:tabs>
          <w:tab w:val="left" w:pos="-720"/>
        </w:tabs>
        <w:suppressAutoHyphens/>
        <w:jc w:val="both"/>
      </w:pPr>
    </w:p>
    <w:p w14:paraId="34D77FAC"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4A49A9D9" w14:textId="77777777" w:rsidR="000E7B5C" w:rsidRPr="00596A43" w:rsidRDefault="000E7B5C" w:rsidP="000C4293">
      <w:pPr>
        <w:tabs>
          <w:tab w:val="left" w:pos="-720"/>
        </w:tabs>
        <w:suppressAutoHyphens/>
        <w:jc w:val="both"/>
      </w:pPr>
    </w:p>
    <w:p w14:paraId="0705C4CC" w14:textId="77777777" w:rsidR="00E54806" w:rsidRDefault="00E54806" w:rsidP="00E57C22">
      <w:r w:rsidRPr="004505A3">
        <w:t>On December 18, 2014, the President signed into law the Protecting and Securing Chemical F</w:t>
      </w:r>
      <w:r w:rsidRPr="00E32314">
        <w:t>acilities from Terrorist Attacks Act of 2014 (“CFATS Act of 2014”)</w:t>
      </w:r>
      <w:r w:rsidR="005B00B5">
        <w:t xml:space="preserve"> (Pub. L. 113-254)</w:t>
      </w:r>
      <w:r w:rsidRPr="00E32314">
        <w:t xml:space="preserve"> providing long</w:t>
      </w:r>
      <w:r w:rsidR="00880C25">
        <w:t>-</w:t>
      </w:r>
      <w:r w:rsidRPr="00E32314">
        <w:t>term authori</w:t>
      </w:r>
      <w:r w:rsidRPr="00536C76">
        <w:t>zation for the CFATS program.</w:t>
      </w:r>
      <w:r w:rsidR="004451B2" w:rsidRPr="00536C76">
        <w:t xml:space="preserve">  The CFATS Act of 2014 codified the Department’s authority to implement the CFATS program into the Homeland Security Act of 2002.  See 6</w:t>
      </w:r>
      <w:r w:rsidR="009D774A" w:rsidRPr="00DE44B7">
        <w:t xml:space="preserve"> U.S.C. </w:t>
      </w:r>
      <w:r w:rsidR="005B00B5">
        <w:t xml:space="preserve">§ </w:t>
      </w:r>
      <w:r w:rsidR="009D774A" w:rsidRPr="00DE44B7">
        <w:t>6</w:t>
      </w:r>
      <w:r w:rsidR="004451B2" w:rsidRPr="00DE44B7">
        <w:t xml:space="preserve">21 </w:t>
      </w:r>
      <w:r w:rsidR="004451B2" w:rsidRPr="00DE44B7">
        <w:rPr>
          <w:i/>
        </w:rPr>
        <w:t>et. seq</w:t>
      </w:r>
      <w:r w:rsidR="004451B2" w:rsidRPr="0088315C">
        <w:t>.</w:t>
      </w:r>
    </w:p>
    <w:p w14:paraId="035B8D38" w14:textId="77777777" w:rsidR="00E54806" w:rsidRDefault="00E54806" w:rsidP="00E57C22"/>
    <w:p w14:paraId="6A455F47" w14:textId="4445DC9E" w:rsidR="003C600B" w:rsidRDefault="00E54806" w:rsidP="00E57C22">
      <w:r w:rsidRPr="00E54806">
        <w:t xml:space="preserve">Section 550 of Public Law 109-295 previously provided (and the CFATS Act of 2014 continues to provide) the Department with authority to identify and regulate the security of high-risk chemical facilities using a risk-based approach.  </w:t>
      </w:r>
      <w:r w:rsidR="00E57C22" w:rsidRPr="00F202F1">
        <w:t xml:space="preserve">On April 9, 2007, the Department issued </w:t>
      </w:r>
      <w:r>
        <w:t>the CFATS</w:t>
      </w:r>
      <w:r w:rsidR="00E57C22" w:rsidRPr="00F202F1">
        <w:t xml:space="preserve"> Interim Final Rule (IFR), implementing this statutory mandate</w:t>
      </w:r>
      <w:r w:rsidR="00966A9D">
        <w:t xml:space="preserve">. </w:t>
      </w:r>
      <w:r w:rsidR="00E57C22" w:rsidRPr="00F202F1">
        <w:t xml:space="preserve"> </w:t>
      </w:r>
      <w:r w:rsidR="003C600B">
        <w:t>See</w:t>
      </w:r>
      <w:r w:rsidR="00E57C22" w:rsidRPr="00F202F1">
        <w:t xml:space="preserve"> 72 FR 17688.</w:t>
      </w:r>
      <w:r w:rsidR="00916C0C">
        <w:t xml:space="preserve">  </w:t>
      </w:r>
      <w:r w:rsidRPr="00E54806">
        <w:t>Section 550 required (and the CFATS Act of 2014 continues to require) that the Department</w:t>
      </w:r>
      <w:r w:rsidR="00440786">
        <w:t xml:space="preserve"> </w:t>
      </w:r>
      <w:r w:rsidRPr="00E54806">
        <w:t>e</w:t>
      </w:r>
      <w:r w:rsidR="00D735EE">
        <w:t>s</w:t>
      </w:r>
      <w:r w:rsidRPr="00E54806">
        <w:t>tablish risk-based performance standards (RBPS) for high-risk chemical facilities and, under CFATS, the Department promulgated 1</w:t>
      </w:r>
      <w:r w:rsidR="000812FB">
        <w:t>9</w:t>
      </w:r>
      <w:r w:rsidRPr="00E54806">
        <w:t xml:space="preserve"> RBPS.</w:t>
      </w:r>
      <w:r w:rsidR="004505A3">
        <w:t xml:space="preserve"> </w:t>
      </w:r>
    </w:p>
    <w:p w14:paraId="02652101" w14:textId="77777777" w:rsidR="00E54806" w:rsidRDefault="00E54806" w:rsidP="00E57C22"/>
    <w:p w14:paraId="7CAFE0A7" w14:textId="77777777" w:rsidR="003C600B" w:rsidRDefault="00E57C22" w:rsidP="00E57C22">
      <w:r w:rsidRPr="00537253">
        <w:t xml:space="preserve">CFATS, 6 CFR Part 27, </w:t>
      </w:r>
      <w:r w:rsidR="00903907">
        <w:t>is</w:t>
      </w:r>
      <w:r w:rsidR="00325546" w:rsidRPr="00537253">
        <w:t xml:space="preserve"> </w:t>
      </w:r>
      <w:r w:rsidRPr="00537253">
        <w:t xml:space="preserve">the Department’s regulation governing security at high-risk chemical facilities. CFATS represents a national-level effort to minimize terrorism risk to such facilities. Its design and implementation balance maintaining economic vitality with securing facilities and their surrounding communities. The </w:t>
      </w:r>
      <w:r w:rsidRPr="00903907">
        <w:t>regulation w</w:t>
      </w:r>
      <w:r w:rsidR="00903907">
        <w:t>as</w:t>
      </w:r>
      <w:r w:rsidRPr="00537253">
        <w:t xml:space="preserve"> designed, in collaboration with the private sector and other stakeholders, to take advantage of protective measures already in place and to allow facilities to employ a wide range of tailored measures to satisfy the </w:t>
      </w:r>
      <w:r w:rsidRPr="00903907">
        <w:t>regulation</w:t>
      </w:r>
      <w:r w:rsidR="00903907">
        <w:t>’</w:t>
      </w:r>
      <w:r w:rsidRPr="00903907">
        <w:t>s</w:t>
      </w:r>
      <w:r w:rsidRPr="00537253">
        <w:t xml:space="preserve"> </w:t>
      </w:r>
      <w:r w:rsidR="00E32314">
        <w:t xml:space="preserve">19 </w:t>
      </w:r>
      <w:r w:rsidRPr="00537253">
        <w:t>RBPS.</w:t>
      </w:r>
    </w:p>
    <w:p w14:paraId="024A56D8" w14:textId="77777777" w:rsidR="00E57C22" w:rsidRPr="00537253" w:rsidRDefault="00E57C22" w:rsidP="00E57C22">
      <w:r w:rsidRPr="00537253">
        <w:t xml:space="preserve"> </w:t>
      </w:r>
    </w:p>
    <w:p w14:paraId="78F23D5C" w14:textId="77777777" w:rsidR="00E57C22" w:rsidRDefault="00E32314" w:rsidP="00E57C22">
      <w:r w:rsidRPr="00E32314">
        <w:t xml:space="preserve">CFATS allows, and sometimes requires, facilities to communicate or notify specific information </w:t>
      </w:r>
      <w:r w:rsidR="00880C25">
        <w:t xml:space="preserve">to </w:t>
      </w:r>
      <w:r w:rsidRPr="00E32314">
        <w:t>the department.  The data collection activity will be limited to representatives of affected facilities through the Chemical Security Assessment Tool (CSAT).</w:t>
      </w:r>
      <w:r w:rsidR="00E57C22">
        <w:t>T</w:t>
      </w:r>
      <w:r w:rsidR="00E57C22" w:rsidRPr="00F202F1">
        <w:t xml:space="preserve">he Department </w:t>
      </w:r>
      <w:r w:rsidR="00E57C22">
        <w:t xml:space="preserve">collects </w:t>
      </w:r>
      <w:r w:rsidR="00E57C22" w:rsidRPr="00F202F1">
        <w:t xml:space="preserve">the </w:t>
      </w:r>
      <w:r w:rsidR="00E57C22">
        <w:t xml:space="preserve">core regulatory data electronically through the </w:t>
      </w:r>
      <w:r w:rsidR="00E57C22" w:rsidRPr="00F202F1">
        <w:t>CSAT.</w:t>
      </w:r>
      <w:r w:rsidR="005B00B5">
        <w:t xml:space="preserve"> </w:t>
      </w:r>
      <w:r w:rsidR="00916C0C">
        <w:t xml:space="preserve">The statute and regulation authorizing the collections described in this ICR can be viewed at the following websites: </w:t>
      </w:r>
    </w:p>
    <w:p w14:paraId="0028E8AA" w14:textId="77777777" w:rsidR="00916C0C" w:rsidRDefault="00916C0C" w:rsidP="00193FB1">
      <w:pPr>
        <w:numPr>
          <w:ilvl w:val="0"/>
          <w:numId w:val="34"/>
        </w:numPr>
      </w:pPr>
      <w:r>
        <w:lastRenderedPageBreak/>
        <w:t xml:space="preserve">The CFATS Act of 2014: </w:t>
      </w:r>
      <w:hyperlink r:id="rId14" w:history="1">
        <w:r w:rsidRPr="006D4067">
          <w:rPr>
            <w:rStyle w:val="Hyperlink"/>
          </w:rPr>
          <w:t>http://uscode.house.gov/view.xhtml?path=/prelim@title6/chapter1/subchapter16&amp;edition=prelim</w:t>
        </w:r>
      </w:hyperlink>
      <w:r>
        <w:t xml:space="preserve">; and </w:t>
      </w:r>
    </w:p>
    <w:p w14:paraId="3C727E13" w14:textId="77777777" w:rsidR="00C032A8" w:rsidRDefault="00193FB1" w:rsidP="00B0282A">
      <w:pPr>
        <w:numPr>
          <w:ilvl w:val="0"/>
          <w:numId w:val="34"/>
        </w:numPr>
      </w:pPr>
      <w:r>
        <w:t xml:space="preserve">6 CFR </w:t>
      </w:r>
      <w:r w:rsidR="00916C0C">
        <w:t xml:space="preserve">Part 27, CFATS implementing regulations: </w:t>
      </w:r>
      <w:hyperlink r:id="rId15" w:history="1">
        <w:r w:rsidR="003F6BA0" w:rsidRPr="00702FCA">
          <w:rPr>
            <w:rStyle w:val="Hyperlink"/>
          </w:rPr>
          <w:t>http://www.ecfr.gov/cgi-bin/text-idx?tpl=/ecfrbrowse/Title06/6cfr27_main_02.tpl</w:t>
        </w:r>
      </w:hyperlink>
      <w:r w:rsidR="003F6BA0">
        <w:t>.</w:t>
      </w:r>
    </w:p>
    <w:p w14:paraId="0F5B8137" w14:textId="77777777" w:rsidR="00E57C22" w:rsidRPr="0078506C" w:rsidRDefault="00E57C22" w:rsidP="00E57C22">
      <w:pPr>
        <w:pStyle w:val="Heading3"/>
      </w:pPr>
      <w:r w:rsidRPr="0078506C">
        <w:t xml:space="preserve">History of </w:t>
      </w:r>
      <w:r w:rsidR="00C37F83">
        <w:t xml:space="preserve">the Currently Approved Information </w:t>
      </w:r>
      <w:r w:rsidRPr="0078506C">
        <w:t>Collection</w:t>
      </w:r>
    </w:p>
    <w:p w14:paraId="4478C278" w14:textId="77777777" w:rsidR="0088315C" w:rsidRDefault="0088315C" w:rsidP="00E57C22">
      <w:r w:rsidRPr="0088315C">
        <w:t xml:space="preserve">In January 2010, the </w:t>
      </w:r>
      <w:r w:rsidR="00C37F83">
        <w:t>D</w:t>
      </w:r>
      <w:r w:rsidRPr="0088315C">
        <w:t>epartment submitted an ICR</w:t>
      </w:r>
      <w:r w:rsidR="00C37F83">
        <w:t xml:space="preserve"> to OMB</w:t>
      </w:r>
      <w:r w:rsidRPr="0088315C">
        <w:t xml:space="preserve"> for </w:t>
      </w:r>
      <w:r>
        <w:t xml:space="preserve">four </w:t>
      </w:r>
      <w:r w:rsidR="00ED73B4">
        <w:t>instruments. Th</w:t>
      </w:r>
      <w:r w:rsidR="00C37F83">
        <w:t>is</w:t>
      </w:r>
      <w:r w:rsidR="00ED73B4">
        <w:t xml:space="preserve"> request was ap</w:t>
      </w:r>
      <w:r w:rsidRPr="0088315C">
        <w:t>proved</w:t>
      </w:r>
      <w:r w:rsidR="00C37F83">
        <w:t xml:space="preserve"> by OMB</w:t>
      </w:r>
      <w:r w:rsidRPr="0088315C">
        <w:t xml:space="preserve"> on March</w:t>
      </w:r>
      <w:r w:rsidR="00D11083">
        <w:t xml:space="preserve"> 19</w:t>
      </w:r>
      <w:r w:rsidRPr="0088315C">
        <w:t>, 2010 and the collection was set to expire on September 30, 2014.</w:t>
      </w:r>
    </w:p>
    <w:p w14:paraId="67C944DE" w14:textId="77777777" w:rsidR="0088315C" w:rsidRDefault="0088315C" w:rsidP="00E57C22"/>
    <w:p w14:paraId="2F63D93B" w14:textId="77777777" w:rsidR="00E32314" w:rsidRDefault="00E32314" w:rsidP="00E57C22">
      <w:r w:rsidRPr="00E32314">
        <w:t xml:space="preserve">In March 2013, the Department submitted </w:t>
      </w:r>
      <w:r w:rsidR="00C37F83">
        <w:t xml:space="preserve">an ICR </w:t>
      </w:r>
      <w:r w:rsidR="00D11083" w:rsidRPr="00D11083">
        <w:t>extension</w:t>
      </w:r>
      <w:r w:rsidR="00C37F83">
        <w:t xml:space="preserve"> to OMB</w:t>
      </w:r>
      <w:r w:rsidR="00D11083" w:rsidRPr="00D11083">
        <w:t xml:space="preserve">, without change, for </w:t>
      </w:r>
      <w:r w:rsidR="00C37F83">
        <w:t>the same</w:t>
      </w:r>
      <w:r w:rsidR="001328C7">
        <w:t xml:space="preserve"> </w:t>
      </w:r>
      <w:r w:rsidRPr="00E32314">
        <w:t>four instruments. Th</w:t>
      </w:r>
      <w:r w:rsidR="00C37F83">
        <w:t>is</w:t>
      </w:r>
      <w:r w:rsidRPr="00E32314">
        <w:t xml:space="preserve"> request was </w:t>
      </w:r>
      <w:r w:rsidR="00C37F83">
        <w:t xml:space="preserve">also </w:t>
      </w:r>
      <w:r w:rsidRPr="00E32314">
        <w:t>approved</w:t>
      </w:r>
      <w:r w:rsidR="00C37F83">
        <w:t xml:space="preserve"> by OMB</w:t>
      </w:r>
      <w:r w:rsidRPr="00E32314">
        <w:t xml:space="preserve"> on September 13, 2014 and the collection </w:t>
      </w:r>
      <w:r w:rsidR="00C37F83">
        <w:t>expiration was extended until</w:t>
      </w:r>
      <w:r w:rsidRPr="00E32314">
        <w:t xml:space="preserve"> September 30, 2017.</w:t>
      </w:r>
    </w:p>
    <w:p w14:paraId="24918B72" w14:textId="77777777" w:rsidR="00C37F83" w:rsidRDefault="00C37F83" w:rsidP="00E57C22"/>
    <w:p w14:paraId="7E9F542D" w14:textId="77777777" w:rsidR="00C37F83" w:rsidRDefault="00C37F83" w:rsidP="00E57C22">
      <w:r>
        <w:t xml:space="preserve">Presently, the Department requests that OMB extend this information collection for an </w:t>
      </w:r>
      <w:r w:rsidR="00291818">
        <w:t xml:space="preserve">additional three years </w:t>
      </w:r>
      <w:r w:rsidR="00C62ACC">
        <w:t>with revisions to modify the burden on</w:t>
      </w:r>
      <w:r w:rsidR="00C62ACC" w:rsidRPr="000521D7">
        <w:t xml:space="preserve"> many of the instruments based </w:t>
      </w:r>
      <w:r w:rsidR="00120E9E">
        <w:t xml:space="preserve">primarily </w:t>
      </w:r>
      <w:r w:rsidR="00C62ACC" w:rsidRPr="000521D7">
        <w:t>upon historical data since the implementation of the collection</w:t>
      </w:r>
      <w:r w:rsidR="00120E9E">
        <w:t xml:space="preserve"> and partially upon new efficiencies that were previously unavailable in the CSAT system</w:t>
      </w:r>
      <w:r w:rsidR="00C62ACC" w:rsidRPr="000521D7">
        <w:t xml:space="preserve">.  </w:t>
      </w:r>
      <w:r w:rsidR="00120E9E">
        <w:t>In addition, a</w:t>
      </w:r>
      <w:r w:rsidR="00C62ACC">
        <w:t xml:space="preserve"> new instrument is proposed (Declaration of Reporting Status) and s</w:t>
      </w:r>
      <w:r w:rsidR="00C62ACC" w:rsidRPr="000521D7">
        <w:t xml:space="preserve">everal of the instruments were refined to reflect </w:t>
      </w:r>
      <w:r w:rsidR="00C62ACC" w:rsidRPr="00400185">
        <w:t>the maturing regulatory program.</w:t>
      </w:r>
      <w:r w:rsidR="00C62ACC">
        <w:t xml:space="preserve"> </w:t>
      </w:r>
      <w:r w:rsidR="00C62ACC" w:rsidRPr="000F01F0">
        <w:t>The Department submitted the ICR for review by OMB prior to the expiration date.</w:t>
      </w:r>
    </w:p>
    <w:p w14:paraId="416D324A" w14:textId="77777777" w:rsidR="00E57C22" w:rsidRPr="00F202F1" w:rsidRDefault="00E57C22" w:rsidP="00E57C22">
      <w:pPr>
        <w:pStyle w:val="Heading3"/>
      </w:pPr>
      <w:r>
        <w:t>Reason for Revision</w:t>
      </w:r>
      <w:r w:rsidR="005209BA">
        <w:t>s</w:t>
      </w:r>
      <w:r>
        <w:t xml:space="preserve"> </w:t>
      </w:r>
    </w:p>
    <w:p w14:paraId="152F291C" w14:textId="77777777" w:rsidR="005209BA" w:rsidRDefault="005209BA" w:rsidP="00E57C22"/>
    <w:p w14:paraId="4D48E40C" w14:textId="77777777" w:rsidR="005209BA" w:rsidRDefault="005209BA" w:rsidP="00E57C22">
      <w:r>
        <w:t>The Department requests that OMB extend this information collection with the following revisions:</w:t>
      </w:r>
    </w:p>
    <w:p w14:paraId="00618824" w14:textId="77777777" w:rsidR="007B7666" w:rsidRDefault="007B7666" w:rsidP="00E57C22"/>
    <w:p w14:paraId="38B07025" w14:textId="531D67B3" w:rsidR="005209BA" w:rsidRDefault="00F03D71" w:rsidP="00193FB1">
      <w:pPr>
        <w:numPr>
          <w:ilvl w:val="0"/>
          <w:numId w:val="35"/>
        </w:numPr>
      </w:pPr>
      <w:r>
        <w:t>An increase in</w:t>
      </w:r>
      <w:r w:rsidR="00D71239">
        <w:t xml:space="preserve"> the</w:t>
      </w:r>
      <w:r w:rsidR="00141F11">
        <w:t xml:space="preserve"> </w:t>
      </w:r>
      <w:r w:rsidR="0029283B">
        <w:t>overall total</w:t>
      </w:r>
      <w:r w:rsidR="00D71239">
        <w:t xml:space="preserve"> annual operating cost to the Federal Government for this collection from $897,700</w:t>
      </w:r>
      <w:r w:rsidR="0029283B">
        <w:t xml:space="preserve"> to $</w:t>
      </w:r>
      <w:r>
        <w:t>957</w:t>
      </w:r>
      <w:r w:rsidR="007B3C10">
        <w:t>,562</w:t>
      </w:r>
      <w:r w:rsidR="003C3233">
        <w:t xml:space="preserve"> </w:t>
      </w:r>
      <w:r w:rsidR="00664C53">
        <w:t xml:space="preserve">based on </w:t>
      </w:r>
      <w:r w:rsidR="00141F11">
        <w:t xml:space="preserve">the projected </w:t>
      </w:r>
      <w:r w:rsidR="00664C53" w:rsidRPr="00234BC6">
        <w:t>costs</w:t>
      </w:r>
      <w:r w:rsidR="00515DB0">
        <w:t xml:space="preserve"> for Government FTE</w:t>
      </w:r>
      <w:r w:rsidR="009216AC">
        <w:t xml:space="preserve"> salaries</w:t>
      </w:r>
      <w:r w:rsidR="00515DB0">
        <w:t xml:space="preserve"> </w:t>
      </w:r>
      <w:r w:rsidR="00D71239">
        <w:t xml:space="preserve">that is </w:t>
      </w:r>
      <w:r w:rsidR="006C2250">
        <w:t>reflected in</w:t>
      </w:r>
      <w:r w:rsidR="00664C53">
        <w:t xml:space="preserve"> </w:t>
      </w:r>
      <w:r w:rsidR="006C2250">
        <w:t>t</w:t>
      </w:r>
      <w:r w:rsidR="00515DB0">
        <w:t xml:space="preserve">he Office of Personnel Management’s (OPM) </w:t>
      </w:r>
      <w:r w:rsidR="009216AC">
        <w:t>2017 General Schedule Locality Pay Table</w:t>
      </w:r>
      <w:r w:rsidR="00664C53">
        <w:t>.</w:t>
      </w:r>
      <w:r w:rsidR="00141F11">
        <w:t xml:space="preserve"> </w:t>
      </w:r>
    </w:p>
    <w:p w14:paraId="63CB1594" w14:textId="77777777" w:rsidR="00D7118B" w:rsidRDefault="00D7118B" w:rsidP="007B3C10">
      <w:pPr>
        <w:numPr>
          <w:ilvl w:val="0"/>
          <w:numId w:val="35"/>
        </w:numPr>
      </w:pPr>
      <w:r>
        <w:t>As in the previously approved collection for these instruments, the Department assumes that Site Security Officers (SSOs) are responsible for submitting the instruments associated with this collection.</w:t>
      </w:r>
      <w:r w:rsidR="007B3C10">
        <w:t xml:space="preserve"> </w:t>
      </w:r>
      <w:r w:rsidR="007B3C10" w:rsidRPr="007B3C10">
        <w:t xml:space="preserve">The Department realizes that the associated hourly salary from the spectrum of possible CVI Authorized Users accessing the CVI Authorization instrument is potentially wide. Consequently, the Department is making the assumption that the hourly salary of Site Security Officers (SSOs) should be used to provide a medium mean hourly salary associated with this collection. </w:t>
      </w:r>
      <w:r>
        <w:t xml:space="preserve"> </w:t>
      </w:r>
      <w:r w:rsidR="007B3C10">
        <w:t>T</w:t>
      </w:r>
      <w:r>
        <w:t>his request incorporates a reduction of the annual reporting and recordkeeping hour and cost burden for SSOs to $</w:t>
      </w:r>
      <w:r w:rsidR="007B49F8">
        <w:t>78.93</w:t>
      </w:r>
      <w:r>
        <w:t>/hour</w:t>
      </w:r>
      <w:r w:rsidR="007B3C10">
        <w:t xml:space="preserve"> using a wage rate which is </w:t>
      </w:r>
      <w:r w:rsidR="007B49F8">
        <w:t>based on updated Bureau of Labor Statistics (BLS) data.</w:t>
      </w:r>
    </w:p>
    <w:p w14:paraId="0107CAB4" w14:textId="77777777" w:rsidR="00D7118B" w:rsidRDefault="00D7118B" w:rsidP="00D7118B">
      <w:pPr>
        <w:numPr>
          <w:ilvl w:val="0"/>
          <w:numId w:val="35"/>
        </w:numPr>
      </w:pPr>
      <w:r>
        <w:t xml:space="preserve">This request contains a name change for two previously approved instruments to clarify the function of both instruments. Specifically, “Request for a Technical Consultation” has been changed to “Compliance Assistance” and “Notification of New Top-Screen” has </w:t>
      </w:r>
      <w:r>
        <w:lastRenderedPageBreak/>
        <w:t>been changed to “Top-Screen Update.”   No substantive revisions are proposed for either instrument.</w:t>
      </w:r>
    </w:p>
    <w:p w14:paraId="22F7F924" w14:textId="77777777" w:rsidR="00D7118B" w:rsidRPr="00D7118B" w:rsidRDefault="00D7118B" w:rsidP="00D7118B">
      <w:pPr>
        <w:numPr>
          <w:ilvl w:val="0"/>
          <w:numId w:val="35"/>
        </w:numPr>
      </w:pPr>
      <w:r>
        <w:t xml:space="preserve">The “Request for Redetermination” instrument </w:t>
      </w:r>
      <w:r w:rsidR="00273B82">
        <w:t xml:space="preserve">is proposed to be amended </w:t>
      </w:r>
      <w:r>
        <w:t>to allow facilities to select from a list of possible reasons to support a request for redetermination.</w:t>
      </w:r>
    </w:p>
    <w:p w14:paraId="1E1D91D4" w14:textId="77777777" w:rsidR="00D7118B" w:rsidRDefault="00D7118B" w:rsidP="00D7118B">
      <w:pPr>
        <w:numPr>
          <w:ilvl w:val="0"/>
          <w:numId w:val="35"/>
        </w:numPr>
      </w:pPr>
      <w:r>
        <w:t xml:space="preserve">This request </w:t>
      </w:r>
      <w:r w:rsidR="00273B82">
        <w:t xml:space="preserve">proposes </w:t>
      </w:r>
      <w:r>
        <w:t>the addition of a new instrument titled “Declaration of Reporting Status” which allows a chemical facility to notify the Department that it is not required to register in CSAT or submit a Top-Screen (TS).</w:t>
      </w:r>
    </w:p>
    <w:p w14:paraId="6F703663" w14:textId="77777777" w:rsidR="00D7118B" w:rsidRDefault="00D7118B" w:rsidP="00D7118B">
      <w:pPr>
        <w:ind w:left="720"/>
      </w:pPr>
    </w:p>
    <w:p w14:paraId="3EE35748"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14:paraId="32984930" w14:textId="77777777" w:rsidR="00D73BBC" w:rsidRDefault="00D73BBC" w:rsidP="00D73BBC">
      <w:pPr>
        <w:tabs>
          <w:tab w:val="left" w:pos="-720"/>
        </w:tabs>
        <w:suppressAutoHyphens/>
        <w:jc w:val="both"/>
        <w:rPr>
          <w:i/>
          <w:spacing w:val="-3"/>
          <w:sz w:val="20"/>
        </w:rPr>
      </w:pPr>
    </w:p>
    <w:p w14:paraId="173C7CB9" w14:textId="77777777" w:rsidR="003C5B0C" w:rsidRDefault="00C35834" w:rsidP="006F08C0">
      <w:r w:rsidRPr="00C35834">
        <w:t xml:space="preserve">There are </w:t>
      </w:r>
      <w:r w:rsidR="00DA3B4D">
        <w:t xml:space="preserve">five </w:t>
      </w:r>
      <w:r w:rsidRPr="00C35834">
        <w:t xml:space="preserve">instruments in this collection.  </w:t>
      </w:r>
      <w:r w:rsidR="00395E34">
        <w:t>A new</w:t>
      </w:r>
      <w:r w:rsidR="00FB359B">
        <w:t>, fifth</w:t>
      </w:r>
      <w:r w:rsidR="00395E34">
        <w:t xml:space="preserve"> instrument “</w:t>
      </w:r>
      <w:r w:rsidR="00395E34" w:rsidRPr="00395E34">
        <w:t>Declaration of</w:t>
      </w:r>
      <w:r w:rsidR="00395E34">
        <w:t xml:space="preserve"> Reporting St</w:t>
      </w:r>
      <w:r w:rsidR="001E7954">
        <w:t>a</w:t>
      </w:r>
      <w:r w:rsidR="00395E34">
        <w:t xml:space="preserve">tus” has been added to allow </w:t>
      </w:r>
      <w:r w:rsidR="003C5B0C">
        <w:t>a chemical facility to notify the Department that it is not required to register</w:t>
      </w:r>
      <w:r w:rsidR="00FB359B">
        <w:t xml:space="preserve"> in the CSAT system</w:t>
      </w:r>
      <w:r w:rsidR="003C5B0C">
        <w:t xml:space="preserve"> or submit a TS. </w:t>
      </w:r>
      <w:r w:rsidRPr="00C35834">
        <w:t>These</w:t>
      </w:r>
      <w:r w:rsidR="00395E34">
        <w:t xml:space="preserve"> </w:t>
      </w:r>
      <w:r w:rsidR="00DA3B4D">
        <w:t>five</w:t>
      </w:r>
      <w:r w:rsidR="00117E06" w:rsidRPr="00C35834">
        <w:t xml:space="preserve"> </w:t>
      </w:r>
      <w:r w:rsidRPr="00C35834">
        <w:t xml:space="preserve">instruments will be used to support the </w:t>
      </w:r>
      <w:r w:rsidR="003C5B0C">
        <w:t>D</w:t>
      </w:r>
      <w:r w:rsidRPr="00C35834">
        <w:t>epartment’s management of the CFATS communications and notification</w:t>
      </w:r>
      <w:r w:rsidR="008F22A2">
        <w:t>s</w:t>
      </w:r>
      <w:r w:rsidRPr="00C35834">
        <w:t xml:space="preserve"> from </w:t>
      </w:r>
      <w:r w:rsidR="008F22A2">
        <w:t>chemical</w:t>
      </w:r>
      <w:r w:rsidRPr="00C35834">
        <w:t xml:space="preserve"> facilities</w:t>
      </w:r>
      <w:r w:rsidR="008F22A2">
        <w:t xml:space="preserve"> of interest</w:t>
      </w:r>
      <w:r w:rsidRPr="00C35834">
        <w:t xml:space="preserve">.  </w:t>
      </w:r>
      <w:r w:rsidR="00E57C22" w:rsidRPr="00F202F1">
        <w:t>All</w:t>
      </w:r>
      <w:r w:rsidR="00E57C22">
        <w:t xml:space="preserve"> information collected supports the Department’s effort to reduce the risk of a successful terrorist attack against </w:t>
      </w:r>
      <w:r w:rsidR="00972525">
        <w:t>high</w:t>
      </w:r>
      <w:r w:rsidR="001E2724">
        <w:t>-</w:t>
      </w:r>
      <w:r w:rsidR="00972525">
        <w:t>risk chemical facilities</w:t>
      </w:r>
      <w:r w:rsidR="00E57C22">
        <w:t xml:space="preserve">. </w:t>
      </w:r>
    </w:p>
    <w:p w14:paraId="06898739" w14:textId="77777777" w:rsidR="003C5B0C" w:rsidRDefault="003C5B0C" w:rsidP="003E13FA"/>
    <w:p w14:paraId="65154A28" w14:textId="77777777" w:rsidR="00E57C22" w:rsidRDefault="00C35834" w:rsidP="006F08C0">
      <w:r w:rsidRPr="00C35834">
        <w:t>The instruments that comprise this collection are as follows</w:t>
      </w:r>
      <w:r w:rsidR="003C5B0C">
        <w:t>:</w:t>
      </w:r>
    </w:p>
    <w:p w14:paraId="7CCAC010" w14:textId="77777777" w:rsidR="00E57C22" w:rsidRDefault="00E57C22" w:rsidP="00E57C22"/>
    <w:p w14:paraId="0937165C" w14:textId="77777777" w:rsidR="00DA3B4D" w:rsidRPr="00DA3B4D" w:rsidRDefault="00DA3B4D" w:rsidP="004D1D48">
      <w:pPr>
        <w:pStyle w:val="ListParagraph"/>
        <w:numPr>
          <w:ilvl w:val="0"/>
          <w:numId w:val="26"/>
        </w:numPr>
        <w:rPr>
          <w:rFonts w:ascii="Times New Roman" w:hAnsi="Times New Roman"/>
        </w:rPr>
      </w:pPr>
      <w:r w:rsidRPr="00DA3B4D">
        <w:rPr>
          <w:rFonts w:ascii="Times New Roman" w:hAnsi="Times New Roman"/>
        </w:rPr>
        <w:t>Request for Redetermination</w:t>
      </w:r>
      <w:r w:rsidR="003C5B0C">
        <w:rPr>
          <w:rFonts w:ascii="Times New Roman" w:hAnsi="Times New Roman"/>
        </w:rPr>
        <w:t>,</w:t>
      </w:r>
      <w:r w:rsidR="00430301">
        <w:rPr>
          <w:rFonts w:ascii="Times New Roman" w:hAnsi="Times New Roman"/>
        </w:rPr>
        <w:t xml:space="preserve"> </w:t>
      </w:r>
    </w:p>
    <w:p w14:paraId="2161744E" w14:textId="77777777" w:rsidR="00E57C22" w:rsidRPr="00DA3B4D" w:rsidRDefault="004D1D48" w:rsidP="00DA3B4D">
      <w:pPr>
        <w:pStyle w:val="ListParagraph"/>
        <w:numPr>
          <w:ilvl w:val="0"/>
          <w:numId w:val="26"/>
        </w:numPr>
        <w:rPr>
          <w:rFonts w:ascii="Times New Roman" w:hAnsi="Times New Roman"/>
        </w:rPr>
      </w:pPr>
      <w:r w:rsidRPr="00DA3B4D">
        <w:rPr>
          <w:rFonts w:ascii="Times New Roman" w:hAnsi="Times New Roman"/>
        </w:rPr>
        <w:t>Request for an Extension,</w:t>
      </w:r>
    </w:p>
    <w:p w14:paraId="32B7A69C" w14:textId="77777777" w:rsidR="00E57C22" w:rsidRPr="00DA3B4D" w:rsidRDefault="00D358E9" w:rsidP="00D358E9">
      <w:pPr>
        <w:numPr>
          <w:ilvl w:val="0"/>
          <w:numId w:val="26"/>
        </w:numPr>
      </w:pPr>
      <w:r w:rsidRPr="00D358E9">
        <w:t>Top-Screen</w:t>
      </w:r>
      <w:r w:rsidR="003C5B0C">
        <w:t xml:space="preserve"> Update,</w:t>
      </w:r>
      <w:r w:rsidRPr="00D358E9">
        <w:t xml:space="preserve">     </w:t>
      </w:r>
      <w:r w:rsidR="00E57C22" w:rsidRPr="00DA3B4D">
        <w:tab/>
      </w:r>
    </w:p>
    <w:p w14:paraId="4A7F7315" w14:textId="77777777" w:rsidR="005F3CAE" w:rsidRPr="00DA3B4D" w:rsidRDefault="004D1D48" w:rsidP="00E57C22">
      <w:pPr>
        <w:numPr>
          <w:ilvl w:val="0"/>
          <w:numId w:val="26"/>
        </w:numPr>
      </w:pPr>
      <w:r w:rsidRPr="00DA3B4D">
        <w:t>Compliance Assistance,</w:t>
      </w:r>
      <w:r w:rsidR="003C5B0C">
        <w:t xml:space="preserve"> and</w:t>
      </w:r>
    </w:p>
    <w:p w14:paraId="166EC040" w14:textId="77777777" w:rsidR="00E57C22" w:rsidRPr="00DA3B4D" w:rsidRDefault="004D1D48" w:rsidP="00E57C22">
      <w:pPr>
        <w:numPr>
          <w:ilvl w:val="0"/>
          <w:numId w:val="26"/>
        </w:numPr>
      </w:pPr>
      <w:r w:rsidRPr="00DA3B4D">
        <w:t>Declaration of Reporting Status</w:t>
      </w:r>
      <w:r w:rsidR="00B35474" w:rsidRPr="00DA3B4D">
        <w:t>.</w:t>
      </w:r>
      <w:r w:rsidR="00E57C22" w:rsidRPr="00DA3B4D">
        <w:t xml:space="preserve"> </w:t>
      </w:r>
    </w:p>
    <w:p w14:paraId="31D22600" w14:textId="77777777" w:rsidR="005F3CAE" w:rsidRPr="006F5E17" w:rsidRDefault="005F3CAE" w:rsidP="005F3CAE">
      <w:pPr>
        <w:ind w:left="720"/>
      </w:pPr>
    </w:p>
    <w:p w14:paraId="6608A42A" w14:textId="77777777" w:rsidR="00E211FB" w:rsidRDefault="00E211FB" w:rsidP="00E211FB">
      <w:pPr>
        <w:widowControl w:val="0"/>
        <w:tabs>
          <w:tab w:val="right" w:pos="9360"/>
        </w:tabs>
        <w:rPr>
          <w:b/>
        </w:rPr>
      </w:pPr>
      <w:r>
        <w:rPr>
          <w:b/>
        </w:rPr>
        <w:t xml:space="preserve">Request for Redetermination </w:t>
      </w:r>
    </w:p>
    <w:p w14:paraId="748EDB1D" w14:textId="77777777" w:rsidR="00E211FB" w:rsidRPr="00D3306F" w:rsidRDefault="00E211FB" w:rsidP="00E211FB">
      <w:pPr>
        <w:widowControl w:val="0"/>
        <w:tabs>
          <w:tab w:val="right" w:pos="9360"/>
        </w:tabs>
      </w:pPr>
    </w:p>
    <w:p w14:paraId="2778CB0B" w14:textId="77777777" w:rsidR="006A3E15" w:rsidRPr="00D3306F" w:rsidRDefault="00E211FB" w:rsidP="00E672A3">
      <w:r w:rsidRPr="00D3306F">
        <w:t xml:space="preserve">Pursuant to 6 CFR </w:t>
      </w:r>
      <w:r w:rsidR="00640665" w:rsidRPr="00D3306F">
        <w:t>§</w:t>
      </w:r>
      <w:r w:rsidR="003E13FA" w:rsidRPr="00D3306F">
        <w:t xml:space="preserve"> </w:t>
      </w:r>
      <w:r w:rsidRPr="00D3306F">
        <w:t>27.</w:t>
      </w:r>
      <w:r w:rsidR="00507A76" w:rsidRPr="00D3306F">
        <w:t>205(b)</w:t>
      </w:r>
      <w:r w:rsidRPr="00D3306F">
        <w:t xml:space="preserve">, a </w:t>
      </w:r>
      <w:r w:rsidR="00EC7875" w:rsidRPr="00D3306F">
        <w:t xml:space="preserve">covered </w:t>
      </w:r>
      <w:r w:rsidRPr="00D3306F">
        <w:t>facility</w:t>
      </w:r>
      <w:r w:rsidR="00507A76" w:rsidRPr="00D3306F">
        <w:t xml:space="preserve"> that has been previously determined to present a high level of security risk</w:t>
      </w:r>
      <w:r w:rsidR="00CD6FCF" w:rsidRPr="00D3306F">
        <w:t xml:space="preserve"> that</w:t>
      </w:r>
      <w:r w:rsidRPr="00D3306F">
        <w:t xml:space="preserve"> </w:t>
      </w:r>
      <w:r w:rsidR="00CD6FCF" w:rsidRPr="00D3306F">
        <w:t xml:space="preserve">has </w:t>
      </w:r>
      <w:r w:rsidR="000B3170" w:rsidRPr="00D3306F">
        <w:t xml:space="preserve">materially altered </w:t>
      </w:r>
      <w:r w:rsidR="00CD6FCF" w:rsidRPr="00D3306F">
        <w:t xml:space="preserve">its operations </w:t>
      </w:r>
      <w:r w:rsidR="00507A76" w:rsidRPr="00D3306F">
        <w:t>may</w:t>
      </w:r>
      <w:r w:rsidRPr="00D3306F">
        <w:t xml:space="preserve"> </w:t>
      </w:r>
      <w:r w:rsidR="00507A76" w:rsidRPr="00D3306F">
        <w:t>seek a redetermination from the Department by</w:t>
      </w:r>
      <w:r w:rsidRPr="00D3306F">
        <w:t xml:space="preserve"> complet</w:t>
      </w:r>
      <w:r w:rsidR="00507A76" w:rsidRPr="00D3306F">
        <w:t>ing</w:t>
      </w:r>
      <w:r w:rsidRPr="00D3306F">
        <w:t xml:space="preserve"> this instrument</w:t>
      </w:r>
      <w:r w:rsidR="00CD6FCF" w:rsidRPr="00D3306F">
        <w:t>.</w:t>
      </w:r>
      <w:r w:rsidRPr="00D3306F">
        <w:t xml:space="preserve">   </w:t>
      </w:r>
      <w:r w:rsidR="000B3170" w:rsidRPr="00D3306F">
        <w:t xml:space="preserve">In many instances, a request for redetermination may be submitted by a facility concurrent with its submission of a material modification </w:t>
      </w:r>
      <w:r w:rsidR="003E13FA" w:rsidRPr="00D3306F">
        <w:t>TS</w:t>
      </w:r>
      <w:r w:rsidR="000B3170" w:rsidRPr="00D3306F">
        <w:t xml:space="preserve"> pursuant to 6 CFR § 27.210(d).  Whether or not a</w:t>
      </w:r>
      <w:r w:rsidRPr="00D3306F">
        <w:t xml:space="preserve"> material modification </w:t>
      </w:r>
      <w:r w:rsidR="003E13FA" w:rsidRPr="00D3306F">
        <w:t>TS</w:t>
      </w:r>
      <w:r w:rsidR="00125B8B" w:rsidRPr="00D3306F">
        <w:t xml:space="preserve"> is submitted, th</w:t>
      </w:r>
      <w:r w:rsidR="003E13FA" w:rsidRPr="00D3306F">
        <w:t xml:space="preserve">is instrument also provides a </w:t>
      </w:r>
      <w:r w:rsidRPr="00D3306F">
        <w:t xml:space="preserve">facility </w:t>
      </w:r>
      <w:r w:rsidR="003E13FA" w:rsidRPr="00D3306F">
        <w:t xml:space="preserve">with </w:t>
      </w:r>
      <w:r w:rsidRPr="00D3306F">
        <w:t xml:space="preserve">the </w:t>
      </w:r>
      <w:r w:rsidR="000B3170" w:rsidRPr="00D3306F">
        <w:t xml:space="preserve">opportunity </w:t>
      </w:r>
      <w:r w:rsidRPr="00D3306F">
        <w:t xml:space="preserve">to </w:t>
      </w:r>
      <w:r w:rsidR="003E13FA" w:rsidRPr="00D3306F">
        <w:t xml:space="preserve">provide </w:t>
      </w:r>
      <w:r w:rsidRPr="00D3306F">
        <w:t xml:space="preserve">an explanation </w:t>
      </w:r>
      <w:r w:rsidR="003E13FA" w:rsidRPr="00D3306F">
        <w:t>supporting</w:t>
      </w:r>
      <w:r w:rsidRPr="00D3306F">
        <w:t xml:space="preserve"> </w:t>
      </w:r>
      <w:r w:rsidR="000B3170" w:rsidRPr="00D3306F">
        <w:t xml:space="preserve">why the Department should grant </w:t>
      </w:r>
      <w:r w:rsidRPr="00D3306F">
        <w:t>the redetermination</w:t>
      </w:r>
      <w:r w:rsidR="000B3170" w:rsidRPr="00D3306F">
        <w:t xml:space="preserve"> request</w:t>
      </w:r>
      <w:r w:rsidRPr="00D3306F">
        <w:t xml:space="preserve">. </w:t>
      </w:r>
      <w:r w:rsidR="000B3170" w:rsidRPr="00D3306F">
        <w:t xml:space="preserve">Under 6 CFR </w:t>
      </w:r>
      <w:r w:rsidR="00125B8B" w:rsidRPr="00D3306F">
        <w:t xml:space="preserve">§ </w:t>
      </w:r>
      <w:r w:rsidR="000B3170" w:rsidRPr="00D3306F">
        <w:t>27.205(b), the Department is required to respond within 45 calendar days of receipt of a redetermination request.</w:t>
      </w:r>
      <w:r w:rsidRPr="00D3306F">
        <w:t xml:space="preserve"> </w:t>
      </w:r>
      <w:r w:rsidR="00E672A3" w:rsidRPr="00D3306F">
        <w:t>This instrument allows the covered facility to notify the Department of a reduced quantity of chemical(s) of interest or to notify of the removal of a chemical(s) of interest. The instrument will collect the supporting information needed to verify the reason for the request for redetermination. The types of documentation collected, if applicable, are as follows:</w:t>
      </w:r>
    </w:p>
    <w:p w14:paraId="601220DD" w14:textId="77777777" w:rsidR="00D3306F" w:rsidRPr="00D3306F" w:rsidRDefault="00D3306F" w:rsidP="00D3306F"/>
    <w:p w14:paraId="32839D25" w14:textId="77777777" w:rsidR="00D3306F" w:rsidRPr="00D3306F" w:rsidRDefault="00D3306F" w:rsidP="00D3306F">
      <w:pPr>
        <w:pStyle w:val="ListParagraph"/>
        <w:numPr>
          <w:ilvl w:val="0"/>
          <w:numId w:val="44"/>
        </w:numPr>
        <w:spacing w:line="259" w:lineRule="auto"/>
        <w:ind w:left="720"/>
        <w:contextualSpacing w:val="0"/>
        <w:rPr>
          <w:rFonts w:ascii="Times New Roman" w:hAnsi="Times New Roman"/>
        </w:rPr>
      </w:pPr>
      <w:r w:rsidRPr="00D3306F">
        <w:rPr>
          <w:rFonts w:ascii="Times New Roman" w:hAnsi="Times New Roman"/>
        </w:rPr>
        <w:t>Reason for request.</w:t>
      </w:r>
    </w:p>
    <w:p w14:paraId="7E306CA1" w14:textId="77777777" w:rsidR="00D3306F" w:rsidRPr="00D3306F" w:rsidRDefault="00D3306F" w:rsidP="00D3306F">
      <w:pPr>
        <w:pStyle w:val="ListParagraph"/>
        <w:numPr>
          <w:ilvl w:val="0"/>
          <w:numId w:val="44"/>
        </w:numPr>
        <w:spacing w:line="259" w:lineRule="auto"/>
        <w:ind w:left="720"/>
        <w:contextualSpacing w:val="0"/>
        <w:rPr>
          <w:rFonts w:ascii="Times New Roman" w:hAnsi="Times New Roman"/>
        </w:rPr>
      </w:pPr>
      <w:r w:rsidRPr="00D3306F">
        <w:rPr>
          <w:rFonts w:ascii="Times New Roman" w:hAnsi="Times New Roman"/>
        </w:rPr>
        <w:t>Removal and/or reduction of COI quantity and/or concentration.</w:t>
      </w:r>
    </w:p>
    <w:p w14:paraId="22C454AD" w14:textId="77777777" w:rsidR="00D3306F" w:rsidRPr="00D3306F" w:rsidRDefault="00D3306F" w:rsidP="00D3306F">
      <w:pPr>
        <w:pStyle w:val="ListParagraph"/>
        <w:numPr>
          <w:ilvl w:val="0"/>
          <w:numId w:val="44"/>
        </w:numPr>
        <w:spacing w:line="259" w:lineRule="auto"/>
        <w:ind w:left="720"/>
        <w:contextualSpacing w:val="0"/>
        <w:rPr>
          <w:rFonts w:ascii="Times New Roman" w:hAnsi="Times New Roman"/>
        </w:rPr>
      </w:pPr>
      <w:r w:rsidRPr="00D3306F">
        <w:rPr>
          <w:rFonts w:ascii="Times New Roman" w:hAnsi="Times New Roman"/>
        </w:rPr>
        <w:t>Vendor of chemicals.</w:t>
      </w:r>
    </w:p>
    <w:p w14:paraId="60F131CF" w14:textId="77777777" w:rsidR="00D3306F" w:rsidRPr="00D3306F" w:rsidRDefault="00D3306F" w:rsidP="00D3306F">
      <w:pPr>
        <w:pStyle w:val="ListParagraph"/>
        <w:numPr>
          <w:ilvl w:val="0"/>
          <w:numId w:val="44"/>
        </w:numPr>
        <w:spacing w:line="259" w:lineRule="auto"/>
        <w:ind w:left="720"/>
        <w:contextualSpacing w:val="0"/>
        <w:rPr>
          <w:rFonts w:ascii="Times New Roman" w:hAnsi="Times New Roman"/>
        </w:rPr>
      </w:pPr>
      <w:r w:rsidRPr="00D3306F">
        <w:rPr>
          <w:rFonts w:ascii="Times New Roman" w:hAnsi="Times New Roman"/>
        </w:rPr>
        <w:t>Receipt/receiving Location of COI(s) locations.</w:t>
      </w:r>
    </w:p>
    <w:p w14:paraId="2010BE8C" w14:textId="77777777" w:rsidR="00D3306F" w:rsidRPr="00D3306F" w:rsidRDefault="00D3306F" w:rsidP="00D3306F">
      <w:pPr>
        <w:pStyle w:val="ListParagraph"/>
        <w:numPr>
          <w:ilvl w:val="0"/>
          <w:numId w:val="44"/>
        </w:numPr>
        <w:spacing w:line="259" w:lineRule="auto"/>
        <w:ind w:left="360" w:firstLine="0"/>
        <w:contextualSpacing w:val="0"/>
        <w:rPr>
          <w:rFonts w:ascii="Times New Roman" w:hAnsi="Times New Roman"/>
        </w:rPr>
      </w:pPr>
      <w:r w:rsidRPr="00D3306F">
        <w:rPr>
          <w:rFonts w:ascii="Times New Roman" w:hAnsi="Times New Roman"/>
        </w:rPr>
        <w:t xml:space="preserve">Process changes (e.g. a description of the removal of the COI(s), receiving   </w:t>
      </w:r>
    </w:p>
    <w:p w14:paraId="3D6ACD5D" w14:textId="77777777" w:rsidR="00D3306F" w:rsidRPr="00D3306F" w:rsidRDefault="00D3306F" w:rsidP="00D3306F">
      <w:pPr>
        <w:ind w:left="360"/>
      </w:pPr>
      <w:r w:rsidRPr="00D3306F">
        <w:t xml:space="preserve">     location of removed COI(s), description and documentation for permanent   </w:t>
      </w:r>
    </w:p>
    <w:p w14:paraId="45552DB8" w14:textId="77777777" w:rsidR="00D3306F" w:rsidRPr="00D3306F" w:rsidRDefault="00D3306F" w:rsidP="00D3306F">
      <w:pPr>
        <w:ind w:left="360"/>
      </w:pPr>
      <w:r w:rsidRPr="00D3306F">
        <w:t xml:space="preserve">     change of process, description of management controls of planned future</w:t>
      </w:r>
    </w:p>
    <w:p w14:paraId="6FC7C9E0" w14:textId="77777777" w:rsidR="00D3306F" w:rsidRPr="00D3306F" w:rsidRDefault="00D3306F" w:rsidP="00D3306F">
      <w:pPr>
        <w:ind w:left="360"/>
      </w:pPr>
      <w:r w:rsidRPr="00D3306F">
        <w:t xml:space="preserve">     inventory of COI(s), etc.).</w:t>
      </w:r>
    </w:p>
    <w:p w14:paraId="5E989501" w14:textId="77777777" w:rsidR="00D3306F" w:rsidRPr="00D3306F" w:rsidRDefault="00D3306F" w:rsidP="00D3306F">
      <w:pPr>
        <w:pStyle w:val="ListParagraph"/>
        <w:numPr>
          <w:ilvl w:val="0"/>
          <w:numId w:val="44"/>
        </w:numPr>
        <w:spacing w:line="259" w:lineRule="auto"/>
        <w:ind w:left="720"/>
        <w:contextualSpacing w:val="0"/>
        <w:rPr>
          <w:rFonts w:ascii="Times New Roman" w:hAnsi="Times New Roman"/>
        </w:rPr>
      </w:pPr>
      <w:r w:rsidRPr="00D3306F">
        <w:rPr>
          <w:rFonts w:ascii="Times New Roman" w:hAnsi="Times New Roman"/>
        </w:rPr>
        <w:t>Description of closure, sale, and/or end of lease.</w:t>
      </w:r>
    </w:p>
    <w:p w14:paraId="1E99204E" w14:textId="77777777" w:rsidR="00D3306F" w:rsidRPr="00D3306F" w:rsidRDefault="00D3306F" w:rsidP="00D3306F">
      <w:pPr>
        <w:pStyle w:val="ListParagraph"/>
        <w:numPr>
          <w:ilvl w:val="0"/>
          <w:numId w:val="44"/>
        </w:numPr>
        <w:spacing w:line="259" w:lineRule="auto"/>
        <w:ind w:left="720"/>
        <w:contextualSpacing w:val="0"/>
        <w:rPr>
          <w:rFonts w:ascii="Times New Roman" w:hAnsi="Times New Roman"/>
        </w:rPr>
      </w:pPr>
      <w:r w:rsidRPr="00D3306F">
        <w:rPr>
          <w:rFonts w:ascii="Times New Roman" w:hAnsi="Times New Roman"/>
        </w:rPr>
        <w:t>Invoices/bills of laden/inventory control forms.</w:t>
      </w:r>
    </w:p>
    <w:p w14:paraId="73791B1D" w14:textId="77777777" w:rsidR="00D3306F" w:rsidRPr="00D3306F" w:rsidRDefault="00D3306F" w:rsidP="00D3306F">
      <w:pPr>
        <w:pStyle w:val="ListParagraph"/>
        <w:numPr>
          <w:ilvl w:val="0"/>
          <w:numId w:val="44"/>
        </w:numPr>
        <w:spacing w:line="259" w:lineRule="auto"/>
        <w:ind w:left="720"/>
        <w:contextualSpacing w:val="0"/>
        <w:rPr>
          <w:rFonts w:ascii="Times New Roman" w:hAnsi="Times New Roman"/>
        </w:rPr>
      </w:pPr>
      <w:r w:rsidRPr="00D3306F">
        <w:rPr>
          <w:rFonts w:ascii="Times New Roman" w:hAnsi="Times New Roman"/>
        </w:rPr>
        <w:t>MSDS/SDS and other product labels.</w:t>
      </w:r>
    </w:p>
    <w:p w14:paraId="08120C05" w14:textId="77777777" w:rsidR="00D3306F" w:rsidRPr="00D3306F" w:rsidRDefault="00D3306F" w:rsidP="00D3306F">
      <w:pPr>
        <w:pStyle w:val="ListParagraph"/>
        <w:numPr>
          <w:ilvl w:val="0"/>
          <w:numId w:val="44"/>
        </w:numPr>
        <w:spacing w:line="259" w:lineRule="auto"/>
        <w:ind w:left="720"/>
        <w:contextualSpacing w:val="0"/>
        <w:rPr>
          <w:rFonts w:ascii="Times New Roman" w:hAnsi="Times New Roman"/>
        </w:rPr>
      </w:pPr>
      <w:r w:rsidRPr="00D3306F">
        <w:rPr>
          <w:rFonts w:ascii="Times New Roman" w:hAnsi="Times New Roman"/>
        </w:rPr>
        <w:t>Substitute chemical and/or process being used.</w:t>
      </w:r>
    </w:p>
    <w:p w14:paraId="3763BF42" w14:textId="77777777" w:rsidR="00D3306F" w:rsidRPr="00D3306F" w:rsidRDefault="00D3306F" w:rsidP="00D3306F">
      <w:pPr>
        <w:pStyle w:val="ListParagraph"/>
        <w:numPr>
          <w:ilvl w:val="0"/>
          <w:numId w:val="44"/>
        </w:numPr>
        <w:spacing w:line="259" w:lineRule="auto"/>
        <w:ind w:left="720"/>
        <w:contextualSpacing w:val="0"/>
        <w:rPr>
          <w:rFonts w:ascii="Times New Roman" w:hAnsi="Times New Roman"/>
        </w:rPr>
      </w:pPr>
      <w:r w:rsidRPr="00D3306F">
        <w:rPr>
          <w:rFonts w:ascii="Times New Roman" w:hAnsi="Times New Roman"/>
        </w:rPr>
        <w:t>Description of management controls for future quantities of COI(s).</w:t>
      </w:r>
    </w:p>
    <w:p w14:paraId="08AD1D99" w14:textId="77777777" w:rsidR="00F04215" w:rsidRDefault="00F04215" w:rsidP="006F08C0"/>
    <w:p w14:paraId="74552928" w14:textId="77777777" w:rsidR="00196679" w:rsidRDefault="00196679" w:rsidP="00E211FB">
      <w:r w:rsidRPr="00196679">
        <w:t xml:space="preserve">In this amended form, the Department </w:t>
      </w:r>
      <w:r w:rsidR="002E680C">
        <w:t xml:space="preserve">removed </w:t>
      </w:r>
      <w:r w:rsidR="00293AEE">
        <w:t>a</w:t>
      </w:r>
      <w:r w:rsidR="002A7498">
        <w:t xml:space="preserve"> </w:t>
      </w:r>
      <w:r w:rsidR="002E680C">
        <w:t>question</w:t>
      </w:r>
      <w:r w:rsidR="002E680C" w:rsidRPr="002E680C">
        <w:t xml:space="preserve"> </w:t>
      </w:r>
      <w:r w:rsidR="00293AEE">
        <w:t>regarding material</w:t>
      </w:r>
      <w:r w:rsidR="003F5E74" w:rsidRPr="003F5E74">
        <w:t xml:space="preserve"> modification</w:t>
      </w:r>
      <w:r w:rsidR="00293AEE">
        <w:t>s.</w:t>
      </w:r>
      <w:r w:rsidR="002A7498">
        <w:t xml:space="preserve"> </w:t>
      </w:r>
      <w:r w:rsidR="003F5E74">
        <w:t xml:space="preserve">This is </w:t>
      </w:r>
      <w:r w:rsidR="002E680C" w:rsidRPr="002E680C">
        <w:t xml:space="preserve">an effort to consolidate repetitive questions. The collection of information for removal of 1 </w:t>
      </w:r>
      <w:r w:rsidR="00B10D05" w:rsidRPr="00B10D05">
        <w:t xml:space="preserve">Chemical of Interest </w:t>
      </w:r>
      <w:r w:rsidR="00B10D05">
        <w:t>(</w:t>
      </w:r>
      <w:r w:rsidR="002E680C" w:rsidRPr="002E680C">
        <w:t>COI</w:t>
      </w:r>
      <w:r w:rsidR="00B10D05">
        <w:t>)</w:t>
      </w:r>
      <w:r w:rsidR="002E680C" w:rsidRPr="002E680C">
        <w:t xml:space="preserve">, but not other COI is covered under the removal and/or reduction of COI. The addition of COI are covered under CSAT collection instruments and not part of redetermination or material modification. </w:t>
      </w:r>
      <w:r w:rsidR="002E680C">
        <w:t>F</w:t>
      </w:r>
      <w:r w:rsidRPr="00196679">
        <w:t>inally, the Department has added a request for the name and address of the facility (vendor) to include: Name, address, city, state, zip, and country. Finally, a signature block and date field have been added.</w:t>
      </w:r>
    </w:p>
    <w:p w14:paraId="0218D4AD" w14:textId="77777777" w:rsidR="00137A8D" w:rsidRDefault="00137A8D" w:rsidP="00E211FB"/>
    <w:p w14:paraId="0DA3AF1E" w14:textId="77777777" w:rsidR="00E211FB" w:rsidRDefault="00E211FB" w:rsidP="00E211FB">
      <w:r>
        <w:t xml:space="preserve">The information is </w:t>
      </w:r>
      <w:r w:rsidR="009A744C">
        <w:t xml:space="preserve">primarily </w:t>
      </w:r>
      <w:r>
        <w:t>collected electronically by this instrument</w:t>
      </w:r>
      <w:r w:rsidR="00223417">
        <w:t>, e.g., via CSAT, e-mail, etc</w:t>
      </w:r>
      <w:r>
        <w:t xml:space="preserve">.   </w:t>
      </w:r>
    </w:p>
    <w:p w14:paraId="5B81C334" w14:textId="77777777" w:rsidR="00E211FB" w:rsidRDefault="00E211FB" w:rsidP="00E57C22"/>
    <w:p w14:paraId="1C2A804E" w14:textId="77777777" w:rsidR="005F3CAE" w:rsidRPr="00E14780" w:rsidRDefault="004D1D48" w:rsidP="00E57C22">
      <w:pPr>
        <w:rPr>
          <w:b/>
        </w:rPr>
      </w:pPr>
      <w:r w:rsidRPr="005F3CAE">
        <w:rPr>
          <w:b/>
        </w:rPr>
        <w:t>Request for an Extension</w:t>
      </w:r>
    </w:p>
    <w:p w14:paraId="2588DEB8" w14:textId="77777777" w:rsidR="005F3CAE" w:rsidRPr="00E14780" w:rsidRDefault="005F3CAE" w:rsidP="00E57C22"/>
    <w:p w14:paraId="0ED4FD08" w14:textId="77777777" w:rsidR="00E14780" w:rsidRPr="00E14780" w:rsidRDefault="00A17979" w:rsidP="00E14780">
      <w:r w:rsidRPr="00E14780">
        <w:t>Pursuant to 6 CFR § 27.210(</w:t>
      </w:r>
      <w:r w:rsidR="00D26F51" w:rsidRPr="00E14780">
        <w:t>c</w:t>
      </w:r>
      <w:r w:rsidR="00D47B4B" w:rsidRPr="00E14780">
        <w:t>)</w:t>
      </w:r>
      <w:r w:rsidRPr="00E14780">
        <w:t>,</w:t>
      </w:r>
      <w:r w:rsidR="00D26F51" w:rsidRPr="00E14780">
        <w:t xml:space="preserve"> the Assistant Secretary has authority to modify the submission schedule for CSAT surveys (i.e. the CSAT </w:t>
      </w:r>
      <w:r w:rsidR="002E1BA6" w:rsidRPr="00E14780">
        <w:t>TS</w:t>
      </w:r>
      <w:r w:rsidR="00D26F51" w:rsidRPr="00E14780">
        <w:t xml:space="preserve">, the CSAT </w:t>
      </w:r>
      <w:r w:rsidR="00D47B4B" w:rsidRPr="00E14780">
        <w:t>Security Vulnerability Assessment (</w:t>
      </w:r>
      <w:r w:rsidR="00D26F51" w:rsidRPr="00E14780">
        <w:t>SVA</w:t>
      </w:r>
      <w:r w:rsidR="00D47B4B" w:rsidRPr="00E14780">
        <w:t>)</w:t>
      </w:r>
      <w:r w:rsidR="00D26F51" w:rsidRPr="00E14780">
        <w:t xml:space="preserve">, or the CSAT </w:t>
      </w:r>
      <w:r w:rsidR="002E1BA6" w:rsidRPr="00E14780">
        <w:t>Site Security Plan (</w:t>
      </w:r>
      <w:r w:rsidR="00D26F51" w:rsidRPr="00E14780">
        <w:t>SSP</w:t>
      </w:r>
      <w:r w:rsidR="002E1BA6" w:rsidRPr="00E14780">
        <w:t>)</w:t>
      </w:r>
      <w:r w:rsidR="00D26F51" w:rsidRPr="00E14780">
        <w:t>/</w:t>
      </w:r>
      <w:r w:rsidR="002E1BA6" w:rsidRPr="00E14780">
        <w:t>Alternative Security Program (</w:t>
      </w:r>
      <w:r w:rsidR="00D26F51" w:rsidRPr="00E14780">
        <w:t>ASP</w:t>
      </w:r>
      <w:r w:rsidR="002E1BA6" w:rsidRPr="00E14780">
        <w:t>)</w:t>
      </w:r>
      <w:r w:rsidR="00D26F51" w:rsidRPr="00E14780">
        <w:t xml:space="preserve">).  Facilities </w:t>
      </w:r>
      <w:r w:rsidR="002B26DB" w:rsidRPr="00E14780">
        <w:t xml:space="preserve">that require additional time to submit a CSAT survey </w:t>
      </w:r>
      <w:r w:rsidR="00C7549C" w:rsidRPr="00E14780">
        <w:t>may request an exten</w:t>
      </w:r>
      <w:r w:rsidR="001B74A8" w:rsidRPr="00E14780">
        <w:t>sion f</w:t>
      </w:r>
      <w:r w:rsidR="00C7549C" w:rsidRPr="00E14780">
        <w:t>r</w:t>
      </w:r>
      <w:r w:rsidR="001B74A8" w:rsidRPr="00E14780">
        <w:t>o</w:t>
      </w:r>
      <w:r w:rsidR="00C7549C" w:rsidRPr="00E14780">
        <w:t>m the Department</w:t>
      </w:r>
      <w:r w:rsidR="00D26F51" w:rsidRPr="00E14780">
        <w:t xml:space="preserve"> </w:t>
      </w:r>
      <w:r w:rsidR="002B26DB" w:rsidRPr="00E14780">
        <w:t xml:space="preserve">using </w:t>
      </w:r>
      <w:r w:rsidRPr="00E14780">
        <w:t xml:space="preserve">this </w:t>
      </w:r>
      <w:r w:rsidR="002B043D" w:rsidRPr="00E14780">
        <w:t>instrument</w:t>
      </w:r>
      <w:r w:rsidRPr="00E14780">
        <w:t xml:space="preserve">.  By completing this instrument </w:t>
      </w:r>
      <w:r w:rsidR="00AD70EC" w:rsidRPr="00E14780">
        <w:t>the Department of Homeland Security (</w:t>
      </w:r>
      <w:r w:rsidRPr="00E14780">
        <w:t>DHS</w:t>
      </w:r>
      <w:r w:rsidR="00AD70EC" w:rsidRPr="00E14780">
        <w:t>)</w:t>
      </w:r>
      <w:r w:rsidRPr="00E14780">
        <w:t xml:space="preserve"> will consider extending the </w:t>
      </w:r>
      <w:r w:rsidR="00EC7875" w:rsidRPr="00E14780">
        <w:t xml:space="preserve">submission deadline </w:t>
      </w:r>
      <w:r w:rsidRPr="00E14780">
        <w:t xml:space="preserve">for a particular facility.  </w:t>
      </w:r>
      <w:r w:rsidR="00E14780" w:rsidRPr="00E14780">
        <w:t>The facility must provide the information listed below to support the extension request:</w:t>
      </w:r>
    </w:p>
    <w:p w14:paraId="1BFBDAA0" w14:textId="77777777" w:rsidR="00E14780" w:rsidRPr="00E14780" w:rsidRDefault="00E14780" w:rsidP="00E14780"/>
    <w:p w14:paraId="27FEE0E0" w14:textId="77777777" w:rsidR="00E14780" w:rsidRPr="00E14780" w:rsidRDefault="00E14780" w:rsidP="00E14780">
      <w:pPr>
        <w:pStyle w:val="ListParagraph"/>
        <w:numPr>
          <w:ilvl w:val="0"/>
          <w:numId w:val="44"/>
        </w:numPr>
        <w:spacing w:line="259" w:lineRule="auto"/>
        <w:ind w:left="720"/>
        <w:contextualSpacing w:val="0"/>
        <w:rPr>
          <w:rFonts w:ascii="Times New Roman" w:hAnsi="Times New Roman"/>
        </w:rPr>
      </w:pPr>
      <w:r w:rsidRPr="00E14780">
        <w:rPr>
          <w:rFonts w:ascii="Times New Roman" w:hAnsi="Times New Roman"/>
        </w:rPr>
        <w:t>The extension request is requesting an extension to one of the following reports:</w:t>
      </w:r>
    </w:p>
    <w:p w14:paraId="7805C66A" w14:textId="77777777" w:rsidR="00E14780" w:rsidRPr="00E14780" w:rsidRDefault="00E14780" w:rsidP="00E14780">
      <w:pPr>
        <w:pStyle w:val="ListParagraph"/>
        <w:numPr>
          <w:ilvl w:val="0"/>
          <w:numId w:val="45"/>
        </w:numPr>
        <w:spacing w:line="259" w:lineRule="auto"/>
        <w:contextualSpacing w:val="0"/>
        <w:rPr>
          <w:rFonts w:ascii="Times New Roman" w:hAnsi="Times New Roman"/>
        </w:rPr>
      </w:pPr>
      <w:r w:rsidRPr="00E14780">
        <w:rPr>
          <w:rFonts w:ascii="Times New Roman" w:hAnsi="Times New Roman"/>
        </w:rPr>
        <w:t>A Top-Screen.</w:t>
      </w:r>
    </w:p>
    <w:p w14:paraId="1099D6EF" w14:textId="77777777" w:rsidR="00E14780" w:rsidRPr="00E14780" w:rsidRDefault="00E14780" w:rsidP="00E14780">
      <w:pPr>
        <w:pStyle w:val="ListParagraph"/>
        <w:numPr>
          <w:ilvl w:val="0"/>
          <w:numId w:val="45"/>
        </w:numPr>
        <w:spacing w:line="259" w:lineRule="auto"/>
        <w:contextualSpacing w:val="0"/>
        <w:rPr>
          <w:rFonts w:ascii="Times New Roman" w:hAnsi="Times New Roman"/>
        </w:rPr>
      </w:pPr>
      <w:r w:rsidRPr="00E14780">
        <w:rPr>
          <w:rFonts w:ascii="Times New Roman" w:hAnsi="Times New Roman"/>
        </w:rPr>
        <w:t>A Security Vulnerability Assessment/Site Security Plan.</w:t>
      </w:r>
    </w:p>
    <w:p w14:paraId="78D73D34" w14:textId="77777777" w:rsidR="00E14780" w:rsidRPr="00E14780" w:rsidRDefault="00E14780" w:rsidP="00E14780">
      <w:pPr>
        <w:pStyle w:val="ListParagraph"/>
        <w:numPr>
          <w:ilvl w:val="0"/>
          <w:numId w:val="44"/>
        </w:numPr>
        <w:spacing w:line="259" w:lineRule="auto"/>
        <w:ind w:left="720"/>
        <w:contextualSpacing w:val="0"/>
        <w:rPr>
          <w:rFonts w:ascii="Times New Roman" w:hAnsi="Times New Roman"/>
        </w:rPr>
      </w:pPr>
      <w:r w:rsidRPr="00E14780">
        <w:rPr>
          <w:rFonts w:ascii="Times New Roman" w:hAnsi="Times New Roman"/>
        </w:rPr>
        <w:t>Justification for the request (narrative).</w:t>
      </w:r>
    </w:p>
    <w:p w14:paraId="7453DE70" w14:textId="77777777" w:rsidR="00E14780" w:rsidRPr="00E14780" w:rsidRDefault="00E14780" w:rsidP="00E14780">
      <w:pPr>
        <w:pStyle w:val="ListParagraph"/>
        <w:numPr>
          <w:ilvl w:val="0"/>
          <w:numId w:val="44"/>
        </w:numPr>
        <w:spacing w:line="259" w:lineRule="auto"/>
        <w:ind w:left="720"/>
        <w:contextualSpacing w:val="0"/>
        <w:rPr>
          <w:rFonts w:ascii="Times New Roman" w:hAnsi="Times New Roman"/>
        </w:rPr>
      </w:pPr>
      <w:r w:rsidRPr="00E14780">
        <w:rPr>
          <w:rFonts w:ascii="Times New Roman" w:hAnsi="Times New Roman"/>
        </w:rPr>
        <w:t>Proposed new due date for the selected report (month, day, year).</w:t>
      </w:r>
    </w:p>
    <w:p w14:paraId="508953EA" w14:textId="77777777" w:rsidR="00E14780" w:rsidRPr="00E14780" w:rsidRDefault="00E14780" w:rsidP="00E14780">
      <w:pPr>
        <w:pStyle w:val="ListParagraph"/>
        <w:numPr>
          <w:ilvl w:val="0"/>
          <w:numId w:val="44"/>
        </w:numPr>
        <w:spacing w:line="259" w:lineRule="auto"/>
        <w:ind w:left="720"/>
        <w:contextualSpacing w:val="0"/>
        <w:rPr>
          <w:rFonts w:ascii="Times New Roman" w:hAnsi="Times New Roman"/>
        </w:rPr>
      </w:pPr>
      <w:r w:rsidRPr="00E14780">
        <w:rPr>
          <w:rFonts w:ascii="Times New Roman" w:hAnsi="Times New Roman"/>
        </w:rPr>
        <w:t>Purpose of the request (narrative).</w:t>
      </w:r>
    </w:p>
    <w:p w14:paraId="3F652122" w14:textId="77777777" w:rsidR="00E14780" w:rsidRPr="00E14780" w:rsidRDefault="00E14780" w:rsidP="00E14780">
      <w:pPr>
        <w:pStyle w:val="ListParagraph"/>
        <w:numPr>
          <w:ilvl w:val="0"/>
          <w:numId w:val="44"/>
        </w:numPr>
        <w:spacing w:line="259" w:lineRule="auto"/>
        <w:ind w:left="720"/>
        <w:contextualSpacing w:val="0"/>
        <w:rPr>
          <w:rFonts w:ascii="Times New Roman" w:hAnsi="Times New Roman"/>
        </w:rPr>
      </w:pPr>
      <w:r w:rsidRPr="00E14780">
        <w:rPr>
          <w:rFonts w:ascii="Times New Roman" w:hAnsi="Times New Roman"/>
        </w:rPr>
        <w:t>Desired outcome of the request (narrative).</w:t>
      </w:r>
    </w:p>
    <w:p w14:paraId="25B4E920" w14:textId="77777777" w:rsidR="00137A8D" w:rsidRPr="00E14780" w:rsidRDefault="00137A8D" w:rsidP="00E57C22"/>
    <w:p w14:paraId="286026F3" w14:textId="77777777" w:rsidR="005F3CAE" w:rsidRDefault="00E57C22" w:rsidP="00E57C22">
      <w:r w:rsidRPr="00E14780">
        <w:t>The information is</w:t>
      </w:r>
      <w:r w:rsidR="00F06DD9" w:rsidRPr="00E14780">
        <w:t xml:space="preserve"> primarily</w:t>
      </w:r>
      <w:r w:rsidRPr="00E14780">
        <w:t xml:space="preserve"> collected electronically by this instrument</w:t>
      </w:r>
      <w:r w:rsidR="00223417" w:rsidRPr="00E14780">
        <w:t>, e.g., via CSAT, e-mail</w:t>
      </w:r>
      <w:r w:rsidR="00223417" w:rsidRPr="00223417">
        <w:t xml:space="preserve">, etc.   </w:t>
      </w:r>
    </w:p>
    <w:p w14:paraId="0BC30635" w14:textId="77777777" w:rsidR="00223417" w:rsidRPr="006A381D" w:rsidRDefault="00223417" w:rsidP="00E57C22"/>
    <w:p w14:paraId="53D1CF22" w14:textId="77777777" w:rsidR="005F3CAE" w:rsidRDefault="004D1D48" w:rsidP="00A17979">
      <w:bookmarkStart w:id="1" w:name="OLE_LINK1"/>
      <w:bookmarkStart w:id="2" w:name="OLE_LINK2"/>
      <w:bookmarkEnd w:id="1"/>
      <w:bookmarkEnd w:id="2"/>
      <w:r w:rsidRPr="005F3CAE">
        <w:rPr>
          <w:b/>
        </w:rPr>
        <w:t>Top-Screen</w:t>
      </w:r>
      <w:r w:rsidR="00230BFC">
        <w:rPr>
          <w:b/>
        </w:rPr>
        <w:t xml:space="preserve"> </w:t>
      </w:r>
      <w:r w:rsidR="008A055F">
        <w:rPr>
          <w:b/>
        </w:rPr>
        <w:t>Update</w:t>
      </w:r>
    </w:p>
    <w:p w14:paraId="330427D0" w14:textId="77777777" w:rsidR="008A055F" w:rsidRDefault="00A17979" w:rsidP="00A17979">
      <w:r>
        <w:t xml:space="preserve">Pursuant to 6 CFR </w:t>
      </w:r>
      <w:r w:rsidR="005265AE">
        <w:t>§</w:t>
      </w:r>
      <w:r>
        <w:t xml:space="preserve"> 27.210, a facility will use this instrument when </w:t>
      </w:r>
      <w:r w:rsidR="00672953">
        <w:t xml:space="preserve">it </w:t>
      </w:r>
      <w:r w:rsidR="001E31AB">
        <w:t xml:space="preserve">needs to submit a revised TS based on </w:t>
      </w:r>
      <w:r>
        <w:t>clos</w:t>
      </w:r>
      <w:r w:rsidR="001E31AB">
        <w:t>ure or sale of the facility,</w:t>
      </w:r>
      <w:r>
        <w:t xml:space="preserve"> add</w:t>
      </w:r>
      <w:r w:rsidR="001E31AB">
        <w:t>ition of</w:t>
      </w:r>
      <w:r>
        <w:t xml:space="preserve"> a new Chemical of Interest (COI), </w:t>
      </w:r>
      <w:r w:rsidR="001E31AB">
        <w:t xml:space="preserve">and </w:t>
      </w:r>
      <w:r>
        <w:t>eliminat</w:t>
      </w:r>
      <w:r w:rsidR="001E31AB">
        <w:t>ion</w:t>
      </w:r>
      <w:r>
        <w:t xml:space="preserve"> or changes </w:t>
      </w:r>
      <w:r w:rsidR="001E31AB">
        <w:t xml:space="preserve">to </w:t>
      </w:r>
      <w:r>
        <w:t xml:space="preserve">the amount of </w:t>
      </w:r>
      <w:r w:rsidR="001E31AB">
        <w:t xml:space="preserve">existing </w:t>
      </w:r>
      <w:r>
        <w:t xml:space="preserve">COI. </w:t>
      </w:r>
      <w:r w:rsidR="001E31AB">
        <w:t>T</w:t>
      </w:r>
      <w:r w:rsidR="002974D4">
        <w:t xml:space="preserve">his </w:t>
      </w:r>
      <w:r w:rsidR="001E31AB">
        <w:t xml:space="preserve">instrument </w:t>
      </w:r>
      <w:r w:rsidR="002974D4">
        <w:t>also covers the resubmission</w:t>
      </w:r>
      <w:r w:rsidR="00C6313D">
        <w:t xml:space="preserve"> of a TS</w:t>
      </w:r>
      <w:r w:rsidR="002974D4">
        <w:t xml:space="preserve"> </w:t>
      </w:r>
      <w:r w:rsidR="00C6313D">
        <w:t xml:space="preserve">pursuant to the schedule provided in </w:t>
      </w:r>
      <w:r w:rsidR="002974D4">
        <w:t xml:space="preserve">6 CFR </w:t>
      </w:r>
      <w:r w:rsidR="00FB359B">
        <w:t>§ 27.210</w:t>
      </w:r>
      <w:r w:rsidR="001E31AB">
        <w:t>(b)</w:t>
      </w:r>
      <w:r w:rsidR="005265AE">
        <w:t xml:space="preserve">. </w:t>
      </w:r>
    </w:p>
    <w:p w14:paraId="417835F2" w14:textId="77777777" w:rsidR="008A055F" w:rsidRDefault="008A055F" w:rsidP="00A17979"/>
    <w:p w14:paraId="3BBA6785" w14:textId="77777777" w:rsidR="00A17979" w:rsidRDefault="006E7DC5" w:rsidP="00A17979">
      <w:r>
        <w:t>T</w:t>
      </w:r>
      <w:r w:rsidR="00C6313D">
        <w:t>he Department proposes to update the name of this instrument from “Notification of New Top-Screen” to “Top-Screen Update”</w:t>
      </w:r>
      <w:r>
        <w:t xml:space="preserve">.  This </w:t>
      </w:r>
      <w:r w:rsidR="001E31AB">
        <w:t xml:space="preserve">revised terminology </w:t>
      </w:r>
      <w:r>
        <w:t xml:space="preserve">more accurately </w:t>
      </w:r>
      <w:r w:rsidR="00C6313D">
        <w:t>reflect</w:t>
      </w:r>
      <w:r>
        <w:t>s</w:t>
      </w:r>
      <w:r w:rsidR="00C6313D">
        <w:t xml:space="preserve"> the</w:t>
      </w:r>
      <w:r>
        <w:t xml:space="preserve"> functional purpose of this instrument in the Department’s </w:t>
      </w:r>
      <w:r w:rsidR="00C6313D">
        <w:t>maturing regulatory program</w:t>
      </w:r>
      <w:r>
        <w:t>.</w:t>
      </w:r>
      <w:r w:rsidR="00C6313D">
        <w:t xml:space="preserve"> </w:t>
      </w:r>
      <w:r>
        <w:t>N</w:t>
      </w:r>
      <w:r w:rsidR="00C6313D">
        <w:t>o</w:t>
      </w:r>
      <w:r w:rsidR="00A72D2A">
        <w:t xml:space="preserve"> additional or</w:t>
      </w:r>
      <w:r w:rsidR="00C6313D">
        <w:t xml:space="preserve"> substantive changes are proposed for this instrument.   </w:t>
      </w:r>
    </w:p>
    <w:p w14:paraId="792234A7" w14:textId="77777777" w:rsidR="00137A8D" w:rsidRDefault="00137A8D" w:rsidP="00A17979"/>
    <w:p w14:paraId="304AD49E" w14:textId="77777777" w:rsidR="00A17979" w:rsidRDefault="00A17979" w:rsidP="00A17979">
      <w:r>
        <w:t xml:space="preserve">The information is </w:t>
      </w:r>
      <w:r w:rsidR="009A744C">
        <w:t xml:space="preserve">primarily </w:t>
      </w:r>
      <w:r>
        <w:t>collected electronically by this instrument</w:t>
      </w:r>
      <w:r w:rsidR="00223417" w:rsidRPr="00223417">
        <w:t>,</w:t>
      </w:r>
      <w:r w:rsidR="00223417">
        <w:t xml:space="preserve"> e.g., via CSAT, e-mail, etc.</w:t>
      </w:r>
    </w:p>
    <w:p w14:paraId="41CB853E" w14:textId="77777777" w:rsidR="00E57C22" w:rsidRDefault="00E57C22" w:rsidP="00E57C22"/>
    <w:p w14:paraId="37C37F2E" w14:textId="77777777" w:rsidR="005F3CAE" w:rsidRPr="005F3CAE" w:rsidRDefault="004D1D48" w:rsidP="005129EC">
      <w:pPr>
        <w:rPr>
          <w:b/>
        </w:rPr>
      </w:pPr>
      <w:r w:rsidRPr="005F3CAE">
        <w:rPr>
          <w:b/>
        </w:rPr>
        <w:t xml:space="preserve">Compliance Assistance </w:t>
      </w:r>
    </w:p>
    <w:p w14:paraId="61F2D183" w14:textId="77777777" w:rsidR="005F3CAE" w:rsidRDefault="005F3CAE" w:rsidP="005129EC"/>
    <w:p w14:paraId="3B5C8B92" w14:textId="77777777" w:rsidR="00A17979" w:rsidRDefault="00B31A62" w:rsidP="005129EC">
      <w:r>
        <w:t>A</w:t>
      </w:r>
      <w:r w:rsidR="003D6457">
        <w:t xml:space="preserve"> </w:t>
      </w:r>
      <w:r>
        <w:t>chemical</w:t>
      </w:r>
      <w:r w:rsidR="003D6457">
        <w:t xml:space="preserve"> facility</w:t>
      </w:r>
      <w:r>
        <w:t xml:space="preserve"> of interest </w:t>
      </w:r>
      <w:r w:rsidR="003D6457">
        <w:t>may submit a written request to initiate consultations or seek technical assistance from the Department.  T</w:t>
      </w:r>
      <w:r w:rsidR="00A17979" w:rsidRPr="00A17979">
        <w:t xml:space="preserve">his instrument </w:t>
      </w:r>
      <w:r w:rsidR="003D6457">
        <w:t>may</w:t>
      </w:r>
      <w:r w:rsidR="00A17979" w:rsidRPr="00A17979">
        <w:t xml:space="preserve"> be used by a facility to request</w:t>
      </w:r>
      <w:r w:rsidR="003D6457">
        <w:t xml:space="preserve"> such</w:t>
      </w:r>
      <w:r w:rsidR="00A17979" w:rsidRPr="00A17979">
        <w:t xml:space="preserve"> consultation and</w:t>
      </w:r>
      <w:r w:rsidR="003D6457">
        <w:t>/or</w:t>
      </w:r>
      <w:r w:rsidR="00A17979" w:rsidRPr="00A17979">
        <w:t xml:space="preserve"> technical assistance from DHS</w:t>
      </w:r>
      <w:r w:rsidR="00FB359B">
        <w:t xml:space="preserve">.  If requested, the Department may provide assistance with </w:t>
      </w:r>
      <w:r w:rsidR="00DE3C41">
        <w:t xml:space="preserve">submission of a </w:t>
      </w:r>
      <w:r w:rsidR="00792092">
        <w:t>TS</w:t>
      </w:r>
      <w:r w:rsidR="00DE3C41">
        <w:t>, SVA, or SSP/ASP; assist a facility with registration; or answer additional questions, as necessary; allow an inspector to visit a potentially non-compliant facility; verify material modifications during the redetermination process; or follow-up on security issues or results of a recent incident</w:t>
      </w:r>
      <w:r w:rsidR="00A17979" w:rsidRPr="00A17979">
        <w:t>. Th</w:t>
      </w:r>
      <w:r w:rsidR="003D6457">
        <w:t xml:space="preserve">is instrument requires that the </w:t>
      </w:r>
      <w:r w:rsidR="00A17979" w:rsidRPr="00A17979">
        <w:t>facility</w:t>
      </w:r>
      <w:r w:rsidR="003D6457">
        <w:t xml:space="preserve"> </w:t>
      </w:r>
      <w:r w:rsidR="00A17979" w:rsidRPr="00A17979">
        <w:t xml:space="preserve">specify a reason for the request and their desired outcome.  </w:t>
      </w:r>
    </w:p>
    <w:p w14:paraId="686338FA" w14:textId="77777777" w:rsidR="008A055F" w:rsidRDefault="008A055F" w:rsidP="005129EC"/>
    <w:p w14:paraId="418DBFF6" w14:textId="77777777" w:rsidR="005129EC" w:rsidRPr="00F23632" w:rsidRDefault="00ED7335" w:rsidP="00E57C22">
      <w:r w:rsidRPr="00F23632">
        <w:t>The Department proposes to update the name of this instrument from “Request for Technical Consultation” to “Compliance Assistance</w:t>
      </w:r>
      <w:r w:rsidR="00DE3C41" w:rsidRPr="00F23632">
        <w:t>” to</w:t>
      </w:r>
      <w:r w:rsidRPr="00F23632">
        <w:t xml:space="preserve"> more accurately </w:t>
      </w:r>
      <w:r w:rsidR="00DE3C41" w:rsidRPr="00F23632">
        <w:t>reflect</w:t>
      </w:r>
      <w:r w:rsidRPr="00F23632">
        <w:t xml:space="preserve"> the </w:t>
      </w:r>
      <w:r w:rsidR="00DE3C41" w:rsidRPr="00F23632">
        <w:t xml:space="preserve">full scope </w:t>
      </w:r>
      <w:r w:rsidRPr="00F23632">
        <w:t>of</w:t>
      </w:r>
      <w:r w:rsidR="00DE3C41" w:rsidRPr="00F23632">
        <w:t xml:space="preserve"> </w:t>
      </w:r>
      <w:r w:rsidR="00FB359B" w:rsidRPr="00F23632">
        <w:t xml:space="preserve">assistance that may be requested </w:t>
      </w:r>
      <w:r w:rsidR="002323DA" w:rsidRPr="00F23632">
        <w:t xml:space="preserve">from </w:t>
      </w:r>
      <w:r w:rsidR="00FB359B" w:rsidRPr="00F23632">
        <w:t>the Department</w:t>
      </w:r>
      <w:r w:rsidRPr="00F23632">
        <w:t xml:space="preserve">. No additional or substantive changes are proposed for this instrument.   </w:t>
      </w:r>
    </w:p>
    <w:p w14:paraId="760A24D8" w14:textId="77777777" w:rsidR="000A1415" w:rsidRPr="00F23632" w:rsidRDefault="000A1415" w:rsidP="000A1415"/>
    <w:p w14:paraId="7E34628F" w14:textId="77777777" w:rsidR="000A1415" w:rsidRPr="00F23632" w:rsidRDefault="000A1415" w:rsidP="000A1415">
      <w:pPr>
        <w:pStyle w:val="ListParagraph"/>
        <w:numPr>
          <w:ilvl w:val="0"/>
          <w:numId w:val="38"/>
        </w:numPr>
        <w:contextualSpacing w:val="0"/>
        <w:rPr>
          <w:rFonts w:ascii="Times New Roman" w:hAnsi="Times New Roman"/>
          <w:szCs w:val="24"/>
        </w:rPr>
      </w:pPr>
      <w:r w:rsidRPr="00F23632">
        <w:rPr>
          <w:rFonts w:ascii="Times New Roman" w:hAnsi="Times New Roman"/>
          <w:szCs w:val="24"/>
        </w:rPr>
        <w:t xml:space="preserve">The facility </w:t>
      </w:r>
      <w:r w:rsidRPr="00F23632">
        <w:rPr>
          <w:rFonts w:ascii="Times New Roman" w:hAnsi="Times New Roman"/>
          <w:bCs/>
          <w:color w:val="000000"/>
          <w:szCs w:val="24"/>
        </w:rPr>
        <w:t>provides the name and CVI Authorization number(s) of the individual(s) planning to attend the compliance consultation.</w:t>
      </w:r>
    </w:p>
    <w:p w14:paraId="3AB5FDF6" w14:textId="77777777" w:rsidR="000A1415" w:rsidRPr="00F23632" w:rsidRDefault="000A1415" w:rsidP="000A1415">
      <w:pPr>
        <w:pStyle w:val="ListParagraph"/>
        <w:numPr>
          <w:ilvl w:val="0"/>
          <w:numId w:val="38"/>
        </w:numPr>
        <w:contextualSpacing w:val="0"/>
        <w:rPr>
          <w:rFonts w:ascii="Times New Roman" w:hAnsi="Times New Roman"/>
          <w:szCs w:val="24"/>
        </w:rPr>
      </w:pPr>
      <w:r w:rsidRPr="00F23632">
        <w:rPr>
          <w:rFonts w:ascii="Times New Roman" w:hAnsi="Times New Roman"/>
          <w:szCs w:val="24"/>
        </w:rPr>
        <w:t>The facility provides a reason, for their request, based on selection of one or more of the following options:</w:t>
      </w:r>
    </w:p>
    <w:p w14:paraId="72DCA380" w14:textId="77777777" w:rsidR="000A1415" w:rsidRPr="00F23632" w:rsidRDefault="000A1415" w:rsidP="000A1415">
      <w:pPr>
        <w:pStyle w:val="ListParagraph"/>
        <w:widowControl w:val="0"/>
        <w:tabs>
          <w:tab w:val="left" w:pos="5040"/>
        </w:tabs>
        <w:autoSpaceDE w:val="0"/>
        <w:autoSpaceDN w:val="0"/>
        <w:adjustRightInd w:val="0"/>
        <w:rPr>
          <w:rFonts w:ascii="Times New Roman" w:hAnsi="Times New Roman"/>
          <w:szCs w:val="24"/>
        </w:rPr>
      </w:pPr>
    </w:p>
    <w:p w14:paraId="15795D3D" w14:textId="77777777" w:rsidR="000A1415" w:rsidRPr="00F23632" w:rsidRDefault="000A1415" w:rsidP="00F23632">
      <w:pPr>
        <w:pStyle w:val="ListParagraph"/>
        <w:numPr>
          <w:ilvl w:val="0"/>
          <w:numId w:val="43"/>
        </w:numPr>
        <w:tabs>
          <w:tab w:val="left" w:pos="810"/>
        </w:tabs>
        <w:spacing w:line="254" w:lineRule="auto"/>
        <w:contextualSpacing w:val="0"/>
        <w:rPr>
          <w:rFonts w:ascii="Times New Roman" w:hAnsi="Times New Roman"/>
          <w:szCs w:val="24"/>
        </w:rPr>
      </w:pPr>
      <w:r w:rsidRPr="00F23632">
        <w:rPr>
          <w:rFonts w:ascii="Times New Roman" w:hAnsi="Times New Roman"/>
          <w:szCs w:val="24"/>
        </w:rPr>
        <w:t>The facility requests a compliance assistance regarding the modification of the facility.</w:t>
      </w:r>
    </w:p>
    <w:p w14:paraId="6BFAAAD3" w14:textId="77777777" w:rsidR="000A1415" w:rsidRPr="00F23632" w:rsidRDefault="000A1415" w:rsidP="00F23632">
      <w:pPr>
        <w:pStyle w:val="ListParagraph"/>
        <w:numPr>
          <w:ilvl w:val="0"/>
          <w:numId w:val="43"/>
        </w:numPr>
        <w:tabs>
          <w:tab w:val="left" w:pos="810"/>
        </w:tabs>
        <w:spacing w:line="254" w:lineRule="auto"/>
        <w:contextualSpacing w:val="0"/>
        <w:rPr>
          <w:rFonts w:ascii="Times New Roman" w:hAnsi="Times New Roman"/>
          <w:szCs w:val="24"/>
        </w:rPr>
      </w:pPr>
      <w:r w:rsidRPr="00F23632">
        <w:rPr>
          <w:rFonts w:ascii="Times New Roman" w:hAnsi="Times New Roman"/>
          <w:szCs w:val="24"/>
        </w:rPr>
        <w:t>The facility requests a compliance assistance regarding the modification of the facility's processes.</w:t>
      </w:r>
    </w:p>
    <w:p w14:paraId="0A784D4D" w14:textId="77777777" w:rsidR="000A1415" w:rsidRPr="00F23632" w:rsidRDefault="000A1415" w:rsidP="00F23632">
      <w:pPr>
        <w:pStyle w:val="ListParagraph"/>
        <w:numPr>
          <w:ilvl w:val="0"/>
          <w:numId w:val="43"/>
        </w:numPr>
        <w:tabs>
          <w:tab w:val="left" w:pos="810"/>
        </w:tabs>
        <w:spacing w:line="254" w:lineRule="auto"/>
        <w:contextualSpacing w:val="0"/>
        <w:rPr>
          <w:rFonts w:ascii="Times New Roman" w:hAnsi="Times New Roman"/>
          <w:szCs w:val="24"/>
        </w:rPr>
      </w:pPr>
      <w:r w:rsidRPr="00F23632">
        <w:rPr>
          <w:rFonts w:ascii="Times New Roman" w:hAnsi="Times New Roman"/>
          <w:szCs w:val="24"/>
        </w:rPr>
        <w:t>The facility requests a compliance assistance regarding the modification of the types of materials that the facility possesses.</w:t>
      </w:r>
    </w:p>
    <w:p w14:paraId="443A4522" w14:textId="77777777" w:rsidR="000A1415" w:rsidRPr="00F23632" w:rsidRDefault="000A1415" w:rsidP="00F23632">
      <w:pPr>
        <w:pStyle w:val="ListParagraph"/>
        <w:numPr>
          <w:ilvl w:val="0"/>
          <w:numId w:val="43"/>
        </w:numPr>
        <w:tabs>
          <w:tab w:val="left" w:pos="810"/>
        </w:tabs>
        <w:spacing w:line="254" w:lineRule="auto"/>
        <w:contextualSpacing w:val="0"/>
        <w:rPr>
          <w:rFonts w:ascii="Times New Roman" w:hAnsi="Times New Roman"/>
          <w:szCs w:val="24"/>
        </w:rPr>
      </w:pPr>
      <w:r w:rsidRPr="00F23632">
        <w:rPr>
          <w:rFonts w:ascii="Times New Roman" w:hAnsi="Times New Roman"/>
          <w:szCs w:val="24"/>
        </w:rPr>
        <w:t>The facility requests a compliance assistance regarding the modification of the quantities of materials that the facility possesses.</w:t>
      </w:r>
    </w:p>
    <w:p w14:paraId="0A7B121B" w14:textId="77777777" w:rsidR="000A1415" w:rsidRPr="00F23632" w:rsidRDefault="000A1415" w:rsidP="00F23632">
      <w:pPr>
        <w:pStyle w:val="ListParagraph"/>
        <w:numPr>
          <w:ilvl w:val="0"/>
          <w:numId w:val="43"/>
        </w:numPr>
        <w:tabs>
          <w:tab w:val="left" w:pos="810"/>
        </w:tabs>
        <w:spacing w:line="254" w:lineRule="auto"/>
        <w:contextualSpacing w:val="0"/>
        <w:rPr>
          <w:rFonts w:ascii="Times New Roman" w:hAnsi="Times New Roman"/>
          <w:szCs w:val="24"/>
        </w:rPr>
      </w:pPr>
      <w:r w:rsidRPr="00F23632">
        <w:rPr>
          <w:rFonts w:ascii="Times New Roman" w:hAnsi="Times New Roman"/>
          <w:szCs w:val="24"/>
        </w:rPr>
        <w:t>Other (Narrative).</w:t>
      </w:r>
    </w:p>
    <w:p w14:paraId="2E7246BD" w14:textId="77777777" w:rsidR="000A1415" w:rsidRDefault="000A1415" w:rsidP="000A1415">
      <w:pPr>
        <w:tabs>
          <w:tab w:val="left" w:pos="810"/>
        </w:tabs>
        <w:spacing w:line="254" w:lineRule="auto"/>
      </w:pPr>
    </w:p>
    <w:p w14:paraId="71108B96" w14:textId="77777777" w:rsidR="000A1415" w:rsidRDefault="000A1415" w:rsidP="000A1415">
      <w:pPr>
        <w:tabs>
          <w:tab w:val="left" w:pos="810"/>
        </w:tabs>
        <w:spacing w:line="254" w:lineRule="auto"/>
      </w:pPr>
      <w:r>
        <w:t>In addition, the facility will provide information for the following fields:</w:t>
      </w:r>
    </w:p>
    <w:p w14:paraId="22C7EBE9" w14:textId="77777777" w:rsidR="000A1415" w:rsidRPr="000A1415" w:rsidRDefault="000A1415" w:rsidP="000A1415">
      <w:pPr>
        <w:tabs>
          <w:tab w:val="left" w:pos="810"/>
        </w:tabs>
        <w:spacing w:line="254" w:lineRule="auto"/>
      </w:pPr>
    </w:p>
    <w:p w14:paraId="6AB20B34" w14:textId="77777777" w:rsidR="000A1415" w:rsidRPr="00905DDC" w:rsidRDefault="000A1415" w:rsidP="00905DDC">
      <w:pPr>
        <w:pStyle w:val="ListParagraph"/>
        <w:numPr>
          <w:ilvl w:val="0"/>
          <w:numId w:val="42"/>
        </w:numPr>
        <w:tabs>
          <w:tab w:val="left" w:pos="810"/>
        </w:tabs>
        <w:contextualSpacing w:val="0"/>
        <w:rPr>
          <w:rFonts w:ascii="Times New Roman" w:hAnsi="Times New Roman"/>
          <w:szCs w:val="24"/>
        </w:rPr>
      </w:pPr>
      <w:r w:rsidRPr="00905DDC">
        <w:rPr>
          <w:rFonts w:ascii="Times New Roman" w:hAnsi="Times New Roman"/>
          <w:szCs w:val="24"/>
        </w:rPr>
        <w:t>Explanation for Request (narrative).</w:t>
      </w:r>
    </w:p>
    <w:p w14:paraId="4B64C79F" w14:textId="77777777" w:rsidR="000A1415" w:rsidRPr="00905DDC" w:rsidRDefault="000A1415" w:rsidP="00905DDC">
      <w:pPr>
        <w:pStyle w:val="ListParagraph"/>
        <w:numPr>
          <w:ilvl w:val="0"/>
          <w:numId w:val="42"/>
        </w:numPr>
        <w:tabs>
          <w:tab w:val="left" w:pos="810"/>
        </w:tabs>
        <w:contextualSpacing w:val="0"/>
        <w:rPr>
          <w:rFonts w:ascii="Times New Roman" w:hAnsi="Times New Roman"/>
          <w:szCs w:val="24"/>
        </w:rPr>
      </w:pPr>
      <w:r w:rsidRPr="00905DDC">
        <w:rPr>
          <w:rFonts w:ascii="Times New Roman" w:hAnsi="Times New Roman"/>
          <w:szCs w:val="24"/>
        </w:rPr>
        <w:t>Proposed date and time for the Compliance Assistance.</w:t>
      </w:r>
    </w:p>
    <w:p w14:paraId="744AF0A8" w14:textId="77777777" w:rsidR="000A1415" w:rsidRPr="00905DDC" w:rsidRDefault="000A1415" w:rsidP="00905DDC">
      <w:pPr>
        <w:pStyle w:val="ListParagraph"/>
        <w:numPr>
          <w:ilvl w:val="0"/>
          <w:numId w:val="42"/>
        </w:numPr>
        <w:tabs>
          <w:tab w:val="left" w:pos="810"/>
        </w:tabs>
        <w:contextualSpacing w:val="0"/>
        <w:rPr>
          <w:rFonts w:ascii="Times New Roman" w:hAnsi="Times New Roman"/>
          <w:szCs w:val="24"/>
        </w:rPr>
      </w:pPr>
      <w:r w:rsidRPr="00905DDC">
        <w:rPr>
          <w:rFonts w:ascii="Times New Roman" w:hAnsi="Times New Roman"/>
          <w:szCs w:val="24"/>
        </w:rPr>
        <w:t>Specific CFATS-related issue(s) of particular interest to the facility.</w:t>
      </w:r>
    </w:p>
    <w:p w14:paraId="79FF4B53" w14:textId="77777777" w:rsidR="00905DDC" w:rsidRPr="00905DDC" w:rsidRDefault="000A1415" w:rsidP="00905DDC">
      <w:pPr>
        <w:pStyle w:val="ListParagraph"/>
        <w:numPr>
          <w:ilvl w:val="0"/>
          <w:numId w:val="42"/>
        </w:numPr>
        <w:tabs>
          <w:tab w:val="left" w:pos="810"/>
        </w:tabs>
        <w:contextualSpacing w:val="0"/>
        <w:rPr>
          <w:rFonts w:ascii="Times New Roman" w:hAnsi="Times New Roman"/>
          <w:szCs w:val="24"/>
        </w:rPr>
      </w:pPr>
      <w:r w:rsidRPr="00905DDC">
        <w:rPr>
          <w:rFonts w:ascii="Times New Roman" w:hAnsi="Times New Roman"/>
          <w:szCs w:val="24"/>
        </w:rPr>
        <w:t xml:space="preserve">Identify the facility's preferred location for the CA and specify whether or not this is a </w:t>
      </w:r>
      <w:r w:rsidR="00905DDC">
        <w:rPr>
          <w:rFonts w:ascii="Times New Roman" w:hAnsi="Times New Roman"/>
          <w:szCs w:val="24"/>
        </w:rPr>
        <w:t xml:space="preserve">    </w:t>
      </w:r>
      <w:r w:rsidRPr="00905DDC">
        <w:rPr>
          <w:rFonts w:ascii="Times New Roman" w:hAnsi="Times New Roman"/>
          <w:szCs w:val="24"/>
        </w:rPr>
        <w:t>CA to be held at the headquarters of a corporat</w:t>
      </w:r>
      <w:r w:rsidR="00905DDC">
        <w:rPr>
          <w:rFonts w:ascii="Times New Roman" w:hAnsi="Times New Roman"/>
          <w:szCs w:val="24"/>
        </w:rPr>
        <w:t xml:space="preserve">ion with multiple CFATS-covered </w:t>
      </w:r>
      <w:r w:rsidRPr="00905DDC">
        <w:rPr>
          <w:rFonts w:ascii="Times New Roman" w:hAnsi="Times New Roman"/>
          <w:szCs w:val="24"/>
        </w:rPr>
        <w:t>facilities.</w:t>
      </w:r>
    </w:p>
    <w:p w14:paraId="51F99760" w14:textId="77777777" w:rsidR="00F52FD8" w:rsidRDefault="00F52FD8" w:rsidP="00905DDC">
      <w:pPr>
        <w:pStyle w:val="ListParagraph"/>
        <w:numPr>
          <w:ilvl w:val="0"/>
          <w:numId w:val="42"/>
        </w:numPr>
        <w:tabs>
          <w:tab w:val="left" w:pos="630"/>
          <w:tab w:val="left" w:pos="810"/>
        </w:tabs>
        <w:ind w:left="810" w:hanging="450"/>
        <w:contextualSpacing w:val="0"/>
        <w:rPr>
          <w:rFonts w:ascii="Times New Roman" w:hAnsi="Times New Roman"/>
          <w:szCs w:val="24"/>
        </w:rPr>
      </w:pPr>
      <w:r w:rsidRPr="00905DDC">
        <w:rPr>
          <w:rFonts w:ascii="Times New Roman" w:hAnsi="Times New Roman"/>
          <w:szCs w:val="24"/>
        </w:rPr>
        <w:t>Desired outcome for request (narrative).</w:t>
      </w:r>
    </w:p>
    <w:p w14:paraId="6F313130" w14:textId="77777777" w:rsidR="00F52FD8" w:rsidRDefault="00F52FD8" w:rsidP="00F52FD8">
      <w:pPr>
        <w:pStyle w:val="ListParagraph"/>
        <w:numPr>
          <w:ilvl w:val="0"/>
          <w:numId w:val="42"/>
        </w:numPr>
        <w:tabs>
          <w:tab w:val="left" w:pos="630"/>
          <w:tab w:val="left" w:pos="810"/>
        </w:tabs>
        <w:ind w:left="810" w:hanging="450"/>
        <w:contextualSpacing w:val="0"/>
        <w:rPr>
          <w:rFonts w:ascii="Times New Roman" w:hAnsi="Times New Roman"/>
          <w:szCs w:val="24"/>
        </w:rPr>
      </w:pPr>
      <w:r w:rsidRPr="00F23632">
        <w:rPr>
          <w:rFonts w:ascii="Times New Roman" w:hAnsi="Times New Roman"/>
          <w:szCs w:val="24"/>
        </w:rPr>
        <w:t>Point of contact name</w:t>
      </w:r>
    </w:p>
    <w:p w14:paraId="4D38ED2E" w14:textId="77777777" w:rsidR="00687B9C" w:rsidRPr="00687B9C" w:rsidRDefault="00F52FD8" w:rsidP="00687B9C">
      <w:pPr>
        <w:pStyle w:val="ListParagraph"/>
        <w:numPr>
          <w:ilvl w:val="0"/>
          <w:numId w:val="42"/>
        </w:numPr>
        <w:tabs>
          <w:tab w:val="left" w:pos="630"/>
          <w:tab w:val="left" w:pos="810"/>
        </w:tabs>
        <w:ind w:left="810" w:hanging="450"/>
        <w:contextualSpacing w:val="0"/>
        <w:rPr>
          <w:rFonts w:ascii="Times New Roman" w:hAnsi="Times New Roman"/>
          <w:szCs w:val="24"/>
        </w:rPr>
      </w:pPr>
      <w:r w:rsidRPr="00F52FD8">
        <w:rPr>
          <w:rFonts w:ascii="Times New Roman" w:hAnsi="Times New Roman"/>
          <w:szCs w:val="24"/>
        </w:rPr>
        <w:t>Preferred method of contact (e.g., phone number or email address)</w:t>
      </w:r>
      <w:r w:rsidRPr="00F52FD8">
        <w:rPr>
          <w:szCs w:val="24"/>
        </w:rPr>
        <w:t>.</w:t>
      </w:r>
    </w:p>
    <w:p w14:paraId="1BEFE989" w14:textId="77777777" w:rsidR="00687B9C" w:rsidRDefault="00F52FD8" w:rsidP="00687B9C">
      <w:pPr>
        <w:pStyle w:val="ListParagraph"/>
        <w:numPr>
          <w:ilvl w:val="0"/>
          <w:numId w:val="42"/>
        </w:numPr>
        <w:tabs>
          <w:tab w:val="left" w:pos="630"/>
          <w:tab w:val="left" w:pos="810"/>
        </w:tabs>
        <w:ind w:left="810" w:hanging="450"/>
        <w:contextualSpacing w:val="0"/>
        <w:rPr>
          <w:rFonts w:ascii="Times New Roman" w:hAnsi="Times New Roman"/>
          <w:szCs w:val="24"/>
        </w:rPr>
      </w:pPr>
      <w:r w:rsidRPr="00687B9C">
        <w:rPr>
          <w:rFonts w:ascii="Times New Roman" w:hAnsi="Times New Roman"/>
          <w:szCs w:val="24"/>
        </w:rPr>
        <w:t>Facility ID.</w:t>
      </w:r>
    </w:p>
    <w:p w14:paraId="5DDEEEDB" w14:textId="77777777" w:rsidR="00687B9C" w:rsidRDefault="00687B9C" w:rsidP="00687B9C">
      <w:pPr>
        <w:pStyle w:val="ListParagraph"/>
        <w:numPr>
          <w:ilvl w:val="0"/>
          <w:numId w:val="42"/>
        </w:numPr>
        <w:tabs>
          <w:tab w:val="left" w:pos="630"/>
          <w:tab w:val="left" w:pos="810"/>
        </w:tabs>
        <w:ind w:left="810" w:hanging="450"/>
        <w:contextualSpacing w:val="0"/>
        <w:rPr>
          <w:rFonts w:ascii="Times New Roman" w:hAnsi="Times New Roman"/>
          <w:szCs w:val="24"/>
        </w:rPr>
      </w:pPr>
      <w:r w:rsidRPr="00687B9C">
        <w:rPr>
          <w:rFonts w:ascii="Times New Roman" w:hAnsi="Times New Roman"/>
          <w:szCs w:val="24"/>
        </w:rPr>
        <w:t>Company Name.</w:t>
      </w:r>
    </w:p>
    <w:p w14:paraId="4C7E2957" w14:textId="77777777" w:rsidR="00F52FD8" w:rsidRPr="00687B9C" w:rsidRDefault="00687B9C" w:rsidP="00687B9C">
      <w:pPr>
        <w:pStyle w:val="ListParagraph"/>
        <w:numPr>
          <w:ilvl w:val="0"/>
          <w:numId w:val="42"/>
        </w:numPr>
        <w:tabs>
          <w:tab w:val="left" w:pos="630"/>
          <w:tab w:val="left" w:pos="810"/>
        </w:tabs>
        <w:ind w:left="810" w:hanging="450"/>
        <w:contextualSpacing w:val="0"/>
        <w:rPr>
          <w:rFonts w:ascii="Times New Roman" w:hAnsi="Times New Roman"/>
          <w:szCs w:val="24"/>
        </w:rPr>
      </w:pPr>
      <w:r w:rsidRPr="00687B9C">
        <w:rPr>
          <w:rFonts w:ascii="Times New Roman" w:hAnsi="Times New Roman"/>
          <w:szCs w:val="24"/>
        </w:rPr>
        <w:t>Specific CFATS-related issue(s) of particular interest to the facility.</w:t>
      </w:r>
    </w:p>
    <w:p w14:paraId="1F04CA05" w14:textId="77777777" w:rsidR="00687B9C" w:rsidRPr="00687B9C" w:rsidRDefault="000A1415" w:rsidP="00687B9C">
      <w:pPr>
        <w:pStyle w:val="CommentText"/>
        <w:numPr>
          <w:ilvl w:val="0"/>
          <w:numId w:val="42"/>
        </w:numPr>
        <w:spacing w:after="160"/>
        <w:rPr>
          <w:sz w:val="24"/>
          <w:szCs w:val="24"/>
        </w:rPr>
      </w:pPr>
      <w:r w:rsidRPr="00905DDC">
        <w:rPr>
          <w:sz w:val="24"/>
          <w:szCs w:val="24"/>
        </w:rPr>
        <w:t>The facility’s preferred location for the Compliance Assistance consultation an</w:t>
      </w:r>
      <w:r w:rsidR="00687B9C">
        <w:rPr>
          <w:sz w:val="24"/>
          <w:szCs w:val="24"/>
        </w:rPr>
        <w:t>d/or technical assistance visit.</w:t>
      </w:r>
    </w:p>
    <w:p w14:paraId="15C6EC5F" w14:textId="77777777" w:rsidR="000A1415" w:rsidRPr="00905DDC" w:rsidRDefault="000A1415" w:rsidP="00905DDC">
      <w:pPr>
        <w:pStyle w:val="CommentText"/>
        <w:numPr>
          <w:ilvl w:val="0"/>
          <w:numId w:val="42"/>
        </w:numPr>
        <w:spacing w:after="160"/>
        <w:rPr>
          <w:sz w:val="24"/>
          <w:szCs w:val="24"/>
        </w:rPr>
      </w:pPr>
      <w:r w:rsidRPr="00905DDC">
        <w:rPr>
          <w:sz w:val="24"/>
          <w:szCs w:val="24"/>
        </w:rPr>
        <w:t>Preferred location for the visit (e.g., company headquarters or the facility location).</w:t>
      </w:r>
    </w:p>
    <w:p w14:paraId="0B66C817" w14:textId="77777777" w:rsidR="00137A8D" w:rsidRDefault="000A1415" w:rsidP="00687B9C">
      <w:pPr>
        <w:pStyle w:val="CommentText"/>
        <w:numPr>
          <w:ilvl w:val="0"/>
          <w:numId w:val="42"/>
        </w:numPr>
        <w:spacing w:after="160"/>
      </w:pPr>
      <w:r w:rsidRPr="00905DDC">
        <w:rPr>
          <w:sz w:val="24"/>
          <w:szCs w:val="24"/>
        </w:rPr>
        <w:t>Proposed date and time for the visit.</w:t>
      </w:r>
      <w:r w:rsidR="00687B9C">
        <w:t xml:space="preserve"> </w:t>
      </w:r>
    </w:p>
    <w:p w14:paraId="0116CA17" w14:textId="77777777" w:rsidR="007840BD" w:rsidRDefault="007840BD" w:rsidP="007840BD">
      <w:r w:rsidRPr="00076F5C">
        <w:t xml:space="preserve">The information is </w:t>
      </w:r>
      <w:r w:rsidR="009A744C">
        <w:t xml:space="preserve">primarily </w:t>
      </w:r>
      <w:r w:rsidRPr="00076F5C">
        <w:t>collected electronically by this instrument</w:t>
      </w:r>
      <w:r w:rsidR="00223417" w:rsidRPr="00223417">
        <w:t xml:space="preserve">, e.g., e-mail, etc.   </w:t>
      </w:r>
    </w:p>
    <w:p w14:paraId="62537C84" w14:textId="77777777" w:rsidR="005129EC" w:rsidRDefault="005129EC" w:rsidP="00E57C22">
      <w:r>
        <w:t xml:space="preserve"> </w:t>
      </w:r>
    </w:p>
    <w:p w14:paraId="37DCBB95" w14:textId="77777777" w:rsidR="005F3CAE" w:rsidRPr="005F3CAE" w:rsidRDefault="002C5216" w:rsidP="002C5216">
      <w:pPr>
        <w:rPr>
          <w:b/>
        </w:rPr>
      </w:pPr>
      <w:r w:rsidRPr="005F3CAE">
        <w:rPr>
          <w:b/>
        </w:rPr>
        <w:t>Declaration of Reporting Status</w:t>
      </w:r>
    </w:p>
    <w:p w14:paraId="2A150A16" w14:textId="77777777" w:rsidR="005F3CAE" w:rsidRDefault="005F3CAE" w:rsidP="002C5216"/>
    <w:p w14:paraId="0430C85C" w14:textId="77777777" w:rsidR="002C5216" w:rsidRDefault="002C5216" w:rsidP="002C5216">
      <w:r w:rsidRPr="002C5216">
        <w:t xml:space="preserve">Pursuant to 6 CFR Part 27, this instrument will be used by a </w:t>
      </w:r>
      <w:r w:rsidR="001A2D92">
        <w:t xml:space="preserve">chemical </w:t>
      </w:r>
      <w:r w:rsidRPr="002C5216">
        <w:t xml:space="preserve">facility to </w:t>
      </w:r>
      <w:r>
        <w:t xml:space="preserve">identify that </w:t>
      </w:r>
      <w:r w:rsidR="00C62ACC">
        <w:t xml:space="preserve">it is </w:t>
      </w:r>
      <w:r>
        <w:t xml:space="preserve">not required to register </w:t>
      </w:r>
      <w:r w:rsidR="00FB359B">
        <w:t xml:space="preserve">in the CSAT system </w:t>
      </w:r>
      <w:r>
        <w:t xml:space="preserve">to submit a </w:t>
      </w:r>
      <w:r w:rsidR="00C62ACC">
        <w:t>TS</w:t>
      </w:r>
      <w:r>
        <w:t xml:space="preserve">.  </w:t>
      </w:r>
      <w:r w:rsidRPr="00A17979">
        <w:t>The facility must specify a reason for the reque</w:t>
      </w:r>
      <w:r>
        <w:t>st and the</w:t>
      </w:r>
      <w:r w:rsidR="00C62ACC">
        <w:t xml:space="preserve"> facility’s </w:t>
      </w:r>
      <w:r>
        <w:t xml:space="preserve">desired outcome.  </w:t>
      </w:r>
      <w:r w:rsidR="007B7AA2">
        <w:t xml:space="preserve">This information will be used by the Department to assist in its efforts to identify chemical facilities of interest. </w:t>
      </w:r>
    </w:p>
    <w:p w14:paraId="5E832725" w14:textId="77777777" w:rsidR="00196679" w:rsidRDefault="00196679" w:rsidP="00196679">
      <w:pPr>
        <w:tabs>
          <w:tab w:val="left" w:pos="0"/>
        </w:tabs>
      </w:pPr>
      <w:r>
        <w:t xml:space="preserve">This instrument requires that the facility provide a reason why it is not required to register to submit a </w:t>
      </w:r>
      <w:r w:rsidR="00792092">
        <w:t>TS</w:t>
      </w:r>
      <w:r>
        <w:t xml:space="preserve"> Survey. </w:t>
      </w:r>
      <w:r w:rsidR="00D7118B">
        <w:t>The instrument provides the following list of potential</w:t>
      </w:r>
      <w:r>
        <w:t xml:space="preserve"> reasons</w:t>
      </w:r>
      <w:r w:rsidR="00D7118B">
        <w:t xml:space="preserve"> that may selected to</w:t>
      </w:r>
      <w:r>
        <w:t xml:space="preserve"> </w:t>
      </w:r>
      <w:r w:rsidR="00D7118B">
        <w:t xml:space="preserve">support </w:t>
      </w:r>
      <w:r w:rsidR="00CF29E6">
        <w:t xml:space="preserve"> </w:t>
      </w:r>
      <w:r>
        <w:t>a facility</w:t>
      </w:r>
      <w:r w:rsidR="00D7118B">
        <w:t>’s declaration that it</w:t>
      </w:r>
      <w:r>
        <w:t xml:space="preserve"> is </w:t>
      </w:r>
      <w:r w:rsidR="00D7118B">
        <w:t xml:space="preserve">not </w:t>
      </w:r>
      <w:r>
        <w:t xml:space="preserve">required to register or to submit a </w:t>
      </w:r>
      <w:r w:rsidR="00792092">
        <w:t>TS</w:t>
      </w:r>
      <w:r>
        <w:t xml:space="preserve">: </w:t>
      </w:r>
    </w:p>
    <w:p w14:paraId="68819958" w14:textId="77777777" w:rsidR="00196679" w:rsidRDefault="00CF29E6" w:rsidP="00196679">
      <w:pPr>
        <w:tabs>
          <w:tab w:val="left" w:pos="0"/>
        </w:tabs>
      </w:pPr>
      <w:r>
        <w:t xml:space="preserve"> </w:t>
      </w:r>
    </w:p>
    <w:p w14:paraId="4EE4BC2E" w14:textId="77777777" w:rsidR="00196679" w:rsidRDefault="00C73EF7" w:rsidP="00196679">
      <w:pPr>
        <w:numPr>
          <w:ilvl w:val="0"/>
          <w:numId w:val="35"/>
        </w:numPr>
        <w:ind w:left="1440"/>
      </w:pPr>
      <w:r>
        <w:t>The facility does not</w:t>
      </w:r>
      <w:r w:rsidR="00196679">
        <w:t xml:space="preserve"> possess a chemical of interest (COI) that meets or exceeds the screening threshold quantity (STQ) described in Appendix A to CFATS.</w:t>
      </w:r>
    </w:p>
    <w:p w14:paraId="38140A2D" w14:textId="77777777" w:rsidR="00196679" w:rsidRDefault="00C73EF7" w:rsidP="00196679">
      <w:pPr>
        <w:numPr>
          <w:ilvl w:val="0"/>
          <w:numId w:val="35"/>
        </w:numPr>
        <w:ind w:left="1440"/>
      </w:pPr>
      <w:r>
        <w:t>The facility is</w:t>
      </w:r>
      <w:r w:rsidR="00196679">
        <w:t xml:space="preserve"> regulated under the Maritime Transportation Security Act of 2002.  See 6 U.S.C. § 621(4)(A).  **Note:  If only a portion of the facility is exempt, the facility must still file a </w:t>
      </w:r>
      <w:r w:rsidR="00792092">
        <w:t>TS</w:t>
      </w:r>
      <w:r w:rsidR="00196679">
        <w:t xml:space="preserve"> for the portion of the facility that is not regulated.</w:t>
      </w:r>
    </w:p>
    <w:p w14:paraId="73D7358A" w14:textId="77777777" w:rsidR="00196679" w:rsidRDefault="004653C9" w:rsidP="00196679">
      <w:pPr>
        <w:numPr>
          <w:ilvl w:val="0"/>
          <w:numId w:val="35"/>
        </w:numPr>
        <w:ind w:left="1440"/>
      </w:pPr>
      <w:r>
        <w:t>The facility is</w:t>
      </w:r>
      <w:r w:rsidR="00196679">
        <w:t xml:space="preserve"> </w:t>
      </w:r>
      <w:r w:rsidR="00F15109">
        <w:t xml:space="preserve">constitutes </w:t>
      </w:r>
      <w:r w:rsidR="00196679">
        <w:t>a wastewater or drinking water facility regulated under authorities administered by the U.S. Environmental Protection Agency. See 6 U.S.C. §§ 621(4)(B) and (C).</w:t>
      </w:r>
    </w:p>
    <w:p w14:paraId="222DDD21" w14:textId="77777777" w:rsidR="00196679" w:rsidRDefault="00C73EF7" w:rsidP="00196679">
      <w:pPr>
        <w:numPr>
          <w:ilvl w:val="0"/>
          <w:numId w:val="35"/>
        </w:numPr>
        <w:ind w:left="1440"/>
      </w:pPr>
      <w:r>
        <w:t xml:space="preserve">The facility is </w:t>
      </w:r>
      <w:r w:rsidR="00196679">
        <w:t>owned or operated by the Department of Defense or the Department of Energy See 6 U.S.C. § 621(4)(D).</w:t>
      </w:r>
    </w:p>
    <w:p w14:paraId="54890757" w14:textId="77777777" w:rsidR="00196679" w:rsidRDefault="00C73EF7" w:rsidP="00196679">
      <w:pPr>
        <w:numPr>
          <w:ilvl w:val="0"/>
          <w:numId w:val="35"/>
        </w:numPr>
        <w:ind w:left="1440"/>
      </w:pPr>
      <w:r>
        <w:t xml:space="preserve">The facility is </w:t>
      </w:r>
      <w:r w:rsidR="00196679">
        <w:t>subject to regulation by the Nuclear Regulatory Commission (NRC), or by a State that has entered into an agreement with the NRC to protect against unauthorized access of any material, activity, or structure licensed by the NRC.  See 6 U.S.C. § 621(4)(E).</w:t>
      </w:r>
    </w:p>
    <w:p w14:paraId="27EB71F8" w14:textId="77777777" w:rsidR="00196679" w:rsidRDefault="00C73EF7" w:rsidP="00196679">
      <w:pPr>
        <w:numPr>
          <w:ilvl w:val="0"/>
          <w:numId w:val="35"/>
        </w:numPr>
        <w:ind w:left="1440"/>
      </w:pPr>
      <w:r>
        <w:t xml:space="preserve">The facility is </w:t>
      </w:r>
      <w:r w:rsidR="00196679">
        <w:t xml:space="preserve">an agricultural production facility covered under the extension to the </w:t>
      </w:r>
      <w:r w:rsidR="00792092">
        <w:t>TS</w:t>
      </w:r>
      <w:r w:rsidR="00196679">
        <w:t xml:space="preserve"> requirements detailed in 73 Fed. Reg. 1640 (Jan. 9, 2008).</w:t>
      </w:r>
    </w:p>
    <w:p w14:paraId="0E7FF703" w14:textId="77777777" w:rsidR="00196679" w:rsidRDefault="00C73EF7" w:rsidP="00196679">
      <w:pPr>
        <w:numPr>
          <w:ilvl w:val="0"/>
          <w:numId w:val="35"/>
        </w:numPr>
        <w:ind w:left="1440"/>
      </w:pPr>
      <w:r>
        <w:t xml:space="preserve">The facility </w:t>
      </w:r>
      <w:r w:rsidR="00196679">
        <w:t xml:space="preserve">only possesses a COI present in a </w:t>
      </w:r>
      <w:r w:rsidR="00F15109">
        <w:t>g</w:t>
      </w:r>
      <w:r w:rsidR="00196679">
        <w:t>asoline mixture.</w:t>
      </w:r>
      <w:r w:rsidR="00273B82">
        <w:t xml:space="preserve">  See 81 Fed. Reg. 47002.</w:t>
      </w:r>
    </w:p>
    <w:p w14:paraId="5E33DF3E" w14:textId="77777777" w:rsidR="00196679" w:rsidRDefault="00196679" w:rsidP="009D50DF">
      <w:pPr>
        <w:numPr>
          <w:ilvl w:val="0"/>
          <w:numId w:val="35"/>
        </w:numPr>
        <w:ind w:left="1440"/>
      </w:pPr>
      <w:r>
        <w:t>Other (The facility will provide a narrative).</w:t>
      </w:r>
    </w:p>
    <w:p w14:paraId="07082D5C" w14:textId="77777777" w:rsidR="00137A8D" w:rsidRDefault="00137A8D" w:rsidP="009D50DF"/>
    <w:p w14:paraId="5FC0E21C" w14:textId="77777777" w:rsidR="009D50DF" w:rsidRDefault="003D7C4A" w:rsidP="009D50DF">
      <w:r w:rsidRPr="00076F5C">
        <w:t xml:space="preserve">The information is </w:t>
      </w:r>
      <w:r w:rsidR="009A744C">
        <w:t xml:space="preserve">primarily </w:t>
      </w:r>
      <w:r w:rsidRPr="00076F5C">
        <w:t>collected electronically by this instrument</w:t>
      </w:r>
      <w:r w:rsidR="00223417" w:rsidRPr="00223417">
        <w:t xml:space="preserve">, e.g., via CSAT, e-mail, etc.   </w:t>
      </w:r>
      <w:r w:rsidRPr="00076F5C">
        <w:t xml:space="preserve">  </w:t>
      </w:r>
    </w:p>
    <w:p w14:paraId="05AF3526" w14:textId="77777777" w:rsidR="00AA3F82" w:rsidRPr="00596A43" w:rsidRDefault="00AA3F82" w:rsidP="000C4293">
      <w:pPr>
        <w:tabs>
          <w:tab w:val="left" w:pos="-720"/>
        </w:tabs>
        <w:suppressAutoHyphens/>
        <w:jc w:val="both"/>
      </w:pPr>
    </w:p>
    <w:p w14:paraId="2D96B8A4"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14:paraId="0A362A26" w14:textId="77777777" w:rsidR="00EB5E96" w:rsidRPr="00596A43" w:rsidRDefault="00EB5E96" w:rsidP="000C4293">
      <w:pPr>
        <w:tabs>
          <w:tab w:val="left" w:pos="-720"/>
        </w:tabs>
        <w:suppressAutoHyphens/>
        <w:jc w:val="both"/>
      </w:pPr>
    </w:p>
    <w:p w14:paraId="5AFB9A9E" w14:textId="77777777" w:rsidR="00E57C22" w:rsidRDefault="003D7C4A" w:rsidP="00E57C22">
      <w:r w:rsidRPr="003D7C4A">
        <w:t xml:space="preserve">This collection will leverage </w:t>
      </w:r>
      <w:r w:rsidR="00FB359B">
        <w:t>recently deployed system workflow efficiencies in the</w:t>
      </w:r>
      <w:r w:rsidR="00FB359B" w:rsidRPr="003D7C4A">
        <w:t xml:space="preserve"> </w:t>
      </w:r>
      <w:r w:rsidRPr="003D7C4A">
        <w:t xml:space="preserve">CSAT </w:t>
      </w:r>
      <w:r w:rsidR="00FB359B">
        <w:t xml:space="preserve">system </w:t>
      </w:r>
      <w:r w:rsidRPr="003D7C4A">
        <w:t xml:space="preserve">to reduce the </w:t>
      </w:r>
      <w:r w:rsidR="00FB359B">
        <w:t xml:space="preserve">estimated </w:t>
      </w:r>
      <w:r w:rsidRPr="003D7C4A">
        <w:t>burden on chemical facilities</w:t>
      </w:r>
      <w:r w:rsidR="00FB359B">
        <w:t xml:space="preserve"> which have </w:t>
      </w:r>
      <w:r w:rsidRPr="003D7C4A">
        <w:t>streamlin</w:t>
      </w:r>
      <w:r w:rsidR="00FB359B">
        <w:t>ed</w:t>
      </w:r>
      <w:r w:rsidRPr="003D7C4A">
        <w:t xml:space="preserve"> the data collection process to meet CFATS regulatory obligations.  </w:t>
      </w:r>
      <w:r w:rsidR="002A71A5">
        <w:t>The Department c</w:t>
      </w:r>
      <w:r w:rsidR="00083609" w:rsidRPr="00102513">
        <w:t>ollect</w:t>
      </w:r>
      <w:r w:rsidR="002A71A5">
        <w:t>s</w:t>
      </w:r>
      <w:r w:rsidR="00083609" w:rsidRPr="00102513">
        <w:t xml:space="preserve"> the </w:t>
      </w:r>
      <w:r w:rsidR="003C7E1B">
        <w:t>all of the instruments listed in Table 1 below, with the exception of the Compliance Assistance Instrument,</w:t>
      </w:r>
      <w:r w:rsidR="002A71A5" w:rsidRPr="00102513">
        <w:t xml:space="preserve"> </w:t>
      </w:r>
      <w:r w:rsidR="002A71A5">
        <w:t>from covered chemical facilities</w:t>
      </w:r>
      <w:r w:rsidR="00083609" w:rsidRPr="00102513">
        <w:t xml:space="preserve"> </w:t>
      </w:r>
      <w:r w:rsidR="00083609">
        <w:t>primarily</w:t>
      </w:r>
      <w:r w:rsidR="002F07ED">
        <w:t xml:space="preserve"> in electronic format</w:t>
      </w:r>
      <w:r w:rsidR="00083609">
        <w:t xml:space="preserve"> through </w:t>
      </w:r>
      <w:r w:rsidR="002F07ED">
        <w:t xml:space="preserve">the </w:t>
      </w:r>
      <w:r w:rsidR="00083609">
        <w:t>CSAT</w:t>
      </w:r>
      <w:r w:rsidR="002F07ED">
        <w:t xml:space="preserve"> system</w:t>
      </w:r>
      <w:r w:rsidR="00083609">
        <w:t xml:space="preserve"> </w:t>
      </w:r>
      <w:r w:rsidR="002A71A5">
        <w:t xml:space="preserve">to </w:t>
      </w:r>
      <w:r w:rsidR="00083609" w:rsidRPr="00102513">
        <w:t xml:space="preserve">enhance access controls </w:t>
      </w:r>
      <w:r w:rsidR="00083609">
        <w:t>and</w:t>
      </w:r>
      <w:r w:rsidR="00083609" w:rsidRPr="00102513">
        <w:t xml:space="preserve"> reduce the paperwork burden </w:t>
      </w:r>
      <w:r w:rsidR="002A71A5">
        <w:t xml:space="preserve">for </w:t>
      </w:r>
      <w:r w:rsidR="00083609" w:rsidRPr="00102513">
        <w:t>chemical facilities.</w:t>
      </w:r>
      <w:r w:rsidR="002A71A5">
        <w:t xml:space="preserve">  The </w:t>
      </w:r>
      <w:r w:rsidR="003C7E1B">
        <w:t xml:space="preserve">Department collects information covered by the Compliance Assistance instrument from chemical facilities through email requests.    </w:t>
      </w:r>
    </w:p>
    <w:p w14:paraId="01677CB0" w14:textId="77777777" w:rsidR="005A6F4E" w:rsidRDefault="005A6F4E" w:rsidP="00E57C22">
      <w:pPr>
        <w:rPr>
          <w:b/>
        </w:rPr>
      </w:pPr>
    </w:p>
    <w:p w14:paraId="7A2724E1" w14:textId="77777777" w:rsidR="00E57C22" w:rsidRDefault="00E57C22" w:rsidP="00E57C22">
      <w:pPr>
        <w:rPr>
          <w:b/>
        </w:rPr>
      </w:pPr>
      <w:r w:rsidRPr="000068C3">
        <w:rPr>
          <w:b/>
        </w:rPr>
        <w:t>Table 1: M</w:t>
      </w:r>
      <w:r>
        <w:rPr>
          <w:b/>
        </w:rPr>
        <w:t>edium</w:t>
      </w:r>
      <w:r w:rsidRPr="000068C3">
        <w:rPr>
          <w:b/>
        </w:rPr>
        <w:t xml:space="preserve"> Information Is Collected In</w:t>
      </w:r>
    </w:p>
    <w:p w14:paraId="4ABECDBD" w14:textId="77777777" w:rsidR="00E57C22" w:rsidRPr="008C7D5D" w:rsidRDefault="00E57C22" w:rsidP="00E57C22">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80"/>
        <w:gridCol w:w="4680"/>
      </w:tblGrid>
      <w:tr w:rsidR="003D7C4A" w:rsidRPr="002D3C55" w14:paraId="52A8213A" w14:textId="77777777" w:rsidTr="007F7C15">
        <w:trPr>
          <w:cantSplit/>
        </w:trPr>
        <w:tc>
          <w:tcPr>
            <w:tcW w:w="3780" w:type="dxa"/>
            <w:vAlign w:val="center"/>
          </w:tcPr>
          <w:p w14:paraId="14E7B6BC" w14:textId="77777777" w:rsidR="003D7C4A" w:rsidRPr="002D3C55" w:rsidRDefault="003D7C4A" w:rsidP="00DE1B76">
            <w:pPr>
              <w:rPr>
                <w:b/>
              </w:rPr>
            </w:pPr>
            <w:r w:rsidRPr="002D3C55">
              <w:rPr>
                <w:b/>
              </w:rPr>
              <w:t>Name of Instrument</w:t>
            </w:r>
          </w:p>
        </w:tc>
        <w:tc>
          <w:tcPr>
            <w:tcW w:w="4680" w:type="dxa"/>
            <w:vAlign w:val="center"/>
          </w:tcPr>
          <w:p w14:paraId="185A136E" w14:textId="77777777" w:rsidR="003D7C4A" w:rsidRPr="002D3C55" w:rsidRDefault="003D7C4A" w:rsidP="00DE1B76">
            <w:pPr>
              <w:rPr>
                <w:b/>
                <w:highlight w:val="yellow"/>
              </w:rPr>
            </w:pPr>
            <w:r w:rsidRPr="002D3C55">
              <w:rPr>
                <w:b/>
              </w:rPr>
              <w:t>Medium Collection</w:t>
            </w:r>
          </w:p>
        </w:tc>
      </w:tr>
      <w:tr w:rsidR="00E211FB" w:rsidRPr="002D3C55" w14:paraId="5E3A48FC" w14:textId="77777777" w:rsidTr="007F7C15">
        <w:trPr>
          <w:cantSplit/>
        </w:trPr>
        <w:tc>
          <w:tcPr>
            <w:tcW w:w="3780" w:type="dxa"/>
            <w:vAlign w:val="center"/>
          </w:tcPr>
          <w:p w14:paraId="170F85BD" w14:textId="77777777" w:rsidR="00E211FB" w:rsidRPr="00E211FB" w:rsidRDefault="00E211FB" w:rsidP="00DE1B76">
            <w:r w:rsidRPr="00E211FB">
              <w:t>Request for Redetermination</w:t>
            </w:r>
          </w:p>
        </w:tc>
        <w:tc>
          <w:tcPr>
            <w:tcW w:w="4680" w:type="dxa"/>
            <w:vAlign w:val="center"/>
          </w:tcPr>
          <w:p w14:paraId="498A6B11" w14:textId="77777777" w:rsidR="00E211FB" w:rsidRPr="002D3C55" w:rsidRDefault="00E211FB" w:rsidP="00E06D34">
            <w:pPr>
              <w:rPr>
                <w:b/>
              </w:rPr>
            </w:pPr>
            <w:r w:rsidRPr="002D3C55">
              <w:rPr>
                <w:sz w:val="22"/>
                <w:szCs w:val="22"/>
              </w:rPr>
              <w:t xml:space="preserve">The information is </w:t>
            </w:r>
            <w:r>
              <w:rPr>
                <w:sz w:val="22"/>
                <w:szCs w:val="22"/>
              </w:rPr>
              <w:t>primarily</w:t>
            </w:r>
            <w:r w:rsidRPr="002D3C55">
              <w:rPr>
                <w:sz w:val="22"/>
                <w:szCs w:val="22"/>
              </w:rPr>
              <w:t xml:space="preserve"> collected electronically by this instrument.  </w:t>
            </w:r>
          </w:p>
        </w:tc>
      </w:tr>
      <w:tr w:rsidR="003D7C4A" w:rsidRPr="002D3C55" w14:paraId="74544F92" w14:textId="77777777" w:rsidTr="007F7C15">
        <w:trPr>
          <w:cantSplit/>
        </w:trPr>
        <w:tc>
          <w:tcPr>
            <w:tcW w:w="3780" w:type="dxa"/>
            <w:tcBorders>
              <w:top w:val="single" w:sz="4" w:space="0" w:color="auto"/>
              <w:bottom w:val="single" w:sz="4" w:space="0" w:color="auto"/>
              <w:right w:val="single" w:sz="4" w:space="0" w:color="auto"/>
            </w:tcBorders>
            <w:vAlign w:val="center"/>
          </w:tcPr>
          <w:p w14:paraId="7D0ED544" w14:textId="77777777" w:rsidR="003D7C4A" w:rsidRPr="002D3C55" w:rsidRDefault="003D7C4A" w:rsidP="00DE1B76">
            <w:pPr>
              <w:rPr>
                <w:sz w:val="26"/>
                <w:szCs w:val="26"/>
              </w:rPr>
            </w:pPr>
            <w:r>
              <w:t>Request for an Extension</w:t>
            </w:r>
          </w:p>
        </w:tc>
        <w:tc>
          <w:tcPr>
            <w:tcW w:w="4680" w:type="dxa"/>
            <w:tcBorders>
              <w:top w:val="single" w:sz="4" w:space="0" w:color="auto"/>
              <w:left w:val="single" w:sz="4" w:space="0" w:color="auto"/>
              <w:bottom w:val="single" w:sz="4" w:space="0" w:color="auto"/>
              <w:right w:val="single" w:sz="4" w:space="0" w:color="auto"/>
            </w:tcBorders>
            <w:vAlign w:val="center"/>
          </w:tcPr>
          <w:p w14:paraId="3D189D38" w14:textId="77777777" w:rsidR="003D7C4A" w:rsidRPr="002D3C55" w:rsidRDefault="003D7C4A" w:rsidP="00DE1B76">
            <w:pPr>
              <w:rPr>
                <w:sz w:val="22"/>
                <w:szCs w:val="22"/>
                <w:highlight w:val="yellow"/>
              </w:rPr>
            </w:pPr>
            <w:r w:rsidRPr="002D3C55">
              <w:rPr>
                <w:sz w:val="22"/>
                <w:szCs w:val="22"/>
              </w:rPr>
              <w:t xml:space="preserve">The information is </w:t>
            </w:r>
            <w:r>
              <w:rPr>
                <w:sz w:val="22"/>
                <w:szCs w:val="22"/>
              </w:rPr>
              <w:t>primarily</w:t>
            </w:r>
            <w:r w:rsidRPr="002D3C55">
              <w:rPr>
                <w:sz w:val="22"/>
                <w:szCs w:val="22"/>
              </w:rPr>
              <w:t xml:space="preserve"> collected electronically by this instrument.  </w:t>
            </w:r>
          </w:p>
        </w:tc>
      </w:tr>
      <w:tr w:rsidR="003D7C4A" w:rsidRPr="002D3C55" w14:paraId="44952DF8" w14:textId="77777777" w:rsidTr="007F7C15">
        <w:trPr>
          <w:cantSplit/>
        </w:trPr>
        <w:tc>
          <w:tcPr>
            <w:tcW w:w="3780" w:type="dxa"/>
            <w:tcBorders>
              <w:top w:val="single" w:sz="4" w:space="0" w:color="auto"/>
              <w:bottom w:val="single" w:sz="4" w:space="0" w:color="auto"/>
              <w:right w:val="single" w:sz="4" w:space="0" w:color="auto"/>
            </w:tcBorders>
            <w:vAlign w:val="center"/>
          </w:tcPr>
          <w:p w14:paraId="617D9943" w14:textId="77777777" w:rsidR="003D7C4A" w:rsidRPr="002D3C55" w:rsidRDefault="003D7C4A" w:rsidP="00DE1B76">
            <w:pPr>
              <w:rPr>
                <w:sz w:val="26"/>
                <w:szCs w:val="26"/>
              </w:rPr>
            </w:pPr>
            <w:r w:rsidRPr="00B803AF">
              <w:t>Top-Screen</w:t>
            </w:r>
            <w:r w:rsidR="00AB72B8">
              <w:t xml:space="preserve"> Update</w:t>
            </w:r>
          </w:p>
        </w:tc>
        <w:tc>
          <w:tcPr>
            <w:tcW w:w="4680" w:type="dxa"/>
            <w:tcBorders>
              <w:top w:val="single" w:sz="4" w:space="0" w:color="auto"/>
              <w:left w:val="single" w:sz="4" w:space="0" w:color="auto"/>
              <w:bottom w:val="single" w:sz="4" w:space="0" w:color="auto"/>
              <w:right w:val="single" w:sz="4" w:space="0" w:color="auto"/>
            </w:tcBorders>
            <w:vAlign w:val="center"/>
          </w:tcPr>
          <w:p w14:paraId="2A6D77AF" w14:textId="77777777" w:rsidR="003D7C4A" w:rsidRPr="002D3C55" w:rsidRDefault="003D7C4A" w:rsidP="00DE1B76">
            <w:pPr>
              <w:rPr>
                <w:sz w:val="22"/>
                <w:szCs w:val="22"/>
                <w:highlight w:val="yellow"/>
              </w:rPr>
            </w:pPr>
            <w:r w:rsidRPr="002D3C55">
              <w:rPr>
                <w:sz w:val="22"/>
                <w:szCs w:val="22"/>
              </w:rPr>
              <w:t xml:space="preserve">The information is </w:t>
            </w:r>
            <w:r>
              <w:rPr>
                <w:sz w:val="22"/>
                <w:szCs w:val="22"/>
              </w:rPr>
              <w:t>primarily</w:t>
            </w:r>
            <w:r w:rsidRPr="002D3C55">
              <w:rPr>
                <w:sz w:val="22"/>
                <w:szCs w:val="22"/>
              </w:rPr>
              <w:t xml:space="preserve"> collected electronically by this instrument.  </w:t>
            </w:r>
          </w:p>
        </w:tc>
      </w:tr>
      <w:tr w:rsidR="003D7C4A" w:rsidRPr="002D3C55" w14:paraId="57A4EBDF" w14:textId="77777777" w:rsidTr="007F7C15">
        <w:trPr>
          <w:cantSplit/>
        </w:trPr>
        <w:tc>
          <w:tcPr>
            <w:tcW w:w="3780" w:type="dxa"/>
            <w:tcBorders>
              <w:top w:val="single" w:sz="4" w:space="0" w:color="auto"/>
              <w:bottom w:val="single" w:sz="4" w:space="0" w:color="auto"/>
              <w:right w:val="single" w:sz="4" w:space="0" w:color="auto"/>
            </w:tcBorders>
            <w:vAlign w:val="center"/>
          </w:tcPr>
          <w:p w14:paraId="2A11622E" w14:textId="77777777" w:rsidR="003D7C4A" w:rsidRPr="002D3C55" w:rsidRDefault="003D7C4A" w:rsidP="00AB72B8">
            <w:pPr>
              <w:rPr>
                <w:sz w:val="26"/>
                <w:szCs w:val="26"/>
              </w:rPr>
            </w:pPr>
            <w:r>
              <w:t xml:space="preserve">Compliance </w:t>
            </w:r>
            <w:r w:rsidR="008463E4">
              <w:t xml:space="preserve">Assistance </w:t>
            </w:r>
          </w:p>
        </w:tc>
        <w:tc>
          <w:tcPr>
            <w:tcW w:w="4680" w:type="dxa"/>
            <w:tcBorders>
              <w:top w:val="single" w:sz="4" w:space="0" w:color="auto"/>
              <w:left w:val="single" w:sz="4" w:space="0" w:color="auto"/>
              <w:bottom w:val="single" w:sz="4" w:space="0" w:color="auto"/>
              <w:right w:val="single" w:sz="4" w:space="0" w:color="auto"/>
            </w:tcBorders>
            <w:vAlign w:val="center"/>
          </w:tcPr>
          <w:p w14:paraId="77F04571" w14:textId="77777777" w:rsidR="003D7C4A" w:rsidRPr="002D3C55" w:rsidRDefault="003D7C4A" w:rsidP="00DE1B76">
            <w:pPr>
              <w:rPr>
                <w:sz w:val="22"/>
                <w:szCs w:val="22"/>
                <w:highlight w:val="yellow"/>
              </w:rPr>
            </w:pPr>
            <w:r w:rsidRPr="002D3C55">
              <w:rPr>
                <w:sz w:val="22"/>
                <w:szCs w:val="22"/>
              </w:rPr>
              <w:t xml:space="preserve">The information is </w:t>
            </w:r>
            <w:r>
              <w:rPr>
                <w:sz w:val="22"/>
                <w:szCs w:val="22"/>
              </w:rPr>
              <w:t>primarily</w:t>
            </w:r>
            <w:r w:rsidRPr="002D3C55">
              <w:rPr>
                <w:sz w:val="22"/>
                <w:szCs w:val="22"/>
              </w:rPr>
              <w:t xml:space="preserve"> collected electronically by this instrument.  </w:t>
            </w:r>
          </w:p>
        </w:tc>
      </w:tr>
      <w:tr w:rsidR="003D7C4A" w:rsidRPr="002D3C55" w14:paraId="235D37C3" w14:textId="77777777" w:rsidTr="007F7C15">
        <w:trPr>
          <w:cantSplit/>
        </w:trPr>
        <w:tc>
          <w:tcPr>
            <w:tcW w:w="3780" w:type="dxa"/>
            <w:tcBorders>
              <w:top w:val="single" w:sz="4" w:space="0" w:color="auto"/>
              <w:bottom w:val="single" w:sz="4" w:space="0" w:color="auto"/>
              <w:right w:val="single" w:sz="4" w:space="0" w:color="auto"/>
            </w:tcBorders>
            <w:vAlign w:val="center"/>
          </w:tcPr>
          <w:p w14:paraId="6CF9B289" w14:textId="77777777" w:rsidR="003D7C4A" w:rsidDel="00FB38FE" w:rsidRDefault="003D7C4A" w:rsidP="00DE1B76">
            <w:r>
              <w:t>Declaration of Reporting Status</w:t>
            </w:r>
          </w:p>
        </w:tc>
        <w:tc>
          <w:tcPr>
            <w:tcW w:w="4680" w:type="dxa"/>
            <w:tcBorders>
              <w:top w:val="single" w:sz="4" w:space="0" w:color="auto"/>
              <w:left w:val="single" w:sz="4" w:space="0" w:color="auto"/>
              <w:bottom w:val="single" w:sz="4" w:space="0" w:color="auto"/>
              <w:right w:val="single" w:sz="4" w:space="0" w:color="auto"/>
            </w:tcBorders>
            <w:vAlign w:val="center"/>
          </w:tcPr>
          <w:p w14:paraId="42431A85" w14:textId="77777777" w:rsidR="003D7C4A" w:rsidRPr="002D3C55" w:rsidRDefault="003D7C4A" w:rsidP="00DE1B76">
            <w:pPr>
              <w:rPr>
                <w:sz w:val="22"/>
                <w:szCs w:val="22"/>
              </w:rPr>
            </w:pPr>
            <w:r w:rsidRPr="000F4DF5">
              <w:rPr>
                <w:sz w:val="22"/>
                <w:szCs w:val="22"/>
              </w:rPr>
              <w:t xml:space="preserve">The information is primarily collected electronically by this instrument.  </w:t>
            </w:r>
          </w:p>
        </w:tc>
      </w:tr>
    </w:tbl>
    <w:p w14:paraId="4A30E657" w14:textId="77777777" w:rsidR="00AA3F82" w:rsidRPr="00596A43" w:rsidRDefault="00AA3F82" w:rsidP="000C4293">
      <w:pPr>
        <w:tabs>
          <w:tab w:val="left" w:pos="-720"/>
        </w:tabs>
        <w:suppressAutoHyphens/>
        <w:jc w:val="both"/>
      </w:pPr>
    </w:p>
    <w:p w14:paraId="510181C7"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14:paraId="41DC97E5"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632624C8" w14:textId="77777777" w:rsidR="00113DBF" w:rsidRPr="007F4F52" w:rsidRDefault="009C2FFD" w:rsidP="00113DBF">
      <w:r w:rsidRPr="005B1B53">
        <w:t>CFATS is a unique program, therefore</w:t>
      </w:r>
      <w:r>
        <w:t>,</w:t>
      </w:r>
      <w:r w:rsidRPr="005B1B53">
        <w:t xml:space="preserve"> </w:t>
      </w:r>
      <w:r w:rsidR="005B1B53" w:rsidRPr="005B1B53">
        <w:t xml:space="preserve">the </w:t>
      </w:r>
      <w:r w:rsidR="005B1B53" w:rsidRPr="00700E3E">
        <w:t>data collection instruments associated with it do not duplicate any current collection activities.</w:t>
      </w:r>
      <w:r w:rsidR="00083609" w:rsidRPr="00700E3E">
        <w:t xml:space="preserve"> Although there are state, local, and other Federal regulations relating to chemical safety</w:t>
      </w:r>
      <w:r w:rsidR="00247204" w:rsidRPr="00700E3E">
        <w:t xml:space="preserve"> such as the </w:t>
      </w:r>
      <w:r w:rsidR="00362A5D" w:rsidRPr="00700E3E">
        <w:t xml:space="preserve">Environmental Protection Agency (EPA) </w:t>
      </w:r>
      <w:r w:rsidR="00362A5D" w:rsidRPr="005145C8">
        <w:t>Risk Management Plan (RMP)</w:t>
      </w:r>
      <w:r w:rsidR="00247204" w:rsidRPr="005145C8">
        <w:t xml:space="preserve"> program</w:t>
      </w:r>
      <w:r w:rsidR="00083609" w:rsidRPr="005145C8">
        <w:t xml:space="preserve">, those regimes do not collect the core security metrics that enable comparative risk analysis across the chemical sector. </w:t>
      </w:r>
      <w:r w:rsidR="00113DBF" w:rsidRPr="007F4F52">
        <w:t>Section 112(r), of the Clean Air Act Amendments, requires EPA to publish regulations and guidance for chemical accident prevention at facilities that use certain hazardous substances. These regulations and guidance are contained in the Risk Management Plan (RMP) rule.  The RMP rule requires facilities that use extremely hazardous substances to develop a Risk Management Plan which:</w:t>
      </w:r>
    </w:p>
    <w:p w14:paraId="495DF422" w14:textId="77777777" w:rsidR="00113DBF" w:rsidRPr="007F4F52" w:rsidRDefault="00113DBF" w:rsidP="00113DBF"/>
    <w:p w14:paraId="346B9046" w14:textId="77777777" w:rsidR="00113DBF" w:rsidRPr="007F4F52" w:rsidRDefault="00113DBF" w:rsidP="00113DBF">
      <w:pPr>
        <w:pStyle w:val="ListParagraph"/>
        <w:numPr>
          <w:ilvl w:val="0"/>
          <w:numId w:val="49"/>
        </w:numPr>
        <w:rPr>
          <w:rFonts w:ascii="Times New Roman" w:hAnsi="Times New Roman"/>
          <w:szCs w:val="24"/>
        </w:rPr>
      </w:pPr>
      <w:r w:rsidRPr="007F4F52">
        <w:rPr>
          <w:rFonts w:ascii="Times New Roman" w:hAnsi="Times New Roman"/>
          <w:szCs w:val="24"/>
        </w:rPr>
        <w:t>Identifies the potential effects of a chemical accident,</w:t>
      </w:r>
    </w:p>
    <w:p w14:paraId="1D8A91B1" w14:textId="77777777" w:rsidR="00113DBF" w:rsidRPr="007F4F52" w:rsidRDefault="00113DBF" w:rsidP="00113DBF">
      <w:pPr>
        <w:pStyle w:val="ListParagraph"/>
        <w:numPr>
          <w:ilvl w:val="0"/>
          <w:numId w:val="49"/>
        </w:numPr>
        <w:rPr>
          <w:rFonts w:ascii="Times New Roman" w:hAnsi="Times New Roman"/>
          <w:szCs w:val="24"/>
        </w:rPr>
      </w:pPr>
      <w:r w:rsidRPr="007F4F52">
        <w:rPr>
          <w:rFonts w:ascii="Times New Roman" w:hAnsi="Times New Roman"/>
          <w:szCs w:val="24"/>
        </w:rPr>
        <w:t>Identifies steps the facility is taking to prevent an accident, and</w:t>
      </w:r>
    </w:p>
    <w:p w14:paraId="6803F8FB" w14:textId="77777777" w:rsidR="00113DBF" w:rsidRPr="007F4F52" w:rsidRDefault="00113DBF" w:rsidP="00113DBF">
      <w:pPr>
        <w:pStyle w:val="ListParagraph"/>
        <w:numPr>
          <w:ilvl w:val="0"/>
          <w:numId w:val="49"/>
        </w:numPr>
        <w:rPr>
          <w:rFonts w:ascii="Times New Roman" w:hAnsi="Times New Roman"/>
          <w:szCs w:val="24"/>
        </w:rPr>
      </w:pPr>
      <w:r w:rsidRPr="007F4F52">
        <w:rPr>
          <w:rFonts w:ascii="Times New Roman" w:hAnsi="Times New Roman"/>
          <w:szCs w:val="24"/>
        </w:rPr>
        <w:t xml:space="preserve">Spells out emergency response procedures should an accident occur. </w:t>
      </w:r>
    </w:p>
    <w:p w14:paraId="7B73B289" w14:textId="77777777" w:rsidR="00113DBF" w:rsidRPr="007F4F52" w:rsidRDefault="00113DBF" w:rsidP="00113DBF"/>
    <w:p w14:paraId="10BEE203" w14:textId="77777777" w:rsidR="001F0B4D" w:rsidRDefault="001F0B4D" w:rsidP="001F0B4D">
      <w:r>
        <w:t>On Aug 1, 2013, the Department, EPA, and other agencies were directed, by Executive Order (EO) 13650 “Improving Chemical Facility Safety and Security,” among other things to develop a coordinated, flexible, data-sharing process. The EO Working Group researched on the potential to improve information collection and sharing between agencies, to produce a proposal for a coordinated, flexible data-sharing process which can be used to track data submitted to agencies for federally regulated chemical facilities.  In addition, the working group was tasked to identify and recommend possible changes to streamline and otherwise improve data collection to meet the needs of the public and Federal, State, local, and tribal agencies</w:t>
      </w:r>
      <w:r>
        <w:rPr>
          <w:rStyle w:val="FootnoteReference"/>
        </w:rPr>
        <w:footnoteReference w:id="2"/>
      </w:r>
      <w:r>
        <w:t xml:space="preserve">. </w:t>
      </w:r>
    </w:p>
    <w:p w14:paraId="05F15A6B" w14:textId="77777777" w:rsidR="001F0B4D" w:rsidRDefault="001F0B4D" w:rsidP="001F0B4D"/>
    <w:p w14:paraId="17267FBC" w14:textId="77777777" w:rsidR="001F0B4D" w:rsidRDefault="001F0B4D" w:rsidP="001F0B4D">
      <w:r>
        <w:t>The EO working group studied the possibilities of consolidating and sharing chemical facility data between the agencies. The working group determined that the different formats and management of these data sets didn’t fully support interagency compliance analysis. The agencies had incorporated disparate technologies and data collection requirements independently of one another (often due to differing statutory requirements). To date, there is no chemical security and safety data clearinghouse that contains all of the data points germane to all Federal agency regulations. The issues above are some of the constraints to merging the collections. To move towards a data clearing house, the working group identified that appropriate funding must be allocated to implement the working group’s recommendations</w:t>
      </w:r>
      <w:r>
        <w:rPr>
          <w:rStyle w:val="FootnoteReference"/>
        </w:rPr>
        <w:footnoteReference w:id="3"/>
      </w:r>
      <w:r>
        <w:t xml:space="preserve">. </w:t>
      </w:r>
    </w:p>
    <w:p w14:paraId="3AFF0000" w14:textId="77777777" w:rsidR="001F0B4D" w:rsidRDefault="001F0B4D" w:rsidP="001F0B4D"/>
    <w:p w14:paraId="63AFDC62" w14:textId="77777777" w:rsidR="001F0B4D" w:rsidRPr="00F36814" w:rsidRDefault="001F0B4D" w:rsidP="001F0B4D">
      <w:r>
        <w:t>Finally, a</w:t>
      </w:r>
      <w:r w:rsidRPr="00C739E7">
        <w:t xml:space="preserve"> report to the President, published </w:t>
      </w:r>
      <w:r>
        <w:t xml:space="preserve">in </w:t>
      </w:r>
      <w:r w:rsidRPr="00C739E7">
        <w:t xml:space="preserve">May 2014, summarizes the </w:t>
      </w:r>
      <w:r>
        <w:t>EO working group's progress;</w:t>
      </w:r>
      <w:r w:rsidRPr="00C739E7">
        <w:t xml:space="preserve"> </w:t>
      </w:r>
      <w:r>
        <w:t>it focused</w:t>
      </w:r>
      <w:r w:rsidRPr="00C739E7">
        <w:t xml:space="preserve"> on actions to date, findings and lessons learned, challenges, and short and long-term priority actions. The report, entitled </w:t>
      </w:r>
      <w:r>
        <w:t>“</w:t>
      </w:r>
      <w:r w:rsidRPr="00C739E7">
        <w:t>Actions to Improve Chemical Facility Safety and Security – A Shared Commitment,</w:t>
      </w:r>
      <w:r>
        <w:t>”</w:t>
      </w:r>
      <w:r w:rsidRPr="00C739E7">
        <w:t xml:space="preserve"> includes an aggressive Action Plan </w:t>
      </w:r>
      <w:r>
        <w:t xml:space="preserve">which is </w:t>
      </w:r>
      <w:r w:rsidRPr="00C739E7">
        <w:t xml:space="preserve">focused on changing the national landscape </w:t>
      </w:r>
      <w:r>
        <w:t>for</w:t>
      </w:r>
      <w:r w:rsidRPr="00C739E7">
        <w:t xml:space="preserve"> chemical facility safety an</w:t>
      </w:r>
      <w:r>
        <w:t>d security.  Periodically, the EO w</w:t>
      </w:r>
      <w:r w:rsidRPr="00C739E7">
        <w:t xml:space="preserve">orking </w:t>
      </w:r>
      <w:r>
        <w:t>g</w:t>
      </w:r>
      <w:r w:rsidRPr="00C739E7">
        <w:t xml:space="preserve">roup issues </w:t>
      </w:r>
      <w:r>
        <w:t>‘</w:t>
      </w:r>
      <w:r w:rsidRPr="00C739E7">
        <w:t>Fact Sheets</w:t>
      </w:r>
      <w:r>
        <w:t>’</w:t>
      </w:r>
      <w:r w:rsidRPr="00C739E7">
        <w:t xml:space="preserve"> to update the group</w:t>
      </w:r>
      <w:r>
        <w:t>’</w:t>
      </w:r>
      <w:r w:rsidRPr="00C739E7">
        <w:t>s progress</w:t>
      </w:r>
      <w:r>
        <w:rPr>
          <w:rStyle w:val="FootnoteReference"/>
        </w:rPr>
        <w:footnoteReference w:id="4"/>
      </w:r>
      <w:r w:rsidRPr="00C739E7">
        <w:t>.</w:t>
      </w:r>
    </w:p>
    <w:p w14:paraId="734A22A4" w14:textId="77777777" w:rsidR="001F0B4D" w:rsidRDefault="001F0B4D" w:rsidP="00113DBF"/>
    <w:p w14:paraId="46BBF58C" w14:textId="78A1AA23" w:rsidR="00EB5E96" w:rsidRDefault="00345F46" w:rsidP="00113DBF">
      <w:r>
        <w:t>In conclusion</w:t>
      </w:r>
      <w:r w:rsidR="00113DBF" w:rsidRPr="007F4F52">
        <w:t xml:space="preserve">, the “CFATS Act of 2014” authorized the Department to regulate "High Risk" chemical facilities through the development and implementation of security plans to guard against the possibility of terrorism.   DHS implements the CFATS regulations, which regulate security at high-risk facilities possessing more than certain amounts of one or more chemicals of interest. </w:t>
      </w:r>
      <w:r w:rsidR="00083609" w:rsidRPr="005145C8">
        <w:t xml:space="preserve"> </w:t>
      </w:r>
      <w:r w:rsidR="00083609" w:rsidRPr="00700E3E">
        <w:t xml:space="preserve">Comparative risk analysis is essential to implementing the </w:t>
      </w:r>
      <w:r w:rsidR="00E30D9A">
        <w:t xml:space="preserve">CFATS </w:t>
      </w:r>
      <w:r w:rsidR="00083609" w:rsidRPr="00700E3E">
        <w:t>risk based security regulation under 6 CFR Part 27</w:t>
      </w:r>
      <w:r w:rsidR="00083609" w:rsidRPr="005145C8">
        <w:t>.</w:t>
      </w:r>
    </w:p>
    <w:p w14:paraId="31878EA4" w14:textId="77777777" w:rsidR="008913BA" w:rsidRDefault="008913BA" w:rsidP="00113DBF"/>
    <w:p w14:paraId="33C7CF08" w14:textId="77777777" w:rsidR="00AA3F82" w:rsidRPr="00596A43" w:rsidRDefault="00AA3F82" w:rsidP="000C4293">
      <w:pPr>
        <w:tabs>
          <w:tab w:val="left" w:pos="-720"/>
        </w:tabs>
        <w:suppressAutoHyphens/>
        <w:jc w:val="both"/>
      </w:pPr>
    </w:p>
    <w:p w14:paraId="135E3136"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14:paraId="1F92AD26" w14:textId="77777777" w:rsidR="00EB5E96" w:rsidRPr="00596A43" w:rsidRDefault="00EB5E96" w:rsidP="000C4293">
      <w:pPr>
        <w:tabs>
          <w:tab w:val="left" w:pos="-720"/>
        </w:tabs>
        <w:suppressAutoHyphens/>
        <w:jc w:val="both"/>
        <w:rPr>
          <w:spacing w:val="-3"/>
        </w:rPr>
      </w:pPr>
    </w:p>
    <w:p w14:paraId="59095E0C" w14:textId="77777777" w:rsidR="003C4DD7" w:rsidRDefault="00E57C22" w:rsidP="00E57C22">
      <w:r w:rsidRPr="002E0DA6">
        <w:t xml:space="preserve">No unique methods will be used to </w:t>
      </w:r>
      <w:r w:rsidRPr="00E5144F">
        <w:t>minimize</w:t>
      </w:r>
      <w:r w:rsidRPr="002E0DA6">
        <w:t xml:space="preserve"> the burden to small businesses.</w:t>
      </w:r>
    </w:p>
    <w:p w14:paraId="5769EAFE" w14:textId="77777777" w:rsidR="00F62C73" w:rsidRDefault="00F62C73" w:rsidP="00E57C22"/>
    <w:p w14:paraId="1568FD0D" w14:textId="77777777" w:rsidR="00EB5E96" w:rsidRPr="00085829" w:rsidRDefault="00EB5E96" w:rsidP="00085829">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00460234" w:rsidRPr="00596A43">
        <w:t>DHS</w:t>
      </w:r>
      <w:r w:rsidRPr="00596A43">
        <w:t xml:space="preserve"> program or policy activities if the collection of information is not conducted, or is conducted less frequently, as well as any technical or legal obstacles to reducing burden.</w:t>
      </w:r>
    </w:p>
    <w:p w14:paraId="77C088FA" w14:textId="77777777" w:rsidR="00E57C22" w:rsidRDefault="00E57C22" w:rsidP="00E57C22"/>
    <w:p w14:paraId="3053D3EF" w14:textId="77777777" w:rsidR="00AA3F82" w:rsidRDefault="00943AFF" w:rsidP="000C4293">
      <w:pPr>
        <w:tabs>
          <w:tab w:val="left" w:pos="-720"/>
        </w:tabs>
        <w:suppressAutoHyphens/>
        <w:jc w:val="both"/>
        <w:rPr>
          <w:spacing w:val="-3"/>
        </w:rPr>
      </w:pPr>
      <w:r w:rsidRPr="00943AFF">
        <w:rPr>
          <w:spacing w:val="-3"/>
        </w:rPr>
        <w:t xml:space="preserve">All of the instruments in this collection are </w:t>
      </w:r>
      <w:r w:rsidR="00F15109">
        <w:rPr>
          <w:spacing w:val="-3"/>
        </w:rPr>
        <w:t xml:space="preserve">used by chemical facilities of interest and covered chemical facilities to enable compliance with requirements under </w:t>
      </w:r>
      <w:r w:rsidRPr="00943AFF">
        <w:rPr>
          <w:spacing w:val="-3"/>
        </w:rPr>
        <w:t xml:space="preserve">the </w:t>
      </w:r>
      <w:r w:rsidR="008E2A3C">
        <w:rPr>
          <w:spacing w:val="-3"/>
        </w:rPr>
        <w:t xml:space="preserve">CFATS </w:t>
      </w:r>
      <w:r w:rsidRPr="00943AFF">
        <w:rPr>
          <w:spacing w:val="-3"/>
        </w:rPr>
        <w:t>regulation</w:t>
      </w:r>
      <w:r w:rsidR="00220A45">
        <w:rPr>
          <w:spacing w:val="-3"/>
        </w:rPr>
        <w:t>.</w:t>
      </w:r>
      <w:r w:rsidRPr="00943AFF">
        <w:rPr>
          <w:spacing w:val="-3"/>
        </w:rPr>
        <w:t xml:space="preserve">  </w:t>
      </w:r>
      <w:r w:rsidR="007D1BF4">
        <w:rPr>
          <w:spacing w:val="-3"/>
        </w:rPr>
        <w:t xml:space="preserve">Failure to conduct this collection would </w:t>
      </w:r>
      <w:r w:rsidRPr="00943AFF">
        <w:rPr>
          <w:spacing w:val="-3"/>
        </w:rPr>
        <w:t>hinder a facilit</w:t>
      </w:r>
      <w:r w:rsidR="007D1BF4">
        <w:rPr>
          <w:spacing w:val="-3"/>
        </w:rPr>
        <w:t>ies’</w:t>
      </w:r>
      <w:r w:rsidRPr="00943AFF">
        <w:rPr>
          <w:spacing w:val="-3"/>
        </w:rPr>
        <w:t xml:space="preserve"> ability to comply with the regulation</w:t>
      </w:r>
      <w:r w:rsidR="007D1BF4">
        <w:rPr>
          <w:spacing w:val="-3"/>
        </w:rPr>
        <w:t xml:space="preserve"> and the Department’s ability to enforce compliance with the regulation</w:t>
      </w:r>
      <w:r w:rsidRPr="00943AFF">
        <w:rPr>
          <w:spacing w:val="-3"/>
        </w:rPr>
        <w:t xml:space="preserve">.  </w:t>
      </w:r>
    </w:p>
    <w:p w14:paraId="1AF64E12" w14:textId="77777777" w:rsidR="00943AFF" w:rsidRPr="00596A43" w:rsidRDefault="00943AFF" w:rsidP="000C4293">
      <w:pPr>
        <w:tabs>
          <w:tab w:val="left" w:pos="-720"/>
        </w:tabs>
        <w:suppressAutoHyphens/>
        <w:jc w:val="both"/>
        <w:rPr>
          <w:spacing w:val="-3"/>
        </w:rPr>
      </w:pPr>
    </w:p>
    <w:p w14:paraId="761DBEA2"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14:paraId="6E275299" w14:textId="77777777" w:rsidR="00EB5E96" w:rsidRPr="00596A43" w:rsidRDefault="00EB5E96" w:rsidP="000C4293">
      <w:pPr>
        <w:shd w:val="pct25" w:color="auto" w:fill="FFFFFF"/>
        <w:tabs>
          <w:tab w:val="left" w:pos="-720"/>
        </w:tabs>
        <w:suppressAutoHyphens/>
        <w:jc w:val="both"/>
      </w:pPr>
    </w:p>
    <w:p w14:paraId="75989A42"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(a) Requiring respondents to report information to the agency more often than quarterly.</w:t>
      </w:r>
    </w:p>
    <w:p w14:paraId="7A62DEB8" w14:textId="77777777" w:rsidR="00EB5E96" w:rsidRPr="00596A43" w:rsidRDefault="00EB5E96" w:rsidP="00AE41B7">
      <w:p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(b) Requiring respondents to prepare a written response to a collection of information in fewer than 30 days after receipt of it.</w:t>
      </w:r>
    </w:p>
    <w:p w14:paraId="3E0725B7"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(c) Requiring respondents to submit more than an original and two copies of any document.</w:t>
      </w:r>
    </w:p>
    <w:p w14:paraId="333EB479"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(d) Requiring respondents to retain records, other than health, medical, government contract, grant-in-aid, or tax records for more than three years.</w:t>
      </w:r>
    </w:p>
    <w:p w14:paraId="079E5B61"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(e) In connection with a statistical survey, that is not designed to produce valid and reliable results that can be generalized to the universe of study.</w:t>
      </w:r>
    </w:p>
    <w:p w14:paraId="61244E69"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00AE41B7" w:rsidRPr="00596A43">
        <w:t>(</w:t>
      </w:r>
      <w:r w:rsidRPr="00596A43">
        <w:t>f) Requiring the use of a statistical data classification that has not been reviewed and approved by OMB.</w:t>
      </w:r>
    </w:p>
    <w:p w14:paraId="48E0F87F"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79A9FE9E" w14:textId="77777777" w:rsidR="00EB5E96" w:rsidRPr="00596A43" w:rsidRDefault="00EB5E96" w:rsidP="00AE41B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14:paraId="0999F57A" w14:textId="77777777" w:rsidR="002B0649" w:rsidRPr="00596A43" w:rsidRDefault="00EB5E96" w:rsidP="000C4293">
      <w:pPr>
        <w:tabs>
          <w:tab w:val="left" w:pos="-720"/>
        </w:tabs>
        <w:suppressAutoHyphens/>
        <w:ind w:left="144"/>
        <w:jc w:val="both"/>
      </w:pPr>
      <w:r w:rsidRPr="00596A43">
        <w:fldChar w:fldCharType="begin"/>
      </w:r>
      <w:r w:rsidRPr="00596A43">
        <w:instrText>ADVANCE \R 0.95</w:instrText>
      </w:r>
      <w:r w:rsidRPr="00596A43">
        <w:fldChar w:fldCharType="end"/>
      </w:r>
    </w:p>
    <w:p w14:paraId="726B0962" w14:textId="77777777" w:rsidR="00943AFF" w:rsidRDefault="00943AFF" w:rsidP="00E57C22">
      <w:r w:rsidRPr="00943AFF">
        <w:t>There are no special circumstances that would cause the information collected to be conducted in a manner inconsistent with guidelines.</w:t>
      </w:r>
    </w:p>
    <w:p w14:paraId="0F53DA0F" w14:textId="77777777" w:rsidR="00AE41B7" w:rsidRPr="00596A43" w:rsidRDefault="00AE41B7" w:rsidP="000C4293">
      <w:pPr>
        <w:tabs>
          <w:tab w:val="left" w:pos="-720"/>
        </w:tabs>
        <w:suppressAutoHyphens/>
        <w:jc w:val="both"/>
      </w:pPr>
    </w:p>
    <w:p w14:paraId="1EE122D4" w14:textId="77777777" w:rsidR="00EB5E96" w:rsidRPr="00596A43" w:rsidRDefault="00EB5E96" w:rsidP="004C21F8">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14:paraId="3E01ED64" w14:textId="77777777" w:rsidR="00EB5E96" w:rsidRPr="00596A43" w:rsidRDefault="00EB5E96" w:rsidP="004C21F8">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AFCEF04" w14:textId="77777777" w:rsidR="00EB5E96" w:rsidRPr="00596A43" w:rsidRDefault="00EB5E96" w:rsidP="004C21F8">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046A568E" w14:textId="77777777" w:rsidR="00EB5E96" w:rsidRPr="00596A43" w:rsidRDefault="00EB5E96" w:rsidP="001E6C45">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14:paraId="7E8740DA" w14:textId="77777777" w:rsidR="00220A45" w:rsidRDefault="00220A45" w:rsidP="000C4293">
      <w:pPr>
        <w:tabs>
          <w:tab w:val="left" w:pos="-720"/>
        </w:tabs>
        <w:suppressAutoHyphens/>
        <w:jc w:val="both"/>
      </w:pPr>
    </w:p>
    <w:p w14:paraId="25CFDF09" w14:textId="77777777" w:rsidR="00233101" w:rsidRDefault="00233101" w:rsidP="000C4293">
      <w:pPr>
        <w:tabs>
          <w:tab w:val="left" w:pos="-720"/>
        </w:tabs>
        <w:suppressAutoHyphens/>
        <w:jc w:val="both"/>
      </w:pPr>
    </w:p>
    <w:p w14:paraId="32AC2F37" w14:textId="77777777" w:rsidR="00233101" w:rsidRDefault="00233101" w:rsidP="000C4293">
      <w:pPr>
        <w:tabs>
          <w:tab w:val="left" w:pos="-720"/>
        </w:tabs>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1226"/>
        <w:gridCol w:w="1924"/>
        <w:gridCol w:w="1216"/>
        <w:gridCol w:w="1396"/>
      </w:tblGrid>
      <w:tr w:rsidR="00257091" w:rsidRPr="00D3411B" w14:paraId="37211CC7" w14:textId="77777777" w:rsidTr="00DE1B76">
        <w:tc>
          <w:tcPr>
            <w:tcW w:w="2268" w:type="dxa"/>
            <w:shd w:val="clear" w:color="auto" w:fill="000000"/>
          </w:tcPr>
          <w:p w14:paraId="129C2DBF" w14:textId="77777777" w:rsidR="00114A5A" w:rsidRDefault="00114A5A" w:rsidP="00DE1B76">
            <w:pPr>
              <w:tabs>
                <w:tab w:val="left" w:pos="-720"/>
              </w:tabs>
              <w:suppressAutoHyphens/>
              <w:jc w:val="both"/>
            </w:pPr>
          </w:p>
        </w:tc>
        <w:tc>
          <w:tcPr>
            <w:tcW w:w="1530" w:type="dxa"/>
            <w:shd w:val="clear" w:color="auto" w:fill="BFBFBF"/>
          </w:tcPr>
          <w:p w14:paraId="0C93A6EC" w14:textId="77777777" w:rsidR="00114A5A" w:rsidRPr="00D3411B" w:rsidRDefault="00114A5A" w:rsidP="00DE1B76">
            <w:pPr>
              <w:tabs>
                <w:tab w:val="left" w:pos="-720"/>
              </w:tabs>
              <w:suppressAutoHyphens/>
              <w:jc w:val="center"/>
              <w:rPr>
                <w:b/>
              </w:rPr>
            </w:pPr>
            <w:r w:rsidRPr="00D3411B">
              <w:rPr>
                <w:b/>
              </w:rPr>
              <w:t>Date of Publication</w:t>
            </w:r>
          </w:p>
        </w:tc>
        <w:tc>
          <w:tcPr>
            <w:tcW w:w="1226" w:type="dxa"/>
            <w:shd w:val="clear" w:color="auto" w:fill="BFBFBF"/>
            <w:vAlign w:val="center"/>
          </w:tcPr>
          <w:p w14:paraId="1777577F" w14:textId="77777777" w:rsidR="00114A5A" w:rsidRPr="00D3411B" w:rsidRDefault="00114A5A" w:rsidP="00DE1B76">
            <w:pPr>
              <w:tabs>
                <w:tab w:val="left" w:pos="-720"/>
              </w:tabs>
              <w:suppressAutoHyphens/>
              <w:jc w:val="center"/>
              <w:rPr>
                <w:b/>
              </w:rPr>
            </w:pPr>
            <w:r w:rsidRPr="00D3411B">
              <w:rPr>
                <w:b/>
              </w:rPr>
              <w:t>Volume #</w:t>
            </w:r>
          </w:p>
        </w:tc>
        <w:tc>
          <w:tcPr>
            <w:tcW w:w="1924" w:type="dxa"/>
            <w:shd w:val="clear" w:color="auto" w:fill="BFBFBF"/>
            <w:vAlign w:val="center"/>
          </w:tcPr>
          <w:p w14:paraId="5864599C" w14:textId="77777777" w:rsidR="00114A5A" w:rsidRPr="00D3411B" w:rsidRDefault="00114A5A" w:rsidP="00DE1B76">
            <w:pPr>
              <w:tabs>
                <w:tab w:val="left" w:pos="-720"/>
              </w:tabs>
              <w:suppressAutoHyphens/>
              <w:jc w:val="center"/>
              <w:rPr>
                <w:b/>
              </w:rPr>
            </w:pPr>
            <w:r w:rsidRPr="00D3411B">
              <w:rPr>
                <w:b/>
              </w:rPr>
              <w:t>Number #</w:t>
            </w:r>
          </w:p>
        </w:tc>
        <w:tc>
          <w:tcPr>
            <w:tcW w:w="1216" w:type="dxa"/>
            <w:shd w:val="clear" w:color="auto" w:fill="BFBFBF"/>
            <w:vAlign w:val="center"/>
          </w:tcPr>
          <w:p w14:paraId="1CCE9189" w14:textId="77777777" w:rsidR="00114A5A" w:rsidRPr="00D3411B" w:rsidRDefault="00114A5A" w:rsidP="00DE1B76">
            <w:pPr>
              <w:tabs>
                <w:tab w:val="left" w:pos="-720"/>
              </w:tabs>
              <w:suppressAutoHyphens/>
              <w:jc w:val="center"/>
              <w:rPr>
                <w:b/>
              </w:rPr>
            </w:pPr>
            <w:r w:rsidRPr="00D3411B">
              <w:rPr>
                <w:b/>
              </w:rPr>
              <w:t>Page #</w:t>
            </w:r>
          </w:p>
        </w:tc>
        <w:tc>
          <w:tcPr>
            <w:tcW w:w="1396" w:type="dxa"/>
            <w:shd w:val="clear" w:color="auto" w:fill="BFBFBF"/>
          </w:tcPr>
          <w:p w14:paraId="3BB202C5" w14:textId="77777777" w:rsidR="00114A5A" w:rsidRPr="00D3411B" w:rsidRDefault="00114A5A" w:rsidP="00DE1B76">
            <w:pPr>
              <w:tabs>
                <w:tab w:val="left" w:pos="-720"/>
              </w:tabs>
              <w:suppressAutoHyphens/>
              <w:jc w:val="center"/>
              <w:rPr>
                <w:b/>
              </w:rPr>
            </w:pPr>
            <w:r w:rsidRPr="00D3411B">
              <w:rPr>
                <w:b/>
              </w:rPr>
              <w:t>Comments Addressed</w:t>
            </w:r>
          </w:p>
        </w:tc>
      </w:tr>
      <w:tr w:rsidR="00114A5A" w14:paraId="278C10AE" w14:textId="77777777" w:rsidTr="007F7C15">
        <w:tc>
          <w:tcPr>
            <w:tcW w:w="2268" w:type="dxa"/>
          </w:tcPr>
          <w:p w14:paraId="0C59D6A3" w14:textId="77777777" w:rsidR="00114A5A" w:rsidRPr="00D3411B" w:rsidRDefault="00114A5A" w:rsidP="00DE1B76">
            <w:pPr>
              <w:tabs>
                <w:tab w:val="left" w:pos="-720"/>
              </w:tabs>
              <w:suppressAutoHyphens/>
              <w:rPr>
                <w:i/>
              </w:rPr>
            </w:pPr>
            <w:r w:rsidRPr="00D3411B">
              <w:rPr>
                <w:i/>
              </w:rPr>
              <w:t>60Day Federal Register Notice:</w:t>
            </w:r>
          </w:p>
        </w:tc>
        <w:tc>
          <w:tcPr>
            <w:tcW w:w="1530" w:type="dxa"/>
          </w:tcPr>
          <w:p w14:paraId="6D8BE49C" w14:textId="77777777" w:rsidR="00114A5A" w:rsidRDefault="00C5127F" w:rsidP="00C5127F">
            <w:pPr>
              <w:tabs>
                <w:tab w:val="left" w:pos="-720"/>
              </w:tabs>
              <w:suppressAutoHyphens/>
              <w:jc w:val="center"/>
            </w:pPr>
            <w:r>
              <w:t>April</w:t>
            </w:r>
            <w:r w:rsidR="00114A5A">
              <w:t xml:space="preserve"> </w:t>
            </w:r>
            <w:r>
              <w:t>10</w:t>
            </w:r>
            <w:r w:rsidR="00114A5A">
              <w:t>, 2017</w:t>
            </w:r>
          </w:p>
        </w:tc>
        <w:tc>
          <w:tcPr>
            <w:tcW w:w="1226" w:type="dxa"/>
          </w:tcPr>
          <w:p w14:paraId="2ACE13C2" w14:textId="77777777" w:rsidR="00114A5A" w:rsidRDefault="00C5127F" w:rsidP="00DE1B76">
            <w:pPr>
              <w:tabs>
                <w:tab w:val="left" w:pos="-720"/>
              </w:tabs>
              <w:suppressAutoHyphens/>
              <w:jc w:val="both"/>
            </w:pPr>
            <w:r>
              <w:t>82</w:t>
            </w:r>
          </w:p>
        </w:tc>
        <w:tc>
          <w:tcPr>
            <w:tcW w:w="1924" w:type="dxa"/>
          </w:tcPr>
          <w:p w14:paraId="3ED8C049" w14:textId="77777777" w:rsidR="00114A5A" w:rsidRDefault="00C5127F" w:rsidP="00DE1B76">
            <w:pPr>
              <w:tabs>
                <w:tab w:val="left" w:pos="-720"/>
              </w:tabs>
              <w:suppressAutoHyphens/>
              <w:jc w:val="both"/>
            </w:pPr>
            <w:r>
              <w:t>67</w:t>
            </w:r>
          </w:p>
        </w:tc>
        <w:tc>
          <w:tcPr>
            <w:tcW w:w="1216" w:type="dxa"/>
          </w:tcPr>
          <w:p w14:paraId="1C557CF3" w14:textId="77777777" w:rsidR="00114A5A" w:rsidRDefault="00C5127F" w:rsidP="00C5127F">
            <w:pPr>
              <w:tabs>
                <w:tab w:val="left" w:pos="-720"/>
              </w:tabs>
              <w:suppressAutoHyphens/>
              <w:jc w:val="both"/>
            </w:pPr>
            <w:r>
              <w:t>17270</w:t>
            </w:r>
            <w:r w:rsidR="00114A5A">
              <w:t>-</w:t>
            </w:r>
            <w:r>
              <w:t>17273</w:t>
            </w:r>
          </w:p>
        </w:tc>
        <w:tc>
          <w:tcPr>
            <w:tcW w:w="1396" w:type="dxa"/>
          </w:tcPr>
          <w:p w14:paraId="16A7343F" w14:textId="77777777" w:rsidR="00114A5A" w:rsidRDefault="00C5127F" w:rsidP="00DE1B76">
            <w:pPr>
              <w:tabs>
                <w:tab w:val="left" w:pos="-720"/>
              </w:tabs>
              <w:suppressAutoHyphens/>
              <w:jc w:val="both"/>
            </w:pPr>
            <w:r>
              <w:t>0</w:t>
            </w:r>
          </w:p>
        </w:tc>
      </w:tr>
      <w:tr w:rsidR="00114A5A" w14:paraId="6E4D8A7F" w14:textId="77777777" w:rsidTr="007F7C15">
        <w:tc>
          <w:tcPr>
            <w:tcW w:w="2268" w:type="dxa"/>
          </w:tcPr>
          <w:p w14:paraId="4368BB1A" w14:textId="77777777" w:rsidR="00114A5A" w:rsidRDefault="00114A5A" w:rsidP="00DE1B76">
            <w:pPr>
              <w:tabs>
                <w:tab w:val="left" w:pos="-720"/>
              </w:tabs>
              <w:suppressAutoHyphens/>
            </w:pPr>
            <w:r w:rsidRPr="00D3411B">
              <w:rPr>
                <w:i/>
              </w:rPr>
              <w:t>30-Day Federal Register Notice</w:t>
            </w:r>
          </w:p>
        </w:tc>
        <w:tc>
          <w:tcPr>
            <w:tcW w:w="1530" w:type="dxa"/>
          </w:tcPr>
          <w:p w14:paraId="23DEB0C2" w14:textId="77777777" w:rsidR="00114A5A" w:rsidRDefault="003A7C3A" w:rsidP="00DE1B76">
            <w:pPr>
              <w:tabs>
                <w:tab w:val="left" w:pos="-720"/>
              </w:tabs>
              <w:suppressAutoHyphens/>
              <w:jc w:val="center"/>
            </w:pPr>
            <w:r>
              <w:t>July 27</w:t>
            </w:r>
            <w:r w:rsidR="00114A5A">
              <w:t>, 2017</w:t>
            </w:r>
          </w:p>
        </w:tc>
        <w:tc>
          <w:tcPr>
            <w:tcW w:w="1226" w:type="dxa"/>
          </w:tcPr>
          <w:p w14:paraId="312FD3ED" w14:textId="77777777" w:rsidR="00114A5A" w:rsidRDefault="00736139" w:rsidP="00DE1B76">
            <w:pPr>
              <w:tabs>
                <w:tab w:val="left" w:pos="-720"/>
              </w:tabs>
              <w:suppressAutoHyphens/>
              <w:jc w:val="both"/>
            </w:pPr>
            <w:r>
              <w:t>82</w:t>
            </w:r>
          </w:p>
        </w:tc>
        <w:tc>
          <w:tcPr>
            <w:tcW w:w="1924" w:type="dxa"/>
          </w:tcPr>
          <w:p w14:paraId="12E1EF96" w14:textId="77777777" w:rsidR="00114A5A" w:rsidRDefault="00736139" w:rsidP="00DE1B76">
            <w:pPr>
              <w:tabs>
                <w:tab w:val="left" w:pos="-720"/>
              </w:tabs>
              <w:suppressAutoHyphens/>
              <w:jc w:val="both"/>
            </w:pPr>
            <w:r>
              <w:t>143</w:t>
            </w:r>
          </w:p>
        </w:tc>
        <w:tc>
          <w:tcPr>
            <w:tcW w:w="1216" w:type="dxa"/>
          </w:tcPr>
          <w:p w14:paraId="00B101B9" w14:textId="77777777" w:rsidR="00114A5A" w:rsidRDefault="00736139" w:rsidP="00DE1B76">
            <w:pPr>
              <w:tabs>
                <w:tab w:val="left" w:pos="-720"/>
              </w:tabs>
              <w:suppressAutoHyphens/>
              <w:jc w:val="both"/>
            </w:pPr>
            <w:r>
              <w:t>34967-34968</w:t>
            </w:r>
          </w:p>
        </w:tc>
        <w:tc>
          <w:tcPr>
            <w:tcW w:w="1396" w:type="dxa"/>
          </w:tcPr>
          <w:p w14:paraId="219BBA79" w14:textId="77777777" w:rsidR="00114A5A" w:rsidRDefault="003A7C3A" w:rsidP="00DE1B76">
            <w:pPr>
              <w:tabs>
                <w:tab w:val="left" w:pos="-720"/>
              </w:tabs>
              <w:suppressAutoHyphens/>
              <w:jc w:val="both"/>
            </w:pPr>
            <w:r>
              <w:t>0</w:t>
            </w:r>
          </w:p>
        </w:tc>
      </w:tr>
    </w:tbl>
    <w:p w14:paraId="2FC72DF9" w14:textId="77777777" w:rsidR="00114A5A" w:rsidRDefault="00114A5A" w:rsidP="000C4293">
      <w:pPr>
        <w:tabs>
          <w:tab w:val="left" w:pos="-720"/>
        </w:tabs>
        <w:suppressAutoHyphens/>
        <w:jc w:val="both"/>
      </w:pPr>
    </w:p>
    <w:p w14:paraId="073B870C" w14:textId="77777777" w:rsidR="001B06B5" w:rsidRDefault="001B06B5" w:rsidP="001B06B5">
      <w:r w:rsidRPr="007C0C35">
        <w:t>A 60-day public notice for comments was publi</w:t>
      </w:r>
      <w:r>
        <w:t xml:space="preserve">shed in the Federal Register on </w:t>
      </w:r>
      <w:r w:rsidR="0043789A">
        <w:t>April 10, 2017</w:t>
      </w:r>
      <w:r w:rsidR="00201D38">
        <w:t>,</w:t>
      </w:r>
      <w:r w:rsidRPr="007C0C35">
        <w:t xml:space="preserve"> at </w:t>
      </w:r>
      <w:r w:rsidR="0043789A">
        <w:t>82</w:t>
      </w:r>
      <w:r w:rsidR="0043789A" w:rsidRPr="00F87C08">
        <w:t xml:space="preserve"> </w:t>
      </w:r>
      <w:r w:rsidR="00943AFF" w:rsidRPr="00F87C08">
        <w:t>FR</w:t>
      </w:r>
      <w:r w:rsidR="00085829">
        <w:t xml:space="preserve"> </w:t>
      </w:r>
      <w:r w:rsidR="0043789A">
        <w:t>17270</w:t>
      </w:r>
      <w:r w:rsidR="00085829">
        <w:t xml:space="preserve">. </w:t>
      </w:r>
      <w:r>
        <w:t>The D</w:t>
      </w:r>
      <w:r w:rsidR="002B3D0A">
        <w:t>e</w:t>
      </w:r>
      <w:r>
        <w:t xml:space="preserve">partment </w:t>
      </w:r>
      <w:r w:rsidR="0043789A">
        <w:t xml:space="preserve">didn’t </w:t>
      </w:r>
      <w:r>
        <w:t>receive</w:t>
      </w:r>
      <w:r w:rsidR="0043789A">
        <w:t xml:space="preserve"> any </w:t>
      </w:r>
      <w:r>
        <w:t xml:space="preserve">comments </w:t>
      </w:r>
      <w:r w:rsidR="0043789A">
        <w:t xml:space="preserve">during this time frame. The lack of comments </w:t>
      </w:r>
      <w:r>
        <w:t xml:space="preserve">may be </w:t>
      </w:r>
      <w:r w:rsidR="0043789A">
        <w:t xml:space="preserve">verified </w:t>
      </w:r>
      <w:r>
        <w:t xml:space="preserve">on </w:t>
      </w:r>
      <w:hyperlink r:id="rId16" w:history="1">
        <w:r w:rsidRPr="00ED76C0">
          <w:rPr>
            <w:rStyle w:val="Hyperlink"/>
          </w:rPr>
          <w:t>www.regulations.gov</w:t>
        </w:r>
      </w:hyperlink>
      <w:r>
        <w:t xml:space="preserve"> under Docket ID DHS-</w:t>
      </w:r>
      <w:r w:rsidR="00943AFF" w:rsidRPr="00F87C08">
        <w:t>201</w:t>
      </w:r>
      <w:r w:rsidR="00943AFF">
        <w:t>7</w:t>
      </w:r>
      <w:r w:rsidRPr="00F87C08">
        <w:t>-</w:t>
      </w:r>
      <w:r w:rsidR="00943AFF" w:rsidRPr="00F87C08">
        <w:t>00</w:t>
      </w:r>
      <w:r w:rsidR="00ED5041">
        <w:t>14</w:t>
      </w:r>
      <w:r>
        <w:t xml:space="preserve">.  </w:t>
      </w:r>
    </w:p>
    <w:p w14:paraId="11B885D1" w14:textId="77777777" w:rsidR="001B06B5" w:rsidRDefault="002B3D0A" w:rsidP="003A7C3A">
      <w:pPr>
        <w:spacing w:before="120" w:after="120" w:line="259" w:lineRule="auto"/>
      </w:pPr>
      <w:r w:rsidRPr="00BD3D06">
        <w:t>A 30-day public notice for comments was published in the Federal Register on</w:t>
      </w:r>
      <w:r w:rsidR="00085829">
        <w:t xml:space="preserve"> </w:t>
      </w:r>
      <w:r w:rsidR="003A7C3A">
        <w:t>July 27, 2017</w:t>
      </w:r>
      <w:r w:rsidR="00201D38">
        <w:t>,</w:t>
      </w:r>
      <w:r w:rsidRPr="00BD3D06">
        <w:t xml:space="preserve"> </w:t>
      </w:r>
      <w:r w:rsidR="00085829">
        <w:t xml:space="preserve">at </w:t>
      </w:r>
      <w:r w:rsidR="00736139">
        <w:t>82</w:t>
      </w:r>
      <w:r w:rsidR="006742E5" w:rsidRPr="00BD3D06">
        <w:t xml:space="preserve"> </w:t>
      </w:r>
      <w:r w:rsidRPr="00BD3D06">
        <w:t xml:space="preserve">FR </w:t>
      </w:r>
      <w:r w:rsidR="00736139">
        <w:t>34967</w:t>
      </w:r>
      <w:r w:rsidRPr="00BD3D06">
        <w:t xml:space="preserve">.  The Department received </w:t>
      </w:r>
      <w:r w:rsidR="003A7C3A">
        <w:t>0</w:t>
      </w:r>
      <w:r w:rsidR="006742E5" w:rsidRPr="00BD3D06">
        <w:t xml:space="preserve"> </w:t>
      </w:r>
      <w:r w:rsidRPr="00BD3D06">
        <w:t>comments</w:t>
      </w:r>
      <w:r w:rsidR="003A7C3A">
        <w:t>.</w:t>
      </w:r>
    </w:p>
    <w:p w14:paraId="6EF26E14" w14:textId="77777777" w:rsidR="00085829" w:rsidRPr="00596A43" w:rsidRDefault="00085829" w:rsidP="00085829"/>
    <w:p w14:paraId="6575D639"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14:paraId="74A82457" w14:textId="77777777" w:rsidR="00EB5E96" w:rsidRPr="00596A43" w:rsidRDefault="00EB5E96" w:rsidP="000C4293">
      <w:pPr>
        <w:tabs>
          <w:tab w:val="left" w:pos="-720"/>
        </w:tabs>
        <w:suppressAutoHyphens/>
        <w:jc w:val="both"/>
      </w:pPr>
    </w:p>
    <w:p w14:paraId="7187236D" w14:textId="77777777" w:rsidR="00E57C22" w:rsidRDefault="00E57C22" w:rsidP="00E57C22">
      <w:r w:rsidRPr="007A31A3">
        <w:t>No</w:t>
      </w:r>
      <w:r>
        <w:t xml:space="preserve"> payment or gift of any kind is provided to any respondents.</w:t>
      </w:r>
    </w:p>
    <w:p w14:paraId="6866F652" w14:textId="77777777" w:rsidR="00EB5E96" w:rsidRPr="00596A43" w:rsidRDefault="00EB5E96" w:rsidP="000C4293">
      <w:pPr>
        <w:tabs>
          <w:tab w:val="left" w:pos="-720"/>
        </w:tabs>
        <w:suppressAutoHyphens/>
        <w:jc w:val="both"/>
      </w:pPr>
    </w:p>
    <w:p w14:paraId="51048D04"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14:paraId="36A2BB81" w14:textId="77777777" w:rsidR="00D171B9" w:rsidRDefault="00EB5E96" w:rsidP="00D171B9">
      <w:pPr>
        <w:tabs>
          <w:tab w:val="left" w:pos="-720"/>
        </w:tabs>
        <w:suppressAutoHyphens/>
        <w:jc w:val="both"/>
      </w:pPr>
      <w:r w:rsidRPr="00596A43">
        <w:fldChar w:fldCharType="begin"/>
      </w:r>
      <w:r w:rsidRPr="00596A43">
        <w:instrText>ADVANCE \R 0.95</w:instrText>
      </w:r>
      <w:r w:rsidRPr="00596A43">
        <w:fldChar w:fldCharType="end"/>
      </w:r>
    </w:p>
    <w:p w14:paraId="1C0010AB" w14:textId="77777777" w:rsidR="00865E03" w:rsidRDefault="00485EC1" w:rsidP="009D50DF">
      <w:r w:rsidRPr="00485EC1">
        <w:t>There is no assurance</w:t>
      </w:r>
      <w:r w:rsidR="008E2A3C">
        <w:t xml:space="preserve"> of</w:t>
      </w:r>
      <w:r w:rsidRPr="00485EC1">
        <w:t xml:space="preserve"> confidentiality provided to the respondents. However, Information collected through this collection</w:t>
      </w:r>
      <w:r w:rsidR="008E2A3C">
        <w:t xml:space="preserve"> may be protected from disclosure by the Department under the designation</w:t>
      </w:r>
      <w:r w:rsidRPr="00485EC1">
        <w:t xml:space="preserve"> Chemical-terrorism Vulnerability Information (CVI).  CVI is</w:t>
      </w:r>
      <w:r w:rsidR="008E2A3C">
        <w:t xml:space="preserve"> a Sensitive but Unclassified designation</w:t>
      </w:r>
      <w:r w:rsidRPr="00485EC1">
        <w:t xml:space="preserve"> authorized under the CFATS Act of 2014</w:t>
      </w:r>
      <w:r>
        <w:t xml:space="preserve"> </w:t>
      </w:r>
      <w:r w:rsidRPr="00485EC1">
        <w:t xml:space="preserve">and implemented in 6 CFR </w:t>
      </w:r>
      <w:r w:rsidR="008E2A3C">
        <w:t xml:space="preserve">§ </w:t>
      </w:r>
      <w:r w:rsidRPr="00485EC1">
        <w:t>27.400.</w:t>
      </w:r>
    </w:p>
    <w:p w14:paraId="498C2A91" w14:textId="77777777" w:rsidR="00865E03" w:rsidRDefault="00865E03" w:rsidP="00E57C22"/>
    <w:p w14:paraId="2149CA3B" w14:textId="77777777" w:rsidR="008E2A3C" w:rsidRDefault="008E2A3C" w:rsidP="008E2A3C">
      <w:r>
        <w:t>6 U.S.C. 623(d) states that CVI “in any proceeding to enforce this section, vulnerability assessments, site security plans, and other information submitted to or obtained by the Secretary under this section, and related vulnerability or security information, s</w:t>
      </w:r>
      <w:r w:rsidR="000D4C89">
        <w:t>hall be treated as if the infor</w:t>
      </w:r>
      <w:r>
        <w:t>mation were classified material.”  In addition, 6 CFR § 27.400(h)</w:t>
      </w:r>
      <w:r w:rsidR="00440786">
        <w:t xml:space="preserve"> specifies the circumstances un</w:t>
      </w:r>
      <w:r>
        <w:t>der which access to C</w:t>
      </w:r>
      <w:r w:rsidR="000304A9">
        <w:t>V</w:t>
      </w:r>
      <w:r>
        <w:t>I may be provided by the Department in the context of an administrative enforcement proceeding.</w:t>
      </w:r>
    </w:p>
    <w:p w14:paraId="26DFECD6" w14:textId="77777777" w:rsidR="008E2A3C" w:rsidRDefault="008E2A3C" w:rsidP="008E2A3C"/>
    <w:p w14:paraId="778D9871" w14:textId="77777777" w:rsidR="00FD7865" w:rsidRPr="00E713D2" w:rsidRDefault="00FD7865" w:rsidP="00FD7865">
      <w:r>
        <w:t xml:space="preserve">This is a privacy sensitive system. A Privacy Threshold Analysis has been </w:t>
      </w:r>
      <w:r w:rsidRPr="00E713D2">
        <w:t>adjudicated</w:t>
      </w:r>
      <w:r>
        <w:t xml:space="preserve"> by the DHS Privacy Office which resulted in a determination that PIA coverage is provided by </w:t>
      </w:r>
      <w:r w:rsidRPr="00E713D2">
        <w:t xml:space="preserve">DHS/NPPD/PIA-009(a) Chemical Facility Anti-Terrorism Standards August 12, 2016. </w:t>
      </w:r>
      <w:r>
        <w:t>SORN coverage is provided by DHS/ALL-002-Department of Homeland Security (DHS) Mailing and Other Lists System, November 25, 2008, 73 FR 71659, DHS/ALL-004-General Information Technology Access Account Records System (GITAARS), November 27, 2012, 77 FR 70792.</w:t>
      </w:r>
    </w:p>
    <w:p w14:paraId="0E1E2AEE" w14:textId="77777777" w:rsidR="00FD7865" w:rsidRDefault="00FD7865" w:rsidP="008E2A3C"/>
    <w:p w14:paraId="366193F3" w14:textId="77777777" w:rsidR="00D171B9" w:rsidRDefault="00D171B9" w:rsidP="008E2A3C"/>
    <w:p w14:paraId="5875A08D" w14:textId="77777777" w:rsidR="008E2A3C" w:rsidRDefault="008E2A3C" w:rsidP="008E2A3C">
      <w:r>
        <w:t>Notwithstanding the Freedom of Information Act (FOIA) (5 U.S.C. 552), the Privacy Act (5 U.S.C. 552a), and other laws, in accordance with Sec. 550(c) of P.L. 107-296 6 U.S.C. 623(c) and 6 CFR § 27.400(g), records containing CVI are not available for public insp</w:t>
      </w:r>
      <w:r w:rsidR="000D4C89">
        <w:t>ection or copy</w:t>
      </w:r>
      <w:r>
        <w:t>ing, nor does the Department release such records to persons without a need to know.  See 6 CFR 27.400(g)(1).</w:t>
      </w:r>
    </w:p>
    <w:p w14:paraId="339D21CE" w14:textId="77777777" w:rsidR="008E2A3C" w:rsidRDefault="008E2A3C" w:rsidP="008E2A3C"/>
    <w:p w14:paraId="2E26BAD9" w14:textId="77777777" w:rsidR="008E2A3C" w:rsidRDefault="008E2A3C" w:rsidP="008E2A3C">
      <w:r>
        <w:t>If a record contains both CVI and non-CVI information that may not be disclosed under Public Law 107-296 and information that may be disclosed, the latter information may be provided dis-closed in response to a FOIA request, provided that the record is not otherwise exempt from dis-closure under FOIA and that it is practical to redact the protected CVI from the requested rec-ord.  See 6 CFR 27.400(g)(2).</w:t>
      </w:r>
    </w:p>
    <w:p w14:paraId="1EDAD699" w14:textId="77777777" w:rsidR="008E2A3C" w:rsidRDefault="008E2A3C" w:rsidP="00E57C22"/>
    <w:p w14:paraId="4C677529" w14:textId="77777777" w:rsidR="00E57C22" w:rsidRPr="006E1193" w:rsidRDefault="00E57C22" w:rsidP="00E57C22">
      <w:r w:rsidRPr="006E1193">
        <w:t xml:space="preserve">DHS’s primary IT design requirement was ensuring data security.  DHS acknowledges that there is a non-zero risk, both to the original transmission and the receiving transmission, when requesting </w:t>
      </w:r>
      <w:r w:rsidR="005C028D">
        <w:t xml:space="preserve">and transmitting </w:t>
      </w:r>
      <w:r w:rsidRPr="006E1193">
        <w:t>data over the Internet.  DHS has weighed the risk to the data collection approach against the risk to collecting the data through paper submissions and concluded that the web-based approach was the best approach given the risk and benefits.</w:t>
      </w:r>
    </w:p>
    <w:p w14:paraId="38068DF9" w14:textId="77777777" w:rsidR="00E57C22" w:rsidRPr="006E1193" w:rsidRDefault="00E57C22" w:rsidP="00E57C22"/>
    <w:p w14:paraId="6E814865" w14:textId="77777777" w:rsidR="00CA7AF8" w:rsidRDefault="00E57C22" w:rsidP="009D50DF">
      <w:r w:rsidRPr="006E1193">
        <w:t xml:space="preserve">DHS has taken a number of steps to protect both the data that will be collected through the CSAT program and the process of collection.  The security of the data has been the number one priority of the system design. </w:t>
      </w:r>
      <w:r w:rsidR="00A35C1C" w:rsidRPr="006E1193">
        <w:t>The site that the Department use</w:t>
      </w:r>
      <w:r w:rsidR="00A35C1C">
        <w:t>s</w:t>
      </w:r>
      <w:r w:rsidR="00A35C1C" w:rsidRPr="006E1193">
        <w:t xml:space="preserve"> to collect submissions is equipped with hardware encryption that requires Transport Layer Security (TLS), as mandated by the latest Federal Information Processing Standard (FIPS).  The encryption devices have full Common Criteria Evaluation and Validation Scheme (CCEVS) certifications.  CCEVS is the implementation of the partnership between the National Security Agency and the National Institute of Standards (NIST) to certify security hardware and software.</w:t>
      </w:r>
      <w:r w:rsidR="005D182B">
        <w:t xml:space="preserve">  </w:t>
      </w:r>
    </w:p>
    <w:p w14:paraId="70C33AB5" w14:textId="77777777" w:rsidR="00AA3F82" w:rsidRPr="00596A43" w:rsidRDefault="00AA3F82" w:rsidP="000C4293">
      <w:pPr>
        <w:tabs>
          <w:tab w:val="left" w:pos="-720"/>
        </w:tabs>
        <w:suppressAutoHyphens/>
        <w:jc w:val="both"/>
      </w:pPr>
    </w:p>
    <w:p w14:paraId="0CB020E0" w14:textId="77777777" w:rsidR="00EB5E96" w:rsidRPr="00596A43" w:rsidRDefault="00EB5E96" w:rsidP="000C4293">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BE9F33C" w14:textId="77777777" w:rsidR="00EB5E96" w:rsidRPr="00596A43" w:rsidRDefault="00EB5E96" w:rsidP="000C4293">
      <w:pPr>
        <w:shd w:val="clear" w:color="auto" w:fill="FFFFFF"/>
        <w:tabs>
          <w:tab w:val="left" w:pos="-720"/>
        </w:tabs>
        <w:suppressAutoHyphens/>
        <w:jc w:val="both"/>
      </w:pPr>
    </w:p>
    <w:p w14:paraId="3925380A" w14:textId="77777777" w:rsidR="00E57C22" w:rsidRPr="00127F48" w:rsidRDefault="00E57C22" w:rsidP="00E57C22">
      <w:r w:rsidRPr="006E1193">
        <w:t>The</w:t>
      </w:r>
      <w:r w:rsidRPr="00127F48">
        <w:t xml:space="preserve"> </w:t>
      </w:r>
      <w:r>
        <w:t xml:space="preserve">instruments </w:t>
      </w:r>
      <w:r w:rsidRPr="00127F48">
        <w:t xml:space="preserve">described in this </w:t>
      </w:r>
      <w:r>
        <w:t xml:space="preserve">collection </w:t>
      </w:r>
      <w:r w:rsidRPr="00127F48">
        <w:t xml:space="preserve">do not request any information </w:t>
      </w:r>
      <w:r>
        <w:t xml:space="preserve">of a </w:t>
      </w:r>
      <w:r w:rsidRPr="00127F48">
        <w:t xml:space="preserve">personally sensitive </w:t>
      </w:r>
      <w:r w:rsidR="00DC6AFC">
        <w:t>nature</w:t>
      </w:r>
      <w:r w:rsidRPr="00127F48">
        <w:t>.</w:t>
      </w:r>
    </w:p>
    <w:p w14:paraId="63E3990B" w14:textId="77777777" w:rsidR="00AA3F82" w:rsidRPr="00596A43" w:rsidRDefault="00AA3F82" w:rsidP="000C4293">
      <w:pPr>
        <w:shd w:val="clear" w:color="auto" w:fill="FFFFFF"/>
        <w:tabs>
          <w:tab w:val="left" w:pos="-720"/>
        </w:tabs>
        <w:suppressAutoHyphens/>
        <w:jc w:val="both"/>
      </w:pPr>
    </w:p>
    <w:p w14:paraId="2D732ACA" w14:textId="77777777" w:rsidR="00EB5E96" w:rsidRPr="00596A43" w:rsidRDefault="00EB5E96" w:rsidP="000C4293">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14:paraId="363D6186"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6BD318DC"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C6D9F31" w14:textId="77777777" w:rsidR="00EB5E96" w:rsidRPr="00596A43" w:rsidRDefault="00EB5E96" w:rsidP="000C4293">
      <w:pPr>
        <w:pStyle w:val="BodyText3"/>
        <w:jc w:val="both"/>
        <w:rPr>
          <w:sz w:val="24"/>
          <w:szCs w:val="24"/>
        </w:rPr>
      </w:pPr>
      <w:r w:rsidRPr="00596A43">
        <w:rPr>
          <w:sz w:val="24"/>
          <w:szCs w:val="24"/>
        </w:rPr>
        <w:fldChar w:fldCharType="begin"/>
      </w:r>
      <w:r w:rsidRPr="00596A43">
        <w:rPr>
          <w:sz w:val="24"/>
          <w:szCs w:val="24"/>
        </w:rPr>
        <w:instrText>ADVANCE \R 0.95</w:instrText>
      </w:r>
      <w:r w:rsidRPr="00596A43">
        <w:rPr>
          <w:sz w:val="24"/>
          <w:szCs w:val="24"/>
        </w:rPr>
        <w:fldChar w:fldCharType="end"/>
      </w:r>
      <w:r w:rsidRPr="00596A43">
        <w:rPr>
          <w:sz w:val="24"/>
          <w:szCs w:val="24"/>
        </w:rPr>
        <w:t>b.  If this request for approval covers more than one form, provide separate hour burden estimates for each form and aggregate the hour burdens in Item 13 of OMB Form 83-I.</w:t>
      </w:r>
    </w:p>
    <w:p w14:paraId="3480EA9A" w14:textId="77777777" w:rsidR="00EB5E96" w:rsidRPr="00596A43" w:rsidRDefault="00EB5E96" w:rsidP="000C4293">
      <w:pPr>
        <w:shd w:val="pct25" w:color="auto" w:fill="auto"/>
        <w:tabs>
          <w:tab w:val="left" w:pos="-720"/>
        </w:tabs>
        <w:suppressAutoHyphens/>
        <w:jc w:val="both"/>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0B4DA94" w14:textId="77777777" w:rsidR="00934370" w:rsidRDefault="00934370" w:rsidP="00EE53BE"/>
    <w:p w14:paraId="4532484A" w14:textId="248945C7" w:rsidR="006E6EEE" w:rsidRDefault="00BC2569" w:rsidP="004337E2">
      <w:r>
        <w:t>The annual total estimate for reporting, recordkeeping and cost burden under this collection is</w:t>
      </w:r>
      <w:r w:rsidRPr="00A42044">
        <w:t xml:space="preserve"> </w:t>
      </w:r>
      <w:r w:rsidRPr="00C86A0B">
        <w:t>$</w:t>
      </w:r>
      <w:r w:rsidR="00F04215" w:rsidRPr="00F04215">
        <w:t>36,518</w:t>
      </w:r>
      <w:r w:rsidRPr="00C86A0B">
        <w:t xml:space="preserve">.  </w:t>
      </w:r>
      <w:r w:rsidR="00F7780C">
        <w:t xml:space="preserve">This annual total estimate represents a reduction from the previously reported burden of </w:t>
      </w:r>
      <w:r w:rsidR="00F42607" w:rsidRPr="00F42607">
        <w:t>$63,692</w:t>
      </w:r>
      <w:r w:rsidR="00F42607">
        <w:t xml:space="preserve"> </w:t>
      </w:r>
      <w:r w:rsidR="00F7780C">
        <w:t>due to a decre</w:t>
      </w:r>
      <w:r w:rsidR="00212968">
        <w:t>ase</w:t>
      </w:r>
      <w:r w:rsidR="004B7E06">
        <w:t xml:space="preserve"> in the estimated time burden for three of the instruments used in the collection, as well as a decrease</w:t>
      </w:r>
      <w:r w:rsidR="00212968">
        <w:t xml:space="preserve"> in the estimated wage of a Site Security Officer (</w:t>
      </w:r>
      <w:r w:rsidR="00F7780C">
        <w:t>SSO</w:t>
      </w:r>
      <w:r w:rsidR="00212968">
        <w:t>)</w:t>
      </w:r>
      <w:r w:rsidR="00F7780C">
        <w:t xml:space="preserve">. </w:t>
      </w:r>
      <w:r>
        <w:t xml:space="preserve">The </w:t>
      </w:r>
      <w:r w:rsidR="00212968">
        <w:t>SSO’</w:t>
      </w:r>
      <w:r w:rsidRPr="0049579B">
        <w:t>s</w:t>
      </w:r>
      <w:r>
        <w:t xml:space="preserve"> average hourly wage rate of $</w:t>
      </w:r>
      <w:r w:rsidR="0015160E">
        <w:t>78.93</w:t>
      </w:r>
      <w:r>
        <w:t xml:space="preserve"> was based on an average hourly wage rate of $</w:t>
      </w:r>
      <w:r w:rsidR="0015160E">
        <w:t xml:space="preserve">53.92 </w:t>
      </w:r>
      <w:r w:rsidR="004337E2">
        <w:rPr>
          <w:rStyle w:val="FootnoteReference"/>
        </w:rPr>
        <w:footnoteReference w:id="5"/>
      </w:r>
      <w:r>
        <w:t>with a benefits multiplier of 1.</w:t>
      </w:r>
      <w:r w:rsidR="0015160E">
        <w:t>4639</w:t>
      </w:r>
      <w:r w:rsidR="004337E2">
        <w:rPr>
          <w:rStyle w:val="FootnoteReference"/>
        </w:rPr>
        <w:footnoteReference w:id="6"/>
      </w:r>
      <w:r>
        <w:t xml:space="preserve">. </w:t>
      </w:r>
    </w:p>
    <w:p w14:paraId="350C27A2" w14:textId="77777777" w:rsidR="006E6EEE" w:rsidRDefault="006E6EEE" w:rsidP="00BC2569"/>
    <w:p w14:paraId="2E594925" w14:textId="77777777" w:rsidR="00BC2569" w:rsidRPr="00272CF0" w:rsidRDefault="00BC2569" w:rsidP="00BC2569">
      <w:r w:rsidRPr="00C86A0B">
        <w:t>Individual</w:t>
      </w:r>
      <w:r>
        <w:t xml:space="preserve"> burden estimates vary by instrument and are summarized in the table below:</w:t>
      </w:r>
    </w:p>
    <w:p w14:paraId="3257DB5F" w14:textId="77777777" w:rsidR="00331A0E" w:rsidRDefault="00331A0E" w:rsidP="000A4447"/>
    <w:p w14:paraId="6F879790" w14:textId="77777777" w:rsidR="00AC50A2" w:rsidRDefault="00E57C22" w:rsidP="00E57C22">
      <w:pPr>
        <w:rPr>
          <w:b/>
        </w:rPr>
      </w:pPr>
      <w:r w:rsidRPr="00EC5127">
        <w:rPr>
          <w:b/>
        </w:rPr>
        <w:t>Table 2: Instrument Burden Estimate</w:t>
      </w:r>
    </w:p>
    <w:p w14:paraId="3FCE572A" w14:textId="77777777" w:rsidR="00E57C22" w:rsidRPr="00C62231" w:rsidRDefault="00E57C22" w:rsidP="00E57C22"/>
    <w:tbl>
      <w:tblPr>
        <w:tblW w:w="9473" w:type="dxa"/>
        <w:tblInd w:w="103" w:type="dxa"/>
        <w:tblLook w:val="0000" w:firstRow="0" w:lastRow="0" w:firstColumn="0" w:lastColumn="0" w:noHBand="0" w:noVBand="0"/>
      </w:tblPr>
      <w:tblGrid>
        <w:gridCol w:w="1965"/>
        <w:gridCol w:w="1935"/>
        <w:gridCol w:w="1414"/>
        <w:gridCol w:w="1327"/>
        <w:gridCol w:w="1296"/>
        <w:gridCol w:w="1536"/>
      </w:tblGrid>
      <w:tr w:rsidR="004C1CC8" w:rsidRPr="00392683" w14:paraId="1BFE1582" w14:textId="77777777" w:rsidTr="007F7C15">
        <w:trPr>
          <w:trHeight w:val="737"/>
        </w:trPr>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14:paraId="69F2B6CE" w14:textId="77777777" w:rsidR="004C1CC8" w:rsidRPr="006D64F9" w:rsidRDefault="004C1CC8" w:rsidP="00DE1B76">
            <w:pPr>
              <w:jc w:val="center"/>
              <w:rPr>
                <w:rFonts w:cs="Arial"/>
                <w:b/>
                <w:bCs/>
              </w:rPr>
            </w:pPr>
            <w:r w:rsidRPr="006D64F9">
              <w:rPr>
                <w:rFonts w:cs="Arial"/>
                <w:b/>
                <w:bCs/>
              </w:rPr>
              <w:t>Instrument</w:t>
            </w:r>
          </w:p>
        </w:tc>
        <w:tc>
          <w:tcPr>
            <w:tcW w:w="1935" w:type="dxa"/>
            <w:tcBorders>
              <w:top w:val="single" w:sz="4" w:space="0" w:color="auto"/>
              <w:left w:val="nil"/>
              <w:bottom w:val="single" w:sz="4" w:space="0" w:color="auto"/>
              <w:right w:val="single" w:sz="4" w:space="0" w:color="auto"/>
            </w:tcBorders>
            <w:shd w:val="clear" w:color="auto" w:fill="auto"/>
            <w:vAlign w:val="center"/>
          </w:tcPr>
          <w:p w14:paraId="1F5BE0CB" w14:textId="77777777" w:rsidR="004C1CC8" w:rsidRPr="006D64F9" w:rsidRDefault="004C1CC8" w:rsidP="00DE1B76">
            <w:pPr>
              <w:jc w:val="center"/>
              <w:rPr>
                <w:rFonts w:cs="Arial"/>
                <w:b/>
                <w:bCs/>
              </w:rPr>
            </w:pPr>
            <w:r w:rsidRPr="006D64F9">
              <w:rPr>
                <w:rFonts w:cs="Arial"/>
                <w:b/>
                <w:bCs/>
              </w:rPr>
              <w:t># of Respondents</w:t>
            </w:r>
          </w:p>
        </w:tc>
        <w:tc>
          <w:tcPr>
            <w:tcW w:w="1414" w:type="dxa"/>
            <w:tcBorders>
              <w:top w:val="single" w:sz="4" w:space="0" w:color="auto"/>
              <w:left w:val="nil"/>
              <w:bottom w:val="single" w:sz="4" w:space="0" w:color="auto"/>
              <w:right w:val="single" w:sz="4" w:space="0" w:color="auto"/>
            </w:tcBorders>
            <w:shd w:val="clear" w:color="auto" w:fill="auto"/>
            <w:vAlign w:val="center"/>
          </w:tcPr>
          <w:p w14:paraId="22CB8B10" w14:textId="77777777" w:rsidR="004C1CC8" w:rsidRPr="006D64F9" w:rsidRDefault="004C1CC8" w:rsidP="00DE1B76">
            <w:pPr>
              <w:jc w:val="center"/>
              <w:rPr>
                <w:rFonts w:cs="Arial"/>
                <w:b/>
                <w:bCs/>
              </w:rPr>
            </w:pPr>
            <w:r w:rsidRPr="006D64F9">
              <w:rPr>
                <w:rFonts w:cs="Arial"/>
                <w:b/>
                <w:bCs/>
              </w:rPr>
              <w:t>Responses per respondent</w:t>
            </w:r>
          </w:p>
        </w:tc>
        <w:tc>
          <w:tcPr>
            <w:tcW w:w="1327" w:type="dxa"/>
            <w:tcBorders>
              <w:top w:val="single" w:sz="4" w:space="0" w:color="auto"/>
              <w:left w:val="nil"/>
              <w:bottom w:val="single" w:sz="4" w:space="0" w:color="auto"/>
              <w:right w:val="single" w:sz="4" w:space="0" w:color="auto"/>
            </w:tcBorders>
            <w:shd w:val="clear" w:color="auto" w:fill="auto"/>
            <w:vAlign w:val="center"/>
          </w:tcPr>
          <w:p w14:paraId="75A2AAF1" w14:textId="77777777" w:rsidR="004C1CC8" w:rsidRPr="006D64F9" w:rsidRDefault="004C1CC8" w:rsidP="00DE1B76">
            <w:pPr>
              <w:jc w:val="center"/>
              <w:rPr>
                <w:rFonts w:cs="Arial"/>
                <w:b/>
                <w:bCs/>
              </w:rPr>
            </w:pPr>
            <w:r w:rsidRPr="006D64F9">
              <w:rPr>
                <w:rFonts w:cs="Arial"/>
                <w:b/>
                <w:bCs/>
              </w:rPr>
              <w:t>Average Burden per Response</w:t>
            </w:r>
          </w:p>
          <w:p w14:paraId="7C84E059" w14:textId="77777777" w:rsidR="004C1CC8" w:rsidRPr="006D64F9" w:rsidRDefault="004C1CC8" w:rsidP="00DE1B76">
            <w:pPr>
              <w:jc w:val="center"/>
              <w:rPr>
                <w:rFonts w:cs="Arial"/>
                <w:b/>
                <w:bCs/>
              </w:rPr>
            </w:pPr>
            <w:r w:rsidRPr="006D64F9">
              <w:rPr>
                <w:rFonts w:cs="Arial"/>
                <w:b/>
                <w:bCs/>
              </w:rPr>
              <w:t xml:space="preserve"> (in hours)</w:t>
            </w:r>
          </w:p>
        </w:tc>
        <w:tc>
          <w:tcPr>
            <w:tcW w:w="1296" w:type="dxa"/>
            <w:tcBorders>
              <w:top w:val="single" w:sz="4" w:space="0" w:color="auto"/>
              <w:left w:val="nil"/>
              <w:bottom w:val="single" w:sz="4" w:space="0" w:color="auto"/>
              <w:right w:val="single" w:sz="4" w:space="0" w:color="auto"/>
            </w:tcBorders>
            <w:shd w:val="clear" w:color="auto" w:fill="auto"/>
            <w:vAlign w:val="center"/>
          </w:tcPr>
          <w:p w14:paraId="109FBFD4" w14:textId="77777777" w:rsidR="004C1CC8" w:rsidRPr="006D64F9" w:rsidRDefault="004C1CC8" w:rsidP="00DE1B76">
            <w:pPr>
              <w:jc w:val="center"/>
              <w:rPr>
                <w:rFonts w:cs="Arial"/>
                <w:b/>
                <w:bCs/>
              </w:rPr>
            </w:pPr>
            <w:r w:rsidRPr="006D64F9">
              <w:rPr>
                <w:rFonts w:cs="Arial"/>
                <w:b/>
                <w:bCs/>
              </w:rPr>
              <w:t>Total Annual Burden</w:t>
            </w:r>
          </w:p>
          <w:p w14:paraId="5B8EE77B" w14:textId="77777777" w:rsidR="004C1CC8" w:rsidRPr="006D64F9" w:rsidRDefault="004C1CC8" w:rsidP="00DE1B76">
            <w:pPr>
              <w:jc w:val="center"/>
              <w:rPr>
                <w:rFonts w:cs="Arial"/>
                <w:b/>
                <w:bCs/>
              </w:rPr>
            </w:pPr>
            <w:r w:rsidRPr="006D64F9">
              <w:rPr>
                <w:rFonts w:cs="Arial"/>
                <w:b/>
                <w:bCs/>
              </w:rPr>
              <w:t>(in hours)</w:t>
            </w:r>
          </w:p>
        </w:tc>
        <w:tc>
          <w:tcPr>
            <w:tcW w:w="1536" w:type="dxa"/>
            <w:tcBorders>
              <w:top w:val="single" w:sz="4" w:space="0" w:color="auto"/>
              <w:left w:val="nil"/>
              <w:bottom w:val="single" w:sz="4" w:space="0" w:color="auto"/>
              <w:right w:val="single" w:sz="4" w:space="0" w:color="auto"/>
            </w:tcBorders>
          </w:tcPr>
          <w:p w14:paraId="14532DC2" w14:textId="77777777" w:rsidR="004C1CC8" w:rsidRPr="006D64F9" w:rsidRDefault="004C1CC8" w:rsidP="00DE1B76">
            <w:pPr>
              <w:jc w:val="center"/>
              <w:rPr>
                <w:rFonts w:cs="Arial"/>
                <w:b/>
                <w:bCs/>
              </w:rPr>
            </w:pPr>
            <w:r w:rsidRPr="006D64F9">
              <w:rPr>
                <w:rFonts w:cs="Arial"/>
                <w:b/>
                <w:bCs/>
              </w:rPr>
              <w:t>Total Annual Burden</w:t>
            </w:r>
          </w:p>
          <w:p w14:paraId="560F174F" w14:textId="77777777" w:rsidR="004C1CC8" w:rsidRPr="006D64F9" w:rsidRDefault="004C1CC8" w:rsidP="00DE1B76">
            <w:pPr>
              <w:jc w:val="center"/>
              <w:rPr>
                <w:rFonts w:cs="Arial"/>
                <w:b/>
                <w:bCs/>
              </w:rPr>
            </w:pPr>
            <w:r w:rsidRPr="006D64F9">
              <w:rPr>
                <w:rFonts w:cs="Arial"/>
                <w:b/>
                <w:bCs/>
              </w:rPr>
              <w:t>(in dollars)</w:t>
            </w:r>
          </w:p>
        </w:tc>
      </w:tr>
      <w:tr w:rsidR="00F04215" w:rsidRPr="00392683" w14:paraId="7A098B70" w14:textId="77777777" w:rsidTr="007F7C15">
        <w:trPr>
          <w:trHeight w:val="737"/>
        </w:trPr>
        <w:tc>
          <w:tcPr>
            <w:tcW w:w="1965" w:type="dxa"/>
            <w:tcBorders>
              <w:top w:val="single" w:sz="4" w:space="0" w:color="auto"/>
              <w:left w:val="single" w:sz="4" w:space="0" w:color="auto"/>
              <w:bottom w:val="single" w:sz="4" w:space="0" w:color="auto"/>
              <w:right w:val="single" w:sz="4" w:space="0" w:color="auto"/>
            </w:tcBorders>
            <w:shd w:val="clear" w:color="auto" w:fill="auto"/>
          </w:tcPr>
          <w:p w14:paraId="7D8BCD9A" w14:textId="77777777" w:rsidR="00F04215" w:rsidRPr="00D1637A" w:rsidRDefault="00F04215" w:rsidP="00F04215">
            <w:pPr>
              <w:jc w:val="center"/>
              <w:rPr>
                <w:rFonts w:cs="Arial"/>
                <w:bCs/>
              </w:rPr>
            </w:pPr>
          </w:p>
        </w:tc>
        <w:tc>
          <w:tcPr>
            <w:tcW w:w="1935" w:type="dxa"/>
            <w:tcBorders>
              <w:top w:val="single" w:sz="4" w:space="0" w:color="auto"/>
              <w:left w:val="nil"/>
              <w:bottom w:val="single" w:sz="4" w:space="0" w:color="auto"/>
              <w:right w:val="single" w:sz="4" w:space="0" w:color="auto"/>
            </w:tcBorders>
            <w:shd w:val="clear" w:color="auto" w:fill="auto"/>
          </w:tcPr>
          <w:p w14:paraId="775B81AE" w14:textId="77777777" w:rsidR="00F04215" w:rsidDel="00691E06" w:rsidRDefault="00F04215" w:rsidP="00F04215">
            <w:pPr>
              <w:jc w:val="center"/>
              <w:rPr>
                <w:rFonts w:cs="Arial"/>
                <w:bCs/>
              </w:rPr>
            </w:pPr>
            <w:r w:rsidRPr="00D81812">
              <w:t>(a)</w:t>
            </w:r>
          </w:p>
        </w:tc>
        <w:tc>
          <w:tcPr>
            <w:tcW w:w="1414" w:type="dxa"/>
            <w:tcBorders>
              <w:top w:val="single" w:sz="4" w:space="0" w:color="auto"/>
              <w:left w:val="nil"/>
              <w:bottom w:val="single" w:sz="4" w:space="0" w:color="auto"/>
              <w:right w:val="single" w:sz="4" w:space="0" w:color="auto"/>
            </w:tcBorders>
            <w:shd w:val="clear" w:color="auto" w:fill="auto"/>
          </w:tcPr>
          <w:p w14:paraId="0C8AF06B" w14:textId="77777777" w:rsidR="00F04215" w:rsidRPr="00D1637A" w:rsidRDefault="00F04215" w:rsidP="00F04215">
            <w:pPr>
              <w:jc w:val="center"/>
              <w:rPr>
                <w:rFonts w:cs="Arial"/>
                <w:bCs/>
              </w:rPr>
            </w:pPr>
            <w:r w:rsidRPr="00D81812">
              <w:t>(b)</w:t>
            </w:r>
          </w:p>
        </w:tc>
        <w:tc>
          <w:tcPr>
            <w:tcW w:w="1327" w:type="dxa"/>
            <w:tcBorders>
              <w:top w:val="single" w:sz="4" w:space="0" w:color="auto"/>
              <w:left w:val="nil"/>
              <w:bottom w:val="single" w:sz="4" w:space="0" w:color="auto"/>
              <w:right w:val="single" w:sz="4" w:space="0" w:color="auto"/>
            </w:tcBorders>
            <w:shd w:val="clear" w:color="auto" w:fill="auto"/>
          </w:tcPr>
          <w:p w14:paraId="4935E441" w14:textId="77777777" w:rsidR="00F04215" w:rsidRPr="00D1637A" w:rsidRDefault="00AD27CE" w:rsidP="00F04215">
            <w:pPr>
              <w:jc w:val="center"/>
              <w:rPr>
                <w:rFonts w:cs="Arial"/>
                <w:bCs/>
              </w:rPr>
            </w:pPr>
            <w:r>
              <w:t>(</w:t>
            </w:r>
            <w:r w:rsidR="00F04215" w:rsidRPr="00D81812">
              <w:t>c)</w:t>
            </w:r>
          </w:p>
        </w:tc>
        <w:tc>
          <w:tcPr>
            <w:tcW w:w="1296" w:type="dxa"/>
            <w:tcBorders>
              <w:top w:val="single" w:sz="4" w:space="0" w:color="auto"/>
              <w:left w:val="nil"/>
              <w:bottom w:val="single" w:sz="4" w:space="0" w:color="auto"/>
              <w:right w:val="single" w:sz="4" w:space="0" w:color="auto"/>
            </w:tcBorders>
            <w:shd w:val="clear" w:color="auto" w:fill="auto"/>
          </w:tcPr>
          <w:p w14:paraId="338271F9" w14:textId="77777777" w:rsidR="00F04215" w:rsidRPr="00D1637A" w:rsidRDefault="00F04215" w:rsidP="00F04215">
            <w:pPr>
              <w:jc w:val="center"/>
              <w:rPr>
                <w:rFonts w:cs="Arial"/>
                <w:bCs/>
              </w:rPr>
            </w:pPr>
            <w:r w:rsidRPr="00D81812">
              <w:t>(d) = (a) x (b) x (c)</w:t>
            </w:r>
          </w:p>
        </w:tc>
        <w:tc>
          <w:tcPr>
            <w:tcW w:w="1536" w:type="dxa"/>
            <w:tcBorders>
              <w:top w:val="single" w:sz="4" w:space="0" w:color="auto"/>
              <w:left w:val="nil"/>
              <w:bottom w:val="single" w:sz="4" w:space="0" w:color="auto"/>
              <w:right w:val="single" w:sz="4" w:space="0" w:color="auto"/>
            </w:tcBorders>
          </w:tcPr>
          <w:p w14:paraId="2E5B2790" w14:textId="77777777" w:rsidR="00F04215" w:rsidRDefault="00555F56" w:rsidP="004337E2">
            <w:pPr>
              <w:rPr>
                <w:rFonts w:cs="Arial"/>
                <w:bCs/>
              </w:rPr>
            </w:pPr>
            <w:r>
              <w:t>(e) = (d</w:t>
            </w:r>
            <w:r w:rsidR="00F04215" w:rsidRPr="00D81812">
              <w:t>) x $</w:t>
            </w:r>
            <w:r w:rsidR="004337E2">
              <w:t>78.93</w:t>
            </w:r>
          </w:p>
        </w:tc>
      </w:tr>
      <w:tr w:rsidR="00D1637A" w:rsidRPr="00392683" w14:paraId="6016781E" w14:textId="77777777" w:rsidTr="007F7C15">
        <w:trPr>
          <w:trHeight w:val="737"/>
        </w:trPr>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14:paraId="5B373681" w14:textId="77777777" w:rsidR="00D1637A" w:rsidRPr="006A3E56" w:rsidRDefault="00D1637A" w:rsidP="00D1637A">
            <w:pPr>
              <w:jc w:val="center"/>
              <w:rPr>
                <w:rFonts w:cs="Arial"/>
                <w:bCs/>
              </w:rPr>
            </w:pPr>
            <w:r w:rsidRPr="006A3E56">
              <w:rPr>
                <w:rFonts w:cs="Arial"/>
                <w:bCs/>
              </w:rPr>
              <w:t>Request for Redetermination</w:t>
            </w:r>
          </w:p>
        </w:tc>
        <w:tc>
          <w:tcPr>
            <w:tcW w:w="1935" w:type="dxa"/>
            <w:tcBorders>
              <w:top w:val="single" w:sz="4" w:space="0" w:color="auto"/>
              <w:left w:val="nil"/>
              <w:bottom w:val="single" w:sz="4" w:space="0" w:color="auto"/>
              <w:right w:val="single" w:sz="4" w:space="0" w:color="auto"/>
            </w:tcBorders>
            <w:shd w:val="clear" w:color="auto" w:fill="auto"/>
            <w:vAlign w:val="center"/>
          </w:tcPr>
          <w:p w14:paraId="7032E593" w14:textId="77777777" w:rsidR="00D1637A" w:rsidRPr="00D1637A" w:rsidRDefault="00691E06" w:rsidP="00D1637A">
            <w:pPr>
              <w:jc w:val="center"/>
              <w:rPr>
                <w:rFonts w:cs="Arial"/>
                <w:bCs/>
              </w:rPr>
            </w:pPr>
            <w:r>
              <w:rPr>
                <w:rFonts w:cs="Arial"/>
                <w:bCs/>
              </w:rPr>
              <w:t>625</w:t>
            </w:r>
          </w:p>
        </w:tc>
        <w:tc>
          <w:tcPr>
            <w:tcW w:w="1414" w:type="dxa"/>
            <w:tcBorders>
              <w:top w:val="single" w:sz="4" w:space="0" w:color="auto"/>
              <w:left w:val="nil"/>
              <w:bottom w:val="single" w:sz="4" w:space="0" w:color="auto"/>
              <w:right w:val="single" w:sz="4" w:space="0" w:color="auto"/>
            </w:tcBorders>
            <w:shd w:val="clear" w:color="auto" w:fill="auto"/>
            <w:vAlign w:val="center"/>
          </w:tcPr>
          <w:p w14:paraId="6B9E3C20" w14:textId="77777777" w:rsidR="00D1637A" w:rsidRPr="00D1637A" w:rsidRDefault="00D1637A" w:rsidP="00D1637A">
            <w:pPr>
              <w:jc w:val="center"/>
              <w:rPr>
                <w:rFonts w:cs="Arial"/>
                <w:bCs/>
              </w:rPr>
            </w:pPr>
            <w:r w:rsidRPr="00D1637A">
              <w:rPr>
                <w:rFonts w:cs="Arial"/>
                <w:bCs/>
              </w:rPr>
              <w:t>1</w:t>
            </w:r>
          </w:p>
        </w:tc>
        <w:tc>
          <w:tcPr>
            <w:tcW w:w="1327" w:type="dxa"/>
            <w:tcBorders>
              <w:top w:val="single" w:sz="4" w:space="0" w:color="auto"/>
              <w:left w:val="nil"/>
              <w:bottom w:val="single" w:sz="4" w:space="0" w:color="auto"/>
              <w:right w:val="single" w:sz="4" w:space="0" w:color="auto"/>
            </w:tcBorders>
            <w:shd w:val="clear" w:color="auto" w:fill="auto"/>
            <w:vAlign w:val="center"/>
          </w:tcPr>
          <w:p w14:paraId="30757E0E" w14:textId="77777777" w:rsidR="00D1637A" w:rsidRPr="00D1637A" w:rsidRDefault="00D1637A" w:rsidP="00D1637A">
            <w:pPr>
              <w:jc w:val="center"/>
              <w:rPr>
                <w:rFonts w:cs="Arial"/>
                <w:bCs/>
              </w:rPr>
            </w:pPr>
            <w:r w:rsidRPr="00D1637A">
              <w:rPr>
                <w:rFonts w:cs="Arial"/>
                <w:bCs/>
              </w:rPr>
              <w:t>0.25</w:t>
            </w:r>
          </w:p>
        </w:tc>
        <w:tc>
          <w:tcPr>
            <w:tcW w:w="1296" w:type="dxa"/>
            <w:tcBorders>
              <w:top w:val="single" w:sz="4" w:space="0" w:color="auto"/>
              <w:left w:val="nil"/>
              <w:bottom w:val="single" w:sz="4" w:space="0" w:color="auto"/>
              <w:right w:val="single" w:sz="4" w:space="0" w:color="auto"/>
            </w:tcBorders>
            <w:shd w:val="clear" w:color="auto" w:fill="auto"/>
            <w:vAlign w:val="center"/>
          </w:tcPr>
          <w:p w14:paraId="26719E41" w14:textId="77777777" w:rsidR="00D1637A" w:rsidRPr="00D1637A" w:rsidRDefault="008A68D4" w:rsidP="008A68D4">
            <w:pPr>
              <w:rPr>
                <w:rFonts w:cs="Arial"/>
                <w:bCs/>
              </w:rPr>
            </w:pPr>
            <w:r>
              <w:rPr>
                <w:rFonts w:cs="Arial"/>
                <w:bCs/>
              </w:rPr>
              <w:t xml:space="preserve">  </w:t>
            </w:r>
            <w:r w:rsidR="00D1637A" w:rsidRPr="00D1637A">
              <w:rPr>
                <w:rFonts w:cs="Arial"/>
                <w:bCs/>
              </w:rPr>
              <w:t>156.25</w:t>
            </w:r>
          </w:p>
        </w:tc>
        <w:tc>
          <w:tcPr>
            <w:tcW w:w="1536" w:type="dxa"/>
            <w:tcBorders>
              <w:top w:val="single" w:sz="4" w:space="0" w:color="auto"/>
              <w:left w:val="nil"/>
              <w:bottom w:val="single" w:sz="4" w:space="0" w:color="auto"/>
              <w:right w:val="single" w:sz="4" w:space="0" w:color="auto"/>
            </w:tcBorders>
          </w:tcPr>
          <w:p w14:paraId="6FD0DBCF" w14:textId="77777777" w:rsidR="00D1637A" w:rsidRDefault="00D1637A" w:rsidP="00D1637A">
            <w:pPr>
              <w:rPr>
                <w:rFonts w:cs="Arial"/>
                <w:bCs/>
              </w:rPr>
            </w:pPr>
            <w:r>
              <w:rPr>
                <w:rFonts w:cs="Arial"/>
                <w:bCs/>
              </w:rPr>
              <w:t xml:space="preserve"> </w:t>
            </w:r>
          </w:p>
          <w:p w14:paraId="3A8D76E1" w14:textId="77777777" w:rsidR="00D1637A" w:rsidRPr="00D1637A" w:rsidRDefault="00220A45" w:rsidP="004337E2">
            <w:pPr>
              <w:rPr>
                <w:rFonts w:cs="Arial"/>
                <w:bCs/>
              </w:rPr>
            </w:pPr>
            <w:r>
              <w:rPr>
                <w:rFonts w:cs="Arial"/>
                <w:bCs/>
              </w:rPr>
              <w:t xml:space="preserve">   </w:t>
            </w:r>
            <w:r w:rsidR="004A0FB5">
              <w:rPr>
                <w:rFonts w:cs="Arial"/>
                <w:bCs/>
              </w:rPr>
              <w:t>$</w:t>
            </w:r>
            <w:r w:rsidR="004337E2">
              <w:rPr>
                <w:rFonts w:cs="Arial"/>
                <w:bCs/>
              </w:rPr>
              <w:t>12,333</w:t>
            </w:r>
          </w:p>
        </w:tc>
      </w:tr>
      <w:tr w:rsidR="004C1CC8" w:rsidRPr="00392683" w14:paraId="133101DC" w14:textId="77777777" w:rsidTr="007F7C15">
        <w:trPr>
          <w:trHeight w:val="300"/>
        </w:trPr>
        <w:tc>
          <w:tcPr>
            <w:tcW w:w="1965" w:type="dxa"/>
            <w:tcBorders>
              <w:top w:val="nil"/>
              <w:left w:val="single" w:sz="4" w:space="0" w:color="auto"/>
              <w:bottom w:val="single" w:sz="4" w:space="0" w:color="auto"/>
              <w:right w:val="single" w:sz="4" w:space="0" w:color="auto"/>
            </w:tcBorders>
            <w:shd w:val="clear" w:color="auto" w:fill="auto"/>
            <w:vAlign w:val="center"/>
          </w:tcPr>
          <w:p w14:paraId="590B03B1" w14:textId="77777777" w:rsidR="004C1CC8" w:rsidRPr="006A3E56" w:rsidRDefault="004C1CC8" w:rsidP="00DE1B76">
            <w:pPr>
              <w:jc w:val="center"/>
              <w:rPr>
                <w:rFonts w:cs="Arial"/>
                <w:bCs/>
              </w:rPr>
            </w:pPr>
            <w:r w:rsidRPr="006A3E56">
              <w:rPr>
                <w:rFonts w:cs="Arial"/>
                <w:bCs/>
              </w:rPr>
              <w:t>Request for an E</w:t>
            </w:r>
            <w:r w:rsidR="00426C41" w:rsidRPr="006A3E56">
              <w:rPr>
                <w:rFonts w:cs="Arial"/>
                <w:bCs/>
              </w:rPr>
              <w:t>x</w:t>
            </w:r>
            <w:r w:rsidRPr="006A3E56">
              <w:rPr>
                <w:rFonts w:cs="Arial"/>
                <w:bCs/>
              </w:rPr>
              <w:t>tension</w:t>
            </w:r>
          </w:p>
        </w:tc>
        <w:tc>
          <w:tcPr>
            <w:tcW w:w="1935" w:type="dxa"/>
            <w:tcBorders>
              <w:top w:val="nil"/>
              <w:left w:val="nil"/>
              <w:bottom w:val="single" w:sz="4" w:space="0" w:color="auto"/>
              <w:right w:val="single" w:sz="4" w:space="0" w:color="auto"/>
            </w:tcBorders>
            <w:shd w:val="clear" w:color="auto" w:fill="auto"/>
            <w:vAlign w:val="center"/>
          </w:tcPr>
          <w:p w14:paraId="1699939E" w14:textId="77777777" w:rsidR="004C1CC8" w:rsidRPr="006D64F9" w:rsidRDefault="0011606B" w:rsidP="00DE1B76">
            <w:pPr>
              <w:jc w:val="center"/>
              <w:rPr>
                <w:rFonts w:cs="Arial"/>
              </w:rPr>
            </w:pPr>
            <w:r>
              <w:rPr>
                <w:rFonts w:cs="Arial"/>
              </w:rPr>
              <w:t>730</w:t>
            </w:r>
          </w:p>
        </w:tc>
        <w:tc>
          <w:tcPr>
            <w:tcW w:w="1414" w:type="dxa"/>
            <w:tcBorders>
              <w:top w:val="nil"/>
              <w:left w:val="nil"/>
              <w:bottom w:val="single" w:sz="4" w:space="0" w:color="auto"/>
              <w:right w:val="single" w:sz="4" w:space="0" w:color="auto"/>
            </w:tcBorders>
            <w:shd w:val="clear" w:color="auto" w:fill="auto"/>
            <w:vAlign w:val="center"/>
          </w:tcPr>
          <w:p w14:paraId="1CC0C09C" w14:textId="77777777" w:rsidR="004C1CC8" w:rsidRPr="006D64F9" w:rsidRDefault="004C1CC8" w:rsidP="00DE1B76">
            <w:pPr>
              <w:jc w:val="center"/>
              <w:rPr>
                <w:rFonts w:cs="Arial"/>
              </w:rPr>
            </w:pPr>
            <w:r w:rsidRPr="006D64F9">
              <w:rPr>
                <w:rFonts w:cs="Arial"/>
              </w:rPr>
              <w:t>1</w:t>
            </w:r>
          </w:p>
        </w:tc>
        <w:tc>
          <w:tcPr>
            <w:tcW w:w="1327" w:type="dxa"/>
            <w:tcBorders>
              <w:top w:val="nil"/>
              <w:left w:val="nil"/>
              <w:bottom w:val="single" w:sz="4" w:space="0" w:color="auto"/>
              <w:right w:val="single" w:sz="4" w:space="0" w:color="auto"/>
            </w:tcBorders>
            <w:shd w:val="clear" w:color="auto" w:fill="auto"/>
            <w:vAlign w:val="center"/>
          </w:tcPr>
          <w:p w14:paraId="29A9DA98" w14:textId="77777777" w:rsidR="004C1CC8" w:rsidRPr="006D64F9" w:rsidRDefault="00B82E1A" w:rsidP="00B82E1A">
            <w:pPr>
              <w:jc w:val="center"/>
              <w:rPr>
                <w:rFonts w:cs="Arial"/>
              </w:rPr>
            </w:pPr>
            <w:r>
              <w:rPr>
                <w:rFonts w:cs="Arial"/>
              </w:rPr>
              <w:t>0.08</w:t>
            </w:r>
            <w:r w:rsidRPr="00B82E1A">
              <w:rPr>
                <w:rFonts w:cs="Arial"/>
              </w:rPr>
              <w:t xml:space="preserve"> </w:t>
            </w:r>
          </w:p>
        </w:tc>
        <w:tc>
          <w:tcPr>
            <w:tcW w:w="1296" w:type="dxa"/>
            <w:tcBorders>
              <w:top w:val="nil"/>
              <w:left w:val="nil"/>
              <w:bottom w:val="single" w:sz="4" w:space="0" w:color="auto"/>
              <w:right w:val="single" w:sz="4" w:space="0" w:color="auto"/>
            </w:tcBorders>
            <w:shd w:val="clear" w:color="auto" w:fill="auto"/>
            <w:vAlign w:val="center"/>
          </w:tcPr>
          <w:p w14:paraId="7433BC5A" w14:textId="77777777" w:rsidR="004C1CC8" w:rsidRPr="006D64F9" w:rsidRDefault="009B6C8B" w:rsidP="00DE1B76">
            <w:pPr>
              <w:jc w:val="center"/>
              <w:rPr>
                <w:rFonts w:cs="Arial"/>
              </w:rPr>
            </w:pPr>
            <w:r>
              <w:rPr>
                <w:rFonts w:cs="Arial"/>
              </w:rPr>
              <w:t>58.4</w:t>
            </w:r>
          </w:p>
        </w:tc>
        <w:tc>
          <w:tcPr>
            <w:tcW w:w="1536" w:type="dxa"/>
            <w:tcBorders>
              <w:top w:val="nil"/>
              <w:left w:val="nil"/>
              <w:bottom w:val="single" w:sz="4" w:space="0" w:color="auto"/>
              <w:right w:val="single" w:sz="4" w:space="0" w:color="auto"/>
            </w:tcBorders>
            <w:vAlign w:val="center"/>
          </w:tcPr>
          <w:p w14:paraId="7FCDBF4E" w14:textId="77777777" w:rsidR="004C1CC8" w:rsidRPr="006D64F9" w:rsidRDefault="008A68D4" w:rsidP="004337E2">
            <w:pPr>
              <w:rPr>
                <w:rFonts w:cs="Arial"/>
              </w:rPr>
            </w:pPr>
            <w:r>
              <w:rPr>
                <w:rFonts w:cs="Arial"/>
              </w:rPr>
              <w:t xml:space="preserve">     </w:t>
            </w:r>
            <w:r w:rsidR="004A0FB5">
              <w:rPr>
                <w:rFonts w:cs="Arial"/>
              </w:rPr>
              <w:t>$</w:t>
            </w:r>
            <w:r w:rsidR="004337E2">
              <w:rPr>
                <w:rFonts w:cs="Arial"/>
              </w:rPr>
              <w:t>4,610</w:t>
            </w:r>
          </w:p>
        </w:tc>
      </w:tr>
      <w:tr w:rsidR="00CE2D07" w:rsidRPr="00392683" w14:paraId="399FB407" w14:textId="77777777" w:rsidTr="007F7C15">
        <w:trPr>
          <w:trHeight w:val="300"/>
        </w:trPr>
        <w:tc>
          <w:tcPr>
            <w:tcW w:w="1965" w:type="dxa"/>
            <w:tcBorders>
              <w:top w:val="nil"/>
              <w:left w:val="single" w:sz="4" w:space="0" w:color="auto"/>
              <w:bottom w:val="single" w:sz="4" w:space="0" w:color="auto"/>
              <w:right w:val="single" w:sz="4" w:space="0" w:color="auto"/>
            </w:tcBorders>
            <w:shd w:val="clear" w:color="auto" w:fill="auto"/>
          </w:tcPr>
          <w:p w14:paraId="5A210566" w14:textId="77777777" w:rsidR="00CE2D07" w:rsidRPr="00C73E35" w:rsidRDefault="00CE2D07" w:rsidP="00CE2D07">
            <w:pPr>
              <w:jc w:val="center"/>
              <w:rPr>
                <w:rFonts w:cs="Arial"/>
                <w:bCs/>
              </w:rPr>
            </w:pPr>
            <w:r w:rsidRPr="00C73E35">
              <w:t>Top-Screen</w:t>
            </w:r>
            <w:r w:rsidR="00AB72B8" w:rsidRPr="00C73E35">
              <w:t xml:space="preserve"> Update</w:t>
            </w:r>
          </w:p>
        </w:tc>
        <w:tc>
          <w:tcPr>
            <w:tcW w:w="1935" w:type="dxa"/>
            <w:tcBorders>
              <w:top w:val="nil"/>
              <w:left w:val="nil"/>
              <w:bottom w:val="single" w:sz="4" w:space="0" w:color="auto"/>
              <w:right w:val="single" w:sz="4" w:space="0" w:color="auto"/>
            </w:tcBorders>
            <w:shd w:val="clear" w:color="auto" w:fill="auto"/>
          </w:tcPr>
          <w:p w14:paraId="3FD907E6" w14:textId="77777777" w:rsidR="00CE2D07" w:rsidRPr="006D64F9" w:rsidRDefault="008A68D4" w:rsidP="008A68D4">
            <w:pPr>
              <w:rPr>
                <w:rFonts w:cs="Arial"/>
              </w:rPr>
            </w:pPr>
            <w:r>
              <w:t xml:space="preserve">        </w:t>
            </w:r>
            <w:r w:rsidR="00CE2D07" w:rsidRPr="006D64F9">
              <w:t>1,250</w:t>
            </w:r>
          </w:p>
        </w:tc>
        <w:tc>
          <w:tcPr>
            <w:tcW w:w="1414" w:type="dxa"/>
            <w:tcBorders>
              <w:top w:val="nil"/>
              <w:left w:val="nil"/>
              <w:bottom w:val="single" w:sz="4" w:space="0" w:color="auto"/>
              <w:right w:val="single" w:sz="4" w:space="0" w:color="auto"/>
            </w:tcBorders>
            <w:shd w:val="clear" w:color="auto" w:fill="auto"/>
          </w:tcPr>
          <w:p w14:paraId="0410E756" w14:textId="77777777" w:rsidR="00CE2D07" w:rsidRPr="006D64F9" w:rsidRDefault="00CE2D07" w:rsidP="00CE2D07">
            <w:pPr>
              <w:jc w:val="center"/>
              <w:rPr>
                <w:rFonts w:cs="Arial"/>
              </w:rPr>
            </w:pPr>
            <w:r w:rsidRPr="006D64F9">
              <w:t>1.5</w:t>
            </w:r>
          </w:p>
        </w:tc>
        <w:tc>
          <w:tcPr>
            <w:tcW w:w="1327" w:type="dxa"/>
            <w:tcBorders>
              <w:top w:val="nil"/>
              <w:left w:val="nil"/>
              <w:bottom w:val="single" w:sz="4" w:space="0" w:color="auto"/>
              <w:right w:val="single" w:sz="4" w:space="0" w:color="auto"/>
            </w:tcBorders>
            <w:shd w:val="clear" w:color="auto" w:fill="auto"/>
          </w:tcPr>
          <w:p w14:paraId="17878D7C" w14:textId="77777777" w:rsidR="00CE2D07" w:rsidRPr="006D64F9" w:rsidRDefault="00B82E1A" w:rsidP="00CE2D07">
            <w:pPr>
              <w:jc w:val="center"/>
              <w:rPr>
                <w:rFonts w:cs="Arial"/>
              </w:rPr>
            </w:pPr>
            <w:r w:rsidRPr="00B82E1A">
              <w:t>0.08</w:t>
            </w:r>
          </w:p>
        </w:tc>
        <w:tc>
          <w:tcPr>
            <w:tcW w:w="1296" w:type="dxa"/>
            <w:tcBorders>
              <w:top w:val="nil"/>
              <w:left w:val="nil"/>
              <w:bottom w:val="single" w:sz="4" w:space="0" w:color="auto"/>
              <w:right w:val="single" w:sz="4" w:space="0" w:color="auto"/>
            </w:tcBorders>
            <w:shd w:val="clear" w:color="auto" w:fill="auto"/>
          </w:tcPr>
          <w:p w14:paraId="464B8D36" w14:textId="77777777" w:rsidR="00CE2D07" w:rsidRPr="006D64F9" w:rsidRDefault="008A68D4" w:rsidP="008A68D4">
            <w:pPr>
              <w:rPr>
                <w:rFonts w:cs="Arial"/>
              </w:rPr>
            </w:pPr>
            <w:r>
              <w:t xml:space="preserve">      </w:t>
            </w:r>
            <w:r w:rsidR="009B6C8B">
              <w:t>15</w:t>
            </w:r>
            <w:r>
              <w:t>0</w:t>
            </w:r>
          </w:p>
        </w:tc>
        <w:tc>
          <w:tcPr>
            <w:tcW w:w="1536" w:type="dxa"/>
            <w:tcBorders>
              <w:top w:val="nil"/>
              <w:left w:val="nil"/>
              <w:bottom w:val="single" w:sz="4" w:space="0" w:color="auto"/>
              <w:right w:val="single" w:sz="4" w:space="0" w:color="auto"/>
            </w:tcBorders>
          </w:tcPr>
          <w:p w14:paraId="5B752F2D" w14:textId="77777777" w:rsidR="00CE2D07" w:rsidRPr="006D64F9" w:rsidRDefault="00220A45" w:rsidP="004337E2">
            <w:pPr>
              <w:rPr>
                <w:rFonts w:cs="Arial"/>
              </w:rPr>
            </w:pPr>
            <w:r>
              <w:t xml:space="preserve">   </w:t>
            </w:r>
            <w:r w:rsidR="004A0FB5">
              <w:t>$</w:t>
            </w:r>
            <w:r w:rsidR="004337E2">
              <w:t>11,840</w:t>
            </w:r>
          </w:p>
        </w:tc>
      </w:tr>
      <w:tr w:rsidR="005A6CB2" w:rsidRPr="00392683" w14:paraId="41B51D6B" w14:textId="77777777" w:rsidTr="007F7C15">
        <w:trPr>
          <w:trHeight w:val="233"/>
        </w:trPr>
        <w:tc>
          <w:tcPr>
            <w:tcW w:w="1965" w:type="dxa"/>
            <w:tcBorders>
              <w:top w:val="nil"/>
              <w:left w:val="single" w:sz="4" w:space="0" w:color="auto"/>
              <w:bottom w:val="single" w:sz="4" w:space="0" w:color="auto"/>
              <w:right w:val="single" w:sz="4" w:space="0" w:color="auto"/>
            </w:tcBorders>
            <w:shd w:val="clear" w:color="auto" w:fill="auto"/>
          </w:tcPr>
          <w:p w14:paraId="3ECA52D9" w14:textId="77777777" w:rsidR="005A6CB2" w:rsidRPr="00C73E35" w:rsidRDefault="005A6CB2" w:rsidP="00AB72B8">
            <w:pPr>
              <w:jc w:val="center"/>
              <w:rPr>
                <w:rFonts w:cs="Arial"/>
                <w:bCs/>
              </w:rPr>
            </w:pPr>
            <w:r w:rsidRPr="00C73E35">
              <w:t xml:space="preserve">Compliance Assistance  </w:t>
            </w:r>
          </w:p>
        </w:tc>
        <w:tc>
          <w:tcPr>
            <w:tcW w:w="1935" w:type="dxa"/>
            <w:tcBorders>
              <w:top w:val="nil"/>
              <w:left w:val="nil"/>
              <w:bottom w:val="single" w:sz="4" w:space="0" w:color="auto"/>
              <w:right w:val="single" w:sz="4" w:space="0" w:color="auto"/>
            </w:tcBorders>
            <w:shd w:val="clear" w:color="auto" w:fill="auto"/>
          </w:tcPr>
          <w:p w14:paraId="72D934A8" w14:textId="77777777" w:rsidR="005A6CB2" w:rsidRPr="006D64F9" w:rsidRDefault="00B57481" w:rsidP="005A6CB2">
            <w:pPr>
              <w:jc w:val="center"/>
              <w:rPr>
                <w:rFonts w:cs="Arial"/>
              </w:rPr>
            </w:pPr>
            <w:r>
              <w:t>455</w:t>
            </w:r>
          </w:p>
        </w:tc>
        <w:tc>
          <w:tcPr>
            <w:tcW w:w="1414" w:type="dxa"/>
            <w:tcBorders>
              <w:top w:val="nil"/>
              <w:left w:val="nil"/>
              <w:bottom w:val="single" w:sz="4" w:space="0" w:color="auto"/>
              <w:right w:val="single" w:sz="4" w:space="0" w:color="auto"/>
            </w:tcBorders>
            <w:shd w:val="clear" w:color="auto" w:fill="auto"/>
          </w:tcPr>
          <w:p w14:paraId="11C60B78" w14:textId="77777777" w:rsidR="005A6CB2" w:rsidRPr="006D64F9" w:rsidRDefault="005A6CB2" w:rsidP="005A6CB2">
            <w:pPr>
              <w:jc w:val="center"/>
              <w:rPr>
                <w:rFonts w:cs="Arial"/>
              </w:rPr>
            </w:pPr>
            <w:r w:rsidRPr="006D64F9">
              <w:t>1.5</w:t>
            </w:r>
          </w:p>
        </w:tc>
        <w:tc>
          <w:tcPr>
            <w:tcW w:w="1327" w:type="dxa"/>
            <w:tcBorders>
              <w:top w:val="nil"/>
              <w:left w:val="nil"/>
              <w:bottom w:val="single" w:sz="4" w:space="0" w:color="auto"/>
              <w:right w:val="single" w:sz="4" w:space="0" w:color="auto"/>
            </w:tcBorders>
            <w:shd w:val="clear" w:color="auto" w:fill="auto"/>
          </w:tcPr>
          <w:p w14:paraId="75B2A693" w14:textId="77777777" w:rsidR="005A6CB2" w:rsidRPr="006D64F9" w:rsidRDefault="00B82E1A" w:rsidP="005A6CB2">
            <w:pPr>
              <w:jc w:val="center"/>
              <w:rPr>
                <w:rFonts w:cs="Arial"/>
              </w:rPr>
            </w:pPr>
            <w:r w:rsidRPr="00B82E1A">
              <w:t>0.08</w:t>
            </w:r>
          </w:p>
        </w:tc>
        <w:tc>
          <w:tcPr>
            <w:tcW w:w="1296" w:type="dxa"/>
            <w:tcBorders>
              <w:top w:val="nil"/>
              <w:left w:val="nil"/>
              <w:bottom w:val="single" w:sz="4" w:space="0" w:color="auto"/>
              <w:right w:val="single" w:sz="4" w:space="0" w:color="auto"/>
            </w:tcBorders>
            <w:shd w:val="clear" w:color="auto" w:fill="auto"/>
          </w:tcPr>
          <w:p w14:paraId="61AD4724" w14:textId="77777777" w:rsidR="005A6CB2" w:rsidRPr="006D64F9" w:rsidRDefault="009B6C8B" w:rsidP="005A6CB2">
            <w:pPr>
              <w:jc w:val="center"/>
              <w:rPr>
                <w:rFonts w:cs="Arial"/>
              </w:rPr>
            </w:pPr>
            <w:r>
              <w:t>54.6</w:t>
            </w:r>
          </w:p>
        </w:tc>
        <w:tc>
          <w:tcPr>
            <w:tcW w:w="1536" w:type="dxa"/>
            <w:tcBorders>
              <w:top w:val="nil"/>
              <w:left w:val="nil"/>
              <w:bottom w:val="single" w:sz="4" w:space="0" w:color="auto"/>
              <w:right w:val="single" w:sz="4" w:space="0" w:color="auto"/>
            </w:tcBorders>
          </w:tcPr>
          <w:p w14:paraId="4F8F2617" w14:textId="77777777" w:rsidR="005A6CB2" w:rsidRPr="006D64F9" w:rsidRDefault="008A68D4" w:rsidP="004337E2">
            <w:pPr>
              <w:rPr>
                <w:rFonts w:cs="Arial"/>
              </w:rPr>
            </w:pPr>
            <w:r>
              <w:t xml:space="preserve">     </w:t>
            </w:r>
            <w:r w:rsidR="004A0FB5">
              <w:t>$</w:t>
            </w:r>
            <w:r w:rsidR="004337E2">
              <w:t>4,310</w:t>
            </w:r>
          </w:p>
        </w:tc>
      </w:tr>
      <w:tr w:rsidR="005A6CB2" w:rsidRPr="00392683" w14:paraId="5782CD33" w14:textId="77777777" w:rsidTr="007F7C15">
        <w:trPr>
          <w:trHeight w:val="233"/>
        </w:trPr>
        <w:tc>
          <w:tcPr>
            <w:tcW w:w="1965" w:type="dxa"/>
            <w:tcBorders>
              <w:top w:val="single" w:sz="4" w:space="0" w:color="auto"/>
              <w:left w:val="single" w:sz="4" w:space="0" w:color="auto"/>
              <w:bottom w:val="single" w:sz="4" w:space="0" w:color="auto"/>
              <w:right w:val="single" w:sz="4" w:space="0" w:color="auto"/>
            </w:tcBorders>
            <w:shd w:val="clear" w:color="auto" w:fill="auto"/>
          </w:tcPr>
          <w:p w14:paraId="5C365C46" w14:textId="77777777" w:rsidR="005A6CB2" w:rsidRPr="006A3E56" w:rsidRDefault="005A6CB2" w:rsidP="005A6CB2">
            <w:pPr>
              <w:jc w:val="center"/>
              <w:rPr>
                <w:rFonts w:cs="Arial"/>
                <w:bCs/>
              </w:rPr>
            </w:pPr>
            <w:r w:rsidRPr="006A3E56">
              <w:t>Declaration of Reporting Status</w:t>
            </w:r>
          </w:p>
        </w:tc>
        <w:tc>
          <w:tcPr>
            <w:tcW w:w="1935" w:type="dxa"/>
            <w:tcBorders>
              <w:top w:val="single" w:sz="4" w:space="0" w:color="auto"/>
              <w:left w:val="nil"/>
              <w:bottom w:val="single" w:sz="4" w:space="0" w:color="auto"/>
              <w:right w:val="single" w:sz="4" w:space="0" w:color="auto"/>
            </w:tcBorders>
            <w:shd w:val="clear" w:color="auto" w:fill="auto"/>
          </w:tcPr>
          <w:p w14:paraId="2C7ED16F" w14:textId="77777777" w:rsidR="005A6CB2" w:rsidRPr="006D64F9" w:rsidRDefault="00B56F06" w:rsidP="005A6CB2">
            <w:pPr>
              <w:jc w:val="center"/>
              <w:rPr>
                <w:rFonts w:cs="Arial"/>
              </w:rPr>
            </w:pPr>
            <w:r>
              <w:t>480</w:t>
            </w:r>
          </w:p>
        </w:tc>
        <w:tc>
          <w:tcPr>
            <w:tcW w:w="1414" w:type="dxa"/>
            <w:tcBorders>
              <w:top w:val="single" w:sz="4" w:space="0" w:color="auto"/>
              <w:left w:val="nil"/>
              <w:bottom w:val="single" w:sz="4" w:space="0" w:color="auto"/>
              <w:right w:val="single" w:sz="4" w:space="0" w:color="auto"/>
            </w:tcBorders>
            <w:shd w:val="clear" w:color="auto" w:fill="auto"/>
          </w:tcPr>
          <w:p w14:paraId="1835474C" w14:textId="77777777" w:rsidR="005A6CB2" w:rsidRPr="006D64F9" w:rsidRDefault="00B56F06" w:rsidP="005A6CB2">
            <w:pPr>
              <w:jc w:val="center"/>
              <w:rPr>
                <w:rFonts w:cs="Arial"/>
              </w:rPr>
            </w:pPr>
            <w:r>
              <w:t>1</w:t>
            </w:r>
          </w:p>
        </w:tc>
        <w:tc>
          <w:tcPr>
            <w:tcW w:w="1327" w:type="dxa"/>
            <w:tcBorders>
              <w:top w:val="single" w:sz="4" w:space="0" w:color="auto"/>
              <w:left w:val="nil"/>
              <w:bottom w:val="single" w:sz="4" w:space="0" w:color="auto"/>
              <w:right w:val="single" w:sz="4" w:space="0" w:color="auto"/>
            </w:tcBorders>
            <w:shd w:val="clear" w:color="auto" w:fill="auto"/>
          </w:tcPr>
          <w:p w14:paraId="4EFCFC62" w14:textId="77777777" w:rsidR="005A6CB2" w:rsidRPr="006D64F9" w:rsidRDefault="005A6CB2" w:rsidP="005A6CB2">
            <w:pPr>
              <w:jc w:val="center"/>
              <w:rPr>
                <w:rFonts w:cs="Arial"/>
              </w:rPr>
            </w:pPr>
            <w:r w:rsidRPr="006D64F9">
              <w:rPr>
                <w:rFonts w:cs="Arial"/>
              </w:rPr>
              <w:t>0.25</w:t>
            </w:r>
          </w:p>
        </w:tc>
        <w:tc>
          <w:tcPr>
            <w:tcW w:w="1296" w:type="dxa"/>
            <w:tcBorders>
              <w:top w:val="single" w:sz="4" w:space="0" w:color="auto"/>
              <w:left w:val="nil"/>
              <w:bottom w:val="single" w:sz="4" w:space="0" w:color="auto"/>
              <w:right w:val="single" w:sz="4" w:space="0" w:color="auto"/>
            </w:tcBorders>
            <w:shd w:val="clear" w:color="auto" w:fill="auto"/>
          </w:tcPr>
          <w:p w14:paraId="5A6B2A45" w14:textId="77777777" w:rsidR="005A6CB2" w:rsidRPr="006D64F9" w:rsidRDefault="008A68D4" w:rsidP="005A6CB2">
            <w:pPr>
              <w:jc w:val="center"/>
              <w:rPr>
                <w:rFonts w:cs="Arial"/>
              </w:rPr>
            </w:pPr>
            <w:r>
              <w:t xml:space="preserve"> </w:t>
            </w:r>
            <w:r w:rsidR="00B56F06">
              <w:t>120</w:t>
            </w:r>
          </w:p>
        </w:tc>
        <w:tc>
          <w:tcPr>
            <w:tcW w:w="1536" w:type="dxa"/>
            <w:tcBorders>
              <w:top w:val="single" w:sz="4" w:space="0" w:color="auto"/>
              <w:left w:val="nil"/>
              <w:bottom w:val="single" w:sz="4" w:space="0" w:color="auto"/>
              <w:right w:val="single" w:sz="4" w:space="0" w:color="auto"/>
            </w:tcBorders>
          </w:tcPr>
          <w:p w14:paraId="5C417DC5" w14:textId="77777777" w:rsidR="005A6CB2" w:rsidRPr="006D64F9" w:rsidRDefault="008A68D4" w:rsidP="004337E2">
            <w:pPr>
              <w:rPr>
                <w:rFonts w:cs="Arial"/>
              </w:rPr>
            </w:pPr>
            <w:r>
              <w:t xml:space="preserve">     </w:t>
            </w:r>
            <w:r w:rsidR="004A0FB5">
              <w:t>$</w:t>
            </w:r>
            <w:r w:rsidR="004337E2">
              <w:t>9,472</w:t>
            </w:r>
          </w:p>
        </w:tc>
      </w:tr>
      <w:tr w:rsidR="0014019D" w:rsidRPr="00392683" w14:paraId="036DF105" w14:textId="77777777" w:rsidTr="007F7C15">
        <w:trPr>
          <w:trHeight w:val="233"/>
        </w:trPr>
        <w:tc>
          <w:tcPr>
            <w:tcW w:w="1965" w:type="dxa"/>
            <w:tcBorders>
              <w:top w:val="single" w:sz="4" w:space="0" w:color="auto"/>
              <w:left w:val="single" w:sz="4" w:space="0" w:color="auto"/>
              <w:bottom w:val="single" w:sz="4" w:space="0" w:color="auto"/>
              <w:right w:val="single" w:sz="4" w:space="0" w:color="auto"/>
            </w:tcBorders>
            <w:shd w:val="clear" w:color="auto" w:fill="auto"/>
          </w:tcPr>
          <w:p w14:paraId="5007072D" w14:textId="77777777" w:rsidR="0014019D" w:rsidRPr="0014019D" w:rsidRDefault="0014019D" w:rsidP="005A6CB2">
            <w:pPr>
              <w:jc w:val="center"/>
              <w:rPr>
                <w:b/>
              </w:rPr>
            </w:pPr>
            <w:r>
              <w:rPr>
                <w:b/>
              </w:rPr>
              <w:t>Totals</w:t>
            </w:r>
          </w:p>
        </w:tc>
        <w:tc>
          <w:tcPr>
            <w:tcW w:w="1935" w:type="dxa"/>
            <w:tcBorders>
              <w:top w:val="single" w:sz="4" w:space="0" w:color="auto"/>
              <w:left w:val="nil"/>
              <w:bottom w:val="single" w:sz="4" w:space="0" w:color="auto"/>
              <w:right w:val="single" w:sz="4" w:space="0" w:color="auto"/>
            </w:tcBorders>
            <w:shd w:val="clear" w:color="auto" w:fill="auto"/>
          </w:tcPr>
          <w:p w14:paraId="38AB2789" w14:textId="77777777" w:rsidR="0014019D" w:rsidRPr="0014019D" w:rsidRDefault="0014019D" w:rsidP="005A6CB2">
            <w:pPr>
              <w:jc w:val="center"/>
              <w:rPr>
                <w:b/>
              </w:rPr>
            </w:pPr>
            <w:r w:rsidRPr="0014019D">
              <w:rPr>
                <w:b/>
              </w:rPr>
              <w:t>3,540</w:t>
            </w:r>
          </w:p>
        </w:tc>
        <w:tc>
          <w:tcPr>
            <w:tcW w:w="1414" w:type="dxa"/>
            <w:tcBorders>
              <w:top w:val="single" w:sz="4" w:space="0" w:color="auto"/>
              <w:left w:val="nil"/>
              <w:bottom w:val="single" w:sz="4" w:space="0" w:color="auto"/>
              <w:right w:val="single" w:sz="4" w:space="0" w:color="auto"/>
            </w:tcBorders>
            <w:shd w:val="clear" w:color="auto" w:fill="auto"/>
          </w:tcPr>
          <w:p w14:paraId="1918729C" w14:textId="77777777" w:rsidR="0014019D" w:rsidRPr="0014019D" w:rsidRDefault="0014019D" w:rsidP="005A6CB2">
            <w:pPr>
              <w:jc w:val="center"/>
              <w:rPr>
                <w:b/>
              </w:rPr>
            </w:pPr>
          </w:p>
        </w:tc>
        <w:tc>
          <w:tcPr>
            <w:tcW w:w="1327" w:type="dxa"/>
            <w:tcBorders>
              <w:top w:val="single" w:sz="4" w:space="0" w:color="auto"/>
              <w:left w:val="nil"/>
              <w:bottom w:val="single" w:sz="4" w:space="0" w:color="auto"/>
              <w:right w:val="single" w:sz="4" w:space="0" w:color="auto"/>
            </w:tcBorders>
            <w:shd w:val="clear" w:color="auto" w:fill="auto"/>
          </w:tcPr>
          <w:p w14:paraId="59F19B38" w14:textId="77777777" w:rsidR="0014019D" w:rsidRPr="0014019D" w:rsidRDefault="0014019D" w:rsidP="005A6CB2">
            <w:pPr>
              <w:jc w:val="center"/>
              <w:rPr>
                <w:rFonts w:cs="Arial"/>
                <w:b/>
              </w:rPr>
            </w:pPr>
          </w:p>
        </w:tc>
        <w:tc>
          <w:tcPr>
            <w:tcW w:w="1296" w:type="dxa"/>
            <w:tcBorders>
              <w:top w:val="single" w:sz="4" w:space="0" w:color="auto"/>
              <w:left w:val="nil"/>
              <w:bottom w:val="single" w:sz="4" w:space="0" w:color="auto"/>
              <w:right w:val="single" w:sz="4" w:space="0" w:color="auto"/>
            </w:tcBorders>
            <w:shd w:val="clear" w:color="auto" w:fill="auto"/>
          </w:tcPr>
          <w:p w14:paraId="24DC974D" w14:textId="77777777" w:rsidR="0014019D" w:rsidRPr="0014019D" w:rsidRDefault="0014019D" w:rsidP="005A6CB2">
            <w:pPr>
              <w:jc w:val="center"/>
              <w:rPr>
                <w:b/>
              </w:rPr>
            </w:pPr>
            <w:r w:rsidRPr="0014019D">
              <w:rPr>
                <w:b/>
              </w:rPr>
              <w:t>539.25</w:t>
            </w:r>
          </w:p>
        </w:tc>
        <w:tc>
          <w:tcPr>
            <w:tcW w:w="1536" w:type="dxa"/>
            <w:tcBorders>
              <w:top w:val="single" w:sz="4" w:space="0" w:color="auto"/>
              <w:left w:val="nil"/>
              <w:bottom w:val="single" w:sz="4" w:space="0" w:color="auto"/>
              <w:right w:val="single" w:sz="4" w:space="0" w:color="auto"/>
            </w:tcBorders>
          </w:tcPr>
          <w:p w14:paraId="3DA5244A" w14:textId="77777777" w:rsidR="0014019D" w:rsidRPr="0014019D" w:rsidRDefault="0014019D" w:rsidP="004337E2">
            <w:pPr>
              <w:jc w:val="center"/>
              <w:rPr>
                <w:b/>
              </w:rPr>
            </w:pPr>
            <w:r w:rsidRPr="0014019D">
              <w:rPr>
                <w:b/>
              </w:rPr>
              <w:t>$</w:t>
            </w:r>
            <w:r w:rsidR="004337E2">
              <w:rPr>
                <w:b/>
              </w:rPr>
              <w:t>42,565</w:t>
            </w:r>
          </w:p>
        </w:tc>
      </w:tr>
    </w:tbl>
    <w:p w14:paraId="2BC400E5" w14:textId="77777777" w:rsidR="00E57C22" w:rsidRDefault="004A0FB5" w:rsidP="000A4447">
      <w:r w:rsidRPr="004A0FB5">
        <w:t>Note:  Totals may not sum due to rounding.</w:t>
      </w:r>
    </w:p>
    <w:p w14:paraId="19630DE3" w14:textId="77777777" w:rsidR="004A0FB5" w:rsidRDefault="004A0FB5" w:rsidP="000A4447"/>
    <w:p w14:paraId="081875E4" w14:textId="77777777" w:rsidR="00934370" w:rsidRDefault="0020312D" w:rsidP="00A476B8">
      <w:r>
        <w:t>Accordingly</w:t>
      </w:r>
      <w:r w:rsidR="00A476B8" w:rsidRPr="00A476B8">
        <w:t xml:space="preserve">, the annual total estimate for reporting, recordkeeping and cost burden, under this collection, is </w:t>
      </w:r>
      <w:r w:rsidR="00A476B8">
        <w:t>$</w:t>
      </w:r>
      <w:r w:rsidR="005F0B5E">
        <w:t>42,565</w:t>
      </w:r>
      <w:r w:rsidR="00A476B8">
        <w:t xml:space="preserve">.  </w:t>
      </w:r>
    </w:p>
    <w:p w14:paraId="2D6F56B0" w14:textId="77777777" w:rsidR="00934370" w:rsidRPr="00272CF0" w:rsidRDefault="00934370" w:rsidP="000A4447"/>
    <w:p w14:paraId="235D73E2"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14:paraId="533365B0" w14:textId="77777777" w:rsidR="00EB5E96" w:rsidRPr="00596A43" w:rsidRDefault="00EB5E96" w:rsidP="000C4293">
      <w:pPr>
        <w:shd w:val="pct25" w:color="auto" w:fill="auto"/>
        <w:tabs>
          <w:tab w:val="left" w:pos="-720"/>
        </w:tabs>
        <w:suppressAutoHyphens/>
        <w:jc w:val="both"/>
      </w:pPr>
    </w:p>
    <w:p w14:paraId="75D100CD" w14:textId="77777777" w:rsidR="00EB5E96" w:rsidRPr="00596A43" w:rsidRDefault="00EB5E96" w:rsidP="000C4293">
      <w:pPr>
        <w:pStyle w:val="BodyText3"/>
        <w:tabs>
          <w:tab w:val="clear" w:pos="720"/>
          <w:tab w:val="left" w:pos="810"/>
        </w:tabs>
        <w:jc w:val="both"/>
        <w:rPr>
          <w:sz w:val="24"/>
          <w:szCs w:val="24"/>
        </w:rPr>
      </w:pPr>
      <w:r w:rsidRPr="00596A43">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E18BFF1" w14:textId="77777777" w:rsidR="00EB5E96" w:rsidRPr="00596A43" w:rsidRDefault="00EB5E96" w:rsidP="000C4293">
      <w:pPr>
        <w:shd w:val="pct25" w:color="auto" w:fill="FFFFFF"/>
        <w:tabs>
          <w:tab w:val="left" w:pos="-720"/>
        </w:tabs>
        <w:suppressAutoHyphens/>
        <w:jc w:val="both"/>
      </w:pPr>
      <w:r w:rsidRPr="00596A43">
        <w:fldChar w:fldCharType="begin"/>
      </w:r>
      <w:r w:rsidRPr="00596A43">
        <w:instrText>ADVANCE \R 0.95</w:instrText>
      </w:r>
      <w:r w:rsidRPr="00596A43">
        <w:fldChar w:fldCharType="end"/>
      </w:r>
    </w:p>
    <w:p w14:paraId="468869FA" w14:textId="77777777" w:rsidR="00EB5E96" w:rsidRPr="00596A43" w:rsidRDefault="00EB5E96" w:rsidP="000C4293">
      <w:pPr>
        <w:shd w:val="pct25" w:color="auto" w:fill="FFFFFF"/>
        <w:tabs>
          <w:tab w:val="left" w:pos="-720"/>
        </w:tabs>
        <w:suppressAutoHyphens/>
        <w:jc w:val="both"/>
      </w:pPr>
      <w:r w:rsidRPr="00596A43">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A56652C" w14:textId="77777777" w:rsidR="00EB5E96" w:rsidRPr="00596A43" w:rsidRDefault="00EB5E96" w:rsidP="000C4293">
      <w:pPr>
        <w:shd w:val="pct25" w:color="auto" w:fill="FFFFFF"/>
        <w:tabs>
          <w:tab w:val="left" w:pos="-720"/>
        </w:tabs>
        <w:suppressAutoHyphens/>
        <w:jc w:val="both"/>
      </w:pPr>
    </w:p>
    <w:p w14:paraId="5F744284" w14:textId="77777777" w:rsidR="00EB5E96" w:rsidRPr="00596A43" w:rsidRDefault="00EB5E96" w:rsidP="000C4293">
      <w:pPr>
        <w:shd w:val="pct25" w:color="auto" w:fill="FFFFFF"/>
        <w:tabs>
          <w:tab w:val="left" w:pos="-720"/>
        </w:tabs>
        <w:suppressAutoHyphens/>
        <w:jc w:val="both"/>
      </w:pPr>
      <w:r w:rsidRPr="00596A43">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14:paraId="0A28B3C6" w14:textId="77777777" w:rsidR="00EB5E96" w:rsidRPr="00596A43" w:rsidRDefault="00EB5E96" w:rsidP="000C4293">
      <w:pPr>
        <w:shd w:val="clear" w:color="auto" w:fill="FFFFFF"/>
        <w:tabs>
          <w:tab w:val="left" w:pos="-720"/>
        </w:tabs>
        <w:suppressAutoHyphens/>
        <w:jc w:val="both"/>
      </w:pPr>
    </w:p>
    <w:p w14:paraId="56856308" w14:textId="77777777" w:rsidR="005A6729" w:rsidRDefault="005E1E43" w:rsidP="00AC50A2">
      <w:r>
        <w:t xml:space="preserve">The Department provides access to CSAT free of charge and assumes that each respondent already has computer hardware and access to the internet for basic business needs.  </w:t>
      </w:r>
      <w:r w:rsidR="003D6447" w:rsidRPr="003D6447">
        <w:t xml:space="preserve">There are no other annualized capital or start-up costs incurred by chemical facilities of interest or high-risk chemical facilities for this information collection.  </w:t>
      </w:r>
    </w:p>
    <w:p w14:paraId="56351B46" w14:textId="77777777" w:rsidR="00B97C86" w:rsidRDefault="00B97C86" w:rsidP="00AC50A2"/>
    <w:p w14:paraId="4E641F73" w14:textId="77777777" w:rsidR="00B97C86" w:rsidRPr="00137A8D" w:rsidRDefault="00B97C86" w:rsidP="00B97C86">
      <w:r>
        <w:t xml:space="preserve">As explained in the Department’s most recent 60-day notice for </w:t>
      </w:r>
      <w:r w:rsidRPr="00137A8D">
        <w:t>ICR 1670-0007</w:t>
      </w:r>
      <w:r>
        <w:t xml:space="preserve">, the Department estimates that the CFATS recordkeeping burden for respondents that are determined not to be high-risk is </w:t>
      </w:r>
      <w:r w:rsidRPr="002D1C95">
        <w:rPr>
          <w:i/>
        </w:rPr>
        <w:t>de minimus</w:t>
      </w:r>
      <w:r w:rsidRPr="00137A8D">
        <w:t xml:space="preserve">. </w:t>
      </w:r>
      <w:r w:rsidRPr="002D1C95">
        <w:rPr>
          <w:i/>
        </w:rPr>
        <w:t>See</w:t>
      </w:r>
      <w:r>
        <w:t xml:space="preserve"> 80 FR 72088.  In addition, for those facilities that are determined to be high-risk, the Department assumes that such facilities already possess the necessary means to reasonably protect documents in electronic or paper formats.  Since the Department also accounted for such recordkeeping costs in the most recent 60-day notice for ICR 1670-007, the Department believes accounting for these costs in this ICR would be duplicative.  </w:t>
      </w:r>
      <w:r>
        <w:rPr>
          <w:i/>
        </w:rPr>
        <w:t xml:space="preserve">See </w:t>
      </w:r>
      <w:r>
        <w:t>80 FR 72091.</w:t>
      </w:r>
    </w:p>
    <w:p w14:paraId="72176281" w14:textId="77777777" w:rsidR="00333D1E" w:rsidRPr="00596A43" w:rsidRDefault="00333D1E" w:rsidP="000C4293">
      <w:pPr>
        <w:shd w:val="clear" w:color="auto" w:fill="FFFFFF"/>
        <w:tabs>
          <w:tab w:val="left" w:pos="-720"/>
        </w:tabs>
        <w:suppressAutoHyphens/>
        <w:jc w:val="both"/>
      </w:pPr>
    </w:p>
    <w:p w14:paraId="062AE601"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     14.  Provide estimates of annualized cost to the Federal Government.  </w:t>
      </w:r>
      <w:r w:rsidR="008924F0" w:rsidRPr="00596A43">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596A43">
        <w:t xml:space="preserve">You may also aggregate cost estimates for Items 12, 13, and 14 in a single table.  </w:t>
      </w:r>
    </w:p>
    <w:p w14:paraId="36C660A6" w14:textId="77777777" w:rsidR="00EB5E96" w:rsidRPr="00596A43" w:rsidRDefault="00EB5E96" w:rsidP="000C4293">
      <w:pPr>
        <w:suppressAutoHyphens/>
        <w:jc w:val="both"/>
      </w:pPr>
      <w:r w:rsidRPr="00596A43">
        <w:fldChar w:fldCharType="begin"/>
      </w:r>
      <w:r w:rsidRPr="00596A43">
        <w:instrText>ADVANCE \R 0.95</w:instrText>
      </w:r>
      <w:r w:rsidRPr="00596A43">
        <w:fldChar w:fldCharType="end"/>
      </w:r>
    </w:p>
    <w:p w14:paraId="73768131" w14:textId="77777777" w:rsidR="00E90D52" w:rsidRDefault="00E90D52" w:rsidP="00C65903">
      <w:r w:rsidRPr="00E90D52">
        <w:t>Federal government costs can be divided between the cost associated with collection of information and the cost associated with managing and responding to the submitted data.  The cost associated with collecting the information is essentially the cost of operating and maintaining the collection instruments within CSAT.  The annual Operating and Maintenance (O&amp;M) costs for the instruments with CSAT are estimated at $0.4M.  The cost associated with managing and responding to the submitted data the management is equivalent to the cost of employing three Full Time government employees (FTE) at the GS-14</w:t>
      </w:r>
      <w:r w:rsidR="001E2014">
        <w:t>, Step 5</w:t>
      </w:r>
      <w:r w:rsidRPr="00E90D52">
        <w:t xml:space="preserve"> level. </w:t>
      </w:r>
      <w:r w:rsidR="00B709AD" w:rsidRPr="00B709AD">
        <w:t xml:space="preserve">These FTE costs are only associated with salary costs. </w:t>
      </w:r>
      <w:r w:rsidR="0035517F" w:rsidRPr="0035517F">
        <w:t>The fully-loaded wage rate for a GS-14, Step 5 FTE is $126,958 base salary x 1.</w:t>
      </w:r>
      <w:r w:rsidR="00A95219">
        <w:t>4639</w:t>
      </w:r>
      <w:r w:rsidR="00A95219" w:rsidRPr="0035517F">
        <w:t xml:space="preserve"> </w:t>
      </w:r>
      <w:r w:rsidR="0035517F" w:rsidRPr="0035517F">
        <w:t>benefit multiplier = $</w:t>
      </w:r>
      <w:r w:rsidR="00A95219">
        <w:t>185,854</w:t>
      </w:r>
      <w:r w:rsidR="0035517F">
        <w:t>.</w:t>
      </w:r>
    </w:p>
    <w:p w14:paraId="24471A2E" w14:textId="77777777" w:rsidR="00E90D52" w:rsidRDefault="00E90D52" w:rsidP="00C65903"/>
    <w:p w14:paraId="56C42768" w14:textId="77777777" w:rsidR="00914A05" w:rsidRPr="006942D5" w:rsidRDefault="00914A05" w:rsidP="00914A05">
      <w:pPr>
        <w:rPr>
          <w:b/>
        </w:rPr>
      </w:pPr>
      <w:r w:rsidRPr="006942D5">
        <w:rPr>
          <w:b/>
        </w:rPr>
        <w:t>Table 3: Estimates of Annualized Costs for the Collection of Data</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0"/>
        <w:gridCol w:w="5040"/>
        <w:gridCol w:w="1908"/>
      </w:tblGrid>
      <w:tr w:rsidR="00914A05" w:rsidRPr="00F7015B" w14:paraId="4D8209CB" w14:textId="77777777" w:rsidTr="007F7C15">
        <w:trPr>
          <w:cantSplit/>
          <w:tblHeader/>
        </w:trPr>
        <w:tc>
          <w:tcPr>
            <w:tcW w:w="1800" w:type="dxa"/>
            <w:vAlign w:val="center"/>
          </w:tcPr>
          <w:p w14:paraId="3E28B2AC" w14:textId="77777777" w:rsidR="00914A05" w:rsidRPr="002D3C55" w:rsidRDefault="00914A05" w:rsidP="00DE1B76">
            <w:pPr>
              <w:rPr>
                <w:b/>
              </w:rPr>
            </w:pPr>
            <w:r w:rsidRPr="002D3C55">
              <w:rPr>
                <w:b/>
              </w:rPr>
              <w:t>Expense Type</w:t>
            </w:r>
          </w:p>
        </w:tc>
        <w:tc>
          <w:tcPr>
            <w:tcW w:w="5040" w:type="dxa"/>
            <w:vAlign w:val="center"/>
          </w:tcPr>
          <w:p w14:paraId="3A5B4DEC" w14:textId="77777777" w:rsidR="00914A05" w:rsidRPr="002D3C55" w:rsidRDefault="00914A05" w:rsidP="00DE1B76">
            <w:pPr>
              <w:rPr>
                <w:b/>
                <w:highlight w:val="yellow"/>
              </w:rPr>
            </w:pPr>
            <w:r w:rsidRPr="002D3C55">
              <w:rPr>
                <w:b/>
              </w:rPr>
              <w:t>Expense Explanation</w:t>
            </w:r>
          </w:p>
        </w:tc>
        <w:tc>
          <w:tcPr>
            <w:tcW w:w="1908" w:type="dxa"/>
            <w:vAlign w:val="center"/>
          </w:tcPr>
          <w:p w14:paraId="5BC91D9D" w14:textId="77777777" w:rsidR="00914A05" w:rsidRPr="002D3C55" w:rsidRDefault="00914A05" w:rsidP="00DE1B76">
            <w:pPr>
              <w:rPr>
                <w:b/>
              </w:rPr>
            </w:pPr>
            <w:r w:rsidRPr="002D3C55">
              <w:rPr>
                <w:b/>
              </w:rPr>
              <w:t>Annual Costs (in dollars)</w:t>
            </w:r>
          </w:p>
        </w:tc>
      </w:tr>
      <w:tr w:rsidR="00914A05" w:rsidRPr="00F7015B" w14:paraId="6023C1EA" w14:textId="77777777" w:rsidTr="007F7C15">
        <w:trPr>
          <w:cantSplit/>
          <w:tblHeader/>
        </w:trPr>
        <w:tc>
          <w:tcPr>
            <w:tcW w:w="1800" w:type="dxa"/>
            <w:tcBorders>
              <w:bottom w:val="single" w:sz="4" w:space="0" w:color="auto"/>
            </w:tcBorders>
            <w:vAlign w:val="center"/>
          </w:tcPr>
          <w:p w14:paraId="10BE90F5" w14:textId="77777777" w:rsidR="00914A05" w:rsidRPr="00F7015B" w:rsidRDefault="00914A05" w:rsidP="00DE1B76">
            <w:r w:rsidRPr="00F7015B">
              <w:t>Direct Costs to the Federal Government</w:t>
            </w:r>
          </w:p>
        </w:tc>
        <w:tc>
          <w:tcPr>
            <w:tcW w:w="5040" w:type="dxa"/>
            <w:tcBorders>
              <w:bottom w:val="single" w:sz="4" w:space="0" w:color="auto"/>
            </w:tcBorders>
            <w:vAlign w:val="center"/>
          </w:tcPr>
          <w:p w14:paraId="79CBC32B" w14:textId="77777777" w:rsidR="00914A05" w:rsidRPr="00F7015B" w:rsidRDefault="00914A05" w:rsidP="00A95219">
            <w:r>
              <w:t xml:space="preserve">Three </w:t>
            </w:r>
            <w:r w:rsidRPr="00F7015B">
              <w:t xml:space="preserve">DHS </w:t>
            </w:r>
            <w:r>
              <w:t>FTE’s (GS-14</w:t>
            </w:r>
            <w:r w:rsidR="001E2014">
              <w:t>, Step 5</w:t>
            </w:r>
            <w:r w:rsidRPr="00F7015B">
              <w:t>)</w:t>
            </w:r>
            <w:r>
              <w:t xml:space="preserve"> @ $</w:t>
            </w:r>
            <w:r w:rsidR="00A95219">
              <w:t>185,854</w:t>
            </w:r>
            <w:r w:rsidR="00594437">
              <w:t>/year</w:t>
            </w:r>
            <w:r w:rsidR="00533B3C">
              <w:t xml:space="preserve"> </w:t>
            </w:r>
            <w:r w:rsidR="00533B3C" w:rsidRPr="00533B3C">
              <w:t>(</w:t>
            </w:r>
            <w:r w:rsidR="00AB1A8B">
              <w:t>Washington-Baltimore-Arlington</w:t>
            </w:r>
            <w:r w:rsidR="00D82F4D" w:rsidRPr="00D82F4D">
              <w:t>, DC-MD-VA-WV-PA</w:t>
            </w:r>
            <w:r w:rsidR="00D82F4D">
              <w:t xml:space="preserve"> </w:t>
            </w:r>
            <w:r w:rsidR="00D82F4D" w:rsidRPr="00D82F4D">
              <w:t>2017</w:t>
            </w:r>
            <w:r w:rsidR="00D82F4D">
              <w:t xml:space="preserve"> </w:t>
            </w:r>
            <w:r w:rsidR="00533B3C" w:rsidRPr="00533B3C">
              <w:t>Pay Scale)</w:t>
            </w:r>
          </w:p>
        </w:tc>
        <w:tc>
          <w:tcPr>
            <w:tcW w:w="1908" w:type="dxa"/>
            <w:tcBorders>
              <w:bottom w:val="single" w:sz="4" w:space="0" w:color="auto"/>
            </w:tcBorders>
            <w:vAlign w:val="center"/>
          </w:tcPr>
          <w:p w14:paraId="190B435B" w14:textId="77777777" w:rsidR="00914A05" w:rsidRPr="003C5DC0" w:rsidRDefault="0035517F" w:rsidP="00A95219">
            <w:r>
              <w:t xml:space="preserve">       </w:t>
            </w:r>
            <w:r w:rsidR="00A95219">
              <w:t>$557,562</w:t>
            </w:r>
          </w:p>
        </w:tc>
      </w:tr>
      <w:tr w:rsidR="00914A05" w:rsidRPr="00F7015B" w14:paraId="50CBEEE9" w14:textId="77777777" w:rsidTr="007F7C15">
        <w:trPr>
          <w:cantSplit/>
          <w:trHeight w:val="440"/>
          <w:tblHeader/>
        </w:trPr>
        <w:tc>
          <w:tcPr>
            <w:tcW w:w="1800" w:type="dxa"/>
            <w:tcBorders>
              <w:top w:val="single" w:sz="4" w:space="0" w:color="auto"/>
              <w:bottom w:val="single" w:sz="4" w:space="0" w:color="auto"/>
              <w:right w:val="single" w:sz="4" w:space="0" w:color="auto"/>
            </w:tcBorders>
            <w:vAlign w:val="center"/>
          </w:tcPr>
          <w:p w14:paraId="56D30F43" w14:textId="77777777" w:rsidR="00914A05" w:rsidRPr="00F7015B" w:rsidRDefault="00914A05" w:rsidP="00DE1B76">
            <w:r>
              <w:t>CSAT O&amp;M</w:t>
            </w:r>
          </w:p>
        </w:tc>
        <w:tc>
          <w:tcPr>
            <w:tcW w:w="5040" w:type="dxa"/>
            <w:tcBorders>
              <w:top w:val="single" w:sz="4" w:space="0" w:color="auto"/>
              <w:left w:val="single" w:sz="4" w:space="0" w:color="auto"/>
              <w:bottom w:val="single" w:sz="4" w:space="0" w:color="auto"/>
              <w:right w:val="single" w:sz="4" w:space="0" w:color="auto"/>
            </w:tcBorders>
            <w:vAlign w:val="center"/>
          </w:tcPr>
          <w:p w14:paraId="79FD74B3" w14:textId="77777777" w:rsidR="00914A05" w:rsidRPr="00F7015B" w:rsidRDefault="00914A05" w:rsidP="00D37D20">
            <w:r>
              <w:t>Costs for O&amp;M of CSAT Application</w:t>
            </w:r>
          </w:p>
        </w:tc>
        <w:tc>
          <w:tcPr>
            <w:tcW w:w="1908" w:type="dxa"/>
            <w:tcBorders>
              <w:top w:val="single" w:sz="4" w:space="0" w:color="auto"/>
              <w:left w:val="single" w:sz="4" w:space="0" w:color="auto"/>
              <w:bottom w:val="single" w:sz="4" w:space="0" w:color="auto"/>
            </w:tcBorders>
            <w:vAlign w:val="center"/>
          </w:tcPr>
          <w:p w14:paraId="0B72DE6F" w14:textId="77777777" w:rsidR="00914A05" w:rsidRPr="00F7015B" w:rsidRDefault="00150913" w:rsidP="00150913">
            <w:r>
              <w:t xml:space="preserve">       </w:t>
            </w:r>
            <w:r w:rsidR="00914A05">
              <w:t>400,000</w:t>
            </w:r>
            <w:r w:rsidR="00D37D20">
              <w:t>*</w:t>
            </w:r>
          </w:p>
        </w:tc>
      </w:tr>
      <w:tr w:rsidR="008B7A8E" w:rsidRPr="005B72FB" w14:paraId="4D3BA898" w14:textId="77777777" w:rsidTr="007F7C15">
        <w:trPr>
          <w:cantSplit/>
          <w:tblHeader/>
        </w:trPr>
        <w:tc>
          <w:tcPr>
            <w:tcW w:w="8748" w:type="dxa"/>
            <w:gridSpan w:val="3"/>
            <w:tcBorders>
              <w:top w:val="single" w:sz="4" w:space="0" w:color="auto"/>
              <w:left w:val="nil"/>
              <w:bottom w:val="nil"/>
              <w:right w:val="nil"/>
            </w:tcBorders>
            <w:vAlign w:val="center"/>
          </w:tcPr>
          <w:p w14:paraId="3A994F64" w14:textId="77777777" w:rsidR="008B7A8E" w:rsidRPr="005B72FB" w:rsidRDefault="008B7A8E" w:rsidP="009531F0">
            <w:pPr>
              <w:ind w:left="-18"/>
            </w:pPr>
          </w:p>
          <w:p w14:paraId="268774A4" w14:textId="77777777" w:rsidR="008B7A8E" w:rsidRPr="005B72FB" w:rsidRDefault="008B7A8E" w:rsidP="009531F0">
            <w:pPr>
              <w:ind w:left="-18" w:right="764"/>
            </w:pPr>
            <w:r w:rsidRPr="005B72FB">
              <w:t>* Note:  The Department entered into an Interagency Agreement (IA) with the Department of Energy, Oak Ridge National Laboratory to operate and maintain (O&amp;M) the CSAT system.  Because the</w:t>
            </w:r>
            <w:r w:rsidR="00DD4363" w:rsidRPr="005B72FB">
              <w:t xml:space="preserve"> O&amp;M costs associated with each subsystem in</w:t>
            </w:r>
            <w:r w:rsidRPr="005B72FB">
              <w:t xml:space="preserve"> </w:t>
            </w:r>
            <w:r w:rsidR="00DD4363" w:rsidRPr="005B72FB">
              <w:t xml:space="preserve">CSAT </w:t>
            </w:r>
            <w:r w:rsidRPr="005B72FB">
              <w:t xml:space="preserve">are not costed separately in </w:t>
            </w:r>
            <w:r w:rsidR="002323DA" w:rsidRPr="005B72FB">
              <w:t xml:space="preserve">the </w:t>
            </w:r>
            <w:r w:rsidRPr="005B72FB">
              <w:t>IA, it isn’t possible to isolate the proportion of O&amp;M costs associated with this collection.</w:t>
            </w:r>
            <w:r w:rsidR="005E7A57" w:rsidRPr="005B72FB">
              <w:t xml:space="preserve">  Therefore, the actual total annual operating cost to the Federal Government are likely lower than estimated. </w:t>
            </w:r>
            <w:r w:rsidR="00DD4363" w:rsidRPr="005B72FB">
              <w:t xml:space="preserve">  </w:t>
            </w:r>
            <w:r w:rsidRPr="005B72FB">
              <w:t xml:space="preserve">  </w:t>
            </w:r>
          </w:p>
          <w:p w14:paraId="35926BBB" w14:textId="77777777" w:rsidR="008B7A8E" w:rsidRPr="005B72FB" w:rsidRDefault="008B7A8E" w:rsidP="009531F0">
            <w:pPr>
              <w:ind w:left="-18"/>
              <w:jc w:val="right"/>
            </w:pPr>
          </w:p>
        </w:tc>
      </w:tr>
      <w:tr w:rsidR="00914A05" w:rsidRPr="005B72FB" w14:paraId="3A57E973" w14:textId="77777777" w:rsidTr="007F7C15">
        <w:trPr>
          <w:cantSplit/>
          <w:tblHeader/>
        </w:trPr>
        <w:tc>
          <w:tcPr>
            <w:tcW w:w="6840" w:type="dxa"/>
            <w:gridSpan w:val="2"/>
            <w:tcBorders>
              <w:top w:val="nil"/>
              <w:left w:val="nil"/>
              <w:bottom w:val="nil"/>
              <w:right w:val="nil"/>
            </w:tcBorders>
            <w:vAlign w:val="center"/>
          </w:tcPr>
          <w:p w14:paraId="04BFA9E3" w14:textId="77777777" w:rsidR="00914A05" w:rsidRPr="005B72FB" w:rsidRDefault="00914A05" w:rsidP="009531F0">
            <w:pPr>
              <w:ind w:left="-108"/>
            </w:pPr>
            <w:r w:rsidRPr="005B72FB">
              <w:t>Total</w:t>
            </w:r>
          </w:p>
        </w:tc>
        <w:tc>
          <w:tcPr>
            <w:tcW w:w="1908" w:type="dxa"/>
            <w:tcBorders>
              <w:top w:val="nil"/>
              <w:left w:val="nil"/>
              <w:bottom w:val="nil"/>
              <w:right w:val="nil"/>
            </w:tcBorders>
            <w:vAlign w:val="center"/>
          </w:tcPr>
          <w:p w14:paraId="47E514B3" w14:textId="77777777" w:rsidR="00914A05" w:rsidRPr="005B72FB" w:rsidRDefault="00A95219" w:rsidP="009531F0">
            <w:pPr>
              <w:ind w:left="-18"/>
              <w:jc w:val="center"/>
            </w:pPr>
            <w:r>
              <w:t>$957,562</w:t>
            </w:r>
          </w:p>
        </w:tc>
      </w:tr>
    </w:tbl>
    <w:p w14:paraId="59A3B31F" w14:textId="77777777" w:rsidR="00914A05" w:rsidRPr="005B72FB" w:rsidRDefault="00914A05" w:rsidP="00914A05">
      <w:pPr>
        <w:pStyle w:val="Heading3"/>
        <w:rPr>
          <w:rFonts w:ascii="Times New Roman" w:hAnsi="Times New Roman"/>
          <w:sz w:val="24"/>
          <w:szCs w:val="24"/>
        </w:rPr>
      </w:pPr>
      <w:r w:rsidRPr="005B72FB">
        <w:rPr>
          <w:rFonts w:ascii="Times New Roman" w:hAnsi="Times New Roman"/>
          <w:sz w:val="24"/>
          <w:szCs w:val="24"/>
        </w:rPr>
        <w:t>Total Federal Government Costs</w:t>
      </w:r>
    </w:p>
    <w:p w14:paraId="781B9E00" w14:textId="77777777" w:rsidR="00914A05" w:rsidRPr="005B72FB" w:rsidRDefault="00914A05" w:rsidP="00914A05">
      <w:r w:rsidRPr="005B72FB">
        <w:t>In sum, the estimated total annual operating cost to the United States Government for this collection is $</w:t>
      </w:r>
      <w:r w:rsidR="00A95219">
        <w:t>957,562</w:t>
      </w:r>
      <w:r w:rsidR="00304E2E">
        <w:t>.</w:t>
      </w:r>
    </w:p>
    <w:p w14:paraId="56895BDC" w14:textId="77777777" w:rsidR="00EB5E96" w:rsidRPr="00596A43" w:rsidRDefault="00EB5E96" w:rsidP="000C4293">
      <w:pPr>
        <w:suppressAutoHyphens/>
        <w:jc w:val="both"/>
      </w:pPr>
    </w:p>
    <w:p w14:paraId="6E95FC7B"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14:paraId="0B03FAAA" w14:textId="77777777" w:rsidR="00EA4420" w:rsidRDefault="00EB5E96" w:rsidP="00EA4420">
      <w:pPr>
        <w:tabs>
          <w:tab w:val="left" w:pos="-720"/>
        </w:tabs>
        <w:suppressAutoHyphens/>
        <w:jc w:val="both"/>
      </w:pPr>
      <w:r w:rsidRPr="00596A43">
        <w:fldChar w:fldCharType="begin"/>
      </w:r>
      <w:r w:rsidRPr="00596A43">
        <w:instrText>ADVANCE \R 0.95</w:instrText>
      </w:r>
      <w:r w:rsidRPr="00596A43">
        <w:fldChar w:fldCharType="end"/>
      </w:r>
    </w:p>
    <w:p w14:paraId="32B40887" w14:textId="66347FAF" w:rsidR="004A0FB5" w:rsidRDefault="00DD49FD" w:rsidP="000C4293">
      <w:pPr>
        <w:tabs>
          <w:tab w:val="left" w:pos="-720"/>
        </w:tabs>
        <w:suppressAutoHyphens/>
        <w:jc w:val="both"/>
      </w:pPr>
      <w:r w:rsidRPr="00DD49FD">
        <w:t>The Department is assuming that a significant change in public burden estimates have occurred since the last approved ICR (Sept 2014)</w:t>
      </w:r>
      <w:r w:rsidR="00F03D71">
        <w:t xml:space="preserve"> due to the decrease in expected burden hours</w:t>
      </w:r>
      <w:r w:rsidRPr="00DD49FD">
        <w:t>.</w:t>
      </w:r>
      <w:r w:rsidR="00273B82">
        <w:t xml:space="preserve"> </w:t>
      </w:r>
      <w:r w:rsidR="00AF75AB">
        <w:t xml:space="preserve">The burden per response was lowered for these instruments based on historical CSAT data.  </w:t>
      </w:r>
      <w:r w:rsidR="00273B82">
        <w:t xml:space="preserve"> </w:t>
      </w:r>
      <w:r w:rsidR="00DD4363">
        <w:t>The Department assumes that Site Security Officers (SSOs) are responsible for submitting the instruments associated with this collection.  For the purpose of this notice, the Department maintains this assumption.  A reduction of the annual reporting and recordkeeping hour and cost burden for SSOs to $</w:t>
      </w:r>
      <w:r w:rsidR="00B85D2D">
        <w:t>78.93</w:t>
      </w:r>
      <w:r w:rsidR="00DD4363">
        <w:t>/hour</w:t>
      </w:r>
      <w:r w:rsidR="00A95219">
        <w:t>, based on the fully loaded wage rate for Managers, All Other as provided by BLS and described in Q12</w:t>
      </w:r>
      <w:r w:rsidR="00DD4363">
        <w:t xml:space="preserve">.    </w:t>
      </w:r>
      <w:r w:rsidR="007D1BF4">
        <w:t>For two of the instruments, the Department has revised the estimated number of respondents.  For three of the instruments, the Department has reduced the estimated average burden per response. Finally, this ICR includes burden estimates for a new instrument titled “Declaration of Reporting Status.”  Taking into consideration all of these changes</w:t>
      </w:r>
      <w:r w:rsidR="00DD4363">
        <w:t>, the total annual estimate for reporting, recordkeeping, and cost burden under this collection has decreased from $63,692 to $</w:t>
      </w:r>
      <w:r w:rsidR="00A95219">
        <w:t>42,565</w:t>
      </w:r>
      <w:r w:rsidR="00775588">
        <w:t>; increased responses from 2,963 to 4,393; decreased burden hours from 741 to 539</w:t>
      </w:r>
      <w:r w:rsidR="00DD4363">
        <w:t xml:space="preserve">. </w:t>
      </w:r>
    </w:p>
    <w:p w14:paraId="3FB7E26F" w14:textId="77777777" w:rsidR="00EB5E96" w:rsidRPr="00596A43" w:rsidRDefault="00EB5E96" w:rsidP="000C4293">
      <w:pPr>
        <w:tabs>
          <w:tab w:val="left" w:pos="-720"/>
        </w:tabs>
        <w:suppressAutoHyphens/>
        <w:jc w:val="both"/>
      </w:pPr>
    </w:p>
    <w:p w14:paraId="0C76896E"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3A82F0EA" w14:textId="77777777" w:rsidR="00EB5E96" w:rsidRPr="00596A43" w:rsidRDefault="00EB5E96" w:rsidP="000C4293">
      <w:pPr>
        <w:suppressAutoHyphens/>
        <w:jc w:val="both"/>
      </w:pPr>
      <w:r w:rsidRPr="00596A43">
        <w:fldChar w:fldCharType="begin"/>
      </w:r>
      <w:r w:rsidRPr="00596A43">
        <w:instrText>ADVANCE \R 0.95</w:instrText>
      </w:r>
      <w:r w:rsidRPr="00596A43">
        <w:fldChar w:fldCharType="end"/>
      </w:r>
    </w:p>
    <w:p w14:paraId="4C612470" w14:textId="77777777" w:rsidR="00AC50A2" w:rsidRDefault="00AC50A2" w:rsidP="00AC50A2">
      <w:r>
        <w:t>No plans exist for the use of statistical analysis or to publish this information.</w:t>
      </w:r>
    </w:p>
    <w:p w14:paraId="45BFB7F3" w14:textId="77777777" w:rsidR="00EB5E96" w:rsidRPr="00596A43" w:rsidRDefault="00EB5E96" w:rsidP="000C4293">
      <w:pPr>
        <w:suppressAutoHyphens/>
        <w:jc w:val="both"/>
      </w:pPr>
    </w:p>
    <w:p w14:paraId="6700C841" w14:textId="77777777" w:rsidR="00EB5E96"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14:paraId="240F63CB" w14:textId="77777777" w:rsidR="00EB5E96" w:rsidRPr="00596A43" w:rsidRDefault="00EB5E96" w:rsidP="000C4293">
      <w:pPr>
        <w:tabs>
          <w:tab w:val="left" w:pos="-720"/>
        </w:tabs>
        <w:suppressAutoHyphens/>
        <w:jc w:val="both"/>
      </w:pPr>
      <w:r w:rsidRPr="00596A43">
        <w:fldChar w:fldCharType="begin"/>
      </w:r>
      <w:r w:rsidRPr="00596A43">
        <w:instrText>ADVANCE \R 0.95</w:instrText>
      </w:r>
      <w:r w:rsidRPr="00596A43">
        <w:fldChar w:fldCharType="end"/>
      </w:r>
    </w:p>
    <w:p w14:paraId="7D743816" w14:textId="77777777" w:rsidR="00AC50A2" w:rsidRPr="0078506C" w:rsidRDefault="00AC50A2" w:rsidP="00AC50A2">
      <w:r w:rsidRPr="0078506C">
        <w:t xml:space="preserve">The expiration date will be displayed in the </w:t>
      </w:r>
      <w:r>
        <w:t>instruments</w:t>
      </w:r>
      <w:r w:rsidRPr="0078506C">
        <w:t>.</w:t>
      </w:r>
    </w:p>
    <w:p w14:paraId="6E989FEC" w14:textId="77777777" w:rsidR="00447C3A" w:rsidRPr="00596A43" w:rsidRDefault="00447C3A" w:rsidP="000C4293">
      <w:pPr>
        <w:tabs>
          <w:tab w:val="left" w:pos="-720"/>
        </w:tabs>
        <w:suppressAutoHyphens/>
        <w:jc w:val="both"/>
      </w:pPr>
    </w:p>
    <w:p w14:paraId="703C0B5B" w14:textId="77777777" w:rsidR="0077056F" w:rsidRPr="00596A43" w:rsidRDefault="00EB5E96" w:rsidP="000C4293">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14:paraId="4A8C8E2E" w14:textId="77777777" w:rsidR="0077056F" w:rsidRPr="00596A43" w:rsidRDefault="0077056F" w:rsidP="0077056F">
      <w:pPr>
        <w:tabs>
          <w:tab w:val="left" w:pos="-720"/>
        </w:tabs>
        <w:suppressAutoHyphens/>
        <w:jc w:val="both"/>
      </w:pPr>
    </w:p>
    <w:p w14:paraId="0D3758C0" w14:textId="77777777" w:rsidR="0077056F" w:rsidRPr="00596A43" w:rsidRDefault="00AC50A2" w:rsidP="000A1E17">
      <w:r w:rsidRPr="006E1193">
        <w:t>No</w:t>
      </w:r>
      <w:r>
        <w:t xml:space="preserve"> exceptions have been requested.</w:t>
      </w:r>
    </w:p>
    <w:sectPr w:rsidR="0077056F" w:rsidRPr="00596A43" w:rsidSect="00460234">
      <w:footerReference w:type="even" r:id="rId17"/>
      <w:footerReference w:type="default" r:id="rId18"/>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37DEE" w14:textId="77777777" w:rsidR="001A58E3" w:rsidRDefault="001A58E3">
      <w:r>
        <w:separator/>
      </w:r>
    </w:p>
  </w:endnote>
  <w:endnote w:type="continuationSeparator" w:id="0">
    <w:p w14:paraId="7BCC29FB" w14:textId="77777777" w:rsidR="001A58E3" w:rsidRDefault="001A58E3">
      <w:r>
        <w:continuationSeparator/>
      </w:r>
    </w:p>
  </w:endnote>
  <w:endnote w:type="continuationNotice" w:id="1">
    <w:p w14:paraId="02BA3499" w14:textId="77777777" w:rsidR="001A58E3" w:rsidRDefault="001A5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98AFE" w14:textId="77777777" w:rsidR="00D810A6" w:rsidRDefault="00D810A6"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A60990" w14:textId="77777777" w:rsidR="00D810A6" w:rsidRDefault="00D810A6"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E685C" w14:textId="14986262" w:rsidR="00D810A6" w:rsidRDefault="00D810A6"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4F2C">
      <w:rPr>
        <w:rStyle w:val="PageNumber"/>
        <w:noProof/>
      </w:rPr>
      <w:t>2</w:t>
    </w:r>
    <w:r>
      <w:rPr>
        <w:rStyle w:val="PageNumber"/>
      </w:rPr>
      <w:fldChar w:fldCharType="end"/>
    </w:r>
  </w:p>
  <w:p w14:paraId="14A67947" w14:textId="77777777" w:rsidR="00D810A6" w:rsidRDefault="00D810A6" w:rsidP="00DC6E79">
    <w:pPr>
      <w:pStyle w:val="Footer"/>
      <w:tabs>
        <w:tab w:val="clear" w:pos="8640"/>
        <w:tab w:val="right" w:pos="93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7174C" w14:textId="77777777" w:rsidR="001A58E3" w:rsidRDefault="001A58E3">
      <w:r>
        <w:separator/>
      </w:r>
    </w:p>
  </w:footnote>
  <w:footnote w:type="continuationSeparator" w:id="0">
    <w:p w14:paraId="0B04D678" w14:textId="77777777" w:rsidR="001A58E3" w:rsidRDefault="001A58E3">
      <w:r>
        <w:continuationSeparator/>
      </w:r>
    </w:p>
  </w:footnote>
  <w:footnote w:type="continuationNotice" w:id="1">
    <w:p w14:paraId="644150FF" w14:textId="77777777" w:rsidR="001A58E3" w:rsidRDefault="001A58E3"/>
  </w:footnote>
  <w:footnote w:id="2">
    <w:p w14:paraId="6CA69A61" w14:textId="055723EB" w:rsidR="001F0B4D" w:rsidRPr="002C5CA4" w:rsidRDefault="001F0B4D" w:rsidP="001F0B4D">
      <w:pPr>
        <w:pStyle w:val="FootnoteText"/>
        <w:rPr>
          <w:rFonts w:ascii="Times New Roman" w:hAnsi="Times New Roman"/>
          <w:sz w:val="20"/>
        </w:rPr>
      </w:pPr>
      <w:r w:rsidRPr="001F0B4D">
        <w:rPr>
          <w:rStyle w:val="FootnoteReference"/>
          <w:rFonts w:ascii="Times New Roman" w:hAnsi="Times New Roman"/>
          <w:sz w:val="20"/>
        </w:rPr>
        <w:footnoteRef/>
      </w:r>
      <w:r w:rsidRPr="001F0B4D">
        <w:rPr>
          <w:rFonts w:ascii="Times New Roman" w:hAnsi="Times New Roman"/>
          <w:sz w:val="20"/>
        </w:rPr>
        <w:t xml:space="preserve"> </w:t>
      </w:r>
      <w:hyperlink r:id="rId1" w:history="1">
        <w:r w:rsidR="008C2E79" w:rsidRPr="00422BA1">
          <w:rPr>
            <w:rStyle w:val="Hyperlink"/>
            <w:rFonts w:ascii="Times New Roman" w:hAnsi="Times New Roman"/>
            <w:sz w:val="20"/>
          </w:rPr>
          <w:t>https://obamawhitehouse.archives.gov/the-press-office/2013/08/01/executive-order-improving-chemical-facility-safety-and-security</w:t>
        </w:r>
      </w:hyperlink>
      <w:r w:rsidR="008C2E79">
        <w:rPr>
          <w:rFonts w:ascii="Times New Roman" w:hAnsi="Times New Roman"/>
          <w:sz w:val="20"/>
        </w:rPr>
        <w:t xml:space="preserve"> </w:t>
      </w:r>
      <w:r w:rsidRPr="002C5CA4">
        <w:rPr>
          <w:rFonts w:ascii="Times New Roman" w:hAnsi="Times New Roman"/>
          <w:sz w:val="20"/>
        </w:rPr>
        <w:t xml:space="preserve">   </w:t>
      </w:r>
    </w:p>
  </w:footnote>
  <w:footnote w:id="3">
    <w:p w14:paraId="4E7D61F7" w14:textId="77777777" w:rsidR="001F0B4D" w:rsidRPr="001F0B4D" w:rsidRDefault="001F0B4D" w:rsidP="001F0B4D">
      <w:pPr>
        <w:pStyle w:val="FootnoteText"/>
        <w:rPr>
          <w:rFonts w:ascii="Times New Roman" w:hAnsi="Times New Roman"/>
          <w:sz w:val="20"/>
        </w:rPr>
      </w:pPr>
      <w:r w:rsidRPr="002C5CA4">
        <w:rPr>
          <w:rStyle w:val="FootnoteReference"/>
          <w:rFonts w:ascii="Times New Roman" w:hAnsi="Times New Roman"/>
          <w:sz w:val="20"/>
        </w:rPr>
        <w:footnoteRef/>
      </w:r>
      <w:r w:rsidRPr="002C5CA4">
        <w:rPr>
          <w:rFonts w:ascii="Times New Roman" w:hAnsi="Times New Roman"/>
          <w:sz w:val="20"/>
        </w:rPr>
        <w:t xml:space="preserve"> </w:t>
      </w:r>
      <w:hyperlink r:id="rId2" w:history="1">
        <w:r w:rsidRPr="002C5CA4">
          <w:rPr>
            <w:rStyle w:val="Hyperlink"/>
            <w:rFonts w:ascii="Times New Roman" w:hAnsi="Times New Roman"/>
            <w:sz w:val="20"/>
          </w:rPr>
          <w:t>https://www.osha.gov/chemicalexecutiveorder/data_management.html</w:t>
        </w:r>
      </w:hyperlink>
      <w:r w:rsidRPr="001F0B4D">
        <w:rPr>
          <w:rFonts w:ascii="Times New Roman" w:hAnsi="Times New Roman"/>
          <w:sz w:val="20"/>
        </w:rPr>
        <w:t xml:space="preserve"> </w:t>
      </w:r>
    </w:p>
  </w:footnote>
  <w:footnote w:id="4">
    <w:p w14:paraId="3B241BC5" w14:textId="298E6FD1" w:rsidR="001F0B4D" w:rsidRDefault="001F0B4D" w:rsidP="001F0B4D">
      <w:pPr>
        <w:pStyle w:val="FootnoteText"/>
      </w:pPr>
      <w:r w:rsidRPr="001F0B4D">
        <w:rPr>
          <w:rStyle w:val="FootnoteReference"/>
          <w:rFonts w:ascii="Times New Roman" w:hAnsi="Times New Roman"/>
          <w:sz w:val="20"/>
        </w:rPr>
        <w:footnoteRef/>
      </w:r>
      <w:r w:rsidRPr="001F0B4D">
        <w:rPr>
          <w:rFonts w:ascii="Times New Roman" w:hAnsi="Times New Roman"/>
          <w:sz w:val="20"/>
        </w:rPr>
        <w:t xml:space="preserve"> </w:t>
      </w:r>
      <w:hyperlink r:id="rId3" w:history="1">
        <w:r w:rsidR="008C2E79" w:rsidRPr="00422BA1">
          <w:rPr>
            <w:rStyle w:val="Hyperlink"/>
            <w:rFonts w:ascii="Times New Roman" w:hAnsi="Times New Roman"/>
            <w:sz w:val="20"/>
          </w:rPr>
          <w:t>https://www.osha.gov/chemicalexecutiveorder/final_chemical_eo_status_report.pdf</w:t>
        </w:r>
      </w:hyperlink>
      <w:r w:rsidR="008C2E79">
        <w:rPr>
          <w:rFonts w:ascii="Times New Roman" w:hAnsi="Times New Roman"/>
          <w:sz w:val="20"/>
        </w:rPr>
        <w:t xml:space="preserve"> </w:t>
      </w:r>
    </w:p>
  </w:footnote>
  <w:footnote w:id="5">
    <w:p w14:paraId="363141D4" w14:textId="77777777" w:rsidR="00D810A6" w:rsidRPr="00B26527" w:rsidRDefault="00D810A6">
      <w:pPr>
        <w:pStyle w:val="FootnoteText"/>
        <w:rPr>
          <w:rStyle w:val="Hyperlink"/>
          <w:rFonts w:ascii="Times New Roman" w:hAnsi="Times New Roman"/>
          <w:sz w:val="20"/>
        </w:rPr>
      </w:pPr>
      <w:r w:rsidRPr="00B26527">
        <w:rPr>
          <w:rFonts w:ascii="Times New Roman" w:hAnsi="Times New Roman"/>
          <w:sz w:val="20"/>
        </w:rPr>
        <w:footnoteRef/>
      </w:r>
      <w:r w:rsidRPr="00B26527">
        <w:rPr>
          <w:rFonts w:ascii="Times New Roman" w:hAnsi="Times New Roman"/>
          <w:sz w:val="20"/>
        </w:rPr>
        <w:t xml:space="preserve"> The wage used for an SSO equals that of Managers, All (11-9199), with a load factor of 1.4639 to account for benefits in addition to wages  </w:t>
      </w:r>
      <w:r>
        <w:rPr>
          <w:rFonts w:ascii="Times New Roman" w:hAnsi="Times New Roman"/>
          <w:sz w:val="20"/>
        </w:rPr>
        <w:fldChar w:fldCharType="begin"/>
      </w:r>
      <w:r>
        <w:rPr>
          <w:rFonts w:ascii="Times New Roman" w:hAnsi="Times New Roman"/>
          <w:sz w:val="20"/>
        </w:rPr>
        <w:instrText xml:space="preserve"> HYPERLINK "https://www.bls.gov/oes/2016/may/oes119199.htm" </w:instrText>
      </w:r>
      <w:r>
        <w:rPr>
          <w:rFonts w:ascii="Times New Roman" w:hAnsi="Times New Roman"/>
          <w:sz w:val="20"/>
        </w:rPr>
        <w:fldChar w:fldCharType="separate"/>
      </w:r>
      <w:r w:rsidRPr="00B26527">
        <w:rPr>
          <w:rStyle w:val="Hyperlink"/>
          <w:rFonts w:ascii="Times New Roman" w:hAnsi="Times New Roman"/>
          <w:sz w:val="20"/>
        </w:rPr>
        <w:t>https://www.bls.gov/oes/2016/may/oes119199.htm</w:t>
      </w:r>
    </w:p>
    <w:p w14:paraId="1AB72767" w14:textId="77777777" w:rsidR="00D810A6" w:rsidRPr="00B26527" w:rsidRDefault="00D810A6">
      <w:pPr>
        <w:pStyle w:val="FootnoteText"/>
        <w:rPr>
          <w:rFonts w:ascii="Times New Roman" w:hAnsi="Times New Roman"/>
          <w:sz w:val="20"/>
        </w:rPr>
      </w:pPr>
      <w:r>
        <w:rPr>
          <w:rFonts w:ascii="Times New Roman" w:hAnsi="Times New Roman"/>
          <w:sz w:val="20"/>
        </w:rPr>
        <w:fldChar w:fldCharType="end"/>
      </w:r>
    </w:p>
  </w:footnote>
  <w:footnote w:id="6">
    <w:p w14:paraId="7F6F5588" w14:textId="77777777" w:rsidR="00D810A6" w:rsidRDefault="00D810A6">
      <w:pPr>
        <w:pStyle w:val="FootnoteText"/>
      </w:pPr>
      <w:r w:rsidRPr="00B26527">
        <w:rPr>
          <w:rFonts w:ascii="Times New Roman" w:hAnsi="Times New Roman"/>
          <w:sz w:val="20"/>
        </w:rPr>
        <w:footnoteRef/>
      </w:r>
      <w:r w:rsidRPr="00B26527">
        <w:rPr>
          <w:rFonts w:ascii="Times New Roman" w:hAnsi="Times New Roman"/>
          <w:sz w:val="20"/>
        </w:rPr>
        <w:t xml:space="preserve"> Load factor based on BLS Employer Cost for Employee Compensation, as of June 9, 2017.  Load factor = Employer cost for employee compensation ($35.28) / wages and salaries ($24.10) = 1.4639 </w:t>
      </w:r>
      <w:hyperlink r:id="rId4" w:history="1">
        <w:r w:rsidRPr="00B26527">
          <w:rPr>
            <w:rStyle w:val="Hyperlink"/>
            <w:rFonts w:ascii="Times New Roman" w:hAnsi="Times New Roman"/>
            <w:sz w:val="20"/>
          </w:rPr>
          <w:t>https://www.bls.gov/news.release/ecec.nr0.htm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025F8B"/>
    <w:multiLevelType w:val="hybridMultilevel"/>
    <w:tmpl w:val="DF926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0BE6B6A">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1062C1"/>
    <w:multiLevelType w:val="hybridMultilevel"/>
    <w:tmpl w:val="AB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8974F4"/>
    <w:multiLevelType w:val="hybridMultilevel"/>
    <w:tmpl w:val="7CDC6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AE5E51"/>
    <w:multiLevelType w:val="hybridMultilevel"/>
    <w:tmpl w:val="00C2711E"/>
    <w:lvl w:ilvl="0" w:tplc="01126CB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03318"/>
    <w:multiLevelType w:val="hybridMultilevel"/>
    <w:tmpl w:val="EA64B33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5F42C6"/>
    <w:multiLevelType w:val="hybridMultilevel"/>
    <w:tmpl w:val="E2BE4A04"/>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12">
    <w:nsid w:val="21E87A66"/>
    <w:multiLevelType w:val="hybridMultilevel"/>
    <w:tmpl w:val="C456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CE6382"/>
    <w:multiLevelType w:val="hybridMultilevel"/>
    <w:tmpl w:val="F99691D4"/>
    <w:lvl w:ilvl="0" w:tplc="906268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28C707A7"/>
    <w:multiLevelType w:val="hybridMultilevel"/>
    <w:tmpl w:val="7CC05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318446F6"/>
    <w:multiLevelType w:val="hybridMultilevel"/>
    <w:tmpl w:val="1EBEB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9">
    <w:nsid w:val="3A657E6D"/>
    <w:multiLevelType w:val="hybridMultilevel"/>
    <w:tmpl w:val="DD14C9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21">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217E3B"/>
    <w:multiLevelType w:val="hybridMultilevel"/>
    <w:tmpl w:val="A0BCF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4">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25">
    <w:nsid w:val="498246D2"/>
    <w:multiLevelType w:val="hybridMultilevel"/>
    <w:tmpl w:val="4B00A0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7">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8">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1374C7"/>
    <w:multiLevelType w:val="hybridMultilevel"/>
    <w:tmpl w:val="8AD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31">
    <w:nsid w:val="52F666B3"/>
    <w:multiLevelType w:val="hybridMultilevel"/>
    <w:tmpl w:val="396A0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33">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34">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5">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36">
    <w:nsid w:val="5CAF00C7"/>
    <w:multiLevelType w:val="hybridMultilevel"/>
    <w:tmpl w:val="8E04B876"/>
    <w:lvl w:ilvl="0" w:tplc="1A020A2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38">
    <w:nsid w:val="647B120A"/>
    <w:multiLevelType w:val="hybridMultilevel"/>
    <w:tmpl w:val="22B4BAFE"/>
    <w:lvl w:ilvl="0" w:tplc="59D4A03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D47017"/>
    <w:multiLevelType w:val="hybridMultilevel"/>
    <w:tmpl w:val="595EEF96"/>
    <w:lvl w:ilvl="0" w:tplc="4AB68AF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66FE75A1"/>
    <w:multiLevelType w:val="hybridMultilevel"/>
    <w:tmpl w:val="DA9E6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42">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B7B1D41"/>
    <w:multiLevelType w:val="hybridMultilevel"/>
    <w:tmpl w:val="DA9E6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5">
    <w:nsid w:val="6E9C1EEE"/>
    <w:multiLevelType w:val="hybridMultilevel"/>
    <w:tmpl w:val="8E3C1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42879E0"/>
    <w:multiLevelType w:val="hybridMultilevel"/>
    <w:tmpl w:val="B61A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C05B00"/>
    <w:multiLevelType w:val="hybridMultilevel"/>
    <w:tmpl w:val="AF2A8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11"/>
  </w:num>
  <w:num w:numId="2">
    <w:abstractNumId w:val="32"/>
  </w:num>
  <w:num w:numId="3">
    <w:abstractNumId w:val="35"/>
  </w:num>
  <w:num w:numId="4">
    <w:abstractNumId w:val="20"/>
  </w:num>
  <w:num w:numId="5">
    <w:abstractNumId w:val="24"/>
  </w:num>
  <w:num w:numId="6">
    <w:abstractNumId w:val="33"/>
  </w:num>
  <w:num w:numId="7">
    <w:abstractNumId w:val="34"/>
  </w:num>
  <w:num w:numId="8">
    <w:abstractNumId w:val="27"/>
  </w:num>
  <w:num w:numId="9">
    <w:abstractNumId w:val="16"/>
  </w:num>
  <w:num w:numId="10">
    <w:abstractNumId w:val="44"/>
  </w:num>
  <w:num w:numId="11">
    <w:abstractNumId w:val="23"/>
  </w:num>
  <w:num w:numId="12">
    <w:abstractNumId w:val="14"/>
  </w:num>
  <w:num w:numId="13">
    <w:abstractNumId w:val="48"/>
  </w:num>
  <w:num w:numId="14">
    <w:abstractNumId w:val="10"/>
  </w:num>
  <w:num w:numId="15">
    <w:abstractNumId w:val="26"/>
  </w:num>
  <w:num w:numId="16">
    <w:abstractNumId w:val="18"/>
  </w:num>
  <w:num w:numId="17">
    <w:abstractNumId w:val="41"/>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30"/>
  </w:num>
  <w:num w:numId="20">
    <w:abstractNumId w:val="37"/>
  </w:num>
  <w:num w:numId="21">
    <w:abstractNumId w:val="28"/>
  </w:num>
  <w:num w:numId="22">
    <w:abstractNumId w:val="21"/>
  </w:num>
  <w:num w:numId="23">
    <w:abstractNumId w:val="9"/>
  </w:num>
  <w:num w:numId="24">
    <w:abstractNumId w:val="5"/>
  </w:num>
  <w:num w:numId="25">
    <w:abstractNumId w:val="2"/>
  </w:num>
  <w:num w:numId="26">
    <w:abstractNumId w:val="17"/>
  </w:num>
  <w:num w:numId="27">
    <w:abstractNumId w:val="13"/>
  </w:num>
  <w:num w:numId="28">
    <w:abstractNumId w:val="29"/>
  </w:num>
  <w:num w:numId="29">
    <w:abstractNumId w:val="12"/>
  </w:num>
  <w:num w:numId="30">
    <w:abstractNumId w:val="6"/>
  </w:num>
  <w:num w:numId="31">
    <w:abstractNumId w:val="42"/>
  </w:num>
  <w:num w:numId="32">
    <w:abstractNumId w:val="15"/>
  </w:num>
  <w:num w:numId="33">
    <w:abstractNumId w:val="4"/>
  </w:num>
  <w:num w:numId="34">
    <w:abstractNumId w:val="36"/>
  </w:num>
  <w:num w:numId="35">
    <w:abstractNumId w:val="46"/>
  </w:num>
  <w:num w:numId="36">
    <w:abstractNumId w:val="3"/>
  </w:num>
  <w:num w:numId="37">
    <w:abstractNumId w:val="1"/>
  </w:num>
  <w:num w:numId="38">
    <w:abstractNumId w:val="45"/>
  </w:num>
  <w:num w:numId="39">
    <w:abstractNumId w:val="8"/>
    <w:lvlOverride w:ilvl="0">
      <w:startOverride w:val="1"/>
    </w:lvlOverride>
    <w:lvlOverride w:ilvl="1"/>
    <w:lvlOverride w:ilvl="2"/>
    <w:lvlOverride w:ilvl="3"/>
    <w:lvlOverride w:ilvl="4"/>
    <w:lvlOverride w:ilvl="5"/>
    <w:lvlOverride w:ilvl="6"/>
    <w:lvlOverride w:ilvl="7"/>
    <w:lvlOverride w:ilvl="8"/>
  </w:num>
  <w:num w:numId="40">
    <w:abstractNumId w:val="19"/>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25"/>
  </w:num>
  <w:num w:numId="44">
    <w:abstractNumId w:val="19"/>
  </w:num>
  <w:num w:numId="45">
    <w:abstractNumId w:val="7"/>
  </w:num>
  <w:num w:numId="46">
    <w:abstractNumId w:val="22"/>
  </w:num>
  <w:num w:numId="47">
    <w:abstractNumId w:val="43"/>
  </w:num>
  <w:num w:numId="48">
    <w:abstractNumId w:val="38"/>
  </w:num>
  <w:num w:numId="49">
    <w:abstractNumId w:val="3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1D32"/>
    <w:rsid w:val="00002240"/>
    <w:rsid w:val="00004132"/>
    <w:rsid w:val="00007440"/>
    <w:rsid w:val="00007D6C"/>
    <w:rsid w:val="00012FBC"/>
    <w:rsid w:val="000152E2"/>
    <w:rsid w:val="00024549"/>
    <w:rsid w:val="000245A8"/>
    <w:rsid w:val="00025EF5"/>
    <w:rsid w:val="000304A9"/>
    <w:rsid w:val="000319C5"/>
    <w:rsid w:val="000335C8"/>
    <w:rsid w:val="00034394"/>
    <w:rsid w:val="00036481"/>
    <w:rsid w:val="00040721"/>
    <w:rsid w:val="0004261A"/>
    <w:rsid w:val="0004262B"/>
    <w:rsid w:val="00042924"/>
    <w:rsid w:val="00047173"/>
    <w:rsid w:val="00051FDA"/>
    <w:rsid w:val="0005219D"/>
    <w:rsid w:val="00053802"/>
    <w:rsid w:val="00054064"/>
    <w:rsid w:val="00061A98"/>
    <w:rsid w:val="0006431C"/>
    <w:rsid w:val="00075B3B"/>
    <w:rsid w:val="00075D99"/>
    <w:rsid w:val="00076EF2"/>
    <w:rsid w:val="00077A93"/>
    <w:rsid w:val="000802AA"/>
    <w:rsid w:val="000812FB"/>
    <w:rsid w:val="00083609"/>
    <w:rsid w:val="00085829"/>
    <w:rsid w:val="00085E8E"/>
    <w:rsid w:val="000875E7"/>
    <w:rsid w:val="00090CB7"/>
    <w:rsid w:val="000A1415"/>
    <w:rsid w:val="000A1E17"/>
    <w:rsid w:val="000A4447"/>
    <w:rsid w:val="000A6FC5"/>
    <w:rsid w:val="000B0430"/>
    <w:rsid w:val="000B3170"/>
    <w:rsid w:val="000B38C9"/>
    <w:rsid w:val="000C31A4"/>
    <w:rsid w:val="000C4293"/>
    <w:rsid w:val="000D26F2"/>
    <w:rsid w:val="000D2A60"/>
    <w:rsid w:val="000D313E"/>
    <w:rsid w:val="000D3E2C"/>
    <w:rsid w:val="000D4B28"/>
    <w:rsid w:val="000D4C89"/>
    <w:rsid w:val="000D614F"/>
    <w:rsid w:val="000E06D9"/>
    <w:rsid w:val="000E4F2C"/>
    <w:rsid w:val="000E7B5C"/>
    <w:rsid w:val="000F5006"/>
    <w:rsid w:val="000F5A9B"/>
    <w:rsid w:val="00101805"/>
    <w:rsid w:val="0010385A"/>
    <w:rsid w:val="00103975"/>
    <w:rsid w:val="001131AC"/>
    <w:rsid w:val="001137C6"/>
    <w:rsid w:val="00113DBF"/>
    <w:rsid w:val="00114A5A"/>
    <w:rsid w:val="00115774"/>
    <w:rsid w:val="0011606B"/>
    <w:rsid w:val="00116595"/>
    <w:rsid w:val="00117E06"/>
    <w:rsid w:val="00120E9E"/>
    <w:rsid w:val="00124B6C"/>
    <w:rsid w:val="00124E99"/>
    <w:rsid w:val="00125B8B"/>
    <w:rsid w:val="00130678"/>
    <w:rsid w:val="001328C7"/>
    <w:rsid w:val="0013324D"/>
    <w:rsid w:val="0013536E"/>
    <w:rsid w:val="00137A8D"/>
    <w:rsid w:val="0014019D"/>
    <w:rsid w:val="001408DE"/>
    <w:rsid w:val="00141549"/>
    <w:rsid w:val="001417AE"/>
    <w:rsid w:val="00141C5C"/>
    <w:rsid w:val="00141F11"/>
    <w:rsid w:val="00142C82"/>
    <w:rsid w:val="00144B5B"/>
    <w:rsid w:val="001452D7"/>
    <w:rsid w:val="0014536C"/>
    <w:rsid w:val="00150913"/>
    <w:rsid w:val="0015160E"/>
    <w:rsid w:val="001531C3"/>
    <w:rsid w:val="0016096E"/>
    <w:rsid w:val="00165323"/>
    <w:rsid w:val="0016639E"/>
    <w:rsid w:val="00180D39"/>
    <w:rsid w:val="00183E6C"/>
    <w:rsid w:val="00184E5B"/>
    <w:rsid w:val="00191158"/>
    <w:rsid w:val="00193FB1"/>
    <w:rsid w:val="00194A62"/>
    <w:rsid w:val="00195942"/>
    <w:rsid w:val="00196679"/>
    <w:rsid w:val="00196E95"/>
    <w:rsid w:val="001A06CB"/>
    <w:rsid w:val="001A1252"/>
    <w:rsid w:val="001A199D"/>
    <w:rsid w:val="001A2C95"/>
    <w:rsid w:val="001A2D92"/>
    <w:rsid w:val="001A58E3"/>
    <w:rsid w:val="001B06B5"/>
    <w:rsid w:val="001B6DF0"/>
    <w:rsid w:val="001B6EBA"/>
    <w:rsid w:val="001B74A8"/>
    <w:rsid w:val="001C18B1"/>
    <w:rsid w:val="001C42AA"/>
    <w:rsid w:val="001C4B22"/>
    <w:rsid w:val="001C4CC1"/>
    <w:rsid w:val="001C64C0"/>
    <w:rsid w:val="001D08BC"/>
    <w:rsid w:val="001D4995"/>
    <w:rsid w:val="001D636F"/>
    <w:rsid w:val="001E2014"/>
    <w:rsid w:val="001E2724"/>
    <w:rsid w:val="001E31AB"/>
    <w:rsid w:val="001E6C45"/>
    <w:rsid w:val="001E7954"/>
    <w:rsid w:val="001F0B4D"/>
    <w:rsid w:val="001F4A90"/>
    <w:rsid w:val="001F6E27"/>
    <w:rsid w:val="001F74DB"/>
    <w:rsid w:val="00201BFB"/>
    <w:rsid w:val="00201D38"/>
    <w:rsid w:val="002030D4"/>
    <w:rsid w:val="0020312D"/>
    <w:rsid w:val="00204DCD"/>
    <w:rsid w:val="00205E2D"/>
    <w:rsid w:val="00212968"/>
    <w:rsid w:val="00214F23"/>
    <w:rsid w:val="00220A45"/>
    <w:rsid w:val="002214F6"/>
    <w:rsid w:val="00222489"/>
    <w:rsid w:val="00223417"/>
    <w:rsid w:val="0022399E"/>
    <w:rsid w:val="00224C87"/>
    <w:rsid w:val="00225BAD"/>
    <w:rsid w:val="00230BFC"/>
    <w:rsid w:val="00231F9B"/>
    <w:rsid w:val="002323DA"/>
    <w:rsid w:val="00233101"/>
    <w:rsid w:val="0023320C"/>
    <w:rsid w:val="00234BC6"/>
    <w:rsid w:val="00235123"/>
    <w:rsid w:val="00235467"/>
    <w:rsid w:val="002359FF"/>
    <w:rsid w:val="002366B4"/>
    <w:rsid w:val="00237711"/>
    <w:rsid w:val="00240690"/>
    <w:rsid w:val="0024258E"/>
    <w:rsid w:val="00247204"/>
    <w:rsid w:val="00251725"/>
    <w:rsid w:val="00252EDB"/>
    <w:rsid w:val="00256D8B"/>
    <w:rsid w:val="00257091"/>
    <w:rsid w:val="002608D1"/>
    <w:rsid w:val="00261B3F"/>
    <w:rsid w:val="00262CEF"/>
    <w:rsid w:val="00264251"/>
    <w:rsid w:val="00264743"/>
    <w:rsid w:val="00266259"/>
    <w:rsid w:val="0026636C"/>
    <w:rsid w:val="00272CF0"/>
    <w:rsid w:val="00273B82"/>
    <w:rsid w:val="00274141"/>
    <w:rsid w:val="00274234"/>
    <w:rsid w:val="002760B1"/>
    <w:rsid w:val="002763E4"/>
    <w:rsid w:val="00284993"/>
    <w:rsid w:val="00286C9B"/>
    <w:rsid w:val="00290AAB"/>
    <w:rsid w:val="00291365"/>
    <w:rsid w:val="00291818"/>
    <w:rsid w:val="0029283B"/>
    <w:rsid w:val="00293AEE"/>
    <w:rsid w:val="00295BF4"/>
    <w:rsid w:val="00296A9C"/>
    <w:rsid w:val="002974D4"/>
    <w:rsid w:val="00297C37"/>
    <w:rsid w:val="002A6CB9"/>
    <w:rsid w:val="002A7031"/>
    <w:rsid w:val="002A71A5"/>
    <w:rsid w:val="002A7498"/>
    <w:rsid w:val="002B043D"/>
    <w:rsid w:val="002B0649"/>
    <w:rsid w:val="002B2260"/>
    <w:rsid w:val="002B26DB"/>
    <w:rsid w:val="002B368A"/>
    <w:rsid w:val="002B3D0A"/>
    <w:rsid w:val="002B4BF6"/>
    <w:rsid w:val="002C05B0"/>
    <w:rsid w:val="002C4512"/>
    <w:rsid w:val="002C4D8E"/>
    <w:rsid w:val="002C5216"/>
    <w:rsid w:val="002C58F3"/>
    <w:rsid w:val="002C78CB"/>
    <w:rsid w:val="002D6219"/>
    <w:rsid w:val="002D72DA"/>
    <w:rsid w:val="002E068A"/>
    <w:rsid w:val="002E1BA6"/>
    <w:rsid w:val="002E264F"/>
    <w:rsid w:val="002E49C3"/>
    <w:rsid w:val="002E680C"/>
    <w:rsid w:val="002E7D6F"/>
    <w:rsid w:val="002F07ED"/>
    <w:rsid w:val="002F2A01"/>
    <w:rsid w:val="002F348B"/>
    <w:rsid w:val="002F4F1D"/>
    <w:rsid w:val="00300503"/>
    <w:rsid w:val="003012DB"/>
    <w:rsid w:val="00304E2E"/>
    <w:rsid w:val="003056D8"/>
    <w:rsid w:val="00307E90"/>
    <w:rsid w:val="00310B1F"/>
    <w:rsid w:val="003167B6"/>
    <w:rsid w:val="003177FB"/>
    <w:rsid w:val="003249AD"/>
    <w:rsid w:val="00325546"/>
    <w:rsid w:val="00325CD7"/>
    <w:rsid w:val="003316EA"/>
    <w:rsid w:val="00331A0E"/>
    <w:rsid w:val="00331AC6"/>
    <w:rsid w:val="00332A26"/>
    <w:rsid w:val="00332E80"/>
    <w:rsid w:val="00333566"/>
    <w:rsid w:val="00333D1E"/>
    <w:rsid w:val="003358A8"/>
    <w:rsid w:val="00340E14"/>
    <w:rsid w:val="00341049"/>
    <w:rsid w:val="0034148A"/>
    <w:rsid w:val="00344BB0"/>
    <w:rsid w:val="00345F46"/>
    <w:rsid w:val="0034700E"/>
    <w:rsid w:val="0035344A"/>
    <w:rsid w:val="003535DD"/>
    <w:rsid w:val="0035517F"/>
    <w:rsid w:val="00356F9D"/>
    <w:rsid w:val="00362A5D"/>
    <w:rsid w:val="00364EE8"/>
    <w:rsid w:val="00365DC0"/>
    <w:rsid w:val="00366E4D"/>
    <w:rsid w:val="00366F17"/>
    <w:rsid w:val="00367BB8"/>
    <w:rsid w:val="0037049E"/>
    <w:rsid w:val="003709CD"/>
    <w:rsid w:val="0037253E"/>
    <w:rsid w:val="003747FE"/>
    <w:rsid w:val="00376236"/>
    <w:rsid w:val="00376395"/>
    <w:rsid w:val="00376942"/>
    <w:rsid w:val="0037718F"/>
    <w:rsid w:val="00377D10"/>
    <w:rsid w:val="00381F93"/>
    <w:rsid w:val="00382A00"/>
    <w:rsid w:val="00383A50"/>
    <w:rsid w:val="00387CF2"/>
    <w:rsid w:val="0039014B"/>
    <w:rsid w:val="0039325E"/>
    <w:rsid w:val="00394081"/>
    <w:rsid w:val="00395E34"/>
    <w:rsid w:val="003A034B"/>
    <w:rsid w:val="003A3345"/>
    <w:rsid w:val="003A3B94"/>
    <w:rsid w:val="003A41EA"/>
    <w:rsid w:val="003A426E"/>
    <w:rsid w:val="003A4655"/>
    <w:rsid w:val="003A7C3A"/>
    <w:rsid w:val="003B5E20"/>
    <w:rsid w:val="003B68FA"/>
    <w:rsid w:val="003B7F47"/>
    <w:rsid w:val="003C2F5E"/>
    <w:rsid w:val="003C3233"/>
    <w:rsid w:val="003C4DD7"/>
    <w:rsid w:val="003C4DEC"/>
    <w:rsid w:val="003C5B0C"/>
    <w:rsid w:val="003C5D80"/>
    <w:rsid w:val="003C600B"/>
    <w:rsid w:val="003C7E1B"/>
    <w:rsid w:val="003D3CDA"/>
    <w:rsid w:val="003D5123"/>
    <w:rsid w:val="003D6447"/>
    <w:rsid w:val="003D6457"/>
    <w:rsid w:val="003D64C9"/>
    <w:rsid w:val="003D7C4A"/>
    <w:rsid w:val="003E0D23"/>
    <w:rsid w:val="003E0FA6"/>
    <w:rsid w:val="003E13FA"/>
    <w:rsid w:val="003E24E0"/>
    <w:rsid w:val="003E2CC1"/>
    <w:rsid w:val="003E4418"/>
    <w:rsid w:val="003E4F9F"/>
    <w:rsid w:val="003E5012"/>
    <w:rsid w:val="003E5C01"/>
    <w:rsid w:val="003E6DD8"/>
    <w:rsid w:val="003F0E36"/>
    <w:rsid w:val="003F0EA3"/>
    <w:rsid w:val="003F5E74"/>
    <w:rsid w:val="003F6BA0"/>
    <w:rsid w:val="00400412"/>
    <w:rsid w:val="00400B07"/>
    <w:rsid w:val="004043AB"/>
    <w:rsid w:val="00405659"/>
    <w:rsid w:val="004062D9"/>
    <w:rsid w:val="004076BD"/>
    <w:rsid w:val="0041064E"/>
    <w:rsid w:val="00411170"/>
    <w:rsid w:val="0041236C"/>
    <w:rsid w:val="00413E8E"/>
    <w:rsid w:val="00426C41"/>
    <w:rsid w:val="00430301"/>
    <w:rsid w:val="00432401"/>
    <w:rsid w:val="00432FAC"/>
    <w:rsid w:val="004337E2"/>
    <w:rsid w:val="0043789A"/>
    <w:rsid w:val="00440786"/>
    <w:rsid w:val="00444678"/>
    <w:rsid w:val="004451B2"/>
    <w:rsid w:val="00446E34"/>
    <w:rsid w:val="00447C3A"/>
    <w:rsid w:val="004505A3"/>
    <w:rsid w:val="00451C2C"/>
    <w:rsid w:val="004557C9"/>
    <w:rsid w:val="0045673C"/>
    <w:rsid w:val="00460234"/>
    <w:rsid w:val="00461943"/>
    <w:rsid w:val="00462C47"/>
    <w:rsid w:val="004634FF"/>
    <w:rsid w:val="004653C9"/>
    <w:rsid w:val="00473776"/>
    <w:rsid w:val="00481945"/>
    <w:rsid w:val="00482F9B"/>
    <w:rsid w:val="004845C2"/>
    <w:rsid w:val="00485EC1"/>
    <w:rsid w:val="00487603"/>
    <w:rsid w:val="00487952"/>
    <w:rsid w:val="0049579B"/>
    <w:rsid w:val="004959F3"/>
    <w:rsid w:val="00495DCD"/>
    <w:rsid w:val="004A0DE6"/>
    <w:rsid w:val="004A0FB5"/>
    <w:rsid w:val="004A42B4"/>
    <w:rsid w:val="004A6726"/>
    <w:rsid w:val="004B2271"/>
    <w:rsid w:val="004B49E1"/>
    <w:rsid w:val="004B62D9"/>
    <w:rsid w:val="004B7E06"/>
    <w:rsid w:val="004C1CC8"/>
    <w:rsid w:val="004C1EA7"/>
    <w:rsid w:val="004C21F8"/>
    <w:rsid w:val="004C30D0"/>
    <w:rsid w:val="004C3B17"/>
    <w:rsid w:val="004C4B56"/>
    <w:rsid w:val="004C796D"/>
    <w:rsid w:val="004D1D48"/>
    <w:rsid w:val="004D2650"/>
    <w:rsid w:val="004D5C12"/>
    <w:rsid w:val="004D6E6D"/>
    <w:rsid w:val="004D7BF8"/>
    <w:rsid w:val="004E4EDE"/>
    <w:rsid w:val="004F0143"/>
    <w:rsid w:val="004F18F8"/>
    <w:rsid w:val="004F19C6"/>
    <w:rsid w:val="004F4CA5"/>
    <w:rsid w:val="004F5274"/>
    <w:rsid w:val="00503B9A"/>
    <w:rsid w:val="00503F84"/>
    <w:rsid w:val="00507A76"/>
    <w:rsid w:val="0051005D"/>
    <w:rsid w:val="00511F12"/>
    <w:rsid w:val="005129EC"/>
    <w:rsid w:val="005145C8"/>
    <w:rsid w:val="00515DB0"/>
    <w:rsid w:val="00517205"/>
    <w:rsid w:val="00517273"/>
    <w:rsid w:val="005202D4"/>
    <w:rsid w:val="005209BA"/>
    <w:rsid w:val="005265AE"/>
    <w:rsid w:val="0052672F"/>
    <w:rsid w:val="00533B3C"/>
    <w:rsid w:val="00534EE4"/>
    <w:rsid w:val="00536C76"/>
    <w:rsid w:val="005417CC"/>
    <w:rsid w:val="005420D3"/>
    <w:rsid w:val="00543729"/>
    <w:rsid w:val="005446E6"/>
    <w:rsid w:val="00550B78"/>
    <w:rsid w:val="00552202"/>
    <w:rsid w:val="00554AE4"/>
    <w:rsid w:val="00555F56"/>
    <w:rsid w:val="00561E25"/>
    <w:rsid w:val="00563379"/>
    <w:rsid w:val="00565030"/>
    <w:rsid w:val="00573B59"/>
    <w:rsid w:val="005765FA"/>
    <w:rsid w:val="00577559"/>
    <w:rsid w:val="00577DE7"/>
    <w:rsid w:val="00580049"/>
    <w:rsid w:val="00580711"/>
    <w:rsid w:val="005817B5"/>
    <w:rsid w:val="00581ADB"/>
    <w:rsid w:val="005823DC"/>
    <w:rsid w:val="00591B8D"/>
    <w:rsid w:val="005924FE"/>
    <w:rsid w:val="00594371"/>
    <w:rsid w:val="00594437"/>
    <w:rsid w:val="00594AE7"/>
    <w:rsid w:val="00596A43"/>
    <w:rsid w:val="00597964"/>
    <w:rsid w:val="005A0C14"/>
    <w:rsid w:val="005A5EE9"/>
    <w:rsid w:val="005A6729"/>
    <w:rsid w:val="005A6CB2"/>
    <w:rsid w:val="005A6F0F"/>
    <w:rsid w:val="005A6F4E"/>
    <w:rsid w:val="005B00B5"/>
    <w:rsid w:val="005B1B53"/>
    <w:rsid w:val="005B2C6E"/>
    <w:rsid w:val="005B5DC6"/>
    <w:rsid w:val="005B66C6"/>
    <w:rsid w:val="005B72FB"/>
    <w:rsid w:val="005C028D"/>
    <w:rsid w:val="005C3DCA"/>
    <w:rsid w:val="005C4592"/>
    <w:rsid w:val="005C7058"/>
    <w:rsid w:val="005D0717"/>
    <w:rsid w:val="005D1303"/>
    <w:rsid w:val="005D182B"/>
    <w:rsid w:val="005D2676"/>
    <w:rsid w:val="005D3092"/>
    <w:rsid w:val="005D5890"/>
    <w:rsid w:val="005D60DF"/>
    <w:rsid w:val="005D6EC2"/>
    <w:rsid w:val="005D700C"/>
    <w:rsid w:val="005D7769"/>
    <w:rsid w:val="005D781B"/>
    <w:rsid w:val="005E1E43"/>
    <w:rsid w:val="005E584B"/>
    <w:rsid w:val="005E701A"/>
    <w:rsid w:val="005E7A57"/>
    <w:rsid w:val="005F0131"/>
    <w:rsid w:val="005F0B5E"/>
    <w:rsid w:val="005F3CAE"/>
    <w:rsid w:val="005F41F4"/>
    <w:rsid w:val="005F42CD"/>
    <w:rsid w:val="005F7DC4"/>
    <w:rsid w:val="006026DF"/>
    <w:rsid w:val="00603EBF"/>
    <w:rsid w:val="00604C5C"/>
    <w:rsid w:val="006054F4"/>
    <w:rsid w:val="0060592F"/>
    <w:rsid w:val="0061021B"/>
    <w:rsid w:val="0061442B"/>
    <w:rsid w:val="006145D1"/>
    <w:rsid w:val="00615DFD"/>
    <w:rsid w:val="00616481"/>
    <w:rsid w:val="006203F7"/>
    <w:rsid w:val="00622034"/>
    <w:rsid w:val="00625391"/>
    <w:rsid w:val="0062628B"/>
    <w:rsid w:val="00630B67"/>
    <w:rsid w:val="00631BCF"/>
    <w:rsid w:val="006325CD"/>
    <w:rsid w:val="006332C5"/>
    <w:rsid w:val="006342D8"/>
    <w:rsid w:val="00635853"/>
    <w:rsid w:val="00635885"/>
    <w:rsid w:val="00636910"/>
    <w:rsid w:val="00637ADD"/>
    <w:rsid w:val="0064028B"/>
    <w:rsid w:val="00640323"/>
    <w:rsid w:val="00640665"/>
    <w:rsid w:val="00642A4D"/>
    <w:rsid w:val="00650223"/>
    <w:rsid w:val="00652B30"/>
    <w:rsid w:val="0065348A"/>
    <w:rsid w:val="006559E3"/>
    <w:rsid w:val="00657687"/>
    <w:rsid w:val="00662247"/>
    <w:rsid w:val="00664C53"/>
    <w:rsid w:val="006651B2"/>
    <w:rsid w:val="00666A77"/>
    <w:rsid w:val="0067057C"/>
    <w:rsid w:val="00671810"/>
    <w:rsid w:val="006722A7"/>
    <w:rsid w:val="00672953"/>
    <w:rsid w:val="006742E5"/>
    <w:rsid w:val="006749D4"/>
    <w:rsid w:val="00676FFB"/>
    <w:rsid w:val="0068160F"/>
    <w:rsid w:val="0068258B"/>
    <w:rsid w:val="00683D12"/>
    <w:rsid w:val="0068525F"/>
    <w:rsid w:val="00687B9C"/>
    <w:rsid w:val="00691E06"/>
    <w:rsid w:val="00693B2F"/>
    <w:rsid w:val="006949E9"/>
    <w:rsid w:val="00697CD6"/>
    <w:rsid w:val="006A0B1C"/>
    <w:rsid w:val="006A26A2"/>
    <w:rsid w:val="006A3E15"/>
    <w:rsid w:val="006A3E56"/>
    <w:rsid w:val="006A7FF1"/>
    <w:rsid w:val="006B4788"/>
    <w:rsid w:val="006B4994"/>
    <w:rsid w:val="006C01DC"/>
    <w:rsid w:val="006C2250"/>
    <w:rsid w:val="006C3202"/>
    <w:rsid w:val="006C6FA0"/>
    <w:rsid w:val="006D0C4F"/>
    <w:rsid w:val="006D0E62"/>
    <w:rsid w:val="006D5286"/>
    <w:rsid w:val="006D5CCE"/>
    <w:rsid w:val="006D64F9"/>
    <w:rsid w:val="006D759C"/>
    <w:rsid w:val="006D785E"/>
    <w:rsid w:val="006E32D9"/>
    <w:rsid w:val="006E5488"/>
    <w:rsid w:val="006E6EEE"/>
    <w:rsid w:val="006E7DC5"/>
    <w:rsid w:val="006F08C0"/>
    <w:rsid w:val="006F5E17"/>
    <w:rsid w:val="00700E3E"/>
    <w:rsid w:val="007048AE"/>
    <w:rsid w:val="00706208"/>
    <w:rsid w:val="00707254"/>
    <w:rsid w:val="00707B7F"/>
    <w:rsid w:val="00720FEC"/>
    <w:rsid w:val="00721368"/>
    <w:rsid w:val="00721AFC"/>
    <w:rsid w:val="00726CA9"/>
    <w:rsid w:val="007277A8"/>
    <w:rsid w:val="007277F0"/>
    <w:rsid w:val="00734FBC"/>
    <w:rsid w:val="00736125"/>
    <w:rsid w:val="00736139"/>
    <w:rsid w:val="00741B83"/>
    <w:rsid w:val="00742F2D"/>
    <w:rsid w:val="007443F3"/>
    <w:rsid w:val="00744CB8"/>
    <w:rsid w:val="00745EA9"/>
    <w:rsid w:val="00752D76"/>
    <w:rsid w:val="00754FA1"/>
    <w:rsid w:val="00757FA1"/>
    <w:rsid w:val="007650F1"/>
    <w:rsid w:val="0077056F"/>
    <w:rsid w:val="00772A12"/>
    <w:rsid w:val="00775588"/>
    <w:rsid w:val="00775AFB"/>
    <w:rsid w:val="0077671B"/>
    <w:rsid w:val="00781A41"/>
    <w:rsid w:val="007822B8"/>
    <w:rsid w:val="00782C76"/>
    <w:rsid w:val="007840BD"/>
    <w:rsid w:val="00786A25"/>
    <w:rsid w:val="00792092"/>
    <w:rsid w:val="00792C74"/>
    <w:rsid w:val="00793101"/>
    <w:rsid w:val="007A2650"/>
    <w:rsid w:val="007A2B3A"/>
    <w:rsid w:val="007A3C51"/>
    <w:rsid w:val="007B0EFB"/>
    <w:rsid w:val="007B3C10"/>
    <w:rsid w:val="007B3DA3"/>
    <w:rsid w:val="007B469E"/>
    <w:rsid w:val="007B49F8"/>
    <w:rsid w:val="007B4F6C"/>
    <w:rsid w:val="007B594E"/>
    <w:rsid w:val="007B7666"/>
    <w:rsid w:val="007B7AA2"/>
    <w:rsid w:val="007C508B"/>
    <w:rsid w:val="007C56C3"/>
    <w:rsid w:val="007C7E88"/>
    <w:rsid w:val="007D0399"/>
    <w:rsid w:val="007D1BF4"/>
    <w:rsid w:val="007D365F"/>
    <w:rsid w:val="007D7406"/>
    <w:rsid w:val="007E3A91"/>
    <w:rsid w:val="007E3DA6"/>
    <w:rsid w:val="007E5414"/>
    <w:rsid w:val="007F0408"/>
    <w:rsid w:val="007F3025"/>
    <w:rsid w:val="007F3026"/>
    <w:rsid w:val="007F303F"/>
    <w:rsid w:val="007F618A"/>
    <w:rsid w:val="007F61EC"/>
    <w:rsid w:val="007F79EE"/>
    <w:rsid w:val="007F7C15"/>
    <w:rsid w:val="00803181"/>
    <w:rsid w:val="00813BDA"/>
    <w:rsid w:val="008215D4"/>
    <w:rsid w:val="0082213C"/>
    <w:rsid w:val="00830C27"/>
    <w:rsid w:val="008337C3"/>
    <w:rsid w:val="00834638"/>
    <w:rsid w:val="0083560C"/>
    <w:rsid w:val="00840338"/>
    <w:rsid w:val="008419A6"/>
    <w:rsid w:val="008443AE"/>
    <w:rsid w:val="00844759"/>
    <w:rsid w:val="008463E4"/>
    <w:rsid w:val="008500FB"/>
    <w:rsid w:val="00851950"/>
    <w:rsid w:val="00851BF1"/>
    <w:rsid w:val="00852F51"/>
    <w:rsid w:val="008568CC"/>
    <w:rsid w:val="00863163"/>
    <w:rsid w:val="00863A56"/>
    <w:rsid w:val="00864547"/>
    <w:rsid w:val="008656F5"/>
    <w:rsid w:val="00865E03"/>
    <w:rsid w:val="0087143C"/>
    <w:rsid w:val="008719E8"/>
    <w:rsid w:val="00875586"/>
    <w:rsid w:val="00876C5B"/>
    <w:rsid w:val="008771B4"/>
    <w:rsid w:val="00877522"/>
    <w:rsid w:val="008804CB"/>
    <w:rsid w:val="00880C25"/>
    <w:rsid w:val="00882C6A"/>
    <w:rsid w:val="0088315C"/>
    <w:rsid w:val="00883A6C"/>
    <w:rsid w:val="008853FF"/>
    <w:rsid w:val="00887178"/>
    <w:rsid w:val="008904B7"/>
    <w:rsid w:val="008913BA"/>
    <w:rsid w:val="00891E65"/>
    <w:rsid w:val="008924F0"/>
    <w:rsid w:val="00893285"/>
    <w:rsid w:val="0089702F"/>
    <w:rsid w:val="008A055F"/>
    <w:rsid w:val="008A14CB"/>
    <w:rsid w:val="008A165F"/>
    <w:rsid w:val="008A221D"/>
    <w:rsid w:val="008A68D4"/>
    <w:rsid w:val="008A698A"/>
    <w:rsid w:val="008A6FF4"/>
    <w:rsid w:val="008B257B"/>
    <w:rsid w:val="008B26F0"/>
    <w:rsid w:val="008B4CC4"/>
    <w:rsid w:val="008B7403"/>
    <w:rsid w:val="008B7A8E"/>
    <w:rsid w:val="008C27C3"/>
    <w:rsid w:val="008C2E36"/>
    <w:rsid w:val="008C2E79"/>
    <w:rsid w:val="008C3EEB"/>
    <w:rsid w:val="008C51E4"/>
    <w:rsid w:val="008C702F"/>
    <w:rsid w:val="008D0CEF"/>
    <w:rsid w:val="008D61ED"/>
    <w:rsid w:val="008D67A1"/>
    <w:rsid w:val="008D744F"/>
    <w:rsid w:val="008E0177"/>
    <w:rsid w:val="008E2A3C"/>
    <w:rsid w:val="008E3451"/>
    <w:rsid w:val="008E4152"/>
    <w:rsid w:val="008E4CC3"/>
    <w:rsid w:val="008E4E81"/>
    <w:rsid w:val="008F0329"/>
    <w:rsid w:val="008F22A2"/>
    <w:rsid w:val="008F2F44"/>
    <w:rsid w:val="008F6BDE"/>
    <w:rsid w:val="00901413"/>
    <w:rsid w:val="00902E4B"/>
    <w:rsid w:val="00903907"/>
    <w:rsid w:val="00903B6C"/>
    <w:rsid w:val="009045F6"/>
    <w:rsid w:val="00904847"/>
    <w:rsid w:val="00905DDC"/>
    <w:rsid w:val="0090774B"/>
    <w:rsid w:val="009100F0"/>
    <w:rsid w:val="00913A27"/>
    <w:rsid w:val="00914A05"/>
    <w:rsid w:val="00916C0C"/>
    <w:rsid w:val="009216AC"/>
    <w:rsid w:val="00921EBF"/>
    <w:rsid w:val="00922690"/>
    <w:rsid w:val="00923AD6"/>
    <w:rsid w:val="009243AE"/>
    <w:rsid w:val="00924C84"/>
    <w:rsid w:val="009303A0"/>
    <w:rsid w:val="009325B7"/>
    <w:rsid w:val="00934370"/>
    <w:rsid w:val="0093542A"/>
    <w:rsid w:val="00942617"/>
    <w:rsid w:val="00942B95"/>
    <w:rsid w:val="00943218"/>
    <w:rsid w:val="0094389A"/>
    <w:rsid w:val="00943AFF"/>
    <w:rsid w:val="00944494"/>
    <w:rsid w:val="00945225"/>
    <w:rsid w:val="00945F5C"/>
    <w:rsid w:val="009501B2"/>
    <w:rsid w:val="009531F0"/>
    <w:rsid w:val="009539A8"/>
    <w:rsid w:val="00954658"/>
    <w:rsid w:val="00955CEC"/>
    <w:rsid w:val="00956B05"/>
    <w:rsid w:val="00961FD6"/>
    <w:rsid w:val="0096453F"/>
    <w:rsid w:val="00964B42"/>
    <w:rsid w:val="00966A9D"/>
    <w:rsid w:val="0096736F"/>
    <w:rsid w:val="00970E36"/>
    <w:rsid w:val="00972525"/>
    <w:rsid w:val="00974E8C"/>
    <w:rsid w:val="00975222"/>
    <w:rsid w:val="00977E3B"/>
    <w:rsid w:val="00980858"/>
    <w:rsid w:val="00993F06"/>
    <w:rsid w:val="00995211"/>
    <w:rsid w:val="009A326B"/>
    <w:rsid w:val="009A744C"/>
    <w:rsid w:val="009A7B24"/>
    <w:rsid w:val="009B4A68"/>
    <w:rsid w:val="009B56E4"/>
    <w:rsid w:val="009B6C8B"/>
    <w:rsid w:val="009C2FFD"/>
    <w:rsid w:val="009C4719"/>
    <w:rsid w:val="009C4896"/>
    <w:rsid w:val="009C4B11"/>
    <w:rsid w:val="009C6193"/>
    <w:rsid w:val="009C695C"/>
    <w:rsid w:val="009D0EDC"/>
    <w:rsid w:val="009D1D3F"/>
    <w:rsid w:val="009D43FC"/>
    <w:rsid w:val="009D50DF"/>
    <w:rsid w:val="009D63FF"/>
    <w:rsid w:val="009D774A"/>
    <w:rsid w:val="009D79B2"/>
    <w:rsid w:val="009E5A3F"/>
    <w:rsid w:val="009E6B0A"/>
    <w:rsid w:val="009E6B96"/>
    <w:rsid w:val="009E7EDB"/>
    <w:rsid w:val="009F06EB"/>
    <w:rsid w:val="009F2F5F"/>
    <w:rsid w:val="009F5E5D"/>
    <w:rsid w:val="009F66F0"/>
    <w:rsid w:val="00A00007"/>
    <w:rsid w:val="00A031F6"/>
    <w:rsid w:val="00A0781B"/>
    <w:rsid w:val="00A1104A"/>
    <w:rsid w:val="00A13472"/>
    <w:rsid w:val="00A152FF"/>
    <w:rsid w:val="00A1663F"/>
    <w:rsid w:val="00A169A3"/>
    <w:rsid w:val="00A17979"/>
    <w:rsid w:val="00A20FC4"/>
    <w:rsid w:val="00A22F0D"/>
    <w:rsid w:val="00A272DE"/>
    <w:rsid w:val="00A30702"/>
    <w:rsid w:val="00A31F47"/>
    <w:rsid w:val="00A34FB1"/>
    <w:rsid w:val="00A35C1C"/>
    <w:rsid w:val="00A360D7"/>
    <w:rsid w:val="00A36A45"/>
    <w:rsid w:val="00A36FE8"/>
    <w:rsid w:val="00A41283"/>
    <w:rsid w:val="00A42A18"/>
    <w:rsid w:val="00A430FE"/>
    <w:rsid w:val="00A4474B"/>
    <w:rsid w:val="00A476B8"/>
    <w:rsid w:val="00A476E8"/>
    <w:rsid w:val="00A519AD"/>
    <w:rsid w:val="00A60B8F"/>
    <w:rsid w:val="00A619E0"/>
    <w:rsid w:val="00A72D2A"/>
    <w:rsid w:val="00A74E92"/>
    <w:rsid w:val="00A76A45"/>
    <w:rsid w:val="00A803BD"/>
    <w:rsid w:val="00A83FD5"/>
    <w:rsid w:val="00A86433"/>
    <w:rsid w:val="00A90ACC"/>
    <w:rsid w:val="00A949E3"/>
    <w:rsid w:val="00A95219"/>
    <w:rsid w:val="00A95256"/>
    <w:rsid w:val="00A968EA"/>
    <w:rsid w:val="00A97598"/>
    <w:rsid w:val="00AA3F82"/>
    <w:rsid w:val="00AA518A"/>
    <w:rsid w:val="00AA5E85"/>
    <w:rsid w:val="00AA6813"/>
    <w:rsid w:val="00AB0D86"/>
    <w:rsid w:val="00AB1A8B"/>
    <w:rsid w:val="00AB40F8"/>
    <w:rsid w:val="00AB48E6"/>
    <w:rsid w:val="00AB72B8"/>
    <w:rsid w:val="00AC0BE8"/>
    <w:rsid w:val="00AC50A2"/>
    <w:rsid w:val="00AC539C"/>
    <w:rsid w:val="00AC6CD7"/>
    <w:rsid w:val="00AC73B1"/>
    <w:rsid w:val="00AD27CE"/>
    <w:rsid w:val="00AD3D54"/>
    <w:rsid w:val="00AD49B4"/>
    <w:rsid w:val="00AD590E"/>
    <w:rsid w:val="00AD6814"/>
    <w:rsid w:val="00AD70EC"/>
    <w:rsid w:val="00AE03A7"/>
    <w:rsid w:val="00AE0D1F"/>
    <w:rsid w:val="00AE0EA2"/>
    <w:rsid w:val="00AE1ABD"/>
    <w:rsid w:val="00AE41B7"/>
    <w:rsid w:val="00AF4918"/>
    <w:rsid w:val="00AF75AB"/>
    <w:rsid w:val="00B00142"/>
    <w:rsid w:val="00B02152"/>
    <w:rsid w:val="00B0282A"/>
    <w:rsid w:val="00B10543"/>
    <w:rsid w:val="00B10D05"/>
    <w:rsid w:val="00B139CF"/>
    <w:rsid w:val="00B17D05"/>
    <w:rsid w:val="00B233E2"/>
    <w:rsid w:val="00B238B0"/>
    <w:rsid w:val="00B26527"/>
    <w:rsid w:val="00B31A62"/>
    <w:rsid w:val="00B33078"/>
    <w:rsid w:val="00B3453D"/>
    <w:rsid w:val="00B35474"/>
    <w:rsid w:val="00B35A9A"/>
    <w:rsid w:val="00B40C5B"/>
    <w:rsid w:val="00B410FE"/>
    <w:rsid w:val="00B41CFC"/>
    <w:rsid w:val="00B443AA"/>
    <w:rsid w:val="00B45F2B"/>
    <w:rsid w:val="00B543FA"/>
    <w:rsid w:val="00B56F06"/>
    <w:rsid w:val="00B57157"/>
    <w:rsid w:val="00B57481"/>
    <w:rsid w:val="00B57BFF"/>
    <w:rsid w:val="00B6018B"/>
    <w:rsid w:val="00B66B45"/>
    <w:rsid w:val="00B67664"/>
    <w:rsid w:val="00B67DC9"/>
    <w:rsid w:val="00B709AD"/>
    <w:rsid w:val="00B82E1A"/>
    <w:rsid w:val="00B85D2D"/>
    <w:rsid w:val="00B86224"/>
    <w:rsid w:val="00B91395"/>
    <w:rsid w:val="00B92268"/>
    <w:rsid w:val="00B97C86"/>
    <w:rsid w:val="00BA022D"/>
    <w:rsid w:val="00BA06EF"/>
    <w:rsid w:val="00BA11D1"/>
    <w:rsid w:val="00BA2768"/>
    <w:rsid w:val="00BA5E0A"/>
    <w:rsid w:val="00BB0387"/>
    <w:rsid w:val="00BB10C6"/>
    <w:rsid w:val="00BB4B67"/>
    <w:rsid w:val="00BC0228"/>
    <w:rsid w:val="00BC2569"/>
    <w:rsid w:val="00BC4542"/>
    <w:rsid w:val="00BD04F5"/>
    <w:rsid w:val="00BD1CA9"/>
    <w:rsid w:val="00BD3D06"/>
    <w:rsid w:val="00BD3FAD"/>
    <w:rsid w:val="00BE1644"/>
    <w:rsid w:val="00BE3FBE"/>
    <w:rsid w:val="00BE4B9B"/>
    <w:rsid w:val="00BF07C2"/>
    <w:rsid w:val="00BF1853"/>
    <w:rsid w:val="00BF73A5"/>
    <w:rsid w:val="00C032A8"/>
    <w:rsid w:val="00C042BB"/>
    <w:rsid w:val="00C04FFC"/>
    <w:rsid w:val="00C10ACB"/>
    <w:rsid w:val="00C128E8"/>
    <w:rsid w:val="00C17584"/>
    <w:rsid w:val="00C17669"/>
    <w:rsid w:val="00C2007E"/>
    <w:rsid w:val="00C21E2B"/>
    <w:rsid w:val="00C234A4"/>
    <w:rsid w:val="00C2697B"/>
    <w:rsid w:val="00C3419E"/>
    <w:rsid w:val="00C34D59"/>
    <w:rsid w:val="00C35834"/>
    <w:rsid w:val="00C35DDC"/>
    <w:rsid w:val="00C37F83"/>
    <w:rsid w:val="00C414BF"/>
    <w:rsid w:val="00C443A2"/>
    <w:rsid w:val="00C45C31"/>
    <w:rsid w:val="00C46638"/>
    <w:rsid w:val="00C5013C"/>
    <w:rsid w:val="00C5127F"/>
    <w:rsid w:val="00C520DC"/>
    <w:rsid w:val="00C54977"/>
    <w:rsid w:val="00C554EE"/>
    <w:rsid w:val="00C57DC6"/>
    <w:rsid w:val="00C62231"/>
    <w:rsid w:val="00C62ACC"/>
    <w:rsid w:val="00C6313D"/>
    <w:rsid w:val="00C65903"/>
    <w:rsid w:val="00C678E0"/>
    <w:rsid w:val="00C67E1C"/>
    <w:rsid w:val="00C73E35"/>
    <w:rsid w:val="00C73EF7"/>
    <w:rsid w:val="00C7549C"/>
    <w:rsid w:val="00C75797"/>
    <w:rsid w:val="00C76761"/>
    <w:rsid w:val="00C77539"/>
    <w:rsid w:val="00C80982"/>
    <w:rsid w:val="00C82799"/>
    <w:rsid w:val="00C831D5"/>
    <w:rsid w:val="00C855AF"/>
    <w:rsid w:val="00C86433"/>
    <w:rsid w:val="00C91A9C"/>
    <w:rsid w:val="00C94245"/>
    <w:rsid w:val="00CA0BE8"/>
    <w:rsid w:val="00CA0C09"/>
    <w:rsid w:val="00CA2D07"/>
    <w:rsid w:val="00CA4518"/>
    <w:rsid w:val="00CA51E1"/>
    <w:rsid w:val="00CA7AF8"/>
    <w:rsid w:val="00CB0C27"/>
    <w:rsid w:val="00CB168E"/>
    <w:rsid w:val="00CB3107"/>
    <w:rsid w:val="00CB4E99"/>
    <w:rsid w:val="00CB6507"/>
    <w:rsid w:val="00CB7D71"/>
    <w:rsid w:val="00CC0CA8"/>
    <w:rsid w:val="00CC1603"/>
    <w:rsid w:val="00CC29FD"/>
    <w:rsid w:val="00CC2BC8"/>
    <w:rsid w:val="00CC545F"/>
    <w:rsid w:val="00CC6ABF"/>
    <w:rsid w:val="00CD1EF9"/>
    <w:rsid w:val="00CD2DFE"/>
    <w:rsid w:val="00CD3662"/>
    <w:rsid w:val="00CD49E7"/>
    <w:rsid w:val="00CD6A8F"/>
    <w:rsid w:val="00CD6FCF"/>
    <w:rsid w:val="00CE005A"/>
    <w:rsid w:val="00CE1674"/>
    <w:rsid w:val="00CE2D07"/>
    <w:rsid w:val="00CE3D0D"/>
    <w:rsid w:val="00CF29E6"/>
    <w:rsid w:val="00CF3F53"/>
    <w:rsid w:val="00CF45CF"/>
    <w:rsid w:val="00CF46D2"/>
    <w:rsid w:val="00CF4958"/>
    <w:rsid w:val="00CF6775"/>
    <w:rsid w:val="00D02DD1"/>
    <w:rsid w:val="00D046A7"/>
    <w:rsid w:val="00D046BA"/>
    <w:rsid w:val="00D04C05"/>
    <w:rsid w:val="00D10B49"/>
    <w:rsid w:val="00D10E10"/>
    <w:rsid w:val="00D11083"/>
    <w:rsid w:val="00D13B98"/>
    <w:rsid w:val="00D158B2"/>
    <w:rsid w:val="00D15FAC"/>
    <w:rsid w:val="00D1637A"/>
    <w:rsid w:val="00D171B9"/>
    <w:rsid w:val="00D24758"/>
    <w:rsid w:val="00D25CCE"/>
    <w:rsid w:val="00D26F51"/>
    <w:rsid w:val="00D32670"/>
    <w:rsid w:val="00D32EA8"/>
    <w:rsid w:val="00D3306F"/>
    <w:rsid w:val="00D3411B"/>
    <w:rsid w:val="00D358E9"/>
    <w:rsid w:val="00D37D20"/>
    <w:rsid w:val="00D41658"/>
    <w:rsid w:val="00D47B4B"/>
    <w:rsid w:val="00D52897"/>
    <w:rsid w:val="00D52C49"/>
    <w:rsid w:val="00D550A2"/>
    <w:rsid w:val="00D61789"/>
    <w:rsid w:val="00D6529C"/>
    <w:rsid w:val="00D67C59"/>
    <w:rsid w:val="00D7118B"/>
    <w:rsid w:val="00D71239"/>
    <w:rsid w:val="00D735EE"/>
    <w:rsid w:val="00D73BBC"/>
    <w:rsid w:val="00D810A6"/>
    <w:rsid w:val="00D82A65"/>
    <w:rsid w:val="00D82F4D"/>
    <w:rsid w:val="00D839E8"/>
    <w:rsid w:val="00D85E86"/>
    <w:rsid w:val="00D9282F"/>
    <w:rsid w:val="00D93841"/>
    <w:rsid w:val="00DA0968"/>
    <w:rsid w:val="00DA29C6"/>
    <w:rsid w:val="00DA2EBC"/>
    <w:rsid w:val="00DA3B4D"/>
    <w:rsid w:val="00DA52B3"/>
    <w:rsid w:val="00DA6C4B"/>
    <w:rsid w:val="00DA7978"/>
    <w:rsid w:val="00DB0532"/>
    <w:rsid w:val="00DB6BCE"/>
    <w:rsid w:val="00DC19A2"/>
    <w:rsid w:val="00DC5A90"/>
    <w:rsid w:val="00DC6AFC"/>
    <w:rsid w:val="00DC6E79"/>
    <w:rsid w:val="00DD1BCA"/>
    <w:rsid w:val="00DD300E"/>
    <w:rsid w:val="00DD4363"/>
    <w:rsid w:val="00DD4865"/>
    <w:rsid w:val="00DD49FD"/>
    <w:rsid w:val="00DD6063"/>
    <w:rsid w:val="00DD6682"/>
    <w:rsid w:val="00DE157A"/>
    <w:rsid w:val="00DE1B76"/>
    <w:rsid w:val="00DE3C41"/>
    <w:rsid w:val="00DE44B7"/>
    <w:rsid w:val="00DE477B"/>
    <w:rsid w:val="00DE56AF"/>
    <w:rsid w:val="00DF62FF"/>
    <w:rsid w:val="00DF6ADA"/>
    <w:rsid w:val="00DF7C0D"/>
    <w:rsid w:val="00E00433"/>
    <w:rsid w:val="00E02528"/>
    <w:rsid w:val="00E0306B"/>
    <w:rsid w:val="00E04095"/>
    <w:rsid w:val="00E06D34"/>
    <w:rsid w:val="00E12104"/>
    <w:rsid w:val="00E13617"/>
    <w:rsid w:val="00E13723"/>
    <w:rsid w:val="00E14780"/>
    <w:rsid w:val="00E155F9"/>
    <w:rsid w:val="00E16698"/>
    <w:rsid w:val="00E176E9"/>
    <w:rsid w:val="00E17A04"/>
    <w:rsid w:val="00E211FB"/>
    <w:rsid w:val="00E2447D"/>
    <w:rsid w:val="00E2481E"/>
    <w:rsid w:val="00E25F04"/>
    <w:rsid w:val="00E30D9A"/>
    <w:rsid w:val="00E31856"/>
    <w:rsid w:val="00E32314"/>
    <w:rsid w:val="00E32968"/>
    <w:rsid w:val="00E3439F"/>
    <w:rsid w:val="00E35281"/>
    <w:rsid w:val="00E40066"/>
    <w:rsid w:val="00E413DD"/>
    <w:rsid w:val="00E4308A"/>
    <w:rsid w:val="00E4592E"/>
    <w:rsid w:val="00E476EF"/>
    <w:rsid w:val="00E47E90"/>
    <w:rsid w:val="00E531DD"/>
    <w:rsid w:val="00E53794"/>
    <w:rsid w:val="00E54806"/>
    <w:rsid w:val="00E548EA"/>
    <w:rsid w:val="00E57C22"/>
    <w:rsid w:val="00E63493"/>
    <w:rsid w:val="00E672A3"/>
    <w:rsid w:val="00E71F9E"/>
    <w:rsid w:val="00E7329F"/>
    <w:rsid w:val="00E7377C"/>
    <w:rsid w:val="00E76612"/>
    <w:rsid w:val="00E848CD"/>
    <w:rsid w:val="00E90D52"/>
    <w:rsid w:val="00E914F5"/>
    <w:rsid w:val="00E91C62"/>
    <w:rsid w:val="00E932C3"/>
    <w:rsid w:val="00E9345C"/>
    <w:rsid w:val="00E953CA"/>
    <w:rsid w:val="00E95985"/>
    <w:rsid w:val="00E95A93"/>
    <w:rsid w:val="00E96F76"/>
    <w:rsid w:val="00E97FAE"/>
    <w:rsid w:val="00EA0E90"/>
    <w:rsid w:val="00EA300C"/>
    <w:rsid w:val="00EA4420"/>
    <w:rsid w:val="00EA76B3"/>
    <w:rsid w:val="00EB2374"/>
    <w:rsid w:val="00EB4C41"/>
    <w:rsid w:val="00EB5E96"/>
    <w:rsid w:val="00EC0905"/>
    <w:rsid w:val="00EC45ED"/>
    <w:rsid w:val="00EC7875"/>
    <w:rsid w:val="00ED1C94"/>
    <w:rsid w:val="00ED2208"/>
    <w:rsid w:val="00ED4321"/>
    <w:rsid w:val="00ED47BD"/>
    <w:rsid w:val="00ED5041"/>
    <w:rsid w:val="00ED7335"/>
    <w:rsid w:val="00ED73B4"/>
    <w:rsid w:val="00EE0AC2"/>
    <w:rsid w:val="00EE11BC"/>
    <w:rsid w:val="00EE3192"/>
    <w:rsid w:val="00EE4009"/>
    <w:rsid w:val="00EE43B1"/>
    <w:rsid w:val="00EE53BE"/>
    <w:rsid w:val="00EE54CE"/>
    <w:rsid w:val="00EF105B"/>
    <w:rsid w:val="00EF1A44"/>
    <w:rsid w:val="00EF2B4F"/>
    <w:rsid w:val="00EF5AC6"/>
    <w:rsid w:val="00EF6E27"/>
    <w:rsid w:val="00EF7132"/>
    <w:rsid w:val="00EF73D7"/>
    <w:rsid w:val="00F02679"/>
    <w:rsid w:val="00F03D71"/>
    <w:rsid w:val="00F04215"/>
    <w:rsid w:val="00F049F5"/>
    <w:rsid w:val="00F0610E"/>
    <w:rsid w:val="00F06DD9"/>
    <w:rsid w:val="00F10C2C"/>
    <w:rsid w:val="00F137DC"/>
    <w:rsid w:val="00F15079"/>
    <w:rsid w:val="00F15109"/>
    <w:rsid w:val="00F1612D"/>
    <w:rsid w:val="00F22D97"/>
    <w:rsid w:val="00F23632"/>
    <w:rsid w:val="00F27810"/>
    <w:rsid w:val="00F3212F"/>
    <w:rsid w:val="00F33B1A"/>
    <w:rsid w:val="00F360AD"/>
    <w:rsid w:val="00F37F32"/>
    <w:rsid w:val="00F415B7"/>
    <w:rsid w:val="00F42607"/>
    <w:rsid w:val="00F43F2B"/>
    <w:rsid w:val="00F4411A"/>
    <w:rsid w:val="00F51DD2"/>
    <w:rsid w:val="00F52FD8"/>
    <w:rsid w:val="00F53BC3"/>
    <w:rsid w:val="00F55FF0"/>
    <w:rsid w:val="00F60E08"/>
    <w:rsid w:val="00F612B4"/>
    <w:rsid w:val="00F62C73"/>
    <w:rsid w:val="00F74AF3"/>
    <w:rsid w:val="00F7780C"/>
    <w:rsid w:val="00F8776C"/>
    <w:rsid w:val="00F930EE"/>
    <w:rsid w:val="00FA27B4"/>
    <w:rsid w:val="00FA381E"/>
    <w:rsid w:val="00FA4EFA"/>
    <w:rsid w:val="00FB0046"/>
    <w:rsid w:val="00FB2554"/>
    <w:rsid w:val="00FB359B"/>
    <w:rsid w:val="00FC1FF8"/>
    <w:rsid w:val="00FC3DA4"/>
    <w:rsid w:val="00FC4AAA"/>
    <w:rsid w:val="00FC5EB9"/>
    <w:rsid w:val="00FD096B"/>
    <w:rsid w:val="00FD232E"/>
    <w:rsid w:val="00FD2846"/>
    <w:rsid w:val="00FD709C"/>
    <w:rsid w:val="00FD7865"/>
    <w:rsid w:val="00FE442E"/>
    <w:rsid w:val="00FE5940"/>
    <w:rsid w:val="00FE59BC"/>
    <w:rsid w:val="00FE5E74"/>
    <w:rsid w:val="00FE6924"/>
    <w:rsid w:val="00FE75FE"/>
    <w:rsid w:val="00FE7BF6"/>
    <w:rsid w:val="00FF1073"/>
    <w:rsid w:val="00FF223C"/>
    <w:rsid w:val="00FF286F"/>
    <w:rsid w:val="00FF39AE"/>
    <w:rsid w:val="00FF6A47"/>
    <w:rsid w:val="00FF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A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A8D"/>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link w:val="Heading2Char"/>
    <w:semiHidden/>
    <w:unhideWhenUsed/>
    <w:qFormat/>
    <w:rsid w:val="00E57C2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E57C2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uiPriority w:val="99"/>
    <w:rsid w:val="008F2F44"/>
    <w:rPr>
      <w:sz w:val="16"/>
      <w:szCs w:val="16"/>
    </w:rPr>
  </w:style>
  <w:style w:type="paragraph" w:styleId="CommentText">
    <w:name w:val="annotation text"/>
    <w:basedOn w:val="Normal"/>
    <w:link w:val="CommentTextChar"/>
    <w:uiPriority w:val="99"/>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Normal"/>
    <w:rsid w:val="00E57C22"/>
    <w:pPr>
      <w:jc w:val="center"/>
    </w:pPr>
    <w:rPr>
      <w:rFonts w:ascii="Book Antiqua" w:hAnsi="Book Antiqua"/>
      <w:b/>
      <w:bCs/>
      <w:sz w:val="28"/>
      <w:szCs w:val="20"/>
    </w:rPr>
  </w:style>
  <w:style w:type="character" w:customStyle="1" w:styleId="Heading2Char">
    <w:name w:val="Heading 2 Char"/>
    <w:link w:val="Heading2"/>
    <w:semiHidden/>
    <w:rsid w:val="00E57C22"/>
    <w:rPr>
      <w:rFonts w:ascii="Calibri Light" w:eastAsia="Times New Roman" w:hAnsi="Calibri Light" w:cs="Times New Roman"/>
      <w:b/>
      <w:bCs/>
      <w:i/>
      <w:iCs/>
      <w:sz w:val="28"/>
      <w:szCs w:val="28"/>
    </w:rPr>
  </w:style>
  <w:style w:type="character" w:customStyle="1" w:styleId="Heading3Char">
    <w:name w:val="Heading 3 Char"/>
    <w:link w:val="Heading3"/>
    <w:semiHidden/>
    <w:rsid w:val="00E57C22"/>
    <w:rPr>
      <w:rFonts w:ascii="Calibri Light" w:eastAsia="Times New Roman" w:hAnsi="Calibri Light" w:cs="Times New Roman"/>
      <w:b/>
      <w:bCs/>
      <w:sz w:val="26"/>
      <w:szCs w:val="26"/>
    </w:rPr>
  </w:style>
  <w:style w:type="paragraph" w:customStyle="1" w:styleId="StyleBodyTimesNewRoman12pt">
    <w:name w:val="Style Body + Times New Roman 12 pt"/>
    <w:basedOn w:val="Normal"/>
    <w:link w:val="StyleBodyTimesNewRoman12ptChar"/>
    <w:rsid w:val="00E57C22"/>
    <w:pPr>
      <w:spacing w:line="271" w:lineRule="auto"/>
      <w:ind w:firstLine="720"/>
      <w:jc w:val="both"/>
    </w:pPr>
    <w:rPr>
      <w:szCs w:val="20"/>
    </w:rPr>
  </w:style>
  <w:style w:type="character" w:customStyle="1" w:styleId="StyleBodyTimesNewRoman12ptChar">
    <w:name w:val="Style Body + Times New Roman 12 pt Char"/>
    <w:link w:val="StyleBodyTimesNewRoman12pt"/>
    <w:locked/>
    <w:rsid w:val="00E57C22"/>
    <w:rPr>
      <w:sz w:val="24"/>
    </w:rPr>
  </w:style>
  <w:style w:type="paragraph" w:styleId="ListParagraph">
    <w:name w:val="List Paragraph"/>
    <w:basedOn w:val="Normal"/>
    <w:uiPriority w:val="34"/>
    <w:qFormat/>
    <w:rsid w:val="00E57C22"/>
    <w:pPr>
      <w:ind w:left="720"/>
      <w:contextualSpacing/>
    </w:pPr>
    <w:rPr>
      <w:rFonts w:ascii="Book Antiqua" w:hAnsi="Book Antiqua"/>
      <w:szCs w:val="20"/>
    </w:rPr>
  </w:style>
  <w:style w:type="paragraph" w:styleId="FootnoteText">
    <w:name w:val="footnote text"/>
    <w:basedOn w:val="Normal"/>
    <w:link w:val="FootnoteTextChar"/>
    <w:uiPriority w:val="99"/>
    <w:rsid w:val="00E57C22"/>
    <w:rPr>
      <w:rFonts w:ascii="Book Antiqua" w:hAnsi="Book Antiqua"/>
      <w:szCs w:val="20"/>
    </w:rPr>
  </w:style>
  <w:style w:type="character" w:customStyle="1" w:styleId="FootnoteTextChar">
    <w:name w:val="Footnote Text Char"/>
    <w:link w:val="FootnoteText"/>
    <w:uiPriority w:val="99"/>
    <w:rsid w:val="00E57C22"/>
    <w:rPr>
      <w:rFonts w:ascii="Book Antiqua" w:hAnsi="Book Antiqua"/>
      <w:sz w:val="24"/>
    </w:rPr>
  </w:style>
  <w:style w:type="character" w:styleId="FootnoteReference">
    <w:name w:val="footnote reference"/>
    <w:uiPriority w:val="99"/>
    <w:qFormat/>
    <w:rsid w:val="00E57C22"/>
    <w:rPr>
      <w:vertAlign w:val="superscript"/>
    </w:rPr>
  </w:style>
  <w:style w:type="paragraph" w:styleId="Revision">
    <w:name w:val="Revision"/>
    <w:hidden/>
    <w:uiPriority w:val="99"/>
    <w:semiHidden/>
    <w:rsid w:val="00901413"/>
    <w:rPr>
      <w:sz w:val="24"/>
      <w:szCs w:val="24"/>
    </w:rPr>
  </w:style>
  <w:style w:type="character" w:styleId="FollowedHyperlink">
    <w:name w:val="FollowedHyperlink"/>
    <w:rsid w:val="00376395"/>
    <w:rPr>
      <w:color w:val="954F72"/>
      <w:u w:val="single"/>
    </w:rPr>
  </w:style>
  <w:style w:type="character" w:customStyle="1" w:styleId="CommentTextChar">
    <w:name w:val="Comment Text Char"/>
    <w:link w:val="CommentText"/>
    <w:uiPriority w:val="99"/>
    <w:rsid w:val="00120E9E"/>
  </w:style>
  <w:style w:type="character" w:styleId="Strong">
    <w:name w:val="Strong"/>
    <w:basedOn w:val="DefaultParagraphFont"/>
    <w:qFormat/>
    <w:rsid w:val="005E58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A8D"/>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link w:val="Heading2Char"/>
    <w:semiHidden/>
    <w:unhideWhenUsed/>
    <w:qFormat/>
    <w:rsid w:val="00E57C2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E57C2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uiPriority w:val="99"/>
    <w:rsid w:val="008F2F44"/>
    <w:rPr>
      <w:sz w:val="16"/>
      <w:szCs w:val="16"/>
    </w:rPr>
  </w:style>
  <w:style w:type="paragraph" w:styleId="CommentText">
    <w:name w:val="annotation text"/>
    <w:basedOn w:val="Normal"/>
    <w:link w:val="CommentTextChar"/>
    <w:uiPriority w:val="99"/>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Normal"/>
    <w:rsid w:val="00E57C22"/>
    <w:pPr>
      <w:jc w:val="center"/>
    </w:pPr>
    <w:rPr>
      <w:rFonts w:ascii="Book Antiqua" w:hAnsi="Book Antiqua"/>
      <w:b/>
      <w:bCs/>
      <w:sz w:val="28"/>
      <w:szCs w:val="20"/>
    </w:rPr>
  </w:style>
  <w:style w:type="character" w:customStyle="1" w:styleId="Heading2Char">
    <w:name w:val="Heading 2 Char"/>
    <w:link w:val="Heading2"/>
    <w:semiHidden/>
    <w:rsid w:val="00E57C22"/>
    <w:rPr>
      <w:rFonts w:ascii="Calibri Light" w:eastAsia="Times New Roman" w:hAnsi="Calibri Light" w:cs="Times New Roman"/>
      <w:b/>
      <w:bCs/>
      <w:i/>
      <w:iCs/>
      <w:sz w:val="28"/>
      <w:szCs w:val="28"/>
    </w:rPr>
  </w:style>
  <w:style w:type="character" w:customStyle="1" w:styleId="Heading3Char">
    <w:name w:val="Heading 3 Char"/>
    <w:link w:val="Heading3"/>
    <w:semiHidden/>
    <w:rsid w:val="00E57C22"/>
    <w:rPr>
      <w:rFonts w:ascii="Calibri Light" w:eastAsia="Times New Roman" w:hAnsi="Calibri Light" w:cs="Times New Roman"/>
      <w:b/>
      <w:bCs/>
      <w:sz w:val="26"/>
      <w:szCs w:val="26"/>
    </w:rPr>
  </w:style>
  <w:style w:type="paragraph" w:customStyle="1" w:styleId="StyleBodyTimesNewRoman12pt">
    <w:name w:val="Style Body + Times New Roman 12 pt"/>
    <w:basedOn w:val="Normal"/>
    <w:link w:val="StyleBodyTimesNewRoman12ptChar"/>
    <w:rsid w:val="00E57C22"/>
    <w:pPr>
      <w:spacing w:line="271" w:lineRule="auto"/>
      <w:ind w:firstLine="720"/>
      <w:jc w:val="both"/>
    </w:pPr>
    <w:rPr>
      <w:szCs w:val="20"/>
    </w:rPr>
  </w:style>
  <w:style w:type="character" w:customStyle="1" w:styleId="StyleBodyTimesNewRoman12ptChar">
    <w:name w:val="Style Body + Times New Roman 12 pt Char"/>
    <w:link w:val="StyleBodyTimesNewRoman12pt"/>
    <w:locked/>
    <w:rsid w:val="00E57C22"/>
    <w:rPr>
      <w:sz w:val="24"/>
    </w:rPr>
  </w:style>
  <w:style w:type="paragraph" w:styleId="ListParagraph">
    <w:name w:val="List Paragraph"/>
    <w:basedOn w:val="Normal"/>
    <w:uiPriority w:val="34"/>
    <w:qFormat/>
    <w:rsid w:val="00E57C22"/>
    <w:pPr>
      <w:ind w:left="720"/>
      <w:contextualSpacing/>
    </w:pPr>
    <w:rPr>
      <w:rFonts w:ascii="Book Antiqua" w:hAnsi="Book Antiqua"/>
      <w:szCs w:val="20"/>
    </w:rPr>
  </w:style>
  <w:style w:type="paragraph" w:styleId="FootnoteText">
    <w:name w:val="footnote text"/>
    <w:basedOn w:val="Normal"/>
    <w:link w:val="FootnoteTextChar"/>
    <w:uiPriority w:val="99"/>
    <w:rsid w:val="00E57C22"/>
    <w:rPr>
      <w:rFonts w:ascii="Book Antiqua" w:hAnsi="Book Antiqua"/>
      <w:szCs w:val="20"/>
    </w:rPr>
  </w:style>
  <w:style w:type="character" w:customStyle="1" w:styleId="FootnoteTextChar">
    <w:name w:val="Footnote Text Char"/>
    <w:link w:val="FootnoteText"/>
    <w:uiPriority w:val="99"/>
    <w:rsid w:val="00E57C22"/>
    <w:rPr>
      <w:rFonts w:ascii="Book Antiqua" w:hAnsi="Book Antiqua"/>
      <w:sz w:val="24"/>
    </w:rPr>
  </w:style>
  <w:style w:type="character" w:styleId="FootnoteReference">
    <w:name w:val="footnote reference"/>
    <w:uiPriority w:val="99"/>
    <w:qFormat/>
    <w:rsid w:val="00E57C22"/>
    <w:rPr>
      <w:vertAlign w:val="superscript"/>
    </w:rPr>
  </w:style>
  <w:style w:type="paragraph" w:styleId="Revision">
    <w:name w:val="Revision"/>
    <w:hidden/>
    <w:uiPriority w:val="99"/>
    <w:semiHidden/>
    <w:rsid w:val="00901413"/>
    <w:rPr>
      <w:sz w:val="24"/>
      <w:szCs w:val="24"/>
    </w:rPr>
  </w:style>
  <w:style w:type="character" w:styleId="FollowedHyperlink">
    <w:name w:val="FollowedHyperlink"/>
    <w:rsid w:val="00376395"/>
    <w:rPr>
      <w:color w:val="954F72"/>
      <w:u w:val="single"/>
    </w:rPr>
  </w:style>
  <w:style w:type="character" w:customStyle="1" w:styleId="CommentTextChar">
    <w:name w:val="Comment Text Char"/>
    <w:link w:val="CommentText"/>
    <w:uiPriority w:val="99"/>
    <w:rsid w:val="00120E9E"/>
  </w:style>
  <w:style w:type="character" w:styleId="Strong">
    <w:name w:val="Strong"/>
    <w:basedOn w:val="DefaultParagraphFont"/>
    <w:qFormat/>
    <w:rsid w:val="005E5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47447">
      <w:bodyDiv w:val="1"/>
      <w:marLeft w:val="0"/>
      <w:marRight w:val="0"/>
      <w:marTop w:val="0"/>
      <w:marBottom w:val="0"/>
      <w:divBdr>
        <w:top w:val="none" w:sz="0" w:space="0" w:color="auto"/>
        <w:left w:val="none" w:sz="0" w:space="0" w:color="auto"/>
        <w:bottom w:val="none" w:sz="0" w:space="0" w:color="auto"/>
        <w:right w:val="none" w:sz="0" w:space="0" w:color="auto"/>
      </w:divBdr>
    </w:div>
    <w:div w:id="388039056">
      <w:bodyDiv w:val="1"/>
      <w:marLeft w:val="0"/>
      <w:marRight w:val="0"/>
      <w:marTop w:val="0"/>
      <w:marBottom w:val="0"/>
      <w:divBdr>
        <w:top w:val="none" w:sz="0" w:space="0" w:color="auto"/>
        <w:left w:val="none" w:sz="0" w:space="0" w:color="auto"/>
        <w:bottom w:val="none" w:sz="0" w:space="0" w:color="auto"/>
        <w:right w:val="none" w:sz="0" w:space="0" w:color="auto"/>
      </w:divBdr>
    </w:div>
    <w:div w:id="571159275">
      <w:bodyDiv w:val="1"/>
      <w:marLeft w:val="0"/>
      <w:marRight w:val="0"/>
      <w:marTop w:val="0"/>
      <w:marBottom w:val="0"/>
      <w:divBdr>
        <w:top w:val="none" w:sz="0" w:space="0" w:color="auto"/>
        <w:left w:val="none" w:sz="0" w:space="0" w:color="auto"/>
        <w:bottom w:val="none" w:sz="0" w:space="0" w:color="auto"/>
        <w:right w:val="none" w:sz="0" w:space="0" w:color="auto"/>
      </w:divBdr>
    </w:div>
    <w:div w:id="646402684">
      <w:bodyDiv w:val="1"/>
      <w:marLeft w:val="0"/>
      <w:marRight w:val="0"/>
      <w:marTop w:val="0"/>
      <w:marBottom w:val="0"/>
      <w:divBdr>
        <w:top w:val="none" w:sz="0" w:space="0" w:color="auto"/>
        <w:left w:val="none" w:sz="0" w:space="0" w:color="auto"/>
        <w:bottom w:val="none" w:sz="0" w:space="0" w:color="auto"/>
        <w:right w:val="none" w:sz="0" w:space="0" w:color="auto"/>
      </w:divBdr>
      <w:divsChild>
        <w:div w:id="619070883">
          <w:marLeft w:val="0"/>
          <w:marRight w:val="0"/>
          <w:marTop w:val="0"/>
          <w:marBottom w:val="0"/>
          <w:divBdr>
            <w:top w:val="none" w:sz="0" w:space="0" w:color="auto"/>
            <w:left w:val="none" w:sz="0" w:space="0" w:color="auto"/>
            <w:bottom w:val="none" w:sz="0" w:space="0" w:color="auto"/>
            <w:right w:val="none" w:sz="0" w:space="0" w:color="auto"/>
          </w:divBdr>
          <w:divsChild>
            <w:div w:id="1256094689">
              <w:marLeft w:val="0"/>
              <w:marRight w:val="0"/>
              <w:marTop w:val="0"/>
              <w:marBottom w:val="0"/>
              <w:divBdr>
                <w:top w:val="none" w:sz="0" w:space="0" w:color="auto"/>
                <w:left w:val="none" w:sz="0" w:space="0" w:color="auto"/>
                <w:bottom w:val="none" w:sz="0" w:space="0" w:color="auto"/>
                <w:right w:val="none" w:sz="0" w:space="0" w:color="auto"/>
              </w:divBdr>
            </w:div>
            <w:div w:id="14374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5701">
      <w:bodyDiv w:val="1"/>
      <w:marLeft w:val="0"/>
      <w:marRight w:val="0"/>
      <w:marTop w:val="0"/>
      <w:marBottom w:val="0"/>
      <w:divBdr>
        <w:top w:val="none" w:sz="0" w:space="0" w:color="auto"/>
        <w:left w:val="none" w:sz="0" w:space="0" w:color="auto"/>
        <w:bottom w:val="none" w:sz="0" w:space="0" w:color="auto"/>
        <w:right w:val="none" w:sz="0" w:space="0" w:color="auto"/>
      </w:divBdr>
    </w:div>
    <w:div w:id="767190095">
      <w:bodyDiv w:val="1"/>
      <w:marLeft w:val="0"/>
      <w:marRight w:val="0"/>
      <w:marTop w:val="0"/>
      <w:marBottom w:val="0"/>
      <w:divBdr>
        <w:top w:val="none" w:sz="0" w:space="0" w:color="auto"/>
        <w:left w:val="none" w:sz="0" w:space="0" w:color="auto"/>
        <w:bottom w:val="none" w:sz="0" w:space="0" w:color="auto"/>
        <w:right w:val="none" w:sz="0" w:space="0" w:color="auto"/>
      </w:divBdr>
    </w:div>
    <w:div w:id="851534873">
      <w:bodyDiv w:val="1"/>
      <w:marLeft w:val="0"/>
      <w:marRight w:val="0"/>
      <w:marTop w:val="0"/>
      <w:marBottom w:val="0"/>
      <w:divBdr>
        <w:top w:val="none" w:sz="0" w:space="0" w:color="auto"/>
        <w:left w:val="none" w:sz="0" w:space="0" w:color="auto"/>
        <w:bottom w:val="none" w:sz="0" w:space="0" w:color="auto"/>
        <w:right w:val="none" w:sz="0" w:space="0" w:color="auto"/>
      </w:divBdr>
    </w:div>
    <w:div w:id="853688013">
      <w:bodyDiv w:val="1"/>
      <w:marLeft w:val="0"/>
      <w:marRight w:val="0"/>
      <w:marTop w:val="0"/>
      <w:marBottom w:val="0"/>
      <w:divBdr>
        <w:top w:val="none" w:sz="0" w:space="0" w:color="auto"/>
        <w:left w:val="none" w:sz="0" w:space="0" w:color="auto"/>
        <w:bottom w:val="none" w:sz="0" w:space="0" w:color="auto"/>
        <w:right w:val="none" w:sz="0" w:space="0" w:color="auto"/>
      </w:divBdr>
    </w:div>
    <w:div w:id="957297241">
      <w:bodyDiv w:val="1"/>
      <w:marLeft w:val="0"/>
      <w:marRight w:val="0"/>
      <w:marTop w:val="0"/>
      <w:marBottom w:val="0"/>
      <w:divBdr>
        <w:top w:val="none" w:sz="0" w:space="0" w:color="auto"/>
        <w:left w:val="none" w:sz="0" w:space="0" w:color="auto"/>
        <w:bottom w:val="none" w:sz="0" w:space="0" w:color="auto"/>
        <w:right w:val="none" w:sz="0" w:space="0" w:color="auto"/>
      </w:divBdr>
      <w:divsChild>
        <w:div w:id="1983650540">
          <w:marLeft w:val="0"/>
          <w:marRight w:val="0"/>
          <w:marTop w:val="0"/>
          <w:marBottom w:val="0"/>
          <w:divBdr>
            <w:top w:val="none" w:sz="0" w:space="0" w:color="auto"/>
            <w:left w:val="none" w:sz="0" w:space="0" w:color="auto"/>
            <w:bottom w:val="none" w:sz="0" w:space="0" w:color="auto"/>
            <w:right w:val="none" w:sz="0" w:space="0" w:color="auto"/>
          </w:divBdr>
        </w:div>
        <w:div w:id="1771970865">
          <w:marLeft w:val="0"/>
          <w:marRight w:val="0"/>
          <w:marTop w:val="0"/>
          <w:marBottom w:val="0"/>
          <w:divBdr>
            <w:top w:val="none" w:sz="0" w:space="0" w:color="auto"/>
            <w:left w:val="none" w:sz="0" w:space="0" w:color="auto"/>
            <w:bottom w:val="none" w:sz="0" w:space="0" w:color="auto"/>
            <w:right w:val="none" w:sz="0" w:space="0" w:color="auto"/>
          </w:divBdr>
        </w:div>
        <w:div w:id="1945723690">
          <w:marLeft w:val="0"/>
          <w:marRight w:val="0"/>
          <w:marTop w:val="0"/>
          <w:marBottom w:val="0"/>
          <w:divBdr>
            <w:top w:val="none" w:sz="0" w:space="0" w:color="auto"/>
            <w:left w:val="none" w:sz="0" w:space="0" w:color="auto"/>
            <w:bottom w:val="none" w:sz="0" w:space="0" w:color="auto"/>
            <w:right w:val="none" w:sz="0" w:space="0" w:color="auto"/>
          </w:divBdr>
        </w:div>
        <w:div w:id="1564632199">
          <w:marLeft w:val="0"/>
          <w:marRight w:val="0"/>
          <w:marTop w:val="0"/>
          <w:marBottom w:val="0"/>
          <w:divBdr>
            <w:top w:val="none" w:sz="0" w:space="0" w:color="auto"/>
            <w:left w:val="none" w:sz="0" w:space="0" w:color="auto"/>
            <w:bottom w:val="none" w:sz="0" w:space="0" w:color="auto"/>
            <w:right w:val="none" w:sz="0" w:space="0" w:color="auto"/>
          </w:divBdr>
        </w:div>
        <w:div w:id="1200779100">
          <w:marLeft w:val="0"/>
          <w:marRight w:val="0"/>
          <w:marTop w:val="0"/>
          <w:marBottom w:val="0"/>
          <w:divBdr>
            <w:top w:val="none" w:sz="0" w:space="0" w:color="auto"/>
            <w:left w:val="none" w:sz="0" w:space="0" w:color="auto"/>
            <w:bottom w:val="none" w:sz="0" w:space="0" w:color="auto"/>
            <w:right w:val="none" w:sz="0" w:space="0" w:color="auto"/>
          </w:divBdr>
        </w:div>
        <w:div w:id="1053163948">
          <w:marLeft w:val="0"/>
          <w:marRight w:val="0"/>
          <w:marTop w:val="0"/>
          <w:marBottom w:val="0"/>
          <w:divBdr>
            <w:top w:val="none" w:sz="0" w:space="0" w:color="auto"/>
            <w:left w:val="none" w:sz="0" w:space="0" w:color="auto"/>
            <w:bottom w:val="none" w:sz="0" w:space="0" w:color="auto"/>
            <w:right w:val="none" w:sz="0" w:space="0" w:color="auto"/>
          </w:divBdr>
        </w:div>
      </w:divsChild>
    </w:div>
    <w:div w:id="1114909695">
      <w:bodyDiv w:val="1"/>
      <w:marLeft w:val="0"/>
      <w:marRight w:val="0"/>
      <w:marTop w:val="0"/>
      <w:marBottom w:val="0"/>
      <w:divBdr>
        <w:top w:val="none" w:sz="0" w:space="0" w:color="auto"/>
        <w:left w:val="none" w:sz="0" w:space="0" w:color="auto"/>
        <w:bottom w:val="none" w:sz="0" w:space="0" w:color="auto"/>
        <w:right w:val="none" w:sz="0" w:space="0" w:color="auto"/>
      </w:divBdr>
    </w:div>
    <w:div w:id="1719013129">
      <w:bodyDiv w:val="1"/>
      <w:marLeft w:val="0"/>
      <w:marRight w:val="0"/>
      <w:marTop w:val="0"/>
      <w:marBottom w:val="0"/>
      <w:divBdr>
        <w:top w:val="none" w:sz="0" w:space="0" w:color="auto"/>
        <w:left w:val="none" w:sz="0" w:space="0" w:color="auto"/>
        <w:bottom w:val="none" w:sz="0" w:space="0" w:color="auto"/>
        <w:right w:val="none" w:sz="0" w:space="0" w:color="auto"/>
      </w:divBdr>
    </w:div>
    <w:div w:id="1782147020">
      <w:bodyDiv w:val="1"/>
      <w:marLeft w:val="0"/>
      <w:marRight w:val="0"/>
      <w:marTop w:val="0"/>
      <w:marBottom w:val="0"/>
      <w:divBdr>
        <w:top w:val="none" w:sz="0" w:space="0" w:color="auto"/>
        <w:left w:val="none" w:sz="0" w:space="0" w:color="auto"/>
        <w:bottom w:val="none" w:sz="0" w:space="0" w:color="auto"/>
        <w:right w:val="none" w:sz="0" w:space="0" w:color="auto"/>
      </w:divBdr>
    </w:div>
    <w:div w:id="1822653745">
      <w:bodyDiv w:val="1"/>
      <w:marLeft w:val="0"/>
      <w:marRight w:val="0"/>
      <w:marTop w:val="0"/>
      <w:marBottom w:val="0"/>
      <w:divBdr>
        <w:top w:val="none" w:sz="0" w:space="0" w:color="auto"/>
        <w:left w:val="none" w:sz="0" w:space="0" w:color="auto"/>
        <w:bottom w:val="none" w:sz="0" w:space="0" w:color="auto"/>
        <w:right w:val="none" w:sz="0" w:space="0" w:color="auto"/>
      </w:divBdr>
    </w:div>
    <w:div w:id="2077823680">
      <w:bodyDiv w:val="1"/>
      <w:marLeft w:val="0"/>
      <w:marRight w:val="0"/>
      <w:marTop w:val="0"/>
      <w:marBottom w:val="0"/>
      <w:divBdr>
        <w:top w:val="none" w:sz="0" w:space="0" w:color="auto"/>
        <w:left w:val="none" w:sz="0" w:space="0" w:color="auto"/>
        <w:bottom w:val="none" w:sz="0" w:space="0" w:color="auto"/>
        <w:right w:val="none" w:sz="0" w:space="0" w:color="auto"/>
      </w:divBdr>
    </w:div>
    <w:div w:id="20992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cfr.gov/cgi-bin/text-idx?tpl=/ecfrbrowse/Title06/6cfr27_main_02.tpl"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uscode.house.gov/view.xhtml?path=/prelim@title6/chapter1/subchapter16&amp;edition=preli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sha.gov/chemicalexecutiveorder/final_chemical_eo_status_report.pdf" TargetMode="External"/><Relationship Id="rId2" Type="http://schemas.openxmlformats.org/officeDocument/2006/relationships/hyperlink" Target="https://www.osha.gov/chemicalexecutiveorder/data_management.html" TargetMode="External"/><Relationship Id="rId1" Type="http://schemas.openxmlformats.org/officeDocument/2006/relationships/hyperlink" Target="https://obamawhitehouse.archives.gov/the-press-office/2013/08/01/executive-order-improving-chemical-facility-safety-and-security"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62482be-791f-46d4-86b5-fac5be26931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65F3A2DF80E641829C354E471780AF" ma:contentTypeVersion="1" ma:contentTypeDescription="Create a new document." ma:contentTypeScope="" ma:versionID="8b6b7a8b2656e95810ef60364e92909e">
  <xsd:schema xmlns:xsd="http://www.w3.org/2001/XMLSchema" xmlns:xs="http://www.w3.org/2001/XMLSchema" xmlns:p="http://schemas.microsoft.com/office/2006/metadata/properties" xmlns:ns2="c0a539e5-cd07-4dc1-ab3b-82065fc22058" xmlns:ns3="http://schemas.microsoft.com/sharepoint/v4" targetNamespace="http://schemas.microsoft.com/office/2006/metadata/properties" ma:root="true" ma:fieldsID="710754752dc4f69f22b7993c14853743" ns2:_="" ns3:_="">
    <xsd:import namespace="c0a539e5-cd07-4dc1-ab3b-82065fc2205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C9586-59CF-40A0-BA4C-6AEAAEA1C155}">
  <ds:schemaRefs>
    <ds:schemaRef ds:uri="Microsoft.SharePoint.Taxonomy.ContentTypeSync"/>
  </ds:schemaRefs>
</ds:datastoreItem>
</file>

<file path=customXml/itemProps2.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3.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4.xml><?xml version="1.0" encoding="utf-8"?>
<ds:datastoreItem xmlns:ds="http://schemas.openxmlformats.org/officeDocument/2006/customXml" ds:itemID="{32D8BF1C-6D8D-4876-89EC-5470B65EB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CB4991-2863-4C8B-A663-3ADC0276DCE6}">
  <ds:schemaRefs>
    <ds:schemaRef ds:uri="http://schemas.microsoft.com/office/2006/metadata/properties"/>
    <ds:schemaRef ds:uri="http://schemas.microsoft.com/office/infopath/2007/PartnerControls"/>
    <ds:schemaRef ds:uri="http://schemas.microsoft.com/sharepoint/v4"/>
  </ds:schemaRefs>
</ds:datastoreItem>
</file>

<file path=customXml/itemProps6.xml><?xml version="1.0" encoding="utf-8"?>
<ds:datastoreItem xmlns:ds="http://schemas.openxmlformats.org/officeDocument/2006/customXml" ds:itemID="{FE40F179-2A4B-4DCE-9329-EDDE025E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6213</Words>
  <Characters>35415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Supporting Statement A - CFATS</vt:lpstr>
    </vt:vector>
  </TitlesOfParts>
  <Company>FEMA</Company>
  <LinksUpToDate>false</LinksUpToDate>
  <CharactersWithSpaces>41545</CharactersWithSpaces>
  <SharedDoc>false</SharedDoc>
  <HLinks>
    <vt:vector size="30" baseType="variant">
      <vt:variant>
        <vt:i4>524315</vt:i4>
      </vt:variant>
      <vt:variant>
        <vt:i4>78</vt:i4>
      </vt:variant>
      <vt:variant>
        <vt:i4>0</vt:i4>
      </vt:variant>
      <vt:variant>
        <vt:i4>5</vt:i4>
      </vt:variant>
      <vt:variant>
        <vt:lpwstr>http://www.bls.gov/cpi/tables.htm</vt:lpwstr>
      </vt:variant>
      <vt:variant>
        <vt:lpwstr/>
      </vt:variant>
      <vt:variant>
        <vt:i4>2818151</vt:i4>
      </vt:variant>
      <vt:variant>
        <vt:i4>59</vt:i4>
      </vt:variant>
      <vt:variant>
        <vt:i4>0</vt:i4>
      </vt:variant>
      <vt:variant>
        <vt:i4>5</vt:i4>
      </vt:variant>
      <vt:variant>
        <vt:lpwstr>http://www.regulations.gov/</vt:lpwstr>
      </vt:variant>
      <vt:variant>
        <vt:lpwstr/>
      </vt:variant>
      <vt:variant>
        <vt:i4>2818151</vt:i4>
      </vt:variant>
      <vt:variant>
        <vt:i4>56</vt:i4>
      </vt:variant>
      <vt:variant>
        <vt:i4>0</vt:i4>
      </vt:variant>
      <vt:variant>
        <vt:i4>5</vt:i4>
      </vt:variant>
      <vt:variant>
        <vt:lpwstr>http://www.regulations.gov/</vt:lpwstr>
      </vt:variant>
      <vt:variant>
        <vt:lpwstr/>
      </vt:variant>
      <vt:variant>
        <vt:i4>196626</vt:i4>
      </vt:variant>
      <vt:variant>
        <vt:i4>5</vt:i4>
      </vt:variant>
      <vt:variant>
        <vt:i4>0</vt:i4>
      </vt:variant>
      <vt:variant>
        <vt:i4>5</vt:i4>
      </vt:variant>
      <vt:variant>
        <vt:lpwstr>http://www.ecfr.gov/cgi-bin/text-idx?tpl=/ecfrbrowse/Title06/6cfr27_main_02.tpl</vt:lpwstr>
      </vt:variant>
      <vt:variant>
        <vt:lpwstr/>
      </vt:variant>
      <vt:variant>
        <vt:i4>5636202</vt:i4>
      </vt:variant>
      <vt:variant>
        <vt:i4>2</vt:i4>
      </vt:variant>
      <vt:variant>
        <vt:i4>0</vt:i4>
      </vt:variant>
      <vt:variant>
        <vt:i4>5</vt:i4>
      </vt:variant>
      <vt:variant>
        <vt:lpwstr>http://uscode.house.gov/view.xhtml?path=/prelim@title6/chapter1/subchapter16&amp;edition=prelim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CFATS</dc:title>
  <dc:creator>fema user</dc:creator>
  <cp:lastModifiedBy>SYSTEM</cp:lastModifiedBy>
  <cp:revision>2</cp:revision>
  <cp:lastPrinted>2017-08-08T19:54:00Z</cp:lastPrinted>
  <dcterms:created xsi:type="dcterms:W3CDTF">2018-04-05T13:04:00Z</dcterms:created>
  <dcterms:modified xsi:type="dcterms:W3CDTF">2018-04-05T13:04:00Z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ies>
</file>