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0C562" w14:textId="77777777" w:rsidR="00EB5E96" w:rsidRPr="0020492B" w:rsidRDefault="00EB5E96" w:rsidP="006A0B1C">
      <w:pPr>
        <w:pStyle w:val="Title"/>
        <w:rPr>
          <w:sz w:val="24"/>
          <w:szCs w:val="24"/>
        </w:rPr>
      </w:pPr>
      <w:bookmarkStart w:id="0" w:name="_GoBack"/>
      <w:bookmarkEnd w:id="0"/>
      <w:r w:rsidRPr="0020492B">
        <w:rPr>
          <w:sz w:val="24"/>
          <w:szCs w:val="24"/>
        </w:rPr>
        <w:t>Supporting Statement for Paperwork Reduction Act Submissions</w:t>
      </w:r>
    </w:p>
    <w:p w14:paraId="68213F9A" w14:textId="77777777" w:rsidR="00EB5E96" w:rsidRPr="0020492B" w:rsidRDefault="00EB5E96" w:rsidP="000C4293">
      <w:pPr>
        <w:tabs>
          <w:tab w:val="left" w:pos="-720"/>
        </w:tabs>
        <w:suppressAutoHyphens/>
        <w:ind w:right="-720"/>
        <w:jc w:val="both"/>
        <w:rPr>
          <w:b/>
        </w:rPr>
      </w:pPr>
    </w:p>
    <w:p w14:paraId="5E91F2A6" w14:textId="77777777" w:rsidR="00EB5E96" w:rsidRPr="0020492B" w:rsidRDefault="00EB5E96" w:rsidP="00D73BBC">
      <w:pPr>
        <w:tabs>
          <w:tab w:val="left" w:pos="-720"/>
        </w:tabs>
        <w:suppressAutoHyphens/>
        <w:jc w:val="center"/>
        <w:rPr>
          <w:b/>
        </w:rPr>
      </w:pPr>
      <w:r w:rsidRPr="0020492B">
        <w:rPr>
          <w:b/>
        </w:rPr>
        <w:t>Title:</w:t>
      </w:r>
    </w:p>
    <w:p w14:paraId="2016C63D" w14:textId="77777777" w:rsidR="00EB5E96" w:rsidRPr="0020492B" w:rsidRDefault="00EB5E96" w:rsidP="00D73BBC">
      <w:pPr>
        <w:tabs>
          <w:tab w:val="left" w:pos="-720"/>
        </w:tabs>
        <w:suppressAutoHyphens/>
        <w:jc w:val="center"/>
        <w:rPr>
          <w:b/>
        </w:rPr>
      </w:pPr>
    </w:p>
    <w:p w14:paraId="24BFD646" w14:textId="77777777" w:rsidR="00EB5E96" w:rsidRPr="0020492B" w:rsidRDefault="00EB5E96" w:rsidP="00D73BBC">
      <w:pPr>
        <w:tabs>
          <w:tab w:val="left" w:pos="-720"/>
        </w:tabs>
        <w:suppressAutoHyphens/>
        <w:jc w:val="center"/>
        <w:rPr>
          <w:b/>
        </w:rPr>
      </w:pPr>
      <w:r w:rsidRPr="0020492B">
        <w:rPr>
          <w:b/>
        </w:rPr>
        <w:t xml:space="preserve">OMB Control Number: </w:t>
      </w:r>
      <w:r w:rsidR="000A6FC5" w:rsidRPr="0020492B">
        <w:rPr>
          <w:b/>
        </w:rPr>
        <w:t>1670-</w:t>
      </w:r>
      <w:r w:rsidR="00E57C22" w:rsidRPr="0020492B">
        <w:rPr>
          <w:b/>
        </w:rPr>
        <w:t>00</w:t>
      </w:r>
      <w:r w:rsidR="00932CAA" w:rsidRPr="0020492B">
        <w:rPr>
          <w:b/>
        </w:rPr>
        <w:t>15</w:t>
      </w:r>
    </w:p>
    <w:p w14:paraId="6E8BF32C" w14:textId="77777777" w:rsidR="00EB5E96" w:rsidRPr="0020492B" w:rsidRDefault="00EB5E96" w:rsidP="00D73BBC">
      <w:pPr>
        <w:tabs>
          <w:tab w:val="left" w:pos="-720"/>
        </w:tabs>
        <w:suppressAutoHyphens/>
        <w:jc w:val="center"/>
      </w:pPr>
    </w:p>
    <w:p w14:paraId="09FCE496" w14:textId="77777777" w:rsidR="00E57C22" w:rsidRPr="0051183F" w:rsidRDefault="00932CAA" w:rsidP="00E57C22">
      <w:pPr>
        <w:pStyle w:val="Title1"/>
        <w:rPr>
          <w:rFonts w:ascii="Times New Roman" w:hAnsi="Times New Roman"/>
        </w:rPr>
      </w:pPr>
      <w:r w:rsidRPr="0051183F">
        <w:rPr>
          <w:rFonts w:ascii="Times New Roman" w:hAnsi="Times New Roman"/>
        </w:rPr>
        <w:t>Chemical-terrorism Vulnerability Information</w:t>
      </w:r>
    </w:p>
    <w:p w14:paraId="45D9FCDF" w14:textId="77777777" w:rsidR="009F06EB" w:rsidRPr="0020492B" w:rsidRDefault="009F06EB" w:rsidP="00D73BBC">
      <w:pPr>
        <w:tabs>
          <w:tab w:val="left" w:pos="-720"/>
        </w:tabs>
        <w:suppressAutoHyphens/>
        <w:jc w:val="center"/>
        <w:rPr>
          <w:b/>
        </w:rPr>
      </w:pPr>
      <w:r w:rsidRPr="0020492B">
        <w:rPr>
          <w:b/>
        </w:rPr>
        <w:t>Supporting Statement A</w:t>
      </w:r>
    </w:p>
    <w:p w14:paraId="56C6E18F" w14:textId="77777777" w:rsidR="009F06EB" w:rsidRPr="00596A43" w:rsidRDefault="009F06EB" w:rsidP="000C4293">
      <w:pPr>
        <w:tabs>
          <w:tab w:val="left" w:pos="-720"/>
        </w:tabs>
        <w:suppressAutoHyphens/>
        <w:jc w:val="both"/>
      </w:pPr>
    </w:p>
    <w:p w14:paraId="26C81008" w14:textId="77777777" w:rsidR="00EB5E96" w:rsidRPr="00596A43" w:rsidRDefault="00EB5E96" w:rsidP="000C4293">
      <w:pPr>
        <w:pStyle w:val="Heading1"/>
        <w:jc w:val="both"/>
        <w:rPr>
          <w:sz w:val="24"/>
          <w:szCs w:val="24"/>
        </w:rPr>
      </w:pPr>
      <w:r w:rsidRPr="00596A43">
        <w:rPr>
          <w:sz w:val="24"/>
          <w:szCs w:val="24"/>
        </w:rPr>
        <w:t>A. Justification</w:t>
      </w:r>
    </w:p>
    <w:p w14:paraId="641BB7A7" w14:textId="77777777" w:rsidR="00EB5E96" w:rsidRPr="00596A43" w:rsidRDefault="00EB5E96" w:rsidP="000C4293">
      <w:pPr>
        <w:tabs>
          <w:tab w:val="left" w:pos="-720"/>
        </w:tabs>
        <w:suppressAutoHyphens/>
        <w:jc w:val="both"/>
      </w:pPr>
    </w:p>
    <w:p w14:paraId="16617D14"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50821F6" w14:textId="77777777" w:rsidR="000E7B5C" w:rsidRPr="00596A43" w:rsidRDefault="000E7B5C" w:rsidP="000C4293">
      <w:pPr>
        <w:tabs>
          <w:tab w:val="left" w:pos="-720"/>
        </w:tabs>
        <w:suppressAutoHyphens/>
        <w:jc w:val="both"/>
      </w:pPr>
    </w:p>
    <w:p w14:paraId="140BAEF7" w14:textId="77777777" w:rsidR="00932CAA" w:rsidRPr="002316F8" w:rsidRDefault="00932CAA" w:rsidP="00932CAA">
      <w:r w:rsidRPr="002316F8">
        <w:t xml:space="preserve">On December 18, 2014, the President signed into law the </w:t>
      </w:r>
      <w:r w:rsidRPr="0051183F">
        <w:rPr>
          <w:i/>
        </w:rPr>
        <w:t>Protecting and Securing Chemical Facilities from Terrorist Attacks Act of 2014</w:t>
      </w:r>
      <w:r w:rsidRPr="002316F8">
        <w:t xml:space="preserve"> (CFATS Act of 2014)</w:t>
      </w:r>
      <w:r w:rsidR="00920888">
        <w:t xml:space="preserve"> (Pub. L. 113-254</w:t>
      </w:r>
      <w:r w:rsidRPr="002316F8">
        <w:t xml:space="preserve">), which amended the Homeland Security Act of 2002 (Pub. L. 107-296) to reauthorize the </w:t>
      </w:r>
      <w:r w:rsidR="00E11CF1">
        <w:t>Chemical Facility Anti-Terrorism Standards (</w:t>
      </w:r>
      <w:r w:rsidRPr="002316F8">
        <w:t>CFATS</w:t>
      </w:r>
      <w:r w:rsidR="00E11CF1">
        <w:t>)</w:t>
      </w:r>
      <w:r w:rsidRPr="002316F8">
        <w:t xml:space="preserve"> </w:t>
      </w:r>
      <w:r w:rsidR="00D86023">
        <w:t>P</w:t>
      </w:r>
      <w:r w:rsidRPr="002316F8">
        <w:t>rogram and add new provisions, while preserving most of the existing CFATS regulations. The CFATS Act of 2014 provides long</w:t>
      </w:r>
      <w:r w:rsidR="00FC47F5">
        <w:t>-</w:t>
      </w:r>
      <w:r w:rsidRPr="002316F8">
        <w:t xml:space="preserve">term authorization for the CFATS </w:t>
      </w:r>
      <w:r w:rsidR="00D86023">
        <w:t>P</w:t>
      </w:r>
      <w:r w:rsidRPr="002316F8">
        <w:t xml:space="preserve">rogram and codified the Department’s authority to implement the CFATS </w:t>
      </w:r>
      <w:r w:rsidR="00D86023">
        <w:t>P</w:t>
      </w:r>
      <w:r w:rsidRPr="002316F8">
        <w:t xml:space="preserve">rogram into the Homeland Security Act of 2002. </w:t>
      </w:r>
      <w:r w:rsidRPr="008012DB">
        <w:rPr>
          <w:i/>
        </w:rPr>
        <w:t>See</w:t>
      </w:r>
      <w:r w:rsidRPr="002316F8">
        <w:t xml:space="preserve"> 6 U.S.C. </w:t>
      </w:r>
      <w:r w:rsidR="00F93B08">
        <w:t>§ 6</w:t>
      </w:r>
      <w:r w:rsidRPr="002316F8">
        <w:t>21 et. seq.</w:t>
      </w:r>
    </w:p>
    <w:p w14:paraId="1F43EFFB" w14:textId="77777777" w:rsidR="00932CAA" w:rsidRPr="002316F8" w:rsidRDefault="00932CAA" w:rsidP="00932CAA"/>
    <w:p w14:paraId="0C5A3725" w14:textId="77777777" w:rsidR="00932CAA" w:rsidRPr="002316F8" w:rsidRDefault="00932CAA" w:rsidP="00932CAA">
      <w:r w:rsidRPr="002316F8">
        <w:t xml:space="preserve">Section 550 of Public Law 109-295 previously provided (and the CFATS Act of 2014 continues to provide) the Department with the authority to identify and regulate the security of high-risk chemical facilities using a risk-based approach. </w:t>
      </w:r>
      <w:r w:rsidRPr="0051183F">
        <w:rPr>
          <w:i/>
        </w:rPr>
        <w:t>See</w:t>
      </w:r>
      <w:r w:rsidRPr="002316F8">
        <w:t xml:space="preserve"> 72 FR 17688. Section 550 required (and the CFATS Act of 2014 continues to require) that the Department establish risk-based performance standards (RBPS) for high-risk chemical facilities and, under CFATS, the Department promulgated 1</w:t>
      </w:r>
      <w:r w:rsidR="00043E87">
        <w:t>8</w:t>
      </w:r>
      <w:r w:rsidRPr="002316F8">
        <w:t xml:space="preserve"> RBPS.</w:t>
      </w:r>
    </w:p>
    <w:p w14:paraId="7C023A70" w14:textId="77777777" w:rsidR="00932CAA" w:rsidRPr="002316F8" w:rsidRDefault="00932CAA" w:rsidP="00932CAA"/>
    <w:p w14:paraId="7C88DD22" w14:textId="77777777" w:rsidR="00932CAA" w:rsidRPr="002316F8" w:rsidRDefault="00932CAA" w:rsidP="00932CAA">
      <w:r w:rsidRPr="002316F8">
        <w:t xml:space="preserve">CFATS, 6 CFR Part 27, is the Department’s regulation governing security at high-risk chemical facilities. CFATS represents a national-level effort to minimize terrorism risk to such facilities. Its design and implementation balance maintaining economic vitality with securing facilities and their surrounding communities. The regulation was designed </w:t>
      </w:r>
      <w:r w:rsidR="00EA5B26">
        <w:t xml:space="preserve">to take advantage of protective </w:t>
      </w:r>
      <w:r w:rsidRPr="002316F8">
        <w:t>measures already in place and to allow facilities to employ a wide range of tailored measures to satisfy the regulation’s 1</w:t>
      </w:r>
      <w:r w:rsidR="00043E87">
        <w:t>8</w:t>
      </w:r>
      <w:r w:rsidRPr="002316F8">
        <w:t xml:space="preserve"> RBPS.</w:t>
      </w:r>
    </w:p>
    <w:p w14:paraId="29986AB2" w14:textId="77777777" w:rsidR="00932CAA" w:rsidRPr="002316F8" w:rsidRDefault="00932CAA" w:rsidP="00932CAA"/>
    <w:p w14:paraId="5742068E" w14:textId="77777777" w:rsidR="00932CAA" w:rsidRPr="002316F8" w:rsidRDefault="00932CAA" w:rsidP="00932CAA">
      <w:r w:rsidRPr="002316F8">
        <w:t>CFATS also establishes, in 6 CFR § 27.400, the requirements that covered persons must follow to safeguard certain documents and other information developed under the regulations</w:t>
      </w:r>
      <w:r w:rsidR="00F93B08">
        <w:t xml:space="preserve"> from unauthorized disclosure</w:t>
      </w:r>
      <w:r w:rsidRPr="002316F8">
        <w:t>. This information is identified as Chemical-terrorism Vulnerability Information (CVI) and by law receives protection from public disclosure and misuse</w:t>
      </w:r>
      <w:r w:rsidR="00A5726C">
        <w:rPr>
          <w:rStyle w:val="FootnoteReference"/>
        </w:rPr>
        <w:footnoteReference w:id="2"/>
      </w:r>
      <w:r w:rsidRPr="002316F8">
        <w:t>.</w:t>
      </w:r>
      <w:r w:rsidR="00F93B08">
        <w:t xml:space="preserve"> </w:t>
      </w:r>
      <w:r w:rsidR="008757D5">
        <w:t xml:space="preserve">The </w:t>
      </w:r>
      <w:r w:rsidR="008757D5">
        <w:lastRenderedPageBreak/>
        <w:t xml:space="preserve">statute and regulation authorizing the collection described in this </w:t>
      </w:r>
      <w:r w:rsidR="001E159C">
        <w:t>Information Collection Request (</w:t>
      </w:r>
      <w:r w:rsidR="008757D5">
        <w:t>ICR</w:t>
      </w:r>
      <w:r w:rsidR="001E159C">
        <w:t>)</w:t>
      </w:r>
      <w:r w:rsidR="008757D5">
        <w:t xml:space="preserve"> can be viewed at the following websites:</w:t>
      </w:r>
    </w:p>
    <w:p w14:paraId="1B0251E6" w14:textId="77777777" w:rsidR="00932CAA" w:rsidRDefault="00932CAA" w:rsidP="00932CAA"/>
    <w:p w14:paraId="430CB600" w14:textId="77777777" w:rsidR="008757D5" w:rsidRDefault="008757D5" w:rsidP="008757D5">
      <w:pPr>
        <w:numPr>
          <w:ilvl w:val="0"/>
          <w:numId w:val="37"/>
        </w:numPr>
      </w:pPr>
      <w:r>
        <w:t xml:space="preserve">The </w:t>
      </w:r>
      <w:r w:rsidR="00226700" w:rsidRPr="0051183F">
        <w:rPr>
          <w:i/>
        </w:rPr>
        <w:t>Protecting and Securing Chemical Facilities from Terrorist Attacks Act of 2014</w:t>
      </w:r>
      <w:r>
        <w:t xml:space="preserve">: </w:t>
      </w:r>
      <w:hyperlink r:id="rId14" w:history="1">
        <w:r>
          <w:rPr>
            <w:rStyle w:val="Hyperlink"/>
          </w:rPr>
          <w:t>http://uscode.house.gov/view.xhtml?path=/prelim@title6/chapter1/subchapter16&amp;edition=prelim</w:t>
        </w:r>
      </w:hyperlink>
      <w:r>
        <w:t xml:space="preserve">; and </w:t>
      </w:r>
    </w:p>
    <w:p w14:paraId="59AF08D9" w14:textId="77777777" w:rsidR="008757D5" w:rsidRPr="002316F8" w:rsidRDefault="008757D5" w:rsidP="00714ACF">
      <w:pPr>
        <w:numPr>
          <w:ilvl w:val="0"/>
          <w:numId w:val="37"/>
        </w:numPr>
      </w:pPr>
      <w:r>
        <w:t xml:space="preserve">6 CFR Part 27, CFATS implementing regulations: </w:t>
      </w:r>
      <w:hyperlink r:id="rId15" w:history="1">
        <w:r>
          <w:rPr>
            <w:rStyle w:val="Hyperlink"/>
          </w:rPr>
          <w:t>http://www.ecfr.gov/cgi-bin/text-idx?tpl=/ecfrbrowse/Title06/6cfr27_main_02.tpl</w:t>
        </w:r>
      </w:hyperlink>
      <w:r>
        <w:t>.</w:t>
      </w:r>
    </w:p>
    <w:p w14:paraId="2AF3476C" w14:textId="77777777" w:rsidR="00E57C22" w:rsidRPr="0051183F" w:rsidRDefault="00E57C22" w:rsidP="0051183F">
      <w:pPr>
        <w:pStyle w:val="Heading3"/>
        <w:spacing w:after="0"/>
        <w:rPr>
          <w:rFonts w:ascii="Arial" w:hAnsi="Arial" w:cs="Arial"/>
        </w:rPr>
      </w:pPr>
      <w:r w:rsidRPr="0051183F">
        <w:rPr>
          <w:rFonts w:ascii="Arial" w:hAnsi="Arial" w:cs="Arial"/>
        </w:rPr>
        <w:t xml:space="preserve">History of </w:t>
      </w:r>
      <w:r w:rsidR="00C44E10" w:rsidRPr="0051183F">
        <w:rPr>
          <w:rFonts w:ascii="Arial" w:hAnsi="Arial" w:cs="Arial"/>
        </w:rPr>
        <w:t xml:space="preserve">the Currently Approved Information </w:t>
      </w:r>
      <w:r w:rsidRPr="0051183F">
        <w:rPr>
          <w:rFonts w:ascii="Arial" w:hAnsi="Arial" w:cs="Arial"/>
        </w:rPr>
        <w:t>Collection</w:t>
      </w:r>
    </w:p>
    <w:p w14:paraId="5207C4DD" w14:textId="77777777" w:rsidR="003A321A" w:rsidRPr="002316F8" w:rsidRDefault="003A321A" w:rsidP="00E57C22"/>
    <w:p w14:paraId="0F1828D5" w14:textId="77777777" w:rsidR="003A321A" w:rsidRPr="002316F8" w:rsidRDefault="00335341" w:rsidP="00E57C22">
      <w:r w:rsidRPr="002316F8">
        <w:t xml:space="preserve">In January </w:t>
      </w:r>
      <w:r w:rsidR="00332984" w:rsidRPr="002316F8">
        <w:t>2010</w:t>
      </w:r>
      <w:r w:rsidRPr="002316F8">
        <w:t xml:space="preserve">, the </w:t>
      </w:r>
      <w:r w:rsidR="00C44E10">
        <w:t>D</w:t>
      </w:r>
      <w:r w:rsidRPr="002316F8">
        <w:t xml:space="preserve">epartment submitted an ICR </w:t>
      </w:r>
      <w:r w:rsidR="00144247">
        <w:t xml:space="preserve">to OMB </w:t>
      </w:r>
      <w:r w:rsidRPr="002316F8">
        <w:t xml:space="preserve">for six instruments. </w:t>
      </w:r>
      <w:r w:rsidR="00144247" w:rsidRPr="002316F8">
        <w:t>Th</w:t>
      </w:r>
      <w:r w:rsidR="00144247">
        <w:t>is</w:t>
      </w:r>
      <w:r w:rsidRPr="002316F8">
        <w:t xml:space="preserve"> request was</w:t>
      </w:r>
      <w:r w:rsidR="00081C88" w:rsidRPr="002316F8">
        <w:t xml:space="preserve"> approved </w:t>
      </w:r>
      <w:r w:rsidR="00144247">
        <w:t>by OMB</w:t>
      </w:r>
      <w:r w:rsidR="00081C88" w:rsidRPr="002316F8">
        <w:t xml:space="preserve"> on March 201</w:t>
      </w:r>
      <w:r w:rsidR="008776F1" w:rsidRPr="002316F8">
        <w:t>0 and the collection wa</w:t>
      </w:r>
      <w:r w:rsidRPr="002316F8">
        <w:t xml:space="preserve">s set </w:t>
      </w:r>
      <w:r w:rsidR="00081C88" w:rsidRPr="002316F8">
        <w:t xml:space="preserve">to expire on </w:t>
      </w:r>
      <w:r w:rsidR="008E4003" w:rsidRPr="002316F8">
        <w:t>September 30</w:t>
      </w:r>
      <w:r w:rsidR="00081C88" w:rsidRPr="002316F8">
        <w:t>, 2014</w:t>
      </w:r>
      <w:r w:rsidRPr="002316F8">
        <w:t>.</w:t>
      </w:r>
    </w:p>
    <w:p w14:paraId="2CE31EFD" w14:textId="77777777" w:rsidR="00335341" w:rsidRPr="002316F8" w:rsidRDefault="00335341" w:rsidP="00E57C22"/>
    <w:p w14:paraId="20289ED0" w14:textId="77777777" w:rsidR="00D0470C" w:rsidRPr="002316F8" w:rsidRDefault="00332984" w:rsidP="00E57C22">
      <w:r w:rsidRPr="002316F8">
        <w:t>In March 2013</w:t>
      </w:r>
      <w:r w:rsidR="00D0470C" w:rsidRPr="002316F8">
        <w:t xml:space="preserve">, the </w:t>
      </w:r>
      <w:r w:rsidR="00144247">
        <w:t>D</w:t>
      </w:r>
      <w:r w:rsidR="00D0470C" w:rsidRPr="002316F8">
        <w:t xml:space="preserve">epartment submitted an </w:t>
      </w:r>
      <w:r w:rsidR="00144247">
        <w:t xml:space="preserve">ICR </w:t>
      </w:r>
      <w:r w:rsidR="008E4003" w:rsidRPr="002316F8">
        <w:t>extension</w:t>
      </w:r>
      <w:r w:rsidR="002C0B76">
        <w:t xml:space="preserve"> to OMB</w:t>
      </w:r>
      <w:r w:rsidR="008E4003" w:rsidRPr="002316F8">
        <w:t>, without change, for</w:t>
      </w:r>
      <w:r w:rsidR="00D0470C" w:rsidRPr="002316F8">
        <w:t xml:space="preserve"> </w:t>
      </w:r>
      <w:r w:rsidR="00144247">
        <w:t>the same</w:t>
      </w:r>
      <w:r w:rsidR="00D0470C" w:rsidRPr="002316F8">
        <w:t xml:space="preserve"> six instruments. </w:t>
      </w:r>
      <w:r w:rsidR="00144247" w:rsidRPr="002316F8">
        <w:t>Th</w:t>
      </w:r>
      <w:r w:rsidR="00144247">
        <w:t>is</w:t>
      </w:r>
      <w:r w:rsidR="00D0470C" w:rsidRPr="002316F8">
        <w:t xml:space="preserve"> request was </w:t>
      </w:r>
      <w:r w:rsidR="00144247">
        <w:t xml:space="preserve">also </w:t>
      </w:r>
      <w:r w:rsidR="00D0470C" w:rsidRPr="002316F8">
        <w:t>approv</w:t>
      </w:r>
      <w:r w:rsidR="008E4003" w:rsidRPr="002316F8">
        <w:t xml:space="preserve">ed </w:t>
      </w:r>
      <w:r w:rsidR="00144247">
        <w:t xml:space="preserve">by OMB </w:t>
      </w:r>
      <w:r w:rsidR="008E4003" w:rsidRPr="002316F8">
        <w:t>on September 13, 2014</w:t>
      </w:r>
      <w:r w:rsidR="00D0470C" w:rsidRPr="002316F8">
        <w:t xml:space="preserve"> and the collection </w:t>
      </w:r>
      <w:r w:rsidR="00144247">
        <w:t>expiration was extended until</w:t>
      </w:r>
      <w:r w:rsidR="008E4003" w:rsidRPr="002316F8">
        <w:t xml:space="preserve"> September 30, 2017</w:t>
      </w:r>
      <w:r w:rsidR="00D0470C" w:rsidRPr="002316F8">
        <w:t>.</w:t>
      </w:r>
    </w:p>
    <w:p w14:paraId="51614F4D" w14:textId="77777777" w:rsidR="00781F62" w:rsidRDefault="00781F62" w:rsidP="00E57C22"/>
    <w:p w14:paraId="1D2C3097" w14:textId="77777777" w:rsidR="00D0470C" w:rsidRPr="002316F8" w:rsidRDefault="00C47E83" w:rsidP="00E57C22">
      <w:r>
        <w:t>Presently, the Department requests that OMB extend this information collection for an additional three years</w:t>
      </w:r>
      <w:r w:rsidR="008012DB">
        <w:t>,</w:t>
      </w:r>
      <w:r>
        <w:t xml:space="preserve"> with revisions</w:t>
      </w:r>
      <w:r w:rsidR="008012DB">
        <w:t>,</w:t>
      </w:r>
      <w:r>
        <w:t xml:space="preserve"> </w:t>
      </w:r>
      <w:r w:rsidR="002C0B76">
        <w:t>to modify the burden of one instrument (</w:t>
      </w:r>
      <w:r w:rsidR="000E4D1D">
        <w:t>CVI</w:t>
      </w:r>
      <w:r w:rsidR="0003373E">
        <w:t xml:space="preserve"> Authorization</w:t>
      </w:r>
      <w:r w:rsidR="002C0B76">
        <w:t>)</w:t>
      </w:r>
      <w:r w:rsidR="0067045D">
        <w:t>. In addition</w:t>
      </w:r>
      <w:r w:rsidR="001E159C">
        <w:t xml:space="preserve"> and</w:t>
      </w:r>
      <w:r w:rsidR="00FE65BC">
        <w:t xml:space="preserve"> based upon the results of a recent reevaluation of each instrument,</w:t>
      </w:r>
      <w:r w:rsidR="0067045D">
        <w:t xml:space="preserve"> the Department proposes to remove the </w:t>
      </w:r>
      <w:r w:rsidR="00226700">
        <w:t xml:space="preserve">remaining </w:t>
      </w:r>
      <w:r w:rsidR="0067045D">
        <w:t xml:space="preserve">five instruments </w:t>
      </w:r>
      <w:r w:rsidR="00226700">
        <w:t xml:space="preserve">that are currently authorized under this </w:t>
      </w:r>
      <w:r w:rsidR="0067045D">
        <w:t>collection</w:t>
      </w:r>
      <w:r w:rsidR="00FE65BC">
        <w:t xml:space="preserve">. This proposal is based upon a review of the historical use of each instrument and </w:t>
      </w:r>
      <w:r w:rsidR="00DB66E6">
        <w:t xml:space="preserve">a determination by the Department that it has no need to </w:t>
      </w:r>
      <w:r w:rsidR="001E159C">
        <w:t xml:space="preserve">continue to </w:t>
      </w:r>
      <w:r w:rsidR="00DB66E6">
        <w:t xml:space="preserve">routinely collect </w:t>
      </w:r>
      <w:r w:rsidR="00226700">
        <w:t xml:space="preserve">information under </w:t>
      </w:r>
      <w:r w:rsidR="00DB66E6">
        <w:t xml:space="preserve">these instruments. </w:t>
      </w:r>
    </w:p>
    <w:p w14:paraId="4350CEBF" w14:textId="77777777" w:rsidR="00E57C22" w:rsidRPr="0051183F" w:rsidRDefault="00E57C22" w:rsidP="0051183F">
      <w:pPr>
        <w:pStyle w:val="Heading3"/>
        <w:spacing w:after="0"/>
        <w:rPr>
          <w:rFonts w:ascii="Arial" w:hAnsi="Arial" w:cs="Arial"/>
        </w:rPr>
      </w:pPr>
      <w:r w:rsidRPr="0051183F">
        <w:rPr>
          <w:rFonts w:ascii="Arial" w:hAnsi="Arial" w:cs="Arial"/>
        </w:rPr>
        <w:t>Reason</w:t>
      </w:r>
      <w:r w:rsidR="0020492B" w:rsidRPr="0051183F">
        <w:rPr>
          <w:rFonts w:ascii="Arial" w:hAnsi="Arial" w:cs="Arial"/>
        </w:rPr>
        <w:t>s</w:t>
      </w:r>
      <w:r w:rsidRPr="0051183F">
        <w:rPr>
          <w:rFonts w:ascii="Arial" w:hAnsi="Arial" w:cs="Arial"/>
        </w:rPr>
        <w:t xml:space="preserve"> for Revision</w:t>
      </w:r>
      <w:r w:rsidR="0020492B" w:rsidRPr="0051183F">
        <w:rPr>
          <w:rFonts w:ascii="Arial" w:hAnsi="Arial" w:cs="Arial"/>
        </w:rPr>
        <w:t>s</w:t>
      </w:r>
    </w:p>
    <w:p w14:paraId="0E185094" w14:textId="77777777" w:rsidR="001E159C" w:rsidRPr="001E159C" w:rsidRDefault="001E159C" w:rsidP="0051183F"/>
    <w:p w14:paraId="55D7F36A" w14:textId="77777777" w:rsidR="00DB66E6" w:rsidRDefault="00DB66E6" w:rsidP="006B2ED1">
      <w:r>
        <w:t>The Department requests that OMB extend this information collection with the following revisions:</w:t>
      </w:r>
    </w:p>
    <w:p w14:paraId="58A20572" w14:textId="77777777" w:rsidR="00DB66E6" w:rsidRDefault="00DB66E6" w:rsidP="006B2ED1"/>
    <w:p w14:paraId="5AB7BB62" w14:textId="3F7254CD" w:rsidR="00DB66E6" w:rsidRDefault="00DB66E6" w:rsidP="00C05296">
      <w:pPr>
        <w:numPr>
          <w:ilvl w:val="0"/>
          <w:numId w:val="38"/>
        </w:numPr>
      </w:pPr>
      <w:r>
        <w:t xml:space="preserve">A reduction </w:t>
      </w:r>
      <w:r w:rsidRPr="008E2272">
        <w:t xml:space="preserve">of the overall total annual operating cost to the Federal Government for this collection from </w:t>
      </w:r>
      <w:r w:rsidRPr="0052056B">
        <w:t>$</w:t>
      </w:r>
      <w:r w:rsidR="003027A6" w:rsidRPr="008E2272">
        <w:t>731,800</w:t>
      </w:r>
      <w:r w:rsidR="008E2272" w:rsidRPr="0052056B">
        <w:t xml:space="preserve"> </w:t>
      </w:r>
      <w:r w:rsidRPr="0052056B">
        <w:t>to $</w:t>
      </w:r>
      <w:r w:rsidR="00BF6306">
        <w:t>492.927</w:t>
      </w:r>
      <w:r w:rsidR="001E159C">
        <w:t xml:space="preserve"> </w:t>
      </w:r>
      <w:r>
        <w:t xml:space="preserve">based on the projected </w:t>
      </w:r>
      <w:r w:rsidRPr="00234BC6">
        <w:t>costs</w:t>
      </w:r>
      <w:r>
        <w:t xml:space="preserve"> for Government </w:t>
      </w:r>
      <w:r w:rsidR="00C05296" w:rsidRPr="00C05296">
        <w:t xml:space="preserve">Full-time </w:t>
      </w:r>
      <w:r w:rsidR="001E159C">
        <w:t>E</w:t>
      </w:r>
      <w:r w:rsidR="00C05296" w:rsidRPr="00C05296">
        <w:t>quivalent (FTE)</w:t>
      </w:r>
      <w:r w:rsidR="00C05296">
        <w:t xml:space="preserve"> </w:t>
      </w:r>
      <w:r>
        <w:t>salaries that is reflected in the Office of Personnel Management’s (OPM) 2017 General Schedule Locality Pay Table.</w:t>
      </w:r>
    </w:p>
    <w:p w14:paraId="559C77B1" w14:textId="77777777" w:rsidR="00397469" w:rsidRDefault="00397469" w:rsidP="00397469">
      <w:pPr>
        <w:pStyle w:val="ListParagraph"/>
        <w:numPr>
          <w:ilvl w:val="0"/>
          <w:numId w:val="38"/>
        </w:numPr>
        <w:rPr>
          <w:rFonts w:ascii="Times New Roman" w:hAnsi="Times New Roman"/>
        </w:rPr>
      </w:pPr>
      <w:r w:rsidRPr="00BA6C17">
        <w:rPr>
          <w:rFonts w:ascii="Times New Roman" w:hAnsi="Times New Roman"/>
        </w:rPr>
        <w:t xml:space="preserve">Removal of </w:t>
      </w:r>
      <w:r>
        <w:rPr>
          <w:rFonts w:ascii="Times New Roman" w:hAnsi="Times New Roman"/>
        </w:rPr>
        <w:t>the following instruments: (1) Determination of CVI; (2)</w:t>
      </w:r>
      <w:r w:rsidRPr="00BA6C17">
        <w:rPr>
          <w:rFonts w:ascii="Times New Roman" w:hAnsi="Times New Roman"/>
        </w:rPr>
        <w:t xml:space="preserve"> Determination of a “Need to Know” by a Public Official</w:t>
      </w:r>
      <w:r>
        <w:rPr>
          <w:rFonts w:ascii="Times New Roman" w:hAnsi="Times New Roman"/>
        </w:rPr>
        <w:t>; (3) Disclosure of CVI Information; (4)</w:t>
      </w:r>
      <w:r w:rsidRPr="00BA6C17">
        <w:rPr>
          <w:rFonts w:ascii="Times New Roman" w:hAnsi="Times New Roman"/>
        </w:rPr>
        <w:t xml:space="preserve"> Notification of Emergency or Exigent Circumstances</w:t>
      </w:r>
      <w:r>
        <w:rPr>
          <w:rFonts w:ascii="Times New Roman" w:hAnsi="Times New Roman"/>
        </w:rPr>
        <w:t xml:space="preserve">; </w:t>
      </w:r>
      <w:r w:rsidRPr="00BA6C17">
        <w:rPr>
          <w:rFonts w:ascii="Times New Roman" w:hAnsi="Times New Roman"/>
        </w:rPr>
        <w:t xml:space="preserve">and </w:t>
      </w:r>
      <w:r>
        <w:rPr>
          <w:rFonts w:ascii="Times New Roman" w:hAnsi="Times New Roman"/>
        </w:rPr>
        <w:t xml:space="preserve">(5) </w:t>
      </w:r>
      <w:r w:rsidRPr="00BA6C17">
        <w:rPr>
          <w:rFonts w:ascii="Times New Roman" w:hAnsi="Times New Roman"/>
        </w:rPr>
        <w:t>Tracking Log for CVI Received from this collection</w:t>
      </w:r>
      <w:r>
        <w:rPr>
          <w:rFonts w:ascii="Times New Roman" w:hAnsi="Times New Roman"/>
        </w:rPr>
        <w:t xml:space="preserve">. As required by 5 CFR § 1320.5, the Department reevaluated the continued need for each instrument in this collection. This evaluation resulted in a finding </w:t>
      </w:r>
      <w:r w:rsidR="003F7CE7">
        <w:rPr>
          <w:rFonts w:ascii="Times New Roman" w:hAnsi="Times New Roman"/>
        </w:rPr>
        <w:t xml:space="preserve">that, historically, </w:t>
      </w:r>
      <w:r>
        <w:rPr>
          <w:rFonts w:ascii="Times New Roman" w:hAnsi="Times New Roman"/>
        </w:rPr>
        <w:t xml:space="preserve">these instruments have been used rarely. In addition, the Department expects that in many instances when the Department may need or want to collect information regarding emergency and/or unauthorized disclosure of CVI, the collection would not be covered by the Paperwork Reduction Act </w:t>
      </w:r>
      <w:r w:rsidR="00F70F03">
        <w:rPr>
          <w:rFonts w:ascii="Times New Roman" w:hAnsi="Times New Roman"/>
        </w:rPr>
        <w:t xml:space="preserve">(PRA) </w:t>
      </w:r>
      <w:r>
        <w:rPr>
          <w:rFonts w:ascii="Times New Roman" w:hAnsi="Times New Roman"/>
        </w:rPr>
        <w:t xml:space="preserve">because the information would be collected during the conduct of an investigation involving specific individuals or entities. </w:t>
      </w:r>
      <w:r w:rsidRPr="0051183F">
        <w:rPr>
          <w:rFonts w:ascii="Times New Roman" w:hAnsi="Times New Roman"/>
          <w:i/>
        </w:rPr>
        <w:t>See</w:t>
      </w:r>
      <w:r>
        <w:rPr>
          <w:rFonts w:ascii="Times New Roman" w:hAnsi="Times New Roman"/>
        </w:rPr>
        <w:t xml:space="preserve"> 44 U.S.C. 3518(c)(2) and 5 CFR 1320.4(a). Finally, the Department now encourages </w:t>
      </w:r>
      <w:r>
        <w:rPr>
          <w:rFonts w:ascii="Times New Roman" w:hAnsi="Times New Roman"/>
        </w:rPr>
        <w:lastRenderedPageBreak/>
        <w:t xml:space="preserve">state and local officials to </w:t>
      </w:r>
      <w:r w:rsidR="003F7CE7">
        <w:rPr>
          <w:rFonts w:ascii="Times New Roman" w:hAnsi="Times New Roman"/>
        </w:rPr>
        <w:t>request</w:t>
      </w:r>
      <w:r>
        <w:rPr>
          <w:rFonts w:ascii="Times New Roman" w:hAnsi="Times New Roman"/>
        </w:rPr>
        <w:t xml:space="preserve"> information regarding chemical facilities in their jurisdictions from the Department rather than from the facilities. Accordingly, these officials </w:t>
      </w:r>
      <w:r w:rsidR="003F7CE7">
        <w:rPr>
          <w:rFonts w:ascii="Times New Roman" w:hAnsi="Times New Roman"/>
        </w:rPr>
        <w:t xml:space="preserve">now </w:t>
      </w:r>
      <w:r>
        <w:rPr>
          <w:rFonts w:ascii="Times New Roman" w:hAnsi="Times New Roman"/>
        </w:rPr>
        <w:t>are directed to IP Gateway</w:t>
      </w:r>
      <w:r>
        <w:rPr>
          <w:rStyle w:val="FootnoteReference"/>
          <w:rFonts w:ascii="Times New Roman" w:hAnsi="Times New Roman"/>
        </w:rPr>
        <w:footnoteReference w:id="3"/>
      </w:r>
      <w:r>
        <w:rPr>
          <w:rFonts w:ascii="Times New Roman" w:hAnsi="Times New Roman"/>
        </w:rPr>
        <w:t xml:space="preserve">. The information that must be collected routinely for such officials to gain access to IP Gateway has been authorized under OMB Control No. 1670-0009. Based on the foregoing reasons, </w:t>
      </w:r>
      <w:r w:rsidR="00773959">
        <w:rPr>
          <w:rFonts w:ascii="Times New Roman" w:hAnsi="Times New Roman"/>
        </w:rPr>
        <w:t xml:space="preserve">in the future </w:t>
      </w:r>
      <w:r>
        <w:rPr>
          <w:rFonts w:ascii="Times New Roman" w:hAnsi="Times New Roman"/>
        </w:rPr>
        <w:t>the Department does not anticipate a routine need to collect this information through these five instruments.</w:t>
      </w:r>
    </w:p>
    <w:p w14:paraId="6EA89A03" w14:textId="6049C00B" w:rsidR="00650FC9" w:rsidRPr="00650FC9" w:rsidRDefault="00650FC9" w:rsidP="00686C48">
      <w:pPr>
        <w:pStyle w:val="ListParagraph"/>
        <w:numPr>
          <w:ilvl w:val="0"/>
          <w:numId w:val="38"/>
        </w:numPr>
        <w:rPr>
          <w:rFonts w:ascii="Times New Roman" w:hAnsi="Times New Roman"/>
        </w:rPr>
      </w:pPr>
      <w:r w:rsidRPr="00650FC9">
        <w:rPr>
          <w:rFonts w:ascii="Times New Roman" w:hAnsi="Times New Roman"/>
        </w:rPr>
        <w:t xml:space="preserve">The Department realizes that the associated </w:t>
      </w:r>
      <w:r w:rsidR="00C15A84">
        <w:rPr>
          <w:rFonts w:ascii="Times New Roman" w:hAnsi="Times New Roman"/>
        </w:rPr>
        <w:t>hourly salary</w:t>
      </w:r>
      <w:r w:rsidRPr="00650FC9">
        <w:rPr>
          <w:rFonts w:ascii="Times New Roman" w:hAnsi="Times New Roman"/>
        </w:rPr>
        <w:t xml:space="preserve"> from the spectrum of possible CVI Authorized Users accessing the CVI Authorization instrument is potentially wide. Consequently, the Department is making the assumption that the </w:t>
      </w:r>
      <w:r w:rsidR="00686C48" w:rsidRPr="00686C48">
        <w:rPr>
          <w:rFonts w:ascii="Times New Roman" w:hAnsi="Times New Roman"/>
        </w:rPr>
        <w:t xml:space="preserve">hourly salary </w:t>
      </w:r>
      <w:r w:rsidRPr="00650FC9">
        <w:rPr>
          <w:rFonts w:ascii="Times New Roman" w:hAnsi="Times New Roman"/>
        </w:rPr>
        <w:t xml:space="preserve">of Site Security Officers (SSOs) should be used to provide a </w:t>
      </w:r>
      <w:r w:rsidR="00BF6306">
        <w:rPr>
          <w:rFonts w:ascii="Times New Roman" w:hAnsi="Times New Roman"/>
        </w:rPr>
        <w:t>mean</w:t>
      </w:r>
      <w:r w:rsidR="00BF6306" w:rsidRPr="00650FC9">
        <w:rPr>
          <w:rFonts w:ascii="Times New Roman" w:hAnsi="Times New Roman"/>
        </w:rPr>
        <w:t xml:space="preserve"> </w:t>
      </w:r>
      <w:r w:rsidR="00686C48" w:rsidRPr="00686C48">
        <w:rPr>
          <w:rFonts w:ascii="Times New Roman" w:hAnsi="Times New Roman"/>
        </w:rPr>
        <w:t xml:space="preserve">hourly salary </w:t>
      </w:r>
      <w:r w:rsidRPr="00650FC9">
        <w:rPr>
          <w:rFonts w:ascii="Times New Roman" w:hAnsi="Times New Roman"/>
        </w:rPr>
        <w:t xml:space="preserve">associated with this collection. </w:t>
      </w:r>
      <w:r w:rsidR="00755271">
        <w:rPr>
          <w:rFonts w:ascii="Times New Roman" w:hAnsi="Times New Roman"/>
        </w:rPr>
        <w:t>T</w:t>
      </w:r>
      <w:r w:rsidRPr="00650FC9">
        <w:rPr>
          <w:rFonts w:ascii="Times New Roman" w:hAnsi="Times New Roman"/>
        </w:rPr>
        <w:t xml:space="preserve">his request incorporates a reduction of the annual reporting and recordkeeping hour and cost burden for SSOs </w:t>
      </w:r>
      <w:r w:rsidR="00755271">
        <w:rPr>
          <w:rFonts w:ascii="Times New Roman" w:hAnsi="Times New Roman"/>
        </w:rPr>
        <w:t>using a wage rate of</w:t>
      </w:r>
      <w:r w:rsidR="00755271" w:rsidRPr="00650FC9">
        <w:rPr>
          <w:rFonts w:ascii="Times New Roman" w:hAnsi="Times New Roman"/>
        </w:rPr>
        <w:t xml:space="preserve"> </w:t>
      </w:r>
      <w:r w:rsidRPr="00650FC9">
        <w:rPr>
          <w:rFonts w:ascii="Times New Roman" w:hAnsi="Times New Roman"/>
        </w:rPr>
        <w:t>$</w:t>
      </w:r>
      <w:r w:rsidR="00755271">
        <w:t xml:space="preserve">78.93 </w:t>
      </w:r>
      <w:r w:rsidRPr="00650FC9">
        <w:rPr>
          <w:rFonts w:ascii="Times New Roman" w:hAnsi="Times New Roman"/>
        </w:rPr>
        <w:t>/hour</w:t>
      </w:r>
      <w:r w:rsidR="00755271">
        <w:t xml:space="preserve"> which is</w:t>
      </w:r>
      <w:r w:rsidR="00BF6306" w:rsidRPr="00CF229B">
        <w:rPr>
          <w:rFonts w:ascii="Times New Roman" w:hAnsi="Times New Roman"/>
        </w:rPr>
        <w:t>based on updated Bureau of Labor Statistics (BLS) data.</w:t>
      </w:r>
    </w:p>
    <w:p w14:paraId="552967B0" w14:textId="77777777" w:rsidR="003027A6" w:rsidRDefault="00BA6C17" w:rsidP="00B72A14">
      <w:pPr>
        <w:pStyle w:val="ListParagraph"/>
        <w:numPr>
          <w:ilvl w:val="0"/>
          <w:numId w:val="38"/>
        </w:numPr>
        <w:rPr>
          <w:rFonts w:ascii="Times New Roman" w:hAnsi="Times New Roman"/>
        </w:rPr>
      </w:pPr>
      <w:r>
        <w:rPr>
          <w:rFonts w:ascii="Times New Roman" w:hAnsi="Times New Roman"/>
        </w:rPr>
        <w:t>A reduction of t</w:t>
      </w:r>
      <w:r w:rsidRPr="00BA6C17">
        <w:rPr>
          <w:rFonts w:ascii="Times New Roman" w:hAnsi="Times New Roman"/>
        </w:rPr>
        <w:t xml:space="preserve">he number of respondents for </w:t>
      </w:r>
      <w:r>
        <w:rPr>
          <w:rFonts w:ascii="Times New Roman" w:hAnsi="Times New Roman"/>
        </w:rPr>
        <w:t xml:space="preserve">the </w:t>
      </w:r>
      <w:r w:rsidRPr="00BA6C17">
        <w:rPr>
          <w:rFonts w:ascii="Times New Roman" w:hAnsi="Times New Roman"/>
        </w:rPr>
        <w:t>CVI Authorization</w:t>
      </w:r>
      <w:r>
        <w:rPr>
          <w:rFonts w:ascii="Times New Roman" w:hAnsi="Times New Roman"/>
        </w:rPr>
        <w:t xml:space="preserve"> instrument</w:t>
      </w:r>
      <w:r w:rsidRPr="00BA6C17">
        <w:rPr>
          <w:rFonts w:ascii="Times New Roman" w:hAnsi="Times New Roman"/>
        </w:rPr>
        <w:t xml:space="preserve"> </w:t>
      </w:r>
      <w:r>
        <w:rPr>
          <w:rFonts w:ascii="Times New Roman" w:hAnsi="Times New Roman"/>
        </w:rPr>
        <w:t xml:space="preserve">from 30,000 to </w:t>
      </w:r>
      <w:r w:rsidR="00C7606A">
        <w:rPr>
          <w:rFonts w:ascii="Times New Roman" w:hAnsi="Times New Roman"/>
        </w:rPr>
        <w:t>20,000. T</w:t>
      </w:r>
      <w:r>
        <w:rPr>
          <w:rFonts w:ascii="Times New Roman" w:hAnsi="Times New Roman"/>
        </w:rPr>
        <w:t xml:space="preserve">he average number of respondents between CY 2014 – 2016 is </w:t>
      </w:r>
      <w:r w:rsidR="00C7606A">
        <w:rPr>
          <w:rFonts w:ascii="Times New Roman" w:hAnsi="Times New Roman"/>
        </w:rPr>
        <w:t>13,115 and the historical peak annual usage of the instrument (in 2008) was 18,727</w:t>
      </w:r>
      <w:r w:rsidR="00776A2D">
        <w:rPr>
          <w:rFonts w:ascii="Times New Roman" w:hAnsi="Times New Roman"/>
        </w:rPr>
        <w:t>.</w:t>
      </w:r>
      <w:r w:rsidR="00C7606A">
        <w:rPr>
          <w:rFonts w:ascii="Times New Roman" w:hAnsi="Times New Roman"/>
        </w:rPr>
        <w:t xml:space="preserve"> However, the Department expects that annual usage in the next three years </w:t>
      </w:r>
      <w:r w:rsidR="00773959">
        <w:rPr>
          <w:rFonts w:ascii="Times New Roman" w:hAnsi="Times New Roman"/>
        </w:rPr>
        <w:t>to</w:t>
      </w:r>
      <w:r w:rsidR="00C7606A">
        <w:rPr>
          <w:rFonts w:ascii="Times New Roman" w:hAnsi="Times New Roman"/>
        </w:rPr>
        <w:t xml:space="preserve"> increase </w:t>
      </w:r>
      <w:r w:rsidR="0062201B">
        <w:rPr>
          <w:rFonts w:ascii="Times New Roman" w:hAnsi="Times New Roman"/>
        </w:rPr>
        <w:t>from the CY 2014</w:t>
      </w:r>
      <w:r w:rsidR="00773959">
        <w:rPr>
          <w:rFonts w:ascii="Times New Roman" w:hAnsi="Times New Roman"/>
        </w:rPr>
        <w:t xml:space="preserve"> </w:t>
      </w:r>
      <w:r w:rsidR="0062201B">
        <w:rPr>
          <w:rFonts w:ascii="Times New Roman" w:hAnsi="Times New Roman"/>
        </w:rPr>
        <w:t>-</w:t>
      </w:r>
      <w:r w:rsidR="00773959">
        <w:rPr>
          <w:rFonts w:ascii="Times New Roman" w:hAnsi="Times New Roman"/>
        </w:rPr>
        <w:t xml:space="preserve"> </w:t>
      </w:r>
      <w:r w:rsidR="0062201B">
        <w:rPr>
          <w:rFonts w:ascii="Times New Roman" w:hAnsi="Times New Roman"/>
        </w:rPr>
        <w:t>2016 average</w:t>
      </w:r>
      <w:r w:rsidR="00776A2D">
        <w:rPr>
          <w:rFonts w:ascii="Times New Roman" w:hAnsi="Times New Roman"/>
        </w:rPr>
        <w:t>. This assessment is</w:t>
      </w:r>
      <w:r w:rsidR="0062201B">
        <w:rPr>
          <w:rFonts w:ascii="Times New Roman" w:hAnsi="Times New Roman"/>
        </w:rPr>
        <w:t xml:space="preserve"> </w:t>
      </w:r>
      <w:r w:rsidR="00C7606A">
        <w:rPr>
          <w:rFonts w:ascii="Times New Roman" w:hAnsi="Times New Roman"/>
        </w:rPr>
        <w:t xml:space="preserve">based </w:t>
      </w:r>
      <w:r w:rsidR="00503BBC">
        <w:rPr>
          <w:rFonts w:ascii="Times New Roman" w:hAnsi="Times New Roman"/>
        </w:rPr>
        <w:t xml:space="preserve">on </w:t>
      </w:r>
      <w:r w:rsidR="0062201B">
        <w:rPr>
          <w:rFonts w:ascii="Times New Roman" w:hAnsi="Times New Roman"/>
        </w:rPr>
        <w:t xml:space="preserve">new </w:t>
      </w:r>
      <w:r w:rsidR="00503BBC">
        <w:rPr>
          <w:rFonts w:ascii="Times New Roman" w:hAnsi="Times New Roman"/>
        </w:rPr>
        <w:t xml:space="preserve">users who must become </w:t>
      </w:r>
      <w:r w:rsidR="0062201B">
        <w:rPr>
          <w:rFonts w:ascii="Times New Roman" w:hAnsi="Times New Roman"/>
        </w:rPr>
        <w:t xml:space="preserve">CVI </w:t>
      </w:r>
      <w:r w:rsidR="00773959">
        <w:rPr>
          <w:rFonts w:ascii="Times New Roman" w:hAnsi="Times New Roman"/>
        </w:rPr>
        <w:t>A</w:t>
      </w:r>
      <w:r w:rsidR="0062201B">
        <w:rPr>
          <w:rFonts w:ascii="Times New Roman" w:hAnsi="Times New Roman"/>
        </w:rPr>
        <w:t xml:space="preserve">uthorized </w:t>
      </w:r>
      <w:r w:rsidR="00773959">
        <w:rPr>
          <w:rFonts w:ascii="Times New Roman" w:hAnsi="Times New Roman"/>
        </w:rPr>
        <w:t>U</w:t>
      </w:r>
      <w:r w:rsidR="00776A2D">
        <w:rPr>
          <w:rFonts w:ascii="Times New Roman" w:hAnsi="Times New Roman"/>
        </w:rPr>
        <w:t xml:space="preserve">sers and who are required </w:t>
      </w:r>
      <w:r w:rsidR="0062201B">
        <w:rPr>
          <w:rFonts w:ascii="Times New Roman" w:hAnsi="Times New Roman"/>
        </w:rPr>
        <w:t xml:space="preserve">to submit Top-Screens following </w:t>
      </w:r>
      <w:r w:rsidR="00C7606A">
        <w:rPr>
          <w:rFonts w:ascii="Times New Roman" w:hAnsi="Times New Roman"/>
        </w:rPr>
        <w:t xml:space="preserve">the Department’s </w:t>
      </w:r>
      <w:r w:rsidR="0062201B">
        <w:rPr>
          <w:rFonts w:ascii="Times New Roman" w:hAnsi="Times New Roman"/>
        </w:rPr>
        <w:t xml:space="preserve">revision of its Chemical Security Assessment Tool </w:t>
      </w:r>
      <w:r w:rsidR="001C727D">
        <w:rPr>
          <w:rFonts w:ascii="Times New Roman" w:hAnsi="Times New Roman"/>
        </w:rPr>
        <w:t>(CSAT)</w:t>
      </w:r>
      <w:r w:rsidR="00ED22FF">
        <w:rPr>
          <w:rFonts w:ascii="Times New Roman" w:hAnsi="Times New Roman"/>
        </w:rPr>
        <w:t>,</w:t>
      </w:r>
      <w:r w:rsidR="00B72A14" w:rsidRPr="00B72A14">
        <w:t xml:space="preserve"> </w:t>
      </w:r>
      <w:r w:rsidR="00B72A14" w:rsidRPr="00B72A14">
        <w:rPr>
          <w:rFonts w:ascii="Times New Roman" w:hAnsi="Times New Roman"/>
        </w:rPr>
        <w:t xml:space="preserve">currently approved under 1670-0007, </w:t>
      </w:r>
      <w:r w:rsidR="0062201B">
        <w:rPr>
          <w:rFonts w:ascii="Times New Roman" w:hAnsi="Times New Roman"/>
        </w:rPr>
        <w:t>and enhancement of its risk</w:t>
      </w:r>
      <w:r w:rsidR="00773959">
        <w:rPr>
          <w:rFonts w:ascii="Times New Roman" w:hAnsi="Times New Roman"/>
        </w:rPr>
        <w:t>-</w:t>
      </w:r>
      <w:r w:rsidR="0062201B">
        <w:rPr>
          <w:rFonts w:ascii="Times New Roman" w:hAnsi="Times New Roman"/>
        </w:rPr>
        <w:t xml:space="preserve">tiering methodology. </w:t>
      </w:r>
      <w:r w:rsidR="0062201B" w:rsidRPr="00D93EC7">
        <w:rPr>
          <w:rFonts w:ascii="Times New Roman" w:hAnsi="Times New Roman"/>
          <w:i/>
        </w:rPr>
        <w:t>See</w:t>
      </w:r>
      <w:r w:rsidR="0062201B">
        <w:rPr>
          <w:rFonts w:ascii="Times New Roman" w:hAnsi="Times New Roman"/>
        </w:rPr>
        <w:t xml:space="preserve"> 81 FR 47001 (Jul. 20, 2016). </w:t>
      </w:r>
      <w:r>
        <w:rPr>
          <w:rFonts w:ascii="Times New Roman" w:hAnsi="Times New Roman"/>
        </w:rPr>
        <w:t xml:space="preserve">For </w:t>
      </w:r>
      <w:r w:rsidR="00C7606A">
        <w:rPr>
          <w:rFonts w:ascii="Times New Roman" w:hAnsi="Times New Roman"/>
        </w:rPr>
        <w:t xml:space="preserve">these </w:t>
      </w:r>
      <w:r>
        <w:rPr>
          <w:rFonts w:ascii="Times New Roman" w:hAnsi="Times New Roman"/>
        </w:rPr>
        <w:t>reason</w:t>
      </w:r>
      <w:r w:rsidR="00C7606A">
        <w:rPr>
          <w:rFonts w:ascii="Times New Roman" w:hAnsi="Times New Roman"/>
        </w:rPr>
        <w:t>s</w:t>
      </w:r>
      <w:r w:rsidR="0052360B">
        <w:rPr>
          <w:rFonts w:ascii="Times New Roman" w:hAnsi="Times New Roman"/>
        </w:rPr>
        <w:t xml:space="preserve">, the Department has revised the estimated number of respondents to </w:t>
      </w:r>
      <w:r w:rsidR="00C7606A">
        <w:rPr>
          <w:rFonts w:ascii="Times New Roman" w:hAnsi="Times New Roman"/>
        </w:rPr>
        <w:t>20,000</w:t>
      </w:r>
      <w:r w:rsidR="0052360B">
        <w:rPr>
          <w:rFonts w:ascii="Times New Roman" w:hAnsi="Times New Roman"/>
        </w:rPr>
        <w:t>.</w:t>
      </w:r>
    </w:p>
    <w:p w14:paraId="307BBBDB" w14:textId="77777777" w:rsidR="00DB66E6" w:rsidRPr="00714ACF" w:rsidRDefault="003027A6" w:rsidP="00714ACF">
      <w:pPr>
        <w:pStyle w:val="ListParagraph"/>
        <w:numPr>
          <w:ilvl w:val="0"/>
          <w:numId w:val="38"/>
        </w:numPr>
        <w:rPr>
          <w:rFonts w:ascii="Times New Roman" w:hAnsi="Times New Roman"/>
        </w:rPr>
      </w:pPr>
      <w:r w:rsidRPr="003027A6">
        <w:rPr>
          <w:rFonts w:ascii="Times New Roman" w:hAnsi="Times New Roman"/>
        </w:rPr>
        <w:t xml:space="preserve">A reduction of the </w:t>
      </w:r>
      <w:r>
        <w:rPr>
          <w:rFonts w:ascii="Times New Roman" w:hAnsi="Times New Roman"/>
        </w:rPr>
        <w:t xml:space="preserve">response time </w:t>
      </w:r>
      <w:r w:rsidRPr="003027A6">
        <w:rPr>
          <w:rFonts w:ascii="Times New Roman" w:hAnsi="Times New Roman"/>
        </w:rPr>
        <w:t xml:space="preserve">for the CVI Authorization instrument from </w:t>
      </w:r>
      <w:r>
        <w:rPr>
          <w:rFonts w:ascii="Times New Roman" w:hAnsi="Times New Roman"/>
        </w:rPr>
        <w:t xml:space="preserve">1 hour </w:t>
      </w:r>
      <w:r w:rsidRPr="003027A6">
        <w:rPr>
          <w:rFonts w:ascii="Times New Roman" w:hAnsi="Times New Roman"/>
        </w:rPr>
        <w:t xml:space="preserve">to </w:t>
      </w:r>
      <w:r w:rsidR="00811875">
        <w:rPr>
          <w:rFonts w:ascii="Times New Roman" w:hAnsi="Times New Roman"/>
        </w:rPr>
        <w:t>0</w:t>
      </w:r>
      <w:r>
        <w:rPr>
          <w:rFonts w:ascii="Times New Roman" w:hAnsi="Times New Roman"/>
        </w:rPr>
        <w:t>.50 hour</w:t>
      </w:r>
      <w:r w:rsidR="00CC5DCF">
        <w:rPr>
          <w:rFonts w:ascii="Times New Roman" w:hAnsi="Times New Roman"/>
        </w:rPr>
        <w:t xml:space="preserve">s (30 </w:t>
      </w:r>
      <w:r w:rsidR="007E23BC">
        <w:rPr>
          <w:rFonts w:ascii="Times New Roman" w:hAnsi="Times New Roman"/>
        </w:rPr>
        <w:t>minutes</w:t>
      </w:r>
      <w:r w:rsidR="00CC5DCF">
        <w:rPr>
          <w:rFonts w:ascii="Times New Roman" w:hAnsi="Times New Roman"/>
        </w:rPr>
        <w:t>)</w:t>
      </w:r>
      <w:r w:rsidRPr="003027A6">
        <w:rPr>
          <w:rFonts w:ascii="Times New Roman" w:hAnsi="Times New Roman"/>
        </w:rPr>
        <w:t xml:space="preserve">. </w:t>
      </w:r>
      <w:r w:rsidR="00CC5DCF">
        <w:rPr>
          <w:rFonts w:ascii="Times New Roman" w:hAnsi="Times New Roman"/>
        </w:rPr>
        <w:t>This is based upon data collected between CY 2014-16 by the CSAT system measuring he time spent by users competing this instrument indicating that t</w:t>
      </w:r>
      <w:r w:rsidRPr="003027A6">
        <w:rPr>
          <w:rFonts w:ascii="Times New Roman" w:hAnsi="Times New Roman"/>
        </w:rPr>
        <w:t xml:space="preserve">he average </w:t>
      </w:r>
      <w:r>
        <w:rPr>
          <w:rFonts w:ascii="Times New Roman" w:hAnsi="Times New Roman"/>
        </w:rPr>
        <w:t xml:space="preserve">response time was </w:t>
      </w:r>
      <w:r w:rsidR="006A006F">
        <w:rPr>
          <w:rFonts w:ascii="Times New Roman" w:hAnsi="Times New Roman"/>
        </w:rPr>
        <w:t>0</w:t>
      </w:r>
      <w:r>
        <w:rPr>
          <w:rFonts w:ascii="Times New Roman" w:hAnsi="Times New Roman"/>
        </w:rPr>
        <w:t>.50 hour</w:t>
      </w:r>
      <w:r w:rsidR="00CC5DCF">
        <w:rPr>
          <w:rFonts w:ascii="Times New Roman" w:hAnsi="Times New Roman"/>
        </w:rPr>
        <w:t>s (30 minutes)</w:t>
      </w:r>
      <w:r>
        <w:rPr>
          <w:rFonts w:ascii="Times New Roman" w:hAnsi="Times New Roman"/>
        </w:rPr>
        <w:t>.</w:t>
      </w:r>
    </w:p>
    <w:p w14:paraId="15E29023" w14:textId="77777777" w:rsidR="00DE157A" w:rsidRPr="002316F8" w:rsidRDefault="00DE157A" w:rsidP="00FE0A5A">
      <w:pPr>
        <w:rPr>
          <w:b/>
          <w:spacing w:val="-3"/>
          <w:u w:val="single"/>
        </w:rPr>
      </w:pPr>
    </w:p>
    <w:p w14:paraId="2FC03E72" w14:textId="77777777" w:rsidR="00EB5E96" w:rsidRPr="002316F8" w:rsidRDefault="00EB5E96" w:rsidP="000C4293">
      <w:pPr>
        <w:shd w:val="pct25" w:color="auto" w:fill="auto"/>
        <w:tabs>
          <w:tab w:val="left" w:pos="-720"/>
        </w:tabs>
        <w:suppressAutoHyphens/>
        <w:jc w:val="both"/>
      </w:pPr>
      <w:r w:rsidRPr="002316F8">
        <w:fldChar w:fldCharType="begin"/>
      </w:r>
      <w:r w:rsidRPr="002316F8">
        <w:instrText>ADVANCE \R 0.95</w:instrText>
      </w:r>
      <w:r w:rsidRPr="002316F8">
        <w:fldChar w:fldCharType="end"/>
      </w:r>
      <w:r w:rsidRPr="002316F8">
        <w:t xml:space="preserve">2. Indicate how, by whom, and for what purpose the information is to be used. Except for a new collection, indicate the actual use the agency has made of the information received from the current collection. </w:t>
      </w:r>
    </w:p>
    <w:p w14:paraId="7D2869EF" w14:textId="77777777" w:rsidR="00D73BBC" w:rsidRPr="002316F8" w:rsidRDefault="00D73BBC" w:rsidP="00D73BBC">
      <w:pPr>
        <w:tabs>
          <w:tab w:val="left" w:pos="-720"/>
        </w:tabs>
        <w:suppressAutoHyphens/>
        <w:jc w:val="both"/>
        <w:rPr>
          <w:i/>
          <w:spacing w:val="-3"/>
          <w:sz w:val="20"/>
        </w:rPr>
      </w:pPr>
    </w:p>
    <w:p w14:paraId="127503D1" w14:textId="77777777" w:rsidR="00E57C22" w:rsidRPr="002316F8" w:rsidRDefault="0020492B" w:rsidP="00E57C22">
      <w:r>
        <w:t>Only</w:t>
      </w:r>
      <w:r w:rsidR="00BA6C17">
        <w:t xml:space="preserve"> one </w:t>
      </w:r>
      <w:r w:rsidR="008B6F62" w:rsidRPr="002316F8">
        <w:t xml:space="preserve">instrument </w:t>
      </w:r>
      <w:r>
        <w:t xml:space="preserve">is </w:t>
      </w:r>
      <w:r w:rsidR="008B6F62" w:rsidRPr="002316F8">
        <w:t>in this collection</w:t>
      </w:r>
      <w:r>
        <w:t xml:space="preserve"> and</w:t>
      </w:r>
      <w:r w:rsidR="008B6F62" w:rsidRPr="002316F8">
        <w:t xml:space="preserve"> </w:t>
      </w:r>
      <w:r>
        <w:t>t</w:t>
      </w:r>
      <w:r w:rsidR="00BA6C17" w:rsidRPr="002316F8">
        <w:t>h</w:t>
      </w:r>
      <w:r w:rsidR="00BA6C17">
        <w:t>is</w:t>
      </w:r>
      <w:r w:rsidR="00BA6C17" w:rsidRPr="002316F8">
        <w:t xml:space="preserve"> </w:t>
      </w:r>
      <w:r w:rsidR="008B6F62" w:rsidRPr="002316F8">
        <w:t xml:space="preserve">instrument will be used to manage the CVI </w:t>
      </w:r>
      <w:r w:rsidR="00AB13B4">
        <w:t>P</w:t>
      </w:r>
      <w:r w:rsidR="008B6F62" w:rsidRPr="002316F8">
        <w:t xml:space="preserve">rogram in support of CFATS. </w:t>
      </w:r>
      <w:r w:rsidR="00E57C22" w:rsidRPr="002316F8">
        <w:t xml:space="preserve">All information collected supports the Department’s effort to reduce the risk of a successful terrorist attack against </w:t>
      </w:r>
      <w:r w:rsidR="00972525" w:rsidRPr="002316F8">
        <w:t>high</w:t>
      </w:r>
      <w:r w:rsidR="001E2724" w:rsidRPr="002316F8">
        <w:t>-</w:t>
      </w:r>
      <w:r w:rsidR="00972525" w:rsidRPr="002316F8">
        <w:t>risk chemical facilities</w:t>
      </w:r>
      <w:r w:rsidR="00E57C22" w:rsidRPr="002316F8">
        <w:t>. Th</w:t>
      </w:r>
      <w:r w:rsidR="00BA6C17">
        <w:t>is</w:t>
      </w:r>
      <w:r w:rsidR="00E57C22" w:rsidRPr="002316F8">
        <w:t xml:space="preserve"> collection directly </w:t>
      </w:r>
      <w:r w:rsidR="00BA6C17">
        <w:t>and</w:t>
      </w:r>
      <w:r w:rsidR="00E57C22" w:rsidRPr="002316F8">
        <w:t xml:space="preserve"> indirectly support</w:t>
      </w:r>
      <w:r w:rsidR="00BA6C17">
        <w:t>s</w:t>
      </w:r>
      <w:r w:rsidR="00E57C22" w:rsidRPr="002316F8">
        <w:t xml:space="preserve"> the affected chemical facilities</w:t>
      </w:r>
      <w:r w:rsidR="00C831D5" w:rsidRPr="002316F8">
        <w:t>’</w:t>
      </w:r>
      <w:r w:rsidR="00E57C22" w:rsidRPr="002316F8">
        <w:t xml:space="preserve"> requirements to submit data under the </w:t>
      </w:r>
      <w:r w:rsidR="00707254" w:rsidRPr="002316F8">
        <w:t>CFATS Act of 2014</w:t>
      </w:r>
      <w:r w:rsidR="001E2724" w:rsidRPr="002316F8">
        <w:t xml:space="preserve"> and CFATS, 6 CFR Part 27</w:t>
      </w:r>
      <w:r w:rsidR="00E57C22" w:rsidRPr="002316F8">
        <w:t>.</w:t>
      </w:r>
    </w:p>
    <w:p w14:paraId="2E20247F" w14:textId="77777777" w:rsidR="00E57C22" w:rsidRPr="002316F8" w:rsidRDefault="00E57C22" w:rsidP="00E57C22"/>
    <w:p w14:paraId="2224DF20" w14:textId="77777777" w:rsidR="00E57A4C" w:rsidRDefault="00E57A4C" w:rsidP="00E57C22"/>
    <w:p w14:paraId="7B9090EF" w14:textId="77777777" w:rsidR="00E57C22" w:rsidRPr="002316F8" w:rsidRDefault="0020492B" w:rsidP="00B80047">
      <w:pPr>
        <w:keepNext/>
      </w:pPr>
      <w:r>
        <w:t xml:space="preserve">Only </w:t>
      </w:r>
      <w:r w:rsidR="00A403FE">
        <w:t>one</w:t>
      </w:r>
      <w:r w:rsidR="00A403FE" w:rsidRPr="002316F8">
        <w:t xml:space="preserve"> </w:t>
      </w:r>
      <w:r w:rsidR="00E57C22" w:rsidRPr="002316F8">
        <w:t xml:space="preserve">instruments </w:t>
      </w:r>
      <w:r>
        <w:t xml:space="preserve">is </w:t>
      </w:r>
      <w:r w:rsidR="00E57C22" w:rsidRPr="002316F8">
        <w:t>in this collection:</w:t>
      </w:r>
    </w:p>
    <w:p w14:paraId="74151782" w14:textId="77777777" w:rsidR="00E57C22" w:rsidRPr="002316F8" w:rsidRDefault="00E57C22" w:rsidP="00B80047">
      <w:pPr>
        <w:keepNext/>
      </w:pPr>
    </w:p>
    <w:p w14:paraId="6833CBA3" w14:textId="77777777" w:rsidR="000922AE" w:rsidRPr="002316F8" w:rsidRDefault="008B6F62" w:rsidP="00B80047">
      <w:pPr>
        <w:pStyle w:val="ListParagraph"/>
        <w:keepNext/>
        <w:numPr>
          <w:ilvl w:val="0"/>
          <w:numId w:val="26"/>
        </w:numPr>
        <w:rPr>
          <w:rFonts w:ascii="Times New Roman" w:hAnsi="Times New Roman"/>
        </w:rPr>
      </w:pPr>
      <w:r w:rsidRPr="002316F8">
        <w:t>CVI Authorization</w:t>
      </w:r>
      <w:r w:rsidR="00BA6C17">
        <w:t>.</w:t>
      </w:r>
    </w:p>
    <w:p w14:paraId="26181E55" w14:textId="77777777" w:rsidR="000922AE" w:rsidRPr="002316F8" w:rsidRDefault="000922AE" w:rsidP="00B80047">
      <w:pPr>
        <w:keepNext/>
      </w:pPr>
    </w:p>
    <w:p w14:paraId="06506EDC" w14:textId="77777777" w:rsidR="00335F05" w:rsidRPr="00530D52" w:rsidRDefault="002824A6" w:rsidP="00B80047">
      <w:pPr>
        <w:keepNext/>
        <w:tabs>
          <w:tab w:val="right" w:pos="9360"/>
        </w:tabs>
        <w:rPr>
          <w:b/>
        </w:rPr>
      </w:pPr>
      <w:r w:rsidRPr="00530D52">
        <w:rPr>
          <w:b/>
        </w:rPr>
        <w:t>Chemical-terrorism Vulnerability Information (CVI) Authorization</w:t>
      </w:r>
      <w:r w:rsidRPr="00530D52" w:rsidDel="002824A6">
        <w:rPr>
          <w:b/>
        </w:rPr>
        <w:t xml:space="preserve"> </w:t>
      </w:r>
    </w:p>
    <w:p w14:paraId="56B9A871" w14:textId="77777777" w:rsidR="007E0EE9" w:rsidRPr="00530D52" w:rsidRDefault="007E0EE9" w:rsidP="00B80047">
      <w:pPr>
        <w:keepNext/>
        <w:tabs>
          <w:tab w:val="right" w:pos="9360"/>
        </w:tabs>
        <w:rPr>
          <w:b/>
          <w:sz w:val="28"/>
          <w:szCs w:val="28"/>
        </w:rPr>
      </w:pPr>
    </w:p>
    <w:p w14:paraId="2B7FCB92" w14:textId="77777777" w:rsidR="00F3624A" w:rsidRPr="002316F8" w:rsidRDefault="00F3624A" w:rsidP="00B80047">
      <w:pPr>
        <w:keepNext/>
        <w:tabs>
          <w:tab w:val="right" w:pos="9360"/>
        </w:tabs>
      </w:pPr>
      <w:r w:rsidRPr="002316F8">
        <w:t xml:space="preserve">CVI is a Sensitive but Unclassified designation authorized under </w:t>
      </w:r>
      <w:r w:rsidR="001C7362">
        <w:t>6 U.S.C. 623</w:t>
      </w:r>
      <w:r w:rsidRPr="002316F8">
        <w:t xml:space="preserve"> and implemented in 6 CFR </w:t>
      </w:r>
      <w:r w:rsidR="00F16A58">
        <w:t xml:space="preserve">§ </w:t>
      </w:r>
      <w:r w:rsidRPr="002316F8">
        <w:t xml:space="preserve">27.400. </w:t>
      </w:r>
      <w:r w:rsidR="0020492B">
        <w:t>P</w:t>
      </w:r>
      <w:r w:rsidRPr="002316F8">
        <w:t>rovid</w:t>
      </w:r>
      <w:r w:rsidR="0020492B">
        <w:t>ing</w:t>
      </w:r>
      <w:r w:rsidRPr="002316F8">
        <w:t xml:space="preserve"> </w:t>
      </w:r>
      <w:r w:rsidR="00164E5D">
        <w:t xml:space="preserve">CVI </w:t>
      </w:r>
      <w:r w:rsidRPr="002316F8">
        <w:t xml:space="preserve">training </w:t>
      </w:r>
      <w:r w:rsidR="0020492B">
        <w:t>is essential</w:t>
      </w:r>
      <w:r w:rsidRPr="002316F8">
        <w:t xml:space="preserve"> to protect the sensitive data </w:t>
      </w:r>
      <w:r w:rsidR="00164E5D">
        <w:t>developed and/or submitted</w:t>
      </w:r>
      <w:r w:rsidRPr="002316F8">
        <w:t xml:space="preserve"> to the </w:t>
      </w:r>
      <w:r w:rsidR="00164E5D">
        <w:t>Department pursuant to the CFATS regulation.</w:t>
      </w:r>
    </w:p>
    <w:p w14:paraId="60B175AE" w14:textId="77777777" w:rsidR="00F3624A" w:rsidRPr="002316F8" w:rsidRDefault="00F3624A" w:rsidP="00F3624A">
      <w:pPr>
        <w:widowControl w:val="0"/>
        <w:tabs>
          <w:tab w:val="right" w:pos="9360"/>
        </w:tabs>
      </w:pPr>
    </w:p>
    <w:p w14:paraId="12FC85A8" w14:textId="77777777" w:rsidR="00F3624A" w:rsidRPr="002316F8" w:rsidRDefault="00F3624A" w:rsidP="00F3624A">
      <w:pPr>
        <w:widowControl w:val="0"/>
        <w:tabs>
          <w:tab w:val="right" w:pos="9360"/>
        </w:tabs>
      </w:pPr>
      <w:r w:rsidRPr="002316F8">
        <w:t xml:space="preserve">Pursuant to 6 CFR 27.400(e)(3), the Department may “make an individual’s access to CVI contingent upon…procedures and requirements for safeguarding CVI that are satisfactory to the Department.” Using this authority the </w:t>
      </w:r>
      <w:r w:rsidR="0020492B">
        <w:t>D</w:t>
      </w:r>
      <w:r w:rsidRPr="002316F8">
        <w:t>epartment requires individuals to undergo CVI training</w:t>
      </w:r>
      <w:r w:rsidR="00226700">
        <w:t xml:space="preserve"> before granting the individual Authorized User status</w:t>
      </w:r>
      <w:r w:rsidRPr="002316F8">
        <w:t>.</w:t>
      </w:r>
      <w:r w:rsidR="00226700">
        <w:rPr>
          <w:rStyle w:val="FootnoteReference"/>
        </w:rPr>
        <w:footnoteReference w:id="4"/>
      </w:r>
      <w:r w:rsidRPr="002316F8">
        <w:t xml:space="preserve"> Specifically, the Department trains individuals on the appropriate maintenance, safeguarding, marking, disclosure, and destruction of CVI. The primary audiences for the training are (1) individuals employed or contracted by chemical facilities, and (2) Federal, State, local employees and contractors.</w:t>
      </w:r>
    </w:p>
    <w:p w14:paraId="7CA031A7" w14:textId="77777777" w:rsidR="00F3624A" w:rsidRPr="002316F8" w:rsidRDefault="00F3624A" w:rsidP="00F3624A">
      <w:pPr>
        <w:widowControl w:val="0"/>
        <w:tabs>
          <w:tab w:val="right" w:pos="9360"/>
        </w:tabs>
      </w:pPr>
    </w:p>
    <w:p w14:paraId="289DD9A4" w14:textId="77777777" w:rsidR="00F3624A" w:rsidRPr="002316F8" w:rsidRDefault="00F3624A" w:rsidP="00F3624A">
      <w:pPr>
        <w:widowControl w:val="0"/>
        <w:tabs>
          <w:tab w:val="right" w:pos="9360"/>
        </w:tabs>
      </w:pPr>
      <w:r w:rsidRPr="002316F8">
        <w:t xml:space="preserve">To obtain CVI </w:t>
      </w:r>
      <w:r w:rsidR="00226700">
        <w:t>Authorized User status</w:t>
      </w:r>
      <w:r w:rsidRPr="002316F8">
        <w:t xml:space="preserve">, an individual must check several CVI affirmation statements, complete a web-based CVI authorized user application, and provide responses to several identity verification questions. Upon completion of the application, the system </w:t>
      </w:r>
      <w:r w:rsidR="00CC5DCF">
        <w:t xml:space="preserve">assigns a unique </w:t>
      </w:r>
      <w:r w:rsidR="00DB6F95">
        <w:t xml:space="preserve">CVI Authorization Number </w:t>
      </w:r>
      <w:r w:rsidR="00CC5DCF">
        <w:t>to the individual and transmi</w:t>
      </w:r>
      <w:r w:rsidR="00FA7BB7">
        <w:t>t</w:t>
      </w:r>
      <w:r w:rsidR="00CC5DCF">
        <w:t xml:space="preserve">s that number </w:t>
      </w:r>
      <w:r w:rsidRPr="002316F8">
        <w:t xml:space="preserve">to the Department. The Department maintains a record </w:t>
      </w:r>
      <w:r w:rsidR="00CC5DCF">
        <w:t xml:space="preserve">of </w:t>
      </w:r>
      <w:r w:rsidRPr="002316F8">
        <w:t xml:space="preserve">those individuals </w:t>
      </w:r>
      <w:r w:rsidR="001C7362">
        <w:t xml:space="preserve">who </w:t>
      </w:r>
      <w:r w:rsidRPr="002316F8">
        <w:t>ha</w:t>
      </w:r>
      <w:r w:rsidR="00134FD9">
        <w:t>ve</w:t>
      </w:r>
      <w:r w:rsidRPr="002316F8">
        <w:t xml:space="preserve"> completed th</w:t>
      </w:r>
      <w:r w:rsidR="00FA7BB7">
        <w:t>e</w:t>
      </w:r>
      <w:r w:rsidRPr="002316F8">
        <w:t xml:space="preserve"> training</w:t>
      </w:r>
      <w:r w:rsidR="00CC5DCF">
        <w:t xml:space="preserve"> and received a CVI Authorized User Number</w:t>
      </w:r>
      <w:r w:rsidRPr="002316F8">
        <w:t>.</w:t>
      </w:r>
    </w:p>
    <w:p w14:paraId="4AB339BA" w14:textId="77777777" w:rsidR="00F3624A" w:rsidRPr="002316F8" w:rsidRDefault="00F3624A" w:rsidP="00F3624A">
      <w:pPr>
        <w:widowControl w:val="0"/>
        <w:tabs>
          <w:tab w:val="right" w:pos="9360"/>
        </w:tabs>
      </w:pPr>
    </w:p>
    <w:p w14:paraId="58BA638B" w14:textId="77777777" w:rsidR="00335F05" w:rsidRPr="002316F8" w:rsidRDefault="00F3624A" w:rsidP="00714ACF">
      <w:pPr>
        <w:widowControl w:val="0"/>
        <w:tabs>
          <w:tab w:val="right" w:pos="9360"/>
        </w:tabs>
      </w:pPr>
      <w:r w:rsidRPr="002316F8">
        <w:t xml:space="preserve">The information is collected electronically </w:t>
      </w:r>
      <w:r w:rsidR="007C4376">
        <w:t>(</w:t>
      </w:r>
      <w:r w:rsidR="007F4AB0">
        <w:t xml:space="preserve">CVI </w:t>
      </w:r>
      <w:r w:rsidR="007F4AB0" w:rsidRPr="007F4AB0">
        <w:t>Authorized User Training</w:t>
      </w:r>
      <w:r w:rsidR="002C4DAB">
        <w:t xml:space="preserve"> employing </w:t>
      </w:r>
      <w:r w:rsidR="00B16A82">
        <w:t>CSAT</w:t>
      </w:r>
      <w:r w:rsidR="00400287">
        <w:t xml:space="preserve">) </w:t>
      </w:r>
      <w:r w:rsidRPr="002316F8">
        <w:t>by this instrument.</w:t>
      </w:r>
    </w:p>
    <w:p w14:paraId="0189B693" w14:textId="77777777" w:rsidR="00AA3F82" w:rsidRPr="002316F8" w:rsidRDefault="00AA3F82" w:rsidP="000C4293">
      <w:pPr>
        <w:tabs>
          <w:tab w:val="left" w:pos="-720"/>
        </w:tabs>
        <w:suppressAutoHyphens/>
        <w:jc w:val="both"/>
      </w:pPr>
      <w:bookmarkStart w:id="1" w:name="OLE_LINK1"/>
      <w:bookmarkStart w:id="2" w:name="OLE_LINK2"/>
      <w:bookmarkEnd w:id="1"/>
      <w:bookmarkEnd w:id="2"/>
    </w:p>
    <w:p w14:paraId="1B2DC82C" w14:textId="77777777" w:rsidR="00EB5E96" w:rsidRPr="002316F8" w:rsidRDefault="00EB5E96" w:rsidP="00530D52">
      <w:pPr>
        <w:shd w:val="pct25" w:color="auto" w:fill="auto"/>
        <w:tabs>
          <w:tab w:val="left" w:pos="-720"/>
        </w:tabs>
        <w:suppressAutoHyphens/>
        <w:jc w:val="both"/>
      </w:pPr>
      <w:r w:rsidRPr="002316F8">
        <w:fldChar w:fldCharType="begin"/>
      </w:r>
      <w:r w:rsidRPr="002316F8">
        <w:instrText>ADVANCE \R 0.95</w:instrText>
      </w:r>
      <w:r w:rsidRPr="002316F8">
        <w:fldChar w:fldCharType="end"/>
      </w:r>
      <w:r w:rsidRPr="002316F8">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664FE40" w14:textId="77777777" w:rsidR="00932FFA" w:rsidRPr="00530D52" w:rsidRDefault="00932FFA" w:rsidP="00932FFA">
      <w:pPr>
        <w:pStyle w:val="Heading2"/>
        <w:rPr>
          <w:i w:val="0"/>
        </w:rPr>
      </w:pPr>
      <w:r w:rsidRPr="00530D52">
        <w:rPr>
          <w:i w:val="0"/>
        </w:rPr>
        <w:t xml:space="preserve">Consideration of the </w:t>
      </w:r>
      <w:r w:rsidR="0020492B">
        <w:rPr>
          <w:i w:val="0"/>
        </w:rPr>
        <w:t>U</w:t>
      </w:r>
      <w:r w:rsidRPr="00530D52">
        <w:rPr>
          <w:i w:val="0"/>
        </w:rPr>
        <w:t xml:space="preserve">se of </w:t>
      </w:r>
      <w:r w:rsidR="0020492B">
        <w:rPr>
          <w:i w:val="0"/>
        </w:rPr>
        <w:t>I</w:t>
      </w:r>
      <w:r w:rsidRPr="00530D52">
        <w:rPr>
          <w:i w:val="0"/>
        </w:rPr>
        <w:t xml:space="preserve">mproved </w:t>
      </w:r>
      <w:r w:rsidR="0020492B">
        <w:rPr>
          <w:i w:val="0"/>
        </w:rPr>
        <w:t>I</w:t>
      </w:r>
      <w:r w:rsidRPr="00530D52">
        <w:rPr>
          <w:i w:val="0"/>
        </w:rPr>
        <w:t xml:space="preserve">nformation </w:t>
      </w:r>
      <w:r w:rsidR="0020492B">
        <w:rPr>
          <w:i w:val="0"/>
        </w:rPr>
        <w:t>T</w:t>
      </w:r>
      <w:r w:rsidRPr="00530D52">
        <w:rPr>
          <w:i w:val="0"/>
        </w:rPr>
        <w:t>echnology</w:t>
      </w:r>
    </w:p>
    <w:p w14:paraId="2B7AC06B" w14:textId="77777777" w:rsidR="00932FFA" w:rsidRPr="002316F8" w:rsidRDefault="00932FFA" w:rsidP="00932FFA">
      <w:r w:rsidRPr="002316F8">
        <w:t>Although most, but not all, of the instruments allow for the collection of data in multiple mediums</w:t>
      </w:r>
      <w:r w:rsidR="0020492B">
        <w:t>,</w:t>
      </w:r>
      <w:r w:rsidRPr="002316F8">
        <w:t xml:space="preserve"> DHS </w:t>
      </w:r>
      <w:r w:rsidR="0020492B">
        <w:t xml:space="preserve">intends </w:t>
      </w:r>
      <w:r w:rsidRPr="002316F8">
        <w:t xml:space="preserve">to reduce the overall paperwork burden associated with this collection through the use </w:t>
      </w:r>
      <w:r w:rsidR="0020492B">
        <w:t xml:space="preserve">of </w:t>
      </w:r>
      <w:r w:rsidRPr="002316F8">
        <w:t>web-enabled interfaces as the primary data collection process.</w:t>
      </w:r>
    </w:p>
    <w:p w14:paraId="1F349EE4" w14:textId="77777777" w:rsidR="00E57C22" w:rsidRPr="002316F8" w:rsidRDefault="00E57C22" w:rsidP="00E57C22">
      <w:pPr>
        <w:rPr>
          <w:b/>
        </w:rPr>
      </w:pPr>
    </w:p>
    <w:p w14:paraId="40C05863" w14:textId="77777777" w:rsidR="00E57C22" w:rsidRPr="002316F8" w:rsidRDefault="00E57C22" w:rsidP="002D23B1">
      <w:pPr>
        <w:keepNext/>
        <w:rPr>
          <w:b/>
        </w:rPr>
      </w:pPr>
      <w:r w:rsidRPr="002316F8">
        <w:rPr>
          <w:b/>
        </w:rPr>
        <w:t>Table 1: Medium Information Collected</w:t>
      </w:r>
    </w:p>
    <w:p w14:paraId="2E0B935A" w14:textId="77777777" w:rsidR="00DC6E79" w:rsidRPr="002316F8" w:rsidRDefault="00DC6E79" w:rsidP="002D23B1">
      <w:pPr>
        <w:keepNext/>
        <w:tabs>
          <w:tab w:val="left" w:pos="-720"/>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780"/>
        <w:gridCol w:w="4680"/>
      </w:tblGrid>
      <w:tr w:rsidR="006B0DEB" w:rsidRPr="002316F8" w14:paraId="49E8EB45" w14:textId="77777777" w:rsidTr="00E304FF">
        <w:trPr>
          <w:cantSplit/>
        </w:trPr>
        <w:tc>
          <w:tcPr>
            <w:tcW w:w="3780" w:type="dxa"/>
            <w:vAlign w:val="center"/>
          </w:tcPr>
          <w:p w14:paraId="0D209ED1" w14:textId="77777777" w:rsidR="006B0DEB" w:rsidRPr="002316F8" w:rsidRDefault="006B0DEB" w:rsidP="002D23B1">
            <w:pPr>
              <w:keepNext/>
              <w:rPr>
                <w:b/>
              </w:rPr>
            </w:pPr>
            <w:r w:rsidRPr="002316F8">
              <w:rPr>
                <w:b/>
              </w:rPr>
              <w:t>Name of Instrument</w:t>
            </w:r>
          </w:p>
        </w:tc>
        <w:tc>
          <w:tcPr>
            <w:tcW w:w="4680" w:type="dxa"/>
            <w:vAlign w:val="center"/>
          </w:tcPr>
          <w:p w14:paraId="37797777" w14:textId="77777777" w:rsidR="006B0DEB" w:rsidRPr="002316F8" w:rsidRDefault="006B0DEB" w:rsidP="002D23B1">
            <w:pPr>
              <w:keepNext/>
              <w:rPr>
                <w:b/>
              </w:rPr>
            </w:pPr>
            <w:r w:rsidRPr="002316F8">
              <w:rPr>
                <w:b/>
              </w:rPr>
              <w:t>Medium Collection</w:t>
            </w:r>
          </w:p>
        </w:tc>
      </w:tr>
      <w:tr w:rsidR="006B0DEB" w:rsidRPr="002316F8" w14:paraId="3832E132" w14:textId="77777777" w:rsidTr="00E304FF">
        <w:trPr>
          <w:cantSplit/>
        </w:trPr>
        <w:tc>
          <w:tcPr>
            <w:tcW w:w="3780" w:type="dxa"/>
            <w:tcBorders>
              <w:top w:val="single" w:sz="4" w:space="0" w:color="auto"/>
              <w:bottom w:val="single" w:sz="4" w:space="0" w:color="auto"/>
              <w:right w:val="single" w:sz="4" w:space="0" w:color="auto"/>
            </w:tcBorders>
            <w:vAlign w:val="center"/>
          </w:tcPr>
          <w:p w14:paraId="07968425" w14:textId="77777777" w:rsidR="006B0DEB" w:rsidRPr="002316F8" w:rsidRDefault="006B0DEB" w:rsidP="002D23B1">
            <w:pPr>
              <w:keepNext/>
              <w:rPr>
                <w:sz w:val="22"/>
                <w:szCs w:val="22"/>
              </w:rPr>
            </w:pPr>
            <w:r w:rsidRPr="002316F8">
              <w:rPr>
                <w:sz w:val="22"/>
                <w:szCs w:val="22"/>
              </w:rPr>
              <w:t>CVI Authorization</w:t>
            </w:r>
          </w:p>
        </w:tc>
        <w:tc>
          <w:tcPr>
            <w:tcW w:w="4680" w:type="dxa"/>
            <w:tcBorders>
              <w:top w:val="single" w:sz="4" w:space="0" w:color="auto"/>
              <w:left w:val="single" w:sz="4" w:space="0" w:color="auto"/>
              <w:bottom w:val="single" w:sz="4" w:space="0" w:color="auto"/>
              <w:right w:val="single" w:sz="4" w:space="0" w:color="auto"/>
            </w:tcBorders>
            <w:vAlign w:val="center"/>
          </w:tcPr>
          <w:p w14:paraId="34583D42" w14:textId="77777777" w:rsidR="006B0DEB" w:rsidRPr="002316F8" w:rsidRDefault="006B0DEB" w:rsidP="002D23B1">
            <w:pPr>
              <w:keepNext/>
              <w:rPr>
                <w:sz w:val="22"/>
                <w:szCs w:val="22"/>
              </w:rPr>
            </w:pPr>
            <w:r w:rsidRPr="002316F8">
              <w:rPr>
                <w:sz w:val="22"/>
                <w:szCs w:val="22"/>
              </w:rPr>
              <w:t>The information is collected electronically</w:t>
            </w:r>
            <w:r w:rsidR="00B16A82">
              <w:rPr>
                <w:sz w:val="22"/>
                <w:szCs w:val="22"/>
              </w:rPr>
              <w:t>,</w:t>
            </w:r>
            <w:r w:rsidRPr="002316F8">
              <w:rPr>
                <w:sz w:val="22"/>
                <w:szCs w:val="22"/>
              </w:rPr>
              <w:t xml:space="preserve"> by this instrument</w:t>
            </w:r>
            <w:r w:rsidR="00B16A82">
              <w:rPr>
                <w:sz w:val="22"/>
                <w:szCs w:val="22"/>
              </w:rPr>
              <w:t>, via CSAT</w:t>
            </w:r>
            <w:r w:rsidRPr="002316F8">
              <w:rPr>
                <w:sz w:val="22"/>
                <w:szCs w:val="22"/>
              </w:rPr>
              <w:t>.</w:t>
            </w:r>
          </w:p>
        </w:tc>
      </w:tr>
    </w:tbl>
    <w:p w14:paraId="12F61B4D" w14:textId="77777777" w:rsidR="00FC398B" w:rsidRDefault="00EB5E96" w:rsidP="002D23B1">
      <w:pPr>
        <w:tabs>
          <w:tab w:val="left" w:pos="-720"/>
        </w:tabs>
        <w:suppressAutoHyphens/>
        <w:jc w:val="both"/>
      </w:pPr>
      <w:r w:rsidRPr="002316F8">
        <w:fldChar w:fldCharType="begin"/>
      </w:r>
      <w:r w:rsidRPr="002316F8">
        <w:instrText>ADVANCE \R 0.95</w:instrText>
      </w:r>
      <w:r w:rsidRPr="002316F8">
        <w:fldChar w:fldCharType="end"/>
      </w:r>
    </w:p>
    <w:p w14:paraId="06820E2D" w14:textId="77777777" w:rsidR="00FC398B" w:rsidRPr="002316F8" w:rsidRDefault="00FC398B" w:rsidP="00FC398B">
      <w:pPr>
        <w:shd w:val="pct25" w:color="auto" w:fill="auto"/>
        <w:tabs>
          <w:tab w:val="left" w:pos="-720"/>
        </w:tabs>
        <w:suppressAutoHyphens/>
        <w:jc w:val="both"/>
      </w:pPr>
      <w:r w:rsidRPr="002316F8">
        <w:fldChar w:fldCharType="begin"/>
      </w:r>
      <w:r w:rsidRPr="002316F8">
        <w:instrText>ADVANCE \R 0.95</w:instrText>
      </w:r>
      <w:r w:rsidRPr="002316F8">
        <w:fldChar w:fldCharType="end"/>
      </w:r>
      <w:r w:rsidRPr="002316F8">
        <w:t xml:space="preserve"> </w:t>
      </w:r>
      <w:r>
        <w:t xml:space="preserve">4. </w:t>
      </w:r>
      <w:r w:rsidRPr="002316F8">
        <w:t>Describe efforts to identify duplication. Show specifically why any similar information already available cannot be used or modified for use for the purposes described in Item 2 above.</w:t>
      </w:r>
    </w:p>
    <w:p w14:paraId="4666867A" w14:textId="77777777" w:rsidR="00FC398B" w:rsidRDefault="00FC398B" w:rsidP="00E57C22"/>
    <w:p w14:paraId="6641BDA6" w14:textId="77777777" w:rsidR="00974861" w:rsidRPr="002316F8" w:rsidRDefault="00974861" w:rsidP="00E57C22">
      <w:r w:rsidRPr="002316F8">
        <w:t xml:space="preserve">CVI is a unique information protection </w:t>
      </w:r>
      <w:r w:rsidR="0020492B">
        <w:t xml:space="preserve">and </w:t>
      </w:r>
      <w:r w:rsidRPr="002316F8">
        <w:t xml:space="preserve">handling program </w:t>
      </w:r>
      <w:r w:rsidR="00F51D85">
        <w:t xml:space="preserve">originally </w:t>
      </w:r>
      <w:r w:rsidRPr="002316F8">
        <w:t xml:space="preserve">authorized by Congress in </w:t>
      </w:r>
      <w:r w:rsidR="00F51D85">
        <w:t>Sec</w:t>
      </w:r>
      <w:r w:rsidR="0020492B">
        <w:t>tion</w:t>
      </w:r>
      <w:r w:rsidR="00F51D85">
        <w:t xml:space="preserve"> 550(c) of </w:t>
      </w:r>
      <w:r w:rsidRPr="002316F8">
        <w:t>P</w:t>
      </w:r>
      <w:r w:rsidR="0020492B">
        <w:t>ub</w:t>
      </w:r>
      <w:r w:rsidRPr="002316F8">
        <w:t>.</w:t>
      </w:r>
      <w:r w:rsidR="0020492B">
        <w:t xml:space="preserve"> </w:t>
      </w:r>
      <w:r w:rsidRPr="002316F8">
        <w:t>L</w:t>
      </w:r>
      <w:r w:rsidR="0020492B">
        <w:t>aw</w:t>
      </w:r>
      <w:r w:rsidRPr="002316F8">
        <w:t xml:space="preserve"> </w:t>
      </w:r>
      <w:r w:rsidR="00F51D85">
        <w:t xml:space="preserve">109-295 and currently authorized under 6 U.S.C. </w:t>
      </w:r>
      <w:r w:rsidR="00F51D85" w:rsidRPr="002316F8">
        <w:t>§</w:t>
      </w:r>
      <w:r w:rsidR="00F51D85">
        <w:t xml:space="preserve"> 623</w:t>
      </w:r>
      <w:r w:rsidRPr="002316F8">
        <w:t>. As a unique program it does not duplicate any current collection activities.</w:t>
      </w:r>
    </w:p>
    <w:p w14:paraId="03158684" w14:textId="77777777" w:rsidR="00AA3F82" w:rsidRPr="002316F8" w:rsidRDefault="00AA3F82" w:rsidP="000C4293">
      <w:pPr>
        <w:tabs>
          <w:tab w:val="left" w:pos="-720"/>
        </w:tabs>
        <w:suppressAutoHyphens/>
        <w:jc w:val="both"/>
      </w:pPr>
    </w:p>
    <w:p w14:paraId="6BD61712" w14:textId="77777777" w:rsidR="00EB5E96" w:rsidRPr="002316F8" w:rsidRDefault="00EB5E96" w:rsidP="000C4293">
      <w:pPr>
        <w:shd w:val="pct25" w:color="auto" w:fill="auto"/>
        <w:tabs>
          <w:tab w:val="left" w:pos="-720"/>
        </w:tabs>
        <w:suppressAutoHyphens/>
        <w:jc w:val="both"/>
      </w:pPr>
      <w:r w:rsidRPr="002316F8">
        <w:fldChar w:fldCharType="begin"/>
      </w:r>
      <w:r w:rsidRPr="002316F8">
        <w:instrText>ADVANCE \R 0.95</w:instrText>
      </w:r>
      <w:r w:rsidRPr="002316F8">
        <w:fldChar w:fldCharType="end"/>
      </w:r>
      <w:r w:rsidRPr="002316F8">
        <w:t>5. If the collection of information impacts small businesses or other small entities (Item 5 of OMB Form 83-I), describe any methods used to minimize.</w:t>
      </w:r>
      <w:r w:rsidRPr="002316F8">
        <w:tab/>
      </w:r>
    </w:p>
    <w:p w14:paraId="0F3FF253" w14:textId="77777777" w:rsidR="00EB5E96" w:rsidRPr="002316F8" w:rsidRDefault="00EB5E96" w:rsidP="000C4293">
      <w:pPr>
        <w:tabs>
          <w:tab w:val="left" w:pos="-720"/>
        </w:tabs>
        <w:suppressAutoHyphens/>
        <w:jc w:val="both"/>
        <w:rPr>
          <w:spacing w:val="-3"/>
        </w:rPr>
      </w:pPr>
    </w:p>
    <w:p w14:paraId="23400A09" w14:textId="77777777" w:rsidR="00E57C22" w:rsidRPr="002316F8" w:rsidRDefault="00E57C22" w:rsidP="00E57C22">
      <w:r w:rsidRPr="002316F8">
        <w:t>No unique methods will be used to minimize the burden to small businesses.</w:t>
      </w:r>
    </w:p>
    <w:p w14:paraId="6ACDB15E" w14:textId="77777777" w:rsidR="00AA3F82" w:rsidRPr="002316F8" w:rsidRDefault="00AA3F82" w:rsidP="000C4293">
      <w:pPr>
        <w:tabs>
          <w:tab w:val="left" w:pos="-720"/>
        </w:tabs>
        <w:suppressAutoHyphens/>
        <w:jc w:val="both"/>
        <w:rPr>
          <w:spacing w:val="-3"/>
        </w:rPr>
      </w:pPr>
    </w:p>
    <w:p w14:paraId="701A4288" w14:textId="77777777" w:rsidR="00EB5E96" w:rsidRPr="002316F8" w:rsidRDefault="00EB5E96" w:rsidP="000C4293">
      <w:pPr>
        <w:shd w:val="pct25" w:color="auto" w:fill="auto"/>
        <w:tabs>
          <w:tab w:val="left" w:pos="-720"/>
        </w:tabs>
        <w:suppressAutoHyphens/>
        <w:jc w:val="both"/>
      </w:pPr>
      <w:r w:rsidRPr="002316F8">
        <w:fldChar w:fldCharType="begin"/>
      </w:r>
      <w:r w:rsidRPr="002316F8">
        <w:instrText>ADVANCE \R 0.95</w:instrText>
      </w:r>
      <w:r w:rsidRPr="002316F8">
        <w:fldChar w:fldCharType="end"/>
      </w:r>
      <w:r w:rsidRPr="002316F8">
        <w:t>6. Describe the consequence to Federal/</w:t>
      </w:r>
      <w:r w:rsidR="00460234" w:rsidRPr="002316F8">
        <w:t>DHS</w:t>
      </w:r>
      <w:r w:rsidRPr="002316F8">
        <w:t xml:space="preserve"> program or policy activities if the collection of information is not conducted, or is conducted less frequently, as well as any technical or legal obstacles to reducing burden.</w:t>
      </w:r>
    </w:p>
    <w:p w14:paraId="3A773E16" w14:textId="77777777" w:rsidR="00EB5E96" w:rsidRPr="002316F8" w:rsidRDefault="00EB5E96" w:rsidP="000C4293">
      <w:pPr>
        <w:tabs>
          <w:tab w:val="left" w:pos="-720"/>
        </w:tabs>
        <w:suppressAutoHyphens/>
        <w:jc w:val="both"/>
        <w:rPr>
          <w:spacing w:val="-3"/>
        </w:rPr>
      </w:pPr>
    </w:p>
    <w:p w14:paraId="0B95B460" w14:textId="77777777" w:rsidR="009B027B" w:rsidRPr="002316F8" w:rsidRDefault="009B027B" w:rsidP="00E57C22">
      <w:r w:rsidRPr="002316F8">
        <w:t xml:space="preserve">The frequency of collection is dictated by </w:t>
      </w:r>
      <w:r w:rsidR="00D4763E">
        <w:t xml:space="preserve">regulation, specifically </w:t>
      </w:r>
      <w:r w:rsidRPr="002316F8">
        <w:t xml:space="preserve">6 CFR 27.400. Reporting less frequently will substantially reduce the ability of the CVI </w:t>
      </w:r>
      <w:r w:rsidR="00D86023">
        <w:t>P</w:t>
      </w:r>
      <w:r w:rsidRPr="002316F8">
        <w:t xml:space="preserve">rogram to ensure the smooth handling and safeguarding </w:t>
      </w:r>
      <w:r w:rsidR="00D4763E">
        <w:t xml:space="preserve">of </w:t>
      </w:r>
      <w:r w:rsidRPr="002316F8">
        <w:t xml:space="preserve">CVI. CVI is essential to implementing and regulating the CFATS, 6 CFR Part 27. Improper handling or disclosure of CVI could release sensitive information to individuals and groups seeking information that would </w:t>
      </w:r>
      <w:r w:rsidR="00920888">
        <w:t>increase</w:t>
      </w:r>
      <w:r w:rsidRPr="002316F8">
        <w:t xml:space="preserve"> the</w:t>
      </w:r>
      <w:r w:rsidR="00920888">
        <w:t xml:space="preserve"> risk of a</w:t>
      </w:r>
      <w:r w:rsidRPr="002316F8">
        <w:t xml:space="preserve"> successful </w:t>
      </w:r>
      <w:r w:rsidR="0020492B">
        <w:t xml:space="preserve">terrorist </w:t>
      </w:r>
      <w:r w:rsidRPr="002316F8">
        <w:t>attack on a high-risk chemical facility.</w:t>
      </w:r>
    </w:p>
    <w:p w14:paraId="09358D50" w14:textId="77777777" w:rsidR="00AA3F82" w:rsidRPr="002316F8" w:rsidRDefault="00AA3F82" w:rsidP="000C4293">
      <w:pPr>
        <w:tabs>
          <w:tab w:val="left" w:pos="-720"/>
        </w:tabs>
        <w:suppressAutoHyphens/>
        <w:jc w:val="both"/>
        <w:rPr>
          <w:spacing w:val="-3"/>
        </w:rPr>
      </w:pPr>
    </w:p>
    <w:p w14:paraId="667ADFA5" w14:textId="77777777" w:rsidR="00EB5E96" w:rsidRPr="002316F8" w:rsidRDefault="00EB5E96" w:rsidP="000C4293">
      <w:pPr>
        <w:shd w:val="pct25" w:color="auto" w:fill="auto"/>
        <w:tabs>
          <w:tab w:val="left" w:pos="-720"/>
        </w:tabs>
        <w:suppressAutoHyphens/>
        <w:jc w:val="both"/>
      </w:pPr>
      <w:r w:rsidRPr="002316F8">
        <w:fldChar w:fldCharType="begin"/>
      </w:r>
      <w:r w:rsidRPr="002316F8">
        <w:instrText>ADVANCE \R 0.95</w:instrText>
      </w:r>
      <w:r w:rsidRPr="002316F8">
        <w:fldChar w:fldCharType="end"/>
      </w:r>
      <w:r w:rsidRPr="002316F8">
        <w:t>7. Explain any special circumstances that would cause an information collection to be conducted in a manner:</w:t>
      </w:r>
    </w:p>
    <w:p w14:paraId="12E2B5E1" w14:textId="77777777" w:rsidR="00EB5E96" w:rsidRPr="002316F8" w:rsidRDefault="00EB5E96" w:rsidP="000C4293">
      <w:pPr>
        <w:shd w:val="pct25" w:color="auto" w:fill="FFFFFF"/>
        <w:tabs>
          <w:tab w:val="left" w:pos="-720"/>
        </w:tabs>
        <w:suppressAutoHyphens/>
        <w:jc w:val="both"/>
      </w:pPr>
    </w:p>
    <w:p w14:paraId="1E6832A9" w14:textId="77777777" w:rsidR="00EB5E96" w:rsidRPr="002316F8" w:rsidRDefault="00EB5E96" w:rsidP="00AE41B7">
      <w:pPr>
        <w:shd w:val="clear" w:color="auto" w:fill="C0C0C0"/>
        <w:tabs>
          <w:tab w:val="left" w:pos="-720"/>
        </w:tabs>
        <w:suppressAutoHyphens/>
        <w:jc w:val="both"/>
      </w:pPr>
      <w:r w:rsidRPr="002316F8">
        <w:fldChar w:fldCharType="begin"/>
      </w:r>
      <w:r w:rsidRPr="002316F8">
        <w:instrText>ADVANCE \R 0.95</w:instrText>
      </w:r>
      <w:r w:rsidRPr="002316F8">
        <w:fldChar w:fldCharType="end"/>
      </w:r>
      <w:r w:rsidRPr="002316F8">
        <w:t>(a) Requiring respondents to report information to the agency more often than quarterly.</w:t>
      </w:r>
    </w:p>
    <w:p w14:paraId="1E6C4088" w14:textId="77777777" w:rsidR="00EB5E96" w:rsidRPr="002316F8" w:rsidRDefault="00EB5E96" w:rsidP="00AE41B7">
      <w:pPr>
        <w:shd w:val="clear" w:color="auto" w:fill="C0C0C0"/>
      </w:pPr>
      <w:r w:rsidRPr="002316F8">
        <w:fldChar w:fldCharType="begin"/>
      </w:r>
      <w:r w:rsidRPr="002316F8">
        <w:instrText>ADVANCE \R 0.95</w:instrText>
      </w:r>
      <w:r w:rsidRPr="002316F8">
        <w:fldChar w:fldCharType="end"/>
      </w:r>
      <w:r w:rsidRPr="002316F8">
        <w:fldChar w:fldCharType="begin"/>
      </w:r>
      <w:r w:rsidRPr="002316F8">
        <w:instrText>ADVANCE \R 0.95</w:instrText>
      </w:r>
      <w:r w:rsidRPr="002316F8">
        <w:fldChar w:fldCharType="end"/>
      </w:r>
      <w:r w:rsidRPr="002316F8">
        <w:t>(b) Requiring respondents to prepare a written response to a collection of information in fewer than 30 days after receipt of it.</w:t>
      </w:r>
    </w:p>
    <w:p w14:paraId="39F471A8" w14:textId="77777777" w:rsidR="00EB5E96" w:rsidRPr="002316F8" w:rsidRDefault="00EB5E96" w:rsidP="000C4293">
      <w:pPr>
        <w:shd w:val="pct25" w:color="auto" w:fill="auto"/>
        <w:tabs>
          <w:tab w:val="left" w:pos="-720"/>
        </w:tabs>
        <w:suppressAutoHyphens/>
        <w:jc w:val="both"/>
      </w:pPr>
      <w:r w:rsidRPr="002316F8">
        <w:fldChar w:fldCharType="begin"/>
      </w:r>
      <w:r w:rsidRPr="002316F8">
        <w:instrText>ADVANCE \R 0.95</w:instrText>
      </w:r>
      <w:r w:rsidRPr="002316F8">
        <w:fldChar w:fldCharType="end"/>
      </w:r>
      <w:r w:rsidRPr="002316F8">
        <w:t>(c) Requiring respondents to submit more than an original and two copies of any document.</w:t>
      </w:r>
    </w:p>
    <w:p w14:paraId="71B9021C" w14:textId="77777777" w:rsidR="00EB5E96" w:rsidRPr="002316F8" w:rsidRDefault="00EB5E96" w:rsidP="00AE41B7">
      <w:pPr>
        <w:shd w:val="clear" w:color="auto" w:fill="C0C0C0"/>
        <w:tabs>
          <w:tab w:val="left" w:pos="-720"/>
        </w:tabs>
        <w:suppressAutoHyphens/>
        <w:jc w:val="both"/>
      </w:pPr>
      <w:r w:rsidRPr="002316F8">
        <w:fldChar w:fldCharType="begin"/>
      </w:r>
      <w:r w:rsidRPr="002316F8">
        <w:instrText>ADVANCE \R 0.95</w:instrText>
      </w:r>
      <w:r w:rsidRPr="002316F8">
        <w:fldChar w:fldCharType="end"/>
      </w:r>
      <w:r w:rsidRPr="002316F8">
        <w:t>(d) Requiring respondents to retain records, other than health, medical, government contract, grant-in-aid, or tax records for more than three years.</w:t>
      </w:r>
    </w:p>
    <w:p w14:paraId="6192E255" w14:textId="77777777" w:rsidR="00EB5E96" w:rsidRPr="002316F8" w:rsidRDefault="00EB5E96" w:rsidP="00AE41B7">
      <w:pPr>
        <w:shd w:val="clear" w:color="auto" w:fill="C0C0C0"/>
        <w:tabs>
          <w:tab w:val="left" w:pos="-720"/>
        </w:tabs>
        <w:suppressAutoHyphens/>
        <w:jc w:val="both"/>
      </w:pPr>
      <w:r w:rsidRPr="002316F8">
        <w:fldChar w:fldCharType="begin"/>
      </w:r>
      <w:r w:rsidRPr="002316F8">
        <w:instrText>ADVANCE \R 0.95</w:instrText>
      </w:r>
      <w:r w:rsidRPr="002316F8">
        <w:fldChar w:fldCharType="end"/>
      </w:r>
      <w:r w:rsidRPr="002316F8">
        <w:t>(e) In connection with a statistical survey, that is not designed to produce valid and reliable results that can be generalized to the universe of study.</w:t>
      </w:r>
    </w:p>
    <w:p w14:paraId="5B01C1F3" w14:textId="77777777" w:rsidR="00EB5E96" w:rsidRPr="002316F8" w:rsidRDefault="00EB5E96" w:rsidP="00AE41B7">
      <w:pPr>
        <w:shd w:val="clear" w:color="auto" w:fill="C0C0C0"/>
        <w:tabs>
          <w:tab w:val="left" w:pos="-720"/>
        </w:tabs>
        <w:suppressAutoHyphens/>
        <w:jc w:val="both"/>
      </w:pPr>
      <w:r w:rsidRPr="002316F8">
        <w:fldChar w:fldCharType="begin"/>
      </w:r>
      <w:r w:rsidRPr="002316F8">
        <w:instrText>ADVANCE \R 0.95</w:instrText>
      </w:r>
      <w:r w:rsidRPr="002316F8">
        <w:fldChar w:fldCharType="end"/>
      </w:r>
      <w:r w:rsidRPr="002316F8">
        <w:fldChar w:fldCharType="begin"/>
      </w:r>
      <w:r w:rsidRPr="002316F8">
        <w:instrText>ADVANCE \R 0.95</w:instrText>
      </w:r>
      <w:r w:rsidRPr="002316F8">
        <w:fldChar w:fldCharType="end"/>
      </w:r>
      <w:r w:rsidR="00AE41B7" w:rsidRPr="002316F8">
        <w:t>(</w:t>
      </w:r>
      <w:r w:rsidRPr="002316F8">
        <w:t>f) Requiring the use of a statistical data classification that has not been reviewed and approved by OMB.</w:t>
      </w:r>
    </w:p>
    <w:p w14:paraId="6D7A76C5" w14:textId="77777777" w:rsidR="00EB5E96" w:rsidRPr="002316F8" w:rsidRDefault="00EB5E96" w:rsidP="00AE41B7">
      <w:pPr>
        <w:shd w:val="clear" w:color="auto" w:fill="C0C0C0"/>
        <w:tabs>
          <w:tab w:val="left" w:pos="-720"/>
        </w:tabs>
        <w:suppressAutoHyphens/>
        <w:jc w:val="both"/>
      </w:pPr>
      <w:r w:rsidRPr="002316F8">
        <w:fldChar w:fldCharType="begin"/>
      </w:r>
      <w:r w:rsidRPr="002316F8">
        <w:instrText>ADVANCE \R 0.95</w:instrText>
      </w:r>
      <w:r w:rsidRPr="002316F8">
        <w:fldChar w:fldCharType="end"/>
      </w:r>
      <w:r w:rsidRPr="002316F8">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0E2B4833" w14:textId="77777777" w:rsidR="00EB5E96" w:rsidRPr="002316F8" w:rsidRDefault="00EB5E96" w:rsidP="00AE41B7">
      <w:pPr>
        <w:shd w:val="clear" w:color="auto" w:fill="C0C0C0"/>
        <w:tabs>
          <w:tab w:val="left" w:pos="-720"/>
        </w:tabs>
        <w:suppressAutoHyphens/>
        <w:jc w:val="both"/>
      </w:pPr>
      <w:r w:rsidRPr="002316F8">
        <w:fldChar w:fldCharType="begin"/>
      </w:r>
      <w:r w:rsidRPr="002316F8">
        <w:instrText>ADVANCE \R 0.95</w:instrText>
      </w:r>
      <w:r w:rsidRPr="002316F8">
        <w:fldChar w:fldCharType="end"/>
      </w:r>
      <w:r w:rsidRPr="002316F8">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14:paraId="2D7D7DE8" w14:textId="77777777" w:rsidR="002B0649" w:rsidRPr="002316F8" w:rsidRDefault="00EB5E96" w:rsidP="000C4293">
      <w:pPr>
        <w:tabs>
          <w:tab w:val="left" w:pos="-720"/>
        </w:tabs>
        <w:suppressAutoHyphens/>
        <w:ind w:left="144"/>
        <w:jc w:val="both"/>
      </w:pPr>
      <w:r w:rsidRPr="002316F8">
        <w:fldChar w:fldCharType="begin"/>
      </w:r>
      <w:r w:rsidRPr="002316F8">
        <w:instrText>ADVANCE \R 0.95</w:instrText>
      </w:r>
      <w:r w:rsidRPr="002316F8">
        <w:fldChar w:fldCharType="end"/>
      </w:r>
    </w:p>
    <w:p w14:paraId="4253FBA8" w14:textId="77777777" w:rsidR="00E57C22" w:rsidRDefault="00F70F03" w:rsidP="00E57C22">
      <w:r>
        <w:t>N</w:t>
      </w:r>
      <w:r w:rsidR="00E57C22" w:rsidRPr="002316F8">
        <w:t xml:space="preserve">o special circumstances </w:t>
      </w:r>
      <w:r>
        <w:t xml:space="preserve">are involved </w:t>
      </w:r>
      <w:r w:rsidR="00E57C22" w:rsidRPr="002316F8">
        <w:t>with this collection.</w:t>
      </w:r>
    </w:p>
    <w:p w14:paraId="2AEA35B9" w14:textId="77777777" w:rsidR="00AE41B7" w:rsidRPr="002316F8" w:rsidRDefault="00AE41B7" w:rsidP="000C4293">
      <w:pPr>
        <w:tabs>
          <w:tab w:val="left" w:pos="-720"/>
        </w:tabs>
        <w:suppressAutoHyphens/>
        <w:jc w:val="both"/>
      </w:pPr>
    </w:p>
    <w:p w14:paraId="761BBDF0" w14:textId="77777777" w:rsidR="00EB5E96" w:rsidRDefault="00EB5E96" w:rsidP="004C21F8">
      <w:pPr>
        <w:shd w:val="pct25" w:color="auto" w:fill="auto"/>
        <w:tabs>
          <w:tab w:val="left" w:pos="-720"/>
        </w:tabs>
        <w:suppressAutoHyphens/>
        <w:jc w:val="both"/>
      </w:pPr>
      <w:r w:rsidRPr="002316F8">
        <w:t xml:space="preserve">8. </w:t>
      </w:r>
      <w:r w:rsidRPr="002D23B1">
        <w:rPr>
          <w:i/>
        </w:rPr>
        <w:t>Federal Register</w:t>
      </w:r>
      <w:r w:rsidRPr="002316F8">
        <w:t xml:space="preserve"> Notice:</w:t>
      </w:r>
    </w:p>
    <w:p w14:paraId="2152A82F" w14:textId="77777777" w:rsidR="00332DB1" w:rsidRPr="002316F8" w:rsidRDefault="00332DB1" w:rsidP="004C21F8">
      <w:pPr>
        <w:shd w:val="pct25" w:color="auto" w:fill="auto"/>
        <w:tabs>
          <w:tab w:val="left" w:pos="-720"/>
        </w:tabs>
        <w:suppressAutoHyphens/>
        <w:jc w:val="both"/>
      </w:pPr>
    </w:p>
    <w:p w14:paraId="7B0AE09F" w14:textId="77777777" w:rsidR="00EB5E96" w:rsidRPr="002316F8" w:rsidRDefault="00EB5E96" w:rsidP="004C21F8">
      <w:pPr>
        <w:shd w:val="clear" w:color="auto" w:fill="C0C0C0"/>
        <w:tabs>
          <w:tab w:val="left" w:pos="-720"/>
        </w:tabs>
        <w:suppressAutoHyphens/>
        <w:jc w:val="both"/>
      </w:pPr>
      <w:r w:rsidRPr="002316F8">
        <w:fldChar w:fldCharType="begin"/>
      </w:r>
      <w:r w:rsidRPr="002316F8">
        <w:instrText>ADVANCE \R 0.95</w:instrText>
      </w:r>
      <w:r w:rsidRPr="002316F8">
        <w:fldChar w:fldCharType="end"/>
      </w:r>
      <w:r w:rsidRPr="002316F8">
        <w:fldChar w:fldCharType="begin"/>
      </w:r>
      <w:r w:rsidRPr="002316F8">
        <w:instrText>ADVANCE \R 0.95</w:instrText>
      </w:r>
      <w:r w:rsidRPr="002316F8">
        <w:fldChar w:fldCharType="end"/>
      </w:r>
      <w:r w:rsidRPr="002316F8">
        <w:t xml:space="preserve">a. Provide a copy and identify the date and page number of publication in the </w:t>
      </w:r>
      <w:r w:rsidRPr="002D23B1">
        <w:rPr>
          <w:i/>
        </w:rPr>
        <w:t>Federal Register</w:t>
      </w:r>
      <w:r w:rsidRPr="002316F8">
        <w:t xml:space="preserve">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B5833E3" w14:textId="77777777" w:rsidR="00EB5E96" w:rsidRPr="002316F8" w:rsidRDefault="00EB5E96" w:rsidP="004C21F8">
      <w:pPr>
        <w:shd w:val="pct25" w:color="auto" w:fill="auto"/>
        <w:tabs>
          <w:tab w:val="left" w:pos="-720"/>
        </w:tabs>
        <w:suppressAutoHyphens/>
        <w:jc w:val="both"/>
      </w:pPr>
      <w:r w:rsidRPr="002316F8">
        <w:fldChar w:fldCharType="begin"/>
      </w:r>
      <w:r w:rsidRPr="002316F8">
        <w:instrText>ADVANCE \R 0.95</w:instrText>
      </w:r>
      <w:r w:rsidRPr="002316F8">
        <w:fldChar w:fldCharType="end"/>
      </w:r>
      <w:r w:rsidRPr="002316F8">
        <w:fldChar w:fldCharType="begin"/>
      </w:r>
      <w:r w:rsidRPr="002316F8">
        <w:instrText>ADVANCE \R 0.95</w:instrText>
      </w:r>
      <w:r w:rsidRPr="002316F8">
        <w:fldChar w:fldCharType="end"/>
      </w:r>
      <w:r w:rsidRPr="002316F8">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31CB7CAF" w14:textId="77777777" w:rsidR="00EB5E96" w:rsidRPr="002316F8" w:rsidRDefault="00EB5E96" w:rsidP="004C21F8">
      <w:pPr>
        <w:shd w:val="pct25" w:color="auto" w:fill="auto"/>
        <w:tabs>
          <w:tab w:val="left" w:pos="-720"/>
        </w:tabs>
        <w:suppressAutoHyphens/>
        <w:jc w:val="both"/>
      </w:pPr>
      <w:r w:rsidRPr="002316F8">
        <w:fldChar w:fldCharType="begin"/>
      </w:r>
      <w:r w:rsidRPr="002316F8">
        <w:instrText>ADVANCE \R 0.95</w:instrText>
      </w:r>
      <w:r w:rsidRPr="002316F8">
        <w:fldChar w:fldCharType="end"/>
      </w:r>
      <w:r w:rsidRPr="002316F8">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667B0ABB" w14:textId="77777777" w:rsidR="00EB5E96" w:rsidRPr="002316F8" w:rsidRDefault="00EB5E96" w:rsidP="000C4293">
      <w:pPr>
        <w:tabs>
          <w:tab w:val="left" w:pos="-720"/>
        </w:tabs>
        <w:suppressAutoHyphens/>
        <w:jc w:val="both"/>
      </w:pPr>
      <w:r w:rsidRPr="002316F8">
        <w:fldChar w:fldCharType="begin"/>
      </w:r>
      <w:r w:rsidRPr="002316F8">
        <w:instrText>ADVANCE \R 0.95</w:instrText>
      </w:r>
      <w:r w:rsidRPr="002316F8">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30"/>
        <w:gridCol w:w="1226"/>
        <w:gridCol w:w="1924"/>
        <w:gridCol w:w="1216"/>
        <w:gridCol w:w="1396"/>
      </w:tblGrid>
      <w:tr w:rsidR="00B67664" w:rsidRPr="002316F8" w14:paraId="02D50854" w14:textId="77777777" w:rsidTr="00D3411B">
        <w:tc>
          <w:tcPr>
            <w:tcW w:w="2268" w:type="dxa"/>
            <w:shd w:val="clear" w:color="auto" w:fill="000000"/>
          </w:tcPr>
          <w:p w14:paraId="19579AE0" w14:textId="77777777" w:rsidR="00B67664" w:rsidRPr="002316F8" w:rsidRDefault="00B67664" w:rsidP="00D3411B">
            <w:pPr>
              <w:tabs>
                <w:tab w:val="left" w:pos="-720"/>
              </w:tabs>
              <w:suppressAutoHyphens/>
              <w:jc w:val="both"/>
            </w:pPr>
          </w:p>
        </w:tc>
        <w:tc>
          <w:tcPr>
            <w:tcW w:w="1530" w:type="dxa"/>
            <w:shd w:val="clear" w:color="auto" w:fill="BFBFBF"/>
          </w:tcPr>
          <w:p w14:paraId="50DD4F47" w14:textId="77777777" w:rsidR="00B67664" w:rsidRPr="002316F8" w:rsidRDefault="00B67664" w:rsidP="00D3411B">
            <w:pPr>
              <w:tabs>
                <w:tab w:val="left" w:pos="-720"/>
              </w:tabs>
              <w:suppressAutoHyphens/>
              <w:jc w:val="center"/>
              <w:rPr>
                <w:b/>
              </w:rPr>
            </w:pPr>
            <w:r w:rsidRPr="002316F8">
              <w:rPr>
                <w:b/>
              </w:rPr>
              <w:t>Date of Publication</w:t>
            </w:r>
          </w:p>
        </w:tc>
        <w:tc>
          <w:tcPr>
            <w:tcW w:w="1226" w:type="dxa"/>
            <w:shd w:val="clear" w:color="auto" w:fill="BFBFBF"/>
            <w:vAlign w:val="center"/>
          </w:tcPr>
          <w:p w14:paraId="553730B5" w14:textId="77777777" w:rsidR="00B67664" w:rsidRPr="002316F8" w:rsidRDefault="00B67664" w:rsidP="00D3411B">
            <w:pPr>
              <w:tabs>
                <w:tab w:val="left" w:pos="-720"/>
              </w:tabs>
              <w:suppressAutoHyphens/>
              <w:jc w:val="center"/>
              <w:rPr>
                <w:b/>
              </w:rPr>
            </w:pPr>
            <w:r w:rsidRPr="002316F8">
              <w:rPr>
                <w:b/>
              </w:rPr>
              <w:t>Volume #</w:t>
            </w:r>
          </w:p>
        </w:tc>
        <w:tc>
          <w:tcPr>
            <w:tcW w:w="1924" w:type="dxa"/>
            <w:shd w:val="clear" w:color="auto" w:fill="BFBFBF"/>
            <w:vAlign w:val="center"/>
          </w:tcPr>
          <w:p w14:paraId="41546865" w14:textId="77777777" w:rsidR="00B67664" w:rsidRPr="002316F8" w:rsidRDefault="00B67664" w:rsidP="00D3411B">
            <w:pPr>
              <w:tabs>
                <w:tab w:val="left" w:pos="-720"/>
              </w:tabs>
              <w:suppressAutoHyphens/>
              <w:jc w:val="center"/>
              <w:rPr>
                <w:b/>
              </w:rPr>
            </w:pPr>
            <w:r w:rsidRPr="002316F8">
              <w:rPr>
                <w:b/>
              </w:rPr>
              <w:t>Number #</w:t>
            </w:r>
          </w:p>
        </w:tc>
        <w:tc>
          <w:tcPr>
            <w:tcW w:w="1216" w:type="dxa"/>
            <w:shd w:val="clear" w:color="auto" w:fill="BFBFBF"/>
            <w:vAlign w:val="center"/>
          </w:tcPr>
          <w:p w14:paraId="5E35BFF5" w14:textId="77777777" w:rsidR="00B67664" w:rsidRPr="002316F8" w:rsidRDefault="00B67664" w:rsidP="00D3411B">
            <w:pPr>
              <w:tabs>
                <w:tab w:val="left" w:pos="-720"/>
              </w:tabs>
              <w:suppressAutoHyphens/>
              <w:jc w:val="center"/>
              <w:rPr>
                <w:b/>
              </w:rPr>
            </w:pPr>
            <w:r w:rsidRPr="002316F8">
              <w:rPr>
                <w:b/>
              </w:rPr>
              <w:t>Page #</w:t>
            </w:r>
          </w:p>
        </w:tc>
        <w:tc>
          <w:tcPr>
            <w:tcW w:w="1396" w:type="dxa"/>
            <w:shd w:val="clear" w:color="auto" w:fill="BFBFBF"/>
          </w:tcPr>
          <w:p w14:paraId="4F120EF7" w14:textId="77777777" w:rsidR="00B67664" w:rsidRPr="002316F8" w:rsidRDefault="00B67664" w:rsidP="00D3411B">
            <w:pPr>
              <w:tabs>
                <w:tab w:val="left" w:pos="-720"/>
              </w:tabs>
              <w:suppressAutoHyphens/>
              <w:jc w:val="center"/>
              <w:rPr>
                <w:b/>
              </w:rPr>
            </w:pPr>
            <w:r w:rsidRPr="002316F8">
              <w:rPr>
                <w:b/>
              </w:rPr>
              <w:t>Comments Addressed</w:t>
            </w:r>
          </w:p>
        </w:tc>
      </w:tr>
      <w:tr w:rsidR="00B67664" w:rsidRPr="002316F8" w14:paraId="10B10242" w14:textId="77777777" w:rsidTr="00D3411B">
        <w:tc>
          <w:tcPr>
            <w:tcW w:w="2268" w:type="dxa"/>
          </w:tcPr>
          <w:p w14:paraId="41AD35E3" w14:textId="77777777" w:rsidR="00B67664" w:rsidRPr="002316F8" w:rsidRDefault="00B67664" w:rsidP="00D3411B">
            <w:pPr>
              <w:tabs>
                <w:tab w:val="left" w:pos="-720"/>
              </w:tabs>
              <w:suppressAutoHyphens/>
              <w:rPr>
                <w:i/>
              </w:rPr>
            </w:pPr>
            <w:r w:rsidRPr="002316F8">
              <w:rPr>
                <w:i/>
              </w:rPr>
              <w:t>60</w:t>
            </w:r>
            <w:r w:rsidR="00F70F03">
              <w:rPr>
                <w:i/>
              </w:rPr>
              <w:t>-</w:t>
            </w:r>
            <w:r w:rsidRPr="002316F8">
              <w:rPr>
                <w:i/>
              </w:rPr>
              <w:t>Day Federal Register Notice:</w:t>
            </w:r>
          </w:p>
        </w:tc>
        <w:tc>
          <w:tcPr>
            <w:tcW w:w="1530" w:type="dxa"/>
          </w:tcPr>
          <w:p w14:paraId="2CF92839" w14:textId="77777777" w:rsidR="00B67664" w:rsidRPr="002316F8" w:rsidRDefault="00EB14F4" w:rsidP="00D3411B">
            <w:pPr>
              <w:tabs>
                <w:tab w:val="left" w:pos="-720"/>
              </w:tabs>
              <w:suppressAutoHyphens/>
              <w:jc w:val="center"/>
            </w:pPr>
            <w:r>
              <w:t>April 19</w:t>
            </w:r>
            <w:r w:rsidR="002E49C3" w:rsidRPr="002316F8">
              <w:t>, 201</w:t>
            </w:r>
            <w:r w:rsidR="00A96421" w:rsidRPr="002316F8">
              <w:t>7</w:t>
            </w:r>
          </w:p>
        </w:tc>
        <w:tc>
          <w:tcPr>
            <w:tcW w:w="1226" w:type="dxa"/>
          </w:tcPr>
          <w:p w14:paraId="6D88EC9E" w14:textId="77777777" w:rsidR="00B67664" w:rsidRPr="002316F8" w:rsidRDefault="00EB14F4" w:rsidP="00D3411B">
            <w:pPr>
              <w:tabs>
                <w:tab w:val="left" w:pos="-720"/>
              </w:tabs>
              <w:suppressAutoHyphens/>
              <w:jc w:val="both"/>
            </w:pPr>
            <w:r>
              <w:t>82</w:t>
            </w:r>
          </w:p>
        </w:tc>
        <w:tc>
          <w:tcPr>
            <w:tcW w:w="1924" w:type="dxa"/>
          </w:tcPr>
          <w:p w14:paraId="38EA6867" w14:textId="77777777" w:rsidR="00B67664" w:rsidRPr="002316F8" w:rsidRDefault="00EB14F4" w:rsidP="00D3411B">
            <w:pPr>
              <w:tabs>
                <w:tab w:val="left" w:pos="-720"/>
              </w:tabs>
              <w:suppressAutoHyphens/>
              <w:jc w:val="both"/>
            </w:pPr>
            <w:r>
              <w:t>74</w:t>
            </w:r>
          </w:p>
        </w:tc>
        <w:tc>
          <w:tcPr>
            <w:tcW w:w="1216" w:type="dxa"/>
          </w:tcPr>
          <w:p w14:paraId="13B40CC4" w14:textId="77777777" w:rsidR="00B67664" w:rsidRPr="002316F8" w:rsidRDefault="00EB14F4" w:rsidP="00D3411B">
            <w:pPr>
              <w:tabs>
                <w:tab w:val="left" w:pos="-720"/>
              </w:tabs>
              <w:suppressAutoHyphens/>
              <w:jc w:val="both"/>
            </w:pPr>
            <w:r>
              <w:t>18466</w:t>
            </w:r>
          </w:p>
        </w:tc>
        <w:tc>
          <w:tcPr>
            <w:tcW w:w="1396" w:type="dxa"/>
          </w:tcPr>
          <w:p w14:paraId="7D5A6A68" w14:textId="77777777" w:rsidR="00B67664" w:rsidRPr="002316F8" w:rsidRDefault="00EB14F4" w:rsidP="00D3411B">
            <w:pPr>
              <w:tabs>
                <w:tab w:val="left" w:pos="-720"/>
              </w:tabs>
              <w:suppressAutoHyphens/>
              <w:jc w:val="both"/>
            </w:pPr>
            <w:r>
              <w:t>1</w:t>
            </w:r>
          </w:p>
        </w:tc>
      </w:tr>
      <w:tr w:rsidR="00B67664" w:rsidRPr="002316F8" w14:paraId="2C30C589" w14:textId="77777777" w:rsidTr="00D3411B">
        <w:tc>
          <w:tcPr>
            <w:tcW w:w="2268" w:type="dxa"/>
          </w:tcPr>
          <w:p w14:paraId="71B055CC" w14:textId="77777777" w:rsidR="00B67664" w:rsidRPr="002316F8" w:rsidRDefault="00B67664" w:rsidP="00D3411B">
            <w:pPr>
              <w:tabs>
                <w:tab w:val="left" w:pos="-720"/>
              </w:tabs>
              <w:suppressAutoHyphens/>
            </w:pPr>
            <w:r w:rsidRPr="002316F8">
              <w:rPr>
                <w:i/>
              </w:rPr>
              <w:t>30-Day Federal Register Notice</w:t>
            </w:r>
          </w:p>
        </w:tc>
        <w:tc>
          <w:tcPr>
            <w:tcW w:w="1530" w:type="dxa"/>
          </w:tcPr>
          <w:p w14:paraId="14D85951" w14:textId="65ADFD3A" w:rsidR="00B67664" w:rsidRPr="002316F8" w:rsidRDefault="00E55458" w:rsidP="00D3411B">
            <w:pPr>
              <w:tabs>
                <w:tab w:val="left" w:pos="-720"/>
              </w:tabs>
              <w:suppressAutoHyphens/>
              <w:jc w:val="center"/>
            </w:pPr>
            <w:r>
              <w:t>July 27</w:t>
            </w:r>
            <w:r w:rsidR="00FC4AAA" w:rsidRPr="002316F8">
              <w:t>, 201</w:t>
            </w:r>
            <w:r w:rsidR="00A96421" w:rsidRPr="002316F8">
              <w:t>7</w:t>
            </w:r>
          </w:p>
        </w:tc>
        <w:tc>
          <w:tcPr>
            <w:tcW w:w="1226" w:type="dxa"/>
          </w:tcPr>
          <w:p w14:paraId="4AE7229C" w14:textId="6F00BEF4" w:rsidR="00B67664" w:rsidRPr="002316F8" w:rsidRDefault="0097036B" w:rsidP="00D3411B">
            <w:pPr>
              <w:tabs>
                <w:tab w:val="left" w:pos="-720"/>
              </w:tabs>
              <w:suppressAutoHyphens/>
              <w:jc w:val="both"/>
            </w:pPr>
            <w:r>
              <w:t>82</w:t>
            </w:r>
          </w:p>
        </w:tc>
        <w:tc>
          <w:tcPr>
            <w:tcW w:w="1924" w:type="dxa"/>
          </w:tcPr>
          <w:p w14:paraId="20279EA1" w14:textId="44D706D2" w:rsidR="00B67664" w:rsidRPr="002316F8" w:rsidRDefault="0097036B" w:rsidP="00D3411B">
            <w:pPr>
              <w:tabs>
                <w:tab w:val="left" w:pos="-720"/>
              </w:tabs>
              <w:suppressAutoHyphens/>
              <w:jc w:val="both"/>
            </w:pPr>
            <w:r>
              <w:t>143</w:t>
            </w:r>
          </w:p>
        </w:tc>
        <w:tc>
          <w:tcPr>
            <w:tcW w:w="1216" w:type="dxa"/>
          </w:tcPr>
          <w:p w14:paraId="2AFD45CE" w14:textId="47930DF1" w:rsidR="00B67664" w:rsidRPr="002316F8" w:rsidRDefault="0097036B" w:rsidP="00D3411B">
            <w:pPr>
              <w:tabs>
                <w:tab w:val="left" w:pos="-720"/>
              </w:tabs>
              <w:suppressAutoHyphens/>
              <w:jc w:val="both"/>
            </w:pPr>
            <w:r>
              <w:t>34969-34970</w:t>
            </w:r>
          </w:p>
        </w:tc>
        <w:tc>
          <w:tcPr>
            <w:tcW w:w="1396" w:type="dxa"/>
          </w:tcPr>
          <w:p w14:paraId="516BB5F8" w14:textId="33CEE1B1" w:rsidR="00B67664" w:rsidRPr="002316F8" w:rsidRDefault="00E55458" w:rsidP="00D3411B">
            <w:pPr>
              <w:tabs>
                <w:tab w:val="left" w:pos="-720"/>
              </w:tabs>
              <w:suppressAutoHyphens/>
              <w:jc w:val="both"/>
            </w:pPr>
            <w:r>
              <w:t>0</w:t>
            </w:r>
          </w:p>
        </w:tc>
      </w:tr>
    </w:tbl>
    <w:p w14:paraId="6616D576" w14:textId="77777777" w:rsidR="00B67664" w:rsidRPr="002316F8" w:rsidRDefault="00B67664" w:rsidP="000C4293">
      <w:pPr>
        <w:tabs>
          <w:tab w:val="left" w:pos="-720"/>
        </w:tabs>
        <w:suppressAutoHyphens/>
        <w:jc w:val="both"/>
      </w:pPr>
    </w:p>
    <w:p w14:paraId="1507EEA8" w14:textId="77777777" w:rsidR="001B06B5" w:rsidRDefault="001B06B5" w:rsidP="001B06B5">
      <w:r w:rsidRPr="002316F8">
        <w:t xml:space="preserve">A 60-day public notice for comments was published in the </w:t>
      </w:r>
      <w:r w:rsidRPr="002D23B1">
        <w:rPr>
          <w:i/>
        </w:rPr>
        <w:t>Federal Register</w:t>
      </w:r>
      <w:r w:rsidRPr="002316F8">
        <w:t xml:space="preserve"> on </w:t>
      </w:r>
      <w:r w:rsidR="000B7E98">
        <w:t>April 19, 2017.</w:t>
      </w:r>
      <w:r w:rsidR="00584E48" w:rsidRPr="002316F8">
        <w:t xml:space="preserve"> </w:t>
      </w:r>
      <w:r w:rsidRPr="002316F8">
        <w:t>The D</w:t>
      </w:r>
      <w:r w:rsidR="002B3D0A" w:rsidRPr="002316F8">
        <w:t>e</w:t>
      </w:r>
      <w:r w:rsidRPr="002316F8">
        <w:t xml:space="preserve">partment received </w:t>
      </w:r>
      <w:r w:rsidR="00EB14F4">
        <w:t>1</w:t>
      </w:r>
      <w:r w:rsidR="00EB14F4" w:rsidRPr="002316F8">
        <w:t xml:space="preserve"> </w:t>
      </w:r>
      <w:r w:rsidRPr="002316F8">
        <w:t xml:space="preserve">comments submitted by </w:t>
      </w:r>
      <w:r w:rsidR="00EB14F4">
        <w:t>1</w:t>
      </w:r>
      <w:r w:rsidR="00EB14F4" w:rsidRPr="002316F8">
        <w:t xml:space="preserve"> </w:t>
      </w:r>
      <w:r w:rsidRPr="002316F8">
        <w:t xml:space="preserve">commenters, which may be found on </w:t>
      </w:r>
      <w:hyperlink r:id="rId16" w:history="1">
        <w:r w:rsidRPr="002316F8">
          <w:rPr>
            <w:rStyle w:val="Hyperlink"/>
          </w:rPr>
          <w:t>www.regulations.gov</w:t>
        </w:r>
      </w:hyperlink>
      <w:r w:rsidRPr="002316F8">
        <w:t xml:space="preserve"> under Docket ID DHS-201</w:t>
      </w:r>
      <w:r w:rsidR="00734731" w:rsidRPr="002316F8">
        <w:t>7</w:t>
      </w:r>
      <w:r w:rsidR="00584E48" w:rsidRPr="002316F8">
        <w:t>-</w:t>
      </w:r>
      <w:r w:rsidR="00EB14F4">
        <w:t>00</w:t>
      </w:r>
      <w:r w:rsidR="00AB13B4">
        <w:t>15.</w:t>
      </w:r>
      <w:r w:rsidRPr="002316F8">
        <w:t xml:space="preserve"> The Department’s responses were included in a PRA 30-day </w:t>
      </w:r>
      <w:r w:rsidRPr="002D23B1">
        <w:rPr>
          <w:i/>
        </w:rPr>
        <w:t>Federal Register</w:t>
      </w:r>
      <w:r w:rsidRPr="002316F8">
        <w:t xml:space="preserve"> notice and are below:</w:t>
      </w:r>
    </w:p>
    <w:p w14:paraId="6C5B4DE3" w14:textId="77777777" w:rsidR="00EB14F4" w:rsidRDefault="00EB14F4" w:rsidP="001B06B5"/>
    <w:p w14:paraId="05C7F9C6" w14:textId="449C7B4F" w:rsidR="00EB14F4" w:rsidRDefault="00EB14F4" w:rsidP="000B7E98">
      <w:pPr>
        <w:ind w:left="720"/>
      </w:pPr>
      <w:r w:rsidRPr="00F52268">
        <w:rPr>
          <w:u w:val="single"/>
        </w:rPr>
        <w:t>Comment</w:t>
      </w:r>
      <w:r>
        <w:t xml:space="preserve">: The one comment received concerning the 60-day PRA notice for this proposed information collection raised a concern that guidance provided in the DHS “Safeguarding Information Designated as Chemical-Terrorism Vulnerability Information (CVI)” manual (“CVI Procedural Manual”) and the CFATS regulation (at 6 C.F.R. § 27.400(d)(7)) appear to require collection of information using three instruments identified by DHS for removal.  </w:t>
      </w:r>
      <w:r w:rsidRPr="006E4D6B">
        <w:t>The Commenter also asserted that the investigatory exception under 44 U.S.C. 3518(c) does not justify the Department’s collection of information as part of these three instruments without an OMB-approved information collection request</w:t>
      </w:r>
      <w:r>
        <w:t xml:space="preserve">.  Based on these reasons, the comment suggested retaining the “Disclosure of CVI Information,” “Notification of Emergency or </w:t>
      </w:r>
      <w:r w:rsidR="00CF229B">
        <w:t>Exigent Circumstances</w:t>
      </w:r>
      <w:r>
        <w:t xml:space="preserve">,” and “Tracking Log for CVI Received” instruments in this information collection with adjusted burden levels. </w:t>
      </w:r>
    </w:p>
    <w:p w14:paraId="63C5E197" w14:textId="77777777" w:rsidR="00EB14F4" w:rsidRDefault="00EB14F4" w:rsidP="000B7E98">
      <w:pPr>
        <w:ind w:left="720"/>
      </w:pPr>
    </w:p>
    <w:p w14:paraId="396C54B1" w14:textId="77777777" w:rsidR="00EB14F4" w:rsidRDefault="00EB14F4" w:rsidP="000B7E98">
      <w:pPr>
        <w:ind w:left="720"/>
      </w:pPr>
      <w:r w:rsidRPr="00F52268">
        <w:rPr>
          <w:u w:val="single"/>
        </w:rPr>
        <w:t>Response</w:t>
      </w:r>
      <w:r>
        <w:t xml:space="preserve">: The Department’s proposal to remove five instruments from this collection, including the three identified by the commenter, is based mainly on an evaluation of the historical usage of those instruments.  </w:t>
      </w:r>
      <w:r w:rsidRPr="006E4D6B">
        <w:t>As noted in DHS’s 60-day notice, “these instruments have historically been used rarely.”  82 FR 18467.</w:t>
      </w:r>
      <w:r>
        <w:t xml:space="preserve">  More specifically, DHS’s review indicated that at no time has the Department collected information under any of these five instruments on ten or more occasions during any given calendar year. Additionally, the Department expects that this historical pattern would continue during the next three years if the instruments were to be retained.  Consequently, none of the instruments proposed for removal qualify as a “collection of information” subject to the requirements of the Paperwork Reduction Act (see 44 U.S.C. § 3502 (3)(A)(i)).   Also, if this proposed information collection is approved, DHS would only collect the information currently covered by the three instruments identified by the commenter as part of an administrative action or investigation, which would exempt these instruments from the requirements of the Paperwork Reduction Act (if they were not also exempt for other reasons).  </w:t>
      </w:r>
    </w:p>
    <w:p w14:paraId="0BF9E74A" w14:textId="77777777" w:rsidR="00EB14F4" w:rsidRDefault="00EB14F4" w:rsidP="000B7E98">
      <w:pPr>
        <w:ind w:left="720"/>
      </w:pPr>
    </w:p>
    <w:p w14:paraId="0D2AC552" w14:textId="77777777" w:rsidR="00EB14F4" w:rsidRDefault="00EB14F4" w:rsidP="000B7E98">
      <w:pPr>
        <w:ind w:left="720"/>
      </w:pPr>
      <w:r>
        <w:t>In addition, removal of the five instruments proposed is consistent with DHS guidance provided in the DHS CVI Procedural Manual and the requirements specified in 6 CFR § 27.400.  Per the specific marking on the footer of each page, the DHS CVI Procedural Manual “does not create or confer any new rights or obligations on any person or entity or otherwise operate to bind the public.”  Rather, the DHS CVI Procedural Manual describes and encourages the public’s use of best practices for complying with the regulatory requirements associated with maintaining, safeguarding, and disclosing CVI set out in 6 CFR § 27.400.  DHS developed some of the instruments in this collection as part of these best practices, but their use is not mandatory.  If this proposed collection is approved, the Department will consider updating its guidance materials to clarify this aspect of the CVI Program.</w:t>
      </w:r>
    </w:p>
    <w:p w14:paraId="3CE0A08C" w14:textId="77777777" w:rsidR="00EB14F4" w:rsidRDefault="00EB14F4" w:rsidP="000B7E98">
      <w:pPr>
        <w:ind w:left="720"/>
      </w:pPr>
    </w:p>
    <w:p w14:paraId="107BF8D3" w14:textId="77777777" w:rsidR="00EB14F4" w:rsidRDefault="00EB14F4" w:rsidP="000B7E98">
      <w:pPr>
        <w:ind w:left="720"/>
      </w:pPr>
      <w:r>
        <w:t>To the extent that reporting certain information to the Department is required by 6 CFR 27.400(d)(7), that reporting requirement will remain in effect.  However, as described in the paragraph above detailing historical usage of the instruments proposed for removal from this collection, DHS expects to receive fewer than ten such reports per year and the Department would likely seek unique pieces of information related to each unauthorized release of CVI, not standard pieces of information.</w:t>
      </w:r>
    </w:p>
    <w:p w14:paraId="7F056195" w14:textId="77777777" w:rsidR="00EB14F4" w:rsidRDefault="00EB14F4" w:rsidP="001B06B5"/>
    <w:p w14:paraId="0C7D9468" w14:textId="77777777" w:rsidR="00EB14F4" w:rsidRPr="002316F8" w:rsidRDefault="00EB14F4" w:rsidP="001B06B5"/>
    <w:p w14:paraId="48B31640" w14:textId="28F99193" w:rsidR="002B3D0A" w:rsidRPr="002316F8" w:rsidRDefault="002B3D0A" w:rsidP="00E14151">
      <w:pPr>
        <w:spacing w:before="120" w:after="120" w:line="259" w:lineRule="auto"/>
      </w:pPr>
      <w:r w:rsidRPr="002316F8">
        <w:t xml:space="preserve">A 30-day public notice for comments was published in the </w:t>
      </w:r>
      <w:r w:rsidRPr="002D23B1">
        <w:rPr>
          <w:i/>
        </w:rPr>
        <w:t>Federal Register</w:t>
      </w:r>
      <w:r w:rsidRPr="002316F8">
        <w:t xml:space="preserve"> on</w:t>
      </w:r>
      <w:r w:rsidR="00584E48" w:rsidRPr="002316F8">
        <w:t xml:space="preserve"> </w:t>
      </w:r>
      <w:r w:rsidR="00AE7121">
        <w:t>July 27</w:t>
      </w:r>
      <w:r w:rsidR="00AE7121" w:rsidRPr="00AE7121">
        <w:rPr>
          <w:vertAlign w:val="superscript"/>
        </w:rPr>
        <w:t>th</w:t>
      </w:r>
      <w:r w:rsidR="00AE7121">
        <w:t>, 2017</w:t>
      </w:r>
      <w:r w:rsidR="00DA580C" w:rsidRPr="002316F8">
        <w:t xml:space="preserve"> </w:t>
      </w:r>
      <w:r w:rsidR="00D4763E">
        <w:t>at</w:t>
      </w:r>
      <w:r w:rsidR="001F0265" w:rsidRPr="002316F8">
        <w:t xml:space="preserve"> </w:t>
      </w:r>
      <w:r w:rsidR="0097036B">
        <w:t xml:space="preserve">82 </w:t>
      </w:r>
      <w:r w:rsidR="001F0265" w:rsidRPr="002316F8">
        <w:t xml:space="preserve">FR </w:t>
      </w:r>
      <w:r w:rsidR="0097036B">
        <w:t>34969</w:t>
      </w:r>
      <w:r w:rsidRPr="002316F8">
        <w:t xml:space="preserve">. The Department received </w:t>
      </w:r>
      <w:r w:rsidR="00E14151">
        <w:t>0</w:t>
      </w:r>
      <w:r w:rsidR="00E14151" w:rsidRPr="002316F8">
        <w:t xml:space="preserve"> </w:t>
      </w:r>
      <w:r w:rsidRPr="002316F8">
        <w:t>comments</w:t>
      </w:r>
      <w:r w:rsidR="00E14151">
        <w:t>.</w:t>
      </w:r>
    </w:p>
    <w:p w14:paraId="19695F22" w14:textId="77777777" w:rsidR="001B06B5" w:rsidRPr="002316F8" w:rsidRDefault="001B06B5" w:rsidP="000C4293">
      <w:pPr>
        <w:tabs>
          <w:tab w:val="left" w:pos="-720"/>
        </w:tabs>
        <w:suppressAutoHyphens/>
        <w:jc w:val="both"/>
      </w:pPr>
    </w:p>
    <w:p w14:paraId="7A735292" w14:textId="77777777" w:rsidR="00EB5E96" w:rsidRPr="002316F8" w:rsidRDefault="00EB5E96" w:rsidP="000C4293">
      <w:pPr>
        <w:shd w:val="pct25" w:color="auto" w:fill="auto"/>
        <w:tabs>
          <w:tab w:val="left" w:pos="-720"/>
        </w:tabs>
        <w:suppressAutoHyphens/>
        <w:jc w:val="both"/>
      </w:pPr>
      <w:r w:rsidRPr="002316F8">
        <w:fldChar w:fldCharType="begin"/>
      </w:r>
      <w:r w:rsidRPr="002316F8">
        <w:instrText>ADVANCE \R 0.95</w:instrText>
      </w:r>
      <w:r w:rsidRPr="002316F8">
        <w:fldChar w:fldCharType="end"/>
      </w:r>
      <w:r w:rsidRPr="002316F8">
        <w:t>9. Explain any decision to provide any payment or gift to respondents, other than remuneration of contractors or grantees.</w:t>
      </w:r>
    </w:p>
    <w:p w14:paraId="3533A639" w14:textId="77777777" w:rsidR="00EB5E96" w:rsidRPr="002316F8" w:rsidRDefault="00EB5E96" w:rsidP="000C4293">
      <w:pPr>
        <w:tabs>
          <w:tab w:val="left" w:pos="-720"/>
        </w:tabs>
        <w:suppressAutoHyphens/>
        <w:jc w:val="both"/>
      </w:pPr>
    </w:p>
    <w:p w14:paraId="197CA3DD" w14:textId="77777777" w:rsidR="00E57C22" w:rsidRPr="002316F8" w:rsidRDefault="00E57C22" w:rsidP="00E57C22">
      <w:r w:rsidRPr="002316F8">
        <w:t>No payment or gift of any kind is provided to any respondents.</w:t>
      </w:r>
    </w:p>
    <w:p w14:paraId="5DA70FE1" w14:textId="77777777" w:rsidR="00EB5E96" w:rsidRPr="002316F8" w:rsidRDefault="00EB5E96" w:rsidP="000C4293">
      <w:pPr>
        <w:tabs>
          <w:tab w:val="left" w:pos="-720"/>
        </w:tabs>
        <w:suppressAutoHyphens/>
        <w:jc w:val="both"/>
      </w:pPr>
    </w:p>
    <w:p w14:paraId="6D190639" w14:textId="77777777" w:rsidR="00EB5E96" w:rsidRPr="002316F8" w:rsidRDefault="00EB5E96" w:rsidP="000C4293">
      <w:pPr>
        <w:shd w:val="pct25" w:color="auto" w:fill="auto"/>
        <w:tabs>
          <w:tab w:val="left" w:pos="-720"/>
        </w:tabs>
        <w:suppressAutoHyphens/>
        <w:jc w:val="both"/>
      </w:pPr>
      <w:r w:rsidRPr="002316F8">
        <w:fldChar w:fldCharType="begin"/>
      </w:r>
      <w:r w:rsidRPr="002316F8">
        <w:instrText>ADVANCE \R 0.95</w:instrText>
      </w:r>
      <w:r w:rsidRPr="002316F8">
        <w:fldChar w:fldCharType="end"/>
      </w:r>
      <w:r w:rsidRPr="002316F8">
        <w:t>10. Describe any assurance of confidentiality provided to respondents and the basis for the assurance in statute, regulation, or agency policy.</w:t>
      </w:r>
    </w:p>
    <w:p w14:paraId="7410B097" w14:textId="77777777" w:rsidR="00865E03" w:rsidRPr="002316F8" w:rsidRDefault="00EB5E96" w:rsidP="00865E03">
      <w:pPr>
        <w:tabs>
          <w:tab w:val="left" w:pos="-720"/>
        </w:tabs>
        <w:suppressAutoHyphens/>
        <w:jc w:val="both"/>
      </w:pPr>
      <w:r w:rsidRPr="002316F8">
        <w:fldChar w:fldCharType="begin"/>
      </w:r>
      <w:r w:rsidRPr="002316F8">
        <w:instrText>ADVANCE \R 0.95</w:instrText>
      </w:r>
      <w:r w:rsidRPr="002316F8">
        <w:fldChar w:fldCharType="end"/>
      </w:r>
    </w:p>
    <w:p w14:paraId="3F5382AC" w14:textId="77777777" w:rsidR="00074F58" w:rsidRPr="002316F8" w:rsidRDefault="00F70F03" w:rsidP="00C92E87">
      <w:pPr>
        <w:widowControl w:val="0"/>
        <w:tabs>
          <w:tab w:val="right" w:pos="9360"/>
        </w:tabs>
      </w:pPr>
      <w:r>
        <w:t>N</w:t>
      </w:r>
      <w:r w:rsidR="008841D1" w:rsidRPr="002316F8">
        <w:t xml:space="preserve">o assurance </w:t>
      </w:r>
      <w:r w:rsidR="00D4763E">
        <w:t xml:space="preserve">of </w:t>
      </w:r>
      <w:r w:rsidR="008841D1" w:rsidRPr="002316F8">
        <w:t xml:space="preserve">confidentiality </w:t>
      </w:r>
      <w:r>
        <w:t xml:space="preserve">is </w:t>
      </w:r>
      <w:r w:rsidR="008841D1" w:rsidRPr="002316F8">
        <w:t xml:space="preserve">provided to the respondents. However, some information may be protected </w:t>
      </w:r>
      <w:r w:rsidR="000446A0">
        <w:t>from disclosure by the Department</w:t>
      </w:r>
      <w:r w:rsidR="008841D1" w:rsidRPr="002316F8">
        <w:t xml:space="preserve"> under the designation CVI. CVI is a Sensitive but Unclassified designation authorized under P</w:t>
      </w:r>
      <w:r>
        <w:t>ub</w:t>
      </w:r>
      <w:r w:rsidR="008841D1" w:rsidRPr="002316F8">
        <w:t>.</w:t>
      </w:r>
      <w:r>
        <w:t xml:space="preserve"> </w:t>
      </w:r>
      <w:r w:rsidR="008841D1" w:rsidRPr="002316F8">
        <w:t>L</w:t>
      </w:r>
      <w:r>
        <w:t>aw</w:t>
      </w:r>
      <w:r w:rsidR="008841D1" w:rsidRPr="002316F8">
        <w:t xml:space="preserve"> 107-296 and implemented in 6 CFR 27.400.</w:t>
      </w:r>
    </w:p>
    <w:p w14:paraId="01C8D708" w14:textId="77777777" w:rsidR="00865E03" w:rsidRPr="002316F8" w:rsidRDefault="00865E03" w:rsidP="00584E48">
      <w:pPr>
        <w:widowControl w:val="0"/>
        <w:tabs>
          <w:tab w:val="right" w:pos="9360"/>
        </w:tabs>
      </w:pPr>
    </w:p>
    <w:p w14:paraId="10EDF985" w14:textId="77777777" w:rsidR="003237A2" w:rsidRDefault="00A65E5C" w:rsidP="00970F4C">
      <w:r>
        <w:t xml:space="preserve">6 U.S.C. 623(d) states </w:t>
      </w:r>
      <w:r w:rsidR="003237A2" w:rsidRPr="002316F8">
        <w:t>that “in any proceeding to enforce this section, vulnerability assessments, site security plans, and other information submitted to or obtained by the Secretary under this section, and related vulnerability or security information, shall be treated as if the information were classified material.”</w:t>
      </w:r>
      <w:r w:rsidR="00812DB3">
        <w:t xml:space="preserve"> </w:t>
      </w:r>
      <w:r>
        <w:t>In addition, 6 CFR § 27.400(h) specifies the circumstances under which access to CIV may be provided by the Department in the context of an administrative enforcement proceeding.</w:t>
      </w:r>
    </w:p>
    <w:p w14:paraId="148A0BDC" w14:textId="77777777" w:rsidR="00B72A14" w:rsidRDefault="00B72A14" w:rsidP="00970F4C"/>
    <w:p w14:paraId="167682D6" w14:textId="77777777" w:rsidR="00E713D2" w:rsidRDefault="00E713D2" w:rsidP="003237A2"/>
    <w:p w14:paraId="1318524C" w14:textId="77777777" w:rsidR="00E713D2" w:rsidRPr="00E713D2" w:rsidRDefault="00E713D2" w:rsidP="00E713D2">
      <w:r>
        <w:t xml:space="preserve">This is a privacy sensitive system. A Privacy Threshold Analysis has been </w:t>
      </w:r>
      <w:r w:rsidRPr="00E713D2">
        <w:t>adjudicated</w:t>
      </w:r>
      <w:r>
        <w:t xml:space="preserve"> by the DHS Privacy Office which resulted in a determination that PIA coverage is provided by </w:t>
      </w:r>
      <w:r w:rsidRPr="00E713D2">
        <w:t xml:space="preserve">DHS/NPPD/PIA-009(a) Chemical Facility Anti-Terrorism Standards August 12, 2016. </w:t>
      </w:r>
      <w:r>
        <w:t>SORN coverage is provided by DHS/ALL-002-Department of Homeland Security (DHS) Mailing and Other Lists System, November 25, 2008, 73 FR 71659, DHS/ALL-004-General Information Technology Access Account Records System (GITAARS), November 27, 2012, 77 FR 70792.</w:t>
      </w:r>
    </w:p>
    <w:p w14:paraId="5B860A3B" w14:textId="77777777" w:rsidR="00E713D2" w:rsidRDefault="00E713D2" w:rsidP="003237A2"/>
    <w:p w14:paraId="00D36586" w14:textId="77777777" w:rsidR="00565E2C" w:rsidRPr="002316F8" w:rsidRDefault="00565E2C" w:rsidP="003237A2"/>
    <w:p w14:paraId="48EA8465" w14:textId="77777777" w:rsidR="003237A2" w:rsidRPr="002316F8" w:rsidRDefault="003237A2" w:rsidP="003237A2">
      <w:r w:rsidRPr="002316F8">
        <w:t>Notwithstanding the Freedom of Information Act (</w:t>
      </w:r>
      <w:r w:rsidR="0059264F">
        <w:t xml:space="preserve">FOIA) </w:t>
      </w:r>
      <w:r w:rsidRPr="002316F8">
        <w:t xml:space="preserve">(5 U.S.C. 552), the Privacy Act (5 U.S.C. 552a), and other laws in accordance with </w:t>
      </w:r>
      <w:r w:rsidR="007872AE">
        <w:t>6 U.S.C. 623</w:t>
      </w:r>
      <w:r w:rsidRPr="002316F8">
        <w:t>(c) and 6 CFR § 27.400(g), records containing CVI are not available for public inspection or copying, nor does the Department release such records to persons without a need to know.</w:t>
      </w:r>
      <w:r w:rsidR="007872AE">
        <w:t xml:space="preserve"> </w:t>
      </w:r>
      <w:r w:rsidR="007872AE" w:rsidRPr="002D23B1">
        <w:rPr>
          <w:i/>
        </w:rPr>
        <w:t>See</w:t>
      </w:r>
      <w:r w:rsidR="007872AE">
        <w:t xml:space="preserve"> 6 CFR 27.400(g)(1).</w:t>
      </w:r>
    </w:p>
    <w:p w14:paraId="67E5F1CE" w14:textId="77777777" w:rsidR="003237A2" w:rsidRPr="002316F8" w:rsidRDefault="003237A2" w:rsidP="003237A2"/>
    <w:p w14:paraId="7B7A4C57" w14:textId="77777777" w:rsidR="003237A2" w:rsidRPr="002316F8" w:rsidRDefault="003237A2" w:rsidP="003237A2">
      <w:r w:rsidRPr="002316F8">
        <w:t xml:space="preserve">If a record contains both </w:t>
      </w:r>
      <w:r w:rsidR="00A65E5C">
        <w:t xml:space="preserve">CVI and non-CVI </w:t>
      </w:r>
      <w:r w:rsidRPr="002316F8">
        <w:t xml:space="preserve">information, the latter information may be </w:t>
      </w:r>
      <w:r w:rsidR="00A65E5C">
        <w:t>disclosed</w:t>
      </w:r>
      <w:r w:rsidRPr="002316F8">
        <w:t xml:space="preserve"> in response to a FOIA request, provided that the record is not otherwise exempt from disclosure under FOIA and that it is practical to redact the protected CVI from the requested record.</w:t>
      </w:r>
      <w:r w:rsidR="007872AE">
        <w:t xml:space="preserve"> </w:t>
      </w:r>
      <w:r w:rsidR="007872AE" w:rsidRPr="002D23B1">
        <w:rPr>
          <w:i/>
        </w:rPr>
        <w:t>See</w:t>
      </w:r>
      <w:r w:rsidR="007872AE">
        <w:t xml:space="preserve"> 6 CFR 27.400(g)(2).</w:t>
      </w:r>
    </w:p>
    <w:p w14:paraId="1DCFA403" w14:textId="77777777" w:rsidR="00865E03" w:rsidRPr="002316F8" w:rsidRDefault="00865E03" w:rsidP="00701833">
      <w:pPr>
        <w:widowControl w:val="0"/>
        <w:tabs>
          <w:tab w:val="right" w:pos="9360"/>
        </w:tabs>
      </w:pPr>
    </w:p>
    <w:p w14:paraId="41D3CB0D" w14:textId="77777777" w:rsidR="00E57C22" w:rsidRPr="002316F8" w:rsidRDefault="00E57C22" w:rsidP="00E57C22">
      <w:r w:rsidRPr="002316F8">
        <w:t xml:space="preserve">DHS’s primary IT design requirement </w:t>
      </w:r>
      <w:r w:rsidR="00F70F03">
        <w:t>is</w:t>
      </w:r>
      <w:r w:rsidRPr="002316F8">
        <w:t xml:space="preserve"> ensuring data security. DHS acknowledges that a non-zero risk</w:t>
      </w:r>
      <w:r w:rsidR="00F70F03">
        <w:t xml:space="preserve"> exists</w:t>
      </w:r>
      <w:r w:rsidRPr="002316F8">
        <w:t>, both to the original transmission and the receiving transmission, when requesting data over the Internet. DHS has weighed the risk to the data collection approach against the risk to collecting the data through paper submissions and concluded that the web-based approach was the best approach given the risk and benefits.</w:t>
      </w:r>
    </w:p>
    <w:p w14:paraId="752181E5" w14:textId="77777777" w:rsidR="00E57C22" w:rsidRPr="002316F8" w:rsidRDefault="00E57C22" w:rsidP="00E57C22"/>
    <w:p w14:paraId="218115AB" w14:textId="77777777" w:rsidR="00CA7AF8" w:rsidRPr="002316F8" w:rsidRDefault="00E57C22" w:rsidP="00714ACF">
      <w:r w:rsidRPr="002316F8">
        <w:t xml:space="preserve">DHS has taken a number of steps to protect both the data that will be collected through the CSAT </w:t>
      </w:r>
      <w:r w:rsidR="00D86023">
        <w:t>P</w:t>
      </w:r>
      <w:r w:rsidRPr="002316F8">
        <w:t xml:space="preserve">rogram and the process of collection. The security of the data has been the number one priority of the system design. </w:t>
      </w:r>
      <w:r w:rsidR="00A35C1C" w:rsidRPr="002316F8">
        <w:t>The site that the Department uses to collect submissions is equipped with hardware encryption that requires Transport Layer Security (TLS), as mandated by the latest Federal Information Processing Standard (FIPS). The encryption devices have full Common Criteria Evaluation and Validation Scheme (CCEVS) certifications. CCEVS is the implementation of the partnership between the National Security Agency and the National Institute of Standards (NIST) to certify security hardware and software.</w:t>
      </w:r>
    </w:p>
    <w:p w14:paraId="7029151D" w14:textId="77777777" w:rsidR="00AA3F82" w:rsidRPr="002316F8" w:rsidRDefault="00AA3F82" w:rsidP="000C4293">
      <w:pPr>
        <w:tabs>
          <w:tab w:val="left" w:pos="-720"/>
        </w:tabs>
        <w:suppressAutoHyphens/>
        <w:jc w:val="both"/>
      </w:pPr>
    </w:p>
    <w:p w14:paraId="731BEB20" w14:textId="77777777" w:rsidR="00EB5E96" w:rsidRPr="002316F8" w:rsidRDefault="00EB5E96" w:rsidP="000C4293">
      <w:pPr>
        <w:shd w:val="pct25" w:color="auto" w:fill="auto"/>
        <w:tabs>
          <w:tab w:val="left" w:pos="-720"/>
        </w:tabs>
        <w:suppressAutoHyphens/>
        <w:jc w:val="both"/>
      </w:pPr>
      <w:r w:rsidRPr="002316F8">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118128E" w14:textId="77777777" w:rsidR="00332DB1" w:rsidRDefault="00332DB1" w:rsidP="00E57C22"/>
    <w:p w14:paraId="638C82AA" w14:textId="77777777" w:rsidR="00E57C22" w:rsidRPr="002316F8" w:rsidRDefault="00E57C22" w:rsidP="00E57C22">
      <w:r w:rsidRPr="002316F8">
        <w:t>The instrument</w:t>
      </w:r>
      <w:r w:rsidR="00E44D2B">
        <w:t xml:space="preserve"> </w:t>
      </w:r>
      <w:r w:rsidRPr="002316F8">
        <w:t>described in this collection do</w:t>
      </w:r>
      <w:r w:rsidR="00332DB1">
        <w:t>es</w:t>
      </w:r>
      <w:r w:rsidRPr="002316F8">
        <w:t xml:space="preserve"> not request any information of a personally sensitive </w:t>
      </w:r>
      <w:r w:rsidR="00DC6AFC" w:rsidRPr="002316F8">
        <w:t>nature</w:t>
      </w:r>
      <w:r w:rsidRPr="002316F8">
        <w:t>.</w:t>
      </w:r>
    </w:p>
    <w:p w14:paraId="207D8CA0" w14:textId="77777777" w:rsidR="00AA3F82" w:rsidRPr="002316F8" w:rsidRDefault="00AA3F82" w:rsidP="000C4293">
      <w:pPr>
        <w:shd w:val="clear" w:color="auto" w:fill="FFFFFF"/>
        <w:tabs>
          <w:tab w:val="left" w:pos="-720"/>
        </w:tabs>
        <w:suppressAutoHyphens/>
        <w:jc w:val="both"/>
      </w:pPr>
    </w:p>
    <w:p w14:paraId="0B8899F0" w14:textId="77777777" w:rsidR="00EB5E96" w:rsidRPr="002316F8" w:rsidRDefault="00EB5E96" w:rsidP="000C4293">
      <w:pPr>
        <w:shd w:val="pct25" w:color="auto" w:fill="FFFFFF"/>
        <w:tabs>
          <w:tab w:val="left" w:pos="-720"/>
        </w:tabs>
        <w:suppressAutoHyphens/>
        <w:jc w:val="both"/>
      </w:pPr>
      <w:r w:rsidRPr="002316F8">
        <w:fldChar w:fldCharType="begin"/>
      </w:r>
      <w:r w:rsidRPr="002316F8">
        <w:instrText>ADVANCE \R 0.95</w:instrText>
      </w:r>
      <w:r w:rsidRPr="002316F8">
        <w:fldChar w:fldCharType="end"/>
      </w:r>
      <w:r w:rsidRPr="002316F8">
        <w:fldChar w:fldCharType="begin"/>
      </w:r>
      <w:r w:rsidRPr="002316F8">
        <w:instrText>ADVANCE \R 0.95</w:instrText>
      </w:r>
      <w:r w:rsidRPr="002316F8">
        <w:fldChar w:fldCharType="end"/>
      </w:r>
      <w:r w:rsidRPr="002316F8">
        <w:t>12. Provide estimates of the hour burden of the collection of information. The statement should:</w:t>
      </w:r>
    </w:p>
    <w:p w14:paraId="12864E6D" w14:textId="77777777" w:rsidR="00EB5E96" w:rsidRPr="002316F8" w:rsidRDefault="00EB5E96" w:rsidP="000C4293">
      <w:pPr>
        <w:tabs>
          <w:tab w:val="left" w:pos="-720"/>
        </w:tabs>
        <w:suppressAutoHyphens/>
        <w:jc w:val="both"/>
      </w:pPr>
      <w:r w:rsidRPr="002316F8">
        <w:fldChar w:fldCharType="begin"/>
      </w:r>
      <w:r w:rsidRPr="002316F8">
        <w:instrText>ADVANCE \R 0.95</w:instrText>
      </w:r>
      <w:r w:rsidRPr="002316F8">
        <w:fldChar w:fldCharType="end"/>
      </w:r>
    </w:p>
    <w:p w14:paraId="457B74F4" w14:textId="77777777" w:rsidR="00EB5E96" w:rsidRPr="002316F8" w:rsidRDefault="00EB5E96" w:rsidP="000C4293">
      <w:pPr>
        <w:shd w:val="pct25" w:color="auto" w:fill="auto"/>
        <w:tabs>
          <w:tab w:val="left" w:pos="-720"/>
        </w:tabs>
        <w:suppressAutoHyphens/>
        <w:jc w:val="both"/>
      </w:pPr>
      <w:r w:rsidRPr="002316F8">
        <w:fldChar w:fldCharType="begin"/>
      </w:r>
      <w:r w:rsidRPr="002316F8">
        <w:instrText>ADVANCE \R 0.95</w:instrText>
      </w:r>
      <w:r w:rsidRPr="002316F8">
        <w:fldChar w:fldCharType="end"/>
      </w:r>
      <w:r w:rsidRPr="002316F8">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C4287D0" w14:textId="77777777" w:rsidR="00EB5E96" w:rsidRPr="002316F8" w:rsidRDefault="00EB5E96" w:rsidP="000C4293">
      <w:pPr>
        <w:pStyle w:val="BodyText3"/>
        <w:jc w:val="both"/>
        <w:rPr>
          <w:sz w:val="24"/>
          <w:szCs w:val="24"/>
        </w:rPr>
      </w:pPr>
      <w:r w:rsidRPr="002316F8">
        <w:rPr>
          <w:sz w:val="24"/>
          <w:szCs w:val="24"/>
        </w:rPr>
        <w:fldChar w:fldCharType="begin"/>
      </w:r>
      <w:r w:rsidRPr="002316F8">
        <w:rPr>
          <w:sz w:val="24"/>
          <w:szCs w:val="24"/>
        </w:rPr>
        <w:instrText>ADVANCE \R 0.95</w:instrText>
      </w:r>
      <w:r w:rsidRPr="002316F8">
        <w:rPr>
          <w:sz w:val="24"/>
          <w:szCs w:val="24"/>
        </w:rPr>
        <w:fldChar w:fldCharType="end"/>
      </w:r>
      <w:r w:rsidRPr="002316F8">
        <w:rPr>
          <w:sz w:val="24"/>
          <w:szCs w:val="24"/>
        </w:rPr>
        <w:t>b. If this request for approval covers more than one form, provide separate hour burden estimates for each form and aggregate the hour burdens in Item 13 of OMB Form 83-I.</w:t>
      </w:r>
    </w:p>
    <w:p w14:paraId="0F6101DE" w14:textId="77777777" w:rsidR="00EB5E96" w:rsidRPr="002316F8" w:rsidRDefault="00EB5E96" w:rsidP="000C4293">
      <w:pPr>
        <w:shd w:val="pct25" w:color="auto" w:fill="auto"/>
        <w:tabs>
          <w:tab w:val="left" w:pos="-720"/>
        </w:tabs>
        <w:suppressAutoHyphens/>
        <w:jc w:val="both"/>
      </w:pPr>
      <w:r w:rsidRPr="002316F8">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17916A2F" w14:textId="77777777" w:rsidR="003B68FA" w:rsidRDefault="003B68FA" w:rsidP="003B68FA">
      <w:pPr>
        <w:tabs>
          <w:tab w:val="left" w:pos="-720"/>
        </w:tabs>
        <w:suppressAutoHyphens/>
        <w:jc w:val="both"/>
      </w:pPr>
    </w:p>
    <w:p w14:paraId="1EA8EE34" w14:textId="518C92AD" w:rsidR="00370184" w:rsidRDefault="000E2B46" w:rsidP="00F15970">
      <w:r>
        <w:t xml:space="preserve">The Department assumes that the majority of individuals </w:t>
      </w:r>
      <w:r w:rsidR="00C71E27">
        <w:t xml:space="preserve">who will </w:t>
      </w:r>
      <w:r>
        <w:t>complete this instrument are SSOs, although a smaller number of other individuals may also complete this instrument (e.g., Federal</w:t>
      </w:r>
      <w:r w:rsidR="00FA7BB7">
        <w:t>, State, and local government</w:t>
      </w:r>
      <w:r>
        <w:t xml:space="preserve"> employees</w:t>
      </w:r>
      <w:r w:rsidR="00FA7BB7">
        <w:t xml:space="preserve"> and contractors</w:t>
      </w:r>
      <w:r>
        <w:t>).  For the purpose of this notice, the Department maintains this assumption.</w:t>
      </w:r>
      <w:r w:rsidRPr="0028502A">
        <w:t xml:space="preserve"> </w:t>
      </w:r>
      <w:r>
        <w:t xml:space="preserve"> Therefore, to estimate the total annual burden, the Department multiplied the annual burden of 10,000 hours by the average hourly wage rate of SSOs of $</w:t>
      </w:r>
      <w:r w:rsidR="00DE4837">
        <w:t>78.93</w:t>
      </w:r>
      <w:r>
        <w:t xml:space="preserve"> per hour.   </w:t>
      </w:r>
      <w:r w:rsidR="006F2233">
        <w:t xml:space="preserve">The </w:t>
      </w:r>
      <w:r w:rsidR="00332DB1">
        <w:t>SSOs’</w:t>
      </w:r>
      <w:r w:rsidR="006F2233">
        <w:t xml:space="preserve"> average hourly wage rate of $</w:t>
      </w:r>
      <w:r w:rsidR="00DE4837">
        <w:t xml:space="preserve">78.93 </w:t>
      </w:r>
      <w:r w:rsidR="006F2233">
        <w:t>was based on an average hourly wage rate of $</w:t>
      </w:r>
      <w:r w:rsidR="00DE4837">
        <w:t xml:space="preserve">53.92 </w:t>
      </w:r>
      <w:r w:rsidR="00DE4837">
        <w:rPr>
          <w:rStyle w:val="FootnoteReference"/>
        </w:rPr>
        <w:footnoteReference w:id="5"/>
      </w:r>
      <w:r w:rsidR="00DE4837">
        <w:t xml:space="preserve"> </w:t>
      </w:r>
      <w:r w:rsidR="006F2233">
        <w:t>with a benefits multiplier of 1.4</w:t>
      </w:r>
      <w:r w:rsidR="00DE4837">
        <w:t>639</w:t>
      </w:r>
      <w:r w:rsidR="00DE4837">
        <w:rPr>
          <w:rStyle w:val="FootnoteReference"/>
        </w:rPr>
        <w:footnoteReference w:id="6"/>
      </w:r>
      <w:r w:rsidR="006F2233">
        <w:t xml:space="preserve">. </w:t>
      </w:r>
    </w:p>
    <w:p w14:paraId="51C71483" w14:textId="77777777" w:rsidR="00633A2A" w:rsidRDefault="00633A2A" w:rsidP="006F2233"/>
    <w:p w14:paraId="5D6AB457" w14:textId="77777777" w:rsidR="006F2233" w:rsidRPr="002316F8" w:rsidRDefault="006F2233" w:rsidP="003B68FA">
      <w:pPr>
        <w:tabs>
          <w:tab w:val="left" w:pos="-720"/>
        </w:tabs>
        <w:suppressAutoHyphens/>
        <w:jc w:val="both"/>
      </w:pPr>
      <w:r>
        <w:t>The i</w:t>
      </w:r>
      <w:r w:rsidRPr="00C86A0B">
        <w:t>ndividual</w:t>
      </w:r>
      <w:r>
        <w:t xml:space="preserve"> burden estimate is summarized in the table below:</w:t>
      </w:r>
    </w:p>
    <w:p w14:paraId="619543C5" w14:textId="77777777" w:rsidR="00331A0E" w:rsidRPr="002316F8" w:rsidRDefault="00331A0E" w:rsidP="000A4447"/>
    <w:p w14:paraId="3655D86C" w14:textId="77777777" w:rsidR="00AC50A2" w:rsidRPr="002316F8" w:rsidRDefault="00E57C22" w:rsidP="00E57C22">
      <w:pPr>
        <w:rPr>
          <w:b/>
        </w:rPr>
      </w:pPr>
      <w:r w:rsidRPr="002316F8">
        <w:rPr>
          <w:b/>
        </w:rPr>
        <w:t>Table 2: Instrument Burden Estimate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538"/>
        <w:gridCol w:w="1510"/>
        <w:gridCol w:w="1477"/>
        <w:gridCol w:w="1460"/>
        <w:gridCol w:w="1815"/>
      </w:tblGrid>
      <w:tr w:rsidR="00CE67E1" w:rsidRPr="002316F8" w14:paraId="30F0D132" w14:textId="77777777" w:rsidTr="00C13839">
        <w:tc>
          <w:tcPr>
            <w:tcW w:w="1550" w:type="dxa"/>
            <w:vAlign w:val="center"/>
          </w:tcPr>
          <w:p w14:paraId="165C8ABE" w14:textId="77777777" w:rsidR="00CE67E1" w:rsidRPr="00C642E2" w:rsidRDefault="00CE67E1" w:rsidP="00E304FF">
            <w:pPr>
              <w:tabs>
                <w:tab w:val="center" w:pos="4320"/>
                <w:tab w:val="right" w:pos="8640"/>
              </w:tabs>
              <w:jc w:val="center"/>
            </w:pPr>
            <w:r w:rsidRPr="00C642E2">
              <w:rPr>
                <w:rFonts w:eastAsia="Calibri" w:cs="Arial"/>
                <w:b/>
                <w:bCs/>
              </w:rPr>
              <w:t>Instrument</w:t>
            </w:r>
          </w:p>
        </w:tc>
        <w:tc>
          <w:tcPr>
            <w:tcW w:w="1538" w:type="dxa"/>
            <w:vAlign w:val="center"/>
          </w:tcPr>
          <w:p w14:paraId="774356E3" w14:textId="77777777" w:rsidR="00CE67E1" w:rsidRPr="00C642E2" w:rsidRDefault="00CE67E1" w:rsidP="00E304FF">
            <w:pPr>
              <w:tabs>
                <w:tab w:val="center" w:pos="4320"/>
                <w:tab w:val="right" w:pos="8640"/>
              </w:tabs>
              <w:jc w:val="center"/>
            </w:pPr>
            <w:r w:rsidRPr="00C642E2">
              <w:rPr>
                <w:rFonts w:eastAsia="Calibri" w:cs="Arial"/>
                <w:b/>
                <w:bCs/>
              </w:rPr>
              <w:t># of Respondents</w:t>
            </w:r>
          </w:p>
        </w:tc>
        <w:tc>
          <w:tcPr>
            <w:tcW w:w="1510" w:type="dxa"/>
            <w:vAlign w:val="center"/>
          </w:tcPr>
          <w:p w14:paraId="6D6947AF" w14:textId="77777777" w:rsidR="00CE67E1" w:rsidRPr="00C642E2" w:rsidRDefault="00CE67E1" w:rsidP="00332DB1">
            <w:pPr>
              <w:tabs>
                <w:tab w:val="center" w:pos="4320"/>
                <w:tab w:val="right" w:pos="8640"/>
              </w:tabs>
              <w:jc w:val="center"/>
            </w:pPr>
            <w:r w:rsidRPr="00C642E2">
              <w:rPr>
                <w:rFonts w:eastAsia="Calibri" w:cs="Arial"/>
                <w:b/>
                <w:bCs/>
              </w:rPr>
              <w:t xml:space="preserve">Responses per </w:t>
            </w:r>
            <w:r w:rsidR="00332DB1">
              <w:rPr>
                <w:rFonts w:eastAsia="Calibri" w:cs="Arial"/>
                <w:b/>
                <w:bCs/>
              </w:rPr>
              <w:t>R</w:t>
            </w:r>
            <w:r w:rsidRPr="00C642E2">
              <w:rPr>
                <w:rFonts w:eastAsia="Calibri" w:cs="Arial"/>
                <w:b/>
                <w:bCs/>
              </w:rPr>
              <w:t>espondent</w:t>
            </w:r>
          </w:p>
        </w:tc>
        <w:tc>
          <w:tcPr>
            <w:tcW w:w="1477" w:type="dxa"/>
            <w:vAlign w:val="center"/>
          </w:tcPr>
          <w:p w14:paraId="7AF00346" w14:textId="77777777" w:rsidR="00CE67E1" w:rsidRPr="00C642E2" w:rsidRDefault="00CE67E1" w:rsidP="00E304FF">
            <w:pPr>
              <w:tabs>
                <w:tab w:val="center" w:pos="4320"/>
                <w:tab w:val="right" w:pos="8640"/>
              </w:tabs>
              <w:jc w:val="center"/>
              <w:rPr>
                <w:rFonts w:cs="Arial"/>
                <w:b/>
                <w:bCs/>
              </w:rPr>
            </w:pPr>
            <w:r w:rsidRPr="00C642E2">
              <w:rPr>
                <w:rFonts w:cs="Arial"/>
                <w:b/>
                <w:bCs/>
              </w:rPr>
              <w:t xml:space="preserve">Average Burden per Response </w:t>
            </w:r>
            <w:r w:rsidRPr="00C642E2">
              <w:rPr>
                <w:rFonts w:eastAsia="Calibri" w:cs="Arial"/>
                <w:b/>
                <w:bCs/>
              </w:rPr>
              <w:t>(in hours)</w:t>
            </w:r>
          </w:p>
        </w:tc>
        <w:tc>
          <w:tcPr>
            <w:tcW w:w="1460" w:type="dxa"/>
            <w:vAlign w:val="center"/>
          </w:tcPr>
          <w:p w14:paraId="64BA9AA0" w14:textId="77777777" w:rsidR="00CE67E1" w:rsidRPr="00C642E2" w:rsidRDefault="00CE67E1" w:rsidP="00E304FF">
            <w:pPr>
              <w:tabs>
                <w:tab w:val="center" w:pos="4320"/>
                <w:tab w:val="right" w:pos="8640"/>
              </w:tabs>
              <w:jc w:val="center"/>
            </w:pPr>
            <w:r w:rsidRPr="00C642E2">
              <w:rPr>
                <w:rFonts w:eastAsia="Calibri" w:cs="Arial"/>
                <w:b/>
                <w:bCs/>
              </w:rPr>
              <w:t>Total Annual Burden (in hours)</w:t>
            </w:r>
          </w:p>
        </w:tc>
        <w:tc>
          <w:tcPr>
            <w:tcW w:w="1815" w:type="dxa"/>
            <w:vAlign w:val="center"/>
          </w:tcPr>
          <w:p w14:paraId="65CAD240" w14:textId="77777777" w:rsidR="00CE67E1" w:rsidRPr="00C642E2" w:rsidRDefault="00CE67E1" w:rsidP="00E304FF">
            <w:pPr>
              <w:tabs>
                <w:tab w:val="center" w:pos="4320"/>
                <w:tab w:val="right" w:pos="8640"/>
              </w:tabs>
              <w:jc w:val="center"/>
              <w:rPr>
                <w:b/>
              </w:rPr>
            </w:pPr>
            <w:r w:rsidRPr="00C642E2">
              <w:rPr>
                <w:b/>
              </w:rPr>
              <w:t>Total Annual Burden (in dollars)</w:t>
            </w:r>
          </w:p>
        </w:tc>
      </w:tr>
      <w:tr w:rsidR="00163546" w:rsidRPr="002316F8" w14:paraId="3D88B764" w14:textId="77777777" w:rsidTr="00C13839">
        <w:tc>
          <w:tcPr>
            <w:tcW w:w="1550" w:type="dxa"/>
            <w:vAlign w:val="center"/>
          </w:tcPr>
          <w:p w14:paraId="21962CE1" w14:textId="77777777" w:rsidR="00163546" w:rsidRPr="00C642E2" w:rsidRDefault="00163546" w:rsidP="00163546">
            <w:pPr>
              <w:tabs>
                <w:tab w:val="center" w:pos="4320"/>
                <w:tab w:val="right" w:pos="8640"/>
              </w:tabs>
              <w:jc w:val="center"/>
              <w:rPr>
                <w:rFonts w:eastAsia="Calibri" w:cs="Arial"/>
                <w:b/>
                <w:bCs/>
              </w:rPr>
            </w:pPr>
          </w:p>
        </w:tc>
        <w:tc>
          <w:tcPr>
            <w:tcW w:w="1538" w:type="dxa"/>
          </w:tcPr>
          <w:p w14:paraId="194472AE" w14:textId="77777777" w:rsidR="00163546" w:rsidRPr="00C642E2" w:rsidRDefault="00163546" w:rsidP="00163546">
            <w:pPr>
              <w:tabs>
                <w:tab w:val="center" w:pos="4320"/>
                <w:tab w:val="right" w:pos="8640"/>
              </w:tabs>
              <w:jc w:val="center"/>
              <w:rPr>
                <w:rFonts w:eastAsia="Calibri" w:cs="Arial"/>
                <w:b/>
                <w:bCs/>
              </w:rPr>
            </w:pPr>
            <w:r w:rsidRPr="00163546">
              <w:t>(a)</w:t>
            </w:r>
          </w:p>
        </w:tc>
        <w:tc>
          <w:tcPr>
            <w:tcW w:w="1510" w:type="dxa"/>
          </w:tcPr>
          <w:p w14:paraId="71F046DD" w14:textId="77777777" w:rsidR="00163546" w:rsidRPr="00C642E2" w:rsidRDefault="00163546" w:rsidP="00163546">
            <w:pPr>
              <w:tabs>
                <w:tab w:val="center" w:pos="4320"/>
                <w:tab w:val="right" w:pos="8640"/>
              </w:tabs>
              <w:jc w:val="center"/>
              <w:rPr>
                <w:rFonts w:eastAsia="Calibri" w:cs="Arial"/>
                <w:b/>
                <w:bCs/>
              </w:rPr>
            </w:pPr>
            <w:r w:rsidRPr="00163546">
              <w:t>(b)</w:t>
            </w:r>
          </w:p>
        </w:tc>
        <w:tc>
          <w:tcPr>
            <w:tcW w:w="1477" w:type="dxa"/>
          </w:tcPr>
          <w:p w14:paraId="29DB7B55" w14:textId="77777777" w:rsidR="00163546" w:rsidRPr="00C642E2" w:rsidRDefault="00AE5F5F" w:rsidP="00163546">
            <w:pPr>
              <w:tabs>
                <w:tab w:val="center" w:pos="4320"/>
                <w:tab w:val="right" w:pos="8640"/>
              </w:tabs>
              <w:jc w:val="center"/>
              <w:rPr>
                <w:rFonts w:cs="Arial"/>
                <w:b/>
                <w:bCs/>
              </w:rPr>
            </w:pPr>
            <w:r>
              <w:t>(</w:t>
            </w:r>
            <w:r w:rsidR="00163546" w:rsidRPr="00163546">
              <w:t>c)</w:t>
            </w:r>
          </w:p>
        </w:tc>
        <w:tc>
          <w:tcPr>
            <w:tcW w:w="1460" w:type="dxa"/>
          </w:tcPr>
          <w:p w14:paraId="641726D8" w14:textId="77777777" w:rsidR="00163546" w:rsidRPr="00C642E2" w:rsidRDefault="00163546" w:rsidP="00163546">
            <w:pPr>
              <w:tabs>
                <w:tab w:val="center" w:pos="4320"/>
                <w:tab w:val="right" w:pos="8640"/>
              </w:tabs>
              <w:jc w:val="center"/>
              <w:rPr>
                <w:rFonts w:eastAsia="Calibri" w:cs="Arial"/>
                <w:b/>
                <w:bCs/>
              </w:rPr>
            </w:pPr>
            <w:r w:rsidRPr="00163546">
              <w:t>(d) = (a) x (b) x (c)</w:t>
            </w:r>
          </w:p>
        </w:tc>
        <w:tc>
          <w:tcPr>
            <w:tcW w:w="1815" w:type="dxa"/>
          </w:tcPr>
          <w:p w14:paraId="673A2ACC" w14:textId="18E3DBA1" w:rsidR="00163546" w:rsidRPr="00C642E2" w:rsidRDefault="00163546" w:rsidP="00137A3D">
            <w:pPr>
              <w:tabs>
                <w:tab w:val="center" w:pos="4320"/>
                <w:tab w:val="right" w:pos="8640"/>
              </w:tabs>
              <w:jc w:val="center"/>
              <w:rPr>
                <w:b/>
              </w:rPr>
            </w:pPr>
            <w:r w:rsidRPr="00163546">
              <w:t>(e) = (</w:t>
            </w:r>
            <w:r w:rsidR="002861DC">
              <w:t>d</w:t>
            </w:r>
            <w:r w:rsidRPr="00163546">
              <w:t>) x $</w:t>
            </w:r>
            <w:r w:rsidR="00137A3D">
              <w:t>78.93</w:t>
            </w:r>
          </w:p>
        </w:tc>
      </w:tr>
      <w:tr w:rsidR="00CE67E1" w:rsidRPr="002316F8" w14:paraId="6A0B8BA6" w14:textId="77777777" w:rsidTr="00C13839">
        <w:tc>
          <w:tcPr>
            <w:tcW w:w="1550" w:type="dxa"/>
            <w:vAlign w:val="center"/>
          </w:tcPr>
          <w:p w14:paraId="40F044A8" w14:textId="77777777" w:rsidR="00CE67E1" w:rsidRPr="002861DC" w:rsidRDefault="00CE67E1" w:rsidP="00E304FF">
            <w:pPr>
              <w:tabs>
                <w:tab w:val="center" w:pos="4320"/>
                <w:tab w:val="right" w:pos="8640"/>
              </w:tabs>
              <w:jc w:val="center"/>
            </w:pPr>
            <w:r w:rsidRPr="002861DC">
              <w:rPr>
                <w:rFonts w:eastAsia="Calibri" w:cs="Arial"/>
              </w:rPr>
              <w:t>CVI Authorization</w:t>
            </w:r>
          </w:p>
        </w:tc>
        <w:tc>
          <w:tcPr>
            <w:tcW w:w="1538" w:type="dxa"/>
            <w:vAlign w:val="center"/>
          </w:tcPr>
          <w:p w14:paraId="5C86A5E4" w14:textId="77777777" w:rsidR="00CE67E1" w:rsidRPr="002861DC" w:rsidRDefault="009D203D" w:rsidP="00E304FF">
            <w:pPr>
              <w:tabs>
                <w:tab w:val="center" w:pos="4320"/>
                <w:tab w:val="right" w:pos="8640"/>
              </w:tabs>
              <w:jc w:val="center"/>
            </w:pPr>
            <w:r w:rsidRPr="002861DC">
              <w:rPr>
                <w:rFonts w:eastAsia="Calibri"/>
              </w:rPr>
              <w:t>20</w:t>
            </w:r>
            <w:r w:rsidR="00CE67E1" w:rsidRPr="002861DC">
              <w:rPr>
                <w:rFonts w:eastAsia="Calibri"/>
              </w:rPr>
              <w:t>,000</w:t>
            </w:r>
          </w:p>
        </w:tc>
        <w:tc>
          <w:tcPr>
            <w:tcW w:w="1510" w:type="dxa"/>
            <w:vAlign w:val="center"/>
          </w:tcPr>
          <w:p w14:paraId="3496F2E5" w14:textId="77777777" w:rsidR="00CE67E1" w:rsidRPr="002861DC" w:rsidRDefault="00CE67E1" w:rsidP="00E304FF">
            <w:pPr>
              <w:tabs>
                <w:tab w:val="center" w:pos="4320"/>
                <w:tab w:val="right" w:pos="8640"/>
              </w:tabs>
              <w:jc w:val="center"/>
            </w:pPr>
            <w:r w:rsidRPr="002861DC">
              <w:t>1</w:t>
            </w:r>
          </w:p>
        </w:tc>
        <w:tc>
          <w:tcPr>
            <w:tcW w:w="1477" w:type="dxa"/>
            <w:shd w:val="clear" w:color="auto" w:fill="auto"/>
            <w:vAlign w:val="center"/>
          </w:tcPr>
          <w:p w14:paraId="1DF11795" w14:textId="77777777" w:rsidR="00CE67E1" w:rsidRPr="002861DC" w:rsidRDefault="00332DB1" w:rsidP="00E304FF">
            <w:pPr>
              <w:tabs>
                <w:tab w:val="center" w:pos="4320"/>
                <w:tab w:val="right" w:pos="8640"/>
              </w:tabs>
              <w:jc w:val="center"/>
              <w:rPr>
                <w:rFonts w:cs="Arial"/>
                <w:bCs/>
              </w:rPr>
            </w:pPr>
            <w:r>
              <w:rPr>
                <w:rFonts w:cs="Arial"/>
                <w:bCs/>
              </w:rPr>
              <w:t>0</w:t>
            </w:r>
            <w:r w:rsidR="002861DC">
              <w:rPr>
                <w:rFonts w:cs="Arial"/>
                <w:bCs/>
              </w:rPr>
              <w:t>.50</w:t>
            </w:r>
          </w:p>
        </w:tc>
        <w:tc>
          <w:tcPr>
            <w:tcW w:w="1460" w:type="dxa"/>
            <w:vAlign w:val="center"/>
          </w:tcPr>
          <w:p w14:paraId="4522612E" w14:textId="77777777" w:rsidR="00CE67E1" w:rsidRPr="002861DC" w:rsidRDefault="002861DC" w:rsidP="00E304FF">
            <w:pPr>
              <w:tabs>
                <w:tab w:val="center" w:pos="4320"/>
                <w:tab w:val="right" w:pos="8640"/>
              </w:tabs>
              <w:jc w:val="center"/>
            </w:pPr>
            <w:r>
              <w:rPr>
                <w:rFonts w:eastAsia="Calibri"/>
              </w:rPr>
              <w:t>10</w:t>
            </w:r>
            <w:r w:rsidR="00CE67E1" w:rsidRPr="002861DC">
              <w:rPr>
                <w:rFonts w:eastAsia="Calibri"/>
              </w:rPr>
              <w:t>,000</w:t>
            </w:r>
          </w:p>
        </w:tc>
        <w:tc>
          <w:tcPr>
            <w:tcW w:w="1815" w:type="dxa"/>
            <w:vAlign w:val="center"/>
          </w:tcPr>
          <w:p w14:paraId="52F70870" w14:textId="703F8CB7" w:rsidR="00CE67E1" w:rsidRPr="002861DC" w:rsidRDefault="00137A3D" w:rsidP="002F7E19">
            <w:pPr>
              <w:tabs>
                <w:tab w:val="center" w:pos="4320"/>
                <w:tab w:val="right" w:pos="8640"/>
              </w:tabs>
              <w:jc w:val="center"/>
            </w:pPr>
            <w:r>
              <w:t>789,3</w:t>
            </w:r>
            <w:r w:rsidR="002F7E19">
              <w:t>35</w:t>
            </w:r>
          </w:p>
        </w:tc>
      </w:tr>
      <w:tr w:rsidR="00C13839" w:rsidRPr="002316F8" w14:paraId="65103532" w14:textId="77777777" w:rsidTr="00C13839">
        <w:tc>
          <w:tcPr>
            <w:tcW w:w="1550" w:type="dxa"/>
            <w:vAlign w:val="center"/>
          </w:tcPr>
          <w:p w14:paraId="57F94CC6" w14:textId="77777777" w:rsidR="00C13839" w:rsidRPr="00C13839" w:rsidRDefault="00C13839" w:rsidP="00E304FF">
            <w:pPr>
              <w:tabs>
                <w:tab w:val="center" w:pos="4320"/>
                <w:tab w:val="right" w:pos="8640"/>
              </w:tabs>
              <w:jc w:val="center"/>
              <w:rPr>
                <w:rFonts w:eastAsia="Calibri" w:cs="Arial"/>
                <w:b/>
              </w:rPr>
            </w:pPr>
            <w:r>
              <w:rPr>
                <w:rFonts w:eastAsia="Calibri" w:cs="Arial"/>
                <w:b/>
              </w:rPr>
              <w:t>Total</w:t>
            </w:r>
          </w:p>
        </w:tc>
        <w:tc>
          <w:tcPr>
            <w:tcW w:w="1538" w:type="dxa"/>
            <w:vAlign w:val="center"/>
          </w:tcPr>
          <w:p w14:paraId="1203303C" w14:textId="77777777" w:rsidR="00C13839" w:rsidRPr="00C13839" w:rsidRDefault="00C13839" w:rsidP="00E304FF">
            <w:pPr>
              <w:tabs>
                <w:tab w:val="center" w:pos="4320"/>
                <w:tab w:val="right" w:pos="8640"/>
              </w:tabs>
              <w:jc w:val="center"/>
              <w:rPr>
                <w:rFonts w:eastAsia="Calibri"/>
                <w:b/>
              </w:rPr>
            </w:pPr>
            <w:r w:rsidRPr="00C13839">
              <w:rPr>
                <w:rFonts w:eastAsia="Calibri"/>
                <w:b/>
              </w:rPr>
              <w:t>20,000</w:t>
            </w:r>
          </w:p>
        </w:tc>
        <w:tc>
          <w:tcPr>
            <w:tcW w:w="1510" w:type="dxa"/>
            <w:vAlign w:val="center"/>
          </w:tcPr>
          <w:p w14:paraId="1F5E1B48" w14:textId="77777777" w:rsidR="00C13839" w:rsidRPr="00C13839" w:rsidRDefault="00C13839" w:rsidP="00E304FF">
            <w:pPr>
              <w:tabs>
                <w:tab w:val="center" w:pos="4320"/>
                <w:tab w:val="right" w:pos="8640"/>
              </w:tabs>
              <w:jc w:val="center"/>
              <w:rPr>
                <w:b/>
              </w:rPr>
            </w:pPr>
          </w:p>
        </w:tc>
        <w:tc>
          <w:tcPr>
            <w:tcW w:w="1477" w:type="dxa"/>
            <w:shd w:val="clear" w:color="auto" w:fill="auto"/>
            <w:vAlign w:val="center"/>
          </w:tcPr>
          <w:p w14:paraId="78495672" w14:textId="77777777" w:rsidR="00C13839" w:rsidRPr="00C13839" w:rsidRDefault="00C13839" w:rsidP="00E304FF">
            <w:pPr>
              <w:tabs>
                <w:tab w:val="center" w:pos="4320"/>
                <w:tab w:val="right" w:pos="8640"/>
              </w:tabs>
              <w:jc w:val="center"/>
              <w:rPr>
                <w:rFonts w:cs="Arial"/>
                <w:b/>
                <w:bCs/>
              </w:rPr>
            </w:pPr>
          </w:p>
        </w:tc>
        <w:tc>
          <w:tcPr>
            <w:tcW w:w="1460" w:type="dxa"/>
            <w:vAlign w:val="center"/>
          </w:tcPr>
          <w:p w14:paraId="30864395" w14:textId="77777777" w:rsidR="00C13839" w:rsidRPr="00C13839" w:rsidRDefault="00C13839" w:rsidP="00E304FF">
            <w:pPr>
              <w:tabs>
                <w:tab w:val="center" w:pos="4320"/>
                <w:tab w:val="right" w:pos="8640"/>
              </w:tabs>
              <w:jc w:val="center"/>
              <w:rPr>
                <w:rFonts w:eastAsia="Calibri"/>
                <w:b/>
              </w:rPr>
            </w:pPr>
            <w:r w:rsidRPr="00C13839">
              <w:rPr>
                <w:rFonts w:eastAsia="Calibri"/>
                <w:b/>
              </w:rPr>
              <w:t>10,000</w:t>
            </w:r>
          </w:p>
        </w:tc>
        <w:tc>
          <w:tcPr>
            <w:tcW w:w="1815" w:type="dxa"/>
            <w:vAlign w:val="center"/>
          </w:tcPr>
          <w:p w14:paraId="29DB81D3" w14:textId="75BDFA52" w:rsidR="00C13839" w:rsidRPr="00C13839" w:rsidRDefault="00137A3D" w:rsidP="002F7E19">
            <w:pPr>
              <w:tabs>
                <w:tab w:val="center" w:pos="4320"/>
                <w:tab w:val="right" w:pos="8640"/>
              </w:tabs>
              <w:jc w:val="center"/>
              <w:rPr>
                <w:b/>
              </w:rPr>
            </w:pPr>
            <w:r>
              <w:rPr>
                <w:b/>
              </w:rPr>
              <w:t>789,3</w:t>
            </w:r>
            <w:r w:rsidR="002F7E19">
              <w:rPr>
                <w:b/>
              </w:rPr>
              <w:t>35</w:t>
            </w:r>
          </w:p>
        </w:tc>
      </w:tr>
    </w:tbl>
    <w:p w14:paraId="39D5AC2F" w14:textId="77777777" w:rsidR="006F3D6F" w:rsidRPr="002316F8" w:rsidRDefault="006F3D6F" w:rsidP="006F3D6F">
      <w:pPr>
        <w:tabs>
          <w:tab w:val="left" w:pos="-720"/>
        </w:tabs>
        <w:suppressAutoHyphens/>
        <w:jc w:val="both"/>
      </w:pPr>
    </w:p>
    <w:p w14:paraId="553B6BED" w14:textId="6C24E5EA" w:rsidR="003B68FA" w:rsidRPr="002316F8" w:rsidRDefault="00867268" w:rsidP="006F3D6F">
      <w:pPr>
        <w:tabs>
          <w:tab w:val="left" w:pos="-720"/>
        </w:tabs>
        <w:suppressAutoHyphens/>
        <w:jc w:val="both"/>
      </w:pPr>
      <w:r w:rsidRPr="00867268">
        <w:t xml:space="preserve">Accordingly, </w:t>
      </w:r>
      <w:r>
        <w:t>t</w:t>
      </w:r>
      <w:r w:rsidR="006F3D6F" w:rsidRPr="002316F8">
        <w:t>he annual total estimate for reporting, recordkeeping</w:t>
      </w:r>
      <w:r w:rsidR="00332DB1">
        <w:t>,</w:t>
      </w:r>
      <w:r w:rsidR="006F3D6F" w:rsidRPr="002316F8">
        <w:t xml:space="preserve"> and cost burden, under this collection, is $</w:t>
      </w:r>
      <w:r w:rsidR="00137A3D">
        <w:t>789,3</w:t>
      </w:r>
      <w:r w:rsidR="002F7E19">
        <w:t>35</w:t>
      </w:r>
      <w:r w:rsidR="006F3D6F" w:rsidRPr="002316F8">
        <w:t>.</w:t>
      </w:r>
    </w:p>
    <w:p w14:paraId="63A84FAB" w14:textId="77777777" w:rsidR="00355024" w:rsidRPr="002316F8" w:rsidRDefault="00355024" w:rsidP="000C4293">
      <w:pPr>
        <w:tabs>
          <w:tab w:val="left" w:pos="-720"/>
        </w:tabs>
        <w:suppressAutoHyphens/>
        <w:jc w:val="both"/>
      </w:pPr>
    </w:p>
    <w:p w14:paraId="4B053487" w14:textId="77777777" w:rsidR="00EB5E96" w:rsidRPr="002316F8" w:rsidRDefault="00EB5E96" w:rsidP="000C4293">
      <w:pPr>
        <w:shd w:val="pct25" w:color="auto" w:fill="auto"/>
        <w:tabs>
          <w:tab w:val="left" w:pos="-720"/>
        </w:tabs>
        <w:suppressAutoHyphens/>
        <w:jc w:val="both"/>
      </w:pPr>
      <w:r w:rsidRPr="002316F8">
        <w:fldChar w:fldCharType="begin"/>
      </w:r>
      <w:r w:rsidRPr="002316F8">
        <w:instrText>ADVANCE \R 0.95</w:instrText>
      </w:r>
      <w:r w:rsidRPr="002316F8">
        <w:fldChar w:fldCharType="end"/>
      </w:r>
      <w:r w:rsidRPr="002316F8">
        <w:t>13. Provide an estimate of the total annual cost burden to respondents or record</w:t>
      </w:r>
      <w:r w:rsidR="00D93841" w:rsidRPr="002316F8">
        <w:t xml:space="preserve"> </w:t>
      </w:r>
      <w:r w:rsidRPr="002316F8">
        <w:t>keepers resulting from the collection of information. (Do not include the cost of any hour burden shown in Items 12 and 14.)</w:t>
      </w:r>
    </w:p>
    <w:p w14:paraId="21BCFDFB" w14:textId="77777777" w:rsidR="00EB5E96" w:rsidRPr="002316F8" w:rsidRDefault="00EB5E96" w:rsidP="000C4293">
      <w:pPr>
        <w:shd w:val="pct25" w:color="auto" w:fill="auto"/>
        <w:tabs>
          <w:tab w:val="left" w:pos="-720"/>
        </w:tabs>
        <w:suppressAutoHyphens/>
        <w:jc w:val="both"/>
      </w:pPr>
    </w:p>
    <w:p w14:paraId="6A683EFA" w14:textId="77777777" w:rsidR="00EB5E96" w:rsidRPr="002316F8" w:rsidRDefault="00EB5E96" w:rsidP="000C4293">
      <w:pPr>
        <w:pStyle w:val="BodyText3"/>
        <w:tabs>
          <w:tab w:val="clear" w:pos="720"/>
          <w:tab w:val="left" w:pos="810"/>
        </w:tabs>
        <w:jc w:val="both"/>
        <w:rPr>
          <w:sz w:val="24"/>
          <w:szCs w:val="24"/>
        </w:rPr>
      </w:pPr>
      <w:r w:rsidRPr="002316F8">
        <w:rPr>
          <w:sz w:val="24"/>
          <w:szCs w:val="24"/>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C44F0E3" w14:textId="77777777" w:rsidR="00EB5E96" w:rsidRPr="002316F8" w:rsidRDefault="00EB5E96" w:rsidP="000C4293">
      <w:pPr>
        <w:shd w:val="pct25" w:color="auto" w:fill="FFFFFF"/>
        <w:tabs>
          <w:tab w:val="left" w:pos="-720"/>
        </w:tabs>
        <w:suppressAutoHyphens/>
        <w:jc w:val="both"/>
      </w:pPr>
      <w:r w:rsidRPr="002316F8">
        <w:fldChar w:fldCharType="begin"/>
      </w:r>
      <w:r w:rsidRPr="002316F8">
        <w:instrText>ADVANCE \R 0.95</w:instrText>
      </w:r>
      <w:r w:rsidRPr="002316F8">
        <w:fldChar w:fldCharType="end"/>
      </w:r>
    </w:p>
    <w:p w14:paraId="3BD9F5CE" w14:textId="77777777" w:rsidR="00EB5E96" w:rsidRPr="002316F8" w:rsidRDefault="00EB5E96" w:rsidP="000C4293">
      <w:pPr>
        <w:shd w:val="pct25" w:color="auto" w:fill="FFFFFF"/>
        <w:tabs>
          <w:tab w:val="left" w:pos="-720"/>
        </w:tabs>
        <w:suppressAutoHyphens/>
        <w:jc w:val="both"/>
      </w:pPr>
      <w:r w:rsidRPr="002316F8">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3B7A24C" w14:textId="77777777" w:rsidR="00EB5E96" w:rsidRPr="002316F8" w:rsidRDefault="00EB5E96" w:rsidP="000C4293">
      <w:pPr>
        <w:shd w:val="pct25" w:color="auto" w:fill="FFFFFF"/>
        <w:tabs>
          <w:tab w:val="left" w:pos="-720"/>
        </w:tabs>
        <w:suppressAutoHyphens/>
        <w:jc w:val="both"/>
      </w:pPr>
    </w:p>
    <w:p w14:paraId="26DA1BDF" w14:textId="77777777" w:rsidR="00EB5E96" w:rsidRPr="002316F8" w:rsidRDefault="00EB5E96" w:rsidP="000C4293">
      <w:pPr>
        <w:shd w:val="pct25" w:color="auto" w:fill="FFFFFF"/>
        <w:tabs>
          <w:tab w:val="left" w:pos="-720"/>
        </w:tabs>
        <w:suppressAutoHyphens/>
        <w:jc w:val="both"/>
      </w:pPr>
      <w:r w:rsidRPr="002316F8">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14:paraId="186C00D2" w14:textId="77777777" w:rsidR="00EB5E96" w:rsidRPr="002316F8" w:rsidRDefault="00EB5E96" w:rsidP="000C4293">
      <w:pPr>
        <w:shd w:val="clear" w:color="auto" w:fill="FFFFFF"/>
        <w:tabs>
          <w:tab w:val="left" w:pos="-720"/>
        </w:tabs>
        <w:suppressAutoHyphens/>
        <w:jc w:val="both"/>
      </w:pPr>
    </w:p>
    <w:p w14:paraId="026844B8" w14:textId="77777777" w:rsidR="005A6729" w:rsidRPr="002316F8" w:rsidRDefault="008E1D41" w:rsidP="00AC50A2">
      <w:r>
        <w:t xml:space="preserve">The Department provides access to CSAT free of charge and assumes that each respondent already has computer hardware and access to the internet for basic business needs. </w:t>
      </w:r>
      <w:r w:rsidR="00332DB1">
        <w:t>N</w:t>
      </w:r>
      <w:r w:rsidRPr="003D6447">
        <w:t xml:space="preserve">o other annualized capital or start-up costs </w:t>
      </w:r>
      <w:r w:rsidR="00332DB1">
        <w:t xml:space="preserve">are </w:t>
      </w:r>
      <w:r w:rsidRPr="003D6447">
        <w:t>incurred by chemical facilities of interest or high-risk chemical facilities for this information collection.</w:t>
      </w:r>
    </w:p>
    <w:p w14:paraId="752104CE" w14:textId="77777777" w:rsidR="00333D1E" w:rsidRPr="002316F8" w:rsidRDefault="00333D1E" w:rsidP="000C4293">
      <w:pPr>
        <w:shd w:val="clear" w:color="auto" w:fill="FFFFFF"/>
        <w:tabs>
          <w:tab w:val="left" w:pos="-720"/>
        </w:tabs>
        <w:suppressAutoHyphens/>
        <w:jc w:val="both"/>
      </w:pPr>
    </w:p>
    <w:p w14:paraId="0EC25B5C" w14:textId="77777777" w:rsidR="00EB5E96" w:rsidRPr="002316F8" w:rsidRDefault="00EB5E96" w:rsidP="000C4293">
      <w:pPr>
        <w:shd w:val="pct25" w:color="auto" w:fill="auto"/>
        <w:tabs>
          <w:tab w:val="left" w:pos="-720"/>
        </w:tabs>
        <w:suppressAutoHyphens/>
        <w:jc w:val="both"/>
      </w:pPr>
      <w:r w:rsidRPr="002316F8">
        <w:t xml:space="preserve">14. Provide estimates of annualized cost to the Federal Government. </w:t>
      </w:r>
      <w:r w:rsidR="008924F0" w:rsidRPr="002316F8">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2316F8">
        <w:t>You may also aggregate cost estimates for Items 12, 13, and 14 in a single table.</w:t>
      </w:r>
    </w:p>
    <w:p w14:paraId="5137A107" w14:textId="77777777" w:rsidR="00EB5E96" w:rsidRPr="002316F8" w:rsidRDefault="00EB5E96" w:rsidP="000C4293">
      <w:pPr>
        <w:suppressAutoHyphens/>
        <w:jc w:val="both"/>
      </w:pPr>
      <w:r w:rsidRPr="002316F8">
        <w:fldChar w:fldCharType="begin"/>
      </w:r>
      <w:r w:rsidRPr="002316F8">
        <w:instrText>ADVANCE \R 0.95</w:instrText>
      </w:r>
      <w:r w:rsidRPr="002316F8">
        <w:fldChar w:fldCharType="end"/>
      </w:r>
    </w:p>
    <w:p w14:paraId="5E2963C1" w14:textId="1D119AD9" w:rsidR="007F4684" w:rsidRPr="002316F8" w:rsidRDefault="007F4684" w:rsidP="007F4684">
      <w:r w:rsidRPr="002316F8">
        <w:t xml:space="preserve">Federal </w:t>
      </w:r>
      <w:r w:rsidR="00332DB1">
        <w:t>G</w:t>
      </w:r>
      <w:r w:rsidRPr="002316F8">
        <w:t xml:space="preserve">overnment costs can be divided between the cost associated with collection of information and the cost associated with managing and responding to the submitted data. The cost associated with collecting the information is essentially the cost of operating and maintaining the collection instruments within CSAT. The annual Operating and Maintenance (O&amp;M) costs for the instruments with CSAT are estimated at $0.4M. </w:t>
      </w:r>
      <w:r w:rsidR="000E2B46">
        <w:t>In addition,</w:t>
      </w:r>
      <w:r w:rsidR="000E2B46" w:rsidRPr="00AD4F4D">
        <w:t xml:space="preserve"> the costs </w:t>
      </w:r>
      <w:r w:rsidR="000E2B46">
        <w:t>of</w:t>
      </w:r>
      <w:r w:rsidR="000E2B46" w:rsidRPr="00AD4F4D">
        <w:t xml:space="preserve"> Government FTE have decreased </w:t>
      </w:r>
      <w:r w:rsidR="000E2B46">
        <w:t xml:space="preserve">from two GS-14 FTE Program Managers to ½ GS-14, Step 5 FTE Program Manager </w:t>
      </w:r>
      <w:r w:rsidR="000E2B46" w:rsidRPr="00AD4F4D">
        <w:t>due to a reassessment of manpower requirements in support of the CVI Program.</w:t>
      </w:r>
      <w:r w:rsidR="000E2B46">
        <w:t xml:space="preserve"> </w:t>
      </w:r>
      <w:r w:rsidR="00AD4F4D" w:rsidRPr="00AD4F4D">
        <w:t>. The costs from the Government FTE have decreased due to a reassessment of manpower requirements in support of the CVI Program.</w:t>
      </w:r>
      <w:r w:rsidR="00AD4F4D">
        <w:t xml:space="preserve"> </w:t>
      </w:r>
      <w:r w:rsidRPr="002316F8">
        <w:t>The cost associated with managing and responding to the submitted data is the management equivalent to the cost of employing a ½ FTE at the GS-14</w:t>
      </w:r>
      <w:r w:rsidR="00A252DB">
        <w:t>, Step 5</w:t>
      </w:r>
      <w:r w:rsidRPr="002316F8">
        <w:t xml:space="preserve"> level. </w:t>
      </w:r>
      <w:r w:rsidR="008D0717" w:rsidRPr="002316F8">
        <w:t xml:space="preserve">These FTE costs </w:t>
      </w:r>
      <w:r w:rsidR="003A1309">
        <w:t>are the fully-loaded cost</w:t>
      </w:r>
      <w:r w:rsidR="008D0717" w:rsidRPr="002316F8">
        <w:t xml:space="preserve"> associated with salary costs</w:t>
      </w:r>
      <w:r w:rsidR="00194B6F">
        <w:t xml:space="preserve"> with a 1.</w:t>
      </w:r>
      <w:r w:rsidR="002F7E19">
        <w:t xml:space="preserve">4639 </w:t>
      </w:r>
      <w:r w:rsidR="00194B6F">
        <w:t>benefits multiplier</w:t>
      </w:r>
      <w:r w:rsidR="008D0717" w:rsidRPr="002316F8">
        <w:t>.</w:t>
      </w:r>
      <w:r w:rsidR="00194B6F">
        <w:t xml:space="preserve"> </w:t>
      </w:r>
      <w:r w:rsidR="00194B6F" w:rsidRPr="00194B6F">
        <w:t>The fully-loaded wage rate for a GS-14, Step 5 FTE is $126,958 base salary x 1.4</w:t>
      </w:r>
      <w:r w:rsidR="002F7E19">
        <w:t>6</w:t>
      </w:r>
      <w:r w:rsidR="00194B6F" w:rsidRPr="00194B6F">
        <w:t>3</w:t>
      </w:r>
      <w:r w:rsidR="002F7E19">
        <w:t>9</w:t>
      </w:r>
      <w:r w:rsidR="00194B6F" w:rsidRPr="00194B6F">
        <w:t xml:space="preserve"> benefit multiplier is $</w:t>
      </w:r>
      <w:r w:rsidR="002F7E19">
        <w:rPr>
          <w:rStyle w:val="IntenseQuoteChar"/>
          <w:i w:val="0"/>
          <w:color w:val="auto"/>
        </w:rPr>
        <w:t>185,854</w:t>
      </w:r>
      <w:r w:rsidR="00194B6F">
        <w:rPr>
          <w:rStyle w:val="IntenseQuoteChar"/>
          <w:i w:val="0"/>
          <w:color w:val="auto"/>
        </w:rPr>
        <w:t>.</w:t>
      </w:r>
      <w:r w:rsidR="008D0717" w:rsidRPr="00194B6F">
        <w:t xml:space="preserve"> </w:t>
      </w:r>
    </w:p>
    <w:p w14:paraId="74E4D7A0" w14:textId="77777777" w:rsidR="003E0D6D" w:rsidRPr="002316F8" w:rsidRDefault="003E0D6D" w:rsidP="00C65903"/>
    <w:p w14:paraId="0A310047" w14:textId="77777777" w:rsidR="00E35453" w:rsidRPr="002316F8" w:rsidRDefault="00E35453" w:rsidP="00E35453">
      <w:pPr>
        <w:rPr>
          <w:b/>
        </w:rPr>
      </w:pPr>
      <w:r w:rsidRPr="002316F8">
        <w:rPr>
          <w:b/>
        </w:rPr>
        <w:t>Table 3: Estimates of Annualized Costs for the Collection of Data</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0"/>
        <w:gridCol w:w="5040"/>
        <w:gridCol w:w="1908"/>
      </w:tblGrid>
      <w:tr w:rsidR="00E35453" w:rsidRPr="002316F8" w14:paraId="2687BDFF" w14:textId="77777777" w:rsidTr="00E304FF">
        <w:trPr>
          <w:cantSplit/>
        </w:trPr>
        <w:tc>
          <w:tcPr>
            <w:tcW w:w="1800" w:type="dxa"/>
            <w:vAlign w:val="center"/>
          </w:tcPr>
          <w:p w14:paraId="14E44DAE" w14:textId="77777777" w:rsidR="00E35453" w:rsidRPr="002316F8" w:rsidRDefault="00E35453" w:rsidP="00E304FF">
            <w:pPr>
              <w:rPr>
                <w:b/>
              </w:rPr>
            </w:pPr>
            <w:r w:rsidRPr="002316F8">
              <w:rPr>
                <w:b/>
              </w:rPr>
              <w:t>Expense Type</w:t>
            </w:r>
          </w:p>
        </w:tc>
        <w:tc>
          <w:tcPr>
            <w:tcW w:w="5040" w:type="dxa"/>
            <w:vAlign w:val="center"/>
          </w:tcPr>
          <w:p w14:paraId="1584D44B" w14:textId="77777777" w:rsidR="00E35453" w:rsidRPr="002316F8" w:rsidRDefault="00E35453" w:rsidP="00E304FF">
            <w:pPr>
              <w:rPr>
                <w:b/>
              </w:rPr>
            </w:pPr>
            <w:r w:rsidRPr="002316F8">
              <w:rPr>
                <w:b/>
              </w:rPr>
              <w:t>Expense Explanation</w:t>
            </w:r>
          </w:p>
        </w:tc>
        <w:tc>
          <w:tcPr>
            <w:tcW w:w="1908" w:type="dxa"/>
            <w:vAlign w:val="center"/>
          </w:tcPr>
          <w:p w14:paraId="23D1110C" w14:textId="77777777" w:rsidR="00E35453" w:rsidRPr="002316F8" w:rsidRDefault="00E35453" w:rsidP="00E304FF">
            <w:pPr>
              <w:rPr>
                <w:b/>
              </w:rPr>
            </w:pPr>
            <w:r w:rsidRPr="002316F8">
              <w:rPr>
                <w:b/>
              </w:rPr>
              <w:t>Annual Costs (in dollars)</w:t>
            </w:r>
          </w:p>
        </w:tc>
      </w:tr>
      <w:tr w:rsidR="00E35453" w:rsidRPr="002316F8" w14:paraId="2F432AE9" w14:textId="77777777" w:rsidTr="00E304FF">
        <w:trPr>
          <w:cantSplit/>
        </w:trPr>
        <w:tc>
          <w:tcPr>
            <w:tcW w:w="1800" w:type="dxa"/>
            <w:tcBorders>
              <w:bottom w:val="single" w:sz="4" w:space="0" w:color="auto"/>
            </w:tcBorders>
            <w:vAlign w:val="center"/>
          </w:tcPr>
          <w:p w14:paraId="4090A1CC" w14:textId="77777777" w:rsidR="00E35453" w:rsidRPr="002316F8" w:rsidRDefault="00E35453" w:rsidP="00E304FF">
            <w:r w:rsidRPr="002316F8">
              <w:t>Direct Costs to the Federal Government</w:t>
            </w:r>
          </w:p>
        </w:tc>
        <w:tc>
          <w:tcPr>
            <w:tcW w:w="5040" w:type="dxa"/>
            <w:tcBorders>
              <w:bottom w:val="single" w:sz="4" w:space="0" w:color="auto"/>
            </w:tcBorders>
            <w:vAlign w:val="center"/>
          </w:tcPr>
          <w:p w14:paraId="079BF7DD" w14:textId="476E48CE" w:rsidR="00E35453" w:rsidRPr="002316F8" w:rsidRDefault="00E35453" w:rsidP="002F7E19">
            <w:r w:rsidRPr="002316F8">
              <w:t>1/2 FTE (GS-14</w:t>
            </w:r>
            <w:r w:rsidR="00A252DB">
              <w:t>, Step 5</w:t>
            </w:r>
            <w:r w:rsidRPr="002316F8">
              <w:t>)</w:t>
            </w:r>
            <w:r w:rsidR="00927F62" w:rsidRPr="002316F8">
              <w:t xml:space="preserve"> @ $</w:t>
            </w:r>
            <w:r w:rsidR="002F7E19">
              <w:t>185,854</w:t>
            </w:r>
            <w:r w:rsidR="00927F62" w:rsidRPr="002316F8">
              <w:t>/year</w:t>
            </w:r>
            <w:r w:rsidR="00125081" w:rsidRPr="002316F8">
              <w:t xml:space="preserve"> </w:t>
            </w:r>
            <w:r w:rsidR="002C4DAB" w:rsidRPr="00533B3C">
              <w:t>(</w:t>
            </w:r>
            <w:r w:rsidR="002C4DAB">
              <w:t>Washington-Baltimore-Arlington</w:t>
            </w:r>
            <w:r w:rsidR="002C4DAB" w:rsidRPr="00D82F4D">
              <w:t>, DC-MD-VA-WV-PA</w:t>
            </w:r>
            <w:r w:rsidR="002C4DAB">
              <w:t xml:space="preserve"> </w:t>
            </w:r>
            <w:r w:rsidR="002C4DAB" w:rsidRPr="00D82F4D">
              <w:t>2017</w:t>
            </w:r>
            <w:r w:rsidR="002C4DAB">
              <w:t xml:space="preserve"> </w:t>
            </w:r>
            <w:r w:rsidR="002C4DAB" w:rsidRPr="00533B3C">
              <w:t>Pay Scale)</w:t>
            </w:r>
          </w:p>
        </w:tc>
        <w:tc>
          <w:tcPr>
            <w:tcW w:w="1908" w:type="dxa"/>
            <w:tcBorders>
              <w:bottom w:val="single" w:sz="4" w:space="0" w:color="auto"/>
            </w:tcBorders>
            <w:vAlign w:val="center"/>
          </w:tcPr>
          <w:p w14:paraId="05808A38" w14:textId="6CEBD5BC" w:rsidR="00E35453" w:rsidRPr="002316F8" w:rsidRDefault="00194B6F" w:rsidP="002F7E19">
            <w:pPr>
              <w:jc w:val="right"/>
            </w:pPr>
            <w:r>
              <w:t>$</w:t>
            </w:r>
            <w:r w:rsidR="002F7E19">
              <w:t>92,927</w:t>
            </w:r>
          </w:p>
        </w:tc>
      </w:tr>
      <w:tr w:rsidR="00E35453" w:rsidRPr="002316F8" w14:paraId="6EB296B6" w14:textId="77777777" w:rsidTr="00E304FF">
        <w:trPr>
          <w:cantSplit/>
        </w:trPr>
        <w:tc>
          <w:tcPr>
            <w:tcW w:w="1800" w:type="dxa"/>
            <w:tcBorders>
              <w:top w:val="single" w:sz="4" w:space="0" w:color="auto"/>
              <w:bottom w:val="single" w:sz="4" w:space="0" w:color="auto"/>
              <w:right w:val="single" w:sz="4" w:space="0" w:color="auto"/>
            </w:tcBorders>
            <w:vAlign w:val="center"/>
          </w:tcPr>
          <w:p w14:paraId="3ED1F8B2" w14:textId="77777777" w:rsidR="00E35453" w:rsidRPr="002316F8" w:rsidRDefault="00E35453" w:rsidP="00E304FF">
            <w:r w:rsidRPr="002316F8">
              <w:t>CSAT O&amp;M</w:t>
            </w:r>
          </w:p>
        </w:tc>
        <w:tc>
          <w:tcPr>
            <w:tcW w:w="5040" w:type="dxa"/>
            <w:tcBorders>
              <w:top w:val="single" w:sz="4" w:space="0" w:color="auto"/>
              <w:left w:val="single" w:sz="4" w:space="0" w:color="auto"/>
              <w:bottom w:val="single" w:sz="4" w:space="0" w:color="auto"/>
              <w:right w:val="single" w:sz="4" w:space="0" w:color="auto"/>
            </w:tcBorders>
            <w:vAlign w:val="center"/>
          </w:tcPr>
          <w:p w14:paraId="183EAC84" w14:textId="77777777" w:rsidR="00E35453" w:rsidRPr="002316F8" w:rsidRDefault="00E35453" w:rsidP="00E304FF">
            <w:r w:rsidRPr="002316F8">
              <w:t>Costs for O&amp;M of CSAT Application</w:t>
            </w:r>
          </w:p>
        </w:tc>
        <w:tc>
          <w:tcPr>
            <w:tcW w:w="1908" w:type="dxa"/>
            <w:tcBorders>
              <w:top w:val="single" w:sz="4" w:space="0" w:color="auto"/>
              <w:left w:val="single" w:sz="4" w:space="0" w:color="auto"/>
              <w:bottom w:val="single" w:sz="4" w:space="0" w:color="auto"/>
            </w:tcBorders>
            <w:vAlign w:val="center"/>
          </w:tcPr>
          <w:p w14:paraId="376D145A" w14:textId="77777777" w:rsidR="00E35453" w:rsidRPr="002316F8" w:rsidRDefault="00F10442" w:rsidP="00E304FF">
            <w:pPr>
              <w:jc w:val="right"/>
            </w:pPr>
            <w:r>
              <w:t>$</w:t>
            </w:r>
            <w:r w:rsidR="00E35453" w:rsidRPr="002316F8">
              <w:t>400,000</w:t>
            </w:r>
            <w:r w:rsidR="008E1D41">
              <w:t>*</w:t>
            </w:r>
          </w:p>
        </w:tc>
      </w:tr>
      <w:tr w:rsidR="008E1D41" w:rsidRPr="002316F8" w14:paraId="2B1F2DCF" w14:textId="77777777" w:rsidTr="00F70F03">
        <w:trPr>
          <w:cantSplit/>
        </w:trPr>
        <w:tc>
          <w:tcPr>
            <w:tcW w:w="8748" w:type="dxa"/>
            <w:gridSpan w:val="3"/>
            <w:tcBorders>
              <w:top w:val="single" w:sz="4" w:space="0" w:color="auto"/>
              <w:left w:val="nil"/>
              <w:bottom w:val="nil"/>
              <w:right w:val="nil"/>
            </w:tcBorders>
            <w:vAlign w:val="center"/>
          </w:tcPr>
          <w:p w14:paraId="544CB209" w14:textId="77777777" w:rsidR="00AD4F4D" w:rsidRDefault="008E1D41" w:rsidP="008E1D41">
            <w:r>
              <w:t>* Note: The Department entered into an Interagency Agreement (IA) with the Department of Energy, Oak Ridge National Laboratory</w:t>
            </w:r>
            <w:r w:rsidR="00F10442">
              <w:t>,</w:t>
            </w:r>
            <w:r>
              <w:t xml:space="preserve"> to operate and maintain O&amp;M </w:t>
            </w:r>
            <w:r w:rsidR="00F10442">
              <w:t xml:space="preserve">of </w:t>
            </w:r>
            <w:r>
              <w:t>the CSAT system. Because the O&amp;M costs associated with each subsystem in CSAT are not costed separately in the IA, it isn’t possible to isolate the proportion of O&amp;M costs associated with this collection. Therefore, the actual total annual operating cost to the Federal Government are likely lower than estimated.</w:t>
            </w:r>
          </w:p>
          <w:p w14:paraId="1D56EF18" w14:textId="77777777" w:rsidR="008E1D41" w:rsidRPr="002316F8" w:rsidRDefault="008E1D41" w:rsidP="00F10442"/>
        </w:tc>
      </w:tr>
      <w:tr w:rsidR="00E35453" w:rsidRPr="002316F8" w14:paraId="0F7EFF1F" w14:textId="77777777" w:rsidTr="00E304FF">
        <w:trPr>
          <w:cantSplit/>
        </w:trPr>
        <w:tc>
          <w:tcPr>
            <w:tcW w:w="6840" w:type="dxa"/>
            <w:gridSpan w:val="2"/>
            <w:tcBorders>
              <w:top w:val="nil"/>
              <w:left w:val="nil"/>
              <w:bottom w:val="nil"/>
              <w:right w:val="nil"/>
            </w:tcBorders>
            <w:vAlign w:val="center"/>
          </w:tcPr>
          <w:p w14:paraId="662D199E" w14:textId="77777777" w:rsidR="00E35453" w:rsidRPr="002316F8" w:rsidRDefault="00E35453" w:rsidP="00E304FF">
            <w:r w:rsidRPr="002316F8">
              <w:t>Total</w:t>
            </w:r>
          </w:p>
        </w:tc>
        <w:tc>
          <w:tcPr>
            <w:tcW w:w="1908" w:type="dxa"/>
            <w:tcBorders>
              <w:top w:val="nil"/>
              <w:left w:val="nil"/>
              <w:bottom w:val="nil"/>
              <w:right w:val="nil"/>
            </w:tcBorders>
            <w:vAlign w:val="center"/>
          </w:tcPr>
          <w:p w14:paraId="6B3C9DCF" w14:textId="2E737167" w:rsidR="00E35453" w:rsidRPr="002316F8" w:rsidRDefault="00194B6F" w:rsidP="002F7E19">
            <w:pPr>
              <w:jc w:val="right"/>
            </w:pPr>
            <w:r w:rsidRPr="00194B6F">
              <w:t>$</w:t>
            </w:r>
            <w:r w:rsidR="002F7E19">
              <w:t>492,927</w:t>
            </w:r>
          </w:p>
        </w:tc>
      </w:tr>
    </w:tbl>
    <w:p w14:paraId="160DF18D" w14:textId="77777777" w:rsidR="00E35453" w:rsidRPr="002316F8" w:rsidRDefault="00264007" w:rsidP="00C65903">
      <w:r w:rsidRPr="002316F8">
        <w:t xml:space="preserve"> </w:t>
      </w:r>
    </w:p>
    <w:p w14:paraId="2FF864EC" w14:textId="50B18310" w:rsidR="00E05BC3" w:rsidRPr="002316F8" w:rsidRDefault="00E05BC3" w:rsidP="00C65903">
      <w:r w:rsidRPr="002316F8">
        <w:t>In sum, the estimated total annual operating cost to the U</w:t>
      </w:r>
      <w:r w:rsidR="00F10442">
        <w:t>.</w:t>
      </w:r>
      <w:r w:rsidRPr="002316F8">
        <w:t>S</w:t>
      </w:r>
      <w:r w:rsidR="00F10442">
        <w:t>.</w:t>
      </w:r>
      <w:r w:rsidRPr="002316F8">
        <w:t xml:space="preserve"> Government for this collection is</w:t>
      </w:r>
      <w:r w:rsidR="00B141AD" w:rsidRPr="002316F8">
        <w:t xml:space="preserve"> $</w:t>
      </w:r>
      <w:r w:rsidR="002F7E19">
        <w:t>492,927.</w:t>
      </w:r>
    </w:p>
    <w:p w14:paraId="67447C23" w14:textId="77777777" w:rsidR="00EB5E96" w:rsidRPr="002316F8" w:rsidRDefault="00EB5E96" w:rsidP="000C4293">
      <w:pPr>
        <w:suppressAutoHyphens/>
        <w:jc w:val="both"/>
      </w:pPr>
    </w:p>
    <w:p w14:paraId="495B32B7" w14:textId="77777777" w:rsidR="00EB5E96" w:rsidRPr="002316F8" w:rsidRDefault="00EB5E96" w:rsidP="000C4293">
      <w:pPr>
        <w:shd w:val="pct25" w:color="auto" w:fill="auto"/>
        <w:tabs>
          <w:tab w:val="left" w:pos="-720"/>
        </w:tabs>
        <w:suppressAutoHyphens/>
        <w:jc w:val="both"/>
      </w:pPr>
      <w:r w:rsidRPr="002316F8">
        <w:fldChar w:fldCharType="begin"/>
      </w:r>
      <w:r w:rsidRPr="002316F8">
        <w:instrText>ADVANCE \R 0.95</w:instrText>
      </w:r>
      <w:r w:rsidRPr="002316F8">
        <w:fldChar w:fldCharType="end"/>
      </w:r>
      <w:r w:rsidRPr="002316F8">
        <w:t xml:space="preserve">15. Explain the reasons for any program changes or adjustments reported in Items 13 or 14 of the OMB Form 83-I. Changes in hour burden, i.e., program changes or adjustments made to annual reporting and recordkeeping </w:t>
      </w:r>
      <w:r w:rsidRPr="002316F8">
        <w:rPr>
          <w:b/>
        </w:rPr>
        <w:t>hour</w:t>
      </w:r>
      <w:r w:rsidRPr="002316F8">
        <w:t xml:space="preserve"> and </w:t>
      </w:r>
      <w:r w:rsidRPr="002316F8">
        <w:rPr>
          <w:b/>
        </w:rPr>
        <w:t>cost</w:t>
      </w:r>
      <w:r w:rsidRPr="002316F8">
        <w:t xml:space="preserve"> burden. A program change is the result of deliberate Federal </w:t>
      </w:r>
      <w:r w:rsidR="00F10442">
        <w:t>G</w:t>
      </w:r>
      <w:r w:rsidRPr="002316F8">
        <w:t xml:space="preserve">overnment action. All new collections and any subsequent revisions of existing collections (e.g., the addition or deletion of questions) are recorded as program changes. An adjustment is a change that is not the result of a deliberate Federal </w:t>
      </w:r>
      <w:r w:rsidR="00F10442">
        <w:t>G</w:t>
      </w:r>
      <w:r w:rsidRPr="002316F8">
        <w:t xml:space="preserve">overnment action. These changes that result from new estimates or actions not controllable by the Federal </w:t>
      </w:r>
      <w:r w:rsidR="00F10442">
        <w:t>G</w:t>
      </w:r>
      <w:r w:rsidRPr="002316F8">
        <w:t>overnment are recorded as adjustments.</w:t>
      </w:r>
    </w:p>
    <w:p w14:paraId="4AB574D1" w14:textId="77777777" w:rsidR="00EB5E96" w:rsidRPr="002316F8" w:rsidRDefault="00EB5E96" w:rsidP="000C4293">
      <w:pPr>
        <w:tabs>
          <w:tab w:val="left" w:pos="-720"/>
        </w:tabs>
        <w:suppressAutoHyphens/>
        <w:jc w:val="both"/>
      </w:pPr>
      <w:r w:rsidRPr="002316F8">
        <w:fldChar w:fldCharType="begin"/>
      </w:r>
      <w:r w:rsidRPr="002316F8">
        <w:instrText>ADVANCE \R 0.95</w:instrText>
      </w:r>
      <w:r w:rsidRPr="002316F8">
        <w:fldChar w:fldCharType="end"/>
      </w:r>
    </w:p>
    <w:p w14:paraId="2E4F43B4" w14:textId="77777777" w:rsidR="00D0468F" w:rsidRDefault="008E1D41" w:rsidP="00D0468F">
      <w:pPr>
        <w:tabs>
          <w:tab w:val="left" w:pos="-720"/>
        </w:tabs>
        <w:suppressAutoHyphens/>
        <w:jc w:val="both"/>
      </w:pPr>
      <w:r w:rsidRPr="00DD49FD">
        <w:t>The Department is assuming that a significant change in public burden estimates have occurred since the last approved ICR (Sept 2014).</w:t>
      </w:r>
    </w:p>
    <w:p w14:paraId="31E518B3" w14:textId="77777777" w:rsidR="00D0468F" w:rsidRDefault="00D0468F" w:rsidP="008E1D41">
      <w:pPr>
        <w:tabs>
          <w:tab w:val="left" w:pos="-720"/>
        </w:tabs>
        <w:suppressAutoHyphens/>
        <w:jc w:val="both"/>
      </w:pPr>
    </w:p>
    <w:p w14:paraId="3CF1495E" w14:textId="1E1EFABF" w:rsidR="00EF77F2" w:rsidRDefault="00C33FAA" w:rsidP="008E1D41">
      <w:pPr>
        <w:tabs>
          <w:tab w:val="left" w:pos="-720"/>
        </w:tabs>
        <w:suppressAutoHyphens/>
        <w:jc w:val="both"/>
      </w:pPr>
      <w:r w:rsidRPr="00C33FAA">
        <w:t xml:space="preserve">For the </w:t>
      </w:r>
      <w:r>
        <w:t>CVI Authorization instrument</w:t>
      </w:r>
      <w:r w:rsidRPr="00C33FAA">
        <w:t xml:space="preserve"> </w:t>
      </w:r>
      <w:r>
        <w:t>t</w:t>
      </w:r>
      <w:r w:rsidR="001F484D">
        <w:t xml:space="preserve">he Department </w:t>
      </w:r>
      <w:r w:rsidR="000E2B46">
        <w:t xml:space="preserve">assumes that the majority of individuals </w:t>
      </w:r>
      <w:r w:rsidR="00C71E27">
        <w:t xml:space="preserve">who will </w:t>
      </w:r>
      <w:r w:rsidR="000E2B46">
        <w:t>complete this instrum</w:t>
      </w:r>
      <w:r w:rsidR="00C71E27">
        <w:t>ent are SSOs</w:t>
      </w:r>
      <w:r w:rsidR="000E2B46">
        <w:t xml:space="preserve">, although a smaller number of other individuals may also complete this instrument (e.g., state officials or Federal employees).  </w:t>
      </w:r>
      <w:r w:rsidR="001F484D">
        <w:t>For the purpose of this notice, the Department maintain</w:t>
      </w:r>
      <w:r w:rsidR="000E2B46">
        <w:t>s</w:t>
      </w:r>
      <w:r w:rsidR="001F484D">
        <w:t xml:space="preserve"> this assumption. </w:t>
      </w:r>
      <w:r w:rsidR="00C71E27">
        <w:t xml:space="preserve">The Department is also incorporating </w:t>
      </w:r>
      <w:r w:rsidR="001F484D">
        <w:t>reduction of the annual reporting and recordkeeping hour and cost burden for SSOs to $</w:t>
      </w:r>
      <w:r w:rsidR="00C016F2">
        <w:t>78.93</w:t>
      </w:r>
      <w:r w:rsidR="001F484D">
        <w:t>/hour</w:t>
      </w:r>
      <w:r w:rsidR="002F7E19">
        <w:t>, based on the fully loaded wage rate for Managers, All Other as provided by BLS and described in Q12.</w:t>
      </w:r>
    </w:p>
    <w:p w14:paraId="0F9879C9" w14:textId="77777777" w:rsidR="00EF77F2" w:rsidRDefault="00EF77F2" w:rsidP="008E1D41">
      <w:pPr>
        <w:tabs>
          <w:tab w:val="left" w:pos="-720"/>
        </w:tabs>
        <w:suppressAutoHyphens/>
        <w:jc w:val="both"/>
      </w:pPr>
    </w:p>
    <w:p w14:paraId="6784D74E" w14:textId="258623BE" w:rsidR="00633A2A" w:rsidRPr="00E57A4C" w:rsidRDefault="008E1D41" w:rsidP="00875358">
      <w:pPr>
        <w:pStyle w:val="ListParagraph"/>
        <w:ind w:left="0"/>
        <w:rPr>
          <w:rFonts w:ascii="Times New Roman" w:hAnsi="Times New Roman"/>
        </w:rPr>
      </w:pPr>
      <w:r w:rsidRPr="00714ACF">
        <w:rPr>
          <w:rFonts w:ascii="Times New Roman" w:hAnsi="Times New Roman"/>
        </w:rPr>
        <w:t>For the CVI Authorization instrument the Department has revised the estimated number of respondents</w:t>
      </w:r>
      <w:r w:rsidR="005F13EE" w:rsidRPr="00714ACF">
        <w:rPr>
          <w:rFonts w:ascii="Times New Roman" w:hAnsi="Times New Roman"/>
        </w:rPr>
        <w:t xml:space="preserve"> from 30,000 to </w:t>
      </w:r>
      <w:r w:rsidR="00D46C67" w:rsidRPr="00714ACF">
        <w:rPr>
          <w:rFonts w:ascii="Times New Roman" w:hAnsi="Times New Roman"/>
        </w:rPr>
        <w:t>20,000</w:t>
      </w:r>
      <w:r w:rsidR="00BC3728" w:rsidRPr="00714ACF">
        <w:rPr>
          <w:rFonts w:ascii="Times New Roman" w:hAnsi="Times New Roman"/>
        </w:rPr>
        <w:t xml:space="preserve"> to reflect the Department’s revised estimate on expected annual usage of this instrument</w:t>
      </w:r>
      <w:r w:rsidRPr="00714ACF">
        <w:rPr>
          <w:rFonts w:ascii="Times New Roman" w:hAnsi="Times New Roman"/>
        </w:rPr>
        <w:t xml:space="preserve">. </w:t>
      </w:r>
      <w:r w:rsidR="00255794" w:rsidRPr="00E57A4C">
        <w:rPr>
          <w:rFonts w:ascii="Times New Roman" w:hAnsi="Times New Roman"/>
        </w:rPr>
        <w:t>In addition, a</w:t>
      </w:r>
      <w:r w:rsidR="00C6003F" w:rsidRPr="00E57A4C">
        <w:rPr>
          <w:rFonts w:ascii="Times New Roman" w:hAnsi="Times New Roman"/>
        </w:rPr>
        <w:t xml:space="preserve"> reduction of </w:t>
      </w:r>
      <w:r w:rsidR="003E0D6D" w:rsidRPr="00E57A4C">
        <w:rPr>
          <w:rFonts w:ascii="Times New Roman" w:hAnsi="Times New Roman"/>
        </w:rPr>
        <w:t xml:space="preserve">user </w:t>
      </w:r>
      <w:r w:rsidR="00C6003F" w:rsidRPr="00E57A4C">
        <w:rPr>
          <w:rFonts w:ascii="Times New Roman" w:hAnsi="Times New Roman"/>
        </w:rPr>
        <w:t>response time</w:t>
      </w:r>
      <w:r w:rsidR="003E0D6D" w:rsidRPr="00E57A4C">
        <w:rPr>
          <w:rFonts w:ascii="Times New Roman" w:hAnsi="Times New Roman"/>
        </w:rPr>
        <w:t>s</w:t>
      </w:r>
      <w:r w:rsidR="00C6003F" w:rsidRPr="00E57A4C">
        <w:rPr>
          <w:rFonts w:ascii="Times New Roman" w:hAnsi="Times New Roman"/>
        </w:rPr>
        <w:t xml:space="preserve"> for the CVI Authorization instrument </w:t>
      </w:r>
      <w:r w:rsidR="007D5CDE" w:rsidRPr="00E57A4C">
        <w:rPr>
          <w:rFonts w:ascii="Times New Roman" w:hAnsi="Times New Roman"/>
        </w:rPr>
        <w:t>was observed</w:t>
      </w:r>
      <w:r w:rsidR="003E0D6D" w:rsidRPr="00E57A4C">
        <w:rPr>
          <w:rFonts w:ascii="Times New Roman" w:hAnsi="Times New Roman"/>
        </w:rPr>
        <w:t xml:space="preserve"> to decrease </w:t>
      </w:r>
      <w:r w:rsidR="00C6003F" w:rsidRPr="00E57A4C">
        <w:rPr>
          <w:rFonts w:ascii="Times New Roman" w:hAnsi="Times New Roman"/>
        </w:rPr>
        <w:t xml:space="preserve">from 1 hour to </w:t>
      </w:r>
      <w:r w:rsidR="003E0D6D" w:rsidRPr="00E57A4C">
        <w:rPr>
          <w:rFonts w:ascii="Times New Roman" w:hAnsi="Times New Roman"/>
        </w:rPr>
        <w:t>0</w:t>
      </w:r>
      <w:r w:rsidR="00C6003F" w:rsidRPr="00E57A4C">
        <w:rPr>
          <w:rFonts w:ascii="Times New Roman" w:hAnsi="Times New Roman"/>
        </w:rPr>
        <w:t xml:space="preserve">.50 hour. The average </w:t>
      </w:r>
      <w:r w:rsidR="003E0D6D" w:rsidRPr="00E57A4C">
        <w:rPr>
          <w:rFonts w:ascii="Times New Roman" w:hAnsi="Times New Roman"/>
        </w:rPr>
        <w:t xml:space="preserve">user </w:t>
      </w:r>
      <w:r w:rsidR="00C6003F" w:rsidRPr="00E57A4C">
        <w:rPr>
          <w:rFonts w:ascii="Times New Roman" w:hAnsi="Times New Roman"/>
        </w:rPr>
        <w:t xml:space="preserve">response time between CY 2014 – 2016 was </w:t>
      </w:r>
      <w:r w:rsidR="003E0D6D" w:rsidRPr="00E57A4C">
        <w:rPr>
          <w:rFonts w:ascii="Times New Roman" w:hAnsi="Times New Roman"/>
        </w:rPr>
        <w:t>observed to be 0</w:t>
      </w:r>
      <w:r w:rsidR="00C6003F" w:rsidRPr="00E57A4C">
        <w:rPr>
          <w:rFonts w:ascii="Times New Roman" w:hAnsi="Times New Roman"/>
        </w:rPr>
        <w:t xml:space="preserve">.50 hour. </w:t>
      </w:r>
      <w:r w:rsidR="000E2B46">
        <w:rPr>
          <w:rFonts w:ascii="Times New Roman" w:hAnsi="Times New Roman"/>
        </w:rPr>
        <w:t>In addition</w:t>
      </w:r>
      <w:r w:rsidR="00AA43F8" w:rsidRPr="00E57A4C">
        <w:rPr>
          <w:rFonts w:ascii="Times New Roman" w:hAnsi="Times New Roman"/>
        </w:rPr>
        <w:t xml:space="preserve">, the estimated </w:t>
      </w:r>
      <w:r w:rsidR="00776A2D">
        <w:rPr>
          <w:rFonts w:ascii="Times New Roman" w:hAnsi="Times New Roman"/>
        </w:rPr>
        <w:t xml:space="preserve">total </w:t>
      </w:r>
      <w:r w:rsidR="00AA43F8" w:rsidRPr="00E57A4C">
        <w:rPr>
          <w:rFonts w:ascii="Times New Roman" w:hAnsi="Times New Roman"/>
        </w:rPr>
        <w:t>burden is estimated to decrease by</w:t>
      </w:r>
      <w:r w:rsidR="00B71FD9">
        <w:rPr>
          <w:rFonts w:ascii="Times New Roman" w:hAnsi="Times New Roman"/>
        </w:rPr>
        <w:t xml:space="preserve"> -3</w:t>
      </w:r>
      <w:r w:rsidR="00C870BD">
        <w:rPr>
          <w:rFonts w:ascii="Times New Roman" w:hAnsi="Times New Roman"/>
        </w:rPr>
        <w:t>8</w:t>
      </w:r>
      <w:r w:rsidR="00B71FD9">
        <w:rPr>
          <w:rFonts w:ascii="Times New Roman" w:hAnsi="Times New Roman"/>
        </w:rPr>
        <w:t>5,100 responses, -</w:t>
      </w:r>
      <w:r w:rsidR="00C870BD">
        <w:rPr>
          <w:rFonts w:ascii="Times New Roman" w:hAnsi="Times New Roman"/>
        </w:rPr>
        <w:t>5</w:t>
      </w:r>
      <w:r w:rsidR="00B71FD9">
        <w:rPr>
          <w:rFonts w:ascii="Times New Roman" w:hAnsi="Times New Roman"/>
        </w:rPr>
        <w:t xml:space="preserve">3,775 burden hours, </w:t>
      </w:r>
      <w:r w:rsidR="00DB5390">
        <w:rPr>
          <w:rFonts w:ascii="Times New Roman" w:hAnsi="Times New Roman"/>
        </w:rPr>
        <w:t xml:space="preserve">and </w:t>
      </w:r>
      <w:r w:rsidR="00DB5390" w:rsidRPr="00E57A4C">
        <w:rPr>
          <w:rFonts w:ascii="Times New Roman" w:hAnsi="Times New Roman"/>
        </w:rPr>
        <w:t>$</w:t>
      </w:r>
      <w:r w:rsidR="002F7E19">
        <w:rPr>
          <w:rFonts w:ascii="Times New Roman" w:hAnsi="Times New Roman"/>
        </w:rPr>
        <w:t>4,695,315</w:t>
      </w:r>
      <w:r w:rsidR="00AA43F8" w:rsidRPr="00E57A4C">
        <w:rPr>
          <w:rFonts w:ascii="Times New Roman" w:hAnsi="Times New Roman"/>
        </w:rPr>
        <w:t xml:space="preserve"> based on the proposed elimination of five instruments previously approved for the collection CVI-related information and the reduction of the response time for CVI Authorization.</w:t>
      </w:r>
    </w:p>
    <w:p w14:paraId="6E44A985" w14:textId="77777777" w:rsidR="00633A2A" w:rsidRPr="00E57A4C" w:rsidRDefault="00633A2A" w:rsidP="00875358">
      <w:pPr>
        <w:pStyle w:val="ListParagraph"/>
        <w:ind w:left="0"/>
        <w:rPr>
          <w:rFonts w:ascii="Times New Roman" w:hAnsi="Times New Roman"/>
        </w:rPr>
      </w:pPr>
    </w:p>
    <w:p w14:paraId="5B283984" w14:textId="2615E5E6" w:rsidR="00EB5E96" w:rsidRPr="00714ACF" w:rsidRDefault="008E1D41">
      <w:pPr>
        <w:pStyle w:val="ListParagraph"/>
        <w:ind w:left="0"/>
        <w:rPr>
          <w:rFonts w:ascii="Times New Roman" w:hAnsi="Times New Roman"/>
        </w:rPr>
      </w:pPr>
      <w:r w:rsidRPr="00714ACF">
        <w:rPr>
          <w:rFonts w:ascii="Times New Roman" w:hAnsi="Times New Roman"/>
        </w:rPr>
        <w:t xml:space="preserve">Taking into consideration all of these changes, the total annual estimate for reporting, recordkeeping, and cost burden under </w:t>
      </w:r>
      <w:r w:rsidR="000E2B46">
        <w:rPr>
          <w:rFonts w:ascii="Times New Roman" w:hAnsi="Times New Roman"/>
        </w:rPr>
        <w:t xml:space="preserve">this collection </w:t>
      </w:r>
      <w:r w:rsidR="00503BBC" w:rsidRPr="00714ACF">
        <w:rPr>
          <w:rFonts w:ascii="Times New Roman" w:hAnsi="Times New Roman"/>
        </w:rPr>
        <w:t>is expected to decrease f</w:t>
      </w:r>
      <w:r w:rsidR="007748A9" w:rsidRPr="00714ACF">
        <w:rPr>
          <w:rFonts w:ascii="Times New Roman" w:hAnsi="Times New Roman"/>
        </w:rPr>
        <w:t>rom $5,484,650</w:t>
      </w:r>
      <w:r w:rsidR="00503BBC" w:rsidRPr="00714ACF">
        <w:rPr>
          <w:rFonts w:ascii="Times New Roman" w:hAnsi="Times New Roman"/>
        </w:rPr>
        <w:t xml:space="preserve"> to </w:t>
      </w:r>
      <w:r w:rsidR="007748A9" w:rsidRPr="00714ACF">
        <w:rPr>
          <w:rFonts w:ascii="Times New Roman" w:hAnsi="Times New Roman"/>
        </w:rPr>
        <w:t>$</w:t>
      </w:r>
      <w:r w:rsidR="002F7E19">
        <w:rPr>
          <w:rFonts w:ascii="Times New Roman" w:hAnsi="Times New Roman"/>
        </w:rPr>
        <w:t>789,335</w:t>
      </w:r>
      <w:r w:rsidR="00C870BD">
        <w:rPr>
          <w:rFonts w:ascii="Times New Roman" w:hAnsi="Times New Roman"/>
        </w:rPr>
        <w:t>; from 405,100 responses to 20,000</w:t>
      </w:r>
      <w:r w:rsidR="00AE7121">
        <w:rPr>
          <w:rFonts w:ascii="Times New Roman" w:hAnsi="Times New Roman"/>
        </w:rPr>
        <w:t xml:space="preserve"> responses</w:t>
      </w:r>
      <w:r w:rsidR="00C870BD">
        <w:rPr>
          <w:rFonts w:ascii="Times New Roman" w:hAnsi="Times New Roman"/>
        </w:rPr>
        <w:t>; and 63,775 hours to 10,000 hours</w:t>
      </w:r>
      <w:r w:rsidR="00503BBC" w:rsidRPr="00714ACF">
        <w:rPr>
          <w:rFonts w:ascii="Times New Roman" w:hAnsi="Times New Roman"/>
        </w:rPr>
        <w:t>.</w:t>
      </w:r>
    </w:p>
    <w:p w14:paraId="313373DE" w14:textId="77777777" w:rsidR="00633A2A" w:rsidRPr="002316F8" w:rsidRDefault="00633A2A" w:rsidP="00FE0A5A">
      <w:pPr>
        <w:pStyle w:val="ListParagraph"/>
        <w:ind w:left="0"/>
      </w:pPr>
    </w:p>
    <w:p w14:paraId="1DF0C93E" w14:textId="77777777" w:rsidR="00EB5E96" w:rsidRPr="002316F8" w:rsidRDefault="00EB5E96" w:rsidP="000C4293">
      <w:pPr>
        <w:shd w:val="pct25" w:color="auto" w:fill="auto"/>
        <w:tabs>
          <w:tab w:val="left" w:pos="-720"/>
        </w:tabs>
        <w:suppressAutoHyphens/>
        <w:jc w:val="both"/>
      </w:pPr>
      <w:r w:rsidRPr="002316F8">
        <w:fldChar w:fldCharType="begin"/>
      </w:r>
      <w:r w:rsidRPr="002316F8">
        <w:instrText>ADVANCE \R 0.95</w:instrText>
      </w:r>
      <w:r w:rsidRPr="002316F8">
        <w:fldChar w:fldCharType="end"/>
      </w:r>
      <w:r w:rsidRPr="002316F8">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39650ED7" w14:textId="77777777" w:rsidR="00EB5E96" w:rsidRPr="002316F8" w:rsidRDefault="00EB5E96" w:rsidP="000C4293">
      <w:pPr>
        <w:suppressAutoHyphens/>
        <w:jc w:val="both"/>
      </w:pPr>
      <w:r w:rsidRPr="002316F8">
        <w:fldChar w:fldCharType="begin"/>
      </w:r>
      <w:r w:rsidRPr="002316F8">
        <w:instrText>ADVANCE \R 0.95</w:instrText>
      </w:r>
      <w:r w:rsidRPr="002316F8">
        <w:fldChar w:fldCharType="end"/>
      </w:r>
    </w:p>
    <w:p w14:paraId="74F7143C" w14:textId="77777777" w:rsidR="00AC50A2" w:rsidRPr="002316F8" w:rsidRDefault="00AC50A2" w:rsidP="00AC50A2">
      <w:r w:rsidRPr="002316F8">
        <w:t>No plans exist for the use of statistical analysis or to publish this information.</w:t>
      </w:r>
    </w:p>
    <w:p w14:paraId="45D04299" w14:textId="77777777" w:rsidR="00EB5E96" w:rsidRPr="002316F8" w:rsidRDefault="00EB5E96" w:rsidP="000C4293">
      <w:pPr>
        <w:suppressAutoHyphens/>
        <w:jc w:val="both"/>
      </w:pPr>
    </w:p>
    <w:p w14:paraId="6197CAB6" w14:textId="77777777" w:rsidR="00EB5E96" w:rsidRPr="002316F8" w:rsidRDefault="00EB5E96" w:rsidP="000C4293">
      <w:pPr>
        <w:shd w:val="pct25" w:color="auto" w:fill="auto"/>
        <w:tabs>
          <w:tab w:val="left" w:pos="-720"/>
        </w:tabs>
        <w:suppressAutoHyphens/>
        <w:jc w:val="both"/>
      </w:pPr>
      <w:r w:rsidRPr="002316F8">
        <w:fldChar w:fldCharType="begin"/>
      </w:r>
      <w:r w:rsidRPr="002316F8">
        <w:instrText>ADVANCE \R 0.95</w:instrText>
      </w:r>
      <w:r w:rsidRPr="002316F8">
        <w:fldChar w:fldCharType="end"/>
      </w:r>
      <w:r w:rsidRPr="002316F8">
        <w:t>17. If seeking approval to not display the expiration date for OMB approval of the information collection, explain reasons that display would be inappropriate.</w:t>
      </w:r>
    </w:p>
    <w:p w14:paraId="17488DDF" w14:textId="77777777" w:rsidR="00EB5E96" w:rsidRPr="002316F8" w:rsidRDefault="00EB5E96" w:rsidP="000C4293">
      <w:pPr>
        <w:tabs>
          <w:tab w:val="left" w:pos="-720"/>
        </w:tabs>
        <w:suppressAutoHyphens/>
        <w:jc w:val="both"/>
      </w:pPr>
      <w:r w:rsidRPr="002316F8">
        <w:fldChar w:fldCharType="begin"/>
      </w:r>
      <w:r w:rsidRPr="002316F8">
        <w:instrText>ADVANCE \R 0.95</w:instrText>
      </w:r>
      <w:r w:rsidRPr="002316F8">
        <w:fldChar w:fldCharType="end"/>
      </w:r>
    </w:p>
    <w:p w14:paraId="5577711D" w14:textId="77777777" w:rsidR="00AC50A2" w:rsidRPr="002316F8" w:rsidRDefault="00AC50A2" w:rsidP="00AC50A2">
      <w:r w:rsidRPr="002316F8">
        <w:t>The expiration date will be displayed in the instruments.</w:t>
      </w:r>
    </w:p>
    <w:p w14:paraId="623B3BDA" w14:textId="77777777" w:rsidR="00447C3A" w:rsidRPr="002316F8" w:rsidRDefault="00447C3A" w:rsidP="000C4293">
      <w:pPr>
        <w:tabs>
          <w:tab w:val="left" w:pos="-720"/>
        </w:tabs>
        <w:suppressAutoHyphens/>
        <w:jc w:val="both"/>
      </w:pPr>
    </w:p>
    <w:p w14:paraId="1573FDA1" w14:textId="77777777" w:rsidR="0077056F" w:rsidRPr="002316F8" w:rsidRDefault="00EB5E96" w:rsidP="000C4293">
      <w:pPr>
        <w:shd w:val="pct25" w:color="auto" w:fill="auto"/>
        <w:tabs>
          <w:tab w:val="left" w:pos="-720"/>
        </w:tabs>
        <w:suppressAutoHyphens/>
        <w:jc w:val="both"/>
      </w:pPr>
      <w:r w:rsidRPr="002316F8">
        <w:fldChar w:fldCharType="begin"/>
      </w:r>
      <w:r w:rsidRPr="002316F8">
        <w:instrText>ADVANCE \R 0.95</w:instrText>
      </w:r>
      <w:r w:rsidRPr="002316F8">
        <w:fldChar w:fldCharType="end"/>
      </w:r>
      <w:r w:rsidRPr="002316F8">
        <w:t>18. Explain each exception to the certification statement identified in Item 19 “Certification for Paperwork Reduction Act Submissions,” of OMB Form 83-I.</w:t>
      </w:r>
    </w:p>
    <w:p w14:paraId="1DD5BE64" w14:textId="77777777" w:rsidR="0077056F" w:rsidRPr="002316F8" w:rsidRDefault="0077056F" w:rsidP="0077056F">
      <w:pPr>
        <w:tabs>
          <w:tab w:val="left" w:pos="-720"/>
        </w:tabs>
        <w:suppressAutoHyphens/>
        <w:jc w:val="both"/>
      </w:pPr>
    </w:p>
    <w:p w14:paraId="2BF5BEF2" w14:textId="77777777" w:rsidR="0077056F" w:rsidRPr="00596A43" w:rsidRDefault="00AC50A2" w:rsidP="000A1E17">
      <w:r w:rsidRPr="002316F8">
        <w:t>No exceptions have been requested.</w:t>
      </w:r>
    </w:p>
    <w:sectPr w:rsidR="0077056F" w:rsidRPr="00596A43" w:rsidSect="00460234">
      <w:footerReference w:type="even" r:id="rId17"/>
      <w:footerReference w:type="default" r:id="rId18"/>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1E4A0" w14:textId="77777777" w:rsidR="00E55CE5" w:rsidRDefault="00E55CE5">
      <w:r>
        <w:separator/>
      </w:r>
    </w:p>
  </w:endnote>
  <w:endnote w:type="continuationSeparator" w:id="0">
    <w:p w14:paraId="58F50D55" w14:textId="77777777" w:rsidR="00E55CE5" w:rsidRDefault="00E55CE5">
      <w:r>
        <w:continuationSeparator/>
      </w:r>
    </w:p>
  </w:endnote>
  <w:endnote w:type="continuationNotice" w:id="1">
    <w:p w14:paraId="39EB2726" w14:textId="77777777" w:rsidR="00E55CE5" w:rsidRDefault="00E55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F1885" w14:textId="77777777" w:rsidR="00F70F03" w:rsidRDefault="00F70F03"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4C6A21" w14:textId="77777777" w:rsidR="00F70F03" w:rsidRDefault="00F70F03" w:rsidP="00DC6E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D186D" w14:textId="77777777" w:rsidR="00F70F03" w:rsidRDefault="00F70F03"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3D25">
      <w:rPr>
        <w:rStyle w:val="PageNumber"/>
        <w:noProof/>
      </w:rPr>
      <w:t>2</w:t>
    </w:r>
    <w:r>
      <w:rPr>
        <w:rStyle w:val="PageNumber"/>
      </w:rPr>
      <w:fldChar w:fldCharType="end"/>
    </w:r>
  </w:p>
  <w:p w14:paraId="7A1EE0D7" w14:textId="77777777" w:rsidR="00F70F03" w:rsidRDefault="00F70F03" w:rsidP="00DC6E79">
    <w:pPr>
      <w:pStyle w:val="Footer"/>
      <w:tabs>
        <w:tab w:val="clear" w:pos="8640"/>
        <w:tab w:val="right" w:pos="9360"/>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F9174" w14:textId="77777777" w:rsidR="00E55CE5" w:rsidRDefault="00E55CE5">
      <w:r>
        <w:separator/>
      </w:r>
    </w:p>
  </w:footnote>
  <w:footnote w:type="continuationSeparator" w:id="0">
    <w:p w14:paraId="3CFB3AAF" w14:textId="77777777" w:rsidR="00E55CE5" w:rsidRDefault="00E55CE5">
      <w:r>
        <w:continuationSeparator/>
      </w:r>
    </w:p>
  </w:footnote>
  <w:footnote w:type="continuationNotice" w:id="1">
    <w:p w14:paraId="653350B0" w14:textId="77777777" w:rsidR="00E55CE5" w:rsidRDefault="00E55CE5"/>
  </w:footnote>
  <w:footnote w:id="2">
    <w:p w14:paraId="3CB16EB0" w14:textId="77777777" w:rsidR="00F70F03" w:rsidRDefault="00F70F03" w:rsidP="00A5726C">
      <w:pPr>
        <w:pStyle w:val="FootnoteText"/>
      </w:pPr>
      <w:r w:rsidRPr="0051183F">
        <w:rPr>
          <w:rFonts w:ascii="Times New Roman" w:hAnsi="Times New Roman"/>
        </w:rPr>
        <w:t xml:space="preserve"> </w:t>
      </w:r>
    </w:p>
  </w:footnote>
  <w:footnote w:id="3">
    <w:p w14:paraId="7DF01C97" w14:textId="77777777" w:rsidR="00F70F03" w:rsidRPr="00B80047" w:rsidRDefault="00F70F03" w:rsidP="00397469">
      <w:pPr>
        <w:pStyle w:val="FootnoteText"/>
        <w:rPr>
          <w:rFonts w:ascii="Times New Roman" w:hAnsi="Times New Roman"/>
          <w:sz w:val="20"/>
        </w:rPr>
      </w:pPr>
      <w:r w:rsidRPr="00B80047">
        <w:rPr>
          <w:rStyle w:val="FootnoteReference"/>
          <w:rFonts w:ascii="Times New Roman" w:hAnsi="Times New Roman"/>
          <w:sz w:val="20"/>
        </w:rPr>
        <w:footnoteRef/>
      </w:r>
      <w:r w:rsidRPr="00B80047">
        <w:rPr>
          <w:rFonts w:ascii="Times New Roman" w:hAnsi="Times New Roman"/>
          <w:sz w:val="20"/>
        </w:rPr>
        <w:t xml:space="preserve"> </w:t>
      </w:r>
      <w:hyperlink r:id="rId1" w:history="1">
        <w:r w:rsidRPr="00B80047">
          <w:rPr>
            <w:rStyle w:val="Hyperlink"/>
            <w:rFonts w:ascii="Times New Roman" w:hAnsi="Times New Roman"/>
            <w:sz w:val="20"/>
          </w:rPr>
          <w:t>https://ipgateway.dhs.gov/dana-na/auth/url_28/welcome.cgi</w:t>
        </w:r>
      </w:hyperlink>
      <w:r w:rsidRPr="00B80047">
        <w:rPr>
          <w:rFonts w:ascii="Times New Roman" w:hAnsi="Times New Roman"/>
          <w:sz w:val="20"/>
        </w:rPr>
        <w:t xml:space="preserve"> </w:t>
      </w:r>
    </w:p>
  </w:footnote>
  <w:footnote w:id="4">
    <w:p w14:paraId="7F85D812" w14:textId="77777777" w:rsidR="00F70F03" w:rsidRPr="00B80047" w:rsidRDefault="00F70F03">
      <w:pPr>
        <w:pStyle w:val="FootnoteText"/>
        <w:rPr>
          <w:rFonts w:ascii="Times New Roman" w:hAnsi="Times New Roman"/>
          <w:sz w:val="20"/>
        </w:rPr>
      </w:pPr>
      <w:r w:rsidRPr="00B80047">
        <w:rPr>
          <w:rStyle w:val="FootnoteReference"/>
          <w:rFonts w:ascii="Times New Roman" w:hAnsi="Times New Roman"/>
          <w:sz w:val="20"/>
        </w:rPr>
        <w:footnoteRef/>
      </w:r>
      <w:r w:rsidRPr="00B80047">
        <w:rPr>
          <w:rFonts w:ascii="Times New Roman" w:hAnsi="Times New Roman"/>
          <w:sz w:val="20"/>
        </w:rPr>
        <w:t xml:space="preserve"> Authorization for access to CVI does not constitute “need to know.” The concept for need to know is addressed in the CVI Training and is based upon 6 CFR 27.400(e).</w:t>
      </w:r>
    </w:p>
  </w:footnote>
  <w:footnote w:id="5">
    <w:p w14:paraId="1C0DA66D" w14:textId="04EF9104" w:rsidR="00F15970" w:rsidRPr="00F15970" w:rsidRDefault="00DE4837">
      <w:pPr>
        <w:pStyle w:val="FootnoteText"/>
        <w:rPr>
          <w:rStyle w:val="Hyperlink"/>
          <w:rFonts w:ascii="Times New Roman" w:hAnsi="Times New Roman"/>
          <w:sz w:val="20"/>
        </w:rPr>
      </w:pPr>
      <w:r w:rsidRPr="00F15970">
        <w:rPr>
          <w:rFonts w:ascii="Times New Roman" w:hAnsi="Times New Roman"/>
          <w:sz w:val="20"/>
        </w:rPr>
        <w:footnoteRef/>
      </w:r>
      <w:r w:rsidRPr="00F15970">
        <w:rPr>
          <w:rFonts w:ascii="Times New Roman" w:hAnsi="Times New Roman"/>
          <w:sz w:val="20"/>
        </w:rPr>
        <w:t xml:space="preserve"> The wage used for an SSO equals that of Managers, All (11-9199), with a load factor of 1.4639 to account for benefits in addition to wages  </w:t>
      </w:r>
      <w:r w:rsidR="00F15970">
        <w:rPr>
          <w:rFonts w:ascii="Times New Roman" w:hAnsi="Times New Roman"/>
          <w:sz w:val="20"/>
        </w:rPr>
        <w:fldChar w:fldCharType="begin"/>
      </w:r>
      <w:r w:rsidR="00F15970">
        <w:rPr>
          <w:rFonts w:ascii="Times New Roman" w:hAnsi="Times New Roman"/>
          <w:sz w:val="20"/>
        </w:rPr>
        <w:instrText xml:space="preserve"> HYPERLINK "https://www.bls.gov/oes/2016/may/oes119199.htm" </w:instrText>
      </w:r>
      <w:r w:rsidR="00F15970">
        <w:rPr>
          <w:rFonts w:ascii="Times New Roman" w:hAnsi="Times New Roman"/>
          <w:sz w:val="20"/>
        </w:rPr>
        <w:fldChar w:fldCharType="separate"/>
      </w:r>
      <w:r w:rsidRPr="00F15970">
        <w:rPr>
          <w:rStyle w:val="Hyperlink"/>
          <w:rFonts w:ascii="Times New Roman" w:hAnsi="Times New Roman"/>
          <w:sz w:val="20"/>
        </w:rPr>
        <w:t>https://www.bls.gov/oes/2016/may/oes119199.htm</w:t>
      </w:r>
    </w:p>
    <w:p w14:paraId="34B6CBF4" w14:textId="31217309" w:rsidR="00DE4837" w:rsidRPr="00F15970" w:rsidRDefault="00F15970">
      <w:pPr>
        <w:pStyle w:val="FootnoteText"/>
        <w:rPr>
          <w:rFonts w:ascii="Times New Roman" w:hAnsi="Times New Roman"/>
          <w:sz w:val="20"/>
        </w:rPr>
      </w:pPr>
      <w:r>
        <w:rPr>
          <w:sz w:val="20"/>
        </w:rPr>
        <w:fldChar w:fldCharType="end"/>
      </w:r>
    </w:p>
  </w:footnote>
  <w:footnote w:id="6">
    <w:p w14:paraId="7CB1B210" w14:textId="0589FA65" w:rsidR="00F15970" w:rsidRPr="00137A3D" w:rsidRDefault="00DE4837">
      <w:pPr>
        <w:pStyle w:val="FootnoteText"/>
        <w:rPr>
          <w:rFonts w:ascii="Times New Roman" w:hAnsi="Times New Roman"/>
          <w:sz w:val="20"/>
        </w:rPr>
      </w:pPr>
      <w:r w:rsidRPr="00F15970">
        <w:rPr>
          <w:rFonts w:ascii="Times New Roman" w:hAnsi="Times New Roman"/>
          <w:sz w:val="20"/>
        </w:rPr>
        <w:footnoteRef/>
      </w:r>
      <w:r w:rsidRPr="00F15970">
        <w:rPr>
          <w:rFonts w:ascii="Times New Roman" w:hAnsi="Times New Roman"/>
          <w:sz w:val="20"/>
        </w:rPr>
        <w:t xml:space="preserve"> Load factor based on BLS Employer Cost for Employee Compensation, as of June 9, 2017.  Load factor = Employer cost for employee compensation ($35.28) / wages and salaries ($24.10) = 1.4639 </w:t>
      </w:r>
      <w:hyperlink r:id="rId2" w:history="1">
        <w:r w:rsidRPr="00F15970">
          <w:rPr>
            <w:rStyle w:val="Hyperlink"/>
            <w:rFonts w:ascii="Times New Roman" w:hAnsi="Times New Roman"/>
            <w:sz w:val="20"/>
          </w:rPr>
          <w:t>https://www.bls.gov/news.release/ecec.nr0.htm</w:t>
        </w:r>
      </w:hyperlink>
      <w:r w:rsidR="00F15970">
        <w:rPr>
          <w:rFonts w:ascii="Times New Roman" w:hAnsi="Times New Roman"/>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025F8B"/>
    <w:multiLevelType w:val="hybridMultilevel"/>
    <w:tmpl w:val="DF9263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20BE6B6A">
      <w:numFmt w:val="bullet"/>
      <w:lvlText w:val="–"/>
      <w:lvlJc w:val="left"/>
      <w:pPr>
        <w:ind w:left="1800" w:hanging="360"/>
      </w:pPr>
      <w:rPr>
        <w:rFonts w:ascii="Times New Roman" w:eastAsia="Calibri"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8974F4"/>
    <w:multiLevelType w:val="hybridMultilevel"/>
    <w:tmpl w:val="7CDC6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AE5E51"/>
    <w:multiLevelType w:val="hybridMultilevel"/>
    <w:tmpl w:val="00C2711E"/>
    <w:lvl w:ilvl="0" w:tplc="01126CB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9">
    <w:nsid w:val="21E87A66"/>
    <w:multiLevelType w:val="hybridMultilevel"/>
    <w:tmpl w:val="C456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CE6382"/>
    <w:multiLevelType w:val="hybridMultilevel"/>
    <w:tmpl w:val="F99691D4"/>
    <w:lvl w:ilvl="0" w:tplc="906268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5667AEB"/>
    <w:multiLevelType w:val="hybridMultilevel"/>
    <w:tmpl w:val="D6D44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28C707A7"/>
    <w:multiLevelType w:val="hybridMultilevel"/>
    <w:tmpl w:val="7CC05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nsid w:val="318446F6"/>
    <w:multiLevelType w:val="hybridMultilevel"/>
    <w:tmpl w:val="1EBEB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8">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0">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21">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3">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E1374C7"/>
    <w:multiLevelType w:val="hybridMultilevel"/>
    <w:tmpl w:val="8ADC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6">
    <w:nsid w:val="54383199"/>
    <w:multiLevelType w:val="hybridMultilevel"/>
    <w:tmpl w:val="F088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8">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9">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0">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31">
    <w:nsid w:val="5CAF00C7"/>
    <w:multiLevelType w:val="hybridMultilevel"/>
    <w:tmpl w:val="8E04B876"/>
    <w:lvl w:ilvl="0" w:tplc="1A020A2C">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33">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34">
    <w:nsid w:val="69971801"/>
    <w:multiLevelType w:val="hybridMultilevel"/>
    <w:tmpl w:val="44560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6">
    <w:nsid w:val="742879E0"/>
    <w:multiLevelType w:val="hybridMultilevel"/>
    <w:tmpl w:val="B61A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8">
    <w:nsid w:val="7BD84F08"/>
    <w:multiLevelType w:val="hybridMultilevel"/>
    <w:tmpl w:val="CB6A3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251272"/>
    <w:multiLevelType w:val="hybridMultilevel"/>
    <w:tmpl w:val="3752B828"/>
    <w:lvl w:ilvl="0" w:tplc="86DAE44E">
      <w:start w:val="1"/>
      <w:numFmt w:val="decimal"/>
      <w:lvlText w:val="%1."/>
      <w:lvlJc w:val="left"/>
      <w:pPr>
        <w:tabs>
          <w:tab w:val="num" w:pos="783"/>
        </w:tabs>
        <w:ind w:left="783" w:hanging="360"/>
      </w:pPr>
      <w:rPr>
        <w:rFonts w:cs="Times New Roman"/>
      </w:rPr>
    </w:lvl>
    <w:lvl w:ilvl="1" w:tplc="04090019">
      <w:start w:val="1"/>
      <w:numFmt w:val="lowerLetter"/>
      <w:lvlText w:val="%2."/>
      <w:lvlJc w:val="left"/>
      <w:pPr>
        <w:tabs>
          <w:tab w:val="num" w:pos="1503"/>
        </w:tabs>
        <w:ind w:left="1503" w:hanging="360"/>
      </w:pPr>
      <w:rPr>
        <w:rFonts w:cs="Times New Roman"/>
      </w:rPr>
    </w:lvl>
    <w:lvl w:ilvl="2" w:tplc="0409001B">
      <w:start w:val="1"/>
      <w:numFmt w:val="lowerRoman"/>
      <w:lvlText w:val="%3."/>
      <w:lvlJc w:val="right"/>
      <w:pPr>
        <w:tabs>
          <w:tab w:val="num" w:pos="2223"/>
        </w:tabs>
        <w:ind w:left="2223" w:hanging="180"/>
      </w:pPr>
      <w:rPr>
        <w:rFonts w:cs="Times New Roman"/>
      </w:rPr>
    </w:lvl>
    <w:lvl w:ilvl="3" w:tplc="0409000F">
      <w:start w:val="1"/>
      <w:numFmt w:val="decimal"/>
      <w:lvlText w:val="%4."/>
      <w:lvlJc w:val="left"/>
      <w:pPr>
        <w:tabs>
          <w:tab w:val="num" w:pos="2943"/>
        </w:tabs>
        <w:ind w:left="2943" w:hanging="360"/>
      </w:pPr>
      <w:rPr>
        <w:rFonts w:cs="Times New Roman"/>
      </w:rPr>
    </w:lvl>
    <w:lvl w:ilvl="4" w:tplc="04090019">
      <w:start w:val="1"/>
      <w:numFmt w:val="lowerLetter"/>
      <w:lvlText w:val="%5."/>
      <w:lvlJc w:val="left"/>
      <w:pPr>
        <w:tabs>
          <w:tab w:val="num" w:pos="3663"/>
        </w:tabs>
        <w:ind w:left="3663" w:hanging="360"/>
      </w:pPr>
      <w:rPr>
        <w:rFonts w:cs="Times New Roman"/>
      </w:rPr>
    </w:lvl>
    <w:lvl w:ilvl="5" w:tplc="0409001B">
      <w:start w:val="1"/>
      <w:numFmt w:val="lowerRoman"/>
      <w:lvlText w:val="%6."/>
      <w:lvlJc w:val="right"/>
      <w:pPr>
        <w:tabs>
          <w:tab w:val="num" w:pos="4383"/>
        </w:tabs>
        <w:ind w:left="4383" w:hanging="180"/>
      </w:pPr>
      <w:rPr>
        <w:rFonts w:cs="Times New Roman"/>
      </w:rPr>
    </w:lvl>
    <w:lvl w:ilvl="6" w:tplc="0409000F">
      <w:start w:val="1"/>
      <w:numFmt w:val="decimal"/>
      <w:lvlText w:val="%7."/>
      <w:lvlJc w:val="left"/>
      <w:pPr>
        <w:tabs>
          <w:tab w:val="num" w:pos="5103"/>
        </w:tabs>
        <w:ind w:left="5103" w:hanging="360"/>
      </w:pPr>
      <w:rPr>
        <w:rFonts w:cs="Times New Roman"/>
      </w:rPr>
    </w:lvl>
    <w:lvl w:ilvl="7" w:tplc="04090019">
      <w:start w:val="1"/>
      <w:numFmt w:val="lowerLetter"/>
      <w:lvlText w:val="%8."/>
      <w:lvlJc w:val="left"/>
      <w:pPr>
        <w:tabs>
          <w:tab w:val="num" w:pos="5823"/>
        </w:tabs>
        <w:ind w:left="5823" w:hanging="360"/>
      </w:pPr>
      <w:rPr>
        <w:rFonts w:cs="Times New Roman"/>
      </w:rPr>
    </w:lvl>
    <w:lvl w:ilvl="8" w:tplc="0409001B">
      <w:start w:val="1"/>
      <w:numFmt w:val="lowerRoman"/>
      <w:lvlText w:val="%9."/>
      <w:lvlJc w:val="right"/>
      <w:pPr>
        <w:tabs>
          <w:tab w:val="num" w:pos="6543"/>
        </w:tabs>
        <w:ind w:left="6543" w:hanging="180"/>
      </w:pPr>
      <w:rPr>
        <w:rFonts w:cs="Times New Roman"/>
      </w:rPr>
    </w:lvl>
  </w:abstractNum>
  <w:num w:numId="1">
    <w:abstractNumId w:val="8"/>
  </w:num>
  <w:num w:numId="2">
    <w:abstractNumId w:val="27"/>
  </w:num>
  <w:num w:numId="3">
    <w:abstractNumId w:val="30"/>
  </w:num>
  <w:num w:numId="4">
    <w:abstractNumId w:val="17"/>
  </w:num>
  <w:num w:numId="5">
    <w:abstractNumId w:val="20"/>
  </w:num>
  <w:num w:numId="6">
    <w:abstractNumId w:val="28"/>
  </w:num>
  <w:num w:numId="7">
    <w:abstractNumId w:val="29"/>
  </w:num>
  <w:num w:numId="8">
    <w:abstractNumId w:val="22"/>
  </w:num>
  <w:num w:numId="9">
    <w:abstractNumId w:val="14"/>
  </w:num>
  <w:num w:numId="10">
    <w:abstractNumId w:val="35"/>
  </w:num>
  <w:num w:numId="11">
    <w:abstractNumId w:val="19"/>
  </w:num>
  <w:num w:numId="12">
    <w:abstractNumId w:val="12"/>
  </w:num>
  <w:num w:numId="13">
    <w:abstractNumId w:val="37"/>
  </w:num>
  <w:num w:numId="14">
    <w:abstractNumId w:val="7"/>
  </w:num>
  <w:num w:numId="15">
    <w:abstractNumId w:val="21"/>
  </w:num>
  <w:num w:numId="16">
    <w:abstractNumId w:val="16"/>
  </w:num>
  <w:num w:numId="17">
    <w:abstractNumId w:val="33"/>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25"/>
  </w:num>
  <w:num w:numId="20">
    <w:abstractNumId w:val="32"/>
  </w:num>
  <w:num w:numId="21">
    <w:abstractNumId w:val="23"/>
  </w:num>
  <w:num w:numId="22">
    <w:abstractNumId w:val="18"/>
  </w:num>
  <w:num w:numId="23">
    <w:abstractNumId w:val="6"/>
  </w:num>
  <w:num w:numId="24">
    <w:abstractNumId w:val="4"/>
  </w:num>
  <w:num w:numId="25">
    <w:abstractNumId w:val="2"/>
  </w:num>
  <w:num w:numId="26">
    <w:abstractNumId w:val="15"/>
  </w:num>
  <w:num w:numId="27">
    <w:abstractNumId w:val="10"/>
  </w:num>
  <w:num w:numId="28">
    <w:abstractNumId w:val="24"/>
  </w:num>
  <w:num w:numId="29">
    <w:abstractNumId w:val="9"/>
  </w:num>
  <w:num w:numId="30">
    <w:abstractNumId w:val="5"/>
  </w:num>
  <w:num w:numId="31">
    <w:abstractNumId w:val="34"/>
  </w:num>
  <w:num w:numId="32">
    <w:abstractNumId w:val="13"/>
  </w:num>
  <w:num w:numId="33">
    <w:abstractNumId w:val="3"/>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11"/>
  </w:num>
  <w:num w:numId="3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36"/>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D6"/>
    <w:rsid w:val="00007D6C"/>
    <w:rsid w:val="00012F38"/>
    <w:rsid w:val="00012FBC"/>
    <w:rsid w:val="000152E2"/>
    <w:rsid w:val="00021222"/>
    <w:rsid w:val="00030734"/>
    <w:rsid w:val="00030F16"/>
    <w:rsid w:val="000319C5"/>
    <w:rsid w:val="000335C8"/>
    <w:rsid w:val="0003373E"/>
    <w:rsid w:val="00034394"/>
    <w:rsid w:val="0004261A"/>
    <w:rsid w:val="00042924"/>
    <w:rsid w:val="00043E87"/>
    <w:rsid w:val="000446A0"/>
    <w:rsid w:val="00047173"/>
    <w:rsid w:val="00051FDA"/>
    <w:rsid w:val="00053802"/>
    <w:rsid w:val="00061345"/>
    <w:rsid w:val="000614F9"/>
    <w:rsid w:val="00063F2E"/>
    <w:rsid w:val="0007164A"/>
    <w:rsid w:val="00074F58"/>
    <w:rsid w:val="00075D99"/>
    <w:rsid w:val="00075FED"/>
    <w:rsid w:val="00076EF2"/>
    <w:rsid w:val="000812FB"/>
    <w:rsid w:val="00081C88"/>
    <w:rsid w:val="000841ED"/>
    <w:rsid w:val="000868C3"/>
    <w:rsid w:val="00090656"/>
    <w:rsid w:val="000922AE"/>
    <w:rsid w:val="000928FD"/>
    <w:rsid w:val="000A1E17"/>
    <w:rsid w:val="000A4447"/>
    <w:rsid w:val="000A6FC5"/>
    <w:rsid w:val="000B0226"/>
    <w:rsid w:val="000B3BBD"/>
    <w:rsid w:val="000B765B"/>
    <w:rsid w:val="000B7E98"/>
    <w:rsid w:val="000C23A5"/>
    <w:rsid w:val="000C4293"/>
    <w:rsid w:val="000C45B5"/>
    <w:rsid w:val="000D09B9"/>
    <w:rsid w:val="000D26F2"/>
    <w:rsid w:val="000D378A"/>
    <w:rsid w:val="000D4303"/>
    <w:rsid w:val="000D614F"/>
    <w:rsid w:val="000E06D9"/>
    <w:rsid w:val="000E2AA4"/>
    <w:rsid w:val="000E2B46"/>
    <w:rsid w:val="000E473A"/>
    <w:rsid w:val="000E4D1D"/>
    <w:rsid w:val="000E617F"/>
    <w:rsid w:val="000E7B5C"/>
    <w:rsid w:val="000F7091"/>
    <w:rsid w:val="00102AC0"/>
    <w:rsid w:val="0010385A"/>
    <w:rsid w:val="00103975"/>
    <w:rsid w:val="001131AC"/>
    <w:rsid w:val="001137C6"/>
    <w:rsid w:val="0011570C"/>
    <w:rsid w:val="00117E88"/>
    <w:rsid w:val="0012297C"/>
    <w:rsid w:val="00124B6C"/>
    <w:rsid w:val="00125081"/>
    <w:rsid w:val="001303F3"/>
    <w:rsid w:val="00134FD9"/>
    <w:rsid w:val="00136CBD"/>
    <w:rsid w:val="00137A3D"/>
    <w:rsid w:val="001408DE"/>
    <w:rsid w:val="00140BA1"/>
    <w:rsid w:val="00141549"/>
    <w:rsid w:val="00141C5C"/>
    <w:rsid w:val="0014223C"/>
    <w:rsid w:val="00142A1C"/>
    <w:rsid w:val="00143ACC"/>
    <w:rsid w:val="00144247"/>
    <w:rsid w:val="00144B5B"/>
    <w:rsid w:val="00147462"/>
    <w:rsid w:val="001477BB"/>
    <w:rsid w:val="001509B7"/>
    <w:rsid w:val="0015270D"/>
    <w:rsid w:val="00157494"/>
    <w:rsid w:val="00162114"/>
    <w:rsid w:val="001629E4"/>
    <w:rsid w:val="00163546"/>
    <w:rsid w:val="00164E5D"/>
    <w:rsid w:val="00167E42"/>
    <w:rsid w:val="0017019A"/>
    <w:rsid w:val="0017051D"/>
    <w:rsid w:val="001712AB"/>
    <w:rsid w:val="0017206B"/>
    <w:rsid w:val="00173DC5"/>
    <w:rsid w:val="00175FCB"/>
    <w:rsid w:val="00177893"/>
    <w:rsid w:val="00180D39"/>
    <w:rsid w:val="00184E5B"/>
    <w:rsid w:val="00191158"/>
    <w:rsid w:val="001931A2"/>
    <w:rsid w:val="0019397A"/>
    <w:rsid w:val="001947F2"/>
    <w:rsid w:val="00194A62"/>
    <w:rsid w:val="00194B6F"/>
    <w:rsid w:val="00194B72"/>
    <w:rsid w:val="0019656B"/>
    <w:rsid w:val="00197B02"/>
    <w:rsid w:val="001A06CB"/>
    <w:rsid w:val="001A199D"/>
    <w:rsid w:val="001A2C95"/>
    <w:rsid w:val="001B06B5"/>
    <w:rsid w:val="001B2090"/>
    <w:rsid w:val="001B6DF0"/>
    <w:rsid w:val="001C18B1"/>
    <w:rsid w:val="001C4B22"/>
    <w:rsid w:val="001C4CC1"/>
    <w:rsid w:val="001C64C0"/>
    <w:rsid w:val="001C727D"/>
    <w:rsid w:val="001C7362"/>
    <w:rsid w:val="001D08BC"/>
    <w:rsid w:val="001D4CC3"/>
    <w:rsid w:val="001D5770"/>
    <w:rsid w:val="001D636F"/>
    <w:rsid w:val="001E159C"/>
    <w:rsid w:val="001E17E3"/>
    <w:rsid w:val="001E2724"/>
    <w:rsid w:val="001E7B49"/>
    <w:rsid w:val="001F0265"/>
    <w:rsid w:val="001F13C2"/>
    <w:rsid w:val="001F484D"/>
    <w:rsid w:val="00201BFB"/>
    <w:rsid w:val="00201FBF"/>
    <w:rsid w:val="00202869"/>
    <w:rsid w:val="00202D54"/>
    <w:rsid w:val="002030D4"/>
    <w:rsid w:val="0020492B"/>
    <w:rsid w:val="002049F0"/>
    <w:rsid w:val="00213663"/>
    <w:rsid w:val="00214F23"/>
    <w:rsid w:val="00216916"/>
    <w:rsid w:val="002200B0"/>
    <w:rsid w:val="00222489"/>
    <w:rsid w:val="0022399E"/>
    <w:rsid w:val="0022430B"/>
    <w:rsid w:val="00224C87"/>
    <w:rsid w:val="00225BAD"/>
    <w:rsid w:val="00225CF9"/>
    <w:rsid w:val="00226700"/>
    <w:rsid w:val="002303BF"/>
    <w:rsid w:val="002316F8"/>
    <w:rsid w:val="00232FB4"/>
    <w:rsid w:val="0023320C"/>
    <w:rsid w:val="00235123"/>
    <w:rsid w:val="002366B4"/>
    <w:rsid w:val="00236A83"/>
    <w:rsid w:val="00237711"/>
    <w:rsid w:val="00240BFA"/>
    <w:rsid w:val="002429AE"/>
    <w:rsid w:val="002478EC"/>
    <w:rsid w:val="00251725"/>
    <w:rsid w:val="00252EDB"/>
    <w:rsid w:val="00255794"/>
    <w:rsid w:val="00257015"/>
    <w:rsid w:val="002604EE"/>
    <w:rsid w:val="00262CEF"/>
    <w:rsid w:val="00264007"/>
    <w:rsid w:val="00264251"/>
    <w:rsid w:val="00264743"/>
    <w:rsid w:val="0026636C"/>
    <w:rsid w:val="00272CF0"/>
    <w:rsid w:val="00273D3C"/>
    <w:rsid w:val="00274234"/>
    <w:rsid w:val="0027503D"/>
    <w:rsid w:val="00275781"/>
    <w:rsid w:val="002763E4"/>
    <w:rsid w:val="0027717F"/>
    <w:rsid w:val="002824A6"/>
    <w:rsid w:val="0028293D"/>
    <w:rsid w:val="00284993"/>
    <w:rsid w:val="002856F4"/>
    <w:rsid w:val="002861DC"/>
    <w:rsid w:val="00286C9B"/>
    <w:rsid w:val="00290AAB"/>
    <w:rsid w:val="00290E95"/>
    <w:rsid w:val="00295BF4"/>
    <w:rsid w:val="00297C37"/>
    <w:rsid w:val="002A1898"/>
    <w:rsid w:val="002A2F93"/>
    <w:rsid w:val="002A32EA"/>
    <w:rsid w:val="002A7031"/>
    <w:rsid w:val="002B0649"/>
    <w:rsid w:val="002B3D0A"/>
    <w:rsid w:val="002B3D90"/>
    <w:rsid w:val="002B4BF6"/>
    <w:rsid w:val="002C05B0"/>
    <w:rsid w:val="002C0B76"/>
    <w:rsid w:val="002C3C87"/>
    <w:rsid w:val="002C4512"/>
    <w:rsid w:val="002C4DAB"/>
    <w:rsid w:val="002C51AB"/>
    <w:rsid w:val="002C58F3"/>
    <w:rsid w:val="002D0B6C"/>
    <w:rsid w:val="002D23B1"/>
    <w:rsid w:val="002D2910"/>
    <w:rsid w:val="002D6219"/>
    <w:rsid w:val="002E261F"/>
    <w:rsid w:val="002E3EAA"/>
    <w:rsid w:val="002E49C3"/>
    <w:rsid w:val="002F2317"/>
    <w:rsid w:val="002F2A01"/>
    <w:rsid w:val="002F5B17"/>
    <w:rsid w:val="002F7E19"/>
    <w:rsid w:val="00300503"/>
    <w:rsid w:val="003012DB"/>
    <w:rsid w:val="00301D1C"/>
    <w:rsid w:val="003027A6"/>
    <w:rsid w:val="003056D8"/>
    <w:rsid w:val="00307E90"/>
    <w:rsid w:val="00313FF1"/>
    <w:rsid w:val="003152E8"/>
    <w:rsid w:val="0031604D"/>
    <w:rsid w:val="003237A2"/>
    <w:rsid w:val="00325546"/>
    <w:rsid w:val="00325CD7"/>
    <w:rsid w:val="00325E69"/>
    <w:rsid w:val="003300C9"/>
    <w:rsid w:val="00331A0E"/>
    <w:rsid w:val="00332984"/>
    <w:rsid w:val="00332DB1"/>
    <w:rsid w:val="00333D1E"/>
    <w:rsid w:val="003350FE"/>
    <w:rsid w:val="00335341"/>
    <w:rsid w:val="00335F05"/>
    <w:rsid w:val="00341049"/>
    <w:rsid w:val="0034148A"/>
    <w:rsid w:val="0034700E"/>
    <w:rsid w:val="00353FB6"/>
    <w:rsid w:val="00355024"/>
    <w:rsid w:val="00356A87"/>
    <w:rsid w:val="00357539"/>
    <w:rsid w:val="00361D24"/>
    <w:rsid w:val="00362433"/>
    <w:rsid w:val="00364EE8"/>
    <w:rsid w:val="00365DC0"/>
    <w:rsid w:val="00366850"/>
    <w:rsid w:val="00370184"/>
    <w:rsid w:val="00371654"/>
    <w:rsid w:val="003717F5"/>
    <w:rsid w:val="00377D10"/>
    <w:rsid w:val="0038090D"/>
    <w:rsid w:val="00380C5B"/>
    <w:rsid w:val="00381F93"/>
    <w:rsid w:val="00383A50"/>
    <w:rsid w:val="00391A06"/>
    <w:rsid w:val="0039325E"/>
    <w:rsid w:val="00394081"/>
    <w:rsid w:val="00397469"/>
    <w:rsid w:val="003A034B"/>
    <w:rsid w:val="003A1309"/>
    <w:rsid w:val="003A1F8A"/>
    <w:rsid w:val="003A321A"/>
    <w:rsid w:val="003A3B94"/>
    <w:rsid w:val="003A4655"/>
    <w:rsid w:val="003A52E2"/>
    <w:rsid w:val="003B5E20"/>
    <w:rsid w:val="003B68FA"/>
    <w:rsid w:val="003B7F47"/>
    <w:rsid w:val="003C4777"/>
    <w:rsid w:val="003C4DD7"/>
    <w:rsid w:val="003C4DEC"/>
    <w:rsid w:val="003C600B"/>
    <w:rsid w:val="003D03CB"/>
    <w:rsid w:val="003D1F32"/>
    <w:rsid w:val="003D5D12"/>
    <w:rsid w:val="003D64C9"/>
    <w:rsid w:val="003E06B3"/>
    <w:rsid w:val="003E0D23"/>
    <w:rsid w:val="003E0D6D"/>
    <w:rsid w:val="003E10D7"/>
    <w:rsid w:val="003E2247"/>
    <w:rsid w:val="003E24E0"/>
    <w:rsid w:val="003E2CC1"/>
    <w:rsid w:val="003E3163"/>
    <w:rsid w:val="003E4418"/>
    <w:rsid w:val="003E6DD8"/>
    <w:rsid w:val="003F398B"/>
    <w:rsid w:val="003F7CE7"/>
    <w:rsid w:val="00400287"/>
    <w:rsid w:val="00405659"/>
    <w:rsid w:val="004076BD"/>
    <w:rsid w:val="004105FD"/>
    <w:rsid w:val="00411B1C"/>
    <w:rsid w:val="00413DCE"/>
    <w:rsid w:val="00413E8E"/>
    <w:rsid w:val="00415B7F"/>
    <w:rsid w:val="00421653"/>
    <w:rsid w:val="004419AE"/>
    <w:rsid w:val="004451B2"/>
    <w:rsid w:val="00447C3A"/>
    <w:rsid w:val="004557C9"/>
    <w:rsid w:val="0045673C"/>
    <w:rsid w:val="00460234"/>
    <w:rsid w:val="00461943"/>
    <w:rsid w:val="00462C47"/>
    <w:rsid w:val="004634FF"/>
    <w:rsid w:val="004674CD"/>
    <w:rsid w:val="00467F5A"/>
    <w:rsid w:val="00470291"/>
    <w:rsid w:val="00471F74"/>
    <w:rsid w:val="004721C1"/>
    <w:rsid w:val="004730DD"/>
    <w:rsid w:val="0047573C"/>
    <w:rsid w:val="00477728"/>
    <w:rsid w:val="00482F9B"/>
    <w:rsid w:val="00484F11"/>
    <w:rsid w:val="00487952"/>
    <w:rsid w:val="0049140F"/>
    <w:rsid w:val="0049579B"/>
    <w:rsid w:val="004959F3"/>
    <w:rsid w:val="0049665A"/>
    <w:rsid w:val="004A0DE6"/>
    <w:rsid w:val="004A37AC"/>
    <w:rsid w:val="004A42B4"/>
    <w:rsid w:val="004A6726"/>
    <w:rsid w:val="004B2801"/>
    <w:rsid w:val="004B62D9"/>
    <w:rsid w:val="004C21F8"/>
    <w:rsid w:val="004D1F95"/>
    <w:rsid w:val="004D2650"/>
    <w:rsid w:val="004E537E"/>
    <w:rsid w:val="004E66EF"/>
    <w:rsid w:val="004E7E4F"/>
    <w:rsid w:val="004F0405"/>
    <w:rsid w:val="004F18F8"/>
    <w:rsid w:val="004F19C6"/>
    <w:rsid w:val="004F4DDA"/>
    <w:rsid w:val="004F674D"/>
    <w:rsid w:val="005003FC"/>
    <w:rsid w:val="005023D3"/>
    <w:rsid w:val="00503BBC"/>
    <w:rsid w:val="0050542E"/>
    <w:rsid w:val="0050599A"/>
    <w:rsid w:val="0051005D"/>
    <w:rsid w:val="0051183F"/>
    <w:rsid w:val="00511CAB"/>
    <w:rsid w:val="005129EC"/>
    <w:rsid w:val="0051628E"/>
    <w:rsid w:val="00516DEE"/>
    <w:rsid w:val="0052007B"/>
    <w:rsid w:val="005202D4"/>
    <w:rsid w:val="0052056B"/>
    <w:rsid w:val="005205A1"/>
    <w:rsid w:val="0052360B"/>
    <w:rsid w:val="00530D52"/>
    <w:rsid w:val="00532B1A"/>
    <w:rsid w:val="005420D3"/>
    <w:rsid w:val="005465B0"/>
    <w:rsid w:val="0055051A"/>
    <w:rsid w:val="00550B78"/>
    <w:rsid w:val="00552202"/>
    <w:rsid w:val="00560EE9"/>
    <w:rsid w:val="00561E25"/>
    <w:rsid w:val="00565E2C"/>
    <w:rsid w:val="00573B59"/>
    <w:rsid w:val="005765FA"/>
    <w:rsid w:val="00580711"/>
    <w:rsid w:val="005817B5"/>
    <w:rsid w:val="00583276"/>
    <w:rsid w:val="00584E48"/>
    <w:rsid w:val="005924FE"/>
    <w:rsid w:val="0059264F"/>
    <w:rsid w:val="00596120"/>
    <w:rsid w:val="00596A43"/>
    <w:rsid w:val="005A0C14"/>
    <w:rsid w:val="005A4B93"/>
    <w:rsid w:val="005A6729"/>
    <w:rsid w:val="005A6F0F"/>
    <w:rsid w:val="005B1162"/>
    <w:rsid w:val="005B417F"/>
    <w:rsid w:val="005B5DC6"/>
    <w:rsid w:val="005B66C6"/>
    <w:rsid w:val="005B7C36"/>
    <w:rsid w:val="005C2689"/>
    <w:rsid w:val="005C3DCA"/>
    <w:rsid w:val="005C3FFD"/>
    <w:rsid w:val="005C7058"/>
    <w:rsid w:val="005D0717"/>
    <w:rsid w:val="005D1303"/>
    <w:rsid w:val="005D182B"/>
    <w:rsid w:val="005D6EC2"/>
    <w:rsid w:val="005D7769"/>
    <w:rsid w:val="005D781B"/>
    <w:rsid w:val="005E1CF5"/>
    <w:rsid w:val="005E701A"/>
    <w:rsid w:val="005F1384"/>
    <w:rsid w:val="005F13EE"/>
    <w:rsid w:val="005F2EDE"/>
    <w:rsid w:val="005F42CD"/>
    <w:rsid w:val="006026DF"/>
    <w:rsid w:val="00603FB0"/>
    <w:rsid w:val="006063FB"/>
    <w:rsid w:val="00612D26"/>
    <w:rsid w:val="006145D1"/>
    <w:rsid w:val="00615DFD"/>
    <w:rsid w:val="0062201B"/>
    <w:rsid w:val="00622034"/>
    <w:rsid w:val="006234EC"/>
    <w:rsid w:val="00623A28"/>
    <w:rsid w:val="00625391"/>
    <w:rsid w:val="0062628B"/>
    <w:rsid w:val="00626F37"/>
    <w:rsid w:val="00627829"/>
    <w:rsid w:val="00633A2A"/>
    <w:rsid w:val="00635885"/>
    <w:rsid w:val="0064028B"/>
    <w:rsid w:val="00642A4D"/>
    <w:rsid w:val="00650FC9"/>
    <w:rsid w:val="00652FA9"/>
    <w:rsid w:val="00657687"/>
    <w:rsid w:val="00657CAA"/>
    <w:rsid w:val="00660A2A"/>
    <w:rsid w:val="00662A05"/>
    <w:rsid w:val="006651B2"/>
    <w:rsid w:val="0067045D"/>
    <w:rsid w:val="006706ED"/>
    <w:rsid w:val="006749D4"/>
    <w:rsid w:val="00675C6E"/>
    <w:rsid w:val="006802E1"/>
    <w:rsid w:val="0068160F"/>
    <w:rsid w:val="0068258B"/>
    <w:rsid w:val="006851F3"/>
    <w:rsid w:val="00686C48"/>
    <w:rsid w:val="006949E9"/>
    <w:rsid w:val="006A006F"/>
    <w:rsid w:val="006A0B1C"/>
    <w:rsid w:val="006A46C0"/>
    <w:rsid w:val="006A7FF1"/>
    <w:rsid w:val="006B0DEB"/>
    <w:rsid w:val="006B2C01"/>
    <w:rsid w:val="006B2ED1"/>
    <w:rsid w:val="006B4994"/>
    <w:rsid w:val="006C01DC"/>
    <w:rsid w:val="006C6560"/>
    <w:rsid w:val="006D0D59"/>
    <w:rsid w:val="006D0E62"/>
    <w:rsid w:val="006D5286"/>
    <w:rsid w:val="006D5CCE"/>
    <w:rsid w:val="006D759C"/>
    <w:rsid w:val="006D785E"/>
    <w:rsid w:val="006D7D36"/>
    <w:rsid w:val="006E32D9"/>
    <w:rsid w:val="006F2233"/>
    <w:rsid w:val="006F3D6F"/>
    <w:rsid w:val="006F51D4"/>
    <w:rsid w:val="006F5E17"/>
    <w:rsid w:val="00701833"/>
    <w:rsid w:val="00706208"/>
    <w:rsid w:val="00707254"/>
    <w:rsid w:val="00711D0C"/>
    <w:rsid w:val="00714ACF"/>
    <w:rsid w:val="007243A3"/>
    <w:rsid w:val="00724F16"/>
    <w:rsid w:val="007260C4"/>
    <w:rsid w:val="007277A8"/>
    <w:rsid w:val="007277F0"/>
    <w:rsid w:val="00733474"/>
    <w:rsid w:val="00734731"/>
    <w:rsid w:val="00737166"/>
    <w:rsid w:val="0073717B"/>
    <w:rsid w:val="00741552"/>
    <w:rsid w:val="00741B83"/>
    <w:rsid w:val="00742F2D"/>
    <w:rsid w:val="007443F3"/>
    <w:rsid w:val="00751FC3"/>
    <w:rsid w:val="00752D76"/>
    <w:rsid w:val="00754FA1"/>
    <w:rsid w:val="00755271"/>
    <w:rsid w:val="00756145"/>
    <w:rsid w:val="007650F1"/>
    <w:rsid w:val="0077056F"/>
    <w:rsid w:val="00772C74"/>
    <w:rsid w:val="00773959"/>
    <w:rsid w:val="00773CE2"/>
    <w:rsid w:val="007748A9"/>
    <w:rsid w:val="00776A2D"/>
    <w:rsid w:val="00781A41"/>
    <w:rsid w:val="00781F62"/>
    <w:rsid w:val="00782C76"/>
    <w:rsid w:val="007840BD"/>
    <w:rsid w:val="0078555C"/>
    <w:rsid w:val="007872AE"/>
    <w:rsid w:val="007921BD"/>
    <w:rsid w:val="00792C74"/>
    <w:rsid w:val="007933AF"/>
    <w:rsid w:val="00796970"/>
    <w:rsid w:val="00797BAB"/>
    <w:rsid w:val="007A2650"/>
    <w:rsid w:val="007A2AE0"/>
    <w:rsid w:val="007A4AC2"/>
    <w:rsid w:val="007A6474"/>
    <w:rsid w:val="007B0EFB"/>
    <w:rsid w:val="007B469E"/>
    <w:rsid w:val="007C07DC"/>
    <w:rsid w:val="007C31ED"/>
    <w:rsid w:val="007C3D07"/>
    <w:rsid w:val="007C4376"/>
    <w:rsid w:val="007C4FDA"/>
    <w:rsid w:val="007C7961"/>
    <w:rsid w:val="007D0399"/>
    <w:rsid w:val="007D121F"/>
    <w:rsid w:val="007D4694"/>
    <w:rsid w:val="007D5CDE"/>
    <w:rsid w:val="007D5DFC"/>
    <w:rsid w:val="007E0EE9"/>
    <w:rsid w:val="007E1798"/>
    <w:rsid w:val="007E23BC"/>
    <w:rsid w:val="007E5414"/>
    <w:rsid w:val="007F1845"/>
    <w:rsid w:val="007F4684"/>
    <w:rsid w:val="007F4AB0"/>
    <w:rsid w:val="007F618A"/>
    <w:rsid w:val="007F61EC"/>
    <w:rsid w:val="007F79EE"/>
    <w:rsid w:val="00800C12"/>
    <w:rsid w:val="008012DB"/>
    <w:rsid w:val="008033A4"/>
    <w:rsid w:val="00807F01"/>
    <w:rsid w:val="00811875"/>
    <w:rsid w:val="00812DB3"/>
    <w:rsid w:val="00815799"/>
    <w:rsid w:val="00815DCA"/>
    <w:rsid w:val="00835F00"/>
    <w:rsid w:val="00840338"/>
    <w:rsid w:val="008419A6"/>
    <w:rsid w:val="00845072"/>
    <w:rsid w:val="008500FB"/>
    <w:rsid w:val="008507B6"/>
    <w:rsid w:val="00851950"/>
    <w:rsid w:val="00851BF1"/>
    <w:rsid w:val="00857DB0"/>
    <w:rsid w:val="00864900"/>
    <w:rsid w:val="00865E03"/>
    <w:rsid w:val="00867268"/>
    <w:rsid w:val="008719E8"/>
    <w:rsid w:val="00874908"/>
    <w:rsid w:val="00875358"/>
    <w:rsid w:val="00875586"/>
    <w:rsid w:val="008757D5"/>
    <w:rsid w:val="008776F1"/>
    <w:rsid w:val="0088004F"/>
    <w:rsid w:val="008804CB"/>
    <w:rsid w:val="008818AD"/>
    <w:rsid w:val="008841D1"/>
    <w:rsid w:val="008846D0"/>
    <w:rsid w:val="00887178"/>
    <w:rsid w:val="00887465"/>
    <w:rsid w:val="008902F2"/>
    <w:rsid w:val="00890CD6"/>
    <w:rsid w:val="008924F0"/>
    <w:rsid w:val="00893285"/>
    <w:rsid w:val="0089702F"/>
    <w:rsid w:val="008A165F"/>
    <w:rsid w:val="008A221D"/>
    <w:rsid w:val="008A6433"/>
    <w:rsid w:val="008A698A"/>
    <w:rsid w:val="008B48DF"/>
    <w:rsid w:val="008B6F62"/>
    <w:rsid w:val="008B7403"/>
    <w:rsid w:val="008C27C3"/>
    <w:rsid w:val="008C3EEB"/>
    <w:rsid w:val="008D0717"/>
    <w:rsid w:val="008D5389"/>
    <w:rsid w:val="008D61ED"/>
    <w:rsid w:val="008D67A1"/>
    <w:rsid w:val="008D744F"/>
    <w:rsid w:val="008E0177"/>
    <w:rsid w:val="008E1D41"/>
    <w:rsid w:val="008E2272"/>
    <w:rsid w:val="008E4003"/>
    <w:rsid w:val="008E4152"/>
    <w:rsid w:val="008E66EF"/>
    <w:rsid w:val="008F04E6"/>
    <w:rsid w:val="008F052E"/>
    <w:rsid w:val="008F11B7"/>
    <w:rsid w:val="008F2F44"/>
    <w:rsid w:val="008F5BEE"/>
    <w:rsid w:val="008F6BDE"/>
    <w:rsid w:val="00901413"/>
    <w:rsid w:val="00901511"/>
    <w:rsid w:val="00902E4B"/>
    <w:rsid w:val="00903907"/>
    <w:rsid w:val="00904847"/>
    <w:rsid w:val="00904ADE"/>
    <w:rsid w:val="00905165"/>
    <w:rsid w:val="00913A27"/>
    <w:rsid w:val="00920888"/>
    <w:rsid w:val="00922690"/>
    <w:rsid w:val="00923AD6"/>
    <w:rsid w:val="00924C84"/>
    <w:rsid w:val="00927F62"/>
    <w:rsid w:val="00932CAA"/>
    <w:rsid w:val="00932FFA"/>
    <w:rsid w:val="00934736"/>
    <w:rsid w:val="0093542A"/>
    <w:rsid w:val="00937218"/>
    <w:rsid w:val="00942617"/>
    <w:rsid w:val="00943218"/>
    <w:rsid w:val="0094389A"/>
    <w:rsid w:val="00944494"/>
    <w:rsid w:val="009501B2"/>
    <w:rsid w:val="009539A8"/>
    <w:rsid w:val="009554BF"/>
    <w:rsid w:val="00955CEC"/>
    <w:rsid w:val="00956B05"/>
    <w:rsid w:val="0096157F"/>
    <w:rsid w:val="00961FD6"/>
    <w:rsid w:val="0096453F"/>
    <w:rsid w:val="00964B42"/>
    <w:rsid w:val="00966A9D"/>
    <w:rsid w:val="0096736F"/>
    <w:rsid w:val="0097036B"/>
    <w:rsid w:val="00970F4C"/>
    <w:rsid w:val="009719C4"/>
    <w:rsid w:val="00972525"/>
    <w:rsid w:val="0097297B"/>
    <w:rsid w:val="00974861"/>
    <w:rsid w:val="00975222"/>
    <w:rsid w:val="00977BDE"/>
    <w:rsid w:val="0099373A"/>
    <w:rsid w:val="0099376A"/>
    <w:rsid w:val="00993D36"/>
    <w:rsid w:val="00993F06"/>
    <w:rsid w:val="00995211"/>
    <w:rsid w:val="00997031"/>
    <w:rsid w:val="009A3229"/>
    <w:rsid w:val="009A326B"/>
    <w:rsid w:val="009A6033"/>
    <w:rsid w:val="009A7B24"/>
    <w:rsid w:val="009B027B"/>
    <w:rsid w:val="009B4A68"/>
    <w:rsid w:val="009B56E4"/>
    <w:rsid w:val="009C0824"/>
    <w:rsid w:val="009C1C07"/>
    <w:rsid w:val="009C4611"/>
    <w:rsid w:val="009C4719"/>
    <w:rsid w:val="009C4B11"/>
    <w:rsid w:val="009D0EDC"/>
    <w:rsid w:val="009D203D"/>
    <w:rsid w:val="009D24C7"/>
    <w:rsid w:val="009D43FC"/>
    <w:rsid w:val="009D68D4"/>
    <w:rsid w:val="009D774A"/>
    <w:rsid w:val="009E1A57"/>
    <w:rsid w:val="009E6AD9"/>
    <w:rsid w:val="009E6B0A"/>
    <w:rsid w:val="009F0537"/>
    <w:rsid w:val="009F06EB"/>
    <w:rsid w:val="009F4DFA"/>
    <w:rsid w:val="009F5E5D"/>
    <w:rsid w:val="00A00007"/>
    <w:rsid w:val="00A00743"/>
    <w:rsid w:val="00A026D0"/>
    <w:rsid w:val="00A02BCC"/>
    <w:rsid w:val="00A031F6"/>
    <w:rsid w:val="00A0583E"/>
    <w:rsid w:val="00A0781B"/>
    <w:rsid w:val="00A1096A"/>
    <w:rsid w:val="00A13472"/>
    <w:rsid w:val="00A203F1"/>
    <w:rsid w:val="00A2299D"/>
    <w:rsid w:val="00A252DB"/>
    <w:rsid w:val="00A3144D"/>
    <w:rsid w:val="00A35C1C"/>
    <w:rsid w:val="00A37F3A"/>
    <w:rsid w:val="00A403FE"/>
    <w:rsid w:val="00A409BD"/>
    <w:rsid w:val="00A41852"/>
    <w:rsid w:val="00A42A18"/>
    <w:rsid w:val="00A42D53"/>
    <w:rsid w:val="00A476C3"/>
    <w:rsid w:val="00A476E8"/>
    <w:rsid w:val="00A519AD"/>
    <w:rsid w:val="00A53AE1"/>
    <w:rsid w:val="00A55B74"/>
    <w:rsid w:val="00A5726C"/>
    <w:rsid w:val="00A60B8F"/>
    <w:rsid w:val="00A60C89"/>
    <w:rsid w:val="00A619E0"/>
    <w:rsid w:val="00A65E5C"/>
    <w:rsid w:val="00A661C1"/>
    <w:rsid w:val="00A729A8"/>
    <w:rsid w:val="00A74E92"/>
    <w:rsid w:val="00A80BBE"/>
    <w:rsid w:val="00A91A13"/>
    <w:rsid w:val="00A93C8C"/>
    <w:rsid w:val="00A95256"/>
    <w:rsid w:val="00A95B24"/>
    <w:rsid w:val="00A96421"/>
    <w:rsid w:val="00A96B0A"/>
    <w:rsid w:val="00A96D3D"/>
    <w:rsid w:val="00A97598"/>
    <w:rsid w:val="00AA191A"/>
    <w:rsid w:val="00AA25F7"/>
    <w:rsid w:val="00AA3F82"/>
    <w:rsid w:val="00AA43F8"/>
    <w:rsid w:val="00AA5E85"/>
    <w:rsid w:val="00AA6813"/>
    <w:rsid w:val="00AA7483"/>
    <w:rsid w:val="00AB0D3B"/>
    <w:rsid w:val="00AB13B4"/>
    <w:rsid w:val="00AB1992"/>
    <w:rsid w:val="00AC50A2"/>
    <w:rsid w:val="00AC539C"/>
    <w:rsid w:val="00AC542E"/>
    <w:rsid w:val="00AD4377"/>
    <w:rsid w:val="00AD4F4D"/>
    <w:rsid w:val="00AE03A7"/>
    <w:rsid w:val="00AE0D1F"/>
    <w:rsid w:val="00AE41B7"/>
    <w:rsid w:val="00AE5F5F"/>
    <w:rsid w:val="00AE5FC7"/>
    <w:rsid w:val="00AE7121"/>
    <w:rsid w:val="00AF2A70"/>
    <w:rsid w:val="00AF4918"/>
    <w:rsid w:val="00B00142"/>
    <w:rsid w:val="00B01833"/>
    <w:rsid w:val="00B02152"/>
    <w:rsid w:val="00B10543"/>
    <w:rsid w:val="00B11B5A"/>
    <w:rsid w:val="00B12194"/>
    <w:rsid w:val="00B139CF"/>
    <w:rsid w:val="00B141AD"/>
    <w:rsid w:val="00B16A82"/>
    <w:rsid w:val="00B17D05"/>
    <w:rsid w:val="00B20BCA"/>
    <w:rsid w:val="00B35A9A"/>
    <w:rsid w:val="00B35F31"/>
    <w:rsid w:val="00B36DF9"/>
    <w:rsid w:val="00B379C5"/>
    <w:rsid w:val="00B410FE"/>
    <w:rsid w:val="00B42C8B"/>
    <w:rsid w:val="00B44EDF"/>
    <w:rsid w:val="00B562F3"/>
    <w:rsid w:val="00B57157"/>
    <w:rsid w:val="00B67664"/>
    <w:rsid w:val="00B701F3"/>
    <w:rsid w:val="00B71FD9"/>
    <w:rsid w:val="00B72A14"/>
    <w:rsid w:val="00B80047"/>
    <w:rsid w:val="00B8129D"/>
    <w:rsid w:val="00B81EA0"/>
    <w:rsid w:val="00B87DAF"/>
    <w:rsid w:val="00B91395"/>
    <w:rsid w:val="00B92268"/>
    <w:rsid w:val="00B977F9"/>
    <w:rsid w:val="00BA11D1"/>
    <w:rsid w:val="00BA1288"/>
    <w:rsid w:val="00BA190A"/>
    <w:rsid w:val="00BA2768"/>
    <w:rsid w:val="00BA3505"/>
    <w:rsid w:val="00BA5E0A"/>
    <w:rsid w:val="00BA6C17"/>
    <w:rsid w:val="00BA7168"/>
    <w:rsid w:val="00BB0387"/>
    <w:rsid w:val="00BB4B31"/>
    <w:rsid w:val="00BB4B67"/>
    <w:rsid w:val="00BB7BCF"/>
    <w:rsid w:val="00BC0228"/>
    <w:rsid w:val="00BC267F"/>
    <w:rsid w:val="00BC3728"/>
    <w:rsid w:val="00BC4542"/>
    <w:rsid w:val="00BC488D"/>
    <w:rsid w:val="00BC5FE4"/>
    <w:rsid w:val="00BD18B5"/>
    <w:rsid w:val="00BD28D0"/>
    <w:rsid w:val="00BD3BF0"/>
    <w:rsid w:val="00BD3D06"/>
    <w:rsid w:val="00BE255D"/>
    <w:rsid w:val="00BE3FBE"/>
    <w:rsid w:val="00BE4B9B"/>
    <w:rsid w:val="00BF1853"/>
    <w:rsid w:val="00BF6306"/>
    <w:rsid w:val="00C016F2"/>
    <w:rsid w:val="00C05296"/>
    <w:rsid w:val="00C10ACB"/>
    <w:rsid w:val="00C13839"/>
    <w:rsid w:val="00C15A84"/>
    <w:rsid w:val="00C2103E"/>
    <w:rsid w:val="00C234A4"/>
    <w:rsid w:val="00C2381D"/>
    <w:rsid w:val="00C30EE1"/>
    <w:rsid w:val="00C33FAA"/>
    <w:rsid w:val="00C3419E"/>
    <w:rsid w:val="00C358E7"/>
    <w:rsid w:val="00C40FA7"/>
    <w:rsid w:val="00C443A2"/>
    <w:rsid w:val="00C44E10"/>
    <w:rsid w:val="00C45C31"/>
    <w:rsid w:val="00C47E83"/>
    <w:rsid w:val="00C51AB4"/>
    <w:rsid w:val="00C520DC"/>
    <w:rsid w:val="00C54977"/>
    <w:rsid w:val="00C6003F"/>
    <w:rsid w:val="00C60BB8"/>
    <w:rsid w:val="00C61DA2"/>
    <w:rsid w:val="00C62231"/>
    <w:rsid w:val="00C642E2"/>
    <w:rsid w:val="00C64CB1"/>
    <w:rsid w:val="00C65903"/>
    <w:rsid w:val="00C678E0"/>
    <w:rsid w:val="00C71E27"/>
    <w:rsid w:val="00C75797"/>
    <w:rsid w:val="00C7606A"/>
    <w:rsid w:val="00C77539"/>
    <w:rsid w:val="00C779D3"/>
    <w:rsid w:val="00C831D5"/>
    <w:rsid w:val="00C84338"/>
    <w:rsid w:val="00C870BD"/>
    <w:rsid w:val="00C92E87"/>
    <w:rsid w:val="00C93CCC"/>
    <w:rsid w:val="00CA0C09"/>
    <w:rsid w:val="00CA12C1"/>
    <w:rsid w:val="00CA51E1"/>
    <w:rsid w:val="00CA6203"/>
    <w:rsid w:val="00CA7AF8"/>
    <w:rsid w:val="00CB168E"/>
    <w:rsid w:val="00CB29B4"/>
    <w:rsid w:val="00CB6507"/>
    <w:rsid w:val="00CB7D71"/>
    <w:rsid w:val="00CC01BF"/>
    <w:rsid w:val="00CC4A0F"/>
    <w:rsid w:val="00CC5DCF"/>
    <w:rsid w:val="00CD1084"/>
    <w:rsid w:val="00CD2DFE"/>
    <w:rsid w:val="00CD3B51"/>
    <w:rsid w:val="00CD6A6F"/>
    <w:rsid w:val="00CD6A8F"/>
    <w:rsid w:val="00CE19D3"/>
    <w:rsid w:val="00CE21BA"/>
    <w:rsid w:val="00CE27ED"/>
    <w:rsid w:val="00CE3326"/>
    <w:rsid w:val="00CE3D0D"/>
    <w:rsid w:val="00CE3D1A"/>
    <w:rsid w:val="00CE67E1"/>
    <w:rsid w:val="00CF229B"/>
    <w:rsid w:val="00CF45CF"/>
    <w:rsid w:val="00CF4958"/>
    <w:rsid w:val="00CF6775"/>
    <w:rsid w:val="00D02DD1"/>
    <w:rsid w:val="00D0468F"/>
    <w:rsid w:val="00D046A7"/>
    <w:rsid w:val="00D0470C"/>
    <w:rsid w:val="00D04C05"/>
    <w:rsid w:val="00D07069"/>
    <w:rsid w:val="00D10E10"/>
    <w:rsid w:val="00D159AF"/>
    <w:rsid w:val="00D15B5F"/>
    <w:rsid w:val="00D240D5"/>
    <w:rsid w:val="00D25CCE"/>
    <w:rsid w:val="00D30811"/>
    <w:rsid w:val="00D32670"/>
    <w:rsid w:val="00D32EA8"/>
    <w:rsid w:val="00D331D9"/>
    <w:rsid w:val="00D3411B"/>
    <w:rsid w:val="00D37376"/>
    <w:rsid w:val="00D41D58"/>
    <w:rsid w:val="00D4677B"/>
    <w:rsid w:val="00D46C67"/>
    <w:rsid w:val="00D4763E"/>
    <w:rsid w:val="00D51BF2"/>
    <w:rsid w:val="00D51CD7"/>
    <w:rsid w:val="00D52A47"/>
    <w:rsid w:val="00D62B3B"/>
    <w:rsid w:val="00D66BEA"/>
    <w:rsid w:val="00D70A24"/>
    <w:rsid w:val="00D735EE"/>
    <w:rsid w:val="00D73BBC"/>
    <w:rsid w:val="00D76A57"/>
    <w:rsid w:val="00D82A65"/>
    <w:rsid w:val="00D8324C"/>
    <w:rsid w:val="00D86023"/>
    <w:rsid w:val="00D87B2D"/>
    <w:rsid w:val="00D908A1"/>
    <w:rsid w:val="00D93841"/>
    <w:rsid w:val="00D93EC7"/>
    <w:rsid w:val="00DA0968"/>
    <w:rsid w:val="00DA1065"/>
    <w:rsid w:val="00DA2464"/>
    <w:rsid w:val="00DA2838"/>
    <w:rsid w:val="00DA580C"/>
    <w:rsid w:val="00DA7978"/>
    <w:rsid w:val="00DB0532"/>
    <w:rsid w:val="00DB2A92"/>
    <w:rsid w:val="00DB5390"/>
    <w:rsid w:val="00DB66E6"/>
    <w:rsid w:val="00DB6BCE"/>
    <w:rsid w:val="00DB6F95"/>
    <w:rsid w:val="00DC19A2"/>
    <w:rsid w:val="00DC6626"/>
    <w:rsid w:val="00DC6AFC"/>
    <w:rsid w:val="00DC6B82"/>
    <w:rsid w:val="00DC6E79"/>
    <w:rsid w:val="00DD2846"/>
    <w:rsid w:val="00DD300E"/>
    <w:rsid w:val="00DD4865"/>
    <w:rsid w:val="00DD6682"/>
    <w:rsid w:val="00DE157A"/>
    <w:rsid w:val="00DE477B"/>
    <w:rsid w:val="00DE4837"/>
    <w:rsid w:val="00DE56AF"/>
    <w:rsid w:val="00DE5A0B"/>
    <w:rsid w:val="00DF4A80"/>
    <w:rsid w:val="00DF62FF"/>
    <w:rsid w:val="00E04095"/>
    <w:rsid w:val="00E04F38"/>
    <w:rsid w:val="00E055B5"/>
    <w:rsid w:val="00E05BC3"/>
    <w:rsid w:val="00E11CF1"/>
    <w:rsid w:val="00E12104"/>
    <w:rsid w:val="00E12711"/>
    <w:rsid w:val="00E14151"/>
    <w:rsid w:val="00E15621"/>
    <w:rsid w:val="00E176E9"/>
    <w:rsid w:val="00E17A04"/>
    <w:rsid w:val="00E17CB3"/>
    <w:rsid w:val="00E20428"/>
    <w:rsid w:val="00E2259C"/>
    <w:rsid w:val="00E2481E"/>
    <w:rsid w:val="00E25833"/>
    <w:rsid w:val="00E25F04"/>
    <w:rsid w:val="00E25F29"/>
    <w:rsid w:val="00E304FF"/>
    <w:rsid w:val="00E3526C"/>
    <w:rsid w:val="00E35453"/>
    <w:rsid w:val="00E3716C"/>
    <w:rsid w:val="00E40066"/>
    <w:rsid w:val="00E4308A"/>
    <w:rsid w:val="00E44D2B"/>
    <w:rsid w:val="00E4592E"/>
    <w:rsid w:val="00E476EF"/>
    <w:rsid w:val="00E5361C"/>
    <w:rsid w:val="00E54806"/>
    <w:rsid w:val="00E55458"/>
    <w:rsid w:val="00E55CE5"/>
    <w:rsid w:val="00E57A4C"/>
    <w:rsid w:val="00E57C22"/>
    <w:rsid w:val="00E661C6"/>
    <w:rsid w:val="00E66202"/>
    <w:rsid w:val="00E70B74"/>
    <w:rsid w:val="00E713D2"/>
    <w:rsid w:val="00E7329F"/>
    <w:rsid w:val="00E7377C"/>
    <w:rsid w:val="00E74371"/>
    <w:rsid w:val="00E76612"/>
    <w:rsid w:val="00E84D7B"/>
    <w:rsid w:val="00E8656A"/>
    <w:rsid w:val="00E953CA"/>
    <w:rsid w:val="00E95985"/>
    <w:rsid w:val="00EA5B26"/>
    <w:rsid w:val="00EA76B3"/>
    <w:rsid w:val="00EB14F4"/>
    <w:rsid w:val="00EB1D22"/>
    <w:rsid w:val="00EB2374"/>
    <w:rsid w:val="00EB5E96"/>
    <w:rsid w:val="00EB5F67"/>
    <w:rsid w:val="00EC0905"/>
    <w:rsid w:val="00EC3D25"/>
    <w:rsid w:val="00ED22FF"/>
    <w:rsid w:val="00ED4321"/>
    <w:rsid w:val="00EE4009"/>
    <w:rsid w:val="00EE53BE"/>
    <w:rsid w:val="00EF105B"/>
    <w:rsid w:val="00EF1A44"/>
    <w:rsid w:val="00EF2B4F"/>
    <w:rsid w:val="00EF73D7"/>
    <w:rsid w:val="00EF77F2"/>
    <w:rsid w:val="00F02679"/>
    <w:rsid w:val="00F049F5"/>
    <w:rsid w:val="00F10442"/>
    <w:rsid w:val="00F15970"/>
    <w:rsid w:val="00F16A58"/>
    <w:rsid w:val="00F23581"/>
    <w:rsid w:val="00F3212F"/>
    <w:rsid w:val="00F33B1A"/>
    <w:rsid w:val="00F36245"/>
    <w:rsid w:val="00F3624A"/>
    <w:rsid w:val="00F37F32"/>
    <w:rsid w:val="00F40914"/>
    <w:rsid w:val="00F415B7"/>
    <w:rsid w:val="00F432B3"/>
    <w:rsid w:val="00F43F2B"/>
    <w:rsid w:val="00F4411A"/>
    <w:rsid w:val="00F446EA"/>
    <w:rsid w:val="00F51D85"/>
    <w:rsid w:val="00F53BC3"/>
    <w:rsid w:val="00F55FF0"/>
    <w:rsid w:val="00F60199"/>
    <w:rsid w:val="00F602A2"/>
    <w:rsid w:val="00F61FDF"/>
    <w:rsid w:val="00F62B7A"/>
    <w:rsid w:val="00F63027"/>
    <w:rsid w:val="00F6402F"/>
    <w:rsid w:val="00F70F03"/>
    <w:rsid w:val="00F77545"/>
    <w:rsid w:val="00F80569"/>
    <w:rsid w:val="00F80B48"/>
    <w:rsid w:val="00F83A44"/>
    <w:rsid w:val="00F87BE0"/>
    <w:rsid w:val="00F930EE"/>
    <w:rsid w:val="00F93B08"/>
    <w:rsid w:val="00FA1B63"/>
    <w:rsid w:val="00FA26AE"/>
    <w:rsid w:val="00FA7BB7"/>
    <w:rsid w:val="00FC32A8"/>
    <w:rsid w:val="00FC398B"/>
    <w:rsid w:val="00FC47F5"/>
    <w:rsid w:val="00FC4AAA"/>
    <w:rsid w:val="00FC4E01"/>
    <w:rsid w:val="00FC5E47"/>
    <w:rsid w:val="00FD232E"/>
    <w:rsid w:val="00FD2846"/>
    <w:rsid w:val="00FE0A5A"/>
    <w:rsid w:val="00FE25B3"/>
    <w:rsid w:val="00FE535E"/>
    <w:rsid w:val="00FE5940"/>
    <w:rsid w:val="00FE65BC"/>
    <w:rsid w:val="00FF1073"/>
    <w:rsid w:val="00FF3262"/>
    <w:rsid w:val="00FF39AE"/>
    <w:rsid w:val="00FF6A47"/>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8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link w:val="Heading2Char"/>
    <w:semiHidden/>
    <w:unhideWhenUsed/>
    <w:qFormat/>
    <w:rsid w:val="00E57C2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E57C2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uiPriority w:val="99"/>
    <w:rsid w:val="008F2F44"/>
    <w:rPr>
      <w:sz w:val="16"/>
      <w:szCs w:val="16"/>
    </w:rPr>
  </w:style>
  <w:style w:type="paragraph" w:styleId="CommentText">
    <w:name w:val="annotation text"/>
    <w:basedOn w:val="Normal"/>
    <w:link w:val="CommentTextChar"/>
    <w:uiPriority w:val="99"/>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Normal"/>
    <w:rsid w:val="00E57C22"/>
    <w:pPr>
      <w:jc w:val="center"/>
    </w:pPr>
    <w:rPr>
      <w:rFonts w:ascii="Book Antiqua" w:hAnsi="Book Antiqua"/>
      <w:b/>
      <w:bCs/>
      <w:sz w:val="28"/>
      <w:szCs w:val="20"/>
    </w:rPr>
  </w:style>
  <w:style w:type="character" w:customStyle="1" w:styleId="Heading2Char">
    <w:name w:val="Heading 2 Char"/>
    <w:link w:val="Heading2"/>
    <w:semiHidden/>
    <w:rsid w:val="00E57C22"/>
    <w:rPr>
      <w:rFonts w:ascii="Calibri Light" w:eastAsia="Times New Roman" w:hAnsi="Calibri Light" w:cs="Times New Roman"/>
      <w:b/>
      <w:bCs/>
      <w:i/>
      <w:iCs/>
      <w:sz w:val="28"/>
      <w:szCs w:val="28"/>
    </w:rPr>
  </w:style>
  <w:style w:type="character" w:customStyle="1" w:styleId="Heading3Char">
    <w:name w:val="Heading 3 Char"/>
    <w:link w:val="Heading3"/>
    <w:semiHidden/>
    <w:rsid w:val="00E57C22"/>
    <w:rPr>
      <w:rFonts w:ascii="Calibri Light" w:eastAsia="Times New Roman" w:hAnsi="Calibri Light" w:cs="Times New Roman"/>
      <w:b/>
      <w:bCs/>
      <w:sz w:val="26"/>
      <w:szCs w:val="26"/>
    </w:rPr>
  </w:style>
  <w:style w:type="paragraph" w:customStyle="1" w:styleId="StyleBodyTimesNewRoman12pt">
    <w:name w:val="Style Body + Times New Roman 12 pt"/>
    <w:basedOn w:val="Normal"/>
    <w:link w:val="StyleBodyTimesNewRoman12ptChar"/>
    <w:rsid w:val="00E57C22"/>
    <w:pPr>
      <w:spacing w:line="271" w:lineRule="auto"/>
      <w:ind w:firstLine="720"/>
      <w:jc w:val="both"/>
    </w:pPr>
    <w:rPr>
      <w:szCs w:val="20"/>
    </w:rPr>
  </w:style>
  <w:style w:type="character" w:customStyle="1" w:styleId="StyleBodyTimesNewRoman12ptChar">
    <w:name w:val="Style Body + Times New Roman 12 pt Char"/>
    <w:link w:val="StyleBodyTimesNewRoman12pt"/>
    <w:locked/>
    <w:rsid w:val="00E57C22"/>
    <w:rPr>
      <w:sz w:val="24"/>
    </w:rPr>
  </w:style>
  <w:style w:type="paragraph" w:styleId="ListParagraph">
    <w:name w:val="List Paragraph"/>
    <w:basedOn w:val="Normal"/>
    <w:link w:val="ListParagraphChar"/>
    <w:uiPriority w:val="34"/>
    <w:qFormat/>
    <w:rsid w:val="00E57C22"/>
    <w:pPr>
      <w:ind w:left="720"/>
      <w:contextualSpacing/>
    </w:pPr>
    <w:rPr>
      <w:rFonts w:ascii="Book Antiqua" w:hAnsi="Book Antiqua"/>
      <w:szCs w:val="20"/>
    </w:rPr>
  </w:style>
  <w:style w:type="paragraph" w:styleId="FootnoteText">
    <w:name w:val="footnote text"/>
    <w:basedOn w:val="Normal"/>
    <w:link w:val="FootnoteTextChar"/>
    <w:uiPriority w:val="99"/>
    <w:rsid w:val="00E57C22"/>
    <w:rPr>
      <w:rFonts w:ascii="Book Antiqua" w:hAnsi="Book Antiqua"/>
      <w:szCs w:val="20"/>
    </w:rPr>
  </w:style>
  <w:style w:type="character" w:customStyle="1" w:styleId="FootnoteTextChar">
    <w:name w:val="Footnote Text Char"/>
    <w:link w:val="FootnoteText"/>
    <w:uiPriority w:val="99"/>
    <w:rsid w:val="00E57C22"/>
    <w:rPr>
      <w:rFonts w:ascii="Book Antiqua" w:hAnsi="Book Antiqua"/>
      <w:sz w:val="24"/>
    </w:rPr>
  </w:style>
  <w:style w:type="character" w:styleId="FootnoteReference">
    <w:name w:val="footnote reference"/>
    <w:rsid w:val="00E57C22"/>
    <w:rPr>
      <w:vertAlign w:val="superscript"/>
    </w:rPr>
  </w:style>
  <w:style w:type="paragraph" w:styleId="Revision">
    <w:name w:val="Revision"/>
    <w:hidden/>
    <w:uiPriority w:val="99"/>
    <w:semiHidden/>
    <w:rsid w:val="00901413"/>
    <w:rPr>
      <w:sz w:val="24"/>
      <w:szCs w:val="24"/>
    </w:rPr>
  </w:style>
  <w:style w:type="character" w:customStyle="1" w:styleId="ListParagraphChar">
    <w:name w:val="List Paragraph Char"/>
    <w:link w:val="ListParagraph"/>
    <w:uiPriority w:val="99"/>
    <w:locked/>
    <w:rsid w:val="006B0DEB"/>
    <w:rPr>
      <w:rFonts w:ascii="Book Antiqua" w:hAnsi="Book Antiqua"/>
      <w:sz w:val="24"/>
    </w:rPr>
  </w:style>
  <w:style w:type="paragraph" w:customStyle="1" w:styleId="StyleHeading1Left-038">
    <w:name w:val="Style Heading 1 + Left:  -0.38&quot;"/>
    <w:basedOn w:val="Heading1"/>
    <w:autoRedefine/>
    <w:rsid w:val="003E06B3"/>
    <w:pPr>
      <w:tabs>
        <w:tab w:val="clear" w:pos="-720"/>
        <w:tab w:val="left" w:pos="0"/>
      </w:tabs>
      <w:suppressAutoHyphens w:val="0"/>
      <w:spacing w:before="240" w:after="60"/>
      <w:ind w:hanging="540"/>
    </w:pPr>
    <w:rPr>
      <w:rFonts w:ascii="Book Antiqua" w:hAnsi="Book Antiqua"/>
      <w:bCs/>
      <w:kern w:val="32"/>
      <w:sz w:val="32"/>
    </w:rPr>
  </w:style>
  <w:style w:type="character" w:styleId="FollowedHyperlink">
    <w:name w:val="FollowedHyperlink"/>
    <w:basedOn w:val="DefaultParagraphFont"/>
    <w:rsid w:val="002478EC"/>
    <w:rPr>
      <w:color w:val="954F72" w:themeColor="followedHyperlink"/>
      <w:u w:val="single"/>
    </w:rPr>
  </w:style>
  <w:style w:type="character" w:customStyle="1" w:styleId="CommentTextChar">
    <w:name w:val="Comment Text Char"/>
    <w:link w:val="CommentText"/>
    <w:uiPriority w:val="99"/>
    <w:rsid w:val="00F40914"/>
  </w:style>
  <w:style w:type="paragraph" w:styleId="IntenseQuote">
    <w:name w:val="Intense Quote"/>
    <w:basedOn w:val="Normal"/>
    <w:next w:val="Normal"/>
    <w:link w:val="IntenseQuoteChar"/>
    <w:uiPriority w:val="30"/>
    <w:qFormat/>
    <w:rsid w:val="003A130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A1309"/>
    <w:rPr>
      <w:i/>
      <w:iCs/>
      <w:color w:val="5B9BD5"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link w:val="Heading2Char"/>
    <w:semiHidden/>
    <w:unhideWhenUsed/>
    <w:qFormat/>
    <w:rsid w:val="00E57C2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E57C2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uiPriority w:val="99"/>
    <w:rsid w:val="008F2F44"/>
    <w:rPr>
      <w:sz w:val="16"/>
      <w:szCs w:val="16"/>
    </w:rPr>
  </w:style>
  <w:style w:type="paragraph" w:styleId="CommentText">
    <w:name w:val="annotation text"/>
    <w:basedOn w:val="Normal"/>
    <w:link w:val="CommentTextChar"/>
    <w:uiPriority w:val="99"/>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Normal"/>
    <w:rsid w:val="00E57C22"/>
    <w:pPr>
      <w:jc w:val="center"/>
    </w:pPr>
    <w:rPr>
      <w:rFonts w:ascii="Book Antiqua" w:hAnsi="Book Antiqua"/>
      <w:b/>
      <w:bCs/>
      <w:sz w:val="28"/>
      <w:szCs w:val="20"/>
    </w:rPr>
  </w:style>
  <w:style w:type="character" w:customStyle="1" w:styleId="Heading2Char">
    <w:name w:val="Heading 2 Char"/>
    <w:link w:val="Heading2"/>
    <w:semiHidden/>
    <w:rsid w:val="00E57C22"/>
    <w:rPr>
      <w:rFonts w:ascii="Calibri Light" w:eastAsia="Times New Roman" w:hAnsi="Calibri Light" w:cs="Times New Roman"/>
      <w:b/>
      <w:bCs/>
      <w:i/>
      <w:iCs/>
      <w:sz w:val="28"/>
      <w:szCs w:val="28"/>
    </w:rPr>
  </w:style>
  <w:style w:type="character" w:customStyle="1" w:styleId="Heading3Char">
    <w:name w:val="Heading 3 Char"/>
    <w:link w:val="Heading3"/>
    <w:semiHidden/>
    <w:rsid w:val="00E57C22"/>
    <w:rPr>
      <w:rFonts w:ascii="Calibri Light" w:eastAsia="Times New Roman" w:hAnsi="Calibri Light" w:cs="Times New Roman"/>
      <w:b/>
      <w:bCs/>
      <w:sz w:val="26"/>
      <w:szCs w:val="26"/>
    </w:rPr>
  </w:style>
  <w:style w:type="paragraph" w:customStyle="1" w:styleId="StyleBodyTimesNewRoman12pt">
    <w:name w:val="Style Body + Times New Roman 12 pt"/>
    <w:basedOn w:val="Normal"/>
    <w:link w:val="StyleBodyTimesNewRoman12ptChar"/>
    <w:rsid w:val="00E57C22"/>
    <w:pPr>
      <w:spacing w:line="271" w:lineRule="auto"/>
      <w:ind w:firstLine="720"/>
      <w:jc w:val="both"/>
    </w:pPr>
    <w:rPr>
      <w:szCs w:val="20"/>
    </w:rPr>
  </w:style>
  <w:style w:type="character" w:customStyle="1" w:styleId="StyleBodyTimesNewRoman12ptChar">
    <w:name w:val="Style Body + Times New Roman 12 pt Char"/>
    <w:link w:val="StyleBodyTimesNewRoman12pt"/>
    <w:locked/>
    <w:rsid w:val="00E57C22"/>
    <w:rPr>
      <w:sz w:val="24"/>
    </w:rPr>
  </w:style>
  <w:style w:type="paragraph" w:styleId="ListParagraph">
    <w:name w:val="List Paragraph"/>
    <w:basedOn w:val="Normal"/>
    <w:link w:val="ListParagraphChar"/>
    <w:uiPriority w:val="34"/>
    <w:qFormat/>
    <w:rsid w:val="00E57C22"/>
    <w:pPr>
      <w:ind w:left="720"/>
      <w:contextualSpacing/>
    </w:pPr>
    <w:rPr>
      <w:rFonts w:ascii="Book Antiqua" w:hAnsi="Book Antiqua"/>
      <w:szCs w:val="20"/>
    </w:rPr>
  </w:style>
  <w:style w:type="paragraph" w:styleId="FootnoteText">
    <w:name w:val="footnote text"/>
    <w:basedOn w:val="Normal"/>
    <w:link w:val="FootnoteTextChar"/>
    <w:uiPriority w:val="99"/>
    <w:rsid w:val="00E57C22"/>
    <w:rPr>
      <w:rFonts w:ascii="Book Antiqua" w:hAnsi="Book Antiqua"/>
      <w:szCs w:val="20"/>
    </w:rPr>
  </w:style>
  <w:style w:type="character" w:customStyle="1" w:styleId="FootnoteTextChar">
    <w:name w:val="Footnote Text Char"/>
    <w:link w:val="FootnoteText"/>
    <w:uiPriority w:val="99"/>
    <w:rsid w:val="00E57C22"/>
    <w:rPr>
      <w:rFonts w:ascii="Book Antiqua" w:hAnsi="Book Antiqua"/>
      <w:sz w:val="24"/>
    </w:rPr>
  </w:style>
  <w:style w:type="character" w:styleId="FootnoteReference">
    <w:name w:val="footnote reference"/>
    <w:rsid w:val="00E57C22"/>
    <w:rPr>
      <w:vertAlign w:val="superscript"/>
    </w:rPr>
  </w:style>
  <w:style w:type="paragraph" w:styleId="Revision">
    <w:name w:val="Revision"/>
    <w:hidden/>
    <w:uiPriority w:val="99"/>
    <w:semiHidden/>
    <w:rsid w:val="00901413"/>
    <w:rPr>
      <w:sz w:val="24"/>
      <w:szCs w:val="24"/>
    </w:rPr>
  </w:style>
  <w:style w:type="character" w:customStyle="1" w:styleId="ListParagraphChar">
    <w:name w:val="List Paragraph Char"/>
    <w:link w:val="ListParagraph"/>
    <w:uiPriority w:val="99"/>
    <w:locked/>
    <w:rsid w:val="006B0DEB"/>
    <w:rPr>
      <w:rFonts w:ascii="Book Antiqua" w:hAnsi="Book Antiqua"/>
      <w:sz w:val="24"/>
    </w:rPr>
  </w:style>
  <w:style w:type="paragraph" w:customStyle="1" w:styleId="StyleHeading1Left-038">
    <w:name w:val="Style Heading 1 + Left:  -0.38&quot;"/>
    <w:basedOn w:val="Heading1"/>
    <w:autoRedefine/>
    <w:rsid w:val="003E06B3"/>
    <w:pPr>
      <w:tabs>
        <w:tab w:val="clear" w:pos="-720"/>
        <w:tab w:val="left" w:pos="0"/>
      </w:tabs>
      <w:suppressAutoHyphens w:val="0"/>
      <w:spacing w:before="240" w:after="60"/>
      <w:ind w:hanging="540"/>
    </w:pPr>
    <w:rPr>
      <w:rFonts w:ascii="Book Antiqua" w:hAnsi="Book Antiqua"/>
      <w:bCs/>
      <w:kern w:val="32"/>
      <w:sz w:val="32"/>
    </w:rPr>
  </w:style>
  <w:style w:type="character" w:styleId="FollowedHyperlink">
    <w:name w:val="FollowedHyperlink"/>
    <w:basedOn w:val="DefaultParagraphFont"/>
    <w:rsid w:val="002478EC"/>
    <w:rPr>
      <w:color w:val="954F72" w:themeColor="followedHyperlink"/>
      <w:u w:val="single"/>
    </w:rPr>
  </w:style>
  <w:style w:type="character" w:customStyle="1" w:styleId="CommentTextChar">
    <w:name w:val="Comment Text Char"/>
    <w:link w:val="CommentText"/>
    <w:uiPriority w:val="99"/>
    <w:rsid w:val="00F40914"/>
  </w:style>
  <w:style w:type="paragraph" w:styleId="IntenseQuote">
    <w:name w:val="Intense Quote"/>
    <w:basedOn w:val="Normal"/>
    <w:next w:val="Normal"/>
    <w:link w:val="IntenseQuoteChar"/>
    <w:uiPriority w:val="30"/>
    <w:qFormat/>
    <w:rsid w:val="003A130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A1309"/>
    <w:rPr>
      <w:i/>
      <w:i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806">
      <w:bodyDiv w:val="1"/>
      <w:marLeft w:val="0"/>
      <w:marRight w:val="0"/>
      <w:marTop w:val="0"/>
      <w:marBottom w:val="0"/>
      <w:divBdr>
        <w:top w:val="none" w:sz="0" w:space="0" w:color="auto"/>
        <w:left w:val="none" w:sz="0" w:space="0" w:color="auto"/>
        <w:bottom w:val="none" w:sz="0" w:space="0" w:color="auto"/>
        <w:right w:val="none" w:sz="0" w:space="0" w:color="auto"/>
      </w:divBdr>
    </w:div>
    <w:div w:id="180047447">
      <w:bodyDiv w:val="1"/>
      <w:marLeft w:val="0"/>
      <w:marRight w:val="0"/>
      <w:marTop w:val="0"/>
      <w:marBottom w:val="0"/>
      <w:divBdr>
        <w:top w:val="none" w:sz="0" w:space="0" w:color="auto"/>
        <w:left w:val="none" w:sz="0" w:space="0" w:color="auto"/>
        <w:bottom w:val="none" w:sz="0" w:space="0" w:color="auto"/>
        <w:right w:val="none" w:sz="0" w:space="0" w:color="auto"/>
      </w:divBdr>
    </w:div>
    <w:div w:id="388039056">
      <w:bodyDiv w:val="1"/>
      <w:marLeft w:val="0"/>
      <w:marRight w:val="0"/>
      <w:marTop w:val="0"/>
      <w:marBottom w:val="0"/>
      <w:divBdr>
        <w:top w:val="none" w:sz="0" w:space="0" w:color="auto"/>
        <w:left w:val="none" w:sz="0" w:space="0" w:color="auto"/>
        <w:bottom w:val="none" w:sz="0" w:space="0" w:color="auto"/>
        <w:right w:val="none" w:sz="0" w:space="0" w:color="auto"/>
      </w:divBdr>
    </w:div>
    <w:div w:id="616762794">
      <w:bodyDiv w:val="1"/>
      <w:marLeft w:val="0"/>
      <w:marRight w:val="0"/>
      <w:marTop w:val="0"/>
      <w:marBottom w:val="0"/>
      <w:divBdr>
        <w:top w:val="none" w:sz="0" w:space="0" w:color="auto"/>
        <w:left w:val="none" w:sz="0" w:space="0" w:color="auto"/>
        <w:bottom w:val="none" w:sz="0" w:space="0" w:color="auto"/>
        <w:right w:val="none" w:sz="0" w:space="0" w:color="auto"/>
      </w:divBdr>
    </w:div>
    <w:div w:id="749157697">
      <w:bodyDiv w:val="1"/>
      <w:marLeft w:val="0"/>
      <w:marRight w:val="0"/>
      <w:marTop w:val="0"/>
      <w:marBottom w:val="0"/>
      <w:divBdr>
        <w:top w:val="none" w:sz="0" w:space="0" w:color="auto"/>
        <w:left w:val="none" w:sz="0" w:space="0" w:color="auto"/>
        <w:bottom w:val="none" w:sz="0" w:space="0" w:color="auto"/>
        <w:right w:val="none" w:sz="0" w:space="0" w:color="auto"/>
      </w:divBdr>
    </w:div>
    <w:div w:id="757865701">
      <w:bodyDiv w:val="1"/>
      <w:marLeft w:val="0"/>
      <w:marRight w:val="0"/>
      <w:marTop w:val="0"/>
      <w:marBottom w:val="0"/>
      <w:divBdr>
        <w:top w:val="none" w:sz="0" w:space="0" w:color="auto"/>
        <w:left w:val="none" w:sz="0" w:space="0" w:color="auto"/>
        <w:bottom w:val="none" w:sz="0" w:space="0" w:color="auto"/>
        <w:right w:val="none" w:sz="0" w:space="0" w:color="auto"/>
      </w:divBdr>
    </w:div>
    <w:div w:id="767190095">
      <w:bodyDiv w:val="1"/>
      <w:marLeft w:val="0"/>
      <w:marRight w:val="0"/>
      <w:marTop w:val="0"/>
      <w:marBottom w:val="0"/>
      <w:divBdr>
        <w:top w:val="none" w:sz="0" w:space="0" w:color="auto"/>
        <w:left w:val="none" w:sz="0" w:space="0" w:color="auto"/>
        <w:bottom w:val="none" w:sz="0" w:space="0" w:color="auto"/>
        <w:right w:val="none" w:sz="0" w:space="0" w:color="auto"/>
      </w:divBdr>
    </w:div>
    <w:div w:id="1117867663">
      <w:bodyDiv w:val="1"/>
      <w:marLeft w:val="0"/>
      <w:marRight w:val="0"/>
      <w:marTop w:val="0"/>
      <w:marBottom w:val="0"/>
      <w:divBdr>
        <w:top w:val="none" w:sz="0" w:space="0" w:color="auto"/>
        <w:left w:val="none" w:sz="0" w:space="0" w:color="auto"/>
        <w:bottom w:val="none" w:sz="0" w:space="0" w:color="auto"/>
        <w:right w:val="none" w:sz="0" w:space="0" w:color="auto"/>
      </w:divBdr>
    </w:div>
    <w:div w:id="1772697045">
      <w:bodyDiv w:val="1"/>
      <w:marLeft w:val="0"/>
      <w:marRight w:val="0"/>
      <w:marTop w:val="0"/>
      <w:marBottom w:val="0"/>
      <w:divBdr>
        <w:top w:val="none" w:sz="0" w:space="0" w:color="auto"/>
        <w:left w:val="none" w:sz="0" w:space="0" w:color="auto"/>
        <w:bottom w:val="none" w:sz="0" w:space="0" w:color="auto"/>
        <w:right w:val="none" w:sz="0" w:space="0" w:color="auto"/>
      </w:divBdr>
    </w:div>
    <w:div w:id="2077823680">
      <w:bodyDiv w:val="1"/>
      <w:marLeft w:val="0"/>
      <w:marRight w:val="0"/>
      <w:marTop w:val="0"/>
      <w:marBottom w:val="0"/>
      <w:divBdr>
        <w:top w:val="none" w:sz="0" w:space="0" w:color="auto"/>
        <w:left w:val="none" w:sz="0" w:space="0" w:color="auto"/>
        <w:bottom w:val="none" w:sz="0" w:space="0" w:color="auto"/>
        <w:right w:val="none" w:sz="0" w:space="0" w:color="auto"/>
      </w:divBdr>
    </w:div>
    <w:div w:id="2095975984">
      <w:bodyDiv w:val="1"/>
      <w:marLeft w:val="0"/>
      <w:marRight w:val="0"/>
      <w:marTop w:val="0"/>
      <w:marBottom w:val="0"/>
      <w:divBdr>
        <w:top w:val="none" w:sz="0" w:space="0" w:color="auto"/>
        <w:left w:val="none" w:sz="0" w:space="0" w:color="auto"/>
        <w:bottom w:val="none" w:sz="0" w:space="0" w:color="auto"/>
        <w:right w:val="none" w:sz="0" w:space="0" w:color="auto"/>
      </w:divBdr>
    </w:div>
    <w:div w:id="20992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ecfr.gov/cgi-bin/text-idx?tpl=/ecfrbrowse/Title06/6cfr27_main_02.tpl"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uscode.house.gov/view.xhtml?path=/prelim@title6/chapter1/subchapter16&amp;edition=preli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ipgateway.dhs.gov/dana-na/auth/url_28/welcome.c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5F3A2DF80E641829C354E471780AF" ma:contentTypeVersion="1" ma:contentTypeDescription="Create a new document." ma:contentTypeScope="" ma:versionID="8b6b7a8b2656e95810ef60364e92909e">
  <xsd:schema xmlns:xsd="http://www.w3.org/2001/XMLSchema" xmlns:xs="http://www.w3.org/2001/XMLSchema" xmlns:p="http://schemas.microsoft.com/office/2006/metadata/properties" xmlns:ns2="c0a539e5-cd07-4dc1-ab3b-82065fc22058" xmlns:ns3="http://schemas.microsoft.com/sharepoint/v4" targetNamespace="http://schemas.microsoft.com/office/2006/metadata/properties" ma:root="true" ma:fieldsID="710754752dc4f69f22b7993c14853743" ns2:_="" ns3:_="">
    <xsd:import namespace="c0a539e5-cd07-4dc1-ab3b-82065fc2205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62482be-791f-46d4-86b5-fac5be26931c"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8BF1C-6D8D-4876-89EC-5470B65EB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3.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4.xml><?xml version="1.0" encoding="utf-8"?>
<ds:datastoreItem xmlns:ds="http://schemas.openxmlformats.org/officeDocument/2006/customXml" ds:itemID="{396C9586-59CF-40A0-BA4C-6AEAAEA1C155}">
  <ds:schemaRefs>
    <ds:schemaRef ds:uri="Microsoft.SharePoint.Taxonomy.ContentTypeSync"/>
  </ds:schemaRefs>
</ds:datastoreItem>
</file>

<file path=customXml/itemProps5.xml><?xml version="1.0" encoding="utf-8"?>
<ds:datastoreItem xmlns:ds="http://schemas.openxmlformats.org/officeDocument/2006/customXml" ds:itemID="{907D8872-81EE-4AF9-94DA-25CA575D8069}">
  <ds:schemaRefs>
    <ds:schemaRef ds:uri="http://schemas.microsoft.com/office/2006/metadata/properties"/>
    <ds:schemaRef ds:uri="http://schemas.microsoft.com/office/infopath/2007/PartnerControls"/>
    <ds:schemaRef ds:uri="http://schemas.microsoft.com/sharepoint/v4"/>
  </ds:schemaRefs>
</ds:datastoreItem>
</file>

<file path=customXml/itemProps6.xml><?xml version="1.0" encoding="utf-8"?>
<ds:datastoreItem xmlns:ds="http://schemas.openxmlformats.org/officeDocument/2006/customXml" ds:itemID="{ECEA8A25-2AE1-4D11-B4D1-6D47CB9E8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5140</Words>
  <Characters>29298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Supporting Statement A - CVI</vt:lpstr>
    </vt:vector>
  </TitlesOfParts>
  <Company>FEMA</Company>
  <LinksUpToDate>false</LinksUpToDate>
  <CharactersWithSpaces>34370</CharactersWithSpaces>
  <SharedDoc>false</SharedDoc>
  <HLinks>
    <vt:vector size="18" baseType="variant">
      <vt:variant>
        <vt:i4>524315</vt:i4>
      </vt:variant>
      <vt:variant>
        <vt:i4>74</vt:i4>
      </vt:variant>
      <vt:variant>
        <vt:i4>0</vt:i4>
      </vt:variant>
      <vt:variant>
        <vt:i4>5</vt:i4>
      </vt:variant>
      <vt:variant>
        <vt:lpwstr>http://www.bls.gov/cpi/tables.htm</vt:lpwstr>
      </vt:variant>
      <vt:variant>
        <vt:lpwstr/>
      </vt:variant>
      <vt:variant>
        <vt:i4>2818151</vt:i4>
      </vt:variant>
      <vt:variant>
        <vt:i4>55</vt:i4>
      </vt:variant>
      <vt:variant>
        <vt:i4>0</vt:i4>
      </vt:variant>
      <vt:variant>
        <vt:i4>5</vt:i4>
      </vt:variant>
      <vt:variant>
        <vt:lpwstr>http://www.regulations.gov/</vt:lpwstr>
      </vt:variant>
      <vt:variant>
        <vt:lpwstr/>
      </vt:variant>
      <vt:variant>
        <vt:i4>2818151</vt:i4>
      </vt:variant>
      <vt:variant>
        <vt:i4>52</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CVI</dc:title>
  <dc:subject/>
  <dc:creator>fema user</dc:creator>
  <cp:keywords/>
  <cp:lastModifiedBy>SYSTEM</cp:lastModifiedBy>
  <cp:revision>2</cp:revision>
  <cp:lastPrinted>2017-02-09T17:07:00Z</cp:lastPrinted>
  <dcterms:created xsi:type="dcterms:W3CDTF">2017-08-15T13:06:00Z</dcterms:created>
  <dcterms:modified xsi:type="dcterms:W3CDTF">2017-08-15T13:06:00Z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y fmtid="{D5CDD505-2E9C-101B-9397-08002B2CF9AE}" pid="6" name="IconOverlay">
    <vt:lpwstr/>
  </property>
</Properties>
</file>