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A6ACC" w14:textId="24BBF3E4" w:rsidR="00013012" w:rsidRPr="00D81D42" w:rsidRDefault="00013012" w:rsidP="009B4965">
      <w:pPr>
        <w:tabs>
          <w:tab w:val="right" w:pos="9810"/>
        </w:tabs>
        <w:spacing w:after="120" w:line="240" w:lineRule="auto"/>
        <w:rPr>
          <w:b/>
        </w:rPr>
      </w:pPr>
      <w:r>
        <w:rPr>
          <w:b/>
        </w:rPr>
        <w:t>MEMORANDUM</w:t>
      </w:r>
      <w:r>
        <w:rPr>
          <w:b/>
        </w:rPr>
        <w:tab/>
        <w:t>OMB # 1850-</w:t>
      </w:r>
      <w:r w:rsidRPr="00DD5ECC">
        <w:rPr>
          <w:b/>
        </w:rPr>
        <w:t>0911 v.</w:t>
      </w:r>
      <w:r w:rsidR="00FA7668" w:rsidRPr="00DD5ECC">
        <w:rPr>
          <w:b/>
        </w:rPr>
        <w:t>13</w:t>
      </w:r>
    </w:p>
    <w:p w14:paraId="01235C4F" w14:textId="1AFE58B4" w:rsidR="00013012" w:rsidRPr="00D81D42" w:rsidRDefault="00013012" w:rsidP="009B4965">
      <w:pPr>
        <w:tabs>
          <w:tab w:val="left" w:pos="1440"/>
        </w:tabs>
        <w:spacing w:after="120" w:line="240" w:lineRule="auto"/>
      </w:pPr>
      <w:r w:rsidRPr="00D81D42">
        <w:t>DATE:</w:t>
      </w:r>
      <w:r w:rsidRPr="00D81D42">
        <w:tab/>
      </w:r>
      <w:r w:rsidR="009B4965" w:rsidRPr="00FF4060">
        <w:t>April</w:t>
      </w:r>
      <w:r w:rsidR="00FA7668" w:rsidRPr="00FF4060">
        <w:t xml:space="preserve"> </w:t>
      </w:r>
      <w:r w:rsidR="009B4965" w:rsidRPr="00FF4060">
        <w:t>5</w:t>
      </w:r>
      <w:r w:rsidR="0039147D" w:rsidRPr="00FF4060">
        <w:t>,</w:t>
      </w:r>
      <w:r w:rsidR="0039147D">
        <w:t xml:space="preserve"> 201</w:t>
      </w:r>
      <w:r w:rsidR="005A6684">
        <w:t>7</w:t>
      </w:r>
    </w:p>
    <w:p w14:paraId="3ACCF229" w14:textId="378687FA" w:rsidR="00013012" w:rsidRPr="00D81D42" w:rsidRDefault="00013012" w:rsidP="00024CB2">
      <w:pPr>
        <w:tabs>
          <w:tab w:val="left" w:pos="1440"/>
        </w:tabs>
        <w:spacing w:after="0" w:line="240" w:lineRule="auto"/>
      </w:pPr>
      <w:r w:rsidRPr="00D81D42">
        <w:t>TO:</w:t>
      </w:r>
      <w:r w:rsidRPr="00D81D42">
        <w:tab/>
      </w:r>
      <w:r w:rsidR="00B80139">
        <w:t xml:space="preserve">Robert </w:t>
      </w:r>
      <w:proofErr w:type="spellStart"/>
      <w:r w:rsidR="00B80139">
        <w:t>Sivinski</w:t>
      </w:r>
      <w:proofErr w:type="spellEnd"/>
      <w:r w:rsidR="00F02115">
        <w:t xml:space="preserve"> and </w:t>
      </w:r>
      <w:r w:rsidR="00F02115" w:rsidRPr="00F02115">
        <w:t>E. Ann Carson</w:t>
      </w:r>
    </w:p>
    <w:p w14:paraId="6372DE2B" w14:textId="286323F7" w:rsidR="00013012" w:rsidRPr="00D81D42" w:rsidRDefault="00013012" w:rsidP="00524B2A">
      <w:pPr>
        <w:tabs>
          <w:tab w:val="left" w:pos="1440"/>
        </w:tabs>
        <w:spacing w:after="120" w:line="240" w:lineRule="auto"/>
      </w:pPr>
      <w:r w:rsidRPr="00D81D42">
        <w:tab/>
        <w:t>Office of Information and Regulatory Affairs, Office of Management and Budget</w:t>
      </w:r>
      <w:r w:rsidR="00024CB2">
        <w:t xml:space="preserve"> (OMB)</w:t>
      </w:r>
    </w:p>
    <w:p w14:paraId="545BC1E6" w14:textId="77777777" w:rsidR="00013012" w:rsidRPr="00D81D42" w:rsidRDefault="00013012" w:rsidP="00024CB2">
      <w:pPr>
        <w:tabs>
          <w:tab w:val="left" w:pos="1440"/>
        </w:tabs>
        <w:spacing w:after="0" w:line="240" w:lineRule="auto"/>
      </w:pPr>
      <w:r w:rsidRPr="00D81D42">
        <w:t>FROM:</w:t>
      </w:r>
      <w:r w:rsidRPr="00D81D42">
        <w:tab/>
      </w:r>
      <w:r>
        <w:t>Carolyn Fidelman</w:t>
      </w:r>
    </w:p>
    <w:p w14:paraId="5F2A7AAE" w14:textId="7E677313" w:rsidR="00013012" w:rsidRPr="00D81D42" w:rsidRDefault="00013012" w:rsidP="00524B2A">
      <w:pPr>
        <w:tabs>
          <w:tab w:val="left" w:pos="1440"/>
        </w:tabs>
        <w:spacing w:after="120" w:line="240" w:lineRule="auto"/>
      </w:pPr>
      <w:r w:rsidRPr="00D81D42">
        <w:tab/>
        <w:t>National Center for Education Statistics</w:t>
      </w:r>
      <w:r w:rsidR="00024CB2">
        <w:t xml:space="preserve"> (NCES)</w:t>
      </w:r>
    </w:p>
    <w:p w14:paraId="5D1CA13E" w14:textId="77777777" w:rsidR="00013012" w:rsidRPr="00D81D42" w:rsidRDefault="00013012" w:rsidP="00024CB2">
      <w:pPr>
        <w:tabs>
          <w:tab w:val="left" w:pos="1440"/>
        </w:tabs>
        <w:spacing w:after="0" w:line="240" w:lineRule="auto"/>
      </w:pPr>
      <w:r w:rsidRPr="00D81D42">
        <w:t>THROUGH:</w:t>
      </w:r>
      <w:r w:rsidRPr="00D81D42">
        <w:tab/>
      </w:r>
      <w:r>
        <w:t>Kashka Kubzdela</w:t>
      </w:r>
    </w:p>
    <w:p w14:paraId="2E62ACE7" w14:textId="61B69085" w:rsidR="00013012" w:rsidRPr="00D81D42" w:rsidRDefault="00013012" w:rsidP="00524B2A">
      <w:pPr>
        <w:tabs>
          <w:tab w:val="left" w:pos="1440"/>
        </w:tabs>
        <w:spacing w:after="120" w:line="240" w:lineRule="auto"/>
      </w:pPr>
      <w:r w:rsidRPr="00D81D42">
        <w:tab/>
        <w:t>National Center for Education Statistics</w:t>
      </w:r>
      <w:r w:rsidR="00024CB2">
        <w:t xml:space="preserve"> (NCES)</w:t>
      </w:r>
    </w:p>
    <w:p w14:paraId="1E259B0F" w14:textId="7831B94F" w:rsidR="00013012" w:rsidRPr="00D81D42" w:rsidRDefault="00013012" w:rsidP="009B4965">
      <w:pPr>
        <w:tabs>
          <w:tab w:val="left" w:pos="1440"/>
        </w:tabs>
        <w:spacing w:after="120" w:line="240" w:lineRule="auto"/>
        <w:ind w:left="1440" w:hanging="1440"/>
      </w:pPr>
      <w:r w:rsidRPr="00D81D42">
        <w:t>SUBJECT:</w:t>
      </w:r>
      <w:r w:rsidRPr="00D81D42">
        <w:tab/>
      </w:r>
      <w:r w:rsidR="008F480D" w:rsidRPr="008F480D">
        <w:t>Middle Grades Longitudinal Study of 2017-18 (MGLS</w:t>
      </w:r>
      <w:proofErr w:type="gramStart"/>
      <w:r w:rsidR="008F480D" w:rsidRPr="008F480D">
        <w:t>:2017</w:t>
      </w:r>
      <w:proofErr w:type="gramEnd"/>
      <w:r w:rsidR="008F480D" w:rsidRPr="008F480D">
        <w:t>) Recruitment for Main Study Base-year Change Request</w:t>
      </w:r>
    </w:p>
    <w:p w14:paraId="3C1D6398" w14:textId="3AC43AD7" w:rsidR="00F82A27" w:rsidRDefault="00A26DD1" w:rsidP="000B6C0A">
      <w:pPr>
        <w:spacing w:after="120"/>
      </w:pPr>
      <w:r w:rsidRPr="00A26DD1">
        <w:t>The Middle Grades Longitudinal Study of 2017-18 (MGLS:2017) is the first study conducted by the National Center for Education Statistics (NCES) to follow a nationally</w:t>
      </w:r>
      <w:r w:rsidR="00784F19">
        <w:t xml:space="preserve"> </w:t>
      </w:r>
      <w:r w:rsidRPr="00A26DD1">
        <w:t xml:space="preserve">representative sample of students as they enter and move through the middle grades (grades 6-8). The data collected through repeated measures of key constructs will provide a rich descriptive picture of the academic experiences and development of students during these critical years and will allow researchers to examine associations between contextual factors and student outcomes. The study will focus on student achievement in mathematics and literacy along with measures of student socioemotional wellbeing and other outcomes. </w:t>
      </w:r>
      <w:r w:rsidR="00171DD3" w:rsidRPr="00A26DD1">
        <w:t xml:space="preserve">The study will also include students with disabilities </w:t>
      </w:r>
      <w:r w:rsidR="00171DD3">
        <w:t>for whom</w:t>
      </w:r>
      <w:r w:rsidR="00171DD3" w:rsidRPr="00A26DD1">
        <w:t xml:space="preserve"> descriptive information on their outcomes, educational experiences, and special education services</w:t>
      </w:r>
      <w:r w:rsidR="00171DD3">
        <w:t xml:space="preserve"> will be collected.</w:t>
      </w:r>
      <w:r w:rsidR="00524B2A">
        <w:t xml:space="preserve"> </w:t>
      </w:r>
      <w:r w:rsidRPr="00A26DD1">
        <w:t>Base-year data for MGLS:2017 will be collected from a nationally</w:t>
      </w:r>
      <w:r w:rsidR="00C3282E">
        <w:t xml:space="preserve"> </w:t>
      </w:r>
      <w:r w:rsidRPr="00A26DD1">
        <w:t xml:space="preserve">representative sample of </w:t>
      </w:r>
      <w:r w:rsidR="00C3282E">
        <w:t>sixth-</w:t>
      </w:r>
      <w:r w:rsidRPr="00A26DD1">
        <w:t xml:space="preserve">grade students beginning in January 2018, with annual follow-ups beginning in January 2019 and in January 2020 when most of the students in the sample will be in grades 7 and 8, respectively. In preparation for the national data collection, referred to as the Main Study, the data collection instruments and procedures must be field tested. </w:t>
      </w:r>
      <w:r>
        <w:t xml:space="preserve">An Item Validation Field Test (IVFT) was conducted in the winter/spring 2016 to </w:t>
      </w:r>
      <w:r w:rsidRPr="00351686">
        <w:t xml:space="preserve">determine the psychometric properties of items and the predictive potential of assessment and survey items so that valid, reliable, and useful assessment and survey instruments can be </w:t>
      </w:r>
      <w:r w:rsidR="00C3282E">
        <w:t>developed</w:t>
      </w:r>
      <w:r w:rsidR="00C3282E" w:rsidRPr="00351686">
        <w:t xml:space="preserve"> </w:t>
      </w:r>
      <w:r w:rsidRPr="00351686">
        <w:t xml:space="preserve">for the </w:t>
      </w:r>
      <w:r>
        <w:t>M</w:t>
      </w:r>
      <w:r w:rsidRPr="00351686">
        <w:t xml:space="preserve">ain </w:t>
      </w:r>
      <w:r>
        <w:t>S</w:t>
      </w:r>
      <w:r w:rsidRPr="00351686">
        <w:t>tudy.</w:t>
      </w:r>
      <w:r>
        <w:t xml:space="preserve"> An Operational Field Test (OFT) </w:t>
      </w:r>
      <w:r w:rsidR="00FA7668">
        <w:t xml:space="preserve">began </w:t>
      </w:r>
      <w:r>
        <w:t>in January 2017 to test the near</w:t>
      </w:r>
      <w:r w:rsidR="00C3282E">
        <w:t>-</w:t>
      </w:r>
      <w:r>
        <w:t xml:space="preserve">final instruments and the recruitment and data collection processes and procedures in </w:t>
      </w:r>
      <w:r w:rsidR="00C03803">
        <w:t>preparation for</w:t>
      </w:r>
      <w:r>
        <w:t xml:space="preserve"> the Main Study.</w:t>
      </w:r>
      <w:r w:rsidR="00FA7668">
        <w:t xml:space="preserve"> District and school recruitment for the Main Study will begin in April 2017.</w:t>
      </w:r>
      <w:r w:rsidR="000B6C0A">
        <w:t xml:space="preserve"> </w:t>
      </w:r>
      <w:r w:rsidR="00FA7668">
        <w:t>OMB approved t</w:t>
      </w:r>
      <w:r>
        <w:t>he Main Study recruitment and tracking of OFT students</w:t>
      </w:r>
      <w:r w:rsidRPr="008B18CC">
        <w:t xml:space="preserve"> </w:t>
      </w:r>
      <w:r w:rsidR="00F02115">
        <w:t xml:space="preserve">in December 2016 with the latest change request approved in January 2017 </w:t>
      </w:r>
      <w:r w:rsidR="00FA7668">
        <w:t>(OM</w:t>
      </w:r>
      <w:r w:rsidRPr="008B18CC">
        <w:t>B# 1850-</w:t>
      </w:r>
      <w:r w:rsidRPr="00E2147F">
        <w:t>0911 v.11</w:t>
      </w:r>
      <w:r w:rsidR="00F02115">
        <w:t>-12</w:t>
      </w:r>
      <w:r>
        <w:t>)</w:t>
      </w:r>
      <w:r w:rsidR="00FA7668">
        <w:t>.</w:t>
      </w:r>
    </w:p>
    <w:p w14:paraId="014FDD4D" w14:textId="593D46CE" w:rsidR="00F82A27" w:rsidRDefault="00156F0B" w:rsidP="009B4965">
      <w:pPr>
        <w:spacing w:after="120"/>
      </w:pPr>
      <w:r>
        <w:t xml:space="preserve">This request is to (1) provide a recommendation for the </w:t>
      </w:r>
      <w:r>
        <w:rPr>
          <w:b/>
        </w:rPr>
        <w:t>Main Study</w:t>
      </w:r>
      <w:r w:rsidRPr="00484141">
        <w:rPr>
          <w:b/>
        </w:rPr>
        <w:t xml:space="preserve"> school-level incentive</w:t>
      </w:r>
      <w:r>
        <w:t xml:space="preserve"> based on the results from the IVFT and OFT school incentive experiments; (2) describe the </w:t>
      </w:r>
      <w:r w:rsidRPr="00484141">
        <w:rPr>
          <w:b/>
        </w:rPr>
        <w:t>school-level report</w:t>
      </w:r>
      <w:r>
        <w:t xml:space="preserve"> we will offer schools as a benefit of participation; (3) </w:t>
      </w:r>
      <w:r w:rsidR="00746B4F">
        <w:t xml:space="preserve">describe general enhancements to the Main Study recruitment effort; (4) </w:t>
      </w:r>
      <w:r>
        <w:t xml:space="preserve">add study </w:t>
      </w:r>
      <w:r w:rsidRPr="00484141">
        <w:rPr>
          <w:b/>
        </w:rPr>
        <w:t>informational webinars</w:t>
      </w:r>
      <w:r>
        <w:t xml:space="preserve"> as a mode of outreach to state, district, and school officials; (</w:t>
      </w:r>
      <w:r w:rsidR="00746B4F">
        <w:t>5</w:t>
      </w:r>
      <w:r>
        <w:t xml:space="preserve">) clarify that students will be able to keep the </w:t>
      </w:r>
      <w:r w:rsidRPr="00514AF9">
        <w:rPr>
          <w:b/>
        </w:rPr>
        <w:t>earbuds</w:t>
      </w:r>
      <w:r>
        <w:t xml:space="preserve"> used during MGLS assessments; (</w:t>
      </w:r>
      <w:r w:rsidR="00746B4F">
        <w:t>6</w:t>
      </w:r>
      <w:r>
        <w:t xml:space="preserve">) recommend offering a </w:t>
      </w:r>
      <w:r w:rsidRPr="00514AF9">
        <w:rPr>
          <w:b/>
        </w:rPr>
        <w:t>food event</w:t>
      </w:r>
      <w:r w:rsidRPr="00C8231D">
        <w:t xml:space="preserve"> </w:t>
      </w:r>
      <w:r w:rsidRPr="00514AF9">
        <w:t xml:space="preserve">as token of appreciation to </w:t>
      </w:r>
      <w:r w:rsidR="000E7D0D">
        <w:t xml:space="preserve">OFT and MS </w:t>
      </w:r>
      <w:r w:rsidRPr="00514AF9">
        <w:t>students for</w:t>
      </w:r>
      <w:r w:rsidRPr="00C8231D">
        <w:t xml:space="preserve"> </w:t>
      </w:r>
      <w:r>
        <w:t xml:space="preserve">returning </w:t>
      </w:r>
      <w:r w:rsidR="000E7D0D">
        <w:t xml:space="preserve">explicit </w:t>
      </w:r>
      <w:r>
        <w:t xml:space="preserve">parental </w:t>
      </w:r>
      <w:r w:rsidRPr="000E7D0D">
        <w:rPr>
          <w:b/>
        </w:rPr>
        <w:t>consent forms</w:t>
      </w:r>
      <w:r>
        <w:t>; (</w:t>
      </w:r>
      <w:r w:rsidR="00746B4F">
        <w:t>7</w:t>
      </w:r>
      <w:r>
        <w:t xml:space="preserve">) </w:t>
      </w:r>
      <w:r w:rsidRPr="00514AF9">
        <w:t xml:space="preserve">update the </w:t>
      </w:r>
      <w:r w:rsidRPr="00514AF9">
        <w:rPr>
          <w:b/>
        </w:rPr>
        <w:t>confidentiality pledge</w:t>
      </w:r>
      <w:r w:rsidRPr="00514AF9">
        <w:t xml:space="preserve"> cited as part of </w:t>
      </w:r>
      <w:r>
        <w:t>MGLS</w:t>
      </w:r>
      <w:r w:rsidR="00DC092A">
        <w:t>:2017</w:t>
      </w:r>
      <w:r w:rsidRPr="00514AF9">
        <w:t xml:space="preserve"> to account for the Cybersecurity Enhancement Act of 2015</w:t>
      </w:r>
      <w:r>
        <w:t xml:space="preserve"> and </w:t>
      </w:r>
      <w:r w:rsidRPr="00514AF9">
        <w:t xml:space="preserve">cite </w:t>
      </w:r>
      <w:r w:rsidRPr="00514AF9">
        <w:rPr>
          <w:b/>
        </w:rPr>
        <w:t xml:space="preserve">data security and confidentiality </w:t>
      </w:r>
      <w:r>
        <w:rPr>
          <w:b/>
        </w:rPr>
        <w:t>requirements</w:t>
      </w:r>
      <w:r>
        <w:t>; and (</w:t>
      </w:r>
      <w:r w:rsidR="00746B4F">
        <w:t>8</w:t>
      </w:r>
      <w:r>
        <w:t xml:space="preserve">) present minor modifications in the language in the </w:t>
      </w:r>
      <w:r w:rsidRPr="009B4965">
        <w:rPr>
          <w:b/>
        </w:rPr>
        <w:t xml:space="preserve">Main Study and </w:t>
      </w:r>
      <w:r w:rsidRPr="00E54ECE">
        <w:rPr>
          <w:b/>
        </w:rPr>
        <w:t>OFT follow-up</w:t>
      </w:r>
      <w:r>
        <w:t xml:space="preserve"> </w:t>
      </w:r>
      <w:r>
        <w:rPr>
          <w:b/>
        </w:rPr>
        <w:t>communication</w:t>
      </w:r>
      <w:r w:rsidRPr="00484141">
        <w:rPr>
          <w:b/>
        </w:rPr>
        <w:t xml:space="preserve"> materials</w:t>
      </w:r>
      <w:r>
        <w:t xml:space="preserve"> to be more compelling and likely to improve participation</w:t>
      </w:r>
      <w:r w:rsidR="00FA7668" w:rsidRPr="00C8231D">
        <w:t>.</w:t>
      </w:r>
      <w:r w:rsidR="00540E73">
        <w:t xml:space="preserve"> </w:t>
      </w:r>
      <w:r w:rsidR="00540E73" w:rsidRPr="00540E73">
        <w:t xml:space="preserve">These revisions do not affect the estimated burden to respondents or the total cost to the federal government for </w:t>
      </w:r>
      <w:r w:rsidR="00DE6AA3">
        <w:t>MGLS</w:t>
      </w:r>
      <w:r w:rsidR="00682EAA">
        <w:t>:2017</w:t>
      </w:r>
      <w:r w:rsidR="00DE6AA3">
        <w:t xml:space="preserve"> Main Study.</w:t>
      </w:r>
    </w:p>
    <w:p w14:paraId="205E75E7" w14:textId="73D1C255" w:rsidR="00EE7805" w:rsidRPr="009B4965" w:rsidRDefault="00EE7805" w:rsidP="009B4965">
      <w:pPr>
        <w:pStyle w:val="ListParagraph"/>
        <w:numPr>
          <w:ilvl w:val="0"/>
          <w:numId w:val="10"/>
        </w:numPr>
        <w:spacing w:after="120"/>
        <w:rPr>
          <w:b/>
        </w:rPr>
      </w:pPr>
      <w:r w:rsidRPr="009B4965">
        <w:rPr>
          <w:b/>
          <w:u w:val="single"/>
        </w:rPr>
        <w:t xml:space="preserve">Main Study </w:t>
      </w:r>
      <w:r w:rsidR="00484141" w:rsidRPr="009B4965">
        <w:rPr>
          <w:b/>
          <w:u w:val="single"/>
        </w:rPr>
        <w:t xml:space="preserve">School-level </w:t>
      </w:r>
      <w:r w:rsidRPr="009B4965">
        <w:rPr>
          <w:b/>
          <w:u w:val="single"/>
        </w:rPr>
        <w:t>Incentive</w:t>
      </w:r>
    </w:p>
    <w:p w14:paraId="165A66AD" w14:textId="61B91A36" w:rsidR="00127695" w:rsidRDefault="00127695" w:rsidP="009B4965">
      <w:pPr>
        <w:spacing w:after="120"/>
      </w:pPr>
      <w:r>
        <w:t xml:space="preserve">School participation has been increasingly difficult to secure. </w:t>
      </w:r>
      <w:r w:rsidRPr="00CA440B">
        <w:t xml:space="preserve">Given the many demands and outside pressures that schools already face, it is essential that </w:t>
      </w:r>
      <w:r>
        <w:t xml:space="preserve">schools </w:t>
      </w:r>
      <w:r w:rsidRPr="00CA440B">
        <w:t xml:space="preserve">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 math and special education teachers, and parent contact information; permission for field staff to be in the school for up to a week; space for administering student </w:t>
      </w:r>
      <w:r w:rsidR="002125C4">
        <w:t>sessions (</w:t>
      </w:r>
      <w:r w:rsidRPr="00CA440B">
        <w:t>assessments</w:t>
      </w:r>
      <w:r w:rsidR="002125C4">
        <w:t xml:space="preserve"> and surveys)</w:t>
      </w:r>
      <w:r w:rsidRPr="00CA440B">
        <w:t xml:space="preserve">; permission for students to leave their normal classes for the duration of the </w:t>
      </w:r>
      <w:r w:rsidR="002125C4">
        <w:t>session</w:t>
      </w:r>
      <w:r w:rsidR="002125C4" w:rsidRPr="00CA440B">
        <w:t>s</w:t>
      </w:r>
      <w:r w:rsidRPr="00CA440B">
        <w:t xml:space="preserve">; and </w:t>
      </w:r>
      <w:r w:rsidRPr="00CA440B">
        <w:lastRenderedPageBreak/>
        <w:t xml:space="preserve">information about the students’ teachers and parents. Sample students with disabilities may require accommodations and different </w:t>
      </w:r>
      <w:r w:rsidR="002125C4">
        <w:t>session</w:t>
      </w:r>
      <w:r w:rsidR="002125C4" w:rsidRPr="00CA440B">
        <w:t xml:space="preserve"> </w:t>
      </w:r>
      <w:r w:rsidRPr="00CA440B">
        <w:t>settings, such as individual administration and smaller group sessions, which will add to the time the study spends in schools and perhaps require additional assistance from school staff to assure that these students are accommodated appropriately</w:t>
      </w:r>
      <w:r w:rsidR="002125C4">
        <w:t>.</w:t>
      </w:r>
    </w:p>
    <w:p w14:paraId="6B620C43" w14:textId="122EB164" w:rsidR="00F82A27" w:rsidRDefault="003F1AE0" w:rsidP="009B4965">
      <w:pPr>
        <w:spacing w:after="120"/>
      </w:pPr>
      <w:r w:rsidRPr="003F1AE0">
        <w:t>The Operational Field Test (OFT) included a school-level incentive experiment, as described in</w:t>
      </w:r>
      <w:r w:rsidR="002366CE">
        <w:t xml:space="preserve"> the MGLS:2017 OFT and Recruitment for Main Study Base Year, Supporting Statement, Part A (</w:t>
      </w:r>
      <w:r w:rsidR="002366CE" w:rsidRPr="009B4965">
        <w:t>OMB# 1850-0911 v.11).</w:t>
      </w:r>
      <w:r w:rsidR="00F82A27" w:rsidRPr="009B4965">
        <w:t xml:space="preserve"> </w:t>
      </w:r>
      <w:r w:rsidRPr="002366CE">
        <w:t>S</w:t>
      </w:r>
      <w:r>
        <w:t xml:space="preserve">chools were </w:t>
      </w:r>
      <w:r w:rsidR="00CA440B">
        <w:t xml:space="preserve">randomly assigned to </w:t>
      </w:r>
      <w:r>
        <w:t>one of three incentive</w:t>
      </w:r>
      <w:r w:rsidR="00CA440B">
        <w:t xml:space="preserve"> conditions</w:t>
      </w:r>
      <w:r>
        <w:t xml:space="preserve">: </w:t>
      </w:r>
      <w:r w:rsidR="003C6230">
        <w:t xml:space="preserve">Condition 1 </w:t>
      </w:r>
      <w:r w:rsidR="00CA440B">
        <w:t xml:space="preserve">- </w:t>
      </w:r>
      <w:r>
        <w:t xml:space="preserve">$200, </w:t>
      </w:r>
      <w:r w:rsidR="003C6230">
        <w:t xml:space="preserve">Condition 2 </w:t>
      </w:r>
      <w:r w:rsidR="00CA440B">
        <w:t xml:space="preserve">- </w:t>
      </w:r>
      <w:r>
        <w:t xml:space="preserve">$400, or </w:t>
      </w:r>
      <w:r w:rsidR="003C6230">
        <w:t xml:space="preserve">Condition 3 </w:t>
      </w:r>
      <w:r w:rsidR="00CA440B">
        <w:t xml:space="preserve">- </w:t>
      </w:r>
      <w:r>
        <w:t>$400 in material</w:t>
      </w:r>
      <w:r w:rsidR="002125C4">
        <w:t>s</w:t>
      </w:r>
      <w:r>
        <w:t xml:space="preserve"> or services for the school. (School coordinators also received $150, consistent across all three conditions.)</w:t>
      </w:r>
      <w:r w:rsidR="00F44883">
        <w:t xml:space="preserve"> </w:t>
      </w:r>
      <w:r w:rsidR="00591BD6">
        <w:t>The IVFT included the same three experimental conditions.</w:t>
      </w:r>
      <w:r w:rsidR="005729FF">
        <w:t xml:space="preserve"> </w:t>
      </w:r>
      <w:r w:rsidR="000874E9" w:rsidRPr="009B4965">
        <w:t>Table 1</w:t>
      </w:r>
      <w:r w:rsidR="000874E9">
        <w:t xml:space="preserve"> displays information on the types of non-monetary materials or services offered</w:t>
      </w:r>
      <w:r w:rsidR="002D43BD">
        <w:t xml:space="preserve"> in </w:t>
      </w:r>
      <w:r w:rsidR="00171DD3">
        <w:t>C</w:t>
      </w:r>
      <w:r w:rsidR="002D43BD">
        <w:t>ondition 3</w:t>
      </w:r>
      <w:r w:rsidR="000874E9">
        <w:t>.</w:t>
      </w:r>
    </w:p>
    <w:p w14:paraId="29FDCD5F" w14:textId="6FE97CB5" w:rsidR="003C6230" w:rsidRPr="009B4965" w:rsidRDefault="003C6230" w:rsidP="00024CB2">
      <w:pPr>
        <w:widowControl w:val="0"/>
        <w:spacing w:before="120" w:after="60" w:line="240" w:lineRule="auto"/>
        <w:rPr>
          <w:b/>
          <w:sz w:val="20"/>
        </w:rPr>
      </w:pPr>
      <w:r w:rsidRPr="009B4965">
        <w:rPr>
          <w:b/>
          <w:sz w:val="20"/>
        </w:rPr>
        <w:t>Table 1. Non-Monetary Incentive Choices for Schools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71"/>
      </w:tblGrid>
      <w:tr w:rsidR="00E634EF" w:rsidRPr="00127695" w14:paraId="591B5261" w14:textId="77777777" w:rsidTr="009B4965">
        <w:trPr>
          <w:cantSplit/>
          <w:tblHeader/>
        </w:trPr>
        <w:tc>
          <w:tcPr>
            <w:tcW w:w="5000" w:type="pct"/>
            <w:shd w:val="clear" w:color="auto" w:fill="D9D9D9" w:themeFill="background1" w:themeFillShade="D9"/>
            <w:tcMar>
              <w:top w:w="14" w:type="dxa"/>
              <w:left w:w="29" w:type="dxa"/>
              <w:bottom w:w="14" w:type="dxa"/>
              <w:right w:w="14" w:type="dxa"/>
            </w:tcMar>
            <w:vAlign w:val="center"/>
            <w:hideMark/>
          </w:tcPr>
          <w:p w14:paraId="08BC889C" w14:textId="6D08C7DD" w:rsidR="00E634EF" w:rsidRPr="00127695" w:rsidRDefault="00E634EF" w:rsidP="001B2638">
            <w:pPr>
              <w:pStyle w:val="NoSpacing"/>
              <w:rPr>
                <w:b/>
                <w:sz w:val="20"/>
                <w:szCs w:val="20"/>
              </w:rPr>
            </w:pPr>
            <w:r w:rsidRPr="00127695">
              <w:rPr>
                <w:b/>
                <w:sz w:val="20"/>
                <w:szCs w:val="20"/>
              </w:rPr>
              <w:t>Incentive</w:t>
            </w:r>
            <w:r>
              <w:rPr>
                <w:b/>
                <w:sz w:val="20"/>
                <w:szCs w:val="20"/>
              </w:rPr>
              <w:t xml:space="preserve"> (Approximate Value = $400)</w:t>
            </w:r>
          </w:p>
        </w:tc>
      </w:tr>
      <w:tr w:rsidR="00E634EF" w:rsidRPr="00127695" w14:paraId="426B3DBF" w14:textId="77777777" w:rsidTr="009B4965">
        <w:trPr>
          <w:cantSplit/>
          <w:tblHeader/>
        </w:trPr>
        <w:tc>
          <w:tcPr>
            <w:tcW w:w="5000" w:type="pct"/>
            <w:tcMar>
              <w:top w:w="14" w:type="dxa"/>
              <w:left w:w="29" w:type="dxa"/>
              <w:bottom w:w="14" w:type="dxa"/>
              <w:right w:w="14" w:type="dxa"/>
            </w:tcMar>
            <w:vAlign w:val="center"/>
            <w:hideMark/>
          </w:tcPr>
          <w:p w14:paraId="0834261D" w14:textId="77777777" w:rsidR="00E634EF" w:rsidRPr="00127695" w:rsidRDefault="00E634EF" w:rsidP="001B2638">
            <w:pPr>
              <w:pStyle w:val="NoSpacing"/>
              <w:rPr>
                <w:sz w:val="20"/>
                <w:szCs w:val="20"/>
              </w:rPr>
            </w:pPr>
            <w:r w:rsidRPr="00127695">
              <w:rPr>
                <w:sz w:val="20"/>
                <w:szCs w:val="20"/>
              </w:rPr>
              <w:t xml:space="preserve">Registration for Association for Middle Level Education (AMLE) </w:t>
            </w:r>
            <w:r w:rsidRPr="00127695">
              <w:rPr>
                <w:sz w:val="20"/>
                <w:szCs w:val="20"/>
                <w:u w:val="single"/>
              </w:rPr>
              <w:t>or</w:t>
            </w:r>
            <w:r w:rsidRPr="00127695">
              <w:rPr>
                <w:sz w:val="20"/>
                <w:szCs w:val="20"/>
              </w:rPr>
              <w:t xml:space="preserve"> Regional Annual Meeting</w:t>
            </w:r>
          </w:p>
        </w:tc>
      </w:tr>
      <w:tr w:rsidR="00E634EF" w:rsidRPr="00127695" w14:paraId="31361239" w14:textId="77777777" w:rsidTr="009B4965">
        <w:trPr>
          <w:cantSplit/>
          <w:tblHeader/>
        </w:trPr>
        <w:tc>
          <w:tcPr>
            <w:tcW w:w="5000" w:type="pct"/>
            <w:tcMar>
              <w:top w:w="14" w:type="dxa"/>
              <w:left w:w="29" w:type="dxa"/>
              <w:bottom w:w="14" w:type="dxa"/>
              <w:right w:w="14" w:type="dxa"/>
            </w:tcMar>
            <w:vAlign w:val="center"/>
            <w:hideMark/>
          </w:tcPr>
          <w:p w14:paraId="272C9A23" w14:textId="77777777" w:rsidR="00E634EF" w:rsidRPr="00127695" w:rsidRDefault="00E634EF" w:rsidP="001B2638">
            <w:pPr>
              <w:pStyle w:val="NoSpacing"/>
              <w:rPr>
                <w:sz w:val="20"/>
                <w:szCs w:val="20"/>
              </w:rPr>
            </w:pPr>
            <w:r w:rsidRPr="00127695">
              <w:rPr>
                <w:sz w:val="20"/>
                <w:szCs w:val="20"/>
              </w:rPr>
              <w:t>Two-Year School Membership in AMLE</w:t>
            </w:r>
          </w:p>
        </w:tc>
      </w:tr>
      <w:tr w:rsidR="00E634EF" w:rsidRPr="00127695" w14:paraId="495EECB2" w14:textId="77777777" w:rsidTr="009B4965">
        <w:trPr>
          <w:cantSplit/>
          <w:tblHeader/>
        </w:trPr>
        <w:tc>
          <w:tcPr>
            <w:tcW w:w="5000" w:type="pct"/>
            <w:tcMar>
              <w:top w:w="14" w:type="dxa"/>
              <w:left w:w="29" w:type="dxa"/>
              <w:bottom w:w="14" w:type="dxa"/>
              <w:right w:w="14" w:type="dxa"/>
            </w:tcMar>
            <w:vAlign w:val="center"/>
            <w:hideMark/>
          </w:tcPr>
          <w:p w14:paraId="0265E0EA" w14:textId="77777777" w:rsidR="00E634EF" w:rsidRPr="00127695" w:rsidRDefault="00E634EF" w:rsidP="001B2638">
            <w:pPr>
              <w:pStyle w:val="NoSpacing"/>
              <w:rPr>
                <w:sz w:val="20"/>
                <w:szCs w:val="20"/>
              </w:rPr>
            </w:pPr>
            <w:r w:rsidRPr="00127695">
              <w:rPr>
                <w:sz w:val="20"/>
                <w:szCs w:val="20"/>
              </w:rPr>
              <w:t>Membership in Regional ML Organization plus Subscriptions to Professional Journals</w:t>
            </w:r>
          </w:p>
        </w:tc>
      </w:tr>
      <w:tr w:rsidR="00E634EF" w:rsidRPr="00127695" w14:paraId="65CE0813" w14:textId="77777777" w:rsidTr="009B4965">
        <w:trPr>
          <w:cantSplit/>
          <w:tblHeader/>
        </w:trPr>
        <w:tc>
          <w:tcPr>
            <w:tcW w:w="5000" w:type="pct"/>
            <w:tcMar>
              <w:top w:w="14" w:type="dxa"/>
              <w:left w:w="29" w:type="dxa"/>
              <w:bottom w:w="14" w:type="dxa"/>
              <w:right w:w="14" w:type="dxa"/>
            </w:tcMar>
            <w:vAlign w:val="center"/>
            <w:hideMark/>
          </w:tcPr>
          <w:p w14:paraId="59AB566F" w14:textId="77777777" w:rsidR="00E634EF" w:rsidRPr="00127695" w:rsidRDefault="00E634EF" w:rsidP="001B2638">
            <w:pPr>
              <w:pStyle w:val="NoSpacing"/>
              <w:rPr>
                <w:sz w:val="20"/>
                <w:szCs w:val="20"/>
              </w:rPr>
            </w:pPr>
            <w:r w:rsidRPr="00127695">
              <w:rPr>
                <w:sz w:val="20"/>
                <w:szCs w:val="20"/>
              </w:rPr>
              <w:t>Professional Development Webinar</w:t>
            </w:r>
          </w:p>
        </w:tc>
      </w:tr>
      <w:tr w:rsidR="00E634EF" w:rsidRPr="00127695" w14:paraId="54AEC78B" w14:textId="77777777" w:rsidTr="009B4965">
        <w:trPr>
          <w:cantSplit/>
          <w:tblHeader/>
        </w:trPr>
        <w:tc>
          <w:tcPr>
            <w:tcW w:w="5000" w:type="pct"/>
            <w:tcMar>
              <w:top w:w="14" w:type="dxa"/>
              <w:left w:w="29" w:type="dxa"/>
              <w:bottom w:w="14" w:type="dxa"/>
              <w:right w:w="14" w:type="dxa"/>
            </w:tcMar>
            <w:vAlign w:val="center"/>
          </w:tcPr>
          <w:p w14:paraId="2C18A60F" w14:textId="77777777" w:rsidR="00E634EF" w:rsidRPr="00127695" w:rsidRDefault="00E634EF" w:rsidP="001B2638">
            <w:pPr>
              <w:pStyle w:val="NoSpacing"/>
              <w:rPr>
                <w:sz w:val="20"/>
                <w:szCs w:val="20"/>
              </w:rPr>
            </w:pPr>
            <w:r w:rsidRPr="00127695">
              <w:rPr>
                <w:sz w:val="20"/>
                <w:szCs w:val="20"/>
              </w:rPr>
              <w:t xml:space="preserve">School Supplies </w:t>
            </w:r>
          </w:p>
        </w:tc>
      </w:tr>
      <w:tr w:rsidR="00E634EF" w:rsidRPr="00127695" w14:paraId="613C35C6" w14:textId="77777777" w:rsidTr="009B4965">
        <w:trPr>
          <w:cantSplit/>
          <w:tblHeader/>
        </w:trPr>
        <w:tc>
          <w:tcPr>
            <w:tcW w:w="5000" w:type="pct"/>
            <w:tcMar>
              <w:top w:w="14" w:type="dxa"/>
              <w:left w:w="29" w:type="dxa"/>
              <w:bottom w:w="14" w:type="dxa"/>
              <w:right w:w="14" w:type="dxa"/>
            </w:tcMar>
            <w:vAlign w:val="center"/>
          </w:tcPr>
          <w:p w14:paraId="5029FFEE" w14:textId="77777777" w:rsidR="00E634EF" w:rsidRPr="00127695" w:rsidRDefault="00E634EF" w:rsidP="001B2638">
            <w:pPr>
              <w:pStyle w:val="NoSpacing"/>
              <w:rPr>
                <w:sz w:val="20"/>
                <w:szCs w:val="20"/>
              </w:rPr>
            </w:pPr>
            <w:r w:rsidRPr="00127695">
              <w:rPr>
                <w:sz w:val="20"/>
                <w:szCs w:val="20"/>
              </w:rPr>
              <w:t>Library of Middle Level Publications</w:t>
            </w:r>
          </w:p>
        </w:tc>
      </w:tr>
    </w:tbl>
    <w:p w14:paraId="5DE7DC32" w14:textId="77777777" w:rsidR="003C6230" w:rsidRPr="00127695" w:rsidRDefault="003C6230" w:rsidP="003C6230">
      <w:pPr>
        <w:spacing w:after="0"/>
        <w:rPr>
          <w:rFonts w:ascii="Cambria" w:hAnsi="Cambria"/>
        </w:rPr>
      </w:pPr>
    </w:p>
    <w:p w14:paraId="0089A5A6" w14:textId="7A3217BB" w:rsidR="00F82A27" w:rsidRDefault="00591BD6" w:rsidP="009B4965">
      <w:pPr>
        <w:spacing w:after="120"/>
      </w:pPr>
      <w:r>
        <w:t xml:space="preserve">The original analytic plans for the incentive experiment called for combining </w:t>
      </w:r>
      <w:r w:rsidR="002D43BD">
        <w:t xml:space="preserve">results for </w:t>
      </w:r>
      <w:r>
        <w:t xml:space="preserve">the IVFT and OFT schools, to increase </w:t>
      </w:r>
      <w:r w:rsidR="002125C4">
        <w:t xml:space="preserve">the possibility of detecting differences with </w:t>
      </w:r>
      <w:r>
        <w:t xml:space="preserve">statistical significance. </w:t>
      </w:r>
      <w:r w:rsidR="00D3360A">
        <w:t>While we have provided an analysis that uses the combined results for the IVFT and OFT, we have also provided individual analyses for the IVFT and OFT given</w:t>
      </w:r>
      <w:r w:rsidR="00E634EF">
        <w:t xml:space="preserve"> differences between those groups that affect their predictive value regarding the Main Study. T</w:t>
      </w:r>
      <w:r w:rsidR="00D3360A">
        <w:t xml:space="preserve">he IVFT set of schools were purposively selected </w:t>
      </w:r>
      <w:r w:rsidR="00CA73CE">
        <w:t>while</w:t>
      </w:r>
      <w:r w:rsidR="00D3360A">
        <w:t xml:space="preserve"> the OFT schools were selected using a probability proportional to size sampling method that mimics the method to be employed for the main study. </w:t>
      </w:r>
      <w:r w:rsidR="00E634EF">
        <w:t xml:space="preserve">Also, </w:t>
      </w:r>
      <w:r w:rsidR="000F485F">
        <w:t xml:space="preserve">the </w:t>
      </w:r>
      <w:r w:rsidR="00E634EF">
        <w:t xml:space="preserve">IVFT was fielded with a </w:t>
      </w:r>
      <w:r w:rsidR="000F485F">
        <w:t>shortened school recruitment window</w:t>
      </w:r>
      <w:r w:rsidR="00E634EF">
        <w:t xml:space="preserve">, making it likely </w:t>
      </w:r>
      <w:r w:rsidR="00CA73CE">
        <w:t xml:space="preserve">that </w:t>
      </w:r>
      <w:r w:rsidR="00E634EF">
        <w:t>recruitment results were affected.</w:t>
      </w:r>
      <w:r w:rsidR="000F485F">
        <w:t xml:space="preserve"> </w:t>
      </w:r>
      <w:r w:rsidR="00366061">
        <w:t>In addition, m</w:t>
      </w:r>
      <w:r>
        <w:t>any districts refused to allow their sampled schools to be contacted for the study</w:t>
      </w:r>
      <w:r w:rsidR="00366061">
        <w:t xml:space="preserve">. This meant </w:t>
      </w:r>
      <w:r w:rsidR="000F485F">
        <w:t xml:space="preserve">that sampled schools </w:t>
      </w:r>
      <w:r w:rsidR="00366061">
        <w:t xml:space="preserve">in those districts </w:t>
      </w:r>
      <w:r w:rsidR="000F485F">
        <w:t>never actually received an incentive offer</w:t>
      </w:r>
      <w:r>
        <w:t>.</w:t>
      </w:r>
      <w:r w:rsidR="00666D55">
        <w:t xml:space="preserve"> </w:t>
      </w:r>
      <w:r w:rsidR="00366061">
        <w:t>T</w:t>
      </w:r>
      <w:r w:rsidR="000F485F">
        <w:t xml:space="preserve">o assess the degree to which </w:t>
      </w:r>
      <w:r w:rsidR="000B6C0A">
        <w:t xml:space="preserve">the </w:t>
      </w:r>
      <w:r w:rsidR="00366061">
        <w:t xml:space="preserve">level of </w:t>
      </w:r>
      <w:r w:rsidR="000F485F">
        <w:t>school incentive impact</w:t>
      </w:r>
      <w:r w:rsidR="000B6C0A">
        <w:t>ed</w:t>
      </w:r>
      <w:r w:rsidR="000F485F">
        <w:t xml:space="preserve"> participation rates, </w:t>
      </w:r>
      <w:r w:rsidR="00366061">
        <w:t xml:space="preserve">we analyzed results </w:t>
      </w:r>
      <w:r w:rsidR="00666D55">
        <w:t>both including and excluding schools in districts that refused.</w:t>
      </w:r>
      <w:r>
        <w:t xml:space="preserve"> </w:t>
      </w:r>
      <w:r w:rsidR="00BA7CEB" w:rsidRPr="000C711F">
        <w:t>Table 2</w:t>
      </w:r>
      <w:r w:rsidR="00BA7CEB">
        <w:t xml:space="preserve"> presents results for schools in all districts. Statistically significant differences between the incentive conditions were not found. </w:t>
      </w:r>
      <w:r>
        <w:t>Additionally, we found what appeared to be a notable difference in results between the IVFT and OFT.</w:t>
      </w:r>
    </w:p>
    <w:p w14:paraId="0468B7B2" w14:textId="739772ED" w:rsidR="00BA7CEB" w:rsidRPr="009B4965" w:rsidRDefault="00BA7CEB" w:rsidP="00024CB2">
      <w:pPr>
        <w:widowControl w:val="0"/>
        <w:spacing w:before="120" w:after="60" w:line="240" w:lineRule="auto"/>
        <w:rPr>
          <w:b/>
          <w:sz w:val="20"/>
        </w:rPr>
      </w:pPr>
      <w:r w:rsidRPr="009B4965">
        <w:rPr>
          <w:b/>
          <w:sz w:val="20"/>
        </w:rPr>
        <w:t>Table 2. School Participation Rates by Experimental Condition (All Districts)</w:t>
      </w:r>
    </w:p>
    <w:tbl>
      <w:tblPr>
        <w:tblW w:w="0" w:type="auto"/>
        <w:tblCellMar>
          <w:left w:w="0" w:type="dxa"/>
          <w:right w:w="0" w:type="dxa"/>
        </w:tblCellMar>
        <w:tblLook w:val="04A0" w:firstRow="1" w:lastRow="0" w:firstColumn="1" w:lastColumn="0" w:noHBand="0" w:noVBand="1"/>
      </w:tblPr>
      <w:tblGrid>
        <w:gridCol w:w="280"/>
        <w:gridCol w:w="3240"/>
        <w:gridCol w:w="2847"/>
        <w:gridCol w:w="2118"/>
        <w:gridCol w:w="1880"/>
      </w:tblGrid>
      <w:tr w:rsidR="007A4C8A" w:rsidRPr="000B6C0A" w14:paraId="74585BFA" w14:textId="77777777" w:rsidTr="000B6C0A">
        <w:trPr>
          <w:trHeight w:val="144"/>
        </w:trPr>
        <w:tc>
          <w:tcPr>
            <w:tcW w:w="352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05BEA20" w14:textId="77777777" w:rsidR="00BA7CEB" w:rsidRPr="009B4965" w:rsidRDefault="00BA7CEB" w:rsidP="009B4965">
            <w:pPr>
              <w:spacing w:after="0" w:line="240" w:lineRule="auto"/>
              <w:jc w:val="center"/>
              <w:rPr>
                <w:b/>
                <w:color w:val="000000"/>
                <w:sz w:val="20"/>
              </w:rPr>
            </w:pPr>
            <w:r w:rsidRPr="009B4965">
              <w:rPr>
                <w:b/>
                <w:color w:val="000000"/>
                <w:sz w:val="20"/>
              </w:rPr>
              <w:t>Experimental Condition</w:t>
            </w:r>
          </w:p>
        </w:tc>
        <w:tc>
          <w:tcPr>
            <w:tcW w:w="2847"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2131ABE3" w14:textId="77777777" w:rsidR="00BA7CEB" w:rsidRPr="009B4965" w:rsidRDefault="00BA7CEB" w:rsidP="009B4965">
            <w:pPr>
              <w:spacing w:after="0" w:line="240" w:lineRule="auto"/>
              <w:jc w:val="center"/>
              <w:rPr>
                <w:b/>
                <w:color w:val="000000"/>
                <w:sz w:val="20"/>
              </w:rPr>
            </w:pPr>
            <w:r w:rsidRPr="009B4965">
              <w:rPr>
                <w:b/>
                <w:color w:val="000000"/>
                <w:sz w:val="20"/>
              </w:rPr>
              <w:t>IVFT and OFT Combined Participation Rate</w:t>
            </w:r>
          </w:p>
          <w:p w14:paraId="099BEA47" w14:textId="77777777" w:rsidR="00BA7CEB" w:rsidRPr="009B4965" w:rsidRDefault="00BA7CEB" w:rsidP="009B4965">
            <w:pPr>
              <w:spacing w:after="0" w:line="240" w:lineRule="auto"/>
              <w:jc w:val="center"/>
              <w:rPr>
                <w:b/>
                <w:color w:val="000000"/>
                <w:sz w:val="20"/>
              </w:rPr>
            </w:pPr>
            <w:r w:rsidRPr="009B4965">
              <w:rPr>
                <w:b/>
                <w:color w:val="000000"/>
                <w:sz w:val="20"/>
              </w:rPr>
              <w:t>(Number of Schools)</w:t>
            </w:r>
          </w:p>
        </w:tc>
        <w:tc>
          <w:tcPr>
            <w:tcW w:w="0" w:type="auto"/>
            <w:tcBorders>
              <w:top w:val="single" w:sz="8" w:space="0" w:color="auto"/>
              <w:left w:val="single" w:sz="4" w:space="0" w:color="auto"/>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3D774BDB" w14:textId="77777777" w:rsidR="00BA7CEB" w:rsidRPr="009B4965" w:rsidRDefault="00BA7CEB" w:rsidP="009B4965">
            <w:pPr>
              <w:spacing w:after="0" w:line="240" w:lineRule="auto"/>
              <w:jc w:val="center"/>
              <w:rPr>
                <w:b/>
                <w:color w:val="000000"/>
                <w:sz w:val="20"/>
              </w:rPr>
            </w:pPr>
            <w:r w:rsidRPr="009B4965">
              <w:rPr>
                <w:b/>
                <w:color w:val="000000"/>
                <w:sz w:val="20"/>
              </w:rPr>
              <w:t>IVFT Participation Rate</w:t>
            </w:r>
          </w:p>
          <w:p w14:paraId="24A5F4E4" w14:textId="77777777" w:rsidR="00BA7CEB" w:rsidRPr="009B4965" w:rsidRDefault="00BA7CEB" w:rsidP="009B4965">
            <w:pPr>
              <w:spacing w:after="0" w:line="240" w:lineRule="auto"/>
              <w:jc w:val="center"/>
              <w:rPr>
                <w:b/>
                <w:color w:val="000000"/>
                <w:sz w:val="20"/>
              </w:rPr>
            </w:pPr>
            <w:r w:rsidRPr="009B4965">
              <w:rPr>
                <w:b/>
                <w:color w:val="000000"/>
                <w:sz w:val="20"/>
              </w:rPr>
              <w:t>(Number of Schools)</w:t>
            </w:r>
          </w:p>
        </w:tc>
        <w:tc>
          <w:tcPr>
            <w:tcW w:w="0" w:type="auto"/>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0DB08AA0" w14:textId="77777777" w:rsidR="00BA7CEB" w:rsidRPr="009B4965" w:rsidRDefault="00BA7CEB" w:rsidP="009B4965">
            <w:pPr>
              <w:spacing w:after="0" w:line="240" w:lineRule="auto"/>
              <w:jc w:val="center"/>
              <w:rPr>
                <w:b/>
                <w:color w:val="000000"/>
                <w:sz w:val="20"/>
              </w:rPr>
            </w:pPr>
            <w:r w:rsidRPr="009B4965">
              <w:rPr>
                <w:b/>
                <w:color w:val="000000"/>
                <w:sz w:val="20"/>
              </w:rPr>
              <w:t>OFT Participation Rate</w:t>
            </w:r>
          </w:p>
          <w:p w14:paraId="48C2CDA7" w14:textId="77777777" w:rsidR="00BA7CEB" w:rsidRPr="009B4965" w:rsidRDefault="00BA7CEB" w:rsidP="009B4965">
            <w:pPr>
              <w:spacing w:after="0" w:line="240" w:lineRule="auto"/>
              <w:jc w:val="center"/>
              <w:rPr>
                <w:b/>
                <w:color w:val="000000"/>
                <w:sz w:val="20"/>
              </w:rPr>
            </w:pPr>
            <w:r w:rsidRPr="009B4965">
              <w:rPr>
                <w:b/>
                <w:color w:val="000000"/>
                <w:sz w:val="20"/>
              </w:rPr>
              <w:t>(Number of Schools)</w:t>
            </w:r>
          </w:p>
        </w:tc>
      </w:tr>
      <w:tr w:rsidR="007A4C8A" w:rsidRPr="000B6C0A" w14:paraId="3F9A9C5F" w14:textId="77777777" w:rsidTr="000B6C0A">
        <w:trPr>
          <w:trHeight w:val="144"/>
        </w:trPr>
        <w:tc>
          <w:tcPr>
            <w:tcW w:w="280" w:type="dxa"/>
            <w:tcBorders>
              <w:top w:val="nil"/>
              <w:left w:val="single" w:sz="8" w:space="0" w:color="auto"/>
              <w:bottom w:val="single" w:sz="8" w:space="0" w:color="auto"/>
              <w:right w:val="single" w:sz="8" w:space="0" w:color="auto"/>
            </w:tcBorders>
            <w:vAlign w:val="center"/>
          </w:tcPr>
          <w:p w14:paraId="7CCD7DA1" w14:textId="77777777" w:rsidR="00BA7CEB" w:rsidRPr="009B4965" w:rsidRDefault="00BA7CEB" w:rsidP="009B4965">
            <w:pPr>
              <w:spacing w:after="0" w:line="240" w:lineRule="auto"/>
              <w:jc w:val="center"/>
              <w:rPr>
                <w:color w:val="000000"/>
                <w:sz w:val="20"/>
              </w:rPr>
            </w:pPr>
            <w:r w:rsidRPr="009B4965">
              <w:rPr>
                <w:color w:val="000000"/>
                <w:sz w:val="20"/>
              </w:rPr>
              <w:t>1</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597469" w14:textId="77777777" w:rsidR="00BA7CEB" w:rsidRPr="009B4965" w:rsidRDefault="00BA7CEB" w:rsidP="009B4965">
            <w:pPr>
              <w:spacing w:after="0" w:line="240" w:lineRule="auto"/>
              <w:rPr>
                <w:color w:val="000000"/>
                <w:sz w:val="20"/>
              </w:rPr>
            </w:pPr>
            <w:r w:rsidRPr="009B4965">
              <w:rPr>
                <w:color w:val="000000"/>
                <w:sz w:val="20"/>
              </w:rPr>
              <w:t xml:space="preserve">$200 </w:t>
            </w:r>
          </w:p>
        </w:tc>
        <w:tc>
          <w:tcPr>
            <w:tcW w:w="2847" w:type="dxa"/>
            <w:tcBorders>
              <w:top w:val="nil"/>
              <w:left w:val="nil"/>
              <w:bottom w:val="single" w:sz="8" w:space="0" w:color="auto"/>
              <w:right w:val="single" w:sz="4" w:space="0" w:color="auto"/>
            </w:tcBorders>
            <w:vAlign w:val="center"/>
          </w:tcPr>
          <w:p w14:paraId="6CD3C1C6" w14:textId="77777777" w:rsidR="00BA7CEB" w:rsidRPr="009B4965" w:rsidRDefault="00BA7CEB" w:rsidP="009B4965">
            <w:pPr>
              <w:spacing w:after="0" w:line="240" w:lineRule="auto"/>
              <w:rPr>
                <w:color w:val="000000"/>
                <w:sz w:val="20"/>
              </w:rPr>
            </w:pPr>
            <w:r w:rsidRPr="009B4965">
              <w:rPr>
                <w:color w:val="000000"/>
                <w:sz w:val="20"/>
              </w:rPr>
              <w:t xml:space="preserve"> 23.1% (30 of 130)</w:t>
            </w:r>
          </w:p>
        </w:tc>
        <w:tc>
          <w:tcPr>
            <w:tcW w:w="0" w:type="auto"/>
            <w:tcBorders>
              <w:top w:val="nil"/>
              <w:left w:val="single" w:sz="4" w:space="0" w:color="auto"/>
              <w:bottom w:val="single" w:sz="8" w:space="0" w:color="auto"/>
              <w:right w:val="single" w:sz="4" w:space="0" w:color="auto"/>
            </w:tcBorders>
            <w:vAlign w:val="center"/>
          </w:tcPr>
          <w:p w14:paraId="12BDBCD9" w14:textId="77777777" w:rsidR="00BA7CEB" w:rsidRPr="009B4965" w:rsidRDefault="00BA7CEB" w:rsidP="009B4965">
            <w:pPr>
              <w:spacing w:after="0" w:line="240" w:lineRule="auto"/>
              <w:rPr>
                <w:color w:val="000000"/>
                <w:sz w:val="20"/>
              </w:rPr>
            </w:pPr>
            <w:r w:rsidRPr="009B4965">
              <w:rPr>
                <w:color w:val="000000"/>
                <w:sz w:val="20"/>
              </w:rPr>
              <w:t xml:space="preserve"> 22.9% (20 of 87)</w:t>
            </w:r>
          </w:p>
        </w:tc>
        <w:tc>
          <w:tcPr>
            <w:tcW w:w="0" w:type="auto"/>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14028450" w14:textId="77777777" w:rsidR="00BA7CEB" w:rsidRPr="009B4965" w:rsidRDefault="00BA7CEB" w:rsidP="009B4965">
            <w:pPr>
              <w:spacing w:after="0" w:line="240" w:lineRule="auto"/>
              <w:rPr>
                <w:color w:val="000000"/>
                <w:sz w:val="20"/>
              </w:rPr>
            </w:pPr>
            <w:r w:rsidRPr="009B4965">
              <w:rPr>
                <w:color w:val="000000"/>
                <w:sz w:val="20"/>
              </w:rPr>
              <w:t>23.3% (10 of 43)</w:t>
            </w:r>
          </w:p>
        </w:tc>
      </w:tr>
      <w:tr w:rsidR="007A4C8A" w:rsidRPr="000B6C0A" w14:paraId="01BFD2C8" w14:textId="77777777" w:rsidTr="000B6C0A">
        <w:trPr>
          <w:trHeight w:val="144"/>
        </w:trPr>
        <w:tc>
          <w:tcPr>
            <w:tcW w:w="280" w:type="dxa"/>
            <w:tcBorders>
              <w:top w:val="nil"/>
              <w:left w:val="single" w:sz="8" w:space="0" w:color="auto"/>
              <w:bottom w:val="single" w:sz="8" w:space="0" w:color="auto"/>
              <w:right w:val="single" w:sz="8" w:space="0" w:color="auto"/>
            </w:tcBorders>
            <w:vAlign w:val="center"/>
          </w:tcPr>
          <w:p w14:paraId="296DC1E7" w14:textId="77777777" w:rsidR="00BA7CEB" w:rsidRPr="009B4965" w:rsidRDefault="00BA7CEB" w:rsidP="009B4965">
            <w:pPr>
              <w:spacing w:after="0" w:line="240" w:lineRule="auto"/>
              <w:jc w:val="center"/>
              <w:rPr>
                <w:color w:val="000000"/>
                <w:sz w:val="20"/>
              </w:rPr>
            </w:pPr>
            <w:r w:rsidRPr="009B4965">
              <w:rPr>
                <w:color w:val="000000"/>
                <w:sz w:val="20"/>
              </w:rPr>
              <w:t>2</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B48924" w14:textId="77777777" w:rsidR="00BA7CEB" w:rsidRPr="009B4965" w:rsidRDefault="00BA7CEB" w:rsidP="009B4965">
            <w:pPr>
              <w:spacing w:after="0" w:line="240" w:lineRule="auto"/>
              <w:rPr>
                <w:color w:val="000000"/>
                <w:sz w:val="20"/>
              </w:rPr>
            </w:pPr>
            <w:r w:rsidRPr="009B4965">
              <w:rPr>
                <w:color w:val="000000"/>
                <w:sz w:val="20"/>
              </w:rPr>
              <w:t xml:space="preserve">$400 </w:t>
            </w:r>
          </w:p>
        </w:tc>
        <w:tc>
          <w:tcPr>
            <w:tcW w:w="2847" w:type="dxa"/>
            <w:tcBorders>
              <w:top w:val="nil"/>
              <w:left w:val="nil"/>
              <w:bottom w:val="single" w:sz="8" w:space="0" w:color="auto"/>
              <w:right w:val="single" w:sz="4" w:space="0" w:color="auto"/>
            </w:tcBorders>
            <w:vAlign w:val="center"/>
          </w:tcPr>
          <w:p w14:paraId="12FE1C32" w14:textId="77777777" w:rsidR="00BA7CEB" w:rsidRPr="009B4965" w:rsidRDefault="00BA7CEB" w:rsidP="009B4965">
            <w:pPr>
              <w:spacing w:after="0" w:line="240" w:lineRule="auto"/>
              <w:rPr>
                <w:color w:val="000000"/>
                <w:sz w:val="20"/>
              </w:rPr>
            </w:pPr>
            <w:r w:rsidRPr="009B4965">
              <w:rPr>
                <w:color w:val="000000"/>
                <w:sz w:val="20"/>
              </w:rPr>
              <w:t xml:space="preserve"> 27.3% (35 of 128)</w:t>
            </w:r>
          </w:p>
        </w:tc>
        <w:tc>
          <w:tcPr>
            <w:tcW w:w="0" w:type="auto"/>
            <w:tcBorders>
              <w:top w:val="nil"/>
              <w:left w:val="single" w:sz="4" w:space="0" w:color="auto"/>
              <w:bottom w:val="single" w:sz="8" w:space="0" w:color="auto"/>
              <w:right w:val="single" w:sz="4" w:space="0" w:color="auto"/>
            </w:tcBorders>
            <w:vAlign w:val="center"/>
          </w:tcPr>
          <w:p w14:paraId="398C7638" w14:textId="77777777" w:rsidR="00BA7CEB" w:rsidRPr="009B4965" w:rsidRDefault="00BA7CEB" w:rsidP="009B4965">
            <w:pPr>
              <w:spacing w:after="0" w:line="240" w:lineRule="auto"/>
              <w:rPr>
                <w:color w:val="000000"/>
                <w:sz w:val="20"/>
              </w:rPr>
            </w:pPr>
            <w:r w:rsidRPr="009B4965">
              <w:rPr>
                <w:color w:val="000000"/>
                <w:sz w:val="20"/>
              </w:rPr>
              <w:t xml:space="preserve"> 22.1% (17 of 77)</w:t>
            </w:r>
          </w:p>
        </w:tc>
        <w:tc>
          <w:tcPr>
            <w:tcW w:w="0" w:type="auto"/>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5CA003D4" w14:textId="77777777" w:rsidR="00BA7CEB" w:rsidRPr="009B4965" w:rsidRDefault="00BA7CEB" w:rsidP="009B4965">
            <w:pPr>
              <w:spacing w:after="0" w:line="240" w:lineRule="auto"/>
              <w:rPr>
                <w:color w:val="000000"/>
                <w:sz w:val="20"/>
              </w:rPr>
            </w:pPr>
            <w:r w:rsidRPr="009B4965">
              <w:rPr>
                <w:color w:val="000000"/>
                <w:sz w:val="20"/>
              </w:rPr>
              <w:t>35.3% (18 of 51)</w:t>
            </w:r>
          </w:p>
        </w:tc>
      </w:tr>
      <w:tr w:rsidR="007A4C8A" w:rsidRPr="000B6C0A" w14:paraId="12290E65" w14:textId="77777777" w:rsidTr="000B6C0A">
        <w:trPr>
          <w:trHeight w:val="144"/>
        </w:trPr>
        <w:tc>
          <w:tcPr>
            <w:tcW w:w="280" w:type="dxa"/>
            <w:tcBorders>
              <w:top w:val="nil"/>
              <w:left w:val="single" w:sz="8" w:space="0" w:color="auto"/>
              <w:bottom w:val="single" w:sz="8" w:space="0" w:color="auto"/>
              <w:right w:val="single" w:sz="8" w:space="0" w:color="auto"/>
            </w:tcBorders>
            <w:vAlign w:val="center"/>
          </w:tcPr>
          <w:p w14:paraId="3705F250" w14:textId="77777777" w:rsidR="00BA7CEB" w:rsidRPr="009B4965" w:rsidRDefault="00BA7CEB" w:rsidP="009B4965">
            <w:pPr>
              <w:spacing w:after="0" w:line="240" w:lineRule="auto"/>
              <w:jc w:val="center"/>
              <w:rPr>
                <w:color w:val="000000"/>
                <w:sz w:val="20"/>
              </w:rPr>
            </w:pPr>
            <w:r w:rsidRPr="009B4965">
              <w:rPr>
                <w:color w:val="000000"/>
                <w:sz w:val="20"/>
              </w:rPr>
              <w:t>3</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2DAE9E" w14:textId="77777777" w:rsidR="00BA7CEB" w:rsidRPr="009B4965" w:rsidRDefault="00BA7CEB" w:rsidP="009B4965">
            <w:pPr>
              <w:spacing w:after="0" w:line="240" w:lineRule="auto"/>
              <w:rPr>
                <w:color w:val="000000"/>
                <w:sz w:val="20"/>
              </w:rPr>
            </w:pPr>
            <w:r w:rsidRPr="009B4965">
              <w:rPr>
                <w:color w:val="000000"/>
                <w:sz w:val="20"/>
              </w:rPr>
              <w:t>$400 non-monetary equivalent</w:t>
            </w:r>
          </w:p>
        </w:tc>
        <w:tc>
          <w:tcPr>
            <w:tcW w:w="2847" w:type="dxa"/>
            <w:tcBorders>
              <w:top w:val="single" w:sz="8" w:space="0" w:color="auto"/>
              <w:left w:val="nil"/>
              <w:bottom w:val="single" w:sz="8" w:space="0" w:color="auto"/>
              <w:right w:val="single" w:sz="4" w:space="0" w:color="auto"/>
            </w:tcBorders>
            <w:vAlign w:val="center"/>
          </w:tcPr>
          <w:p w14:paraId="4590E626" w14:textId="77777777" w:rsidR="00BA7CEB" w:rsidRPr="009B4965" w:rsidRDefault="00BA7CEB" w:rsidP="009B4965">
            <w:pPr>
              <w:spacing w:after="0" w:line="240" w:lineRule="auto"/>
              <w:rPr>
                <w:color w:val="000000"/>
                <w:sz w:val="20"/>
              </w:rPr>
            </w:pPr>
            <w:r w:rsidRPr="009B4965">
              <w:rPr>
                <w:color w:val="000000"/>
                <w:sz w:val="20"/>
              </w:rPr>
              <w:t xml:space="preserve"> 29.0% (36 of 124)</w:t>
            </w:r>
          </w:p>
        </w:tc>
        <w:tc>
          <w:tcPr>
            <w:tcW w:w="0" w:type="auto"/>
            <w:tcBorders>
              <w:top w:val="single" w:sz="8" w:space="0" w:color="auto"/>
              <w:left w:val="single" w:sz="4" w:space="0" w:color="auto"/>
              <w:bottom w:val="single" w:sz="8" w:space="0" w:color="auto"/>
              <w:right w:val="single" w:sz="4" w:space="0" w:color="auto"/>
            </w:tcBorders>
            <w:vAlign w:val="center"/>
          </w:tcPr>
          <w:p w14:paraId="62DA184B" w14:textId="77777777" w:rsidR="00BA7CEB" w:rsidRPr="009B4965" w:rsidRDefault="00BA7CEB" w:rsidP="009B4965">
            <w:pPr>
              <w:spacing w:after="0" w:line="240" w:lineRule="auto"/>
              <w:rPr>
                <w:color w:val="000000"/>
                <w:sz w:val="20"/>
              </w:rPr>
            </w:pPr>
            <w:r w:rsidRPr="009B4965">
              <w:rPr>
                <w:color w:val="000000"/>
                <w:sz w:val="20"/>
              </w:rPr>
              <w:t xml:space="preserve"> 25.0% (21 of 84)</w:t>
            </w:r>
          </w:p>
        </w:tc>
        <w:tc>
          <w:tcPr>
            <w:tcW w:w="0" w:type="auto"/>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63E2E2F0" w14:textId="77777777" w:rsidR="00BA7CEB" w:rsidRPr="009B4965" w:rsidRDefault="00BA7CEB" w:rsidP="009B4965">
            <w:pPr>
              <w:spacing w:after="0" w:line="240" w:lineRule="auto"/>
              <w:rPr>
                <w:color w:val="000000"/>
                <w:sz w:val="20"/>
              </w:rPr>
            </w:pPr>
            <w:r w:rsidRPr="009B4965">
              <w:rPr>
                <w:color w:val="000000"/>
                <w:sz w:val="20"/>
              </w:rPr>
              <w:t>37.5% (15 of 40)</w:t>
            </w:r>
          </w:p>
        </w:tc>
      </w:tr>
    </w:tbl>
    <w:p w14:paraId="4C1A002C" w14:textId="77777777" w:rsidR="00BA7CEB" w:rsidRDefault="00BA7CEB" w:rsidP="009B4965">
      <w:pPr>
        <w:spacing w:after="0" w:line="240" w:lineRule="auto"/>
        <w:rPr>
          <w:rFonts w:ascii="Calibri" w:hAnsi="Calibri"/>
          <w:color w:val="1F497D"/>
        </w:rPr>
      </w:pPr>
    </w:p>
    <w:p w14:paraId="32B490C0" w14:textId="004557AC" w:rsidR="00F82A27" w:rsidRPr="009B4965" w:rsidRDefault="00BA7CEB" w:rsidP="009B4965">
      <w:pPr>
        <w:spacing w:after="120"/>
      </w:pPr>
      <w:r w:rsidRPr="00906715">
        <w:rPr>
          <w:rFonts w:ascii="Calibri" w:hAnsi="Calibri"/>
          <w:b/>
          <w:i/>
        </w:rPr>
        <w:t>Table 3</w:t>
      </w:r>
      <w:r w:rsidRPr="00906715">
        <w:rPr>
          <w:rFonts w:ascii="Calibri" w:hAnsi="Calibri"/>
        </w:rPr>
        <w:t xml:space="preserve"> presents participation rates among schools </w:t>
      </w:r>
      <w:r>
        <w:rPr>
          <w:rFonts w:ascii="Calibri" w:hAnsi="Calibri"/>
        </w:rPr>
        <w:t xml:space="preserve">in cooperating </w:t>
      </w:r>
      <w:r w:rsidRPr="00906715">
        <w:rPr>
          <w:rFonts w:ascii="Calibri" w:hAnsi="Calibri"/>
        </w:rPr>
        <w:t xml:space="preserve">districts. </w:t>
      </w:r>
      <w:r w:rsidRPr="00906715">
        <w:t>The difference</w:t>
      </w:r>
      <w:r w:rsidR="00363C5C">
        <w:t>s</w:t>
      </w:r>
      <w:r w:rsidRPr="00906715">
        <w:t xml:space="preserve"> between participation rates </w:t>
      </w:r>
      <w:r w:rsidR="00363C5C">
        <w:t>for</w:t>
      </w:r>
      <w:r w:rsidR="00363C5C" w:rsidRPr="00906715">
        <w:t xml:space="preserve"> </w:t>
      </w:r>
      <w:r w:rsidRPr="00906715">
        <w:t xml:space="preserve">the $200 condition </w:t>
      </w:r>
      <w:r w:rsidR="000B6C0A">
        <w:t>versus</w:t>
      </w:r>
      <w:r>
        <w:t xml:space="preserve"> the other two </w:t>
      </w:r>
      <w:r w:rsidRPr="00F619AC">
        <w:t xml:space="preserve">conditions </w:t>
      </w:r>
      <w:r w:rsidR="000B6C0A">
        <w:t>in</w:t>
      </w:r>
      <w:r w:rsidR="00F619AC" w:rsidRPr="00F619AC">
        <w:t xml:space="preserve"> the IVFT, OFT, or IVT</w:t>
      </w:r>
      <w:r w:rsidR="000B6C0A">
        <w:t xml:space="preserve"> and</w:t>
      </w:r>
      <w:r w:rsidR="00F619AC" w:rsidRPr="00F619AC">
        <w:t xml:space="preserve"> </w:t>
      </w:r>
      <w:r w:rsidR="000B6C0A" w:rsidRPr="00F619AC">
        <w:t xml:space="preserve">OFT </w:t>
      </w:r>
      <w:r w:rsidR="00F619AC" w:rsidRPr="00F619AC">
        <w:t xml:space="preserve">combined </w:t>
      </w:r>
      <w:r w:rsidRPr="00F619AC">
        <w:t xml:space="preserve">were </w:t>
      </w:r>
      <w:r w:rsidRPr="00906715">
        <w:t xml:space="preserve">not </w:t>
      </w:r>
      <w:r>
        <w:t>statistically different (</w:t>
      </w:r>
      <w:r w:rsidRPr="005C5371">
        <w:t>p-value</w:t>
      </w:r>
      <w:r w:rsidR="004767CF">
        <w:t>&gt;</w:t>
      </w:r>
      <w:r w:rsidR="00D3360A">
        <w:t>.05</w:t>
      </w:r>
      <w:r>
        <w:t>).</w:t>
      </w:r>
    </w:p>
    <w:p w14:paraId="48102A71" w14:textId="3BA48CA6" w:rsidR="00BA7CEB" w:rsidRPr="009B4965" w:rsidRDefault="00BA7CEB" w:rsidP="00024CB2">
      <w:pPr>
        <w:widowControl w:val="0"/>
        <w:spacing w:before="120" w:after="60" w:line="240" w:lineRule="auto"/>
        <w:rPr>
          <w:b/>
          <w:sz w:val="20"/>
        </w:rPr>
      </w:pPr>
      <w:r w:rsidRPr="009B4965">
        <w:rPr>
          <w:b/>
          <w:sz w:val="20"/>
        </w:rPr>
        <w:t>Table 3. School Participation Rates by Experimental Condition (Participating Districts)</w:t>
      </w:r>
    </w:p>
    <w:tbl>
      <w:tblPr>
        <w:tblW w:w="0" w:type="auto"/>
        <w:tblCellMar>
          <w:left w:w="0" w:type="dxa"/>
          <w:right w:w="0" w:type="dxa"/>
        </w:tblCellMar>
        <w:tblLook w:val="04A0" w:firstRow="1" w:lastRow="0" w:firstColumn="1" w:lastColumn="0" w:noHBand="0" w:noVBand="1"/>
      </w:tblPr>
      <w:tblGrid>
        <w:gridCol w:w="370"/>
        <w:gridCol w:w="2790"/>
        <w:gridCol w:w="3163"/>
        <w:gridCol w:w="2118"/>
        <w:gridCol w:w="1880"/>
      </w:tblGrid>
      <w:tr w:rsidR="007A4C8A" w:rsidRPr="000B6C0A" w14:paraId="75CE3800" w14:textId="77777777" w:rsidTr="00024CB2">
        <w:trPr>
          <w:trHeight w:val="144"/>
        </w:trPr>
        <w:tc>
          <w:tcPr>
            <w:tcW w:w="316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F391694" w14:textId="77777777" w:rsidR="00BA7CEB" w:rsidRPr="009B4965" w:rsidRDefault="00BA7CEB" w:rsidP="009B4965">
            <w:pPr>
              <w:keepNext/>
              <w:spacing w:after="0" w:line="240" w:lineRule="auto"/>
              <w:jc w:val="center"/>
              <w:rPr>
                <w:b/>
                <w:color w:val="000000"/>
                <w:sz w:val="20"/>
              </w:rPr>
            </w:pPr>
            <w:r w:rsidRPr="009B4965">
              <w:rPr>
                <w:b/>
                <w:color w:val="000000"/>
                <w:sz w:val="20"/>
              </w:rPr>
              <w:t>Experimental Condition</w:t>
            </w:r>
          </w:p>
        </w:tc>
        <w:tc>
          <w:tcPr>
            <w:tcW w:w="3163"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4DACF4D5" w14:textId="111F309D" w:rsidR="00BA7CEB" w:rsidRPr="009B4965" w:rsidRDefault="00BA7CEB" w:rsidP="00024CB2">
            <w:pPr>
              <w:keepNext/>
              <w:spacing w:after="0" w:line="240" w:lineRule="auto"/>
              <w:jc w:val="center"/>
              <w:rPr>
                <w:b/>
                <w:color w:val="000000"/>
                <w:sz w:val="20"/>
              </w:rPr>
            </w:pPr>
            <w:r w:rsidRPr="009B4965">
              <w:rPr>
                <w:b/>
                <w:color w:val="000000"/>
                <w:sz w:val="20"/>
              </w:rPr>
              <w:t>IVFT and OFT Combined Participation Rate</w:t>
            </w:r>
            <w:r w:rsidR="00024CB2">
              <w:rPr>
                <w:b/>
                <w:color w:val="000000"/>
                <w:sz w:val="20"/>
              </w:rPr>
              <w:t xml:space="preserve"> </w:t>
            </w:r>
            <w:r w:rsidRPr="009B4965">
              <w:rPr>
                <w:b/>
                <w:color w:val="000000"/>
                <w:sz w:val="20"/>
              </w:rPr>
              <w:t>(Number of Schools)</w:t>
            </w:r>
          </w:p>
        </w:tc>
        <w:tc>
          <w:tcPr>
            <w:tcW w:w="0" w:type="auto"/>
            <w:tcBorders>
              <w:top w:val="single" w:sz="8" w:space="0" w:color="auto"/>
              <w:left w:val="single" w:sz="4" w:space="0" w:color="auto"/>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tcPr>
          <w:p w14:paraId="7F3971AE" w14:textId="77777777" w:rsidR="00BA7CEB" w:rsidRPr="009B4965" w:rsidRDefault="00BA7CEB" w:rsidP="009B4965">
            <w:pPr>
              <w:keepNext/>
              <w:spacing w:after="0" w:line="240" w:lineRule="auto"/>
              <w:jc w:val="center"/>
              <w:rPr>
                <w:b/>
                <w:color w:val="000000"/>
                <w:sz w:val="20"/>
              </w:rPr>
            </w:pPr>
            <w:r w:rsidRPr="009B4965">
              <w:rPr>
                <w:b/>
                <w:color w:val="000000"/>
                <w:sz w:val="20"/>
              </w:rPr>
              <w:t>IVFT Participation Rate</w:t>
            </w:r>
          </w:p>
          <w:p w14:paraId="59CB2C67" w14:textId="77777777" w:rsidR="00BA7CEB" w:rsidRPr="009B4965" w:rsidRDefault="00BA7CEB" w:rsidP="009B4965">
            <w:pPr>
              <w:keepNext/>
              <w:spacing w:after="0" w:line="240" w:lineRule="auto"/>
              <w:jc w:val="center"/>
              <w:rPr>
                <w:b/>
                <w:color w:val="000000"/>
                <w:sz w:val="20"/>
              </w:rPr>
            </w:pPr>
            <w:r w:rsidRPr="009B4965">
              <w:rPr>
                <w:b/>
                <w:color w:val="000000"/>
                <w:sz w:val="20"/>
              </w:rPr>
              <w:t>(Number of Schools)</w:t>
            </w:r>
          </w:p>
        </w:tc>
        <w:tc>
          <w:tcPr>
            <w:tcW w:w="0" w:type="auto"/>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62733F90" w14:textId="77777777" w:rsidR="00BA7CEB" w:rsidRPr="009B4965" w:rsidRDefault="00BA7CEB" w:rsidP="009B4965">
            <w:pPr>
              <w:keepNext/>
              <w:spacing w:after="0" w:line="240" w:lineRule="auto"/>
              <w:jc w:val="center"/>
              <w:rPr>
                <w:b/>
                <w:color w:val="000000"/>
                <w:sz w:val="20"/>
              </w:rPr>
            </w:pPr>
            <w:r w:rsidRPr="009B4965">
              <w:rPr>
                <w:b/>
                <w:color w:val="000000"/>
                <w:sz w:val="20"/>
              </w:rPr>
              <w:t>OFT Participation Rate</w:t>
            </w:r>
          </w:p>
          <w:p w14:paraId="7A5A5079" w14:textId="77777777" w:rsidR="00BA7CEB" w:rsidRPr="009B4965" w:rsidRDefault="00BA7CEB" w:rsidP="009B4965">
            <w:pPr>
              <w:keepNext/>
              <w:spacing w:after="0" w:line="240" w:lineRule="auto"/>
              <w:jc w:val="center"/>
              <w:rPr>
                <w:b/>
                <w:color w:val="000000"/>
                <w:sz w:val="20"/>
              </w:rPr>
            </w:pPr>
            <w:r w:rsidRPr="009B4965">
              <w:rPr>
                <w:b/>
                <w:color w:val="000000"/>
                <w:sz w:val="20"/>
              </w:rPr>
              <w:t>(Number of Schools)</w:t>
            </w:r>
          </w:p>
        </w:tc>
      </w:tr>
      <w:tr w:rsidR="007A4C8A" w:rsidRPr="000B6C0A" w14:paraId="7ED4A0D2" w14:textId="77777777" w:rsidTr="00024CB2">
        <w:trPr>
          <w:trHeight w:val="144"/>
        </w:trPr>
        <w:tc>
          <w:tcPr>
            <w:tcW w:w="370" w:type="dxa"/>
            <w:tcBorders>
              <w:top w:val="nil"/>
              <w:left w:val="single" w:sz="8" w:space="0" w:color="auto"/>
              <w:bottom w:val="single" w:sz="8" w:space="0" w:color="auto"/>
              <w:right w:val="single" w:sz="8" w:space="0" w:color="auto"/>
            </w:tcBorders>
            <w:vAlign w:val="center"/>
          </w:tcPr>
          <w:p w14:paraId="0347568F" w14:textId="77777777" w:rsidR="00BA7CEB" w:rsidRPr="009B4965" w:rsidRDefault="00BA7CEB" w:rsidP="009B4965">
            <w:pPr>
              <w:keepNext/>
              <w:spacing w:after="0" w:line="240" w:lineRule="auto"/>
              <w:jc w:val="center"/>
              <w:rPr>
                <w:color w:val="000000"/>
                <w:sz w:val="20"/>
              </w:rPr>
            </w:pPr>
            <w:r w:rsidRPr="009B4965">
              <w:rPr>
                <w:color w:val="000000"/>
                <w:sz w:val="20"/>
              </w:rPr>
              <w:t>1</w:t>
            </w:r>
          </w:p>
        </w:tc>
        <w:tc>
          <w:tcPr>
            <w:tcW w:w="2790" w:type="dxa"/>
            <w:tcBorders>
              <w:top w:val="nil"/>
              <w:left w:val="single" w:sz="8" w:space="0" w:color="auto"/>
              <w:bottom w:val="single" w:sz="8" w:space="0" w:color="auto"/>
              <w:right w:val="single" w:sz="8" w:space="0" w:color="auto"/>
            </w:tcBorders>
            <w:vAlign w:val="center"/>
          </w:tcPr>
          <w:p w14:paraId="62D0577B" w14:textId="77777777" w:rsidR="00BA7CEB" w:rsidRPr="009B4965" w:rsidRDefault="00BA7CEB" w:rsidP="009B4965">
            <w:pPr>
              <w:keepNext/>
              <w:spacing w:after="0" w:line="240" w:lineRule="auto"/>
              <w:rPr>
                <w:color w:val="000000"/>
                <w:sz w:val="20"/>
              </w:rPr>
            </w:pPr>
            <w:r w:rsidRPr="009B4965">
              <w:rPr>
                <w:color w:val="000000"/>
                <w:sz w:val="20"/>
              </w:rPr>
              <w:t xml:space="preserve">$200 </w:t>
            </w:r>
          </w:p>
        </w:tc>
        <w:tc>
          <w:tcPr>
            <w:tcW w:w="31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DB8F7FA" w14:textId="77777777" w:rsidR="00BA7CEB" w:rsidRPr="009B4965" w:rsidRDefault="00BA7CEB" w:rsidP="009B4965">
            <w:pPr>
              <w:keepNext/>
              <w:spacing w:after="0" w:line="240" w:lineRule="auto"/>
              <w:rPr>
                <w:color w:val="000000"/>
                <w:sz w:val="20"/>
              </w:rPr>
            </w:pPr>
            <w:r w:rsidRPr="009B4965">
              <w:rPr>
                <w:color w:val="000000"/>
                <w:sz w:val="20"/>
              </w:rPr>
              <w:t>39.5% (30 of 76)</w:t>
            </w:r>
          </w:p>
        </w:tc>
        <w:tc>
          <w:tcPr>
            <w:tcW w:w="0" w:type="auto"/>
            <w:tcBorders>
              <w:top w:val="nil"/>
              <w:left w:val="nil"/>
              <w:bottom w:val="single" w:sz="8" w:space="0" w:color="auto"/>
              <w:right w:val="single" w:sz="4" w:space="0" w:color="auto"/>
            </w:tcBorders>
            <w:vAlign w:val="center"/>
          </w:tcPr>
          <w:p w14:paraId="6C0E310C" w14:textId="77777777" w:rsidR="00BA7CEB" w:rsidRPr="009B4965" w:rsidRDefault="00BA7CEB" w:rsidP="009B4965">
            <w:pPr>
              <w:keepNext/>
              <w:spacing w:after="0" w:line="240" w:lineRule="auto"/>
              <w:rPr>
                <w:color w:val="000000"/>
                <w:sz w:val="20"/>
              </w:rPr>
            </w:pPr>
            <w:r w:rsidRPr="009B4965">
              <w:rPr>
                <w:color w:val="000000"/>
                <w:sz w:val="20"/>
              </w:rPr>
              <w:t xml:space="preserve"> 37.7% (20 of 53)</w:t>
            </w:r>
          </w:p>
        </w:tc>
        <w:tc>
          <w:tcPr>
            <w:tcW w:w="0" w:type="auto"/>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777C83AE" w14:textId="77777777" w:rsidR="00BA7CEB" w:rsidRPr="009B4965" w:rsidRDefault="00BA7CEB" w:rsidP="009B4965">
            <w:pPr>
              <w:keepNext/>
              <w:spacing w:after="0" w:line="240" w:lineRule="auto"/>
              <w:rPr>
                <w:color w:val="000000"/>
                <w:sz w:val="20"/>
              </w:rPr>
            </w:pPr>
            <w:r w:rsidRPr="009B4965">
              <w:rPr>
                <w:color w:val="000000"/>
                <w:sz w:val="20"/>
              </w:rPr>
              <w:t>43.5% (10 of 23)</w:t>
            </w:r>
          </w:p>
        </w:tc>
      </w:tr>
      <w:tr w:rsidR="007A4C8A" w:rsidRPr="000B6C0A" w14:paraId="20800F37" w14:textId="77777777" w:rsidTr="00024CB2">
        <w:trPr>
          <w:trHeight w:val="144"/>
        </w:trPr>
        <w:tc>
          <w:tcPr>
            <w:tcW w:w="370" w:type="dxa"/>
            <w:tcBorders>
              <w:top w:val="nil"/>
              <w:left w:val="single" w:sz="8" w:space="0" w:color="auto"/>
              <w:bottom w:val="single" w:sz="8" w:space="0" w:color="auto"/>
              <w:right w:val="single" w:sz="8" w:space="0" w:color="auto"/>
            </w:tcBorders>
            <w:vAlign w:val="center"/>
          </w:tcPr>
          <w:p w14:paraId="3E2A86CF" w14:textId="77777777" w:rsidR="00BA7CEB" w:rsidRPr="009B4965" w:rsidRDefault="00BA7CEB" w:rsidP="009B4965">
            <w:pPr>
              <w:keepNext/>
              <w:spacing w:after="0" w:line="240" w:lineRule="auto"/>
              <w:jc w:val="center"/>
              <w:rPr>
                <w:color w:val="000000"/>
                <w:sz w:val="20"/>
              </w:rPr>
            </w:pPr>
            <w:r w:rsidRPr="009B4965">
              <w:rPr>
                <w:color w:val="000000"/>
                <w:sz w:val="20"/>
              </w:rPr>
              <w:t>2</w:t>
            </w:r>
          </w:p>
        </w:tc>
        <w:tc>
          <w:tcPr>
            <w:tcW w:w="2790" w:type="dxa"/>
            <w:tcBorders>
              <w:top w:val="nil"/>
              <w:left w:val="single" w:sz="8" w:space="0" w:color="auto"/>
              <w:bottom w:val="single" w:sz="8" w:space="0" w:color="auto"/>
              <w:right w:val="single" w:sz="8" w:space="0" w:color="auto"/>
            </w:tcBorders>
            <w:vAlign w:val="center"/>
          </w:tcPr>
          <w:p w14:paraId="00828A0C" w14:textId="77777777" w:rsidR="00BA7CEB" w:rsidRPr="009B4965" w:rsidRDefault="00BA7CEB" w:rsidP="009B4965">
            <w:pPr>
              <w:keepNext/>
              <w:spacing w:after="0" w:line="240" w:lineRule="auto"/>
              <w:rPr>
                <w:color w:val="000000"/>
                <w:sz w:val="20"/>
              </w:rPr>
            </w:pPr>
            <w:r w:rsidRPr="009B4965">
              <w:rPr>
                <w:color w:val="000000"/>
                <w:sz w:val="20"/>
              </w:rPr>
              <w:t xml:space="preserve">$400 </w:t>
            </w:r>
          </w:p>
        </w:tc>
        <w:tc>
          <w:tcPr>
            <w:tcW w:w="31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AF68F7B" w14:textId="77777777" w:rsidR="00BA7CEB" w:rsidRPr="009B4965" w:rsidRDefault="00BA7CEB" w:rsidP="009B4965">
            <w:pPr>
              <w:keepNext/>
              <w:spacing w:after="0" w:line="240" w:lineRule="auto"/>
              <w:rPr>
                <w:color w:val="000000"/>
                <w:sz w:val="20"/>
              </w:rPr>
            </w:pPr>
            <w:r w:rsidRPr="009B4965">
              <w:rPr>
                <w:color w:val="000000"/>
                <w:sz w:val="20"/>
              </w:rPr>
              <w:t>49.3% (35 of 71)</w:t>
            </w:r>
          </w:p>
        </w:tc>
        <w:tc>
          <w:tcPr>
            <w:tcW w:w="0" w:type="auto"/>
            <w:tcBorders>
              <w:top w:val="nil"/>
              <w:left w:val="nil"/>
              <w:bottom w:val="single" w:sz="8" w:space="0" w:color="auto"/>
              <w:right w:val="single" w:sz="4" w:space="0" w:color="auto"/>
            </w:tcBorders>
            <w:vAlign w:val="center"/>
          </w:tcPr>
          <w:p w14:paraId="4FEB2019" w14:textId="77777777" w:rsidR="00BA7CEB" w:rsidRPr="009B4965" w:rsidRDefault="00BA7CEB" w:rsidP="009B4965">
            <w:pPr>
              <w:keepNext/>
              <w:spacing w:after="0" w:line="240" w:lineRule="auto"/>
              <w:rPr>
                <w:color w:val="000000"/>
                <w:sz w:val="20"/>
              </w:rPr>
            </w:pPr>
            <w:r w:rsidRPr="009B4965">
              <w:rPr>
                <w:color w:val="000000"/>
                <w:sz w:val="20"/>
              </w:rPr>
              <w:t xml:space="preserve"> 37.8% (17 of 45)</w:t>
            </w:r>
          </w:p>
        </w:tc>
        <w:tc>
          <w:tcPr>
            <w:tcW w:w="0" w:type="auto"/>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0A3B5031" w14:textId="77777777" w:rsidR="00BA7CEB" w:rsidRPr="009B4965" w:rsidRDefault="00BA7CEB" w:rsidP="009B4965">
            <w:pPr>
              <w:keepNext/>
              <w:spacing w:after="0" w:line="240" w:lineRule="auto"/>
              <w:rPr>
                <w:color w:val="000000"/>
                <w:sz w:val="20"/>
              </w:rPr>
            </w:pPr>
            <w:r w:rsidRPr="009B4965">
              <w:rPr>
                <w:color w:val="000000"/>
                <w:sz w:val="20"/>
              </w:rPr>
              <w:t>69.2% (18 of 26)</w:t>
            </w:r>
          </w:p>
        </w:tc>
      </w:tr>
      <w:tr w:rsidR="007A4C8A" w:rsidRPr="000B6C0A" w14:paraId="46558950" w14:textId="77777777" w:rsidTr="00024CB2">
        <w:trPr>
          <w:trHeight w:val="144"/>
        </w:trPr>
        <w:tc>
          <w:tcPr>
            <w:tcW w:w="370" w:type="dxa"/>
            <w:tcBorders>
              <w:top w:val="nil"/>
              <w:left w:val="single" w:sz="8" w:space="0" w:color="auto"/>
              <w:bottom w:val="single" w:sz="8" w:space="0" w:color="auto"/>
              <w:right w:val="single" w:sz="8" w:space="0" w:color="auto"/>
            </w:tcBorders>
            <w:vAlign w:val="center"/>
          </w:tcPr>
          <w:p w14:paraId="6BD47949" w14:textId="77777777" w:rsidR="00BA7CEB" w:rsidRPr="009B4965" w:rsidRDefault="00BA7CEB" w:rsidP="009B4965">
            <w:pPr>
              <w:spacing w:after="0" w:line="240" w:lineRule="auto"/>
              <w:jc w:val="center"/>
              <w:rPr>
                <w:color w:val="000000"/>
                <w:sz w:val="20"/>
              </w:rPr>
            </w:pPr>
            <w:r w:rsidRPr="009B4965">
              <w:rPr>
                <w:color w:val="000000"/>
                <w:sz w:val="20"/>
              </w:rPr>
              <w:t>3</w:t>
            </w:r>
          </w:p>
        </w:tc>
        <w:tc>
          <w:tcPr>
            <w:tcW w:w="2790" w:type="dxa"/>
            <w:tcBorders>
              <w:top w:val="nil"/>
              <w:left w:val="single" w:sz="8" w:space="0" w:color="auto"/>
              <w:bottom w:val="single" w:sz="8" w:space="0" w:color="auto"/>
              <w:right w:val="single" w:sz="8" w:space="0" w:color="auto"/>
            </w:tcBorders>
            <w:vAlign w:val="center"/>
          </w:tcPr>
          <w:p w14:paraId="513DCA39" w14:textId="77777777" w:rsidR="00BA7CEB" w:rsidRPr="009B4965" w:rsidRDefault="00BA7CEB" w:rsidP="009B4965">
            <w:pPr>
              <w:spacing w:after="0" w:line="240" w:lineRule="auto"/>
              <w:rPr>
                <w:color w:val="000000"/>
                <w:sz w:val="20"/>
              </w:rPr>
            </w:pPr>
            <w:r w:rsidRPr="009B4965">
              <w:rPr>
                <w:color w:val="000000"/>
                <w:sz w:val="20"/>
              </w:rPr>
              <w:t>$400 non-monetary equivalent</w:t>
            </w:r>
          </w:p>
        </w:tc>
        <w:tc>
          <w:tcPr>
            <w:tcW w:w="31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A83CB57" w14:textId="77777777" w:rsidR="00BA7CEB" w:rsidRPr="009B4965" w:rsidRDefault="00BA7CEB" w:rsidP="009B4965">
            <w:pPr>
              <w:spacing w:after="0" w:line="240" w:lineRule="auto"/>
              <w:rPr>
                <w:color w:val="000000"/>
                <w:sz w:val="20"/>
              </w:rPr>
            </w:pPr>
            <w:r w:rsidRPr="009B4965">
              <w:rPr>
                <w:color w:val="000000"/>
                <w:sz w:val="20"/>
              </w:rPr>
              <w:t>42.9% (36 of 84)</w:t>
            </w:r>
          </w:p>
        </w:tc>
        <w:tc>
          <w:tcPr>
            <w:tcW w:w="0" w:type="auto"/>
            <w:tcBorders>
              <w:top w:val="single" w:sz="8" w:space="0" w:color="auto"/>
              <w:left w:val="nil"/>
              <w:bottom w:val="single" w:sz="8" w:space="0" w:color="auto"/>
              <w:right w:val="single" w:sz="4" w:space="0" w:color="auto"/>
            </w:tcBorders>
            <w:vAlign w:val="center"/>
          </w:tcPr>
          <w:p w14:paraId="3D1CB241" w14:textId="77777777" w:rsidR="00BA7CEB" w:rsidRPr="009B4965" w:rsidRDefault="00BA7CEB" w:rsidP="009B4965">
            <w:pPr>
              <w:spacing w:after="0" w:line="240" w:lineRule="auto"/>
              <w:rPr>
                <w:color w:val="000000"/>
                <w:sz w:val="20"/>
              </w:rPr>
            </w:pPr>
            <w:r w:rsidRPr="009B4965">
              <w:rPr>
                <w:color w:val="000000"/>
                <w:sz w:val="20"/>
              </w:rPr>
              <w:t xml:space="preserve"> 34.4% (21 of 61)</w:t>
            </w:r>
          </w:p>
        </w:tc>
        <w:tc>
          <w:tcPr>
            <w:tcW w:w="0" w:type="auto"/>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10EF45CD" w14:textId="77777777" w:rsidR="00BA7CEB" w:rsidRPr="009B4965" w:rsidRDefault="00BA7CEB" w:rsidP="009B4965">
            <w:pPr>
              <w:spacing w:after="0" w:line="240" w:lineRule="auto"/>
              <w:rPr>
                <w:color w:val="000000"/>
                <w:sz w:val="20"/>
              </w:rPr>
            </w:pPr>
            <w:r w:rsidRPr="009B4965">
              <w:rPr>
                <w:color w:val="000000"/>
                <w:sz w:val="20"/>
              </w:rPr>
              <w:t>65.2% (15 of 23)</w:t>
            </w:r>
          </w:p>
        </w:tc>
      </w:tr>
    </w:tbl>
    <w:p w14:paraId="5A81929C" w14:textId="77777777" w:rsidR="00BA7CEB" w:rsidRDefault="00BA7CEB" w:rsidP="009B4965">
      <w:pPr>
        <w:spacing w:after="0" w:line="240" w:lineRule="auto"/>
        <w:rPr>
          <w:rFonts w:ascii="Calibri" w:hAnsi="Calibri"/>
          <w:color w:val="1F497D"/>
        </w:rPr>
      </w:pPr>
    </w:p>
    <w:p w14:paraId="16EFE5F9" w14:textId="7F410931" w:rsidR="00BA7CEB" w:rsidRDefault="00BA7CEB" w:rsidP="009B4965">
      <w:pPr>
        <w:spacing w:after="120"/>
        <w:rPr>
          <w:rFonts w:ascii="Calibri" w:hAnsi="Calibri"/>
          <w:color w:val="1F497D"/>
        </w:rPr>
      </w:pPr>
      <w:r w:rsidRPr="00906715">
        <w:rPr>
          <w:rFonts w:ascii="Calibri" w:hAnsi="Calibri"/>
          <w:b/>
          <w:i/>
        </w:rPr>
        <w:t>Table 4</w:t>
      </w:r>
      <w:r w:rsidRPr="00906715">
        <w:rPr>
          <w:rFonts w:ascii="Calibri" w:hAnsi="Calibri"/>
        </w:rPr>
        <w:t xml:space="preserve"> presents participation rates </w:t>
      </w:r>
      <w:r w:rsidR="00363C5C">
        <w:rPr>
          <w:rFonts w:ascii="Calibri" w:hAnsi="Calibri"/>
        </w:rPr>
        <w:t xml:space="preserve">for schools in all districts, </w:t>
      </w:r>
      <w:r w:rsidRPr="00906715">
        <w:rPr>
          <w:rFonts w:ascii="Calibri" w:hAnsi="Calibri"/>
        </w:rPr>
        <w:t xml:space="preserve">when the two higher incentive level conditions </w:t>
      </w:r>
      <w:r w:rsidR="00363C5C">
        <w:rPr>
          <w:rFonts w:ascii="Calibri" w:hAnsi="Calibri"/>
        </w:rPr>
        <w:t>a</w:t>
      </w:r>
      <w:r w:rsidRPr="00906715">
        <w:rPr>
          <w:rFonts w:ascii="Calibri" w:hAnsi="Calibri"/>
        </w:rPr>
        <w:t xml:space="preserve">re combined. </w:t>
      </w:r>
      <w:r w:rsidRPr="00906715">
        <w:t>The difference</w:t>
      </w:r>
      <w:r w:rsidR="00363C5C">
        <w:t>s</w:t>
      </w:r>
      <w:r w:rsidRPr="00906715">
        <w:t xml:space="preserve"> between participation rates </w:t>
      </w:r>
      <w:r w:rsidR="00363C5C">
        <w:t>for</w:t>
      </w:r>
      <w:r w:rsidR="00363C5C" w:rsidRPr="00906715">
        <w:t xml:space="preserve"> </w:t>
      </w:r>
      <w:r w:rsidRPr="00906715">
        <w:t xml:space="preserve">the $200 condition </w:t>
      </w:r>
      <w:r>
        <w:t xml:space="preserve">and the other two conditions </w:t>
      </w:r>
      <w:r w:rsidR="00F619AC" w:rsidRPr="00F619AC">
        <w:t xml:space="preserve">for the IVFT, OFT, or IVT </w:t>
      </w:r>
      <w:r w:rsidR="000B6C0A">
        <w:t xml:space="preserve">and </w:t>
      </w:r>
      <w:r w:rsidR="000B6C0A" w:rsidRPr="00F619AC">
        <w:t xml:space="preserve">OFT </w:t>
      </w:r>
      <w:r w:rsidR="00F619AC" w:rsidRPr="00F619AC">
        <w:t xml:space="preserve">combined </w:t>
      </w:r>
      <w:r w:rsidRPr="00906715">
        <w:t xml:space="preserve">were not statistically different </w:t>
      </w:r>
      <w:r>
        <w:t>(</w:t>
      </w:r>
      <w:r w:rsidRPr="005C5371">
        <w:t>p-value</w:t>
      </w:r>
      <w:r w:rsidR="004767CF">
        <w:t>&gt;</w:t>
      </w:r>
      <w:r w:rsidRPr="005C5371">
        <w:t>.</w:t>
      </w:r>
      <w:r w:rsidR="00D3360A">
        <w:t>05</w:t>
      </w:r>
      <w:r w:rsidRPr="005C5371">
        <w:t>).</w:t>
      </w:r>
    </w:p>
    <w:p w14:paraId="0C563589" w14:textId="77777777" w:rsidR="00BA7CEB" w:rsidRPr="009B4965" w:rsidRDefault="00BA7CEB" w:rsidP="00024CB2">
      <w:pPr>
        <w:widowControl w:val="0"/>
        <w:spacing w:before="120" w:after="60" w:line="240" w:lineRule="auto"/>
        <w:rPr>
          <w:b/>
          <w:sz w:val="20"/>
        </w:rPr>
      </w:pPr>
      <w:r w:rsidRPr="009B4965">
        <w:rPr>
          <w:b/>
          <w:sz w:val="20"/>
        </w:rPr>
        <w:t>Table 4. School Participation Rates by Combined Experimental Condition (All Districts)</w:t>
      </w:r>
    </w:p>
    <w:tbl>
      <w:tblPr>
        <w:tblW w:w="5000" w:type="pct"/>
        <w:tblCellMar>
          <w:left w:w="0" w:type="dxa"/>
          <w:right w:w="0" w:type="dxa"/>
        </w:tblCellMar>
        <w:tblLook w:val="04A0" w:firstRow="1" w:lastRow="0" w:firstColumn="1" w:lastColumn="0" w:noHBand="0" w:noVBand="1"/>
      </w:tblPr>
      <w:tblGrid>
        <w:gridCol w:w="649"/>
        <w:gridCol w:w="3699"/>
        <w:gridCol w:w="2202"/>
        <w:gridCol w:w="2066"/>
        <w:gridCol w:w="2032"/>
      </w:tblGrid>
      <w:tr w:rsidR="007A4C8A" w:rsidRPr="000B6C0A" w14:paraId="40C0A5EA" w14:textId="77777777" w:rsidTr="000B6C0A">
        <w:trPr>
          <w:trHeight w:val="300"/>
        </w:trPr>
        <w:tc>
          <w:tcPr>
            <w:tcW w:w="2068"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2508576" w14:textId="77777777" w:rsidR="00BA7CEB" w:rsidRPr="009B4965" w:rsidRDefault="00BA7CEB" w:rsidP="009B4965">
            <w:pPr>
              <w:spacing w:after="0" w:line="240" w:lineRule="auto"/>
              <w:jc w:val="center"/>
              <w:rPr>
                <w:b/>
                <w:color w:val="000000"/>
                <w:sz w:val="20"/>
              </w:rPr>
            </w:pPr>
            <w:r w:rsidRPr="009B4965">
              <w:rPr>
                <w:b/>
                <w:color w:val="000000"/>
                <w:sz w:val="20"/>
              </w:rPr>
              <w:t>Experimental Condition</w:t>
            </w:r>
          </w:p>
        </w:tc>
        <w:tc>
          <w:tcPr>
            <w:tcW w:w="981" w:type="pct"/>
            <w:tcBorders>
              <w:top w:val="single" w:sz="8" w:space="0" w:color="auto"/>
              <w:left w:val="nil"/>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5C967DE4" w14:textId="7D0AA757" w:rsidR="00BA7CEB" w:rsidRPr="009B4965" w:rsidRDefault="00BA7CEB" w:rsidP="009B4965">
            <w:pPr>
              <w:spacing w:after="0" w:line="240" w:lineRule="auto"/>
              <w:jc w:val="center"/>
              <w:rPr>
                <w:b/>
                <w:color w:val="000000"/>
                <w:sz w:val="20"/>
              </w:rPr>
            </w:pPr>
            <w:r w:rsidRPr="009B4965">
              <w:rPr>
                <w:b/>
                <w:color w:val="000000"/>
                <w:sz w:val="20"/>
              </w:rPr>
              <w:t>IVFT and OFT</w:t>
            </w:r>
            <w:r w:rsidR="00524B2A">
              <w:rPr>
                <w:b/>
                <w:bCs/>
                <w:color w:val="000000"/>
                <w:sz w:val="20"/>
                <w:szCs w:val="20"/>
              </w:rPr>
              <w:t xml:space="preserve"> </w:t>
            </w:r>
            <w:r w:rsidRPr="009B4965">
              <w:rPr>
                <w:b/>
                <w:color w:val="000000"/>
                <w:sz w:val="20"/>
              </w:rPr>
              <w:t>Combined</w:t>
            </w:r>
          </w:p>
          <w:p w14:paraId="146869C6" w14:textId="77777777" w:rsidR="00BA7CEB" w:rsidRPr="009B4965" w:rsidRDefault="00BA7CEB" w:rsidP="009B4965">
            <w:pPr>
              <w:spacing w:after="0" w:line="240" w:lineRule="auto"/>
              <w:jc w:val="center"/>
              <w:rPr>
                <w:b/>
                <w:color w:val="000000"/>
                <w:sz w:val="20"/>
              </w:rPr>
            </w:pPr>
            <w:r w:rsidRPr="009B4965">
              <w:rPr>
                <w:b/>
                <w:color w:val="000000"/>
                <w:sz w:val="20"/>
              </w:rPr>
              <w:t>Participation Rate</w:t>
            </w:r>
          </w:p>
          <w:p w14:paraId="04AE9186" w14:textId="77777777" w:rsidR="00BA7CEB" w:rsidRPr="009B4965" w:rsidRDefault="00BA7CEB" w:rsidP="009B4965">
            <w:pPr>
              <w:spacing w:after="0" w:line="240" w:lineRule="auto"/>
              <w:jc w:val="center"/>
              <w:rPr>
                <w:b/>
                <w:color w:val="000000"/>
                <w:sz w:val="20"/>
              </w:rPr>
            </w:pPr>
            <w:r w:rsidRPr="009B4965">
              <w:rPr>
                <w:b/>
                <w:color w:val="000000"/>
                <w:sz w:val="20"/>
              </w:rPr>
              <w:t>(Number of Schools)</w:t>
            </w:r>
          </w:p>
        </w:tc>
        <w:tc>
          <w:tcPr>
            <w:tcW w:w="983"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381164D2" w14:textId="77777777" w:rsidR="00BA7CEB" w:rsidRPr="009B4965" w:rsidRDefault="00BA7CEB" w:rsidP="009B4965">
            <w:pPr>
              <w:spacing w:after="0" w:line="240" w:lineRule="auto"/>
              <w:jc w:val="center"/>
              <w:rPr>
                <w:b/>
                <w:color w:val="000000"/>
                <w:sz w:val="20"/>
              </w:rPr>
            </w:pPr>
            <w:r w:rsidRPr="009B4965">
              <w:rPr>
                <w:b/>
                <w:color w:val="000000"/>
                <w:sz w:val="20"/>
              </w:rPr>
              <w:t>IVFT Participation Rate</w:t>
            </w:r>
          </w:p>
          <w:p w14:paraId="0E55AD66" w14:textId="77777777" w:rsidR="00BA7CEB" w:rsidRPr="009B4965" w:rsidRDefault="00BA7CEB" w:rsidP="009B4965">
            <w:pPr>
              <w:spacing w:after="0" w:line="240" w:lineRule="auto"/>
              <w:jc w:val="center"/>
              <w:rPr>
                <w:b/>
                <w:color w:val="000000"/>
                <w:sz w:val="20"/>
              </w:rPr>
            </w:pPr>
            <w:r w:rsidRPr="009B4965">
              <w:rPr>
                <w:b/>
                <w:color w:val="000000"/>
                <w:sz w:val="20"/>
              </w:rPr>
              <w:t>(Number of Schools)</w:t>
            </w:r>
          </w:p>
        </w:tc>
        <w:tc>
          <w:tcPr>
            <w:tcW w:w="967"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07E9E51F" w14:textId="77777777" w:rsidR="00BA7CEB" w:rsidRPr="009B4965" w:rsidRDefault="00BA7CEB" w:rsidP="009B4965">
            <w:pPr>
              <w:spacing w:after="0" w:line="240" w:lineRule="auto"/>
              <w:jc w:val="center"/>
              <w:rPr>
                <w:b/>
                <w:color w:val="000000"/>
                <w:sz w:val="20"/>
              </w:rPr>
            </w:pPr>
            <w:r w:rsidRPr="009B4965">
              <w:rPr>
                <w:b/>
                <w:color w:val="000000"/>
                <w:sz w:val="20"/>
              </w:rPr>
              <w:t>OFT Participation Rate</w:t>
            </w:r>
          </w:p>
          <w:p w14:paraId="3307792E" w14:textId="77777777" w:rsidR="00BA7CEB" w:rsidRPr="009B4965" w:rsidRDefault="00BA7CEB" w:rsidP="009B4965">
            <w:pPr>
              <w:spacing w:after="0" w:line="240" w:lineRule="auto"/>
              <w:jc w:val="center"/>
              <w:rPr>
                <w:b/>
                <w:color w:val="000000"/>
                <w:sz w:val="20"/>
              </w:rPr>
            </w:pPr>
            <w:r w:rsidRPr="009B4965">
              <w:rPr>
                <w:b/>
                <w:color w:val="000000"/>
                <w:sz w:val="20"/>
              </w:rPr>
              <w:t>(Number of Schools)</w:t>
            </w:r>
          </w:p>
        </w:tc>
      </w:tr>
      <w:tr w:rsidR="007A4C8A" w:rsidRPr="000B6C0A" w14:paraId="340784E8" w14:textId="77777777" w:rsidTr="000B6C0A">
        <w:trPr>
          <w:trHeight w:val="300"/>
        </w:trPr>
        <w:tc>
          <w:tcPr>
            <w:tcW w:w="318" w:type="pct"/>
            <w:tcBorders>
              <w:top w:val="nil"/>
              <w:left w:val="single" w:sz="8" w:space="0" w:color="auto"/>
              <w:bottom w:val="single" w:sz="8" w:space="0" w:color="auto"/>
              <w:right w:val="single" w:sz="8" w:space="0" w:color="auto"/>
            </w:tcBorders>
            <w:vAlign w:val="center"/>
          </w:tcPr>
          <w:p w14:paraId="39A9D16F" w14:textId="77777777" w:rsidR="00BA7CEB" w:rsidRPr="009B4965" w:rsidRDefault="00BA7CEB" w:rsidP="009B4965">
            <w:pPr>
              <w:spacing w:after="0" w:line="240" w:lineRule="auto"/>
              <w:jc w:val="center"/>
              <w:rPr>
                <w:color w:val="000000"/>
                <w:sz w:val="20"/>
              </w:rPr>
            </w:pPr>
            <w:r w:rsidRPr="009B4965">
              <w:rPr>
                <w:color w:val="000000"/>
                <w:sz w:val="20"/>
              </w:rPr>
              <w:t>1</w:t>
            </w:r>
          </w:p>
        </w:tc>
        <w:tc>
          <w:tcPr>
            <w:tcW w:w="175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D4577B" w14:textId="77777777" w:rsidR="00BA7CEB" w:rsidRPr="009B4965" w:rsidRDefault="00BA7CEB" w:rsidP="009B4965">
            <w:pPr>
              <w:spacing w:after="0" w:line="240" w:lineRule="auto"/>
              <w:rPr>
                <w:color w:val="000000"/>
                <w:sz w:val="20"/>
              </w:rPr>
            </w:pPr>
            <w:r w:rsidRPr="009B4965">
              <w:rPr>
                <w:color w:val="000000"/>
                <w:sz w:val="20"/>
              </w:rPr>
              <w:t xml:space="preserve">$200 </w:t>
            </w:r>
          </w:p>
        </w:tc>
        <w:tc>
          <w:tcPr>
            <w:tcW w:w="981" w:type="pct"/>
            <w:tcBorders>
              <w:top w:val="nil"/>
              <w:left w:val="nil"/>
              <w:bottom w:val="single" w:sz="8" w:space="0" w:color="auto"/>
              <w:right w:val="single" w:sz="4" w:space="0" w:color="auto"/>
            </w:tcBorders>
            <w:vAlign w:val="center"/>
          </w:tcPr>
          <w:p w14:paraId="672CE073" w14:textId="77777777" w:rsidR="00BA7CEB" w:rsidRPr="009B4965" w:rsidRDefault="00BA7CEB" w:rsidP="009B4965">
            <w:pPr>
              <w:spacing w:after="0" w:line="240" w:lineRule="auto"/>
              <w:rPr>
                <w:color w:val="000000"/>
                <w:sz w:val="20"/>
              </w:rPr>
            </w:pPr>
            <w:r w:rsidRPr="009B4965">
              <w:rPr>
                <w:color w:val="000000"/>
                <w:sz w:val="20"/>
              </w:rPr>
              <w:t xml:space="preserve"> 23.1% (30 of 130)</w:t>
            </w:r>
          </w:p>
        </w:tc>
        <w:tc>
          <w:tcPr>
            <w:tcW w:w="983"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3FAB82A7" w14:textId="77777777" w:rsidR="00BA7CEB" w:rsidRPr="009B4965" w:rsidRDefault="00BA7CEB" w:rsidP="009B4965">
            <w:pPr>
              <w:spacing w:after="0" w:line="240" w:lineRule="auto"/>
              <w:rPr>
                <w:color w:val="000000"/>
                <w:sz w:val="20"/>
              </w:rPr>
            </w:pPr>
            <w:r w:rsidRPr="009B4965">
              <w:rPr>
                <w:color w:val="000000"/>
                <w:sz w:val="20"/>
              </w:rPr>
              <w:t>22.9% (20 of 87)</w:t>
            </w:r>
          </w:p>
        </w:tc>
        <w:tc>
          <w:tcPr>
            <w:tcW w:w="967" w:type="pct"/>
            <w:tcBorders>
              <w:top w:val="nil"/>
              <w:left w:val="single" w:sz="4" w:space="0" w:color="auto"/>
              <w:bottom w:val="single" w:sz="8" w:space="0" w:color="auto"/>
              <w:right w:val="single" w:sz="8" w:space="0" w:color="auto"/>
            </w:tcBorders>
            <w:vAlign w:val="center"/>
          </w:tcPr>
          <w:p w14:paraId="31C02992" w14:textId="77777777" w:rsidR="00BA7CEB" w:rsidRPr="009B4965" w:rsidRDefault="00BA7CEB" w:rsidP="009B4965">
            <w:pPr>
              <w:spacing w:after="0" w:line="240" w:lineRule="auto"/>
              <w:rPr>
                <w:color w:val="000000"/>
                <w:sz w:val="20"/>
              </w:rPr>
            </w:pPr>
            <w:r w:rsidRPr="009B4965">
              <w:rPr>
                <w:color w:val="000000"/>
                <w:sz w:val="20"/>
              </w:rPr>
              <w:t xml:space="preserve"> 23.3% (10 of 43)</w:t>
            </w:r>
          </w:p>
        </w:tc>
      </w:tr>
      <w:tr w:rsidR="007A4C8A" w:rsidRPr="000B6C0A" w14:paraId="39321D7C" w14:textId="77777777" w:rsidTr="000B6C0A">
        <w:trPr>
          <w:trHeight w:val="300"/>
        </w:trPr>
        <w:tc>
          <w:tcPr>
            <w:tcW w:w="318" w:type="pct"/>
            <w:tcBorders>
              <w:top w:val="nil"/>
              <w:left w:val="single" w:sz="8" w:space="0" w:color="auto"/>
              <w:bottom w:val="single" w:sz="8" w:space="0" w:color="auto"/>
              <w:right w:val="single" w:sz="8" w:space="0" w:color="auto"/>
            </w:tcBorders>
            <w:vAlign w:val="center"/>
          </w:tcPr>
          <w:p w14:paraId="1F827AF8" w14:textId="77777777" w:rsidR="00BA7CEB" w:rsidRPr="009B4965" w:rsidRDefault="00BA7CEB" w:rsidP="009B4965">
            <w:pPr>
              <w:spacing w:after="0" w:line="240" w:lineRule="auto"/>
              <w:jc w:val="center"/>
              <w:rPr>
                <w:color w:val="000000"/>
                <w:sz w:val="20"/>
              </w:rPr>
            </w:pPr>
            <w:r w:rsidRPr="009B4965">
              <w:rPr>
                <w:color w:val="000000"/>
                <w:sz w:val="20"/>
              </w:rPr>
              <w:t>2 and 3</w:t>
            </w:r>
          </w:p>
        </w:tc>
        <w:tc>
          <w:tcPr>
            <w:tcW w:w="175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B448E5" w14:textId="77777777" w:rsidR="00BA7CEB" w:rsidRPr="009B4965" w:rsidRDefault="00BA7CEB" w:rsidP="009B4965">
            <w:pPr>
              <w:spacing w:after="0" w:line="240" w:lineRule="auto"/>
              <w:rPr>
                <w:color w:val="000000"/>
                <w:sz w:val="20"/>
              </w:rPr>
            </w:pPr>
            <w:r w:rsidRPr="009B4965">
              <w:rPr>
                <w:color w:val="000000"/>
                <w:sz w:val="20"/>
              </w:rPr>
              <w:t>$400 or $400 non-monetary equivalent</w:t>
            </w:r>
          </w:p>
        </w:tc>
        <w:tc>
          <w:tcPr>
            <w:tcW w:w="981" w:type="pct"/>
            <w:tcBorders>
              <w:top w:val="nil"/>
              <w:left w:val="nil"/>
              <w:bottom w:val="single" w:sz="8" w:space="0" w:color="auto"/>
              <w:right w:val="single" w:sz="4" w:space="0" w:color="auto"/>
            </w:tcBorders>
            <w:vAlign w:val="center"/>
          </w:tcPr>
          <w:p w14:paraId="7E5D59FF" w14:textId="77777777" w:rsidR="00BA7CEB" w:rsidRPr="009B4965" w:rsidRDefault="00BA7CEB" w:rsidP="009B4965">
            <w:pPr>
              <w:spacing w:after="0" w:line="240" w:lineRule="auto"/>
              <w:rPr>
                <w:color w:val="000000"/>
                <w:sz w:val="20"/>
              </w:rPr>
            </w:pPr>
            <w:r w:rsidRPr="009B4965">
              <w:rPr>
                <w:color w:val="000000"/>
                <w:sz w:val="20"/>
              </w:rPr>
              <w:t xml:space="preserve"> 28.2% (71 of 252)</w:t>
            </w:r>
          </w:p>
        </w:tc>
        <w:tc>
          <w:tcPr>
            <w:tcW w:w="983"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5E527F8D" w14:textId="77777777" w:rsidR="00BA7CEB" w:rsidRPr="009B4965" w:rsidRDefault="00BA7CEB" w:rsidP="009B4965">
            <w:pPr>
              <w:spacing w:after="0" w:line="240" w:lineRule="auto"/>
              <w:rPr>
                <w:color w:val="000000"/>
                <w:sz w:val="20"/>
              </w:rPr>
            </w:pPr>
            <w:r w:rsidRPr="009B4965">
              <w:rPr>
                <w:color w:val="000000"/>
                <w:sz w:val="20"/>
              </w:rPr>
              <w:t>23.6% (38 of 161)</w:t>
            </w:r>
          </w:p>
        </w:tc>
        <w:tc>
          <w:tcPr>
            <w:tcW w:w="967" w:type="pct"/>
            <w:tcBorders>
              <w:top w:val="nil"/>
              <w:left w:val="single" w:sz="4" w:space="0" w:color="auto"/>
              <w:bottom w:val="single" w:sz="8" w:space="0" w:color="auto"/>
              <w:right w:val="single" w:sz="8" w:space="0" w:color="auto"/>
            </w:tcBorders>
            <w:vAlign w:val="center"/>
          </w:tcPr>
          <w:p w14:paraId="1DF41E10" w14:textId="77777777" w:rsidR="00BA7CEB" w:rsidRPr="009B4965" w:rsidRDefault="00BA7CEB" w:rsidP="009B4965">
            <w:pPr>
              <w:spacing w:after="0" w:line="240" w:lineRule="auto"/>
              <w:rPr>
                <w:color w:val="000000"/>
                <w:sz w:val="20"/>
              </w:rPr>
            </w:pPr>
            <w:r w:rsidRPr="009B4965">
              <w:rPr>
                <w:color w:val="000000"/>
                <w:sz w:val="20"/>
              </w:rPr>
              <w:t xml:space="preserve"> 36.3% (33 of 91)</w:t>
            </w:r>
          </w:p>
        </w:tc>
      </w:tr>
    </w:tbl>
    <w:p w14:paraId="52A1F76F" w14:textId="77777777" w:rsidR="00BA7CEB" w:rsidRDefault="00BA7CEB" w:rsidP="009B4965">
      <w:pPr>
        <w:spacing w:after="0" w:line="240" w:lineRule="auto"/>
        <w:rPr>
          <w:rFonts w:ascii="Calibri" w:hAnsi="Calibri"/>
          <w:b/>
          <w:i/>
          <w:color w:val="1F497D"/>
        </w:rPr>
      </w:pPr>
    </w:p>
    <w:p w14:paraId="34FCC503" w14:textId="701A055E" w:rsidR="00F82A27" w:rsidRDefault="00BA7CEB" w:rsidP="009B4965">
      <w:pPr>
        <w:spacing w:after="120"/>
        <w:rPr>
          <w:rFonts w:ascii="Calibri" w:hAnsi="Calibri"/>
        </w:rPr>
      </w:pPr>
      <w:r w:rsidRPr="00906715">
        <w:rPr>
          <w:rFonts w:ascii="Calibri" w:hAnsi="Calibri"/>
          <w:b/>
          <w:i/>
        </w:rPr>
        <w:t>Table 5</w:t>
      </w:r>
      <w:r w:rsidRPr="00906715">
        <w:rPr>
          <w:rFonts w:ascii="Calibri" w:hAnsi="Calibri"/>
        </w:rPr>
        <w:t xml:space="preserve"> presents participation rates among </w:t>
      </w:r>
      <w:r w:rsidR="00363C5C">
        <w:rPr>
          <w:rFonts w:ascii="Calibri" w:hAnsi="Calibri"/>
        </w:rPr>
        <w:t xml:space="preserve">schools in </w:t>
      </w:r>
      <w:r w:rsidRPr="00906715">
        <w:rPr>
          <w:rFonts w:ascii="Calibri" w:hAnsi="Calibri"/>
        </w:rPr>
        <w:t>cooperating districts, when the two higher incentive level conditions are combined</w:t>
      </w:r>
      <w:r w:rsidR="004767CF">
        <w:rPr>
          <w:rFonts w:ascii="Calibri" w:hAnsi="Calibri"/>
        </w:rPr>
        <w:t xml:space="preserve">. </w:t>
      </w:r>
      <w:r w:rsidR="00F619AC">
        <w:t>The differ</w:t>
      </w:r>
      <w:r w:rsidR="00F619AC" w:rsidRPr="00F619AC">
        <w:t>ence</w:t>
      </w:r>
      <w:r w:rsidR="00363C5C">
        <w:t>s</w:t>
      </w:r>
      <w:r w:rsidR="00F619AC" w:rsidRPr="00F619AC">
        <w:t xml:space="preserve"> between participation rates </w:t>
      </w:r>
      <w:r w:rsidR="00363C5C">
        <w:t>for</w:t>
      </w:r>
      <w:r w:rsidR="00363C5C" w:rsidRPr="00F619AC">
        <w:t xml:space="preserve"> </w:t>
      </w:r>
      <w:r w:rsidR="00F619AC" w:rsidRPr="00F619AC">
        <w:t xml:space="preserve">the $200 condition and the other two conditions for the IVFT, OFT, or IVT </w:t>
      </w:r>
      <w:r w:rsidR="00524B2A">
        <w:t xml:space="preserve">and </w:t>
      </w:r>
      <w:r w:rsidR="00524B2A" w:rsidRPr="00F619AC">
        <w:t>OFT</w:t>
      </w:r>
      <w:r w:rsidR="00524B2A">
        <w:t xml:space="preserve"> </w:t>
      </w:r>
      <w:r w:rsidR="00F619AC" w:rsidRPr="00F619AC">
        <w:t xml:space="preserve">combined </w:t>
      </w:r>
      <w:r w:rsidR="00363C5C" w:rsidRPr="00F619AC">
        <w:t>were not statistically different</w:t>
      </w:r>
      <w:r w:rsidR="00F619AC" w:rsidRPr="00F619AC">
        <w:t xml:space="preserve">; however, the participation rates under the OFT </w:t>
      </w:r>
      <w:r w:rsidR="00366061">
        <w:t>approached</w:t>
      </w:r>
      <w:r w:rsidR="00F619AC">
        <w:t xml:space="preserve"> significance (p-value=.0542)</w:t>
      </w:r>
      <w:r w:rsidRPr="00906715">
        <w:rPr>
          <w:rFonts w:ascii="Calibri" w:hAnsi="Calibri"/>
        </w:rPr>
        <w:t>.</w:t>
      </w:r>
    </w:p>
    <w:p w14:paraId="16B949C3" w14:textId="5421EFE3" w:rsidR="00BA7CEB" w:rsidRPr="009B4965" w:rsidRDefault="00BA7CEB" w:rsidP="00024CB2">
      <w:pPr>
        <w:widowControl w:val="0"/>
        <w:spacing w:before="120" w:after="60" w:line="240" w:lineRule="auto"/>
        <w:rPr>
          <w:b/>
          <w:sz w:val="20"/>
        </w:rPr>
      </w:pPr>
      <w:r w:rsidRPr="009B4965">
        <w:rPr>
          <w:b/>
          <w:sz w:val="20"/>
        </w:rPr>
        <w:t>Table 5. School Participation Rates by Combined Experimental Condition (Participating Districts)</w:t>
      </w:r>
    </w:p>
    <w:tbl>
      <w:tblPr>
        <w:tblW w:w="5000" w:type="pct"/>
        <w:tblCellMar>
          <w:left w:w="0" w:type="dxa"/>
          <w:right w:w="0" w:type="dxa"/>
        </w:tblCellMar>
        <w:tblLook w:val="04A0" w:firstRow="1" w:lastRow="0" w:firstColumn="1" w:lastColumn="0" w:noHBand="0" w:noVBand="1"/>
      </w:tblPr>
      <w:tblGrid>
        <w:gridCol w:w="678"/>
        <w:gridCol w:w="3474"/>
        <w:gridCol w:w="2340"/>
        <w:gridCol w:w="2078"/>
        <w:gridCol w:w="2078"/>
      </w:tblGrid>
      <w:tr w:rsidR="007A4C8A" w:rsidRPr="000B6C0A" w14:paraId="1B30D08F" w14:textId="77777777" w:rsidTr="00524B2A">
        <w:trPr>
          <w:trHeight w:val="300"/>
        </w:trPr>
        <w:tc>
          <w:tcPr>
            <w:tcW w:w="1949"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D4F89D1" w14:textId="77777777" w:rsidR="00BA7CEB" w:rsidRPr="009B4965" w:rsidRDefault="00BA7CEB" w:rsidP="009B4965">
            <w:pPr>
              <w:spacing w:after="0" w:line="240" w:lineRule="auto"/>
              <w:jc w:val="center"/>
              <w:rPr>
                <w:b/>
                <w:color w:val="000000"/>
                <w:sz w:val="20"/>
              </w:rPr>
            </w:pPr>
            <w:r w:rsidRPr="009B4965">
              <w:rPr>
                <w:b/>
                <w:color w:val="000000"/>
                <w:sz w:val="20"/>
              </w:rPr>
              <w:t>Experimental Condition</w:t>
            </w:r>
          </w:p>
        </w:tc>
        <w:tc>
          <w:tcPr>
            <w:tcW w:w="1099" w:type="pct"/>
            <w:tcBorders>
              <w:top w:val="single" w:sz="8" w:space="0" w:color="auto"/>
              <w:left w:val="nil"/>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3C3D94B8" w14:textId="314CDD76" w:rsidR="00BA7CEB" w:rsidRPr="009B4965" w:rsidRDefault="00BA7CEB" w:rsidP="009B4965">
            <w:pPr>
              <w:spacing w:after="0" w:line="240" w:lineRule="auto"/>
              <w:jc w:val="center"/>
              <w:rPr>
                <w:b/>
                <w:color w:val="000000"/>
                <w:sz w:val="20"/>
              </w:rPr>
            </w:pPr>
            <w:r w:rsidRPr="009B4965">
              <w:rPr>
                <w:b/>
                <w:color w:val="000000"/>
                <w:sz w:val="20"/>
              </w:rPr>
              <w:t>IVFT and OFT</w:t>
            </w:r>
            <w:r w:rsidR="00524B2A">
              <w:rPr>
                <w:b/>
                <w:bCs/>
                <w:color w:val="000000"/>
                <w:sz w:val="20"/>
                <w:szCs w:val="20"/>
              </w:rPr>
              <w:t xml:space="preserve"> </w:t>
            </w:r>
            <w:r w:rsidRPr="009B4965">
              <w:rPr>
                <w:b/>
                <w:color w:val="000000"/>
                <w:sz w:val="20"/>
              </w:rPr>
              <w:t>Combined</w:t>
            </w:r>
          </w:p>
          <w:p w14:paraId="217F2C7D" w14:textId="77777777" w:rsidR="00BA7CEB" w:rsidRPr="009B4965" w:rsidRDefault="00BA7CEB" w:rsidP="009B4965">
            <w:pPr>
              <w:spacing w:after="0" w:line="240" w:lineRule="auto"/>
              <w:jc w:val="center"/>
              <w:rPr>
                <w:b/>
                <w:color w:val="000000"/>
                <w:sz w:val="20"/>
              </w:rPr>
            </w:pPr>
            <w:r w:rsidRPr="009B4965">
              <w:rPr>
                <w:b/>
                <w:color w:val="000000"/>
                <w:sz w:val="20"/>
              </w:rPr>
              <w:t>Participation Rate</w:t>
            </w:r>
          </w:p>
          <w:p w14:paraId="26DA827D" w14:textId="77777777" w:rsidR="00BA7CEB" w:rsidRPr="009B4965" w:rsidRDefault="00BA7CEB" w:rsidP="009B4965">
            <w:pPr>
              <w:spacing w:after="0" w:line="240" w:lineRule="auto"/>
              <w:jc w:val="center"/>
              <w:rPr>
                <w:b/>
                <w:color w:val="000000"/>
                <w:sz w:val="20"/>
              </w:rPr>
            </w:pPr>
            <w:r w:rsidRPr="009B4965">
              <w:rPr>
                <w:b/>
                <w:color w:val="000000"/>
                <w:sz w:val="20"/>
              </w:rPr>
              <w:t>(Number of Schools)</w:t>
            </w:r>
          </w:p>
        </w:tc>
        <w:tc>
          <w:tcPr>
            <w:tcW w:w="976"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27CCCF67" w14:textId="77777777" w:rsidR="00BA7CEB" w:rsidRPr="009B4965" w:rsidRDefault="00BA7CEB" w:rsidP="009B4965">
            <w:pPr>
              <w:spacing w:after="0" w:line="240" w:lineRule="auto"/>
              <w:jc w:val="center"/>
              <w:rPr>
                <w:b/>
                <w:color w:val="000000"/>
                <w:sz w:val="20"/>
              </w:rPr>
            </w:pPr>
            <w:r w:rsidRPr="009B4965">
              <w:rPr>
                <w:b/>
                <w:color w:val="000000"/>
                <w:sz w:val="20"/>
              </w:rPr>
              <w:t>IVFT Participation Rate</w:t>
            </w:r>
          </w:p>
          <w:p w14:paraId="773D5BA9" w14:textId="77777777" w:rsidR="00BA7CEB" w:rsidRPr="009B4965" w:rsidRDefault="00BA7CEB" w:rsidP="009B4965">
            <w:pPr>
              <w:spacing w:after="0" w:line="240" w:lineRule="auto"/>
              <w:jc w:val="center"/>
              <w:rPr>
                <w:b/>
                <w:color w:val="000000"/>
                <w:sz w:val="20"/>
              </w:rPr>
            </w:pPr>
            <w:r w:rsidRPr="009B4965">
              <w:rPr>
                <w:b/>
                <w:color w:val="000000"/>
                <w:sz w:val="20"/>
              </w:rPr>
              <w:t>(Number of Schools)</w:t>
            </w:r>
          </w:p>
        </w:tc>
        <w:tc>
          <w:tcPr>
            <w:tcW w:w="976"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07F259E9" w14:textId="77777777" w:rsidR="00BA7CEB" w:rsidRPr="009B4965" w:rsidRDefault="00BA7CEB" w:rsidP="009B4965">
            <w:pPr>
              <w:spacing w:after="0" w:line="240" w:lineRule="auto"/>
              <w:jc w:val="center"/>
              <w:rPr>
                <w:b/>
                <w:color w:val="000000"/>
                <w:sz w:val="20"/>
              </w:rPr>
            </w:pPr>
            <w:r w:rsidRPr="009B4965">
              <w:rPr>
                <w:b/>
                <w:color w:val="000000"/>
                <w:sz w:val="20"/>
              </w:rPr>
              <w:t>OFT Participation Rate</w:t>
            </w:r>
          </w:p>
          <w:p w14:paraId="776FE854" w14:textId="77777777" w:rsidR="00BA7CEB" w:rsidRPr="009B4965" w:rsidRDefault="00BA7CEB" w:rsidP="009B4965">
            <w:pPr>
              <w:spacing w:after="0" w:line="240" w:lineRule="auto"/>
              <w:jc w:val="center"/>
              <w:rPr>
                <w:b/>
                <w:color w:val="000000"/>
                <w:sz w:val="20"/>
              </w:rPr>
            </w:pPr>
            <w:r w:rsidRPr="009B4965">
              <w:rPr>
                <w:b/>
                <w:color w:val="000000"/>
                <w:sz w:val="20"/>
              </w:rPr>
              <w:t>(Number of Schools)</w:t>
            </w:r>
          </w:p>
        </w:tc>
      </w:tr>
      <w:tr w:rsidR="007A4C8A" w:rsidRPr="000B6C0A" w14:paraId="10A0F0D7" w14:textId="77777777" w:rsidTr="00524B2A">
        <w:trPr>
          <w:trHeight w:val="300"/>
        </w:trPr>
        <w:tc>
          <w:tcPr>
            <w:tcW w:w="318" w:type="pct"/>
            <w:tcBorders>
              <w:top w:val="nil"/>
              <w:left w:val="single" w:sz="8" w:space="0" w:color="auto"/>
              <w:bottom w:val="single" w:sz="8" w:space="0" w:color="auto"/>
              <w:right w:val="single" w:sz="8" w:space="0" w:color="auto"/>
            </w:tcBorders>
            <w:vAlign w:val="center"/>
          </w:tcPr>
          <w:p w14:paraId="3ABDC31C" w14:textId="77777777" w:rsidR="00BA7CEB" w:rsidRPr="009B4965" w:rsidRDefault="00BA7CEB" w:rsidP="009B4965">
            <w:pPr>
              <w:spacing w:after="0" w:line="240" w:lineRule="auto"/>
              <w:jc w:val="center"/>
              <w:rPr>
                <w:color w:val="000000"/>
                <w:sz w:val="20"/>
              </w:rPr>
            </w:pPr>
            <w:r w:rsidRPr="009B4965">
              <w:rPr>
                <w:color w:val="000000"/>
                <w:sz w:val="20"/>
              </w:rPr>
              <w:t>1</w:t>
            </w:r>
          </w:p>
        </w:tc>
        <w:tc>
          <w:tcPr>
            <w:tcW w:w="163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F2D5C0" w14:textId="77777777" w:rsidR="00BA7CEB" w:rsidRPr="009B4965" w:rsidRDefault="00BA7CEB" w:rsidP="009B4965">
            <w:pPr>
              <w:spacing w:after="0" w:line="240" w:lineRule="auto"/>
              <w:rPr>
                <w:color w:val="000000"/>
                <w:sz w:val="20"/>
              </w:rPr>
            </w:pPr>
            <w:r w:rsidRPr="009B4965">
              <w:rPr>
                <w:color w:val="000000"/>
                <w:sz w:val="20"/>
              </w:rPr>
              <w:t xml:space="preserve">$200 </w:t>
            </w:r>
          </w:p>
        </w:tc>
        <w:tc>
          <w:tcPr>
            <w:tcW w:w="1099" w:type="pct"/>
            <w:tcBorders>
              <w:top w:val="nil"/>
              <w:left w:val="nil"/>
              <w:bottom w:val="single" w:sz="8" w:space="0" w:color="auto"/>
              <w:right w:val="single" w:sz="4" w:space="0" w:color="auto"/>
            </w:tcBorders>
            <w:vAlign w:val="center"/>
          </w:tcPr>
          <w:p w14:paraId="2AFEF2A7" w14:textId="77777777" w:rsidR="00BA7CEB" w:rsidRPr="009B4965" w:rsidRDefault="00BA7CEB" w:rsidP="009B4965">
            <w:pPr>
              <w:spacing w:after="0" w:line="240" w:lineRule="auto"/>
              <w:rPr>
                <w:color w:val="000000"/>
                <w:sz w:val="20"/>
              </w:rPr>
            </w:pPr>
            <w:r w:rsidRPr="009B4965">
              <w:rPr>
                <w:color w:val="000000"/>
                <w:sz w:val="20"/>
              </w:rPr>
              <w:t xml:space="preserve"> 39.5% (30 of 76)</w:t>
            </w:r>
          </w:p>
        </w:tc>
        <w:tc>
          <w:tcPr>
            <w:tcW w:w="976"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11AFCA96" w14:textId="77777777" w:rsidR="00BA7CEB" w:rsidRPr="009B4965" w:rsidRDefault="00BA7CEB" w:rsidP="009B4965">
            <w:pPr>
              <w:spacing w:after="0" w:line="240" w:lineRule="auto"/>
              <w:rPr>
                <w:color w:val="000000"/>
                <w:sz w:val="20"/>
              </w:rPr>
            </w:pPr>
            <w:r w:rsidRPr="009B4965">
              <w:rPr>
                <w:sz w:val="20"/>
              </w:rPr>
              <w:t>37.7% (20 of 53)</w:t>
            </w:r>
          </w:p>
        </w:tc>
        <w:tc>
          <w:tcPr>
            <w:tcW w:w="976" w:type="pct"/>
            <w:tcBorders>
              <w:top w:val="nil"/>
              <w:left w:val="single" w:sz="4" w:space="0" w:color="auto"/>
              <w:bottom w:val="single" w:sz="8" w:space="0" w:color="auto"/>
              <w:right w:val="single" w:sz="8" w:space="0" w:color="auto"/>
            </w:tcBorders>
            <w:vAlign w:val="center"/>
          </w:tcPr>
          <w:p w14:paraId="1FFB8EC5" w14:textId="77777777" w:rsidR="00BA7CEB" w:rsidRPr="009B4965" w:rsidRDefault="00BA7CEB" w:rsidP="009B4965">
            <w:pPr>
              <w:spacing w:after="0" w:line="240" w:lineRule="auto"/>
              <w:rPr>
                <w:color w:val="000000"/>
                <w:sz w:val="20"/>
              </w:rPr>
            </w:pPr>
            <w:r w:rsidRPr="009B4965">
              <w:rPr>
                <w:sz w:val="20"/>
              </w:rPr>
              <w:t xml:space="preserve"> 43.5% (10 of 23)</w:t>
            </w:r>
          </w:p>
        </w:tc>
      </w:tr>
      <w:tr w:rsidR="007A4C8A" w:rsidRPr="000B6C0A" w14:paraId="1E05B5FC" w14:textId="77777777" w:rsidTr="00524B2A">
        <w:trPr>
          <w:trHeight w:val="300"/>
        </w:trPr>
        <w:tc>
          <w:tcPr>
            <w:tcW w:w="318" w:type="pct"/>
            <w:tcBorders>
              <w:top w:val="nil"/>
              <w:left w:val="single" w:sz="8" w:space="0" w:color="auto"/>
              <w:bottom w:val="single" w:sz="8" w:space="0" w:color="auto"/>
              <w:right w:val="single" w:sz="8" w:space="0" w:color="auto"/>
            </w:tcBorders>
            <w:vAlign w:val="center"/>
          </w:tcPr>
          <w:p w14:paraId="09441058" w14:textId="77777777" w:rsidR="00BA7CEB" w:rsidRPr="009B4965" w:rsidRDefault="00BA7CEB" w:rsidP="009B4965">
            <w:pPr>
              <w:spacing w:after="0" w:line="240" w:lineRule="auto"/>
              <w:jc w:val="center"/>
              <w:rPr>
                <w:color w:val="000000"/>
                <w:sz w:val="20"/>
              </w:rPr>
            </w:pPr>
            <w:r w:rsidRPr="009B4965">
              <w:rPr>
                <w:color w:val="000000"/>
                <w:sz w:val="20"/>
              </w:rPr>
              <w:t>2 and 3</w:t>
            </w:r>
          </w:p>
        </w:tc>
        <w:tc>
          <w:tcPr>
            <w:tcW w:w="163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33C834" w14:textId="77777777" w:rsidR="00BA7CEB" w:rsidRPr="009B4965" w:rsidRDefault="00BA7CEB" w:rsidP="009B4965">
            <w:pPr>
              <w:spacing w:after="0" w:line="240" w:lineRule="auto"/>
              <w:rPr>
                <w:color w:val="000000"/>
                <w:sz w:val="20"/>
              </w:rPr>
            </w:pPr>
            <w:r w:rsidRPr="009B4965">
              <w:rPr>
                <w:color w:val="000000"/>
                <w:sz w:val="20"/>
              </w:rPr>
              <w:t>$400 or $400 non-monetary equivalent</w:t>
            </w:r>
          </w:p>
        </w:tc>
        <w:tc>
          <w:tcPr>
            <w:tcW w:w="1099" w:type="pct"/>
            <w:tcBorders>
              <w:top w:val="nil"/>
              <w:left w:val="nil"/>
              <w:bottom w:val="single" w:sz="8" w:space="0" w:color="auto"/>
              <w:right w:val="single" w:sz="4" w:space="0" w:color="auto"/>
            </w:tcBorders>
            <w:vAlign w:val="center"/>
          </w:tcPr>
          <w:p w14:paraId="44942A43" w14:textId="77777777" w:rsidR="00BA7CEB" w:rsidRPr="009B4965" w:rsidRDefault="00BA7CEB" w:rsidP="009B4965">
            <w:pPr>
              <w:spacing w:after="0" w:line="240" w:lineRule="auto"/>
              <w:rPr>
                <w:color w:val="000000"/>
                <w:sz w:val="20"/>
              </w:rPr>
            </w:pPr>
            <w:r w:rsidRPr="009B4965">
              <w:rPr>
                <w:color w:val="000000"/>
                <w:sz w:val="20"/>
              </w:rPr>
              <w:t xml:space="preserve"> 45.8% (71 of 155)</w:t>
            </w:r>
          </w:p>
        </w:tc>
        <w:tc>
          <w:tcPr>
            <w:tcW w:w="976"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03262F19" w14:textId="77777777" w:rsidR="00BA7CEB" w:rsidRPr="009B4965" w:rsidRDefault="00BA7CEB" w:rsidP="009B4965">
            <w:pPr>
              <w:spacing w:after="0" w:line="240" w:lineRule="auto"/>
              <w:rPr>
                <w:color w:val="000000"/>
                <w:sz w:val="20"/>
              </w:rPr>
            </w:pPr>
            <w:r w:rsidRPr="009B4965">
              <w:rPr>
                <w:color w:val="000000"/>
                <w:sz w:val="20"/>
              </w:rPr>
              <w:t>35.9% (38 of 106)</w:t>
            </w:r>
          </w:p>
        </w:tc>
        <w:tc>
          <w:tcPr>
            <w:tcW w:w="976" w:type="pct"/>
            <w:tcBorders>
              <w:top w:val="nil"/>
              <w:left w:val="single" w:sz="4" w:space="0" w:color="auto"/>
              <w:bottom w:val="single" w:sz="8" w:space="0" w:color="auto"/>
              <w:right w:val="single" w:sz="8" w:space="0" w:color="auto"/>
            </w:tcBorders>
            <w:vAlign w:val="center"/>
          </w:tcPr>
          <w:p w14:paraId="6AE994FE" w14:textId="77777777" w:rsidR="00BA7CEB" w:rsidRPr="009B4965" w:rsidRDefault="00BA7CEB" w:rsidP="009B4965">
            <w:pPr>
              <w:spacing w:after="0" w:line="240" w:lineRule="auto"/>
              <w:rPr>
                <w:color w:val="000000"/>
                <w:sz w:val="20"/>
              </w:rPr>
            </w:pPr>
            <w:r w:rsidRPr="009B4965">
              <w:rPr>
                <w:color w:val="000000"/>
                <w:sz w:val="20"/>
              </w:rPr>
              <w:t xml:space="preserve"> 67.4% (33 of 49)</w:t>
            </w:r>
          </w:p>
        </w:tc>
      </w:tr>
    </w:tbl>
    <w:p w14:paraId="2702AD74" w14:textId="77777777" w:rsidR="00BA7CEB" w:rsidRDefault="00BA7CEB" w:rsidP="009B4965">
      <w:pPr>
        <w:spacing w:after="0" w:line="240" w:lineRule="auto"/>
        <w:rPr>
          <w:b/>
          <w:i/>
        </w:rPr>
      </w:pPr>
    </w:p>
    <w:p w14:paraId="18AB225D" w14:textId="71D56869" w:rsidR="00F82A27" w:rsidRDefault="00591BD6" w:rsidP="009B4965">
      <w:pPr>
        <w:spacing w:after="120"/>
        <w:rPr>
          <w:rFonts w:ascii="Calibri" w:hAnsi="Calibri"/>
        </w:rPr>
      </w:pPr>
      <w:r>
        <w:rPr>
          <w:rFonts w:ascii="Calibri" w:hAnsi="Calibri"/>
        </w:rPr>
        <w:t xml:space="preserve">We believe one explanation for the difference in results between the IVFT and the OFT </w:t>
      </w:r>
      <w:r w:rsidR="00745283">
        <w:rPr>
          <w:rFonts w:ascii="Calibri" w:hAnsi="Calibri"/>
        </w:rPr>
        <w:t xml:space="preserve">may be </w:t>
      </w:r>
      <w:r>
        <w:rPr>
          <w:rFonts w:ascii="Calibri" w:hAnsi="Calibri"/>
        </w:rPr>
        <w:t>the difference in respondent burden. The IVFT called for a much greater burden on schools, as we were sampling a larger number of students per grade, and sampling from grades 5 through 8</w:t>
      </w:r>
      <w:r w:rsidR="00745283">
        <w:rPr>
          <w:rFonts w:ascii="Calibri" w:hAnsi="Calibri"/>
        </w:rPr>
        <w:t>; however, there was no request for longitudinal follow-up</w:t>
      </w:r>
      <w:r>
        <w:rPr>
          <w:rFonts w:ascii="Calibri" w:hAnsi="Calibri"/>
        </w:rPr>
        <w:t xml:space="preserve">. </w:t>
      </w:r>
      <w:r w:rsidR="008B2AF7">
        <w:rPr>
          <w:rFonts w:ascii="Calibri" w:hAnsi="Calibri"/>
        </w:rPr>
        <w:t>The relatively small sample sizes for each field test also limit</w:t>
      </w:r>
      <w:r w:rsidR="00366061">
        <w:rPr>
          <w:rFonts w:ascii="Calibri" w:hAnsi="Calibri"/>
        </w:rPr>
        <w:t>ed</w:t>
      </w:r>
      <w:r w:rsidR="008B2AF7">
        <w:rPr>
          <w:rFonts w:ascii="Calibri" w:hAnsi="Calibri"/>
        </w:rPr>
        <w:t xml:space="preserve"> the ability to detect statistically significant differences.</w:t>
      </w:r>
      <w:r w:rsidR="00F82A27">
        <w:rPr>
          <w:rFonts w:ascii="Calibri" w:hAnsi="Calibri"/>
        </w:rPr>
        <w:t xml:space="preserve"> </w:t>
      </w:r>
      <w:r>
        <w:rPr>
          <w:rFonts w:ascii="Calibri" w:hAnsi="Calibri"/>
        </w:rPr>
        <w:t xml:space="preserve">The OFT was a truer test of what we might expect </w:t>
      </w:r>
      <w:r w:rsidR="00524B2A">
        <w:rPr>
          <w:rFonts w:ascii="Calibri" w:hAnsi="Calibri"/>
        </w:rPr>
        <w:t>in</w:t>
      </w:r>
      <w:r>
        <w:rPr>
          <w:rFonts w:ascii="Calibri" w:hAnsi="Calibri"/>
        </w:rPr>
        <w:t xml:space="preserve"> the Main Study, as we were sampling only from grade 6</w:t>
      </w:r>
      <w:r w:rsidR="00366061">
        <w:rPr>
          <w:rFonts w:ascii="Calibri" w:hAnsi="Calibri"/>
        </w:rPr>
        <w:t xml:space="preserve"> and</w:t>
      </w:r>
      <w:r w:rsidR="00363C5C">
        <w:rPr>
          <w:rFonts w:ascii="Calibri" w:hAnsi="Calibri"/>
        </w:rPr>
        <w:t xml:space="preserve"> </w:t>
      </w:r>
      <w:r>
        <w:rPr>
          <w:rFonts w:ascii="Calibri" w:hAnsi="Calibri"/>
        </w:rPr>
        <w:t xml:space="preserve">had a smaller student sample. With those greater similarities in mind, </w:t>
      </w:r>
      <w:r w:rsidR="00524B2A">
        <w:rPr>
          <w:rFonts w:ascii="Calibri" w:hAnsi="Calibri"/>
        </w:rPr>
        <w:t xml:space="preserve">and a large difference in response rates in the OFT between treatment 1 versus 2 and 3, </w:t>
      </w:r>
      <w:r>
        <w:rPr>
          <w:rFonts w:ascii="Calibri" w:hAnsi="Calibri"/>
        </w:rPr>
        <w:t>w</w:t>
      </w:r>
      <w:r w:rsidR="000874E9" w:rsidRPr="000874E9">
        <w:rPr>
          <w:rFonts w:ascii="Calibri" w:hAnsi="Calibri"/>
        </w:rPr>
        <w:t xml:space="preserve">e recommend offering schools </w:t>
      </w:r>
      <w:r>
        <w:rPr>
          <w:rFonts w:ascii="Calibri" w:hAnsi="Calibri"/>
        </w:rPr>
        <w:t xml:space="preserve">in the Main Study </w:t>
      </w:r>
      <w:r w:rsidR="000874E9" w:rsidRPr="000874E9">
        <w:rPr>
          <w:rFonts w:ascii="Calibri" w:hAnsi="Calibri"/>
        </w:rPr>
        <w:t xml:space="preserve">an incentive of $400, with the option of receiving </w:t>
      </w:r>
      <w:r w:rsidR="00524B2A">
        <w:rPr>
          <w:rFonts w:ascii="Calibri" w:hAnsi="Calibri"/>
        </w:rPr>
        <w:t>it</w:t>
      </w:r>
      <w:r w:rsidR="000874E9" w:rsidRPr="000874E9">
        <w:rPr>
          <w:rFonts w:ascii="Calibri" w:hAnsi="Calibri"/>
        </w:rPr>
        <w:t xml:space="preserve"> as a check or a non-monetary equivalent.</w:t>
      </w:r>
    </w:p>
    <w:p w14:paraId="401D7DA5" w14:textId="7C3090DA" w:rsidR="007E228D" w:rsidRPr="009B4965" w:rsidRDefault="007E228D" w:rsidP="009B4965">
      <w:pPr>
        <w:pStyle w:val="ListParagraph"/>
        <w:numPr>
          <w:ilvl w:val="0"/>
          <w:numId w:val="10"/>
        </w:numPr>
        <w:spacing w:after="120"/>
        <w:rPr>
          <w:b/>
          <w:u w:val="single"/>
        </w:rPr>
      </w:pPr>
      <w:r w:rsidRPr="009B4965">
        <w:rPr>
          <w:b/>
          <w:u w:val="single"/>
        </w:rPr>
        <w:t>School-level Reports</w:t>
      </w:r>
    </w:p>
    <w:p w14:paraId="767B6844" w14:textId="25018097" w:rsidR="0000209B" w:rsidRDefault="00816393" w:rsidP="009B4965">
      <w:pPr>
        <w:spacing w:after="120"/>
      </w:pPr>
      <w:r>
        <w:t>An additional</w:t>
      </w:r>
      <w:r w:rsidR="0000209B">
        <w:t xml:space="preserve"> benefit to schools in participating is receiving information on how their school compares to others. We plan to provide each participating school a school-level report, which includes summary data on the </w:t>
      </w:r>
      <w:r w:rsidR="00524B2A">
        <w:t xml:space="preserve">aggregate </w:t>
      </w:r>
      <w:r w:rsidR="0000209B">
        <w:t xml:space="preserve">performance of their students compared to the national average. We also propose including comparative data related to “schools like </w:t>
      </w:r>
      <w:r>
        <w:t>y</w:t>
      </w:r>
      <w:r w:rsidR="0000209B">
        <w:t xml:space="preserve">ours,” wherein data </w:t>
      </w:r>
      <w:r w:rsidR="00745283">
        <w:t xml:space="preserve">are </w:t>
      </w:r>
      <w:r w:rsidR="0000209B">
        <w:t xml:space="preserve">presented for schools </w:t>
      </w:r>
      <w:r>
        <w:t xml:space="preserve">that are </w:t>
      </w:r>
      <w:r w:rsidR="0000209B">
        <w:t xml:space="preserve">similar on key characteristics, such as </w:t>
      </w:r>
      <w:proofErr w:type="spellStart"/>
      <w:r w:rsidR="0000209B">
        <w:t>urbanicity</w:t>
      </w:r>
      <w:proofErr w:type="spellEnd"/>
      <w:r w:rsidR="0000209B">
        <w:t xml:space="preserve">, </w:t>
      </w:r>
      <w:r>
        <w:t xml:space="preserve">sector (i.e., </w:t>
      </w:r>
      <w:r w:rsidR="0000209B">
        <w:t>public/private</w:t>
      </w:r>
      <w:r>
        <w:t>)</w:t>
      </w:r>
      <w:r w:rsidR="0000209B">
        <w:t xml:space="preserve">, grade-levels served, </w:t>
      </w:r>
      <w:r w:rsidR="00745283">
        <w:t>geographic region</w:t>
      </w:r>
      <w:r w:rsidR="0000209B">
        <w:t xml:space="preserve">, etc. We have produced such school-level reports </w:t>
      </w:r>
      <w:r>
        <w:t xml:space="preserve">for </w:t>
      </w:r>
      <w:r w:rsidR="0000209B">
        <w:t xml:space="preserve">similar studies, such as the High School Longitudinal Study of 2009 (HSLS:09). The school characteristics selected have yet to be determined, as these reports will be produced in </w:t>
      </w:r>
      <w:r w:rsidR="00471BE2">
        <w:t>late 2019</w:t>
      </w:r>
      <w:r w:rsidR="0000209B">
        <w:t>,</w:t>
      </w:r>
      <w:r w:rsidR="00471BE2">
        <w:t xml:space="preserve"> after the base</w:t>
      </w:r>
      <w:r>
        <w:t>-</w:t>
      </w:r>
      <w:r w:rsidR="00471BE2">
        <w:t xml:space="preserve">year data file is released. </w:t>
      </w:r>
      <w:r w:rsidR="0000209B">
        <w:t xml:space="preserve">Confidentiality of school identity </w:t>
      </w:r>
      <w:r w:rsidR="00097DCB">
        <w:t xml:space="preserve">and confidentiality/stability of student results </w:t>
      </w:r>
      <w:r w:rsidR="0000209B">
        <w:t xml:space="preserve">will be maintained, meaning that “schools like </w:t>
      </w:r>
      <w:r>
        <w:t>y</w:t>
      </w:r>
      <w:r w:rsidR="0000209B">
        <w:t xml:space="preserve">ours” data </w:t>
      </w:r>
      <w:r w:rsidR="00097DCB">
        <w:t xml:space="preserve">and school-level aggregated-student data </w:t>
      </w:r>
      <w:r w:rsidR="0000209B">
        <w:t xml:space="preserve">will not be included </w:t>
      </w:r>
      <w:r>
        <w:t>i</w:t>
      </w:r>
      <w:r w:rsidR="0000209B">
        <w:t xml:space="preserve">n reports when too few schools </w:t>
      </w:r>
      <w:r w:rsidR="00097DCB">
        <w:t xml:space="preserve">or too few students </w:t>
      </w:r>
      <w:r>
        <w:t xml:space="preserve">participated </w:t>
      </w:r>
      <w:r w:rsidR="0000209B">
        <w:t>to ensure confidentiality</w:t>
      </w:r>
      <w:r w:rsidR="00097DCB">
        <w:t xml:space="preserve"> and stability of estimates</w:t>
      </w:r>
      <w:r w:rsidR="0000209B">
        <w:t xml:space="preserve">. The template </w:t>
      </w:r>
      <w:r>
        <w:t xml:space="preserve">for these reports </w:t>
      </w:r>
      <w:r w:rsidR="0000209B">
        <w:t xml:space="preserve">will be provided in a change memo in 2019. </w:t>
      </w:r>
      <w:r>
        <w:t xml:space="preserve">We are seeking approval to offer the report </w:t>
      </w:r>
      <w:r w:rsidR="00755B7D">
        <w:t xml:space="preserve">to schools </w:t>
      </w:r>
      <w:r>
        <w:t xml:space="preserve">at this stage, as a means of thanking the schools for </w:t>
      </w:r>
      <w:r w:rsidR="00755B7D">
        <w:t xml:space="preserve">and encouraging </w:t>
      </w:r>
      <w:r>
        <w:t>their participation in the study. For this reason, s</w:t>
      </w:r>
      <w:r w:rsidR="0000209B">
        <w:t xml:space="preserve">chool contacting materials </w:t>
      </w:r>
      <w:r>
        <w:t xml:space="preserve">have been revised to </w:t>
      </w:r>
      <w:r w:rsidR="0000209B">
        <w:t>include mention of these school-level reports.</w:t>
      </w:r>
    </w:p>
    <w:p w14:paraId="0950554C" w14:textId="71CE66AD" w:rsidR="00746B4F" w:rsidRPr="009B4965" w:rsidRDefault="00746B4F" w:rsidP="00746B4F">
      <w:pPr>
        <w:pStyle w:val="ListParagraph"/>
        <w:numPr>
          <w:ilvl w:val="0"/>
          <w:numId w:val="10"/>
        </w:numPr>
        <w:spacing w:after="120"/>
        <w:rPr>
          <w:b/>
          <w:u w:val="single"/>
        </w:rPr>
      </w:pPr>
      <w:r>
        <w:rPr>
          <w:b/>
          <w:u w:val="single"/>
        </w:rPr>
        <w:t>General Enhancement</w:t>
      </w:r>
      <w:r w:rsidR="00CC18E3">
        <w:rPr>
          <w:b/>
          <w:u w:val="single"/>
        </w:rPr>
        <w:t>s</w:t>
      </w:r>
      <w:r>
        <w:rPr>
          <w:b/>
          <w:u w:val="single"/>
        </w:rPr>
        <w:t xml:space="preserve"> to Recruitment Activities</w:t>
      </w:r>
    </w:p>
    <w:p w14:paraId="66CCB94C" w14:textId="3F4EC6E5" w:rsidR="00024CB2" w:rsidRDefault="00024CB2" w:rsidP="00123121">
      <w:pPr>
        <w:spacing w:after="120"/>
      </w:pPr>
      <w:r>
        <w:t>We</w:t>
      </w:r>
      <w:r w:rsidR="00746B4F">
        <w:t xml:space="preserve"> developed a </w:t>
      </w:r>
      <w:r w:rsidR="00AF2B67">
        <w:t xml:space="preserve">number </w:t>
      </w:r>
      <w:r w:rsidR="00746B4F">
        <w:t>of enhancements for the Main Study recruitment effort</w:t>
      </w:r>
      <w:r w:rsidR="00AF2B67">
        <w:t xml:space="preserve"> (noted in </w:t>
      </w:r>
      <w:r>
        <w:t xml:space="preserve">the Supporting Statement </w:t>
      </w:r>
      <w:r w:rsidR="00AF2B67">
        <w:t>Part B)</w:t>
      </w:r>
      <w:r w:rsidR="00746B4F">
        <w:t xml:space="preserve"> that are expected to encourage participation. These </w:t>
      </w:r>
      <w:r w:rsidR="00AF2B67">
        <w:t xml:space="preserve">enhancements </w:t>
      </w:r>
      <w:r w:rsidR="00746B4F">
        <w:t>include</w:t>
      </w:r>
      <w:r w:rsidR="00123121">
        <w:t xml:space="preserve"> increasing the in-school data </w:t>
      </w:r>
      <w:r w:rsidR="00123121">
        <w:lastRenderedPageBreak/>
        <w:t>collection window to allow schools more flexibility in scheduling test dates, conducting in-person recruitment visits to districts and schools to further explain the value of the study, and offering opportunities for data training after MGLS:2017 study data become available</w:t>
      </w:r>
      <w:r w:rsidR="00746B4F">
        <w:t>.</w:t>
      </w:r>
      <w:r w:rsidR="00123121">
        <w:t xml:space="preserve"> In addition, </w:t>
      </w:r>
      <w:r>
        <w:t>we have</w:t>
      </w:r>
      <w:r w:rsidR="00123121">
        <w:t xml:space="preserve"> established partnerships with additional organizations; including the National Center for Education, Research</w:t>
      </w:r>
      <w:r>
        <w:t>,</w:t>
      </w:r>
      <w:r w:rsidR="00123121">
        <w:t xml:space="preserve"> and Technology (NCERT), and the School Superintendents Association</w:t>
      </w:r>
      <w:r>
        <w:t xml:space="preserve"> (AASA</w:t>
      </w:r>
      <w:r w:rsidR="00123121">
        <w:t>). The study will use such partnerships to conduct outreach.  Additional</w:t>
      </w:r>
      <w:r w:rsidR="00746B4F">
        <w:t xml:space="preserve"> </w:t>
      </w:r>
      <w:r w:rsidR="00123121">
        <w:t>changes that may influence recruitment efforts are specified below (items 4</w:t>
      </w:r>
      <w:r w:rsidR="00746B4F">
        <w:t>-8).</w:t>
      </w:r>
    </w:p>
    <w:p w14:paraId="4669EE65" w14:textId="091431F2" w:rsidR="007E228D" w:rsidRPr="009B4965" w:rsidRDefault="007E228D" w:rsidP="00746B4F">
      <w:pPr>
        <w:pStyle w:val="ListParagraph"/>
        <w:numPr>
          <w:ilvl w:val="0"/>
          <w:numId w:val="10"/>
        </w:numPr>
        <w:spacing w:after="120"/>
        <w:rPr>
          <w:b/>
          <w:u w:val="single"/>
        </w:rPr>
      </w:pPr>
      <w:r w:rsidRPr="009B4965">
        <w:rPr>
          <w:b/>
          <w:u w:val="single"/>
        </w:rPr>
        <w:t>Informational Webinars</w:t>
      </w:r>
    </w:p>
    <w:p w14:paraId="38FD4052" w14:textId="102A3F51" w:rsidR="00530413" w:rsidRDefault="00530413" w:rsidP="009B4965">
      <w:pPr>
        <w:widowControl w:val="0"/>
        <w:spacing w:after="120"/>
      </w:pPr>
      <w:r>
        <w:t xml:space="preserve">We </w:t>
      </w:r>
      <w:r w:rsidR="00B3669C">
        <w:t xml:space="preserve">propose </w:t>
      </w:r>
      <w:r>
        <w:t xml:space="preserve">to </w:t>
      </w:r>
      <w:r w:rsidR="00B3669C">
        <w:t xml:space="preserve">host several </w:t>
      </w:r>
      <w:r>
        <w:t>informational webinar</w:t>
      </w:r>
      <w:r w:rsidR="00B3669C">
        <w:t>s</w:t>
      </w:r>
      <w:r>
        <w:t xml:space="preserve"> as part of our </w:t>
      </w:r>
      <w:r w:rsidR="00097DCB">
        <w:t>district/</w:t>
      </w:r>
      <w:r>
        <w:t xml:space="preserve">school recruitment efforts. </w:t>
      </w:r>
      <w:r w:rsidR="00D604F5">
        <w:t>The webinar</w:t>
      </w:r>
      <w:r w:rsidR="00B3669C">
        <w:t>s</w:t>
      </w:r>
      <w:r w:rsidR="00D604F5">
        <w:t xml:space="preserve"> </w:t>
      </w:r>
      <w:r w:rsidR="00DE5269">
        <w:t xml:space="preserve">will </w:t>
      </w:r>
      <w:r w:rsidR="00D604F5">
        <w:t xml:space="preserve">be designed to communicate the purpose and importance of the MGLS:2017, </w:t>
      </w:r>
      <w:r w:rsidR="00B3669C">
        <w:t xml:space="preserve">the value to schools, study milestones, </w:t>
      </w:r>
      <w:r w:rsidR="00D604F5">
        <w:t xml:space="preserve">and </w:t>
      </w:r>
      <w:r w:rsidR="00B3669C">
        <w:t xml:space="preserve">information on how schools can participate. </w:t>
      </w:r>
      <w:r w:rsidR="00DD5ECC">
        <w:t xml:space="preserve">Content </w:t>
      </w:r>
      <w:r w:rsidR="00755B7D">
        <w:t>has been</w:t>
      </w:r>
      <w:r w:rsidR="00DD5ECC">
        <w:t xml:space="preserve"> drawn from OMB-approved communication materials included in the present package. </w:t>
      </w:r>
      <w:r w:rsidR="00DE5269">
        <w:t>Attendees would include state superintendents, state education research directors, district superintendents, district research directors, principals, school leaders</w:t>
      </w:r>
      <w:r w:rsidR="000174F0">
        <w:t>, and others generally</w:t>
      </w:r>
      <w:r w:rsidR="00DE5269">
        <w:t xml:space="preserve"> interested in middle grade</w:t>
      </w:r>
      <w:r w:rsidR="00097DCB">
        <w:t>s</w:t>
      </w:r>
      <w:r w:rsidR="00DE5269">
        <w:t xml:space="preserve"> issues. </w:t>
      </w:r>
      <w:r w:rsidR="000F26BB">
        <w:t>Attendees would remain anonymous.</w:t>
      </w:r>
      <w:r w:rsidR="00DE5269">
        <w:t xml:space="preserve"> Representatives from both NCES and RTI will present. </w:t>
      </w:r>
      <w:r w:rsidR="00304444">
        <w:t>We will host the webinar</w:t>
      </w:r>
      <w:r w:rsidR="00851961">
        <w:t xml:space="preserve"> twice in </w:t>
      </w:r>
      <w:r w:rsidR="00304444">
        <w:t>April</w:t>
      </w:r>
      <w:r w:rsidR="00851961">
        <w:t xml:space="preserve">, </w:t>
      </w:r>
      <w:r w:rsidR="00024CB2">
        <w:t>and whenever desirable until t</w:t>
      </w:r>
      <w:r w:rsidR="000174F0">
        <w:t xml:space="preserve">he </w:t>
      </w:r>
      <w:r w:rsidR="00024CB2">
        <w:t xml:space="preserve">end of the </w:t>
      </w:r>
      <w:r w:rsidR="000174F0">
        <w:t>Ma</w:t>
      </w:r>
      <w:r w:rsidR="00024CB2">
        <w:t>in Study data collection period</w:t>
      </w:r>
      <w:r w:rsidR="00304444">
        <w:t xml:space="preserve">. Dates and times will </w:t>
      </w:r>
      <w:r w:rsidR="00D604F5">
        <w:t xml:space="preserve">be </w:t>
      </w:r>
      <w:r w:rsidR="000F468F">
        <w:t xml:space="preserve">publicized </w:t>
      </w:r>
      <w:r w:rsidR="00D604F5">
        <w:t xml:space="preserve">via </w:t>
      </w:r>
      <w:r w:rsidR="000F26BB">
        <w:t xml:space="preserve">email to superintendent organizations, </w:t>
      </w:r>
      <w:r w:rsidR="00FE0DA0">
        <w:t xml:space="preserve">state and district representatives, </w:t>
      </w:r>
      <w:r w:rsidR="000F26BB">
        <w:t>posting on the NCES website,</w:t>
      </w:r>
      <w:r w:rsidR="00DE5269">
        <w:t xml:space="preserve"> and</w:t>
      </w:r>
      <w:r w:rsidR="000F26BB">
        <w:t xml:space="preserve"> social </w:t>
      </w:r>
      <w:r w:rsidR="000F468F">
        <w:t>media</w:t>
      </w:r>
      <w:r w:rsidR="00D604F5">
        <w:t xml:space="preserve">. </w:t>
      </w:r>
      <w:r w:rsidR="005D1700">
        <w:t xml:space="preserve">The webinar will be open to all who would like to attend, whether or not they have been sampled for the study. This will help smooth transitions should students transfer between schools during the study and reduce the potential risk associated with identification/association of selected schools/districts. </w:t>
      </w:r>
      <w:r w:rsidR="000F468F">
        <w:t xml:space="preserve">We </w:t>
      </w:r>
      <w:r w:rsidR="00755B7D">
        <w:t>will</w:t>
      </w:r>
      <w:r w:rsidR="000F468F">
        <w:t xml:space="preserve"> archive the webinar for viewing at a convenient time for those who are unable to attend.</w:t>
      </w:r>
      <w:r w:rsidR="00DC092A">
        <w:t xml:space="preserve"> The materials for the webinars are included as Appendix MS1-T.</w:t>
      </w:r>
    </w:p>
    <w:p w14:paraId="5676FD6E" w14:textId="72ACDEE8" w:rsidR="00514AF9" w:rsidRPr="00514AF9" w:rsidRDefault="00514AF9" w:rsidP="00746B4F">
      <w:pPr>
        <w:pStyle w:val="ListParagraph"/>
        <w:keepNext/>
        <w:numPr>
          <w:ilvl w:val="0"/>
          <w:numId w:val="10"/>
        </w:numPr>
        <w:rPr>
          <w:b/>
          <w:u w:val="single"/>
        </w:rPr>
      </w:pPr>
      <w:r w:rsidRPr="00514AF9">
        <w:rPr>
          <w:b/>
          <w:u w:val="single"/>
        </w:rPr>
        <w:t>Earbuds for Students Participating in Assessments/Questionnaires</w:t>
      </w:r>
    </w:p>
    <w:p w14:paraId="2DE5513C" w14:textId="32B759BB" w:rsidR="00514AF9" w:rsidRDefault="004C7006" w:rsidP="00514AF9">
      <w:r>
        <w:t xml:space="preserve">Students will be using earbuds to complete the audio portion of the student assessment. </w:t>
      </w:r>
      <w:r w:rsidR="00D60DD7">
        <w:t>S</w:t>
      </w:r>
      <w:r>
        <w:t xml:space="preserve">tudents </w:t>
      </w:r>
      <w:r w:rsidR="00B66C13">
        <w:t xml:space="preserve">will be allowed </w:t>
      </w:r>
      <w:r>
        <w:t>to keep the earbuds</w:t>
      </w:r>
      <w:r w:rsidR="00B66C13">
        <w:t xml:space="preserve"> after participation</w:t>
      </w:r>
      <w:r>
        <w:t xml:space="preserve">, in addition to the </w:t>
      </w:r>
      <w:r w:rsidR="00B66C13">
        <w:t xml:space="preserve">already approved </w:t>
      </w:r>
      <w:r>
        <w:t>token incentives (e.g., keychain, pen).</w:t>
      </w:r>
      <w:r w:rsidR="007E110E">
        <w:t xml:space="preserve"> </w:t>
      </w:r>
      <w:r w:rsidR="00B66C13">
        <w:t>T</w:t>
      </w:r>
      <w:r w:rsidR="007E110E">
        <w:t xml:space="preserve">hese tokens </w:t>
      </w:r>
      <w:r w:rsidR="00B66C13">
        <w:t xml:space="preserve">are mentioned </w:t>
      </w:r>
      <w:r w:rsidR="007E110E">
        <w:t>in the parent consent materials.</w:t>
      </w:r>
    </w:p>
    <w:p w14:paraId="008149A0" w14:textId="107698CC" w:rsidR="00514AF9" w:rsidRPr="009B4965" w:rsidRDefault="00AF2B67" w:rsidP="00746B4F">
      <w:pPr>
        <w:pStyle w:val="ListParagraph"/>
        <w:keepNext/>
        <w:numPr>
          <w:ilvl w:val="0"/>
          <w:numId w:val="10"/>
        </w:numPr>
        <w:rPr>
          <w:b/>
          <w:u w:val="single"/>
        </w:rPr>
      </w:pPr>
      <w:r>
        <w:rPr>
          <w:b/>
          <w:u w:val="single"/>
        </w:rPr>
        <w:t xml:space="preserve">Explicit </w:t>
      </w:r>
      <w:r w:rsidR="00514AF9" w:rsidRPr="00514AF9">
        <w:rPr>
          <w:b/>
          <w:u w:val="single"/>
        </w:rPr>
        <w:t>Consent</w:t>
      </w:r>
      <w:r w:rsidR="00514AF9" w:rsidRPr="009B4965">
        <w:rPr>
          <w:b/>
          <w:u w:val="single"/>
        </w:rPr>
        <w:t xml:space="preserve"> Form Return</w:t>
      </w:r>
      <w:r w:rsidR="00514AF9" w:rsidRPr="00514AF9">
        <w:rPr>
          <w:b/>
          <w:u w:val="single"/>
        </w:rPr>
        <w:t xml:space="preserve"> Food Event</w:t>
      </w:r>
    </w:p>
    <w:p w14:paraId="7AF238D1" w14:textId="3ABD97DB" w:rsidR="00514AF9" w:rsidRDefault="00514AF9" w:rsidP="00514AF9">
      <w:r>
        <w:t>Schools follow one of two models regarding parental consent. Schools with implicit consent notify parents about study activities and if parents object to their child’s participation, they need to return a signed form indicating their refusal. Schools with explicit consent notify parents every time there is an activity requiring parental permission and parents are asked to</w:t>
      </w:r>
      <w:r w:rsidRPr="00304AD1">
        <w:t xml:space="preserve"> return a signed form</w:t>
      </w:r>
      <w:r>
        <w:t xml:space="preserve"> indicating whether they do or do not consent to let the child participate in the activity. If parents do not return the form in explicit consent schools, the child is considered as not having consent to participate. It could be, however, that a parent would allow the child to participate and just forgot to return the form giving permission.</w:t>
      </w:r>
    </w:p>
    <w:p w14:paraId="397AA4E3" w14:textId="5AA7904D" w:rsidR="00514AF9" w:rsidRDefault="00514AF9" w:rsidP="00514AF9">
      <w:r>
        <w:t xml:space="preserve">Results to date </w:t>
      </w:r>
      <w:r w:rsidR="00F144DE">
        <w:t>from</w:t>
      </w:r>
      <w:r>
        <w:t xml:space="preserve"> the MGLS:2017 OFT have shown a consent rate of 89 percent in implicit consent schools and 52 percent in explicit consent schools. Approximately 30 percent of the OFT sampled schools have required explicit consent, making it a significant issue for the </w:t>
      </w:r>
      <w:r w:rsidR="00F144DE">
        <w:t xml:space="preserve">MGLS:2017 </w:t>
      </w:r>
      <w:r>
        <w:t>Main Study. The consent rate difference between these two sets of schools has the potential to introduce bias in the data. We believe this difference is likely attributable in part to parents forgetting to return the</w:t>
      </w:r>
      <w:r w:rsidR="00F144DE">
        <w:t xml:space="preserve"> consent</w:t>
      </w:r>
      <w:r>
        <w:t xml:space="preserve"> forms in explicit consent schools, as opposed to real, large differences in actual rates of refusal. We therefore propose adding a token of appreciation for students returning consent forms at explicit consent schools</w:t>
      </w:r>
      <w:r w:rsidR="00F144DE">
        <w:t xml:space="preserve"> (regardless of whether consent is given or refused)</w:t>
      </w:r>
      <w:r>
        <w:t>. Our expectation is that we will obtain consent for some students for whom we would have had to assume a refusal due to a non-returned form.</w:t>
      </w:r>
    </w:p>
    <w:p w14:paraId="31145A2E" w14:textId="01DD145F" w:rsidR="00514AF9" w:rsidRDefault="00F144DE" w:rsidP="00514AF9">
      <w:r>
        <w:t>W</w:t>
      </w:r>
      <w:r w:rsidR="00514AF9">
        <w:t xml:space="preserve">e propose to sponsor a food event, e.g., pizza, bagels, etc., for students who had returned completed parental consent forms by a set date. We </w:t>
      </w:r>
      <w:r>
        <w:t xml:space="preserve">recently </w:t>
      </w:r>
      <w:r w:rsidR="00514AF9">
        <w:t xml:space="preserve">observed a marked increase in return of forms at one of the explicit consent OFT schools where </w:t>
      </w:r>
      <w:r>
        <w:t xml:space="preserve">the school organized </w:t>
      </w:r>
      <w:r w:rsidR="00514AF9">
        <w:t>a pizza party to encourage the return of forms (25 percent of forms returned before announcement of pizza party</w:t>
      </w:r>
      <w:r>
        <w:t xml:space="preserve">, and </w:t>
      </w:r>
      <w:r w:rsidR="00514AF9">
        <w:t xml:space="preserve">75 percent of forms returned at end of the week after the </w:t>
      </w:r>
      <w:r w:rsidR="00514AF9" w:rsidRPr="0042702A">
        <w:t xml:space="preserve">announcement). </w:t>
      </w:r>
      <w:r w:rsidR="00514AF9" w:rsidRPr="0042702A">
        <w:lastRenderedPageBreak/>
        <w:t>We would like to sponsor food events for the remaining OFT explicit consent schools and the explicit consent schools in the Main Study.</w:t>
      </w:r>
      <w:r w:rsidR="007E110E">
        <w:t xml:space="preserve"> If schools allow these food events, we will include mention of these events in the parent explicit consent materials.</w:t>
      </w:r>
    </w:p>
    <w:p w14:paraId="16873267" w14:textId="2F8E26F5" w:rsidR="00514AF9" w:rsidRPr="00514AF9" w:rsidRDefault="00514AF9" w:rsidP="00746B4F">
      <w:pPr>
        <w:pStyle w:val="ListParagraph"/>
        <w:keepNext/>
        <w:numPr>
          <w:ilvl w:val="0"/>
          <w:numId w:val="10"/>
        </w:numPr>
        <w:rPr>
          <w:b/>
          <w:u w:val="single"/>
        </w:rPr>
      </w:pPr>
      <w:r w:rsidRPr="00514AF9">
        <w:rPr>
          <w:b/>
          <w:u w:val="single"/>
        </w:rPr>
        <w:t>Update to Confidentiality Pledge and Citation of Security and Confidentiality Requirements</w:t>
      </w:r>
    </w:p>
    <w:p w14:paraId="5BA54F24" w14:textId="06A4CD66" w:rsidR="00514AF9" w:rsidRDefault="00514AF9" w:rsidP="00514AF9">
      <w:pPr>
        <w:widowControl w:val="0"/>
      </w:pPr>
      <w:r w:rsidRPr="00514AF9">
        <w:t xml:space="preserve">Citation of the data security and confidentiality protection procedures has been expanded in Part A to reflect all of the laws and regulations with which </w:t>
      </w:r>
      <w:r>
        <w:t>MGLS</w:t>
      </w:r>
      <w:r w:rsidR="00AF2B67">
        <w:t>:2017</w:t>
      </w:r>
      <w:r w:rsidRPr="00514AF9">
        <w:t xml:space="preserve"> data collection contractors and agents comply. </w:t>
      </w:r>
      <w:r w:rsidR="00DC1997">
        <w:t>Edits have been made throughout all Appendi</w:t>
      </w:r>
      <w:r w:rsidR="00AF2B67">
        <w:t>x</w:t>
      </w:r>
      <w:r w:rsidR="00DC1997">
        <w:t xml:space="preserve">es to ensure </w:t>
      </w:r>
      <w:r w:rsidR="00AF2B67">
        <w:t xml:space="preserve">that </w:t>
      </w:r>
      <w:r w:rsidR="00DC1997">
        <w:t xml:space="preserve">the law citations are correctly </w:t>
      </w:r>
      <w:r w:rsidR="00AF2B67">
        <w:t>referenc</w:t>
      </w:r>
      <w:r w:rsidR="00DC1997">
        <w:t xml:space="preserve">ed. </w:t>
      </w:r>
      <w:r w:rsidRPr="00514AF9">
        <w:t>Also, the confidentiality pledge has been updated throughout th</w:t>
      </w:r>
      <w:r w:rsidR="00156F0B">
        <w:t>e submission documents (Part A</w:t>
      </w:r>
      <w:r w:rsidR="003A3001">
        <w:t>,</w:t>
      </w:r>
      <w:r w:rsidR="00156F0B">
        <w:t xml:space="preserve"> </w:t>
      </w:r>
      <w:r w:rsidRPr="00514AF9">
        <w:t>Appendi</w:t>
      </w:r>
      <w:r w:rsidR="00AF2B67">
        <w:t>x</w:t>
      </w:r>
      <w:r>
        <w:t>es MS1-C through MS1-T</w:t>
      </w:r>
      <w:r w:rsidR="003A3001">
        <w:t>,</w:t>
      </w:r>
      <w:r w:rsidR="00156F0B">
        <w:t xml:space="preserve"> </w:t>
      </w:r>
      <w:r w:rsidR="003A3001" w:rsidRPr="00514AF9">
        <w:t>Appendi</w:t>
      </w:r>
      <w:r w:rsidR="00AF2B67">
        <w:t>x</w:t>
      </w:r>
      <w:r w:rsidR="003A3001">
        <w:t xml:space="preserve">es </w:t>
      </w:r>
      <w:r w:rsidR="00156F0B">
        <w:t>OFT2-A through OFT2-L</w:t>
      </w:r>
      <w:r w:rsidR="003A3001">
        <w:t>, and note for Appendi</w:t>
      </w:r>
      <w:r w:rsidR="00AF2B67">
        <w:t>x</w:t>
      </w:r>
      <w:r w:rsidR="003A3001">
        <w:t>es OFT1-T through OFT1-</w:t>
      </w:r>
      <w:r w:rsidR="00217A26">
        <w:t>W</w:t>
      </w:r>
      <w:r w:rsidRPr="00514AF9">
        <w:t xml:space="preserve">) to reflect the addition of the Cybersecurity Enhancement Act of 2015 provision. The revised pledge reads: “All of the information you provide may be used only for statistical purposes and may not be disclosed, or used, in identifiable form for any other purpose except as required by law (20 U.S.C. §9573 and 6 U.S.C. §151).” </w:t>
      </w:r>
      <w:r w:rsidR="00156F0B">
        <w:t>The OFT base-year</w:t>
      </w:r>
      <w:r w:rsidRPr="00514AF9">
        <w:t xml:space="preserve"> </w:t>
      </w:r>
      <w:r w:rsidR="00156F0B">
        <w:t>(OFT1</w:t>
      </w:r>
      <w:r w:rsidR="00DC1997">
        <w:t>-A through OFT1-S</w:t>
      </w:r>
      <w:r w:rsidR="00156F0B">
        <w:t xml:space="preserve">) </w:t>
      </w:r>
      <w:r w:rsidRPr="00514AF9">
        <w:t xml:space="preserve">materials </w:t>
      </w:r>
      <w:r w:rsidR="00156F0B">
        <w:t xml:space="preserve">and Main Study (MS1) </w:t>
      </w:r>
      <w:r w:rsidR="00156F0B" w:rsidRPr="00156F0B">
        <w:t xml:space="preserve">Endorsement Request Letter </w:t>
      </w:r>
      <w:r w:rsidR="00156F0B">
        <w:t xml:space="preserve">and </w:t>
      </w:r>
      <w:r w:rsidR="00156F0B" w:rsidRPr="00156F0B">
        <w:t xml:space="preserve">State Letter and Sample Endorsement Letter </w:t>
      </w:r>
      <w:r w:rsidR="00DC1997">
        <w:t>do not include the updated confidentiality pledge</w:t>
      </w:r>
      <w:r w:rsidRPr="00514AF9">
        <w:t xml:space="preserve"> because they have already been used, given that </w:t>
      </w:r>
      <w:r w:rsidR="00156F0B">
        <w:t xml:space="preserve">OFT and MS endorsement and state letters became operational </w:t>
      </w:r>
      <w:r w:rsidRPr="00514AF9">
        <w:t xml:space="preserve">prior to the implementation of the revised pledge. All other aspects of the </w:t>
      </w:r>
      <w:r w:rsidR="00156F0B">
        <w:t>Main Study (MS1) and recruitment for OFT follow-up</w:t>
      </w:r>
      <w:r w:rsidRPr="00514AF9">
        <w:t xml:space="preserve"> </w:t>
      </w:r>
      <w:r w:rsidR="00156F0B">
        <w:t xml:space="preserve">(OFT2) </w:t>
      </w:r>
      <w:r w:rsidRPr="00514AF9">
        <w:t>will include the revised pledge</w:t>
      </w:r>
      <w:r>
        <w:t>.</w:t>
      </w:r>
    </w:p>
    <w:p w14:paraId="68EB6F28" w14:textId="095C6B4E" w:rsidR="007E228D" w:rsidRPr="00156F0B" w:rsidRDefault="00156F0B" w:rsidP="00746B4F">
      <w:pPr>
        <w:pStyle w:val="ListParagraph"/>
        <w:numPr>
          <w:ilvl w:val="0"/>
          <w:numId w:val="10"/>
        </w:numPr>
        <w:spacing w:after="120"/>
        <w:rPr>
          <w:b/>
          <w:u w:val="single"/>
        </w:rPr>
      </w:pPr>
      <w:r w:rsidRPr="00156F0B">
        <w:rPr>
          <w:b/>
          <w:u w:val="single"/>
        </w:rPr>
        <w:t xml:space="preserve">Main Study and OFT </w:t>
      </w:r>
      <w:r w:rsidR="00087B6E">
        <w:rPr>
          <w:b/>
          <w:u w:val="single"/>
        </w:rPr>
        <w:t>F</w:t>
      </w:r>
      <w:r w:rsidRPr="00156F0B">
        <w:rPr>
          <w:b/>
          <w:u w:val="single"/>
        </w:rPr>
        <w:t xml:space="preserve">ollow-up </w:t>
      </w:r>
      <w:r w:rsidR="00087B6E">
        <w:rPr>
          <w:b/>
          <w:u w:val="single"/>
        </w:rPr>
        <w:t>C</w:t>
      </w:r>
      <w:r w:rsidRPr="00156F0B">
        <w:rPr>
          <w:b/>
          <w:u w:val="single"/>
        </w:rPr>
        <w:t xml:space="preserve">ommunication </w:t>
      </w:r>
      <w:r w:rsidR="00087B6E">
        <w:rPr>
          <w:b/>
          <w:u w:val="single"/>
        </w:rPr>
        <w:t>M</w:t>
      </w:r>
      <w:r w:rsidRPr="00156F0B">
        <w:rPr>
          <w:b/>
          <w:u w:val="single"/>
        </w:rPr>
        <w:t>aterials</w:t>
      </w:r>
    </w:p>
    <w:p w14:paraId="572FEF17" w14:textId="5C0B2074" w:rsidR="007E228D" w:rsidRDefault="00A463AD" w:rsidP="00524B2A">
      <w:pPr>
        <w:spacing w:after="120"/>
      </w:pPr>
      <w:r>
        <w:t xml:space="preserve">Minor edits to the district and school </w:t>
      </w:r>
      <w:r w:rsidR="00156F0B" w:rsidRPr="00156F0B">
        <w:t xml:space="preserve">communication </w:t>
      </w:r>
      <w:r>
        <w:t xml:space="preserve">materials have been made to </w:t>
      </w:r>
      <w:r w:rsidR="0041352C">
        <w:t xml:space="preserve">add emphasis </w:t>
      </w:r>
      <w:r w:rsidR="00EF05AE">
        <w:t xml:space="preserve">on the importance of MGLS:2017 and </w:t>
      </w:r>
      <w:r>
        <w:t>the benefits of participating</w:t>
      </w:r>
      <w:r w:rsidR="00E03BA6">
        <w:t xml:space="preserve">, as well as </w:t>
      </w:r>
      <w:r w:rsidR="00156F0B">
        <w:t xml:space="preserve">to </w:t>
      </w:r>
      <w:r w:rsidR="00B70D36">
        <w:t>expand</w:t>
      </w:r>
      <w:r w:rsidR="00E03BA6">
        <w:t xml:space="preserve"> the language related to confidentiality to include reference to FERPA</w:t>
      </w:r>
      <w:r>
        <w:t>.</w:t>
      </w:r>
      <w:r w:rsidR="00EF05AE">
        <w:t xml:space="preserve"> </w:t>
      </w:r>
      <w:r w:rsidR="00FD4FF8">
        <w:t xml:space="preserve">These </w:t>
      </w:r>
      <w:r w:rsidR="00B70D36">
        <w:t xml:space="preserve">edits </w:t>
      </w:r>
      <w:r w:rsidR="00FD4FF8">
        <w:t>apply to letters that have not yet gone out and</w:t>
      </w:r>
      <w:r w:rsidR="00D15A38">
        <w:t>,</w:t>
      </w:r>
      <w:r w:rsidR="00FD4FF8">
        <w:t xml:space="preserve"> thus</w:t>
      </w:r>
      <w:r w:rsidR="00DC1997">
        <w:t>, are not included in OFT1-A through OFT1-S and MS1-A and MS1-B</w:t>
      </w:r>
      <w:r w:rsidR="00FD4FF8">
        <w:t>.</w:t>
      </w:r>
      <w:r>
        <w:t xml:space="preserve"> </w:t>
      </w:r>
      <w:r w:rsidR="00FE0DA0">
        <w:t xml:space="preserve">The changes are </w:t>
      </w:r>
      <w:r w:rsidR="00755B7D">
        <w:t>listed</w:t>
      </w:r>
      <w:r w:rsidR="00FE0DA0">
        <w:t xml:space="preserve"> below in </w:t>
      </w:r>
      <w:r w:rsidR="00FE0DA0" w:rsidRPr="00FE0DA0">
        <w:rPr>
          <w:b/>
          <w:i/>
        </w:rPr>
        <w:t>Table 6</w:t>
      </w:r>
      <w:r w:rsidR="00EE6500">
        <w:t xml:space="preserve"> and reflected in the </w:t>
      </w:r>
      <w:r w:rsidR="00755B7D">
        <w:t xml:space="preserve">attached revised </w:t>
      </w:r>
      <w:r w:rsidR="00EE6500">
        <w:t>Appendices A-</w:t>
      </w:r>
      <w:r w:rsidR="00DC1997">
        <w:t>W</w:t>
      </w:r>
      <w:r w:rsidR="00EE6500">
        <w:t xml:space="preserve"> documents.</w:t>
      </w:r>
    </w:p>
    <w:p w14:paraId="09303D87" w14:textId="3A84C893" w:rsidR="00FE0DA0" w:rsidRPr="00217A26" w:rsidRDefault="00FE0DA0" w:rsidP="00B66C13">
      <w:pPr>
        <w:widowControl w:val="0"/>
        <w:spacing w:before="120" w:after="60" w:line="240" w:lineRule="auto"/>
        <w:rPr>
          <w:b/>
          <w:sz w:val="20"/>
        </w:rPr>
      </w:pPr>
      <w:r w:rsidRPr="00217A26">
        <w:rPr>
          <w:b/>
          <w:sz w:val="20"/>
        </w:rPr>
        <w:t xml:space="preserve">Table 6. Proposed Edits to the MGLS:2017 </w:t>
      </w:r>
      <w:r w:rsidR="000C711F" w:rsidRPr="00217A26">
        <w:rPr>
          <w:b/>
          <w:sz w:val="20"/>
        </w:rPr>
        <w:t>Contacting Materials</w:t>
      </w:r>
    </w:p>
    <w:tbl>
      <w:tblPr>
        <w:tblStyle w:val="TableGrid"/>
        <w:tblW w:w="0" w:type="auto"/>
        <w:tblLook w:val="04A0" w:firstRow="1" w:lastRow="0" w:firstColumn="1" w:lastColumn="0" w:noHBand="0" w:noVBand="1"/>
      </w:tblPr>
      <w:tblGrid>
        <w:gridCol w:w="5311"/>
        <w:gridCol w:w="5307"/>
      </w:tblGrid>
      <w:tr w:rsidR="002A4521" w14:paraId="13173072" w14:textId="77777777" w:rsidTr="008E48E9">
        <w:trPr>
          <w:trHeight w:val="144"/>
          <w:tblHeader/>
        </w:trPr>
        <w:tc>
          <w:tcPr>
            <w:tcW w:w="5311" w:type="dxa"/>
            <w:shd w:val="clear" w:color="auto" w:fill="BFBFBF" w:themeFill="background1" w:themeFillShade="BF"/>
          </w:tcPr>
          <w:p w14:paraId="2C908D25" w14:textId="0175E432" w:rsidR="002A4521" w:rsidRPr="00217A26" w:rsidRDefault="002A4521" w:rsidP="00CA73CE">
            <w:pPr>
              <w:rPr>
                <w:b/>
                <w:sz w:val="20"/>
              </w:rPr>
            </w:pPr>
            <w:r w:rsidRPr="00217A26">
              <w:rPr>
                <w:b/>
                <w:sz w:val="20"/>
              </w:rPr>
              <w:t>Text Added</w:t>
            </w:r>
          </w:p>
        </w:tc>
        <w:tc>
          <w:tcPr>
            <w:tcW w:w="5307" w:type="dxa"/>
            <w:shd w:val="clear" w:color="auto" w:fill="BFBFBF" w:themeFill="background1" w:themeFillShade="BF"/>
          </w:tcPr>
          <w:p w14:paraId="408395D0" w14:textId="22C00EC8" w:rsidR="002A4521" w:rsidRPr="00217A26" w:rsidRDefault="002A4521" w:rsidP="00CA73CE">
            <w:pPr>
              <w:rPr>
                <w:b/>
                <w:sz w:val="20"/>
              </w:rPr>
            </w:pPr>
            <w:r w:rsidRPr="00217A26">
              <w:rPr>
                <w:b/>
                <w:sz w:val="20"/>
              </w:rPr>
              <w:t>Text Deleted</w:t>
            </w:r>
          </w:p>
        </w:tc>
      </w:tr>
      <w:tr w:rsidR="002A4521" w14:paraId="410D14AD" w14:textId="77777777" w:rsidTr="008E48E9">
        <w:trPr>
          <w:trHeight w:val="144"/>
        </w:trPr>
        <w:tc>
          <w:tcPr>
            <w:tcW w:w="5311" w:type="dxa"/>
            <w:shd w:val="clear" w:color="auto" w:fill="D9D9D9" w:themeFill="background1" w:themeFillShade="D9"/>
          </w:tcPr>
          <w:p w14:paraId="14E5FD57" w14:textId="31E8DA2F" w:rsidR="002A4521" w:rsidRPr="00217A26" w:rsidRDefault="002A4521" w:rsidP="00CA73CE">
            <w:pPr>
              <w:rPr>
                <w:b/>
                <w:sz w:val="20"/>
              </w:rPr>
            </w:pPr>
            <w:r w:rsidRPr="00217A26">
              <w:rPr>
                <w:rFonts w:ascii="Cambria" w:hAnsi="Cambria"/>
                <w:b/>
                <w:sz w:val="20"/>
              </w:rPr>
              <w:t>Main Study FAQs</w:t>
            </w:r>
          </w:p>
        </w:tc>
        <w:tc>
          <w:tcPr>
            <w:tcW w:w="5307" w:type="dxa"/>
            <w:shd w:val="clear" w:color="auto" w:fill="D9D9D9" w:themeFill="background1" w:themeFillShade="D9"/>
          </w:tcPr>
          <w:p w14:paraId="5634C241" w14:textId="2DCDC8F0" w:rsidR="002A4521" w:rsidRPr="00217A26" w:rsidRDefault="002A4521" w:rsidP="00CA73CE">
            <w:pPr>
              <w:rPr>
                <w:b/>
                <w:sz w:val="20"/>
              </w:rPr>
            </w:pPr>
          </w:p>
        </w:tc>
      </w:tr>
      <w:tr w:rsidR="009244E3" w14:paraId="51B829D7" w14:textId="77777777" w:rsidTr="008E48E9">
        <w:trPr>
          <w:trHeight w:val="144"/>
        </w:trPr>
        <w:tc>
          <w:tcPr>
            <w:tcW w:w="5311" w:type="dxa"/>
          </w:tcPr>
          <w:p w14:paraId="575E51B8" w14:textId="77777777" w:rsidR="009244E3" w:rsidRPr="00CA73CE" w:rsidRDefault="009244E3" w:rsidP="00F73057">
            <w:pPr>
              <w:rPr>
                <w:rFonts w:ascii="Cambria" w:hAnsi="Cambria" w:cs="Cambria"/>
                <w:b/>
                <w:bCs/>
                <w:sz w:val="20"/>
                <w:szCs w:val="20"/>
              </w:rPr>
            </w:pPr>
            <w:r w:rsidRPr="00CA73CE">
              <w:rPr>
                <w:rFonts w:ascii="Cambria" w:hAnsi="Cambria" w:cs="Cambria"/>
                <w:b/>
                <w:bCs/>
                <w:sz w:val="20"/>
                <w:szCs w:val="20"/>
              </w:rPr>
              <w:t>When is the study being conducted?</w:t>
            </w:r>
          </w:p>
          <w:p w14:paraId="5871D869" w14:textId="77777777" w:rsidR="009244E3" w:rsidRPr="00CA73CE" w:rsidRDefault="009244E3" w:rsidP="00F73057">
            <w:pPr>
              <w:rPr>
                <w:rFonts w:ascii="Cambria" w:hAnsi="Cambria" w:cs="Cambria"/>
                <w:sz w:val="20"/>
                <w:szCs w:val="20"/>
              </w:rPr>
            </w:pPr>
            <w:r w:rsidRPr="00CA73CE">
              <w:rPr>
                <w:rFonts w:ascii="Cambria" w:hAnsi="Cambria" w:cs="Cambria"/>
                <w:sz w:val="20"/>
                <w:szCs w:val="20"/>
              </w:rPr>
              <w:t>MGLS</w:t>
            </w:r>
            <w:proofErr w:type="gramStart"/>
            <w:r w:rsidRPr="00CA73CE">
              <w:rPr>
                <w:rFonts w:ascii="Cambria" w:hAnsi="Cambria" w:cs="Cambria"/>
                <w:sz w:val="20"/>
                <w:szCs w:val="20"/>
              </w:rPr>
              <w:t>:2017</w:t>
            </w:r>
            <w:proofErr w:type="gramEnd"/>
            <w:r w:rsidRPr="00CA73CE">
              <w:rPr>
                <w:rFonts w:ascii="Cambria" w:hAnsi="Cambria" w:cs="Cambria"/>
                <w:sz w:val="20"/>
                <w:szCs w:val="20"/>
              </w:rPr>
              <w:t xml:space="preserve"> will begin in early 2018 with students in sixth grade. Planned follow-ups with the same students will occur in the winter/spring of 2019 and the winter/spring of 2020.</w:t>
            </w:r>
          </w:p>
        </w:tc>
        <w:tc>
          <w:tcPr>
            <w:tcW w:w="5307" w:type="dxa"/>
          </w:tcPr>
          <w:p w14:paraId="22880DE9" w14:textId="77777777" w:rsidR="009244E3" w:rsidRPr="00CA73CE" w:rsidRDefault="009244E3" w:rsidP="00F73057">
            <w:pPr>
              <w:rPr>
                <w:rFonts w:ascii="Cambria" w:hAnsi="Cambria" w:cs="Cambria"/>
                <w:b/>
                <w:bCs/>
                <w:sz w:val="20"/>
                <w:szCs w:val="20"/>
              </w:rPr>
            </w:pPr>
            <w:r w:rsidRPr="00CA73CE">
              <w:rPr>
                <w:rFonts w:ascii="Cambria" w:hAnsi="Cambria" w:cs="Cambria"/>
                <w:b/>
                <w:bCs/>
                <w:sz w:val="20"/>
                <w:szCs w:val="20"/>
              </w:rPr>
              <w:t>When is the study being conducted?</w:t>
            </w:r>
          </w:p>
          <w:p w14:paraId="588A6E59" w14:textId="77777777" w:rsidR="009244E3" w:rsidRPr="00D15A38" w:rsidRDefault="009244E3" w:rsidP="00F73057">
            <w:pPr>
              <w:rPr>
                <w:rFonts w:ascii="Cambria" w:hAnsi="Cambria" w:cs="Cambria"/>
                <w:sz w:val="20"/>
                <w:szCs w:val="20"/>
              </w:rPr>
            </w:pPr>
            <w:r w:rsidRPr="00CA73CE">
              <w:rPr>
                <w:rFonts w:ascii="Cambria" w:hAnsi="Cambria" w:cs="Cambria"/>
                <w:sz w:val="20"/>
                <w:szCs w:val="20"/>
              </w:rPr>
              <w:t>MGLS</w:t>
            </w:r>
            <w:proofErr w:type="gramStart"/>
            <w:r w:rsidRPr="00CA73CE">
              <w:rPr>
                <w:rFonts w:ascii="Cambria" w:hAnsi="Cambria" w:cs="Cambria"/>
                <w:sz w:val="20"/>
                <w:szCs w:val="20"/>
              </w:rPr>
              <w:t>:2017</w:t>
            </w:r>
            <w:proofErr w:type="gramEnd"/>
            <w:r w:rsidRPr="00CA73CE">
              <w:rPr>
                <w:rFonts w:ascii="Cambria" w:hAnsi="Cambria" w:cs="Cambria"/>
                <w:sz w:val="20"/>
                <w:szCs w:val="20"/>
              </w:rPr>
              <w:t xml:space="preserve"> will begin in early 2018 with students in sixth grade. Planned follow-ups with the same students will occur in the spring of 2019 and 2020.</w:t>
            </w:r>
          </w:p>
        </w:tc>
      </w:tr>
      <w:tr w:rsidR="008E48E9" w14:paraId="112CF4C0" w14:textId="77777777" w:rsidTr="008E48E9">
        <w:trPr>
          <w:trHeight w:val="144"/>
        </w:trPr>
        <w:tc>
          <w:tcPr>
            <w:tcW w:w="5311" w:type="dxa"/>
          </w:tcPr>
          <w:p w14:paraId="7AC59D78" w14:textId="77777777" w:rsidR="008E48E9" w:rsidRPr="00CA73CE" w:rsidRDefault="008E48E9" w:rsidP="008E48E9">
            <w:pPr>
              <w:rPr>
                <w:rFonts w:ascii="Cambria" w:hAnsi="Cambria" w:cs="Cambria"/>
                <w:b/>
                <w:bCs/>
                <w:sz w:val="20"/>
                <w:szCs w:val="20"/>
              </w:rPr>
            </w:pPr>
            <w:r w:rsidRPr="00CA73CE">
              <w:rPr>
                <w:rFonts w:ascii="Cambria" w:hAnsi="Cambria" w:cs="Cambria"/>
                <w:b/>
                <w:bCs/>
                <w:sz w:val="20"/>
                <w:szCs w:val="20"/>
              </w:rPr>
              <w:t>Why is MGLS</w:t>
            </w:r>
            <w:proofErr w:type="gramStart"/>
            <w:r w:rsidRPr="00CA73CE">
              <w:rPr>
                <w:rFonts w:ascii="Cambria" w:hAnsi="Cambria" w:cs="Cambria"/>
                <w:b/>
                <w:bCs/>
                <w:sz w:val="20"/>
                <w:szCs w:val="20"/>
              </w:rPr>
              <w:t>:2017</w:t>
            </w:r>
            <w:proofErr w:type="gramEnd"/>
            <w:r w:rsidRPr="00CA73CE">
              <w:rPr>
                <w:rFonts w:ascii="Cambria" w:hAnsi="Cambria" w:cs="Cambria"/>
                <w:b/>
                <w:bCs/>
                <w:sz w:val="20"/>
                <w:szCs w:val="20"/>
              </w:rPr>
              <w:t xml:space="preserve"> important?</w:t>
            </w:r>
          </w:p>
          <w:p w14:paraId="0A3709F8" w14:textId="77777777" w:rsidR="008E48E9" w:rsidRDefault="008E48E9" w:rsidP="008E48E9">
            <w:pPr>
              <w:rPr>
                <w:rFonts w:ascii="Cambria" w:hAnsi="Cambria" w:cs="Cambria"/>
                <w:sz w:val="20"/>
                <w:szCs w:val="20"/>
              </w:rPr>
            </w:pPr>
            <w:r w:rsidRPr="00CA73CE">
              <w:rPr>
                <w:rFonts w:ascii="Cambria" w:hAnsi="Cambria" w:cs="Cambria"/>
                <w:sz w:val="20"/>
                <w:szCs w:val="20"/>
              </w:rPr>
              <w:t>MGLS</w:t>
            </w:r>
            <w:proofErr w:type="gramStart"/>
            <w:r w:rsidRPr="00CA73CE">
              <w:rPr>
                <w:rFonts w:ascii="Cambria" w:hAnsi="Cambria" w:cs="Cambria"/>
                <w:sz w:val="20"/>
                <w:szCs w:val="20"/>
              </w:rPr>
              <w:t>:2017</w:t>
            </w:r>
            <w:proofErr w:type="gramEnd"/>
            <w:r w:rsidRPr="00CA73CE">
              <w:rPr>
                <w:rFonts w:ascii="Cambria" w:hAnsi="Cambria" w:cs="Cambria"/>
                <w:sz w:val="20"/>
                <w:szCs w:val="20"/>
              </w:rPr>
              <w:t xml:space="preserve"> will help educators, researchers, and policymakers learn about </w:t>
            </w:r>
            <w:r>
              <w:rPr>
                <w:rFonts w:ascii="Cambria" w:hAnsi="Cambria" w:cs="Cambria"/>
                <w:sz w:val="20"/>
                <w:szCs w:val="20"/>
              </w:rPr>
              <w:t xml:space="preserve">student </w:t>
            </w:r>
            <w:r w:rsidRPr="00CA73CE">
              <w:rPr>
                <w:rFonts w:ascii="Cambria" w:hAnsi="Cambria" w:cs="Cambria"/>
                <w:sz w:val="20"/>
                <w:szCs w:val="20"/>
              </w:rPr>
              <w:t>growth in math and reading as well as family and school factors that encourage success during the middle grade years. The data collected will provide a rich, descriptive picture of the experiences and lives of young adolescents during this critical time and will permit researchers to examine associations between contextual factors and student outcomes. Because mathematics and literacy skills are important for preparing students for high school and are linked with later education and career opportunities, the study is placing a focus on instruction and student growth in these areas.</w:t>
            </w:r>
          </w:p>
          <w:p w14:paraId="7C862EDB" w14:textId="77777777" w:rsidR="008E48E9" w:rsidRPr="00755B7D" w:rsidRDefault="008E48E9" w:rsidP="008E48E9">
            <w:pPr>
              <w:rPr>
                <w:rFonts w:ascii="Cambria" w:hAnsi="Cambria" w:cs="Cambria"/>
                <w:sz w:val="20"/>
                <w:szCs w:val="20"/>
              </w:rPr>
            </w:pPr>
          </w:p>
          <w:p w14:paraId="42C07780" w14:textId="77777777" w:rsidR="008E48E9" w:rsidRPr="00CA73CE" w:rsidRDefault="008E48E9" w:rsidP="008E48E9">
            <w:pPr>
              <w:rPr>
                <w:rFonts w:ascii="Cambria" w:hAnsi="Cambria" w:cs="Cambria"/>
                <w:b/>
                <w:bCs/>
                <w:sz w:val="20"/>
                <w:szCs w:val="20"/>
              </w:rPr>
            </w:pPr>
            <w:r w:rsidRPr="00CA73CE">
              <w:rPr>
                <w:rFonts w:ascii="Cambria" w:hAnsi="Cambria" w:cs="Cambria"/>
                <w:b/>
                <w:bCs/>
                <w:sz w:val="20"/>
                <w:szCs w:val="20"/>
              </w:rPr>
              <w:t>Why participate in MGLS</w:t>
            </w:r>
            <w:proofErr w:type="gramStart"/>
            <w:r w:rsidRPr="00CA73CE">
              <w:rPr>
                <w:rFonts w:ascii="Cambria" w:hAnsi="Cambria" w:cs="Cambria"/>
                <w:b/>
                <w:bCs/>
                <w:sz w:val="20"/>
                <w:szCs w:val="20"/>
              </w:rPr>
              <w:t>:2017</w:t>
            </w:r>
            <w:proofErr w:type="gramEnd"/>
            <w:r w:rsidRPr="00CA73CE">
              <w:rPr>
                <w:rFonts w:ascii="Cambria" w:hAnsi="Cambria" w:cs="Cambria"/>
                <w:b/>
                <w:bCs/>
                <w:sz w:val="20"/>
                <w:szCs w:val="20"/>
              </w:rPr>
              <w:t>?</w:t>
            </w:r>
          </w:p>
          <w:p w14:paraId="1E3E603B" w14:textId="6CB55193" w:rsidR="008E48E9" w:rsidRPr="00CA73CE" w:rsidRDefault="008E48E9" w:rsidP="008E48E9">
            <w:pPr>
              <w:rPr>
                <w:rFonts w:ascii="Cambria" w:hAnsi="Cambria" w:cs="Cambria"/>
                <w:b/>
                <w:bCs/>
                <w:sz w:val="20"/>
                <w:szCs w:val="20"/>
              </w:rPr>
            </w:pPr>
            <w:r w:rsidRPr="00CA73CE">
              <w:rPr>
                <w:rFonts w:ascii="Cambria" w:hAnsi="Cambria" w:cs="Cambria"/>
                <w:sz w:val="20"/>
                <w:szCs w:val="20"/>
              </w:rPr>
              <w:t xml:space="preserve">Over the past two decades, education policy has become more data driven with </w:t>
            </w:r>
            <w:proofErr w:type="gramStart"/>
            <w:r w:rsidRPr="00CA73CE">
              <w:rPr>
                <w:rFonts w:ascii="Cambria" w:hAnsi="Cambria" w:cs="Cambria"/>
                <w:sz w:val="20"/>
                <w:szCs w:val="20"/>
              </w:rPr>
              <w:t>a recognition</w:t>
            </w:r>
            <w:proofErr w:type="gramEnd"/>
            <w:r w:rsidRPr="00CA73CE">
              <w:rPr>
                <w:rFonts w:ascii="Cambria" w:hAnsi="Cambria" w:cs="Cambria"/>
                <w:sz w:val="20"/>
                <w:szCs w:val="20"/>
              </w:rPr>
              <w:t xml:space="preserve"> of the importance of reliable and systematically collected information at the federal, state, and local levels. MGLS</w:t>
            </w:r>
            <w:proofErr w:type="gramStart"/>
            <w:r w:rsidRPr="00CA73CE">
              <w:rPr>
                <w:rFonts w:ascii="Cambria" w:hAnsi="Cambria" w:cs="Cambria"/>
                <w:sz w:val="20"/>
                <w:szCs w:val="20"/>
              </w:rPr>
              <w:t>:2017</w:t>
            </w:r>
            <w:proofErr w:type="gramEnd"/>
            <w:r w:rsidRPr="00CA73CE">
              <w:rPr>
                <w:rFonts w:ascii="Cambria" w:hAnsi="Cambria" w:cs="Cambria"/>
                <w:sz w:val="20"/>
                <w:szCs w:val="20"/>
              </w:rPr>
              <w:t xml:space="preserve"> will provide, for the first time, national data for a longitudinal cohort that can be used to examine various aspects and components of </w:t>
            </w:r>
            <w:r w:rsidRPr="00CA73CE">
              <w:rPr>
                <w:rFonts w:ascii="Cambria" w:hAnsi="Cambria" w:cs="Cambria"/>
                <w:sz w:val="20"/>
                <w:szCs w:val="20"/>
              </w:rPr>
              <w:lastRenderedPageBreak/>
              <w:t>middle grades education, as well as evidence about the effectiveness of middle grades programs and practices.</w:t>
            </w:r>
          </w:p>
        </w:tc>
        <w:tc>
          <w:tcPr>
            <w:tcW w:w="5307" w:type="dxa"/>
          </w:tcPr>
          <w:p w14:paraId="7795546D" w14:textId="77777777" w:rsidR="008E48E9" w:rsidRPr="00CA73CE" w:rsidRDefault="008E48E9" w:rsidP="008E48E9">
            <w:pPr>
              <w:rPr>
                <w:rFonts w:ascii="Cambria" w:hAnsi="Cambria" w:cs="Cambria"/>
                <w:b/>
                <w:bCs/>
                <w:sz w:val="20"/>
                <w:szCs w:val="20"/>
              </w:rPr>
            </w:pPr>
            <w:r w:rsidRPr="00CA73CE">
              <w:rPr>
                <w:rFonts w:ascii="Cambria" w:hAnsi="Cambria" w:cs="Cambria"/>
                <w:b/>
                <w:bCs/>
                <w:sz w:val="20"/>
                <w:szCs w:val="20"/>
              </w:rPr>
              <w:lastRenderedPageBreak/>
              <w:t>Why participate in MGLS</w:t>
            </w:r>
            <w:proofErr w:type="gramStart"/>
            <w:r w:rsidRPr="00CA73CE">
              <w:rPr>
                <w:rFonts w:ascii="Cambria" w:hAnsi="Cambria" w:cs="Cambria"/>
                <w:b/>
                <w:bCs/>
                <w:sz w:val="20"/>
                <w:szCs w:val="20"/>
              </w:rPr>
              <w:t>:2017</w:t>
            </w:r>
            <w:proofErr w:type="gramEnd"/>
            <w:r w:rsidRPr="00CA73CE">
              <w:rPr>
                <w:rFonts w:ascii="Cambria" w:hAnsi="Cambria" w:cs="Cambria"/>
                <w:b/>
                <w:bCs/>
                <w:sz w:val="20"/>
                <w:szCs w:val="20"/>
              </w:rPr>
              <w:t>?</w:t>
            </w:r>
          </w:p>
          <w:p w14:paraId="59FE7074" w14:textId="36D4D5D4" w:rsidR="008E48E9" w:rsidRPr="00CA73CE" w:rsidRDefault="008E48E9" w:rsidP="008E48E9">
            <w:pPr>
              <w:rPr>
                <w:rFonts w:ascii="Cambria" w:hAnsi="Cambria" w:cs="Cambria"/>
                <w:b/>
                <w:bCs/>
                <w:sz w:val="20"/>
                <w:szCs w:val="20"/>
              </w:rPr>
            </w:pPr>
            <w:r w:rsidRPr="003C43D7">
              <w:rPr>
                <w:rFonts w:ascii="Cambria" w:hAnsi="Cambria" w:cs="Cambria"/>
                <w:sz w:val="20"/>
                <w:szCs w:val="20"/>
              </w:rPr>
              <w:t>MGLS</w:t>
            </w:r>
            <w:proofErr w:type="gramStart"/>
            <w:r w:rsidRPr="003C43D7">
              <w:rPr>
                <w:rFonts w:ascii="Cambria" w:hAnsi="Cambria" w:cs="Cambria"/>
                <w:sz w:val="20"/>
                <w:szCs w:val="20"/>
              </w:rPr>
              <w:t>:2017</w:t>
            </w:r>
            <w:proofErr w:type="gramEnd"/>
            <w:r w:rsidRPr="003C43D7">
              <w:rPr>
                <w:rFonts w:ascii="Cambria" w:hAnsi="Cambria" w:cs="Cambria"/>
                <w:sz w:val="20"/>
                <w:szCs w:val="20"/>
              </w:rPr>
              <w:t xml:space="preserve"> will help educators, researchers, and policymakers learn about growth in math and reading as well as family and school factors that encourage success during the important, yet generally understudied, middle grade years</w:t>
            </w:r>
            <w:r>
              <w:rPr>
                <w:rFonts w:ascii="Cambria" w:hAnsi="Cambria" w:cs="Cambria"/>
                <w:sz w:val="20"/>
                <w:szCs w:val="20"/>
              </w:rPr>
              <w:t>.</w:t>
            </w:r>
          </w:p>
        </w:tc>
      </w:tr>
      <w:tr w:rsidR="008E48E9" w14:paraId="317EAB96" w14:textId="77777777" w:rsidTr="008E48E9">
        <w:trPr>
          <w:trHeight w:val="144"/>
        </w:trPr>
        <w:tc>
          <w:tcPr>
            <w:tcW w:w="5311" w:type="dxa"/>
          </w:tcPr>
          <w:p w14:paraId="07A293E6" w14:textId="77777777" w:rsidR="008E48E9" w:rsidRPr="00CA73CE" w:rsidRDefault="008E48E9" w:rsidP="00CA73CE">
            <w:pPr>
              <w:rPr>
                <w:rFonts w:ascii="Cambria" w:hAnsi="Cambria" w:cs="Cambria"/>
                <w:b/>
                <w:bCs/>
                <w:sz w:val="20"/>
                <w:szCs w:val="20"/>
              </w:rPr>
            </w:pPr>
            <w:r w:rsidRPr="00CA73CE">
              <w:rPr>
                <w:rFonts w:ascii="Cambria" w:hAnsi="Cambria" w:cs="Cambria"/>
                <w:b/>
                <w:bCs/>
                <w:sz w:val="20"/>
                <w:szCs w:val="20"/>
              </w:rPr>
              <w:lastRenderedPageBreak/>
              <w:t>How will my school benefit from participating in MGLS</w:t>
            </w:r>
            <w:proofErr w:type="gramStart"/>
            <w:r w:rsidRPr="00CA73CE">
              <w:rPr>
                <w:rFonts w:ascii="Cambria" w:hAnsi="Cambria" w:cs="Cambria"/>
                <w:b/>
                <w:bCs/>
                <w:sz w:val="20"/>
                <w:szCs w:val="20"/>
              </w:rPr>
              <w:t>:2017</w:t>
            </w:r>
            <w:proofErr w:type="gramEnd"/>
            <w:r w:rsidRPr="00CA73CE">
              <w:rPr>
                <w:rFonts w:ascii="Cambria" w:hAnsi="Cambria" w:cs="Cambria"/>
                <w:b/>
                <w:bCs/>
                <w:sz w:val="20"/>
                <w:szCs w:val="20"/>
              </w:rPr>
              <w:t>?</w:t>
            </w:r>
          </w:p>
          <w:p w14:paraId="2DDEFB41" w14:textId="0310A418" w:rsidR="008E48E9" w:rsidRPr="00755B7D" w:rsidRDefault="008E48E9" w:rsidP="00CA73CE">
            <w:pPr>
              <w:rPr>
                <w:rFonts w:ascii="Cambria" w:hAnsi="Cambria" w:cs="Cambria"/>
                <w:sz w:val="20"/>
                <w:szCs w:val="20"/>
              </w:rPr>
            </w:pPr>
            <w:r w:rsidRPr="00CA73CE">
              <w:rPr>
                <w:rFonts w:ascii="Cambria" w:hAnsi="Cambria" w:cs="Cambria"/>
                <w:sz w:val="20"/>
                <w:szCs w:val="20"/>
              </w:rPr>
              <w:t>The value to you of participating in MGLS</w:t>
            </w:r>
            <w:proofErr w:type="gramStart"/>
            <w:r w:rsidRPr="00CA73CE">
              <w:rPr>
                <w:rFonts w:ascii="Cambria" w:hAnsi="Cambria" w:cs="Cambria"/>
                <w:sz w:val="20"/>
                <w:szCs w:val="20"/>
              </w:rPr>
              <w:t>:2017</w:t>
            </w:r>
            <w:proofErr w:type="gramEnd"/>
            <w:r w:rsidRPr="00CA73CE">
              <w:rPr>
                <w:rFonts w:ascii="Cambria" w:hAnsi="Cambria" w:cs="Cambria"/>
                <w:sz w:val="20"/>
                <w:szCs w:val="20"/>
              </w:rPr>
              <w:t xml:space="preserve"> includes extrinsic benefits, such as monetary incentives, but the true value is an intrinsic one. It is your opportunity as a dedicated supporter and advocate of the middle grades to positively contribute to the success of middle grades education for our current and future principals, teachers, students, and parents. The benefits of participation in MGLS:2017 include: </w:t>
            </w:r>
            <w:r w:rsidRPr="00CA73CE">
              <w:rPr>
                <w:rFonts w:ascii="Cambria" w:hAnsi="Cambria" w:cs="Cambria"/>
                <w:b/>
                <w:sz w:val="20"/>
                <w:szCs w:val="20"/>
              </w:rPr>
              <w:t>Excitement</w:t>
            </w:r>
            <w:r w:rsidRPr="00CA73CE">
              <w:rPr>
                <w:rFonts w:ascii="Cambria" w:hAnsi="Cambria" w:cs="Cambria"/>
                <w:sz w:val="20"/>
                <w:szCs w:val="20"/>
              </w:rPr>
              <w:t xml:space="preserve">—the feeling of being part of the first national longitudinal study of the middle grades by the U.S. Department of Education; </w:t>
            </w:r>
            <w:r w:rsidRPr="00CA73CE">
              <w:rPr>
                <w:rFonts w:ascii="Cambria" w:hAnsi="Cambria" w:cs="Cambria"/>
                <w:b/>
                <w:sz w:val="20"/>
                <w:szCs w:val="20"/>
              </w:rPr>
              <w:t>Contribution</w:t>
            </w:r>
            <w:r w:rsidRPr="00CA73CE">
              <w:rPr>
                <w:rFonts w:ascii="Cambria" w:hAnsi="Cambria" w:cs="Cambria"/>
                <w:sz w:val="20"/>
                <w:szCs w:val="20"/>
              </w:rPr>
              <w:t xml:space="preserve">—you can take pride in knowing that you are making a positive contribution to the field of middle grades education; and </w:t>
            </w:r>
            <w:r w:rsidRPr="00CA73CE">
              <w:rPr>
                <w:rFonts w:ascii="Cambria" w:hAnsi="Cambria" w:cs="Cambria"/>
                <w:b/>
                <w:sz w:val="20"/>
                <w:szCs w:val="20"/>
              </w:rPr>
              <w:t>Understanding</w:t>
            </w:r>
            <w:r w:rsidRPr="00CA73CE">
              <w:rPr>
                <w:rFonts w:ascii="Cambria" w:hAnsi="Cambria" w:cs="Cambria"/>
                <w:sz w:val="20"/>
                <w:szCs w:val="20"/>
              </w:rPr>
              <w:t>— if enough of your school’s students participate in the study, your school will receive a report showing how your students compare with students attending schools nationwide, as well as comparisons between your students and those at schools similar to yours on selected dimensions, such as public/private.</w:t>
            </w:r>
          </w:p>
        </w:tc>
        <w:tc>
          <w:tcPr>
            <w:tcW w:w="5307" w:type="dxa"/>
          </w:tcPr>
          <w:p w14:paraId="5E59AE40" w14:textId="455561CA" w:rsidR="008E48E9" w:rsidRPr="00CA73CE" w:rsidRDefault="008E48E9" w:rsidP="00CA73CE">
            <w:pPr>
              <w:rPr>
                <w:sz w:val="20"/>
                <w:szCs w:val="20"/>
              </w:rPr>
            </w:pPr>
            <w:r>
              <w:rPr>
                <w:sz w:val="20"/>
                <w:szCs w:val="20"/>
              </w:rPr>
              <w:t>NA</w:t>
            </w:r>
          </w:p>
        </w:tc>
      </w:tr>
      <w:tr w:rsidR="002A4521" w:rsidRPr="00286CA3" w14:paraId="756BB847" w14:textId="77777777" w:rsidTr="008E48E9">
        <w:trPr>
          <w:trHeight w:val="144"/>
        </w:trPr>
        <w:tc>
          <w:tcPr>
            <w:tcW w:w="5311" w:type="dxa"/>
            <w:shd w:val="clear" w:color="auto" w:fill="D9D9D9" w:themeFill="background1" w:themeFillShade="D9"/>
          </w:tcPr>
          <w:p w14:paraId="604E85EC" w14:textId="3E946761" w:rsidR="002A4521" w:rsidRPr="00217A26" w:rsidRDefault="002A4521" w:rsidP="00CA73CE">
            <w:pPr>
              <w:rPr>
                <w:b/>
                <w:sz w:val="20"/>
              </w:rPr>
            </w:pPr>
            <w:r w:rsidRPr="00217A26">
              <w:rPr>
                <w:rFonts w:ascii="Cambria" w:hAnsi="Cambria"/>
                <w:b/>
                <w:sz w:val="20"/>
              </w:rPr>
              <w:t>Recruitment Website</w:t>
            </w:r>
          </w:p>
        </w:tc>
        <w:tc>
          <w:tcPr>
            <w:tcW w:w="5307" w:type="dxa"/>
            <w:shd w:val="clear" w:color="auto" w:fill="D9D9D9" w:themeFill="background1" w:themeFillShade="D9"/>
          </w:tcPr>
          <w:p w14:paraId="3F748DAB" w14:textId="77777777" w:rsidR="002A4521" w:rsidRPr="00217A26" w:rsidRDefault="002A4521" w:rsidP="00CA73CE">
            <w:pPr>
              <w:rPr>
                <w:b/>
                <w:sz w:val="20"/>
              </w:rPr>
            </w:pPr>
          </w:p>
        </w:tc>
      </w:tr>
      <w:tr w:rsidR="002A4521" w:rsidRPr="00286CA3" w14:paraId="3573F09B" w14:textId="77777777" w:rsidTr="008E48E9">
        <w:trPr>
          <w:trHeight w:val="144"/>
        </w:trPr>
        <w:tc>
          <w:tcPr>
            <w:tcW w:w="5311" w:type="dxa"/>
          </w:tcPr>
          <w:p w14:paraId="5F21E6D1" w14:textId="5496532A" w:rsidR="000C711F" w:rsidRPr="00CA73CE" w:rsidRDefault="000C711F" w:rsidP="00CA73CE">
            <w:pPr>
              <w:rPr>
                <w:b/>
                <w:bCs/>
                <w:sz w:val="20"/>
                <w:szCs w:val="20"/>
              </w:rPr>
            </w:pPr>
            <w:r w:rsidRPr="00CA73CE">
              <w:rPr>
                <w:rFonts w:ascii="Cambria" w:hAnsi="Cambria" w:cs="Cambria"/>
                <w:b/>
                <w:bCs/>
                <w:sz w:val="20"/>
                <w:szCs w:val="20"/>
              </w:rPr>
              <w:t>Confidentiality:</w:t>
            </w:r>
          </w:p>
          <w:p w14:paraId="7B283EAB" w14:textId="20BCA693" w:rsidR="000C711F" w:rsidRPr="00CA73CE" w:rsidRDefault="000C711F" w:rsidP="00CA73CE">
            <w:pPr>
              <w:rPr>
                <w:rFonts w:ascii="Cambria" w:hAnsi="Cambria"/>
                <w:sz w:val="20"/>
                <w:szCs w:val="20"/>
              </w:rPr>
            </w:pPr>
            <w:r w:rsidRPr="00CA73CE">
              <w:rPr>
                <w:rFonts w:ascii="Cambria" w:hAnsi="Cambria"/>
                <w:sz w:val="20"/>
                <w:szCs w:val="20"/>
              </w:rPr>
              <w:t xml:space="preserve">The Middle Grades Longitudinal Study of 2017-18 (MGLS:2017) is conducted by the National Center for Education Statistics (NCES). Under contract with NCES, </w:t>
            </w:r>
            <w:r w:rsidR="00E31F06" w:rsidRPr="00E31F06">
              <w:rPr>
                <w:rFonts w:ascii="Cambria" w:hAnsi="Cambria"/>
                <w:sz w:val="20"/>
                <w:szCs w:val="20"/>
              </w:rPr>
              <w:t xml:space="preserve">RTI International, </w:t>
            </w:r>
            <w:r w:rsidR="005E6D15" w:rsidRPr="005E6D15">
              <w:rPr>
                <w:rFonts w:ascii="Cambria" w:hAnsi="Cambria"/>
                <w:sz w:val="20"/>
                <w:szCs w:val="20"/>
              </w:rPr>
              <w:t>a U.S.-based nonprofit research organization</w:t>
            </w:r>
            <w:r w:rsidRPr="00CA73CE">
              <w:rPr>
                <w:rFonts w:ascii="Cambria" w:hAnsi="Cambria"/>
                <w:sz w:val="20"/>
                <w:szCs w:val="20"/>
              </w:rPr>
              <w:t>, administers MGLS:2017 on behalf of NCES. NCES is authorized to conduct MGLS:2017 by the Education Sciences Reform Act of 2002 (ESRA</w:t>
            </w:r>
            <w:r w:rsidR="00E31F06">
              <w:rPr>
                <w:rFonts w:ascii="Cambria" w:hAnsi="Cambria"/>
                <w:sz w:val="20"/>
                <w:szCs w:val="20"/>
              </w:rPr>
              <w:t xml:space="preserve"> 2002</w:t>
            </w:r>
            <w:r w:rsidRPr="00CA73CE">
              <w:rPr>
                <w:rFonts w:ascii="Cambria" w:hAnsi="Cambria"/>
                <w:sz w:val="20"/>
                <w:szCs w:val="20"/>
              </w:rPr>
              <w:t xml:space="preserve">, 20 U.S.C. §9543) and to collect students’ education records from education agencies </w:t>
            </w:r>
            <w:r w:rsidR="00E31F06">
              <w:rPr>
                <w:rFonts w:ascii="Cambria" w:hAnsi="Cambria"/>
                <w:sz w:val="20"/>
                <w:szCs w:val="20"/>
              </w:rPr>
              <w:t>and</w:t>
            </w:r>
            <w:r w:rsidRPr="00CA73CE">
              <w:rPr>
                <w:rFonts w:ascii="Cambria" w:hAnsi="Cambria"/>
                <w:sz w:val="20"/>
                <w:szCs w:val="20"/>
              </w:rPr>
              <w:t xml:space="preserve"> institutions for the purposes of evaluating federally supported education programs under the Family Educational Rights an</w:t>
            </w:r>
            <w:r w:rsidR="00217A26">
              <w:rPr>
                <w:rFonts w:ascii="Cambria" w:hAnsi="Cambria"/>
                <w:sz w:val="20"/>
                <w:szCs w:val="20"/>
              </w:rPr>
              <w:t>d Privacy Act (FERPA, 34 CFR §§</w:t>
            </w:r>
            <w:r w:rsidR="00D15A38">
              <w:rPr>
                <w:rFonts w:ascii="Cambria" w:hAnsi="Cambria"/>
                <w:sz w:val="20"/>
                <w:szCs w:val="20"/>
              </w:rPr>
              <w:t xml:space="preserve"> </w:t>
            </w:r>
            <w:r w:rsidRPr="00CA73CE">
              <w:rPr>
                <w:rFonts w:ascii="Cambria" w:hAnsi="Cambria"/>
                <w:sz w:val="20"/>
                <w:szCs w:val="20"/>
              </w:rPr>
              <w:t xml:space="preserve">99.31(a)(3) and 99.35). </w:t>
            </w:r>
            <w:r w:rsidR="00E31F06" w:rsidRPr="00E31F06">
              <w:rPr>
                <w:rFonts w:ascii="Cambria" w:hAnsi="Cambria"/>
                <w:sz w:val="20"/>
                <w:szCs w:val="20"/>
              </w:rPr>
              <w:t>All of the information you provide may be used only for statistical purposes and may not be disclosed, or used, in identifiable form for any other purpose except as required by law (20 U.S.C. §9573 and 6 U.S.C. §151</w:t>
            </w:r>
            <w:r w:rsidRPr="00CA73CE">
              <w:rPr>
                <w:rFonts w:ascii="Cambria" w:hAnsi="Cambria"/>
                <w:sz w:val="20"/>
                <w:szCs w:val="20"/>
              </w:rPr>
              <w:t>).</w:t>
            </w:r>
          </w:p>
          <w:p w14:paraId="5D123D8D" w14:textId="5CD5AD31" w:rsidR="000C711F" w:rsidRPr="00CA73CE" w:rsidRDefault="000C711F" w:rsidP="00CA73CE">
            <w:pPr>
              <w:rPr>
                <w:rFonts w:ascii="Cambria" w:hAnsi="Cambria"/>
                <w:sz w:val="20"/>
                <w:szCs w:val="20"/>
              </w:rPr>
            </w:pPr>
            <w:r w:rsidRPr="00CA73CE">
              <w:rPr>
                <w:rFonts w:ascii="Cambria" w:hAnsi="Cambria"/>
                <w:sz w:val="20"/>
                <w:szCs w:val="20"/>
              </w:rPr>
              <w:t>All project staff have signed confidentiality agreements and affidavits of nondisclosure and are prohibited by law from using the obtained information for any purposes other than this research study.</w:t>
            </w:r>
          </w:p>
          <w:p w14:paraId="1FD03C44" w14:textId="77777777" w:rsidR="000C711F" w:rsidRPr="00CA73CE" w:rsidRDefault="000C711F" w:rsidP="00CA73CE">
            <w:pPr>
              <w:rPr>
                <w:rFonts w:ascii="Cambria" w:hAnsi="Cambria"/>
                <w:sz w:val="20"/>
                <w:szCs w:val="20"/>
              </w:rPr>
            </w:pPr>
            <w:r w:rsidRPr="00CA73CE">
              <w:rPr>
                <w:rFonts w:ascii="Cambria" w:hAnsi="Cambria"/>
                <w:sz w:val="20"/>
                <w:szCs w:val="20"/>
              </w:rPr>
              <w:t xml:space="preserve">You may review the </w:t>
            </w:r>
            <w:hyperlink r:id="rId9" w:history="1">
              <w:r w:rsidRPr="00CA73CE">
                <w:rPr>
                  <w:sz w:val="20"/>
                  <w:szCs w:val="20"/>
                  <w:u w:val="single"/>
                </w:rPr>
                <w:t>Confidentiality Agreements and Affidavit of Nondisclosure statements (pdf, 81KB)</w:t>
              </w:r>
            </w:hyperlink>
            <w:r w:rsidRPr="00CA73CE">
              <w:rPr>
                <w:rFonts w:ascii="Cambria" w:hAnsi="Cambria"/>
                <w:sz w:val="20"/>
                <w:szCs w:val="20"/>
              </w:rPr>
              <w:t xml:space="preserve"> that are signed by project staff.</w:t>
            </w:r>
          </w:p>
          <w:p w14:paraId="12A4C1B7" w14:textId="014DEBA5" w:rsidR="000C711F" w:rsidRPr="00CA73CE" w:rsidRDefault="000C711F" w:rsidP="00CA73CE">
            <w:pPr>
              <w:rPr>
                <w:rFonts w:ascii="Cambria" w:hAnsi="Cambria"/>
                <w:sz w:val="20"/>
                <w:szCs w:val="20"/>
              </w:rPr>
            </w:pPr>
            <w:r w:rsidRPr="00CA73CE">
              <w:rPr>
                <w:rFonts w:ascii="Cambria" w:hAnsi="Cambria"/>
                <w:sz w:val="20"/>
                <w:szCs w:val="20"/>
              </w:rPr>
              <w:t xml:space="preserve">A nondisclosure form is also required before informing districts which schools are selected for the study. We take the confidentiality of participating schools seriously and limit disclosure </w:t>
            </w:r>
            <w:r w:rsidR="00E31F06">
              <w:rPr>
                <w:rFonts w:ascii="Cambria" w:hAnsi="Cambria"/>
                <w:sz w:val="20"/>
                <w:szCs w:val="20"/>
              </w:rPr>
              <w:t xml:space="preserve">only </w:t>
            </w:r>
            <w:r w:rsidRPr="00CA73CE">
              <w:rPr>
                <w:rFonts w:ascii="Cambria" w:hAnsi="Cambria"/>
                <w:sz w:val="20"/>
                <w:szCs w:val="20"/>
              </w:rPr>
              <w:t xml:space="preserve">to those who need to know to make informed decisions about school and student participation in the study. A copy of the nondisclosure agreement may be accessed </w:t>
            </w:r>
            <w:r w:rsidRPr="00CA73CE">
              <w:rPr>
                <w:rFonts w:ascii="Cambria" w:hAnsi="Cambria"/>
                <w:sz w:val="20"/>
                <w:szCs w:val="20"/>
                <w:u w:val="single"/>
              </w:rPr>
              <w:t>here</w:t>
            </w:r>
            <w:r w:rsidRPr="00CA73CE">
              <w:rPr>
                <w:rFonts w:ascii="Cambria" w:hAnsi="Cambria"/>
                <w:sz w:val="20"/>
                <w:szCs w:val="20"/>
              </w:rPr>
              <w:t>.</w:t>
            </w:r>
          </w:p>
          <w:p w14:paraId="7EF07C75" w14:textId="576AC7ED" w:rsidR="002A4521" w:rsidRPr="00CA73CE" w:rsidRDefault="000C711F" w:rsidP="00CA73CE">
            <w:pPr>
              <w:rPr>
                <w:rFonts w:ascii="Cambria" w:hAnsi="Cambria"/>
                <w:sz w:val="20"/>
                <w:szCs w:val="20"/>
              </w:rPr>
            </w:pPr>
            <w:r w:rsidRPr="00CA73CE">
              <w:rPr>
                <w:rFonts w:ascii="Cambria" w:hAnsi="Cambria"/>
                <w:sz w:val="20"/>
                <w:szCs w:val="20"/>
              </w:rPr>
              <w:t xml:space="preserve">You may also review the </w:t>
            </w:r>
            <w:hyperlink r:id="rId10" w:tgtFrame="_blank" w:history="1">
              <w:r w:rsidRPr="00CA73CE">
                <w:rPr>
                  <w:sz w:val="20"/>
                  <w:szCs w:val="20"/>
                  <w:u w:val="single"/>
                </w:rPr>
                <w:t>procedures that govern NCES</w:t>
              </w:r>
            </w:hyperlink>
            <w:r w:rsidRPr="00CA73CE">
              <w:rPr>
                <w:rFonts w:ascii="Cambria" w:hAnsi="Cambria"/>
                <w:sz w:val="20"/>
                <w:szCs w:val="20"/>
                <w:u w:val="single"/>
              </w:rPr>
              <w:t xml:space="preserve"> and RTI International</w:t>
            </w:r>
            <w:r w:rsidRPr="00CA73CE">
              <w:rPr>
                <w:rFonts w:ascii="Cambria" w:hAnsi="Cambria"/>
                <w:sz w:val="20"/>
                <w:szCs w:val="20"/>
              </w:rPr>
              <w:t xml:space="preserve"> to protect identifiable information.</w:t>
            </w:r>
          </w:p>
        </w:tc>
        <w:tc>
          <w:tcPr>
            <w:tcW w:w="5307" w:type="dxa"/>
          </w:tcPr>
          <w:p w14:paraId="687009D4" w14:textId="77777777" w:rsidR="000C711F" w:rsidRPr="000174F0" w:rsidRDefault="000C711F" w:rsidP="00CA73CE">
            <w:pPr>
              <w:rPr>
                <w:rFonts w:ascii="Cambria" w:hAnsi="Cambria"/>
                <w:b/>
                <w:sz w:val="20"/>
                <w:szCs w:val="20"/>
              </w:rPr>
            </w:pPr>
            <w:r w:rsidRPr="000174F0">
              <w:rPr>
                <w:rFonts w:ascii="Cambria" w:hAnsi="Cambria"/>
                <w:b/>
                <w:sz w:val="20"/>
                <w:szCs w:val="20"/>
              </w:rPr>
              <w:t>Confidentiality:</w:t>
            </w:r>
          </w:p>
          <w:p w14:paraId="7562AC82" w14:textId="77777777" w:rsidR="00C11704" w:rsidRPr="000174F0" w:rsidRDefault="00C11704" w:rsidP="00D15A38">
            <w:pPr>
              <w:spacing w:after="120"/>
              <w:rPr>
                <w:rFonts w:ascii="Cambria" w:hAnsi="Cambria"/>
                <w:sz w:val="20"/>
                <w:szCs w:val="20"/>
              </w:rPr>
            </w:pPr>
            <w:r w:rsidRPr="000174F0">
              <w:rPr>
                <w:rFonts w:ascii="Cambria" w:hAnsi="Cambria"/>
                <w:sz w:val="20"/>
                <w:szCs w:val="20"/>
              </w:rPr>
              <w:t>MGLS:2017 data are being collected for NCES by RTI International, a U.S.-based nonprofit research organization. The collected data may be used only for statistical purposes and may not be disclosed or used, in identifiable form, for any other purpose except as required by law (ESRA 2002, 20 U.S.C., § 9573). The collected information will be combined across respondents to produce statistical reports. Students, parents, and schools are never identified in any reports.</w:t>
            </w:r>
          </w:p>
          <w:p w14:paraId="2030C23E" w14:textId="77777777" w:rsidR="00C11704" w:rsidRPr="000174F0" w:rsidRDefault="00C11704" w:rsidP="00C11704">
            <w:pPr>
              <w:shd w:val="clear" w:color="auto" w:fill="FFFFFF"/>
              <w:spacing w:after="120"/>
              <w:rPr>
                <w:rFonts w:ascii="Cambria" w:hAnsi="Cambria"/>
                <w:sz w:val="20"/>
                <w:szCs w:val="20"/>
              </w:rPr>
            </w:pPr>
            <w:r w:rsidRPr="000174F0">
              <w:rPr>
                <w:rFonts w:ascii="Cambria" w:hAnsi="Cambria"/>
                <w:sz w:val="20"/>
                <w:szCs w:val="20"/>
              </w:rPr>
              <w:t xml:space="preserve">All RTI project staff </w:t>
            </w:r>
            <w:proofErr w:type="gramStart"/>
            <w:r w:rsidRPr="000174F0">
              <w:rPr>
                <w:rFonts w:ascii="Cambria" w:hAnsi="Cambria"/>
                <w:sz w:val="20"/>
                <w:szCs w:val="20"/>
              </w:rPr>
              <w:t>have</w:t>
            </w:r>
            <w:proofErr w:type="gramEnd"/>
            <w:r w:rsidRPr="000174F0">
              <w:rPr>
                <w:rFonts w:ascii="Cambria" w:hAnsi="Cambria"/>
                <w:sz w:val="20"/>
                <w:szCs w:val="20"/>
              </w:rPr>
              <w:t xml:space="preserve"> signed confidentiality agreements and affidavits of nondisclosure and are prohibited by law from using the obtained information for any purposes other than this research study.</w:t>
            </w:r>
          </w:p>
          <w:p w14:paraId="099896A6" w14:textId="77777777" w:rsidR="00C11704" w:rsidRPr="000174F0" w:rsidRDefault="00C11704" w:rsidP="00C11704">
            <w:pPr>
              <w:shd w:val="clear" w:color="auto" w:fill="FFFFFF"/>
              <w:spacing w:after="120"/>
              <w:rPr>
                <w:rFonts w:ascii="Cambria" w:hAnsi="Cambria"/>
                <w:sz w:val="20"/>
                <w:szCs w:val="20"/>
              </w:rPr>
            </w:pPr>
            <w:r w:rsidRPr="000174F0">
              <w:rPr>
                <w:rFonts w:ascii="Cambria" w:hAnsi="Cambria"/>
                <w:sz w:val="20"/>
                <w:szCs w:val="20"/>
              </w:rPr>
              <w:t xml:space="preserve">You may review the </w:t>
            </w:r>
            <w:hyperlink r:id="rId11" w:history="1">
              <w:r w:rsidRPr="000174F0">
                <w:rPr>
                  <w:rFonts w:ascii="Cambria" w:hAnsi="Cambria"/>
                  <w:sz w:val="20"/>
                  <w:szCs w:val="20"/>
                </w:rPr>
                <w:t>Confidentiality Agreements and Affidavit of Nondisclosure statements (pdf, 81KB)</w:t>
              </w:r>
            </w:hyperlink>
            <w:r w:rsidRPr="000174F0">
              <w:rPr>
                <w:rFonts w:ascii="Cambria" w:hAnsi="Cambria"/>
                <w:sz w:val="20"/>
                <w:szCs w:val="20"/>
              </w:rPr>
              <w:t xml:space="preserve"> that are signed by project staff.</w:t>
            </w:r>
          </w:p>
          <w:p w14:paraId="3DD814C7" w14:textId="77777777" w:rsidR="00C11704" w:rsidRPr="000174F0" w:rsidRDefault="00C11704" w:rsidP="00C11704">
            <w:pPr>
              <w:shd w:val="clear" w:color="auto" w:fill="FFFFFF"/>
              <w:spacing w:after="120"/>
              <w:rPr>
                <w:rFonts w:ascii="Cambria" w:hAnsi="Cambria"/>
                <w:sz w:val="20"/>
                <w:szCs w:val="20"/>
              </w:rPr>
            </w:pPr>
            <w:r w:rsidRPr="000174F0">
              <w:rPr>
                <w:rFonts w:ascii="Cambria" w:hAnsi="Cambria"/>
                <w:sz w:val="20"/>
                <w:szCs w:val="20"/>
              </w:rPr>
              <w:t>A nondisclosure form is also required before informing districts which schools are selected for the study. We take the confidentiality of participating schools seriously and limit disclosure to those who need to know to make informed decisions about school and student participation in the study. A copy of the nondisclosure agreement may be accessed here.</w:t>
            </w:r>
          </w:p>
          <w:p w14:paraId="6AE3850B" w14:textId="25A1F228" w:rsidR="000C711F" w:rsidRPr="00CA73CE" w:rsidRDefault="00C11704" w:rsidP="00C11704">
            <w:pPr>
              <w:rPr>
                <w:rFonts w:ascii="Cambria" w:hAnsi="Cambria"/>
                <w:sz w:val="20"/>
                <w:szCs w:val="20"/>
              </w:rPr>
            </w:pPr>
            <w:r w:rsidRPr="000174F0">
              <w:rPr>
                <w:rFonts w:ascii="Cambria" w:hAnsi="Cambria"/>
                <w:sz w:val="20"/>
                <w:szCs w:val="20"/>
              </w:rPr>
              <w:t xml:space="preserve">You may also review the </w:t>
            </w:r>
            <w:hyperlink r:id="rId12" w:tgtFrame="_blank" w:history="1">
              <w:r w:rsidRPr="000174F0">
                <w:rPr>
                  <w:rFonts w:ascii="Cambria" w:hAnsi="Cambria"/>
                  <w:sz w:val="20"/>
                  <w:szCs w:val="20"/>
                </w:rPr>
                <w:t>procedures that govern NCES</w:t>
              </w:r>
            </w:hyperlink>
            <w:r w:rsidRPr="000174F0">
              <w:rPr>
                <w:rFonts w:ascii="Cambria" w:hAnsi="Cambria"/>
                <w:sz w:val="20"/>
                <w:szCs w:val="20"/>
              </w:rPr>
              <w:t xml:space="preserve"> and RTI International to protect identifiable information</w:t>
            </w:r>
            <w:r w:rsidR="000C711F" w:rsidRPr="00CA73CE">
              <w:rPr>
                <w:rFonts w:ascii="Cambria" w:hAnsi="Cambria"/>
                <w:sz w:val="20"/>
                <w:szCs w:val="20"/>
              </w:rPr>
              <w:t>.</w:t>
            </w:r>
          </w:p>
        </w:tc>
      </w:tr>
      <w:tr w:rsidR="007B59DC" w:rsidRPr="00286CA3" w14:paraId="641EE065" w14:textId="77777777" w:rsidTr="008E48E9">
        <w:trPr>
          <w:trHeight w:val="144"/>
        </w:trPr>
        <w:tc>
          <w:tcPr>
            <w:tcW w:w="5311" w:type="dxa"/>
            <w:shd w:val="clear" w:color="auto" w:fill="D9D9D9" w:themeFill="background1" w:themeFillShade="D9"/>
          </w:tcPr>
          <w:p w14:paraId="0AAE9C97" w14:textId="7BC5D2AD" w:rsidR="007B59DC" w:rsidRPr="00CA73CE" w:rsidRDefault="007B59DC" w:rsidP="00B70D36">
            <w:pPr>
              <w:rPr>
                <w:b/>
                <w:sz w:val="20"/>
                <w:szCs w:val="20"/>
              </w:rPr>
            </w:pPr>
            <w:r w:rsidRPr="00CA73CE">
              <w:rPr>
                <w:rFonts w:ascii="Cambria" w:hAnsi="Cambria"/>
                <w:b/>
                <w:sz w:val="20"/>
                <w:szCs w:val="20"/>
              </w:rPr>
              <w:t xml:space="preserve">Confidentiality and Paperwork Reduction Act Statements – Appendices </w:t>
            </w:r>
            <w:r w:rsidR="00FD4FF8" w:rsidRPr="00CA73CE">
              <w:rPr>
                <w:rFonts w:ascii="Cambria" w:hAnsi="Cambria"/>
                <w:b/>
                <w:sz w:val="20"/>
                <w:szCs w:val="20"/>
              </w:rPr>
              <w:t>A-</w:t>
            </w:r>
            <w:r w:rsidR="00137948">
              <w:rPr>
                <w:rFonts w:ascii="Cambria" w:hAnsi="Cambria"/>
                <w:b/>
                <w:sz w:val="20"/>
                <w:szCs w:val="20"/>
              </w:rPr>
              <w:t>W</w:t>
            </w:r>
            <w:r w:rsidR="00FD4FF8" w:rsidRPr="00CA73CE">
              <w:rPr>
                <w:rFonts w:ascii="Cambria" w:hAnsi="Cambria"/>
                <w:b/>
                <w:sz w:val="20"/>
                <w:szCs w:val="20"/>
              </w:rPr>
              <w:t xml:space="preserve"> (beginning with MS</w:t>
            </w:r>
            <w:r w:rsidR="00B70D36">
              <w:rPr>
                <w:rFonts w:ascii="Cambria" w:hAnsi="Cambria"/>
                <w:b/>
                <w:sz w:val="20"/>
                <w:szCs w:val="20"/>
              </w:rPr>
              <w:t>1</w:t>
            </w:r>
            <w:r w:rsidR="00FD4FF8" w:rsidRPr="00CA73CE">
              <w:rPr>
                <w:rFonts w:ascii="Cambria" w:hAnsi="Cambria"/>
                <w:b/>
                <w:sz w:val="20"/>
                <w:szCs w:val="20"/>
              </w:rPr>
              <w:t>-C)</w:t>
            </w:r>
          </w:p>
        </w:tc>
        <w:tc>
          <w:tcPr>
            <w:tcW w:w="5307" w:type="dxa"/>
            <w:shd w:val="clear" w:color="auto" w:fill="D9D9D9" w:themeFill="background1" w:themeFillShade="D9"/>
          </w:tcPr>
          <w:p w14:paraId="67B9F5FD" w14:textId="77777777" w:rsidR="007B59DC" w:rsidRPr="00CA73CE" w:rsidRDefault="007B59DC" w:rsidP="00CA73CE">
            <w:pPr>
              <w:rPr>
                <w:b/>
                <w:sz w:val="20"/>
                <w:szCs w:val="20"/>
              </w:rPr>
            </w:pPr>
          </w:p>
        </w:tc>
      </w:tr>
      <w:tr w:rsidR="007B59DC" w:rsidRPr="00286CA3" w14:paraId="4D81128B" w14:textId="77777777" w:rsidTr="008E48E9">
        <w:trPr>
          <w:trHeight w:val="144"/>
        </w:trPr>
        <w:tc>
          <w:tcPr>
            <w:tcW w:w="5311" w:type="dxa"/>
          </w:tcPr>
          <w:p w14:paraId="449087C9" w14:textId="6798A69F" w:rsidR="007B59DC" w:rsidRPr="00CA73CE" w:rsidRDefault="007B59DC" w:rsidP="00CA73CE">
            <w:pPr>
              <w:rPr>
                <w:rFonts w:ascii="Cambria" w:hAnsi="Cambria"/>
                <w:sz w:val="20"/>
                <w:szCs w:val="20"/>
              </w:rPr>
            </w:pPr>
            <w:r w:rsidRPr="00CA73CE">
              <w:rPr>
                <w:rFonts w:ascii="Cambria" w:hAnsi="Cambria"/>
                <w:sz w:val="20"/>
                <w:szCs w:val="20"/>
              </w:rPr>
              <w:t xml:space="preserve">NCES is authorized to conduct MGLS:2017 by the Education </w:t>
            </w:r>
            <w:r w:rsidRPr="00CA73CE">
              <w:rPr>
                <w:rFonts w:ascii="Cambria" w:hAnsi="Cambria"/>
                <w:sz w:val="20"/>
                <w:szCs w:val="20"/>
              </w:rPr>
              <w:lastRenderedPageBreak/>
              <w:t>Sciences Reform Act of 2002 (ESRA</w:t>
            </w:r>
            <w:r w:rsidR="00E31F06">
              <w:rPr>
                <w:rFonts w:ascii="Cambria" w:hAnsi="Cambria"/>
                <w:sz w:val="20"/>
                <w:szCs w:val="20"/>
              </w:rPr>
              <w:t xml:space="preserve"> 2002</w:t>
            </w:r>
            <w:r w:rsidRPr="00CA73CE">
              <w:rPr>
                <w:rFonts w:ascii="Cambria" w:hAnsi="Cambria"/>
                <w:sz w:val="20"/>
                <w:szCs w:val="20"/>
              </w:rPr>
              <w:t>, 20 U.S.C. §9543) and to collect students’ education records from education agencies or institutions for the purposes of evaluating federally supported education programs under the Family Educational Rights an</w:t>
            </w:r>
            <w:r w:rsidR="0050409A">
              <w:rPr>
                <w:rFonts w:ascii="Cambria" w:hAnsi="Cambria"/>
                <w:sz w:val="20"/>
                <w:szCs w:val="20"/>
              </w:rPr>
              <w:t>d Privacy Act (FERPA, 34 CFR §§</w:t>
            </w:r>
            <w:r w:rsidR="009710EC">
              <w:rPr>
                <w:rFonts w:ascii="Cambria" w:hAnsi="Cambria"/>
                <w:sz w:val="20"/>
                <w:szCs w:val="20"/>
              </w:rPr>
              <w:t xml:space="preserve"> </w:t>
            </w:r>
            <w:r w:rsidRPr="00CA73CE">
              <w:rPr>
                <w:rFonts w:ascii="Cambria" w:hAnsi="Cambria"/>
                <w:sz w:val="20"/>
                <w:szCs w:val="20"/>
              </w:rPr>
              <w:t>99.31(a)(3) and 99.35).</w:t>
            </w:r>
            <w:r w:rsidR="00F82A27" w:rsidRPr="00CA73CE">
              <w:rPr>
                <w:rFonts w:ascii="Cambria" w:hAnsi="Cambria"/>
                <w:sz w:val="20"/>
                <w:szCs w:val="20"/>
              </w:rPr>
              <w:t xml:space="preserve"> </w:t>
            </w:r>
            <w:r w:rsidRPr="00CA73CE">
              <w:rPr>
                <w:rFonts w:ascii="Cambria" w:hAnsi="Cambria"/>
                <w:sz w:val="20"/>
                <w:szCs w:val="20"/>
              </w:rPr>
              <w:t xml:space="preserve">The data are being collected for NCES by RTI International, </w:t>
            </w:r>
            <w:r w:rsidR="005E6D15" w:rsidRPr="005E6D15">
              <w:rPr>
                <w:rFonts w:ascii="Cambria" w:hAnsi="Cambria"/>
                <w:sz w:val="20"/>
                <w:szCs w:val="20"/>
              </w:rPr>
              <w:t>a U.S.-based nonprofit research organization</w:t>
            </w:r>
            <w:r w:rsidRPr="00CA73CE">
              <w:rPr>
                <w:rFonts w:ascii="Cambria" w:hAnsi="Cambria"/>
                <w:sz w:val="20"/>
                <w:szCs w:val="20"/>
              </w:rPr>
              <w:t xml:space="preserve">. </w:t>
            </w:r>
            <w:r w:rsidR="00E31F06" w:rsidRPr="00E31F06">
              <w:rPr>
                <w:rFonts w:ascii="Cambria" w:hAnsi="Cambria"/>
                <w:sz w:val="20"/>
                <w:szCs w:val="20"/>
              </w:rPr>
              <w:t>All of the information you provide may be used only for statistical purposes and may not be disclosed, or used, in identifiable form for any other purpose except as required by law (20 U.S.C. §9573 and 6 U.S.C. §151</w:t>
            </w:r>
            <w:r w:rsidRPr="00CA73CE">
              <w:rPr>
                <w:rFonts w:ascii="Cambria" w:hAnsi="Cambria"/>
                <w:sz w:val="20"/>
                <w:szCs w:val="20"/>
              </w:rPr>
              <w:t>). The collected information will be combined across respondents to produce statistical reports.</w:t>
            </w:r>
          </w:p>
          <w:p w14:paraId="4773F582" w14:textId="77777777" w:rsidR="00137948" w:rsidRPr="00CA73CE" w:rsidRDefault="00137948" w:rsidP="00CA73CE">
            <w:pPr>
              <w:rPr>
                <w:rFonts w:ascii="Cambria" w:hAnsi="Cambria"/>
                <w:sz w:val="20"/>
                <w:szCs w:val="20"/>
              </w:rPr>
            </w:pPr>
          </w:p>
          <w:p w14:paraId="664D1A67" w14:textId="32179BD2" w:rsidR="007B59DC" w:rsidRPr="00CA73CE" w:rsidRDefault="007B59DC" w:rsidP="00CA73CE">
            <w:pPr>
              <w:rPr>
                <w:rFonts w:ascii="Cambria" w:hAnsi="Cambria"/>
                <w:sz w:val="20"/>
                <w:szCs w:val="20"/>
              </w:rPr>
            </w:pPr>
            <w:r w:rsidRPr="00CA73CE">
              <w:rPr>
                <w:rFonts w:ascii="Cambria" w:hAnsi="Cambria"/>
                <w:sz w:val="20"/>
                <w:szCs w:val="20"/>
              </w:rPr>
              <w:t>According to the Paperwork Reduction Act of 1995, no persons are required to respond to a collection of information unless it displays a valid OMB control number. The valid OMB control number for this voluntary information collection is 1850-0911. </w:t>
            </w:r>
            <w:r w:rsidR="000174F0" w:rsidRPr="000174F0">
              <w:rPr>
                <w:rFonts w:ascii="Cambria" w:hAnsi="Cambria"/>
                <w:sz w:val="20"/>
                <w:szCs w:val="20"/>
              </w:rPr>
              <w:t>Approval expires 09/30/2018</w:t>
            </w:r>
            <w:r w:rsidR="000174F0">
              <w:rPr>
                <w:rFonts w:ascii="Cambria" w:hAnsi="Cambria"/>
                <w:sz w:val="20"/>
                <w:szCs w:val="20"/>
              </w:rPr>
              <w:t xml:space="preserve">. </w:t>
            </w:r>
            <w:r w:rsidRPr="00CA73CE">
              <w:rPr>
                <w:rFonts w:ascii="Cambria" w:hAnsi="Cambria"/>
                <w:sz w:val="20"/>
                <w:szCs w:val="20"/>
              </w:rPr>
              <w:t>The time required to complete this information collection is estimated to average approximately &lt;&lt;time&gt;&gt; minutes per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Middle Grades Longitudinal Study of 2017-18 (MGLS:2017), National Center for Education Statistics, Potomac Center Plaza, 550 12th St, SW, Room 4002, Washington, DC 20202.</w:t>
            </w:r>
          </w:p>
        </w:tc>
        <w:tc>
          <w:tcPr>
            <w:tcW w:w="5307" w:type="dxa"/>
          </w:tcPr>
          <w:p w14:paraId="5A1908E7" w14:textId="77777777" w:rsidR="00C11704" w:rsidRPr="000174F0" w:rsidRDefault="00C11704" w:rsidP="00C11704">
            <w:pPr>
              <w:rPr>
                <w:rFonts w:ascii="Cambria" w:hAnsi="Cambria"/>
                <w:sz w:val="20"/>
                <w:szCs w:val="20"/>
              </w:rPr>
            </w:pPr>
            <w:r w:rsidRPr="000174F0">
              <w:rPr>
                <w:rFonts w:ascii="Cambria" w:hAnsi="Cambria"/>
                <w:sz w:val="20"/>
                <w:szCs w:val="20"/>
              </w:rPr>
              <w:lastRenderedPageBreak/>
              <w:t xml:space="preserve">NCES is authorized to conduct MGLS:2017 by the Education </w:t>
            </w:r>
            <w:r w:rsidRPr="000174F0">
              <w:rPr>
                <w:rFonts w:ascii="Cambria" w:hAnsi="Cambria"/>
                <w:sz w:val="20"/>
                <w:szCs w:val="20"/>
              </w:rPr>
              <w:lastRenderedPageBreak/>
              <w:t>Sciences Reform Act of 2002 (ESRA 2002, 20 U.S.C., § 9543). The data are being collected for NCES by RTI International, a U.S.-based nonprofit research organization.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0D776C93" w14:textId="77777777" w:rsidR="00C11704" w:rsidRPr="000174F0" w:rsidRDefault="00C11704" w:rsidP="00C11704">
            <w:pPr>
              <w:rPr>
                <w:rFonts w:ascii="Cambria" w:hAnsi="Cambria"/>
                <w:sz w:val="20"/>
                <w:szCs w:val="20"/>
              </w:rPr>
            </w:pPr>
          </w:p>
          <w:p w14:paraId="36FAC5BF" w14:textId="663D1081" w:rsidR="007B59DC" w:rsidRPr="000174F0" w:rsidRDefault="000174F0" w:rsidP="00CA73CE">
            <w:pPr>
              <w:rPr>
                <w:rFonts w:ascii="Cambria" w:hAnsi="Cambria"/>
                <w:sz w:val="20"/>
                <w:szCs w:val="20"/>
              </w:rPr>
            </w:pPr>
            <w:r w:rsidRPr="000174F0">
              <w:rPr>
                <w:rFonts w:ascii="Cambria" w:hAnsi="Cambria"/>
                <w:sz w:val="20"/>
                <w:szCs w:val="20"/>
              </w:rPr>
              <w:t>According to the Paperwork Reduction Act of 1995, no persons are required to respond to a collection of information unless it displays a valid OMB control number. The valid OMB control number for this information collection is 1850-0911. Approval expires 09/30/2018. The time required to complete this information coll</w:t>
            </w:r>
            <w:r w:rsidR="00FF24F3">
              <w:rPr>
                <w:rFonts w:ascii="Cambria" w:hAnsi="Cambria"/>
                <w:sz w:val="20"/>
                <w:szCs w:val="20"/>
              </w:rPr>
              <w:t>ection is estimated to average &lt;&lt;time&gt;&gt;</w:t>
            </w:r>
            <w:r w:rsidRPr="000174F0">
              <w:rPr>
                <w:rFonts w:ascii="Cambria" w:hAnsi="Cambria"/>
                <w:sz w:val="20"/>
                <w:szCs w:val="20"/>
              </w:rPr>
              <w:t xml:space="preserve"> minutes per r</w:t>
            </w:r>
            <w:r w:rsidR="00FF24F3">
              <w:rPr>
                <w:rFonts w:ascii="Cambria" w:hAnsi="Cambria"/>
                <w:sz w:val="20"/>
                <w:szCs w:val="20"/>
              </w:rPr>
              <w:t>esponse</w:t>
            </w:r>
            <w:r w:rsidRPr="000174F0">
              <w:rPr>
                <w:rFonts w:ascii="Cambria" w:hAnsi="Cambria"/>
                <w:sz w:val="20"/>
                <w:szCs w:val="20"/>
              </w:rPr>
              <w:t>, including the time to review instructions, gather the data needed, and complete and review the information requested. If you have any comments concerning the accuracy of the time estimate, suggestions for improving the survey instrument, or concerns regarding the status of your individual response to this information collection, please write directly to:  Middle Grades Longitudinal Study (MGLS), National Center for Education Statistics (NCES), 550 12th St. SW, Room 4002, Washington, DC 20202</w:t>
            </w:r>
            <w:r>
              <w:rPr>
                <w:rFonts w:ascii="Cambria" w:hAnsi="Cambria"/>
                <w:sz w:val="20"/>
                <w:szCs w:val="20"/>
              </w:rPr>
              <w:t>.</w:t>
            </w:r>
          </w:p>
        </w:tc>
      </w:tr>
      <w:tr w:rsidR="00E31F06" w:rsidRPr="00286CA3" w14:paraId="3DB8472D" w14:textId="77777777" w:rsidTr="008E48E9">
        <w:trPr>
          <w:trHeight w:val="144"/>
        </w:trPr>
        <w:tc>
          <w:tcPr>
            <w:tcW w:w="5311" w:type="dxa"/>
            <w:shd w:val="clear" w:color="auto" w:fill="D9D9D9" w:themeFill="background1" w:themeFillShade="D9"/>
          </w:tcPr>
          <w:p w14:paraId="7D82466C" w14:textId="0260FDA1" w:rsidR="00E31F06" w:rsidRPr="00217A26" w:rsidRDefault="00E31F06" w:rsidP="00491B1D">
            <w:pPr>
              <w:rPr>
                <w:b/>
                <w:sz w:val="20"/>
              </w:rPr>
            </w:pPr>
            <w:r w:rsidRPr="00E31F06">
              <w:rPr>
                <w:rFonts w:ascii="Cambria" w:hAnsi="Cambria"/>
                <w:b/>
                <w:sz w:val="20"/>
                <w:szCs w:val="20"/>
              </w:rPr>
              <w:lastRenderedPageBreak/>
              <w:t>Request for Student Roster Information from Schools</w:t>
            </w:r>
          </w:p>
        </w:tc>
        <w:tc>
          <w:tcPr>
            <w:tcW w:w="5307" w:type="dxa"/>
            <w:shd w:val="clear" w:color="auto" w:fill="D9D9D9" w:themeFill="background1" w:themeFillShade="D9"/>
          </w:tcPr>
          <w:p w14:paraId="09D4A485" w14:textId="77777777" w:rsidR="00E31F06" w:rsidRPr="00217A26" w:rsidRDefault="00E31F06" w:rsidP="00491B1D">
            <w:pPr>
              <w:rPr>
                <w:b/>
                <w:sz w:val="20"/>
              </w:rPr>
            </w:pPr>
          </w:p>
        </w:tc>
      </w:tr>
      <w:tr w:rsidR="00E31F06" w:rsidRPr="00286CA3" w14:paraId="1D6D1781" w14:textId="77777777" w:rsidTr="008E48E9">
        <w:trPr>
          <w:trHeight w:val="144"/>
        </w:trPr>
        <w:tc>
          <w:tcPr>
            <w:tcW w:w="5311" w:type="dxa"/>
          </w:tcPr>
          <w:p w14:paraId="477A0447" w14:textId="14B63B85" w:rsidR="00E31F06" w:rsidRPr="00CA73CE" w:rsidRDefault="009A5C3C" w:rsidP="00CA73CE">
            <w:pPr>
              <w:rPr>
                <w:rFonts w:ascii="Cambria" w:hAnsi="Cambria"/>
                <w:sz w:val="20"/>
                <w:szCs w:val="20"/>
              </w:rPr>
            </w:pPr>
            <w:r w:rsidRPr="009A5C3C">
              <w:rPr>
                <w:rFonts w:ascii="Cambria" w:hAnsi="Cambria"/>
                <w:sz w:val="20"/>
              </w:rPr>
              <w:t xml:space="preserve">Not all students in your school are needed for participation. </w:t>
            </w:r>
            <w:r w:rsidR="00E31F06" w:rsidRPr="00124B1B">
              <w:rPr>
                <w:rFonts w:ascii="Cambria" w:hAnsi="Cambria"/>
                <w:sz w:val="20"/>
              </w:rPr>
              <w:t>We will be selecting a sample. In order to select the sample, we are requesting a complete roster of the students currently enrolled in sixth grade at your school, including ungraded students whose primary IEP designations are one of the 3 focal IEP categories.</w:t>
            </w:r>
          </w:p>
        </w:tc>
        <w:tc>
          <w:tcPr>
            <w:tcW w:w="5307" w:type="dxa"/>
          </w:tcPr>
          <w:p w14:paraId="2F02E738" w14:textId="65EC31D5" w:rsidR="00E31F06" w:rsidRPr="00CA73CE" w:rsidRDefault="009A5C3C" w:rsidP="00CA73CE">
            <w:pPr>
              <w:rPr>
                <w:rFonts w:ascii="Cambria" w:hAnsi="Cambria"/>
                <w:sz w:val="20"/>
                <w:szCs w:val="20"/>
              </w:rPr>
            </w:pPr>
            <w:r w:rsidRPr="009A5C3C">
              <w:rPr>
                <w:rFonts w:ascii="Cambria" w:hAnsi="Cambria"/>
                <w:sz w:val="20"/>
              </w:rPr>
              <w:t xml:space="preserve">Not all students in your school are needed for participation. </w:t>
            </w:r>
            <w:r w:rsidR="00E31F06" w:rsidRPr="00124B1B">
              <w:rPr>
                <w:rFonts w:ascii="Cambria" w:hAnsi="Cambria"/>
                <w:sz w:val="20"/>
              </w:rPr>
              <w:t>We will be selecting a sample. In order to select the sample, we are requesting a complete roster of the students currently enrolled in sixth grade at your school.</w:t>
            </w:r>
          </w:p>
        </w:tc>
      </w:tr>
      <w:tr w:rsidR="002D7F87" w:rsidRPr="00CA73CE" w14:paraId="1BFEBD82" w14:textId="77777777" w:rsidTr="008E48E9">
        <w:trPr>
          <w:trHeight w:val="144"/>
        </w:trPr>
        <w:tc>
          <w:tcPr>
            <w:tcW w:w="5311" w:type="dxa"/>
            <w:shd w:val="clear" w:color="auto" w:fill="D9D9D9" w:themeFill="background1" w:themeFillShade="D9"/>
          </w:tcPr>
          <w:p w14:paraId="5EC96566" w14:textId="32028692" w:rsidR="002D7F87" w:rsidRPr="00217A26" w:rsidRDefault="009A0C2F" w:rsidP="00DC641D">
            <w:pPr>
              <w:rPr>
                <w:b/>
                <w:sz w:val="20"/>
              </w:rPr>
            </w:pPr>
            <w:r>
              <w:rPr>
                <w:b/>
                <w:sz w:val="20"/>
              </w:rPr>
              <w:t xml:space="preserve">School Recruitment and </w:t>
            </w:r>
            <w:r w:rsidR="002D7F87">
              <w:rPr>
                <w:b/>
                <w:sz w:val="20"/>
              </w:rPr>
              <w:t xml:space="preserve">Parent </w:t>
            </w:r>
            <w:r>
              <w:rPr>
                <w:b/>
                <w:sz w:val="20"/>
              </w:rPr>
              <w:t xml:space="preserve">Permission </w:t>
            </w:r>
            <w:r w:rsidR="002D7F87">
              <w:rPr>
                <w:b/>
                <w:sz w:val="20"/>
              </w:rPr>
              <w:t>Letter</w:t>
            </w:r>
            <w:r>
              <w:rPr>
                <w:b/>
                <w:sz w:val="20"/>
              </w:rPr>
              <w:t>s</w:t>
            </w:r>
            <w:r w:rsidR="002D7F87">
              <w:rPr>
                <w:b/>
                <w:sz w:val="20"/>
              </w:rPr>
              <w:t xml:space="preserve"> </w:t>
            </w:r>
            <w:r>
              <w:rPr>
                <w:b/>
                <w:sz w:val="20"/>
              </w:rPr>
              <w:t>(Implicit Permission)</w:t>
            </w:r>
          </w:p>
        </w:tc>
        <w:tc>
          <w:tcPr>
            <w:tcW w:w="5307" w:type="dxa"/>
            <w:shd w:val="clear" w:color="auto" w:fill="D9D9D9" w:themeFill="background1" w:themeFillShade="D9"/>
          </w:tcPr>
          <w:p w14:paraId="6F43ED97" w14:textId="77777777" w:rsidR="002D7F87" w:rsidRPr="00217A26" w:rsidRDefault="002D7F87" w:rsidP="00DC641D">
            <w:pPr>
              <w:rPr>
                <w:b/>
                <w:sz w:val="20"/>
              </w:rPr>
            </w:pPr>
          </w:p>
        </w:tc>
      </w:tr>
      <w:tr w:rsidR="002D7F87" w:rsidRPr="00CA73CE" w14:paraId="77DC691C" w14:textId="77777777" w:rsidTr="008E48E9">
        <w:trPr>
          <w:trHeight w:val="144"/>
        </w:trPr>
        <w:tc>
          <w:tcPr>
            <w:tcW w:w="5311" w:type="dxa"/>
          </w:tcPr>
          <w:p w14:paraId="16B8DD40" w14:textId="1B48E5F2" w:rsidR="002D7F87" w:rsidRPr="00CA73CE" w:rsidRDefault="009A0C2F" w:rsidP="00DC641D">
            <w:pPr>
              <w:rPr>
                <w:rFonts w:ascii="Cambria" w:hAnsi="Cambria"/>
                <w:sz w:val="20"/>
                <w:szCs w:val="20"/>
              </w:rPr>
            </w:pPr>
            <w:r>
              <w:rPr>
                <w:rFonts w:ascii="Cambria" w:hAnsi="Cambria"/>
                <w:sz w:val="20"/>
                <w:szCs w:val="20"/>
              </w:rPr>
              <w:t>[</w:t>
            </w:r>
            <w:r w:rsidR="002D7F87">
              <w:rPr>
                <w:rFonts w:ascii="Cambria" w:hAnsi="Cambria"/>
                <w:sz w:val="20"/>
                <w:szCs w:val="20"/>
              </w:rPr>
              <w:t>As a thank you for participating, your child</w:t>
            </w:r>
            <w:r>
              <w:rPr>
                <w:rFonts w:ascii="Cambria" w:hAnsi="Cambria"/>
                <w:sz w:val="20"/>
                <w:szCs w:val="20"/>
              </w:rPr>
              <w:t xml:space="preserve">/Students] </w:t>
            </w:r>
            <w:r w:rsidR="002D7F87">
              <w:rPr>
                <w:rFonts w:ascii="Cambria" w:hAnsi="Cambria"/>
                <w:sz w:val="20"/>
                <w:szCs w:val="20"/>
              </w:rPr>
              <w:t xml:space="preserve">will be given a pair of earbuds </w:t>
            </w:r>
            <w:r>
              <w:rPr>
                <w:rFonts w:ascii="Cambria" w:hAnsi="Cambria"/>
                <w:sz w:val="20"/>
                <w:szCs w:val="20"/>
              </w:rPr>
              <w:t xml:space="preserve">used during the study </w:t>
            </w:r>
            <w:r w:rsidR="002D7F87">
              <w:rPr>
                <w:rFonts w:ascii="Cambria" w:hAnsi="Cambria"/>
                <w:sz w:val="20"/>
                <w:szCs w:val="20"/>
              </w:rPr>
              <w:t>and another small token of appreciation (e.g., keychain, pen).</w:t>
            </w:r>
          </w:p>
        </w:tc>
        <w:tc>
          <w:tcPr>
            <w:tcW w:w="5307" w:type="dxa"/>
          </w:tcPr>
          <w:p w14:paraId="4D0C9C7E" w14:textId="7C09C964" w:rsidR="002D7F87" w:rsidRPr="00CA73CE" w:rsidRDefault="002D7F87" w:rsidP="00DC641D">
            <w:pPr>
              <w:rPr>
                <w:rFonts w:ascii="Cambria" w:hAnsi="Cambria"/>
                <w:sz w:val="20"/>
                <w:szCs w:val="20"/>
              </w:rPr>
            </w:pPr>
            <w:r>
              <w:rPr>
                <w:rFonts w:ascii="Cambria" w:hAnsi="Cambria"/>
                <w:sz w:val="20"/>
                <w:szCs w:val="20"/>
              </w:rPr>
              <w:t>N/A</w:t>
            </w:r>
          </w:p>
        </w:tc>
      </w:tr>
      <w:tr w:rsidR="002D7F87" w:rsidRPr="00CA73CE" w14:paraId="024E3013" w14:textId="77777777" w:rsidTr="008E48E9">
        <w:trPr>
          <w:trHeight w:val="144"/>
        </w:trPr>
        <w:tc>
          <w:tcPr>
            <w:tcW w:w="5311" w:type="dxa"/>
            <w:shd w:val="clear" w:color="auto" w:fill="D9D9D9" w:themeFill="background1" w:themeFillShade="D9"/>
          </w:tcPr>
          <w:p w14:paraId="704BDD1A" w14:textId="70D9ADDB" w:rsidR="002D7F87" w:rsidRPr="00217A26" w:rsidRDefault="002D7F87" w:rsidP="00DC641D">
            <w:pPr>
              <w:rPr>
                <w:b/>
                <w:sz w:val="20"/>
              </w:rPr>
            </w:pPr>
            <w:r>
              <w:rPr>
                <w:b/>
                <w:sz w:val="20"/>
              </w:rPr>
              <w:t>Parent Permission Letter – Explicit Permission</w:t>
            </w:r>
          </w:p>
        </w:tc>
        <w:tc>
          <w:tcPr>
            <w:tcW w:w="5307" w:type="dxa"/>
            <w:shd w:val="clear" w:color="auto" w:fill="D9D9D9" w:themeFill="background1" w:themeFillShade="D9"/>
          </w:tcPr>
          <w:p w14:paraId="296E2A01" w14:textId="77777777" w:rsidR="002D7F87" w:rsidRPr="00217A26" w:rsidRDefault="002D7F87" w:rsidP="00DC641D">
            <w:pPr>
              <w:rPr>
                <w:b/>
                <w:sz w:val="20"/>
              </w:rPr>
            </w:pPr>
          </w:p>
        </w:tc>
      </w:tr>
      <w:tr w:rsidR="002D7F87" w:rsidRPr="00CA73CE" w14:paraId="68256C8A" w14:textId="77777777" w:rsidTr="008E48E9">
        <w:trPr>
          <w:trHeight w:val="144"/>
        </w:trPr>
        <w:tc>
          <w:tcPr>
            <w:tcW w:w="5311" w:type="dxa"/>
          </w:tcPr>
          <w:p w14:paraId="0C96F5DD" w14:textId="30027769" w:rsidR="002D7F87" w:rsidRPr="00CA73CE" w:rsidRDefault="002D7F87" w:rsidP="00DC641D">
            <w:pPr>
              <w:rPr>
                <w:rFonts w:ascii="Cambria" w:hAnsi="Cambria"/>
                <w:sz w:val="20"/>
                <w:szCs w:val="20"/>
              </w:rPr>
            </w:pPr>
            <w:r>
              <w:rPr>
                <w:rFonts w:ascii="Cambria" w:hAnsi="Cambria"/>
                <w:sz w:val="20"/>
                <w:szCs w:val="20"/>
              </w:rPr>
              <w:t>As a thank you for participating, your child will be given a pair of earbuds</w:t>
            </w:r>
            <w:r w:rsidR="009A0C2F">
              <w:rPr>
                <w:rFonts w:ascii="Cambria" w:hAnsi="Cambria"/>
                <w:sz w:val="20"/>
                <w:szCs w:val="20"/>
              </w:rPr>
              <w:t xml:space="preserve"> used during the study</w:t>
            </w:r>
            <w:r>
              <w:rPr>
                <w:rFonts w:ascii="Cambria" w:hAnsi="Cambria"/>
                <w:sz w:val="20"/>
                <w:szCs w:val="20"/>
              </w:rPr>
              <w:t xml:space="preserve"> and another small token of appreciation (e.g., keychain, pen).</w:t>
            </w:r>
            <w:r w:rsidR="00DA4610">
              <w:rPr>
                <w:rFonts w:ascii="Cambria" w:hAnsi="Cambria"/>
                <w:sz w:val="20"/>
                <w:szCs w:val="20"/>
              </w:rPr>
              <w:t xml:space="preserve"> Students who return the attached form by [DATE] will be invited to a food event sponsored by the study.</w:t>
            </w:r>
          </w:p>
        </w:tc>
        <w:tc>
          <w:tcPr>
            <w:tcW w:w="5307" w:type="dxa"/>
          </w:tcPr>
          <w:p w14:paraId="1662D22B" w14:textId="77777777" w:rsidR="002D7F87" w:rsidRPr="00CA73CE" w:rsidRDefault="002D7F87" w:rsidP="00DC641D">
            <w:pPr>
              <w:rPr>
                <w:rFonts w:ascii="Cambria" w:hAnsi="Cambria"/>
                <w:sz w:val="20"/>
                <w:szCs w:val="20"/>
              </w:rPr>
            </w:pPr>
            <w:r>
              <w:rPr>
                <w:rFonts w:ascii="Cambria" w:hAnsi="Cambria"/>
                <w:sz w:val="20"/>
                <w:szCs w:val="20"/>
              </w:rPr>
              <w:t>N/A</w:t>
            </w:r>
          </w:p>
        </w:tc>
      </w:tr>
    </w:tbl>
    <w:p w14:paraId="48B15FB0" w14:textId="4CA97291" w:rsidR="00540E73" w:rsidRPr="00217A26" w:rsidRDefault="00540E73" w:rsidP="00217A26">
      <w:pPr>
        <w:spacing w:after="0" w:line="240" w:lineRule="auto"/>
        <w:rPr>
          <w:sz w:val="10"/>
        </w:rPr>
      </w:pPr>
      <w:bookmarkStart w:id="0" w:name="_GoBack"/>
      <w:bookmarkEnd w:id="0"/>
    </w:p>
    <w:sectPr w:rsidR="00540E73" w:rsidRPr="00217A26" w:rsidSect="009B4965">
      <w:footerReference w:type="default" r:id="rId13"/>
      <w:type w:val="continuous"/>
      <w:pgSz w:w="12240" w:h="15840" w:code="1"/>
      <w:pgMar w:top="806" w:right="806" w:bottom="720" w:left="806"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31508" w14:textId="77777777" w:rsidR="00187846" w:rsidRDefault="00187846" w:rsidP="00FD47D2">
      <w:pPr>
        <w:spacing w:after="0" w:line="240" w:lineRule="auto"/>
      </w:pPr>
      <w:r>
        <w:separator/>
      </w:r>
    </w:p>
  </w:endnote>
  <w:endnote w:type="continuationSeparator" w:id="0">
    <w:p w14:paraId="7EA993AF" w14:textId="77777777" w:rsidR="00187846" w:rsidRDefault="00187846" w:rsidP="00FD47D2">
      <w:pPr>
        <w:spacing w:after="0" w:line="240" w:lineRule="auto"/>
      </w:pPr>
      <w:r>
        <w:continuationSeparator/>
      </w:r>
    </w:p>
  </w:endnote>
  <w:endnote w:type="continuationNotice" w:id="1">
    <w:p w14:paraId="191F0B69" w14:textId="77777777" w:rsidR="00187846" w:rsidRDefault="00187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994329"/>
      <w:docPartObj>
        <w:docPartGallery w:val="Page Numbers (Bottom of Page)"/>
        <w:docPartUnique/>
      </w:docPartObj>
    </w:sdtPr>
    <w:sdtEndPr>
      <w:rPr>
        <w:noProof/>
      </w:rPr>
    </w:sdtEndPr>
    <w:sdtContent>
      <w:p w14:paraId="3AAC3005" w14:textId="631F2C0A" w:rsidR="00097DCB" w:rsidRDefault="00097DCB" w:rsidP="009B4965">
        <w:pPr>
          <w:pStyle w:val="Footer"/>
          <w:jc w:val="center"/>
        </w:pPr>
        <w:r>
          <w:fldChar w:fldCharType="begin"/>
        </w:r>
        <w:r>
          <w:instrText xml:space="preserve"> PAGE   \* MERGEFORMAT </w:instrText>
        </w:r>
        <w:r>
          <w:fldChar w:fldCharType="separate"/>
        </w:r>
        <w:r w:rsidR="008E48E9">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FF20D" w14:textId="77777777" w:rsidR="00187846" w:rsidRDefault="00187846" w:rsidP="00FD47D2">
      <w:pPr>
        <w:spacing w:after="0" w:line="240" w:lineRule="auto"/>
      </w:pPr>
      <w:r>
        <w:separator/>
      </w:r>
    </w:p>
  </w:footnote>
  <w:footnote w:type="continuationSeparator" w:id="0">
    <w:p w14:paraId="1AA92D0B" w14:textId="77777777" w:rsidR="00187846" w:rsidRDefault="00187846" w:rsidP="00FD47D2">
      <w:pPr>
        <w:spacing w:after="0" w:line="240" w:lineRule="auto"/>
      </w:pPr>
      <w:r>
        <w:continuationSeparator/>
      </w:r>
    </w:p>
  </w:footnote>
  <w:footnote w:type="continuationNotice" w:id="1">
    <w:p w14:paraId="78E07A64" w14:textId="77777777" w:rsidR="00187846" w:rsidRDefault="0018784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4553"/>
    <w:multiLevelType w:val="multilevel"/>
    <w:tmpl w:val="9C001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24E3D40"/>
    <w:multiLevelType w:val="hybridMultilevel"/>
    <w:tmpl w:val="4B36D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F07FA7"/>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544071"/>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DA1305"/>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B27FCD"/>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7C7D02"/>
    <w:multiLevelType w:val="hybridMultilevel"/>
    <w:tmpl w:val="FD62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184FA7"/>
    <w:multiLevelType w:val="hybridMultilevel"/>
    <w:tmpl w:val="DFB48E32"/>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B6"/>
    <w:multiLevelType w:val="hybridMultilevel"/>
    <w:tmpl w:val="91D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6FD9187E"/>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C44EDC"/>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5"/>
  </w:num>
  <w:num w:numId="7">
    <w:abstractNumId w:val="8"/>
  </w:num>
  <w:num w:numId="8">
    <w:abstractNumId w:val="9"/>
  </w:num>
  <w:num w:numId="9">
    <w:abstractNumId w:val="1"/>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2"/>
    <w:rsid w:val="0000209B"/>
    <w:rsid w:val="0000558B"/>
    <w:rsid w:val="00011376"/>
    <w:rsid w:val="00013012"/>
    <w:rsid w:val="00015B47"/>
    <w:rsid w:val="00016536"/>
    <w:rsid w:val="000174F0"/>
    <w:rsid w:val="00024CB2"/>
    <w:rsid w:val="00026F82"/>
    <w:rsid w:val="000515C1"/>
    <w:rsid w:val="00077753"/>
    <w:rsid w:val="000874E9"/>
    <w:rsid w:val="00087B6E"/>
    <w:rsid w:val="0009050C"/>
    <w:rsid w:val="00097DCB"/>
    <w:rsid w:val="000B6C0A"/>
    <w:rsid w:val="000C6F81"/>
    <w:rsid w:val="000C711F"/>
    <w:rsid w:val="000E2AE1"/>
    <w:rsid w:val="000E7D0D"/>
    <w:rsid w:val="000F1766"/>
    <w:rsid w:val="000F26BB"/>
    <w:rsid w:val="000F468F"/>
    <w:rsid w:val="000F485F"/>
    <w:rsid w:val="00100A15"/>
    <w:rsid w:val="001158F3"/>
    <w:rsid w:val="001176F7"/>
    <w:rsid w:val="00123121"/>
    <w:rsid w:val="0012499F"/>
    <w:rsid w:val="00124B1B"/>
    <w:rsid w:val="00127695"/>
    <w:rsid w:val="0012775E"/>
    <w:rsid w:val="00137948"/>
    <w:rsid w:val="00156031"/>
    <w:rsid w:val="001568DA"/>
    <w:rsid w:val="00156F0B"/>
    <w:rsid w:val="00161B62"/>
    <w:rsid w:val="00171DD3"/>
    <w:rsid w:val="00187846"/>
    <w:rsid w:val="001955E1"/>
    <w:rsid w:val="001C3EC5"/>
    <w:rsid w:val="001D4810"/>
    <w:rsid w:val="001D7DC1"/>
    <w:rsid w:val="00200535"/>
    <w:rsid w:val="00211CF3"/>
    <w:rsid w:val="002125C4"/>
    <w:rsid w:val="00217A26"/>
    <w:rsid w:val="002200DE"/>
    <w:rsid w:val="002246DC"/>
    <w:rsid w:val="002253D1"/>
    <w:rsid w:val="002366CE"/>
    <w:rsid w:val="00242A0B"/>
    <w:rsid w:val="002525BA"/>
    <w:rsid w:val="00252E35"/>
    <w:rsid w:val="0026671A"/>
    <w:rsid w:val="00285161"/>
    <w:rsid w:val="00286CA3"/>
    <w:rsid w:val="002A4521"/>
    <w:rsid w:val="002D43BD"/>
    <w:rsid w:val="002D7F87"/>
    <w:rsid w:val="002F128E"/>
    <w:rsid w:val="00302941"/>
    <w:rsid w:val="00304444"/>
    <w:rsid w:val="00304AD1"/>
    <w:rsid w:val="003064C1"/>
    <w:rsid w:val="003069BD"/>
    <w:rsid w:val="00314CBB"/>
    <w:rsid w:val="00343459"/>
    <w:rsid w:val="00350B16"/>
    <w:rsid w:val="00363C5C"/>
    <w:rsid w:val="00366061"/>
    <w:rsid w:val="00390660"/>
    <w:rsid w:val="0039147D"/>
    <w:rsid w:val="003A3001"/>
    <w:rsid w:val="003A304B"/>
    <w:rsid w:val="003C6230"/>
    <w:rsid w:val="003E22FA"/>
    <w:rsid w:val="003F1AE0"/>
    <w:rsid w:val="00413357"/>
    <w:rsid w:val="0041352C"/>
    <w:rsid w:val="0042702A"/>
    <w:rsid w:val="0042768A"/>
    <w:rsid w:val="00434070"/>
    <w:rsid w:val="00461C35"/>
    <w:rsid w:val="0046499E"/>
    <w:rsid w:val="00471BE2"/>
    <w:rsid w:val="004767CF"/>
    <w:rsid w:val="00484141"/>
    <w:rsid w:val="004B2E03"/>
    <w:rsid w:val="004B712F"/>
    <w:rsid w:val="004C33A1"/>
    <w:rsid w:val="004C6721"/>
    <w:rsid w:val="004C7006"/>
    <w:rsid w:val="004F7D82"/>
    <w:rsid w:val="0050409A"/>
    <w:rsid w:val="00514AF9"/>
    <w:rsid w:val="0051626A"/>
    <w:rsid w:val="005175D1"/>
    <w:rsid w:val="00524B2A"/>
    <w:rsid w:val="00525214"/>
    <w:rsid w:val="00525940"/>
    <w:rsid w:val="00530413"/>
    <w:rsid w:val="00531E08"/>
    <w:rsid w:val="00540E73"/>
    <w:rsid w:val="005417C7"/>
    <w:rsid w:val="0054273A"/>
    <w:rsid w:val="005729FF"/>
    <w:rsid w:val="00591BD6"/>
    <w:rsid w:val="005A0714"/>
    <w:rsid w:val="005A080B"/>
    <w:rsid w:val="005A6684"/>
    <w:rsid w:val="005B07CD"/>
    <w:rsid w:val="005C3443"/>
    <w:rsid w:val="005C5371"/>
    <w:rsid w:val="005C762C"/>
    <w:rsid w:val="005D1700"/>
    <w:rsid w:val="005D1CBC"/>
    <w:rsid w:val="005D613F"/>
    <w:rsid w:val="005E6D15"/>
    <w:rsid w:val="00607D5A"/>
    <w:rsid w:val="00611CE2"/>
    <w:rsid w:val="00637D44"/>
    <w:rsid w:val="00641A15"/>
    <w:rsid w:val="00644023"/>
    <w:rsid w:val="00652209"/>
    <w:rsid w:val="006564F6"/>
    <w:rsid w:val="006658BC"/>
    <w:rsid w:val="006665EB"/>
    <w:rsid w:val="00666D55"/>
    <w:rsid w:val="00682EAA"/>
    <w:rsid w:val="00686DB2"/>
    <w:rsid w:val="00694824"/>
    <w:rsid w:val="006B156F"/>
    <w:rsid w:val="006B44C3"/>
    <w:rsid w:val="006E55C9"/>
    <w:rsid w:val="006F23A5"/>
    <w:rsid w:val="0071127D"/>
    <w:rsid w:val="0071454D"/>
    <w:rsid w:val="00737F95"/>
    <w:rsid w:val="00742CBD"/>
    <w:rsid w:val="00745283"/>
    <w:rsid w:val="00746B4F"/>
    <w:rsid w:val="0074794F"/>
    <w:rsid w:val="00747D21"/>
    <w:rsid w:val="007517FD"/>
    <w:rsid w:val="00755B7D"/>
    <w:rsid w:val="007750FA"/>
    <w:rsid w:val="00784567"/>
    <w:rsid w:val="00784F19"/>
    <w:rsid w:val="00785B93"/>
    <w:rsid w:val="007A4C8A"/>
    <w:rsid w:val="007B59DC"/>
    <w:rsid w:val="007D00A8"/>
    <w:rsid w:val="007D1F9F"/>
    <w:rsid w:val="007D59F6"/>
    <w:rsid w:val="007E110E"/>
    <w:rsid w:val="007E1B5C"/>
    <w:rsid w:val="007E228D"/>
    <w:rsid w:val="007F617A"/>
    <w:rsid w:val="00810691"/>
    <w:rsid w:val="00816393"/>
    <w:rsid w:val="008174DE"/>
    <w:rsid w:val="0083117A"/>
    <w:rsid w:val="00833D75"/>
    <w:rsid w:val="008451BA"/>
    <w:rsid w:val="00851961"/>
    <w:rsid w:val="00851BFB"/>
    <w:rsid w:val="008554C0"/>
    <w:rsid w:val="0086166F"/>
    <w:rsid w:val="0086408B"/>
    <w:rsid w:val="0088327C"/>
    <w:rsid w:val="00896D0F"/>
    <w:rsid w:val="008A35FD"/>
    <w:rsid w:val="008A6369"/>
    <w:rsid w:val="008B18CC"/>
    <w:rsid w:val="008B2AF7"/>
    <w:rsid w:val="008C3C35"/>
    <w:rsid w:val="008D551B"/>
    <w:rsid w:val="008D5B61"/>
    <w:rsid w:val="008E48E9"/>
    <w:rsid w:val="008F37D4"/>
    <w:rsid w:val="008F38E0"/>
    <w:rsid w:val="008F480D"/>
    <w:rsid w:val="00902D4E"/>
    <w:rsid w:val="00911B30"/>
    <w:rsid w:val="0091270D"/>
    <w:rsid w:val="009244E3"/>
    <w:rsid w:val="0093094A"/>
    <w:rsid w:val="00930CFD"/>
    <w:rsid w:val="009347A4"/>
    <w:rsid w:val="00967E48"/>
    <w:rsid w:val="009710EC"/>
    <w:rsid w:val="009754BE"/>
    <w:rsid w:val="00982CA2"/>
    <w:rsid w:val="009A0C2F"/>
    <w:rsid w:val="009A5C3C"/>
    <w:rsid w:val="009B4965"/>
    <w:rsid w:val="009B7633"/>
    <w:rsid w:val="009C121C"/>
    <w:rsid w:val="009C5DBB"/>
    <w:rsid w:val="00A26DD1"/>
    <w:rsid w:val="00A37F99"/>
    <w:rsid w:val="00A463AD"/>
    <w:rsid w:val="00A77FCD"/>
    <w:rsid w:val="00AE2F22"/>
    <w:rsid w:val="00AF2B67"/>
    <w:rsid w:val="00B076B3"/>
    <w:rsid w:val="00B100F1"/>
    <w:rsid w:val="00B123FC"/>
    <w:rsid w:val="00B171B7"/>
    <w:rsid w:val="00B200D6"/>
    <w:rsid w:val="00B3669C"/>
    <w:rsid w:val="00B446D3"/>
    <w:rsid w:val="00B630F2"/>
    <w:rsid w:val="00B66C13"/>
    <w:rsid w:val="00B676FF"/>
    <w:rsid w:val="00B70D36"/>
    <w:rsid w:val="00B70E3B"/>
    <w:rsid w:val="00B80139"/>
    <w:rsid w:val="00B86A74"/>
    <w:rsid w:val="00B93D16"/>
    <w:rsid w:val="00B979D5"/>
    <w:rsid w:val="00BA7CEB"/>
    <w:rsid w:val="00BB2563"/>
    <w:rsid w:val="00BC0C06"/>
    <w:rsid w:val="00BC7ABD"/>
    <w:rsid w:val="00BD1B47"/>
    <w:rsid w:val="00BE77FF"/>
    <w:rsid w:val="00C02C0F"/>
    <w:rsid w:val="00C03803"/>
    <w:rsid w:val="00C11704"/>
    <w:rsid w:val="00C2296E"/>
    <w:rsid w:val="00C3282E"/>
    <w:rsid w:val="00C414BB"/>
    <w:rsid w:val="00C44EBF"/>
    <w:rsid w:val="00C6381D"/>
    <w:rsid w:val="00C7125C"/>
    <w:rsid w:val="00C72208"/>
    <w:rsid w:val="00C8231D"/>
    <w:rsid w:val="00C86080"/>
    <w:rsid w:val="00CA440B"/>
    <w:rsid w:val="00CA548D"/>
    <w:rsid w:val="00CA73CE"/>
    <w:rsid w:val="00CB4A7B"/>
    <w:rsid w:val="00CC18E3"/>
    <w:rsid w:val="00D15A38"/>
    <w:rsid w:val="00D32838"/>
    <w:rsid w:val="00D3360A"/>
    <w:rsid w:val="00D420BA"/>
    <w:rsid w:val="00D453C7"/>
    <w:rsid w:val="00D5036B"/>
    <w:rsid w:val="00D54461"/>
    <w:rsid w:val="00D604F5"/>
    <w:rsid w:val="00D60DD7"/>
    <w:rsid w:val="00D63ADE"/>
    <w:rsid w:val="00D765ED"/>
    <w:rsid w:val="00D84C96"/>
    <w:rsid w:val="00DA4610"/>
    <w:rsid w:val="00DA5EF1"/>
    <w:rsid w:val="00DA7070"/>
    <w:rsid w:val="00DC092A"/>
    <w:rsid w:val="00DC1997"/>
    <w:rsid w:val="00DC60BC"/>
    <w:rsid w:val="00DD5ECC"/>
    <w:rsid w:val="00DD5F23"/>
    <w:rsid w:val="00DE2737"/>
    <w:rsid w:val="00DE5269"/>
    <w:rsid w:val="00DE6AA3"/>
    <w:rsid w:val="00DE7EAF"/>
    <w:rsid w:val="00E003DB"/>
    <w:rsid w:val="00E0346F"/>
    <w:rsid w:val="00E03BA6"/>
    <w:rsid w:val="00E065A8"/>
    <w:rsid w:val="00E0744D"/>
    <w:rsid w:val="00E1220C"/>
    <w:rsid w:val="00E124AB"/>
    <w:rsid w:val="00E2147F"/>
    <w:rsid w:val="00E31F06"/>
    <w:rsid w:val="00E330BB"/>
    <w:rsid w:val="00E354CD"/>
    <w:rsid w:val="00E4225E"/>
    <w:rsid w:val="00E47112"/>
    <w:rsid w:val="00E51E4F"/>
    <w:rsid w:val="00E57502"/>
    <w:rsid w:val="00E634EF"/>
    <w:rsid w:val="00E84AD4"/>
    <w:rsid w:val="00E9607B"/>
    <w:rsid w:val="00EA2010"/>
    <w:rsid w:val="00EC6A50"/>
    <w:rsid w:val="00ED1D06"/>
    <w:rsid w:val="00EE4AAD"/>
    <w:rsid w:val="00EE6500"/>
    <w:rsid w:val="00EE7805"/>
    <w:rsid w:val="00EF05AE"/>
    <w:rsid w:val="00F02115"/>
    <w:rsid w:val="00F05C39"/>
    <w:rsid w:val="00F13627"/>
    <w:rsid w:val="00F144DE"/>
    <w:rsid w:val="00F15F04"/>
    <w:rsid w:val="00F21E1F"/>
    <w:rsid w:val="00F44883"/>
    <w:rsid w:val="00F614E6"/>
    <w:rsid w:val="00F619AC"/>
    <w:rsid w:val="00F82A27"/>
    <w:rsid w:val="00FA7668"/>
    <w:rsid w:val="00FB436F"/>
    <w:rsid w:val="00FD47D2"/>
    <w:rsid w:val="00FD4FF8"/>
    <w:rsid w:val="00FD5D88"/>
    <w:rsid w:val="00FE0DA0"/>
    <w:rsid w:val="00FE48E6"/>
    <w:rsid w:val="00FF24F3"/>
    <w:rsid w:val="00FF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
    <w:basedOn w:val="TableNormal"/>
    <w:uiPriority w:val="3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
    <w:basedOn w:val="Normal"/>
    <w:link w:val="FootnoteTextChar"/>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637D44"/>
    <w:rPr>
      <w:rFonts w:ascii="Times New Roman" w:eastAsia="Times New Roman" w:hAnsi="Times New Roman"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
    <w:basedOn w:val="TableNormal"/>
    <w:uiPriority w:val="3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
    <w:basedOn w:val="Normal"/>
    <w:link w:val="FootnoteTextChar"/>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637D44"/>
    <w:rPr>
      <w:rFonts w:ascii="Times New Roman" w:eastAsia="Times New Roman" w:hAnsi="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tatprog/confproc.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s.nces.ed.gov/pirls/img/nondisc-confid-agmnt.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nces.ed.gov/statprog/confproc.asp" TargetMode="External"/><Relationship Id="rId4" Type="http://schemas.microsoft.com/office/2007/relationships/stylesWithEffects" Target="stylesWithEffects.xml"/><Relationship Id="rId9" Type="http://schemas.openxmlformats.org/officeDocument/2006/relationships/hyperlink" Target="https://surveys.nces.ed.gov/pirls/img/nondisc-confid-agmn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18EFD-F8C6-4CBA-AB3E-06E9BC8AB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4506</Words>
  <Characters>25687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Herget, Debbie R.</dc:creator>
  <cp:lastModifiedBy>Kubzdela, Kashka</cp:lastModifiedBy>
  <cp:revision>9</cp:revision>
  <dcterms:created xsi:type="dcterms:W3CDTF">2017-04-05T18:23:00Z</dcterms:created>
  <dcterms:modified xsi:type="dcterms:W3CDTF">2017-04-06T12:54:00Z</dcterms:modified>
</cp:coreProperties>
</file>