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0F8686" w14:textId="77777777" w:rsidR="005611C5" w:rsidRDefault="005611C5">
      <w:pPr>
        <w:pStyle w:val="C1-CtrBoldHd"/>
        <w:spacing w:after="0"/>
        <w:rPr>
          <w:color w:val="FFFF00"/>
          <w:sz w:val="28"/>
        </w:rPr>
      </w:pPr>
      <w:bookmarkStart w:id="0" w:name="_GoBack"/>
      <w:bookmarkEnd w:id="0"/>
    </w:p>
    <w:p w14:paraId="5E0F8687" w14:textId="77777777" w:rsidR="005611C5" w:rsidRDefault="005611C5">
      <w:pPr>
        <w:pStyle w:val="C1-CtrBoldHd"/>
        <w:spacing w:after="0"/>
        <w:rPr>
          <w:color w:val="FFFF00"/>
          <w:sz w:val="28"/>
        </w:rPr>
      </w:pPr>
    </w:p>
    <w:p w14:paraId="5E0F8688" w14:textId="77777777" w:rsidR="005611C5" w:rsidRPr="00387E87" w:rsidRDefault="005611C5">
      <w:pPr>
        <w:pStyle w:val="C1-CtrBoldHd"/>
        <w:spacing w:after="0"/>
        <w:rPr>
          <w:sz w:val="28"/>
        </w:rPr>
      </w:pPr>
    </w:p>
    <w:p w14:paraId="5E0F8689" w14:textId="77777777" w:rsidR="005611C5" w:rsidRPr="00387E87" w:rsidRDefault="005611C5">
      <w:pPr>
        <w:pStyle w:val="C1-CtrBoldHd"/>
        <w:spacing w:after="0"/>
        <w:rPr>
          <w:sz w:val="28"/>
        </w:rPr>
      </w:pPr>
    </w:p>
    <w:p w14:paraId="5E0F868A" w14:textId="77777777" w:rsidR="005611C5" w:rsidRPr="00387E87" w:rsidRDefault="005611C5">
      <w:pPr>
        <w:pStyle w:val="C1-CtrBoldHd"/>
        <w:spacing w:after="0"/>
        <w:rPr>
          <w:sz w:val="28"/>
        </w:rPr>
      </w:pPr>
    </w:p>
    <w:p w14:paraId="5F4BE9A3" w14:textId="055A37AF" w:rsidR="00E31EBD" w:rsidRPr="00174298" w:rsidRDefault="00174298">
      <w:pPr>
        <w:pStyle w:val="C1-CtrBoldHd"/>
        <w:spacing w:after="0"/>
        <w:rPr>
          <w:sz w:val="48"/>
          <w:szCs w:val="48"/>
        </w:rPr>
      </w:pPr>
      <w:r w:rsidRPr="00174298">
        <w:rPr>
          <w:caps w:val="0"/>
          <w:sz w:val="48"/>
          <w:szCs w:val="48"/>
        </w:rPr>
        <w:t>International Early Learning Study (IELS)</w:t>
      </w:r>
      <w:r>
        <w:rPr>
          <w:caps w:val="0"/>
          <w:sz w:val="48"/>
          <w:szCs w:val="48"/>
        </w:rPr>
        <w:t xml:space="preserve"> 2018</w:t>
      </w:r>
    </w:p>
    <w:p w14:paraId="5E0F868C" w14:textId="5DEAF0C8" w:rsidR="00C80603" w:rsidRPr="008057A0" w:rsidRDefault="00174298">
      <w:pPr>
        <w:pStyle w:val="C1-CtrBoldHd"/>
        <w:spacing w:after="0"/>
        <w:rPr>
          <w:caps w:val="0"/>
          <w:sz w:val="48"/>
        </w:rPr>
      </w:pPr>
      <w:r w:rsidRPr="00174298">
        <w:rPr>
          <w:caps w:val="0"/>
          <w:sz w:val="48"/>
          <w:szCs w:val="48"/>
        </w:rPr>
        <w:t xml:space="preserve">Field Test </w:t>
      </w:r>
      <w:r w:rsidR="008F55B2">
        <w:rPr>
          <w:caps w:val="0"/>
          <w:sz w:val="48"/>
          <w:szCs w:val="48"/>
        </w:rPr>
        <w:t>Data Collection</w:t>
      </w:r>
      <w:r w:rsidR="00BC0106">
        <w:rPr>
          <w:caps w:val="0"/>
          <w:sz w:val="48"/>
          <w:szCs w:val="48"/>
        </w:rPr>
        <w:t xml:space="preserve"> and Main Study Recruitment</w:t>
      </w:r>
    </w:p>
    <w:p w14:paraId="5E0F868D" w14:textId="77777777" w:rsidR="005611C5" w:rsidRPr="00387E87" w:rsidRDefault="005611C5">
      <w:pPr>
        <w:pStyle w:val="C1-CtrBoldHd"/>
        <w:spacing w:after="0"/>
        <w:rPr>
          <w:sz w:val="28"/>
        </w:rPr>
      </w:pPr>
    </w:p>
    <w:p w14:paraId="5E0F868E" w14:textId="77777777" w:rsidR="005611C5" w:rsidRPr="00387E87" w:rsidRDefault="005611C5">
      <w:pPr>
        <w:pStyle w:val="C1-CtrBoldHd"/>
        <w:spacing w:after="0"/>
        <w:rPr>
          <w:sz w:val="28"/>
        </w:rPr>
      </w:pPr>
    </w:p>
    <w:p w14:paraId="5E0F868F" w14:textId="19241C33" w:rsidR="005611C5" w:rsidRDefault="005611C5">
      <w:pPr>
        <w:pStyle w:val="C1-CtrBoldHd"/>
        <w:spacing w:after="0"/>
        <w:rPr>
          <w:sz w:val="28"/>
        </w:rPr>
      </w:pPr>
    </w:p>
    <w:p w14:paraId="5E0F8690" w14:textId="5C65498A" w:rsidR="005611C5" w:rsidRPr="00124802" w:rsidRDefault="005611C5">
      <w:pPr>
        <w:pStyle w:val="C1-CtrBoldHd"/>
        <w:spacing w:after="0"/>
        <w:rPr>
          <w:sz w:val="36"/>
          <w:szCs w:val="36"/>
        </w:rPr>
      </w:pPr>
      <w:r w:rsidRPr="00124802">
        <w:rPr>
          <w:sz w:val="36"/>
          <w:szCs w:val="36"/>
        </w:rPr>
        <w:t>OMB# 1850-</w:t>
      </w:r>
      <w:r w:rsidR="005F4F9F">
        <w:rPr>
          <w:caps w:val="0"/>
          <w:sz w:val="36"/>
          <w:szCs w:val="36"/>
        </w:rPr>
        <w:t>0936</w:t>
      </w:r>
      <w:r w:rsidR="005F4F9F" w:rsidRPr="00124802">
        <w:rPr>
          <w:caps w:val="0"/>
          <w:sz w:val="36"/>
          <w:szCs w:val="36"/>
        </w:rPr>
        <w:t xml:space="preserve"> </w:t>
      </w:r>
      <w:r w:rsidR="00174298" w:rsidRPr="00124802">
        <w:rPr>
          <w:caps w:val="0"/>
          <w:sz w:val="36"/>
          <w:szCs w:val="36"/>
        </w:rPr>
        <w:t>v.</w:t>
      </w:r>
      <w:r w:rsidR="005F4F9F">
        <w:rPr>
          <w:sz w:val="36"/>
          <w:szCs w:val="36"/>
        </w:rPr>
        <w:t>3</w:t>
      </w:r>
    </w:p>
    <w:p w14:paraId="5E0F8691" w14:textId="77777777" w:rsidR="005611C5" w:rsidRDefault="005611C5">
      <w:pPr>
        <w:pStyle w:val="C1-CtrBoldHd"/>
        <w:spacing w:after="0"/>
        <w:rPr>
          <w:sz w:val="28"/>
        </w:rPr>
      </w:pPr>
    </w:p>
    <w:p w14:paraId="5E0F8692" w14:textId="77777777" w:rsidR="005611C5" w:rsidRDefault="005611C5">
      <w:pPr>
        <w:pStyle w:val="C1-CtrBoldHd"/>
        <w:spacing w:after="0"/>
        <w:rPr>
          <w:sz w:val="28"/>
        </w:rPr>
      </w:pPr>
    </w:p>
    <w:p w14:paraId="5E0F8693" w14:textId="50871082" w:rsidR="005611C5" w:rsidRPr="00124802" w:rsidRDefault="00174298" w:rsidP="00C44B81">
      <w:pPr>
        <w:pStyle w:val="C1-CtrBoldHd"/>
        <w:spacing w:after="0"/>
        <w:rPr>
          <w:color w:val="FF0000"/>
          <w:sz w:val="40"/>
          <w:szCs w:val="40"/>
        </w:rPr>
      </w:pPr>
      <w:r w:rsidRPr="00124802">
        <w:rPr>
          <w:caps w:val="0"/>
          <w:color w:val="FF0000"/>
          <w:sz w:val="40"/>
          <w:szCs w:val="40"/>
        </w:rPr>
        <w:t xml:space="preserve">Supporting Statement Part </w:t>
      </w:r>
      <w:r w:rsidR="005611C5" w:rsidRPr="00124802">
        <w:rPr>
          <w:caps w:val="0"/>
          <w:color w:val="FF0000"/>
          <w:sz w:val="40"/>
          <w:szCs w:val="40"/>
        </w:rPr>
        <w:t>A</w:t>
      </w:r>
    </w:p>
    <w:p w14:paraId="5E0F8694" w14:textId="77777777" w:rsidR="005611C5" w:rsidRDefault="005611C5">
      <w:pPr>
        <w:pStyle w:val="C1-CtrBoldHd"/>
        <w:spacing w:after="0"/>
        <w:rPr>
          <w:sz w:val="28"/>
        </w:rPr>
      </w:pPr>
    </w:p>
    <w:p w14:paraId="5E0F8695" w14:textId="77777777" w:rsidR="005611C5" w:rsidRDefault="005611C5">
      <w:pPr>
        <w:pStyle w:val="C1-CtrBoldHd"/>
        <w:spacing w:after="0"/>
        <w:rPr>
          <w:sz w:val="28"/>
        </w:rPr>
      </w:pPr>
    </w:p>
    <w:p w14:paraId="5E0F8696" w14:textId="77777777" w:rsidR="005611C5" w:rsidRDefault="005611C5">
      <w:pPr>
        <w:pStyle w:val="C1-CtrBoldHd"/>
        <w:spacing w:after="0"/>
        <w:rPr>
          <w:sz w:val="28"/>
        </w:rPr>
      </w:pPr>
    </w:p>
    <w:p w14:paraId="5E0F8697" w14:textId="77777777" w:rsidR="005611C5" w:rsidRPr="00387E87" w:rsidRDefault="005611C5">
      <w:pPr>
        <w:pStyle w:val="C1-CtrBoldHd"/>
        <w:spacing w:after="0"/>
        <w:rPr>
          <w:sz w:val="28"/>
        </w:rPr>
      </w:pPr>
    </w:p>
    <w:p w14:paraId="5E0F8698" w14:textId="77777777" w:rsidR="005611C5" w:rsidRPr="00387E87" w:rsidRDefault="005611C5">
      <w:pPr>
        <w:pStyle w:val="C1-CtrBoldHd"/>
        <w:spacing w:after="0"/>
        <w:rPr>
          <w:sz w:val="28"/>
        </w:rPr>
      </w:pPr>
    </w:p>
    <w:p w14:paraId="5E0F8699" w14:textId="77777777" w:rsidR="005611C5" w:rsidRPr="00387E87" w:rsidRDefault="005611C5">
      <w:pPr>
        <w:pStyle w:val="C1-CtrBoldHd"/>
        <w:spacing w:after="0"/>
        <w:rPr>
          <w:sz w:val="28"/>
        </w:rPr>
      </w:pPr>
    </w:p>
    <w:p w14:paraId="5E0F869A" w14:textId="77777777" w:rsidR="005611C5" w:rsidRDefault="005611C5">
      <w:pPr>
        <w:pStyle w:val="C1-CtrBoldHd"/>
        <w:spacing w:after="0"/>
        <w:rPr>
          <w:sz w:val="28"/>
        </w:rPr>
      </w:pPr>
    </w:p>
    <w:p w14:paraId="19AE0750" w14:textId="77777777" w:rsidR="00124802" w:rsidRPr="00387E87" w:rsidRDefault="00124802">
      <w:pPr>
        <w:pStyle w:val="C1-CtrBoldHd"/>
        <w:spacing w:after="0"/>
        <w:rPr>
          <w:sz w:val="28"/>
        </w:rPr>
      </w:pPr>
    </w:p>
    <w:p w14:paraId="5E0F869B" w14:textId="77777777" w:rsidR="005611C5" w:rsidRPr="00387E87" w:rsidRDefault="005611C5">
      <w:pPr>
        <w:pStyle w:val="C1-CtrBoldHd"/>
        <w:spacing w:after="0"/>
        <w:rPr>
          <w:sz w:val="28"/>
        </w:rPr>
      </w:pPr>
    </w:p>
    <w:p w14:paraId="5E0F869C" w14:textId="580FB3A0" w:rsidR="005611C5" w:rsidRPr="00387E87" w:rsidRDefault="005611C5">
      <w:pPr>
        <w:pStyle w:val="C1-CtrBoldHd"/>
        <w:spacing w:after="0"/>
        <w:rPr>
          <w:caps w:val="0"/>
        </w:rPr>
      </w:pPr>
    </w:p>
    <w:p w14:paraId="5E0F869D" w14:textId="77777777" w:rsidR="005611C5" w:rsidRPr="00387E87" w:rsidRDefault="005611C5">
      <w:pPr>
        <w:pStyle w:val="C1-CtrBoldHd"/>
        <w:spacing w:after="0"/>
      </w:pPr>
    </w:p>
    <w:p w14:paraId="5E0F869E" w14:textId="42702C0F" w:rsidR="005611C5" w:rsidRPr="00387E87" w:rsidRDefault="005611C5">
      <w:pPr>
        <w:pStyle w:val="C1-CtrBoldHd"/>
        <w:spacing w:after="0"/>
      </w:pPr>
      <w:r w:rsidRPr="00387E87">
        <w:rPr>
          <w:caps w:val="0"/>
        </w:rPr>
        <w:t>National Center for Education Statistics</w:t>
      </w:r>
      <w:r w:rsidR="007E0004">
        <w:rPr>
          <w:caps w:val="0"/>
        </w:rPr>
        <w:t xml:space="preserve"> (NCES)</w:t>
      </w:r>
    </w:p>
    <w:p w14:paraId="5E0F869F" w14:textId="77777777" w:rsidR="005611C5" w:rsidRPr="00387E87" w:rsidRDefault="005611C5">
      <w:pPr>
        <w:pStyle w:val="C1-CtrBoldHd"/>
        <w:spacing w:after="0"/>
        <w:rPr>
          <w:caps w:val="0"/>
        </w:rPr>
      </w:pPr>
      <w:r w:rsidRPr="00387E87">
        <w:rPr>
          <w:caps w:val="0"/>
        </w:rPr>
        <w:t>U.S. Department of Education</w:t>
      </w:r>
    </w:p>
    <w:p w14:paraId="5E0F86A0" w14:textId="77777777" w:rsidR="005611C5" w:rsidRPr="00387E87" w:rsidRDefault="005611C5">
      <w:pPr>
        <w:pStyle w:val="C1-CtrBoldHd"/>
        <w:spacing w:after="0"/>
      </w:pPr>
      <w:r w:rsidRPr="00387E87">
        <w:rPr>
          <w:caps w:val="0"/>
        </w:rPr>
        <w:t>Institute of Education Sciences</w:t>
      </w:r>
    </w:p>
    <w:p w14:paraId="5E0F86A1" w14:textId="77777777" w:rsidR="005611C5" w:rsidRPr="00387E87" w:rsidRDefault="005611C5">
      <w:pPr>
        <w:pStyle w:val="C1-CtrBoldHd"/>
        <w:spacing w:after="0"/>
      </w:pPr>
      <w:r w:rsidRPr="00387E87">
        <w:rPr>
          <w:caps w:val="0"/>
        </w:rPr>
        <w:t>Washington, DC</w:t>
      </w:r>
    </w:p>
    <w:p w14:paraId="5E0F86A2" w14:textId="77777777" w:rsidR="005611C5" w:rsidRPr="00387E87" w:rsidRDefault="005611C5">
      <w:pPr>
        <w:pStyle w:val="C1-CtrBoldHd"/>
        <w:spacing w:after="0"/>
      </w:pPr>
    </w:p>
    <w:p w14:paraId="5E0F86A3" w14:textId="77777777" w:rsidR="005611C5" w:rsidRDefault="005611C5">
      <w:pPr>
        <w:pStyle w:val="C1-CtrBoldHd"/>
        <w:spacing w:after="0"/>
      </w:pPr>
    </w:p>
    <w:p w14:paraId="242959AB" w14:textId="77777777" w:rsidR="002230AC" w:rsidRDefault="002230AC">
      <w:pPr>
        <w:pStyle w:val="C1-CtrBoldHd"/>
        <w:spacing w:after="0"/>
      </w:pPr>
    </w:p>
    <w:p w14:paraId="6161AE71" w14:textId="77777777" w:rsidR="002230AC" w:rsidRDefault="002230AC">
      <w:pPr>
        <w:pStyle w:val="C1-CtrBoldHd"/>
        <w:spacing w:after="0"/>
      </w:pPr>
    </w:p>
    <w:p w14:paraId="7B6DFD2A" w14:textId="77777777" w:rsidR="002230AC" w:rsidRDefault="002230AC">
      <w:pPr>
        <w:pStyle w:val="C1-CtrBoldHd"/>
        <w:spacing w:after="0"/>
      </w:pPr>
    </w:p>
    <w:p w14:paraId="45962579" w14:textId="77777777" w:rsidR="002230AC" w:rsidRDefault="002230AC">
      <w:pPr>
        <w:pStyle w:val="C1-CtrBoldHd"/>
        <w:spacing w:after="0"/>
      </w:pPr>
    </w:p>
    <w:p w14:paraId="2C287E7B" w14:textId="77777777" w:rsidR="002230AC" w:rsidRDefault="002230AC">
      <w:pPr>
        <w:pStyle w:val="C1-CtrBoldHd"/>
        <w:spacing w:after="0"/>
      </w:pPr>
    </w:p>
    <w:p w14:paraId="28890143" w14:textId="77777777" w:rsidR="002230AC" w:rsidRDefault="002230AC">
      <w:pPr>
        <w:pStyle w:val="C1-CtrBoldHd"/>
        <w:spacing w:after="0"/>
      </w:pPr>
    </w:p>
    <w:p w14:paraId="2B02333E" w14:textId="625B3FFC" w:rsidR="002230AC" w:rsidRPr="00387E87" w:rsidRDefault="00131757">
      <w:pPr>
        <w:pStyle w:val="C1-CtrBoldHd"/>
        <w:spacing w:after="0"/>
      </w:pPr>
      <w:r>
        <w:rPr>
          <w:caps w:val="0"/>
        </w:rPr>
        <w:t>April 2017</w:t>
      </w:r>
    </w:p>
    <w:p w14:paraId="1C7DC466" w14:textId="61B2930B" w:rsidR="002A61EC" w:rsidRDefault="00131757">
      <w:pPr>
        <w:pStyle w:val="C1-CtrBoldHd"/>
        <w:spacing w:after="0"/>
        <w:rPr>
          <w:caps w:val="0"/>
        </w:rPr>
      </w:pPr>
      <w:r>
        <w:rPr>
          <w:caps w:val="0"/>
        </w:rPr>
        <w:t xml:space="preserve">revised </w:t>
      </w:r>
      <w:r w:rsidR="00CC73DB">
        <w:rPr>
          <w:caps w:val="0"/>
        </w:rPr>
        <w:t xml:space="preserve">July </w:t>
      </w:r>
      <w:r w:rsidR="0053060D">
        <w:rPr>
          <w:caps w:val="0"/>
        </w:rPr>
        <w:t>2017</w:t>
      </w:r>
    </w:p>
    <w:p w14:paraId="5E0F86A5" w14:textId="77777777" w:rsidR="005611C5" w:rsidRPr="00387E87" w:rsidRDefault="005611C5">
      <w:pPr>
        <w:pStyle w:val="C2-CtrSglSp"/>
        <w:rPr>
          <w:rFonts w:ascii="Garamond" w:hAnsi="Garamond"/>
          <w:sz w:val="24"/>
        </w:rPr>
      </w:pPr>
    </w:p>
    <w:p w14:paraId="5E0F86A6" w14:textId="77777777" w:rsidR="005611C5" w:rsidRDefault="005611C5">
      <w:pPr>
        <w:spacing w:line="240" w:lineRule="auto"/>
        <w:jc w:val="left"/>
        <w:sectPr w:rsidR="005611C5" w:rsidSect="00E44479">
          <w:headerReference w:type="default" r:id="rId9"/>
          <w:footerReference w:type="default" r:id="rId10"/>
          <w:pgSz w:w="12240" w:h="15840"/>
          <w:pgMar w:top="1440" w:right="1296" w:bottom="1296" w:left="1296" w:header="720" w:footer="576" w:gutter="0"/>
          <w:pgBorders w:offsetFrom="page">
            <w:top w:val="none" w:sz="0" w:space="5" w:color="000000"/>
            <w:left w:val="none" w:sz="0" w:space="0" w:color="000034"/>
            <w:bottom w:val="none" w:sz="0" w:space="0" w:color="000000"/>
            <w:right w:val="none" w:sz="0" w:space="0" w:color="220401" w:frame="1"/>
          </w:pgBorders>
          <w:pgNumType w:fmt="lowerRoman"/>
          <w:cols w:space="720"/>
          <w:titlePg/>
        </w:sectPr>
      </w:pPr>
    </w:p>
    <w:p w14:paraId="5E0F86A7" w14:textId="77777777" w:rsidR="00FA3B61" w:rsidRDefault="00FA3B61" w:rsidP="0099504D">
      <w:pPr>
        <w:pStyle w:val="Title"/>
        <w:rPr>
          <w:rFonts w:ascii="Garamond" w:hAnsi="Garamond"/>
        </w:rPr>
      </w:pPr>
    </w:p>
    <w:p w14:paraId="5E0F86A8" w14:textId="77777777" w:rsidR="00FA3B61" w:rsidRDefault="00FA3B61" w:rsidP="0099504D">
      <w:pPr>
        <w:pStyle w:val="Title"/>
        <w:rPr>
          <w:rFonts w:ascii="Garamond" w:hAnsi="Garamond"/>
        </w:rPr>
      </w:pPr>
    </w:p>
    <w:p w14:paraId="614CE64B" w14:textId="77777777" w:rsidR="00E70033" w:rsidRDefault="00E70033" w:rsidP="0099504D">
      <w:pPr>
        <w:pStyle w:val="Title"/>
        <w:rPr>
          <w:rFonts w:ascii="Garamond" w:hAnsi="Garamond"/>
        </w:rPr>
      </w:pPr>
    </w:p>
    <w:p w14:paraId="5E0F86A9" w14:textId="77777777" w:rsidR="005611C5" w:rsidRPr="00BA3FB2" w:rsidRDefault="005611C5" w:rsidP="0099504D">
      <w:pPr>
        <w:pStyle w:val="Title"/>
        <w:rPr>
          <w:rFonts w:ascii="Garamond" w:hAnsi="Garamond"/>
        </w:rPr>
      </w:pPr>
      <w:r w:rsidRPr="00BA3FB2">
        <w:rPr>
          <w:rFonts w:ascii="Garamond" w:hAnsi="Garamond"/>
        </w:rPr>
        <w:t>TABLE OF CONTENTS</w:t>
      </w:r>
    </w:p>
    <w:p w14:paraId="5E0F86AA" w14:textId="77777777" w:rsidR="005611C5" w:rsidRDefault="005611C5" w:rsidP="0099504D">
      <w:pPr>
        <w:pStyle w:val="TOC1"/>
      </w:pPr>
    </w:p>
    <w:p w14:paraId="34C35126" w14:textId="77777777" w:rsidR="00DF0307" w:rsidRDefault="003D70B7" w:rsidP="007348F7">
      <w:pPr>
        <w:pStyle w:val="TOC1"/>
        <w:tabs>
          <w:tab w:val="clear" w:pos="8640"/>
          <w:tab w:val="right" w:leader="dot" w:pos="9360"/>
        </w:tabs>
        <w:rPr>
          <w:rFonts w:asciiTheme="minorHAnsi" w:eastAsiaTheme="minorEastAsia" w:hAnsiTheme="minorHAnsi" w:cstheme="minorBidi"/>
          <w:b w:val="0"/>
          <w:noProof/>
          <w:sz w:val="22"/>
          <w:szCs w:val="22"/>
        </w:rPr>
      </w:pPr>
      <w:r w:rsidRPr="002B5DE2">
        <w:rPr>
          <w:b w:val="0"/>
          <w:szCs w:val="24"/>
        </w:rPr>
        <w:fldChar w:fldCharType="begin"/>
      </w:r>
      <w:r w:rsidR="005611C5" w:rsidRPr="002B5DE2">
        <w:rPr>
          <w:b w:val="0"/>
          <w:szCs w:val="24"/>
        </w:rPr>
        <w:instrText xml:space="preserve"> TOC \h \z \t "Heading 1,2,Heading 2,3,Heading 3,4,Heading 0,1" </w:instrText>
      </w:r>
      <w:r w:rsidRPr="002B5DE2">
        <w:rPr>
          <w:b w:val="0"/>
          <w:szCs w:val="24"/>
        </w:rPr>
        <w:fldChar w:fldCharType="separate"/>
      </w:r>
      <w:hyperlink w:anchor="_Toc488670083" w:history="1">
        <w:r w:rsidR="00DF0307" w:rsidRPr="00483F8E">
          <w:rPr>
            <w:rStyle w:val="Hyperlink"/>
            <w:noProof/>
          </w:rPr>
          <w:t>PREFACE</w:t>
        </w:r>
        <w:r w:rsidR="00DF0307">
          <w:rPr>
            <w:noProof/>
            <w:webHidden/>
          </w:rPr>
          <w:tab/>
        </w:r>
        <w:r w:rsidR="00DF0307">
          <w:rPr>
            <w:noProof/>
            <w:webHidden/>
          </w:rPr>
          <w:fldChar w:fldCharType="begin"/>
        </w:r>
        <w:r w:rsidR="00DF0307">
          <w:rPr>
            <w:noProof/>
            <w:webHidden/>
          </w:rPr>
          <w:instrText xml:space="preserve"> PAGEREF _Toc488670083 \h </w:instrText>
        </w:r>
        <w:r w:rsidR="00DF0307">
          <w:rPr>
            <w:noProof/>
            <w:webHidden/>
          </w:rPr>
        </w:r>
        <w:r w:rsidR="00DF0307">
          <w:rPr>
            <w:noProof/>
            <w:webHidden/>
          </w:rPr>
          <w:fldChar w:fldCharType="separate"/>
        </w:r>
        <w:r w:rsidR="00B86B84">
          <w:rPr>
            <w:noProof/>
            <w:webHidden/>
          </w:rPr>
          <w:t>2</w:t>
        </w:r>
        <w:r w:rsidR="00DF0307">
          <w:rPr>
            <w:noProof/>
            <w:webHidden/>
          </w:rPr>
          <w:fldChar w:fldCharType="end"/>
        </w:r>
      </w:hyperlink>
    </w:p>
    <w:p w14:paraId="440CEED4" w14:textId="77777777" w:rsidR="00DF0307" w:rsidRDefault="00E040F6" w:rsidP="007348F7">
      <w:pPr>
        <w:pStyle w:val="TOC1"/>
        <w:tabs>
          <w:tab w:val="clear" w:pos="8640"/>
          <w:tab w:val="right" w:leader="dot" w:pos="9360"/>
        </w:tabs>
        <w:rPr>
          <w:rFonts w:asciiTheme="minorHAnsi" w:eastAsiaTheme="minorEastAsia" w:hAnsiTheme="minorHAnsi" w:cstheme="minorBidi"/>
          <w:b w:val="0"/>
          <w:noProof/>
          <w:sz w:val="22"/>
          <w:szCs w:val="22"/>
        </w:rPr>
      </w:pPr>
      <w:hyperlink w:anchor="_Toc488670084" w:history="1">
        <w:r w:rsidR="00DF0307" w:rsidRPr="00483F8E">
          <w:rPr>
            <w:rStyle w:val="Hyperlink"/>
            <w:noProof/>
          </w:rPr>
          <w:t>A. JUSTIFICATION</w:t>
        </w:r>
        <w:r w:rsidR="00DF0307">
          <w:rPr>
            <w:noProof/>
            <w:webHidden/>
          </w:rPr>
          <w:tab/>
        </w:r>
        <w:r w:rsidR="00DF0307">
          <w:rPr>
            <w:noProof/>
            <w:webHidden/>
          </w:rPr>
          <w:fldChar w:fldCharType="begin"/>
        </w:r>
        <w:r w:rsidR="00DF0307">
          <w:rPr>
            <w:noProof/>
            <w:webHidden/>
          </w:rPr>
          <w:instrText xml:space="preserve"> PAGEREF _Toc488670084 \h </w:instrText>
        </w:r>
        <w:r w:rsidR="00DF0307">
          <w:rPr>
            <w:noProof/>
            <w:webHidden/>
          </w:rPr>
        </w:r>
        <w:r w:rsidR="00DF0307">
          <w:rPr>
            <w:noProof/>
            <w:webHidden/>
          </w:rPr>
          <w:fldChar w:fldCharType="separate"/>
        </w:r>
        <w:r w:rsidR="00B86B84">
          <w:rPr>
            <w:noProof/>
            <w:webHidden/>
          </w:rPr>
          <w:t>3</w:t>
        </w:r>
        <w:r w:rsidR="00DF0307">
          <w:rPr>
            <w:noProof/>
            <w:webHidden/>
          </w:rPr>
          <w:fldChar w:fldCharType="end"/>
        </w:r>
      </w:hyperlink>
    </w:p>
    <w:p w14:paraId="3F33148E" w14:textId="77777777" w:rsidR="00DF0307" w:rsidRDefault="00E040F6">
      <w:pPr>
        <w:pStyle w:val="TOC2"/>
        <w:rPr>
          <w:rFonts w:asciiTheme="minorHAnsi" w:eastAsiaTheme="minorEastAsia" w:hAnsiTheme="minorHAnsi" w:cstheme="minorBidi"/>
          <w:sz w:val="22"/>
          <w:szCs w:val="22"/>
        </w:rPr>
      </w:pPr>
      <w:hyperlink w:anchor="_Toc488670085" w:history="1">
        <w:r w:rsidR="00DF0307" w:rsidRPr="00483F8E">
          <w:rPr>
            <w:rStyle w:val="Hyperlink"/>
          </w:rPr>
          <w:t>A.1</w:t>
        </w:r>
        <w:r w:rsidR="00DF0307">
          <w:rPr>
            <w:rFonts w:asciiTheme="minorHAnsi" w:eastAsiaTheme="minorEastAsia" w:hAnsiTheme="minorHAnsi" w:cstheme="minorBidi"/>
            <w:sz w:val="22"/>
            <w:szCs w:val="22"/>
          </w:rPr>
          <w:tab/>
        </w:r>
        <w:r w:rsidR="00DF0307" w:rsidRPr="00483F8E">
          <w:rPr>
            <w:rStyle w:val="Hyperlink"/>
          </w:rPr>
          <w:t>Importance of Information</w:t>
        </w:r>
        <w:r w:rsidR="00DF0307">
          <w:rPr>
            <w:webHidden/>
          </w:rPr>
          <w:tab/>
        </w:r>
        <w:r w:rsidR="00DF0307">
          <w:rPr>
            <w:webHidden/>
          </w:rPr>
          <w:fldChar w:fldCharType="begin"/>
        </w:r>
        <w:r w:rsidR="00DF0307">
          <w:rPr>
            <w:webHidden/>
          </w:rPr>
          <w:instrText xml:space="preserve"> PAGEREF _Toc488670085 \h </w:instrText>
        </w:r>
        <w:r w:rsidR="00DF0307">
          <w:rPr>
            <w:webHidden/>
          </w:rPr>
        </w:r>
        <w:r w:rsidR="00DF0307">
          <w:rPr>
            <w:webHidden/>
          </w:rPr>
          <w:fldChar w:fldCharType="separate"/>
        </w:r>
        <w:r w:rsidR="00B86B84">
          <w:rPr>
            <w:webHidden/>
          </w:rPr>
          <w:t>3</w:t>
        </w:r>
        <w:r w:rsidR="00DF0307">
          <w:rPr>
            <w:webHidden/>
          </w:rPr>
          <w:fldChar w:fldCharType="end"/>
        </w:r>
      </w:hyperlink>
    </w:p>
    <w:p w14:paraId="3CC91504" w14:textId="77777777" w:rsidR="00DF0307" w:rsidRDefault="00E040F6">
      <w:pPr>
        <w:pStyle w:val="TOC2"/>
        <w:rPr>
          <w:rFonts w:asciiTheme="minorHAnsi" w:eastAsiaTheme="minorEastAsia" w:hAnsiTheme="minorHAnsi" w:cstheme="minorBidi"/>
          <w:sz w:val="22"/>
          <w:szCs w:val="22"/>
        </w:rPr>
      </w:pPr>
      <w:hyperlink w:anchor="_Toc488670089" w:history="1">
        <w:r w:rsidR="00DF0307" w:rsidRPr="00483F8E">
          <w:rPr>
            <w:rStyle w:val="Hyperlink"/>
          </w:rPr>
          <w:t>A.2</w:t>
        </w:r>
        <w:r w:rsidR="00DF0307">
          <w:rPr>
            <w:rFonts w:asciiTheme="minorHAnsi" w:eastAsiaTheme="minorEastAsia" w:hAnsiTheme="minorHAnsi" w:cstheme="minorBidi"/>
            <w:sz w:val="22"/>
            <w:szCs w:val="22"/>
          </w:rPr>
          <w:tab/>
        </w:r>
        <w:r w:rsidR="00DF0307" w:rsidRPr="00483F8E">
          <w:rPr>
            <w:rStyle w:val="Hyperlink"/>
          </w:rPr>
          <w:t>Purposes and Uses of Data</w:t>
        </w:r>
        <w:r w:rsidR="00DF0307">
          <w:rPr>
            <w:webHidden/>
          </w:rPr>
          <w:tab/>
        </w:r>
        <w:r w:rsidR="00DF0307">
          <w:rPr>
            <w:webHidden/>
          </w:rPr>
          <w:fldChar w:fldCharType="begin"/>
        </w:r>
        <w:r w:rsidR="00DF0307">
          <w:rPr>
            <w:webHidden/>
          </w:rPr>
          <w:instrText xml:space="preserve"> PAGEREF _Toc488670089 \h </w:instrText>
        </w:r>
        <w:r w:rsidR="00DF0307">
          <w:rPr>
            <w:webHidden/>
          </w:rPr>
        </w:r>
        <w:r w:rsidR="00DF0307">
          <w:rPr>
            <w:webHidden/>
          </w:rPr>
          <w:fldChar w:fldCharType="separate"/>
        </w:r>
        <w:r w:rsidR="00B86B84">
          <w:rPr>
            <w:webHidden/>
          </w:rPr>
          <w:t>4</w:t>
        </w:r>
        <w:r w:rsidR="00DF0307">
          <w:rPr>
            <w:webHidden/>
          </w:rPr>
          <w:fldChar w:fldCharType="end"/>
        </w:r>
      </w:hyperlink>
    </w:p>
    <w:p w14:paraId="09380C21" w14:textId="77777777" w:rsidR="00DF0307" w:rsidRDefault="00E040F6">
      <w:pPr>
        <w:pStyle w:val="TOC2"/>
        <w:rPr>
          <w:rFonts w:asciiTheme="minorHAnsi" w:eastAsiaTheme="minorEastAsia" w:hAnsiTheme="minorHAnsi" w:cstheme="minorBidi"/>
          <w:sz w:val="22"/>
          <w:szCs w:val="22"/>
        </w:rPr>
      </w:pPr>
      <w:hyperlink w:anchor="_Toc488670090" w:history="1">
        <w:r w:rsidR="00DF0307" w:rsidRPr="00483F8E">
          <w:rPr>
            <w:rStyle w:val="Hyperlink"/>
          </w:rPr>
          <w:t>A.3</w:t>
        </w:r>
        <w:r w:rsidR="00DF0307">
          <w:rPr>
            <w:rFonts w:asciiTheme="minorHAnsi" w:eastAsiaTheme="minorEastAsia" w:hAnsiTheme="minorHAnsi" w:cstheme="minorBidi"/>
            <w:sz w:val="22"/>
            <w:szCs w:val="22"/>
          </w:rPr>
          <w:tab/>
        </w:r>
        <w:r w:rsidR="00DF0307" w:rsidRPr="00483F8E">
          <w:rPr>
            <w:rStyle w:val="Hyperlink"/>
          </w:rPr>
          <w:t>Improved Information Technology (Reduction of Burden)</w:t>
        </w:r>
        <w:r w:rsidR="00DF0307">
          <w:rPr>
            <w:webHidden/>
          </w:rPr>
          <w:tab/>
        </w:r>
        <w:r w:rsidR="00DF0307">
          <w:rPr>
            <w:webHidden/>
          </w:rPr>
          <w:fldChar w:fldCharType="begin"/>
        </w:r>
        <w:r w:rsidR="00DF0307">
          <w:rPr>
            <w:webHidden/>
          </w:rPr>
          <w:instrText xml:space="preserve"> PAGEREF _Toc488670090 \h </w:instrText>
        </w:r>
        <w:r w:rsidR="00DF0307">
          <w:rPr>
            <w:webHidden/>
          </w:rPr>
        </w:r>
        <w:r w:rsidR="00DF0307">
          <w:rPr>
            <w:webHidden/>
          </w:rPr>
          <w:fldChar w:fldCharType="separate"/>
        </w:r>
        <w:r w:rsidR="00B86B84">
          <w:rPr>
            <w:webHidden/>
          </w:rPr>
          <w:t>5</w:t>
        </w:r>
        <w:r w:rsidR="00DF0307">
          <w:rPr>
            <w:webHidden/>
          </w:rPr>
          <w:fldChar w:fldCharType="end"/>
        </w:r>
      </w:hyperlink>
    </w:p>
    <w:p w14:paraId="46360104" w14:textId="77777777" w:rsidR="00DF0307" w:rsidRDefault="00E040F6">
      <w:pPr>
        <w:pStyle w:val="TOC2"/>
        <w:rPr>
          <w:rFonts w:asciiTheme="minorHAnsi" w:eastAsiaTheme="minorEastAsia" w:hAnsiTheme="minorHAnsi" w:cstheme="minorBidi"/>
          <w:sz w:val="22"/>
          <w:szCs w:val="22"/>
        </w:rPr>
      </w:pPr>
      <w:hyperlink w:anchor="_Toc488670091" w:history="1">
        <w:r w:rsidR="00DF0307" w:rsidRPr="00483F8E">
          <w:rPr>
            <w:rStyle w:val="Hyperlink"/>
          </w:rPr>
          <w:t>A.4</w:t>
        </w:r>
        <w:r w:rsidR="00DF0307">
          <w:rPr>
            <w:rFonts w:asciiTheme="minorHAnsi" w:eastAsiaTheme="minorEastAsia" w:hAnsiTheme="minorHAnsi" w:cstheme="minorBidi"/>
            <w:sz w:val="22"/>
            <w:szCs w:val="22"/>
          </w:rPr>
          <w:tab/>
        </w:r>
        <w:r w:rsidR="00DF0307" w:rsidRPr="00483F8E">
          <w:rPr>
            <w:rStyle w:val="Hyperlink"/>
          </w:rPr>
          <w:t>Efforts to Identify Duplication</w:t>
        </w:r>
        <w:r w:rsidR="00DF0307">
          <w:rPr>
            <w:webHidden/>
          </w:rPr>
          <w:tab/>
        </w:r>
        <w:r w:rsidR="00DF0307">
          <w:rPr>
            <w:webHidden/>
          </w:rPr>
          <w:fldChar w:fldCharType="begin"/>
        </w:r>
        <w:r w:rsidR="00DF0307">
          <w:rPr>
            <w:webHidden/>
          </w:rPr>
          <w:instrText xml:space="preserve"> PAGEREF _Toc488670091 \h </w:instrText>
        </w:r>
        <w:r w:rsidR="00DF0307">
          <w:rPr>
            <w:webHidden/>
          </w:rPr>
        </w:r>
        <w:r w:rsidR="00DF0307">
          <w:rPr>
            <w:webHidden/>
          </w:rPr>
          <w:fldChar w:fldCharType="separate"/>
        </w:r>
        <w:r w:rsidR="00B86B84">
          <w:rPr>
            <w:webHidden/>
          </w:rPr>
          <w:t>5</w:t>
        </w:r>
        <w:r w:rsidR="00DF0307">
          <w:rPr>
            <w:webHidden/>
          </w:rPr>
          <w:fldChar w:fldCharType="end"/>
        </w:r>
      </w:hyperlink>
    </w:p>
    <w:p w14:paraId="20D1C4AE" w14:textId="77777777" w:rsidR="00DF0307" w:rsidRDefault="00E040F6">
      <w:pPr>
        <w:pStyle w:val="TOC2"/>
        <w:rPr>
          <w:rFonts w:asciiTheme="minorHAnsi" w:eastAsiaTheme="minorEastAsia" w:hAnsiTheme="minorHAnsi" w:cstheme="minorBidi"/>
          <w:sz w:val="22"/>
          <w:szCs w:val="22"/>
        </w:rPr>
      </w:pPr>
      <w:hyperlink w:anchor="_Toc488670092" w:history="1">
        <w:r w:rsidR="00DF0307" w:rsidRPr="00483F8E">
          <w:rPr>
            <w:rStyle w:val="Hyperlink"/>
          </w:rPr>
          <w:t>A.5</w:t>
        </w:r>
        <w:r w:rsidR="00DF0307">
          <w:rPr>
            <w:rFonts w:asciiTheme="minorHAnsi" w:eastAsiaTheme="minorEastAsia" w:hAnsiTheme="minorHAnsi" w:cstheme="minorBidi"/>
            <w:sz w:val="22"/>
            <w:szCs w:val="22"/>
          </w:rPr>
          <w:tab/>
        </w:r>
        <w:r w:rsidR="00DF0307" w:rsidRPr="00483F8E">
          <w:rPr>
            <w:rStyle w:val="Hyperlink"/>
          </w:rPr>
          <w:t>Minimizing Burden for Small Entities</w:t>
        </w:r>
        <w:r w:rsidR="00DF0307">
          <w:rPr>
            <w:webHidden/>
          </w:rPr>
          <w:tab/>
        </w:r>
        <w:r w:rsidR="00DF0307">
          <w:rPr>
            <w:webHidden/>
          </w:rPr>
          <w:fldChar w:fldCharType="begin"/>
        </w:r>
        <w:r w:rsidR="00DF0307">
          <w:rPr>
            <w:webHidden/>
          </w:rPr>
          <w:instrText xml:space="preserve"> PAGEREF _Toc488670092 \h </w:instrText>
        </w:r>
        <w:r w:rsidR="00DF0307">
          <w:rPr>
            <w:webHidden/>
          </w:rPr>
        </w:r>
        <w:r w:rsidR="00DF0307">
          <w:rPr>
            <w:webHidden/>
          </w:rPr>
          <w:fldChar w:fldCharType="separate"/>
        </w:r>
        <w:r w:rsidR="00B86B84">
          <w:rPr>
            <w:webHidden/>
          </w:rPr>
          <w:t>6</w:t>
        </w:r>
        <w:r w:rsidR="00DF0307">
          <w:rPr>
            <w:webHidden/>
          </w:rPr>
          <w:fldChar w:fldCharType="end"/>
        </w:r>
      </w:hyperlink>
    </w:p>
    <w:p w14:paraId="2A7312F7" w14:textId="77777777" w:rsidR="00DF0307" w:rsidRDefault="00E040F6">
      <w:pPr>
        <w:pStyle w:val="TOC2"/>
        <w:rPr>
          <w:rFonts w:asciiTheme="minorHAnsi" w:eastAsiaTheme="minorEastAsia" w:hAnsiTheme="minorHAnsi" w:cstheme="minorBidi"/>
          <w:sz w:val="22"/>
          <w:szCs w:val="22"/>
        </w:rPr>
      </w:pPr>
      <w:hyperlink w:anchor="_Toc488670093" w:history="1">
        <w:r w:rsidR="00DF0307" w:rsidRPr="00483F8E">
          <w:rPr>
            <w:rStyle w:val="Hyperlink"/>
          </w:rPr>
          <w:t>A.6</w:t>
        </w:r>
        <w:r w:rsidR="00DF0307">
          <w:rPr>
            <w:rFonts w:asciiTheme="minorHAnsi" w:eastAsiaTheme="minorEastAsia" w:hAnsiTheme="minorHAnsi" w:cstheme="minorBidi"/>
            <w:sz w:val="22"/>
            <w:szCs w:val="22"/>
          </w:rPr>
          <w:tab/>
        </w:r>
        <w:r w:rsidR="00DF0307" w:rsidRPr="00483F8E">
          <w:rPr>
            <w:rStyle w:val="Hyperlink"/>
          </w:rPr>
          <w:t>Frequency of Data Collection</w:t>
        </w:r>
        <w:r w:rsidR="00DF0307">
          <w:rPr>
            <w:webHidden/>
          </w:rPr>
          <w:tab/>
        </w:r>
        <w:r w:rsidR="00DF0307">
          <w:rPr>
            <w:webHidden/>
          </w:rPr>
          <w:fldChar w:fldCharType="begin"/>
        </w:r>
        <w:r w:rsidR="00DF0307">
          <w:rPr>
            <w:webHidden/>
          </w:rPr>
          <w:instrText xml:space="preserve"> PAGEREF _Toc488670093 \h </w:instrText>
        </w:r>
        <w:r w:rsidR="00DF0307">
          <w:rPr>
            <w:webHidden/>
          </w:rPr>
        </w:r>
        <w:r w:rsidR="00DF0307">
          <w:rPr>
            <w:webHidden/>
          </w:rPr>
          <w:fldChar w:fldCharType="separate"/>
        </w:r>
        <w:r w:rsidR="00B86B84">
          <w:rPr>
            <w:webHidden/>
          </w:rPr>
          <w:t>6</w:t>
        </w:r>
        <w:r w:rsidR="00DF0307">
          <w:rPr>
            <w:webHidden/>
          </w:rPr>
          <w:fldChar w:fldCharType="end"/>
        </w:r>
      </w:hyperlink>
    </w:p>
    <w:p w14:paraId="1BAB59B6" w14:textId="77777777" w:rsidR="00DF0307" w:rsidRDefault="00E040F6">
      <w:pPr>
        <w:pStyle w:val="TOC2"/>
        <w:rPr>
          <w:rFonts w:asciiTheme="minorHAnsi" w:eastAsiaTheme="minorEastAsia" w:hAnsiTheme="minorHAnsi" w:cstheme="minorBidi"/>
          <w:sz w:val="22"/>
          <w:szCs w:val="22"/>
        </w:rPr>
      </w:pPr>
      <w:hyperlink w:anchor="_Toc488670094" w:history="1">
        <w:r w:rsidR="00DF0307" w:rsidRPr="00483F8E">
          <w:rPr>
            <w:rStyle w:val="Hyperlink"/>
          </w:rPr>
          <w:t>A.7</w:t>
        </w:r>
        <w:r w:rsidR="00DF0307">
          <w:rPr>
            <w:rFonts w:asciiTheme="minorHAnsi" w:eastAsiaTheme="minorEastAsia" w:hAnsiTheme="minorHAnsi" w:cstheme="minorBidi"/>
            <w:sz w:val="22"/>
            <w:szCs w:val="22"/>
          </w:rPr>
          <w:tab/>
        </w:r>
        <w:r w:rsidR="00DF0307" w:rsidRPr="00483F8E">
          <w:rPr>
            <w:rStyle w:val="Hyperlink"/>
          </w:rPr>
          <w:t>Special Circumstances</w:t>
        </w:r>
        <w:r w:rsidR="00DF0307">
          <w:rPr>
            <w:webHidden/>
          </w:rPr>
          <w:tab/>
        </w:r>
        <w:r w:rsidR="00DF0307">
          <w:rPr>
            <w:webHidden/>
          </w:rPr>
          <w:fldChar w:fldCharType="begin"/>
        </w:r>
        <w:r w:rsidR="00DF0307">
          <w:rPr>
            <w:webHidden/>
          </w:rPr>
          <w:instrText xml:space="preserve"> PAGEREF _Toc488670094 \h </w:instrText>
        </w:r>
        <w:r w:rsidR="00DF0307">
          <w:rPr>
            <w:webHidden/>
          </w:rPr>
        </w:r>
        <w:r w:rsidR="00DF0307">
          <w:rPr>
            <w:webHidden/>
          </w:rPr>
          <w:fldChar w:fldCharType="separate"/>
        </w:r>
        <w:r w:rsidR="00B86B84">
          <w:rPr>
            <w:webHidden/>
          </w:rPr>
          <w:t>6</w:t>
        </w:r>
        <w:r w:rsidR="00DF0307">
          <w:rPr>
            <w:webHidden/>
          </w:rPr>
          <w:fldChar w:fldCharType="end"/>
        </w:r>
      </w:hyperlink>
    </w:p>
    <w:p w14:paraId="179D55A4" w14:textId="77777777" w:rsidR="00DF0307" w:rsidRDefault="00E040F6">
      <w:pPr>
        <w:pStyle w:val="TOC2"/>
        <w:rPr>
          <w:rFonts w:asciiTheme="minorHAnsi" w:eastAsiaTheme="minorEastAsia" w:hAnsiTheme="minorHAnsi" w:cstheme="minorBidi"/>
          <w:sz w:val="22"/>
          <w:szCs w:val="22"/>
        </w:rPr>
      </w:pPr>
      <w:hyperlink w:anchor="_Toc488670095" w:history="1">
        <w:r w:rsidR="00DF0307" w:rsidRPr="00483F8E">
          <w:rPr>
            <w:rStyle w:val="Hyperlink"/>
          </w:rPr>
          <w:t>A.8</w:t>
        </w:r>
        <w:r w:rsidR="00DF0307">
          <w:rPr>
            <w:rFonts w:asciiTheme="minorHAnsi" w:eastAsiaTheme="minorEastAsia" w:hAnsiTheme="minorHAnsi" w:cstheme="minorBidi"/>
            <w:sz w:val="22"/>
            <w:szCs w:val="22"/>
          </w:rPr>
          <w:tab/>
        </w:r>
        <w:r w:rsidR="00DF0307" w:rsidRPr="00483F8E">
          <w:rPr>
            <w:rStyle w:val="Hyperlink"/>
          </w:rPr>
          <w:t>Consultations Outside NCES</w:t>
        </w:r>
        <w:r w:rsidR="00DF0307">
          <w:rPr>
            <w:webHidden/>
          </w:rPr>
          <w:tab/>
        </w:r>
        <w:r w:rsidR="00DF0307">
          <w:rPr>
            <w:webHidden/>
          </w:rPr>
          <w:fldChar w:fldCharType="begin"/>
        </w:r>
        <w:r w:rsidR="00DF0307">
          <w:rPr>
            <w:webHidden/>
          </w:rPr>
          <w:instrText xml:space="preserve"> PAGEREF _Toc488670095 \h </w:instrText>
        </w:r>
        <w:r w:rsidR="00DF0307">
          <w:rPr>
            <w:webHidden/>
          </w:rPr>
        </w:r>
        <w:r w:rsidR="00DF0307">
          <w:rPr>
            <w:webHidden/>
          </w:rPr>
          <w:fldChar w:fldCharType="separate"/>
        </w:r>
        <w:r w:rsidR="00B86B84">
          <w:rPr>
            <w:webHidden/>
          </w:rPr>
          <w:t>6</w:t>
        </w:r>
        <w:r w:rsidR="00DF0307">
          <w:rPr>
            <w:webHidden/>
          </w:rPr>
          <w:fldChar w:fldCharType="end"/>
        </w:r>
      </w:hyperlink>
    </w:p>
    <w:p w14:paraId="09EB22BD" w14:textId="77777777" w:rsidR="00DF0307" w:rsidRDefault="00E040F6">
      <w:pPr>
        <w:pStyle w:val="TOC2"/>
        <w:rPr>
          <w:rFonts w:asciiTheme="minorHAnsi" w:eastAsiaTheme="minorEastAsia" w:hAnsiTheme="minorHAnsi" w:cstheme="minorBidi"/>
          <w:sz w:val="22"/>
          <w:szCs w:val="22"/>
        </w:rPr>
      </w:pPr>
      <w:hyperlink w:anchor="_Toc488670096" w:history="1">
        <w:r w:rsidR="00DF0307" w:rsidRPr="00483F8E">
          <w:rPr>
            <w:rStyle w:val="Hyperlink"/>
          </w:rPr>
          <w:t>A.9</w:t>
        </w:r>
        <w:r w:rsidR="00DF0307">
          <w:rPr>
            <w:rFonts w:asciiTheme="minorHAnsi" w:eastAsiaTheme="minorEastAsia" w:hAnsiTheme="minorHAnsi" w:cstheme="minorBidi"/>
            <w:sz w:val="22"/>
            <w:szCs w:val="22"/>
          </w:rPr>
          <w:tab/>
        </w:r>
        <w:r w:rsidR="00DF0307" w:rsidRPr="00483F8E">
          <w:rPr>
            <w:rStyle w:val="Hyperlink"/>
          </w:rPr>
          <w:t>Payments or Gifts to Respondents</w:t>
        </w:r>
        <w:r w:rsidR="00DF0307">
          <w:rPr>
            <w:webHidden/>
          </w:rPr>
          <w:tab/>
        </w:r>
        <w:r w:rsidR="00DF0307">
          <w:rPr>
            <w:webHidden/>
          </w:rPr>
          <w:fldChar w:fldCharType="begin"/>
        </w:r>
        <w:r w:rsidR="00DF0307">
          <w:rPr>
            <w:webHidden/>
          </w:rPr>
          <w:instrText xml:space="preserve"> PAGEREF _Toc488670096 \h </w:instrText>
        </w:r>
        <w:r w:rsidR="00DF0307">
          <w:rPr>
            <w:webHidden/>
          </w:rPr>
        </w:r>
        <w:r w:rsidR="00DF0307">
          <w:rPr>
            <w:webHidden/>
          </w:rPr>
          <w:fldChar w:fldCharType="separate"/>
        </w:r>
        <w:r w:rsidR="00B86B84">
          <w:rPr>
            <w:webHidden/>
          </w:rPr>
          <w:t>6</w:t>
        </w:r>
        <w:r w:rsidR="00DF0307">
          <w:rPr>
            <w:webHidden/>
          </w:rPr>
          <w:fldChar w:fldCharType="end"/>
        </w:r>
      </w:hyperlink>
    </w:p>
    <w:p w14:paraId="1CA05BF1" w14:textId="77777777" w:rsidR="00DF0307" w:rsidRDefault="00E040F6">
      <w:pPr>
        <w:pStyle w:val="TOC2"/>
        <w:rPr>
          <w:rFonts w:asciiTheme="minorHAnsi" w:eastAsiaTheme="minorEastAsia" w:hAnsiTheme="minorHAnsi" w:cstheme="minorBidi"/>
          <w:sz w:val="22"/>
          <w:szCs w:val="22"/>
        </w:rPr>
      </w:pPr>
      <w:hyperlink w:anchor="_Toc488670097" w:history="1">
        <w:r w:rsidR="00DF0307" w:rsidRPr="00483F8E">
          <w:rPr>
            <w:rStyle w:val="Hyperlink"/>
          </w:rPr>
          <w:t>A.10</w:t>
        </w:r>
        <w:r w:rsidR="00DF0307">
          <w:rPr>
            <w:rFonts w:asciiTheme="minorHAnsi" w:eastAsiaTheme="minorEastAsia" w:hAnsiTheme="minorHAnsi" w:cstheme="minorBidi"/>
            <w:sz w:val="22"/>
            <w:szCs w:val="22"/>
          </w:rPr>
          <w:tab/>
        </w:r>
        <w:r w:rsidR="00DF0307" w:rsidRPr="00483F8E">
          <w:rPr>
            <w:rStyle w:val="Hyperlink"/>
          </w:rPr>
          <w:t>Assurance of Confidentiality</w:t>
        </w:r>
        <w:r w:rsidR="00DF0307">
          <w:rPr>
            <w:webHidden/>
          </w:rPr>
          <w:tab/>
        </w:r>
        <w:r w:rsidR="00DF0307">
          <w:rPr>
            <w:webHidden/>
          </w:rPr>
          <w:fldChar w:fldCharType="begin"/>
        </w:r>
        <w:r w:rsidR="00DF0307">
          <w:rPr>
            <w:webHidden/>
          </w:rPr>
          <w:instrText xml:space="preserve"> PAGEREF _Toc488670097 \h </w:instrText>
        </w:r>
        <w:r w:rsidR="00DF0307">
          <w:rPr>
            <w:webHidden/>
          </w:rPr>
        </w:r>
        <w:r w:rsidR="00DF0307">
          <w:rPr>
            <w:webHidden/>
          </w:rPr>
          <w:fldChar w:fldCharType="separate"/>
        </w:r>
        <w:r w:rsidR="00B86B84">
          <w:rPr>
            <w:webHidden/>
          </w:rPr>
          <w:t>7</w:t>
        </w:r>
        <w:r w:rsidR="00DF0307">
          <w:rPr>
            <w:webHidden/>
          </w:rPr>
          <w:fldChar w:fldCharType="end"/>
        </w:r>
      </w:hyperlink>
    </w:p>
    <w:p w14:paraId="4EF3F7A1" w14:textId="77777777" w:rsidR="00DF0307" w:rsidRDefault="00E040F6">
      <w:pPr>
        <w:pStyle w:val="TOC2"/>
        <w:rPr>
          <w:rFonts w:asciiTheme="minorHAnsi" w:eastAsiaTheme="minorEastAsia" w:hAnsiTheme="minorHAnsi" w:cstheme="minorBidi"/>
          <w:sz w:val="22"/>
          <w:szCs w:val="22"/>
        </w:rPr>
      </w:pPr>
      <w:hyperlink w:anchor="_Toc488670098" w:history="1">
        <w:r w:rsidR="00DF0307" w:rsidRPr="00483F8E">
          <w:rPr>
            <w:rStyle w:val="Hyperlink"/>
          </w:rPr>
          <w:t>A. 11</w:t>
        </w:r>
        <w:r w:rsidR="00DF0307">
          <w:rPr>
            <w:rFonts w:asciiTheme="minorHAnsi" w:eastAsiaTheme="minorEastAsia" w:hAnsiTheme="minorHAnsi" w:cstheme="minorBidi"/>
            <w:sz w:val="22"/>
            <w:szCs w:val="22"/>
          </w:rPr>
          <w:tab/>
        </w:r>
        <w:r w:rsidR="00DF0307" w:rsidRPr="00483F8E">
          <w:rPr>
            <w:rStyle w:val="Hyperlink"/>
          </w:rPr>
          <w:t>Sensitive Questions</w:t>
        </w:r>
        <w:r w:rsidR="00DF0307">
          <w:rPr>
            <w:webHidden/>
          </w:rPr>
          <w:tab/>
        </w:r>
        <w:r w:rsidR="00DF0307">
          <w:rPr>
            <w:webHidden/>
          </w:rPr>
          <w:fldChar w:fldCharType="begin"/>
        </w:r>
        <w:r w:rsidR="00DF0307">
          <w:rPr>
            <w:webHidden/>
          </w:rPr>
          <w:instrText xml:space="preserve"> PAGEREF _Toc488670098 \h </w:instrText>
        </w:r>
        <w:r w:rsidR="00DF0307">
          <w:rPr>
            <w:webHidden/>
          </w:rPr>
        </w:r>
        <w:r w:rsidR="00DF0307">
          <w:rPr>
            <w:webHidden/>
          </w:rPr>
          <w:fldChar w:fldCharType="separate"/>
        </w:r>
        <w:r w:rsidR="00B86B84">
          <w:rPr>
            <w:webHidden/>
          </w:rPr>
          <w:t>9</w:t>
        </w:r>
        <w:r w:rsidR="00DF0307">
          <w:rPr>
            <w:webHidden/>
          </w:rPr>
          <w:fldChar w:fldCharType="end"/>
        </w:r>
      </w:hyperlink>
    </w:p>
    <w:p w14:paraId="006FB57B" w14:textId="77777777" w:rsidR="00DF0307" w:rsidRDefault="00E040F6">
      <w:pPr>
        <w:pStyle w:val="TOC2"/>
        <w:rPr>
          <w:rFonts w:asciiTheme="minorHAnsi" w:eastAsiaTheme="minorEastAsia" w:hAnsiTheme="minorHAnsi" w:cstheme="minorBidi"/>
          <w:sz w:val="22"/>
          <w:szCs w:val="22"/>
        </w:rPr>
      </w:pPr>
      <w:hyperlink w:anchor="_Toc488670099" w:history="1">
        <w:r w:rsidR="00DF0307" w:rsidRPr="00483F8E">
          <w:rPr>
            <w:rStyle w:val="Hyperlink"/>
          </w:rPr>
          <w:t>A. 12</w:t>
        </w:r>
        <w:r w:rsidR="00DF0307">
          <w:rPr>
            <w:rFonts w:asciiTheme="minorHAnsi" w:eastAsiaTheme="minorEastAsia" w:hAnsiTheme="minorHAnsi" w:cstheme="minorBidi"/>
            <w:sz w:val="22"/>
            <w:szCs w:val="22"/>
          </w:rPr>
          <w:tab/>
        </w:r>
        <w:r w:rsidR="00DF0307" w:rsidRPr="00483F8E">
          <w:rPr>
            <w:rStyle w:val="Hyperlink"/>
          </w:rPr>
          <w:t>Estimates of Burden</w:t>
        </w:r>
        <w:r w:rsidR="00DF0307">
          <w:rPr>
            <w:webHidden/>
          </w:rPr>
          <w:tab/>
        </w:r>
        <w:r w:rsidR="00DF0307">
          <w:rPr>
            <w:webHidden/>
          </w:rPr>
          <w:fldChar w:fldCharType="begin"/>
        </w:r>
        <w:r w:rsidR="00DF0307">
          <w:rPr>
            <w:webHidden/>
          </w:rPr>
          <w:instrText xml:space="preserve"> PAGEREF _Toc488670099 \h </w:instrText>
        </w:r>
        <w:r w:rsidR="00DF0307">
          <w:rPr>
            <w:webHidden/>
          </w:rPr>
        </w:r>
        <w:r w:rsidR="00DF0307">
          <w:rPr>
            <w:webHidden/>
          </w:rPr>
          <w:fldChar w:fldCharType="separate"/>
        </w:r>
        <w:r w:rsidR="00B86B84">
          <w:rPr>
            <w:webHidden/>
          </w:rPr>
          <w:t>9</w:t>
        </w:r>
        <w:r w:rsidR="00DF0307">
          <w:rPr>
            <w:webHidden/>
          </w:rPr>
          <w:fldChar w:fldCharType="end"/>
        </w:r>
      </w:hyperlink>
    </w:p>
    <w:p w14:paraId="08DA121D" w14:textId="77777777" w:rsidR="00DF0307" w:rsidRDefault="00E040F6">
      <w:pPr>
        <w:pStyle w:val="TOC2"/>
        <w:rPr>
          <w:rFonts w:asciiTheme="minorHAnsi" w:eastAsiaTheme="minorEastAsia" w:hAnsiTheme="minorHAnsi" w:cstheme="minorBidi"/>
          <w:sz w:val="22"/>
          <w:szCs w:val="22"/>
        </w:rPr>
      </w:pPr>
      <w:hyperlink w:anchor="_Toc488670102" w:history="1">
        <w:r w:rsidR="00DF0307" w:rsidRPr="00483F8E">
          <w:rPr>
            <w:rStyle w:val="Hyperlink"/>
          </w:rPr>
          <w:t>A.13</w:t>
        </w:r>
        <w:r w:rsidR="00DF0307">
          <w:rPr>
            <w:rFonts w:asciiTheme="minorHAnsi" w:eastAsiaTheme="minorEastAsia" w:hAnsiTheme="minorHAnsi" w:cstheme="minorBidi"/>
            <w:sz w:val="22"/>
            <w:szCs w:val="22"/>
          </w:rPr>
          <w:tab/>
        </w:r>
        <w:r w:rsidR="00DF0307" w:rsidRPr="00483F8E">
          <w:rPr>
            <w:rStyle w:val="Hyperlink"/>
          </w:rPr>
          <w:t>Total Annual Cost Burden</w:t>
        </w:r>
        <w:r w:rsidR="00DF0307">
          <w:rPr>
            <w:webHidden/>
          </w:rPr>
          <w:tab/>
        </w:r>
        <w:r w:rsidR="00DF0307">
          <w:rPr>
            <w:webHidden/>
          </w:rPr>
          <w:fldChar w:fldCharType="begin"/>
        </w:r>
        <w:r w:rsidR="00DF0307">
          <w:rPr>
            <w:webHidden/>
          </w:rPr>
          <w:instrText xml:space="preserve"> PAGEREF _Toc488670102 \h </w:instrText>
        </w:r>
        <w:r w:rsidR="00DF0307">
          <w:rPr>
            <w:webHidden/>
          </w:rPr>
        </w:r>
        <w:r w:rsidR="00DF0307">
          <w:rPr>
            <w:webHidden/>
          </w:rPr>
          <w:fldChar w:fldCharType="separate"/>
        </w:r>
        <w:r w:rsidR="00B86B84">
          <w:rPr>
            <w:webHidden/>
          </w:rPr>
          <w:t>11</w:t>
        </w:r>
        <w:r w:rsidR="00DF0307">
          <w:rPr>
            <w:webHidden/>
          </w:rPr>
          <w:fldChar w:fldCharType="end"/>
        </w:r>
      </w:hyperlink>
    </w:p>
    <w:p w14:paraId="30F59F4E" w14:textId="77777777" w:rsidR="00DF0307" w:rsidRDefault="00E040F6">
      <w:pPr>
        <w:pStyle w:val="TOC2"/>
        <w:rPr>
          <w:rFonts w:asciiTheme="minorHAnsi" w:eastAsiaTheme="minorEastAsia" w:hAnsiTheme="minorHAnsi" w:cstheme="minorBidi"/>
          <w:sz w:val="22"/>
          <w:szCs w:val="22"/>
        </w:rPr>
      </w:pPr>
      <w:hyperlink w:anchor="_Toc488670103" w:history="1">
        <w:r w:rsidR="00DF0307" w:rsidRPr="00483F8E">
          <w:rPr>
            <w:rStyle w:val="Hyperlink"/>
          </w:rPr>
          <w:t>A.14</w:t>
        </w:r>
        <w:r w:rsidR="00DF0307">
          <w:rPr>
            <w:rFonts w:asciiTheme="minorHAnsi" w:eastAsiaTheme="minorEastAsia" w:hAnsiTheme="minorHAnsi" w:cstheme="minorBidi"/>
            <w:sz w:val="22"/>
            <w:szCs w:val="22"/>
          </w:rPr>
          <w:tab/>
        </w:r>
        <w:r w:rsidR="00DF0307" w:rsidRPr="00483F8E">
          <w:rPr>
            <w:rStyle w:val="Hyperlink"/>
          </w:rPr>
          <w:t>Annualized Cost to Federal Government</w:t>
        </w:r>
        <w:r w:rsidR="00DF0307">
          <w:rPr>
            <w:webHidden/>
          </w:rPr>
          <w:tab/>
        </w:r>
        <w:r w:rsidR="00DF0307">
          <w:rPr>
            <w:webHidden/>
          </w:rPr>
          <w:fldChar w:fldCharType="begin"/>
        </w:r>
        <w:r w:rsidR="00DF0307">
          <w:rPr>
            <w:webHidden/>
          </w:rPr>
          <w:instrText xml:space="preserve"> PAGEREF _Toc488670103 \h </w:instrText>
        </w:r>
        <w:r w:rsidR="00DF0307">
          <w:rPr>
            <w:webHidden/>
          </w:rPr>
        </w:r>
        <w:r w:rsidR="00DF0307">
          <w:rPr>
            <w:webHidden/>
          </w:rPr>
          <w:fldChar w:fldCharType="separate"/>
        </w:r>
        <w:r w:rsidR="00B86B84">
          <w:rPr>
            <w:webHidden/>
          </w:rPr>
          <w:t>11</w:t>
        </w:r>
        <w:r w:rsidR="00DF0307">
          <w:rPr>
            <w:webHidden/>
          </w:rPr>
          <w:fldChar w:fldCharType="end"/>
        </w:r>
      </w:hyperlink>
    </w:p>
    <w:p w14:paraId="59ED32B9" w14:textId="77777777" w:rsidR="00DF0307" w:rsidRDefault="00E040F6">
      <w:pPr>
        <w:pStyle w:val="TOC2"/>
        <w:rPr>
          <w:rFonts w:asciiTheme="minorHAnsi" w:eastAsiaTheme="minorEastAsia" w:hAnsiTheme="minorHAnsi" w:cstheme="minorBidi"/>
          <w:sz w:val="22"/>
          <w:szCs w:val="22"/>
        </w:rPr>
      </w:pPr>
      <w:hyperlink w:anchor="_Toc488670104" w:history="1">
        <w:r w:rsidR="00DF0307" w:rsidRPr="00483F8E">
          <w:rPr>
            <w:rStyle w:val="Hyperlink"/>
          </w:rPr>
          <w:t>A.15</w:t>
        </w:r>
        <w:r w:rsidR="00DF0307">
          <w:rPr>
            <w:rFonts w:asciiTheme="minorHAnsi" w:eastAsiaTheme="minorEastAsia" w:hAnsiTheme="minorHAnsi" w:cstheme="minorBidi"/>
            <w:sz w:val="22"/>
            <w:szCs w:val="22"/>
          </w:rPr>
          <w:tab/>
        </w:r>
        <w:r w:rsidR="00DF0307" w:rsidRPr="00483F8E">
          <w:rPr>
            <w:rStyle w:val="Hyperlink"/>
          </w:rPr>
          <w:t>Program Changes or Adjustments</w:t>
        </w:r>
        <w:r w:rsidR="00DF0307">
          <w:rPr>
            <w:webHidden/>
          </w:rPr>
          <w:tab/>
        </w:r>
        <w:r w:rsidR="00DF0307">
          <w:rPr>
            <w:webHidden/>
          </w:rPr>
          <w:fldChar w:fldCharType="begin"/>
        </w:r>
        <w:r w:rsidR="00DF0307">
          <w:rPr>
            <w:webHidden/>
          </w:rPr>
          <w:instrText xml:space="preserve"> PAGEREF _Toc488670104 \h </w:instrText>
        </w:r>
        <w:r w:rsidR="00DF0307">
          <w:rPr>
            <w:webHidden/>
          </w:rPr>
        </w:r>
        <w:r w:rsidR="00DF0307">
          <w:rPr>
            <w:webHidden/>
          </w:rPr>
          <w:fldChar w:fldCharType="separate"/>
        </w:r>
        <w:r w:rsidR="00B86B84">
          <w:rPr>
            <w:webHidden/>
          </w:rPr>
          <w:t>12</w:t>
        </w:r>
        <w:r w:rsidR="00DF0307">
          <w:rPr>
            <w:webHidden/>
          </w:rPr>
          <w:fldChar w:fldCharType="end"/>
        </w:r>
      </w:hyperlink>
    </w:p>
    <w:p w14:paraId="7BBFD6AB" w14:textId="77777777" w:rsidR="00DF0307" w:rsidRDefault="00E040F6">
      <w:pPr>
        <w:pStyle w:val="TOC2"/>
        <w:rPr>
          <w:rFonts w:asciiTheme="minorHAnsi" w:eastAsiaTheme="minorEastAsia" w:hAnsiTheme="minorHAnsi" w:cstheme="minorBidi"/>
          <w:sz w:val="22"/>
          <w:szCs w:val="22"/>
        </w:rPr>
      </w:pPr>
      <w:hyperlink w:anchor="_Toc488670105" w:history="1">
        <w:r w:rsidR="00DF0307" w:rsidRPr="00483F8E">
          <w:rPr>
            <w:rStyle w:val="Hyperlink"/>
          </w:rPr>
          <w:t>A.15</w:t>
        </w:r>
        <w:r w:rsidR="00DF0307">
          <w:rPr>
            <w:rFonts w:asciiTheme="minorHAnsi" w:eastAsiaTheme="minorEastAsia" w:hAnsiTheme="minorHAnsi" w:cstheme="minorBidi"/>
            <w:sz w:val="22"/>
            <w:szCs w:val="22"/>
          </w:rPr>
          <w:tab/>
        </w:r>
        <w:r w:rsidR="00DF0307" w:rsidRPr="00483F8E">
          <w:rPr>
            <w:rStyle w:val="Hyperlink"/>
          </w:rPr>
          <w:t>Plans for Tabulation and Publication</w:t>
        </w:r>
        <w:r w:rsidR="00DF0307">
          <w:rPr>
            <w:webHidden/>
          </w:rPr>
          <w:tab/>
        </w:r>
        <w:r w:rsidR="00DF0307">
          <w:rPr>
            <w:webHidden/>
          </w:rPr>
          <w:fldChar w:fldCharType="begin"/>
        </w:r>
        <w:r w:rsidR="00DF0307">
          <w:rPr>
            <w:webHidden/>
          </w:rPr>
          <w:instrText xml:space="preserve"> PAGEREF _Toc488670105 \h </w:instrText>
        </w:r>
        <w:r w:rsidR="00DF0307">
          <w:rPr>
            <w:webHidden/>
          </w:rPr>
        </w:r>
        <w:r w:rsidR="00DF0307">
          <w:rPr>
            <w:webHidden/>
          </w:rPr>
          <w:fldChar w:fldCharType="separate"/>
        </w:r>
        <w:r w:rsidR="00B86B84">
          <w:rPr>
            <w:webHidden/>
          </w:rPr>
          <w:t>12</w:t>
        </w:r>
        <w:r w:rsidR="00DF0307">
          <w:rPr>
            <w:webHidden/>
          </w:rPr>
          <w:fldChar w:fldCharType="end"/>
        </w:r>
      </w:hyperlink>
    </w:p>
    <w:p w14:paraId="099B5ACE" w14:textId="77777777" w:rsidR="00DF0307" w:rsidRDefault="00E040F6">
      <w:pPr>
        <w:pStyle w:val="TOC2"/>
        <w:rPr>
          <w:rFonts w:asciiTheme="minorHAnsi" w:eastAsiaTheme="minorEastAsia" w:hAnsiTheme="minorHAnsi" w:cstheme="minorBidi"/>
          <w:sz w:val="22"/>
          <w:szCs w:val="22"/>
        </w:rPr>
      </w:pPr>
      <w:hyperlink w:anchor="_Toc488670106" w:history="1">
        <w:r w:rsidR="00DF0307" w:rsidRPr="00483F8E">
          <w:rPr>
            <w:rStyle w:val="Hyperlink"/>
          </w:rPr>
          <w:t>A.17</w:t>
        </w:r>
        <w:r w:rsidR="00DF0307">
          <w:rPr>
            <w:rFonts w:asciiTheme="minorHAnsi" w:eastAsiaTheme="minorEastAsia" w:hAnsiTheme="minorHAnsi" w:cstheme="minorBidi"/>
            <w:sz w:val="22"/>
            <w:szCs w:val="22"/>
          </w:rPr>
          <w:tab/>
        </w:r>
        <w:r w:rsidR="00DF0307" w:rsidRPr="00483F8E">
          <w:rPr>
            <w:rStyle w:val="Hyperlink"/>
          </w:rPr>
          <w:t>Display OMB Expiration Date</w:t>
        </w:r>
        <w:r w:rsidR="00DF0307">
          <w:rPr>
            <w:webHidden/>
          </w:rPr>
          <w:tab/>
        </w:r>
        <w:r w:rsidR="00DF0307">
          <w:rPr>
            <w:webHidden/>
          </w:rPr>
          <w:fldChar w:fldCharType="begin"/>
        </w:r>
        <w:r w:rsidR="00DF0307">
          <w:rPr>
            <w:webHidden/>
          </w:rPr>
          <w:instrText xml:space="preserve"> PAGEREF _Toc488670106 \h </w:instrText>
        </w:r>
        <w:r w:rsidR="00DF0307">
          <w:rPr>
            <w:webHidden/>
          </w:rPr>
        </w:r>
        <w:r w:rsidR="00DF0307">
          <w:rPr>
            <w:webHidden/>
          </w:rPr>
          <w:fldChar w:fldCharType="separate"/>
        </w:r>
        <w:r w:rsidR="00B86B84">
          <w:rPr>
            <w:webHidden/>
          </w:rPr>
          <w:t>13</w:t>
        </w:r>
        <w:r w:rsidR="00DF0307">
          <w:rPr>
            <w:webHidden/>
          </w:rPr>
          <w:fldChar w:fldCharType="end"/>
        </w:r>
      </w:hyperlink>
    </w:p>
    <w:p w14:paraId="27F74DE7" w14:textId="77777777" w:rsidR="00DF0307" w:rsidRDefault="00E040F6">
      <w:pPr>
        <w:pStyle w:val="TOC2"/>
        <w:rPr>
          <w:rFonts w:asciiTheme="minorHAnsi" w:eastAsiaTheme="minorEastAsia" w:hAnsiTheme="minorHAnsi" w:cstheme="minorBidi"/>
          <w:sz w:val="22"/>
          <w:szCs w:val="22"/>
        </w:rPr>
      </w:pPr>
      <w:hyperlink w:anchor="_Toc488670107" w:history="1">
        <w:r w:rsidR="00DF0307" w:rsidRPr="00483F8E">
          <w:rPr>
            <w:rStyle w:val="Hyperlink"/>
          </w:rPr>
          <w:t>A.18</w:t>
        </w:r>
        <w:r w:rsidR="00DF0307">
          <w:rPr>
            <w:rFonts w:asciiTheme="minorHAnsi" w:eastAsiaTheme="minorEastAsia" w:hAnsiTheme="minorHAnsi" w:cstheme="minorBidi"/>
            <w:sz w:val="22"/>
            <w:szCs w:val="22"/>
          </w:rPr>
          <w:tab/>
        </w:r>
        <w:r w:rsidR="00DF0307" w:rsidRPr="00483F8E">
          <w:rPr>
            <w:rStyle w:val="Hyperlink"/>
          </w:rPr>
          <w:t>Exceptions to Certification Statement</w:t>
        </w:r>
        <w:r w:rsidR="00DF0307">
          <w:rPr>
            <w:webHidden/>
          </w:rPr>
          <w:tab/>
        </w:r>
        <w:r w:rsidR="00DF0307">
          <w:rPr>
            <w:webHidden/>
          </w:rPr>
          <w:fldChar w:fldCharType="begin"/>
        </w:r>
        <w:r w:rsidR="00DF0307">
          <w:rPr>
            <w:webHidden/>
          </w:rPr>
          <w:instrText xml:space="preserve"> PAGEREF _Toc488670107 \h </w:instrText>
        </w:r>
        <w:r w:rsidR="00DF0307">
          <w:rPr>
            <w:webHidden/>
          </w:rPr>
        </w:r>
        <w:r w:rsidR="00DF0307">
          <w:rPr>
            <w:webHidden/>
          </w:rPr>
          <w:fldChar w:fldCharType="separate"/>
        </w:r>
        <w:r w:rsidR="00B86B84">
          <w:rPr>
            <w:webHidden/>
          </w:rPr>
          <w:t>13</w:t>
        </w:r>
        <w:r w:rsidR="00DF0307">
          <w:rPr>
            <w:webHidden/>
          </w:rPr>
          <w:fldChar w:fldCharType="end"/>
        </w:r>
      </w:hyperlink>
    </w:p>
    <w:p w14:paraId="5E0F86C9" w14:textId="1F74735B" w:rsidR="005611C5" w:rsidRPr="002B5DE2" w:rsidRDefault="003D70B7" w:rsidP="00C44B81">
      <w:pPr>
        <w:pStyle w:val="C1-CtrBoldHd"/>
        <w:tabs>
          <w:tab w:val="left" w:pos="900"/>
          <w:tab w:val="right" w:leader="dot" w:pos="8640"/>
        </w:tabs>
        <w:spacing w:after="0"/>
        <w:ind w:left="720" w:right="720" w:hanging="360"/>
        <w:jc w:val="both"/>
        <w:rPr>
          <w:b w:val="0"/>
          <w:szCs w:val="24"/>
        </w:rPr>
      </w:pPr>
      <w:r w:rsidRPr="002B5DE2">
        <w:rPr>
          <w:b w:val="0"/>
          <w:szCs w:val="24"/>
        </w:rPr>
        <w:fldChar w:fldCharType="end"/>
      </w:r>
    </w:p>
    <w:p w14:paraId="7F6D82BA" w14:textId="77777777" w:rsidR="0085330C" w:rsidRPr="00C44B81" w:rsidRDefault="0085330C" w:rsidP="0085330C">
      <w:pPr>
        <w:pStyle w:val="TOC1"/>
        <w:rPr>
          <w:b w:val="0"/>
          <w:noProof/>
        </w:rPr>
      </w:pPr>
      <w:r w:rsidRPr="00C44B81">
        <w:rPr>
          <w:b w:val="0"/>
          <w:noProof/>
        </w:rPr>
        <w:t>B.</w:t>
      </w:r>
      <w:r>
        <w:rPr>
          <w:b w:val="0"/>
          <w:noProof/>
        </w:rPr>
        <w:t xml:space="preserve"> </w:t>
      </w:r>
      <w:r w:rsidRPr="00C44B81">
        <w:rPr>
          <w:b w:val="0"/>
          <w:noProof/>
        </w:rPr>
        <w:t>COLLECTIONS OF INFORMATION EMPLOYING STATISTICAL METHODS</w:t>
      </w:r>
    </w:p>
    <w:p w14:paraId="273D0A7D" w14:textId="5D5BD34B" w:rsidR="0085330C" w:rsidRDefault="0085330C" w:rsidP="0085330C">
      <w:pPr>
        <w:pStyle w:val="TOC1"/>
        <w:rPr>
          <w:b w:val="0"/>
          <w:noProof/>
        </w:rPr>
      </w:pPr>
      <w:r w:rsidRPr="00C44B81">
        <w:rPr>
          <w:b w:val="0"/>
          <w:noProof/>
        </w:rPr>
        <w:t>B.1</w:t>
      </w:r>
      <w:r w:rsidRPr="00C44B81">
        <w:rPr>
          <w:b w:val="0"/>
          <w:noProof/>
        </w:rPr>
        <w:tab/>
        <w:t>Respondent Universe</w:t>
      </w:r>
    </w:p>
    <w:p w14:paraId="26C5D3BE" w14:textId="1B455B56" w:rsidR="0083044C" w:rsidRPr="00C12BDD" w:rsidRDefault="0083044C" w:rsidP="0085330C">
      <w:pPr>
        <w:pStyle w:val="TOC1"/>
        <w:rPr>
          <w:b w:val="0"/>
          <w:noProof/>
        </w:rPr>
      </w:pPr>
      <w:r w:rsidRPr="00C12BDD">
        <w:rPr>
          <w:b w:val="0"/>
          <w:noProof/>
        </w:rPr>
        <w:t>B.2 Procedures for the Collection of Information</w:t>
      </w:r>
    </w:p>
    <w:p w14:paraId="4ECDAD0F" w14:textId="49974968" w:rsidR="0083044C" w:rsidRPr="00C12BDD" w:rsidRDefault="0083044C" w:rsidP="0085330C">
      <w:pPr>
        <w:pStyle w:val="TOC1"/>
        <w:rPr>
          <w:b w:val="0"/>
          <w:noProof/>
        </w:rPr>
      </w:pPr>
      <w:r w:rsidRPr="00C12BDD">
        <w:rPr>
          <w:b w:val="0"/>
          <w:noProof/>
        </w:rPr>
        <w:tab/>
        <w:t>B.2.a Respondent Recruitment</w:t>
      </w:r>
    </w:p>
    <w:p w14:paraId="4BE7F49F" w14:textId="03A082EA" w:rsidR="0083044C" w:rsidRPr="003A07FF" w:rsidRDefault="0083044C" w:rsidP="0085330C">
      <w:pPr>
        <w:pStyle w:val="TOC1"/>
        <w:rPr>
          <w:b w:val="0"/>
          <w:noProof/>
          <w:color w:val="FF0000"/>
        </w:rPr>
      </w:pPr>
      <w:r w:rsidRPr="00C12BDD">
        <w:rPr>
          <w:b w:val="0"/>
          <w:noProof/>
        </w:rPr>
        <w:tab/>
        <w:t>B.2.b Data Collection</w:t>
      </w:r>
    </w:p>
    <w:p w14:paraId="79757582" w14:textId="4A40C07A" w:rsidR="0085330C" w:rsidRPr="00C44B81" w:rsidRDefault="0083044C" w:rsidP="0085330C">
      <w:pPr>
        <w:pStyle w:val="TOC1"/>
        <w:rPr>
          <w:b w:val="0"/>
          <w:noProof/>
        </w:rPr>
      </w:pPr>
      <w:r>
        <w:rPr>
          <w:b w:val="0"/>
          <w:noProof/>
        </w:rPr>
        <w:t>B.</w:t>
      </w:r>
      <w:r w:rsidR="003A07FF">
        <w:rPr>
          <w:b w:val="0"/>
          <w:noProof/>
        </w:rPr>
        <w:t>3</w:t>
      </w:r>
      <w:r w:rsidR="0085330C" w:rsidRPr="00C44B81">
        <w:rPr>
          <w:b w:val="0"/>
          <w:noProof/>
        </w:rPr>
        <w:tab/>
        <w:t>Maximizing Response Rates</w:t>
      </w:r>
    </w:p>
    <w:p w14:paraId="2A29ED25" w14:textId="30F937BE" w:rsidR="0085330C" w:rsidRPr="00C44B81" w:rsidRDefault="0083044C" w:rsidP="0085330C">
      <w:pPr>
        <w:pStyle w:val="TOC1"/>
        <w:rPr>
          <w:b w:val="0"/>
          <w:noProof/>
        </w:rPr>
      </w:pPr>
      <w:r>
        <w:rPr>
          <w:b w:val="0"/>
          <w:noProof/>
        </w:rPr>
        <w:t>B.</w:t>
      </w:r>
      <w:r w:rsidR="003A07FF">
        <w:rPr>
          <w:b w:val="0"/>
          <w:noProof/>
        </w:rPr>
        <w:t>4</w:t>
      </w:r>
      <w:r w:rsidR="0085330C" w:rsidRPr="00C44B81">
        <w:rPr>
          <w:b w:val="0"/>
          <w:noProof/>
        </w:rPr>
        <w:tab/>
        <w:t xml:space="preserve">Purpose of </w:t>
      </w:r>
      <w:r w:rsidR="00BE474E">
        <w:rPr>
          <w:b w:val="0"/>
          <w:noProof/>
        </w:rPr>
        <w:t>Field T</w:t>
      </w:r>
      <w:r w:rsidR="0085330C">
        <w:rPr>
          <w:b w:val="0"/>
          <w:noProof/>
        </w:rPr>
        <w:t>est</w:t>
      </w:r>
      <w:r w:rsidR="0085330C" w:rsidRPr="00C44B81">
        <w:rPr>
          <w:b w:val="0"/>
          <w:noProof/>
        </w:rPr>
        <w:t xml:space="preserve"> and Data Uses</w:t>
      </w:r>
    </w:p>
    <w:p w14:paraId="52220D85" w14:textId="491F2614" w:rsidR="0085330C" w:rsidRDefault="0083044C" w:rsidP="0085330C">
      <w:pPr>
        <w:pStyle w:val="C1-CtrBoldHd"/>
        <w:tabs>
          <w:tab w:val="left" w:pos="900"/>
          <w:tab w:val="right" w:leader="dot" w:pos="8640"/>
        </w:tabs>
        <w:spacing w:after="0"/>
        <w:ind w:left="720" w:right="720" w:hanging="360"/>
        <w:jc w:val="both"/>
        <w:rPr>
          <w:b w:val="0"/>
          <w:noProof/>
        </w:rPr>
      </w:pPr>
      <w:r>
        <w:rPr>
          <w:b w:val="0"/>
          <w:noProof/>
        </w:rPr>
        <w:t>B.</w:t>
      </w:r>
      <w:r w:rsidR="003A07FF">
        <w:rPr>
          <w:b w:val="0"/>
          <w:noProof/>
        </w:rPr>
        <w:t>5</w:t>
      </w:r>
      <w:r w:rsidR="0085330C" w:rsidRPr="00C44B81">
        <w:rPr>
          <w:b w:val="0"/>
          <w:noProof/>
        </w:rPr>
        <w:tab/>
      </w:r>
      <w:r w:rsidR="00BE474E">
        <w:rPr>
          <w:b w:val="0"/>
          <w:caps w:val="0"/>
          <w:noProof/>
        </w:rPr>
        <w:t>Individuals Consulted o</w:t>
      </w:r>
      <w:r w:rsidR="00BE474E" w:rsidRPr="00C44B81">
        <w:rPr>
          <w:b w:val="0"/>
          <w:caps w:val="0"/>
          <w:noProof/>
        </w:rPr>
        <w:t>n Study Design</w:t>
      </w:r>
    </w:p>
    <w:p w14:paraId="68093262" w14:textId="77777777" w:rsidR="0085330C" w:rsidRDefault="0085330C" w:rsidP="0085330C">
      <w:pPr>
        <w:pStyle w:val="C1-CtrBoldHd"/>
        <w:tabs>
          <w:tab w:val="left" w:pos="900"/>
          <w:tab w:val="right" w:leader="dot" w:pos="8640"/>
        </w:tabs>
        <w:spacing w:after="0"/>
        <w:ind w:left="720" w:right="720" w:hanging="360"/>
        <w:jc w:val="both"/>
        <w:rPr>
          <w:b w:val="0"/>
          <w:noProof/>
        </w:rPr>
      </w:pPr>
    </w:p>
    <w:p w14:paraId="779296C9" w14:textId="77777777" w:rsidR="0085330C" w:rsidRDefault="0085330C" w:rsidP="0085330C">
      <w:pPr>
        <w:pStyle w:val="C1-CtrBoldHd"/>
        <w:tabs>
          <w:tab w:val="left" w:pos="900"/>
          <w:tab w:val="right" w:leader="dot" w:pos="8640"/>
        </w:tabs>
        <w:spacing w:after="0"/>
        <w:ind w:left="720" w:right="720" w:hanging="360"/>
        <w:jc w:val="both"/>
        <w:rPr>
          <w:b w:val="0"/>
          <w:noProof/>
        </w:rPr>
      </w:pPr>
    </w:p>
    <w:p w14:paraId="54B5E3C5" w14:textId="67ECD12E" w:rsidR="0085330C" w:rsidRPr="00C44B81" w:rsidRDefault="0085330C" w:rsidP="0085330C">
      <w:pPr>
        <w:pStyle w:val="TOC1"/>
        <w:rPr>
          <w:b w:val="0"/>
          <w:noProof/>
        </w:rPr>
      </w:pPr>
      <w:r w:rsidRPr="00C44B81">
        <w:rPr>
          <w:b w:val="0"/>
          <w:noProof/>
        </w:rPr>
        <w:t xml:space="preserve">APPENDIX A: </w:t>
      </w:r>
      <w:r w:rsidR="00C040ED" w:rsidRPr="00C44B81">
        <w:rPr>
          <w:b w:val="0"/>
          <w:noProof/>
        </w:rPr>
        <w:t>Recruitment Materials</w:t>
      </w:r>
    </w:p>
    <w:p w14:paraId="60EFDB33" w14:textId="3FC47A9E" w:rsidR="0085330C" w:rsidRDefault="0085330C" w:rsidP="0085330C">
      <w:pPr>
        <w:pStyle w:val="TOC1"/>
        <w:rPr>
          <w:b w:val="0"/>
          <w:noProof/>
        </w:rPr>
      </w:pPr>
      <w:r w:rsidRPr="00C44B81">
        <w:rPr>
          <w:b w:val="0"/>
          <w:noProof/>
        </w:rPr>
        <w:t xml:space="preserve">APPENDIX B: </w:t>
      </w:r>
      <w:r w:rsidR="00C040ED" w:rsidRPr="00C44B81">
        <w:rPr>
          <w:b w:val="0"/>
          <w:noProof/>
        </w:rPr>
        <w:t>Parental Consent Materials</w:t>
      </w:r>
    </w:p>
    <w:p w14:paraId="3B4F2917" w14:textId="6FA0CBE6" w:rsidR="005F4F9F" w:rsidRPr="00C44B81" w:rsidRDefault="005F4F9F" w:rsidP="0085330C">
      <w:pPr>
        <w:pStyle w:val="TOC1"/>
        <w:rPr>
          <w:b w:val="0"/>
          <w:noProof/>
        </w:rPr>
      </w:pPr>
      <w:r>
        <w:rPr>
          <w:b w:val="0"/>
          <w:noProof/>
        </w:rPr>
        <w:t xml:space="preserve">APPENDIX C: </w:t>
      </w:r>
      <w:r w:rsidR="00C040ED">
        <w:rPr>
          <w:b w:val="0"/>
          <w:noProof/>
        </w:rPr>
        <w:t>Draft Field Test Instruments</w:t>
      </w:r>
    </w:p>
    <w:p w14:paraId="5E0F86CB" w14:textId="77777777" w:rsidR="005611C5" w:rsidRPr="00BA3FB2" w:rsidRDefault="005611C5">
      <w:pPr>
        <w:pStyle w:val="C1-CtrBoldHd"/>
        <w:spacing w:after="0"/>
      </w:pPr>
    </w:p>
    <w:p w14:paraId="5E0F86CC" w14:textId="77777777" w:rsidR="005611C5" w:rsidRPr="00BA3FB2" w:rsidRDefault="005611C5" w:rsidP="008A7A4E">
      <w:pPr>
        <w:pStyle w:val="C1-CtrBoldHd"/>
        <w:tabs>
          <w:tab w:val="left" w:pos="450"/>
          <w:tab w:val="right" w:leader="dot" w:pos="8190"/>
          <w:tab w:val="right" w:leader="dot" w:pos="8640"/>
        </w:tabs>
        <w:spacing w:after="0"/>
        <w:ind w:left="360" w:right="720"/>
      </w:pPr>
      <w:r w:rsidRPr="00BA3FB2">
        <w:br w:type="page"/>
      </w:r>
    </w:p>
    <w:p w14:paraId="5E0F86CD" w14:textId="77777777" w:rsidR="005611C5" w:rsidRPr="002200BF" w:rsidRDefault="005611C5" w:rsidP="00E75B50">
      <w:pPr>
        <w:pStyle w:val="Heading0"/>
        <w:spacing w:after="240" w:line="240" w:lineRule="auto"/>
      </w:pPr>
      <w:bookmarkStart w:id="1" w:name="_Toc488670083"/>
      <w:r w:rsidRPr="002200BF">
        <w:t>PREFACE</w:t>
      </w:r>
      <w:bookmarkEnd w:id="1"/>
    </w:p>
    <w:p w14:paraId="118BAD80" w14:textId="1098BBBB" w:rsidR="00124802" w:rsidRDefault="005611C5" w:rsidP="00B067B3">
      <w:pPr>
        <w:pStyle w:val="BodyText1"/>
        <w:spacing w:line="276" w:lineRule="auto"/>
      </w:pPr>
      <w:bookmarkStart w:id="2" w:name="_Toc252524910"/>
      <w:r w:rsidRPr="002200BF">
        <w:t xml:space="preserve">The </w:t>
      </w:r>
      <w:r w:rsidR="002200BF" w:rsidRPr="002200BF">
        <w:t>International Early Learning Study</w:t>
      </w:r>
      <w:r w:rsidRPr="002200BF">
        <w:t xml:space="preserve"> (</w:t>
      </w:r>
      <w:r w:rsidR="002200BF" w:rsidRPr="002200BF">
        <w:t>IELS</w:t>
      </w:r>
      <w:r w:rsidRPr="002200BF">
        <w:t>)</w:t>
      </w:r>
      <w:r w:rsidR="00124802">
        <w:t>,</w:t>
      </w:r>
      <w:r w:rsidRPr="002200BF">
        <w:t xml:space="preserve"> </w:t>
      </w:r>
      <w:r w:rsidR="00124802">
        <w:t xml:space="preserve">scheduled to be conducted in 2018, </w:t>
      </w:r>
      <w:r w:rsidR="002200BF" w:rsidRPr="002200BF">
        <w:t xml:space="preserve">is a new </w:t>
      </w:r>
      <w:r w:rsidR="002200BF">
        <w:t>study sponsored by</w:t>
      </w:r>
      <w:r w:rsidR="002200BF" w:rsidRPr="002200BF">
        <w:t xml:space="preserve"> the Organization for Economic Cooperation and Development (OECD), an intergovernmental organizat</w:t>
      </w:r>
      <w:r w:rsidR="00B067B3">
        <w:t>ion of industrialized countries</w:t>
      </w:r>
      <w:r w:rsidR="002B673B">
        <w:t xml:space="preserve">. </w:t>
      </w:r>
      <w:r w:rsidR="002200BF" w:rsidRPr="002200BF">
        <w:t>The OECD also coordinates the Program for International Student Assessment (PISA),</w:t>
      </w:r>
      <w:r w:rsidR="00561E47">
        <w:t xml:space="preserve"> an assessment of 15-year-olds</w:t>
      </w:r>
      <w:r w:rsidR="000634AC">
        <w:t>,</w:t>
      </w:r>
      <w:r w:rsidR="00B067B3">
        <w:t xml:space="preserve"> a</w:t>
      </w:r>
      <w:r w:rsidR="00561E47">
        <w:t xml:space="preserve">nd </w:t>
      </w:r>
      <w:r w:rsidR="002200BF" w:rsidRPr="002200BF">
        <w:t xml:space="preserve">the Program for the International Assessment of Adult </w:t>
      </w:r>
      <w:r w:rsidR="008A4BB8">
        <w:t>Competencies</w:t>
      </w:r>
      <w:r w:rsidR="008A4BB8" w:rsidRPr="002200BF">
        <w:t xml:space="preserve"> </w:t>
      </w:r>
      <w:r w:rsidR="002200BF" w:rsidRPr="002200BF">
        <w:t>(PIAAC)</w:t>
      </w:r>
      <w:r w:rsidR="00561E47">
        <w:t>, which assesses adult</w:t>
      </w:r>
      <w:r w:rsidR="008A4BB8">
        <w:t xml:space="preserve"> </w:t>
      </w:r>
      <w:r w:rsidR="00561E47">
        <w:t>s</w:t>
      </w:r>
      <w:r w:rsidR="008A4BB8">
        <w:t>kills</w:t>
      </w:r>
      <w:r w:rsidR="00561E47">
        <w:t>.</w:t>
      </w:r>
      <w:r w:rsidR="00EE6A29">
        <w:t xml:space="preserve"> </w:t>
      </w:r>
      <w:r w:rsidR="00561E47">
        <w:t>While PIAAC focuses on adults and PISA on students nearing</w:t>
      </w:r>
      <w:r w:rsidR="00B067B3">
        <w:t xml:space="preserve"> the end of compulsory school</w:t>
      </w:r>
      <w:r w:rsidR="00561E47">
        <w:t xml:space="preserve">, </w:t>
      </w:r>
      <w:r w:rsidR="00682DA0">
        <w:t xml:space="preserve">the </w:t>
      </w:r>
      <w:r w:rsidR="0040549C">
        <w:t>IELS</w:t>
      </w:r>
      <w:r w:rsidR="00561E47">
        <w:t xml:space="preserve"> focuses on young children</w:t>
      </w:r>
      <w:r w:rsidR="002200BF" w:rsidRPr="002200BF">
        <w:t xml:space="preserve"> </w:t>
      </w:r>
      <w:r w:rsidR="00561E47">
        <w:t xml:space="preserve">and their </w:t>
      </w:r>
      <w:r w:rsidR="00DA2E38">
        <w:t xml:space="preserve">cognitive and </w:t>
      </w:r>
      <w:r w:rsidR="008A7445">
        <w:t>non-cognitive</w:t>
      </w:r>
      <w:r w:rsidR="00DA2E38">
        <w:t xml:space="preserve"> </w:t>
      </w:r>
      <w:r w:rsidR="00561E47">
        <w:t>skills</w:t>
      </w:r>
      <w:r w:rsidR="00DA2E38">
        <w:t xml:space="preserve"> and competencies</w:t>
      </w:r>
      <w:r w:rsidR="008A7445">
        <w:t xml:space="preserve"> </w:t>
      </w:r>
      <w:r w:rsidR="00561E47">
        <w:t xml:space="preserve">as they transition to primary school. </w:t>
      </w:r>
      <w:r w:rsidR="00771204">
        <w:t xml:space="preserve">The </w:t>
      </w:r>
      <w:r w:rsidR="00561E47">
        <w:t>IELS is designed to examine:</w:t>
      </w:r>
    </w:p>
    <w:p w14:paraId="28070C36" w14:textId="2A8D4B7F" w:rsidR="00124802" w:rsidRDefault="002200BF" w:rsidP="00B067B3">
      <w:pPr>
        <w:pStyle w:val="ListParagraph"/>
        <w:numPr>
          <w:ilvl w:val="0"/>
          <w:numId w:val="17"/>
        </w:numPr>
        <w:spacing w:after="200" w:line="276" w:lineRule="auto"/>
        <w:jc w:val="left"/>
        <w:rPr>
          <w:rFonts w:ascii="Garamond" w:hAnsi="Garamond"/>
          <w:sz w:val="24"/>
        </w:rPr>
      </w:pPr>
      <w:r w:rsidRPr="0040549C">
        <w:rPr>
          <w:rFonts w:ascii="Garamond" w:hAnsi="Garamond"/>
          <w:sz w:val="24"/>
        </w:rPr>
        <w:t xml:space="preserve">Children’s early learning and development in a broad range of domains, including social </w:t>
      </w:r>
      <w:r w:rsidR="008F55B2">
        <w:rPr>
          <w:rFonts w:ascii="Garamond" w:hAnsi="Garamond"/>
          <w:sz w:val="24"/>
        </w:rPr>
        <w:t>and</w:t>
      </w:r>
      <w:r w:rsidRPr="0040549C">
        <w:rPr>
          <w:rFonts w:ascii="Garamond" w:hAnsi="Garamond"/>
          <w:sz w:val="24"/>
        </w:rPr>
        <w:t xml:space="preserve"> cognitive skills</w:t>
      </w:r>
      <w:r w:rsidR="0040549C">
        <w:rPr>
          <w:rFonts w:ascii="Garamond" w:hAnsi="Garamond"/>
          <w:sz w:val="24"/>
        </w:rPr>
        <w:t>;</w:t>
      </w:r>
    </w:p>
    <w:p w14:paraId="5929F6FD" w14:textId="368BB0B6" w:rsidR="002200BF" w:rsidRPr="0040549C" w:rsidRDefault="002200BF" w:rsidP="00B067B3">
      <w:pPr>
        <w:pStyle w:val="ListParagraph"/>
        <w:numPr>
          <w:ilvl w:val="0"/>
          <w:numId w:val="17"/>
        </w:numPr>
        <w:spacing w:after="200" w:line="276" w:lineRule="auto"/>
        <w:jc w:val="left"/>
        <w:rPr>
          <w:rFonts w:ascii="Garamond" w:hAnsi="Garamond"/>
          <w:sz w:val="24"/>
        </w:rPr>
      </w:pPr>
      <w:r w:rsidRPr="0040549C">
        <w:rPr>
          <w:rFonts w:ascii="Garamond" w:hAnsi="Garamond"/>
          <w:sz w:val="24"/>
        </w:rPr>
        <w:t>The relationship between children’s early learning and children’s participation in early childhood education and care (ECEC)</w:t>
      </w:r>
      <w:r w:rsidR="0040549C">
        <w:rPr>
          <w:rFonts w:ascii="Garamond" w:hAnsi="Garamond"/>
          <w:sz w:val="24"/>
        </w:rPr>
        <w:t>;</w:t>
      </w:r>
    </w:p>
    <w:p w14:paraId="2D0F057A" w14:textId="77777777" w:rsidR="00124802" w:rsidRDefault="002200BF" w:rsidP="00B067B3">
      <w:pPr>
        <w:pStyle w:val="ListParagraph"/>
        <w:numPr>
          <w:ilvl w:val="0"/>
          <w:numId w:val="17"/>
        </w:numPr>
        <w:spacing w:after="200" w:line="276" w:lineRule="auto"/>
        <w:jc w:val="left"/>
        <w:rPr>
          <w:rFonts w:ascii="Garamond" w:hAnsi="Garamond"/>
          <w:sz w:val="24"/>
        </w:rPr>
      </w:pPr>
      <w:r w:rsidRPr="0040549C">
        <w:rPr>
          <w:rFonts w:ascii="Garamond" w:hAnsi="Garamond"/>
          <w:sz w:val="24"/>
        </w:rPr>
        <w:t>The role of contextual factors, including children’s individual characteristics and their ho</w:t>
      </w:r>
      <w:r w:rsidR="0040549C">
        <w:rPr>
          <w:rFonts w:ascii="Garamond" w:hAnsi="Garamond"/>
          <w:sz w:val="24"/>
        </w:rPr>
        <w:t>me backgrounds and experiences</w:t>
      </w:r>
      <w:r w:rsidR="00DA2E38">
        <w:rPr>
          <w:rFonts w:ascii="Garamond" w:hAnsi="Garamond"/>
          <w:sz w:val="24"/>
        </w:rPr>
        <w:t>, in promoting young children’s growth and development</w:t>
      </w:r>
      <w:r w:rsidR="0040549C">
        <w:rPr>
          <w:rFonts w:ascii="Garamond" w:hAnsi="Garamond"/>
          <w:sz w:val="24"/>
        </w:rPr>
        <w:t>; and</w:t>
      </w:r>
    </w:p>
    <w:p w14:paraId="450A332A" w14:textId="67240771" w:rsidR="00124802" w:rsidRDefault="0040549C" w:rsidP="00B067B3">
      <w:pPr>
        <w:pStyle w:val="ListParagraph"/>
        <w:numPr>
          <w:ilvl w:val="0"/>
          <w:numId w:val="17"/>
        </w:numPr>
        <w:spacing w:after="200" w:line="276" w:lineRule="auto"/>
        <w:jc w:val="left"/>
        <w:rPr>
          <w:rFonts w:ascii="Garamond" w:hAnsi="Garamond"/>
          <w:sz w:val="24"/>
        </w:rPr>
      </w:pPr>
      <w:r>
        <w:rPr>
          <w:rFonts w:ascii="Garamond" w:hAnsi="Garamond"/>
          <w:sz w:val="24"/>
        </w:rPr>
        <w:t xml:space="preserve">How early learning varies across </w:t>
      </w:r>
      <w:r w:rsidR="00F3055C">
        <w:rPr>
          <w:rFonts w:ascii="Garamond" w:hAnsi="Garamond"/>
          <w:sz w:val="24"/>
        </w:rPr>
        <w:t xml:space="preserve">and within </w:t>
      </w:r>
      <w:r>
        <w:rPr>
          <w:rFonts w:ascii="Garamond" w:hAnsi="Garamond"/>
          <w:sz w:val="24"/>
        </w:rPr>
        <w:t xml:space="preserve">countries </w:t>
      </w:r>
      <w:r w:rsidR="00DA2E38">
        <w:rPr>
          <w:rFonts w:ascii="Garamond" w:hAnsi="Garamond"/>
          <w:sz w:val="24"/>
        </w:rPr>
        <w:t>prior to</w:t>
      </w:r>
      <w:r>
        <w:rPr>
          <w:rFonts w:ascii="Garamond" w:hAnsi="Garamond"/>
          <w:sz w:val="24"/>
        </w:rPr>
        <w:t xml:space="preserve"> beginning</w:t>
      </w:r>
      <w:r w:rsidR="00335332">
        <w:rPr>
          <w:rFonts w:ascii="Garamond" w:hAnsi="Garamond"/>
          <w:sz w:val="24"/>
        </w:rPr>
        <w:t>, or in the early stages of</w:t>
      </w:r>
      <w:r>
        <w:rPr>
          <w:rFonts w:ascii="Garamond" w:hAnsi="Garamond"/>
          <w:sz w:val="24"/>
        </w:rPr>
        <w:t xml:space="preserve"> primary school.</w:t>
      </w:r>
    </w:p>
    <w:p w14:paraId="6FF48895" w14:textId="41D28DE7" w:rsidR="00124802" w:rsidRPr="008445EC" w:rsidRDefault="002B673B" w:rsidP="008445EC">
      <w:pPr>
        <w:spacing w:line="276" w:lineRule="auto"/>
        <w:jc w:val="left"/>
        <w:rPr>
          <w:rFonts w:ascii="Garamond" w:hAnsi="Garamond"/>
          <w:sz w:val="24"/>
        </w:rPr>
      </w:pPr>
      <w:r>
        <w:rPr>
          <w:rFonts w:ascii="Garamond" w:hAnsi="Garamond"/>
          <w:sz w:val="24"/>
        </w:rPr>
        <w:t xml:space="preserve">In 2018, in the participating countries, including the United States, </w:t>
      </w:r>
      <w:r w:rsidR="00771204">
        <w:rPr>
          <w:rFonts w:ascii="Garamond" w:hAnsi="Garamond"/>
          <w:sz w:val="24"/>
        </w:rPr>
        <w:t xml:space="preserve">the </w:t>
      </w:r>
      <w:r>
        <w:rPr>
          <w:rFonts w:ascii="Garamond" w:hAnsi="Garamond"/>
          <w:sz w:val="24"/>
        </w:rPr>
        <w:t>IELS will assess</w:t>
      </w:r>
      <w:r w:rsidR="0040549C">
        <w:rPr>
          <w:rFonts w:ascii="Garamond" w:hAnsi="Garamond"/>
          <w:sz w:val="24"/>
        </w:rPr>
        <w:t xml:space="preserve"> nationally-representative sample</w:t>
      </w:r>
      <w:r>
        <w:rPr>
          <w:rFonts w:ascii="Garamond" w:hAnsi="Garamond"/>
          <w:sz w:val="24"/>
        </w:rPr>
        <w:t>s</w:t>
      </w:r>
      <w:r w:rsidR="0040549C">
        <w:rPr>
          <w:rFonts w:ascii="Garamond" w:hAnsi="Garamond"/>
          <w:sz w:val="24"/>
        </w:rPr>
        <w:t xml:space="preserve"> of </w:t>
      </w:r>
      <w:r w:rsidR="00043B87">
        <w:rPr>
          <w:rFonts w:ascii="Garamond" w:hAnsi="Garamond"/>
          <w:sz w:val="24"/>
        </w:rPr>
        <w:t>5-year</w:t>
      </w:r>
      <w:r w:rsidR="00A70284">
        <w:rPr>
          <w:rFonts w:ascii="Garamond" w:hAnsi="Garamond"/>
          <w:sz w:val="24"/>
        </w:rPr>
        <w:t>-</w:t>
      </w:r>
      <w:r w:rsidR="00043B87">
        <w:rPr>
          <w:rFonts w:ascii="Garamond" w:hAnsi="Garamond"/>
          <w:sz w:val="24"/>
        </w:rPr>
        <w:t xml:space="preserve">old </w:t>
      </w:r>
      <w:r w:rsidR="0040549C">
        <w:rPr>
          <w:rFonts w:ascii="Garamond" w:hAnsi="Garamond"/>
          <w:sz w:val="24"/>
        </w:rPr>
        <w:t xml:space="preserve">children </w:t>
      </w:r>
      <w:r w:rsidR="00674920">
        <w:rPr>
          <w:rFonts w:ascii="Garamond" w:hAnsi="Garamond"/>
          <w:sz w:val="24"/>
        </w:rPr>
        <w:t xml:space="preserve">enrolled </w:t>
      </w:r>
      <w:r w:rsidR="0040549C">
        <w:rPr>
          <w:rFonts w:ascii="Garamond" w:hAnsi="Garamond"/>
          <w:sz w:val="24"/>
        </w:rPr>
        <w:t>in</w:t>
      </w:r>
      <w:r w:rsidR="00674920">
        <w:rPr>
          <w:rFonts w:ascii="Garamond" w:hAnsi="Garamond"/>
          <w:sz w:val="24"/>
        </w:rPr>
        <w:t xml:space="preserve"> public and private</w:t>
      </w:r>
      <w:r w:rsidR="0040549C">
        <w:rPr>
          <w:rFonts w:ascii="Garamond" w:hAnsi="Garamond"/>
          <w:sz w:val="24"/>
        </w:rPr>
        <w:t xml:space="preserve"> </w:t>
      </w:r>
      <w:r w:rsidR="00674920">
        <w:rPr>
          <w:rFonts w:ascii="Garamond" w:hAnsi="Garamond"/>
          <w:sz w:val="24"/>
        </w:rPr>
        <w:t>school</w:t>
      </w:r>
      <w:r w:rsidR="00043B87">
        <w:rPr>
          <w:rFonts w:ascii="Garamond" w:hAnsi="Garamond"/>
          <w:sz w:val="24"/>
        </w:rPr>
        <w:t>s</w:t>
      </w:r>
      <w:r w:rsidR="006E07BF">
        <w:rPr>
          <w:rFonts w:ascii="Garamond" w:hAnsi="Garamond"/>
          <w:sz w:val="24"/>
        </w:rPr>
        <w:t xml:space="preserve"> that </w:t>
      </w:r>
      <w:r w:rsidR="00A70284">
        <w:rPr>
          <w:rFonts w:ascii="Garamond" w:hAnsi="Garamond"/>
          <w:sz w:val="24"/>
        </w:rPr>
        <w:t>offer</w:t>
      </w:r>
      <w:r w:rsidR="006E07BF">
        <w:rPr>
          <w:rFonts w:ascii="Garamond" w:hAnsi="Garamond"/>
          <w:sz w:val="24"/>
        </w:rPr>
        <w:t xml:space="preserve"> kindergarten</w:t>
      </w:r>
      <w:r w:rsidR="00B02695">
        <w:rPr>
          <w:rFonts w:ascii="Garamond" w:hAnsi="Garamond"/>
          <w:sz w:val="24"/>
        </w:rPr>
        <w:t>,</w:t>
      </w:r>
      <w:r w:rsidR="000C503A">
        <w:rPr>
          <w:rFonts w:ascii="Garamond" w:hAnsi="Garamond"/>
          <w:sz w:val="24"/>
        </w:rPr>
        <w:t xml:space="preserve"> </w:t>
      </w:r>
      <w:r w:rsidR="0040549C">
        <w:rPr>
          <w:rFonts w:ascii="Garamond" w:hAnsi="Garamond"/>
          <w:sz w:val="24"/>
        </w:rPr>
        <w:t xml:space="preserve">through direct and indirect measures, and will collect contextual data about </w:t>
      </w:r>
      <w:r w:rsidR="00B02695">
        <w:rPr>
          <w:rFonts w:ascii="Garamond" w:hAnsi="Garamond"/>
          <w:sz w:val="24"/>
        </w:rPr>
        <w:t>the children’s</w:t>
      </w:r>
      <w:r w:rsidR="0040549C">
        <w:rPr>
          <w:rFonts w:ascii="Garamond" w:hAnsi="Garamond"/>
          <w:sz w:val="24"/>
        </w:rPr>
        <w:t xml:space="preserve"> home learning environments</w:t>
      </w:r>
      <w:r w:rsidR="00DA2E38">
        <w:rPr>
          <w:rFonts w:ascii="Garamond" w:hAnsi="Garamond"/>
          <w:sz w:val="24"/>
        </w:rPr>
        <w:t xml:space="preserve">, </w:t>
      </w:r>
      <w:r w:rsidR="00E239A4">
        <w:rPr>
          <w:rFonts w:ascii="Garamond" w:hAnsi="Garamond"/>
          <w:sz w:val="24"/>
        </w:rPr>
        <w:t>ECEC</w:t>
      </w:r>
      <w:r w:rsidR="00DA2E38">
        <w:rPr>
          <w:rFonts w:ascii="Garamond" w:hAnsi="Garamond"/>
          <w:sz w:val="24"/>
        </w:rPr>
        <w:t xml:space="preserve"> histories,</w:t>
      </w:r>
      <w:r w:rsidR="0040549C">
        <w:rPr>
          <w:rFonts w:ascii="Garamond" w:hAnsi="Garamond"/>
          <w:sz w:val="24"/>
        </w:rPr>
        <w:t xml:space="preserve"> and demographic characteristics.</w:t>
      </w:r>
      <w:r w:rsidR="008445EC">
        <w:rPr>
          <w:rFonts w:ascii="Garamond" w:hAnsi="Garamond"/>
          <w:sz w:val="24"/>
        </w:rPr>
        <w:t xml:space="preserve"> </w:t>
      </w:r>
      <w:r w:rsidR="008E4DD5" w:rsidRPr="008445EC">
        <w:rPr>
          <w:rFonts w:ascii="Garamond" w:hAnsi="Garamond"/>
          <w:sz w:val="24"/>
        </w:rPr>
        <w:t>The IELS will measure young children’s knowledge, skills, and competencies in both cognitive and non-cognitive domains, including language and literacy, mathematics and numeracy, executive function</w:t>
      </w:r>
      <w:r w:rsidR="003E7CF1" w:rsidRPr="008445EC">
        <w:rPr>
          <w:rFonts w:ascii="Garamond" w:hAnsi="Garamond"/>
          <w:sz w:val="24"/>
        </w:rPr>
        <w:t>/self-regulation</w:t>
      </w:r>
      <w:r w:rsidR="008E4DD5" w:rsidRPr="008445EC">
        <w:rPr>
          <w:rFonts w:ascii="Garamond" w:hAnsi="Garamond"/>
          <w:sz w:val="24"/>
        </w:rPr>
        <w:t xml:space="preserve">, and social emotional skills. This assessment will take place as children are transitioning to primary school and will provide </w:t>
      </w:r>
      <w:r w:rsidR="00EE6A29">
        <w:rPr>
          <w:rFonts w:ascii="Garamond" w:hAnsi="Garamond"/>
          <w:sz w:val="24"/>
        </w:rPr>
        <w:t>data on</w:t>
      </w:r>
      <w:r w:rsidR="008E4DD5" w:rsidRPr="008445EC">
        <w:rPr>
          <w:rFonts w:ascii="Garamond" w:hAnsi="Garamond"/>
          <w:sz w:val="24"/>
        </w:rPr>
        <w:t xml:space="preserve"> how U.S. children entering kindergarten compare with their international peers on skills deemed important for later success</w:t>
      </w:r>
      <w:r w:rsidR="00A008CF">
        <w:rPr>
          <w:rStyle w:val="FootnoteReference"/>
          <w:rFonts w:ascii="Garamond" w:hAnsi="Garamond"/>
          <w:sz w:val="24"/>
        </w:rPr>
        <w:footnoteReference w:id="2"/>
      </w:r>
      <w:r w:rsidR="008E4DD5" w:rsidRPr="008445EC">
        <w:rPr>
          <w:rFonts w:ascii="Garamond" w:hAnsi="Garamond"/>
          <w:sz w:val="24"/>
        </w:rPr>
        <w:t>.</w:t>
      </w:r>
    </w:p>
    <w:p w14:paraId="0B1E8313" w14:textId="3B10C1B3" w:rsidR="0040549C" w:rsidRDefault="0040549C" w:rsidP="0040549C">
      <w:pPr>
        <w:pStyle w:val="BodyText1"/>
      </w:pPr>
      <w:r>
        <w:t>In the United States, IELS is conducted by the National Center for Education Statistics (NCES)</w:t>
      </w:r>
      <w:r w:rsidR="00B02695">
        <w:t>, part of the</w:t>
      </w:r>
      <w:r>
        <w:t xml:space="preserve"> </w:t>
      </w:r>
      <w:r w:rsidR="00B02695">
        <w:t>U.S. Department of Education’s</w:t>
      </w:r>
      <w:r>
        <w:t xml:space="preserve"> Institute of Education Scie</w:t>
      </w:r>
      <w:r w:rsidR="00B02695">
        <w:t>nces (IES)</w:t>
      </w:r>
      <w:r w:rsidR="00904762">
        <w:t>.</w:t>
      </w:r>
      <w:r w:rsidR="00091391">
        <w:t xml:space="preserve"> </w:t>
      </w:r>
      <w:r w:rsidR="00B02695">
        <w:t xml:space="preserve">NCES, with the support of IELS 2018 U.S. data collection contractor, </w:t>
      </w:r>
      <w:r w:rsidR="00091391">
        <w:t>Westat</w:t>
      </w:r>
      <w:r w:rsidR="00B02695">
        <w:t xml:space="preserve">, </w:t>
      </w:r>
      <w:r w:rsidR="00904762" w:rsidRPr="003D6A50">
        <w:rPr>
          <w:szCs w:val="22"/>
          <w:lang w:val="de-DE"/>
        </w:rPr>
        <w:t>ensur</w:t>
      </w:r>
      <w:r w:rsidR="00050E91">
        <w:rPr>
          <w:szCs w:val="22"/>
          <w:lang w:val="de-DE"/>
        </w:rPr>
        <w:t>es</w:t>
      </w:r>
      <w:r w:rsidR="00904762" w:rsidRPr="003D6A50">
        <w:rPr>
          <w:szCs w:val="22"/>
          <w:lang w:val="de-DE"/>
        </w:rPr>
        <w:t xml:space="preserve"> proper implementation of the study and adoption of practices in adherence to the </w:t>
      </w:r>
      <w:r w:rsidR="00904762">
        <w:rPr>
          <w:szCs w:val="22"/>
          <w:lang w:val="de-DE"/>
        </w:rPr>
        <w:t>OECD‘s</w:t>
      </w:r>
      <w:r w:rsidR="00904762" w:rsidRPr="003D6A50">
        <w:rPr>
          <w:szCs w:val="22"/>
          <w:lang w:val="de-DE"/>
        </w:rPr>
        <w:t xml:space="preserve"> standards</w:t>
      </w:r>
      <w:r>
        <w:t>.</w:t>
      </w:r>
      <w:r w:rsidR="00124802">
        <w:t xml:space="preserve"> </w:t>
      </w:r>
      <w:r w:rsidR="00771204">
        <w:t xml:space="preserve">The </w:t>
      </w:r>
      <w:r>
        <w:t xml:space="preserve">IELS is a collaboration among the participating countries, the OECD, and an international contractor which </w:t>
      </w:r>
      <w:r w:rsidR="008E4DD5">
        <w:t>coordinate</w:t>
      </w:r>
      <w:r w:rsidR="00F653B0">
        <w:t>s</w:t>
      </w:r>
      <w:r w:rsidR="008E4DD5">
        <w:t xml:space="preserve"> </w:t>
      </w:r>
      <w:r>
        <w:t>the study across countries</w:t>
      </w:r>
      <w:r w:rsidRPr="0031558C">
        <w:t>.</w:t>
      </w:r>
    </w:p>
    <w:bookmarkEnd w:id="2"/>
    <w:p w14:paraId="753EDFB8" w14:textId="1A6E95A4" w:rsidR="00EC035D" w:rsidRPr="00EC035D" w:rsidRDefault="005611C5" w:rsidP="00841EFA">
      <w:pPr>
        <w:pStyle w:val="BodyText1"/>
        <w:spacing w:before="0"/>
      </w:pPr>
      <w:r>
        <w:t xml:space="preserve">To prepare for the main study, </w:t>
      </w:r>
      <w:r w:rsidR="008445EC">
        <w:t>which will be conducted from</w:t>
      </w:r>
      <w:r w:rsidR="00904762">
        <w:t xml:space="preserve"> </w:t>
      </w:r>
      <w:r w:rsidR="008A7768">
        <w:t>October</w:t>
      </w:r>
      <w:r w:rsidR="008445EC">
        <w:t xml:space="preserve"> to November</w:t>
      </w:r>
      <w:r w:rsidR="008445EC" w:rsidRPr="00E61481">
        <w:t xml:space="preserve"> 201</w:t>
      </w:r>
      <w:r w:rsidR="008445EC">
        <w:t xml:space="preserve">8, </w:t>
      </w:r>
      <w:r w:rsidR="003E7CF1">
        <w:t xml:space="preserve">the </w:t>
      </w:r>
      <w:r w:rsidR="0040549C">
        <w:t>IELS</w:t>
      </w:r>
      <w:r>
        <w:t xml:space="preserve"> countries will conduct a </w:t>
      </w:r>
      <w:r w:rsidR="00CA2440">
        <w:t>field test</w:t>
      </w:r>
      <w:r>
        <w:t xml:space="preserve"> in the </w:t>
      </w:r>
      <w:r w:rsidR="0040549C">
        <w:t>fall</w:t>
      </w:r>
      <w:r>
        <w:t xml:space="preserve"> of 201</w:t>
      </w:r>
      <w:r w:rsidR="00DD77B4">
        <w:t>7</w:t>
      </w:r>
      <w:r w:rsidR="00017F17">
        <w:t xml:space="preserve"> </w:t>
      </w:r>
      <w:r w:rsidR="00A3143F">
        <w:t>to evaluate</w:t>
      </w:r>
      <w:r>
        <w:t xml:space="preserve"> </w:t>
      </w:r>
      <w:r w:rsidR="002B3A05">
        <w:t xml:space="preserve">newly developed </w:t>
      </w:r>
      <w:r>
        <w:t xml:space="preserve">assessment </w:t>
      </w:r>
      <w:r w:rsidR="0040549C">
        <w:t xml:space="preserve">instruments and questionnaires and also </w:t>
      </w:r>
      <w:r w:rsidR="002B3A05">
        <w:t xml:space="preserve">to </w:t>
      </w:r>
      <w:r w:rsidR="00C37E7E">
        <w:t xml:space="preserve">test </w:t>
      </w:r>
      <w:r w:rsidR="0040549C">
        <w:t>the study</w:t>
      </w:r>
      <w:r w:rsidR="00C37E7E">
        <w:t xml:space="preserve"> </w:t>
      </w:r>
      <w:r w:rsidR="002B3A05">
        <w:t>operations</w:t>
      </w:r>
      <w:r>
        <w:t>.</w:t>
      </w:r>
      <w:r w:rsidR="002230AC">
        <w:t xml:space="preserve"> </w:t>
      </w:r>
      <w:r w:rsidRPr="00521735">
        <w:t xml:space="preserve">The U.S. </w:t>
      </w:r>
      <w:r w:rsidR="00956EC9">
        <w:t>IELS</w:t>
      </w:r>
      <w:r w:rsidR="00956EC9" w:rsidRPr="00521735">
        <w:t xml:space="preserve"> </w:t>
      </w:r>
      <w:r w:rsidR="00CA2440">
        <w:t>field test</w:t>
      </w:r>
      <w:r w:rsidRPr="00521735">
        <w:t xml:space="preserve"> </w:t>
      </w:r>
      <w:r w:rsidRPr="00DF0307">
        <w:t xml:space="preserve">data collection will occur from </w:t>
      </w:r>
      <w:r w:rsidR="008F55B2" w:rsidRPr="00DF0307">
        <w:t>November to December</w:t>
      </w:r>
      <w:r w:rsidR="003E7CF1" w:rsidRPr="00DF0307">
        <w:t xml:space="preserve"> 2017</w:t>
      </w:r>
      <w:r w:rsidR="00F653B0" w:rsidRPr="00DF0307">
        <w:t xml:space="preserve">. </w:t>
      </w:r>
      <w:r w:rsidR="00A3739D" w:rsidRPr="00DF0307">
        <w:t xml:space="preserve">In order to meet the international data collection schedule for the </w:t>
      </w:r>
      <w:r w:rsidR="0040549C" w:rsidRPr="00DF0307">
        <w:t>fall</w:t>
      </w:r>
      <w:r w:rsidR="00A3739D" w:rsidRPr="00DF0307">
        <w:t xml:space="preserve"> 201</w:t>
      </w:r>
      <w:r w:rsidR="00063E7F" w:rsidRPr="00DF0307">
        <w:t>7</w:t>
      </w:r>
      <w:r w:rsidR="008F55B2" w:rsidRPr="00DF0307">
        <w:t>,</w:t>
      </w:r>
      <w:r w:rsidR="00A3739D" w:rsidRPr="00DF0307">
        <w:t xml:space="preserve"> field test</w:t>
      </w:r>
      <w:r w:rsidR="008F55B2" w:rsidRPr="00DF0307">
        <w:t xml:space="preserve"> </w:t>
      </w:r>
      <w:r w:rsidR="00A3739D" w:rsidRPr="00DF0307">
        <w:t xml:space="preserve">recruiting activities </w:t>
      </w:r>
      <w:r w:rsidR="002B673B" w:rsidRPr="00DF0307">
        <w:t xml:space="preserve">must </w:t>
      </w:r>
      <w:r w:rsidR="00561E47" w:rsidRPr="00DF0307">
        <w:t>begin</w:t>
      </w:r>
      <w:r w:rsidR="00A3739D" w:rsidRPr="00DF0307">
        <w:t xml:space="preserve"> by </w:t>
      </w:r>
      <w:r w:rsidR="00A008CF" w:rsidRPr="00DF0307">
        <w:t>early September 2017</w:t>
      </w:r>
      <w:r w:rsidR="00F653B0" w:rsidRPr="00DF0307">
        <w:t>.</w:t>
      </w:r>
      <w:r w:rsidR="008445EC" w:rsidRPr="00DF0307">
        <w:t xml:space="preserve"> </w:t>
      </w:r>
      <w:r w:rsidR="00EC035D" w:rsidRPr="00DF0307">
        <w:t>In addition, main study recruitment activities with states and districts must also be</w:t>
      </w:r>
      <w:r w:rsidR="004D4D94" w:rsidRPr="00DF0307">
        <w:t>gin</w:t>
      </w:r>
      <w:r w:rsidR="00EC035D" w:rsidRPr="00DF0307">
        <w:t xml:space="preserve"> in September 2017 to allow enough time to gain cooperation prior to contacting schools in early winter 2018. </w:t>
      </w:r>
      <w:r w:rsidR="00F653B0" w:rsidRPr="00DF0307">
        <w:t xml:space="preserve">Because </w:t>
      </w:r>
      <w:r w:rsidR="00EB01B9" w:rsidRPr="00DF0307">
        <w:t xml:space="preserve">the </w:t>
      </w:r>
      <w:r w:rsidR="00F653B0" w:rsidRPr="00DF0307">
        <w:t xml:space="preserve">IELS is a collaborative effort among many parties, </w:t>
      </w:r>
      <w:r w:rsidR="00A70284" w:rsidRPr="00DF0307">
        <w:t xml:space="preserve">the </w:t>
      </w:r>
      <w:r w:rsidR="008445EC" w:rsidRPr="00DF0307">
        <w:t>U.S.</w:t>
      </w:r>
      <w:r w:rsidR="00F653B0" w:rsidRPr="00DF0307">
        <w:t xml:space="preserve"> must adhere to the international schedule set forth by the OECD, including the availability </w:t>
      </w:r>
      <w:r w:rsidR="00F653B0" w:rsidRPr="007B3BC9">
        <w:t>of final field test and main study plans</w:t>
      </w:r>
      <w:r w:rsidR="008445EC">
        <w:t xml:space="preserve"> and </w:t>
      </w:r>
      <w:r w:rsidR="00F653B0" w:rsidRPr="007B3BC9">
        <w:t>questionnaires.</w:t>
      </w:r>
    </w:p>
    <w:p w14:paraId="7E3BA481" w14:textId="77777777" w:rsidR="00945DFF" w:rsidRDefault="003D3521" w:rsidP="00050E91">
      <w:pPr>
        <w:pStyle w:val="BodyText1"/>
        <w:spacing w:before="0"/>
      </w:pPr>
      <w:r>
        <w:t>R</w:t>
      </w:r>
      <w:r w:rsidR="00C04C13" w:rsidRPr="005E5F28">
        <w:t xml:space="preserve">ecruitment </w:t>
      </w:r>
      <w:r w:rsidR="00836409" w:rsidRPr="005E5F28">
        <w:t xml:space="preserve">activities </w:t>
      </w:r>
      <w:r w:rsidR="005611C5" w:rsidRPr="005E5F28">
        <w:t>for the</w:t>
      </w:r>
      <w:r w:rsidR="00AB7ACC" w:rsidRPr="005E5F28">
        <w:t xml:space="preserve"> </w:t>
      </w:r>
      <w:r w:rsidR="00C82DC3" w:rsidRPr="005E5F28">
        <w:t>201</w:t>
      </w:r>
      <w:r w:rsidR="003D0CD9" w:rsidRPr="005E5F28">
        <w:t>7</w:t>
      </w:r>
      <w:r w:rsidR="00C82DC3" w:rsidRPr="005E5F28">
        <w:t xml:space="preserve"> </w:t>
      </w:r>
      <w:r w:rsidR="00CA2440" w:rsidRPr="005E5F28">
        <w:t>field test</w:t>
      </w:r>
      <w:r w:rsidR="008F55B2">
        <w:t xml:space="preserve"> </w:t>
      </w:r>
      <w:r>
        <w:t>were</w:t>
      </w:r>
      <w:r w:rsidR="008F55B2">
        <w:t xml:space="preserve"> approved</w:t>
      </w:r>
      <w:r w:rsidR="000437A2">
        <w:t xml:space="preserve"> </w:t>
      </w:r>
      <w:r>
        <w:t>i</w:t>
      </w:r>
      <w:r w:rsidR="000437A2">
        <w:t>n April 2017 (</w:t>
      </w:r>
      <w:r w:rsidR="000437A2" w:rsidRPr="0028726A">
        <w:t>OMB</w:t>
      </w:r>
      <w:r w:rsidR="0028726A">
        <w:t xml:space="preserve"> </w:t>
      </w:r>
      <w:r w:rsidR="0028726A" w:rsidRPr="0028726A">
        <w:rPr>
          <w:color w:val="000000"/>
        </w:rPr>
        <w:t>1850-0936</w:t>
      </w:r>
      <w:r w:rsidR="00E230BE">
        <w:rPr>
          <w:color w:val="000000"/>
        </w:rPr>
        <w:t xml:space="preserve"> v.1</w:t>
      </w:r>
      <w:r>
        <w:rPr>
          <w:color w:val="000000"/>
        </w:rPr>
        <w:t>-2</w:t>
      </w:r>
      <w:r w:rsidR="0028726A">
        <w:rPr>
          <w:color w:val="000000"/>
        </w:rPr>
        <w:t>)</w:t>
      </w:r>
      <w:r w:rsidR="008F55B2" w:rsidRPr="0028726A">
        <w:t>.</w:t>
      </w:r>
      <w:r w:rsidR="00E230BE">
        <w:t xml:space="preserve"> </w:t>
      </w:r>
      <w:r w:rsidR="008F55B2">
        <w:t xml:space="preserve">This request is to conduct the field test data collection and </w:t>
      </w:r>
      <w:r w:rsidR="00BC0106">
        <w:t>recruitment for the main study</w:t>
      </w:r>
      <w:r w:rsidR="008F55B2" w:rsidRPr="005E5F28">
        <w:t>.</w:t>
      </w:r>
      <w:r>
        <w:t xml:space="preserve"> Because recruitment for the field test </w:t>
      </w:r>
      <w:r w:rsidR="00070B92">
        <w:t xml:space="preserve">has not yet started and </w:t>
      </w:r>
      <w:r>
        <w:t>will continue beyond the beginning of field test data collection, p</w:t>
      </w:r>
      <w:r w:rsidR="008F55B2">
        <w:t>reviously cleared</w:t>
      </w:r>
      <w:r w:rsidR="00514E07">
        <w:t xml:space="preserve"> </w:t>
      </w:r>
      <w:r w:rsidR="008F55B2">
        <w:t>f</w:t>
      </w:r>
      <w:r w:rsidR="004B57AD" w:rsidRPr="005E5F28">
        <w:t xml:space="preserve">ield test recruitment </w:t>
      </w:r>
      <w:r>
        <w:t xml:space="preserve">procedures and respondent burden and </w:t>
      </w:r>
      <w:r w:rsidR="004B57AD" w:rsidRPr="005E5F28">
        <w:t>materials</w:t>
      </w:r>
      <w:r>
        <w:t xml:space="preserve"> </w:t>
      </w:r>
      <w:r w:rsidR="004B57AD" w:rsidRPr="005E5F28">
        <w:t xml:space="preserve">are </w:t>
      </w:r>
      <w:r>
        <w:t>being carried over in this submission</w:t>
      </w:r>
      <w:r w:rsidR="00070B92">
        <w:t xml:space="preserve">, and have been updated </w:t>
      </w:r>
      <w:r w:rsidR="00050E91">
        <w:t xml:space="preserve">in </w:t>
      </w:r>
      <w:r w:rsidR="00070B92">
        <w:t>July 2017</w:t>
      </w:r>
      <w:r w:rsidR="004B57AD" w:rsidRPr="005E5F28">
        <w:t xml:space="preserve">. </w:t>
      </w:r>
      <w:r w:rsidR="00BC0106">
        <w:t xml:space="preserve">IELS main study </w:t>
      </w:r>
      <w:r>
        <w:t>procedures</w:t>
      </w:r>
      <w:r w:rsidR="004B57AD" w:rsidRPr="005E5F28">
        <w:t xml:space="preserve"> and materials </w:t>
      </w:r>
      <w:r w:rsidR="00070B92">
        <w:t>are based on those used in the field test and are included in Appendix A and B</w:t>
      </w:r>
      <w:r w:rsidR="00050E91">
        <w:t xml:space="preserve"> of this submission</w:t>
      </w:r>
      <w:r w:rsidR="00070B92">
        <w:t>.</w:t>
      </w:r>
    </w:p>
    <w:p w14:paraId="5FFBB1F6" w14:textId="0390C986" w:rsidR="00050E91" w:rsidRDefault="001B57A5" w:rsidP="00070B92">
      <w:pPr>
        <w:pStyle w:val="BodyText1"/>
      </w:pPr>
      <w:r w:rsidRPr="001B57A5">
        <w:t>Draft field test instruments, which include the final international field test versions with proposed additional U.S. adaptation items, are included in Appendix C (revised July 2017). The final field test instruments, including all internationally approved U.S</w:t>
      </w:r>
      <w:r w:rsidRPr="00B76839">
        <w:t>. adaptations, and including the Spanish-language version of the parent questionnaire</w:t>
      </w:r>
      <w:r w:rsidR="008E73B6" w:rsidRPr="00B76839">
        <w:t xml:space="preserve"> and communication materials</w:t>
      </w:r>
      <w:r w:rsidRPr="00B76839">
        <w:t>, will be submitted to OMB as a change request upon approva</w:t>
      </w:r>
      <w:r w:rsidR="00632DB1" w:rsidRPr="00B76839">
        <w:t>l of this request in August 2017</w:t>
      </w:r>
      <w:r w:rsidR="00B86B84">
        <w:t xml:space="preserve">, along with </w:t>
      </w:r>
      <w:r w:rsidR="00734E77">
        <w:t xml:space="preserve">content </w:t>
      </w:r>
      <w:r w:rsidR="00B86B84">
        <w:t>of</w:t>
      </w:r>
      <w:r w:rsidR="00734E77">
        <w:t xml:space="preserve"> the MyIELS communication website</w:t>
      </w:r>
      <w:r w:rsidR="00B86B84">
        <w:t>, which is currently being developed</w:t>
      </w:r>
      <w:r w:rsidR="00734E77">
        <w:t xml:space="preserve">. </w:t>
      </w:r>
      <w:r w:rsidR="00514E07">
        <w:t xml:space="preserve">A main study data collection will be submitted for </w:t>
      </w:r>
      <w:r w:rsidR="00514E07" w:rsidRPr="00841EFA">
        <w:t xml:space="preserve">clearance in </w:t>
      </w:r>
      <w:r w:rsidR="008D784C" w:rsidRPr="00841EFA">
        <w:t xml:space="preserve">late </w:t>
      </w:r>
      <w:r w:rsidR="00EC035D" w:rsidRPr="00841EFA">
        <w:t>2017</w:t>
      </w:r>
      <w:r w:rsidR="00514E07" w:rsidRPr="00841EFA">
        <w:t>.</w:t>
      </w:r>
      <w:r w:rsidR="00841EFA">
        <w:rPr>
          <w:rStyle w:val="FootnoteReference"/>
        </w:rPr>
        <w:footnoteReference w:id="3"/>
      </w:r>
    </w:p>
    <w:p w14:paraId="5E0F86E0" w14:textId="453D6941" w:rsidR="005611C5" w:rsidRDefault="005611C5" w:rsidP="004B626E">
      <w:pPr>
        <w:pStyle w:val="Heading0"/>
        <w:spacing w:before="240" w:after="120"/>
      </w:pPr>
      <w:bookmarkStart w:id="3" w:name="_Toc488670084"/>
      <w:r>
        <w:t>A.</w:t>
      </w:r>
      <w:r w:rsidR="00FA3B61">
        <w:t xml:space="preserve"> </w:t>
      </w:r>
      <w:r w:rsidRPr="00244B12">
        <w:t>JUSTIFICATION</w:t>
      </w:r>
      <w:bookmarkEnd w:id="3"/>
    </w:p>
    <w:p w14:paraId="5E0F86E1" w14:textId="77777777" w:rsidR="005611C5" w:rsidRDefault="005611C5" w:rsidP="005A2201">
      <w:pPr>
        <w:pStyle w:val="Heading1"/>
        <w:tabs>
          <w:tab w:val="clear" w:pos="1152"/>
          <w:tab w:val="left" w:pos="0"/>
        </w:tabs>
        <w:spacing w:before="120" w:after="0" w:line="240" w:lineRule="auto"/>
        <w:ind w:left="720" w:hanging="720"/>
      </w:pPr>
      <w:bookmarkStart w:id="4" w:name="_Toc488670085"/>
      <w:r>
        <w:t>A.1</w:t>
      </w:r>
      <w:r>
        <w:tab/>
        <w:t>Importance of Information</w:t>
      </w:r>
      <w:bookmarkEnd w:id="4"/>
    </w:p>
    <w:p w14:paraId="15660E36" w14:textId="6823138C" w:rsidR="004B57AD" w:rsidRDefault="005611C5" w:rsidP="00C00F38">
      <w:pPr>
        <w:pStyle w:val="BodyText1"/>
      </w:pPr>
      <w:r>
        <w:t xml:space="preserve">As part of a continuing cycle of international studies, the United States, through NCES, </w:t>
      </w:r>
      <w:r w:rsidR="00BC121F">
        <w:t>participates</w:t>
      </w:r>
      <w:r>
        <w:t xml:space="preserve"> in several international </w:t>
      </w:r>
      <w:r w:rsidR="00BC121F">
        <w:t xml:space="preserve">education </w:t>
      </w:r>
      <w:r>
        <w:t>assessments and surveys</w:t>
      </w:r>
      <w:r w:rsidR="00035CF6">
        <w:t>, including</w:t>
      </w:r>
      <w:r w:rsidR="00035CF6" w:rsidRPr="00035CF6">
        <w:t xml:space="preserve"> </w:t>
      </w:r>
      <w:r w:rsidR="00035CF6" w:rsidRPr="002200BF">
        <w:t>PISA,</w:t>
      </w:r>
      <w:r w:rsidR="00035CF6">
        <w:t xml:space="preserve"> an assessment of 15-year-olds</w:t>
      </w:r>
      <w:r w:rsidR="000634AC">
        <w:t>,</w:t>
      </w:r>
      <w:r w:rsidR="00971DD6">
        <w:t xml:space="preserve"> and </w:t>
      </w:r>
      <w:r w:rsidR="00035CF6" w:rsidRPr="002200BF">
        <w:t>PIAAC</w:t>
      </w:r>
      <w:r w:rsidR="00035CF6">
        <w:t>, which assesses adult</w:t>
      </w:r>
      <w:r w:rsidR="003B0B5B">
        <w:t xml:space="preserve"> </w:t>
      </w:r>
      <w:r w:rsidR="00035CF6">
        <w:t>s</w:t>
      </w:r>
      <w:r w:rsidR="003B0B5B">
        <w:t>kills</w:t>
      </w:r>
      <w:r>
        <w:t>.</w:t>
      </w:r>
      <w:r w:rsidR="00FA3B61">
        <w:t xml:space="preserve"> </w:t>
      </w:r>
      <w:r w:rsidR="00D53344" w:rsidRPr="002200BF">
        <w:t>IELS</w:t>
      </w:r>
      <w:r w:rsidR="00971DD6">
        <w:t xml:space="preserve">, sponsored by </w:t>
      </w:r>
      <w:r w:rsidR="00D53344">
        <w:t xml:space="preserve">OECD, </w:t>
      </w:r>
      <w:r>
        <w:t xml:space="preserve">is </w:t>
      </w:r>
      <w:r w:rsidR="00D53344">
        <w:t xml:space="preserve">a new addition to </w:t>
      </w:r>
      <w:r w:rsidR="00035CF6">
        <w:t>NCES’s</w:t>
      </w:r>
      <w:r w:rsidR="00D53344">
        <w:t xml:space="preserve"> </w:t>
      </w:r>
      <w:r w:rsidR="00035CF6">
        <w:t>international studies</w:t>
      </w:r>
      <w:r>
        <w:t>.</w:t>
      </w:r>
    </w:p>
    <w:p w14:paraId="5E0F86E3" w14:textId="24DC7158" w:rsidR="005611C5" w:rsidRDefault="005611C5" w:rsidP="00C00F38">
      <w:pPr>
        <w:pStyle w:val="BodyText1"/>
      </w:pPr>
      <w:r>
        <w:t>In light of the growing concerns related to international economic competitiveness, the changing face of our workplace, and the expanding international marketplace in which we trade, knowing how our students and adults compare with their peers around the world has become an even more prominent issue than ever before.</w:t>
      </w:r>
      <w:r w:rsidR="00FA3B61">
        <w:t xml:space="preserve"> </w:t>
      </w:r>
      <w:r>
        <w:t>Nationwide, interest in understanding what other nations are doing to further the educational achievement of their populations has increased beyond simple comparisons.</w:t>
      </w:r>
      <w:r w:rsidR="00124802">
        <w:t xml:space="preserve"> </w:t>
      </w:r>
      <w:r w:rsidR="00E239A4">
        <w:t xml:space="preserve">Moreover, recent investments in </w:t>
      </w:r>
      <w:r w:rsidR="003B0B5B">
        <w:t>early childhood education and care</w:t>
      </w:r>
      <w:r w:rsidR="00E239A4">
        <w:t xml:space="preserve"> </w:t>
      </w:r>
      <w:r w:rsidR="003B0B5B">
        <w:t xml:space="preserve">(ECEC) </w:t>
      </w:r>
      <w:r w:rsidR="00E239A4">
        <w:t xml:space="preserve">require a closer examination of what US children know as they enter school and how </w:t>
      </w:r>
      <w:r w:rsidR="00473C3F">
        <w:t>their knowledge</w:t>
      </w:r>
      <w:r w:rsidR="00E239A4">
        <w:t xml:space="preserve"> compares to </w:t>
      </w:r>
      <w:r w:rsidR="00473C3F">
        <w:t xml:space="preserve">that of </w:t>
      </w:r>
      <w:r w:rsidR="00E239A4">
        <w:t>children in other nations with different ECEC experiences.</w:t>
      </w:r>
    </w:p>
    <w:p w14:paraId="4BC31A6C" w14:textId="77777777" w:rsidR="00124802" w:rsidRDefault="005611C5" w:rsidP="00C00F38">
      <w:pPr>
        <w:pStyle w:val="BodyText1"/>
      </w:pPr>
      <w:r>
        <w:t xml:space="preserve">Data at critical points during the education career of </w:t>
      </w:r>
      <w:r w:rsidR="00BC121F">
        <w:t xml:space="preserve">U.S. </w:t>
      </w:r>
      <w:r>
        <w:t>students</w:t>
      </w:r>
      <w:r w:rsidR="000634AC">
        <w:t xml:space="preserve"> are</w:t>
      </w:r>
      <w:r w:rsidR="00BC121F">
        <w:t xml:space="preserve"> used by</w:t>
      </w:r>
      <w:r>
        <w:t xml:space="preserve"> policymakers in efforts to guide and </w:t>
      </w:r>
      <w:r w:rsidR="00F755DF">
        <w:t xml:space="preserve">examine </w:t>
      </w:r>
      <w:r>
        <w:t>the American education system.</w:t>
      </w:r>
      <w:r w:rsidR="00FA3B61">
        <w:t xml:space="preserve"> </w:t>
      </w:r>
      <w:r>
        <w:t>Consequently, generating comparative</w:t>
      </w:r>
      <w:r w:rsidR="000634AC">
        <w:t xml:space="preserve"> data about students in school </w:t>
      </w:r>
      <w:r>
        <w:t>and about adults in workplace and in community has become an important focus for NCES.</w:t>
      </w:r>
      <w:r w:rsidR="000634AC">
        <w:t xml:space="preserve"> The addition of </w:t>
      </w:r>
      <w:r w:rsidR="003B0B5B">
        <w:t xml:space="preserve">the </w:t>
      </w:r>
      <w:r w:rsidR="000634AC">
        <w:t xml:space="preserve">IELS to the slate of comparative assessments conducted by NCES will broaden what we know about U.S. students compared </w:t>
      </w:r>
      <w:r w:rsidR="004F1F0D">
        <w:t>with those in</w:t>
      </w:r>
      <w:r w:rsidR="000634AC">
        <w:t xml:space="preserve"> other countries</w:t>
      </w:r>
      <w:r w:rsidR="008E6FA6">
        <w:t xml:space="preserve"> and provide comparative information about students at an earlier point in the educational process than has previously been possible.</w:t>
      </w:r>
    </w:p>
    <w:p w14:paraId="32BA7DE6" w14:textId="6F389EE6" w:rsidR="00124802" w:rsidRDefault="005611C5" w:rsidP="000F45D6">
      <w:pPr>
        <w:pStyle w:val="BodyText1"/>
      </w:pPr>
      <w:r>
        <w:t xml:space="preserve">The results </w:t>
      </w:r>
      <w:r w:rsidR="00BC121F">
        <w:t>from</w:t>
      </w:r>
      <w:r>
        <w:t xml:space="preserve"> </w:t>
      </w:r>
      <w:r w:rsidR="00FF66B6">
        <w:t xml:space="preserve">the </w:t>
      </w:r>
      <w:r w:rsidR="000634AC">
        <w:t>IELS</w:t>
      </w:r>
      <w:r>
        <w:t xml:space="preserve"> </w:t>
      </w:r>
      <w:r w:rsidR="00CB7AB1">
        <w:t xml:space="preserve">will allow </w:t>
      </w:r>
      <w:r>
        <w:t xml:space="preserve">national </w:t>
      </w:r>
      <w:r w:rsidR="004E2BB9">
        <w:t>policymaker</w:t>
      </w:r>
      <w:r>
        <w:t xml:space="preserve">s to compare the </w:t>
      </w:r>
      <w:r w:rsidR="00E239A4">
        <w:t xml:space="preserve">skills and competencies of children from different nations as they </w:t>
      </w:r>
      <w:r w:rsidR="00473C3F">
        <w:t>are</w:t>
      </w:r>
      <w:r w:rsidR="00E239A4">
        <w:t xml:space="preserve"> </w:t>
      </w:r>
      <w:r w:rsidR="00473C3F">
        <w:t>readying</w:t>
      </w:r>
      <w:r w:rsidR="00E239A4">
        <w:t xml:space="preserve"> to enter primary school and </w:t>
      </w:r>
      <w:r w:rsidR="00473C3F">
        <w:t>to evaluate whether</w:t>
      </w:r>
      <w:r w:rsidR="00E239A4">
        <w:t xml:space="preserve"> changes might be needed in the U.S.’s ECEC system to promote additional skills and competencies seen in other countries. </w:t>
      </w:r>
      <w:r>
        <w:t xml:space="preserve">Without these </w:t>
      </w:r>
      <w:r w:rsidR="00473C3F">
        <w:t>types</w:t>
      </w:r>
      <w:r>
        <w:t xml:space="preserve"> of data, U.S. policymakers </w:t>
      </w:r>
      <w:r w:rsidR="00473C3F">
        <w:t>are</w:t>
      </w:r>
      <w:r>
        <w:t xml:space="preserve"> limited in their ability to gain insight into the educational performance and practices of other nations as they compare to the United States.</w:t>
      </w:r>
    </w:p>
    <w:p w14:paraId="441082A0" w14:textId="26516A59" w:rsidR="00E239A4" w:rsidRPr="00841EFA" w:rsidRDefault="00E239A4" w:rsidP="00E239A4">
      <w:pPr>
        <w:pStyle w:val="BodyText1"/>
      </w:pPr>
      <w:r>
        <w:t xml:space="preserve">The study’s success is dependent on the development of reliable, valid cross-cultural measures. The goal of the IELS field test is to </w:t>
      </w:r>
      <w:r w:rsidR="00473C3F">
        <w:t>evaluate</w:t>
      </w:r>
      <w:r>
        <w:t xml:space="preserve"> the direct cognitive assessment, parent </w:t>
      </w:r>
      <w:r w:rsidR="003E7CF1">
        <w:t>questionnaire</w:t>
      </w:r>
      <w:r>
        <w:t xml:space="preserve">, </w:t>
      </w:r>
      <w:r w:rsidR="009242E9">
        <w:t>teacher</w:t>
      </w:r>
      <w:r w:rsidR="003E7CF1">
        <w:t xml:space="preserve"> questionnaire</w:t>
      </w:r>
      <w:r w:rsidR="00C325D6">
        <w:t xml:space="preserve">, </w:t>
      </w:r>
      <w:r w:rsidR="00473C3F">
        <w:t>and</w:t>
      </w:r>
      <w:r w:rsidR="00C325D6">
        <w:t xml:space="preserve"> study operations</w:t>
      </w:r>
      <w:r>
        <w:t xml:space="preserve">. The IELS field test will provide the data needed to determine the psychometric properties of items and the predictive potential of assessment and survey items so that valid, reliable, and useful assessment and survey instruments can be composed for the main study, ensuring </w:t>
      </w:r>
      <w:r w:rsidR="00C325D6">
        <w:t>validity</w:t>
      </w:r>
      <w:r>
        <w:t xml:space="preserve"> in multiple countries. As the focus of the </w:t>
      </w:r>
      <w:r w:rsidR="00C325D6">
        <w:t>IELS field test</w:t>
      </w:r>
      <w:r>
        <w:t xml:space="preserve"> is the analyses of the psychometric properties of the survey items and assessments, the </w:t>
      </w:r>
      <w:r w:rsidR="00C325D6">
        <w:t>IELS field test requires a small, but</w:t>
      </w:r>
      <w:r>
        <w:t xml:space="preserve"> diverse field test </w:t>
      </w:r>
      <w:r w:rsidRPr="00841EFA">
        <w:t>sample, though not a nationally representative one.</w:t>
      </w:r>
    </w:p>
    <w:p w14:paraId="5E0F86EA" w14:textId="6B511309" w:rsidR="005611C5" w:rsidRPr="00841EFA" w:rsidRDefault="009F7AD8" w:rsidP="009F7AD8">
      <w:pPr>
        <w:pStyle w:val="Heading1"/>
        <w:tabs>
          <w:tab w:val="clear" w:pos="1152"/>
          <w:tab w:val="left" w:pos="0"/>
        </w:tabs>
        <w:spacing w:before="120" w:after="0" w:line="240" w:lineRule="auto"/>
        <w:ind w:left="720" w:hanging="720"/>
      </w:pPr>
      <w:bookmarkStart w:id="5" w:name="_Toc488670089"/>
      <w:r w:rsidRPr="00841EFA">
        <w:t>A.</w:t>
      </w:r>
      <w:r w:rsidR="00DF0307">
        <w:t>2</w:t>
      </w:r>
      <w:r w:rsidRPr="00841EFA">
        <w:tab/>
      </w:r>
      <w:r w:rsidR="005611C5" w:rsidRPr="00841EFA">
        <w:t>Purposes and Uses of Data</w:t>
      </w:r>
      <w:bookmarkEnd w:id="5"/>
    </w:p>
    <w:p w14:paraId="6A1C12D1" w14:textId="77777777" w:rsidR="00DF0307" w:rsidRPr="00DF0307" w:rsidRDefault="00DF0307" w:rsidP="00DF0307">
      <w:pPr>
        <w:pStyle w:val="BodyText1"/>
        <w:rPr>
          <w:b/>
        </w:rPr>
      </w:pPr>
      <w:bookmarkStart w:id="6" w:name="_Toc488670086"/>
      <w:r w:rsidRPr="00DF0307">
        <w:rPr>
          <w:b/>
        </w:rPr>
        <w:t>Overview of the IELS Study Design</w:t>
      </w:r>
      <w:bookmarkEnd w:id="6"/>
    </w:p>
    <w:p w14:paraId="520AD323" w14:textId="77777777" w:rsidR="00DF0307" w:rsidRPr="00DF0307" w:rsidRDefault="00DF0307" w:rsidP="00DF0307">
      <w:pPr>
        <w:pStyle w:val="BodyText1"/>
      </w:pPr>
      <w:bookmarkStart w:id="7" w:name="_Toc488670087"/>
      <w:r w:rsidRPr="00841EFA">
        <w:t xml:space="preserve">The IELS </w:t>
      </w:r>
      <w:r w:rsidRPr="00DF0307">
        <w:t xml:space="preserve">2018 </w:t>
      </w:r>
      <w:r w:rsidRPr="00841EFA">
        <w:t>will collect data on a nationally representative sample that will yield approximately 3,000 assessed five-year-old children</w:t>
      </w:r>
      <w:r w:rsidRPr="00DF0307">
        <w:footnoteReference w:id="4"/>
      </w:r>
      <w:r w:rsidRPr="00841EFA">
        <w:t xml:space="preserve"> enrolled in 200 schools through the United States. The fall 2017 field test sample </w:t>
      </w:r>
      <w:r w:rsidRPr="00DF0307">
        <w:t>is designed to</w:t>
      </w:r>
      <w:r w:rsidRPr="00841EFA">
        <w:t xml:space="preserve"> yield a minimum of 450 children, enrolled in 30 randomly selected schools in five states chosen to reflect geographic diversity.</w:t>
      </w:r>
      <w:bookmarkEnd w:id="7"/>
    </w:p>
    <w:p w14:paraId="0452BF2F" w14:textId="77777777" w:rsidR="00DF0307" w:rsidRPr="00DF0307" w:rsidRDefault="00DF0307" w:rsidP="00DF0307">
      <w:pPr>
        <w:pStyle w:val="BodyText1"/>
      </w:pPr>
      <w:bookmarkStart w:id="8" w:name="_Toc488670088"/>
      <w:r w:rsidRPr="00841EFA">
        <w:t>The data collection for both the field test and the main study will include direct child assessments and online parent and teacher questionnaires. Instruments have been deveoped based on frameworks that define the constructs and provide specifications for distributions of items by framework dimensions. Following the field test, cognitive and non-cognitive items will be evaluated for bias and interpretation issues, following standard protocols. For the main study, the pool of items will be reduced to only include those that demonstrate validity across the participating education systems, meet the goals of content coverage to adequately measure the frameworks, and provide the desired distribution of item types.</w:t>
      </w:r>
      <w:bookmarkEnd w:id="8"/>
    </w:p>
    <w:p w14:paraId="757D1CE7" w14:textId="77777777" w:rsidR="00DF0307" w:rsidRDefault="00DF0307" w:rsidP="00DF0307">
      <w:pPr>
        <w:pStyle w:val="P1-StandPara"/>
        <w:spacing w:before="120" w:after="120" w:line="300" w:lineRule="atLeast"/>
        <w:ind w:firstLine="0"/>
        <w:jc w:val="left"/>
        <w:rPr>
          <w:rFonts w:ascii="Garamond" w:hAnsi="Garamond"/>
          <w:sz w:val="24"/>
          <w:szCs w:val="24"/>
        </w:rPr>
      </w:pPr>
      <w:r w:rsidRPr="00841EFA">
        <w:rPr>
          <w:rFonts w:ascii="Garamond" w:hAnsi="Garamond"/>
          <w:b/>
          <w:sz w:val="24"/>
          <w:szCs w:val="24"/>
        </w:rPr>
        <w:t>Cognitive Assessments.</w:t>
      </w:r>
      <w:r w:rsidRPr="00841EFA">
        <w:rPr>
          <w:rFonts w:ascii="Garamond" w:hAnsi="Garamond"/>
          <w:sz w:val="24"/>
          <w:szCs w:val="24"/>
        </w:rPr>
        <w:t xml:space="preserve"> For the field test, the IELS assessment will be comprised of four domains: emerging literacy, emerging numeracy, empathy and trust, and self-regulation. Each assessment will be monitored by a trained assessor, using a tablet. Each item will be read aloud to the child, who listens through headphones. The child will be asked to respond </w:t>
      </w:r>
      <w:r>
        <w:rPr>
          <w:rFonts w:ascii="Garamond" w:hAnsi="Garamond"/>
          <w:sz w:val="24"/>
          <w:szCs w:val="24"/>
        </w:rPr>
        <w:t xml:space="preserve">to </w:t>
      </w:r>
      <w:r w:rsidRPr="00841EFA">
        <w:rPr>
          <w:rFonts w:ascii="Garamond" w:hAnsi="Garamond"/>
          <w:sz w:val="24"/>
          <w:szCs w:val="24"/>
        </w:rPr>
        <w:t>questions in a variety of methods, including tapping on a picture or dragging and dropping items. After a brief introductory session where the assessor demonstrates to the child how to use the tablet to respond to questions and the child answers a few practice items, the assessment will begin. The play-based assessment is untimed and self-adminstered, although the assessor will be available to respond to questions, demonstrate how to answer items if needed, and intervene if technical issues with the hardware or software arise. The assessment is expected to last approximately 60 minutes, although it will be broken into two sessions spread across two days. That is, each child will complete on average a 30-minute session on day 1 and another 30-minute session on day 2.</w:t>
      </w:r>
    </w:p>
    <w:p w14:paraId="5BCAB7E9" w14:textId="77777777" w:rsidR="00DF0307" w:rsidRDefault="00DF0307" w:rsidP="00DF0307">
      <w:pPr>
        <w:pStyle w:val="P1-StandPara"/>
        <w:spacing w:before="120" w:after="120" w:line="300" w:lineRule="atLeast"/>
        <w:ind w:firstLine="0"/>
        <w:jc w:val="left"/>
        <w:rPr>
          <w:rFonts w:ascii="Garamond" w:hAnsi="Garamond"/>
          <w:sz w:val="24"/>
          <w:szCs w:val="24"/>
        </w:rPr>
      </w:pPr>
      <w:r w:rsidRPr="00841EFA">
        <w:rPr>
          <w:rFonts w:ascii="Garamond" w:hAnsi="Garamond"/>
          <w:b/>
          <w:sz w:val="24"/>
          <w:szCs w:val="24"/>
        </w:rPr>
        <w:t>Parent questionnaire.</w:t>
      </w:r>
      <w:r w:rsidRPr="00841EFA">
        <w:rPr>
          <w:rFonts w:ascii="Garamond" w:hAnsi="Garamond"/>
          <w:sz w:val="24"/>
          <w:szCs w:val="24"/>
        </w:rPr>
        <w:t xml:space="preserve"> One parent or guardian of each student will be asked to complete a brief online survey. If prefered, a paper-and-pencil version can be requested. The questionnaire asks demographic questions as well as questions about the child’s early learning environment and experiences, social skills, and participation in child care. The English questionnaire was translated into Spanish</w:t>
      </w:r>
      <w:r>
        <w:rPr>
          <w:rFonts w:ascii="Garamond" w:hAnsi="Garamond"/>
          <w:sz w:val="24"/>
          <w:szCs w:val="24"/>
        </w:rPr>
        <w:t xml:space="preserve"> (s</w:t>
      </w:r>
      <w:r w:rsidRPr="00841EFA">
        <w:rPr>
          <w:rFonts w:ascii="Garamond" w:hAnsi="Garamond"/>
          <w:sz w:val="24"/>
          <w:szCs w:val="24"/>
        </w:rPr>
        <w:t>ee Appendix C for the field test parent questionnaire items</w:t>
      </w:r>
      <w:r>
        <w:rPr>
          <w:rFonts w:ascii="Garamond" w:hAnsi="Garamond"/>
          <w:sz w:val="24"/>
          <w:szCs w:val="24"/>
        </w:rPr>
        <w:t>)</w:t>
      </w:r>
      <w:r w:rsidRPr="00841EFA">
        <w:rPr>
          <w:rFonts w:ascii="Garamond" w:hAnsi="Garamond"/>
          <w:sz w:val="24"/>
          <w:szCs w:val="24"/>
        </w:rPr>
        <w:t>.</w:t>
      </w:r>
    </w:p>
    <w:p w14:paraId="0AFE585D" w14:textId="77777777" w:rsidR="00DF0307" w:rsidRPr="00841EFA" w:rsidRDefault="00DF0307" w:rsidP="00DF0307">
      <w:pPr>
        <w:pStyle w:val="P1-StandPara"/>
        <w:spacing w:before="120" w:after="120" w:line="300" w:lineRule="atLeast"/>
        <w:ind w:firstLine="0"/>
        <w:jc w:val="left"/>
        <w:rPr>
          <w:rFonts w:ascii="Garamond" w:hAnsi="Garamond"/>
          <w:sz w:val="24"/>
          <w:szCs w:val="24"/>
        </w:rPr>
      </w:pPr>
      <w:r w:rsidRPr="00841EFA">
        <w:rPr>
          <w:rFonts w:ascii="Garamond" w:hAnsi="Garamond"/>
          <w:b/>
          <w:sz w:val="24"/>
          <w:szCs w:val="24"/>
        </w:rPr>
        <w:t>Teacher questionnaire.</w:t>
      </w:r>
      <w:r w:rsidRPr="00841EFA">
        <w:rPr>
          <w:rFonts w:ascii="Garamond" w:hAnsi="Garamond"/>
          <w:sz w:val="24"/>
          <w:szCs w:val="24"/>
        </w:rPr>
        <w:t xml:space="preserve"> Teachers of selected students will be asked to complete an online</w:t>
      </w:r>
      <w:r>
        <w:rPr>
          <w:rFonts w:ascii="Garamond" w:hAnsi="Garamond"/>
          <w:sz w:val="24"/>
          <w:szCs w:val="24"/>
        </w:rPr>
        <w:t xml:space="preserve"> </w:t>
      </w:r>
      <w:r w:rsidRPr="00841EFA">
        <w:rPr>
          <w:rFonts w:ascii="Garamond" w:hAnsi="Garamond"/>
          <w:sz w:val="24"/>
          <w:szCs w:val="24"/>
        </w:rPr>
        <w:t>questionnaire, which includes questions about their professional background (about 3 minutes to complete) and the skills and abilities of the students selected for the study (about 5 minutes per child, with an average of 4 students per teacher). The survey does not need to be completed in a single session. Paper-and-pencil versions of the surveys will be available upon request</w:t>
      </w:r>
      <w:r>
        <w:rPr>
          <w:rFonts w:ascii="Garamond" w:hAnsi="Garamond"/>
          <w:sz w:val="24"/>
          <w:szCs w:val="24"/>
        </w:rPr>
        <w:t xml:space="preserve"> (see </w:t>
      </w:r>
      <w:r w:rsidRPr="00841EFA">
        <w:rPr>
          <w:rFonts w:ascii="Garamond" w:hAnsi="Garamond"/>
          <w:sz w:val="24"/>
          <w:szCs w:val="24"/>
        </w:rPr>
        <w:t xml:space="preserve">Appendic C </w:t>
      </w:r>
      <w:r>
        <w:rPr>
          <w:rFonts w:ascii="Garamond" w:hAnsi="Garamond"/>
          <w:sz w:val="24"/>
          <w:szCs w:val="24"/>
        </w:rPr>
        <w:t>for</w:t>
      </w:r>
      <w:r w:rsidRPr="00841EFA">
        <w:rPr>
          <w:rFonts w:ascii="Garamond" w:hAnsi="Garamond"/>
          <w:sz w:val="24"/>
          <w:szCs w:val="24"/>
        </w:rPr>
        <w:t xml:space="preserve"> the field test teacher questionnaire</w:t>
      </w:r>
      <w:r>
        <w:rPr>
          <w:rFonts w:ascii="Garamond" w:hAnsi="Garamond"/>
          <w:sz w:val="24"/>
          <w:szCs w:val="24"/>
        </w:rPr>
        <w:t>)</w:t>
      </w:r>
      <w:r w:rsidRPr="00841EFA">
        <w:rPr>
          <w:rFonts w:ascii="Garamond" w:hAnsi="Garamond"/>
          <w:sz w:val="24"/>
          <w:szCs w:val="24"/>
        </w:rPr>
        <w:t>.</w:t>
      </w:r>
    </w:p>
    <w:p w14:paraId="4707865D" w14:textId="77777777" w:rsidR="00124802" w:rsidRDefault="005611C5" w:rsidP="008445EC">
      <w:pPr>
        <w:pStyle w:val="BodyText1"/>
        <w:widowControl w:val="0"/>
      </w:pPr>
      <w:r>
        <w:t>Governments and the general public want solid evidence of education outcomes.</w:t>
      </w:r>
      <w:r w:rsidR="00FA3B61">
        <w:t xml:space="preserve"> </w:t>
      </w:r>
      <w:r>
        <w:t>In the late 1990s, the OECD launched an extensive program for producing policy-oriented and internationally comparable indicators of student achievement on a regular basis and in a timely manner.</w:t>
      </w:r>
      <w:r w:rsidR="00FA3B61">
        <w:t xml:space="preserve"> </w:t>
      </w:r>
      <w:r w:rsidR="003D131E">
        <w:t xml:space="preserve">The </w:t>
      </w:r>
      <w:r w:rsidR="009B5302">
        <w:t>IELS is a new addition</w:t>
      </w:r>
      <w:r w:rsidR="003C52C4">
        <w:t xml:space="preserve"> to</w:t>
      </w:r>
      <w:r w:rsidR="009B5302">
        <w:t xml:space="preserve"> </w:t>
      </w:r>
      <w:r>
        <w:t>this program.</w:t>
      </w:r>
    </w:p>
    <w:p w14:paraId="0C88E9AF" w14:textId="03351F44" w:rsidR="00DF0307" w:rsidRPr="00DF0307" w:rsidRDefault="00DF0307" w:rsidP="00BD7BA6">
      <w:pPr>
        <w:pStyle w:val="BodyText1"/>
        <w:rPr>
          <w:b/>
        </w:rPr>
      </w:pPr>
      <w:r w:rsidRPr="00DF0307">
        <w:rPr>
          <w:b/>
        </w:rPr>
        <w:t>Purposes of Data</w:t>
      </w:r>
    </w:p>
    <w:p w14:paraId="5E0F86ED" w14:textId="35942DA6" w:rsidR="005611C5" w:rsidRDefault="00C325D6" w:rsidP="00DF0307">
      <w:pPr>
        <w:pStyle w:val="BodyText1"/>
        <w:widowControl w:val="0"/>
      </w:pPr>
      <w:r>
        <w:t xml:space="preserve">The </w:t>
      </w:r>
      <w:r w:rsidR="00F3055C">
        <w:t>IELS will assess children as they are transitioning to primary school and</w:t>
      </w:r>
      <w:r w:rsidR="00473C3F">
        <w:t>,</w:t>
      </w:r>
      <w:r w:rsidR="00F3055C">
        <w:t xml:space="preserve"> as such</w:t>
      </w:r>
      <w:r w:rsidR="00473C3F">
        <w:t>,</w:t>
      </w:r>
      <w:r w:rsidR="00F3055C">
        <w:t xml:space="preserve"> will provide a view of how </w:t>
      </w:r>
      <w:r w:rsidR="00D85CC9">
        <w:t>5-year</w:t>
      </w:r>
      <w:r w:rsidR="00904762">
        <w:t>-</w:t>
      </w:r>
      <w:r w:rsidR="00D85CC9">
        <w:t xml:space="preserve">old </w:t>
      </w:r>
      <w:r w:rsidR="00F3055C">
        <w:t xml:space="preserve">children </w:t>
      </w:r>
      <w:r w:rsidR="00050E91">
        <w:t>in</w:t>
      </w:r>
      <w:r w:rsidR="00D85CC9">
        <w:t xml:space="preserve"> the U.S. </w:t>
      </w:r>
      <w:r w:rsidR="00F3055C">
        <w:t xml:space="preserve">compare with their international peers on </w:t>
      </w:r>
      <w:r w:rsidR="00493CED">
        <w:t xml:space="preserve">the </w:t>
      </w:r>
      <w:r w:rsidR="00F3055C">
        <w:t>skills</w:t>
      </w:r>
      <w:r w:rsidR="00493CED">
        <w:t xml:space="preserve"> and competencies </w:t>
      </w:r>
      <w:r w:rsidR="00F3055C">
        <w:t xml:space="preserve">deemed important for success in school. </w:t>
      </w:r>
      <w:r w:rsidR="005611C5">
        <w:t xml:space="preserve">The results </w:t>
      </w:r>
      <w:r w:rsidR="00F3055C">
        <w:t>will</w:t>
      </w:r>
      <w:r w:rsidR="005611C5">
        <w:t xml:space="preserve"> allow national </w:t>
      </w:r>
      <w:r w:rsidR="004E2BB9">
        <w:t>policymaker</w:t>
      </w:r>
      <w:r w:rsidR="005611C5">
        <w:t xml:space="preserve">s to </w:t>
      </w:r>
      <w:r w:rsidR="00493CED">
        <w:t xml:space="preserve">evaluate </w:t>
      </w:r>
      <w:r w:rsidR="005611C5">
        <w:t xml:space="preserve">the </w:t>
      </w:r>
      <w:r w:rsidR="00F3055C">
        <w:t xml:space="preserve">readiness of </w:t>
      </w:r>
      <w:r w:rsidR="00473C3F">
        <w:t>U.S.</w:t>
      </w:r>
      <w:r w:rsidR="00F3055C">
        <w:t xml:space="preserve"> children for formal schooling</w:t>
      </w:r>
      <w:r w:rsidR="002B3A2C">
        <w:t xml:space="preserve">, and to analyze the relationship between constructs measured through the </w:t>
      </w:r>
      <w:r w:rsidR="00F3055C">
        <w:t>IELS</w:t>
      </w:r>
      <w:r w:rsidR="002B3A2C">
        <w:t xml:space="preserve"> </w:t>
      </w:r>
      <w:r>
        <w:t xml:space="preserve">adult </w:t>
      </w:r>
      <w:r w:rsidR="002B3A2C">
        <w:t xml:space="preserve">questionnaires with </w:t>
      </w:r>
      <w:r>
        <w:t xml:space="preserve">child </w:t>
      </w:r>
      <w:r w:rsidR="002B3A2C">
        <w:t>assessment results</w:t>
      </w:r>
      <w:r w:rsidR="005611C5">
        <w:t xml:space="preserve"> at national </w:t>
      </w:r>
      <w:r w:rsidR="002B3A2C">
        <w:t xml:space="preserve">and international </w:t>
      </w:r>
      <w:r w:rsidR="005611C5">
        <w:t>levels.</w:t>
      </w:r>
      <w:r w:rsidR="002B3A2C">
        <w:t xml:space="preserve"> </w:t>
      </w:r>
      <w:r w:rsidR="005611C5">
        <w:t xml:space="preserve">Through </w:t>
      </w:r>
      <w:r w:rsidR="008409CC">
        <w:t xml:space="preserve">the </w:t>
      </w:r>
      <w:r w:rsidR="00F3055C">
        <w:t>IELS</w:t>
      </w:r>
      <w:r w:rsidR="005611C5">
        <w:t xml:space="preserve">, </w:t>
      </w:r>
      <w:r w:rsidR="00DA425E">
        <w:t xml:space="preserve">the </w:t>
      </w:r>
      <w:r w:rsidR="005611C5">
        <w:t xml:space="preserve">OECD </w:t>
      </w:r>
      <w:r w:rsidR="00690BA3">
        <w:t xml:space="preserve">and NCES </w:t>
      </w:r>
      <w:r w:rsidR="008E6FA6">
        <w:t xml:space="preserve">will </w:t>
      </w:r>
      <w:r w:rsidR="005611C5">
        <w:t xml:space="preserve">produce </w:t>
      </w:r>
      <w:r w:rsidR="00F3055C">
        <w:t>two</w:t>
      </w:r>
      <w:r w:rsidR="005611C5">
        <w:t xml:space="preserve"> types of indicators:</w:t>
      </w:r>
    </w:p>
    <w:p w14:paraId="5E0F86EE" w14:textId="190D344B" w:rsidR="005611C5" w:rsidRDefault="005611C5" w:rsidP="00B26BA3">
      <w:pPr>
        <w:pStyle w:val="Bodybullet"/>
        <w:widowControl w:val="0"/>
        <w:numPr>
          <w:ilvl w:val="0"/>
          <w:numId w:val="5"/>
        </w:numPr>
        <w:ind w:left="547"/>
      </w:pPr>
      <w:r>
        <w:t xml:space="preserve">Basic indicators that provide a baseline profile of the knowledge, skills, and competencies of </w:t>
      </w:r>
      <w:r w:rsidR="00F3055C">
        <w:t>young children</w:t>
      </w:r>
      <w:r>
        <w:t>;</w:t>
      </w:r>
      <w:r w:rsidR="00F3055C">
        <w:t xml:space="preserve"> and</w:t>
      </w:r>
    </w:p>
    <w:p w14:paraId="2C83AFAD" w14:textId="1A7D006E" w:rsidR="00F3055C" w:rsidRDefault="005611C5" w:rsidP="008E6FA6">
      <w:pPr>
        <w:pStyle w:val="Bodybullet"/>
        <w:numPr>
          <w:ilvl w:val="0"/>
          <w:numId w:val="5"/>
        </w:numPr>
        <w:ind w:left="540"/>
      </w:pPr>
      <w:r>
        <w:t>Contextual indicators that show how such skills relate to important demographic, social, eco</w:t>
      </w:r>
      <w:r w:rsidR="00F3055C">
        <w:t>nomic, and education variables.</w:t>
      </w:r>
    </w:p>
    <w:p w14:paraId="5E0F8706" w14:textId="5712A38E" w:rsidR="005611C5" w:rsidRDefault="005611C5" w:rsidP="005A2201">
      <w:pPr>
        <w:pStyle w:val="Heading1"/>
        <w:tabs>
          <w:tab w:val="clear" w:pos="1152"/>
          <w:tab w:val="left" w:pos="0"/>
          <w:tab w:val="left" w:pos="90"/>
        </w:tabs>
        <w:spacing w:before="120" w:after="0" w:line="240" w:lineRule="auto"/>
        <w:ind w:left="720" w:hanging="720"/>
      </w:pPr>
      <w:bookmarkStart w:id="9" w:name="_Toc488670090"/>
      <w:r>
        <w:t>A.</w:t>
      </w:r>
      <w:r w:rsidR="00DF0307">
        <w:t>3</w:t>
      </w:r>
      <w:r>
        <w:tab/>
        <w:t>Improved Information Technology (Reduction of Burden)</w:t>
      </w:r>
      <w:bookmarkEnd w:id="9"/>
    </w:p>
    <w:p w14:paraId="2A5CB083" w14:textId="77777777" w:rsidR="00124802" w:rsidRDefault="002912F2" w:rsidP="002912F2">
      <w:pPr>
        <w:spacing w:before="120" w:after="120" w:line="300" w:lineRule="atLeast"/>
        <w:jc w:val="left"/>
        <w:rPr>
          <w:rFonts w:ascii="Garamond" w:hAnsi="Garamond"/>
          <w:sz w:val="24"/>
          <w:szCs w:val="24"/>
        </w:rPr>
      </w:pPr>
      <w:r w:rsidRPr="00406E71">
        <w:rPr>
          <w:rFonts w:ascii="Garamond" w:hAnsi="Garamond"/>
          <w:sz w:val="24"/>
          <w:szCs w:val="24"/>
        </w:rPr>
        <w:t xml:space="preserve">Where feasible, available technology will be used to reduce burden and improve efficiency and accuracy. The burden of recruitment on districts and schools will be minimal, with most information gathered </w:t>
      </w:r>
      <w:r w:rsidR="00F810CA">
        <w:rPr>
          <w:rFonts w:ascii="Garamond" w:hAnsi="Garamond"/>
          <w:sz w:val="24"/>
          <w:szCs w:val="24"/>
        </w:rPr>
        <w:t>through E-filing (see below)</w:t>
      </w:r>
      <w:r w:rsidRPr="00406E71">
        <w:rPr>
          <w:rFonts w:ascii="Garamond" w:hAnsi="Garamond"/>
          <w:sz w:val="24"/>
          <w:szCs w:val="24"/>
        </w:rPr>
        <w:t>. Districts will primarily be asked to provide confirmation of data gathered from other sources, including school universe files and district and school websites.</w:t>
      </w:r>
    </w:p>
    <w:p w14:paraId="5B996E5F" w14:textId="01F71465" w:rsidR="004B57AD" w:rsidRDefault="00F65B23" w:rsidP="002230AC">
      <w:pPr>
        <w:spacing w:before="120" w:after="120" w:line="300" w:lineRule="atLeast"/>
        <w:jc w:val="left"/>
        <w:rPr>
          <w:rFonts w:ascii="Garamond" w:hAnsi="Garamond"/>
          <w:sz w:val="24"/>
          <w:szCs w:val="24"/>
        </w:rPr>
      </w:pPr>
      <w:r>
        <w:rPr>
          <w:rFonts w:ascii="Garamond" w:hAnsi="Garamond"/>
          <w:sz w:val="24"/>
          <w:szCs w:val="24"/>
        </w:rPr>
        <w:t xml:space="preserve">A </w:t>
      </w:r>
      <w:r w:rsidRPr="00DF0307">
        <w:rPr>
          <w:rFonts w:ascii="Garamond" w:hAnsi="Garamond"/>
          <w:sz w:val="24"/>
          <w:szCs w:val="24"/>
        </w:rPr>
        <w:t>communication website</w:t>
      </w:r>
      <w:r w:rsidR="002B3232" w:rsidRPr="00DF0307">
        <w:rPr>
          <w:rFonts w:ascii="Garamond" w:hAnsi="Garamond"/>
          <w:sz w:val="24"/>
          <w:szCs w:val="24"/>
        </w:rPr>
        <w:t>, MyIELS.us,</w:t>
      </w:r>
      <w:r w:rsidRPr="00DF0307">
        <w:rPr>
          <w:rFonts w:ascii="Garamond" w:hAnsi="Garamond"/>
          <w:sz w:val="24"/>
          <w:szCs w:val="24"/>
        </w:rPr>
        <w:t xml:space="preserve"> </w:t>
      </w:r>
      <w:r w:rsidR="00200B06" w:rsidRPr="00DF0307">
        <w:rPr>
          <w:rFonts w:ascii="Garamond" w:hAnsi="Garamond"/>
          <w:sz w:val="24"/>
          <w:szCs w:val="24"/>
        </w:rPr>
        <w:t>will be used during the field test and main study in order to provide a simple, single source of information to engage sample</w:t>
      </w:r>
      <w:r w:rsidR="00A36AF8" w:rsidRPr="00DF0307">
        <w:rPr>
          <w:rFonts w:ascii="Garamond" w:hAnsi="Garamond"/>
          <w:sz w:val="24"/>
          <w:szCs w:val="24"/>
        </w:rPr>
        <w:t>d</w:t>
      </w:r>
      <w:r w:rsidR="00200B06" w:rsidRPr="00DF0307">
        <w:rPr>
          <w:rFonts w:ascii="Garamond" w:hAnsi="Garamond"/>
          <w:sz w:val="24"/>
          <w:szCs w:val="24"/>
        </w:rPr>
        <w:t xml:space="preserve"> schools and maintain high levels </w:t>
      </w:r>
      <w:r w:rsidR="00A36AF8" w:rsidRPr="00DF0307">
        <w:rPr>
          <w:rFonts w:ascii="Garamond" w:hAnsi="Garamond"/>
          <w:sz w:val="24"/>
          <w:szCs w:val="24"/>
        </w:rPr>
        <w:t xml:space="preserve">of </w:t>
      </w:r>
      <w:r w:rsidR="005F59F6" w:rsidRPr="00DF0307">
        <w:rPr>
          <w:rFonts w:ascii="Garamond" w:hAnsi="Garamond"/>
          <w:sz w:val="24"/>
          <w:szCs w:val="24"/>
        </w:rPr>
        <w:t xml:space="preserve">their </w:t>
      </w:r>
      <w:r w:rsidR="00200B06" w:rsidRPr="00DF0307">
        <w:rPr>
          <w:rFonts w:ascii="Garamond" w:hAnsi="Garamond"/>
          <w:sz w:val="24"/>
          <w:szCs w:val="24"/>
        </w:rPr>
        <w:t>involvement. This portal will be used throughout the assessment cycle to inform schools</w:t>
      </w:r>
      <w:r w:rsidR="002E6230" w:rsidRPr="00DF0307">
        <w:rPr>
          <w:rFonts w:ascii="Garamond" w:hAnsi="Garamond"/>
          <w:sz w:val="24"/>
          <w:szCs w:val="24"/>
        </w:rPr>
        <w:t>, particularly school coordinators,</w:t>
      </w:r>
      <w:r w:rsidR="00200B06" w:rsidRPr="00DF0307">
        <w:rPr>
          <w:rFonts w:ascii="Garamond" w:hAnsi="Garamond"/>
          <w:sz w:val="24"/>
          <w:szCs w:val="24"/>
        </w:rPr>
        <w:t xml:space="preserve"> of their tasks and to provide them with easy access to information tailored for their anticipated needs. We plan to gather student </w:t>
      </w:r>
      <w:r w:rsidR="00324AB3" w:rsidRPr="00DF0307">
        <w:rPr>
          <w:rFonts w:ascii="Garamond" w:hAnsi="Garamond"/>
          <w:sz w:val="24"/>
          <w:szCs w:val="24"/>
        </w:rPr>
        <w:t xml:space="preserve">and teacher lists </w:t>
      </w:r>
      <w:r w:rsidR="00200B06" w:rsidRPr="00DF0307">
        <w:rPr>
          <w:rFonts w:ascii="Garamond" w:hAnsi="Garamond"/>
          <w:sz w:val="24"/>
          <w:szCs w:val="24"/>
        </w:rPr>
        <w:t xml:space="preserve">from participating </w:t>
      </w:r>
      <w:r w:rsidR="00200B06" w:rsidRPr="00873778">
        <w:rPr>
          <w:rFonts w:ascii="Garamond" w:hAnsi="Garamond"/>
          <w:sz w:val="24"/>
          <w:szCs w:val="24"/>
        </w:rPr>
        <w:t xml:space="preserve">schools electronically using an adaptation of </w:t>
      </w:r>
      <w:r>
        <w:rPr>
          <w:rFonts w:ascii="Garamond" w:hAnsi="Garamond"/>
          <w:sz w:val="24"/>
          <w:szCs w:val="24"/>
        </w:rPr>
        <w:t>a</w:t>
      </w:r>
      <w:r w:rsidR="00200B06" w:rsidRPr="00873778">
        <w:rPr>
          <w:rFonts w:ascii="Garamond" w:hAnsi="Garamond"/>
          <w:sz w:val="24"/>
          <w:szCs w:val="24"/>
        </w:rPr>
        <w:t xml:space="preserve"> secure E-filing process</w:t>
      </w:r>
      <w:r>
        <w:rPr>
          <w:rFonts w:ascii="Garamond" w:hAnsi="Garamond"/>
          <w:sz w:val="24"/>
          <w:szCs w:val="24"/>
        </w:rPr>
        <w:t xml:space="preserve"> through the web</w:t>
      </w:r>
      <w:r w:rsidR="002E6230">
        <w:rPr>
          <w:rFonts w:ascii="Garamond" w:hAnsi="Garamond"/>
          <w:sz w:val="24"/>
          <w:szCs w:val="24"/>
        </w:rPr>
        <w:t xml:space="preserve"> portal</w:t>
      </w:r>
      <w:r w:rsidR="00200B06" w:rsidRPr="00873778">
        <w:rPr>
          <w:rFonts w:ascii="Garamond" w:hAnsi="Garamond"/>
          <w:sz w:val="24"/>
          <w:szCs w:val="24"/>
        </w:rPr>
        <w:t xml:space="preserve">. E-filing is an electronic system for submitting lists of student </w:t>
      </w:r>
      <w:r w:rsidR="00873778">
        <w:rPr>
          <w:rFonts w:ascii="Garamond" w:hAnsi="Garamond"/>
          <w:sz w:val="24"/>
          <w:szCs w:val="24"/>
        </w:rPr>
        <w:t xml:space="preserve">and teacher </w:t>
      </w:r>
      <w:r w:rsidR="00200B06" w:rsidRPr="00873778">
        <w:rPr>
          <w:rFonts w:ascii="Garamond" w:hAnsi="Garamond"/>
          <w:sz w:val="24"/>
          <w:szCs w:val="24"/>
        </w:rPr>
        <w:t xml:space="preserve">information, including </w:t>
      </w:r>
      <w:r w:rsidR="002E6230">
        <w:rPr>
          <w:rFonts w:ascii="Garamond" w:hAnsi="Garamond"/>
          <w:sz w:val="24"/>
          <w:szCs w:val="24"/>
        </w:rPr>
        <w:t xml:space="preserve">limited </w:t>
      </w:r>
      <w:r w:rsidR="00200B06" w:rsidRPr="00873778">
        <w:rPr>
          <w:rFonts w:ascii="Garamond" w:hAnsi="Garamond"/>
          <w:sz w:val="24"/>
          <w:szCs w:val="24"/>
        </w:rPr>
        <w:t>backgroun</w:t>
      </w:r>
      <w:r>
        <w:rPr>
          <w:rFonts w:ascii="Garamond" w:hAnsi="Garamond"/>
          <w:sz w:val="24"/>
          <w:szCs w:val="24"/>
        </w:rPr>
        <w:t>d information in school records</w:t>
      </w:r>
      <w:r w:rsidR="00200B06" w:rsidRPr="00873778">
        <w:rPr>
          <w:rFonts w:ascii="Garamond" w:hAnsi="Garamond"/>
          <w:sz w:val="24"/>
          <w:szCs w:val="24"/>
        </w:rPr>
        <w:t>.</w:t>
      </w:r>
      <w:r w:rsidR="004B57AD">
        <w:rPr>
          <w:rFonts w:ascii="Garamond" w:hAnsi="Garamond"/>
          <w:sz w:val="24"/>
          <w:szCs w:val="24"/>
        </w:rPr>
        <w:t xml:space="preserve"> </w:t>
      </w:r>
      <w:r w:rsidR="00200B06" w:rsidRPr="00873778">
        <w:rPr>
          <w:rFonts w:ascii="Garamond" w:hAnsi="Garamond"/>
          <w:sz w:val="24"/>
          <w:szCs w:val="24"/>
        </w:rPr>
        <w:t>E-filing has been used successfully in NAEP for more than 10 years, and was used in TIMSS 2015 and the PISA 2012 and 2015 assessments. The E-filing system provides advantageous features such as efficiency and data quality checks.</w:t>
      </w:r>
    </w:p>
    <w:p w14:paraId="4430A2B1" w14:textId="13A13EDD" w:rsidR="00124802" w:rsidRDefault="002912F2" w:rsidP="00712A2B">
      <w:pPr>
        <w:pStyle w:val="BodyText1"/>
        <w:widowControl w:val="0"/>
      </w:pPr>
      <w:r>
        <w:t xml:space="preserve">The IELS design and procedures are prescribed internationally. The data collected by direct, one-on-one child assessments will be captured electronically </w:t>
      </w:r>
      <w:r w:rsidR="00310C85">
        <w:t>on tablet. T</w:t>
      </w:r>
      <w:r>
        <w:t>rained assessors</w:t>
      </w:r>
      <w:r w:rsidR="00310C85">
        <w:t xml:space="preserve"> will facilitate the assessment</w:t>
      </w:r>
      <w:r>
        <w:t xml:space="preserve">. </w:t>
      </w:r>
      <w:r w:rsidR="009242E9">
        <w:t>Teacher</w:t>
      </w:r>
      <w:r w:rsidR="00F653B0">
        <w:t xml:space="preserve"> </w:t>
      </w:r>
      <w:r>
        <w:t xml:space="preserve">and </w:t>
      </w:r>
      <w:r w:rsidR="003E26E0">
        <w:t>P</w:t>
      </w:r>
      <w:r>
        <w:t xml:space="preserve">arent </w:t>
      </w:r>
      <w:r w:rsidR="003E26E0">
        <w:t>Q</w:t>
      </w:r>
      <w:r w:rsidR="00F653B0">
        <w:t xml:space="preserve">uestionnaires </w:t>
      </w:r>
      <w:r>
        <w:t>will be made available as online questionnaires</w:t>
      </w:r>
      <w:r w:rsidR="00F90C4C">
        <w:t xml:space="preserve"> and </w:t>
      </w:r>
      <w:r>
        <w:t>in paper format</w:t>
      </w:r>
      <w:r w:rsidR="006D70B7">
        <w:t>.</w:t>
      </w:r>
    </w:p>
    <w:p w14:paraId="5E0F8709" w14:textId="43E684D5" w:rsidR="005611C5" w:rsidRDefault="005611C5" w:rsidP="002230AC">
      <w:pPr>
        <w:pStyle w:val="Heading1"/>
        <w:tabs>
          <w:tab w:val="clear" w:pos="1152"/>
          <w:tab w:val="left" w:pos="0"/>
        </w:tabs>
        <w:spacing w:before="120" w:after="0" w:line="240" w:lineRule="auto"/>
        <w:ind w:left="720" w:hanging="720"/>
        <w:jc w:val="left"/>
      </w:pPr>
      <w:bookmarkStart w:id="10" w:name="_Toc488670091"/>
      <w:r>
        <w:t>A.</w:t>
      </w:r>
      <w:r w:rsidR="00DF0307">
        <w:t>4</w:t>
      </w:r>
      <w:r>
        <w:tab/>
        <w:t>Efforts to Identify Duplication</w:t>
      </w:r>
      <w:bookmarkEnd w:id="10"/>
    </w:p>
    <w:p w14:paraId="1FC84FFF" w14:textId="6546D241" w:rsidR="00124802" w:rsidRDefault="005611C5" w:rsidP="00F90C4C">
      <w:pPr>
        <w:pStyle w:val="BodyText1"/>
        <w:widowControl w:val="0"/>
      </w:pPr>
      <w:r>
        <w:t xml:space="preserve">A number of international comparative studies exist to measure </w:t>
      </w:r>
      <w:r w:rsidR="00F65B23">
        <w:t xml:space="preserve">student </w:t>
      </w:r>
      <w:r>
        <w:t>achievement, including the Trends in International Mathematics and Science Study (TIMSS)</w:t>
      </w:r>
      <w:r w:rsidR="003C52C4">
        <w:t>,</w:t>
      </w:r>
      <w:r>
        <w:t xml:space="preserve"> the Progress in International</w:t>
      </w:r>
      <w:r w:rsidR="00F65B23">
        <w:t xml:space="preserve"> Reading Literacy Study (PIRLS) and PISA.</w:t>
      </w:r>
      <w:r w:rsidR="00124802">
        <w:t xml:space="preserve"> </w:t>
      </w:r>
      <w:r>
        <w:t xml:space="preserve">In addition, the </w:t>
      </w:r>
      <w:r w:rsidR="00F90C4C">
        <w:t>U.S.</w:t>
      </w:r>
      <w:r>
        <w:t xml:space="preserve"> has been conducting its own national surveys of student achievement for more than </w:t>
      </w:r>
      <w:r w:rsidR="00D86CF8">
        <w:t>4</w:t>
      </w:r>
      <w:r>
        <w:t>0 years through the National Assessment of Educational Progress (NAEP) program.</w:t>
      </w:r>
      <w:r w:rsidR="00FA3B61">
        <w:t xml:space="preserve"> </w:t>
      </w:r>
      <w:r w:rsidR="002C6330">
        <w:t xml:space="preserve">The </w:t>
      </w:r>
      <w:r w:rsidR="00F65B23">
        <w:t>IELS is different from these comparative studies because it focuses on a younger population</w:t>
      </w:r>
      <w:r w:rsidR="001B2C9C">
        <w:t xml:space="preserve"> </w:t>
      </w:r>
      <w:r w:rsidR="00F34068">
        <w:t>and collects information about early home learning experiences and early childhood education and care</w:t>
      </w:r>
      <w:r w:rsidR="00F65B23">
        <w:t xml:space="preserve">. None of the other studies provide comparative information about </w:t>
      </w:r>
      <w:r w:rsidR="00D85CC9">
        <w:t>5-year</w:t>
      </w:r>
      <w:r w:rsidR="00904762">
        <w:t>-</w:t>
      </w:r>
      <w:r w:rsidR="00D85CC9">
        <w:t xml:space="preserve">old </w:t>
      </w:r>
      <w:r w:rsidR="00F65B23">
        <w:t>children</w:t>
      </w:r>
      <w:r w:rsidR="00F34068">
        <w:t xml:space="preserve">. </w:t>
      </w:r>
      <w:r w:rsidR="002C6330">
        <w:t xml:space="preserve">The </w:t>
      </w:r>
      <w:r w:rsidR="00F34068">
        <w:t>IELS also looks</w:t>
      </w:r>
      <w:r w:rsidR="002C6330">
        <w:t xml:space="preserve"> at</w:t>
      </w:r>
      <w:r w:rsidR="00F34068">
        <w:t xml:space="preserve"> a broader set of domains than these other studies in that it includes not only literacy and numeracy but also social </w:t>
      </w:r>
      <w:r w:rsidR="008154BD">
        <w:t xml:space="preserve">emotional </w:t>
      </w:r>
      <w:r w:rsidR="00F34068">
        <w:t>skills.</w:t>
      </w:r>
    </w:p>
    <w:p w14:paraId="52EAF2F3" w14:textId="4DE1986F" w:rsidR="00124802" w:rsidRDefault="00C476FF">
      <w:pPr>
        <w:pStyle w:val="BodyText1"/>
      </w:pPr>
      <w:r>
        <w:t xml:space="preserve">NCES’s </w:t>
      </w:r>
      <w:r w:rsidR="00F34068">
        <w:t>Early Childhood Longitudinal Studies</w:t>
      </w:r>
      <w:r w:rsidR="001B2C9C">
        <w:t xml:space="preserve"> (ECLS)</w:t>
      </w:r>
      <w:r w:rsidR="00F34068">
        <w:t xml:space="preserve"> </w:t>
      </w:r>
      <w:r w:rsidR="003367AF" w:rsidRPr="002C6330">
        <w:t>program provides national data on children’s developmental status at birth and at various points thereafter; children’s transitions to early</w:t>
      </w:r>
      <w:r w:rsidR="001E4C29">
        <w:t xml:space="preserve"> care and</w:t>
      </w:r>
      <w:r w:rsidR="003367AF" w:rsidRPr="002C6330">
        <w:t xml:space="preserve"> education programs, and school; and children’s home and school experiences, growth, and learning. The ECLS program also provides data that enable researchers to analyze how a wide range of child, family, school, classroom, </w:t>
      </w:r>
      <w:r w:rsidR="001E4C29">
        <w:t>early</w:t>
      </w:r>
      <w:r w:rsidR="003367AF" w:rsidRPr="002C6330">
        <w:t xml:space="preserve"> care and education provider, and community characteristics relate to children’s development and to their experiences and success in school.</w:t>
      </w:r>
      <w:r w:rsidR="00124802">
        <w:t xml:space="preserve"> </w:t>
      </w:r>
      <w:r w:rsidR="003367AF" w:rsidRPr="002C6330">
        <w:t>However, ECLS does not provide a view of U.S. children in an international context as the IELS will do.</w:t>
      </w:r>
      <w:r w:rsidR="00124802">
        <w:t xml:space="preserve"> </w:t>
      </w:r>
      <w:r w:rsidR="005F3B8C" w:rsidRPr="002C6330">
        <w:t>The IELS will afford an understanding of how U.S. children’s early experiences compare to those of children from other nations and thus allow a better evaluation of U.S. children’s preparedness for school.</w:t>
      </w:r>
    </w:p>
    <w:p w14:paraId="1527E546" w14:textId="72A1FA8C" w:rsidR="00BF1303" w:rsidRDefault="00BF1303" w:rsidP="00BF1303">
      <w:pPr>
        <w:pStyle w:val="BodyText1"/>
        <w:spacing w:line="276" w:lineRule="auto"/>
      </w:pPr>
      <w:r>
        <w:t xml:space="preserve">The National Household Education Surveys Program (NHES) provides descriptive data on the educational activities of the U.S. population and offers a variety of statistics on the condition of education in the </w:t>
      </w:r>
      <w:r w:rsidR="00FD5A75">
        <w:t>U.S</w:t>
      </w:r>
      <w:r>
        <w:t>.</w:t>
      </w:r>
      <w:r w:rsidR="00050E91">
        <w:t xml:space="preserve"> </w:t>
      </w:r>
      <w:r>
        <w:t>The NHES surveys cover learning at all ages, from early childhood to school age through adulthood. However, NHES conducts surveys of adults in households across the U.S., asking the parents to report on their children’s competencies</w:t>
      </w:r>
      <w:r w:rsidR="00FD5A75">
        <w:t xml:space="preserve">, it does not assess nor collects other data on a nationally-representative sample </w:t>
      </w:r>
      <w:r w:rsidR="00AC2223" w:rsidRPr="00AC2223">
        <w:t xml:space="preserve">of </w:t>
      </w:r>
      <w:r w:rsidR="00D85CC9">
        <w:t>5-</w:t>
      </w:r>
      <w:r w:rsidR="00904762">
        <w:t>year-</w:t>
      </w:r>
      <w:r w:rsidR="00D85CC9">
        <w:t xml:space="preserve">old </w:t>
      </w:r>
      <w:r w:rsidR="00AC2223" w:rsidRPr="00AC2223">
        <w:t xml:space="preserve">children enrolled in public and private </w:t>
      </w:r>
      <w:r w:rsidR="00D85CC9">
        <w:t xml:space="preserve">U.S. </w:t>
      </w:r>
      <w:r w:rsidR="00AC2223" w:rsidRPr="00AC2223">
        <w:t>school</w:t>
      </w:r>
      <w:r w:rsidR="00D85CC9">
        <w:t>s.</w:t>
      </w:r>
    </w:p>
    <w:p w14:paraId="5E0F870E" w14:textId="6C07FAD4" w:rsidR="005611C5" w:rsidRDefault="005611C5" w:rsidP="00652124">
      <w:pPr>
        <w:pStyle w:val="BodyText1"/>
        <w:spacing w:line="276" w:lineRule="auto"/>
      </w:pPr>
      <w:r>
        <w:t>Alternate sources for these data do not exist.</w:t>
      </w:r>
      <w:r w:rsidR="00FA3B61">
        <w:t xml:space="preserve"> </w:t>
      </w:r>
      <w:r>
        <w:t>This study represents the U.S. participation in an international study involving</w:t>
      </w:r>
      <w:r w:rsidR="00904762">
        <w:t xml:space="preserve"> other countries. </w:t>
      </w:r>
      <w:r>
        <w:t>The United States must collect the same information</w:t>
      </w:r>
      <w:r w:rsidR="0081133C">
        <w:t xml:space="preserve">, using the same </w:t>
      </w:r>
      <w:r w:rsidR="00A36AF8">
        <w:t xml:space="preserve">instruments and </w:t>
      </w:r>
      <w:r w:rsidR="0081133C">
        <w:t>procedures,</w:t>
      </w:r>
      <w:r>
        <w:t xml:space="preserve"> at the same time as the other nations for purposes of making </w:t>
      </w:r>
      <w:r w:rsidR="00A36AF8">
        <w:t xml:space="preserve">valid and meaningful </w:t>
      </w:r>
      <w:r>
        <w:t>international comparisons.</w:t>
      </w:r>
      <w:r w:rsidR="00FA3B61">
        <w:t xml:space="preserve"> </w:t>
      </w:r>
      <w:r>
        <w:t xml:space="preserve">No other study in the </w:t>
      </w:r>
      <w:r w:rsidR="00F90C4C">
        <w:t>U.S.</w:t>
      </w:r>
      <w:r>
        <w:t xml:space="preserve"> will be using the instruments developed by the </w:t>
      </w:r>
      <w:r w:rsidR="00A36AF8">
        <w:t>OECD</w:t>
      </w:r>
      <w:r>
        <w:t>, and thus no alternative sources of comparable data are available.</w:t>
      </w:r>
    </w:p>
    <w:p w14:paraId="5E0F8710" w14:textId="18C6B07A" w:rsidR="005611C5" w:rsidRDefault="005611C5" w:rsidP="005A2201">
      <w:pPr>
        <w:pStyle w:val="Heading1"/>
        <w:tabs>
          <w:tab w:val="clear" w:pos="1152"/>
          <w:tab w:val="left" w:pos="0"/>
        </w:tabs>
        <w:spacing w:before="120" w:after="0" w:line="240" w:lineRule="auto"/>
        <w:ind w:left="720" w:hanging="720"/>
      </w:pPr>
      <w:bookmarkStart w:id="11" w:name="_Toc488670092"/>
      <w:r>
        <w:t>A.</w:t>
      </w:r>
      <w:r w:rsidR="00DF0307">
        <w:t>5</w:t>
      </w:r>
      <w:r>
        <w:tab/>
        <w:t>Minimizing Burden for Small Entities</w:t>
      </w:r>
      <w:bookmarkEnd w:id="11"/>
    </w:p>
    <w:p w14:paraId="67E39592" w14:textId="193C63D5" w:rsidR="00124802" w:rsidRDefault="008D3376" w:rsidP="000457BC">
      <w:pPr>
        <w:pStyle w:val="BodyText1"/>
      </w:pPr>
      <w:r w:rsidRPr="008D3376">
        <w:t>No small entities are part of this sample.</w:t>
      </w:r>
      <w:r w:rsidRPr="0002216F">
        <w:rPr>
          <w:rFonts w:ascii="Times New Roman" w:hAnsi="Times New Roman"/>
        </w:rPr>
        <w:t xml:space="preserve"> </w:t>
      </w:r>
      <w:r w:rsidR="002C6330">
        <w:t xml:space="preserve">The school sample for </w:t>
      </w:r>
      <w:r w:rsidR="003D131E">
        <w:t xml:space="preserve">the </w:t>
      </w:r>
      <w:r w:rsidR="002C6330">
        <w:t xml:space="preserve">IELS will contain small-, medium-, and large-size schools from a wide range of school types, including private schools, and burden will be minimized wherever possible for </w:t>
      </w:r>
      <w:r w:rsidR="002C6330" w:rsidRPr="00290D7B">
        <w:t>all</w:t>
      </w:r>
      <w:r w:rsidR="002C6330">
        <w:t xml:space="preserve"> institutions participating in the data collection. </w:t>
      </w:r>
      <w:r w:rsidR="002C6330" w:rsidRPr="0031558C">
        <w:t xml:space="preserve">Schools included in the </w:t>
      </w:r>
      <w:r w:rsidR="002C6330">
        <w:t>field test</w:t>
      </w:r>
      <w:r w:rsidR="002C6330" w:rsidRPr="0031558C">
        <w:t xml:space="preserve"> will </w:t>
      </w:r>
      <w:r w:rsidR="00F653B0">
        <w:t xml:space="preserve">not be </w:t>
      </w:r>
      <w:r w:rsidR="002C6330" w:rsidRPr="0031558C">
        <w:t>included in the main study</w:t>
      </w:r>
      <w:r w:rsidR="00F653B0">
        <w:t xml:space="preserve"> sample.</w:t>
      </w:r>
      <w:r w:rsidRPr="008D3376">
        <w:t xml:space="preserve"> </w:t>
      </w:r>
      <w:r w:rsidRPr="002C6330">
        <w:t xml:space="preserve">In addition, </w:t>
      </w:r>
      <w:r w:rsidR="00997303">
        <w:t xml:space="preserve">Westat </w:t>
      </w:r>
      <w:r w:rsidRPr="002C6330">
        <w:t>staff will conduct all test administration and will assist with parental notification, sampling, and other study tasks as much as possible within each school.</w:t>
      </w:r>
    </w:p>
    <w:p w14:paraId="5E0F8712" w14:textId="04C0EA37" w:rsidR="005611C5" w:rsidRDefault="005611C5" w:rsidP="005A2201">
      <w:pPr>
        <w:pStyle w:val="Heading1"/>
        <w:tabs>
          <w:tab w:val="clear" w:pos="1152"/>
          <w:tab w:val="left" w:pos="0"/>
        </w:tabs>
        <w:spacing w:before="120" w:after="0" w:line="240" w:lineRule="auto"/>
        <w:ind w:left="720" w:hanging="720"/>
      </w:pPr>
      <w:bookmarkStart w:id="12" w:name="_Toc488670093"/>
      <w:r>
        <w:t>A.</w:t>
      </w:r>
      <w:r w:rsidR="00DF0307">
        <w:t>6</w:t>
      </w:r>
      <w:r>
        <w:tab/>
        <w:t>Frequency of Data Collection</w:t>
      </w:r>
      <w:bookmarkEnd w:id="12"/>
    </w:p>
    <w:p w14:paraId="62AE3AAA" w14:textId="7C883C92" w:rsidR="00124802" w:rsidRDefault="005611C5" w:rsidP="005A2201">
      <w:pPr>
        <w:pStyle w:val="BodyText1"/>
        <w:widowControl w:val="0"/>
      </w:pPr>
      <w:r>
        <w:t>This request is for</w:t>
      </w:r>
      <w:r w:rsidR="00452AA1">
        <w:t xml:space="preserve"> </w:t>
      </w:r>
      <w:r w:rsidR="008F55B2">
        <w:t xml:space="preserve">the </w:t>
      </w:r>
      <w:r w:rsidR="001B2C9C">
        <w:t>IELS</w:t>
      </w:r>
      <w:r w:rsidR="00D86CF8">
        <w:t xml:space="preserve"> </w:t>
      </w:r>
      <w:r w:rsidR="00CA2440">
        <w:t xml:space="preserve">field </w:t>
      </w:r>
      <w:r w:rsidR="003E3252">
        <w:t>test</w:t>
      </w:r>
      <w:r w:rsidR="008F55B2">
        <w:t xml:space="preserve"> data collection </w:t>
      </w:r>
      <w:r w:rsidR="001B2C9C">
        <w:t>in fall 2017</w:t>
      </w:r>
      <w:r w:rsidR="00BC0106">
        <w:t xml:space="preserve"> and recruitment for t</w:t>
      </w:r>
      <w:r w:rsidR="00452AA1">
        <w:t>he main study</w:t>
      </w:r>
      <w:r w:rsidR="004B626E">
        <w:t xml:space="preserve"> (for which r</w:t>
      </w:r>
      <w:r w:rsidR="00632DB1">
        <w:t>ecruitment will begin in September 2017</w:t>
      </w:r>
      <w:r w:rsidR="004B626E">
        <w:t xml:space="preserve"> and data collection in </w:t>
      </w:r>
      <w:r w:rsidR="00F90C4C">
        <w:t xml:space="preserve">the </w:t>
      </w:r>
      <w:r w:rsidR="00590935">
        <w:t>f</w:t>
      </w:r>
      <w:r w:rsidR="00116E0A">
        <w:t>all of</w:t>
      </w:r>
      <w:r w:rsidR="00D86CF8">
        <w:t xml:space="preserve"> 201</w:t>
      </w:r>
      <w:r w:rsidR="00C61627">
        <w:t>8</w:t>
      </w:r>
      <w:r w:rsidR="004B626E">
        <w:t>)</w:t>
      </w:r>
      <w:r w:rsidR="00BC0106">
        <w:t xml:space="preserve">. A request for the main study data collection </w:t>
      </w:r>
      <w:r w:rsidR="00452AA1">
        <w:t xml:space="preserve">will be </w:t>
      </w:r>
      <w:r w:rsidR="00A36754">
        <w:t xml:space="preserve">submitted for </w:t>
      </w:r>
      <w:r w:rsidR="006E7514">
        <w:t>approval</w:t>
      </w:r>
      <w:r w:rsidR="00452AA1">
        <w:t xml:space="preserve"> under a subsequent request</w:t>
      </w:r>
      <w:r>
        <w:t>.</w:t>
      </w:r>
      <w:r w:rsidR="00FA3B61">
        <w:t xml:space="preserve"> </w:t>
      </w:r>
      <w:r w:rsidR="001B2C9C">
        <w:t>A</w:t>
      </w:r>
      <w:r>
        <w:t>dherence to this schedule is necessary to establish consistency in survey operations among the participating countries.</w:t>
      </w:r>
      <w:r w:rsidR="001B2C9C">
        <w:t xml:space="preserve"> A second administration of IELS has not been scheduled </w:t>
      </w:r>
      <w:r w:rsidR="00F653B0">
        <w:t>at this time</w:t>
      </w:r>
      <w:r w:rsidR="001B2C9C">
        <w:t>.</w:t>
      </w:r>
    </w:p>
    <w:p w14:paraId="5E0F8714" w14:textId="494CBD1C" w:rsidR="005611C5" w:rsidRDefault="005611C5" w:rsidP="005A2201">
      <w:pPr>
        <w:pStyle w:val="Heading1"/>
        <w:tabs>
          <w:tab w:val="clear" w:pos="1152"/>
          <w:tab w:val="left" w:pos="0"/>
        </w:tabs>
        <w:spacing w:before="120" w:after="0" w:line="240" w:lineRule="auto"/>
        <w:ind w:left="720" w:hanging="720"/>
      </w:pPr>
      <w:bookmarkStart w:id="13" w:name="_Toc488670094"/>
      <w:r>
        <w:t>A.</w:t>
      </w:r>
      <w:r w:rsidR="00DF0307">
        <w:t>7</w:t>
      </w:r>
      <w:r>
        <w:tab/>
        <w:t>Special Circumstances</w:t>
      </w:r>
      <w:bookmarkEnd w:id="13"/>
    </w:p>
    <w:p w14:paraId="5E0F8715" w14:textId="7A0EA32C" w:rsidR="005611C5" w:rsidRDefault="00ED7133" w:rsidP="005A2201">
      <w:pPr>
        <w:pStyle w:val="BodyText1"/>
        <w:widowControl w:val="0"/>
      </w:pPr>
      <w:r>
        <w:t>T</w:t>
      </w:r>
      <w:r w:rsidR="005611C5">
        <w:t xml:space="preserve">he special circumstances identified in the Instructions for Supporting Statement </w:t>
      </w:r>
      <w:r>
        <w:t xml:space="preserve">do not </w:t>
      </w:r>
      <w:r w:rsidR="005611C5">
        <w:t>appl</w:t>
      </w:r>
      <w:r>
        <w:t>y</w:t>
      </w:r>
      <w:r w:rsidR="005611C5">
        <w:t xml:space="preserve"> to </w:t>
      </w:r>
      <w:r>
        <w:t xml:space="preserve">this </w:t>
      </w:r>
      <w:r w:rsidR="005611C5">
        <w:t>study.</w:t>
      </w:r>
    </w:p>
    <w:p w14:paraId="312E7D92" w14:textId="30E9B917" w:rsidR="00652124" w:rsidRPr="00652124" w:rsidRDefault="005611C5" w:rsidP="00D95563">
      <w:pPr>
        <w:pStyle w:val="Heading1"/>
        <w:tabs>
          <w:tab w:val="clear" w:pos="1152"/>
          <w:tab w:val="left" w:pos="0"/>
        </w:tabs>
        <w:spacing w:before="120" w:after="0" w:line="240" w:lineRule="auto"/>
        <w:ind w:left="720" w:hanging="720"/>
      </w:pPr>
      <w:bookmarkStart w:id="14" w:name="_Toc488670095"/>
      <w:r>
        <w:t>A.</w:t>
      </w:r>
      <w:r w:rsidR="00DF0307">
        <w:t>8</w:t>
      </w:r>
      <w:r>
        <w:tab/>
        <w:t xml:space="preserve">Consultations </w:t>
      </w:r>
      <w:r w:rsidR="008D3376">
        <w:t>O</w:t>
      </w:r>
      <w:r w:rsidR="002230AC">
        <w:t>utside</w:t>
      </w:r>
      <w:r>
        <w:t xml:space="preserve"> NCES</w:t>
      </w:r>
      <w:bookmarkEnd w:id="14"/>
    </w:p>
    <w:p w14:paraId="0B9D5DA2" w14:textId="6DD17333" w:rsidR="00124802" w:rsidRDefault="008D3376" w:rsidP="00A36754">
      <w:pPr>
        <w:widowControl w:val="0"/>
        <w:spacing w:after="120" w:line="276" w:lineRule="auto"/>
        <w:jc w:val="left"/>
        <w:rPr>
          <w:rFonts w:ascii="Garamond" w:hAnsi="Garamond"/>
          <w:sz w:val="24"/>
        </w:rPr>
      </w:pPr>
      <w:r w:rsidRPr="008D3376">
        <w:rPr>
          <w:rFonts w:ascii="Garamond" w:hAnsi="Garamond"/>
          <w:sz w:val="24"/>
        </w:rPr>
        <w:t xml:space="preserve">Consultations outside NCES have been extensive and will continue throughout the life of the project. The </w:t>
      </w:r>
      <w:r>
        <w:rPr>
          <w:rFonts w:ascii="Garamond" w:hAnsi="Garamond"/>
          <w:sz w:val="24"/>
        </w:rPr>
        <w:t>OECD</w:t>
      </w:r>
      <w:r w:rsidRPr="008D3376">
        <w:rPr>
          <w:rFonts w:ascii="Garamond" w:hAnsi="Garamond"/>
          <w:sz w:val="24"/>
        </w:rPr>
        <w:t xml:space="preserve"> studies are developed as a cooperative enterprise involving participating countries. </w:t>
      </w:r>
      <w:r>
        <w:rPr>
          <w:rFonts w:ascii="Garamond" w:hAnsi="Garamond"/>
          <w:sz w:val="24"/>
        </w:rPr>
        <w:t xml:space="preserve">A steering group with representatives from participating countries guided the scoping phase and </w:t>
      </w:r>
      <w:r w:rsidR="00A36754">
        <w:rPr>
          <w:rFonts w:ascii="Garamond" w:hAnsi="Garamond"/>
          <w:sz w:val="24"/>
        </w:rPr>
        <w:t xml:space="preserve">will guide </w:t>
      </w:r>
      <w:r>
        <w:rPr>
          <w:rFonts w:ascii="Garamond" w:hAnsi="Garamond"/>
          <w:sz w:val="24"/>
        </w:rPr>
        <w:t xml:space="preserve">reviews </w:t>
      </w:r>
      <w:r w:rsidR="00A36754">
        <w:rPr>
          <w:rFonts w:ascii="Garamond" w:hAnsi="Garamond"/>
          <w:sz w:val="24"/>
        </w:rPr>
        <w:t xml:space="preserve">of </w:t>
      </w:r>
      <w:r>
        <w:rPr>
          <w:rFonts w:ascii="Garamond" w:hAnsi="Garamond"/>
          <w:sz w:val="24"/>
        </w:rPr>
        <w:t xml:space="preserve">study implementation. </w:t>
      </w:r>
      <w:r w:rsidRPr="008D3376">
        <w:rPr>
          <w:rFonts w:ascii="Garamond" w:hAnsi="Garamond"/>
          <w:sz w:val="24"/>
        </w:rPr>
        <w:t xml:space="preserve">In addition, the </w:t>
      </w:r>
      <w:r>
        <w:rPr>
          <w:rFonts w:ascii="Garamond" w:hAnsi="Garamond"/>
          <w:sz w:val="24"/>
        </w:rPr>
        <w:t>OECD’s contractor</w:t>
      </w:r>
      <w:r w:rsidRPr="008D3376">
        <w:rPr>
          <w:rFonts w:ascii="Garamond" w:hAnsi="Garamond"/>
          <w:sz w:val="24"/>
        </w:rPr>
        <w:t xml:space="preserve"> convene</w:t>
      </w:r>
      <w:r>
        <w:rPr>
          <w:rFonts w:ascii="Garamond" w:hAnsi="Garamond"/>
          <w:sz w:val="24"/>
        </w:rPr>
        <w:t>s</w:t>
      </w:r>
      <w:r w:rsidRPr="008D3376">
        <w:rPr>
          <w:rFonts w:ascii="Garamond" w:hAnsi="Garamond"/>
          <w:sz w:val="24"/>
        </w:rPr>
        <w:t xml:space="preserve"> </w:t>
      </w:r>
      <w:r>
        <w:rPr>
          <w:rFonts w:ascii="Garamond" w:hAnsi="Garamond"/>
          <w:sz w:val="24"/>
        </w:rPr>
        <w:t>expert panels to seek input on the study design and instrument development.</w:t>
      </w:r>
      <w:r w:rsidR="00A36754">
        <w:rPr>
          <w:rFonts w:ascii="Garamond" w:hAnsi="Garamond"/>
          <w:sz w:val="24"/>
        </w:rPr>
        <w:t xml:space="preserve"> </w:t>
      </w:r>
      <w:r w:rsidRPr="008D3376">
        <w:rPr>
          <w:rFonts w:ascii="Garamond" w:hAnsi="Garamond"/>
          <w:sz w:val="24"/>
        </w:rPr>
        <w:t xml:space="preserve">The majority of the consultations (outside NCES) have involved the </w:t>
      </w:r>
      <w:r>
        <w:rPr>
          <w:rFonts w:ascii="Garamond" w:hAnsi="Garamond"/>
          <w:sz w:val="24"/>
        </w:rPr>
        <w:t>OECD and the OECD’s international contractor</w:t>
      </w:r>
      <w:r w:rsidR="00997303">
        <w:rPr>
          <w:rFonts w:ascii="Garamond" w:hAnsi="Garamond"/>
          <w:sz w:val="24"/>
        </w:rPr>
        <w:t>, the Australian Council for Educational Research (ACER)</w:t>
      </w:r>
      <w:r w:rsidRPr="008D3376">
        <w:rPr>
          <w:rFonts w:ascii="Garamond" w:hAnsi="Garamond"/>
          <w:sz w:val="24"/>
        </w:rPr>
        <w:t xml:space="preserve">. Key to these ongoing consultations are: </w:t>
      </w:r>
      <w:r>
        <w:rPr>
          <w:rFonts w:ascii="Garamond" w:hAnsi="Garamond"/>
          <w:sz w:val="24"/>
        </w:rPr>
        <w:t>Ms. Rowena Phair (OECD), Drs. Sacha DeVelle and Wolfram Schultz (</w:t>
      </w:r>
      <w:r w:rsidR="00997303">
        <w:rPr>
          <w:rFonts w:ascii="Garamond" w:hAnsi="Garamond"/>
          <w:sz w:val="24"/>
        </w:rPr>
        <w:t>ACER</w:t>
      </w:r>
      <w:r>
        <w:rPr>
          <w:rFonts w:ascii="Garamond" w:hAnsi="Garamond"/>
          <w:sz w:val="24"/>
        </w:rPr>
        <w:t xml:space="preserve">), and Ms. Julianne Henke (IEA), </w:t>
      </w:r>
      <w:r w:rsidRPr="008D3376">
        <w:rPr>
          <w:rFonts w:ascii="Garamond" w:hAnsi="Garamond"/>
          <w:sz w:val="24"/>
        </w:rPr>
        <w:t>all of whom have extensive experience in developing and operating international education surveys</w:t>
      </w:r>
      <w:r>
        <w:rPr>
          <w:rFonts w:ascii="Garamond" w:hAnsi="Garamond"/>
          <w:sz w:val="24"/>
        </w:rPr>
        <w:t>.</w:t>
      </w:r>
    </w:p>
    <w:p w14:paraId="5E0F8726" w14:textId="5445D087" w:rsidR="005611C5" w:rsidRDefault="005611C5" w:rsidP="005A2201">
      <w:pPr>
        <w:pStyle w:val="Heading1"/>
        <w:spacing w:before="120" w:after="0" w:line="240" w:lineRule="auto"/>
        <w:ind w:left="720" w:hanging="720"/>
      </w:pPr>
      <w:bookmarkStart w:id="15" w:name="_Toc488670096"/>
      <w:r>
        <w:t>A.</w:t>
      </w:r>
      <w:r w:rsidR="00DF0307">
        <w:t>9</w:t>
      </w:r>
      <w:r>
        <w:tab/>
      </w:r>
      <w:r w:rsidRPr="00581360">
        <w:t>Payments or Gifts to Respondents</w:t>
      </w:r>
      <w:bookmarkEnd w:id="15"/>
    </w:p>
    <w:p w14:paraId="26D7DCCA" w14:textId="173D534E" w:rsidR="00124802" w:rsidRDefault="005611C5" w:rsidP="00A36754">
      <w:pPr>
        <w:pStyle w:val="BodyText1"/>
        <w:widowControl w:val="0"/>
      </w:pPr>
      <w:r>
        <w:t xml:space="preserve">Currently, the minimum response rate targets required by </w:t>
      </w:r>
      <w:r w:rsidR="005F59F6">
        <w:t xml:space="preserve">the </w:t>
      </w:r>
      <w:r>
        <w:t xml:space="preserve">OECD are </w:t>
      </w:r>
      <w:r w:rsidR="008F55B2">
        <w:t>7</w:t>
      </w:r>
      <w:r>
        <w:t xml:space="preserve">5 percent of original schools and </w:t>
      </w:r>
      <w:r w:rsidR="008F55B2">
        <w:t>75</w:t>
      </w:r>
      <w:r>
        <w:t xml:space="preserve"> percent of students, while the NCES </w:t>
      </w:r>
      <w:r w:rsidR="00452AA1">
        <w:t xml:space="preserve">statistical standards require a </w:t>
      </w:r>
      <w:r>
        <w:t xml:space="preserve">minimum response rate target </w:t>
      </w:r>
      <w:r w:rsidR="00452AA1">
        <w:t xml:space="preserve">of </w:t>
      </w:r>
      <w:r>
        <w:t xml:space="preserve">85 percent at the student level. </w:t>
      </w:r>
      <w:r w:rsidR="00452AA1">
        <w:t xml:space="preserve">Historically, </w:t>
      </w:r>
      <w:r w:rsidR="008F55B2">
        <w:t xml:space="preserve">similarly </w:t>
      </w:r>
      <w:r>
        <w:t xml:space="preserve">high response rates </w:t>
      </w:r>
      <w:r w:rsidR="00452AA1">
        <w:t xml:space="preserve">have been </w:t>
      </w:r>
      <w:r>
        <w:t>difficult to achieve in school-based studies.</w:t>
      </w:r>
      <w:r w:rsidR="00FA3B61">
        <w:t xml:space="preserve"> </w:t>
      </w:r>
      <w:r w:rsidR="001B2C9C">
        <w:t xml:space="preserve">For example, </w:t>
      </w:r>
      <w:r w:rsidR="00A36754">
        <w:t>U.S.</w:t>
      </w:r>
      <w:r>
        <w:t xml:space="preserve"> failed to reach the school response rate targets </w:t>
      </w:r>
      <w:r w:rsidR="00BE474E">
        <w:t>for</w:t>
      </w:r>
      <w:r>
        <w:t xml:space="preserve"> all previous PISA administrations (2000, 2003, 2006, 2009</w:t>
      </w:r>
      <w:r w:rsidR="001F2341">
        <w:t>, 2012</w:t>
      </w:r>
      <w:r w:rsidR="00851DF7">
        <w:t>, and</w:t>
      </w:r>
      <w:r w:rsidR="00701934">
        <w:t xml:space="preserve"> 2015</w:t>
      </w:r>
      <w:r>
        <w:t>) and had to adjust incentives upwards in the middle of the recruitment and data collection period in order to meet minimum response rate requirements.</w:t>
      </w:r>
      <w:r w:rsidR="00FA3B61">
        <w:t xml:space="preserve"> </w:t>
      </w:r>
      <w:r>
        <w:t xml:space="preserve">Gaining sufficient student cooperation </w:t>
      </w:r>
      <w:r w:rsidR="001B2C9C">
        <w:t>has</w:t>
      </w:r>
      <w:r>
        <w:t xml:space="preserve"> also </w:t>
      </w:r>
      <w:r w:rsidR="001B2C9C">
        <w:t xml:space="preserve">been </w:t>
      </w:r>
      <w:r>
        <w:t xml:space="preserve">challenging. </w:t>
      </w:r>
      <w:r w:rsidR="00A36754">
        <w:t>U.S.</w:t>
      </w:r>
      <w:r w:rsidR="00B431C1">
        <w:t xml:space="preserve"> has</w:t>
      </w:r>
      <w:r w:rsidR="0034528A">
        <w:t xml:space="preserve"> historically met the NCES target rate of 85 percent</w:t>
      </w:r>
      <w:r w:rsidR="00452AA1">
        <w:t xml:space="preserve"> of </w:t>
      </w:r>
      <w:r w:rsidR="00A36754">
        <w:t xml:space="preserve">responding </w:t>
      </w:r>
      <w:r w:rsidR="00452AA1">
        <w:t>students</w:t>
      </w:r>
      <w:r w:rsidR="001933AF">
        <w:t xml:space="preserve"> </w:t>
      </w:r>
      <w:r w:rsidR="00BE474E">
        <w:t>in PISA</w:t>
      </w:r>
      <w:r w:rsidR="00A36754">
        <w:t xml:space="preserve"> after</w:t>
      </w:r>
      <w:r w:rsidR="0034528A">
        <w:t xml:space="preserve"> a great deal </w:t>
      </w:r>
      <w:r w:rsidR="009002BF">
        <w:t>of</w:t>
      </w:r>
      <w:r w:rsidR="0034528A">
        <w:t xml:space="preserve"> effort.</w:t>
      </w:r>
      <w:r w:rsidR="004B57AD">
        <w:t xml:space="preserve"> </w:t>
      </w:r>
      <w:r w:rsidR="00BE474E">
        <w:t xml:space="preserve">IELS </w:t>
      </w:r>
      <w:r w:rsidR="00A36754">
        <w:t>poses</w:t>
      </w:r>
      <w:r w:rsidR="00BE474E">
        <w:t xml:space="preserve"> more burden on schools than PISA given that the assessments </w:t>
      </w:r>
      <w:r w:rsidR="00A36754">
        <w:t>will be</w:t>
      </w:r>
      <w:r w:rsidR="00BE474E">
        <w:t xml:space="preserve"> conducted one-on-one </w:t>
      </w:r>
      <w:r w:rsidR="00BE302B">
        <w:t xml:space="preserve">and over the course of two days for each child, </w:t>
      </w:r>
      <w:r w:rsidR="00BE474E">
        <w:t xml:space="preserve">and </w:t>
      </w:r>
      <w:r w:rsidR="00A36754">
        <w:t xml:space="preserve">will </w:t>
      </w:r>
      <w:r w:rsidR="00BE474E">
        <w:t>include a parent questionnaire</w:t>
      </w:r>
      <w:r w:rsidR="00D42E37">
        <w:t>.</w:t>
      </w:r>
      <w:r w:rsidR="00A36754">
        <w:t xml:space="preserve"> </w:t>
      </w:r>
      <w:r>
        <w:t xml:space="preserve">NCES </w:t>
      </w:r>
      <w:r w:rsidR="00A36754">
        <w:t>will</w:t>
      </w:r>
      <w:r>
        <w:t xml:space="preserve"> us</w:t>
      </w:r>
      <w:r w:rsidR="00A36754">
        <w:t>e</w:t>
      </w:r>
      <w:r>
        <w:t xml:space="preserve"> a multi-pronged approach to address </w:t>
      </w:r>
      <w:r w:rsidR="00BE474E">
        <w:t xml:space="preserve">the challenge of gaining school, </w:t>
      </w:r>
      <w:r>
        <w:t>student</w:t>
      </w:r>
      <w:r w:rsidR="00BE474E">
        <w:t>, and parent</w:t>
      </w:r>
      <w:r>
        <w:t xml:space="preserve"> cooperation and learn as much as possible during the field test about how to achieve acceptable participation rates</w:t>
      </w:r>
      <w:r w:rsidR="001B2C9C">
        <w:t xml:space="preserve"> in the IELS main study</w:t>
      </w:r>
      <w:r>
        <w:t>.</w:t>
      </w:r>
    </w:p>
    <w:p w14:paraId="5E0F8728" w14:textId="6577682E" w:rsidR="005611C5" w:rsidRDefault="00AB4529" w:rsidP="003F6784">
      <w:pPr>
        <w:pStyle w:val="BodyText1"/>
      </w:pPr>
      <w:r>
        <w:t>S</w:t>
      </w:r>
      <w:r w:rsidR="005611C5">
        <w:t>taff with experience working on the NAEP</w:t>
      </w:r>
      <w:r w:rsidR="0024241D">
        <w:t>;</w:t>
      </w:r>
      <w:r w:rsidR="005611C5">
        <w:t xml:space="preserve"> international assessments</w:t>
      </w:r>
      <w:r w:rsidR="00D42E37">
        <w:t xml:space="preserve"> such as PISA, PIRLS</w:t>
      </w:r>
      <w:r w:rsidR="0024241D">
        <w:t>,</w:t>
      </w:r>
      <w:r w:rsidR="00D42E37">
        <w:t xml:space="preserve"> and TIMSS</w:t>
      </w:r>
      <w:r w:rsidR="0024241D">
        <w:t>;</w:t>
      </w:r>
      <w:r w:rsidR="005611C5">
        <w:t xml:space="preserve"> other large-scale data collections</w:t>
      </w:r>
      <w:r w:rsidR="005E5F28">
        <w:t xml:space="preserve"> (e.g., ECLS)</w:t>
      </w:r>
      <w:r w:rsidR="0024241D">
        <w:t>;</w:t>
      </w:r>
      <w:r w:rsidR="005611C5">
        <w:t xml:space="preserve"> and with expertise in effective </w:t>
      </w:r>
      <w:r w:rsidR="005611C5" w:rsidRPr="0031558C">
        <w:t xml:space="preserve">approaches to </w:t>
      </w:r>
      <w:r w:rsidR="00D42E37">
        <w:t xml:space="preserve">participant </w:t>
      </w:r>
      <w:r w:rsidR="005611C5" w:rsidRPr="0031558C">
        <w:t>recruitment</w:t>
      </w:r>
      <w:r w:rsidRPr="0031558C">
        <w:t xml:space="preserve"> will provide input so that strategies can be </w:t>
      </w:r>
      <w:r w:rsidR="005611C5" w:rsidRPr="0031558C">
        <w:t>identif</w:t>
      </w:r>
      <w:r w:rsidRPr="0031558C">
        <w:t>ied</w:t>
      </w:r>
      <w:r w:rsidR="00364E39" w:rsidRPr="0031558C">
        <w:t xml:space="preserve"> </w:t>
      </w:r>
      <w:r w:rsidR="005611C5" w:rsidRPr="0031558C">
        <w:t xml:space="preserve">for achieving high response rates and serve as an ongoing source of ideas and feedback. </w:t>
      </w:r>
      <w:r w:rsidR="0024241D">
        <w:t>NCES</w:t>
      </w:r>
      <w:r w:rsidR="006632E6">
        <w:t xml:space="preserve"> </w:t>
      </w:r>
      <w:r w:rsidR="0024241D">
        <w:t>will also</w:t>
      </w:r>
      <w:r w:rsidR="00F653B0">
        <w:t xml:space="preserve"> offer </w:t>
      </w:r>
      <w:r w:rsidR="006632E6">
        <w:t>incentives</w:t>
      </w:r>
      <w:r w:rsidR="00F653B0">
        <w:t>, a strategy which has been effective in other international studies</w:t>
      </w:r>
      <w:r w:rsidR="006632E6">
        <w:t xml:space="preserve">. </w:t>
      </w:r>
      <w:r w:rsidR="00D53486">
        <w:t>T</w:t>
      </w:r>
      <w:r w:rsidR="00F7282C">
        <w:t>he proposed amounts are</w:t>
      </w:r>
      <w:r w:rsidR="005611C5">
        <w:t xml:space="preserve"> described belo</w:t>
      </w:r>
      <w:r w:rsidR="00D53486">
        <w:t xml:space="preserve">w and are based on the amounts used in </w:t>
      </w:r>
      <w:r w:rsidR="00844A3A">
        <w:t xml:space="preserve">the </w:t>
      </w:r>
      <w:r w:rsidR="0024241D">
        <w:t xml:space="preserve">other </w:t>
      </w:r>
      <w:r w:rsidR="00652124">
        <w:t xml:space="preserve">international and/or the </w:t>
      </w:r>
      <w:r w:rsidR="001B2C9C">
        <w:t>ECLS</w:t>
      </w:r>
      <w:r w:rsidR="00844A3A">
        <w:t xml:space="preserve"> </w:t>
      </w:r>
      <w:r w:rsidR="00652124">
        <w:t>studies</w:t>
      </w:r>
      <w:r w:rsidR="005611C5">
        <w:t>.</w:t>
      </w:r>
    </w:p>
    <w:p w14:paraId="0D58FE8E" w14:textId="36698350" w:rsidR="004B57AD" w:rsidRDefault="005611C5" w:rsidP="00CA7705">
      <w:pPr>
        <w:pStyle w:val="BodyText1"/>
      </w:pPr>
      <w:r>
        <w:rPr>
          <w:b/>
        </w:rPr>
        <w:t>Schools.</w:t>
      </w:r>
      <w:r w:rsidR="00D53486">
        <w:t xml:space="preserve"> </w:t>
      </w:r>
      <w:r>
        <w:t xml:space="preserve">In order to meet the minimum school response rates mandated by the </w:t>
      </w:r>
      <w:r w:rsidR="004E6178">
        <w:t>OECD</w:t>
      </w:r>
      <w:r>
        <w:t xml:space="preserve">, and to </w:t>
      </w:r>
      <w:r w:rsidR="00940FE1">
        <w:t>thank</w:t>
      </w:r>
      <w:r>
        <w:t xml:space="preserve"> the school for </w:t>
      </w:r>
      <w:r w:rsidR="007B2347">
        <w:t xml:space="preserve">accommodating </w:t>
      </w:r>
      <w:r>
        <w:t>the disruption</w:t>
      </w:r>
      <w:r w:rsidRPr="002566C4">
        <w:t xml:space="preserve">, </w:t>
      </w:r>
      <w:r w:rsidR="002F607A">
        <w:t>schools participating in IELS will receive $200</w:t>
      </w:r>
      <w:r>
        <w:t>.</w:t>
      </w:r>
    </w:p>
    <w:p w14:paraId="30D58295" w14:textId="436F2DAE" w:rsidR="004B57AD" w:rsidRPr="00652124" w:rsidRDefault="005611C5" w:rsidP="004144BE">
      <w:pPr>
        <w:pStyle w:val="BodyText1"/>
      </w:pPr>
      <w:r>
        <w:rPr>
          <w:b/>
        </w:rPr>
        <w:t>School coordinators.</w:t>
      </w:r>
      <w:r w:rsidR="00FA3B61">
        <w:t xml:space="preserve"> </w:t>
      </w:r>
      <w:r>
        <w:t xml:space="preserve">The role of the </w:t>
      </w:r>
      <w:r w:rsidRPr="00DF0307">
        <w:t>school coordinator is critical for the success of the study.</w:t>
      </w:r>
      <w:r w:rsidR="00FA3B61" w:rsidRPr="00DF0307">
        <w:t xml:space="preserve"> </w:t>
      </w:r>
      <w:r w:rsidRPr="00DF0307">
        <w:t>The coordinator is expected to coordinate logistics with the data collection contractor; supply a list of eligible students</w:t>
      </w:r>
      <w:r w:rsidR="001D622C" w:rsidRPr="00DF0307">
        <w:t xml:space="preserve"> </w:t>
      </w:r>
      <w:r w:rsidR="002B3232" w:rsidRPr="00DF0307">
        <w:t xml:space="preserve">and teachers </w:t>
      </w:r>
      <w:r w:rsidRPr="00DF0307">
        <w:t>for sampling to the data collection contractor; communicate with teachers, students, and parents about the s</w:t>
      </w:r>
      <w:r w:rsidR="00296EAA" w:rsidRPr="00DF0307">
        <w:t>tudy to encourage participation</w:t>
      </w:r>
      <w:r w:rsidR="00DF0307">
        <w:t>,</w:t>
      </w:r>
      <w:r w:rsidR="002B3232" w:rsidRPr="00DF0307">
        <w:t xml:space="preserve"> collect parent consent</w:t>
      </w:r>
      <w:r w:rsidRPr="00DF0307">
        <w:t xml:space="preserve">; and assist the </w:t>
      </w:r>
      <w:r w:rsidR="002B3232" w:rsidRPr="00DF0307">
        <w:t xml:space="preserve">field staff </w:t>
      </w:r>
      <w:r w:rsidRPr="00DF0307">
        <w:t xml:space="preserve">in arranging </w:t>
      </w:r>
      <w:r w:rsidR="00940FE1" w:rsidRPr="00DF0307">
        <w:t>for make-up sessions as needed.</w:t>
      </w:r>
      <w:r w:rsidR="002F607A" w:rsidRPr="00DF0307">
        <w:t xml:space="preserve"> T</w:t>
      </w:r>
      <w:r w:rsidR="00BB0485" w:rsidRPr="00DF0307">
        <w:t xml:space="preserve">o encourage their participation </w:t>
      </w:r>
      <w:r w:rsidR="00BB0485">
        <w:t>and extending their best effort for the study, each</w:t>
      </w:r>
      <w:r w:rsidR="002F607A">
        <w:t xml:space="preserve"> school coordinator will be offered $200.</w:t>
      </w:r>
    </w:p>
    <w:p w14:paraId="5E0F872B" w14:textId="54FDAB1F" w:rsidR="002000D2" w:rsidRPr="00652124" w:rsidRDefault="002000D2" w:rsidP="00501607">
      <w:pPr>
        <w:pStyle w:val="BodyText1"/>
      </w:pPr>
      <w:r w:rsidRPr="00652124">
        <w:rPr>
          <w:b/>
        </w:rPr>
        <w:t>Teachers:</w:t>
      </w:r>
      <w:r w:rsidR="003B3098" w:rsidRPr="00652124">
        <w:rPr>
          <w:b/>
        </w:rPr>
        <w:t xml:space="preserve"> </w:t>
      </w:r>
      <w:r w:rsidR="008D3376" w:rsidRPr="00652124">
        <w:t xml:space="preserve">The teacher of each </w:t>
      </w:r>
      <w:r w:rsidR="00957CB1">
        <w:t>sampl</w:t>
      </w:r>
      <w:r w:rsidR="008D3376" w:rsidRPr="00652124">
        <w:t xml:space="preserve">ed student will be offered </w:t>
      </w:r>
      <w:r w:rsidR="005E5F28">
        <w:t xml:space="preserve">approximately </w:t>
      </w:r>
      <w:r w:rsidR="003B3098" w:rsidRPr="00652124">
        <w:t>$</w:t>
      </w:r>
      <w:r w:rsidR="005E5F28">
        <w:t>40</w:t>
      </w:r>
      <w:r w:rsidR="008D3376" w:rsidRPr="00652124">
        <w:t xml:space="preserve"> </w:t>
      </w:r>
      <w:r w:rsidR="003E26E0" w:rsidRPr="00652124">
        <w:t xml:space="preserve">to complete the </w:t>
      </w:r>
      <w:r w:rsidR="009242E9">
        <w:t>Teacher</w:t>
      </w:r>
      <w:r w:rsidR="003E26E0" w:rsidRPr="00652124">
        <w:t xml:space="preserve"> Questionnaire</w:t>
      </w:r>
      <w:r w:rsidR="00652124">
        <w:t>,</w:t>
      </w:r>
      <w:r w:rsidR="003E26E0" w:rsidRPr="00652124">
        <w:t xml:space="preserve"> which includes providing information about each </w:t>
      </w:r>
      <w:r w:rsidR="00957CB1">
        <w:t>sampl</w:t>
      </w:r>
      <w:r w:rsidR="003E26E0" w:rsidRPr="00652124">
        <w:t>ed child.</w:t>
      </w:r>
      <w:r w:rsidR="008D3376" w:rsidRPr="00652124">
        <w:t xml:space="preserve"> </w:t>
      </w:r>
      <w:r w:rsidR="005E5F28">
        <w:t>This amount is based on the amount offered to ECLS</w:t>
      </w:r>
      <w:r w:rsidR="009D6820">
        <w:t>-K:2011</w:t>
      </w:r>
      <w:r w:rsidR="005E5F28">
        <w:t xml:space="preserve"> teachers for </w:t>
      </w:r>
      <w:r w:rsidR="002B78F7">
        <w:t>similar level</w:t>
      </w:r>
      <w:r w:rsidR="005E5F28">
        <w:t xml:space="preserve"> of </w:t>
      </w:r>
      <w:r w:rsidR="002B78F7">
        <w:t>effort</w:t>
      </w:r>
      <w:r w:rsidR="005E5F28">
        <w:t>.</w:t>
      </w:r>
    </w:p>
    <w:p w14:paraId="01034784" w14:textId="4C4551C9" w:rsidR="00926280" w:rsidRDefault="00926280" w:rsidP="00926280">
      <w:pPr>
        <w:widowControl w:val="0"/>
        <w:spacing w:after="120"/>
        <w:rPr>
          <w:rFonts w:ascii="Garamond" w:hAnsi="Garamond"/>
          <w:sz w:val="24"/>
          <w:szCs w:val="24"/>
        </w:rPr>
      </w:pPr>
      <w:r>
        <w:rPr>
          <w:rFonts w:ascii="Garamond" w:hAnsi="Garamond"/>
          <w:b/>
          <w:sz w:val="24"/>
          <w:szCs w:val="24"/>
        </w:rPr>
        <w:t>Parents</w:t>
      </w:r>
      <w:r w:rsidRPr="00652124">
        <w:rPr>
          <w:rFonts w:ascii="Garamond" w:hAnsi="Garamond"/>
          <w:sz w:val="24"/>
          <w:szCs w:val="24"/>
        </w:rPr>
        <w:t xml:space="preserve">: </w:t>
      </w:r>
      <w:r>
        <w:rPr>
          <w:rFonts w:ascii="Garamond" w:hAnsi="Garamond"/>
          <w:sz w:val="24"/>
          <w:szCs w:val="24"/>
        </w:rPr>
        <w:t>One parent or guardian of each participating student will be offered $</w:t>
      </w:r>
      <w:r w:rsidR="007C4197">
        <w:rPr>
          <w:rFonts w:ascii="Garamond" w:hAnsi="Garamond"/>
          <w:sz w:val="24"/>
          <w:szCs w:val="24"/>
        </w:rPr>
        <w:t>20</w:t>
      </w:r>
      <w:r>
        <w:rPr>
          <w:rFonts w:ascii="Garamond" w:hAnsi="Garamond"/>
          <w:sz w:val="24"/>
          <w:szCs w:val="24"/>
        </w:rPr>
        <w:t xml:space="preserve"> to complete the Parent Questionnaire, which includes providing information on the study child, the household learning environment, and the study child’s ECEC history.</w:t>
      </w:r>
    </w:p>
    <w:p w14:paraId="5DE3022D" w14:textId="77777777" w:rsidR="00124802" w:rsidRDefault="005611C5" w:rsidP="002E595A">
      <w:pPr>
        <w:widowControl w:val="0"/>
        <w:spacing w:after="120"/>
        <w:rPr>
          <w:rFonts w:ascii="Garamond" w:hAnsi="Garamond"/>
          <w:sz w:val="24"/>
          <w:szCs w:val="24"/>
        </w:rPr>
      </w:pPr>
      <w:r w:rsidRPr="00652124">
        <w:rPr>
          <w:rFonts w:ascii="Garamond" w:hAnsi="Garamond"/>
          <w:b/>
          <w:sz w:val="24"/>
          <w:szCs w:val="24"/>
        </w:rPr>
        <w:t>Students</w:t>
      </w:r>
      <w:r w:rsidR="00296EAA" w:rsidRPr="00652124">
        <w:rPr>
          <w:rFonts w:ascii="Garamond" w:hAnsi="Garamond"/>
          <w:sz w:val="24"/>
          <w:szCs w:val="24"/>
        </w:rPr>
        <w:t>:</w:t>
      </w:r>
      <w:r w:rsidR="003B3098" w:rsidRPr="00652124">
        <w:rPr>
          <w:rFonts w:ascii="Garamond" w:hAnsi="Garamond"/>
          <w:sz w:val="24"/>
          <w:szCs w:val="24"/>
        </w:rPr>
        <w:t xml:space="preserve"> </w:t>
      </w:r>
      <w:r w:rsidR="003E3252" w:rsidRPr="00652124">
        <w:rPr>
          <w:rFonts w:ascii="Garamond" w:hAnsi="Garamond"/>
          <w:sz w:val="24"/>
          <w:szCs w:val="24"/>
        </w:rPr>
        <w:t xml:space="preserve">There is no monetary incentive in the IELS for students, but </w:t>
      </w:r>
      <w:r w:rsidR="0047239C" w:rsidRPr="00652124">
        <w:rPr>
          <w:rFonts w:ascii="Garamond" w:hAnsi="Garamond"/>
          <w:sz w:val="24"/>
          <w:szCs w:val="24"/>
        </w:rPr>
        <w:t>prior NCES studies such as the ECLS have given c</w:t>
      </w:r>
      <w:r w:rsidR="003E3252" w:rsidRPr="00652124">
        <w:rPr>
          <w:rFonts w:ascii="Garamond" w:hAnsi="Garamond"/>
          <w:sz w:val="24"/>
          <w:szCs w:val="24"/>
        </w:rPr>
        <w:t>hildren participating in assessments</w:t>
      </w:r>
      <w:r w:rsidR="003E3252" w:rsidRPr="003E3252">
        <w:rPr>
          <w:rFonts w:ascii="Garamond" w:hAnsi="Garamond"/>
          <w:sz w:val="24"/>
          <w:szCs w:val="24"/>
        </w:rPr>
        <w:t xml:space="preserve"> a sticker for participating. </w:t>
      </w:r>
      <w:r w:rsidR="0047239C">
        <w:rPr>
          <w:rFonts w:ascii="Garamond" w:hAnsi="Garamond"/>
          <w:sz w:val="24"/>
          <w:szCs w:val="24"/>
        </w:rPr>
        <w:t>Therefore, the IELS plans for a nonmonetary incentive such as a sticker or a pencil.</w:t>
      </w:r>
    </w:p>
    <w:p w14:paraId="5E0F872F" w14:textId="4834599D" w:rsidR="005611C5" w:rsidRDefault="005611C5" w:rsidP="002E595A">
      <w:pPr>
        <w:pStyle w:val="Heading1"/>
        <w:spacing w:before="0"/>
        <w:ind w:left="720" w:hanging="720"/>
      </w:pPr>
      <w:bookmarkStart w:id="16" w:name="_Toc488670097"/>
      <w:r>
        <w:t>A.1</w:t>
      </w:r>
      <w:r w:rsidR="00DF0307">
        <w:t>0</w:t>
      </w:r>
      <w:r>
        <w:tab/>
        <w:t>Assurance of Confidentiality</w:t>
      </w:r>
      <w:bookmarkEnd w:id="16"/>
    </w:p>
    <w:p w14:paraId="4F6310DC" w14:textId="6FE47DAE" w:rsidR="00B9233D" w:rsidRPr="002E595A" w:rsidRDefault="00B9233D" w:rsidP="00712A2B">
      <w:pPr>
        <w:pStyle w:val="L1-FlLSp12"/>
        <w:widowControl w:val="0"/>
        <w:tabs>
          <w:tab w:val="clear" w:pos="1152"/>
        </w:tabs>
        <w:spacing w:after="120" w:line="23" w:lineRule="atLeast"/>
        <w:jc w:val="left"/>
        <w:rPr>
          <w:rFonts w:ascii="Garamond" w:hAnsi="Garamond"/>
          <w:sz w:val="24"/>
        </w:rPr>
      </w:pPr>
      <w:r w:rsidRPr="002E595A">
        <w:rPr>
          <w:rFonts w:ascii="Garamond" w:hAnsi="Garamond"/>
          <w:sz w:val="24"/>
        </w:rPr>
        <w:t>Data security and confidentiality protection procedures have been put in place for IELS to ensure</w:t>
      </w:r>
      <w:r w:rsidR="00091391" w:rsidRPr="002E595A">
        <w:rPr>
          <w:rFonts w:ascii="Garamond" w:hAnsi="Garamond"/>
          <w:sz w:val="24"/>
        </w:rPr>
        <w:t xml:space="preserve"> </w:t>
      </w:r>
      <w:r w:rsidR="00712A2B">
        <w:rPr>
          <w:rFonts w:ascii="Garamond" w:hAnsi="Garamond"/>
          <w:sz w:val="24"/>
        </w:rPr>
        <w:t xml:space="preserve">that </w:t>
      </w:r>
      <w:r w:rsidR="00091391" w:rsidRPr="00904762">
        <w:rPr>
          <w:rFonts w:ascii="Garamond" w:hAnsi="Garamond"/>
          <w:sz w:val="24"/>
          <w:szCs w:val="24"/>
        </w:rPr>
        <w:t>Westat</w:t>
      </w:r>
      <w:r w:rsidRPr="002E595A">
        <w:rPr>
          <w:rFonts w:ascii="Garamond" w:hAnsi="Garamond"/>
          <w:sz w:val="24"/>
        </w:rPr>
        <w:t xml:space="preserve"> and its subcontractors comply with all privacy requirements, including:</w:t>
      </w:r>
    </w:p>
    <w:p w14:paraId="268AA522" w14:textId="77777777" w:rsidR="00B9233D" w:rsidRPr="002E595A" w:rsidRDefault="00B9233D" w:rsidP="00B9233D">
      <w:pPr>
        <w:pStyle w:val="P1-StandPara"/>
        <w:numPr>
          <w:ilvl w:val="0"/>
          <w:numId w:val="20"/>
        </w:numPr>
        <w:spacing w:line="276" w:lineRule="auto"/>
        <w:ind w:left="630" w:hanging="371"/>
        <w:jc w:val="left"/>
        <w:rPr>
          <w:rFonts w:ascii="Garamond" w:hAnsi="Garamond"/>
          <w:sz w:val="24"/>
        </w:rPr>
      </w:pPr>
      <w:r w:rsidRPr="002E595A">
        <w:rPr>
          <w:rFonts w:ascii="Garamond" w:hAnsi="Garamond"/>
          <w:sz w:val="24"/>
        </w:rPr>
        <w:t>The statement of work of this contract;</w:t>
      </w:r>
    </w:p>
    <w:p w14:paraId="2FEDE1B1" w14:textId="77777777" w:rsidR="00B9233D" w:rsidRPr="002E595A" w:rsidRDefault="00B9233D" w:rsidP="00B9233D">
      <w:pPr>
        <w:pStyle w:val="P1-StandPara"/>
        <w:numPr>
          <w:ilvl w:val="0"/>
          <w:numId w:val="20"/>
        </w:numPr>
        <w:spacing w:line="276" w:lineRule="auto"/>
        <w:ind w:left="630" w:hanging="371"/>
        <w:jc w:val="left"/>
        <w:rPr>
          <w:rFonts w:ascii="Garamond" w:hAnsi="Garamond"/>
          <w:sz w:val="24"/>
        </w:rPr>
      </w:pPr>
      <w:r w:rsidRPr="002E595A">
        <w:rPr>
          <w:rFonts w:ascii="Garamond" w:hAnsi="Garamond"/>
          <w:i/>
          <w:sz w:val="24"/>
        </w:rPr>
        <w:t>Privacy Act of 1974</w:t>
      </w:r>
      <w:r w:rsidRPr="002E595A">
        <w:rPr>
          <w:rFonts w:ascii="Garamond" w:hAnsi="Garamond"/>
          <w:sz w:val="24"/>
        </w:rPr>
        <w:t xml:space="preserve"> (5 U.S.C. §552a);</w:t>
      </w:r>
    </w:p>
    <w:p w14:paraId="53F8230F" w14:textId="77777777" w:rsidR="00B9233D" w:rsidRPr="002E595A" w:rsidRDefault="00B9233D" w:rsidP="00B9233D">
      <w:pPr>
        <w:pStyle w:val="P1-StandPara"/>
        <w:numPr>
          <w:ilvl w:val="0"/>
          <w:numId w:val="20"/>
        </w:numPr>
        <w:spacing w:line="276" w:lineRule="auto"/>
        <w:ind w:left="630" w:hanging="371"/>
        <w:jc w:val="left"/>
        <w:rPr>
          <w:rFonts w:ascii="Garamond" w:hAnsi="Garamond"/>
          <w:sz w:val="24"/>
        </w:rPr>
      </w:pPr>
      <w:r w:rsidRPr="002E595A">
        <w:rPr>
          <w:rFonts w:ascii="Garamond" w:hAnsi="Garamond"/>
          <w:i/>
          <w:sz w:val="24"/>
        </w:rPr>
        <w:t>Family Educational and Privacy Act (FERPA) of 1974</w:t>
      </w:r>
      <w:r w:rsidRPr="002E595A">
        <w:rPr>
          <w:rFonts w:ascii="Garamond" w:hAnsi="Garamond"/>
          <w:sz w:val="24"/>
        </w:rPr>
        <w:t xml:space="preserve"> (20 U.S.C. §1232(g));</w:t>
      </w:r>
    </w:p>
    <w:p w14:paraId="7165D588" w14:textId="77777777" w:rsidR="00B9233D" w:rsidRPr="002E595A" w:rsidRDefault="00B9233D" w:rsidP="00B9233D">
      <w:pPr>
        <w:pStyle w:val="P1-StandPara"/>
        <w:numPr>
          <w:ilvl w:val="0"/>
          <w:numId w:val="20"/>
        </w:numPr>
        <w:spacing w:line="276" w:lineRule="auto"/>
        <w:ind w:left="630" w:hanging="371"/>
        <w:jc w:val="left"/>
        <w:rPr>
          <w:rFonts w:ascii="Garamond" w:hAnsi="Garamond"/>
          <w:sz w:val="24"/>
        </w:rPr>
      </w:pPr>
      <w:r w:rsidRPr="002E595A">
        <w:rPr>
          <w:rFonts w:ascii="Garamond" w:hAnsi="Garamond"/>
          <w:i/>
          <w:sz w:val="24"/>
        </w:rPr>
        <w:t>Privacy Act Regulations</w:t>
      </w:r>
      <w:r w:rsidRPr="002E595A">
        <w:rPr>
          <w:rFonts w:ascii="Garamond" w:hAnsi="Garamond"/>
          <w:sz w:val="24"/>
        </w:rPr>
        <w:t xml:space="preserve"> (34 CFR Part 5b);</w:t>
      </w:r>
    </w:p>
    <w:p w14:paraId="6ABDAF80" w14:textId="77777777" w:rsidR="00B9233D" w:rsidRPr="002E595A" w:rsidRDefault="00B9233D" w:rsidP="00B9233D">
      <w:pPr>
        <w:pStyle w:val="P1-StandPara"/>
        <w:numPr>
          <w:ilvl w:val="0"/>
          <w:numId w:val="20"/>
        </w:numPr>
        <w:spacing w:line="276" w:lineRule="auto"/>
        <w:ind w:left="630" w:hanging="371"/>
        <w:jc w:val="left"/>
        <w:rPr>
          <w:rFonts w:ascii="Garamond" w:hAnsi="Garamond"/>
          <w:sz w:val="24"/>
        </w:rPr>
      </w:pPr>
      <w:r w:rsidRPr="002E595A">
        <w:rPr>
          <w:rFonts w:ascii="Garamond" w:hAnsi="Garamond"/>
          <w:i/>
          <w:sz w:val="24"/>
        </w:rPr>
        <w:t>Computer Security Act of 1987</w:t>
      </w:r>
      <w:r w:rsidRPr="002E595A">
        <w:rPr>
          <w:rFonts w:ascii="Garamond" w:hAnsi="Garamond"/>
          <w:sz w:val="24"/>
        </w:rPr>
        <w:t>;</w:t>
      </w:r>
    </w:p>
    <w:p w14:paraId="0A02AD53" w14:textId="77777777" w:rsidR="00B9233D" w:rsidRPr="002E595A" w:rsidRDefault="00B9233D" w:rsidP="00B9233D">
      <w:pPr>
        <w:pStyle w:val="P1-StandPara"/>
        <w:numPr>
          <w:ilvl w:val="0"/>
          <w:numId w:val="20"/>
        </w:numPr>
        <w:spacing w:line="276" w:lineRule="auto"/>
        <w:ind w:left="630" w:hanging="371"/>
        <w:jc w:val="left"/>
        <w:rPr>
          <w:rFonts w:ascii="Garamond" w:hAnsi="Garamond"/>
          <w:sz w:val="24"/>
        </w:rPr>
      </w:pPr>
      <w:r w:rsidRPr="002E595A">
        <w:rPr>
          <w:rFonts w:ascii="Garamond" w:hAnsi="Garamond"/>
          <w:i/>
          <w:sz w:val="24"/>
        </w:rPr>
        <w:t>U.S.A. Patriot Act of 2001</w:t>
      </w:r>
      <w:r w:rsidRPr="002E595A">
        <w:rPr>
          <w:rFonts w:ascii="Garamond" w:hAnsi="Garamond"/>
          <w:sz w:val="24"/>
        </w:rPr>
        <w:t xml:space="preserve"> (P.L. 107-56);</w:t>
      </w:r>
    </w:p>
    <w:p w14:paraId="23C00B3E" w14:textId="77777777" w:rsidR="00B9233D" w:rsidRPr="002E595A" w:rsidRDefault="00B9233D" w:rsidP="00B9233D">
      <w:pPr>
        <w:pStyle w:val="P1-StandPara"/>
        <w:numPr>
          <w:ilvl w:val="0"/>
          <w:numId w:val="20"/>
        </w:numPr>
        <w:spacing w:line="276" w:lineRule="auto"/>
        <w:ind w:left="630" w:hanging="371"/>
        <w:jc w:val="left"/>
        <w:rPr>
          <w:rFonts w:ascii="Garamond" w:hAnsi="Garamond"/>
          <w:sz w:val="24"/>
        </w:rPr>
      </w:pPr>
      <w:r w:rsidRPr="002E595A">
        <w:rPr>
          <w:rFonts w:ascii="Garamond" w:hAnsi="Garamond"/>
          <w:i/>
          <w:sz w:val="24"/>
        </w:rPr>
        <w:t>Education Sciences Reform Act of 2002</w:t>
      </w:r>
      <w:r w:rsidRPr="002E595A">
        <w:rPr>
          <w:rFonts w:ascii="Garamond" w:hAnsi="Garamond"/>
          <w:sz w:val="24"/>
        </w:rPr>
        <w:t xml:space="preserve"> (ESRA 2002, 20 U.S.C. §9573);</w:t>
      </w:r>
    </w:p>
    <w:p w14:paraId="197C04F2" w14:textId="77777777" w:rsidR="00B9233D" w:rsidRPr="002E595A" w:rsidRDefault="00B9233D" w:rsidP="00B9233D">
      <w:pPr>
        <w:pStyle w:val="P1-StandPara"/>
        <w:numPr>
          <w:ilvl w:val="0"/>
          <w:numId w:val="20"/>
        </w:numPr>
        <w:spacing w:line="276" w:lineRule="auto"/>
        <w:ind w:left="630" w:hanging="371"/>
        <w:jc w:val="left"/>
        <w:rPr>
          <w:rFonts w:ascii="Garamond" w:hAnsi="Garamond"/>
          <w:sz w:val="24"/>
        </w:rPr>
      </w:pPr>
      <w:r w:rsidRPr="002E595A">
        <w:rPr>
          <w:rFonts w:ascii="Garamond" w:hAnsi="Garamond"/>
          <w:i/>
          <w:sz w:val="24"/>
        </w:rPr>
        <w:t>Confidential Information Protect and Statistical Efficiency Act of 2002</w:t>
      </w:r>
      <w:r w:rsidRPr="002E595A">
        <w:rPr>
          <w:rFonts w:ascii="Garamond" w:hAnsi="Garamond"/>
          <w:sz w:val="24"/>
        </w:rPr>
        <w:t>;</w:t>
      </w:r>
    </w:p>
    <w:p w14:paraId="45D66CF7" w14:textId="77777777" w:rsidR="00B9233D" w:rsidRPr="002E595A" w:rsidRDefault="00B9233D" w:rsidP="00B9233D">
      <w:pPr>
        <w:pStyle w:val="P1-StandPara"/>
        <w:numPr>
          <w:ilvl w:val="0"/>
          <w:numId w:val="20"/>
        </w:numPr>
        <w:spacing w:line="276" w:lineRule="auto"/>
        <w:ind w:left="630" w:hanging="371"/>
        <w:jc w:val="left"/>
        <w:rPr>
          <w:rFonts w:ascii="Garamond" w:hAnsi="Garamond"/>
          <w:sz w:val="24"/>
        </w:rPr>
      </w:pPr>
      <w:r w:rsidRPr="002E595A">
        <w:rPr>
          <w:rFonts w:ascii="Garamond" w:hAnsi="Garamond"/>
          <w:i/>
          <w:sz w:val="24"/>
        </w:rPr>
        <w:t>E-Government Act of 2002</w:t>
      </w:r>
      <w:r w:rsidRPr="002E595A">
        <w:rPr>
          <w:rFonts w:ascii="Garamond" w:hAnsi="Garamond"/>
          <w:sz w:val="24"/>
        </w:rPr>
        <w:t>, Title V, Subtitle A;</w:t>
      </w:r>
    </w:p>
    <w:p w14:paraId="4E1F0A49" w14:textId="77777777" w:rsidR="00B9233D" w:rsidRPr="002E595A" w:rsidRDefault="00B9233D" w:rsidP="00B9233D">
      <w:pPr>
        <w:pStyle w:val="P1-StandPara"/>
        <w:numPr>
          <w:ilvl w:val="0"/>
          <w:numId w:val="20"/>
        </w:numPr>
        <w:spacing w:line="276" w:lineRule="auto"/>
        <w:ind w:left="630" w:hanging="371"/>
        <w:jc w:val="left"/>
        <w:rPr>
          <w:rFonts w:ascii="Garamond" w:hAnsi="Garamond"/>
          <w:sz w:val="24"/>
        </w:rPr>
      </w:pPr>
      <w:r w:rsidRPr="002E595A">
        <w:rPr>
          <w:rFonts w:ascii="Garamond" w:hAnsi="Garamond"/>
          <w:i/>
          <w:sz w:val="24"/>
        </w:rPr>
        <w:t>Cybersecurity Enhancement Act of 2015</w:t>
      </w:r>
      <w:r w:rsidRPr="002E595A">
        <w:rPr>
          <w:rFonts w:ascii="Garamond" w:hAnsi="Garamond"/>
          <w:sz w:val="24"/>
        </w:rPr>
        <w:t xml:space="preserve"> (6 U.S.C. §151);</w:t>
      </w:r>
    </w:p>
    <w:p w14:paraId="17DA6219" w14:textId="77777777" w:rsidR="00B9233D" w:rsidRPr="002E595A" w:rsidRDefault="00B9233D" w:rsidP="00B9233D">
      <w:pPr>
        <w:pStyle w:val="P1-StandPara"/>
        <w:numPr>
          <w:ilvl w:val="0"/>
          <w:numId w:val="20"/>
        </w:numPr>
        <w:spacing w:line="276" w:lineRule="auto"/>
        <w:ind w:left="630" w:hanging="371"/>
        <w:jc w:val="left"/>
        <w:rPr>
          <w:rFonts w:ascii="Garamond" w:hAnsi="Garamond"/>
          <w:sz w:val="24"/>
        </w:rPr>
      </w:pPr>
      <w:r w:rsidRPr="002E595A">
        <w:rPr>
          <w:rFonts w:ascii="Garamond" w:hAnsi="Garamond"/>
          <w:sz w:val="24"/>
        </w:rPr>
        <w:t>The U.S. Department of Education General Handbook for Information Technology Security General Support Systems and Major Applications Inventory Procedures (March 2005);</w:t>
      </w:r>
    </w:p>
    <w:p w14:paraId="2FF208D0" w14:textId="77777777" w:rsidR="00B9233D" w:rsidRPr="002E595A" w:rsidRDefault="00B9233D" w:rsidP="00B9233D">
      <w:pPr>
        <w:pStyle w:val="P1-StandPara"/>
        <w:numPr>
          <w:ilvl w:val="0"/>
          <w:numId w:val="20"/>
        </w:numPr>
        <w:spacing w:line="276" w:lineRule="auto"/>
        <w:ind w:left="630" w:hanging="371"/>
        <w:jc w:val="left"/>
        <w:rPr>
          <w:rFonts w:ascii="Garamond" w:hAnsi="Garamond"/>
          <w:sz w:val="24"/>
        </w:rPr>
      </w:pPr>
      <w:r w:rsidRPr="002E595A">
        <w:rPr>
          <w:rFonts w:ascii="Garamond" w:hAnsi="Garamond"/>
          <w:sz w:val="24"/>
        </w:rPr>
        <w:t>The U.S. Department of Education Incident Handling Procedures (February 2009);</w:t>
      </w:r>
    </w:p>
    <w:p w14:paraId="7348E216" w14:textId="77777777" w:rsidR="00B9233D" w:rsidRPr="002E595A" w:rsidRDefault="00B9233D" w:rsidP="00B9233D">
      <w:pPr>
        <w:pStyle w:val="P1-StandPara"/>
        <w:numPr>
          <w:ilvl w:val="0"/>
          <w:numId w:val="20"/>
        </w:numPr>
        <w:spacing w:line="276" w:lineRule="auto"/>
        <w:ind w:left="630" w:hanging="371"/>
        <w:jc w:val="left"/>
        <w:rPr>
          <w:rFonts w:ascii="Garamond" w:hAnsi="Garamond"/>
          <w:sz w:val="24"/>
        </w:rPr>
      </w:pPr>
      <w:r w:rsidRPr="002E595A">
        <w:rPr>
          <w:rFonts w:ascii="Garamond" w:hAnsi="Garamond"/>
          <w:sz w:val="24"/>
        </w:rPr>
        <w:t>The U.S. Department of Education, ACS Directive OM: 5-101, Contractor Employee Personnel Security Screenings;</w:t>
      </w:r>
    </w:p>
    <w:p w14:paraId="4E164D9E" w14:textId="77777777" w:rsidR="00B9233D" w:rsidRPr="002E595A" w:rsidRDefault="00B9233D" w:rsidP="00B9233D">
      <w:pPr>
        <w:pStyle w:val="P1-StandPara"/>
        <w:numPr>
          <w:ilvl w:val="0"/>
          <w:numId w:val="20"/>
        </w:numPr>
        <w:spacing w:line="276" w:lineRule="auto"/>
        <w:ind w:left="630" w:hanging="371"/>
        <w:jc w:val="left"/>
        <w:rPr>
          <w:rFonts w:ascii="Garamond" w:hAnsi="Garamond"/>
          <w:sz w:val="24"/>
        </w:rPr>
      </w:pPr>
      <w:r w:rsidRPr="002E595A">
        <w:rPr>
          <w:rFonts w:ascii="Garamond" w:hAnsi="Garamond"/>
          <w:sz w:val="24"/>
        </w:rPr>
        <w:t>NCES Statistical Standards; and</w:t>
      </w:r>
    </w:p>
    <w:p w14:paraId="48AC8854" w14:textId="77777777" w:rsidR="00B9233D" w:rsidRPr="002E595A" w:rsidRDefault="00B9233D" w:rsidP="00B9233D">
      <w:pPr>
        <w:pStyle w:val="P1-StandPara"/>
        <w:numPr>
          <w:ilvl w:val="0"/>
          <w:numId w:val="20"/>
        </w:numPr>
        <w:spacing w:after="120" w:line="276" w:lineRule="auto"/>
        <w:ind w:left="630"/>
        <w:jc w:val="left"/>
        <w:rPr>
          <w:rFonts w:ascii="Garamond" w:hAnsi="Garamond"/>
          <w:sz w:val="24"/>
        </w:rPr>
      </w:pPr>
      <w:r w:rsidRPr="002E595A">
        <w:rPr>
          <w:rFonts w:ascii="Garamond" w:hAnsi="Garamond"/>
          <w:sz w:val="24"/>
        </w:rPr>
        <w:t>All new legislation that impacts the data collected through the inter-agency agreement for this study.</w:t>
      </w:r>
    </w:p>
    <w:p w14:paraId="1DF6E7DE" w14:textId="1F7F83F1" w:rsidR="00B9233D" w:rsidRDefault="00B9233D" w:rsidP="00B9233D">
      <w:pPr>
        <w:pStyle w:val="BodyText1"/>
        <w:widowControl w:val="0"/>
        <w:rPr>
          <w:szCs w:val="22"/>
        </w:rPr>
      </w:pPr>
      <w:r w:rsidRPr="003B165F">
        <w:rPr>
          <w:szCs w:val="22"/>
        </w:rPr>
        <w:t xml:space="preserve">Furthermore, </w:t>
      </w:r>
      <w:r w:rsidR="00633B4E">
        <w:rPr>
          <w:szCs w:val="22"/>
        </w:rPr>
        <w:t>Westat</w:t>
      </w:r>
      <w:r w:rsidR="00050E91">
        <w:rPr>
          <w:szCs w:val="22"/>
        </w:rPr>
        <w:t xml:space="preserve"> </w:t>
      </w:r>
      <w:r w:rsidRPr="003B165F">
        <w:rPr>
          <w:szCs w:val="22"/>
        </w:rPr>
        <w:t xml:space="preserve">will comply with the Department’s IT security policy requirements as set forth in the Handbook for Information Assurance Security Policy and related procedures and guidance, as well as IT security requirements in the Federal Information Security Management Act (FISMA), Federal Information Processing Standards (FIPS) publications, Office of Management and Budget (OMB) Circulars, and the National Institute of Standards and Technology (NIST) standards and guidance. All data products and publications will also adhere to the revised NCES Statistical Standards, as described at the website: </w:t>
      </w:r>
      <w:hyperlink r:id="rId11" w:history="1">
        <w:r w:rsidRPr="00AA42CF">
          <w:rPr>
            <w:rStyle w:val="Hyperlink"/>
            <w:szCs w:val="22"/>
          </w:rPr>
          <w:t>http://nces.ed.gov/statprog/2012/</w:t>
        </w:r>
      </w:hyperlink>
      <w:r w:rsidRPr="003B165F">
        <w:rPr>
          <w:szCs w:val="22"/>
        </w:rPr>
        <w:t>.</w:t>
      </w:r>
    </w:p>
    <w:p w14:paraId="2429F1F6" w14:textId="77777777" w:rsidR="00B9233D" w:rsidRDefault="00B9233D" w:rsidP="00B9233D">
      <w:pPr>
        <w:pStyle w:val="BodyText1"/>
        <w:widowControl w:val="0"/>
      </w:pPr>
      <w:r w:rsidRPr="003E233A">
        <w:rPr>
          <w:rFonts w:cs="Arial"/>
        </w:rPr>
        <w:t xml:space="preserve">Procedures for handling confidential aspects of the </w:t>
      </w:r>
      <w:r>
        <w:rPr>
          <w:rFonts w:cs="Arial"/>
        </w:rPr>
        <w:t>IELS</w:t>
      </w:r>
      <w:r w:rsidRPr="003E233A">
        <w:rPr>
          <w:rFonts w:cs="Arial"/>
        </w:rPr>
        <w:t xml:space="preserve"> study will mirror those used in </w:t>
      </w:r>
      <w:r>
        <w:rPr>
          <w:rFonts w:cs="Arial"/>
        </w:rPr>
        <w:t>other studies conducted by NCES, including</w:t>
      </w:r>
      <w:r>
        <w:t xml:space="preserve"> signed confidentiality agreements and notarized nondisclosure affidavits obtained from all personnel who will have access to individual identifiers; personnel training regarding the meaning of confidentiality, particularly as it relates to handling requests for information and providing assurance to respondents about the protection of their responses; protected access to computer files under the control of a single data base manager; built-in safeguards concerning status monitoring and receipt control systems; and a secured and operator-manned in-house computing facility.</w:t>
      </w:r>
    </w:p>
    <w:p w14:paraId="78343AB0" w14:textId="77777777" w:rsidR="00B9233D" w:rsidRDefault="00B9233D" w:rsidP="00B9233D">
      <w:pPr>
        <w:pStyle w:val="BodyText1"/>
      </w:pPr>
      <w:r>
        <w:t>Letters and other materials will be sent to parents and school administrators describing the voluntary nature of this survey. The materials sent will include a brochure that describes the study and conveys the extent to which respondents and their responses will be kept confidential (Appendices A and B):</w:t>
      </w:r>
    </w:p>
    <w:p w14:paraId="06BC675B" w14:textId="77777777" w:rsidR="00B9233D" w:rsidRPr="00F23036" w:rsidRDefault="00B9233D" w:rsidP="00B9233D">
      <w:pPr>
        <w:pStyle w:val="P1-StandPara"/>
        <w:spacing w:after="120" w:line="240" w:lineRule="auto"/>
        <w:ind w:left="274" w:firstLine="0"/>
        <w:jc w:val="left"/>
        <w:rPr>
          <w:i/>
          <w:sz w:val="20"/>
        </w:rPr>
      </w:pPr>
      <w:r w:rsidRPr="00F23036">
        <w:rPr>
          <w:i/>
          <w:sz w:val="20"/>
        </w:rPr>
        <w:t>The National Center for Education Statistics is authorized to conduct this study under the Education Sciences Reform Act of 2002 (ESRA 2002, 20 U.S.C. §9543). All of the information you provide may only be used for statistical purposes and may not be disclosed, or used, in identifiable form for any other purpose except as required by law (20 U.S.C. §9573 and 6 U.S.C. §151). Individuals are never identified in any reports. All reported statistics refer to the U.S. as a whole or to national subgroups</w:t>
      </w:r>
      <w:r>
        <w:rPr>
          <w:i/>
          <w:sz w:val="20"/>
        </w:rPr>
        <w:t>.</w:t>
      </w:r>
    </w:p>
    <w:p w14:paraId="04D5B374" w14:textId="77777777" w:rsidR="00B9233D" w:rsidRPr="009F6750" w:rsidRDefault="00B9233D" w:rsidP="00B9233D">
      <w:pPr>
        <w:pStyle w:val="BodyText1"/>
      </w:pPr>
      <w:r>
        <w:t xml:space="preserve">The following statement will </w:t>
      </w:r>
      <w:r w:rsidRPr="009F6750">
        <w:t>appear on the front cover and login page of the questionnaires:</w:t>
      </w:r>
    </w:p>
    <w:p w14:paraId="15520EC2" w14:textId="77777777" w:rsidR="00B9233D" w:rsidRPr="00206DF6" w:rsidRDefault="00B9233D" w:rsidP="00B9233D">
      <w:pPr>
        <w:pStyle w:val="BodyText1"/>
        <w:spacing w:before="0" w:after="0" w:line="240" w:lineRule="auto"/>
        <w:ind w:left="270"/>
        <w:rPr>
          <w:sz w:val="22"/>
          <w:szCs w:val="20"/>
          <w:lang w:val="en-GB"/>
        </w:rPr>
      </w:pPr>
      <w:r w:rsidRPr="00206DF6">
        <w:rPr>
          <w:sz w:val="22"/>
          <w:szCs w:val="20"/>
          <w:lang w:val="en-GB"/>
        </w:rPr>
        <w:t>The National Center for Education Statistics is authorized to conduct this study under the Education Sciences Reform Act of 2002 (ESRA 2002, 20 U.S.C. §9543). All of the information you provide may only be used for statistical purposes and may not be disclosed, or used, in identifiable form for any other purpose except as required by law (20 U.S.C. §9573 and 6 U.S.C. §151). Individuals are never identified in any reports. All reported statistics refer to the U.S. as a whole or to national subgroups.</w:t>
      </w:r>
    </w:p>
    <w:p w14:paraId="080CE300" w14:textId="07CAE580" w:rsidR="00B9233D" w:rsidRPr="006F16FB" w:rsidRDefault="00B9233D" w:rsidP="00B9233D">
      <w:pPr>
        <w:pStyle w:val="BodyText1"/>
        <w:spacing w:before="0" w:line="240" w:lineRule="auto"/>
        <w:ind w:left="270"/>
        <w:rPr>
          <w:sz w:val="22"/>
          <w:szCs w:val="20"/>
          <w:lang w:val="en-GB"/>
        </w:rPr>
      </w:pPr>
      <w:r w:rsidRPr="006F16FB">
        <w:rPr>
          <w:sz w:val="22"/>
          <w:szCs w:val="20"/>
          <w:lang w:val="en-GB"/>
        </w:rPr>
        <w:t xml:space="preserve">According to the Paperwork Reduction Act of 1995, no persons are required to respond to a collection of information unless such collection displays a valid OMB control number. The valid OMB control number for this voluntary survey is </w:t>
      </w:r>
      <w:r w:rsidR="009E0766" w:rsidRPr="009E0766">
        <w:rPr>
          <w:sz w:val="22"/>
          <w:szCs w:val="20"/>
          <w:lang w:val="en-GB"/>
        </w:rPr>
        <w:t>1850-0936</w:t>
      </w:r>
      <w:r w:rsidRPr="006F16FB">
        <w:rPr>
          <w:sz w:val="22"/>
          <w:szCs w:val="20"/>
          <w:lang w:val="en-GB"/>
        </w:rPr>
        <w:t>. The time required to complete this survey is estimated to average XX minutes per response, including the time to review instructions, search existing data resources, gather the data needed, and complete and review the survey. If you have any comments concerning the accuracy of the time estimate, suggestions for improving this survey, or any comments or concerns regarding the status of your individual submission of this survey, please write to: International Early Learning Study (IELS), National Center for Education Statistics, Potomac Center Plaza, 550 12</w:t>
      </w:r>
      <w:r w:rsidRPr="00E81FDA">
        <w:rPr>
          <w:sz w:val="22"/>
          <w:szCs w:val="20"/>
          <w:vertAlign w:val="superscript"/>
          <w:lang w:val="en-GB"/>
        </w:rPr>
        <w:t>th</w:t>
      </w:r>
      <w:r>
        <w:rPr>
          <w:sz w:val="22"/>
          <w:szCs w:val="20"/>
          <w:lang w:val="en-GB"/>
        </w:rPr>
        <w:t xml:space="preserve"> </w:t>
      </w:r>
      <w:r w:rsidRPr="006F16FB">
        <w:rPr>
          <w:sz w:val="22"/>
          <w:szCs w:val="20"/>
          <w:lang w:val="en-GB"/>
        </w:rPr>
        <w:t>Street, SW, Washington, DC 20202.</w:t>
      </w:r>
    </w:p>
    <w:p w14:paraId="716D2527" w14:textId="77777777" w:rsidR="00B9233D" w:rsidRPr="006F16FB" w:rsidRDefault="00B9233D" w:rsidP="00B9233D">
      <w:pPr>
        <w:pStyle w:val="BodyText1"/>
        <w:spacing w:line="240" w:lineRule="auto"/>
        <w:ind w:left="630"/>
        <w:jc w:val="center"/>
        <w:rPr>
          <w:sz w:val="22"/>
          <w:szCs w:val="20"/>
          <w:lang w:val="en-GB"/>
        </w:rPr>
      </w:pPr>
      <w:r w:rsidRPr="006F16FB">
        <w:rPr>
          <w:sz w:val="22"/>
          <w:szCs w:val="20"/>
          <w:lang w:val="en-GB"/>
        </w:rPr>
        <w:t xml:space="preserve"> OMB No. </w:t>
      </w:r>
      <w:r>
        <w:rPr>
          <w:color w:val="000000"/>
        </w:rPr>
        <w:t>1850-0936</w:t>
      </w:r>
      <w:r>
        <w:rPr>
          <w:sz w:val="22"/>
          <w:szCs w:val="20"/>
          <w:lang w:val="en-GB"/>
        </w:rPr>
        <w:t>, Approval Expires 04/30</w:t>
      </w:r>
      <w:r w:rsidRPr="006F16FB">
        <w:rPr>
          <w:sz w:val="22"/>
          <w:szCs w:val="20"/>
          <w:lang w:val="en-GB"/>
        </w:rPr>
        <w:t>/20</w:t>
      </w:r>
      <w:r>
        <w:rPr>
          <w:sz w:val="22"/>
          <w:szCs w:val="20"/>
          <w:lang w:val="en-GB"/>
        </w:rPr>
        <w:t>20</w:t>
      </w:r>
      <w:r w:rsidRPr="006F16FB">
        <w:rPr>
          <w:sz w:val="22"/>
          <w:szCs w:val="20"/>
          <w:lang w:val="en-GB"/>
        </w:rPr>
        <w:t>.</w:t>
      </w:r>
    </w:p>
    <w:p w14:paraId="0337452E" w14:textId="77777777" w:rsidR="00B9233D" w:rsidRDefault="00B9233D" w:rsidP="00B9233D">
      <w:pPr>
        <w:pStyle w:val="BodyText1"/>
      </w:pPr>
      <w:r>
        <w:t>Data files, accompanying software, and documentation will be delivered to NCES at the end of the project. No school or individual names or addresses will be included on these files or documentation.</w:t>
      </w:r>
    </w:p>
    <w:p w14:paraId="7A659A7F" w14:textId="77777777" w:rsidR="00B9233D" w:rsidRPr="008D7A29" w:rsidRDefault="00B9233D" w:rsidP="00B9233D">
      <w:pPr>
        <w:pStyle w:val="BodyText1"/>
      </w:pPr>
      <w:r>
        <w:t>NCES understands the legal and ethical need to protect the privacy of the IELS respondents and has extensive experience in developing data files for release that meet the government’s requirements to protect individually identifiable data from disclosure. T</w:t>
      </w:r>
      <w:r w:rsidRPr="008F437F">
        <w:t xml:space="preserve">he contractor will conduct a thorough disclosure </w:t>
      </w:r>
      <w:r>
        <w:t xml:space="preserve">risk </w:t>
      </w:r>
      <w:r w:rsidRPr="008F437F">
        <w:t xml:space="preserve">analysis of the </w:t>
      </w:r>
      <w:r>
        <w:t>IELS</w:t>
      </w:r>
      <w:r w:rsidRPr="008F437F">
        <w:t xml:space="preserve"> data when preparing the </w:t>
      </w:r>
      <w:r>
        <w:t xml:space="preserve">data </w:t>
      </w:r>
      <w:r w:rsidRPr="008F437F">
        <w:t>files</w:t>
      </w:r>
      <w:r>
        <w:t xml:space="preserve"> for use by researchers, in compliance with </w:t>
      </w:r>
      <w:r w:rsidRPr="00616D22">
        <w:t>20 U.S.C., § 9573</w:t>
      </w:r>
      <w:r w:rsidRPr="008F437F">
        <w:t xml:space="preserve">. </w:t>
      </w:r>
      <w:r>
        <w:t>Schools</w:t>
      </w:r>
      <w:r w:rsidRPr="008F437F">
        <w:t xml:space="preserve"> with high disclosure risk will be identified and</w:t>
      </w:r>
      <w:r>
        <w:t>, to ensure that individuals may not be identified from the data files,</w:t>
      </w:r>
      <w:r w:rsidRPr="008F437F">
        <w:t xml:space="preserve"> </w:t>
      </w:r>
      <w:r>
        <w:t>a variety of masking strategies will be used, including: swapping data and omitting key identification variables (e.g., school name and address) from both the public- and restricted-use files (though the restricted-use file will include an NCES school ID that can be linked to other NCES databases to identify a school); omitting key identification variables such as state or zip code from the public-use file; and collapsing or developing categories for continuous variables to retain information for analytic purposes while preserving confidentiality in public-use files. IES’s Disclosure Review Board (DRB) carefully reviews all datasets prior to release to ensure that disclosure risks have been properly addressed. The IELS data will be reviewed and approved by the DRB prior to any public release.</w:t>
      </w:r>
    </w:p>
    <w:p w14:paraId="5E0F873A" w14:textId="77777777" w:rsidR="005611C5" w:rsidRPr="003317EB" w:rsidRDefault="005611C5" w:rsidP="003317EB">
      <w:pPr>
        <w:spacing w:line="240" w:lineRule="auto"/>
        <w:jc w:val="left"/>
        <w:rPr>
          <w:rFonts w:ascii="Calibri" w:hAnsi="Calibri"/>
          <w:sz w:val="4"/>
          <w:szCs w:val="4"/>
        </w:rPr>
      </w:pPr>
    </w:p>
    <w:p w14:paraId="5E0F873B" w14:textId="1B46261E" w:rsidR="005611C5" w:rsidRDefault="002B3232" w:rsidP="005A2201">
      <w:pPr>
        <w:pStyle w:val="Heading1"/>
        <w:spacing w:before="120" w:after="0" w:line="240" w:lineRule="auto"/>
        <w:ind w:left="720" w:hanging="720"/>
      </w:pPr>
      <w:bookmarkStart w:id="17" w:name="_Toc488670098"/>
      <w:r>
        <w:t>A. 1</w:t>
      </w:r>
      <w:r w:rsidR="00DF0307">
        <w:t>1</w:t>
      </w:r>
      <w:r w:rsidR="005611C5">
        <w:tab/>
        <w:t>Sensitive Questions</w:t>
      </w:r>
      <w:bookmarkEnd w:id="17"/>
    </w:p>
    <w:p w14:paraId="5E0F873D" w14:textId="41E95ABE" w:rsidR="005611C5" w:rsidRPr="00791D7F" w:rsidRDefault="00282FC2" w:rsidP="00791D7F">
      <w:pPr>
        <w:pStyle w:val="BodyText1"/>
      </w:pPr>
      <w:r>
        <w:t xml:space="preserve">The </w:t>
      </w:r>
      <w:r w:rsidR="00296EAA">
        <w:t>IELS</w:t>
      </w:r>
      <w:r w:rsidR="005611C5">
        <w:t xml:space="preserve"> does not include questions usually considered to be of a sensitive nature, such as items concerning religion, substance abuse, or sexual activity.</w:t>
      </w:r>
      <w:r w:rsidR="007E0004">
        <w:t xml:space="preserve"> </w:t>
      </w:r>
      <w:r w:rsidR="005611C5">
        <w:t xml:space="preserve">Several items in the background questionnaires may be considered sensitive by some of the respondents, </w:t>
      </w:r>
      <w:r w:rsidR="00F75944">
        <w:t>such as</w:t>
      </w:r>
      <w:r w:rsidR="005611C5">
        <w:t xml:space="preserve"> p</w:t>
      </w:r>
      <w:r w:rsidR="00296EAA">
        <w:t>arents’ education and occupation and</w:t>
      </w:r>
      <w:r w:rsidR="005611C5">
        <w:t xml:space="preserve"> family possessions.</w:t>
      </w:r>
      <w:r w:rsidR="00FA3B61">
        <w:t xml:space="preserve"> </w:t>
      </w:r>
      <w:r w:rsidR="005611C5">
        <w:t xml:space="preserve">Research indicates that the constructs these items represent are strongly correlated to academic achievement, and they have been used in </w:t>
      </w:r>
      <w:r w:rsidR="007366B1">
        <w:t>number of national and international studies</w:t>
      </w:r>
      <w:r w:rsidR="007603AF">
        <w:t xml:space="preserve">, including ECLS, </w:t>
      </w:r>
      <w:r w:rsidR="00296EAA">
        <w:t>PISA</w:t>
      </w:r>
      <w:r w:rsidR="007603AF">
        <w:t xml:space="preserve">, and </w:t>
      </w:r>
      <w:r w:rsidR="00296EAA">
        <w:t>TIMSS</w:t>
      </w:r>
      <w:r w:rsidR="007366B1">
        <w:t xml:space="preserve">. These </w:t>
      </w:r>
      <w:r w:rsidR="005611C5">
        <w:t xml:space="preserve">items are </w:t>
      </w:r>
      <w:r w:rsidR="007366B1">
        <w:t xml:space="preserve">considered </w:t>
      </w:r>
      <w:r w:rsidR="005611C5">
        <w:t>essential for the anticipated analyses and to retain consistency in planned comparis</w:t>
      </w:r>
      <w:r w:rsidR="00AB7ACC">
        <w:t>ons with the international data</w:t>
      </w:r>
      <w:r w:rsidR="005A1F90">
        <w:t>.</w:t>
      </w:r>
    </w:p>
    <w:p w14:paraId="4FE5C604" w14:textId="0FF8C5BC" w:rsidR="004B57AD" w:rsidRDefault="002B3232" w:rsidP="005A2201">
      <w:pPr>
        <w:pStyle w:val="Heading1"/>
        <w:spacing w:before="120" w:after="0" w:line="240" w:lineRule="auto"/>
        <w:ind w:left="720" w:hanging="720"/>
      </w:pPr>
      <w:bookmarkStart w:id="18" w:name="_Toc488670099"/>
      <w:r>
        <w:t>A. 1</w:t>
      </w:r>
      <w:r w:rsidR="00DF0307">
        <w:t>2</w:t>
      </w:r>
      <w:r w:rsidR="005611C5">
        <w:tab/>
        <w:t>Estimates of Burden</w:t>
      </w:r>
      <w:bookmarkEnd w:id="18"/>
    </w:p>
    <w:p w14:paraId="3045F321" w14:textId="410B2616" w:rsidR="00E34D5F" w:rsidRDefault="00CF08A7" w:rsidP="00FF340A">
      <w:pPr>
        <w:pStyle w:val="BodyText1"/>
      </w:pPr>
      <w:bookmarkStart w:id="19" w:name="RANGE!H1:O36"/>
      <w:bookmarkEnd w:id="19"/>
      <w:r>
        <w:t>This request</w:t>
      </w:r>
      <w:r w:rsidR="007603AF">
        <w:t xml:space="preserve"> i</w:t>
      </w:r>
      <w:r>
        <w:t>s for</w:t>
      </w:r>
      <w:r w:rsidR="00F543D4">
        <w:t xml:space="preserve"> field test</w:t>
      </w:r>
      <w:r w:rsidR="00310C85">
        <w:t xml:space="preserve"> </w:t>
      </w:r>
      <w:r w:rsidR="004F452D">
        <w:t>data collection and main study recruitment</w:t>
      </w:r>
      <w:r w:rsidR="00F543D4">
        <w:t xml:space="preserve">. </w:t>
      </w:r>
      <w:r w:rsidR="00205447">
        <w:t xml:space="preserve">Due to time overlap in activities, the approved field test recruitment activities are being carried over. </w:t>
      </w:r>
      <w:r w:rsidR="00AB7ACC">
        <w:t xml:space="preserve">Burden estimates are shown in </w:t>
      </w:r>
      <w:r w:rsidR="008B4643">
        <w:t>t</w:t>
      </w:r>
      <w:r w:rsidR="00AB7ACC">
        <w:t xml:space="preserve">able </w:t>
      </w:r>
      <w:r w:rsidR="00664DA8">
        <w:t>1</w:t>
      </w:r>
      <w:r w:rsidR="00AB7ACC">
        <w:t>.</w:t>
      </w:r>
    </w:p>
    <w:p w14:paraId="17A223D8" w14:textId="77777777" w:rsidR="00050E91" w:rsidRDefault="002B673B" w:rsidP="00FF340A">
      <w:pPr>
        <w:pStyle w:val="BodyText1"/>
        <w:widowControl w:val="0"/>
      </w:pPr>
      <w:r>
        <w:t xml:space="preserve">Recruitment </w:t>
      </w:r>
      <w:r w:rsidR="00AB0D06">
        <w:t>activities include the time involved in a school deciding to participate</w:t>
      </w:r>
      <w:r w:rsidR="006F16FB">
        <w:t xml:space="preserve">, </w:t>
      </w:r>
      <w:r w:rsidR="004B49A5">
        <w:t xml:space="preserve">providing </w:t>
      </w:r>
      <w:r w:rsidR="006F16FB">
        <w:t xml:space="preserve">student listing forms, and </w:t>
      </w:r>
      <w:r w:rsidR="004B49A5">
        <w:t xml:space="preserve">arranging </w:t>
      </w:r>
      <w:r w:rsidR="006F16FB">
        <w:t>for assessment space</w:t>
      </w:r>
      <w:r w:rsidR="00AC2223">
        <w:t>.</w:t>
      </w:r>
      <w:r w:rsidR="00B94AAC">
        <w:t xml:space="preserve"> </w:t>
      </w:r>
      <w:r w:rsidR="00E34D5F" w:rsidRPr="00712A2B">
        <w:t>As shown in Part B, 30 schools will be recruited for the field test, and approximately 476 students from these 30 schools (</w:t>
      </w:r>
      <w:r w:rsidR="000C015A" w:rsidRPr="00712A2B">
        <w:t xml:space="preserve">about </w:t>
      </w:r>
      <w:r w:rsidR="00E34D5F" w:rsidRPr="00712A2B">
        <w:t>16 per school) will participate in the field test (19 per school will be sampled).</w:t>
      </w:r>
      <w:r w:rsidR="00E34D5F" w:rsidRPr="001D16D1">
        <w:t xml:space="preserve"> </w:t>
      </w:r>
      <w:r w:rsidR="00E34D5F" w:rsidRPr="008A0C80">
        <w:t>For</w:t>
      </w:r>
      <w:r w:rsidR="00E34D5F">
        <w:t xml:space="preserve"> </w:t>
      </w:r>
      <w:r w:rsidR="00E34D5F" w:rsidRPr="007A453E">
        <w:t xml:space="preserve">the main study, </w:t>
      </w:r>
      <w:r w:rsidR="004B44FF">
        <w:t>NCES</w:t>
      </w:r>
      <w:r w:rsidR="004B44FF" w:rsidRPr="007A453E">
        <w:t xml:space="preserve"> </w:t>
      </w:r>
      <w:r w:rsidR="00E34D5F" w:rsidRPr="007A453E">
        <w:t xml:space="preserve">will </w:t>
      </w:r>
      <w:r w:rsidR="000E7747">
        <w:t>assess</w:t>
      </w:r>
      <w:r w:rsidR="000E7747" w:rsidRPr="007A453E">
        <w:t xml:space="preserve"> </w:t>
      </w:r>
      <w:r w:rsidR="007A453E" w:rsidRPr="00D75D80">
        <w:t>3</w:t>
      </w:r>
      <w:r w:rsidR="000E7747">
        <w:t>,</w:t>
      </w:r>
      <w:r w:rsidR="007A453E" w:rsidRPr="00D75D80">
        <w:t>000</w:t>
      </w:r>
      <w:r w:rsidR="007A453E" w:rsidRPr="007A453E">
        <w:t xml:space="preserve"> </w:t>
      </w:r>
      <w:r w:rsidR="00E34D5F" w:rsidRPr="00D75D80">
        <w:t>students from</w:t>
      </w:r>
      <w:r w:rsidR="007A453E" w:rsidRPr="00D75D80">
        <w:t xml:space="preserve"> 200</w:t>
      </w:r>
      <w:r w:rsidR="00E34D5F" w:rsidRPr="007A453E">
        <w:t xml:space="preserve"> schools, with an expected 16 student</w:t>
      </w:r>
      <w:r w:rsidR="000E7747">
        <w:t>s</w:t>
      </w:r>
      <w:r w:rsidR="00E34D5F" w:rsidRPr="007A453E">
        <w:t xml:space="preserve"> per school (19 sampled per school</w:t>
      </w:r>
      <w:r w:rsidR="00E34D5F" w:rsidRPr="00D75D80">
        <w:t>).</w:t>
      </w:r>
    </w:p>
    <w:p w14:paraId="35B83CE9" w14:textId="53CFE738" w:rsidR="00175392" w:rsidRPr="00712A2B" w:rsidRDefault="00175392" w:rsidP="00FF340A">
      <w:pPr>
        <w:pStyle w:val="BodyText1"/>
      </w:pPr>
      <w:r w:rsidRPr="00712A2B">
        <w:t xml:space="preserve">Some districts are known as “special handling districts” which require completion of a research application before they will allow schools under their jurisdiction to participate in a study. Based on an initial assessment of previous data collections, we have estimated the number of special handling districts in the field test (shown in table 1). Contacting special handling districts begins with updating district information based on what can be gleaned from online sources. Calls are then placed to verify the information about where to send the completed required research application forms, and, if necessary, to collect contact information for this process. During the call, inquiry is also made about the amount of time the districts spend reviewing similar research applications. The estimated number of such districts represents those with particularly detailed application forms and lengthy processes for approval. </w:t>
      </w:r>
      <w:r w:rsidR="007E7734" w:rsidRPr="00712A2B">
        <w:t>For the field test, this</w:t>
      </w:r>
      <w:r w:rsidRPr="00712A2B">
        <w:t xml:space="preserve"> operation </w:t>
      </w:r>
      <w:r w:rsidR="0077620A" w:rsidRPr="00712A2B">
        <w:t xml:space="preserve">will </w:t>
      </w:r>
      <w:r w:rsidRPr="00712A2B">
        <w:t xml:space="preserve">begin in </w:t>
      </w:r>
      <w:r w:rsidR="00BE302B" w:rsidRPr="00712A2B">
        <w:t xml:space="preserve">fall </w:t>
      </w:r>
      <w:r w:rsidRPr="00712A2B">
        <w:t xml:space="preserve">2017 to allow sufficient time for special handling districts’ review processes. We will begin contacting these </w:t>
      </w:r>
      <w:r w:rsidRPr="00DF0307">
        <w:t xml:space="preserve">districts upon receiving OMB’s approval, and </w:t>
      </w:r>
      <w:r w:rsidR="002E595A" w:rsidRPr="00DF0307">
        <w:t xml:space="preserve">will </w:t>
      </w:r>
      <w:r w:rsidRPr="00DF0307">
        <w:t>continue to work with them until we receive a final response (approval or denial of request</w:t>
      </w:r>
      <w:r w:rsidR="007E7734" w:rsidRPr="00DF0307">
        <w:t xml:space="preserve">) from each school, up until October 31, 2017. For the </w:t>
      </w:r>
      <w:r w:rsidR="008A7768" w:rsidRPr="00DF0307">
        <w:t xml:space="preserve">main study, </w:t>
      </w:r>
      <w:r w:rsidR="007E7734" w:rsidRPr="00DF0307">
        <w:t xml:space="preserve">this process will </w:t>
      </w:r>
      <w:r w:rsidR="002B3232" w:rsidRPr="00DF0307">
        <w:t xml:space="preserve">also </w:t>
      </w:r>
      <w:r w:rsidR="007E7734" w:rsidRPr="00DF0307">
        <w:t xml:space="preserve">begin </w:t>
      </w:r>
      <w:r w:rsidR="007E7734" w:rsidRPr="00712A2B">
        <w:t xml:space="preserve">in fall 2017, upon approval </w:t>
      </w:r>
      <w:r w:rsidR="008A7768" w:rsidRPr="00712A2B">
        <w:t xml:space="preserve">of </w:t>
      </w:r>
      <w:r w:rsidR="007E7734" w:rsidRPr="00712A2B">
        <w:t>this clearance request.</w:t>
      </w:r>
    </w:p>
    <w:p w14:paraId="58708837" w14:textId="64CC0403" w:rsidR="00770D1D" w:rsidRPr="002E0DBB" w:rsidRDefault="00770D1D" w:rsidP="00770D1D">
      <w:pPr>
        <w:pStyle w:val="BodyText1"/>
      </w:pPr>
      <w:r w:rsidRPr="002E0DBB">
        <w:t xml:space="preserve">The total response burden for districts and schools in the </w:t>
      </w:r>
      <w:r w:rsidR="007E7734">
        <w:t xml:space="preserve">field test and </w:t>
      </w:r>
      <w:r w:rsidR="005B0D3A">
        <w:t xml:space="preserve">main study </w:t>
      </w:r>
      <w:r w:rsidR="005B0D3A" w:rsidRPr="00FF340A">
        <w:t>recruitment</w:t>
      </w:r>
      <w:r w:rsidR="005B0D3A">
        <w:t xml:space="preserve"> </w:t>
      </w:r>
      <w:r w:rsidRPr="002E0DBB">
        <w:t>is based on the following:</w:t>
      </w:r>
    </w:p>
    <w:p w14:paraId="359F0B27" w14:textId="01C2D876" w:rsidR="00124802" w:rsidRDefault="0006109A" w:rsidP="00DF0307">
      <w:pPr>
        <w:pStyle w:val="ListParagraph"/>
        <w:widowControl w:val="0"/>
        <w:numPr>
          <w:ilvl w:val="0"/>
          <w:numId w:val="12"/>
        </w:numPr>
        <w:spacing w:line="240" w:lineRule="auto"/>
        <w:ind w:left="548" w:hanging="274"/>
        <w:jc w:val="left"/>
        <w:rPr>
          <w:rFonts w:ascii="Garamond" w:hAnsi="Garamond"/>
          <w:sz w:val="24"/>
          <w:szCs w:val="24"/>
        </w:rPr>
      </w:pPr>
      <w:r w:rsidRPr="002E0DBB">
        <w:rPr>
          <w:rFonts w:ascii="Garamond" w:hAnsi="Garamond"/>
          <w:sz w:val="24"/>
          <w:szCs w:val="24"/>
        </w:rPr>
        <w:t>We estimate that there may be</w:t>
      </w:r>
      <w:r w:rsidR="007E7734" w:rsidRPr="002E0DBB">
        <w:rPr>
          <w:rFonts w:ascii="Garamond" w:hAnsi="Garamond"/>
          <w:sz w:val="24"/>
          <w:szCs w:val="24"/>
        </w:rPr>
        <w:t xml:space="preserve"> </w:t>
      </w:r>
      <w:r w:rsidR="007E7734" w:rsidRPr="007E7734">
        <w:rPr>
          <w:rFonts w:ascii="Garamond" w:hAnsi="Garamond"/>
          <w:sz w:val="24"/>
          <w:szCs w:val="24"/>
        </w:rPr>
        <w:t xml:space="preserve">4 special handling districts in the field test </w:t>
      </w:r>
      <w:r w:rsidR="007E7734">
        <w:rPr>
          <w:rFonts w:ascii="Garamond" w:hAnsi="Garamond"/>
          <w:sz w:val="24"/>
          <w:szCs w:val="24"/>
        </w:rPr>
        <w:t>sample and</w:t>
      </w:r>
      <w:r w:rsidRPr="002E0DBB">
        <w:rPr>
          <w:rFonts w:ascii="Garamond" w:hAnsi="Garamond"/>
          <w:sz w:val="24"/>
          <w:szCs w:val="24"/>
        </w:rPr>
        <w:t xml:space="preserve"> </w:t>
      </w:r>
      <w:r w:rsidR="005B0D3A">
        <w:rPr>
          <w:rFonts w:ascii="Garamond" w:hAnsi="Garamond"/>
          <w:sz w:val="24"/>
          <w:szCs w:val="24"/>
        </w:rPr>
        <w:t>50</w:t>
      </w:r>
      <w:r w:rsidRPr="002E0DBB">
        <w:rPr>
          <w:rFonts w:ascii="Garamond" w:hAnsi="Garamond"/>
          <w:sz w:val="24"/>
          <w:szCs w:val="24"/>
        </w:rPr>
        <w:t xml:space="preserve"> special handling districts in the </w:t>
      </w:r>
      <w:r w:rsidR="005B0D3A">
        <w:rPr>
          <w:rFonts w:ascii="Garamond" w:hAnsi="Garamond"/>
          <w:sz w:val="24"/>
          <w:szCs w:val="24"/>
        </w:rPr>
        <w:t>main study</w:t>
      </w:r>
      <w:r w:rsidRPr="002E0DBB">
        <w:rPr>
          <w:rFonts w:ascii="Garamond" w:hAnsi="Garamond"/>
          <w:sz w:val="24"/>
          <w:szCs w:val="24"/>
        </w:rPr>
        <w:t xml:space="preserve"> sample – those known to require completion of a research application before they will allow schools under their jurisdiction to participate in a study. Estimated burden hours for special handling districts are included in table 1</w:t>
      </w:r>
      <w:r>
        <w:rPr>
          <w:rFonts w:ascii="Garamond" w:hAnsi="Garamond"/>
          <w:sz w:val="24"/>
          <w:szCs w:val="24"/>
        </w:rPr>
        <w:t xml:space="preserve"> with the provision of time for district application review. We estimate 1 hour for </w:t>
      </w:r>
      <w:r w:rsidR="007B7760">
        <w:rPr>
          <w:rFonts w:ascii="Garamond" w:hAnsi="Garamond"/>
          <w:sz w:val="24"/>
          <w:szCs w:val="24"/>
        </w:rPr>
        <w:t xml:space="preserve">IRB staff of </w:t>
      </w:r>
      <w:r>
        <w:rPr>
          <w:rFonts w:ascii="Garamond" w:hAnsi="Garamond"/>
          <w:sz w:val="24"/>
          <w:szCs w:val="24"/>
        </w:rPr>
        <w:t>special districts to review materials</w:t>
      </w:r>
      <w:r w:rsidR="007B7760">
        <w:rPr>
          <w:rFonts w:ascii="Garamond" w:hAnsi="Garamond"/>
          <w:sz w:val="24"/>
          <w:szCs w:val="24"/>
        </w:rPr>
        <w:t xml:space="preserve"> and 30 minutes for IRB panels </w:t>
      </w:r>
      <w:r w:rsidR="00AC2223">
        <w:rPr>
          <w:rFonts w:ascii="Garamond" w:hAnsi="Garamond"/>
          <w:sz w:val="24"/>
          <w:szCs w:val="24"/>
        </w:rPr>
        <w:t xml:space="preserve">(on average made up of 6 people) </w:t>
      </w:r>
      <w:r w:rsidR="007B7760">
        <w:rPr>
          <w:rFonts w:ascii="Garamond" w:hAnsi="Garamond"/>
          <w:sz w:val="24"/>
          <w:szCs w:val="24"/>
        </w:rPr>
        <w:t>to review materials</w:t>
      </w:r>
      <w:r>
        <w:rPr>
          <w:rFonts w:ascii="Garamond" w:hAnsi="Garamond"/>
          <w:sz w:val="24"/>
          <w:szCs w:val="24"/>
        </w:rPr>
        <w:t>.</w:t>
      </w:r>
    </w:p>
    <w:p w14:paraId="7225812E" w14:textId="118F6C86" w:rsidR="00124802" w:rsidRDefault="00350F35" w:rsidP="00DF0307">
      <w:pPr>
        <w:pStyle w:val="ListParagraph"/>
        <w:numPr>
          <w:ilvl w:val="0"/>
          <w:numId w:val="12"/>
        </w:numPr>
        <w:spacing w:line="240" w:lineRule="auto"/>
        <w:ind w:left="548" w:hanging="274"/>
        <w:jc w:val="left"/>
        <w:rPr>
          <w:rFonts w:ascii="Garamond" w:hAnsi="Garamond"/>
          <w:sz w:val="24"/>
          <w:szCs w:val="24"/>
        </w:rPr>
      </w:pPr>
      <w:r w:rsidRPr="00350F35">
        <w:rPr>
          <w:rFonts w:ascii="Garamond" w:hAnsi="Garamond"/>
          <w:sz w:val="24"/>
          <w:szCs w:val="24"/>
        </w:rPr>
        <w:t xml:space="preserve">It is estimated that it will take 10 minutes on average for school administrators to review the materials and either agree or decline to participate. </w:t>
      </w:r>
      <w:r w:rsidR="008154BD" w:rsidRPr="005F1502">
        <w:rPr>
          <w:rFonts w:ascii="Garamond" w:hAnsi="Garamond"/>
          <w:sz w:val="24"/>
          <w:szCs w:val="24"/>
        </w:rPr>
        <w:t>It</w:t>
      </w:r>
      <w:r w:rsidRPr="005F1502">
        <w:rPr>
          <w:rFonts w:ascii="Garamond" w:hAnsi="Garamond"/>
          <w:sz w:val="24"/>
          <w:szCs w:val="24"/>
        </w:rPr>
        <w:t xml:space="preserve"> is estimated </w:t>
      </w:r>
      <w:r w:rsidR="007603AF">
        <w:rPr>
          <w:rFonts w:ascii="Garamond" w:hAnsi="Garamond"/>
          <w:sz w:val="24"/>
          <w:szCs w:val="24"/>
        </w:rPr>
        <w:t xml:space="preserve">that </w:t>
      </w:r>
      <w:r w:rsidRPr="005F1502">
        <w:rPr>
          <w:rFonts w:ascii="Garamond" w:hAnsi="Garamond"/>
          <w:sz w:val="24"/>
          <w:szCs w:val="24"/>
        </w:rPr>
        <w:t>an additional 4 hours will be needed for the provision of student rosters (including information about students for sampling, contact information for the sample students’ parents, and sample students' teachers; see Appendix B).</w:t>
      </w:r>
      <w:r w:rsidR="005A26BB" w:rsidRPr="005F1502">
        <w:rPr>
          <w:rFonts w:ascii="Garamond" w:hAnsi="Garamond"/>
          <w:sz w:val="24"/>
          <w:szCs w:val="24"/>
        </w:rPr>
        <w:t xml:space="preserve"> That is, we estimate approximately 250 minutes</w:t>
      </w:r>
      <w:r w:rsidR="008E40FC" w:rsidRPr="005F1502">
        <w:rPr>
          <w:rFonts w:ascii="Garamond" w:hAnsi="Garamond"/>
          <w:sz w:val="24"/>
          <w:szCs w:val="24"/>
        </w:rPr>
        <w:t xml:space="preserve"> total</w:t>
      </w:r>
      <w:r w:rsidR="005A26BB" w:rsidRPr="005F1502">
        <w:rPr>
          <w:rFonts w:ascii="Garamond" w:hAnsi="Garamond"/>
          <w:sz w:val="24"/>
          <w:szCs w:val="24"/>
        </w:rPr>
        <w:t xml:space="preserve"> for </w:t>
      </w:r>
      <w:r w:rsidR="008154BD" w:rsidRPr="005F1502">
        <w:rPr>
          <w:rFonts w:ascii="Garamond" w:hAnsi="Garamond"/>
          <w:sz w:val="24"/>
          <w:szCs w:val="24"/>
        </w:rPr>
        <w:t xml:space="preserve">each </w:t>
      </w:r>
      <w:r w:rsidR="005A26BB" w:rsidRPr="005F1502">
        <w:rPr>
          <w:rFonts w:ascii="Garamond" w:hAnsi="Garamond"/>
          <w:sz w:val="24"/>
          <w:szCs w:val="24"/>
        </w:rPr>
        <w:t>school.</w:t>
      </w:r>
    </w:p>
    <w:p w14:paraId="711400A8" w14:textId="07239776" w:rsidR="00124802" w:rsidRDefault="00350F35" w:rsidP="00DF0307">
      <w:pPr>
        <w:pStyle w:val="ListParagraph"/>
        <w:numPr>
          <w:ilvl w:val="0"/>
          <w:numId w:val="12"/>
        </w:numPr>
        <w:spacing w:after="120" w:line="240" w:lineRule="auto"/>
        <w:ind w:left="548" w:hanging="274"/>
        <w:contextualSpacing w:val="0"/>
        <w:jc w:val="left"/>
        <w:rPr>
          <w:rFonts w:ascii="Garamond" w:hAnsi="Garamond"/>
          <w:sz w:val="24"/>
          <w:szCs w:val="24"/>
        </w:rPr>
      </w:pPr>
      <w:r w:rsidRPr="00350F35">
        <w:rPr>
          <w:rFonts w:ascii="Garamond" w:hAnsi="Garamond"/>
          <w:sz w:val="24"/>
          <w:szCs w:val="24"/>
        </w:rPr>
        <w:t>For students</w:t>
      </w:r>
      <w:r w:rsidR="00175392">
        <w:rPr>
          <w:rFonts w:ascii="Garamond" w:hAnsi="Garamond"/>
          <w:sz w:val="24"/>
          <w:szCs w:val="24"/>
        </w:rPr>
        <w:t>’</w:t>
      </w:r>
      <w:r w:rsidRPr="00350F35">
        <w:rPr>
          <w:rFonts w:ascii="Garamond" w:hAnsi="Garamond"/>
          <w:sz w:val="24"/>
          <w:szCs w:val="24"/>
        </w:rPr>
        <w:t xml:space="preserve"> parents, we estimate that it will take up to 10 minutes to review the recruitment materials and either consent or refuse to participate (on behalf of their student and themselves). The provision of student rosters and the parents’ consent forms will serve as sources for parents</w:t>
      </w:r>
      <w:r w:rsidR="007603AF">
        <w:rPr>
          <w:rFonts w:ascii="Garamond" w:hAnsi="Garamond"/>
          <w:sz w:val="24"/>
          <w:szCs w:val="24"/>
        </w:rPr>
        <w:t>’</w:t>
      </w:r>
      <w:r w:rsidRPr="00350F35">
        <w:rPr>
          <w:rFonts w:ascii="Garamond" w:hAnsi="Garamond"/>
          <w:sz w:val="24"/>
          <w:szCs w:val="24"/>
        </w:rPr>
        <w:t xml:space="preserve"> contact information, which during the data collection period can be used for nonresponse follow-up.</w:t>
      </w:r>
    </w:p>
    <w:p w14:paraId="5A1D9F69" w14:textId="77777777" w:rsidR="001D16D1" w:rsidRPr="002E595A" w:rsidRDefault="00E34D5F" w:rsidP="002E595A">
      <w:pPr>
        <w:spacing w:after="120"/>
        <w:jc w:val="left"/>
        <w:rPr>
          <w:sz w:val="24"/>
        </w:rPr>
      </w:pPr>
      <w:r w:rsidRPr="001D16D1">
        <w:rPr>
          <w:rFonts w:ascii="Garamond" w:hAnsi="Garamond"/>
          <w:sz w:val="24"/>
        </w:rPr>
        <w:t xml:space="preserve">The total response burden for the </w:t>
      </w:r>
      <w:r w:rsidRPr="002E595A">
        <w:rPr>
          <w:rFonts w:ascii="Garamond" w:hAnsi="Garamond"/>
          <w:b/>
          <w:sz w:val="24"/>
          <w:u w:val="single"/>
        </w:rPr>
        <w:t>field test data collection</w:t>
      </w:r>
      <w:r w:rsidRPr="001D16D1">
        <w:rPr>
          <w:rFonts w:ascii="Garamond" w:hAnsi="Garamond"/>
          <w:sz w:val="24"/>
        </w:rPr>
        <w:t>, including pre-assessment activities, is based on the following:</w:t>
      </w:r>
    </w:p>
    <w:p w14:paraId="756E3529" w14:textId="77777777" w:rsidR="003D3521" w:rsidRDefault="008A0C80" w:rsidP="00DF0307">
      <w:pPr>
        <w:pStyle w:val="ListParagraph"/>
        <w:widowControl w:val="0"/>
        <w:numPr>
          <w:ilvl w:val="0"/>
          <w:numId w:val="12"/>
        </w:numPr>
        <w:spacing w:line="240" w:lineRule="auto"/>
        <w:ind w:left="548" w:hanging="274"/>
        <w:jc w:val="left"/>
        <w:rPr>
          <w:rFonts w:ascii="Garamond" w:hAnsi="Garamond"/>
          <w:sz w:val="24"/>
          <w:szCs w:val="24"/>
        </w:rPr>
      </w:pPr>
      <w:r>
        <w:rPr>
          <w:rFonts w:ascii="Garamond" w:hAnsi="Garamond"/>
          <w:sz w:val="24"/>
          <w:szCs w:val="24"/>
        </w:rPr>
        <w:t xml:space="preserve">We estimate that </w:t>
      </w:r>
      <w:r w:rsidR="007E7734">
        <w:rPr>
          <w:rFonts w:ascii="Garamond" w:hAnsi="Garamond"/>
          <w:sz w:val="24"/>
          <w:szCs w:val="24"/>
        </w:rPr>
        <w:t xml:space="preserve">approximately </w:t>
      </w:r>
      <w:r>
        <w:rPr>
          <w:rFonts w:ascii="Garamond" w:hAnsi="Garamond"/>
          <w:sz w:val="24"/>
          <w:szCs w:val="24"/>
        </w:rPr>
        <w:t>8</w:t>
      </w:r>
      <w:r w:rsidRPr="005F1502">
        <w:rPr>
          <w:rFonts w:ascii="Garamond" w:hAnsi="Garamond"/>
          <w:sz w:val="24"/>
          <w:szCs w:val="24"/>
        </w:rPr>
        <w:t xml:space="preserve"> hours will be needed</w:t>
      </w:r>
      <w:r>
        <w:rPr>
          <w:rFonts w:ascii="Garamond" w:hAnsi="Garamond"/>
          <w:sz w:val="24"/>
          <w:szCs w:val="24"/>
        </w:rPr>
        <w:t xml:space="preserve"> by school coordinators</w:t>
      </w:r>
      <w:r w:rsidRPr="005F1502">
        <w:rPr>
          <w:rFonts w:ascii="Garamond" w:hAnsi="Garamond"/>
          <w:sz w:val="24"/>
          <w:szCs w:val="24"/>
        </w:rPr>
        <w:t xml:space="preserve"> for the </w:t>
      </w:r>
      <w:r>
        <w:rPr>
          <w:rFonts w:ascii="Garamond" w:hAnsi="Garamond"/>
          <w:sz w:val="24"/>
          <w:szCs w:val="24"/>
        </w:rPr>
        <w:t>oversight</w:t>
      </w:r>
      <w:r w:rsidRPr="005F1502">
        <w:rPr>
          <w:rFonts w:ascii="Garamond" w:hAnsi="Garamond"/>
          <w:sz w:val="24"/>
          <w:szCs w:val="24"/>
        </w:rPr>
        <w:t xml:space="preserve"> of student rosters (</w:t>
      </w:r>
      <w:r>
        <w:rPr>
          <w:rFonts w:ascii="Garamond" w:hAnsi="Garamond"/>
          <w:sz w:val="24"/>
          <w:szCs w:val="24"/>
        </w:rPr>
        <w:t>including</w:t>
      </w:r>
      <w:r w:rsidRPr="005F1502">
        <w:rPr>
          <w:rFonts w:ascii="Garamond" w:hAnsi="Garamond"/>
          <w:sz w:val="24"/>
          <w:szCs w:val="24"/>
        </w:rPr>
        <w:t xml:space="preserve"> contact information for the sample students’ parents and </w:t>
      </w:r>
      <w:r>
        <w:rPr>
          <w:rFonts w:ascii="Garamond" w:hAnsi="Garamond"/>
          <w:sz w:val="24"/>
          <w:szCs w:val="24"/>
        </w:rPr>
        <w:t>teachers; see Appendix B)</w:t>
      </w:r>
      <w:r w:rsidR="007E7734">
        <w:rPr>
          <w:rFonts w:ascii="Garamond" w:hAnsi="Garamond"/>
          <w:sz w:val="24"/>
          <w:szCs w:val="24"/>
        </w:rPr>
        <w:t>;</w:t>
      </w:r>
      <w:r>
        <w:rPr>
          <w:rFonts w:ascii="Garamond" w:hAnsi="Garamond"/>
          <w:sz w:val="24"/>
          <w:szCs w:val="24"/>
        </w:rPr>
        <w:t xml:space="preserve"> the collection and delivery of teacher and parent data</w:t>
      </w:r>
      <w:r w:rsidR="007E7734">
        <w:rPr>
          <w:rFonts w:ascii="Garamond" w:hAnsi="Garamond"/>
          <w:sz w:val="24"/>
          <w:szCs w:val="24"/>
        </w:rPr>
        <w:t>;</w:t>
      </w:r>
      <w:r>
        <w:rPr>
          <w:rFonts w:ascii="Garamond" w:hAnsi="Garamond"/>
          <w:sz w:val="24"/>
          <w:szCs w:val="24"/>
        </w:rPr>
        <w:t xml:space="preserve"> and the coordination of </w:t>
      </w:r>
      <w:r w:rsidR="00DA0161">
        <w:rPr>
          <w:rFonts w:ascii="Garamond" w:hAnsi="Garamond"/>
          <w:sz w:val="24"/>
          <w:szCs w:val="24"/>
        </w:rPr>
        <w:t xml:space="preserve">the </w:t>
      </w:r>
      <w:r>
        <w:rPr>
          <w:rFonts w:ascii="Garamond" w:hAnsi="Garamond"/>
          <w:sz w:val="24"/>
          <w:szCs w:val="24"/>
        </w:rPr>
        <w:t>student assessment.</w:t>
      </w:r>
    </w:p>
    <w:p w14:paraId="64371E4F" w14:textId="77777777" w:rsidR="003D3521" w:rsidRDefault="008A0C80" w:rsidP="00DF0307">
      <w:pPr>
        <w:pStyle w:val="ListParagraph"/>
        <w:numPr>
          <w:ilvl w:val="0"/>
          <w:numId w:val="12"/>
        </w:numPr>
        <w:spacing w:line="240" w:lineRule="auto"/>
        <w:ind w:left="548" w:hanging="274"/>
        <w:jc w:val="left"/>
        <w:rPr>
          <w:rFonts w:ascii="Garamond" w:hAnsi="Garamond"/>
          <w:sz w:val="24"/>
          <w:szCs w:val="24"/>
        </w:rPr>
      </w:pPr>
      <w:r w:rsidRPr="00350F35">
        <w:rPr>
          <w:rFonts w:ascii="Garamond" w:hAnsi="Garamond"/>
          <w:sz w:val="24"/>
          <w:szCs w:val="24"/>
        </w:rPr>
        <w:t>It i</w:t>
      </w:r>
      <w:r>
        <w:rPr>
          <w:rFonts w:ascii="Garamond" w:hAnsi="Garamond"/>
          <w:sz w:val="24"/>
          <w:szCs w:val="24"/>
        </w:rPr>
        <w:t>s estimated that it will take 30</w:t>
      </w:r>
      <w:r w:rsidRPr="00350F35">
        <w:rPr>
          <w:rFonts w:ascii="Garamond" w:hAnsi="Garamond"/>
          <w:sz w:val="24"/>
          <w:szCs w:val="24"/>
        </w:rPr>
        <w:t xml:space="preserve"> minutes on average for </w:t>
      </w:r>
      <w:r>
        <w:rPr>
          <w:rFonts w:ascii="Garamond" w:hAnsi="Garamond"/>
          <w:sz w:val="24"/>
          <w:szCs w:val="24"/>
        </w:rPr>
        <w:t>parents to respond to the parent/guardian survey</w:t>
      </w:r>
      <w:r w:rsidR="007C01AB">
        <w:rPr>
          <w:rFonts w:ascii="Garamond" w:hAnsi="Garamond"/>
          <w:sz w:val="24"/>
          <w:szCs w:val="24"/>
        </w:rPr>
        <w:t>, including instructions</w:t>
      </w:r>
      <w:r>
        <w:rPr>
          <w:rFonts w:ascii="Garamond" w:hAnsi="Garamond"/>
          <w:sz w:val="24"/>
          <w:szCs w:val="24"/>
        </w:rPr>
        <w:t>.</w:t>
      </w:r>
    </w:p>
    <w:p w14:paraId="0AF5952F" w14:textId="3E7C10B2" w:rsidR="00050E91" w:rsidRDefault="008A0C80" w:rsidP="00DF0307">
      <w:pPr>
        <w:pStyle w:val="ListParagraph"/>
        <w:numPr>
          <w:ilvl w:val="0"/>
          <w:numId w:val="12"/>
        </w:numPr>
        <w:spacing w:line="240" w:lineRule="auto"/>
        <w:ind w:left="540" w:hanging="274"/>
        <w:jc w:val="left"/>
        <w:rPr>
          <w:rFonts w:ascii="Garamond" w:hAnsi="Garamond"/>
          <w:sz w:val="24"/>
          <w:szCs w:val="24"/>
        </w:rPr>
      </w:pPr>
      <w:r w:rsidRPr="00350F35">
        <w:rPr>
          <w:rFonts w:ascii="Garamond" w:hAnsi="Garamond"/>
          <w:sz w:val="24"/>
          <w:szCs w:val="24"/>
        </w:rPr>
        <w:t xml:space="preserve">For </w:t>
      </w:r>
      <w:r>
        <w:rPr>
          <w:rFonts w:ascii="Garamond" w:hAnsi="Garamond"/>
          <w:sz w:val="24"/>
          <w:szCs w:val="24"/>
        </w:rPr>
        <w:t>teachers</w:t>
      </w:r>
      <w:r w:rsidRPr="00350F35">
        <w:rPr>
          <w:rFonts w:ascii="Garamond" w:hAnsi="Garamond"/>
          <w:sz w:val="24"/>
          <w:szCs w:val="24"/>
        </w:rPr>
        <w:t>, we est</w:t>
      </w:r>
      <w:r>
        <w:rPr>
          <w:rFonts w:ascii="Garamond" w:hAnsi="Garamond"/>
          <w:sz w:val="24"/>
          <w:szCs w:val="24"/>
        </w:rPr>
        <w:t xml:space="preserve">imate that it will take </w:t>
      </w:r>
      <w:r w:rsidR="00310C85">
        <w:rPr>
          <w:rFonts w:ascii="Garamond" w:hAnsi="Garamond"/>
          <w:sz w:val="24"/>
          <w:szCs w:val="24"/>
        </w:rPr>
        <w:t xml:space="preserve">on average </w:t>
      </w:r>
      <w:r w:rsidR="00BC36EC">
        <w:rPr>
          <w:rFonts w:ascii="Garamond" w:hAnsi="Garamond"/>
          <w:sz w:val="24"/>
          <w:szCs w:val="24"/>
        </w:rPr>
        <w:t>23</w:t>
      </w:r>
      <w:r w:rsidRPr="00350F35">
        <w:rPr>
          <w:rFonts w:ascii="Garamond" w:hAnsi="Garamond"/>
          <w:sz w:val="24"/>
          <w:szCs w:val="24"/>
        </w:rPr>
        <w:t xml:space="preserve"> minutes </w:t>
      </w:r>
      <w:r>
        <w:rPr>
          <w:rFonts w:ascii="Garamond" w:hAnsi="Garamond"/>
          <w:sz w:val="24"/>
          <w:szCs w:val="24"/>
        </w:rPr>
        <w:t xml:space="preserve">to complete </w:t>
      </w:r>
      <w:r w:rsidR="00DA492C">
        <w:rPr>
          <w:rFonts w:ascii="Garamond" w:hAnsi="Garamond"/>
          <w:sz w:val="24"/>
          <w:szCs w:val="24"/>
        </w:rPr>
        <w:t xml:space="preserve">all aspects of </w:t>
      </w:r>
      <w:r>
        <w:rPr>
          <w:rFonts w:ascii="Garamond" w:hAnsi="Garamond"/>
          <w:sz w:val="24"/>
          <w:szCs w:val="24"/>
        </w:rPr>
        <w:t>the teacher survey</w:t>
      </w:r>
      <w:r w:rsidR="00BC36EC">
        <w:rPr>
          <w:rFonts w:ascii="Garamond" w:hAnsi="Garamond"/>
          <w:sz w:val="24"/>
          <w:szCs w:val="24"/>
        </w:rPr>
        <w:t xml:space="preserve"> (</w:t>
      </w:r>
      <w:r w:rsidR="00BC36EC" w:rsidRPr="00BC36EC">
        <w:rPr>
          <w:rFonts w:ascii="Garamond" w:hAnsi="Garamond"/>
          <w:sz w:val="24"/>
          <w:szCs w:val="24"/>
        </w:rPr>
        <w:t xml:space="preserve">on average 23 minutes total per teacher: approximately 3 minutes for the core portion and 5 minutes per </w:t>
      </w:r>
      <w:r w:rsidR="00957CB1" w:rsidRPr="00957CB1">
        <w:rPr>
          <w:rFonts w:ascii="Garamond" w:hAnsi="Garamond"/>
          <w:sz w:val="24"/>
          <w:szCs w:val="24"/>
        </w:rPr>
        <w:t xml:space="preserve">sampled </w:t>
      </w:r>
      <w:r w:rsidR="00BC36EC" w:rsidRPr="00BC36EC">
        <w:rPr>
          <w:rFonts w:ascii="Garamond" w:hAnsi="Garamond"/>
          <w:sz w:val="24"/>
          <w:szCs w:val="24"/>
        </w:rPr>
        <w:t xml:space="preserve">child, with an average of 4 </w:t>
      </w:r>
      <w:r w:rsidR="00957CB1" w:rsidRPr="00957CB1">
        <w:rPr>
          <w:rFonts w:ascii="Garamond" w:hAnsi="Garamond"/>
          <w:sz w:val="24"/>
          <w:szCs w:val="24"/>
        </w:rPr>
        <w:t xml:space="preserve">sampled </w:t>
      </w:r>
      <w:r w:rsidR="00BC36EC" w:rsidRPr="00BC36EC">
        <w:rPr>
          <w:rFonts w:ascii="Garamond" w:hAnsi="Garamond"/>
          <w:sz w:val="24"/>
          <w:szCs w:val="24"/>
        </w:rPr>
        <w:t>children per teacher</w:t>
      </w:r>
      <w:r w:rsidR="00BC36EC">
        <w:rPr>
          <w:rFonts w:ascii="Garamond" w:hAnsi="Garamond"/>
          <w:sz w:val="24"/>
          <w:szCs w:val="24"/>
        </w:rPr>
        <w:t>)</w:t>
      </w:r>
      <w:r>
        <w:rPr>
          <w:rFonts w:ascii="Garamond" w:hAnsi="Garamond"/>
          <w:sz w:val="24"/>
          <w:szCs w:val="24"/>
        </w:rPr>
        <w:t>.</w:t>
      </w:r>
    </w:p>
    <w:p w14:paraId="404565C9" w14:textId="4245CDD1" w:rsidR="003D3521" w:rsidRDefault="00D75D80" w:rsidP="00DF0307">
      <w:pPr>
        <w:pStyle w:val="ListParagraph"/>
        <w:numPr>
          <w:ilvl w:val="0"/>
          <w:numId w:val="12"/>
        </w:numPr>
        <w:spacing w:after="120" w:line="240" w:lineRule="auto"/>
        <w:ind w:left="548" w:hanging="274"/>
        <w:contextualSpacing w:val="0"/>
        <w:jc w:val="left"/>
        <w:rPr>
          <w:rFonts w:ascii="Garamond" w:hAnsi="Garamond"/>
          <w:sz w:val="24"/>
          <w:szCs w:val="24"/>
        </w:rPr>
      </w:pPr>
      <w:r>
        <w:rPr>
          <w:rFonts w:ascii="Garamond" w:hAnsi="Garamond"/>
          <w:sz w:val="24"/>
          <w:szCs w:val="24"/>
        </w:rPr>
        <w:t>For studen</w:t>
      </w:r>
      <w:r w:rsidR="007C01AB">
        <w:rPr>
          <w:rFonts w:ascii="Garamond" w:hAnsi="Garamond"/>
          <w:sz w:val="24"/>
          <w:szCs w:val="24"/>
        </w:rPr>
        <w:t>ts, we expect it will take 60 minutes, including instructions, to complete all sections of a tablet-based assessment.</w:t>
      </w:r>
    </w:p>
    <w:p w14:paraId="46F852EE" w14:textId="2D8AAC0B" w:rsidR="00B9233D" w:rsidRPr="002E595A" w:rsidRDefault="00E31EBD" w:rsidP="001B57A5">
      <w:pPr>
        <w:widowControl w:val="0"/>
        <w:spacing w:line="240" w:lineRule="auto"/>
        <w:jc w:val="left"/>
        <w:rPr>
          <w:rFonts w:ascii="Garamond" w:hAnsi="Garamond"/>
          <w:sz w:val="24"/>
        </w:rPr>
      </w:pPr>
      <w:r w:rsidRPr="000B7F15">
        <w:rPr>
          <w:rFonts w:ascii="Garamond" w:hAnsi="Garamond"/>
          <w:sz w:val="24"/>
        </w:rPr>
        <w:t>Based on the estimated hourly rates for principals/administrators of $44.68</w:t>
      </w:r>
      <w:r w:rsidR="007A453E">
        <w:rPr>
          <w:rFonts w:ascii="Garamond" w:hAnsi="Garamond"/>
          <w:sz w:val="24"/>
        </w:rPr>
        <w:t>,</w:t>
      </w:r>
      <w:r w:rsidR="007A453E" w:rsidRPr="007A453E">
        <w:rPr>
          <w:rFonts w:ascii="Garamond" w:hAnsi="Garamond"/>
          <w:sz w:val="24"/>
        </w:rPr>
        <w:t xml:space="preserve"> </w:t>
      </w:r>
      <w:r w:rsidR="007A453E">
        <w:rPr>
          <w:rFonts w:ascii="Garamond" w:hAnsi="Garamond"/>
          <w:sz w:val="24"/>
        </w:rPr>
        <w:t>preschool and kindergarten teachers of $23.44,</w:t>
      </w:r>
      <w:r w:rsidR="007A453E" w:rsidRPr="008A0C80">
        <w:rPr>
          <w:rFonts w:ascii="Garamond" w:hAnsi="Garamond"/>
          <w:sz w:val="24"/>
        </w:rPr>
        <w:t xml:space="preserve"> </w:t>
      </w:r>
      <w:r w:rsidR="00E34D5F" w:rsidRPr="008A0C80">
        <w:rPr>
          <w:rFonts w:ascii="Garamond" w:hAnsi="Garamond"/>
          <w:sz w:val="24"/>
        </w:rPr>
        <w:t>and parents</w:t>
      </w:r>
      <w:r w:rsidR="007A453E">
        <w:rPr>
          <w:rFonts w:ascii="Garamond" w:hAnsi="Garamond"/>
          <w:sz w:val="24"/>
        </w:rPr>
        <w:t xml:space="preserve"> of</w:t>
      </w:r>
      <w:r w:rsidR="00E34D5F" w:rsidRPr="008A0C80">
        <w:rPr>
          <w:rFonts w:ascii="Garamond" w:hAnsi="Garamond"/>
          <w:sz w:val="24"/>
        </w:rPr>
        <w:t xml:space="preserve"> </w:t>
      </w:r>
      <w:r w:rsidRPr="000B7F15">
        <w:rPr>
          <w:rFonts w:ascii="Garamond" w:hAnsi="Garamond"/>
          <w:sz w:val="24"/>
        </w:rPr>
        <w:t>$22.71</w:t>
      </w:r>
      <w:r w:rsidRPr="000B7F15">
        <w:rPr>
          <w:rStyle w:val="FootnoteReference"/>
          <w:rFonts w:ascii="Garamond" w:hAnsi="Garamond"/>
          <w:sz w:val="24"/>
        </w:rPr>
        <w:footnoteReference w:id="5"/>
      </w:r>
      <w:r w:rsidRPr="000B7F15">
        <w:rPr>
          <w:rFonts w:ascii="Garamond" w:hAnsi="Garamond"/>
          <w:sz w:val="24"/>
        </w:rPr>
        <w:t xml:space="preserve">, and based </w:t>
      </w:r>
      <w:r w:rsidRPr="001D16D1">
        <w:rPr>
          <w:rFonts w:ascii="Garamond" w:hAnsi="Garamond"/>
          <w:sz w:val="24"/>
        </w:rPr>
        <w:t xml:space="preserve">on </w:t>
      </w:r>
      <w:r w:rsidR="00C8278B">
        <w:rPr>
          <w:rFonts w:ascii="Garamond" w:hAnsi="Garamond"/>
          <w:sz w:val="24"/>
        </w:rPr>
        <w:t>2,</w:t>
      </w:r>
      <w:r w:rsidR="005507CD">
        <w:rPr>
          <w:rFonts w:ascii="Garamond" w:hAnsi="Garamond"/>
          <w:sz w:val="24"/>
        </w:rPr>
        <w:t>5</w:t>
      </w:r>
      <w:r w:rsidR="00FD78D0">
        <w:rPr>
          <w:rFonts w:ascii="Garamond" w:hAnsi="Garamond"/>
          <w:sz w:val="24"/>
        </w:rPr>
        <w:t>95</w:t>
      </w:r>
      <w:r w:rsidR="00734CB7" w:rsidRPr="001D16D1">
        <w:rPr>
          <w:rFonts w:ascii="Garamond" w:hAnsi="Garamond"/>
          <w:sz w:val="24"/>
        </w:rPr>
        <w:t xml:space="preserve"> total</w:t>
      </w:r>
      <w:r w:rsidRPr="001D16D1">
        <w:rPr>
          <w:rFonts w:ascii="Garamond" w:hAnsi="Garamond"/>
          <w:sz w:val="24"/>
        </w:rPr>
        <w:t xml:space="preserve"> burden hours for IELS </w:t>
      </w:r>
      <w:r w:rsidR="00C8278B">
        <w:rPr>
          <w:rFonts w:ascii="Garamond" w:hAnsi="Garamond"/>
          <w:sz w:val="24"/>
        </w:rPr>
        <w:t xml:space="preserve">main study </w:t>
      </w:r>
      <w:r w:rsidRPr="001D16D1">
        <w:rPr>
          <w:rFonts w:ascii="Garamond" w:hAnsi="Garamond"/>
          <w:sz w:val="24"/>
        </w:rPr>
        <w:t>recruitment</w:t>
      </w:r>
      <w:r w:rsidR="00C8278B">
        <w:rPr>
          <w:rFonts w:ascii="Garamond" w:hAnsi="Garamond"/>
          <w:sz w:val="24"/>
        </w:rPr>
        <w:t xml:space="preserve"> and </w:t>
      </w:r>
      <w:r w:rsidR="00E34D5F" w:rsidRPr="008A0C80">
        <w:rPr>
          <w:rFonts w:ascii="Garamond" w:hAnsi="Garamond"/>
          <w:sz w:val="24"/>
        </w:rPr>
        <w:t xml:space="preserve">field test </w:t>
      </w:r>
      <w:r w:rsidR="00C8278B">
        <w:rPr>
          <w:rFonts w:ascii="Garamond" w:hAnsi="Garamond"/>
          <w:sz w:val="24"/>
        </w:rPr>
        <w:t xml:space="preserve">recruitment and </w:t>
      </w:r>
      <w:r w:rsidR="00E34D5F" w:rsidRPr="008A0C80">
        <w:rPr>
          <w:rFonts w:ascii="Garamond" w:hAnsi="Garamond"/>
          <w:sz w:val="24"/>
        </w:rPr>
        <w:t>data collection</w:t>
      </w:r>
      <w:r w:rsidRPr="001D16D1">
        <w:rPr>
          <w:rFonts w:ascii="Garamond" w:hAnsi="Garamond"/>
          <w:sz w:val="24"/>
        </w:rPr>
        <w:t xml:space="preserve">, the estimated </w:t>
      </w:r>
      <w:r w:rsidR="00734CB7" w:rsidRPr="001D16D1">
        <w:rPr>
          <w:rFonts w:ascii="Garamond" w:hAnsi="Garamond"/>
          <w:sz w:val="24"/>
        </w:rPr>
        <w:t xml:space="preserve">total </w:t>
      </w:r>
      <w:r w:rsidR="00C8278B">
        <w:rPr>
          <w:rFonts w:ascii="Garamond" w:hAnsi="Garamond"/>
          <w:sz w:val="24"/>
        </w:rPr>
        <w:t xml:space="preserve">respondent </w:t>
      </w:r>
      <w:r w:rsidRPr="001D16D1">
        <w:rPr>
          <w:rFonts w:ascii="Garamond" w:hAnsi="Garamond"/>
          <w:sz w:val="24"/>
        </w:rPr>
        <w:t>burden time cost is $</w:t>
      </w:r>
      <w:r w:rsidR="005507CD">
        <w:rPr>
          <w:rFonts w:ascii="Garamond" w:hAnsi="Garamond" w:cs="Calibri"/>
          <w:bCs/>
          <w:iCs/>
          <w:color w:val="000000"/>
          <w:sz w:val="24"/>
          <w:szCs w:val="24"/>
        </w:rPr>
        <w:t>10</w:t>
      </w:r>
      <w:r w:rsidR="00FD78D0">
        <w:rPr>
          <w:rFonts w:ascii="Garamond" w:hAnsi="Garamond" w:cs="Calibri"/>
          <w:bCs/>
          <w:iCs/>
          <w:color w:val="000000"/>
          <w:sz w:val="24"/>
          <w:szCs w:val="24"/>
        </w:rPr>
        <w:t>1</w:t>
      </w:r>
      <w:r w:rsidR="007A453E">
        <w:rPr>
          <w:rFonts w:ascii="Garamond" w:hAnsi="Garamond" w:cs="Calibri"/>
          <w:bCs/>
          <w:iCs/>
          <w:color w:val="000000"/>
          <w:sz w:val="24"/>
          <w:szCs w:val="24"/>
        </w:rPr>
        <w:t>,</w:t>
      </w:r>
      <w:r w:rsidR="00FD78D0">
        <w:rPr>
          <w:rFonts w:ascii="Garamond" w:hAnsi="Garamond" w:cs="Calibri"/>
          <w:bCs/>
          <w:iCs/>
          <w:color w:val="000000"/>
          <w:sz w:val="24"/>
          <w:szCs w:val="24"/>
        </w:rPr>
        <w:t>69</w:t>
      </w:r>
      <w:r w:rsidR="005507CD">
        <w:rPr>
          <w:rFonts w:ascii="Garamond" w:hAnsi="Garamond" w:cs="Calibri"/>
          <w:bCs/>
          <w:iCs/>
          <w:color w:val="000000"/>
          <w:sz w:val="24"/>
          <w:szCs w:val="24"/>
        </w:rPr>
        <w:t>8</w:t>
      </w:r>
      <w:r w:rsidR="00E34D5F" w:rsidRPr="008A0C80">
        <w:rPr>
          <w:rFonts w:ascii="Garamond" w:hAnsi="Garamond"/>
          <w:sz w:val="24"/>
        </w:rPr>
        <w:t>.</w:t>
      </w:r>
    </w:p>
    <w:p w14:paraId="7C46B70C" w14:textId="57D832A1" w:rsidR="00FE7B8A" w:rsidRDefault="005611C5" w:rsidP="008057A0">
      <w:pPr>
        <w:pStyle w:val="TT-TableTitle"/>
        <w:keepNext/>
        <w:spacing w:after="60" w:line="240" w:lineRule="auto"/>
      </w:pPr>
      <w:r w:rsidRPr="00E31EBD">
        <w:t xml:space="preserve">Table </w:t>
      </w:r>
      <w:r w:rsidR="00664DA8" w:rsidRPr="00E31EBD">
        <w:t>1</w:t>
      </w:r>
      <w:r w:rsidRPr="00E31EBD">
        <w:t>.</w:t>
      </w:r>
      <w:r w:rsidRPr="00E31EBD">
        <w:tab/>
        <w:t>Burde</w:t>
      </w:r>
      <w:r w:rsidR="0028372D" w:rsidRPr="00E31EBD">
        <w:t>n</w:t>
      </w:r>
      <w:r w:rsidRPr="00E31EBD">
        <w:t xml:space="preserve"> estimates for </w:t>
      </w:r>
      <w:r w:rsidR="004C1ABA" w:rsidRPr="00E31EBD">
        <w:t xml:space="preserve">IELS </w:t>
      </w:r>
      <w:r w:rsidR="004F452D">
        <w:t>study</w:t>
      </w:r>
      <w:r w:rsidR="000B6566">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Look w:val="04A0" w:firstRow="1" w:lastRow="0" w:firstColumn="1" w:lastColumn="0" w:noHBand="0" w:noVBand="1"/>
      </w:tblPr>
      <w:tblGrid>
        <w:gridCol w:w="3348"/>
        <w:gridCol w:w="810"/>
        <w:gridCol w:w="1260"/>
        <w:gridCol w:w="1170"/>
        <w:gridCol w:w="1080"/>
        <w:gridCol w:w="1800"/>
        <w:gridCol w:w="1260"/>
      </w:tblGrid>
      <w:tr w:rsidR="00DD4B26" w:rsidRPr="00021009" w14:paraId="25157ED4" w14:textId="77777777" w:rsidTr="00050E91">
        <w:trPr>
          <w:trHeight w:val="144"/>
        </w:trPr>
        <w:tc>
          <w:tcPr>
            <w:tcW w:w="3348" w:type="dxa"/>
            <w:shd w:val="clear" w:color="auto" w:fill="auto"/>
            <w:vAlign w:val="center"/>
            <w:hideMark/>
          </w:tcPr>
          <w:p w14:paraId="7DE684B5" w14:textId="77777777" w:rsidR="00DD4B26" w:rsidRPr="00816A73" w:rsidRDefault="00DD4B26" w:rsidP="00050E91">
            <w:pPr>
              <w:keepNext/>
              <w:spacing w:line="240" w:lineRule="auto"/>
              <w:jc w:val="center"/>
              <w:rPr>
                <w:b/>
                <w:bCs/>
                <w:color w:val="000000"/>
                <w:sz w:val="18"/>
                <w:szCs w:val="18"/>
              </w:rPr>
            </w:pPr>
            <w:r w:rsidRPr="00816A73">
              <w:rPr>
                <w:b/>
                <w:bCs/>
                <w:color w:val="000000"/>
                <w:sz w:val="18"/>
                <w:szCs w:val="18"/>
              </w:rPr>
              <w:t> </w:t>
            </w:r>
          </w:p>
        </w:tc>
        <w:tc>
          <w:tcPr>
            <w:tcW w:w="810" w:type="dxa"/>
            <w:shd w:val="clear" w:color="auto" w:fill="auto"/>
            <w:vAlign w:val="center"/>
            <w:hideMark/>
          </w:tcPr>
          <w:p w14:paraId="0F7E1A7A" w14:textId="77777777" w:rsidR="00DD4B26" w:rsidRPr="00816A73" w:rsidRDefault="00DD4B26" w:rsidP="00050E91">
            <w:pPr>
              <w:keepNext/>
              <w:spacing w:line="240" w:lineRule="auto"/>
              <w:jc w:val="right"/>
              <w:rPr>
                <w:b/>
                <w:bCs/>
                <w:color w:val="000000"/>
                <w:sz w:val="18"/>
                <w:szCs w:val="18"/>
              </w:rPr>
            </w:pPr>
            <w:r w:rsidRPr="00816A73">
              <w:rPr>
                <w:b/>
                <w:bCs/>
                <w:color w:val="000000"/>
                <w:sz w:val="18"/>
                <w:szCs w:val="18"/>
              </w:rPr>
              <w:t>Sample</w:t>
            </w:r>
          </w:p>
        </w:tc>
        <w:tc>
          <w:tcPr>
            <w:tcW w:w="1260" w:type="dxa"/>
            <w:shd w:val="clear" w:color="auto" w:fill="auto"/>
            <w:vAlign w:val="center"/>
            <w:hideMark/>
          </w:tcPr>
          <w:p w14:paraId="73CA8492" w14:textId="77777777" w:rsidR="00DD4B26" w:rsidRPr="00816A73" w:rsidRDefault="00DD4B26" w:rsidP="00050E91">
            <w:pPr>
              <w:keepNext/>
              <w:spacing w:line="240" w:lineRule="auto"/>
              <w:jc w:val="right"/>
              <w:rPr>
                <w:b/>
                <w:bCs/>
                <w:color w:val="000000"/>
                <w:sz w:val="18"/>
                <w:szCs w:val="18"/>
              </w:rPr>
            </w:pPr>
            <w:r w:rsidRPr="00816A73">
              <w:rPr>
                <w:b/>
                <w:bCs/>
                <w:color w:val="000000"/>
                <w:sz w:val="18"/>
                <w:szCs w:val="18"/>
              </w:rPr>
              <w:t>Expected response rate</w:t>
            </w:r>
          </w:p>
        </w:tc>
        <w:tc>
          <w:tcPr>
            <w:tcW w:w="1170" w:type="dxa"/>
            <w:shd w:val="clear" w:color="auto" w:fill="auto"/>
            <w:vAlign w:val="center"/>
            <w:hideMark/>
          </w:tcPr>
          <w:p w14:paraId="3B4CD577" w14:textId="77777777" w:rsidR="00DD4B26" w:rsidRPr="00816A73" w:rsidRDefault="00DD4B26" w:rsidP="00050E91">
            <w:pPr>
              <w:keepNext/>
              <w:spacing w:line="240" w:lineRule="auto"/>
              <w:jc w:val="right"/>
              <w:rPr>
                <w:b/>
                <w:bCs/>
                <w:color w:val="000000"/>
                <w:sz w:val="18"/>
                <w:szCs w:val="18"/>
              </w:rPr>
            </w:pPr>
            <w:r w:rsidRPr="00816A73">
              <w:rPr>
                <w:b/>
                <w:bCs/>
                <w:color w:val="000000"/>
                <w:sz w:val="18"/>
                <w:szCs w:val="18"/>
              </w:rPr>
              <w:t>Number of respondents</w:t>
            </w:r>
          </w:p>
        </w:tc>
        <w:tc>
          <w:tcPr>
            <w:tcW w:w="1080" w:type="dxa"/>
            <w:shd w:val="clear" w:color="auto" w:fill="auto"/>
            <w:vAlign w:val="center"/>
            <w:hideMark/>
          </w:tcPr>
          <w:p w14:paraId="0DA61CF6" w14:textId="77777777" w:rsidR="00DD4B26" w:rsidRPr="00816A73" w:rsidRDefault="00DD4B26" w:rsidP="00050E91">
            <w:pPr>
              <w:keepNext/>
              <w:spacing w:line="240" w:lineRule="auto"/>
              <w:jc w:val="right"/>
              <w:rPr>
                <w:b/>
                <w:bCs/>
                <w:color w:val="000000"/>
                <w:sz w:val="18"/>
                <w:szCs w:val="18"/>
              </w:rPr>
            </w:pPr>
            <w:r w:rsidRPr="00816A73">
              <w:rPr>
                <w:b/>
                <w:bCs/>
                <w:color w:val="000000"/>
                <w:sz w:val="18"/>
                <w:szCs w:val="18"/>
              </w:rPr>
              <w:t>Number of responses</w:t>
            </w:r>
          </w:p>
        </w:tc>
        <w:tc>
          <w:tcPr>
            <w:tcW w:w="1800" w:type="dxa"/>
            <w:shd w:val="clear" w:color="auto" w:fill="auto"/>
            <w:vAlign w:val="center"/>
            <w:hideMark/>
          </w:tcPr>
          <w:p w14:paraId="38B1BDF8" w14:textId="77777777" w:rsidR="00DD4B26" w:rsidRPr="00816A73" w:rsidRDefault="00DD4B26" w:rsidP="00050E91">
            <w:pPr>
              <w:keepNext/>
              <w:spacing w:line="240" w:lineRule="auto"/>
              <w:ind w:left="-108" w:right="-18"/>
              <w:jc w:val="right"/>
              <w:rPr>
                <w:b/>
                <w:bCs/>
                <w:color w:val="000000"/>
                <w:sz w:val="18"/>
                <w:szCs w:val="18"/>
              </w:rPr>
            </w:pPr>
            <w:r w:rsidRPr="00816A73">
              <w:rPr>
                <w:b/>
                <w:bCs/>
                <w:color w:val="000000"/>
                <w:sz w:val="18"/>
                <w:szCs w:val="18"/>
              </w:rPr>
              <w:t>Burden per respondent (minutes)</w:t>
            </w:r>
          </w:p>
        </w:tc>
        <w:tc>
          <w:tcPr>
            <w:tcW w:w="1260" w:type="dxa"/>
            <w:shd w:val="clear" w:color="auto" w:fill="auto"/>
            <w:vAlign w:val="center"/>
            <w:hideMark/>
          </w:tcPr>
          <w:p w14:paraId="15D19A34" w14:textId="77777777" w:rsidR="00DD4B26" w:rsidRPr="00816A73" w:rsidRDefault="00DD4B26" w:rsidP="00050E91">
            <w:pPr>
              <w:keepNext/>
              <w:spacing w:line="240" w:lineRule="auto"/>
              <w:ind w:left="-18" w:right="-18"/>
              <w:jc w:val="right"/>
              <w:rPr>
                <w:b/>
                <w:bCs/>
                <w:color w:val="000000"/>
                <w:sz w:val="18"/>
                <w:szCs w:val="18"/>
              </w:rPr>
            </w:pPr>
            <w:r w:rsidRPr="00816A73">
              <w:rPr>
                <w:b/>
                <w:bCs/>
                <w:color w:val="000000"/>
                <w:sz w:val="18"/>
                <w:szCs w:val="18"/>
              </w:rPr>
              <w:t>Total burden (hours)</w:t>
            </w:r>
          </w:p>
        </w:tc>
      </w:tr>
      <w:tr w:rsidR="00DD4B26" w:rsidRPr="00021009" w14:paraId="16D70194" w14:textId="77777777" w:rsidTr="00050E91">
        <w:trPr>
          <w:trHeight w:val="144"/>
        </w:trPr>
        <w:tc>
          <w:tcPr>
            <w:tcW w:w="10728" w:type="dxa"/>
            <w:gridSpan w:val="7"/>
            <w:tcBorders>
              <w:bottom w:val="single" w:sz="4" w:space="0" w:color="auto"/>
            </w:tcBorders>
            <w:shd w:val="clear" w:color="auto" w:fill="auto"/>
            <w:vAlign w:val="center"/>
            <w:hideMark/>
          </w:tcPr>
          <w:p w14:paraId="44AF5EDC" w14:textId="77777777" w:rsidR="00DD4B26" w:rsidRPr="00816A73" w:rsidRDefault="00DD4B26" w:rsidP="00050E91">
            <w:pPr>
              <w:keepNext/>
              <w:spacing w:line="240" w:lineRule="auto"/>
              <w:jc w:val="center"/>
              <w:rPr>
                <w:b/>
                <w:bCs/>
                <w:sz w:val="18"/>
                <w:szCs w:val="18"/>
              </w:rPr>
            </w:pPr>
            <w:r w:rsidRPr="00816A73">
              <w:rPr>
                <w:b/>
                <w:bCs/>
                <w:sz w:val="18"/>
                <w:szCs w:val="18"/>
              </w:rPr>
              <w:t>Field Test</w:t>
            </w:r>
          </w:p>
        </w:tc>
      </w:tr>
      <w:tr w:rsidR="00DD4B26" w:rsidRPr="009140BE" w14:paraId="639DB593" w14:textId="77777777" w:rsidTr="00050E91">
        <w:trPr>
          <w:trHeight w:val="144"/>
        </w:trPr>
        <w:tc>
          <w:tcPr>
            <w:tcW w:w="3348" w:type="dxa"/>
            <w:tcBorders>
              <w:bottom w:val="nil"/>
            </w:tcBorders>
            <w:shd w:val="clear" w:color="auto" w:fill="F2F2F2" w:themeFill="background1" w:themeFillShade="F2"/>
            <w:vAlign w:val="center"/>
            <w:hideMark/>
          </w:tcPr>
          <w:p w14:paraId="51645492" w14:textId="77777777" w:rsidR="00DD4B26" w:rsidRPr="009140BE" w:rsidRDefault="00DD4B26" w:rsidP="00050E91">
            <w:pPr>
              <w:keepNext/>
              <w:spacing w:line="240" w:lineRule="auto"/>
              <w:jc w:val="left"/>
              <w:rPr>
                <w:b/>
                <w:bCs/>
                <w:sz w:val="20"/>
              </w:rPr>
            </w:pPr>
            <w:r w:rsidRPr="009140BE">
              <w:rPr>
                <w:b/>
                <w:bCs/>
                <w:sz w:val="20"/>
              </w:rPr>
              <w:t>Recruitment</w:t>
            </w:r>
          </w:p>
        </w:tc>
        <w:tc>
          <w:tcPr>
            <w:tcW w:w="810" w:type="dxa"/>
            <w:tcBorders>
              <w:bottom w:val="nil"/>
            </w:tcBorders>
            <w:shd w:val="clear" w:color="auto" w:fill="F2F2F2" w:themeFill="background1" w:themeFillShade="F2"/>
            <w:vAlign w:val="center"/>
            <w:hideMark/>
          </w:tcPr>
          <w:p w14:paraId="110D3BA9" w14:textId="77777777" w:rsidR="00DD4B26" w:rsidRPr="009140BE" w:rsidRDefault="00DD4B26" w:rsidP="00050E91">
            <w:pPr>
              <w:keepNext/>
              <w:spacing w:line="240" w:lineRule="auto"/>
              <w:jc w:val="left"/>
              <w:rPr>
                <w:sz w:val="20"/>
              </w:rPr>
            </w:pPr>
          </w:p>
        </w:tc>
        <w:tc>
          <w:tcPr>
            <w:tcW w:w="1260" w:type="dxa"/>
            <w:tcBorders>
              <w:bottom w:val="nil"/>
            </w:tcBorders>
            <w:shd w:val="clear" w:color="auto" w:fill="F2F2F2" w:themeFill="background1" w:themeFillShade="F2"/>
            <w:vAlign w:val="center"/>
            <w:hideMark/>
          </w:tcPr>
          <w:p w14:paraId="43B674F9" w14:textId="77777777" w:rsidR="00DD4B26" w:rsidRPr="009140BE" w:rsidRDefault="00DD4B26" w:rsidP="00050E91">
            <w:pPr>
              <w:keepNext/>
              <w:spacing w:line="240" w:lineRule="auto"/>
              <w:jc w:val="left"/>
              <w:rPr>
                <w:sz w:val="20"/>
              </w:rPr>
            </w:pPr>
          </w:p>
        </w:tc>
        <w:tc>
          <w:tcPr>
            <w:tcW w:w="1170" w:type="dxa"/>
            <w:tcBorders>
              <w:bottom w:val="nil"/>
            </w:tcBorders>
            <w:shd w:val="clear" w:color="auto" w:fill="F2F2F2" w:themeFill="background1" w:themeFillShade="F2"/>
            <w:vAlign w:val="center"/>
            <w:hideMark/>
          </w:tcPr>
          <w:p w14:paraId="49B23F3C" w14:textId="77777777" w:rsidR="00DD4B26" w:rsidRPr="009140BE" w:rsidRDefault="00DD4B26" w:rsidP="00050E91">
            <w:pPr>
              <w:keepNext/>
              <w:spacing w:line="240" w:lineRule="auto"/>
              <w:jc w:val="left"/>
              <w:rPr>
                <w:sz w:val="20"/>
              </w:rPr>
            </w:pPr>
          </w:p>
        </w:tc>
        <w:tc>
          <w:tcPr>
            <w:tcW w:w="1080" w:type="dxa"/>
            <w:tcBorders>
              <w:bottom w:val="nil"/>
            </w:tcBorders>
            <w:shd w:val="clear" w:color="auto" w:fill="F2F2F2" w:themeFill="background1" w:themeFillShade="F2"/>
            <w:vAlign w:val="center"/>
            <w:hideMark/>
          </w:tcPr>
          <w:p w14:paraId="5630C546" w14:textId="77777777" w:rsidR="00DD4B26" w:rsidRPr="009140BE" w:rsidRDefault="00DD4B26" w:rsidP="00050E91">
            <w:pPr>
              <w:keepNext/>
              <w:spacing w:line="240" w:lineRule="auto"/>
              <w:jc w:val="left"/>
              <w:rPr>
                <w:sz w:val="20"/>
              </w:rPr>
            </w:pPr>
          </w:p>
        </w:tc>
        <w:tc>
          <w:tcPr>
            <w:tcW w:w="1800" w:type="dxa"/>
            <w:tcBorders>
              <w:bottom w:val="nil"/>
            </w:tcBorders>
            <w:shd w:val="clear" w:color="auto" w:fill="F2F2F2" w:themeFill="background1" w:themeFillShade="F2"/>
            <w:vAlign w:val="center"/>
            <w:hideMark/>
          </w:tcPr>
          <w:p w14:paraId="280CFE86" w14:textId="77777777" w:rsidR="00DD4B26" w:rsidRPr="009140BE" w:rsidRDefault="00DD4B26" w:rsidP="00050E91">
            <w:pPr>
              <w:keepNext/>
              <w:spacing w:line="240" w:lineRule="auto"/>
              <w:jc w:val="left"/>
              <w:rPr>
                <w:sz w:val="20"/>
              </w:rPr>
            </w:pPr>
          </w:p>
        </w:tc>
        <w:tc>
          <w:tcPr>
            <w:tcW w:w="1260" w:type="dxa"/>
            <w:tcBorders>
              <w:bottom w:val="nil"/>
            </w:tcBorders>
            <w:shd w:val="clear" w:color="auto" w:fill="F2F2F2" w:themeFill="background1" w:themeFillShade="F2"/>
            <w:vAlign w:val="center"/>
            <w:hideMark/>
          </w:tcPr>
          <w:p w14:paraId="158D2A55" w14:textId="77777777" w:rsidR="00DD4B26" w:rsidRPr="009140BE" w:rsidRDefault="00DD4B26" w:rsidP="00050E91">
            <w:pPr>
              <w:keepNext/>
              <w:spacing w:line="240" w:lineRule="auto"/>
              <w:jc w:val="left"/>
              <w:rPr>
                <w:sz w:val="20"/>
              </w:rPr>
            </w:pPr>
            <w:r w:rsidRPr="009140BE">
              <w:rPr>
                <w:sz w:val="20"/>
              </w:rPr>
              <w:t> </w:t>
            </w:r>
          </w:p>
        </w:tc>
      </w:tr>
      <w:tr w:rsidR="00DD4B26" w:rsidRPr="009140BE" w14:paraId="40F250F6" w14:textId="77777777" w:rsidTr="00050E91">
        <w:trPr>
          <w:trHeight w:val="144"/>
        </w:trPr>
        <w:tc>
          <w:tcPr>
            <w:tcW w:w="3348" w:type="dxa"/>
            <w:tcBorders>
              <w:top w:val="nil"/>
              <w:bottom w:val="nil"/>
            </w:tcBorders>
            <w:shd w:val="clear" w:color="auto" w:fill="F2F2F2" w:themeFill="background1" w:themeFillShade="F2"/>
            <w:vAlign w:val="center"/>
            <w:hideMark/>
          </w:tcPr>
          <w:p w14:paraId="344BB92C" w14:textId="77777777" w:rsidR="00DD4B26" w:rsidRPr="009140BE" w:rsidRDefault="00DD4B26" w:rsidP="00050E91">
            <w:pPr>
              <w:keepNext/>
              <w:spacing w:line="240" w:lineRule="auto"/>
              <w:jc w:val="left"/>
              <w:rPr>
                <w:sz w:val="20"/>
              </w:rPr>
            </w:pPr>
            <w:r w:rsidRPr="009140BE">
              <w:rPr>
                <w:sz w:val="20"/>
              </w:rPr>
              <w:t>Special Handling Districts IRB staff</w:t>
            </w:r>
          </w:p>
        </w:tc>
        <w:tc>
          <w:tcPr>
            <w:tcW w:w="810" w:type="dxa"/>
            <w:tcBorders>
              <w:top w:val="nil"/>
              <w:bottom w:val="nil"/>
            </w:tcBorders>
            <w:shd w:val="clear" w:color="auto" w:fill="F2F2F2" w:themeFill="background1" w:themeFillShade="F2"/>
            <w:vAlign w:val="center"/>
            <w:hideMark/>
          </w:tcPr>
          <w:p w14:paraId="580B8E9F" w14:textId="77777777" w:rsidR="00DD4B26" w:rsidRPr="009140BE" w:rsidRDefault="00DD4B26" w:rsidP="00050E91">
            <w:pPr>
              <w:keepNext/>
              <w:spacing w:line="240" w:lineRule="auto"/>
              <w:jc w:val="right"/>
              <w:rPr>
                <w:sz w:val="20"/>
              </w:rPr>
            </w:pPr>
            <w:r w:rsidRPr="009140BE">
              <w:rPr>
                <w:sz w:val="20"/>
              </w:rPr>
              <w:t>4</w:t>
            </w:r>
          </w:p>
        </w:tc>
        <w:tc>
          <w:tcPr>
            <w:tcW w:w="1260" w:type="dxa"/>
            <w:tcBorders>
              <w:top w:val="nil"/>
              <w:bottom w:val="nil"/>
            </w:tcBorders>
            <w:shd w:val="clear" w:color="auto" w:fill="F2F2F2" w:themeFill="background1" w:themeFillShade="F2"/>
            <w:vAlign w:val="center"/>
            <w:hideMark/>
          </w:tcPr>
          <w:p w14:paraId="4E6B4819" w14:textId="77777777" w:rsidR="00DD4B26" w:rsidRPr="009140BE" w:rsidRDefault="00DD4B26" w:rsidP="00050E91">
            <w:pPr>
              <w:keepNext/>
              <w:spacing w:line="240" w:lineRule="auto"/>
              <w:jc w:val="right"/>
              <w:rPr>
                <w:sz w:val="20"/>
              </w:rPr>
            </w:pPr>
            <w:r>
              <w:rPr>
                <w:sz w:val="20"/>
              </w:rPr>
              <w:t>1.00</w:t>
            </w:r>
          </w:p>
        </w:tc>
        <w:tc>
          <w:tcPr>
            <w:tcW w:w="1170" w:type="dxa"/>
            <w:tcBorders>
              <w:top w:val="nil"/>
              <w:bottom w:val="nil"/>
            </w:tcBorders>
            <w:shd w:val="clear" w:color="auto" w:fill="F2F2F2" w:themeFill="background1" w:themeFillShade="F2"/>
            <w:vAlign w:val="center"/>
            <w:hideMark/>
          </w:tcPr>
          <w:p w14:paraId="04B9B4DD" w14:textId="77777777" w:rsidR="00DD4B26" w:rsidRPr="009140BE" w:rsidRDefault="00DD4B26" w:rsidP="00050E91">
            <w:pPr>
              <w:keepNext/>
              <w:spacing w:line="240" w:lineRule="auto"/>
              <w:jc w:val="right"/>
              <w:rPr>
                <w:sz w:val="20"/>
              </w:rPr>
            </w:pPr>
            <w:r w:rsidRPr="009140BE">
              <w:rPr>
                <w:sz w:val="20"/>
              </w:rPr>
              <w:t>4</w:t>
            </w:r>
          </w:p>
        </w:tc>
        <w:tc>
          <w:tcPr>
            <w:tcW w:w="1080" w:type="dxa"/>
            <w:tcBorders>
              <w:top w:val="nil"/>
              <w:bottom w:val="nil"/>
            </w:tcBorders>
            <w:shd w:val="clear" w:color="auto" w:fill="F2F2F2" w:themeFill="background1" w:themeFillShade="F2"/>
            <w:vAlign w:val="center"/>
            <w:hideMark/>
          </w:tcPr>
          <w:p w14:paraId="635C243A" w14:textId="77777777" w:rsidR="00DD4B26" w:rsidRPr="009140BE" w:rsidRDefault="00DD4B26" w:rsidP="00050E91">
            <w:pPr>
              <w:keepNext/>
              <w:spacing w:line="240" w:lineRule="auto"/>
              <w:jc w:val="right"/>
              <w:rPr>
                <w:sz w:val="20"/>
              </w:rPr>
            </w:pPr>
            <w:r w:rsidRPr="009140BE">
              <w:rPr>
                <w:sz w:val="20"/>
              </w:rPr>
              <w:t>4</w:t>
            </w:r>
          </w:p>
        </w:tc>
        <w:tc>
          <w:tcPr>
            <w:tcW w:w="1800" w:type="dxa"/>
            <w:tcBorders>
              <w:top w:val="nil"/>
              <w:bottom w:val="nil"/>
            </w:tcBorders>
            <w:shd w:val="clear" w:color="auto" w:fill="F2F2F2" w:themeFill="background1" w:themeFillShade="F2"/>
            <w:vAlign w:val="center"/>
            <w:hideMark/>
          </w:tcPr>
          <w:p w14:paraId="60E6A9C6" w14:textId="77777777" w:rsidR="00DD4B26" w:rsidRPr="009140BE" w:rsidRDefault="00DD4B26" w:rsidP="00050E91">
            <w:pPr>
              <w:keepNext/>
              <w:spacing w:line="240" w:lineRule="auto"/>
              <w:jc w:val="right"/>
              <w:rPr>
                <w:sz w:val="20"/>
              </w:rPr>
            </w:pPr>
            <w:r w:rsidRPr="009140BE">
              <w:rPr>
                <w:sz w:val="20"/>
              </w:rPr>
              <w:t>60</w:t>
            </w:r>
          </w:p>
        </w:tc>
        <w:tc>
          <w:tcPr>
            <w:tcW w:w="1260" w:type="dxa"/>
            <w:tcBorders>
              <w:top w:val="nil"/>
              <w:bottom w:val="nil"/>
            </w:tcBorders>
            <w:shd w:val="clear" w:color="auto" w:fill="F2F2F2" w:themeFill="background1" w:themeFillShade="F2"/>
            <w:vAlign w:val="center"/>
            <w:hideMark/>
          </w:tcPr>
          <w:p w14:paraId="0C0BEF91" w14:textId="77777777" w:rsidR="00DD4B26" w:rsidRPr="009140BE" w:rsidRDefault="00DD4B26" w:rsidP="00050E91">
            <w:pPr>
              <w:keepNext/>
              <w:spacing w:line="240" w:lineRule="auto"/>
              <w:jc w:val="right"/>
              <w:rPr>
                <w:sz w:val="20"/>
              </w:rPr>
            </w:pPr>
            <w:r w:rsidRPr="009140BE">
              <w:rPr>
                <w:sz w:val="20"/>
              </w:rPr>
              <w:t>4</w:t>
            </w:r>
          </w:p>
        </w:tc>
      </w:tr>
      <w:tr w:rsidR="00DD4B26" w:rsidRPr="009140BE" w14:paraId="04ACB873" w14:textId="77777777" w:rsidTr="00050E91">
        <w:trPr>
          <w:trHeight w:val="144"/>
        </w:trPr>
        <w:tc>
          <w:tcPr>
            <w:tcW w:w="3348" w:type="dxa"/>
            <w:tcBorders>
              <w:top w:val="nil"/>
              <w:bottom w:val="nil"/>
            </w:tcBorders>
            <w:shd w:val="clear" w:color="auto" w:fill="F2F2F2" w:themeFill="background1" w:themeFillShade="F2"/>
            <w:vAlign w:val="center"/>
            <w:hideMark/>
          </w:tcPr>
          <w:p w14:paraId="2B18CB8E" w14:textId="77777777" w:rsidR="00DD4B26" w:rsidRPr="009140BE" w:rsidRDefault="00DD4B26" w:rsidP="00050E91">
            <w:pPr>
              <w:keepNext/>
              <w:spacing w:line="240" w:lineRule="auto"/>
              <w:jc w:val="left"/>
              <w:rPr>
                <w:sz w:val="20"/>
              </w:rPr>
            </w:pPr>
            <w:r w:rsidRPr="009140BE">
              <w:rPr>
                <w:sz w:val="20"/>
              </w:rPr>
              <w:t>Special Handling Districts IRB Panel</w:t>
            </w:r>
          </w:p>
        </w:tc>
        <w:tc>
          <w:tcPr>
            <w:tcW w:w="810" w:type="dxa"/>
            <w:tcBorders>
              <w:top w:val="nil"/>
              <w:bottom w:val="nil"/>
            </w:tcBorders>
            <w:shd w:val="clear" w:color="auto" w:fill="F2F2F2" w:themeFill="background1" w:themeFillShade="F2"/>
            <w:vAlign w:val="center"/>
            <w:hideMark/>
          </w:tcPr>
          <w:p w14:paraId="7145C66C" w14:textId="77777777" w:rsidR="00DD4B26" w:rsidRPr="009140BE" w:rsidRDefault="00DD4B26" w:rsidP="00050E91">
            <w:pPr>
              <w:keepNext/>
              <w:spacing w:line="240" w:lineRule="auto"/>
              <w:jc w:val="right"/>
              <w:rPr>
                <w:sz w:val="20"/>
              </w:rPr>
            </w:pPr>
            <w:r w:rsidRPr="009140BE">
              <w:rPr>
                <w:sz w:val="20"/>
              </w:rPr>
              <w:t>24</w:t>
            </w:r>
          </w:p>
        </w:tc>
        <w:tc>
          <w:tcPr>
            <w:tcW w:w="1260" w:type="dxa"/>
            <w:tcBorders>
              <w:top w:val="nil"/>
              <w:bottom w:val="nil"/>
            </w:tcBorders>
            <w:shd w:val="clear" w:color="auto" w:fill="F2F2F2" w:themeFill="background1" w:themeFillShade="F2"/>
            <w:vAlign w:val="center"/>
            <w:hideMark/>
          </w:tcPr>
          <w:p w14:paraId="1CDA1426" w14:textId="77777777" w:rsidR="00DD4B26" w:rsidRPr="009140BE" w:rsidRDefault="00DD4B26" w:rsidP="00050E91">
            <w:pPr>
              <w:keepNext/>
              <w:spacing w:line="240" w:lineRule="auto"/>
              <w:jc w:val="right"/>
              <w:rPr>
                <w:sz w:val="20"/>
              </w:rPr>
            </w:pPr>
            <w:r>
              <w:rPr>
                <w:sz w:val="20"/>
              </w:rPr>
              <w:t>1.00</w:t>
            </w:r>
          </w:p>
        </w:tc>
        <w:tc>
          <w:tcPr>
            <w:tcW w:w="1170" w:type="dxa"/>
            <w:tcBorders>
              <w:top w:val="nil"/>
              <w:bottom w:val="nil"/>
            </w:tcBorders>
            <w:shd w:val="clear" w:color="auto" w:fill="F2F2F2" w:themeFill="background1" w:themeFillShade="F2"/>
            <w:vAlign w:val="center"/>
            <w:hideMark/>
          </w:tcPr>
          <w:p w14:paraId="7543B378" w14:textId="77777777" w:rsidR="00DD4B26" w:rsidRPr="009140BE" w:rsidRDefault="00DD4B26" w:rsidP="00050E91">
            <w:pPr>
              <w:keepNext/>
              <w:spacing w:line="240" w:lineRule="auto"/>
              <w:jc w:val="right"/>
              <w:rPr>
                <w:sz w:val="20"/>
              </w:rPr>
            </w:pPr>
            <w:r w:rsidRPr="009140BE">
              <w:rPr>
                <w:sz w:val="20"/>
              </w:rPr>
              <w:t>24</w:t>
            </w:r>
          </w:p>
        </w:tc>
        <w:tc>
          <w:tcPr>
            <w:tcW w:w="1080" w:type="dxa"/>
            <w:tcBorders>
              <w:top w:val="nil"/>
              <w:bottom w:val="nil"/>
            </w:tcBorders>
            <w:shd w:val="clear" w:color="auto" w:fill="F2F2F2" w:themeFill="background1" w:themeFillShade="F2"/>
            <w:vAlign w:val="center"/>
            <w:hideMark/>
          </w:tcPr>
          <w:p w14:paraId="4148EF3D" w14:textId="77777777" w:rsidR="00DD4B26" w:rsidRPr="009140BE" w:rsidRDefault="00DD4B26" w:rsidP="00050E91">
            <w:pPr>
              <w:keepNext/>
              <w:spacing w:line="240" w:lineRule="auto"/>
              <w:jc w:val="right"/>
              <w:rPr>
                <w:sz w:val="20"/>
              </w:rPr>
            </w:pPr>
            <w:r w:rsidRPr="009140BE">
              <w:rPr>
                <w:sz w:val="20"/>
              </w:rPr>
              <w:t>24</w:t>
            </w:r>
          </w:p>
        </w:tc>
        <w:tc>
          <w:tcPr>
            <w:tcW w:w="1800" w:type="dxa"/>
            <w:tcBorders>
              <w:top w:val="nil"/>
              <w:bottom w:val="nil"/>
            </w:tcBorders>
            <w:shd w:val="clear" w:color="auto" w:fill="F2F2F2" w:themeFill="background1" w:themeFillShade="F2"/>
            <w:vAlign w:val="center"/>
            <w:hideMark/>
          </w:tcPr>
          <w:p w14:paraId="260EDFB0" w14:textId="77777777" w:rsidR="00DD4B26" w:rsidRPr="009140BE" w:rsidRDefault="00DD4B26" w:rsidP="00050E91">
            <w:pPr>
              <w:keepNext/>
              <w:spacing w:line="240" w:lineRule="auto"/>
              <w:jc w:val="right"/>
              <w:rPr>
                <w:sz w:val="20"/>
              </w:rPr>
            </w:pPr>
            <w:r w:rsidRPr="009140BE">
              <w:rPr>
                <w:sz w:val="20"/>
              </w:rPr>
              <w:t>30</w:t>
            </w:r>
          </w:p>
        </w:tc>
        <w:tc>
          <w:tcPr>
            <w:tcW w:w="1260" w:type="dxa"/>
            <w:tcBorders>
              <w:top w:val="nil"/>
              <w:bottom w:val="nil"/>
            </w:tcBorders>
            <w:shd w:val="clear" w:color="auto" w:fill="F2F2F2" w:themeFill="background1" w:themeFillShade="F2"/>
            <w:vAlign w:val="center"/>
            <w:hideMark/>
          </w:tcPr>
          <w:p w14:paraId="23A82553" w14:textId="77777777" w:rsidR="00DD4B26" w:rsidRPr="009140BE" w:rsidRDefault="00DD4B26" w:rsidP="00050E91">
            <w:pPr>
              <w:keepNext/>
              <w:spacing w:line="240" w:lineRule="auto"/>
              <w:jc w:val="right"/>
              <w:rPr>
                <w:sz w:val="20"/>
              </w:rPr>
            </w:pPr>
            <w:r w:rsidRPr="009140BE">
              <w:rPr>
                <w:sz w:val="20"/>
              </w:rPr>
              <w:t>12</w:t>
            </w:r>
          </w:p>
        </w:tc>
      </w:tr>
      <w:tr w:rsidR="00DD4B26" w:rsidRPr="009140BE" w14:paraId="736ECC17" w14:textId="77777777" w:rsidTr="00050E91">
        <w:trPr>
          <w:trHeight w:val="144"/>
        </w:trPr>
        <w:tc>
          <w:tcPr>
            <w:tcW w:w="3348" w:type="dxa"/>
            <w:tcBorders>
              <w:top w:val="nil"/>
              <w:bottom w:val="nil"/>
            </w:tcBorders>
            <w:shd w:val="clear" w:color="auto" w:fill="F2F2F2" w:themeFill="background1" w:themeFillShade="F2"/>
            <w:vAlign w:val="center"/>
            <w:hideMark/>
          </w:tcPr>
          <w:p w14:paraId="712CB857" w14:textId="77777777" w:rsidR="00DD4B26" w:rsidRPr="009140BE" w:rsidRDefault="00DD4B26" w:rsidP="00050E91">
            <w:pPr>
              <w:keepNext/>
              <w:spacing w:line="240" w:lineRule="auto"/>
              <w:jc w:val="left"/>
              <w:rPr>
                <w:sz w:val="20"/>
              </w:rPr>
            </w:pPr>
            <w:r w:rsidRPr="009140BE">
              <w:rPr>
                <w:sz w:val="20"/>
              </w:rPr>
              <w:t>Schools</w:t>
            </w:r>
          </w:p>
        </w:tc>
        <w:tc>
          <w:tcPr>
            <w:tcW w:w="810" w:type="dxa"/>
            <w:tcBorders>
              <w:top w:val="nil"/>
              <w:bottom w:val="nil"/>
            </w:tcBorders>
            <w:shd w:val="clear" w:color="auto" w:fill="F2F2F2" w:themeFill="background1" w:themeFillShade="F2"/>
            <w:vAlign w:val="center"/>
            <w:hideMark/>
          </w:tcPr>
          <w:p w14:paraId="5BA8D405" w14:textId="77777777" w:rsidR="00DD4B26" w:rsidRPr="009140BE" w:rsidRDefault="00DD4B26" w:rsidP="00050E91">
            <w:pPr>
              <w:keepNext/>
              <w:spacing w:line="240" w:lineRule="auto"/>
              <w:jc w:val="right"/>
              <w:rPr>
                <w:sz w:val="20"/>
              </w:rPr>
            </w:pPr>
            <w:r w:rsidRPr="009140BE">
              <w:rPr>
                <w:sz w:val="20"/>
              </w:rPr>
              <w:t>3</w:t>
            </w:r>
            <w:r>
              <w:rPr>
                <w:sz w:val="20"/>
              </w:rPr>
              <w:t>5</w:t>
            </w:r>
          </w:p>
        </w:tc>
        <w:tc>
          <w:tcPr>
            <w:tcW w:w="1260" w:type="dxa"/>
            <w:tcBorders>
              <w:top w:val="nil"/>
              <w:bottom w:val="nil"/>
            </w:tcBorders>
            <w:shd w:val="clear" w:color="auto" w:fill="F2F2F2" w:themeFill="background1" w:themeFillShade="F2"/>
            <w:vAlign w:val="center"/>
            <w:hideMark/>
          </w:tcPr>
          <w:p w14:paraId="76DAABBD" w14:textId="77777777" w:rsidR="00DD4B26" w:rsidRPr="009140BE" w:rsidRDefault="00DD4B26" w:rsidP="00050E91">
            <w:pPr>
              <w:keepNext/>
              <w:spacing w:line="240" w:lineRule="auto"/>
              <w:jc w:val="right"/>
              <w:rPr>
                <w:sz w:val="20"/>
              </w:rPr>
            </w:pPr>
            <w:r>
              <w:rPr>
                <w:sz w:val="20"/>
              </w:rPr>
              <w:t>1.00</w:t>
            </w:r>
          </w:p>
        </w:tc>
        <w:tc>
          <w:tcPr>
            <w:tcW w:w="1170" w:type="dxa"/>
            <w:tcBorders>
              <w:top w:val="nil"/>
              <w:bottom w:val="nil"/>
            </w:tcBorders>
            <w:shd w:val="clear" w:color="auto" w:fill="F2F2F2" w:themeFill="background1" w:themeFillShade="F2"/>
            <w:vAlign w:val="center"/>
            <w:hideMark/>
          </w:tcPr>
          <w:p w14:paraId="3DFB6F64" w14:textId="77777777" w:rsidR="00DD4B26" w:rsidRPr="009140BE" w:rsidRDefault="00DD4B26" w:rsidP="00050E91">
            <w:pPr>
              <w:keepNext/>
              <w:spacing w:line="240" w:lineRule="auto"/>
              <w:jc w:val="right"/>
              <w:rPr>
                <w:sz w:val="20"/>
              </w:rPr>
            </w:pPr>
            <w:r w:rsidRPr="009140BE">
              <w:rPr>
                <w:sz w:val="20"/>
              </w:rPr>
              <w:t>3</w:t>
            </w:r>
            <w:r>
              <w:rPr>
                <w:sz w:val="20"/>
              </w:rPr>
              <w:t>5</w:t>
            </w:r>
          </w:p>
        </w:tc>
        <w:tc>
          <w:tcPr>
            <w:tcW w:w="1080" w:type="dxa"/>
            <w:tcBorders>
              <w:top w:val="nil"/>
              <w:bottom w:val="nil"/>
            </w:tcBorders>
            <w:shd w:val="clear" w:color="auto" w:fill="F2F2F2" w:themeFill="background1" w:themeFillShade="F2"/>
            <w:vAlign w:val="center"/>
            <w:hideMark/>
          </w:tcPr>
          <w:p w14:paraId="71ED215F" w14:textId="77777777" w:rsidR="00DD4B26" w:rsidRPr="009140BE" w:rsidRDefault="00DD4B26" w:rsidP="00050E91">
            <w:pPr>
              <w:keepNext/>
              <w:spacing w:line="240" w:lineRule="auto"/>
              <w:jc w:val="right"/>
              <w:rPr>
                <w:sz w:val="20"/>
              </w:rPr>
            </w:pPr>
            <w:r w:rsidRPr="009140BE">
              <w:rPr>
                <w:sz w:val="20"/>
              </w:rPr>
              <w:t>3</w:t>
            </w:r>
            <w:r>
              <w:rPr>
                <w:sz w:val="20"/>
              </w:rPr>
              <w:t>5</w:t>
            </w:r>
          </w:p>
        </w:tc>
        <w:tc>
          <w:tcPr>
            <w:tcW w:w="1800" w:type="dxa"/>
            <w:tcBorders>
              <w:top w:val="nil"/>
              <w:bottom w:val="nil"/>
            </w:tcBorders>
            <w:shd w:val="clear" w:color="auto" w:fill="F2F2F2" w:themeFill="background1" w:themeFillShade="F2"/>
            <w:vAlign w:val="center"/>
            <w:hideMark/>
          </w:tcPr>
          <w:p w14:paraId="312635BE" w14:textId="77777777" w:rsidR="00DD4B26" w:rsidRPr="009140BE" w:rsidRDefault="00DD4B26" w:rsidP="00050E91">
            <w:pPr>
              <w:keepNext/>
              <w:spacing w:line="240" w:lineRule="auto"/>
              <w:jc w:val="right"/>
              <w:rPr>
                <w:sz w:val="20"/>
              </w:rPr>
            </w:pPr>
            <w:r w:rsidRPr="009140BE">
              <w:rPr>
                <w:sz w:val="20"/>
              </w:rPr>
              <w:t>250</w:t>
            </w:r>
          </w:p>
        </w:tc>
        <w:tc>
          <w:tcPr>
            <w:tcW w:w="1260" w:type="dxa"/>
            <w:tcBorders>
              <w:top w:val="nil"/>
              <w:bottom w:val="nil"/>
            </w:tcBorders>
            <w:shd w:val="clear" w:color="auto" w:fill="F2F2F2" w:themeFill="background1" w:themeFillShade="F2"/>
            <w:vAlign w:val="center"/>
            <w:hideMark/>
          </w:tcPr>
          <w:p w14:paraId="21E89A29" w14:textId="77777777" w:rsidR="00DD4B26" w:rsidRPr="009140BE" w:rsidRDefault="00DD4B26" w:rsidP="00050E91">
            <w:pPr>
              <w:keepNext/>
              <w:spacing w:line="240" w:lineRule="auto"/>
              <w:jc w:val="right"/>
              <w:rPr>
                <w:sz w:val="20"/>
              </w:rPr>
            </w:pPr>
            <w:r w:rsidRPr="009140BE">
              <w:rPr>
                <w:sz w:val="20"/>
              </w:rPr>
              <w:t>1</w:t>
            </w:r>
            <w:r>
              <w:rPr>
                <w:sz w:val="20"/>
              </w:rPr>
              <w:t>46</w:t>
            </w:r>
          </w:p>
        </w:tc>
      </w:tr>
      <w:tr w:rsidR="00DD4B26" w:rsidRPr="009140BE" w14:paraId="5152DA95" w14:textId="77777777" w:rsidTr="00050E91">
        <w:trPr>
          <w:trHeight w:val="144"/>
        </w:trPr>
        <w:tc>
          <w:tcPr>
            <w:tcW w:w="3348" w:type="dxa"/>
            <w:tcBorders>
              <w:top w:val="nil"/>
              <w:bottom w:val="single" w:sz="4" w:space="0" w:color="auto"/>
            </w:tcBorders>
            <w:shd w:val="clear" w:color="auto" w:fill="F2F2F2" w:themeFill="background1" w:themeFillShade="F2"/>
            <w:vAlign w:val="center"/>
            <w:hideMark/>
          </w:tcPr>
          <w:p w14:paraId="7C988D35" w14:textId="77777777" w:rsidR="00DD4B26" w:rsidRPr="009140BE" w:rsidRDefault="00DD4B26" w:rsidP="00050E91">
            <w:pPr>
              <w:keepNext/>
              <w:spacing w:line="240" w:lineRule="auto"/>
              <w:jc w:val="left"/>
              <w:rPr>
                <w:sz w:val="20"/>
              </w:rPr>
            </w:pPr>
            <w:r w:rsidRPr="009140BE">
              <w:rPr>
                <w:sz w:val="20"/>
              </w:rPr>
              <w:t>Parent notification</w:t>
            </w:r>
          </w:p>
        </w:tc>
        <w:tc>
          <w:tcPr>
            <w:tcW w:w="810" w:type="dxa"/>
            <w:tcBorders>
              <w:top w:val="nil"/>
              <w:bottom w:val="single" w:sz="4" w:space="0" w:color="auto"/>
            </w:tcBorders>
            <w:shd w:val="clear" w:color="auto" w:fill="F2F2F2" w:themeFill="background1" w:themeFillShade="F2"/>
            <w:vAlign w:val="center"/>
            <w:hideMark/>
          </w:tcPr>
          <w:p w14:paraId="036E1807" w14:textId="77777777" w:rsidR="00DD4B26" w:rsidRPr="009140BE" w:rsidRDefault="00DD4B26" w:rsidP="00050E91">
            <w:pPr>
              <w:keepNext/>
              <w:spacing w:line="240" w:lineRule="auto"/>
              <w:jc w:val="right"/>
              <w:rPr>
                <w:sz w:val="20"/>
              </w:rPr>
            </w:pPr>
            <w:r w:rsidRPr="009140BE">
              <w:rPr>
                <w:sz w:val="20"/>
              </w:rPr>
              <w:t>560</w:t>
            </w:r>
          </w:p>
        </w:tc>
        <w:tc>
          <w:tcPr>
            <w:tcW w:w="1260" w:type="dxa"/>
            <w:tcBorders>
              <w:top w:val="nil"/>
              <w:bottom w:val="single" w:sz="4" w:space="0" w:color="auto"/>
            </w:tcBorders>
            <w:shd w:val="clear" w:color="auto" w:fill="F2F2F2" w:themeFill="background1" w:themeFillShade="F2"/>
            <w:vAlign w:val="center"/>
            <w:hideMark/>
          </w:tcPr>
          <w:p w14:paraId="319C7C11" w14:textId="77777777" w:rsidR="00DD4B26" w:rsidRPr="009140BE" w:rsidRDefault="00DD4B26" w:rsidP="00050E91">
            <w:pPr>
              <w:keepNext/>
              <w:spacing w:line="240" w:lineRule="auto"/>
              <w:jc w:val="right"/>
              <w:rPr>
                <w:sz w:val="20"/>
              </w:rPr>
            </w:pPr>
            <w:r>
              <w:rPr>
                <w:sz w:val="20"/>
              </w:rPr>
              <w:t>1.00</w:t>
            </w:r>
          </w:p>
        </w:tc>
        <w:tc>
          <w:tcPr>
            <w:tcW w:w="1170" w:type="dxa"/>
            <w:tcBorders>
              <w:top w:val="nil"/>
              <w:bottom w:val="single" w:sz="4" w:space="0" w:color="auto"/>
            </w:tcBorders>
            <w:shd w:val="clear" w:color="auto" w:fill="F2F2F2" w:themeFill="background1" w:themeFillShade="F2"/>
            <w:vAlign w:val="center"/>
            <w:hideMark/>
          </w:tcPr>
          <w:p w14:paraId="5B506281" w14:textId="77777777" w:rsidR="00DD4B26" w:rsidRPr="009140BE" w:rsidRDefault="00DD4B26" w:rsidP="00050E91">
            <w:pPr>
              <w:keepNext/>
              <w:spacing w:line="240" w:lineRule="auto"/>
              <w:jc w:val="right"/>
              <w:rPr>
                <w:sz w:val="20"/>
              </w:rPr>
            </w:pPr>
            <w:r w:rsidRPr="009140BE">
              <w:rPr>
                <w:sz w:val="20"/>
              </w:rPr>
              <w:t>560</w:t>
            </w:r>
          </w:p>
        </w:tc>
        <w:tc>
          <w:tcPr>
            <w:tcW w:w="1080" w:type="dxa"/>
            <w:tcBorders>
              <w:top w:val="nil"/>
              <w:bottom w:val="single" w:sz="4" w:space="0" w:color="auto"/>
            </w:tcBorders>
            <w:shd w:val="clear" w:color="auto" w:fill="F2F2F2" w:themeFill="background1" w:themeFillShade="F2"/>
            <w:vAlign w:val="center"/>
            <w:hideMark/>
          </w:tcPr>
          <w:p w14:paraId="35DFCFE5" w14:textId="77777777" w:rsidR="00DD4B26" w:rsidRPr="009140BE" w:rsidRDefault="00DD4B26" w:rsidP="00050E91">
            <w:pPr>
              <w:keepNext/>
              <w:spacing w:line="240" w:lineRule="auto"/>
              <w:jc w:val="right"/>
              <w:rPr>
                <w:sz w:val="20"/>
              </w:rPr>
            </w:pPr>
            <w:r w:rsidRPr="009140BE">
              <w:rPr>
                <w:sz w:val="20"/>
              </w:rPr>
              <w:t>560</w:t>
            </w:r>
          </w:p>
        </w:tc>
        <w:tc>
          <w:tcPr>
            <w:tcW w:w="1800" w:type="dxa"/>
            <w:tcBorders>
              <w:top w:val="nil"/>
              <w:bottom w:val="single" w:sz="4" w:space="0" w:color="auto"/>
            </w:tcBorders>
            <w:shd w:val="clear" w:color="auto" w:fill="F2F2F2" w:themeFill="background1" w:themeFillShade="F2"/>
            <w:vAlign w:val="center"/>
            <w:hideMark/>
          </w:tcPr>
          <w:p w14:paraId="663766A5" w14:textId="77777777" w:rsidR="00DD4B26" w:rsidRPr="009140BE" w:rsidRDefault="00DD4B26" w:rsidP="00050E91">
            <w:pPr>
              <w:keepNext/>
              <w:spacing w:line="240" w:lineRule="auto"/>
              <w:jc w:val="right"/>
              <w:rPr>
                <w:sz w:val="20"/>
              </w:rPr>
            </w:pPr>
            <w:r w:rsidRPr="009140BE">
              <w:rPr>
                <w:sz w:val="20"/>
              </w:rPr>
              <w:t>10</w:t>
            </w:r>
          </w:p>
        </w:tc>
        <w:tc>
          <w:tcPr>
            <w:tcW w:w="1260" w:type="dxa"/>
            <w:tcBorders>
              <w:top w:val="nil"/>
              <w:bottom w:val="single" w:sz="4" w:space="0" w:color="auto"/>
            </w:tcBorders>
            <w:shd w:val="clear" w:color="auto" w:fill="F2F2F2" w:themeFill="background1" w:themeFillShade="F2"/>
            <w:vAlign w:val="center"/>
            <w:hideMark/>
          </w:tcPr>
          <w:p w14:paraId="7669BBB4" w14:textId="77777777" w:rsidR="00DD4B26" w:rsidRPr="009140BE" w:rsidRDefault="00DD4B26" w:rsidP="00050E91">
            <w:pPr>
              <w:keepNext/>
              <w:spacing w:line="240" w:lineRule="auto"/>
              <w:jc w:val="right"/>
              <w:rPr>
                <w:sz w:val="20"/>
              </w:rPr>
            </w:pPr>
            <w:r w:rsidRPr="009140BE">
              <w:rPr>
                <w:sz w:val="20"/>
              </w:rPr>
              <w:t>93</w:t>
            </w:r>
          </w:p>
        </w:tc>
      </w:tr>
      <w:tr w:rsidR="00DD4B26" w:rsidRPr="00021009" w14:paraId="1137F5A4" w14:textId="77777777" w:rsidTr="00050E91">
        <w:trPr>
          <w:trHeight w:val="144"/>
        </w:trPr>
        <w:tc>
          <w:tcPr>
            <w:tcW w:w="3348" w:type="dxa"/>
            <w:tcBorders>
              <w:bottom w:val="nil"/>
            </w:tcBorders>
            <w:shd w:val="clear" w:color="auto" w:fill="auto"/>
            <w:vAlign w:val="center"/>
          </w:tcPr>
          <w:p w14:paraId="72985912" w14:textId="77777777" w:rsidR="00DD4B26" w:rsidRPr="009140BE" w:rsidRDefault="00DD4B26" w:rsidP="00050E91">
            <w:pPr>
              <w:keepNext/>
              <w:spacing w:line="240" w:lineRule="auto"/>
              <w:jc w:val="left"/>
              <w:rPr>
                <w:sz w:val="20"/>
              </w:rPr>
            </w:pPr>
            <w:r w:rsidRPr="009140BE">
              <w:rPr>
                <w:b/>
                <w:bCs/>
                <w:sz w:val="20"/>
              </w:rPr>
              <w:t>Pre-Assessment Activity</w:t>
            </w:r>
          </w:p>
        </w:tc>
        <w:tc>
          <w:tcPr>
            <w:tcW w:w="810" w:type="dxa"/>
            <w:tcBorders>
              <w:bottom w:val="nil"/>
            </w:tcBorders>
            <w:shd w:val="clear" w:color="auto" w:fill="auto"/>
            <w:vAlign w:val="center"/>
          </w:tcPr>
          <w:p w14:paraId="599E0AAA" w14:textId="77777777" w:rsidR="00DD4B26" w:rsidRPr="009140BE" w:rsidRDefault="00DD4B26" w:rsidP="00050E91">
            <w:pPr>
              <w:keepNext/>
              <w:spacing w:line="240" w:lineRule="auto"/>
              <w:jc w:val="right"/>
              <w:rPr>
                <w:color w:val="000000"/>
                <w:sz w:val="20"/>
              </w:rPr>
            </w:pPr>
          </w:p>
        </w:tc>
        <w:tc>
          <w:tcPr>
            <w:tcW w:w="1260" w:type="dxa"/>
            <w:tcBorders>
              <w:bottom w:val="nil"/>
            </w:tcBorders>
            <w:shd w:val="clear" w:color="auto" w:fill="auto"/>
            <w:vAlign w:val="center"/>
          </w:tcPr>
          <w:p w14:paraId="1F0BF0CE" w14:textId="77777777" w:rsidR="00DD4B26" w:rsidRPr="009140BE" w:rsidRDefault="00DD4B26" w:rsidP="00050E91">
            <w:pPr>
              <w:keepNext/>
              <w:spacing w:line="240" w:lineRule="auto"/>
              <w:jc w:val="right"/>
              <w:rPr>
                <w:color w:val="000000"/>
                <w:sz w:val="20"/>
              </w:rPr>
            </w:pPr>
          </w:p>
        </w:tc>
        <w:tc>
          <w:tcPr>
            <w:tcW w:w="1170" w:type="dxa"/>
            <w:tcBorders>
              <w:bottom w:val="nil"/>
            </w:tcBorders>
            <w:shd w:val="clear" w:color="auto" w:fill="auto"/>
            <w:vAlign w:val="center"/>
          </w:tcPr>
          <w:p w14:paraId="2821C888" w14:textId="77777777" w:rsidR="00DD4B26" w:rsidRPr="009140BE" w:rsidRDefault="00DD4B26" w:rsidP="00050E91">
            <w:pPr>
              <w:keepNext/>
              <w:spacing w:line="240" w:lineRule="auto"/>
              <w:jc w:val="right"/>
              <w:rPr>
                <w:color w:val="000000"/>
                <w:sz w:val="20"/>
              </w:rPr>
            </w:pPr>
          </w:p>
        </w:tc>
        <w:tc>
          <w:tcPr>
            <w:tcW w:w="1080" w:type="dxa"/>
            <w:tcBorders>
              <w:bottom w:val="nil"/>
            </w:tcBorders>
            <w:shd w:val="clear" w:color="auto" w:fill="auto"/>
            <w:vAlign w:val="center"/>
          </w:tcPr>
          <w:p w14:paraId="3316DE00" w14:textId="77777777" w:rsidR="00DD4B26" w:rsidRPr="009140BE" w:rsidRDefault="00DD4B26" w:rsidP="00050E91">
            <w:pPr>
              <w:keepNext/>
              <w:spacing w:line="240" w:lineRule="auto"/>
              <w:jc w:val="right"/>
              <w:rPr>
                <w:color w:val="000000"/>
                <w:sz w:val="20"/>
              </w:rPr>
            </w:pPr>
          </w:p>
        </w:tc>
        <w:tc>
          <w:tcPr>
            <w:tcW w:w="1800" w:type="dxa"/>
            <w:tcBorders>
              <w:bottom w:val="nil"/>
            </w:tcBorders>
            <w:shd w:val="clear" w:color="auto" w:fill="auto"/>
            <w:vAlign w:val="center"/>
          </w:tcPr>
          <w:p w14:paraId="0F4F829D" w14:textId="77777777" w:rsidR="00DD4B26" w:rsidRPr="009140BE" w:rsidRDefault="00DD4B26" w:rsidP="00050E91">
            <w:pPr>
              <w:keepNext/>
              <w:spacing w:line="240" w:lineRule="auto"/>
              <w:jc w:val="right"/>
              <w:rPr>
                <w:color w:val="000000"/>
                <w:sz w:val="20"/>
              </w:rPr>
            </w:pPr>
          </w:p>
        </w:tc>
        <w:tc>
          <w:tcPr>
            <w:tcW w:w="1260" w:type="dxa"/>
            <w:tcBorders>
              <w:bottom w:val="nil"/>
            </w:tcBorders>
            <w:shd w:val="clear" w:color="auto" w:fill="auto"/>
            <w:vAlign w:val="center"/>
          </w:tcPr>
          <w:p w14:paraId="785287FD" w14:textId="77777777" w:rsidR="00DD4B26" w:rsidRPr="009140BE" w:rsidRDefault="00DD4B26" w:rsidP="00050E91">
            <w:pPr>
              <w:keepNext/>
              <w:spacing w:line="240" w:lineRule="auto"/>
              <w:jc w:val="right"/>
              <w:rPr>
                <w:color w:val="000000"/>
                <w:sz w:val="20"/>
              </w:rPr>
            </w:pPr>
          </w:p>
        </w:tc>
      </w:tr>
      <w:tr w:rsidR="00DD4B26" w:rsidRPr="00021009" w14:paraId="73CB0617" w14:textId="77777777" w:rsidTr="00050E91">
        <w:trPr>
          <w:trHeight w:val="144"/>
        </w:trPr>
        <w:tc>
          <w:tcPr>
            <w:tcW w:w="3348" w:type="dxa"/>
            <w:tcBorders>
              <w:top w:val="nil"/>
              <w:bottom w:val="single" w:sz="4" w:space="0" w:color="auto"/>
            </w:tcBorders>
            <w:shd w:val="clear" w:color="auto" w:fill="auto"/>
            <w:vAlign w:val="center"/>
            <w:hideMark/>
          </w:tcPr>
          <w:p w14:paraId="2AD74A74" w14:textId="77777777" w:rsidR="00DD4B26" w:rsidRPr="009140BE" w:rsidRDefault="00DD4B26" w:rsidP="00050E91">
            <w:pPr>
              <w:keepNext/>
              <w:spacing w:line="240" w:lineRule="auto"/>
              <w:jc w:val="left"/>
              <w:rPr>
                <w:sz w:val="20"/>
              </w:rPr>
            </w:pPr>
            <w:r w:rsidRPr="009140BE">
              <w:rPr>
                <w:sz w:val="20"/>
              </w:rPr>
              <w:t>School Coordinator</w:t>
            </w:r>
          </w:p>
        </w:tc>
        <w:tc>
          <w:tcPr>
            <w:tcW w:w="810" w:type="dxa"/>
            <w:tcBorders>
              <w:top w:val="nil"/>
              <w:bottom w:val="single" w:sz="4" w:space="0" w:color="auto"/>
            </w:tcBorders>
            <w:shd w:val="clear" w:color="auto" w:fill="auto"/>
            <w:vAlign w:val="center"/>
            <w:hideMark/>
          </w:tcPr>
          <w:p w14:paraId="20500E9F" w14:textId="77777777" w:rsidR="00DD4B26" w:rsidRPr="009140BE" w:rsidRDefault="00DD4B26" w:rsidP="00050E91">
            <w:pPr>
              <w:keepNext/>
              <w:spacing w:line="240" w:lineRule="auto"/>
              <w:jc w:val="right"/>
              <w:rPr>
                <w:color w:val="000000"/>
                <w:sz w:val="20"/>
              </w:rPr>
            </w:pPr>
            <w:r w:rsidRPr="009140BE">
              <w:rPr>
                <w:color w:val="000000"/>
                <w:sz w:val="20"/>
              </w:rPr>
              <w:t>3</w:t>
            </w:r>
            <w:r>
              <w:rPr>
                <w:color w:val="000000"/>
                <w:sz w:val="20"/>
              </w:rPr>
              <w:t>5</w:t>
            </w:r>
          </w:p>
        </w:tc>
        <w:tc>
          <w:tcPr>
            <w:tcW w:w="1260" w:type="dxa"/>
            <w:tcBorders>
              <w:top w:val="nil"/>
              <w:bottom w:val="single" w:sz="4" w:space="0" w:color="auto"/>
            </w:tcBorders>
            <w:shd w:val="clear" w:color="auto" w:fill="auto"/>
            <w:vAlign w:val="center"/>
            <w:hideMark/>
          </w:tcPr>
          <w:p w14:paraId="3A4DB25E" w14:textId="77777777" w:rsidR="00DD4B26" w:rsidRPr="009140BE" w:rsidRDefault="00DD4B26" w:rsidP="00050E91">
            <w:pPr>
              <w:keepNext/>
              <w:spacing w:line="240" w:lineRule="auto"/>
              <w:jc w:val="right"/>
              <w:rPr>
                <w:color w:val="000000"/>
                <w:sz w:val="20"/>
              </w:rPr>
            </w:pPr>
            <w:r>
              <w:rPr>
                <w:color w:val="000000"/>
                <w:sz w:val="20"/>
              </w:rPr>
              <w:t>0.85</w:t>
            </w:r>
          </w:p>
        </w:tc>
        <w:tc>
          <w:tcPr>
            <w:tcW w:w="1170" w:type="dxa"/>
            <w:tcBorders>
              <w:top w:val="nil"/>
              <w:bottom w:val="single" w:sz="4" w:space="0" w:color="auto"/>
            </w:tcBorders>
            <w:shd w:val="clear" w:color="auto" w:fill="auto"/>
            <w:vAlign w:val="center"/>
            <w:hideMark/>
          </w:tcPr>
          <w:p w14:paraId="51C09A5D" w14:textId="77777777" w:rsidR="00DD4B26" w:rsidRPr="009140BE" w:rsidRDefault="00DD4B26" w:rsidP="00050E91">
            <w:pPr>
              <w:keepNext/>
              <w:spacing w:line="240" w:lineRule="auto"/>
              <w:jc w:val="right"/>
              <w:rPr>
                <w:color w:val="000000"/>
                <w:sz w:val="20"/>
              </w:rPr>
            </w:pPr>
            <w:r w:rsidRPr="009140BE">
              <w:rPr>
                <w:color w:val="000000"/>
                <w:sz w:val="20"/>
              </w:rPr>
              <w:t>30</w:t>
            </w:r>
          </w:p>
        </w:tc>
        <w:tc>
          <w:tcPr>
            <w:tcW w:w="1080" w:type="dxa"/>
            <w:tcBorders>
              <w:top w:val="nil"/>
              <w:bottom w:val="single" w:sz="4" w:space="0" w:color="auto"/>
            </w:tcBorders>
            <w:shd w:val="clear" w:color="auto" w:fill="auto"/>
            <w:vAlign w:val="center"/>
            <w:hideMark/>
          </w:tcPr>
          <w:p w14:paraId="64EEAFEF" w14:textId="77777777" w:rsidR="00DD4B26" w:rsidRPr="009140BE" w:rsidRDefault="00DD4B26" w:rsidP="00050E91">
            <w:pPr>
              <w:keepNext/>
              <w:spacing w:line="240" w:lineRule="auto"/>
              <w:jc w:val="right"/>
              <w:rPr>
                <w:color w:val="000000"/>
                <w:sz w:val="20"/>
              </w:rPr>
            </w:pPr>
            <w:r w:rsidRPr="009140BE">
              <w:rPr>
                <w:color w:val="000000"/>
                <w:sz w:val="20"/>
              </w:rPr>
              <w:t>30</w:t>
            </w:r>
          </w:p>
        </w:tc>
        <w:tc>
          <w:tcPr>
            <w:tcW w:w="1800" w:type="dxa"/>
            <w:tcBorders>
              <w:top w:val="nil"/>
              <w:bottom w:val="single" w:sz="4" w:space="0" w:color="auto"/>
            </w:tcBorders>
            <w:shd w:val="clear" w:color="auto" w:fill="auto"/>
            <w:vAlign w:val="center"/>
            <w:hideMark/>
          </w:tcPr>
          <w:p w14:paraId="33E04EF9" w14:textId="77777777" w:rsidR="00DD4B26" w:rsidRPr="009140BE" w:rsidRDefault="00DD4B26" w:rsidP="00050E91">
            <w:pPr>
              <w:keepNext/>
              <w:spacing w:line="240" w:lineRule="auto"/>
              <w:jc w:val="right"/>
              <w:rPr>
                <w:color w:val="000000"/>
                <w:sz w:val="20"/>
              </w:rPr>
            </w:pPr>
            <w:r w:rsidRPr="009140BE">
              <w:rPr>
                <w:color w:val="000000"/>
                <w:sz w:val="20"/>
              </w:rPr>
              <w:t>240</w:t>
            </w:r>
          </w:p>
        </w:tc>
        <w:tc>
          <w:tcPr>
            <w:tcW w:w="1260" w:type="dxa"/>
            <w:tcBorders>
              <w:top w:val="nil"/>
              <w:bottom w:val="single" w:sz="4" w:space="0" w:color="auto"/>
            </w:tcBorders>
            <w:shd w:val="clear" w:color="auto" w:fill="auto"/>
            <w:vAlign w:val="center"/>
            <w:hideMark/>
          </w:tcPr>
          <w:p w14:paraId="3F42768E" w14:textId="77777777" w:rsidR="00DD4B26" w:rsidRPr="009140BE" w:rsidRDefault="00DD4B26" w:rsidP="00050E91">
            <w:pPr>
              <w:keepNext/>
              <w:spacing w:line="240" w:lineRule="auto"/>
              <w:jc w:val="right"/>
              <w:rPr>
                <w:color w:val="000000"/>
                <w:sz w:val="20"/>
              </w:rPr>
            </w:pPr>
            <w:r w:rsidRPr="009140BE">
              <w:rPr>
                <w:color w:val="000000"/>
                <w:sz w:val="20"/>
              </w:rPr>
              <w:t>120</w:t>
            </w:r>
          </w:p>
        </w:tc>
      </w:tr>
      <w:tr w:rsidR="00DD4B26" w:rsidRPr="00021009" w14:paraId="6D11BE3A" w14:textId="77777777" w:rsidTr="00050E91">
        <w:trPr>
          <w:trHeight w:val="144"/>
        </w:trPr>
        <w:tc>
          <w:tcPr>
            <w:tcW w:w="3348" w:type="dxa"/>
            <w:tcBorders>
              <w:bottom w:val="nil"/>
            </w:tcBorders>
            <w:shd w:val="clear" w:color="auto" w:fill="auto"/>
            <w:vAlign w:val="center"/>
            <w:hideMark/>
          </w:tcPr>
          <w:p w14:paraId="4EB59EC2" w14:textId="77777777" w:rsidR="00DD4B26" w:rsidRPr="009140BE" w:rsidRDefault="00DD4B26" w:rsidP="00050E91">
            <w:pPr>
              <w:keepNext/>
              <w:spacing w:line="240" w:lineRule="auto"/>
              <w:jc w:val="left"/>
              <w:rPr>
                <w:b/>
                <w:bCs/>
                <w:color w:val="000000"/>
                <w:sz w:val="20"/>
              </w:rPr>
            </w:pPr>
            <w:r w:rsidRPr="009140BE">
              <w:rPr>
                <w:b/>
                <w:bCs/>
                <w:color w:val="000000"/>
                <w:sz w:val="20"/>
              </w:rPr>
              <w:t>Data Collection</w:t>
            </w:r>
          </w:p>
        </w:tc>
        <w:tc>
          <w:tcPr>
            <w:tcW w:w="810" w:type="dxa"/>
            <w:tcBorders>
              <w:bottom w:val="nil"/>
            </w:tcBorders>
            <w:shd w:val="clear" w:color="auto" w:fill="auto"/>
            <w:vAlign w:val="center"/>
            <w:hideMark/>
          </w:tcPr>
          <w:p w14:paraId="289862CD" w14:textId="77777777" w:rsidR="00DD4B26" w:rsidRPr="009140BE" w:rsidRDefault="00DD4B26" w:rsidP="00050E91">
            <w:pPr>
              <w:keepNext/>
              <w:spacing w:line="240" w:lineRule="auto"/>
              <w:jc w:val="right"/>
              <w:rPr>
                <w:color w:val="000000"/>
                <w:sz w:val="20"/>
              </w:rPr>
            </w:pPr>
          </w:p>
        </w:tc>
        <w:tc>
          <w:tcPr>
            <w:tcW w:w="1260" w:type="dxa"/>
            <w:tcBorders>
              <w:bottom w:val="nil"/>
            </w:tcBorders>
            <w:shd w:val="clear" w:color="auto" w:fill="auto"/>
            <w:vAlign w:val="center"/>
            <w:hideMark/>
          </w:tcPr>
          <w:p w14:paraId="791322A5" w14:textId="77777777" w:rsidR="00DD4B26" w:rsidRPr="009140BE" w:rsidRDefault="00DD4B26" w:rsidP="00050E91">
            <w:pPr>
              <w:keepNext/>
              <w:spacing w:line="240" w:lineRule="auto"/>
              <w:jc w:val="right"/>
              <w:rPr>
                <w:color w:val="000000"/>
                <w:sz w:val="20"/>
              </w:rPr>
            </w:pPr>
          </w:p>
        </w:tc>
        <w:tc>
          <w:tcPr>
            <w:tcW w:w="1170" w:type="dxa"/>
            <w:tcBorders>
              <w:bottom w:val="nil"/>
            </w:tcBorders>
            <w:shd w:val="clear" w:color="auto" w:fill="auto"/>
            <w:vAlign w:val="center"/>
            <w:hideMark/>
          </w:tcPr>
          <w:p w14:paraId="6E24FB6A" w14:textId="77777777" w:rsidR="00DD4B26" w:rsidRPr="009140BE" w:rsidRDefault="00DD4B26" w:rsidP="00050E91">
            <w:pPr>
              <w:keepNext/>
              <w:spacing w:line="240" w:lineRule="auto"/>
              <w:jc w:val="right"/>
              <w:rPr>
                <w:color w:val="000000"/>
                <w:sz w:val="20"/>
              </w:rPr>
            </w:pPr>
          </w:p>
        </w:tc>
        <w:tc>
          <w:tcPr>
            <w:tcW w:w="1080" w:type="dxa"/>
            <w:tcBorders>
              <w:bottom w:val="nil"/>
            </w:tcBorders>
            <w:shd w:val="clear" w:color="auto" w:fill="auto"/>
            <w:vAlign w:val="center"/>
            <w:hideMark/>
          </w:tcPr>
          <w:p w14:paraId="1BCE0BDE" w14:textId="77777777" w:rsidR="00DD4B26" w:rsidRPr="009140BE" w:rsidRDefault="00DD4B26" w:rsidP="00050E91">
            <w:pPr>
              <w:keepNext/>
              <w:spacing w:line="240" w:lineRule="auto"/>
              <w:jc w:val="right"/>
              <w:rPr>
                <w:color w:val="000000"/>
                <w:sz w:val="20"/>
              </w:rPr>
            </w:pPr>
          </w:p>
        </w:tc>
        <w:tc>
          <w:tcPr>
            <w:tcW w:w="1800" w:type="dxa"/>
            <w:tcBorders>
              <w:bottom w:val="nil"/>
            </w:tcBorders>
            <w:shd w:val="clear" w:color="auto" w:fill="auto"/>
            <w:vAlign w:val="center"/>
            <w:hideMark/>
          </w:tcPr>
          <w:p w14:paraId="4AAA0EF3" w14:textId="77777777" w:rsidR="00DD4B26" w:rsidRPr="009140BE" w:rsidRDefault="00DD4B26" w:rsidP="00050E91">
            <w:pPr>
              <w:keepNext/>
              <w:spacing w:line="240" w:lineRule="auto"/>
              <w:jc w:val="right"/>
              <w:rPr>
                <w:color w:val="000000"/>
                <w:sz w:val="20"/>
              </w:rPr>
            </w:pPr>
          </w:p>
        </w:tc>
        <w:tc>
          <w:tcPr>
            <w:tcW w:w="1260" w:type="dxa"/>
            <w:tcBorders>
              <w:bottom w:val="nil"/>
            </w:tcBorders>
            <w:shd w:val="clear" w:color="auto" w:fill="auto"/>
            <w:vAlign w:val="center"/>
            <w:hideMark/>
          </w:tcPr>
          <w:p w14:paraId="790C6F2B" w14:textId="77777777" w:rsidR="00DD4B26" w:rsidRPr="009140BE" w:rsidRDefault="00DD4B26" w:rsidP="00050E91">
            <w:pPr>
              <w:keepNext/>
              <w:spacing w:line="240" w:lineRule="auto"/>
              <w:jc w:val="right"/>
              <w:rPr>
                <w:color w:val="000000"/>
                <w:sz w:val="20"/>
              </w:rPr>
            </w:pPr>
            <w:r w:rsidRPr="009140BE">
              <w:rPr>
                <w:color w:val="000000"/>
                <w:sz w:val="20"/>
              </w:rPr>
              <w:t> </w:t>
            </w:r>
          </w:p>
        </w:tc>
      </w:tr>
      <w:tr w:rsidR="00DD4B26" w:rsidRPr="00021009" w14:paraId="64DA03FD" w14:textId="77777777" w:rsidTr="00050E91">
        <w:trPr>
          <w:trHeight w:val="144"/>
        </w:trPr>
        <w:tc>
          <w:tcPr>
            <w:tcW w:w="3348" w:type="dxa"/>
            <w:tcBorders>
              <w:top w:val="nil"/>
              <w:bottom w:val="nil"/>
            </w:tcBorders>
            <w:shd w:val="clear" w:color="auto" w:fill="auto"/>
            <w:vAlign w:val="center"/>
            <w:hideMark/>
          </w:tcPr>
          <w:p w14:paraId="5CBBAFC7" w14:textId="77777777" w:rsidR="00DD4B26" w:rsidRPr="009140BE" w:rsidRDefault="00DD4B26" w:rsidP="00050E91">
            <w:pPr>
              <w:keepNext/>
              <w:spacing w:line="240" w:lineRule="auto"/>
              <w:jc w:val="left"/>
              <w:rPr>
                <w:color w:val="000000"/>
                <w:sz w:val="20"/>
              </w:rPr>
            </w:pPr>
            <w:r w:rsidRPr="009140BE">
              <w:rPr>
                <w:color w:val="000000"/>
                <w:sz w:val="20"/>
              </w:rPr>
              <w:t>Parent Questionnaire</w:t>
            </w:r>
            <w:r>
              <w:rPr>
                <w:color w:val="000000"/>
                <w:sz w:val="20"/>
              </w:rPr>
              <w:t>*</w:t>
            </w:r>
          </w:p>
        </w:tc>
        <w:tc>
          <w:tcPr>
            <w:tcW w:w="810" w:type="dxa"/>
            <w:tcBorders>
              <w:top w:val="nil"/>
              <w:bottom w:val="nil"/>
            </w:tcBorders>
            <w:shd w:val="clear" w:color="auto" w:fill="auto"/>
            <w:vAlign w:val="center"/>
            <w:hideMark/>
          </w:tcPr>
          <w:p w14:paraId="2753571C" w14:textId="77777777" w:rsidR="00DD4B26" w:rsidRPr="009140BE" w:rsidRDefault="00DD4B26" w:rsidP="00050E91">
            <w:pPr>
              <w:keepNext/>
              <w:spacing w:line="240" w:lineRule="auto"/>
              <w:jc w:val="right"/>
              <w:rPr>
                <w:color w:val="000000"/>
                <w:sz w:val="20"/>
              </w:rPr>
            </w:pPr>
            <w:r w:rsidRPr="009140BE">
              <w:rPr>
                <w:color w:val="000000"/>
                <w:sz w:val="20"/>
              </w:rPr>
              <w:t>560</w:t>
            </w:r>
          </w:p>
        </w:tc>
        <w:tc>
          <w:tcPr>
            <w:tcW w:w="1260" w:type="dxa"/>
            <w:tcBorders>
              <w:top w:val="nil"/>
              <w:bottom w:val="nil"/>
            </w:tcBorders>
            <w:shd w:val="clear" w:color="auto" w:fill="auto"/>
            <w:vAlign w:val="center"/>
            <w:hideMark/>
          </w:tcPr>
          <w:p w14:paraId="4341A3A4" w14:textId="77777777" w:rsidR="00DD4B26" w:rsidRPr="009140BE" w:rsidRDefault="00DD4B26" w:rsidP="00050E91">
            <w:pPr>
              <w:keepNext/>
              <w:spacing w:line="240" w:lineRule="auto"/>
              <w:jc w:val="right"/>
              <w:rPr>
                <w:color w:val="000000"/>
                <w:sz w:val="20"/>
              </w:rPr>
            </w:pPr>
            <w:r w:rsidRPr="009140BE">
              <w:rPr>
                <w:color w:val="000000"/>
                <w:sz w:val="20"/>
              </w:rPr>
              <w:t>0.85</w:t>
            </w:r>
          </w:p>
        </w:tc>
        <w:tc>
          <w:tcPr>
            <w:tcW w:w="1170" w:type="dxa"/>
            <w:tcBorders>
              <w:top w:val="nil"/>
              <w:bottom w:val="nil"/>
            </w:tcBorders>
            <w:shd w:val="clear" w:color="auto" w:fill="auto"/>
            <w:vAlign w:val="center"/>
            <w:hideMark/>
          </w:tcPr>
          <w:p w14:paraId="482F9595" w14:textId="77777777" w:rsidR="00DD4B26" w:rsidRPr="009140BE" w:rsidRDefault="00DD4B26" w:rsidP="00050E91">
            <w:pPr>
              <w:keepNext/>
              <w:spacing w:line="240" w:lineRule="auto"/>
              <w:jc w:val="right"/>
              <w:rPr>
                <w:color w:val="000000"/>
                <w:sz w:val="20"/>
              </w:rPr>
            </w:pPr>
            <w:r w:rsidRPr="009140BE">
              <w:rPr>
                <w:color w:val="000000"/>
                <w:sz w:val="20"/>
              </w:rPr>
              <w:t>476</w:t>
            </w:r>
            <w:r>
              <w:rPr>
                <w:color w:val="000000"/>
                <w:sz w:val="20"/>
              </w:rPr>
              <w:t>*</w:t>
            </w:r>
          </w:p>
        </w:tc>
        <w:tc>
          <w:tcPr>
            <w:tcW w:w="1080" w:type="dxa"/>
            <w:tcBorders>
              <w:top w:val="nil"/>
              <w:bottom w:val="nil"/>
            </w:tcBorders>
            <w:shd w:val="clear" w:color="auto" w:fill="auto"/>
            <w:vAlign w:val="center"/>
            <w:hideMark/>
          </w:tcPr>
          <w:p w14:paraId="648A4826" w14:textId="77777777" w:rsidR="00DD4B26" w:rsidRPr="009140BE" w:rsidRDefault="00DD4B26" w:rsidP="00050E91">
            <w:pPr>
              <w:keepNext/>
              <w:spacing w:line="240" w:lineRule="auto"/>
              <w:jc w:val="right"/>
              <w:rPr>
                <w:color w:val="000000"/>
                <w:sz w:val="20"/>
              </w:rPr>
            </w:pPr>
            <w:r w:rsidRPr="009140BE">
              <w:rPr>
                <w:color w:val="000000"/>
                <w:sz w:val="20"/>
              </w:rPr>
              <w:t>476</w:t>
            </w:r>
          </w:p>
        </w:tc>
        <w:tc>
          <w:tcPr>
            <w:tcW w:w="1800" w:type="dxa"/>
            <w:tcBorders>
              <w:top w:val="nil"/>
              <w:bottom w:val="nil"/>
            </w:tcBorders>
            <w:shd w:val="clear" w:color="auto" w:fill="auto"/>
            <w:vAlign w:val="center"/>
            <w:hideMark/>
          </w:tcPr>
          <w:p w14:paraId="27FEBD89" w14:textId="77777777" w:rsidR="00DD4B26" w:rsidRPr="009140BE" w:rsidRDefault="00DD4B26" w:rsidP="00050E91">
            <w:pPr>
              <w:keepNext/>
              <w:spacing w:line="240" w:lineRule="auto"/>
              <w:jc w:val="right"/>
              <w:rPr>
                <w:color w:val="000000"/>
                <w:sz w:val="20"/>
              </w:rPr>
            </w:pPr>
            <w:r w:rsidRPr="009140BE">
              <w:rPr>
                <w:color w:val="000000"/>
                <w:sz w:val="20"/>
              </w:rPr>
              <w:t>30</w:t>
            </w:r>
          </w:p>
        </w:tc>
        <w:tc>
          <w:tcPr>
            <w:tcW w:w="1260" w:type="dxa"/>
            <w:tcBorders>
              <w:top w:val="nil"/>
              <w:bottom w:val="nil"/>
            </w:tcBorders>
            <w:shd w:val="clear" w:color="auto" w:fill="auto"/>
            <w:vAlign w:val="center"/>
            <w:hideMark/>
          </w:tcPr>
          <w:p w14:paraId="72BA018A" w14:textId="77777777" w:rsidR="00DD4B26" w:rsidRPr="009140BE" w:rsidRDefault="00DD4B26" w:rsidP="00050E91">
            <w:pPr>
              <w:keepNext/>
              <w:spacing w:line="240" w:lineRule="auto"/>
              <w:jc w:val="right"/>
              <w:rPr>
                <w:color w:val="000000"/>
                <w:sz w:val="20"/>
              </w:rPr>
            </w:pPr>
            <w:r w:rsidRPr="009140BE">
              <w:rPr>
                <w:color w:val="000000"/>
                <w:sz w:val="20"/>
              </w:rPr>
              <w:t>238</w:t>
            </w:r>
          </w:p>
        </w:tc>
      </w:tr>
      <w:tr w:rsidR="00DD4B26" w:rsidRPr="00021009" w14:paraId="2DC3019E" w14:textId="77777777" w:rsidTr="00050E91">
        <w:trPr>
          <w:trHeight w:val="144"/>
        </w:trPr>
        <w:tc>
          <w:tcPr>
            <w:tcW w:w="3348" w:type="dxa"/>
            <w:tcBorders>
              <w:top w:val="nil"/>
              <w:bottom w:val="nil"/>
            </w:tcBorders>
            <w:shd w:val="clear" w:color="auto" w:fill="auto"/>
            <w:vAlign w:val="center"/>
            <w:hideMark/>
          </w:tcPr>
          <w:p w14:paraId="1AD800AA" w14:textId="77777777" w:rsidR="00DD4B26" w:rsidRPr="009140BE" w:rsidRDefault="00DD4B26" w:rsidP="00050E91">
            <w:pPr>
              <w:keepNext/>
              <w:spacing w:line="240" w:lineRule="auto"/>
              <w:jc w:val="left"/>
              <w:rPr>
                <w:color w:val="000000"/>
                <w:sz w:val="20"/>
              </w:rPr>
            </w:pPr>
            <w:r w:rsidRPr="009140BE">
              <w:rPr>
                <w:color w:val="000000"/>
                <w:sz w:val="20"/>
              </w:rPr>
              <w:t>Teacher Questionnaire</w:t>
            </w:r>
          </w:p>
        </w:tc>
        <w:tc>
          <w:tcPr>
            <w:tcW w:w="810" w:type="dxa"/>
            <w:tcBorders>
              <w:top w:val="nil"/>
              <w:bottom w:val="nil"/>
            </w:tcBorders>
            <w:shd w:val="clear" w:color="auto" w:fill="auto"/>
            <w:vAlign w:val="center"/>
            <w:hideMark/>
          </w:tcPr>
          <w:p w14:paraId="6B9E47FB" w14:textId="4A80A979" w:rsidR="00DD4B26" w:rsidRPr="009140BE" w:rsidRDefault="00FD78D0" w:rsidP="00050E91">
            <w:pPr>
              <w:keepNext/>
              <w:spacing w:line="240" w:lineRule="auto"/>
              <w:jc w:val="right"/>
              <w:rPr>
                <w:color w:val="000000"/>
                <w:sz w:val="20"/>
              </w:rPr>
            </w:pPr>
            <w:r>
              <w:rPr>
                <w:color w:val="000000"/>
                <w:sz w:val="20"/>
              </w:rPr>
              <w:t>141</w:t>
            </w:r>
          </w:p>
        </w:tc>
        <w:tc>
          <w:tcPr>
            <w:tcW w:w="1260" w:type="dxa"/>
            <w:tcBorders>
              <w:top w:val="nil"/>
              <w:bottom w:val="nil"/>
            </w:tcBorders>
            <w:shd w:val="clear" w:color="auto" w:fill="auto"/>
            <w:vAlign w:val="center"/>
            <w:hideMark/>
          </w:tcPr>
          <w:p w14:paraId="323C5A4D" w14:textId="77777777" w:rsidR="00DD4B26" w:rsidRPr="009140BE" w:rsidRDefault="00DD4B26" w:rsidP="00050E91">
            <w:pPr>
              <w:keepNext/>
              <w:spacing w:line="240" w:lineRule="auto"/>
              <w:jc w:val="right"/>
              <w:rPr>
                <w:color w:val="000000"/>
                <w:sz w:val="20"/>
              </w:rPr>
            </w:pPr>
            <w:r w:rsidRPr="009140BE">
              <w:rPr>
                <w:color w:val="000000"/>
                <w:sz w:val="20"/>
              </w:rPr>
              <w:t>0.85</w:t>
            </w:r>
          </w:p>
        </w:tc>
        <w:tc>
          <w:tcPr>
            <w:tcW w:w="1170" w:type="dxa"/>
            <w:tcBorders>
              <w:top w:val="nil"/>
              <w:bottom w:val="nil"/>
            </w:tcBorders>
            <w:shd w:val="clear" w:color="auto" w:fill="auto"/>
            <w:vAlign w:val="center"/>
            <w:hideMark/>
          </w:tcPr>
          <w:p w14:paraId="50610806" w14:textId="2B99D9EC" w:rsidR="00DD4B26" w:rsidRPr="009140BE" w:rsidRDefault="00FD78D0" w:rsidP="00050E91">
            <w:pPr>
              <w:keepNext/>
              <w:spacing w:line="240" w:lineRule="auto"/>
              <w:jc w:val="right"/>
              <w:rPr>
                <w:color w:val="000000"/>
                <w:sz w:val="20"/>
              </w:rPr>
            </w:pPr>
            <w:r>
              <w:rPr>
                <w:color w:val="000000"/>
                <w:sz w:val="20"/>
              </w:rPr>
              <w:t>120</w:t>
            </w:r>
          </w:p>
        </w:tc>
        <w:tc>
          <w:tcPr>
            <w:tcW w:w="1080" w:type="dxa"/>
            <w:tcBorders>
              <w:top w:val="nil"/>
              <w:bottom w:val="nil"/>
            </w:tcBorders>
            <w:shd w:val="clear" w:color="auto" w:fill="auto"/>
            <w:vAlign w:val="center"/>
            <w:hideMark/>
          </w:tcPr>
          <w:p w14:paraId="357DB608" w14:textId="044B4A9E" w:rsidR="00DD4B26" w:rsidRPr="009140BE" w:rsidRDefault="00FD78D0" w:rsidP="00050E91">
            <w:pPr>
              <w:keepNext/>
              <w:spacing w:line="240" w:lineRule="auto"/>
              <w:jc w:val="right"/>
              <w:rPr>
                <w:color w:val="000000"/>
                <w:sz w:val="20"/>
              </w:rPr>
            </w:pPr>
            <w:r>
              <w:rPr>
                <w:color w:val="000000"/>
                <w:sz w:val="20"/>
              </w:rPr>
              <w:t>120</w:t>
            </w:r>
          </w:p>
        </w:tc>
        <w:tc>
          <w:tcPr>
            <w:tcW w:w="1800" w:type="dxa"/>
            <w:tcBorders>
              <w:top w:val="nil"/>
              <w:bottom w:val="nil"/>
            </w:tcBorders>
            <w:shd w:val="clear" w:color="auto" w:fill="auto"/>
            <w:vAlign w:val="center"/>
            <w:hideMark/>
          </w:tcPr>
          <w:p w14:paraId="32BD214E" w14:textId="41AB72B1" w:rsidR="00DD4B26" w:rsidRPr="009140BE" w:rsidRDefault="00BC36EC" w:rsidP="00050E91">
            <w:pPr>
              <w:keepNext/>
              <w:spacing w:line="240" w:lineRule="auto"/>
              <w:jc w:val="right"/>
              <w:rPr>
                <w:color w:val="000000"/>
                <w:sz w:val="20"/>
              </w:rPr>
            </w:pPr>
            <w:r>
              <w:rPr>
                <w:color w:val="000000"/>
                <w:sz w:val="20"/>
              </w:rPr>
              <w:t>23</w:t>
            </w:r>
          </w:p>
        </w:tc>
        <w:tc>
          <w:tcPr>
            <w:tcW w:w="1260" w:type="dxa"/>
            <w:tcBorders>
              <w:top w:val="nil"/>
              <w:bottom w:val="nil"/>
            </w:tcBorders>
            <w:shd w:val="clear" w:color="auto" w:fill="auto"/>
            <w:vAlign w:val="center"/>
            <w:hideMark/>
          </w:tcPr>
          <w:p w14:paraId="1CB3835B" w14:textId="642A9656" w:rsidR="00DD4B26" w:rsidRPr="009140BE" w:rsidRDefault="00FD78D0" w:rsidP="00050E91">
            <w:pPr>
              <w:keepNext/>
              <w:spacing w:line="240" w:lineRule="auto"/>
              <w:jc w:val="right"/>
              <w:rPr>
                <w:color w:val="000000"/>
                <w:sz w:val="20"/>
              </w:rPr>
            </w:pPr>
            <w:r>
              <w:rPr>
                <w:color w:val="000000"/>
                <w:sz w:val="20"/>
              </w:rPr>
              <w:t>46</w:t>
            </w:r>
          </w:p>
        </w:tc>
      </w:tr>
      <w:tr w:rsidR="00DD4B26" w:rsidRPr="006962C9" w14:paraId="5AEF5167" w14:textId="77777777" w:rsidTr="00050E91">
        <w:trPr>
          <w:trHeight w:val="144"/>
        </w:trPr>
        <w:tc>
          <w:tcPr>
            <w:tcW w:w="3348" w:type="dxa"/>
            <w:tcBorders>
              <w:top w:val="nil"/>
            </w:tcBorders>
            <w:shd w:val="clear" w:color="auto" w:fill="auto"/>
            <w:vAlign w:val="center"/>
            <w:hideMark/>
          </w:tcPr>
          <w:p w14:paraId="2D21CFC9" w14:textId="77777777" w:rsidR="00DD4B26" w:rsidRPr="006962C9" w:rsidRDefault="00DD4B26" w:rsidP="00050E91">
            <w:pPr>
              <w:keepNext/>
              <w:spacing w:line="240" w:lineRule="auto"/>
              <w:jc w:val="left"/>
              <w:rPr>
                <w:i/>
                <w:color w:val="7F7F7F" w:themeColor="text1" w:themeTint="80"/>
                <w:sz w:val="20"/>
              </w:rPr>
            </w:pPr>
            <w:r w:rsidRPr="006962C9">
              <w:rPr>
                <w:i/>
                <w:color w:val="7F7F7F" w:themeColor="text1" w:themeTint="80"/>
                <w:sz w:val="20"/>
              </w:rPr>
              <w:t>Students (direct assessment)</w:t>
            </w:r>
          </w:p>
        </w:tc>
        <w:tc>
          <w:tcPr>
            <w:tcW w:w="810" w:type="dxa"/>
            <w:tcBorders>
              <w:top w:val="nil"/>
            </w:tcBorders>
            <w:shd w:val="clear" w:color="auto" w:fill="auto"/>
            <w:vAlign w:val="center"/>
            <w:hideMark/>
          </w:tcPr>
          <w:p w14:paraId="052D0D24" w14:textId="77777777" w:rsidR="00DD4B26" w:rsidRPr="006962C9" w:rsidRDefault="00DD4B26" w:rsidP="00050E91">
            <w:pPr>
              <w:keepNext/>
              <w:spacing w:line="240" w:lineRule="auto"/>
              <w:jc w:val="right"/>
              <w:rPr>
                <w:i/>
                <w:color w:val="7F7F7F" w:themeColor="text1" w:themeTint="80"/>
                <w:sz w:val="20"/>
              </w:rPr>
            </w:pPr>
            <w:r w:rsidRPr="006962C9">
              <w:rPr>
                <w:i/>
                <w:color w:val="7F7F7F" w:themeColor="text1" w:themeTint="80"/>
                <w:sz w:val="20"/>
              </w:rPr>
              <w:t>560</w:t>
            </w:r>
          </w:p>
        </w:tc>
        <w:tc>
          <w:tcPr>
            <w:tcW w:w="1260" w:type="dxa"/>
            <w:tcBorders>
              <w:top w:val="nil"/>
            </w:tcBorders>
            <w:shd w:val="clear" w:color="auto" w:fill="auto"/>
            <w:vAlign w:val="center"/>
            <w:hideMark/>
          </w:tcPr>
          <w:p w14:paraId="2C5DDD9E" w14:textId="77777777" w:rsidR="00DD4B26" w:rsidRPr="006962C9" w:rsidRDefault="00DD4B26" w:rsidP="00050E91">
            <w:pPr>
              <w:keepNext/>
              <w:spacing w:line="240" w:lineRule="auto"/>
              <w:jc w:val="right"/>
              <w:rPr>
                <w:i/>
                <w:color w:val="7F7F7F" w:themeColor="text1" w:themeTint="80"/>
                <w:sz w:val="20"/>
              </w:rPr>
            </w:pPr>
            <w:r w:rsidRPr="006962C9">
              <w:rPr>
                <w:i/>
                <w:color w:val="7F7F7F" w:themeColor="text1" w:themeTint="80"/>
                <w:sz w:val="20"/>
              </w:rPr>
              <w:t>0.85</w:t>
            </w:r>
          </w:p>
        </w:tc>
        <w:tc>
          <w:tcPr>
            <w:tcW w:w="1170" w:type="dxa"/>
            <w:tcBorders>
              <w:top w:val="nil"/>
            </w:tcBorders>
            <w:shd w:val="clear" w:color="auto" w:fill="auto"/>
            <w:vAlign w:val="center"/>
            <w:hideMark/>
          </w:tcPr>
          <w:p w14:paraId="280BD170" w14:textId="77777777" w:rsidR="00DD4B26" w:rsidRPr="006962C9" w:rsidRDefault="00DD4B26" w:rsidP="00050E91">
            <w:pPr>
              <w:keepNext/>
              <w:spacing w:line="240" w:lineRule="auto"/>
              <w:jc w:val="right"/>
              <w:rPr>
                <w:i/>
                <w:color w:val="7F7F7F" w:themeColor="text1" w:themeTint="80"/>
                <w:sz w:val="20"/>
              </w:rPr>
            </w:pPr>
            <w:r w:rsidRPr="006962C9">
              <w:rPr>
                <w:i/>
                <w:color w:val="7F7F7F" w:themeColor="text1" w:themeTint="80"/>
                <w:sz w:val="20"/>
              </w:rPr>
              <w:t>476</w:t>
            </w:r>
          </w:p>
        </w:tc>
        <w:tc>
          <w:tcPr>
            <w:tcW w:w="1080" w:type="dxa"/>
            <w:tcBorders>
              <w:top w:val="nil"/>
            </w:tcBorders>
            <w:shd w:val="clear" w:color="auto" w:fill="auto"/>
            <w:vAlign w:val="center"/>
            <w:hideMark/>
          </w:tcPr>
          <w:p w14:paraId="686E83C3" w14:textId="77777777" w:rsidR="00DD4B26" w:rsidRPr="006962C9" w:rsidRDefault="00DD4B26" w:rsidP="00050E91">
            <w:pPr>
              <w:keepNext/>
              <w:spacing w:line="240" w:lineRule="auto"/>
              <w:jc w:val="right"/>
              <w:rPr>
                <w:i/>
                <w:color w:val="7F7F7F" w:themeColor="text1" w:themeTint="80"/>
                <w:sz w:val="20"/>
              </w:rPr>
            </w:pPr>
            <w:r w:rsidRPr="006962C9">
              <w:rPr>
                <w:i/>
                <w:color w:val="7F7F7F" w:themeColor="text1" w:themeTint="80"/>
                <w:sz w:val="20"/>
              </w:rPr>
              <w:t>476</w:t>
            </w:r>
          </w:p>
        </w:tc>
        <w:tc>
          <w:tcPr>
            <w:tcW w:w="1800" w:type="dxa"/>
            <w:tcBorders>
              <w:top w:val="nil"/>
            </w:tcBorders>
            <w:shd w:val="clear" w:color="auto" w:fill="auto"/>
            <w:vAlign w:val="center"/>
            <w:hideMark/>
          </w:tcPr>
          <w:p w14:paraId="72C1B404" w14:textId="77777777" w:rsidR="00DD4B26" w:rsidRPr="006962C9" w:rsidRDefault="00DD4B26" w:rsidP="00050E91">
            <w:pPr>
              <w:keepNext/>
              <w:spacing w:line="240" w:lineRule="auto"/>
              <w:jc w:val="right"/>
              <w:rPr>
                <w:i/>
                <w:color w:val="7F7F7F" w:themeColor="text1" w:themeTint="80"/>
                <w:sz w:val="20"/>
              </w:rPr>
            </w:pPr>
            <w:r w:rsidRPr="006962C9">
              <w:rPr>
                <w:i/>
                <w:color w:val="7F7F7F" w:themeColor="text1" w:themeTint="80"/>
                <w:sz w:val="20"/>
              </w:rPr>
              <w:t>60</w:t>
            </w:r>
          </w:p>
        </w:tc>
        <w:tc>
          <w:tcPr>
            <w:tcW w:w="1260" w:type="dxa"/>
            <w:tcBorders>
              <w:top w:val="nil"/>
            </w:tcBorders>
            <w:shd w:val="clear" w:color="auto" w:fill="auto"/>
            <w:vAlign w:val="center"/>
            <w:hideMark/>
          </w:tcPr>
          <w:p w14:paraId="0C23F80A" w14:textId="77777777" w:rsidR="00DD4B26" w:rsidRPr="006962C9" w:rsidRDefault="00DD4B26" w:rsidP="00050E91">
            <w:pPr>
              <w:keepNext/>
              <w:spacing w:line="240" w:lineRule="auto"/>
              <w:jc w:val="right"/>
              <w:rPr>
                <w:i/>
                <w:color w:val="7F7F7F" w:themeColor="text1" w:themeTint="80"/>
                <w:sz w:val="20"/>
              </w:rPr>
            </w:pPr>
            <w:r w:rsidRPr="006962C9">
              <w:rPr>
                <w:i/>
                <w:color w:val="7F7F7F" w:themeColor="text1" w:themeTint="80"/>
                <w:sz w:val="20"/>
              </w:rPr>
              <w:t>476</w:t>
            </w:r>
          </w:p>
        </w:tc>
      </w:tr>
      <w:tr w:rsidR="00DD4B26" w:rsidRPr="006962C9" w14:paraId="0520080E" w14:textId="77777777" w:rsidTr="00050E91">
        <w:trPr>
          <w:trHeight w:val="144"/>
        </w:trPr>
        <w:tc>
          <w:tcPr>
            <w:tcW w:w="3348" w:type="dxa"/>
            <w:shd w:val="clear" w:color="auto" w:fill="auto"/>
            <w:vAlign w:val="center"/>
            <w:hideMark/>
          </w:tcPr>
          <w:p w14:paraId="2A12B7FB" w14:textId="77777777" w:rsidR="00DD4B26" w:rsidRPr="006962C9" w:rsidRDefault="00DD4B26" w:rsidP="00050E91">
            <w:pPr>
              <w:keepNext/>
              <w:spacing w:line="240" w:lineRule="auto"/>
              <w:rPr>
                <w:b/>
                <w:color w:val="000000"/>
                <w:sz w:val="20"/>
              </w:rPr>
            </w:pPr>
            <w:r w:rsidRPr="006962C9">
              <w:rPr>
                <w:b/>
                <w:color w:val="000000"/>
                <w:sz w:val="20"/>
              </w:rPr>
              <w:t xml:space="preserve">Field Test Burden </w:t>
            </w:r>
          </w:p>
        </w:tc>
        <w:tc>
          <w:tcPr>
            <w:tcW w:w="810" w:type="dxa"/>
            <w:shd w:val="clear" w:color="auto" w:fill="auto"/>
            <w:vAlign w:val="center"/>
            <w:hideMark/>
          </w:tcPr>
          <w:p w14:paraId="2B28F0AD" w14:textId="77777777" w:rsidR="00DD4B26" w:rsidRPr="006962C9" w:rsidRDefault="00DD4B26" w:rsidP="00050E91">
            <w:pPr>
              <w:keepNext/>
              <w:spacing w:line="240" w:lineRule="auto"/>
              <w:jc w:val="right"/>
              <w:rPr>
                <w:b/>
                <w:color w:val="000000"/>
                <w:sz w:val="20"/>
              </w:rPr>
            </w:pPr>
          </w:p>
        </w:tc>
        <w:tc>
          <w:tcPr>
            <w:tcW w:w="1260" w:type="dxa"/>
            <w:shd w:val="clear" w:color="auto" w:fill="auto"/>
            <w:vAlign w:val="center"/>
            <w:hideMark/>
          </w:tcPr>
          <w:p w14:paraId="5CA5E42E" w14:textId="77777777" w:rsidR="00DD4B26" w:rsidRPr="006962C9" w:rsidRDefault="00DD4B26" w:rsidP="00050E91">
            <w:pPr>
              <w:keepNext/>
              <w:spacing w:line="240" w:lineRule="auto"/>
              <w:jc w:val="right"/>
              <w:rPr>
                <w:b/>
                <w:color w:val="000000"/>
                <w:sz w:val="20"/>
              </w:rPr>
            </w:pPr>
          </w:p>
        </w:tc>
        <w:tc>
          <w:tcPr>
            <w:tcW w:w="1170" w:type="dxa"/>
            <w:shd w:val="clear" w:color="auto" w:fill="auto"/>
            <w:vAlign w:val="center"/>
            <w:hideMark/>
          </w:tcPr>
          <w:p w14:paraId="632F8F8D" w14:textId="7C90AA4B" w:rsidR="00DD4B26" w:rsidRPr="006962C9" w:rsidRDefault="00DD4B26" w:rsidP="00FD78D0">
            <w:pPr>
              <w:keepNext/>
              <w:spacing w:line="240" w:lineRule="auto"/>
              <w:jc w:val="right"/>
              <w:rPr>
                <w:b/>
                <w:color w:val="000000"/>
                <w:sz w:val="20"/>
              </w:rPr>
            </w:pPr>
            <w:r>
              <w:rPr>
                <w:b/>
                <w:color w:val="000000"/>
                <w:sz w:val="20"/>
              </w:rPr>
              <w:t>7</w:t>
            </w:r>
            <w:r w:rsidR="00FD78D0">
              <w:rPr>
                <w:b/>
                <w:color w:val="000000"/>
                <w:sz w:val="20"/>
              </w:rPr>
              <w:t>73</w:t>
            </w:r>
          </w:p>
        </w:tc>
        <w:tc>
          <w:tcPr>
            <w:tcW w:w="1080" w:type="dxa"/>
            <w:shd w:val="clear" w:color="auto" w:fill="auto"/>
            <w:vAlign w:val="center"/>
            <w:hideMark/>
          </w:tcPr>
          <w:p w14:paraId="32A30212" w14:textId="63C78C99" w:rsidR="00DD4B26" w:rsidRPr="006962C9" w:rsidRDefault="00DD4B26" w:rsidP="00FD78D0">
            <w:pPr>
              <w:keepNext/>
              <w:spacing w:line="240" w:lineRule="auto"/>
              <w:jc w:val="right"/>
              <w:rPr>
                <w:b/>
                <w:color w:val="000000"/>
                <w:sz w:val="20"/>
              </w:rPr>
            </w:pPr>
            <w:r>
              <w:rPr>
                <w:b/>
                <w:color w:val="000000"/>
                <w:sz w:val="20"/>
              </w:rPr>
              <w:t>1,</w:t>
            </w:r>
            <w:r w:rsidR="00FD78D0">
              <w:rPr>
                <w:b/>
                <w:color w:val="000000"/>
                <w:sz w:val="20"/>
              </w:rPr>
              <w:t>249</w:t>
            </w:r>
          </w:p>
        </w:tc>
        <w:tc>
          <w:tcPr>
            <w:tcW w:w="1800" w:type="dxa"/>
            <w:shd w:val="clear" w:color="auto" w:fill="auto"/>
            <w:vAlign w:val="center"/>
            <w:hideMark/>
          </w:tcPr>
          <w:p w14:paraId="32932AF5" w14:textId="77777777" w:rsidR="00DD4B26" w:rsidRPr="006962C9" w:rsidRDefault="00DD4B26" w:rsidP="00050E91">
            <w:pPr>
              <w:keepNext/>
              <w:spacing w:line="240" w:lineRule="auto"/>
              <w:jc w:val="right"/>
              <w:rPr>
                <w:b/>
                <w:color w:val="000000"/>
                <w:sz w:val="20"/>
              </w:rPr>
            </w:pPr>
          </w:p>
        </w:tc>
        <w:tc>
          <w:tcPr>
            <w:tcW w:w="1260" w:type="dxa"/>
            <w:shd w:val="clear" w:color="auto" w:fill="auto"/>
            <w:vAlign w:val="center"/>
            <w:hideMark/>
          </w:tcPr>
          <w:p w14:paraId="52E3B83E" w14:textId="6591C976" w:rsidR="00DD4B26" w:rsidRPr="006962C9" w:rsidRDefault="00DD4B26" w:rsidP="00FD78D0">
            <w:pPr>
              <w:keepNext/>
              <w:spacing w:line="240" w:lineRule="auto"/>
              <w:jc w:val="right"/>
              <w:rPr>
                <w:b/>
                <w:color w:val="000000"/>
                <w:sz w:val="20"/>
              </w:rPr>
            </w:pPr>
            <w:r>
              <w:rPr>
                <w:b/>
                <w:color w:val="000000"/>
                <w:sz w:val="20"/>
              </w:rPr>
              <w:t>6</w:t>
            </w:r>
            <w:r w:rsidR="00FD78D0">
              <w:rPr>
                <w:b/>
                <w:color w:val="000000"/>
                <w:sz w:val="20"/>
              </w:rPr>
              <w:t>59</w:t>
            </w:r>
          </w:p>
        </w:tc>
      </w:tr>
      <w:tr w:rsidR="00DD4B26" w:rsidRPr="009140BE" w14:paraId="468DE1D6" w14:textId="77777777" w:rsidTr="00050E91">
        <w:trPr>
          <w:trHeight w:val="144"/>
        </w:trPr>
        <w:tc>
          <w:tcPr>
            <w:tcW w:w="10728" w:type="dxa"/>
            <w:gridSpan w:val="7"/>
            <w:tcBorders>
              <w:bottom w:val="single" w:sz="4" w:space="0" w:color="auto"/>
            </w:tcBorders>
            <w:shd w:val="clear" w:color="auto" w:fill="auto"/>
            <w:vAlign w:val="center"/>
            <w:hideMark/>
          </w:tcPr>
          <w:p w14:paraId="38E1B948" w14:textId="77777777" w:rsidR="00DD4B26" w:rsidRPr="009140BE" w:rsidRDefault="00DD4B26" w:rsidP="00050E91">
            <w:pPr>
              <w:keepNext/>
              <w:spacing w:line="240" w:lineRule="auto"/>
              <w:jc w:val="center"/>
              <w:rPr>
                <w:b/>
                <w:bCs/>
                <w:sz w:val="20"/>
              </w:rPr>
            </w:pPr>
            <w:r w:rsidRPr="009140BE">
              <w:rPr>
                <w:b/>
                <w:bCs/>
                <w:sz w:val="20"/>
              </w:rPr>
              <w:t>Main Study</w:t>
            </w:r>
          </w:p>
        </w:tc>
      </w:tr>
      <w:tr w:rsidR="00DD4B26" w:rsidRPr="00021009" w14:paraId="08D330E3" w14:textId="77777777" w:rsidTr="00050E91">
        <w:trPr>
          <w:trHeight w:val="144"/>
        </w:trPr>
        <w:tc>
          <w:tcPr>
            <w:tcW w:w="3348" w:type="dxa"/>
            <w:tcBorders>
              <w:bottom w:val="nil"/>
            </w:tcBorders>
            <w:shd w:val="clear" w:color="auto" w:fill="auto"/>
            <w:vAlign w:val="center"/>
            <w:hideMark/>
          </w:tcPr>
          <w:p w14:paraId="4C1DB10C" w14:textId="77777777" w:rsidR="00DD4B26" w:rsidRPr="009140BE" w:rsidRDefault="00DD4B26" w:rsidP="00050E91">
            <w:pPr>
              <w:keepNext/>
              <w:spacing w:line="240" w:lineRule="auto"/>
              <w:jc w:val="left"/>
              <w:rPr>
                <w:b/>
                <w:bCs/>
                <w:sz w:val="20"/>
              </w:rPr>
            </w:pPr>
            <w:r w:rsidRPr="009140BE">
              <w:rPr>
                <w:b/>
                <w:bCs/>
                <w:sz w:val="20"/>
              </w:rPr>
              <w:t>Recruitment</w:t>
            </w:r>
          </w:p>
        </w:tc>
        <w:tc>
          <w:tcPr>
            <w:tcW w:w="810" w:type="dxa"/>
            <w:tcBorders>
              <w:bottom w:val="nil"/>
            </w:tcBorders>
            <w:shd w:val="clear" w:color="auto" w:fill="auto"/>
            <w:vAlign w:val="center"/>
            <w:hideMark/>
          </w:tcPr>
          <w:p w14:paraId="2A1DFF30" w14:textId="77777777" w:rsidR="00DD4B26" w:rsidRPr="009140BE" w:rsidRDefault="00DD4B26" w:rsidP="00050E91">
            <w:pPr>
              <w:keepNext/>
              <w:spacing w:line="240" w:lineRule="auto"/>
              <w:jc w:val="left"/>
              <w:rPr>
                <w:sz w:val="20"/>
              </w:rPr>
            </w:pPr>
          </w:p>
        </w:tc>
        <w:tc>
          <w:tcPr>
            <w:tcW w:w="1260" w:type="dxa"/>
            <w:tcBorders>
              <w:bottom w:val="nil"/>
            </w:tcBorders>
            <w:shd w:val="clear" w:color="auto" w:fill="auto"/>
            <w:vAlign w:val="center"/>
            <w:hideMark/>
          </w:tcPr>
          <w:p w14:paraId="5BD3A881" w14:textId="77777777" w:rsidR="00DD4B26" w:rsidRPr="009140BE" w:rsidRDefault="00DD4B26" w:rsidP="00050E91">
            <w:pPr>
              <w:keepNext/>
              <w:spacing w:line="240" w:lineRule="auto"/>
              <w:jc w:val="left"/>
              <w:rPr>
                <w:sz w:val="20"/>
              </w:rPr>
            </w:pPr>
          </w:p>
        </w:tc>
        <w:tc>
          <w:tcPr>
            <w:tcW w:w="1170" w:type="dxa"/>
            <w:tcBorders>
              <w:bottom w:val="nil"/>
            </w:tcBorders>
            <w:shd w:val="clear" w:color="auto" w:fill="auto"/>
            <w:vAlign w:val="center"/>
            <w:hideMark/>
          </w:tcPr>
          <w:p w14:paraId="61F4556C" w14:textId="77777777" w:rsidR="00DD4B26" w:rsidRPr="009140BE" w:rsidRDefault="00DD4B26" w:rsidP="00050E91">
            <w:pPr>
              <w:keepNext/>
              <w:spacing w:line="240" w:lineRule="auto"/>
              <w:jc w:val="left"/>
              <w:rPr>
                <w:sz w:val="20"/>
              </w:rPr>
            </w:pPr>
          </w:p>
        </w:tc>
        <w:tc>
          <w:tcPr>
            <w:tcW w:w="1080" w:type="dxa"/>
            <w:tcBorders>
              <w:bottom w:val="nil"/>
            </w:tcBorders>
            <w:shd w:val="clear" w:color="auto" w:fill="auto"/>
            <w:vAlign w:val="center"/>
            <w:hideMark/>
          </w:tcPr>
          <w:p w14:paraId="757DF409" w14:textId="77777777" w:rsidR="00DD4B26" w:rsidRPr="009140BE" w:rsidRDefault="00DD4B26" w:rsidP="00050E91">
            <w:pPr>
              <w:keepNext/>
              <w:spacing w:line="240" w:lineRule="auto"/>
              <w:jc w:val="left"/>
              <w:rPr>
                <w:sz w:val="20"/>
              </w:rPr>
            </w:pPr>
          </w:p>
        </w:tc>
        <w:tc>
          <w:tcPr>
            <w:tcW w:w="1800" w:type="dxa"/>
            <w:tcBorders>
              <w:bottom w:val="nil"/>
            </w:tcBorders>
            <w:shd w:val="clear" w:color="auto" w:fill="auto"/>
            <w:vAlign w:val="center"/>
            <w:hideMark/>
          </w:tcPr>
          <w:p w14:paraId="7C07FB5F" w14:textId="77777777" w:rsidR="00DD4B26" w:rsidRPr="009140BE" w:rsidRDefault="00DD4B26" w:rsidP="00050E91">
            <w:pPr>
              <w:keepNext/>
              <w:spacing w:line="240" w:lineRule="auto"/>
              <w:jc w:val="left"/>
              <w:rPr>
                <w:sz w:val="20"/>
              </w:rPr>
            </w:pPr>
          </w:p>
        </w:tc>
        <w:tc>
          <w:tcPr>
            <w:tcW w:w="1260" w:type="dxa"/>
            <w:tcBorders>
              <w:bottom w:val="nil"/>
            </w:tcBorders>
            <w:shd w:val="clear" w:color="auto" w:fill="auto"/>
            <w:vAlign w:val="center"/>
            <w:hideMark/>
          </w:tcPr>
          <w:p w14:paraId="59436053" w14:textId="77777777" w:rsidR="00DD4B26" w:rsidRPr="009140BE" w:rsidRDefault="00DD4B26" w:rsidP="00050E91">
            <w:pPr>
              <w:keepNext/>
              <w:spacing w:line="240" w:lineRule="auto"/>
              <w:jc w:val="left"/>
              <w:rPr>
                <w:sz w:val="20"/>
              </w:rPr>
            </w:pPr>
            <w:r w:rsidRPr="009140BE">
              <w:rPr>
                <w:sz w:val="20"/>
              </w:rPr>
              <w:t> </w:t>
            </w:r>
          </w:p>
        </w:tc>
      </w:tr>
      <w:tr w:rsidR="00DD4B26" w:rsidRPr="00021009" w14:paraId="42F71291" w14:textId="77777777" w:rsidTr="00050E91">
        <w:trPr>
          <w:trHeight w:val="144"/>
        </w:trPr>
        <w:tc>
          <w:tcPr>
            <w:tcW w:w="3348" w:type="dxa"/>
            <w:tcBorders>
              <w:top w:val="nil"/>
              <w:bottom w:val="nil"/>
            </w:tcBorders>
            <w:shd w:val="clear" w:color="auto" w:fill="auto"/>
            <w:vAlign w:val="center"/>
            <w:hideMark/>
          </w:tcPr>
          <w:p w14:paraId="29073B0D" w14:textId="77777777" w:rsidR="00DD4B26" w:rsidRPr="009140BE" w:rsidRDefault="00DD4B26" w:rsidP="00050E91">
            <w:pPr>
              <w:keepNext/>
              <w:spacing w:line="240" w:lineRule="auto"/>
              <w:jc w:val="left"/>
              <w:rPr>
                <w:sz w:val="20"/>
              </w:rPr>
            </w:pPr>
            <w:r w:rsidRPr="009140BE">
              <w:rPr>
                <w:sz w:val="20"/>
              </w:rPr>
              <w:t>Special Handling Districts IRB staff</w:t>
            </w:r>
          </w:p>
        </w:tc>
        <w:tc>
          <w:tcPr>
            <w:tcW w:w="810" w:type="dxa"/>
            <w:tcBorders>
              <w:top w:val="nil"/>
              <w:bottom w:val="nil"/>
            </w:tcBorders>
            <w:shd w:val="clear" w:color="auto" w:fill="auto"/>
            <w:vAlign w:val="center"/>
            <w:hideMark/>
          </w:tcPr>
          <w:p w14:paraId="1571193F" w14:textId="77777777" w:rsidR="00DD4B26" w:rsidRPr="009140BE" w:rsidRDefault="00DD4B26" w:rsidP="00050E91">
            <w:pPr>
              <w:keepNext/>
              <w:spacing w:line="240" w:lineRule="auto"/>
              <w:jc w:val="right"/>
              <w:rPr>
                <w:sz w:val="20"/>
              </w:rPr>
            </w:pPr>
            <w:r w:rsidRPr="009140BE">
              <w:rPr>
                <w:sz w:val="20"/>
              </w:rPr>
              <w:t>50</w:t>
            </w:r>
          </w:p>
        </w:tc>
        <w:tc>
          <w:tcPr>
            <w:tcW w:w="1260" w:type="dxa"/>
            <w:tcBorders>
              <w:top w:val="nil"/>
              <w:bottom w:val="nil"/>
            </w:tcBorders>
            <w:shd w:val="clear" w:color="auto" w:fill="auto"/>
            <w:vAlign w:val="center"/>
            <w:hideMark/>
          </w:tcPr>
          <w:p w14:paraId="2EE25038" w14:textId="77777777" w:rsidR="00DD4B26" w:rsidRPr="009140BE" w:rsidRDefault="00DD4B26" w:rsidP="00050E91">
            <w:pPr>
              <w:keepNext/>
              <w:spacing w:line="240" w:lineRule="auto"/>
              <w:jc w:val="right"/>
              <w:rPr>
                <w:sz w:val="20"/>
              </w:rPr>
            </w:pPr>
            <w:r>
              <w:rPr>
                <w:sz w:val="20"/>
              </w:rPr>
              <w:t>1.00</w:t>
            </w:r>
          </w:p>
        </w:tc>
        <w:tc>
          <w:tcPr>
            <w:tcW w:w="1170" w:type="dxa"/>
            <w:tcBorders>
              <w:top w:val="nil"/>
              <w:bottom w:val="nil"/>
            </w:tcBorders>
            <w:shd w:val="clear" w:color="auto" w:fill="auto"/>
            <w:vAlign w:val="center"/>
            <w:hideMark/>
          </w:tcPr>
          <w:p w14:paraId="3B2C2F03" w14:textId="77777777" w:rsidR="00DD4B26" w:rsidRPr="009140BE" w:rsidRDefault="00DD4B26" w:rsidP="00050E91">
            <w:pPr>
              <w:keepNext/>
              <w:spacing w:line="240" w:lineRule="auto"/>
              <w:jc w:val="right"/>
              <w:rPr>
                <w:sz w:val="20"/>
              </w:rPr>
            </w:pPr>
            <w:r w:rsidRPr="009140BE">
              <w:rPr>
                <w:sz w:val="20"/>
              </w:rPr>
              <w:t>50</w:t>
            </w:r>
          </w:p>
        </w:tc>
        <w:tc>
          <w:tcPr>
            <w:tcW w:w="1080" w:type="dxa"/>
            <w:tcBorders>
              <w:top w:val="nil"/>
              <w:bottom w:val="nil"/>
            </w:tcBorders>
            <w:shd w:val="clear" w:color="auto" w:fill="auto"/>
            <w:vAlign w:val="center"/>
            <w:hideMark/>
          </w:tcPr>
          <w:p w14:paraId="2914688C" w14:textId="77777777" w:rsidR="00DD4B26" w:rsidRPr="009140BE" w:rsidRDefault="00DD4B26" w:rsidP="00050E91">
            <w:pPr>
              <w:keepNext/>
              <w:spacing w:line="240" w:lineRule="auto"/>
              <w:jc w:val="right"/>
              <w:rPr>
                <w:sz w:val="20"/>
              </w:rPr>
            </w:pPr>
            <w:r w:rsidRPr="009140BE">
              <w:rPr>
                <w:sz w:val="20"/>
              </w:rPr>
              <w:t>50</w:t>
            </w:r>
          </w:p>
        </w:tc>
        <w:tc>
          <w:tcPr>
            <w:tcW w:w="1800" w:type="dxa"/>
            <w:tcBorders>
              <w:top w:val="nil"/>
              <w:bottom w:val="nil"/>
            </w:tcBorders>
            <w:shd w:val="clear" w:color="auto" w:fill="auto"/>
            <w:vAlign w:val="center"/>
            <w:hideMark/>
          </w:tcPr>
          <w:p w14:paraId="0EFB9043" w14:textId="77777777" w:rsidR="00DD4B26" w:rsidRPr="009140BE" w:rsidRDefault="00DD4B26" w:rsidP="00050E91">
            <w:pPr>
              <w:keepNext/>
              <w:spacing w:line="240" w:lineRule="auto"/>
              <w:jc w:val="right"/>
              <w:rPr>
                <w:sz w:val="20"/>
              </w:rPr>
            </w:pPr>
            <w:r w:rsidRPr="009140BE">
              <w:rPr>
                <w:sz w:val="20"/>
              </w:rPr>
              <w:t>60</w:t>
            </w:r>
          </w:p>
        </w:tc>
        <w:tc>
          <w:tcPr>
            <w:tcW w:w="1260" w:type="dxa"/>
            <w:tcBorders>
              <w:top w:val="nil"/>
              <w:bottom w:val="nil"/>
            </w:tcBorders>
            <w:shd w:val="clear" w:color="auto" w:fill="auto"/>
            <w:vAlign w:val="center"/>
            <w:hideMark/>
          </w:tcPr>
          <w:p w14:paraId="63DA262A" w14:textId="77777777" w:rsidR="00DD4B26" w:rsidRPr="009140BE" w:rsidRDefault="00DD4B26" w:rsidP="00050E91">
            <w:pPr>
              <w:keepNext/>
              <w:spacing w:line="240" w:lineRule="auto"/>
              <w:jc w:val="right"/>
              <w:rPr>
                <w:sz w:val="20"/>
              </w:rPr>
            </w:pPr>
            <w:r w:rsidRPr="009140BE">
              <w:rPr>
                <w:sz w:val="20"/>
              </w:rPr>
              <w:t>50</w:t>
            </w:r>
          </w:p>
        </w:tc>
      </w:tr>
      <w:tr w:rsidR="00DD4B26" w:rsidRPr="00021009" w14:paraId="6B90C23C" w14:textId="77777777" w:rsidTr="00050E91">
        <w:trPr>
          <w:trHeight w:val="144"/>
        </w:trPr>
        <w:tc>
          <w:tcPr>
            <w:tcW w:w="3348" w:type="dxa"/>
            <w:tcBorders>
              <w:top w:val="nil"/>
              <w:bottom w:val="nil"/>
            </w:tcBorders>
            <w:shd w:val="clear" w:color="auto" w:fill="auto"/>
            <w:vAlign w:val="center"/>
            <w:hideMark/>
          </w:tcPr>
          <w:p w14:paraId="1B902171" w14:textId="77777777" w:rsidR="00DD4B26" w:rsidRPr="009140BE" w:rsidRDefault="00DD4B26" w:rsidP="00050E91">
            <w:pPr>
              <w:keepNext/>
              <w:spacing w:line="240" w:lineRule="auto"/>
              <w:jc w:val="left"/>
              <w:rPr>
                <w:sz w:val="20"/>
              </w:rPr>
            </w:pPr>
            <w:r w:rsidRPr="009140BE">
              <w:rPr>
                <w:sz w:val="20"/>
              </w:rPr>
              <w:t>Special Handling Districts IRB Panel</w:t>
            </w:r>
          </w:p>
        </w:tc>
        <w:tc>
          <w:tcPr>
            <w:tcW w:w="810" w:type="dxa"/>
            <w:tcBorders>
              <w:top w:val="nil"/>
              <w:bottom w:val="nil"/>
            </w:tcBorders>
            <w:shd w:val="clear" w:color="auto" w:fill="auto"/>
            <w:vAlign w:val="center"/>
            <w:hideMark/>
          </w:tcPr>
          <w:p w14:paraId="035F9A96" w14:textId="77777777" w:rsidR="00DD4B26" w:rsidRPr="009140BE" w:rsidRDefault="00DD4B26" w:rsidP="00050E91">
            <w:pPr>
              <w:keepNext/>
              <w:spacing w:line="240" w:lineRule="auto"/>
              <w:jc w:val="right"/>
              <w:rPr>
                <w:sz w:val="20"/>
              </w:rPr>
            </w:pPr>
            <w:r w:rsidRPr="009140BE">
              <w:rPr>
                <w:sz w:val="20"/>
              </w:rPr>
              <w:t>300</w:t>
            </w:r>
          </w:p>
        </w:tc>
        <w:tc>
          <w:tcPr>
            <w:tcW w:w="1260" w:type="dxa"/>
            <w:tcBorders>
              <w:top w:val="nil"/>
              <w:bottom w:val="nil"/>
            </w:tcBorders>
            <w:shd w:val="clear" w:color="auto" w:fill="auto"/>
            <w:vAlign w:val="center"/>
            <w:hideMark/>
          </w:tcPr>
          <w:p w14:paraId="05BA1841" w14:textId="77777777" w:rsidR="00DD4B26" w:rsidRPr="009140BE" w:rsidRDefault="00DD4B26" w:rsidP="00050E91">
            <w:pPr>
              <w:keepNext/>
              <w:spacing w:line="240" w:lineRule="auto"/>
              <w:jc w:val="right"/>
              <w:rPr>
                <w:sz w:val="20"/>
              </w:rPr>
            </w:pPr>
            <w:r>
              <w:rPr>
                <w:sz w:val="20"/>
              </w:rPr>
              <w:t>1.00</w:t>
            </w:r>
          </w:p>
        </w:tc>
        <w:tc>
          <w:tcPr>
            <w:tcW w:w="1170" w:type="dxa"/>
            <w:tcBorders>
              <w:top w:val="nil"/>
              <w:bottom w:val="nil"/>
            </w:tcBorders>
            <w:shd w:val="clear" w:color="auto" w:fill="auto"/>
            <w:vAlign w:val="center"/>
            <w:hideMark/>
          </w:tcPr>
          <w:p w14:paraId="4F412C16" w14:textId="77777777" w:rsidR="00DD4B26" w:rsidRPr="009140BE" w:rsidRDefault="00DD4B26" w:rsidP="00050E91">
            <w:pPr>
              <w:keepNext/>
              <w:spacing w:line="240" w:lineRule="auto"/>
              <w:jc w:val="right"/>
              <w:rPr>
                <w:sz w:val="20"/>
              </w:rPr>
            </w:pPr>
            <w:r w:rsidRPr="009140BE">
              <w:rPr>
                <w:sz w:val="20"/>
              </w:rPr>
              <w:t>300</w:t>
            </w:r>
          </w:p>
        </w:tc>
        <w:tc>
          <w:tcPr>
            <w:tcW w:w="1080" w:type="dxa"/>
            <w:tcBorders>
              <w:top w:val="nil"/>
              <w:bottom w:val="nil"/>
            </w:tcBorders>
            <w:shd w:val="clear" w:color="auto" w:fill="auto"/>
            <w:vAlign w:val="center"/>
            <w:hideMark/>
          </w:tcPr>
          <w:p w14:paraId="124523DB" w14:textId="77777777" w:rsidR="00DD4B26" w:rsidRPr="009140BE" w:rsidRDefault="00DD4B26" w:rsidP="00050E91">
            <w:pPr>
              <w:keepNext/>
              <w:spacing w:line="240" w:lineRule="auto"/>
              <w:jc w:val="right"/>
              <w:rPr>
                <w:sz w:val="20"/>
              </w:rPr>
            </w:pPr>
            <w:r w:rsidRPr="009140BE">
              <w:rPr>
                <w:sz w:val="20"/>
              </w:rPr>
              <w:t>300</w:t>
            </w:r>
          </w:p>
        </w:tc>
        <w:tc>
          <w:tcPr>
            <w:tcW w:w="1800" w:type="dxa"/>
            <w:tcBorders>
              <w:top w:val="nil"/>
              <w:bottom w:val="nil"/>
            </w:tcBorders>
            <w:shd w:val="clear" w:color="auto" w:fill="auto"/>
            <w:vAlign w:val="center"/>
            <w:hideMark/>
          </w:tcPr>
          <w:p w14:paraId="017D5690" w14:textId="77777777" w:rsidR="00DD4B26" w:rsidRPr="009140BE" w:rsidRDefault="00DD4B26" w:rsidP="00050E91">
            <w:pPr>
              <w:keepNext/>
              <w:spacing w:line="240" w:lineRule="auto"/>
              <w:jc w:val="right"/>
              <w:rPr>
                <w:sz w:val="20"/>
              </w:rPr>
            </w:pPr>
            <w:r w:rsidRPr="009140BE">
              <w:rPr>
                <w:sz w:val="20"/>
              </w:rPr>
              <w:t>30</w:t>
            </w:r>
          </w:p>
        </w:tc>
        <w:tc>
          <w:tcPr>
            <w:tcW w:w="1260" w:type="dxa"/>
            <w:tcBorders>
              <w:top w:val="nil"/>
              <w:bottom w:val="nil"/>
            </w:tcBorders>
            <w:shd w:val="clear" w:color="auto" w:fill="auto"/>
            <w:vAlign w:val="center"/>
            <w:hideMark/>
          </w:tcPr>
          <w:p w14:paraId="406E8929" w14:textId="77777777" w:rsidR="00DD4B26" w:rsidRPr="009140BE" w:rsidRDefault="00DD4B26" w:rsidP="00050E91">
            <w:pPr>
              <w:keepNext/>
              <w:spacing w:line="240" w:lineRule="auto"/>
              <w:jc w:val="right"/>
              <w:rPr>
                <w:sz w:val="20"/>
              </w:rPr>
            </w:pPr>
            <w:r w:rsidRPr="009140BE">
              <w:rPr>
                <w:sz w:val="20"/>
              </w:rPr>
              <w:t>150</w:t>
            </w:r>
          </w:p>
        </w:tc>
      </w:tr>
      <w:tr w:rsidR="00DD4B26" w:rsidRPr="00021009" w14:paraId="79C9A33D" w14:textId="77777777" w:rsidTr="00050E91">
        <w:trPr>
          <w:trHeight w:val="144"/>
        </w:trPr>
        <w:tc>
          <w:tcPr>
            <w:tcW w:w="3348" w:type="dxa"/>
            <w:tcBorders>
              <w:top w:val="nil"/>
              <w:bottom w:val="nil"/>
            </w:tcBorders>
            <w:shd w:val="clear" w:color="auto" w:fill="auto"/>
            <w:vAlign w:val="center"/>
            <w:hideMark/>
          </w:tcPr>
          <w:p w14:paraId="2B786305" w14:textId="77777777" w:rsidR="00DD4B26" w:rsidRPr="009140BE" w:rsidRDefault="00DD4B26" w:rsidP="00050E91">
            <w:pPr>
              <w:keepNext/>
              <w:spacing w:line="240" w:lineRule="auto"/>
              <w:jc w:val="left"/>
              <w:rPr>
                <w:sz w:val="20"/>
              </w:rPr>
            </w:pPr>
            <w:r w:rsidRPr="009140BE">
              <w:rPr>
                <w:sz w:val="20"/>
              </w:rPr>
              <w:t>Schools</w:t>
            </w:r>
          </w:p>
        </w:tc>
        <w:tc>
          <w:tcPr>
            <w:tcW w:w="810" w:type="dxa"/>
            <w:tcBorders>
              <w:top w:val="nil"/>
              <w:bottom w:val="nil"/>
            </w:tcBorders>
            <w:shd w:val="clear" w:color="auto" w:fill="auto"/>
            <w:vAlign w:val="center"/>
            <w:hideMark/>
          </w:tcPr>
          <w:p w14:paraId="447B8DF5" w14:textId="77777777" w:rsidR="00DD4B26" w:rsidRPr="009140BE" w:rsidRDefault="00DD4B26" w:rsidP="00050E91">
            <w:pPr>
              <w:keepNext/>
              <w:spacing w:line="240" w:lineRule="auto"/>
              <w:jc w:val="right"/>
              <w:rPr>
                <w:sz w:val="20"/>
              </w:rPr>
            </w:pPr>
            <w:r w:rsidRPr="009140BE">
              <w:rPr>
                <w:sz w:val="20"/>
              </w:rPr>
              <w:t>2</w:t>
            </w:r>
            <w:r>
              <w:rPr>
                <w:sz w:val="20"/>
              </w:rPr>
              <w:t>35</w:t>
            </w:r>
          </w:p>
        </w:tc>
        <w:tc>
          <w:tcPr>
            <w:tcW w:w="1260" w:type="dxa"/>
            <w:tcBorders>
              <w:top w:val="nil"/>
              <w:bottom w:val="nil"/>
            </w:tcBorders>
            <w:shd w:val="clear" w:color="auto" w:fill="auto"/>
            <w:vAlign w:val="center"/>
            <w:hideMark/>
          </w:tcPr>
          <w:p w14:paraId="5301D35C" w14:textId="77777777" w:rsidR="00DD4B26" w:rsidRPr="009140BE" w:rsidRDefault="00DD4B26" w:rsidP="00050E91">
            <w:pPr>
              <w:keepNext/>
              <w:spacing w:line="240" w:lineRule="auto"/>
              <w:jc w:val="right"/>
              <w:rPr>
                <w:sz w:val="20"/>
              </w:rPr>
            </w:pPr>
            <w:r>
              <w:rPr>
                <w:sz w:val="20"/>
              </w:rPr>
              <w:t>1.00</w:t>
            </w:r>
          </w:p>
        </w:tc>
        <w:tc>
          <w:tcPr>
            <w:tcW w:w="1170" w:type="dxa"/>
            <w:tcBorders>
              <w:top w:val="nil"/>
              <w:bottom w:val="nil"/>
            </w:tcBorders>
            <w:shd w:val="clear" w:color="auto" w:fill="auto"/>
            <w:vAlign w:val="center"/>
            <w:hideMark/>
          </w:tcPr>
          <w:p w14:paraId="081644B8" w14:textId="77777777" w:rsidR="00DD4B26" w:rsidRPr="009140BE" w:rsidRDefault="00DD4B26" w:rsidP="00050E91">
            <w:pPr>
              <w:keepNext/>
              <w:spacing w:line="240" w:lineRule="auto"/>
              <w:jc w:val="right"/>
              <w:rPr>
                <w:sz w:val="20"/>
              </w:rPr>
            </w:pPr>
            <w:r w:rsidRPr="009140BE">
              <w:rPr>
                <w:sz w:val="20"/>
              </w:rPr>
              <w:t>2</w:t>
            </w:r>
            <w:r>
              <w:rPr>
                <w:sz w:val="20"/>
              </w:rPr>
              <w:t>35</w:t>
            </w:r>
          </w:p>
        </w:tc>
        <w:tc>
          <w:tcPr>
            <w:tcW w:w="1080" w:type="dxa"/>
            <w:tcBorders>
              <w:top w:val="nil"/>
              <w:bottom w:val="nil"/>
            </w:tcBorders>
            <w:shd w:val="clear" w:color="auto" w:fill="auto"/>
            <w:vAlign w:val="center"/>
            <w:hideMark/>
          </w:tcPr>
          <w:p w14:paraId="59570795" w14:textId="77777777" w:rsidR="00DD4B26" w:rsidRPr="009140BE" w:rsidRDefault="00DD4B26" w:rsidP="00050E91">
            <w:pPr>
              <w:keepNext/>
              <w:spacing w:line="240" w:lineRule="auto"/>
              <w:jc w:val="right"/>
              <w:rPr>
                <w:sz w:val="20"/>
              </w:rPr>
            </w:pPr>
            <w:r w:rsidRPr="009140BE">
              <w:rPr>
                <w:sz w:val="20"/>
              </w:rPr>
              <w:t>2</w:t>
            </w:r>
            <w:r>
              <w:rPr>
                <w:sz w:val="20"/>
              </w:rPr>
              <w:t>35</w:t>
            </w:r>
          </w:p>
        </w:tc>
        <w:tc>
          <w:tcPr>
            <w:tcW w:w="1800" w:type="dxa"/>
            <w:tcBorders>
              <w:top w:val="nil"/>
              <w:bottom w:val="nil"/>
            </w:tcBorders>
            <w:shd w:val="clear" w:color="auto" w:fill="auto"/>
            <w:vAlign w:val="center"/>
            <w:hideMark/>
          </w:tcPr>
          <w:p w14:paraId="7ACAB691" w14:textId="77777777" w:rsidR="00DD4B26" w:rsidRPr="009140BE" w:rsidRDefault="00DD4B26" w:rsidP="00050E91">
            <w:pPr>
              <w:keepNext/>
              <w:spacing w:line="240" w:lineRule="auto"/>
              <w:jc w:val="right"/>
              <w:rPr>
                <w:sz w:val="20"/>
              </w:rPr>
            </w:pPr>
            <w:r w:rsidRPr="009140BE">
              <w:rPr>
                <w:sz w:val="20"/>
              </w:rPr>
              <w:t>250</w:t>
            </w:r>
          </w:p>
        </w:tc>
        <w:tc>
          <w:tcPr>
            <w:tcW w:w="1260" w:type="dxa"/>
            <w:tcBorders>
              <w:top w:val="nil"/>
              <w:bottom w:val="nil"/>
            </w:tcBorders>
            <w:shd w:val="clear" w:color="auto" w:fill="auto"/>
            <w:vAlign w:val="center"/>
            <w:hideMark/>
          </w:tcPr>
          <w:p w14:paraId="4DCAD7E7" w14:textId="77777777" w:rsidR="00DD4B26" w:rsidRPr="009140BE" w:rsidRDefault="00DD4B26" w:rsidP="00050E91">
            <w:pPr>
              <w:keepNext/>
              <w:spacing w:line="240" w:lineRule="auto"/>
              <w:jc w:val="right"/>
              <w:rPr>
                <w:sz w:val="20"/>
              </w:rPr>
            </w:pPr>
            <w:r>
              <w:rPr>
                <w:sz w:val="20"/>
              </w:rPr>
              <w:t>979</w:t>
            </w:r>
          </w:p>
        </w:tc>
      </w:tr>
      <w:tr w:rsidR="00DD4B26" w:rsidRPr="00021009" w14:paraId="0314BC45" w14:textId="77777777" w:rsidTr="00050E91">
        <w:trPr>
          <w:trHeight w:val="144"/>
        </w:trPr>
        <w:tc>
          <w:tcPr>
            <w:tcW w:w="3348" w:type="dxa"/>
            <w:tcBorders>
              <w:top w:val="nil"/>
              <w:bottom w:val="nil"/>
            </w:tcBorders>
            <w:shd w:val="clear" w:color="auto" w:fill="auto"/>
            <w:vAlign w:val="center"/>
            <w:hideMark/>
          </w:tcPr>
          <w:p w14:paraId="478851B2" w14:textId="77777777" w:rsidR="00DD4B26" w:rsidRPr="009140BE" w:rsidRDefault="00DD4B26" w:rsidP="00050E91">
            <w:pPr>
              <w:keepNext/>
              <w:spacing w:line="240" w:lineRule="auto"/>
              <w:jc w:val="left"/>
              <w:rPr>
                <w:sz w:val="20"/>
              </w:rPr>
            </w:pPr>
            <w:r w:rsidRPr="009140BE">
              <w:rPr>
                <w:sz w:val="20"/>
              </w:rPr>
              <w:t>Parent notification</w:t>
            </w:r>
          </w:p>
        </w:tc>
        <w:tc>
          <w:tcPr>
            <w:tcW w:w="810" w:type="dxa"/>
            <w:tcBorders>
              <w:top w:val="nil"/>
              <w:bottom w:val="nil"/>
            </w:tcBorders>
            <w:shd w:val="clear" w:color="auto" w:fill="auto"/>
            <w:vAlign w:val="center"/>
            <w:hideMark/>
          </w:tcPr>
          <w:p w14:paraId="53B3014A" w14:textId="77777777" w:rsidR="00DD4B26" w:rsidRPr="009140BE" w:rsidRDefault="00DD4B26" w:rsidP="00050E91">
            <w:pPr>
              <w:keepNext/>
              <w:spacing w:line="240" w:lineRule="auto"/>
              <w:jc w:val="right"/>
              <w:rPr>
                <w:sz w:val="20"/>
              </w:rPr>
            </w:pPr>
            <w:r w:rsidRPr="009140BE">
              <w:rPr>
                <w:sz w:val="20"/>
              </w:rPr>
              <w:t>3</w:t>
            </w:r>
            <w:r>
              <w:rPr>
                <w:sz w:val="20"/>
              </w:rPr>
              <w:t>,</w:t>
            </w:r>
            <w:r w:rsidRPr="009140BE">
              <w:rPr>
                <w:sz w:val="20"/>
              </w:rPr>
              <w:t>600</w:t>
            </w:r>
          </w:p>
        </w:tc>
        <w:tc>
          <w:tcPr>
            <w:tcW w:w="1260" w:type="dxa"/>
            <w:tcBorders>
              <w:top w:val="nil"/>
              <w:bottom w:val="nil"/>
            </w:tcBorders>
            <w:shd w:val="clear" w:color="auto" w:fill="auto"/>
            <w:vAlign w:val="center"/>
            <w:hideMark/>
          </w:tcPr>
          <w:p w14:paraId="154555BE" w14:textId="77777777" w:rsidR="00DD4B26" w:rsidRPr="009140BE" w:rsidRDefault="00DD4B26" w:rsidP="00050E91">
            <w:pPr>
              <w:keepNext/>
              <w:spacing w:line="240" w:lineRule="auto"/>
              <w:jc w:val="right"/>
              <w:rPr>
                <w:sz w:val="20"/>
              </w:rPr>
            </w:pPr>
            <w:r>
              <w:rPr>
                <w:sz w:val="20"/>
              </w:rPr>
              <w:t>1.00</w:t>
            </w:r>
          </w:p>
        </w:tc>
        <w:tc>
          <w:tcPr>
            <w:tcW w:w="1170" w:type="dxa"/>
            <w:tcBorders>
              <w:top w:val="nil"/>
              <w:bottom w:val="nil"/>
            </w:tcBorders>
            <w:shd w:val="clear" w:color="auto" w:fill="auto"/>
            <w:vAlign w:val="center"/>
            <w:hideMark/>
          </w:tcPr>
          <w:p w14:paraId="1FF7160B" w14:textId="77777777" w:rsidR="00DD4B26" w:rsidRPr="009140BE" w:rsidRDefault="00DD4B26" w:rsidP="00050E91">
            <w:pPr>
              <w:keepNext/>
              <w:spacing w:line="240" w:lineRule="auto"/>
              <w:jc w:val="right"/>
              <w:rPr>
                <w:sz w:val="20"/>
              </w:rPr>
            </w:pPr>
            <w:r w:rsidRPr="009140BE">
              <w:rPr>
                <w:sz w:val="20"/>
              </w:rPr>
              <w:t>3</w:t>
            </w:r>
            <w:r>
              <w:rPr>
                <w:sz w:val="20"/>
              </w:rPr>
              <w:t>,</w:t>
            </w:r>
            <w:r w:rsidRPr="009140BE">
              <w:rPr>
                <w:sz w:val="20"/>
              </w:rPr>
              <w:t>600</w:t>
            </w:r>
          </w:p>
        </w:tc>
        <w:tc>
          <w:tcPr>
            <w:tcW w:w="1080" w:type="dxa"/>
            <w:tcBorders>
              <w:top w:val="nil"/>
              <w:bottom w:val="nil"/>
            </w:tcBorders>
            <w:shd w:val="clear" w:color="auto" w:fill="auto"/>
            <w:vAlign w:val="center"/>
            <w:hideMark/>
          </w:tcPr>
          <w:p w14:paraId="65156A6D" w14:textId="77777777" w:rsidR="00DD4B26" w:rsidRPr="009140BE" w:rsidRDefault="00DD4B26" w:rsidP="00050E91">
            <w:pPr>
              <w:keepNext/>
              <w:spacing w:line="240" w:lineRule="auto"/>
              <w:jc w:val="right"/>
              <w:rPr>
                <w:sz w:val="20"/>
              </w:rPr>
            </w:pPr>
            <w:r w:rsidRPr="009140BE">
              <w:rPr>
                <w:sz w:val="20"/>
              </w:rPr>
              <w:t>3</w:t>
            </w:r>
            <w:r>
              <w:rPr>
                <w:sz w:val="20"/>
              </w:rPr>
              <w:t>,</w:t>
            </w:r>
            <w:r w:rsidRPr="009140BE">
              <w:rPr>
                <w:sz w:val="20"/>
              </w:rPr>
              <w:t>600</w:t>
            </w:r>
          </w:p>
        </w:tc>
        <w:tc>
          <w:tcPr>
            <w:tcW w:w="1800" w:type="dxa"/>
            <w:tcBorders>
              <w:top w:val="nil"/>
              <w:bottom w:val="nil"/>
            </w:tcBorders>
            <w:shd w:val="clear" w:color="auto" w:fill="auto"/>
            <w:vAlign w:val="center"/>
            <w:hideMark/>
          </w:tcPr>
          <w:p w14:paraId="01A0CDEA" w14:textId="77777777" w:rsidR="00DD4B26" w:rsidRPr="009140BE" w:rsidRDefault="00DD4B26" w:rsidP="00050E91">
            <w:pPr>
              <w:keepNext/>
              <w:spacing w:line="240" w:lineRule="auto"/>
              <w:jc w:val="right"/>
              <w:rPr>
                <w:sz w:val="20"/>
              </w:rPr>
            </w:pPr>
            <w:r w:rsidRPr="009140BE">
              <w:rPr>
                <w:sz w:val="20"/>
              </w:rPr>
              <w:t>10</w:t>
            </w:r>
          </w:p>
        </w:tc>
        <w:tc>
          <w:tcPr>
            <w:tcW w:w="1260" w:type="dxa"/>
            <w:tcBorders>
              <w:top w:val="nil"/>
              <w:bottom w:val="nil"/>
            </w:tcBorders>
            <w:shd w:val="clear" w:color="auto" w:fill="auto"/>
            <w:vAlign w:val="center"/>
            <w:hideMark/>
          </w:tcPr>
          <w:p w14:paraId="11083638" w14:textId="77777777" w:rsidR="00DD4B26" w:rsidRPr="009140BE" w:rsidRDefault="00DD4B26" w:rsidP="00050E91">
            <w:pPr>
              <w:keepNext/>
              <w:spacing w:line="240" w:lineRule="auto"/>
              <w:jc w:val="right"/>
              <w:rPr>
                <w:sz w:val="20"/>
              </w:rPr>
            </w:pPr>
            <w:r w:rsidRPr="009140BE">
              <w:rPr>
                <w:sz w:val="20"/>
              </w:rPr>
              <w:t>600</w:t>
            </w:r>
          </w:p>
        </w:tc>
      </w:tr>
      <w:tr w:rsidR="00DD4B26" w:rsidRPr="00021009" w14:paraId="5977C710" w14:textId="77777777" w:rsidTr="00050E91">
        <w:trPr>
          <w:trHeight w:val="144"/>
        </w:trPr>
        <w:tc>
          <w:tcPr>
            <w:tcW w:w="3348" w:type="dxa"/>
            <w:tcBorders>
              <w:top w:val="nil"/>
            </w:tcBorders>
            <w:shd w:val="clear" w:color="auto" w:fill="auto"/>
            <w:vAlign w:val="center"/>
            <w:hideMark/>
          </w:tcPr>
          <w:p w14:paraId="4D874B57" w14:textId="77777777" w:rsidR="00DD4B26" w:rsidRPr="009140BE" w:rsidRDefault="00DD4B26" w:rsidP="00050E91">
            <w:pPr>
              <w:keepNext/>
              <w:spacing w:line="240" w:lineRule="auto"/>
              <w:ind w:left="360" w:hanging="360"/>
              <w:jc w:val="left"/>
              <w:rPr>
                <w:sz w:val="20"/>
              </w:rPr>
            </w:pPr>
            <w:r w:rsidRPr="009140BE">
              <w:rPr>
                <w:sz w:val="20"/>
              </w:rPr>
              <w:t>Parent notification</w:t>
            </w:r>
            <w:r>
              <w:rPr>
                <w:sz w:val="20"/>
              </w:rPr>
              <w:t xml:space="preserve"> for additional sample (pending decision)</w:t>
            </w:r>
          </w:p>
        </w:tc>
        <w:tc>
          <w:tcPr>
            <w:tcW w:w="810" w:type="dxa"/>
            <w:tcBorders>
              <w:top w:val="nil"/>
            </w:tcBorders>
            <w:shd w:val="clear" w:color="auto" w:fill="auto"/>
            <w:vAlign w:val="center"/>
            <w:hideMark/>
          </w:tcPr>
          <w:p w14:paraId="5A622781" w14:textId="77777777" w:rsidR="00DD4B26" w:rsidRPr="009140BE" w:rsidRDefault="00DD4B26" w:rsidP="00050E91">
            <w:pPr>
              <w:keepNext/>
              <w:spacing w:line="240" w:lineRule="auto"/>
              <w:jc w:val="right"/>
              <w:rPr>
                <w:sz w:val="20"/>
              </w:rPr>
            </w:pPr>
            <w:r>
              <w:rPr>
                <w:sz w:val="20"/>
              </w:rPr>
              <w:t>941</w:t>
            </w:r>
          </w:p>
        </w:tc>
        <w:tc>
          <w:tcPr>
            <w:tcW w:w="1260" w:type="dxa"/>
            <w:tcBorders>
              <w:top w:val="nil"/>
            </w:tcBorders>
            <w:shd w:val="clear" w:color="auto" w:fill="auto"/>
            <w:vAlign w:val="center"/>
            <w:hideMark/>
          </w:tcPr>
          <w:p w14:paraId="02925F53" w14:textId="77777777" w:rsidR="00DD4B26" w:rsidRPr="009140BE" w:rsidRDefault="00DD4B26" w:rsidP="00050E91">
            <w:pPr>
              <w:keepNext/>
              <w:spacing w:line="240" w:lineRule="auto"/>
              <w:jc w:val="right"/>
              <w:rPr>
                <w:sz w:val="20"/>
              </w:rPr>
            </w:pPr>
            <w:r>
              <w:rPr>
                <w:sz w:val="20"/>
              </w:rPr>
              <w:t>1.00</w:t>
            </w:r>
          </w:p>
        </w:tc>
        <w:tc>
          <w:tcPr>
            <w:tcW w:w="1170" w:type="dxa"/>
            <w:tcBorders>
              <w:top w:val="nil"/>
            </w:tcBorders>
            <w:shd w:val="clear" w:color="auto" w:fill="auto"/>
            <w:vAlign w:val="center"/>
            <w:hideMark/>
          </w:tcPr>
          <w:p w14:paraId="445FB65D" w14:textId="77777777" w:rsidR="00DD4B26" w:rsidRPr="009140BE" w:rsidRDefault="00DD4B26" w:rsidP="00050E91">
            <w:pPr>
              <w:keepNext/>
              <w:spacing w:line="240" w:lineRule="auto"/>
              <w:jc w:val="right"/>
              <w:rPr>
                <w:sz w:val="20"/>
              </w:rPr>
            </w:pPr>
            <w:r>
              <w:rPr>
                <w:sz w:val="20"/>
              </w:rPr>
              <w:t>941</w:t>
            </w:r>
          </w:p>
        </w:tc>
        <w:tc>
          <w:tcPr>
            <w:tcW w:w="1080" w:type="dxa"/>
            <w:tcBorders>
              <w:top w:val="nil"/>
            </w:tcBorders>
            <w:shd w:val="clear" w:color="auto" w:fill="auto"/>
            <w:vAlign w:val="center"/>
            <w:hideMark/>
          </w:tcPr>
          <w:p w14:paraId="26E3E502" w14:textId="77777777" w:rsidR="00DD4B26" w:rsidRPr="009140BE" w:rsidRDefault="00DD4B26" w:rsidP="00050E91">
            <w:pPr>
              <w:keepNext/>
              <w:spacing w:line="240" w:lineRule="auto"/>
              <w:jc w:val="right"/>
              <w:rPr>
                <w:sz w:val="20"/>
              </w:rPr>
            </w:pPr>
            <w:r>
              <w:rPr>
                <w:sz w:val="20"/>
              </w:rPr>
              <w:t>941</w:t>
            </w:r>
          </w:p>
        </w:tc>
        <w:tc>
          <w:tcPr>
            <w:tcW w:w="1800" w:type="dxa"/>
            <w:tcBorders>
              <w:top w:val="nil"/>
            </w:tcBorders>
            <w:shd w:val="clear" w:color="auto" w:fill="auto"/>
            <w:vAlign w:val="center"/>
            <w:hideMark/>
          </w:tcPr>
          <w:p w14:paraId="0FD53254" w14:textId="77777777" w:rsidR="00DD4B26" w:rsidRPr="009140BE" w:rsidRDefault="00DD4B26" w:rsidP="00050E91">
            <w:pPr>
              <w:keepNext/>
              <w:spacing w:line="240" w:lineRule="auto"/>
              <w:jc w:val="right"/>
              <w:rPr>
                <w:sz w:val="20"/>
              </w:rPr>
            </w:pPr>
            <w:r w:rsidRPr="009140BE">
              <w:rPr>
                <w:sz w:val="20"/>
              </w:rPr>
              <w:t>10</w:t>
            </w:r>
          </w:p>
        </w:tc>
        <w:tc>
          <w:tcPr>
            <w:tcW w:w="1260" w:type="dxa"/>
            <w:tcBorders>
              <w:top w:val="nil"/>
            </w:tcBorders>
            <w:shd w:val="clear" w:color="auto" w:fill="auto"/>
            <w:vAlign w:val="center"/>
            <w:hideMark/>
          </w:tcPr>
          <w:p w14:paraId="00F887A0" w14:textId="77777777" w:rsidR="00DD4B26" w:rsidRPr="009140BE" w:rsidRDefault="00DD4B26" w:rsidP="00050E91">
            <w:pPr>
              <w:keepNext/>
              <w:spacing w:line="240" w:lineRule="auto"/>
              <w:jc w:val="right"/>
              <w:rPr>
                <w:sz w:val="20"/>
              </w:rPr>
            </w:pPr>
            <w:r>
              <w:rPr>
                <w:sz w:val="20"/>
              </w:rPr>
              <w:t>157</w:t>
            </w:r>
          </w:p>
        </w:tc>
      </w:tr>
      <w:tr w:rsidR="00DD4B26" w:rsidRPr="006962C9" w14:paraId="7A5E3417" w14:textId="77777777" w:rsidTr="00050E91">
        <w:trPr>
          <w:trHeight w:val="144"/>
        </w:trPr>
        <w:tc>
          <w:tcPr>
            <w:tcW w:w="3348" w:type="dxa"/>
            <w:tcBorders>
              <w:bottom w:val="single" w:sz="4" w:space="0" w:color="auto"/>
            </w:tcBorders>
            <w:shd w:val="clear" w:color="auto" w:fill="auto"/>
            <w:vAlign w:val="center"/>
          </w:tcPr>
          <w:p w14:paraId="631C84A8" w14:textId="77777777" w:rsidR="00DD4B26" w:rsidRPr="006962C9" w:rsidRDefault="00DD4B26" w:rsidP="00050E91">
            <w:pPr>
              <w:keepNext/>
              <w:spacing w:line="240" w:lineRule="auto"/>
              <w:jc w:val="left"/>
              <w:rPr>
                <w:b/>
                <w:sz w:val="20"/>
              </w:rPr>
            </w:pPr>
            <w:r w:rsidRPr="006962C9">
              <w:rPr>
                <w:b/>
                <w:sz w:val="20"/>
              </w:rPr>
              <w:t>Main Study Recruitment Burden</w:t>
            </w:r>
          </w:p>
        </w:tc>
        <w:tc>
          <w:tcPr>
            <w:tcW w:w="810" w:type="dxa"/>
            <w:tcBorders>
              <w:bottom w:val="single" w:sz="4" w:space="0" w:color="auto"/>
            </w:tcBorders>
            <w:shd w:val="clear" w:color="auto" w:fill="auto"/>
            <w:vAlign w:val="center"/>
          </w:tcPr>
          <w:p w14:paraId="581A1026" w14:textId="77777777" w:rsidR="00DD4B26" w:rsidRPr="006962C9" w:rsidRDefault="00DD4B26" w:rsidP="00050E91">
            <w:pPr>
              <w:keepNext/>
              <w:spacing w:line="240" w:lineRule="auto"/>
              <w:jc w:val="right"/>
              <w:rPr>
                <w:b/>
                <w:sz w:val="20"/>
              </w:rPr>
            </w:pPr>
          </w:p>
        </w:tc>
        <w:tc>
          <w:tcPr>
            <w:tcW w:w="1260" w:type="dxa"/>
            <w:tcBorders>
              <w:bottom w:val="single" w:sz="4" w:space="0" w:color="auto"/>
            </w:tcBorders>
            <w:shd w:val="clear" w:color="auto" w:fill="auto"/>
            <w:vAlign w:val="center"/>
          </w:tcPr>
          <w:p w14:paraId="7AEA69F4" w14:textId="77777777" w:rsidR="00DD4B26" w:rsidRPr="006962C9" w:rsidRDefault="00DD4B26" w:rsidP="00050E91">
            <w:pPr>
              <w:keepNext/>
              <w:spacing w:line="240" w:lineRule="auto"/>
              <w:jc w:val="right"/>
              <w:rPr>
                <w:b/>
                <w:sz w:val="20"/>
              </w:rPr>
            </w:pPr>
          </w:p>
        </w:tc>
        <w:tc>
          <w:tcPr>
            <w:tcW w:w="1170" w:type="dxa"/>
            <w:tcBorders>
              <w:bottom w:val="single" w:sz="4" w:space="0" w:color="auto"/>
            </w:tcBorders>
            <w:shd w:val="clear" w:color="auto" w:fill="auto"/>
            <w:vAlign w:val="center"/>
          </w:tcPr>
          <w:p w14:paraId="0DEFA1EA" w14:textId="77777777" w:rsidR="00DD4B26" w:rsidRPr="006962C9" w:rsidRDefault="00DD4B26" w:rsidP="00050E91">
            <w:pPr>
              <w:keepNext/>
              <w:spacing w:line="240" w:lineRule="auto"/>
              <w:jc w:val="right"/>
              <w:rPr>
                <w:b/>
                <w:sz w:val="20"/>
              </w:rPr>
            </w:pPr>
            <w:r>
              <w:rPr>
                <w:b/>
                <w:sz w:val="20"/>
              </w:rPr>
              <w:t>5</w:t>
            </w:r>
            <w:r w:rsidRPr="006962C9">
              <w:rPr>
                <w:b/>
                <w:sz w:val="20"/>
              </w:rPr>
              <w:t>,1</w:t>
            </w:r>
            <w:r>
              <w:rPr>
                <w:b/>
                <w:sz w:val="20"/>
              </w:rPr>
              <w:t>26</w:t>
            </w:r>
          </w:p>
        </w:tc>
        <w:tc>
          <w:tcPr>
            <w:tcW w:w="1080" w:type="dxa"/>
            <w:tcBorders>
              <w:bottom w:val="single" w:sz="4" w:space="0" w:color="auto"/>
            </w:tcBorders>
            <w:shd w:val="clear" w:color="auto" w:fill="auto"/>
            <w:vAlign w:val="center"/>
          </w:tcPr>
          <w:p w14:paraId="3D23539E" w14:textId="77777777" w:rsidR="00DD4B26" w:rsidRPr="006962C9" w:rsidRDefault="00DD4B26" w:rsidP="00050E91">
            <w:pPr>
              <w:keepNext/>
              <w:spacing w:line="240" w:lineRule="auto"/>
              <w:jc w:val="right"/>
              <w:rPr>
                <w:b/>
                <w:sz w:val="20"/>
              </w:rPr>
            </w:pPr>
            <w:r>
              <w:rPr>
                <w:b/>
                <w:sz w:val="20"/>
              </w:rPr>
              <w:t>5</w:t>
            </w:r>
            <w:r w:rsidRPr="006962C9">
              <w:rPr>
                <w:b/>
                <w:sz w:val="20"/>
              </w:rPr>
              <w:t>,1</w:t>
            </w:r>
            <w:r>
              <w:rPr>
                <w:b/>
                <w:sz w:val="20"/>
              </w:rPr>
              <w:t>26</w:t>
            </w:r>
          </w:p>
        </w:tc>
        <w:tc>
          <w:tcPr>
            <w:tcW w:w="1800" w:type="dxa"/>
            <w:tcBorders>
              <w:bottom w:val="single" w:sz="4" w:space="0" w:color="auto"/>
            </w:tcBorders>
            <w:shd w:val="clear" w:color="auto" w:fill="auto"/>
            <w:vAlign w:val="center"/>
          </w:tcPr>
          <w:p w14:paraId="0F4BA46D" w14:textId="77777777" w:rsidR="00DD4B26" w:rsidRPr="006962C9" w:rsidRDefault="00DD4B26" w:rsidP="00050E91">
            <w:pPr>
              <w:keepNext/>
              <w:spacing w:line="240" w:lineRule="auto"/>
              <w:jc w:val="right"/>
              <w:rPr>
                <w:b/>
                <w:sz w:val="20"/>
              </w:rPr>
            </w:pPr>
          </w:p>
        </w:tc>
        <w:tc>
          <w:tcPr>
            <w:tcW w:w="1260" w:type="dxa"/>
            <w:tcBorders>
              <w:bottom w:val="single" w:sz="4" w:space="0" w:color="auto"/>
            </w:tcBorders>
            <w:shd w:val="clear" w:color="auto" w:fill="auto"/>
            <w:vAlign w:val="center"/>
          </w:tcPr>
          <w:p w14:paraId="63EF9CC6" w14:textId="77777777" w:rsidR="00DD4B26" w:rsidRPr="006962C9" w:rsidRDefault="00DD4B26" w:rsidP="00050E91">
            <w:pPr>
              <w:keepNext/>
              <w:spacing w:line="240" w:lineRule="auto"/>
              <w:jc w:val="right"/>
              <w:rPr>
                <w:b/>
                <w:sz w:val="20"/>
              </w:rPr>
            </w:pPr>
            <w:r w:rsidRPr="006962C9">
              <w:rPr>
                <w:b/>
                <w:sz w:val="20"/>
              </w:rPr>
              <w:t>1,</w:t>
            </w:r>
            <w:r>
              <w:rPr>
                <w:b/>
                <w:sz w:val="20"/>
              </w:rPr>
              <w:t>936</w:t>
            </w:r>
          </w:p>
        </w:tc>
      </w:tr>
      <w:tr w:rsidR="00DD4B26" w:rsidRPr="00021009" w14:paraId="7769ED39" w14:textId="77777777" w:rsidTr="00050E91">
        <w:trPr>
          <w:trHeight w:val="144"/>
        </w:trPr>
        <w:tc>
          <w:tcPr>
            <w:tcW w:w="3348" w:type="dxa"/>
            <w:tcBorders>
              <w:bottom w:val="nil"/>
            </w:tcBorders>
            <w:shd w:val="clear" w:color="auto" w:fill="auto"/>
            <w:vAlign w:val="center"/>
            <w:hideMark/>
          </w:tcPr>
          <w:p w14:paraId="0B01403C" w14:textId="77777777" w:rsidR="00DD4B26" w:rsidRPr="009140BE" w:rsidRDefault="00DD4B26" w:rsidP="00050E91">
            <w:pPr>
              <w:keepNext/>
              <w:spacing w:line="240" w:lineRule="auto"/>
              <w:jc w:val="left"/>
              <w:rPr>
                <w:b/>
                <w:bCs/>
                <w:color w:val="808080"/>
                <w:sz w:val="20"/>
              </w:rPr>
            </w:pPr>
            <w:r w:rsidRPr="009140BE">
              <w:rPr>
                <w:b/>
                <w:bCs/>
                <w:color w:val="808080"/>
                <w:sz w:val="20"/>
              </w:rPr>
              <w:t>Pre-Assessment Activity</w:t>
            </w:r>
          </w:p>
        </w:tc>
        <w:tc>
          <w:tcPr>
            <w:tcW w:w="810" w:type="dxa"/>
            <w:tcBorders>
              <w:bottom w:val="nil"/>
            </w:tcBorders>
            <w:shd w:val="clear" w:color="auto" w:fill="auto"/>
            <w:vAlign w:val="center"/>
            <w:hideMark/>
          </w:tcPr>
          <w:p w14:paraId="4A09E43C" w14:textId="77777777" w:rsidR="00DD4B26" w:rsidRPr="009140BE" w:rsidRDefault="00DD4B26" w:rsidP="00050E91">
            <w:pPr>
              <w:keepNext/>
              <w:spacing w:line="240" w:lineRule="auto"/>
              <w:jc w:val="right"/>
              <w:rPr>
                <w:color w:val="808080"/>
                <w:sz w:val="20"/>
              </w:rPr>
            </w:pPr>
          </w:p>
        </w:tc>
        <w:tc>
          <w:tcPr>
            <w:tcW w:w="1260" w:type="dxa"/>
            <w:tcBorders>
              <w:bottom w:val="nil"/>
            </w:tcBorders>
            <w:shd w:val="clear" w:color="auto" w:fill="auto"/>
            <w:vAlign w:val="center"/>
            <w:hideMark/>
          </w:tcPr>
          <w:p w14:paraId="7885B29A" w14:textId="77777777" w:rsidR="00DD4B26" w:rsidRPr="009140BE" w:rsidRDefault="00DD4B26" w:rsidP="00050E91">
            <w:pPr>
              <w:keepNext/>
              <w:spacing w:line="240" w:lineRule="auto"/>
              <w:jc w:val="right"/>
              <w:rPr>
                <w:color w:val="808080"/>
                <w:sz w:val="20"/>
              </w:rPr>
            </w:pPr>
          </w:p>
        </w:tc>
        <w:tc>
          <w:tcPr>
            <w:tcW w:w="1170" w:type="dxa"/>
            <w:tcBorders>
              <w:bottom w:val="nil"/>
            </w:tcBorders>
            <w:shd w:val="clear" w:color="auto" w:fill="auto"/>
            <w:vAlign w:val="center"/>
            <w:hideMark/>
          </w:tcPr>
          <w:p w14:paraId="3C21B1DC" w14:textId="77777777" w:rsidR="00DD4B26" w:rsidRPr="009140BE" w:rsidRDefault="00DD4B26" w:rsidP="00050E91">
            <w:pPr>
              <w:keepNext/>
              <w:spacing w:line="240" w:lineRule="auto"/>
              <w:jc w:val="right"/>
              <w:rPr>
                <w:color w:val="808080"/>
                <w:sz w:val="20"/>
              </w:rPr>
            </w:pPr>
          </w:p>
        </w:tc>
        <w:tc>
          <w:tcPr>
            <w:tcW w:w="1080" w:type="dxa"/>
            <w:tcBorders>
              <w:bottom w:val="nil"/>
            </w:tcBorders>
            <w:shd w:val="clear" w:color="auto" w:fill="auto"/>
            <w:vAlign w:val="center"/>
            <w:hideMark/>
          </w:tcPr>
          <w:p w14:paraId="73B11EC2" w14:textId="77777777" w:rsidR="00DD4B26" w:rsidRPr="009140BE" w:rsidRDefault="00DD4B26" w:rsidP="00050E91">
            <w:pPr>
              <w:keepNext/>
              <w:spacing w:line="240" w:lineRule="auto"/>
              <w:jc w:val="right"/>
              <w:rPr>
                <w:color w:val="808080"/>
                <w:sz w:val="20"/>
              </w:rPr>
            </w:pPr>
          </w:p>
        </w:tc>
        <w:tc>
          <w:tcPr>
            <w:tcW w:w="1800" w:type="dxa"/>
            <w:tcBorders>
              <w:bottom w:val="nil"/>
            </w:tcBorders>
            <w:shd w:val="clear" w:color="auto" w:fill="auto"/>
            <w:vAlign w:val="center"/>
            <w:hideMark/>
          </w:tcPr>
          <w:p w14:paraId="6CF5F082" w14:textId="77777777" w:rsidR="00DD4B26" w:rsidRPr="009140BE" w:rsidRDefault="00DD4B26" w:rsidP="00050E91">
            <w:pPr>
              <w:keepNext/>
              <w:spacing w:line="240" w:lineRule="auto"/>
              <w:jc w:val="right"/>
              <w:rPr>
                <w:color w:val="808080"/>
                <w:sz w:val="20"/>
              </w:rPr>
            </w:pPr>
          </w:p>
        </w:tc>
        <w:tc>
          <w:tcPr>
            <w:tcW w:w="1260" w:type="dxa"/>
            <w:tcBorders>
              <w:bottom w:val="nil"/>
            </w:tcBorders>
            <w:shd w:val="clear" w:color="auto" w:fill="auto"/>
            <w:vAlign w:val="center"/>
            <w:hideMark/>
          </w:tcPr>
          <w:p w14:paraId="3218AB21" w14:textId="77777777" w:rsidR="00DD4B26" w:rsidRPr="009140BE" w:rsidRDefault="00DD4B26" w:rsidP="00050E91">
            <w:pPr>
              <w:keepNext/>
              <w:spacing w:line="240" w:lineRule="auto"/>
              <w:jc w:val="right"/>
              <w:rPr>
                <w:color w:val="808080"/>
                <w:sz w:val="20"/>
              </w:rPr>
            </w:pPr>
            <w:r w:rsidRPr="009140BE">
              <w:rPr>
                <w:color w:val="808080"/>
                <w:sz w:val="20"/>
              </w:rPr>
              <w:t> </w:t>
            </w:r>
          </w:p>
        </w:tc>
      </w:tr>
      <w:tr w:rsidR="00DD4B26" w:rsidRPr="00021009" w14:paraId="44863C54" w14:textId="77777777" w:rsidTr="00050E91">
        <w:trPr>
          <w:trHeight w:val="144"/>
        </w:trPr>
        <w:tc>
          <w:tcPr>
            <w:tcW w:w="3348" w:type="dxa"/>
            <w:tcBorders>
              <w:top w:val="nil"/>
              <w:bottom w:val="single" w:sz="4" w:space="0" w:color="auto"/>
            </w:tcBorders>
            <w:shd w:val="clear" w:color="auto" w:fill="auto"/>
            <w:vAlign w:val="center"/>
            <w:hideMark/>
          </w:tcPr>
          <w:p w14:paraId="35BE948D" w14:textId="77777777" w:rsidR="00DD4B26" w:rsidRPr="009140BE" w:rsidRDefault="00DD4B26" w:rsidP="00050E91">
            <w:pPr>
              <w:keepNext/>
              <w:spacing w:line="240" w:lineRule="auto"/>
              <w:jc w:val="left"/>
              <w:rPr>
                <w:color w:val="808080"/>
                <w:sz w:val="20"/>
              </w:rPr>
            </w:pPr>
            <w:r w:rsidRPr="009140BE">
              <w:rPr>
                <w:color w:val="808080"/>
                <w:sz w:val="20"/>
              </w:rPr>
              <w:t>School Coordinator</w:t>
            </w:r>
          </w:p>
        </w:tc>
        <w:tc>
          <w:tcPr>
            <w:tcW w:w="810" w:type="dxa"/>
            <w:tcBorders>
              <w:top w:val="nil"/>
              <w:bottom w:val="single" w:sz="4" w:space="0" w:color="auto"/>
            </w:tcBorders>
            <w:shd w:val="clear" w:color="auto" w:fill="auto"/>
            <w:vAlign w:val="center"/>
            <w:hideMark/>
          </w:tcPr>
          <w:p w14:paraId="6B55ADFA" w14:textId="77777777" w:rsidR="00DD4B26" w:rsidRPr="009140BE" w:rsidRDefault="00DD4B26" w:rsidP="00050E91">
            <w:pPr>
              <w:keepNext/>
              <w:spacing w:line="240" w:lineRule="auto"/>
              <w:jc w:val="right"/>
              <w:rPr>
                <w:color w:val="808080"/>
                <w:sz w:val="20"/>
              </w:rPr>
            </w:pPr>
            <w:r w:rsidRPr="009140BE">
              <w:rPr>
                <w:color w:val="808080"/>
                <w:sz w:val="20"/>
              </w:rPr>
              <w:t>2</w:t>
            </w:r>
            <w:r>
              <w:rPr>
                <w:color w:val="808080"/>
                <w:sz w:val="20"/>
              </w:rPr>
              <w:t>35</w:t>
            </w:r>
          </w:p>
        </w:tc>
        <w:tc>
          <w:tcPr>
            <w:tcW w:w="1260" w:type="dxa"/>
            <w:tcBorders>
              <w:top w:val="nil"/>
              <w:bottom w:val="single" w:sz="4" w:space="0" w:color="auto"/>
            </w:tcBorders>
            <w:shd w:val="clear" w:color="auto" w:fill="auto"/>
            <w:vAlign w:val="center"/>
            <w:hideMark/>
          </w:tcPr>
          <w:p w14:paraId="510037F8" w14:textId="77777777" w:rsidR="00DD4B26" w:rsidRPr="009140BE" w:rsidRDefault="00DD4B26" w:rsidP="00050E91">
            <w:pPr>
              <w:keepNext/>
              <w:spacing w:line="240" w:lineRule="auto"/>
              <w:jc w:val="right"/>
              <w:rPr>
                <w:color w:val="808080"/>
                <w:sz w:val="20"/>
              </w:rPr>
            </w:pPr>
            <w:r>
              <w:rPr>
                <w:color w:val="808080"/>
                <w:sz w:val="20"/>
              </w:rPr>
              <w:t>0.85</w:t>
            </w:r>
          </w:p>
        </w:tc>
        <w:tc>
          <w:tcPr>
            <w:tcW w:w="1170" w:type="dxa"/>
            <w:tcBorders>
              <w:top w:val="nil"/>
              <w:bottom w:val="single" w:sz="4" w:space="0" w:color="auto"/>
            </w:tcBorders>
            <w:shd w:val="clear" w:color="auto" w:fill="auto"/>
            <w:vAlign w:val="center"/>
            <w:hideMark/>
          </w:tcPr>
          <w:p w14:paraId="10701185" w14:textId="77777777" w:rsidR="00DD4B26" w:rsidRPr="009140BE" w:rsidRDefault="00DD4B26" w:rsidP="00050E91">
            <w:pPr>
              <w:keepNext/>
              <w:spacing w:line="240" w:lineRule="auto"/>
              <w:jc w:val="right"/>
              <w:rPr>
                <w:color w:val="808080"/>
                <w:sz w:val="20"/>
              </w:rPr>
            </w:pPr>
            <w:r w:rsidRPr="009140BE">
              <w:rPr>
                <w:color w:val="808080"/>
                <w:sz w:val="20"/>
              </w:rPr>
              <w:t>200</w:t>
            </w:r>
          </w:p>
        </w:tc>
        <w:tc>
          <w:tcPr>
            <w:tcW w:w="1080" w:type="dxa"/>
            <w:tcBorders>
              <w:top w:val="nil"/>
              <w:bottom w:val="single" w:sz="4" w:space="0" w:color="auto"/>
            </w:tcBorders>
            <w:shd w:val="clear" w:color="auto" w:fill="auto"/>
            <w:vAlign w:val="center"/>
            <w:hideMark/>
          </w:tcPr>
          <w:p w14:paraId="365CC86D" w14:textId="77777777" w:rsidR="00DD4B26" w:rsidRPr="009140BE" w:rsidRDefault="00DD4B26" w:rsidP="00050E91">
            <w:pPr>
              <w:keepNext/>
              <w:spacing w:line="240" w:lineRule="auto"/>
              <w:jc w:val="right"/>
              <w:rPr>
                <w:color w:val="808080"/>
                <w:sz w:val="20"/>
              </w:rPr>
            </w:pPr>
            <w:r w:rsidRPr="009140BE">
              <w:rPr>
                <w:color w:val="808080"/>
                <w:sz w:val="20"/>
              </w:rPr>
              <w:t>200</w:t>
            </w:r>
          </w:p>
        </w:tc>
        <w:tc>
          <w:tcPr>
            <w:tcW w:w="1800" w:type="dxa"/>
            <w:tcBorders>
              <w:top w:val="nil"/>
              <w:bottom w:val="single" w:sz="4" w:space="0" w:color="auto"/>
            </w:tcBorders>
            <w:shd w:val="clear" w:color="auto" w:fill="auto"/>
            <w:vAlign w:val="center"/>
            <w:hideMark/>
          </w:tcPr>
          <w:p w14:paraId="2081BE6A" w14:textId="77777777" w:rsidR="00DD4B26" w:rsidRPr="009140BE" w:rsidRDefault="00DD4B26" w:rsidP="00050E91">
            <w:pPr>
              <w:keepNext/>
              <w:spacing w:line="240" w:lineRule="auto"/>
              <w:jc w:val="right"/>
              <w:rPr>
                <w:color w:val="808080"/>
                <w:sz w:val="20"/>
              </w:rPr>
            </w:pPr>
            <w:r w:rsidRPr="009140BE">
              <w:rPr>
                <w:color w:val="808080"/>
                <w:sz w:val="20"/>
              </w:rPr>
              <w:t>240</w:t>
            </w:r>
          </w:p>
        </w:tc>
        <w:tc>
          <w:tcPr>
            <w:tcW w:w="1260" w:type="dxa"/>
            <w:tcBorders>
              <w:top w:val="nil"/>
              <w:bottom w:val="single" w:sz="4" w:space="0" w:color="auto"/>
            </w:tcBorders>
            <w:shd w:val="clear" w:color="auto" w:fill="auto"/>
            <w:vAlign w:val="center"/>
            <w:hideMark/>
          </w:tcPr>
          <w:p w14:paraId="2C72A08E" w14:textId="77777777" w:rsidR="00DD4B26" w:rsidRPr="009140BE" w:rsidRDefault="00DD4B26" w:rsidP="00050E91">
            <w:pPr>
              <w:keepNext/>
              <w:spacing w:line="240" w:lineRule="auto"/>
              <w:jc w:val="right"/>
              <w:rPr>
                <w:color w:val="808080"/>
                <w:sz w:val="20"/>
              </w:rPr>
            </w:pPr>
            <w:r>
              <w:rPr>
                <w:color w:val="808080"/>
                <w:sz w:val="20"/>
              </w:rPr>
              <w:t>80</w:t>
            </w:r>
            <w:r w:rsidRPr="009140BE">
              <w:rPr>
                <w:color w:val="808080"/>
                <w:sz w:val="20"/>
              </w:rPr>
              <w:t>0</w:t>
            </w:r>
          </w:p>
        </w:tc>
      </w:tr>
      <w:tr w:rsidR="00DD4B26" w:rsidRPr="00021009" w14:paraId="7D928484" w14:textId="77777777" w:rsidTr="00050E91">
        <w:trPr>
          <w:trHeight w:val="144"/>
        </w:trPr>
        <w:tc>
          <w:tcPr>
            <w:tcW w:w="3348" w:type="dxa"/>
            <w:tcBorders>
              <w:top w:val="single" w:sz="4" w:space="0" w:color="auto"/>
              <w:bottom w:val="nil"/>
            </w:tcBorders>
            <w:shd w:val="clear" w:color="auto" w:fill="auto"/>
            <w:vAlign w:val="center"/>
            <w:hideMark/>
          </w:tcPr>
          <w:p w14:paraId="6CC54D10" w14:textId="77777777" w:rsidR="00DD4B26" w:rsidRPr="009140BE" w:rsidRDefault="00DD4B26" w:rsidP="00050E91">
            <w:pPr>
              <w:keepNext/>
              <w:spacing w:line="240" w:lineRule="auto"/>
              <w:jc w:val="left"/>
              <w:rPr>
                <w:b/>
                <w:bCs/>
                <w:color w:val="808080"/>
                <w:sz w:val="20"/>
              </w:rPr>
            </w:pPr>
            <w:r w:rsidRPr="009140BE">
              <w:rPr>
                <w:b/>
                <w:bCs/>
                <w:color w:val="808080"/>
                <w:sz w:val="20"/>
              </w:rPr>
              <w:t>Data Collection</w:t>
            </w:r>
          </w:p>
        </w:tc>
        <w:tc>
          <w:tcPr>
            <w:tcW w:w="810" w:type="dxa"/>
            <w:tcBorders>
              <w:top w:val="single" w:sz="4" w:space="0" w:color="auto"/>
              <w:bottom w:val="nil"/>
            </w:tcBorders>
            <w:shd w:val="clear" w:color="auto" w:fill="auto"/>
            <w:vAlign w:val="center"/>
            <w:hideMark/>
          </w:tcPr>
          <w:p w14:paraId="682A43E3" w14:textId="77777777" w:rsidR="00DD4B26" w:rsidRPr="009140BE" w:rsidRDefault="00DD4B26" w:rsidP="00050E91">
            <w:pPr>
              <w:keepNext/>
              <w:spacing w:line="240" w:lineRule="auto"/>
              <w:jc w:val="right"/>
              <w:rPr>
                <w:color w:val="808080"/>
                <w:sz w:val="20"/>
              </w:rPr>
            </w:pPr>
          </w:p>
        </w:tc>
        <w:tc>
          <w:tcPr>
            <w:tcW w:w="1260" w:type="dxa"/>
            <w:tcBorders>
              <w:top w:val="single" w:sz="4" w:space="0" w:color="auto"/>
              <w:bottom w:val="nil"/>
            </w:tcBorders>
            <w:shd w:val="clear" w:color="auto" w:fill="auto"/>
            <w:vAlign w:val="center"/>
            <w:hideMark/>
          </w:tcPr>
          <w:p w14:paraId="387B5D04" w14:textId="77777777" w:rsidR="00DD4B26" w:rsidRPr="009140BE" w:rsidRDefault="00DD4B26" w:rsidP="00050E91">
            <w:pPr>
              <w:keepNext/>
              <w:spacing w:line="240" w:lineRule="auto"/>
              <w:jc w:val="right"/>
              <w:rPr>
                <w:color w:val="808080"/>
                <w:sz w:val="20"/>
              </w:rPr>
            </w:pPr>
          </w:p>
        </w:tc>
        <w:tc>
          <w:tcPr>
            <w:tcW w:w="1170" w:type="dxa"/>
            <w:tcBorders>
              <w:top w:val="single" w:sz="4" w:space="0" w:color="auto"/>
              <w:bottom w:val="nil"/>
            </w:tcBorders>
            <w:shd w:val="clear" w:color="auto" w:fill="auto"/>
            <w:vAlign w:val="center"/>
            <w:hideMark/>
          </w:tcPr>
          <w:p w14:paraId="6FAC3E76" w14:textId="77777777" w:rsidR="00DD4B26" w:rsidRPr="009140BE" w:rsidRDefault="00DD4B26" w:rsidP="00050E91">
            <w:pPr>
              <w:keepNext/>
              <w:spacing w:line="240" w:lineRule="auto"/>
              <w:jc w:val="right"/>
              <w:rPr>
                <w:color w:val="808080"/>
                <w:sz w:val="20"/>
              </w:rPr>
            </w:pPr>
          </w:p>
        </w:tc>
        <w:tc>
          <w:tcPr>
            <w:tcW w:w="1080" w:type="dxa"/>
            <w:tcBorders>
              <w:top w:val="single" w:sz="4" w:space="0" w:color="auto"/>
              <w:bottom w:val="nil"/>
            </w:tcBorders>
            <w:shd w:val="clear" w:color="auto" w:fill="auto"/>
            <w:vAlign w:val="center"/>
            <w:hideMark/>
          </w:tcPr>
          <w:p w14:paraId="3DE5372B" w14:textId="77777777" w:rsidR="00DD4B26" w:rsidRPr="009140BE" w:rsidRDefault="00DD4B26" w:rsidP="00050E91">
            <w:pPr>
              <w:keepNext/>
              <w:spacing w:line="240" w:lineRule="auto"/>
              <w:jc w:val="right"/>
              <w:rPr>
                <w:color w:val="808080"/>
                <w:sz w:val="20"/>
              </w:rPr>
            </w:pPr>
          </w:p>
        </w:tc>
        <w:tc>
          <w:tcPr>
            <w:tcW w:w="1800" w:type="dxa"/>
            <w:tcBorders>
              <w:top w:val="single" w:sz="4" w:space="0" w:color="auto"/>
              <w:bottom w:val="nil"/>
            </w:tcBorders>
            <w:shd w:val="clear" w:color="auto" w:fill="auto"/>
            <w:vAlign w:val="center"/>
            <w:hideMark/>
          </w:tcPr>
          <w:p w14:paraId="1D8241AB" w14:textId="77777777" w:rsidR="00DD4B26" w:rsidRPr="009140BE" w:rsidRDefault="00DD4B26" w:rsidP="00050E91">
            <w:pPr>
              <w:keepNext/>
              <w:spacing w:line="240" w:lineRule="auto"/>
              <w:jc w:val="right"/>
              <w:rPr>
                <w:color w:val="808080"/>
                <w:sz w:val="20"/>
              </w:rPr>
            </w:pPr>
          </w:p>
        </w:tc>
        <w:tc>
          <w:tcPr>
            <w:tcW w:w="1260" w:type="dxa"/>
            <w:tcBorders>
              <w:top w:val="single" w:sz="4" w:space="0" w:color="auto"/>
              <w:bottom w:val="nil"/>
            </w:tcBorders>
            <w:shd w:val="clear" w:color="auto" w:fill="auto"/>
            <w:vAlign w:val="center"/>
            <w:hideMark/>
          </w:tcPr>
          <w:p w14:paraId="291DF6D1" w14:textId="77777777" w:rsidR="00DD4B26" w:rsidRPr="009140BE" w:rsidRDefault="00DD4B26" w:rsidP="00050E91">
            <w:pPr>
              <w:keepNext/>
              <w:spacing w:line="240" w:lineRule="auto"/>
              <w:jc w:val="right"/>
              <w:rPr>
                <w:color w:val="808080"/>
                <w:sz w:val="20"/>
              </w:rPr>
            </w:pPr>
            <w:r w:rsidRPr="009140BE">
              <w:rPr>
                <w:color w:val="808080"/>
                <w:sz w:val="20"/>
              </w:rPr>
              <w:t> </w:t>
            </w:r>
          </w:p>
        </w:tc>
      </w:tr>
      <w:tr w:rsidR="00DD4B26" w:rsidRPr="00021009" w14:paraId="4B9435BF" w14:textId="77777777" w:rsidTr="00050E91">
        <w:trPr>
          <w:trHeight w:val="144"/>
        </w:trPr>
        <w:tc>
          <w:tcPr>
            <w:tcW w:w="3348" w:type="dxa"/>
            <w:tcBorders>
              <w:top w:val="nil"/>
              <w:bottom w:val="nil"/>
            </w:tcBorders>
            <w:shd w:val="clear" w:color="auto" w:fill="auto"/>
            <w:vAlign w:val="center"/>
            <w:hideMark/>
          </w:tcPr>
          <w:p w14:paraId="78F2BEED" w14:textId="77777777" w:rsidR="00DD4B26" w:rsidRPr="009140BE" w:rsidRDefault="00DD4B26" w:rsidP="00050E91">
            <w:pPr>
              <w:keepNext/>
              <w:spacing w:line="240" w:lineRule="auto"/>
              <w:jc w:val="left"/>
              <w:rPr>
                <w:color w:val="808080"/>
                <w:sz w:val="20"/>
              </w:rPr>
            </w:pPr>
            <w:r w:rsidRPr="009140BE">
              <w:rPr>
                <w:color w:val="808080"/>
                <w:sz w:val="20"/>
              </w:rPr>
              <w:t>Parent Questionnaire</w:t>
            </w:r>
            <w:r>
              <w:rPr>
                <w:color w:val="808080"/>
                <w:sz w:val="20"/>
              </w:rPr>
              <w:t>*</w:t>
            </w:r>
          </w:p>
        </w:tc>
        <w:tc>
          <w:tcPr>
            <w:tcW w:w="810" w:type="dxa"/>
            <w:tcBorders>
              <w:top w:val="nil"/>
              <w:bottom w:val="nil"/>
            </w:tcBorders>
            <w:shd w:val="clear" w:color="auto" w:fill="auto"/>
            <w:vAlign w:val="center"/>
            <w:hideMark/>
          </w:tcPr>
          <w:p w14:paraId="1393776C" w14:textId="77777777" w:rsidR="00DD4B26" w:rsidRPr="009140BE" w:rsidRDefault="00DD4B26" w:rsidP="00050E91">
            <w:pPr>
              <w:keepNext/>
              <w:spacing w:line="240" w:lineRule="auto"/>
              <w:jc w:val="right"/>
              <w:rPr>
                <w:color w:val="808080"/>
                <w:sz w:val="20"/>
              </w:rPr>
            </w:pPr>
            <w:r w:rsidRPr="009140BE">
              <w:rPr>
                <w:color w:val="808080"/>
                <w:sz w:val="20"/>
              </w:rPr>
              <w:t>3</w:t>
            </w:r>
            <w:r>
              <w:rPr>
                <w:color w:val="808080"/>
                <w:sz w:val="20"/>
              </w:rPr>
              <w:t>,</w:t>
            </w:r>
            <w:r w:rsidRPr="009140BE">
              <w:rPr>
                <w:color w:val="808080"/>
                <w:sz w:val="20"/>
              </w:rPr>
              <w:t>600</w:t>
            </w:r>
          </w:p>
        </w:tc>
        <w:tc>
          <w:tcPr>
            <w:tcW w:w="1260" w:type="dxa"/>
            <w:tcBorders>
              <w:top w:val="nil"/>
              <w:bottom w:val="nil"/>
            </w:tcBorders>
            <w:shd w:val="clear" w:color="auto" w:fill="auto"/>
            <w:vAlign w:val="center"/>
            <w:hideMark/>
          </w:tcPr>
          <w:p w14:paraId="1B591E50" w14:textId="77777777" w:rsidR="00DD4B26" w:rsidRPr="009140BE" w:rsidRDefault="00DD4B26" w:rsidP="00050E91">
            <w:pPr>
              <w:keepNext/>
              <w:spacing w:line="240" w:lineRule="auto"/>
              <w:jc w:val="right"/>
              <w:rPr>
                <w:color w:val="808080"/>
                <w:sz w:val="20"/>
              </w:rPr>
            </w:pPr>
            <w:r w:rsidRPr="009140BE">
              <w:rPr>
                <w:color w:val="808080"/>
                <w:sz w:val="20"/>
              </w:rPr>
              <w:t>0.85</w:t>
            </w:r>
          </w:p>
        </w:tc>
        <w:tc>
          <w:tcPr>
            <w:tcW w:w="1170" w:type="dxa"/>
            <w:tcBorders>
              <w:top w:val="nil"/>
              <w:bottom w:val="nil"/>
            </w:tcBorders>
            <w:shd w:val="clear" w:color="auto" w:fill="auto"/>
            <w:vAlign w:val="center"/>
            <w:hideMark/>
          </w:tcPr>
          <w:p w14:paraId="44EC9FC1" w14:textId="77777777" w:rsidR="00DD4B26" w:rsidRPr="009140BE" w:rsidRDefault="00DD4B26" w:rsidP="00050E91">
            <w:pPr>
              <w:keepNext/>
              <w:spacing w:line="240" w:lineRule="auto"/>
              <w:jc w:val="right"/>
              <w:rPr>
                <w:color w:val="808080"/>
                <w:sz w:val="20"/>
              </w:rPr>
            </w:pPr>
            <w:r w:rsidRPr="009140BE">
              <w:rPr>
                <w:color w:val="808080"/>
                <w:sz w:val="20"/>
              </w:rPr>
              <w:t>3</w:t>
            </w:r>
            <w:r>
              <w:rPr>
                <w:color w:val="808080"/>
                <w:sz w:val="20"/>
              </w:rPr>
              <w:t>,</w:t>
            </w:r>
            <w:r w:rsidRPr="009140BE">
              <w:rPr>
                <w:color w:val="808080"/>
                <w:sz w:val="20"/>
              </w:rPr>
              <w:t>060</w:t>
            </w:r>
            <w:r>
              <w:rPr>
                <w:color w:val="808080"/>
                <w:sz w:val="20"/>
              </w:rPr>
              <w:t>*</w:t>
            </w:r>
          </w:p>
        </w:tc>
        <w:tc>
          <w:tcPr>
            <w:tcW w:w="1080" w:type="dxa"/>
            <w:tcBorders>
              <w:top w:val="nil"/>
              <w:bottom w:val="nil"/>
            </w:tcBorders>
            <w:shd w:val="clear" w:color="auto" w:fill="auto"/>
            <w:vAlign w:val="center"/>
            <w:hideMark/>
          </w:tcPr>
          <w:p w14:paraId="44B98DE6" w14:textId="77777777" w:rsidR="00DD4B26" w:rsidRPr="009140BE" w:rsidRDefault="00DD4B26" w:rsidP="00050E91">
            <w:pPr>
              <w:keepNext/>
              <w:spacing w:line="240" w:lineRule="auto"/>
              <w:jc w:val="right"/>
              <w:rPr>
                <w:color w:val="808080"/>
                <w:sz w:val="20"/>
              </w:rPr>
            </w:pPr>
            <w:r w:rsidRPr="009140BE">
              <w:rPr>
                <w:color w:val="808080"/>
                <w:sz w:val="20"/>
              </w:rPr>
              <w:t>3</w:t>
            </w:r>
            <w:r>
              <w:rPr>
                <w:color w:val="808080"/>
                <w:sz w:val="20"/>
              </w:rPr>
              <w:t>,</w:t>
            </w:r>
            <w:r w:rsidRPr="009140BE">
              <w:rPr>
                <w:color w:val="808080"/>
                <w:sz w:val="20"/>
              </w:rPr>
              <w:t>060</w:t>
            </w:r>
          </w:p>
        </w:tc>
        <w:tc>
          <w:tcPr>
            <w:tcW w:w="1800" w:type="dxa"/>
            <w:tcBorders>
              <w:top w:val="nil"/>
              <w:bottom w:val="nil"/>
            </w:tcBorders>
            <w:shd w:val="clear" w:color="auto" w:fill="auto"/>
            <w:vAlign w:val="center"/>
            <w:hideMark/>
          </w:tcPr>
          <w:p w14:paraId="1D8581C8" w14:textId="77777777" w:rsidR="00DD4B26" w:rsidRPr="009140BE" w:rsidRDefault="00DD4B26" w:rsidP="00050E91">
            <w:pPr>
              <w:keepNext/>
              <w:spacing w:line="240" w:lineRule="auto"/>
              <w:jc w:val="right"/>
              <w:rPr>
                <w:color w:val="808080"/>
                <w:sz w:val="20"/>
              </w:rPr>
            </w:pPr>
            <w:r w:rsidRPr="009140BE">
              <w:rPr>
                <w:color w:val="808080"/>
                <w:sz w:val="20"/>
              </w:rPr>
              <w:t>30</w:t>
            </w:r>
          </w:p>
        </w:tc>
        <w:tc>
          <w:tcPr>
            <w:tcW w:w="1260" w:type="dxa"/>
            <w:tcBorders>
              <w:top w:val="nil"/>
              <w:bottom w:val="nil"/>
            </w:tcBorders>
            <w:shd w:val="clear" w:color="auto" w:fill="auto"/>
            <w:vAlign w:val="center"/>
            <w:hideMark/>
          </w:tcPr>
          <w:p w14:paraId="25D0853D" w14:textId="77777777" w:rsidR="00DD4B26" w:rsidRPr="009140BE" w:rsidRDefault="00DD4B26" w:rsidP="00050E91">
            <w:pPr>
              <w:keepNext/>
              <w:spacing w:line="240" w:lineRule="auto"/>
              <w:jc w:val="right"/>
              <w:rPr>
                <w:color w:val="808080"/>
                <w:sz w:val="20"/>
              </w:rPr>
            </w:pPr>
            <w:r w:rsidRPr="009140BE">
              <w:rPr>
                <w:color w:val="808080"/>
                <w:sz w:val="20"/>
              </w:rPr>
              <w:t>1</w:t>
            </w:r>
            <w:r>
              <w:rPr>
                <w:color w:val="808080"/>
                <w:sz w:val="20"/>
              </w:rPr>
              <w:t>,</w:t>
            </w:r>
            <w:r w:rsidRPr="009140BE">
              <w:rPr>
                <w:color w:val="808080"/>
                <w:sz w:val="20"/>
              </w:rPr>
              <w:t>530</w:t>
            </w:r>
          </w:p>
        </w:tc>
      </w:tr>
      <w:tr w:rsidR="00DD4B26" w:rsidRPr="00021009" w14:paraId="079B1922" w14:textId="77777777" w:rsidTr="00050E91">
        <w:trPr>
          <w:trHeight w:val="144"/>
        </w:trPr>
        <w:tc>
          <w:tcPr>
            <w:tcW w:w="3348" w:type="dxa"/>
            <w:tcBorders>
              <w:top w:val="nil"/>
              <w:bottom w:val="nil"/>
            </w:tcBorders>
            <w:shd w:val="clear" w:color="auto" w:fill="auto"/>
            <w:vAlign w:val="center"/>
            <w:hideMark/>
          </w:tcPr>
          <w:p w14:paraId="0FDED042" w14:textId="77777777" w:rsidR="00DD4B26" w:rsidRPr="009140BE" w:rsidRDefault="00DD4B26" w:rsidP="00050E91">
            <w:pPr>
              <w:keepNext/>
              <w:spacing w:line="240" w:lineRule="auto"/>
              <w:jc w:val="left"/>
              <w:rPr>
                <w:color w:val="808080"/>
                <w:sz w:val="20"/>
              </w:rPr>
            </w:pPr>
            <w:r w:rsidRPr="009140BE">
              <w:rPr>
                <w:color w:val="808080"/>
                <w:sz w:val="20"/>
              </w:rPr>
              <w:t>Teacher Questionnaire</w:t>
            </w:r>
          </w:p>
        </w:tc>
        <w:tc>
          <w:tcPr>
            <w:tcW w:w="810" w:type="dxa"/>
            <w:tcBorders>
              <w:top w:val="nil"/>
              <w:bottom w:val="nil"/>
            </w:tcBorders>
            <w:shd w:val="clear" w:color="auto" w:fill="auto"/>
            <w:vAlign w:val="center"/>
            <w:hideMark/>
          </w:tcPr>
          <w:p w14:paraId="71E82EB8" w14:textId="0D014FB3" w:rsidR="00DD4B26" w:rsidRPr="009140BE" w:rsidRDefault="00BC36EC" w:rsidP="00050E91">
            <w:pPr>
              <w:keepNext/>
              <w:spacing w:line="240" w:lineRule="auto"/>
              <w:jc w:val="right"/>
              <w:rPr>
                <w:color w:val="808080"/>
                <w:sz w:val="20"/>
              </w:rPr>
            </w:pPr>
            <w:r>
              <w:rPr>
                <w:color w:val="808080"/>
                <w:sz w:val="20"/>
              </w:rPr>
              <w:t>941</w:t>
            </w:r>
          </w:p>
        </w:tc>
        <w:tc>
          <w:tcPr>
            <w:tcW w:w="1260" w:type="dxa"/>
            <w:tcBorders>
              <w:top w:val="nil"/>
              <w:bottom w:val="nil"/>
            </w:tcBorders>
            <w:shd w:val="clear" w:color="auto" w:fill="auto"/>
            <w:vAlign w:val="center"/>
            <w:hideMark/>
          </w:tcPr>
          <w:p w14:paraId="73553244" w14:textId="77777777" w:rsidR="00DD4B26" w:rsidRPr="009140BE" w:rsidRDefault="00DD4B26" w:rsidP="00050E91">
            <w:pPr>
              <w:keepNext/>
              <w:spacing w:line="240" w:lineRule="auto"/>
              <w:jc w:val="right"/>
              <w:rPr>
                <w:color w:val="808080"/>
                <w:sz w:val="20"/>
              </w:rPr>
            </w:pPr>
            <w:r w:rsidRPr="009140BE">
              <w:rPr>
                <w:color w:val="808080"/>
                <w:sz w:val="20"/>
              </w:rPr>
              <w:t>0.85</w:t>
            </w:r>
          </w:p>
        </w:tc>
        <w:tc>
          <w:tcPr>
            <w:tcW w:w="1170" w:type="dxa"/>
            <w:tcBorders>
              <w:top w:val="nil"/>
              <w:bottom w:val="nil"/>
            </w:tcBorders>
            <w:shd w:val="clear" w:color="auto" w:fill="auto"/>
            <w:vAlign w:val="center"/>
            <w:hideMark/>
          </w:tcPr>
          <w:p w14:paraId="26764A6C" w14:textId="59FC4515" w:rsidR="00DD4B26" w:rsidRPr="009140BE" w:rsidRDefault="00BC36EC" w:rsidP="00050E91">
            <w:pPr>
              <w:keepNext/>
              <w:spacing w:line="240" w:lineRule="auto"/>
              <w:jc w:val="right"/>
              <w:rPr>
                <w:color w:val="808080"/>
                <w:sz w:val="20"/>
              </w:rPr>
            </w:pPr>
            <w:r>
              <w:rPr>
                <w:color w:val="808080"/>
                <w:sz w:val="20"/>
              </w:rPr>
              <w:t>800</w:t>
            </w:r>
          </w:p>
        </w:tc>
        <w:tc>
          <w:tcPr>
            <w:tcW w:w="1080" w:type="dxa"/>
            <w:tcBorders>
              <w:top w:val="nil"/>
              <w:bottom w:val="nil"/>
            </w:tcBorders>
            <w:shd w:val="clear" w:color="auto" w:fill="auto"/>
            <w:vAlign w:val="center"/>
            <w:hideMark/>
          </w:tcPr>
          <w:p w14:paraId="2311E47B" w14:textId="0DE09EAB" w:rsidR="00DD4B26" w:rsidRPr="009140BE" w:rsidRDefault="00BC36EC" w:rsidP="00050E91">
            <w:pPr>
              <w:keepNext/>
              <w:spacing w:line="240" w:lineRule="auto"/>
              <w:jc w:val="right"/>
              <w:rPr>
                <w:color w:val="808080"/>
                <w:sz w:val="20"/>
              </w:rPr>
            </w:pPr>
            <w:r>
              <w:rPr>
                <w:color w:val="808080"/>
                <w:sz w:val="20"/>
              </w:rPr>
              <w:t>800</w:t>
            </w:r>
          </w:p>
        </w:tc>
        <w:tc>
          <w:tcPr>
            <w:tcW w:w="1800" w:type="dxa"/>
            <w:tcBorders>
              <w:top w:val="nil"/>
              <w:bottom w:val="nil"/>
            </w:tcBorders>
            <w:shd w:val="clear" w:color="auto" w:fill="auto"/>
            <w:vAlign w:val="center"/>
            <w:hideMark/>
          </w:tcPr>
          <w:p w14:paraId="007714F6" w14:textId="506346E2" w:rsidR="00DD4B26" w:rsidRPr="009140BE" w:rsidRDefault="00BC36EC" w:rsidP="00050E91">
            <w:pPr>
              <w:keepNext/>
              <w:spacing w:line="240" w:lineRule="auto"/>
              <w:jc w:val="right"/>
              <w:rPr>
                <w:color w:val="808080"/>
                <w:sz w:val="20"/>
              </w:rPr>
            </w:pPr>
            <w:r>
              <w:rPr>
                <w:color w:val="808080"/>
                <w:sz w:val="20"/>
              </w:rPr>
              <w:t>23</w:t>
            </w:r>
          </w:p>
        </w:tc>
        <w:tc>
          <w:tcPr>
            <w:tcW w:w="1260" w:type="dxa"/>
            <w:tcBorders>
              <w:top w:val="nil"/>
              <w:bottom w:val="nil"/>
            </w:tcBorders>
            <w:shd w:val="clear" w:color="auto" w:fill="auto"/>
            <w:vAlign w:val="center"/>
            <w:hideMark/>
          </w:tcPr>
          <w:p w14:paraId="736BBF69" w14:textId="431240F1" w:rsidR="00DD4B26" w:rsidRPr="009140BE" w:rsidRDefault="00622C01" w:rsidP="00050E91">
            <w:pPr>
              <w:keepNext/>
              <w:spacing w:line="240" w:lineRule="auto"/>
              <w:jc w:val="right"/>
              <w:rPr>
                <w:color w:val="808080"/>
                <w:sz w:val="20"/>
              </w:rPr>
            </w:pPr>
            <w:r>
              <w:rPr>
                <w:color w:val="808080"/>
                <w:sz w:val="20"/>
              </w:rPr>
              <w:t>30</w:t>
            </w:r>
            <w:r w:rsidR="00DD4B26" w:rsidRPr="009140BE">
              <w:rPr>
                <w:color w:val="808080"/>
                <w:sz w:val="20"/>
              </w:rPr>
              <w:t>7</w:t>
            </w:r>
          </w:p>
        </w:tc>
      </w:tr>
      <w:tr w:rsidR="00DD4B26" w:rsidRPr="006962C9" w14:paraId="0DE5B8BE" w14:textId="77777777" w:rsidTr="00050E91">
        <w:trPr>
          <w:trHeight w:val="144"/>
        </w:trPr>
        <w:tc>
          <w:tcPr>
            <w:tcW w:w="3348" w:type="dxa"/>
            <w:tcBorders>
              <w:top w:val="nil"/>
              <w:bottom w:val="single" w:sz="4" w:space="0" w:color="auto"/>
            </w:tcBorders>
            <w:shd w:val="clear" w:color="auto" w:fill="auto"/>
            <w:vAlign w:val="center"/>
            <w:hideMark/>
          </w:tcPr>
          <w:p w14:paraId="641FE146" w14:textId="77777777" w:rsidR="00DD4B26" w:rsidRPr="006962C9" w:rsidRDefault="00DD4B26" w:rsidP="00050E91">
            <w:pPr>
              <w:keepNext/>
              <w:spacing w:line="240" w:lineRule="auto"/>
              <w:jc w:val="left"/>
              <w:rPr>
                <w:i/>
                <w:color w:val="808080"/>
                <w:sz w:val="20"/>
              </w:rPr>
            </w:pPr>
            <w:r w:rsidRPr="006962C9">
              <w:rPr>
                <w:i/>
                <w:color w:val="808080"/>
                <w:sz w:val="20"/>
              </w:rPr>
              <w:t>Students (direct assessment)</w:t>
            </w:r>
          </w:p>
        </w:tc>
        <w:tc>
          <w:tcPr>
            <w:tcW w:w="810" w:type="dxa"/>
            <w:tcBorders>
              <w:top w:val="nil"/>
              <w:bottom w:val="single" w:sz="4" w:space="0" w:color="auto"/>
            </w:tcBorders>
            <w:shd w:val="clear" w:color="auto" w:fill="auto"/>
            <w:vAlign w:val="center"/>
            <w:hideMark/>
          </w:tcPr>
          <w:p w14:paraId="361235EA" w14:textId="77777777" w:rsidR="00DD4B26" w:rsidRPr="006962C9" w:rsidRDefault="00DD4B26" w:rsidP="00050E91">
            <w:pPr>
              <w:keepNext/>
              <w:spacing w:line="240" w:lineRule="auto"/>
              <w:jc w:val="right"/>
              <w:rPr>
                <w:i/>
                <w:color w:val="808080"/>
                <w:sz w:val="20"/>
              </w:rPr>
            </w:pPr>
            <w:r w:rsidRPr="006962C9">
              <w:rPr>
                <w:i/>
                <w:color w:val="808080"/>
                <w:sz w:val="20"/>
              </w:rPr>
              <w:t>3,600</w:t>
            </w:r>
          </w:p>
        </w:tc>
        <w:tc>
          <w:tcPr>
            <w:tcW w:w="1260" w:type="dxa"/>
            <w:tcBorders>
              <w:top w:val="nil"/>
              <w:bottom w:val="single" w:sz="4" w:space="0" w:color="auto"/>
            </w:tcBorders>
            <w:shd w:val="clear" w:color="auto" w:fill="auto"/>
            <w:vAlign w:val="center"/>
            <w:hideMark/>
          </w:tcPr>
          <w:p w14:paraId="73AB12AB" w14:textId="77777777" w:rsidR="00DD4B26" w:rsidRPr="006962C9" w:rsidRDefault="00DD4B26" w:rsidP="00050E91">
            <w:pPr>
              <w:keepNext/>
              <w:spacing w:line="240" w:lineRule="auto"/>
              <w:jc w:val="right"/>
              <w:rPr>
                <w:i/>
                <w:color w:val="808080"/>
                <w:sz w:val="20"/>
              </w:rPr>
            </w:pPr>
            <w:r w:rsidRPr="006962C9">
              <w:rPr>
                <w:i/>
                <w:color w:val="808080"/>
                <w:sz w:val="20"/>
              </w:rPr>
              <w:t>0.85</w:t>
            </w:r>
          </w:p>
        </w:tc>
        <w:tc>
          <w:tcPr>
            <w:tcW w:w="1170" w:type="dxa"/>
            <w:tcBorders>
              <w:top w:val="nil"/>
              <w:bottom w:val="single" w:sz="4" w:space="0" w:color="auto"/>
            </w:tcBorders>
            <w:shd w:val="clear" w:color="auto" w:fill="auto"/>
            <w:vAlign w:val="center"/>
            <w:hideMark/>
          </w:tcPr>
          <w:p w14:paraId="04F820F6" w14:textId="77777777" w:rsidR="00DD4B26" w:rsidRPr="006962C9" w:rsidRDefault="00DD4B26" w:rsidP="00050E91">
            <w:pPr>
              <w:keepNext/>
              <w:spacing w:line="240" w:lineRule="auto"/>
              <w:jc w:val="right"/>
              <w:rPr>
                <w:i/>
                <w:color w:val="808080"/>
                <w:sz w:val="20"/>
              </w:rPr>
            </w:pPr>
            <w:r w:rsidRPr="006962C9">
              <w:rPr>
                <w:i/>
                <w:color w:val="808080"/>
                <w:sz w:val="20"/>
              </w:rPr>
              <w:t>3,060</w:t>
            </w:r>
          </w:p>
        </w:tc>
        <w:tc>
          <w:tcPr>
            <w:tcW w:w="1080" w:type="dxa"/>
            <w:tcBorders>
              <w:top w:val="nil"/>
              <w:bottom w:val="single" w:sz="4" w:space="0" w:color="auto"/>
            </w:tcBorders>
            <w:shd w:val="clear" w:color="auto" w:fill="auto"/>
            <w:vAlign w:val="center"/>
            <w:hideMark/>
          </w:tcPr>
          <w:p w14:paraId="3E153424" w14:textId="77777777" w:rsidR="00DD4B26" w:rsidRPr="006962C9" w:rsidRDefault="00DD4B26" w:rsidP="00050E91">
            <w:pPr>
              <w:keepNext/>
              <w:spacing w:line="240" w:lineRule="auto"/>
              <w:jc w:val="right"/>
              <w:rPr>
                <w:i/>
                <w:color w:val="808080"/>
                <w:sz w:val="20"/>
              </w:rPr>
            </w:pPr>
            <w:r w:rsidRPr="006962C9">
              <w:rPr>
                <w:i/>
                <w:color w:val="808080"/>
                <w:sz w:val="20"/>
              </w:rPr>
              <w:t>3,060</w:t>
            </w:r>
          </w:p>
        </w:tc>
        <w:tc>
          <w:tcPr>
            <w:tcW w:w="1800" w:type="dxa"/>
            <w:tcBorders>
              <w:top w:val="nil"/>
              <w:bottom w:val="single" w:sz="4" w:space="0" w:color="auto"/>
            </w:tcBorders>
            <w:shd w:val="clear" w:color="auto" w:fill="auto"/>
            <w:vAlign w:val="center"/>
            <w:hideMark/>
          </w:tcPr>
          <w:p w14:paraId="4E7E1A73" w14:textId="77777777" w:rsidR="00DD4B26" w:rsidRPr="006962C9" w:rsidRDefault="00DD4B26" w:rsidP="00050E91">
            <w:pPr>
              <w:keepNext/>
              <w:spacing w:line="240" w:lineRule="auto"/>
              <w:jc w:val="right"/>
              <w:rPr>
                <w:i/>
                <w:color w:val="808080"/>
                <w:sz w:val="20"/>
              </w:rPr>
            </w:pPr>
            <w:r w:rsidRPr="006962C9">
              <w:rPr>
                <w:i/>
                <w:color w:val="808080"/>
                <w:sz w:val="20"/>
              </w:rPr>
              <w:t>60</w:t>
            </w:r>
          </w:p>
        </w:tc>
        <w:tc>
          <w:tcPr>
            <w:tcW w:w="1260" w:type="dxa"/>
            <w:tcBorders>
              <w:top w:val="nil"/>
              <w:bottom w:val="single" w:sz="4" w:space="0" w:color="auto"/>
            </w:tcBorders>
            <w:shd w:val="clear" w:color="auto" w:fill="auto"/>
            <w:vAlign w:val="center"/>
            <w:hideMark/>
          </w:tcPr>
          <w:p w14:paraId="56C991A8" w14:textId="77777777" w:rsidR="00DD4B26" w:rsidRPr="006962C9" w:rsidRDefault="00DD4B26" w:rsidP="00050E91">
            <w:pPr>
              <w:keepNext/>
              <w:spacing w:line="240" w:lineRule="auto"/>
              <w:jc w:val="right"/>
              <w:rPr>
                <w:i/>
                <w:color w:val="808080"/>
                <w:sz w:val="20"/>
              </w:rPr>
            </w:pPr>
            <w:r w:rsidRPr="006962C9">
              <w:rPr>
                <w:i/>
                <w:color w:val="808080"/>
                <w:sz w:val="20"/>
              </w:rPr>
              <w:t>3,060</w:t>
            </w:r>
          </w:p>
        </w:tc>
      </w:tr>
      <w:tr w:rsidR="00DD4B26" w:rsidRPr="006962C9" w14:paraId="6524408E" w14:textId="77777777" w:rsidTr="00050E91">
        <w:trPr>
          <w:trHeight w:val="144"/>
        </w:trPr>
        <w:tc>
          <w:tcPr>
            <w:tcW w:w="5418" w:type="dxa"/>
            <w:gridSpan w:val="3"/>
            <w:shd w:val="clear" w:color="000000" w:fill="E5B8B7"/>
            <w:vAlign w:val="center"/>
            <w:hideMark/>
          </w:tcPr>
          <w:p w14:paraId="18055BC9" w14:textId="77777777" w:rsidR="00DD4B26" w:rsidRPr="006962C9" w:rsidRDefault="00DD4B26" w:rsidP="00050E91">
            <w:pPr>
              <w:spacing w:line="240" w:lineRule="auto"/>
              <w:jc w:val="left"/>
              <w:rPr>
                <w:b/>
                <w:iCs/>
                <w:color w:val="000000"/>
                <w:sz w:val="20"/>
              </w:rPr>
            </w:pPr>
            <w:r w:rsidRPr="006962C9">
              <w:rPr>
                <w:b/>
                <w:iCs/>
                <w:color w:val="000000"/>
                <w:sz w:val="20"/>
              </w:rPr>
              <w:t>Total Burden Requested in this Submission</w:t>
            </w:r>
          </w:p>
        </w:tc>
        <w:tc>
          <w:tcPr>
            <w:tcW w:w="1170" w:type="dxa"/>
            <w:shd w:val="clear" w:color="000000" w:fill="E5B8B7"/>
            <w:vAlign w:val="center"/>
            <w:hideMark/>
          </w:tcPr>
          <w:p w14:paraId="209EF847" w14:textId="03601EE8" w:rsidR="00DD4B26" w:rsidRPr="006962C9" w:rsidRDefault="00DD4B26" w:rsidP="00FD78D0">
            <w:pPr>
              <w:spacing w:line="240" w:lineRule="auto"/>
              <w:jc w:val="right"/>
              <w:rPr>
                <w:b/>
                <w:color w:val="000000"/>
                <w:sz w:val="20"/>
              </w:rPr>
            </w:pPr>
            <w:r>
              <w:rPr>
                <w:b/>
                <w:color w:val="000000"/>
                <w:sz w:val="20"/>
              </w:rPr>
              <w:t>5</w:t>
            </w:r>
            <w:r w:rsidRPr="006962C9">
              <w:rPr>
                <w:b/>
                <w:color w:val="000000"/>
                <w:sz w:val="20"/>
              </w:rPr>
              <w:t>,</w:t>
            </w:r>
            <w:r>
              <w:rPr>
                <w:b/>
                <w:color w:val="000000"/>
                <w:sz w:val="20"/>
              </w:rPr>
              <w:t>8</w:t>
            </w:r>
            <w:r w:rsidR="00FD78D0">
              <w:rPr>
                <w:b/>
                <w:color w:val="000000"/>
                <w:sz w:val="20"/>
              </w:rPr>
              <w:t>99</w:t>
            </w:r>
          </w:p>
        </w:tc>
        <w:tc>
          <w:tcPr>
            <w:tcW w:w="1080" w:type="dxa"/>
            <w:shd w:val="clear" w:color="000000" w:fill="E5B8B7"/>
            <w:vAlign w:val="center"/>
            <w:hideMark/>
          </w:tcPr>
          <w:p w14:paraId="0DA76F7F" w14:textId="6CE55C0D" w:rsidR="00DD4B26" w:rsidRPr="006962C9" w:rsidRDefault="00DD4B26" w:rsidP="00FD78D0">
            <w:pPr>
              <w:spacing w:line="240" w:lineRule="auto"/>
              <w:jc w:val="right"/>
              <w:rPr>
                <w:b/>
                <w:color w:val="000000"/>
                <w:sz w:val="20"/>
              </w:rPr>
            </w:pPr>
            <w:r>
              <w:rPr>
                <w:b/>
                <w:color w:val="000000"/>
                <w:sz w:val="20"/>
              </w:rPr>
              <w:t>6</w:t>
            </w:r>
            <w:r w:rsidRPr="006962C9">
              <w:rPr>
                <w:b/>
                <w:color w:val="000000"/>
                <w:sz w:val="20"/>
              </w:rPr>
              <w:t>,</w:t>
            </w:r>
            <w:r>
              <w:rPr>
                <w:b/>
                <w:color w:val="000000"/>
                <w:sz w:val="20"/>
              </w:rPr>
              <w:t>3</w:t>
            </w:r>
            <w:r w:rsidR="00FD78D0">
              <w:rPr>
                <w:b/>
                <w:color w:val="000000"/>
                <w:sz w:val="20"/>
              </w:rPr>
              <w:t>75</w:t>
            </w:r>
          </w:p>
        </w:tc>
        <w:tc>
          <w:tcPr>
            <w:tcW w:w="1800" w:type="dxa"/>
            <w:shd w:val="clear" w:color="000000" w:fill="E5B8B7"/>
            <w:vAlign w:val="center"/>
            <w:hideMark/>
          </w:tcPr>
          <w:p w14:paraId="6B6D1B59" w14:textId="77777777" w:rsidR="00DD4B26" w:rsidRPr="006962C9" w:rsidRDefault="00DD4B26" w:rsidP="00050E91">
            <w:pPr>
              <w:spacing w:line="240" w:lineRule="auto"/>
              <w:jc w:val="right"/>
              <w:rPr>
                <w:b/>
                <w:color w:val="000000"/>
                <w:sz w:val="20"/>
              </w:rPr>
            </w:pPr>
          </w:p>
        </w:tc>
        <w:tc>
          <w:tcPr>
            <w:tcW w:w="1260" w:type="dxa"/>
            <w:shd w:val="clear" w:color="000000" w:fill="E5B8B7"/>
            <w:vAlign w:val="center"/>
            <w:hideMark/>
          </w:tcPr>
          <w:p w14:paraId="53BF18B9" w14:textId="4017A811" w:rsidR="00DD4B26" w:rsidRPr="006962C9" w:rsidRDefault="00DD4B26" w:rsidP="00FD78D0">
            <w:pPr>
              <w:spacing w:line="240" w:lineRule="auto"/>
              <w:jc w:val="right"/>
              <w:rPr>
                <w:b/>
                <w:color w:val="000000"/>
                <w:sz w:val="20"/>
              </w:rPr>
            </w:pPr>
            <w:r w:rsidRPr="006962C9">
              <w:rPr>
                <w:b/>
                <w:color w:val="000000"/>
                <w:sz w:val="20"/>
              </w:rPr>
              <w:t>2,</w:t>
            </w:r>
            <w:r>
              <w:rPr>
                <w:b/>
                <w:color w:val="000000"/>
                <w:sz w:val="20"/>
              </w:rPr>
              <w:t>5</w:t>
            </w:r>
            <w:r w:rsidR="00FD78D0">
              <w:rPr>
                <w:b/>
                <w:color w:val="000000"/>
                <w:sz w:val="20"/>
              </w:rPr>
              <w:t>95</w:t>
            </w:r>
          </w:p>
        </w:tc>
      </w:tr>
    </w:tbl>
    <w:p w14:paraId="2D417F70" w14:textId="1D254544" w:rsidR="00FA4F61" w:rsidRPr="00DF0307" w:rsidRDefault="00652124" w:rsidP="00DF0307">
      <w:pPr>
        <w:spacing w:after="40" w:line="240" w:lineRule="auto"/>
        <w:jc w:val="left"/>
        <w:rPr>
          <w:sz w:val="18"/>
          <w:szCs w:val="18"/>
        </w:rPr>
      </w:pPr>
      <w:bookmarkStart w:id="20" w:name="_Toc488670100"/>
      <w:r w:rsidRPr="00DF0307">
        <w:rPr>
          <w:i/>
          <w:sz w:val="18"/>
          <w:szCs w:val="18"/>
        </w:rPr>
        <w:t>Note</w:t>
      </w:r>
      <w:r w:rsidRPr="00DF0307">
        <w:rPr>
          <w:sz w:val="18"/>
          <w:szCs w:val="18"/>
        </w:rPr>
        <w:t xml:space="preserve">: Total </w:t>
      </w:r>
      <w:r w:rsidR="00AD5FC6" w:rsidRPr="00DF0307">
        <w:rPr>
          <w:sz w:val="18"/>
          <w:szCs w:val="18"/>
        </w:rPr>
        <w:t>respondent</w:t>
      </w:r>
      <w:r w:rsidRPr="00DF0307">
        <w:rPr>
          <w:sz w:val="18"/>
          <w:szCs w:val="18"/>
        </w:rPr>
        <w:t xml:space="preserve"> burden requested in this submission includes burden associated with </w:t>
      </w:r>
      <w:r w:rsidR="00021009" w:rsidRPr="00DF0307">
        <w:rPr>
          <w:sz w:val="18"/>
          <w:szCs w:val="18"/>
        </w:rPr>
        <w:t>conducting the field test data collection</w:t>
      </w:r>
      <w:r w:rsidR="00AD5FC6" w:rsidRPr="00DF0307">
        <w:rPr>
          <w:sz w:val="18"/>
          <w:szCs w:val="18"/>
        </w:rPr>
        <w:t xml:space="preserve">, </w:t>
      </w:r>
      <w:r w:rsidR="00021009" w:rsidRPr="00DF0307">
        <w:rPr>
          <w:sz w:val="18"/>
          <w:szCs w:val="18"/>
        </w:rPr>
        <w:t>recruit</w:t>
      </w:r>
      <w:r w:rsidR="00AD5FC6" w:rsidRPr="00DF0307">
        <w:rPr>
          <w:sz w:val="18"/>
          <w:szCs w:val="18"/>
        </w:rPr>
        <w:t>ment</w:t>
      </w:r>
      <w:r w:rsidR="00021009" w:rsidRPr="00DF0307">
        <w:rPr>
          <w:sz w:val="18"/>
          <w:szCs w:val="18"/>
        </w:rPr>
        <w:t xml:space="preserve"> for the main study</w:t>
      </w:r>
      <w:r w:rsidR="00AD5FC6" w:rsidRPr="00DF0307">
        <w:rPr>
          <w:sz w:val="18"/>
          <w:szCs w:val="18"/>
        </w:rPr>
        <w:t>, and the carried over</w:t>
      </w:r>
      <w:r w:rsidR="008F55B2" w:rsidRPr="00DF0307">
        <w:rPr>
          <w:sz w:val="18"/>
          <w:szCs w:val="18"/>
        </w:rPr>
        <w:t xml:space="preserve"> approved </w:t>
      </w:r>
      <w:r w:rsidR="00AD5FC6" w:rsidRPr="00DF0307">
        <w:rPr>
          <w:sz w:val="18"/>
          <w:szCs w:val="18"/>
        </w:rPr>
        <w:t xml:space="preserve">burden </w:t>
      </w:r>
      <w:r w:rsidR="00021009" w:rsidRPr="00DF0307">
        <w:rPr>
          <w:sz w:val="18"/>
          <w:szCs w:val="18"/>
        </w:rPr>
        <w:t>for field test recruitment</w:t>
      </w:r>
      <w:r w:rsidRPr="00DF0307">
        <w:rPr>
          <w:sz w:val="18"/>
          <w:szCs w:val="18"/>
        </w:rPr>
        <w:t xml:space="preserve">. </w:t>
      </w:r>
      <w:r w:rsidR="00AD5FC6" w:rsidRPr="00DF0307">
        <w:rPr>
          <w:sz w:val="18"/>
          <w:szCs w:val="18"/>
        </w:rPr>
        <w:t>The previously approved field test recruitment b</w:t>
      </w:r>
      <w:r w:rsidRPr="00DF0307">
        <w:rPr>
          <w:sz w:val="18"/>
          <w:szCs w:val="18"/>
        </w:rPr>
        <w:t xml:space="preserve">urden </w:t>
      </w:r>
      <w:r w:rsidR="00AD5FC6" w:rsidRPr="00DF0307">
        <w:rPr>
          <w:sz w:val="18"/>
          <w:szCs w:val="18"/>
        </w:rPr>
        <w:t>is reflected in rows shaded in gray. B</w:t>
      </w:r>
      <w:r w:rsidR="00021009" w:rsidRPr="00DF0307">
        <w:rPr>
          <w:sz w:val="18"/>
          <w:szCs w:val="18"/>
        </w:rPr>
        <w:t>urden estimates for the main study data collection</w:t>
      </w:r>
      <w:r w:rsidR="00AD5FC6" w:rsidRPr="00DF0307">
        <w:rPr>
          <w:sz w:val="18"/>
          <w:szCs w:val="18"/>
        </w:rPr>
        <w:t>, which will be requested in a future submission,</w:t>
      </w:r>
      <w:r w:rsidR="00021009" w:rsidRPr="00DF0307">
        <w:rPr>
          <w:sz w:val="18"/>
          <w:szCs w:val="18"/>
        </w:rPr>
        <w:t xml:space="preserve"> </w:t>
      </w:r>
      <w:r w:rsidR="0077620A" w:rsidRPr="00DF0307">
        <w:rPr>
          <w:sz w:val="18"/>
          <w:szCs w:val="18"/>
        </w:rPr>
        <w:t xml:space="preserve">are </w:t>
      </w:r>
      <w:r w:rsidR="00AD5FC6" w:rsidRPr="00DF0307">
        <w:rPr>
          <w:sz w:val="18"/>
          <w:szCs w:val="18"/>
        </w:rPr>
        <w:t>reflected</w:t>
      </w:r>
      <w:r w:rsidR="00FA4F61" w:rsidRPr="00DF0307">
        <w:rPr>
          <w:sz w:val="18"/>
          <w:szCs w:val="18"/>
        </w:rPr>
        <w:t xml:space="preserve"> here</w:t>
      </w:r>
      <w:r w:rsidR="00AD5FC6" w:rsidRPr="00DF0307">
        <w:rPr>
          <w:sz w:val="18"/>
          <w:szCs w:val="18"/>
        </w:rPr>
        <w:t xml:space="preserve"> in</w:t>
      </w:r>
      <w:r w:rsidRPr="00DF0307">
        <w:rPr>
          <w:sz w:val="18"/>
          <w:szCs w:val="18"/>
        </w:rPr>
        <w:t xml:space="preserve"> gray</w:t>
      </w:r>
      <w:r w:rsidR="005A343B" w:rsidRPr="00DF0307">
        <w:rPr>
          <w:sz w:val="18"/>
          <w:szCs w:val="18"/>
        </w:rPr>
        <w:t xml:space="preserve"> font</w:t>
      </w:r>
      <w:r w:rsidRPr="00DF0307">
        <w:rPr>
          <w:sz w:val="18"/>
          <w:szCs w:val="18"/>
        </w:rPr>
        <w:t>.</w:t>
      </w:r>
      <w:r w:rsidR="004C03CE" w:rsidRPr="00DF0307">
        <w:rPr>
          <w:sz w:val="18"/>
          <w:szCs w:val="18"/>
        </w:rPr>
        <w:t xml:space="preserve"> </w:t>
      </w:r>
      <w:r w:rsidR="00FA4F61" w:rsidRPr="00DF0307">
        <w:rPr>
          <w:sz w:val="18"/>
          <w:szCs w:val="18"/>
        </w:rPr>
        <w:t xml:space="preserve">Burden estimated for student cognitive assessment, which is not subject to PRA, is reflected in italicized gray font. All burden reflected is gray font is </w:t>
      </w:r>
      <w:r w:rsidRPr="00DF0307">
        <w:rPr>
          <w:sz w:val="18"/>
          <w:szCs w:val="18"/>
        </w:rPr>
        <w:t xml:space="preserve">presented here for information </w:t>
      </w:r>
      <w:r w:rsidR="00FA4F61" w:rsidRPr="00DF0307">
        <w:rPr>
          <w:sz w:val="18"/>
          <w:szCs w:val="18"/>
        </w:rPr>
        <w:t xml:space="preserve">only </w:t>
      </w:r>
      <w:r w:rsidRPr="00DF0307">
        <w:rPr>
          <w:sz w:val="18"/>
          <w:szCs w:val="18"/>
        </w:rPr>
        <w:t>purposes</w:t>
      </w:r>
      <w:r w:rsidR="00FA4F61" w:rsidRPr="00DF0307">
        <w:rPr>
          <w:sz w:val="18"/>
          <w:szCs w:val="18"/>
        </w:rPr>
        <w:t>, and is not included in the requested burden totals.</w:t>
      </w:r>
      <w:bookmarkEnd w:id="20"/>
    </w:p>
    <w:p w14:paraId="728AFB25" w14:textId="73D76DD7" w:rsidR="00FE7B8A" w:rsidRPr="004C03CE" w:rsidRDefault="00FA4F61" w:rsidP="00DF0307">
      <w:pPr>
        <w:spacing w:after="120" w:line="240" w:lineRule="auto"/>
        <w:jc w:val="left"/>
        <w:rPr>
          <w:b/>
          <w:color w:val="000000"/>
          <w:sz w:val="18"/>
          <w:szCs w:val="18"/>
        </w:rPr>
      </w:pPr>
      <w:bookmarkStart w:id="21" w:name="_Toc488670101"/>
      <w:r w:rsidRPr="00DF0307">
        <w:rPr>
          <w:sz w:val="18"/>
          <w:szCs w:val="18"/>
        </w:rPr>
        <w:t xml:space="preserve">* </w:t>
      </w:r>
      <w:r w:rsidR="00C8278B" w:rsidRPr="00DF0307">
        <w:rPr>
          <w:sz w:val="18"/>
          <w:szCs w:val="18"/>
        </w:rPr>
        <w:t>A subset of the</w:t>
      </w:r>
      <w:r w:rsidRPr="00DF0307">
        <w:rPr>
          <w:sz w:val="18"/>
          <w:szCs w:val="18"/>
        </w:rPr>
        <w:t xml:space="preserve"> respondent group shown </w:t>
      </w:r>
      <w:r w:rsidR="0055276E" w:rsidRPr="00DF0307">
        <w:rPr>
          <w:sz w:val="18"/>
          <w:szCs w:val="18"/>
        </w:rPr>
        <w:t>under recruitment</w:t>
      </w:r>
      <w:r w:rsidRPr="00DF0307">
        <w:rPr>
          <w:sz w:val="18"/>
          <w:szCs w:val="18"/>
        </w:rPr>
        <w:t>, not double counted in the total number of respondents.</w:t>
      </w:r>
      <w:bookmarkEnd w:id="21"/>
      <w:r w:rsidR="004C03CE" w:rsidRPr="00DF0307">
        <w:rPr>
          <w:sz w:val="18"/>
          <w:szCs w:val="18"/>
        </w:rPr>
        <w:br/>
      </w:r>
    </w:p>
    <w:p w14:paraId="5E0F8751" w14:textId="3976A6E1" w:rsidR="005611C5" w:rsidRDefault="005611C5" w:rsidP="00DF0307">
      <w:pPr>
        <w:pStyle w:val="Heading1"/>
        <w:tabs>
          <w:tab w:val="clear" w:pos="1152"/>
          <w:tab w:val="left" w:pos="720"/>
        </w:tabs>
        <w:spacing w:before="120" w:after="0" w:line="240" w:lineRule="auto"/>
        <w:ind w:left="720" w:hanging="720"/>
        <w:jc w:val="left"/>
      </w:pPr>
      <w:bookmarkStart w:id="22" w:name="_Toc488670102"/>
      <w:bookmarkStart w:id="23" w:name="_Toc260738623"/>
      <w:r>
        <w:t>A.1</w:t>
      </w:r>
      <w:r w:rsidR="00DF0307">
        <w:t>3</w:t>
      </w:r>
      <w:r>
        <w:tab/>
        <w:t>Total Annual Cost Burden</w:t>
      </w:r>
      <w:bookmarkEnd w:id="22"/>
    </w:p>
    <w:p w14:paraId="0A425719" w14:textId="77777777" w:rsidR="000B7F15" w:rsidRPr="000B7F15" w:rsidRDefault="000B7F15" w:rsidP="00DF0307">
      <w:pPr>
        <w:spacing w:after="120" w:line="23" w:lineRule="atLeast"/>
        <w:jc w:val="left"/>
        <w:rPr>
          <w:rFonts w:ascii="Garamond" w:hAnsi="Garamond"/>
          <w:sz w:val="24"/>
        </w:rPr>
      </w:pPr>
      <w:r w:rsidRPr="000B7F15">
        <w:rPr>
          <w:rFonts w:ascii="Garamond" w:hAnsi="Garamond"/>
          <w:sz w:val="24"/>
        </w:rPr>
        <w:t>There are no additional costs to respond beyond the time to respond.</w:t>
      </w:r>
    </w:p>
    <w:p w14:paraId="5E0F8753" w14:textId="71DA6A02" w:rsidR="005611C5" w:rsidRDefault="005611C5" w:rsidP="00DF0307">
      <w:pPr>
        <w:pStyle w:val="Heading1"/>
        <w:tabs>
          <w:tab w:val="clear" w:pos="1152"/>
          <w:tab w:val="left" w:pos="0"/>
        </w:tabs>
        <w:spacing w:before="120" w:after="0" w:line="240" w:lineRule="auto"/>
        <w:ind w:left="720" w:hanging="720"/>
        <w:jc w:val="left"/>
      </w:pPr>
      <w:bookmarkStart w:id="24" w:name="_Toc488670103"/>
      <w:r>
        <w:t>A.1</w:t>
      </w:r>
      <w:r w:rsidR="00DF0307">
        <w:t>4</w:t>
      </w:r>
      <w:r>
        <w:tab/>
        <w:t>Annualized Cost to Federal Government</w:t>
      </w:r>
      <w:bookmarkEnd w:id="24"/>
    </w:p>
    <w:p w14:paraId="35DA37C5" w14:textId="7A403CE0" w:rsidR="004D5C04" w:rsidRPr="00904762" w:rsidRDefault="004D5C04" w:rsidP="00DF0307">
      <w:pPr>
        <w:spacing w:line="240" w:lineRule="auto"/>
        <w:jc w:val="left"/>
        <w:rPr>
          <w:rFonts w:ascii="Garamond" w:eastAsiaTheme="minorHAnsi" w:hAnsi="Garamond"/>
          <w:sz w:val="24"/>
          <w:szCs w:val="24"/>
        </w:rPr>
      </w:pPr>
      <w:r w:rsidRPr="00904762">
        <w:rPr>
          <w:rFonts w:ascii="Garamond" w:eastAsiaTheme="minorHAnsi" w:hAnsi="Garamond"/>
          <w:sz w:val="24"/>
          <w:szCs w:val="24"/>
        </w:rPr>
        <w:t xml:space="preserve">The cost to the federal government for conducting initial phases of IELS, including </w:t>
      </w:r>
      <w:r w:rsidR="00712A2B">
        <w:rPr>
          <w:rFonts w:ascii="Garamond" w:eastAsiaTheme="minorHAnsi" w:hAnsi="Garamond"/>
          <w:sz w:val="24"/>
          <w:szCs w:val="24"/>
        </w:rPr>
        <w:t xml:space="preserve">the </w:t>
      </w:r>
      <w:r w:rsidRPr="00904762">
        <w:rPr>
          <w:rFonts w:ascii="Garamond" w:eastAsiaTheme="minorHAnsi" w:hAnsi="Garamond"/>
          <w:sz w:val="24"/>
          <w:szCs w:val="24"/>
        </w:rPr>
        <w:t>2018 field test operations (preparations, data collection</w:t>
      </w:r>
      <w:r w:rsidR="00712A2B">
        <w:rPr>
          <w:rFonts w:ascii="Garamond" w:eastAsiaTheme="minorHAnsi" w:hAnsi="Garamond"/>
          <w:sz w:val="24"/>
          <w:szCs w:val="24"/>
        </w:rPr>
        <w:t>,</w:t>
      </w:r>
      <w:r w:rsidRPr="00904762">
        <w:rPr>
          <w:rFonts w:ascii="Garamond" w:eastAsiaTheme="minorHAnsi" w:hAnsi="Garamond"/>
          <w:sz w:val="24"/>
          <w:szCs w:val="24"/>
        </w:rPr>
        <w:t xml:space="preserve"> and scoring) and recruitment for the 2018 main study is estimated to be $2,460,496 for a 1-year period (see table breakdown below). These figures include all direct and indirect costs</w:t>
      </w:r>
      <w:r w:rsidR="00050E91">
        <w:rPr>
          <w:rFonts w:ascii="Garamond" w:eastAsiaTheme="minorHAnsi" w:hAnsi="Garamond"/>
          <w:sz w:val="24"/>
          <w:szCs w:val="24"/>
        </w:rPr>
        <w:t xml:space="preserve"> </w:t>
      </w:r>
      <w:r w:rsidRPr="00904762">
        <w:rPr>
          <w:rFonts w:ascii="Garamond" w:eastAsiaTheme="minorHAnsi" w:hAnsi="Garamond"/>
          <w:sz w:val="24"/>
          <w:szCs w:val="24"/>
        </w:rPr>
        <w:t>(</w:t>
      </w:r>
      <w:r w:rsidR="00712A2B">
        <w:rPr>
          <w:rFonts w:ascii="Garamond" w:eastAsiaTheme="minorHAnsi" w:hAnsi="Garamond"/>
          <w:sz w:val="24"/>
          <w:szCs w:val="24"/>
        </w:rPr>
        <w:t>t</w:t>
      </w:r>
      <w:r w:rsidRPr="00904762">
        <w:rPr>
          <w:rFonts w:ascii="Garamond" w:eastAsiaTheme="minorHAnsi" w:hAnsi="Garamond"/>
          <w:sz w:val="24"/>
          <w:szCs w:val="24"/>
        </w:rPr>
        <w:t>he grand total is the total value to the Government including other phases of the contract</w:t>
      </w:r>
      <w:r w:rsidR="00712A2B">
        <w:rPr>
          <w:rFonts w:ascii="Garamond" w:eastAsiaTheme="minorHAnsi" w:hAnsi="Garamond"/>
          <w:sz w:val="24"/>
          <w:szCs w:val="24"/>
        </w:rPr>
        <w:t xml:space="preserve">, including </w:t>
      </w:r>
      <w:r w:rsidRPr="00904762">
        <w:rPr>
          <w:rFonts w:ascii="Garamond" w:eastAsiaTheme="minorHAnsi" w:hAnsi="Garamond"/>
          <w:sz w:val="24"/>
          <w:szCs w:val="24"/>
        </w:rPr>
        <w:t>all optional tasks)</w:t>
      </w:r>
      <w:r w:rsidR="00712A2B">
        <w:rPr>
          <w:rFonts w:ascii="Garamond" w:eastAsiaTheme="minorHAnsi" w:hAnsi="Garamond"/>
          <w:sz w:val="24"/>
          <w:szCs w:val="24"/>
        </w:rPr>
        <w:t>.</w:t>
      </w:r>
    </w:p>
    <w:p w14:paraId="0F9A4760" w14:textId="77777777" w:rsidR="004D5C04" w:rsidRPr="004D5C04" w:rsidRDefault="004D5C04" w:rsidP="004D5C04">
      <w:pPr>
        <w:spacing w:line="240" w:lineRule="auto"/>
        <w:jc w:val="left"/>
        <w:rPr>
          <w:rFonts w:ascii="Calibri" w:eastAsiaTheme="minorHAnsi" w:hAnsi="Calibri"/>
          <w:szCs w:val="22"/>
        </w:rPr>
      </w:pPr>
    </w:p>
    <w:tbl>
      <w:tblPr>
        <w:tblW w:w="5000" w:type="pct"/>
        <w:tblCellMar>
          <w:left w:w="0" w:type="dxa"/>
          <w:right w:w="0" w:type="dxa"/>
        </w:tblCellMar>
        <w:tblLook w:val="04A0" w:firstRow="1" w:lastRow="0" w:firstColumn="1" w:lastColumn="0" w:noHBand="0" w:noVBand="1"/>
      </w:tblPr>
      <w:tblGrid>
        <w:gridCol w:w="7398"/>
        <w:gridCol w:w="3330"/>
      </w:tblGrid>
      <w:tr w:rsidR="004D5C04" w:rsidRPr="004D5C04" w14:paraId="58D2AC21" w14:textId="77777777" w:rsidTr="007348F7">
        <w:trPr>
          <w:tblHeader/>
        </w:trPr>
        <w:tc>
          <w:tcPr>
            <w:tcW w:w="3448" w:type="pct"/>
            <w:tcBorders>
              <w:top w:val="single" w:sz="8" w:space="0" w:color="auto"/>
              <w:left w:val="single" w:sz="8" w:space="0" w:color="auto"/>
              <w:bottom w:val="single" w:sz="8" w:space="0" w:color="auto"/>
              <w:right w:val="single" w:sz="8" w:space="0" w:color="auto"/>
            </w:tcBorders>
            <w:shd w:val="clear" w:color="auto" w:fill="AFBED7"/>
            <w:tcMar>
              <w:top w:w="0" w:type="dxa"/>
              <w:left w:w="108" w:type="dxa"/>
              <w:bottom w:w="0" w:type="dxa"/>
              <w:right w:w="108" w:type="dxa"/>
            </w:tcMar>
            <w:hideMark/>
          </w:tcPr>
          <w:p w14:paraId="2CB0FA4E" w14:textId="77777777" w:rsidR="004D5C04" w:rsidRPr="00712A2B" w:rsidRDefault="004D5C04" w:rsidP="004D5C04">
            <w:pPr>
              <w:keepNext/>
              <w:jc w:val="center"/>
              <w:rPr>
                <w:b/>
                <w:sz w:val="20"/>
              </w:rPr>
            </w:pPr>
            <w:r w:rsidRPr="00712A2B">
              <w:rPr>
                <w:b/>
                <w:sz w:val="20"/>
              </w:rPr>
              <w:t>Components with breakdown</w:t>
            </w:r>
          </w:p>
        </w:tc>
        <w:tc>
          <w:tcPr>
            <w:tcW w:w="1552" w:type="pct"/>
            <w:tcBorders>
              <w:top w:val="single" w:sz="8" w:space="0" w:color="auto"/>
              <w:left w:val="nil"/>
              <w:bottom w:val="single" w:sz="8" w:space="0" w:color="auto"/>
              <w:right w:val="single" w:sz="8" w:space="0" w:color="auto"/>
            </w:tcBorders>
            <w:shd w:val="clear" w:color="auto" w:fill="AFBED7"/>
            <w:tcMar>
              <w:top w:w="0" w:type="dxa"/>
              <w:left w:w="108" w:type="dxa"/>
              <w:bottom w:w="0" w:type="dxa"/>
              <w:right w:w="108" w:type="dxa"/>
            </w:tcMar>
            <w:hideMark/>
          </w:tcPr>
          <w:p w14:paraId="1C7F404E" w14:textId="77777777" w:rsidR="004D5C04" w:rsidRPr="00712A2B" w:rsidRDefault="004D5C04" w:rsidP="004D5C04">
            <w:pPr>
              <w:keepNext/>
              <w:jc w:val="center"/>
              <w:rPr>
                <w:b/>
                <w:sz w:val="20"/>
              </w:rPr>
            </w:pPr>
            <w:r w:rsidRPr="00712A2B">
              <w:rPr>
                <w:b/>
                <w:sz w:val="20"/>
              </w:rPr>
              <w:t>Estimated costs</w:t>
            </w:r>
          </w:p>
        </w:tc>
      </w:tr>
      <w:tr w:rsidR="004D5C04" w:rsidRPr="004D5C04" w14:paraId="54CBB52B" w14:textId="77777777" w:rsidTr="000C0CCF">
        <w:tc>
          <w:tcPr>
            <w:tcW w:w="3448" w:type="pct"/>
            <w:tcBorders>
              <w:top w:val="nil"/>
              <w:left w:val="single" w:sz="8" w:space="0" w:color="auto"/>
              <w:bottom w:val="single" w:sz="8" w:space="0" w:color="auto"/>
              <w:right w:val="single" w:sz="8" w:space="0" w:color="auto"/>
            </w:tcBorders>
            <w:shd w:val="clear" w:color="auto" w:fill="FDE9D9"/>
            <w:tcMar>
              <w:top w:w="0" w:type="dxa"/>
              <w:left w:w="108" w:type="dxa"/>
              <w:bottom w:w="0" w:type="dxa"/>
              <w:right w:w="108" w:type="dxa"/>
            </w:tcMar>
            <w:vAlign w:val="bottom"/>
            <w:hideMark/>
          </w:tcPr>
          <w:p w14:paraId="252245E2" w14:textId="77777777" w:rsidR="004D5C04" w:rsidRPr="00712A2B" w:rsidRDefault="004D5C04" w:rsidP="004D5C04">
            <w:pPr>
              <w:tabs>
                <w:tab w:val="left" w:pos="270"/>
              </w:tabs>
              <w:spacing w:line="240" w:lineRule="auto"/>
              <w:jc w:val="left"/>
              <w:rPr>
                <w:rFonts w:eastAsiaTheme="minorHAnsi"/>
                <w:b/>
                <w:sz w:val="20"/>
              </w:rPr>
            </w:pPr>
            <w:r w:rsidRPr="00712A2B">
              <w:rPr>
                <w:rFonts w:eastAsiaTheme="minorHAnsi"/>
                <w:b/>
                <w:sz w:val="20"/>
              </w:rPr>
              <w:t>FIELD TEST (2017)</w:t>
            </w:r>
          </w:p>
        </w:tc>
        <w:tc>
          <w:tcPr>
            <w:tcW w:w="1552" w:type="pct"/>
            <w:tcBorders>
              <w:top w:val="nil"/>
              <w:left w:val="nil"/>
              <w:bottom w:val="single" w:sz="8" w:space="0" w:color="auto"/>
              <w:right w:val="single" w:sz="8" w:space="0" w:color="auto"/>
            </w:tcBorders>
            <w:shd w:val="clear" w:color="auto" w:fill="FDE9D9"/>
            <w:tcMar>
              <w:top w:w="0" w:type="dxa"/>
              <w:left w:w="108" w:type="dxa"/>
              <w:bottom w:w="0" w:type="dxa"/>
              <w:right w:w="108" w:type="dxa"/>
            </w:tcMar>
            <w:vAlign w:val="bottom"/>
          </w:tcPr>
          <w:p w14:paraId="2EDFA50D" w14:textId="77777777" w:rsidR="004D5C04" w:rsidRPr="00712A2B" w:rsidRDefault="004D5C04" w:rsidP="004D5C04">
            <w:pPr>
              <w:spacing w:line="240" w:lineRule="auto"/>
              <w:jc w:val="left"/>
              <w:rPr>
                <w:rFonts w:eastAsiaTheme="minorHAnsi"/>
                <w:sz w:val="20"/>
              </w:rPr>
            </w:pPr>
          </w:p>
        </w:tc>
      </w:tr>
      <w:tr w:rsidR="004D5C04" w:rsidRPr="004D5C04" w14:paraId="368D58B4" w14:textId="77777777" w:rsidTr="004D5C04">
        <w:tc>
          <w:tcPr>
            <w:tcW w:w="3448" w:type="pct"/>
            <w:tcBorders>
              <w:top w:val="nil"/>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bottom"/>
            <w:hideMark/>
          </w:tcPr>
          <w:p w14:paraId="25F21D79" w14:textId="77777777" w:rsidR="004D5C04" w:rsidRPr="00712A2B" w:rsidRDefault="004D5C04" w:rsidP="004D5C04">
            <w:pPr>
              <w:tabs>
                <w:tab w:val="left" w:pos="270"/>
              </w:tabs>
              <w:spacing w:line="240" w:lineRule="auto"/>
              <w:jc w:val="left"/>
              <w:rPr>
                <w:rFonts w:eastAsiaTheme="minorHAnsi"/>
                <w:sz w:val="20"/>
              </w:rPr>
            </w:pPr>
            <w:r w:rsidRPr="00712A2B">
              <w:rPr>
                <w:rFonts w:eastAsiaTheme="minorHAnsi"/>
                <w:sz w:val="20"/>
              </w:rPr>
              <w:tab/>
              <w:t>Recruitment</w:t>
            </w:r>
          </w:p>
        </w:tc>
        <w:tc>
          <w:tcPr>
            <w:tcW w:w="1552" w:type="pct"/>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bottom"/>
            <w:hideMark/>
          </w:tcPr>
          <w:p w14:paraId="54615F2E" w14:textId="77777777" w:rsidR="004D5C04" w:rsidRPr="00712A2B" w:rsidRDefault="004D5C04" w:rsidP="004D5C04">
            <w:pPr>
              <w:tabs>
                <w:tab w:val="decimal" w:pos="1866"/>
              </w:tabs>
              <w:spacing w:line="240" w:lineRule="auto"/>
              <w:jc w:val="left"/>
              <w:rPr>
                <w:rFonts w:eastAsiaTheme="minorHAnsi"/>
                <w:sz w:val="20"/>
              </w:rPr>
            </w:pPr>
            <w:r w:rsidRPr="00712A2B">
              <w:rPr>
                <w:rFonts w:eastAsiaTheme="minorHAnsi"/>
                <w:sz w:val="20"/>
              </w:rPr>
              <w:t>736,675</w:t>
            </w:r>
          </w:p>
        </w:tc>
      </w:tr>
      <w:tr w:rsidR="004D5C04" w:rsidRPr="004D5C04" w14:paraId="60797A02" w14:textId="77777777" w:rsidTr="004D5C04">
        <w:tc>
          <w:tcPr>
            <w:tcW w:w="3448" w:type="pct"/>
            <w:tcBorders>
              <w:top w:val="nil"/>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bottom"/>
            <w:hideMark/>
          </w:tcPr>
          <w:p w14:paraId="6790C7EE" w14:textId="77777777" w:rsidR="004D5C04" w:rsidRPr="00712A2B" w:rsidRDefault="004D5C04" w:rsidP="004D5C04">
            <w:pPr>
              <w:tabs>
                <w:tab w:val="left" w:pos="270"/>
              </w:tabs>
              <w:spacing w:line="240" w:lineRule="auto"/>
              <w:jc w:val="left"/>
              <w:rPr>
                <w:rFonts w:eastAsiaTheme="minorHAnsi"/>
                <w:sz w:val="20"/>
              </w:rPr>
            </w:pPr>
            <w:r w:rsidRPr="00712A2B">
              <w:rPr>
                <w:rFonts w:eastAsiaTheme="minorHAnsi"/>
                <w:sz w:val="20"/>
              </w:rPr>
              <w:tab/>
              <w:t>Preparations (e.g., adapting instruments, sampling)</w:t>
            </w:r>
          </w:p>
        </w:tc>
        <w:tc>
          <w:tcPr>
            <w:tcW w:w="1552" w:type="pct"/>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bottom"/>
            <w:hideMark/>
          </w:tcPr>
          <w:p w14:paraId="3852EDCC" w14:textId="77777777" w:rsidR="004D5C04" w:rsidRPr="00712A2B" w:rsidRDefault="004D5C04" w:rsidP="004D5C04">
            <w:pPr>
              <w:tabs>
                <w:tab w:val="decimal" w:pos="1866"/>
              </w:tabs>
              <w:spacing w:line="240" w:lineRule="auto"/>
              <w:jc w:val="left"/>
              <w:rPr>
                <w:rFonts w:eastAsiaTheme="minorHAnsi"/>
                <w:sz w:val="20"/>
              </w:rPr>
            </w:pPr>
            <w:r w:rsidRPr="00712A2B">
              <w:rPr>
                <w:rFonts w:eastAsiaTheme="minorHAnsi"/>
                <w:sz w:val="20"/>
              </w:rPr>
              <w:t>272,964</w:t>
            </w:r>
          </w:p>
        </w:tc>
      </w:tr>
      <w:tr w:rsidR="004D5C04" w:rsidRPr="004D5C04" w14:paraId="3F2DEEBE" w14:textId="77777777" w:rsidTr="004D5C04">
        <w:tc>
          <w:tcPr>
            <w:tcW w:w="3448" w:type="pct"/>
            <w:tcBorders>
              <w:top w:val="nil"/>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bottom"/>
            <w:hideMark/>
          </w:tcPr>
          <w:p w14:paraId="2F4A82D5" w14:textId="77777777" w:rsidR="004D5C04" w:rsidRPr="00712A2B" w:rsidRDefault="004D5C04" w:rsidP="004D5C04">
            <w:pPr>
              <w:tabs>
                <w:tab w:val="left" w:pos="270"/>
              </w:tabs>
              <w:spacing w:line="240" w:lineRule="auto"/>
              <w:jc w:val="left"/>
              <w:rPr>
                <w:rFonts w:eastAsiaTheme="minorHAnsi"/>
                <w:sz w:val="20"/>
              </w:rPr>
            </w:pPr>
            <w:r w:rsidRPr="00712A2B">
              <w:rPr>
                <w:rFonts w:eastAsiaTheme="minorHAnsi"/>
                <w:sz w:val="20"/>
              </w:rPr>
              <w:tab/>
              <w:t>Data collection, scoring, and coding</w:t>
            </w:r>
          </w:p>
        </w:tc>
        <w:tc>
          <w:tcPr>
            <w:tcW w:w="1552" w:type="pct"/>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bottom"/>
            <w:hideMark/>
          </w:tcPr>
          <w:p w14:paraId="5889F2A1" w14:textId="77777777" w:rsidR="004D5C04" w:rsidRPr="00712A2B" w:rsidRDefault="004D5C04" w:rsidP="004D5C04">
            <w:pPr>
              <w:tabs>
                <w:tab w:val="decimal" w:pos="1866"/>
              </w:tabs>
              <w:spacing w:line="240" w:lineRule="auto"/>
              <w:jc w:val="left"/>
              <w:rPr>
                <w:rFonts w:eastAsiaTheme="minorHAnsi"/>
                <w:sz w:val="20"/>
              </w:rPr>
            </w:pPr>
            <w:r w:rsidRPr="00712A2B">
              <w:rPr>
                <w:rFonts w:eastAsiaTheme="minorHAnsi"/>
                <w:sz w:val="20"/>
              </w:rPr>
              <w:t>663,598</w:t>
            </w:r>
          </w:p>
        </w:tc>
      </w:tr>
      <w:tr w:rsidR="004D5C04" w:rsidRPr="004D5C04" w14:paraId="581FDD6D" w14:textId="77777777" w:rsidTr="000C0CCF">
        <w:tc>
          <w:tcPr>
            <w:tcW w:w="3448" w:type="pct"/>
            <w:tcBorders>
              <w:top w:val="nil"/>
              <w:left w:val="single" w:sz="8" w:space="0" w:color="auto"/>
              <w:bottom w:val="single" w:sz="8" w:space="0" w:color="auto"/>
              <w:right w:val="single" w:sz="8" w:space="0" w:color="auto"/>
            </w:tcBorders>
            <w:shd w:val="clear" w:color="auto" w:fill="FDE9D9"/>
            <w:tcMar>
              <w:top w:w="0" w:type="dxa"/>
              <w:left w:w="108" w:type="dxa"/>
              <w:bottom w:w="0" w:type="dxa"/>
              <w:right w:w="108" w:type="dxa"/>
            </w:tcMar>
            <w:vAlign w:val="bottom"/>
            <w:hideMark/>
          </w:tcPr>
          <w:p w14:paraId="602CCA36" w14:textId="77777777" w:rsidR="004D5C04" w:rsidRPr="00712A2B" w:rsidRDefault="004D5C04" w:rsidP="004D5C04">
            <w:pPr>
              <w:tabs>
                <w:tab w:val="left" w:pos="270"/>
              </w:tabs>
              <w:spacing w:line="240" w:lineRule="auto"/>
              <w:jc w:val="left"/>
              <w:rPr>
                <w:rFonts w:eastAsiaTheme="minorHAnsi"/>
                <w:b/>
                <w:sz w:val="20"/>
              </w:rPr>
            </w:pPr>
            <w:r w:rsidRPr="00712A2B">
              <w:rPr>
                <w:rFonts w:eastAsiaTheme="minorHAnsi"/>
                <w:b/>
                <w:sz w:val="20"/>
              </w:rPr>
              <w:t>MAIN STUDY (2017)</w:t>
            </w:r>
          </w:p>
        </w:tc>
        <w:tc>
          <w:tcPr>
            <w:tcW w:w="1552" w:type="pct"/>
            <w:tcBorders>
              <w:top w:val="nil"/>
              <w:left w:val="nil"/>
              <w:bottom w:val="single" w:sz="8" w:space="0" w:color="auto"/>
              <w:right w:val="single" w:sz="8" w:space="0" w:color="auto"/>
            </w:tcBorders>
            <w:shd w:val="clear" w:color="auto" w:fill="FDE9D9"/>
            <w:tcMar>
              <w:top w:w="0" w:type="dxa"/>
              <w:left w:w="108" w:type="dxa"/>
              <w:bottom w:w="0" w:type="dxa"/>
              <w:right w:w="108" w:type="dxa"/>
            </w:tcMar>
            <w:vAlign w:val="bottom"/>
          </w:tcPr>
          <w:p w14:paraId="315655A1" w14:textId="77777777" w:rsidR="004D5C04" w:rsidRPr="00712A2B" w:rsidRDefault="004D5C04" w:rsidP="004D5C04">
            <w:pPr>
              <w:tabs>
                <w:tab w:val="decimal" w:pos="1866"/>
              </w:tabs>
              <w:spacing w:line="240" w:lineRule="auto"/>
              <w:jc w:val="left"/>
              <w:rPr>
                <w:rFonts w:eastAsiaTheme="minorHAnsi"/>
                <w:sz w:val="20"/>
              </w:rPr>
            </w:pPr>
          </w:p>
        </w:tc>
      </w:tr>
      <w:tr w:rsidR="004D5C04" w:rsidRPr="004D5C04" w14:paraId="04BAE9EC" w14:textId="77777777" w:rsidTr="004D5C04">
        <w:tc>
          <w:tcPr>
            <w:tcW w:w="3448" w:type="pct"/>
            <w:tcBorders>
              <w:top w:val="nil"/>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bottom"/>
            <w:hideMark/>
          </w:tcPr>
          <w:p w14:paraId="597E7391" w14:textId="77777777" w:rsidR="004D5C04" w:rsidRPr="00712A2B" w:rsidRDefault="004D5C04" w:rsidP="004D5C04">
            <w:pPr>
              <w:tabs>
                <w:tab w:val="left" w:pos="270"/>
              </w:tabs>
              <w:spacing w:line="240" w:lineRule="auto"/>
              <w:jc w:val="left"/>
              <w:rPr>
                <w:rFonts w:eastAsiaTheme="minorHAnsi"/>
                <w:sz w:val="20"/>
              </w:rPr>
            </w:pPr>
            <w:r w:rsidRPr="00712A2B">
              <w:rPr>
                <w:rFonts w:eastAsiaTheme="minorHAnsi"/>
                <w:sz w:val="20"/>
              </w:rPr>
              <w:tab/>
              <w:t>Recruitment</w:t>
            </w:r>
          </w:p>
        </w:tc>
        <w:tc>
          <w:tcPr>
            <w:tcW w:w="1552" w:type="pct"/>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bottom"/>
            <w:hideMark/>
          </w:tcPr>
          <w:p w14:paraId="63245AC4" w14:textId="77777777" w:rsidR="004D5C04" w:rsidRPr="00712A2B" w:rsidRDefault="004D5C04" w:rsidP="004D5C04">
            <w:pPr>
              <w:tabs>
                <w:tab w:val="decimal" w:pos="1866"/>
              </w:tabs>
              <w:spacing w:line="240" w:lineRule="auto"/>
              <w:jc w:val="left"/>
              <w:rPr>
                <w:rFonts w:eastAsiaTheme="minorHAnsi"/>
                <w:sz w:val="20"/>
              </w:rPr>
            </w:pPr>
            <w:r w:rsidRPr="00712A2B">
              <w:rPr>
                <w:rFonts w:eastAsiaTheme="minorHAnsi"/>
                <w:sz w:val="20"/>
              </w:rPr>
              <w:t>725,266</w:t>
            </w:r>
          </w:p>
        </w:tc>
      </w:tr>
      <w:tr w:rsidR="004D5C04" w:rsidRPr="004D5C04" w14:paraId="020CB7C7" w14:textId="77777777" w:rsidTr="000C0CCF">
        <w:tc>
          <w:tcPr>
            <w:tcW w:w="3448" w:type="pct"/>
            <w:tcBorders>
              <w:top w:val="nil"/>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bottom"/>
            <w:hideMark/>
          </w:tcPr>
          <w:p w14:paraId="11ACB89C" w14:textId="77777777" w:rsidR="004D5C04" w:rsidRPr="00712A2B" w:rsidRDefault="004D5C04" w:rsidP="004D5C04">
            <w:pPr>
              <w:tabs>
                <w:tab w:val="left" w:pos="270"/>
              </w:tabs>
              <w:spacing w:line="240" w:lineRule="auto"/>
              <w:jc w:val="left"/>
              <w:rPr>
                <w:rFonts w:eastAsiaTheme="minorHAnsi"/>
                <w:sz w:val="20"/>
              </w:rPr>
            </w:pPr>
            <w:r w:rsidRPr="00712A2B">
              <w:rPr>
                <w:rFonts w:eastAsiaTheme="minorHAnsi"/>
                <w:sz w:val="20"/>
              </w:rPr>
              <w:tab/>
              <w:t>Preparations (e.g., adapting instruments, sampling)</w:t>
            </w:r>
          </w:p>
        </w:tc>
        <w:tc>
          <w:tcPr>
            <w:tcW w:w="1552" w:type="pct"/>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bottom"/>
            <w:hideMark/>
          </w:tcPr>
          <w:p w14:paraId="2A330327" w14:textId="77777777" w:rsidR="004D5C04" w:rsidRPr="00712A2B" w:rsidRDefault="004D5C04" w:rsidP="004D5C04">
            <w:pPr>
              <w:tabs>
                <w:tab w:val="decimal" w:pos="1866"/>
              </w:tabs>
              <w:spacing w:line="240" w:lineRule="auto"/>
              <w:jc w:val="left"/>
              <w:rPr>
                <w:rFonts w:eastAsiaTheme="minorHAnsi"/>
                <w:sz w:val="20"/>
              </w:rPr>
            </w:pPr>
            <w:r w:rsidRPr="00712A2B">
              <w:rPr>
                <w:rFonts w:eastAsiaTheme="minorHAnsi"/>
                <w:sz w:val="20"/>
              </w:rPr>
              <w:t>61,993</w:t>
            </w:r>
          </w:p>
        </w:tc>
      </w:tr>
      <w:tr w:rsidR="004D5C04" w:rsidRPr="004D5C04" w14:paraId="2B8CC102" w14:textId="77777777" w:rsidTr="000C0CCF">
        <w:tc>
          <w:tcPr>
            <w:tcW w:w="344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3CF30125" w14:textId="77777777" w:rsidR="004D5C04" w:rsidRPr="00712A2B" w:rsidRDefault="004D5C04" w:rsidP="004D5C04">
            <w:pPr>
              <w:tabs>
                <w:tab w:val="left" w:pos="270"/>
              </w:tabs>
              <w:spacing w:line="240" w:lineRule="auto"/>
              <w:jc w:val="left"/>
              <w:rPr>
                <w:rFonts w:eastAsiaTheme="minorHAnsi"/>
                <w:sz w:val="20"/>
              </w:rPr>
            </w:pPr>
            <w:r w:rsidRPr="00712A2B">
              <w:rPr>
                <w:rFonts w:eastAsiaTheme="minorHAnsi"/>
                <w:sz w:val="20"/>
              </w:rPr>
              <w:tab/>
              <w:t>Data collection, scoring, and coding</w:t>
            </w:r>
          </w:p>
        </w:tc>
        <w:tc>
          <w:tcPr>
            <w:tcW w:w="1552" w:type="pct"/>
            <w:tcBorders>
              <w:top w:val="nil"/>
              <w:left w:val="nil"/>
              <w:bottom w:val="single" w:sz="8" w:space="0" w:color="auto"/>
              <w:right w:val="single" w:sz="8" w:space="0" w:color="auto"/>
            </w:tcBorders>
            <w:tcMar>
              <w:top w:w="0" w:type="dxa"/>
              <w:left w:w="108" w:type="dxa"/>
              <w:bottom w:w="0" w:type="dxa"/>
              <w:right w:w="108" w:type="dxa"/>
            </w:tcMar>
            <w:vAlign w:val="bottom"/>
            <w:hideMark/>
          </w:tcPr>
          <w:p w14:paraId="517FB698" w14:textId="77777777" w:rsidR="004D5C04" w:rsidRPr="00712A2B" w:rsidRDefault="004D5C04" w:rsidP="004D5C04">
            <w:pPr>
              <w:tabs>
                <w:tab w:val="decimal" w:pos="1866"/>
              </w:tabs>
              <w:spacing w:line="240" w:lineRule="auto"/>
              <w:jc w:val="left"/>
              <w:rPr>
                <w:rFonts w:eastAsiaTheme="minorHAnsi"/>
                <w:sz w:val="20"/>
              </w:rPr>
            </w:pPr>
            <w:r w:rsidRPr="00712A2B">
              <w:rPr>
                <w:rFonts w:eastAsiaTheme="minorHAnsi"/>
                <w:sz w:val="20"/>
              </w:rPr>
              <w:t>0</w:t>
            </w:r>
          </w:p>
        </w:tc>
      </w:tr>
      <w:tr w:rsidR="004D5C04" w:rsidRPr="004D5C04" w14:paraId="284DD42B" w14:textId="77777777" w:rsidTr="000C0CCF">
        <w:tc>
          <w:tcPr>
            <w:tcW w:w="3448" w:type="pct"/>
            <w:tcBorders>
              <w:top w:val="nil"/>
              <w:left w:val="single" w:sz="8" w:space="0" w:color="auto"/>
              <w:bottom w:val="single" w:sz="8" w:space="0" w:color="auto"/>
              <w:right w:val="single" w:sz="8" w:space="0" w:color="auto"/>
            </w:tcBorders>
            <w:shd w:val="clear" w:color="auto" w:fill="FDE9D9"/>
            <w:tcMar>
              <w:top w:w="0" w:type="dxa"/>
              <w:left w:w="108" w:type="dxa"/>
              <w:bottom w:w="0" w:type="dxa"/>
              <w:right w:w="108" w:type="dxa"/>
            </w:tcMar>
            <w:vAlign w:val="bottom"/>
            <w:hideMark/>
          </w:tcPr>
          <w:p w14:paraId="51D530C2" w14:textId="77777777" w:rsidR="004D5C04" w:rsidRPr="00712A2B" w:rsidRDefault="004D5C04" w:rsidP="007348F7">
            <w:pPr>
              <w:keepNext/>
              <w:tabs>
                <w:tab w:val="left" w:pos="270"/>
              </w:tabs>
              <w:spacing w:line="240" w:lineRule="auto"/>
              <w:jc w:val="left"/>
              <w:rPr>
                <w:rFonts w:eastAsiaTheme="minorHAnsi"/>
                <w:b/>
                <w:sz w:val="20"/>
              </w:rPr>
            </w:pPr>
            <w:r w:rsidRPr="00712A2B">
              <w:rPr>
                <w:rFonts w:eastAsiaTheme="minorHAnsi"/>
                <w:b/>
                <w:sz w:val="20"/>
              </w:rPr>
              <w:t>MAIN STUDY (2018)</w:t>
            </w:r>
          </w:p>
        </w:tc>
        <w:tc>
          <w:tcPr>
            <w:tcW w:w="1552" w:type="pct"/>
            <w:tcBorders>
              <w:top w:val="nil"/>
              <w:left w:val="nil"/>
              <w:bottom w:val="single" w:sz="8" w:space="0" w:color="auto"/>
              <w:right w:val="single" w:sz="8" w:space="0" w:color="auto"/>
            </w:tcBorders>
            <w:shd w:val="clear" w:color="auto" w:fill="FDE9D9"/>
            <w:tcMar>
              <w:top w:w="0" w:type="dxa"/>
              <w:left w:w="108" w:type="dxa"/>
              <w:bottom w:w="0" w:type="dxa"/>
              <w:right w:w="108" w:type="dxa"/>
            </w:tcMar>
            <w:vAlign w:val="bottom"/>
          </w:tcPr>
          <w:p w14:paraId="7ABC63CE" w14:textId="77777777" w:rsidR="004D5C04" w:rsidRPr="00712A2B" w:rsidRDefault="004D5C04" w:rsidP="007348F7">
            <w:pPr>
              <w:keepNext/>
              <w:tabs>
                <w:tab w:val="decimal" w:pos="1866"/>
              </w:tabs>
              <w:spacing w:line="240" w:lineRule="auto"/>
              <w:jc w:val="left"/>
              <w:rPr>
                <w:rFonts w:eastAsiaTheme="minorHAnsi"/>
                <w:b/>
                <w:bCs/>
                <w:sz w:val="20"/>
              </w:rPr>
            </w:pPr>
          </w:p>
        </w:tc>
      </w:tr>
      <w:tr w:rsidR="004D5C04" w:rsidRPr="004D5C04" w14:paraId="5B413882" w14:textId="77777777" w:rsidTr="000C0CCF">
        <w:tc>
          <w:tcPr>
            <w:tcW w:w="344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4CD132B0" w14:textId="77777777" w:rsidR="004D5C04" w:rsidRPr="00712A2B" w:rsidRDefault="004D5C04" w:rsidP="007348F7">
            <w:pPr>
              <w:keepNext/>
              <w:tabs>
                <w:tab w:val="left" w:pos="270"/>
              </w:tabs>
              <w:spacing w:line="240" w:lineRule="auto"/>
              <w:jc w:val="left"/>
              <w:rPr>
                <w:rFonts w:eastAsiaTheme="minorHAnsi"/>
                <w:sz w:val="20"/>
              </w:rPr>
            </w:pPr>
            <w:r w:rsidRPr="00712A2B">
              <w:rPr>
                <w:rFonts w:eastAsiaTheme="minorHAnsi"/>
                <w:sz w:val="20"/>
              </w:rPr>
              <w:tab/>
              <w:t>Recruitment</w:t>
            </w:r>
          </w:p>
        </w:tc>
        <w:tc>
          <w:tcPr>
            <w:tcW w:w="1552" w:type="pct"/>
            <w:tcBorders>
              <w:top w:val="nil"/>
              <w:left w:val="nil"/>
              <w:bottom w:val="single" w:sz="8" w:space="0" w:color="auto"/>
              <w:right w:val="single" w:sz="8" w:space="0" w:color="auto"/>
            </w:tcBorders>
            <w:tcMar>
              <w:top w:w="0" w:type="dxa"/>
              <w:left w:w="108" w:type="dxa"/>
              <w:bottom w:w="0" w:type="dxa"/>
              <w:right w:w="108" w:type="dxa"/>
            </w:tcMar>
            <w:vAlign w:val="bottom"/>
            <w:hideMark/>
          </w:tcPr>
          <w:p w14:paraId="10926534" w14:textId="77777777" w:rsidR="004D5C04" w:rsidRPr="00712A2B" w:rsidRDefault="004D5C04" w:rsidP="007348F7">
            <w:pPr>
              <w:keepNext/>
              <w:tabs>
                <w:tab w:val="decimal" w:pos="1866"/>
              </w:tabs>
              <w:spacing w:line="240" w:lineRule="auto"/>
              <w:jc w:val="left"/>
              <w:rPr>
                <w:rFonts w:eastAsiaTheme="minorHAnsi"/>
                <w:sz w:val="20"/>
              </w:rPr>
            </w:pPr>
            <w:r w:rsidRPr="00712A2B">
              <w:rPr>
                <w:rFonts w:eastAsiaTheme="minorHAnsi"/>
                <w:sz w:val="20"/>
              </w:rPr>
              <w:t xml:space="preserve">591,605 </w:t>
            </w:r>
          </w:p>
        </w:tc>
      </w:tr>
      <w:tr w:rsidR="004D5C04" w:rsidRPr="004D5C04" w14:paraId="104CD140" w14:textId="77777777" w:rsidTr="000C0CCF">
        <w:tc>
          <w:tcPr>
            <w:tcW w:w="344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7021AB0A" w14:textId="77777777" w:rsidR="004D5C04" w:rsidRPr="00712A2B" w:rsidRDefault="004D5C04" w:rsidP="007348F7">
            <w:pPr>
              <w:keepNext/>
              <w:tabs>
                <w:tab w:val="left" w:pos="270"/>
              </w:tabs>
              <w:spacing w:line="240" w:lineRule="auto"/>
              <w:jc w:val="left"/>
              <w:rPr>
                <w:rFonts w:eastAsiaTheme="minorHAnsi"/>
                <w:sz w:val="20"/>
              </w:rPr>
            </w:pPr>
            <w:r w:rsidRPr="00712A2B">
              <w:rPr>
                <w:rFonts w:eastAsiaTheme="minorHAnsi"/>
                <w:sz w:val="20"/>
              </w:rPr>
              <w:tab/>
              <w:t>Preparations (e.g., adapting instruments, sampling)</w:t>
            </w:r>
          </w:p>
        </w:tc>
        <w:tc>
          <w:tcPr>
            <w:tcW w:w="1552" w:type="pct"/>
            <w:tcBorders>
              <w:top w:val="nil"/>
              <w:left w:val="nil"/>
              <w:bottom w:val="single" w:sz="8" w:space="0" w:color="auto"/>
              <w:right w:val="single" w:sz="8" w:space="0" w:color="auto"/>
            </w:tcBorders>
            <w:tcMar>
              <w:top w:w="0" w:type="dxa"/>
              <w:left w:w="108" w:type="dxa"/>
              <w:bottom w:w="0" w:type="dxa"/>
              <w:right w:w="108" w:type="dxa"/>
            </w:tcMar>
            <w:vAlign w:val="bottom"/>
            <w:hideMark/>
          </w:tcPr>
          <w:p w14:paraId="56AB9A57" w14:textId="77777777" w:rsidR="004D5C04" w:rsidRPr="00712A2B" w:rsidRDefault="004D5C04" w:rsidP="007348F7">
            <w:pPr>
              <w:keepNext/>
              <w:tabs>
                <w:tab w:val="decimal" w:pos="1866"/>
              </w:tabs>
              <w:spacing w:line="240" w:lineRule="auto"/>
              <w:jc w:val="left"/>
              <w:rPr>
                <w:rFonts w:eastAsiaTheme="minorHAnsi"/>
                <w:sz w:val="20"/>
              </w:rPr>
            </w:pPr>
            <w:r w:rsidRPr="00712A2B">
              <w:rPr>
                <w:rFonts w:eastAsiaTheme="minorHAnsi"/>
                <w:sz w:val="20"/>
              </w:rPr>
              <w:t>365,057</w:t>
            </w:r>
          </w:p>
        </w:tc>
      </w:tr>
      <w:tr w:rsidR="004D5C04" w:rsidRPr="004D5C04" w14:paraId="3AB2EB8C" w14:textId="77777777" w:rsidTr="000C0CCF">
        <w:tc>
          <w:tcPr>
            <w:tcW w:w="344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6E044F53" w14:textId="77777777" w:rsidR="004D5C04" w:rsidRPr="00712A2B" w:rsidRDefault="004D5C04" w:rsidP="007348F7">
            <w:pPr>
              <w:keepNext/>
              <w:tabs>
                <w:tab w:val="left" w:pos="270"/>
              </w:tabs>
              <w:spacing w:line="240" w:lineRule="auto"/>
              <w:jc w:val="left"/>
              <w:rPr>
                <w:rFonts w:eastAsiaTheme="minorHAnsi"/>
                <w:sz w:val="20"/>
              </w:rPr>
            </w:pPr>
            <w:r w:rsidRPr="00712A2B">
              <w:rPr>
                <w:rFonts w:eastAsiaTheme="minorHAnsi"/>
                <w:sz w:val="20"/>
              </w:rPr>
              <w:tab/>
              <w:t>Data collection, scoring, and coding</w:t>
            </w:r>
          </w:p>
        </w:tc>
        <w:tc>
          <w:tcPr>
            <w:tcW w:w="1552" w:type="pct"/>
            <w:tcBorders>
              <w:top w:val="nil"/>
              <w:left w:val="nil"/>
              <w:bottom w:val="single" w:sz="8" w:space="0" w:color="auto"/>
              <w:right w:val="single" w:sz="8" w:space="0" w:color="auto"/>
            </w:tcBorders>
            <w:tcMar>
              <w:top w:w="0" w:type="dxa"/>
              <w:left w:w="108" w:type="dxa"/>
              <w:bottom w:w="0" w:type="dxa"/>
              <w:right w:w="108" w:type="dxa"/>
            </w:tcMar>
            <w:vAlign w:val="bottom"/>
            <w:hideMark/>
          </w:tcPr>
          <w:p w14:paraId="36642381" w14:textId="77777777" w:rsidR="004D5C04" w:rsidRPr="00712A2B" w:rsidRDefault="004D5C04" w:rsidP="007348F7">
            <w:pPr>
              <w:keepNext/>
              <w:tabs>
                <w:tab w:val="decimal" w:pos="1866"/>
              </w:tabs>
              <w:spacing w:line="240" w:lineRule="auto"/>
              <w:jc w:val="left"/>
              <w:rPr>
                <w:rFonts w:eastAsiaTheme="minorHAnsi"/>
                <w:sz w:val="20"/>
              </w:rPr>
            </w:pPr>
            <w:r w:rsidRPr="00712A2B">
              <w:rPr>
                <w:rFonts w:eastAsiaTheme="minorHAnsi"/>
                <w:sz w:val="20"/>
              </w:rPr>
              <w:t>3,631,305</w:t>
            </w:r>
          </w:p>
        </w:tc>
      </w:tr>
      <w:tr w:rsidR="004D5C04" w:rsidRPr="004D5C04" w14:paraId="03BCC803" w14:textId="77777777" w:rsidTr="000C0CCF">
        <w:tc>
          <w:tcPr>
            <w:tcW w:w="344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7D0331F9" w14:textId="77777777" w:rsidR="004D5C04" w:rsidRPr="00712A2B" w:rsidRDefault="004D5C04" w:rsidP="007348F7">
            <w:pPr>
              <w:keepNext/>
              <w:tabs>
                <w:tab w:val="left" w:pos="270"/>
              </w:tabs>
              <w:spacing w:line="240" w:lineRule="auto"/>
              <w:jc w:val="left"/>
              <w:rPr>
                <w:rFonts w:eastAsiaTheme="minorHAnsi"/>
                <w:b/>
                <w:bCs/>
                <w:sz w:val="20"/>
              </w:rPr>
            </w:pPr>
            <w:r w:rsidRPr="00712A2B">
              <w:rPr>
                <w:rFonts w:eastAsiaTheme="minorHAnsi"/>
                <w:b/>
                <w:bCs/>
                <w:sz w:val="20"/>
              </w:rPr>
              <w:t>Current package components</w:t>
            </w:r>
          </w:p>
        </w:tc>
        <w:tc>
          <w:tcPr>
            <w:tcW w:w="1552" w:type="pct"/>
            <w:tcBorders>
              <w:top w:val="nil"/>
              <w:left w:val="nil"/>
              <w:bottom w:val="single" w:sz="8" w:space="0" w:color="auto"/>
              <w:right w:val="single" w:sz="8" w:space="0" w:color="auto"/>
            </w:tcBorders>
            <w:tcMar>
              <w:top w:w="0" w:type="dxa"/>
              <w:left w:w="108" w:type="dxa"/>
              <w:bottom w:w="0" w:type="dxa"/>
              <w:right w:w="108" w:type="dxa"/>
            </w:tcMar>
            <w:vAlign w:val="bottom"/>
            <w:hideMark/>
          </w:tcPr>
          <w:p w14:paraId="7EA10EAC" w14:textId="77777777" w:rsidR="004D5C04" w:rsidRPr="00712A2B" w:rsidRDefault="004D5C04" w:rsidP="007348F7">
            <w:pPr>
              <w:keepNext/>
              <w:tabs>
                <w:tab w:val="decimal" w:pos="1866"/>
              </w:tabs>
              <w:spacing w:line="240" w:lineRule="auto"/>
              <w:jc w:val="left"/>
              <w:rPr>
                <w:rFonts w:eastAsiaTheme="minorHAnsi"/>
                <w:b/>
                <w:bCs/>
                <w:sz w:val="20"/>
              </w:rPr>
            </w:pPr>
            <w:r w:rsidRPr="00712A2B">
              <w:rPr>
                <w:rFonts w:eastAsiaTheme="minorHAnsi"/>
                <w:b/>
                <w:bCs/>
                <w:sz w:val="20"/>
              </w:rPr>
              <w:t>$2,460,496</w:t>
            </w:r>
          </w:p>
        </w:tc>
      </w:tr>
      <w:tr w:rsidR="004D5C04" w:rsidRPr="004D5C04" w14:paraId="7A56FD1D" w14:textId="77777777" w:rsidTr="000C0CCF">
        <w:tc>
          <w:tcPr>
            <w:tcW w:w="3448" w:type="pct"/>
            <w:tcBorders>
              <w:top w:val="nil"/>
              <w:left w:val="single" w:sz="8" w:space="0" w:color="auto"/>
              <w:bottom w:val="single" w:sz="8" w:space="0" w:color="auto"/>
              <w:right w:val="single" w:sz="8" w:space="0" w:color="auto"/>
            </w:tcBorders>
            <w:shd w:val="clear" w:color="auto" w:fill="DAEEF3"/>
            <w:tcMar>
              <w:top w:w="0" w:type="dxa"/>
              <w:left w:w="108" w:type="dxa"/>
              <w:bottom w:w="0" w:type="dxa"/>
              <w:right w:w="108" w:type="dxa"/>
            </w:tcMar>
            <w:vAlign w:val="bottom"/>
            <w:hideMark/>
          </w:tcPr>
          <w:p w14:paraId="7C51C160" w14:textId="77777777" w:rsidR="004D5C04" w:rsidRPr="00712A2B" w:rsidRDefault="004D5C04" w:rsidP="004D5C04">
            <w:pPr>
              <w:tabs>
                <w:tab w:val="left" w:pos="270"/>
              </w:tabs>
              <w:spacing w:line="240" w:lineRule="auto"/>
              <w:jc w:val="left"/>
              <w:rPr>
                <w:rFonts w:eastAsiaTheme="minorHAnsi"/>
                <w:b/>
                <w:bCs/>
                <w:sz w:val="20"/>
              </w:rPr>
            </w:pPr>
            <w:r w:rsidRPr="00712A2B">
              <w:rPr>
                <w:rFonts w:eastAsiaTheme="minorHAnsi"/>
                <w:b/>
                <w:bCs/>
                <w:sz w:val="20"/>
              </w:rPr>
              <w:t>Grand total</w:t>
            </w:r>
          </w:p>
        </w:tc>
        <w:tc>
          <w:tcPr>
            <w:tcW w:w="1552" w:type="pct"/>
            <w:tcBorders>
              <w:top w:val="nil"/>
              <w:left w:val="nil"/>
              <w:bottom w:val="single" w:sz="8" w:space="0" w:color="auto"/>
              <w:right w:val="single" w:sz="8" w:space="0" w:color="auto"/>
            </w:tcBorders>
            <w:shd w:val="clear" w:color="auto" w:fill="DAEEF3"/>
            <w:tcMar>
              <w:top w:w="0" w:type="dxa"/>
              <w:left w:w="108" w:type="dxa"/>
              <w:bottom w:w="0" w:type="dxa"/>
              <w:right w:w="108" w:type="dxa"/>
            </w:tcMar>
            <w:vAlign w:val="bottom"/>
            <w:hideMark/>
          </w:tcPr>
          <w:p w14:paraId="6774791B" w14:textId="77777777" w:rsidR="004D5C04" w:rsidRPr="00712A2B" w:rsidRDefault="004D5C04" w:rsidP="004D5C04">
            <w:pPr>
              <w:tabs>
                <w:tab w:val="decimal" w:pos="1866"/>
              </w:tabs>
              <w:spacing w:line="240" w:lineRule="auto"/>
              <w:jc w:val="left"/>
              <w:rPr>
                <w:rFonts w:eastAsiaTheme="minorHAnsi"/>
                <w:b/>
                <w:bCs/>
                <w:sz w:val="20"/>
              </w:rPr>
            </w:pPr>
            <w:r w:rsidRPr="00712A2B">
              <w:rPr>
                <w:rFonts w:eastAsiaTheme="minorHAnsi"/>
                <w:b/>
                <w:bCs/>
                <w:sz w:val="20"/>
              </w:rPr>
              <w:t>$7,048,464</w:t>
            </w:r>
          </w:p>
        </w:tc>
      </w:tr>
    </w:tbl>
    <w:p w14:paraId="7639287C" w14:textId="77777777" w:rsidR="004D5C04" w:rsidRPr="004D5C04" w:rsidRDefault="004D5C04" w:rsidP="004D5C04">
      <w:pPr>
        <w:spacing w:line="240" w:lineRule="auto"/>
        <w:jc w:val="left"/>
        <w:rPr>
          <w:rFonts w:ascii="Calibri" w:eastAsiaTheme="minorHAnsi" w:hAnsi="Calibri"/>
          <w:szCs w:val="22"/>
        </w:rPr>
      </w:pPr>
    </w:p>
    <w:p w14:paraId="5E0F8755" w14:textId="223D5B85" w:rsidR="005611C5" w:rsidRDefault="005611C5" w:rsidP="005A2201">
      <w:pPr>
        <w:pStyle w:val="Heading1"/>
        <w:tabs>
          <w:tab w:val="clear" w:pos="1152"/>
          <w:tab w:val="left" w:pos="0"/>
        </w:tabs>
        <w:spacing w:before="120" w:after="0" w:line="240" w:lineRule="auto"/>
        <w:ind w:left="720" w:hanging="720"/>
      </w:pPr>
      <w:bookmarkStart w:id="25" w:name="_Toc488670104"/>
      <w:r>
        <w:t>A.1</w:t>
      </w:r>
      <w:r w:rsidR="00DF0307">
        <w:t>5</w:t>
      </w:r>
      <w:r>
        <w:tab/>
        <w:t>Program Changes or Adjustments</w:t>
      </w:r>
      <w:bookmarkEnd w:id="25"/>
    </w:p>
    <w:p w14:paraId="72D02196" w14:textId="77777777" w:rsidR="005611C5" w:rsidRPr="00B41775" w:rsidRDefault="00734CB7" w:rsidP="00324406">
      <w:pPr>
        <w:pStyle w:val="BodyText1"/>
      </w:pPr>
      <w:r w:rsidRPr="00734CB7">
        <w:t>Th</w:t>
      </w:r>
      <w:r w:rsidR="00B41775">
        <w:t xml:space="preserve">e apparent increase in burden </w:t>
      </w:r>
      <w:r w:rsidRPr="00734CB7">
        <w:t xml:space="preserve">is </w:t>
      </w:r>
      <w:r w:rsidR="00B41775">
        <w:t>due to the fact that the last approval was for field test recruitment only, while this request includes burden associated with field test recruitment, field test data collection, and main study recruitment</w:t>
      </w:r>
      <w:r w:rsidR="00AD31F7">
        <w:t>.</w:t>
      </w:r>
    </w:p>
    <w:p w14:paraId="5E0F8758" w14:textId="667A118A" w:rsidR="005611C5" w:rsidRDefault="005611C5" w:rsidP="005A2201">
      <w:pPr>
        <w:pStyle w:val="Heading1"/>
        <w:tabs>
          <w:tab w:val="clear" w:pos="1152"/>
          <w:tab w:val="left" w:pos="0"/>
        </w:tabs>
        <w:spacing w:before="120" w:after="0" w:line="240" w:lineRule="auto"/>
        <w:ind w:left="720" w:hanging="720"/>
      </w:pPr>
      <w:bookmarkStart w:id="26" w:name="_Toc488670105"/>
      <w:bookmarkEnd w:id="23"/>
      <w:r>
        <w:t>A.1</w:t>
      </w:r>
      <w:r w:rsidR="00DF0307">
        <w:t>5</w:t>
      </w:r>
      <w:r>
        <w:tab/>
        <w:t>Plans for Tabulation and Publication</w:t>
      </w:r>
      <w:bookmarkEnd w:id="26"/>
    </w:p>
    <w:p w14:paraId="5E0F8759" w14:textId="6084E910" w:rsidR="005611C5" w:rsidRDefault="005611C5" w:rsidP="00FB052E">
      <w:pPr>
        <w:pStyle w:val="BodyText1"/>
      </w:pPr>
      <w:r>
        <w:t xml:space="preserve">The </w:t>
      </w:r>
      <w:r w:rsidR="002B673B">
        <w:t>IELS</w:t>
      </w:r>
      <w:r>
        <w:t xml:space="preserve"> </w:t>
      </w:r>
      <w:r w:rsidR="00CA2440">
        <w:t>field test</w:t>
      </w:r>
      <w:r>
        <w:t xml:space="preserve"> is designed to provide a statistical review of the performance of items on the assessments and questionnaires in preparation for the main data collection</w:t>
      </w:r>
      <w:r w:rsidR="002B673B">
        <w:t xml:space="preserve">. The international contractor </w:t>
      </w:r>
      <w:r>
        <w:t xml:space="preserve">will provide the international instruments to be used in the </w:t>
      </w:r>
      <w:r w:rsidR="00CA2440">
        <w:t>field test</w:t>
      </w:r>
      <w:r>
        <w:t xml:space="preserve"> and will report to the participating countries on the results of the </w:t>
      </w:r>
      <w:r w:rsidR="00CA2440">
        <w:t>field test</w:t>
      </w:r>
      <w:r>
        <w:t>.</w:t>
      </w:r>
      <w:r w:rsidR="00FA3B61">
        <w:t xml:space="preserve"> </w:t>
      </w:r>
      <w:r>
        <w:t xml:space="preserve">Based on the </w:t>
      </w:r>
      <w:r w:rsidR="00CA2440">
        <w:t>field test</w:t>
      </w:r>
      <w:r>
        <w:t xml:space="preserve"> results, </w:t>
      </w:r>
      <w:r w:rsidR="002B673B">
        <w:t xml:space="preserve">the international contractor, </w:t>
      </w:r>
      <w:r>
        <w:t>with input and agreement from the participating countries, will make final revisions in the survey instruments, materials, and documents in preparation for the main study.</w:t>
      </w:r>
    </w:p>
    <w:p w14:paraId="436A6756" w14:textId="30D83931" w:rsidR="004B57AD" w:rsidRDefault="005611C5" w:rsidP="00FB052E">
      <w:pPr>
        <w:pStyle w:val="BodyText1"/>
      </w:pPr>
      <w:r>
        <w:t>For the main study in 201</w:t>
      </w:r>
      <w:r w:rsidR="006C7A15">
        <w:t>8</w:t>
      </w:r>
      <w:r>
        <w:t>, an analysis of the U.S. and international data will be undertaken to provide an understanding of the U.S. national results in relation to the international results.</w:t>
      </w:r>
      <w:r w:rsidR="00FA3B61">
        <w:t xml:space="preserve"> </w:t>
      </w:r>
      <w:r>
        <w:t xml:space="preserve">Based on proposed analyses of the international data set by </w:t>
      </w:r>
      <w:r w:rsidR="002B673B">
        <w:t>the OECD</w:t>
      </w:r>
      <w:r>
        <w:t xml:space="preserve"> and the need for NCES to</w:t>
      </w:r>
      <w:r>
        <w:rPr>
          <w:color w:val="008000"/>
        </w:rPr>
        <w:t xml:space="preserve"> </w:t>
      </w:r>
      <w:r>
        <w:t xml:space="preserve">report results from the perspective of a </w:t>
      </w:r>
      <w:r w:rsidR="00574643">
        <w:t>U.S.</w:t>
      </w:r>
      <w:r>
        <w:t xml:space="preserve"> constituency, a plan is being prepared for the statistical analysis of the U.S. national data set as compared to the international data set.</w:t>
      </w:r>
      <w:r w:rsidR="00FA3B61">
        <w:t xml:space="preserve"> </w:t>
      </w:r>
      <w:r>
        <w:t xml:space="preserve">Analysis of data will include examinations of </w:t>
      </w:r>
      <w:r w:rsidR="002B673B">
        <w:t xml:space="preserve">student performance </w:t>
      </w:r>
      <w:r>
        <w:t xml:space="preserve">in relation to their international counterparts; and the relationships between </w:t>
      </w:r>
      <w:r w:rsidR="00B55924">
        <w:t>student performance</w:t>
      </w:r>
      <w:r>
        <w:t xml:space="preserve"> and </w:t>
      </w:r>
      <w:r w:rsidR="002B673B">
        <w:t>contextual</w:t>
      </w:r>
      <w:r>
        <w:t xml:space="preserve"> variables.</w:t>
      </w:r>
    </w:p>
    <w:p w14:paraId="5E0F875B" w14:textId="6C849E3F" w:rsidR="005611C5" w:rsidRDefault="005611C5" w:rsidP="00FB052E">
      <w:pPr>
        <w:pStyle w:val="BodyText1"/>
      </w:pPr>
      <w:r>
        <w:t>All reports and publications will be coordinated with the release of information from the international organizing body.</w:t>
      </w:r>
      <w:r w:rsidR="00FA3B61">
        <w:t xml:space="preserve"> </w:t>
      </w:r>
      <w:r>
        <w:t xml:space="preserve">Planned publications and reports for the </w:t>
      </w:r>
      <w:r w:rsidR="002B673B">
        <w:t xml:space="preserve">IELS </w:t>
      </w:r>
      <w:r>
        <w:t>main study include the following:</w:t>
      </w:r>
    </w:p>
    <w:p w14:paraId="5E0F875C" w14:textId="23FDA041" w:rsidR="005611C5" w:rsidRDefault="005611C5" w:rsidP="00FB052E">
      <w:pPr>
        <w:pStyle w:val="BodyText1"/>
      </w:pPr>
      <w:r>
        <w:rPr>
          <w:b/>
        </w:rPr>
        <w:t>General Audience Report.</w:t>
      </w:r>
      <w:r w:rsidR="00FA3B61">
        <w:t xml:space="preserve"> </w:t>
      </w:r>
      <w:r>
        <w:t xml:space="preserve">This report will present information on the </w:t>
      </w:r>
      <w:r w:rsidR="002B673B">
        <w:t>skills</w:t>
      </w:r>
      <w:r w:rsidR="00931332">
        <w:t xml:space="preserve"> and competencies</w:t>
      </w:r>
      <w:r w:rsidR="002B673B">
        <w:t xml:space="preserve"> of U.S. </w:t>
      </w:r>
      <w:r w:rsidR="001E74DB">
        <w:t xml:space="preserve">children </w:t>
      </w:r>
      <w:r>
        <w:t xml:space="preserve">in comparison to their international peers, written for a non-specialist, general </w:t>
      </w:r>
      <w:r w:rsidR="00590A3C">
        <w:t>U.S.</w:t>
      </w:r>
      <w:r>
        <w:t xml:space="preserve"> audience.</w:t>
      </w:r>
      <w:r w:rsidR="00FA3B61">
        <w:t xml:space="preserve"> </w:t>
      </w:r>
      <w:r>
        <w:t xml:space="preserve">This report will present the results of analyses in a clear and non-technical way, conveying how U.S. </w:t>
      </w:r>
      <w:r w:rsidR="001E74DB">
        <w:t xml:space="preserve">children </w:t>
      </w:r>
      <w:r>
        <w:t>compare to their international peers, and what factors, if any</w:t>
      </w:r>
      <w:r w:rsidRPr="00BD6FCC">
        <w:t xml:space="preserve">, may </w:t>
      </w:r>
      <w:r>
        <w:t>be associated with</w:t>
      </w:r>
      <w:r w:rsidRPr="00BD6FCC">
        <w:t xml:space="preserve"> the U</w:t>
      </w:r>
      <w:r w:rsidRPr="00EA5A82">
        <w:t>.</w:t>
      </w:r>
      <w:r>
        <w:t>S. results.</w:t>
      </w:r>
    </w:p>
    <w:p w14:paraId="5E0F875D" w14:textId="6B38DBCA" w:rsidR="005611C5" w:rsidRDefault="005611C5" w:rsidP="00FB052E">
      <w:pPr>
        <w:pStyle w:val="BodyText1"/>
      </w:pPr>
      <w:r>
        <w:rPr>
          <w:b/>
        </w:rPr>
        <w:t>Survey Operations/Technical Report.</w:t>
      </w:r>
      <w:r w:rsidR="00FA3B61">
        <w:t xml:space="preserve"> </w:t>
      </w:r>
      <w:r>
        <w:t xml:space="preserve">This document will </w:t>
      </w:r>
      <w:r w:rsidR="00850C17">
        <w:t xml:space="preserve">detail </w:t>
      </w:r>
      <w:r>
        <w:t>the procedures used in the main study (e.g., sampling, recruitment, data collection, scoring, weighting, and imputation) and describe any problems encountered and the contractor’s response to them.</w:t>
      </w:r>
      <w:r w:rsidR="00FA3B61">
        <w:t xml:space="preserve"> </w:t>
      </w:r>
      <w:r>
        <w:t xml:space="preserve">The primary purpose of the main study survey operations/technical report is to document the steps </w:t>
      </w:r>
      <w:r w:rsidR="00C80603">
        <w:t>under</w:t>
      </w:r>
      <w:r>
        <w:t xml:space="preserve">taken by the </w:t>
      </w:r>
      <w:r w:rsidR="00574643">
        <w:t>U.S.</w:t>
      </w:r>
      <w:r>
        <w:t xml:space="preserve"> in </w:t>
      </w:r>
      <w:r w:rsidR="00C80603">
        <w:t>conducting</w:t>
      </w:r>
      <w:r>
        <w:t xml:space="preserve"> and completing the study. This report will include an analysis of non-response </w:t>
      </w:r>
      <w:r w:rsidRPr="00FB052E">
        <w:t>bias</w:t>
      </w:r>
      <w:r>
        <w:t>,</w:t>
      </w:r>
      <w:r w:rsidRPr="00FB052E">
        <w:t xml:space="preserve"> which will assess the presence and extent of bias due to nonresponse.</w:t>
      </w:r>
      <w:r w:rsidR="00FA3B61">
        <w:t xml:space="preserve"> </w:t>
      </w:r>
      <w:r w:rsidRPr="00FB052E">
        <w:t>Selected characteristics of respondent</w:t>
      </w:r>
      <w:r>
        <w:t xml:space="preserve"> </w:t>
      </w:r>
      <w:r w:rsidR="001E74DB">
        <w:t xml:space="preserve">children </w:t>
      </w:r>
      <w:r>
        <w:t>and schools will be compared with those of non-respondent schools and students to provide information about whether and how they differ from respondents along dimensions for which we have data for the nonresponding units, as required by NCES standards.</w:t>
      </w:r>
    </w:p>
    <w:p w14:paraId="5E0F875E" w14:textId="47668DA6" w:rsidR="005611C5" w:rsidRDefault="005611C5" w:rsidP="00FB052E">
      <w:pPr>
        <w:pStyle w:val="BodyText1"/>
      </w:pPr>
      <w:r>
        <w:t>Electronic versions of each publication are made available on the NCES website.</w:t>
      </w:r>
      <w:r w:rsidR="00FA3B61">
        <w:t xml:space="preserve"> </w:t>
      </w:r>
      <w:r>
        <w:t xml:space="preserve">Schedules for tabulation and publication of </w:t>
      </w:r>
      <w:r w:rsidR="002B673B">
        <w:t>IELS</w:t>
      </w:r>
      <w:r>
        <w:t xml:space="preserve"> results in the </w:t>
      </w:r>
      <w:r w:rsidR="00574643">
        <w:t>U.S.</w:t>
      </w:r>
      <w:r>
        <w:t xml:space="preserve"> are dependent upon receiving data files from the international sponsoring organization.</w:t>
      </w:r>
      <w:r w:rsidR="00FA3B61">
        <w:t xml:space="preserve"> </w:t>
      </w:r>
      <w:r>
        <w:t>With this in mind, the expected data collection dates and a tentative reporting schedule are as follows:</w:t>
      </w:r>
    </w:p>
    <w:tbl>
      <w:tblPr>
        <w:tblW w:w="5000" w:type="pct"/>
        <w:tblLook w:val="0000" w:firstRow="0" w:lastRow="0" w:firstColumn="0" w:lastColumn="0" w:noHBand="0" w:noVBand="0"/>
      </w:tblPr>
      <w:tblGrid>
        <w:gridCol w:w="3439"/>
        <w:gridCol w:w="7289"/>
      </w:tblGrid>
      <w:tr w:rsidR="004B626E" w:rsidRPr="00FB052E" w14:paraId="55DBBC9C" w14:textId="77777777" w:rsidTr="00A214D5">
        <w:trPr>
          <w:trHeight w:val="20"/>
        </w:trPr>
        <w:tc>
          <w:tcPr>
            <w:tcW w:w="1603" w:type="pct"/>
          </w:tcPr>
          <w:p w14:paraId="22D355A6" w14:textId="055ABB57" w:rsidR="004B626E" w:rsidRDefault="004B626E" w:rsidP="004B626E">
            <w:pPr>
              <w:pStyle w:val="P1-StandPara"/>
              <w:spacing w:line="240" w:lineRule="auto"/>
              <w:ind w:firstLine="0"/>
              <w:rPr>
                <w:rFonts w:ascii="Garamond" w:hAnsi="Garamond"/>
                <w:sz w:val="24"/>
                <w:szCs w:val="24"/>
              </w:rPr>
            </w:pPr>
            <w:r>
              <w:rPr>
                <w:rFonts w:ascii="Garamond" w:hAnsi="Garamond"/>
                <w:sz w:val="24"/>
                <w:szCs w:val="24"/>
              </w:rPr>
              <w:t>August-November 2017</w:t>
            </w:r>
          </w:p>
        </w:tc>
        <w:tc>
          <w:tcPr>
            <w:tcW w:w="3397" w:type="pct"/>
          </w:tcPr>
          <w:p w14:paraId="20897F0C" w14:textId="479C5F88" w:rsidR="004B626E" w:rsidRPr="00574643" w:rsidRDefault="004B626E" w:rsidP="004B626E">
            <w:pPr>
              <w:pStyle w:val="P1-StandPara"/>
              <w:spacing w:line="240" w:lineRule="auto"/>
              <w:ind w:firstLine="0"/>
              <w:jc w:val="left"/>
              <w:rPr>
                <w:rFonts w:ascii="Garamond" w:hAnsi="Garamond"/>
                <w:sz w:val="24"/>
                <w:szCs w:val="24"/>
              </w:rPr>
            </w:pPr>
            <w:r>
              <w:rPr>
                <w:rFonts w:ascii="Garamond" w:hAnsi="Garamond"/>
                <w:sz w:val="24"/>
                <w:szCs w:val="24"/>
              </w:rPr>
              <w:t>Recruitment for the field test</w:t>
            </w:r>
          </w:p>
        </w:tc>
      </w:tr>
      <w:tr w:rsidR="005611C5" w:rsidRPr="00FB052E" w14:paraId="5E0F8768" w14:textId="77777777" w:rsidTr="00C80603">
        <w:trPr>
          <w:trHeight w:val="20"/>
        </w:trPr>
        <w:tc>
          <w:tcPr>
            <w:tcW w:w="1603" w:type="pct"/>
          </w:tcPr>
          <w:p w14:paraId="5E0F8766" w14:textId="4B067102" w:rsidR="00A56875" w:rsidRPr="00574643" w:rsidRDefault="008F55B2" w:rsidP="00574643">
            <w:pPr>
              <w:pStyle w:val="P1-StandPara"/>
              <w:spacing w:line="240" w:lineRule="auto"/>
              <w:ind w:firstLine="0"/>
              <w:rPr>
                <w:rFonts w:ascii="Garamond" w:hAnsi="Garamond"/>
                <w:sz w:val="24"/>
                <w:szCs w:val="24"/>
              </w:rPr>
            </w:pPr>
            <w:r>
              <w:rPr>
                <w:rFonts w:ascii="Garamond" w:hAnsi="Garamond"/>
                <w:sz w:val="24"/>
                <w:szCs w:val="24"/>
              </w:rPr>
              <w:t>November-December</w:t>
            </w:r>
            <w:r w:rsidR="00DC10BF" w:rsidRPr="00574643">
              <w:rPr>
                <w:rFonts w:ascii="Garamond" w:hAnsi="Garamond"/>
                <w:sz w:val="24"/>
                <w:szCs w:val="24"/>
              </w:rPr>
              <w:t xml:space="preserve"> </w:t>
            </w:r>
            <w:r w:rsidR="005611C5" w:rsidRPr="00574643">
              <w:rPr>
                <w:rFonts w:ascii="Garamond" w:hAnsi="Garamond"/>
                <w:sz w:val="24"/>
                <w:szCs w:val="24"/>
              </w:rPr>
              <w:t>201</w:t>
            </w:r>
            <w:r w:rsidR="006C7A15" w:rsidRPr="00574643">
              <w:rPr>
                <w:rFonts w:ascii="Garamond" w:hAnsi="Garamond"/>
                <w:sz w:val="24"/>
                <w:szCs w:val="24"/>
              </w:rPr>
              <w:t>7</w:t>
            </w:r>
          </w:p>
        </w:tc>
        <w:tc>
          <w:tcPr>
            <w:tcW w:w="3397" w:type="pct"/>
          </w:tcPr>
          <w:p w14:paraId="5E0F8767" w14:textId="60938DD1" w:rsidR="005611C5" w:rsidRPr="00574643" w:rsidRDefault="00DC10BF" w:rsidP="00574643">
            <w:pPr>
              <w:pStyle w:val="P1-StandPara"/>
              <w:spacing w:line="240" w:lineRule="auto"/>
              <w:ind w:firstLine="0"/>
              <w:jc w:val="left"/>
              <w:rPr>
                <w:rFonts w:ascii="Garamond" w:hAnsi="Garamond"/>
                <w:sz w:val="24"/>
                <w:szCs w:val="24"/>
              </w:rPr>
            </w:pPr>
            <w:r w:rsidRPr="00574643">
              <w:rPr>
                <w:rFonts w:ascii="Garamond" w:hAnsi="Garamond"/>
                <w:sz w:val="24"/>
                <w:szCs w:val="24"/>
              </w:rPr>
              <w:t>Collect</w:t>
            </w:r>
            <w:r w:rsidR="005611C5" w:rsidRPr="00574643">
              <w:rPr>
                <w:rFonts w:ascii="Garamond" w:hAnsi="Garamond"/>
                <w:sz w:val="24"/>
                <w:szCs w:val="24"/>
              </w:rPr>
              <w:t xml:space="preserve"> </w:t>
            </w:r>
            <w:r w:rsidR="00CA2440" w:rsidRPr="00574643">
              <w:rPr>
                <w:rFonts w:ascii="Garamond" w:hAnsi="Garamond"/>
                <w:sz w:val="24"/>
                <w:szCs w:val="24"/>
              </w:rPr>
              <w:t>field test</w:t>
            </w:r>
            <w:r w:rsidR="005611C5" w:rsidRPr="00574643">
              <w:rPr>
                <w:rFonts w:ascii="Garamond" w:hAnsi="Garamond"/>
                <w:sz w:val="24"/>
                <w:szCs w:val="24"/>
              </w:rPr>
              <w:t xml:space="preserve"> data</w:t>
            </w:r>
          </w:p>
        </w:tc>
      </w:tr>
      <w:tr w:rsidR="004B626E" w:rsidRPr="00FB052E" w14:paraId="5E0E490E" w14:textId="77777777" w:rsidTr="00C80603">
        <w:trPr>
          <w:trHeight w:val="20"/>
        </w:trPr>
        <w:tc>
          <w:tcPr>
            <w:tcW w:w="1603" w:type="pct"/>
          </w:tcPr>
          <w:p w14:paraId="6536A75E" w14:textId="62319699" w:rsidR="004B626E" w:rsidRDefault="00632DB1" w:rsidP="00574643">
            <w:pPr>
              <w:pStyle w:val="P1-StandPara"/>
              <w:spacing w:line="240" w:lineRule="auto"/>
              <w:ind w:firstLine="0"/>
              <w:rPr>
                <w:rFonts w:ascii="Garamond" w:hAnsi="Garamond"/>
                <w:sz w:val="24"/>
                <w:szCs w:val="24"/>
              </w:rPr>
            </w:pPr>
            <w:r>
              <w:rPr>
                <w:rFonts w:ascii="Garamond" w:hAnsi="Garamond"/>
                <w:sz w:val="24"/>
                <w:szCs w:val="24"/>
              </w:rPr>
              <w:t>September 2017</w:t>
            </w:r>
            <w:r w:rsidR="004B626E">
              <w:rPr>
                <w:rFonts w:ascii="Garamond" w:hAnsi="Garamond"/>
                <w:sz w:val="24"/>
                <w:szCs w:val="24"/>
              </w:rPr>
              <w:t>-October 2018</w:t>
            </w:r>
          </w:p>
        </w:tc>
        <w:tc>
          <w:tcPr>
            <w:tcW w:w="3397" w:type="pct"/>
          </w:tcPr>
          <w:p w14:paraId="7CBF9D9B" w14:textId="5509C058" w:rsidR="004B626E" w:rsidRPr="00574643" w:rsidRDefault="004B626E" w:rsidP="00574643">
            <w:pPr>
              <w:pStyle w:val="P1-StandPara"/>
              <w:spacing w:line="240" w:lineRule="auto"/>
              <w:ind w:firstLine="0"/>
              <w:jc w:val="left"/>
              <w:rPr>
                <w:rFonts w:ascii="Garamond" w:hAnsi="Garamond"/>
                <w:sz w:val="24"/>
                <w:szCs w:val="24"/>
              </w:rPr>
            </w:pPr>
            <w:r>
              <w:rPr>
                <w:rFonts w:ascii="Garamond" w:hAnsi="Garamond"/>
                <w:sz w:val="24"/>
                <w:szCs w:val="24"/>
              </w:rPr>
              <w:t xml:space="preserve">Recruitment for the </w:t>
            </w:r>
            <w:r w:rsidRPr="00574643">
              <w:rPr>
                <w:rFonts w:ascii="Garamond" w:hAnsi="Garamond"/>
                <w:sz w:val="24"/>
                <w:szCs w:val="24"/>
              </w:rPr>
              <w:t>main study</w:t>
            </w:r>
          </w:p>
        </w:tc>
      </w:tr>
      <w:tr w:rsidR="005611C5" w:rsidRPr="00FB052E" w14:paraId="5E0F8779" w14:textId="77777777" w:rsidTr="00C80603">
        <w:trPr>
          <w:trHeight w:val="20"/>
        </w:trPr>
        <w:tc>
          <w:tcPr>
            <w:tcW w:w="1603" w:type="pct"/>
          </w:tcPr>
          <w:p w14:paraId="5E0F8777" w14:textId="512A2B9F" w:rsidR="005611C5" w:rsidRPr="00574643" w:rsidRDefault="008F55B2" w:rsidP="00574643">
            <w:pPr>
              <w:pStyle w:val="P1-StandPara"/>
              <w:spacing w:line="240" w:lineRule="auto"/>
              <w:ind w:firstLine="0"/>
              <w:rPr>
                <w:rFonts w:ascii="Garamond" w:hAnsi="Garamond"/>
                <w:sz w:val="24"/>
                <w:szCs w:val="24"/>
              </w:rPr>
            </w:pPr>
            <w:r>
              <w:rPr>
                <w:rFonts w:ascii="Garamond" w:hAnsi="Garamond"/>
                <w:sz w:val="24"/>
                <w:szCs w:val="24"/>
              </w:rPr>
              <w:t>October</w:t>
            </w:r>
            <w:r w:rsidR="00765E62" w:rsidRPr="00574643">
              <w:rPr>
                <w:rFonts w:ascii="Garamond" w:hAnsi="Garamond"/>
                <w:sz w:val="24"/>
                <w:szCs w:val="24"/>
              </w:rPr>
              <w:t>-</w:t>
            </w:r>
            <w:r w:rsidR="005611C5" w:rsidRPr="00574643">
              <w:rPr>
                <w:rFonts w:ascii="Garamond" w:hAnsi="Garamond"/>
                <w:sz w:val="24"/>
                <w:szCs w:val="24"/>
              </w:rPr>
              <w:t>November 201</w:t>
            </w:r>
            <w:r w:rsidR="006C7A15" w:rsidRPr="00574643">
              <w:rPr>
                <w:rFonts w:ascii="Garamond" w:hAnsi="Garamond"/>
                <w:sz w:val="24"/>
                <w:szCs w:val="24"/>
              </w:rPr>
              <w:t>8</w:t>
            </w:r>
          </w:p>
        </w:tc>
        <w:tc>
          <w:tcPr>
            <w:tcW w:w="3397" w:type="pct"/>
          </w:tcPr>
          <w:p w14:paraId="5E0F8778" w14:textId="77777777" w:rsidR="005611C5" w:rsidRPr="00574643" w:rsidRDefault="005611C5" w:rsidP="00574643">
            <w:pPr>
              <w:pStyle w:val="P1-StandPara"/>
              <w:spacing w:line="240" w:lineRule="auto"/>
              <w:ind w:firstLine="0"/>
              <w:jc w:val="left"/>
              <w:rPr>
                <w:rFonts w:ascii="Garamond" w:hAnsi="Garamond"/>
                <w:sz w:val="24"/>
                <w:szCs w:val="24"/>
              </w:rPr>
            </w:pPr>
            <w:r w:rsidRPr="00574643">
              <w:rPr>
                <w:rFonts w:ascii="Garamond" w:hAnsi="Garamond"/>
                <w:sz w:val="24"/>
                <w:szCs w:val="24"/>
              </w:rPr>
              <w:t>Collect main study data</w:t>
            </w:r>
          </w:p>
        </w:tc>
      </w:tr>
      <w:tr w:rsidR="005611C5" w:rsidRPr="00FB052E" w14:paraId="5E0F877F" w14:textId="77777777" w:rsidTr="00C80603">
        <w:trPr>
          <w:trHeight w:val="20"/>
        </w:trPr>
        <w:tc>
          <w:tcPr>
            <w:tcW w:w="1603" w:type="pct"/>
          </w:tcPr>
          <w:p w14:paraId="5E0F877D" w14:textId="13900E00" w:rsidR="005611C5" w:rsidRPr="00574643" w:rsidRDefault="00DC10BF" w:rsidP="00574643">
            <w:pPr>
              <w:pStyle w:val="P1-StandPara"/>
              <w:spacing w:line="240" w:lineRule="auto"/>
              <w:ind w:firstLine="0"/>
              <w:rPr>
                <w:rFonts w:ascii="Garamond" w:hAnsi="Garamond"/>
                <w:sz w:val="24"/>
                <w:szCs w:val="24"/>
              </w:rPr>
            </w:pPr>
            <w:r w:rsidRPr="00574643">
              <w:rPr>
                <w:rFonts w:ascii="Garamond" w:hAnsi="Garamond"/>
                <w:sz w:val="24"/>
                <w:szCs w:val="24"/>
              </w:rPr>
              <w:t>Early 2020</w:t>
            </w:r>
          </w:p>
        </w:tc>
        <w:tc>
          <w:tcPr>
            <w:tcW w:w="3397" w:type="pct"/>
          </w:tcPr>
          <w:p w14:paraId="5E0F877E" w14:textId="2BFCCAFB" w:rsidR="005611C5" w:rsidRPr="00574643" w:rsidRDefault="00DC10BF" w:rsidP="00574643">
            <w:pPr>
              <w:pStyle w:val="P1-StandPara"/>
              <w:spacing w:line="240" w:lineRule="auto"/>
              <w:ind w:firstLine="0"/>
              <w:jc w:val="left"/>
              <w:rPr>
                <w:rFonts w:ascii="Garamond" w:hAnsi="Garamond"/>
                <w:sz w:val="24"/>
                <w:szCs w:val="24"/>
              </w:rPr>
            </w:pPr>
            <w:r w:rsidRPr="00574643">
              <w:rPr>
                <w:rFonts w:ascii="Garamond" w:hAnsi="Garamond"/>
                <w:sz w:val="24"/>
                <w:szCs w:val="24"/>
              </w:rPr>
              <w:t>Release of main report on findings</w:t>
            </w:r>
          </w:p>
        </w:tc>
      </w:tr>
    </w:tbl>
    <w:p w14:paraId="5E0F8780" w14:textId="35415572" w:rsidR="005611C5" w:rsidRDefault="005611C5" w:rsidP="00BE7003">
      <w:pPr>
        <w:pStyle w:val="Heading1"/>
        <w:spacing w:before="120" w:after="0" w:line="240" w:lineRule="auto"/>
        <w:ind w:left="720" w:hanging="720"/>
      </w:pPr>
      <w:bookmarkStart w:id="27" w:name="_Toc488670106"/>
      <w:r>
        <w:t>A.1</w:t>
      </w:r>
      <w:r w:rsidR="00DF0307">
        <w:t>7</w:t>
      </w:r>
      <w:r>
        <w:tab/>
        <w:t>Display OMB Expiration Date</w:t>
      </w:r>
      <w:bookmarkEnd w:id="27"/>
    </w:p>
    <w:p w14:paraId="104924B7" w14:textId="77777777" w:rsidR="004B57AD" w:rsidRDefault="005611C5" w:rsidP="00BE7003">
      <w:pPr>
        <w:pStyle w:val="BodyText1"/>
        <w:spacing w:after="0" w:line="240" w:lineRule="auto"/>
      </w:pPr>
      <w:r>
        <w:t>The OMB expiration date will be displayed on all data collection materials.</w:t>
      </w:r>
    </w:p>
    <w:p w14:paraId="5E0F8782" w14:textId="5E40967D" w:rsidR="005611C5" w:rsidRDefault="005611C5" w:rsidP="00BE7003">
      <w:pPr>
        <w:pStyle w:val="Heading1"/>
        <w:spacing w:before="240" w:after="0" w:line="240" w:lineRule="auto"/>
        <w:ind w:left="720" w:hanging="720"/>
      </w:pPr>
      <w:bookmarkStart w:id="28" w:name="_Toc488670107"/>
      <w:r>
        <w:t>A.1</w:t>
      </w:r>
      <w:r w:rsidR="00DF0307">
        <w:t>8</w:t>
      </w:r>
      <w:r>
        <w:tab/>
        <w:t>Exceptions to Certification Statement</w:t>
      </w:r>
      <w:bookmarkEnd w:id="28"/>
    </w:p>
    <w:p w14:paraId="5E0F8783" w14:textId="6895330C" w:rsidR="005611C5" w:rsidRPr="006F3004" w:rsidRDefault="005611C5" w:rsidP="00BE7003">
      <w:pPr>
        <w:pStyle w:val="BodyText1"/>
        <w:spacing w:after="0" w:line="240" w:lineRule="auto"/>
      </w:pPr>
      <w:r>
        <w:t>No e</w:t>
      </w:r>
      <w:r w:rsidR="00712A2B">
        <w:t xml:space="preserve">xceptions are requested to the </w:t>
      </w:r>
      <w:r w:rsidRPr="00712A2B">
        <w:rPr>
          <w:i/>
        </w:rPr>
        <w:t>Certification for Paperwork Reduction Act Submissions</w:t>
      </w:r>
      <w:r>
        <w:t xml:space="preserve"> of OMB Form 83-I.</w:t>
      </w:r>
    </w:p>
    <w:sectPr w:rsidR="005611C5" w:rsidRPr="006F3004" w:rsidSect="00B26BA3">
      <w:headerReference w:type="first" r:id="rId12"/>
      <w:pgSz w:w="12240" w:h="15840" w:code="1"/>
      <w:pgMar w:top="864" w:right="864" w:bottom="720" w:left="864" w:header="432" w:footer="288" w:gutter="0"/>
      <w:pgBorders w:offsetFrom="page">
        <w:top w:val="none" w:sz="0" w:space="5" w:color="000000"/>
        <w:left w:val="none" w:sz="0" w:space="0" w:color="000034"/>
        <w:bottom w:val="none" w:sz="0" w:space="0" w:color="000000"/>
        <w:right w:val="none" w:sz="0" w:space="0" w:color="220401" w:frame="1"/>
      </w:pgBorders>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B300C0" w14:textId="77777777" w:rsidR="00C02896" w:rsidRDefault="00C02896">
      <w:r>
        <w:separator/>
      </w:r>
    </w:p>
  </w:endnote>
  <w:endnote w:type="continuationSeparator" w:id="0">
    <w:p w14:paraId="7238E093" w14:textId="77777777" w:rsidR="00C02896" w:rsidRDefault="00C02896">
      <w:r>
        <w:continuationSeparator/>
      </w:r>
    </w:p>
  </w:endnote>
  <w:endnote w:type="continuationNotice" w:id="1">
    <w:p w14:paraId="738E1278" w14:textId="77777777" w:rsidR="00C02896" w:rsidRDefault="00C0289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0F87A7" w14:textId="4E3039C9" w:rsidR="00DF0307" w:rsidRDefault="00DF0307" w:rsidP="000B743B">
    <w:pPr>
      <w:pStyle w:val="Footer"/>
      <w:spacing w:line="240" w:lineRule="auto"/>
      <w:jc w:val="center"/>
    </w:pPr>
    <w:r>
      <w:rPr>
        <w:rStyle w:val="PageNumber"/>
      </w:rPr>
      <w:fldChar w:fldCharType="begin"/>
    </w:r>
    <w:r>
      <w:rPr>
        <w:rStyle w:val="PageNumber"/>
      </w:rPr>
      <w:instrText xml:space="preserve"> PAGE </w:instrText>
    </w:r>
    <w:r>
      <w:rPr>
        <w:rStyle w:val="PageNumber"/>
      </w:rPr>
      <w:fldChar w:fldCharType="separate"/>
    </w:r>
    <w:r w:rsidR="00B86B84">
      <w:rPr>
        <w:rStyle w:val="PageNumber"/>
        <w:noProof/>
      </w:rPr>
      <w:t>5</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529A72" w14:textId="77777777" w:rsidR="00C02896" w:rsidRDefault="00C02896">
      <w:r>
        <w:separator/>
      </w:r>
    </w:p>
  </w:footnote>
  <w:footnote w:type="continuationSeparator" w:id="0">
    <w:p w14:paraId="23CCF104" w14:textId="77777777" w:rsidR="00C02896" w:rsidRDefault="00C02896">
      <w:r>
        <w:continuationSeparator/>
      </w:r>
    </w:p>
  </w:footnote>
  <w:footnote w:type="continuationNotice" w:id="1">
    <w:p w14:paraId="23FD7049" w14:textId="77777777" w:rsidR="00C02896" w:rsidRDefault="00C02896">
      <w:pPr>
        <w:spacing w:line="240" w:lineRule="auto"/>
      </w:pPr>
    </w:p>
  </w:footnote>
  <w:footnote w:id="2">
    <w:p w14:paraId="11E48D6B" w14:textId="46DFA666" w:rsidR="00DF0307" w:rsidRPr="00B02695" w:rsidRDefault="00DF0307" w:rsidP="00B02695">
      <w:pPr>
        <w:pStyle w:val="FootnoteText"/>
        <w:spacing w:before="0" w:line="240" w:lineRule="auto"/>
        <w:rPr>
          <w:rFonts w:ascii="Garamond" w:hAnsi="Garamond"/>
          <w:sz w:val="18"/>
          <w:szCs w:val="18"/>
        </w:rPr>
      </w:pPr>
      <w:r w:rsidRPr="00B02695">
        <w:rPr>
          <w:rStyle w:val="FootnoteReference"/>
          <w:sz w:val="18"/>
          <w:szCs w:val="18"/>
        </w:rPr>
        <w:footnoteRef/>
      </w:r>
      <w:r w:rsidRPr="00B02695">
        <w:rPr>
          <w:sz w:val="18"/>
          <w:szCs w:val="18"/>
        </w:rPr>
        <w:t xml:space="preserve"> </w:t>
      </w:r>
      <w:r w:rsidRPr="00B02695">
        <w:rPr>
          <w:rFonts w:ascii="Garamond" w:hAnsi="Garamond"/>
          <w:sz w:val="18"/>
          <w:szCs w:val="18"/>
        </w:rPr>
        <w:t>Although we expect that most children in this age range will attend kindergarten, a small percentage of children may be in pre-kindergarten or first grade. Because this is an age-based sample rather than a grade-sample, these off-grade students will be included in the study.</w:t>
      </w:r>
    </w:p>
  </w:footnote>
  <w:footnote w:id="3">
    <w:p w14:paraId="71E1D94F" w14:textId="2E6DCF61" w:rsidR="00DF0307" w:rsidRPr="00841EFA" w:rsidRDefault="00DF0307" w:rsidP="00841EFA">
      <w:pPr>
        <w:pStyle w:val="FootnoteText"/>
        <w:spacing w:before="0" w:line="240" w:lineRule="auto"/>
        <w:rPr>
          <w:sz w:val="18"/>
          <w:szCs w:val="18"/>
        </w:rPr>
      </w:pPr>
      <w:r w:rsidRPr="00841EFA">
        <w:rPr>
          <w:rStyle w:val="FootnoteReference"/>
          <w:sz w:val="18"/>
          <w:szCs w:val="18"/>
        </w:rPr>
        <w:footnoteRef/>
      </w:r>
      <w:r w:rsidRPr="00841EFA">
        <w:rPr>
          <w:sz w:val="18"/>
          <w:szCs w:val="18"/>
        </w:rPr>
        <w:t xml:space="preserve"> The materials that will be used in the 2018 main study will be based upon the field test materials included in this submission. This submission is designed to adequately justify the need for and overall practical utility of the full study and to present the overarching plan for all of the phases of the data collection, providing as much detail about the measures to be used as is available at the time of this submission. As part of this submission, NCES is publishing a notice in the Federal Register allowing first a 60- and then a 30-day public comment period. For the final proposal for the full study, after completion of the field test, NCES will publish a notice in the Federal Register allowing an additional 30-day public comment period on the final details of 2018 main study.</w:t>
      </w:r>
    </w:p>
  </w:footnote>
  <w:footnote w:id="4">
    <w:p w14:paraId="5A909EC8" w14:textId="77777777" w:rsidR="00DF0307" w:rsidRPr="00841EFA" w:rsidRDefault="00DF0307" w:rsidP="00DF0307">
      <w:pPr>
        <w:pStyle w:val="FootnoteText"/>
        <w:spacing w:before="0" w:line="240" w:lineRule="auto"/>
        <w:rPr>
          <w:sz w:val="18"/>
          <w:szCs w:val="18"/>
        </w:rPr>
      </w:pPr>
      <w:r w:rsidRPr="00841EFA">
        <w:rPr>
          <w:rStyle w:val="FootnoteReference"/>
          <w:sz w:val="18"/>
          <w:szCs w:val="18"/>
        </w:rPr>
        <w:footnoteRef/>
      </w:r>
      <w:r w:rsidRPr="00841EFA">
        <w:rPr>
          <w:sz w:val="18"/>
          <w:szCs w:val="18"/>
        </w:rPr>
        <w:t xml:space="preserve"> According to the IELS international technical standards, five-year-old children are defined as those who are five years old on the day in the middle of the administration period. Therefore, if the administration period for the main study is, for example, 8 October 2018 to 16 November 2018, then any child who was born between 1 November 2012 and 31 October 2013 are eligible for the study. The majority of these children will be in kindergarten, and a small number will be in first grade.</w:t>
      </w:r>
    </w:p>
  </w:footnote>
  <w:footnote w:id="5">
    <w:p w14:paraId="4C4875B2" w14:textId="1B386798" w:rsidR="00DF0307" w:rsidRDefault="00DF0307" w:rsidP="007603AF">
      <w:pPr>
        <w:pStyle w:val="FootnoteText"/>
        <w:spacing w:before="0" w:line="240" w:lineRule="auto"/>
      </w:pPr>
      <w:r>
        <w:rPr>
          <w:rStyle w:val="FootnoteReference"/>
        </w:rPr>
        <w:footnoteRef/>
      </w:r>
      <w:r>
        <w:t xml:space="preserve"> </w:t>
      </w:r>
      <w:r w:rsidRPr="003A62A3">
        <w:t>The average hourly earnings of principals/education administrators in the National Occupational and Employment Wage Estimates sponsored by the Bureau of Labor Statistics (BLS) is $44.68</w:t>
      </w:r>
      <w:r>
        <w:t xml:space="preserve">, of </w:t>
      </w:r>
      <w:r w:rsidRPr="006962C9">
        <w:t xml:space="preserve">preschool and kindergarten teachers </w:t>
      </w:r>
      <w:r>
        <w:t>it is</w:t>
      </w:r>
      <w:r w:rsidRPr="006962C9">
        <w:t xml:space="preserve"> $23.44, </w:t>
      </w:r>
      <w:r>
        <w:t xml:space="preserve">and </w:t>
      </w:r>
      <w:r w:rsidRPr="003A62A3">
        <w:t xml:space="preserve">of parents </w:t>
      </w:r>
      <w:r>
        <w:t xml:space="preserve">it </w:t>
      </w:r>
      <w:r w:rsidRPr="003A62A3">
        <w:t>is $22.71. If mean hourly wage was not provided it was compute</w:t>
      </w:r>
      <w:r>
        <w:t>d assuming 2,080 hours per year</w:t>
      </w:r>
      <w:r w:rsidRPr="003A62A3">
        <w:t>. Source: BLS Occupation Employment Statistics, http://data.bls.gov/oes/ data type: Occupation codes: Education Administrators, Elementary and Secondary Schools (11-9032</w:t>
      </w:r>
      <w:r>
        <w:t>), Preschool and Kindergarten Teachers (25-2011) and all employees (00-0000); accessed on April 11, 2017</w:t>
      </w:r>
      <w:r w:rsidRPr="003A62A3">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633708" w14:textId="77777777" w:rsidR="00DF0307" w:rsidRDefault="00DF030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0F87A9" w14:textId="77777777" w:rsidR="00DF0307" w:rsidRDefault="00DF0307">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1702F1B2"/>
    <w:lvl w:ilvl="0">
      <w:start w:val="1"/>
      <w:numFmt w:val="bullet"/>
      <w:lvlText w:val=""/>
      <w:lvlJc w:val="left"/>
      <w:pPr>
        <w:tabs>
          <w:tab w:val="num" w:pos="360"/>
        </w:tabs>
        <w:ind w:left="360" w:hanging="360"/>
      </w:pPr>
      <w:rPr>
        <w:rFonts w:ascii="Symbol" w:hAnsi="Symbol" w:hint="default"/>
      </w:rPr>
    </w:lvl>
  </w:abstractNum>
  <w:abstractNum w:abstractNumId="1">
    <w:nsid w:val="07BF5F07"/>
    <w:multiLevelType w:val="hybridMultilevel"/>
    <w:tmpl w:val="B7ACBC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76E7B95"/>
    <w:multiLevelType w:val="hybridMultilevel"/>
    <w:tmpl w:val="706C67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90354F"/>
    <w:multiLevelType w:val="multilevel"/>
    <w:tmpl w:val="FFFFFFFF"/>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4">
    <w:nsid w:val="1A090568"/>
    <w:multiLevelType w:val="hybridMultilevel"/>
    <w:tmpl w:val="07F468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031213F"/>
    <w:multiLevelType w:val="hybridMultilevel"/>
    <w:tmpl w:val="CF801580"/>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6">
    <w:nsid w:val="359846FD"/>
    <w:multiLevelType w:val="hybridMultilevel"/>
    <w:tmpl w:val="1696C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AA632E0"/>
    <w:multiLevelType w:val="hybridMultilevel"/>
    <w:tmpl w:val="DF4AA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D300183"/>
    <w:multiLevelType w:val="hybridMultilevel"/>
    <w:tmpl w:val="55A06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27754AE"/>
    <w:multiLevelType w:val="hybridMultilevel"/>
    <w:tmpl w:val="CF2C6F5A"/>
    <w:lvl w:ilvl="0" w:tplc="C0B8C7E0">
      <w:numFmt w:val="bullet"/>
      <w:lvlText w:val="•"/>
      <w:lvlJc w:val="left"/>
      <w:pPr>
        <w:ind w:left="1080" w:hanging="36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2EC7938"/>
    <w:multiLevelType w:val="hybridMultilevel"/>
    <w:tmpl w:val="76AAB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60243C6"/>
    <w:multiLevelType w:val="singleLevel"/>
    <w:tmpl w:val="A52E48A0"/>
    <w:lvl w:ilvl="0">
      <w:start w:val="1"/>
      <w:numFmt w:val="lowerRoman"/>
      <w:lvlText w:val="(%1)"/>
      <w:legacy w:legacy="1" w:legacySpace="0" w:legacyIndent="0"/>
      <w:lvlJc w:val="left"/>
      <w:rPr>
        <w:rFonts w:ascii="Times New Roman" w:hAnsi="Times New Roman" w:cs="Times New Roman" w:hint="default"/>
      </w:rPr>
    </w:lvl>
  </w:abstractNum>
  <w:abstractNum w:abstractNumId="12">
    <w:nsid w:val="5DE866B7"/>
    <w:multiLevelType w:val="hybridMultilevel"/>
    <w:tmpl w:val="94DAF8BE"/>
    <w:lvl w:ilvl="0" w:tplc="0409000F">
      <w:start w:val="1"/>
      <w:numFmt w:val="decimal"/>
      <w:lvlText w:val="%1."/>
      <w:lvlJc w:val="left"/>
      <w:pPr>
        <w:ind w:left="108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609E593C"/>
    <w:multiLevelType w:val="hybridMultilevel"/>
    <w:tmpl w:val="06E6FE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27F5EC1"/>
    <w:multiLevelType w:val="hybridMultilevel"/>
    <w:tmpl w:val="BB7C3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47C31A7"/>
    <w:multiLevelType w:val="hybridMultilevel"/>
    <w:tmpl w:val="14543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5C9290B"/>
    <w:multiLevelType w:val="hybridMultilevel"/>
    <w:tmpl w:val="76BA55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nsid w:val="6EA33809"/>
    <w:multiLevelType w:val="hybridMultilevel"/>
    <w:tmpl w:val="77D6D492"/>
    <w:lvl w:ilvl="0" w:tplc="C0B8C7E0">
      <w:numFmt w:val="bullet"/>
      <w:lvlText w:val="•"/>
      <w:lvlJc w:val="left"/>
      <w:pPr>
        <w:ind w:left="1080" w:hanging="360"/>
      </w:pPr>
      <w:rPr>
        <w:rFonts w:ascii="Garamond" w:eastAsia="Times New Roman" w:hAnsi="Garamond"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73F718D3"/>
    <w:multiLevelType w:val="singleLevel"/>
    <w:tmpl w:val="FBD26850"/>
    <w:lvl w:ilvl="0">
      <w:start w:val="1"/>
      <w:numFmt w:val="bullet"/>
      <w:pStyle w:val="N2-2ndBullet"/>
      <w:lvlText w:val=""/>
      <w:lvlJc w:val="left"/>
      <w:pPr>
        <w:tabs>
          <w:tab w:val="num" w:pos="1296"/>
        </w:tabs>
        <w:ind w:left="1296" w:hanging="576"/>
      </w:pPr>
      <w:rPr>
        <w:rFonts w:ascii="Wingdings" w:hAnsi="Wingdings" w:hint="default"/>
        <w:b w:val="0"/>
        <w:i w:val="0"/>
        <w:caps w:val="0"/>
        <w:strike w:val="0"/>
        <w:dstrike w:val="0"/>
        <w:vanish w:val="0"/>
        <w:color w:val="000000"/>
        <w:sz w:val="16"/>
        <w:vertAlign w:val="baseline"/>
      </w:rPr>
    </w:lvl>
  </w:abstractNum>
  <w:num w:numId="1">
    <w:abstractNumId w:val="0"/>
  </w:num>
  <w:num w:numId="2">
    <w:abstractNumId w:val="0"/>
  </w:num>
  <w:num w:numId="3">
    <w:abstractNumId w:val="18"/>
  </w:num>
  <w:num w:numId="4">
    <w:abstractNumId w:val="12"/>
  </w:num>
  <w:num w:numId="5">
    <w:abstractNumId w:val="7"/>
  </w:num>
  <w:num w:numId="6">
    <w:abstractNumId w:val="11"/>
    <w:lvlOverride w:ilvl="0">
      <w:startOverride w:val="1"/>
    </w:lvlOverride>
  </w:num>
  <w:num w:numId="7">
    <w:abstractNumId w:val="3"/>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17"/>
  </w:num>
  <w:num w:numId="11">
    <w:abstractNumId w:val="9"/>
  </w:num>
  <w:num w:numId="12">
    <w:abstractNumId w:val="4"/>
  </w:num>
  <w:num w:numId="13">
    <w:abstractNumId w:val="6"/>
  </w:num>
  <w:num w:numId="14">
    <w:abstractNumId w:val="10"/>
  </w:num>
  <w:num w:numId="15">
    <w:abstractNumId w:val="5"/>
  </w:num>
  <w:num w:numId="16">
    <w:abstractNumId w:val="15"/>
  </w:num>
  <w:num w:numId="17">
    <w:abstractNumId w:val="16"/>
  </w:num>
  <w:num w:numId="18">
    <w:abstractNumId w:val="14"/>
  </w:num>
  <w:num w:numId="19">
    <w:abstractNumId w:val="8"/>
  </w:num>
  <w:num w:numId="20">
    <w:abstractNumId w:val="13"/>
  </w:num>
  <w:num w:numId="21">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bordersDoNotSurroundHeader/>
  <w:bordersDoNotSurroundFooter/>
  <w:hideSpellingErrors/>
  <w:hideGrammaticalErrors/>
  <w:defaultTabStop w:val="720"/>
  <w:drawingGridHorizontalSpacing w:val="110"/>
  <w:displayHorizontalDrawingGridEvery w:val="0"/>
  <w:displayVerticalDrawingGridEvery w:val="0"/>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623A"/>
    <w:rsid w:val="0000030B"/>
    <w:rsid w:val="00003E27"/>
    <w:rsid w:val="00004ED0"/>
    <w:rsid w:val="0000684F"/>
    <w:rsid w:val="00010135"/>
    <w:rsid w:val="00010342"/>
    <w:rsid w:val="000103BF"/>
    <w:rsid w:val="00010853"/>
    <w:rsid w:val="00010C98"/>
    <w:rsid w:val="00011F9B"/>
    <w:rsid w:val="0001416A"/>
    <w:rsid w:val="000142D1"/>
    <w:rsid w:val="00015093"/>
    <w:rsid w:val="00015432"/>
    <w:rsid w:val="000174F1"/>
    <w:rsid w:val="00017F17"/>
    <w:rsid w:val="00020023"/>
    <w:rsid w:val="00021009"/>
    <w:rsid w:val="00022999"/>
    <w:rsid w:val="00022A19"/>
    <w:rsid w:val="00022B39"/>
    <w:rsid w:val="00024066"/>
    <w:rsid w:val="000244EC"/>
    <w:rsid w:val="00024538"/>
    <w:rsid w:val="000247B2"/>
    <w:rsid w:val="00024BA5"/>
    <w:rsid w:val="00025D2F"/>
    <w:rsid w:val="000276BA"/>
    <w:rsid w:val="000304CE"/>
    <w:rsid w:val="000307BF"/>
    <w:rsid w:val="0003133C"/>
    <w:rsid w:val="000313B7"/>
    <w:rsid w:val="000323B1"/>
    <w:rsid w:val="00033085"/>
    <w:rsid w:val="00033C2C"/>
    <w:rsid w:val="000359A7"/>
    <w:rsid w:val="00035CF6"/>
    <w:rsid w:val="00040971"/>
    <w:rsid w:val="0004226A"/>
    <w:rsid w:val="000437A2"/>
    <w:rsid w:val="00043B87"/>
    <w:rsid w:val="000457BC"/>
    <w:rsid w:val="00045DD2"/>
    <w:rsid w:val="0004623A"/>
    <w:rsid w:val="000464F6"/>
    <w:rsid w:val="00046B09"/>
    <w:rsid w:val="0004794E"/>
    <w:rsid w:val="00050E91"/>
    <w:rsid w:val="000531A3"/>
    <w:rsid w:val="00053B34"/>
    <w:rsid w:val="000543DC"/>
    <w:rsid w:val="00054416"/>
    <w:rsid w:val="00055C0E"/>
    <w:rsid w:val="00060B10"/>
    <w:rsid w:val="00060B43"/>
    <w:rsid w:val="00060C5E"/>
    <w:rsid w:val="00060F5F"/>
    <w:rsid w:val="0006109A"/>
    <w:rsid w:val="0006281B"/>
    <w:rsid w:val="00062C14"/>
    <w:rsid w:val="00062CA3"/>
    <w:rsid w:val="000634AC"/>
    <w:rsid w:val="00063E7F"/>
    <w:rsid w:val="00066D93"/>
    <w:rsid w:val="00067B6B"/>
    <w:rsid w:val="00070B92"/>
    <w:rsid w:val="0007313A"/>
    <w:rsid w:val="00073F75"/>
    <w:rsid w:val="0007555C"/>
    <w:rsid w:val="00075A2E"/>
    <w:rsid w:val="00075F30"/>
    <w:rsid w:val="00076F6D"/>
    <w:rsid w:val="000808D8"/>
    <w:rsid w:val="00081F23"/>
    <w:rsid w:val="00084322"/>
    <w:rsid w:val="00084B9F"/>
    <w:rsid w:val="00085D2B"/>
    <w:rsid w:val="000876FE"/>
    <w:rsid w:val="000911D0"/>
    <w:rsid w:val="00091391"/>
    <w:rsid w:val="00091F22"/>
    <w:rsid w:val="00092315"/>
    <w:rsid w:val="0009259D"/>
    <w:rsid w:val="0009579D"/>
    <w:rsid w:val="00095DB6"/>
    <w:rsid w:val="000965C8"/>
    <w:rsid w:val="000966EB"/>
    <w:rsid w:val="00096A04"/>
    <w:rsid w:val="00097392"/>
    <w:rsid w:val="000A0865"/>
    <w:rsid w:val="000A0C65"/>
    <w:rsid w:val="000A0E37"/>
    <w:rsid w:val="000A2847"/>
    <w:rsid w:val="000A2C84"/>
    <w:rsid w:val="000A3C71"/>
    <w:rsid w:val="000A3F54"/>
    <w:rsid w:val="000A72A5"/>
    <w:rsid w:val="000A7E88"/>
    <w:rsid w:val="000B02D3"/>
    <w:rsid w:val="000B0F19"/>
    <w:rsid w:val="000B1B77"/>
    <w:rsid w:val="000B2391"/>
    <w:rsid w:val="000B6566"/>
    <w:rsid w:val="000B743B"/>
    <w:rsid w:val="000B7CDF"/>
    <w:rsid w:val="000B7F15"/>
    <w:rsid w:val="000C00D1"/>
    <w:rsid w:val="000C015A"/>
    <w:rsid w:val="000C0898"/>
    <w:rsid w:val="000C089E"/>
    <w:rsid w:val="000C0CCF"/>
    <w:rsid w:val="000C1BCF"/>
    <w:rsid w:val="000C2EFF"/>
    <w:rsid w:val="000C4B48"/>
    <w:rsid w:val="000C503A"/>
    <w:rsid w:val="000C5D5E"/>
    <w:rsid w:val="000C623E"/>
    <w:rsid w:val="000D07EB"/>
    <w:rsid w:val="000D105B"/>
    <w:rsid w:val="000D1198"/>
    <w:rsid w:val="000D1450"/>
    <w:rsid w:val="000D1C54"/>
    <w:rsid w:val="000D2EEE"/>
    <w:rsid w:val="000D3317"/>
    <w:rsid w:val="000D4059"/>
    <w:rsid w:val="000D7A4E"/>
    <w:rsid w:val="000E2B00"/>
    <w:rsid w:val="000E33E2"/>
    <w:rsid w:val="000E43A7"/>
    <w:rsid w:val="000E640A"/>
    <w:rsid w:val="000E7643"/>
    <w:rsid w:val="000E7747"/>
    <w:rsid w:val="000E7D4C"/>
    <w:rsid w:val="000F2591"/>
    <w:rsid w:val="000F27D6"/>
    <w:rsid w:val="000F3308"/>
    <w:rsid w:val="000F33A2"/>
    <w:rsid w:val="000F3B16"/>
    <w:rsid w:val="000F41E3"/>
    <w:rsid w:val="000F45AD"/>
    <w:rsid w:val="000F45D6"/>
    <w:rsid w:val="000F4C26"/>
    <w:rsid w:val="000F5F1A"/>
    <w:rsid w:val="000F696E"/>
    <w:rsid w:val="00105E76"/>
    <w:rsid w:val="001064BA"/>
    <w:rsid w:val="001068E6"/>
    <w:rsid w:val="0010711A"/>
    <w:rsid w:val="00112DE4"/>
    <w:rsid w:val="00115047"/>
    <w:rsid w:val="00116316"/>
    <w:rsid w:val="001164A6"/>
    <w:rsid w:val="00116A74"/>
    <w:rsid w:val="00116E0A"/>
    <w:rsid w:val="00121970"/>
    <w:rsid w:val="0012199D"/>
    <w:rsid w:val="0012218A"/>
    <w:rsid w:val="001227AC"/>
    <w:rsid w:val="001228D3"/>
    <w:rsid w:val="00123068"/>
    <w:rsid w:val="00124802"/>
    <w:rsid w:val="00124C41"/>
    <w:rsid w:val="00125AB9"/>
    <w:rsid w:val="00125E38"/>
    <w:rsid w:val="00126B3A"/>
    <w:rsid w:val="001271BE"/>
    <w:rsid w:val="00131757"/>
    <w:rsid w:val="00131C42"/>
    <w:rsid w:val="00134176"/>
    <w:rsid w:val="00134703"/>
    <w:rsid w:val="00135D39"/>
    <w:rsid w:val="001360B0"/>
    <w:rsid w:val="00142481"/>
    <w:rsid w:val="00142727"/>
    <w:rsid w:val="0014296C"/>
    <w:rsid w:val="00144C26"/>
    <w:rsid w:val="00144F67"/>
    <w:rsid w:val="0014743B"/>
    <w:rsid w:val="001518BC"/>
    <w:rsid w:val="00151CB3"/>
    <w:rsid w:val="00152586"/>
    <w:rsid w:val="001528B3"/>
    <w:rsid w:val="00155C58"/>
    <w:rsid w:val="00157484"/>
    <w:rsid w:val="00157FD2"/>
    <w:rsid w:val="00160EA7"/>
    <w:rsid w:val="00160F2A"/>
    <w:rsid w:val="00161036"/>
    <w:rsid w:val="0016431A"/>
    <w:rsid w:val="00167702"/>
    <w:rsid w:val="00171947"/>
    <w:rsid w:val="00171F24"/>
    <w:rsid w:val="00174298"/>
    <w:rsid w:val="0017474C"/>
    <w:rsid w:val="00175392"/>
    <w:rsid w:val="00175B20"/>
    <w:rsid w:val="00175C29"/>
    <w:rsid w:val="00176863"/>
    <w:rsid w:val="00177963"/>
    <w:rsid w:val="00181CA9"/>
    <w:rsid w:val="00181D8E"/>
    <w:rsid w:val="00181EB4"/>
    <w:rsid w:val="00182F5D"/>
    <w:rsid w:val="00184069"/>
    <w:rsid w:val="0018499E"/>
    <w:rsid w:val="001855C3"/>
    <w:rsid w:val="001856A3"/>
    <w:rsid w:val="00186BFE"/>
    <w:rsid w:val="00187D8F"/>
    <w:rsid w:val="00190868"/>
    <w:rsid w:val="0019192F"/>
    <w:rsid w:val="00193054"/>
    <w:rsid w:val="001933AF"/>
    <w:rsid w:val="00193401"/>
    <w:rsid w:val="00194B50"/>
    <w:rsid w:val="0019513B"/>
    <w:rsid w:val="00195588"/>
    <w:rsid w:val="00196657"/>
    <w:rsid w:val="001A1F8F"/>
    <w:rsid w:val="001A25B3"/>
    <w:rsid w:val="001A3E5D"/>
    <w:rsid w:val="001A7ABE"/>
    <w:rsid w:val="001A7B52"/>
    <w:rsid w:val="001B038B"/>
    <w:rsid w:val="001B2C9C"/>
    <w:rsid w:val="001B31DE"/>
    <w:rsid w:val="001B57A5"/>
    <w:rsid w:val="001C040B"/>
    <w:rsid w:val="001C0CBB"/>
    <w:rsid w:val="001C3E8F"/>
    <w:rsid w:val="001C50FD"/>
    <w:rsid w:val="001C6DEF"/>
    <w:rsid w:val="001D0F4C"/>
    <w:rsid w:val="001D16D1"/>
    <w:rsid w:val="001D2D91"/>
    <w:rsid w:val="001D3289"/>
    <w:rsid w:val="001D48F7"/>
    <w:rsid w:val="001D5D40"/>
    <w:rsid w:val="001D622C"/>
    <w:rsid w:val="001E021E"/>
    <w:rsid w:val="001E031B"/>
    <w:rsid w:val="001E1035"/>
    <w:rsid w:val="001E2DB6"/>
    <w:rsid w:val="001E3AC8"/>
    <w:rsid w:val="001E4643"/>
    <w:rsid w:val="001E4C29"/>
    <w:rsid w:val="001E56E9"/>
    <w:rsid w:val="001E6475"/>
    <w:rsid w:val="001E745C"/>
    <w:rsid w:val="001E74DB"/>
    <w:rsid w:val="001F2341"/>
    <w:rsid w:val="001F2B38"/>
    <w:rsid w:val="001F4798"/>
    <w:rsid w:val="001F593D"/>
    <w:rsid w:val="001F5C2B"/>
    <w:rsid w:val="001F64FC"/>
    <w:rsid w:val="001F6D48"/>
    <w:rsid w:val="001F7507"/>
    <w:rsid w:val="002000D2"/>
    <w:rsid w:val="00200693"/>
    <w:rsid w:val="00200B06"/>
    <w:rsid w:val="00201C30"/>
    <w:rsid w:val="00203423"/>
    <w:rsid w:val="002036B2"/>
    <w:rsid w:val="00205447"/>
    <w:rsid w:val="00206CD7"/>
    <w:rsid w:val="00210851"/>
    <w:rsid w:val="00210E41"/>
    <w:rsid w:val="002200BF"/>
    <w:rsid w:val="00222B29"/>
    <w:rsid w:val="002230AC"/>
    <w:rsid w:val="002230B5"/>
    <w:rsid w:val="00223BA0"/>
    <w:rsid w:val="00224012"/>
    <w:rsid w:val="00225FFB"/>
    <w:rsid w:val="00227B2C"/>
    <w:rsid w:val="00230A42"/>
    <w:rsid w:val="00231BBA"/>
    <w:rsid w:val="002328B1"/>
    <w:rsid w:val="00233EC7"/>
    <w:rsid w:val="00235AD5"/>
    <w:rsid w:val="00235CAD"/>
    <w:rsid w:val="0023681F"/>
    <w:rsid w:val="00236A8F"/>
    <w:rsid w:val="00240F95"/>
    <w:rsid w:val="0024241D"/>
    <w:rsid w:val="00244B12"/>
    <w:rsid w:val="00246019"/>
    <w:rsid w:val="00250755"/>
    <w:rsid w:val="002535AD"/>
    <w:rsid w:val="00254613"/>
    <w:rsid w:val="002563AF"/>
    <w:rsid w:val="002566C4"/>
    <w:rsid w:val="00257262"/>
    <w:rsid w:val="002619D4"/>
    <w:rsid w:val="002636E0"/>
    <w:rsid w:val="00264C92"/>
    <w:rsid w:val="00264F73"/>
    <w:rsid w:val="002677B1"/>
    <w:rsid w:val="00267884"/>
    <w:rsid w:val="002705EA"/>
    <w:rsid w:val="002714BA"/>
    <w:rsid w:val="00275240"/>
    <w:rsid w:val="00275C1E"/>
    <w:rsid w:val="002763A2"/>
    <w:rsid w:val="00282FC2"/>
    <w:rsid w:val="0028372D"/>
    <w:rsid w:val="00286789"/>
    <w:rsid w:val="00287008"/>
    <w:rsid w:val="0028726A"/>
    <w:rsid w:val="002876BF"/>
    <w:rsid w:val="00290D7B"/>
    <w:rsid w:val="002912F2"/>
    <w:rsid w:val="00292173"/>
    <w:rsid w:val="00292AEE"/>
    <w:rsid w:val="00292CBC"/>
    <w:rsid w:val="00296A43"/>
    <w:rsid w:val="00296EAA"/>
    <w:rsid w:val="002A0DCC"/>
    <w:rsid w:val="002A1313"/>
    <w:rsid w:val="002A3035"/>
    <w:rsid w:val="002A49FD"/>
    <w:rsid w:val="002A4D6F"/>
    <w:rsid w:val="002A61EC"/>
    <w:rsid w:val="002A706B"/>
    <w:rsid w:val="002B3232"/>
    <w:rsid w:val="002B3A05"/>
    <w:rsid w:val="002B3A2C"/>
    <w:rsid w:val="002B491E"/>
    <w:rsid w:val="002B5DE2"/>
    <w:rsid w:val="002B61CC"/>
    <w:rsid w:val="002B6220"/>
    <w:rsid w:val="002B673B"/>
    <w:rsid w:val="002B6B31"/>
    <w:rsid w:val="002B78F7"/>
    <w:rsid w:val="002C00E6"/>
    <w:rsid w:val="002C1BDA"/>
    <w:rsid w:val="002C1CCE"/>
    <w:rsid w:val="002C2143"/>
    <w:rsid w:val="002C2CB0"/>
    <w:rsid w:val="002C3889"/>
    <w:rsid w:val="002C567A"/>
    <w:rsid w:val="002C5890"/>
    <w:rsid w:val="002C5A9D"/>
    <w:rsid w:val="002C5AF9"/>
    <w:rsid w:val="002C6330"/>
    <w:rsid w:val="002C7209"/>
    <w:rsid w:val="002D1AB1"/>
    <w:rsid w:val="002D2238"/>
    <w:rsid w:val="002D264E"/>
    <w:rsid w:val="002D2E11"/>
    <w:rsid w:val="002D5754"/>
    <w:rsid w:val="002D6263"/>
    <w:rsid w:val="002E0C55"/>
    <w:rsid w:val="002E0DBB"/>
    <w:rsid w:val="002E102F"/>
    <w:rsid w:val="002E2838"/>
    <w:rsid w:val="002E2C20"/>
    <w:rsid w:val="002E3AED"/>
    <w:rsid w:val="002E4115"/>
    <w:rsid w:val="002E48CF"/>
    <w:rsid w:val="002E4948"/>
    <w:rsid w:val="002E595A"/>
    <w:rsid w:val="002E6230"/>
    <w:rsid w:val="002E7A54"/>
    <w:rsid w:val="002E7EA9"/>
    <w:rsid w:val="002E7FCC"/>
    <w:rsid w:val="002F1AAC"/>
    <w:rsid w:val="002F5E27"/>
    <w:rsid w:val="002F607A"/>
    <w:rsid w:val="002F6CAA"/>
    <w:rsid w:val="00300613"/>
    <w:rsid w:val="00301A3C"/>
    <w:rsid w:val="00303CF9"/>
    <w:rsid w:val="00305144"/>
    <w:rsid w:val="003061E4"/>
    <w:rsid w:val="00306C5E"/>
    <w:rsid w:val="00310C85"/>
    <w:rsid w:val="0031149B"/>
    <w:rsid w:val="00311F79"/>
    <w:rsid w:val="003126DA"/>
    <w:rsid w:val="0031470E"/>
    <w:rsid w:val="0031558C"/>
    <w:rsid w:val="00315B40"/>
    <w:rsid w:val="00315F3E"/>
    <w:rsid w:val="00317BF9"/>
    <w:rsid w:val="003231BB"/>
    <w:rsid w:val="0032398C"/>
    <w:rsid w:val="00324406"/>
    <w:rsid w:val="00324AB3"/>
    <w:rsid w:val="00325C46"/>
    <w:rsid w:val="003317EB"/>
    <w:rsid w:val="00333805"/>
    <w:rsid w:val="00334C01"/>
    <w:rsid w:val="00334CDF"/>
    <w:rsid w:val="0033525A"/>
    <w:rsid w:val="00335332"/>
    <w:rsid w:val="0033646F"/>
    <w:rsid w:val="003367AF"/>
    <w:rsid w:val="00337706"/>
    <w:rsid w:val="003405F2"/>
    <w:rsid w:val="00342590"/>
    <w:rsid w:val="0034263B"/>
    <w:rsid w:val="00344C59"/>
    <w:rsid w:val="0034528A"/>
    <w:rsid w:val="003464CD"/>
    <w:rsid w:val="00346F3B"/>
    <w:rsid w:val="0034763B"/>
    <w:rsid w:val="00350F35"/>
    <w:rsid w:val="003511A8"/>
    <w:rsid w:val="00351509"/>
    <w:rsid w:val="00351939"/>
    <w:rsid w:val="00351FA5"/>
    <w:rsid w:val="00352194"/>
    <w:rsid w:val="00352A66"/>
    <w:rsid w:val="00352F2D"/>
    <w:rsid w:val="003533DD"/>
    <w:rsid w:val="00355C96"/>
    <w:rsid w:val="00355E1E"/>
    <w:rsid w:val="00356B14"/>
    <w:rsid w:val="00361AE2"/>
    <w:rsid w:val="00364E39"/>
    <w:rsid w:val="003653D8"/>
    <w:rsid w:val="003655C7"/>
    <w:rsid w:val="00365D31"/>
    <w:rsid w:val="0036717E"/>
    <w:rsid w:val="00370F31"/>
    <w:rsid w:val="00373432"/>
    <w:rsid w:val="003746F6"/>
    <w:rsid w:val="003773ED"/>
    <w:rsid w:val="003777DC"/>
    <w:rsid w:val="00380228"/>
    <w:rsid w:val="0038193C"/>
    <w:rsid w:val="00384CF9"/>
    <w:rsid w:val="00387E87"/>
    <w:rsid w:val="003913C2"/>
    <w:rsid w:val="003917E1"/>
    <w:rsid w:val="00391A67"/>
    <w:rsid w:val="00391B44"/>
    <w:rsid w:val="00393E36"/>
    <w:rsid w:val="003942D7"/>
    <w:rsid w:val="00395257"/>
    <w:rsid w:val="00397BA3"/>
    <w:rsid w:val="00397F81"/>
    <w:rsid w:val="003A07FF"/>
    <w:rsid w:val="003A1C10"/>
    <w:rsid w:val="003A4583"/>
    <w:rsid w:val="003A5E14"/>
    <w:rsid w:val="003A691C"/>
    <w:rsid w:val="003B0479"/>
    <w:rsid w:val="003B0B5B"/>
    <w:rsid w:val="003B2733"/>
    <w:rsid w:val="003B3098"/>
    <w:rsid w:val="003B493D"/>
    <w:rsid w:val="003B4DEC"/>
    <w:rsid w:val="003B5161"/>
    <w:rsid w:val="003B52AB"/>
    <w:rsid w:val="003C1E98"/>
    <w:rsid w:val="003C2A3B"/>
    <w:rsid w:val="003C52C4"/>
    <w:rsid w:val="003C5A4F"/>
    <w:rsid w:val="003C6146"/>
    <w:rsid w:val="003C6767"/>
    <w:rsid w:val="003C690E"/>
    <w:rsid w:val="003D0221"/>
    <w:rsid w:val="003D08F3"/>
    <w:rsid w:val="003D0B8C"/>
    <w:rsid w:val="003D0CD9"/>
    <w:rsid w:val="003D131E"/>
    <w:rsid w:val="003D2070"/>
    <w:rsid w:val="003D2B5D"/>
    <w:rsid w:val="003D3521"/>
    <w:rsid w:val="003D3AA7"/>
    <w:rsid w:val="003D4DB8"/>
    <w:rsid w:val="003D5063"/>
    <w:rsid w:val="003D6114"/>
    <w:rsid w:val="003D6F3D"/>
    <w:rsid w:val="003D70B7"/>
    <w:rsid w:val="003D7F8C"/>
    <w:rsid w:val="003E01F5"/>
    <w:rsid w:val="003E0BB8"/>
    <w:rsid w:val="003E103E"/>
    <w:rsid w:val="003E233A"/>
    <w:rsid w:val="003E26E0"/>
    <w:rsid w:val="003E3252"/>
    <w:rsid w:val="003E3C4E"/>
    <w:rsid w:val="003E3D50"/>
    <w:rsid w:val="003E429B"/>
    <w:rsid w:val="003E76A6"/>
    <w:rsid w:val="003E7C8E"/>
    <w:rsid w:val="003E7CF1"/>
    <w:rsid w:val="003E7F02"/>
    <w:rsid w:val="003F176E"/>
    <w:rsid w:val="003F486C"/>
    <w:rsid w:val="003F4983"/>
    <w:rsid w:val="003F49AE"/>
    <w:rsid w:val="003F6784"/>
    <w:rsid w:val="003F681D"/>
    <w:rsid w:val="003F79A7"/>
    <w:rsid w:val="00400E81"/>
    <w:rsid w:val="004045B0"/>
    <w:rsid w:val="00404701"/>
    <w:rsid w:val="00404D65"/>
    <w:rsid w:val="0040549C"/>
    <w:rsid w:val="004067E9"/>
    <w:rsid w:val="00406E3C"/>
    <w:rsid w:val="00406E71"/>
    <w:rsid w:val="00406EBD"/>
    <w:rsid w:val="00410AF9"/>
    <w:rsid w:val="004124A2"/>
    <w:rsid w:val="00413430"/>
    <w:rsid w:val="004144BE"/>
    <w:rsid w:val="00414C74"/>
    <w:rsid w:val="004156CA"/>
    <w:rsid w:val="00415AE1"/>
    <w:rsid w:val="004214E3"/>
    <w:rsid w:val="00422177"/>
    <w:rsid w:val="00422634"/>
    <w:rsid w:val="004235C7"/>
    <w:rsid w:val="00423E00"/>
    <w:rsid w:val="00425C92"/>
    <w:rsid w:val="00425EBA"/>
    <w:rsid w:val="004261FA"/>
    <w:rsid w:val="00426383"/>
    <w:rsid w:val="00427C07"/>
    <w:rsid w:val="00431BB3"/>
    <w:rsid w:val="004334D9"/>
    <w:rsid w:val="00433E26"/>
    <w:rsid w:val="00434892"/>
    <w:rsid w:val="00435D75"/>
    <w:rsid w:val="00440723"/>
    <w:rsid w:val="0044152A"/>
    <w:rsid w:val="004417BC"/>
    <w:rsid w:val="00442AC1"/>
    <w:rsid w:val="0044594F"/>
    <w:rsid w:val="00451124"/>
    <w:rsid w:val="00451693"/>
    <w:rsid w:val="00452AA1"/>
    <w:rsid w:val="00453168"/>
    <w:rsid w:val="00456C8E"/>
    <w:rsid w:val="00457F7F"/>
    <w:rsid w:val="00460469"/>
    <w:rsid w:val="00462AD3"/>
    <w:rsid w:val="00462F56"/>
    <w:rsid w:val="0046311F"/>
    <w:rsid w:val="00463379"/>
    <w:rsid w:val="00465D9B"/>
    <w:rsid w:val="004702A0"/>
    <w:rsid w:val="0047049A"/>
    <w:rsid w:val="00470B37"/>
    <w:rsid w:val="0047239C"/>
    <w:rsid w:val="004724F1"/>
    <w:rsid w:val="00472915"/>
    <w:rsid w:val="00472DCE"/>
    <w:rsid w:val="0047338D"/>
    <w:rsid w:val="00473C3F"/>
    <w:rsid w:val="00473CDE"/>
    <w:rsid w:val="0047472E"/>
    <w:rsid w:val="00474863"/>
    <w:rsid w:val="00475AF1"/>
    <w:rsid w:val="00480C46"/>
    <w:rsid w:val="00482471"/>
    <w:rsid w:val="00482DDC"/>
    <w:rsid w:val="00483316"/>
    <w:rsid w:val="004835CD"/>
    <w:rsid w:val="00483BC6"/>
    <w:rsid w:val="00484147"/>
    <w:rsid w:val="00484B22"/>
    <w:rsid w:val="004859B4"/>
    <w:rsid w:val="004909C1"/>
    <w:rsid w:val="0049246E"/>
    <w:rsid w:val="00492E8B"/>
    <w:rsid w:val="00493CED"/>
    <w:rsid w:val="004944C0"/>
    <w:rsid w:val="004971D4"/>
    <w:rsid w:val="004A1EAF"/>
    <w:rsid w:val="004A2B6B"/>
    <w:rsid w:val="004A4B86"/>
    <w:rsid w:val="004A6C14"/>
    <w:rsid w:val="004A761B"/>
    <w:rsid w:val="004A762B"/>
    <w:rsid w:val="004B0D06"/>
    <w:rsid w:val="004B1141"/>
    <w:rsid w:val="004B3325"/>
    <w:rsid w:val="004B412F"/>
    <w:rsid w:val="004B44FF"/>
    <w:rsid w:val="004B49A5"/>
    <w:rsid w:val="004B57AD"/>
    <w:rsid w:val="004B5B6C"/>
    <w:rsid w:val="004B626E"/>
    <w:rsid w:val="004B76C5"/>
    <w:rsid w:val="004B79FA"/>
    <w:rsid w:val="004C03CE"/>
    <w:rsid w:val="004C1ABA"/>
    <w:rsid w:val="004C1DF9"/>
    <w:rsid w:val="004C3D73"/>
    <w:rsid w:val="004C4498"/>
    <w:rsid w:val="004C7281"/>
    <w:rsid w:val="004D1B94"/>
    <w:rsid w:val="004D1DD8"/>
    <w:rsid w:val="004D38C1"/>
    <w:rsid w:val="004D3BFE"/>
    <w:rsid w:val="004D4D94"/>
    <w:rsid w:val="004D5099"/>
    <w:rsid w:val="004D566D"/>
    <w:rsid w:val="004D5C04"/>
    <w:rsid w:val="004D61D3"/>
    <w:rsid w:val="004D6443"/>
    <w:rsid w:val="004D7146"/>
    <w:rsid w:val="004D7C8C"/>
    <w:rsid w:val="004E09F3"/>
    <w:rsid w:val="004E2989"/>
    <w:rsid w:val="004E2BB9"/>
    <w:rsid w:val="004E3F8E"/>
    <w:rsid w:val="004E51EE"/>
    <w:rsid w:val="004E5C31"/>
    <w:rsid w:val="004E5D5F"/>
    <w:rsid w:val="004E6178"/>
    <w:rsid w:val="004F0EBE"/>
    <w:rsid w:val="004F1A37"/>
    <w:rsid w:val="004F1F0D"/>
    <w:rsid w:val="004F452D"/>
    <w:rsid w:val="00501607"/>
    <w:rsid w:val="00502C0A"/>
    <w:rsid w:val="00503267"/>
    <w:rsid w:val="00504106"/>
    <w:rsid w:val="00504846"/>
    <w:rsid w:val="00504C7E"/>
    <w:rsid w:val="00505EA6"/>
    <w:rsid w:val="005117BF"/>
    <w:rsid w:val="00512347"/>
    <w:rsid w:val="005126D8"/>
    <w:rsid w:val="00513687"/>
    <w:rsid w:val="00513CB7"/>
    <w:rsid w:val="00514CAD"/>
    <w:rsid w:val="00514E07"/>
    <w:rsid w:val="00515C0B"/>
    <w:rsid w:val="00516B8A"/>
    <w:rsid w:val="00517EEA"/>
    <w:rsid w:val="00520F6C"/>
    <w:rsid w:val="00521735"/>
    <w:rsid w:val="00522F19"/>
    <w:rsid w:val="0052428E"/>
    <w:rsid w:val="00526301"/>
    <w:rsid w:val="00527593"/>
    <w:rsid w:val="00530503"/>
    <w:rsid w:val="0053060D"/>
    <w:rsid w:val="00530CA0"/>
    <w:rsid w:val="0053104C"/>
    <w:rsid w:val="00531080"/>
    <w:rsid w:val="00533818"/>
    <w:rsid w:val="005343C3"/>
    <w:rsid w:val="005344B3"/>
    <w:rsid w:val="005353F5"/>
    <w:rsid w:val="00535B4E"/>
    <w:rsid w:val="005378FB"/>
    <w:rsid w:val="00541922"/>
    <w:rsid w:val="0054193F"/>
    <w:rsid w:val="0054275C"/>
    <w:rsid w:val="00543111"/>
    <w:rsid w:val="00544CB3"/>
    <w:rsid w:val="00544E8C"/>
    <w:rsid w:val="0054524C"/>
    <w:rsid w:val="005455D3"/>
    <w:rsid w:val="0054757C"/>
    <w:rsid w:val="005507CD"/>
    <w:rsid w:val="0055276E"/>
    <w:rsid w:val="00556465"/>
    <w:rsid w:val="00560B08"/>
    <w:rsid w:val="00560EC5"/>
    <w:rsid w:val="005611C5"/>
    <w:rsid w:val="005615BD"/>
    <w:rsid w:val="00561AAF"/>
    <w:rsid w:val="00561E47"/>
    <w:rsid w:val="00562399"/>
    <w:rsid w:val="0056379E"/>
    <w:rsid w:val="00565DA3"/>
    <w:rsid w:val="00567A03"/>
    <w:rsid w:val="00570480"/>
    <w:rsid w:val="00570B90"/>
    <w:rsid w:val="0057122E"/>
    <w:rsid w:val="00571CD2"/>
    <w:rsid w:val="0057205D"/>
    <w:rsid w:val="00572D96"/>
    <w:rsid w:val="00573878"/>
    <w:rsid w:val="00573AE3"/>
    <w:rsid w:val="005744FD"/>
    <w:rsid w:val="00574643"/>
    <w:rsid w:val="00575AD1"/>
    <w:rsid w:val="005775E4"/>
    <w:rsid w:val="00580B64"/>
    <w:rsid w:val="00581360"/>
    <w:rsid w:val="00581848"/>
    <w:rsid w:val="005827C9"/>
    <w:rsid w:val="005836C0"/>
    <w:rsid w:val="005840FC"/>
    <w:rsid w:val="0058485A"/>
    <w:rsid w:val="00584D8E"/>
    <w:rsid w:val="00585E8E"/>
    <w:rsid w:val="005870D7"/>
    <w:rsid w:val="00587B5C"/>
    <w:rsid w:val="00590935"/>
    <w:rsid w:val="00590A3C"/>
    <w:rsid w:val="0059149A"/>
    <w:rsid w:val="0059150C"/>
    <w:rsid w:val="005924D7"/>
    <w:rsid w:val="005927D6"/>
    <w:rsid w:val="005938A9"/>
    <w:rsid w:val="00594AC2"/>
    <w:rsid w:val="00596F3C"/>
    <w:rsid w:val="005A1F90"/>
    <w:rsid w:val="005A2201"/>
    <w:rsid w:val="005A26BB"/>
    <w:rsid w:val="005A343B"/>
    <w:rsid w:val="005A4B0C"/>
    <w:rsid w:val="005A5CC5"/>
    <w:rsid w:val="005A76AE"/>
    <w:rsid w:val="005B0D3A"/>
    <w:rsid w:val="005B24A8"/>
    <w:rsid w:val="005B2602"/>
    <w:rsid w:val="005B48D0"/>
    <w:rsid w:val="005B6D96"/>
    <w:rsid w:val="005B6F23"/>
    <w:rsid w:val="005C24B7"/>
    <w:rsid w:val="005C296C"/>
    <w:rsid w:val="005C306F"/>
    <w:rsid w:val="005C3304"/>
    <w:rsid w:val="005C389A"/>
    <w:rsid w:val="005C39E6"/>
    <w:rsid w:val="005C607F"/>
    <w:rsid w:val="005C63C6"/>
    <w:rsid w:val="005C78CC"/>
    <w:rsid w:val="005D14EE"/>
    <w:rsid w:val="005D233E"/>
    <w:rsid w:val="005D6A27"/>
    <w:rsid w:val="005D6C9A"/>
    <w:rsid w:val="005D74AE"/>
    <w:rsid w:val="005E0182"/>
    <w:rsid w:val="005E061A"/>
    <w:rsid w:val="005E1062"/>
    <w:rsid w:val="005E508C"/>
    <w:rsid w:val="005E58E3"/>
    <w:rsid w:val="005E5F28"/>
    <w:rsid w:val="005F1502"/>
    <w:rsid w:val="005F28FD"/>
    <w:rsid w:val="005F3B8C"/>
    <w:rsid w:val="005F3ED5"/>
    <w:rsid w:val="005F48B9"/>
    <w:rsid w:val="005F4E29"/>
    <w:rsid w:val="005F4F9F"/>
    <w:rsid w:val="005F59F6"/>
    <w:rsid w:val="005F6F10"/>
    <w:rsid w:val="00603970"/>
    <w:rsid w:val="00603F9B"/>
    <w:rsid w:val="006054CB"/>
    <w:rsid w:val="0061113A"/>
    <w:rsid w:val="00612758"/>
    <w:rsid w:val="0061278D"/>
    <w:rsid w:val="00612FC4"/>
    <w:rsid w:val="006133D9"/>
    <w:rsid w:val="0061405E"/>
    <w:rsid w:val="00614CEE"/>
    <w:rsid w:val="00616D22"/>
    <w:rsid w:val="00620010"/>
    <w:rsid w:val="00620117"/>
    <w:rsid w:val="00620796"/>
    <w:rsid w:val="00620A6C"/>
    <w:rsid w:val="00622C01"/>
    <w:rsid w:val="00623DCA"/>
    <w:rsid w:val="006269E0"/>
    <w:rsid w:val="00627359"/>
    <w:rsid w:val="006304D6"/>
    <w:rsid w:val="006316C7"/>
    <w:rsid w:val="00632DB1"/>
    <w:rsid w:val="00632E76"/>
    <w:rsid w:val="006331A8"/>
    <w:rsid w:val="00633B4E"/>
    <w:rsid w:val="00634326"/>
    <w:rsid w:val="0063479B"/>
    <w:rsid w:val="006351AA"/>
    <w:rsid w:val="00635A5A"/>
    <w:rsid w:val="00636CEE"/>
    <w:rsid w:val="0064048E"/>
    <w:rsid w:val="00642CD9"/>
    <w:rsid w:val="006439D1"/>
    <w:rsid w:val="006465CA"/>
    <w:rsid w:val="00646682"/>
    <w:rsid w:val="00647CD9"/>
    <w:rsid w:val="00652124"/>
    <w:rsid w:val="00652853"/>
    <w:rsid w:val="0065395A"/>
    <w:rsid w:val="00654EE5"/>
    <w:rsid w:val="00655526"/>
    <w:rsid w:val="0065565E"/>
    <w:rsid w:val="00656085"/>
    <w:rsid w:val="00657945"/>
    <w:rsid w:val="00657B51"/>
    <w:rsid w:val="00660D88"/>
    <w:rsid w:val="00661B95"/>
    <w:rsid w:val="00661C44"/>
    <w:rsid w:val="0066267E"/>
    <w:rsid w:val="006632E6"/>
    <w:rsid w:val="00664DA8"/>
    <w:rsid w:val="006703F3"/>
    <w:rsid w:val="006706C6"/>
    <w:rsid w:val="00671541"/>
    <w:rsid w:val="006729EE"/>
    <w:rsid w:val="006743F3"/>
    <w:rsid w:val="00674920"/>
    <w:rsid w:val="00674B5C"/>
    <w:rsid w:val="00676442"/>
    <w:rsid w:val="0067746F"/>
    <w:rsid w:val="006775F0"/>
    <w:rsid w:val="0067762A"/>
    <w:rsid w:val="0068111A"/>
    <w:rsid w:val="00681879"/>
    <w:rsid w:val="00682DA0"/>
    <w:rsid w:val="006839CC"/>
    <w:rsid w:val="00683C19"/>
    <w:rsid w:val="006857F6"/>
    <w:rsid w:val="00685F7F"/>
    <w:rsid w:val="0068671B"/>
    <w:rsid w:val="00687D45"/>
    <w:rsid w:val="00687F7A"/>
    <w:rsid w:val="00690BA3"/>
    <w:rsid w:val="00690E3A"/>
    <w:rsid w:val="00693A6C"/>
    <w:rsid w:val="00695749"/>
    <w:rsid w:val="006962C9"/>
    <w:rsid w:val="006A05B6"/>
    <w:rsid w:val="006A1CA2"/>
    <w:rsid w:val="006A31EA"/>
    <w:rsid w:val="006A43ED"/>
    <w:rsid w:val="006A55AB"/>
    <w:rsid w:val="006A59F3"/>
    <w:rsid w:val="006A6C0E"/>
    <w:rsid w:val="006B07E6"/>
    <w:rsid w:val="006B0868"/>
    <w:rsid w:val="006B1586"/>
    <w:rsid w:val="006B1CCF"/>
    <w:rsid w:val="006B4B8F"/>
    <w:rsid w:val="006B4BBF"/>
    <w:rsid w:val="006B4D59"/>
    <w:rsid w:val="006B5EB2"/>
    <w:rsid w:val="006B6E83"/>
    <w:rsid w:val="006B7C95"/>
    <w:rsid w:val="006C07AC"/>
    <w:rsid w:val="006C39E7"/>
    <w:rsid w:val="006C507C"/>
    <w:rsid w:val="006C57E4"/>
    <w:rsid w:val="006C5CA6"/>
    <w:rsid w:val="006C62CE"/>
    <w:rsid w:val="006C696D"/>
    <w:rsid w:val="006C6FC5"/>
    <w:rsid w:val="006C7A15"/>
    <w:rsid w:val="006D70B7"/>
    <w:rsid w:val="006D733E"/>
    <w:rsid w:val="006D7CAA"/>
    <w:rsid w:val="006E07BF"/>
    <w:rsid w:val="006E138F"/>
    <w:rsid w:val="006E5A96"/>
    <w:rsid w:val="006E5E98"/>
    <w:rsid w:val="006E648A"/>
    <w:rsid w:val="006E655B"/>
    <w:rsid w:val="006E71CE"/>
    <w:rsid w:val="006E7514"/>
    <w:rsid w:val="006F16FB"/>
    <w:rsid w:val="006F2107"/>
    <w:rsid w:val="006F2945"/>
    <w:rsid w:val="006F3004"/>
    <w:rsid w:val="006F430F"/>
    <w:rsid w:val="006F596B"/>
    <w:rsid w:val="007010AE"/>
    <w:rsid w:val="00701934"/>
    <w:rsid w:val="00701D23"/>
    <w:rsid w:val="00702363"/>
    <w:rsid w:val="0070303D"/>
    <w:rsid w:val="0070377C"/>
    <w:rsid w:val="007038EA"/>
    <w:rsid w:val="00704048"/>
    <w:rsid w:val="0070455B"/>
    <w:rsid w:val="007049A4"/>
    <w:rsid w:val="00705E51"/>
    <w:rsid w:val="007074AB"/>
    <w:rsid w:val="00710609"/>
    <w:rsid w:val="007106F9"/>
    <w:rsid w:val="00711005"/>
    <w:rsid w:val="0071152E"/>
    <w:rsid w:val="00712454"/>
    <w:rsid w:val="0071292D"/>
    <w:rsid w:val="00712A2B"/>
    <w:rsid w:val="00712B5B"/>
    <w:rsid w:val="00715D4F"/>
    <w:rsid w:val="00721493"/>
    <w:rsid w:val="00721C0F"/>
    <w:rsid w:val="00721E37"/>
    <w:rsid w:val="00722545"/>
    <w:rsid w:val="00723455"/>
    <w:rsid w:val="00724C55"/>
    <w:rsid w:val="00725173"/>
    <w:rsid w:val="00726694"/>
    <w:rsid w:val="00726B35"/>
    <w:rsid w:val="0073449E"/>
    <w:rsid w:val="007348F7"/>
    <w:rsid w:val="00734CB7"/>
    <w:rsid w:val="00734E77"/>
    <w:rsid w:val="007366B1"/>
    <w:rsid w:val="00736D68"/>
    <w:rsid w:val="00740504"/>
    <w:rsid w:val="00741340"/>
    <w:rsid w:val="00741915"/>
    <w:rsid w:val="00743560"/>
    <w:rsid w:val="00744FC9"/>
    <w:rsid w:val="00746455"/>
    <w:rsid w:val="00746D7D"/>
    <w:rsid w:val="00747BA8"/>
    <w:rsid w:val="00747C27"/>
    <w:rsid w:val="00750A16"/>
    <w:rsid w:val="00750E48"/>
    <w:rsid w:val="00751796"/>
    <w:rsid w:val="00751C93"/>
    <w:rsid w:val="00753D7E"/>
    <w:rsid w:val="00754240"/>
    <w:rsid w:val="00755E87"/>
    <w:rsid w:val="007563BD"/>
    <w:rsid w:val="00757405"/>
    <w:rsid w:val="00760092"/>
    <w:rsid w:val="007603AF"/>
    <w:rsid w:val="00761472"/>
    <w:rsid w:val="00761625"/>
    <w:rsid w:val="00765C25"/>
    <w:rsid w:val="00765E62"/>
    <w:rsid w:val="0076665E"/>
    <w:rsid w:val="00767BE7"/>
    <w:rsid w:val="00767D20"/>
    <w:rsid w:val="00770D1D"/>
    <w:rsid w:val="00771204"/>
    <w:rsid w:val="007718CF"/>
    <w:rsid w:val="007723F2"/>
    <w:rsid w:val="00772B8C"/>
    <w:rsid w:val="007738A7"/>
    <w:rsid w:val="00774B46"/>
    <w:rsid w:val="0077564C"/>
    <w:rsid w:val="0077620A"/>
    <w:rsid w:val="007814D9"/>
    <w:rsid w:val="0078161A"/>
    <w:rsid w:val="00781F05"/>
    <w:rsid w:val="007824FA"/>
    <w:rsid w:val="00782AEB"/>
    <w:rsid w:val="0078511F"/>
    <w:rsid w:val="007852F6"/>
    <w:rsid w:val="00791A89"/>
    <w:rsid w:val="00791D7F"/>
    <w:rsid w:val="00792B1B"/>
    <w:rsid w:val="00793D84"/>
    <w:rsid w:val="00796047"/>
    <w:rsid w:val="007A0055"/>
    <w:rsid w:val="007A1710"/>
    <w:rsid w:val="007A2A0E"/>
    <w:rsid w:val="007A3BAB"/>
    <w:rsid w:val="007A3C72"/>
    <w:rsid w:val="007A453E"/>
    <w:rsid w:val="007A61B0"/>
    <w:rsid w:val="007A671E"/>
    <w:rsid w:val="007B2347"/>
    <w:rsid w:val="007B270E"/>
    <w:rsid w:val="007B3C27"/>
    <w:rsid w:val="007B3D09"/>
    <w:rsid w:val="007B3D0B"/>
    <w:rsid w:val="007B47B9"/>
    <w:rsid w:val="007B7760"/>
    <w:rsid w:val="007C01AB"/>
    <w:rsid w:val="007C20C7"/>
    <w:rsid w:val="007C28F4"/>
    <w:rsid w:val="007C4197"/>
    <w:rsid w:val="007C4B92"/>
    <w:rsid w:val="007C4E46"/>
    <w:rsid w:val="007C69AF"/>
    <w:rsid w:val="007C6B9B"/>
    <w:rsid w:val="007C71E8"/>
    <w:rsid w:val="007D15D6"/>
    <w:rsid w:val="007D2334"/>
    <w:rsid w:val="007D265A"/>
    <w:rsid w:val="007D3DCC"/>
    <w:rsid w:val="007D3EED"/>
    <w:rsid w:val="007D47E6"/>
    <w:rsid w:val="007E0004"/>
    <w:rsid w:val="007E0B01"/>
    <w:rsid w:val="007E2E0A"/>
    <w:rsid w:val="007E3FE8"/>
    <w:rsid w:val="007E463C"/>
    <w:rsid w:val="007E5223"/>
    <w:rsid w:val="007E6D26"/>
    <w:rsid w:val="007E7734"/>
    <w:rsid w:val="007F008C"/>
    <w:rsid w:val="007F0B16"/>
    <w:rsid w:val="007F4D32"/>
    <w:rsid w:val="007F4F17"/>
    <w:rsid w:val="007F650F"/>
    <w:rsid w:val="007F79F1"/>
    <w:rsid w:val="00800820"/>
    <w:rsid w:val="0080135B"/>
    <w:rsid w:val="00802200"/>
    <w:rsid w:val="00803077"/>
    <w:rsid w:val="00803DFE"/>
    <w:rsid w:val="008057A0"/>
    <w:rsid w:val="00805DCC"/>
    <w:rsid w:val="00806C73"/>
    <w:rsid w:val="00807183"/>
    <w:rsid w:val="0080742A"/>
    <w:rsid w:val="0080743B"/>
    <w:rsid w:val="00807B0F"/>
    <w:rsid w:val="0081133C"/>
    <w:rsid w:val="00811D8A"/>
    <w:rsid w:val="008129FE"/>
    <w:rsid w:val="00812E36"/>
    <w:rsid w:val="00813AE3"/>
    <w:rsid w:val="008154BD"/>
    <w:rsid w:val="00816A73"/>
    <w:rsid w:val="008177C1"/>
    <w:rsid w:val="008216B4"/>
    <w:rsid w:val="00822761"/>
    <w:rsid w:val="008227A0"/>
    <w:rsid w:val="00823EF8"/>
    <w:rsid w:val="0082690A"/>
    <w:rsid w:val="0083044C"/>
    <w:rsid w:val="00830468"/>
    <w:rsid w:val="008310B5"/>
    <w:rsid w:val="00831C40"/>
    <w:rsid w:val="0083310C"/>
    <w:rsid w:val="008344B2"/>
    <w:rsid w:val="00836409"/>
    <w:rsid w:val="00836683"/>
    <w:rsid w:val="00836E2D"/>
    <w:rsid w:val="00837826"/>
    <w:rsid w:val="008409CC"/>
    <w:rsid w:val="0084179D"/>
    <w:rsid w:val="00841EFA"/>
    <w:rsid w:val="00843A43"/>
    <w:rsid w:val="008445EC"/>
    <w:rsid w:val="00844A3A"/>
    <w:rsid w:val="00845690"/>
    <w:rsid w:val="008458A9"/>
    <w:rsid w:val="008504C8"/>
    <w:rsid w:val="0085074C"/>
    <w:rsid w:val="008509C7"/>
    <w:rsid w:val="00850C17"/>
    <w:rsid w:val="008511FB"/>
    <w:rsid w:val="00851DF7"/>
    <w:rsid w:val="0085330C"/>
    <w:rsid w:val="0085463C"/>
    <w:rsid w:val="00860412"/>
    <w:rsid w:val="00860C8D"/>
    <w:rsid w:val="00861052"/>
    <w:rsid w:val="00864119"/>
    <w:rsid w:val="008645D8"/>
    <w:rsid w:val="008647EF"/>
    <w:rsid w:val="00864F36"/>
    <w:rsid w:val="0086533B"/>
    <w:rsid w:val="00866674"/>
    <w:rsid w:val="00870CF3"/>
    <w:rsid w:val="00873778"/>
    <w:rsid w:val="008737D7"/>
    <w:rsid w:val="00873E0B"/>
    <w:rsid w:val="008746EB"/>
    <w:rsid w:val="00874A09"/>
    <w:rsid w:val="00874E05"/>
    <w:rsid w:val="008750E5"/>
    <w:rsid w:val="00883610"/>
    <w:rsid w:val="00884040"/>
    <w:rsid w:val="008848BE"/>
    <w:rsid w:val="0088517D"/>
    <w:rsid w:val="00887232"/>
    <w:rsid w:val="008879BD"/>
    <w:rsid w:val="00887A94"/>
    <w:rsid w:val="00890768"/>
    <w:rsid w:val="00890DE7"/>
    <w:rsid w:val="0089189D"/>
    <w:rsid w:val="0089200F"/>
    <w:rsid w:val="00892928"/>
    <w:rsid w:val="0089426C"/>
    <w:rsid w:val="00895676"/>
    <w:rsid w:val="00895706"/>
    <w:rsid w:val="00897159"/>
    <w:rsid w:val="00897599"/>
    <w:rsid w:val="008975A9"/>
    <w:rsid w:val="008A0956"/>
    <w:rsid w:val="008A0C80"/>
    <w:rsid w:val="008A29B7"/>
    <w:rsid w:val="008A2D42"/>
    <w:rsid w:val="008A3049"/>
    <w:rsid w:val="008A408D"/>
    <w:rsid w:val="008A41C9"/>
    <w:rsid w:val="008A4BB8"/>
    <w:rsid w:val="008A7445"/>
    <w:rsid w:val="008A7768"/>
    <w:rsid w:val="008A7A4E"/>
    <w:rsid w:val="008B290B"/>
    <w:rsid w:val="008B29F3"/>
    <w:rsid w:val="008B3EC9"/>
    <w:rsid w:val="008B4643"/>
    <w:rsid w:val="008B52E6"/>
    <w:rsid w:val="008C29C6"/>
    <w:rsid w:val="008C31CD"/>
    <w:rsid w:val="008C47C5"/>
    <w:rsid w:val="008C4EC7"/>
    <w:rsid w:val="008C6648"/>
    <w:rsid w:val="008C7645"/>
    <w:rsid w:val="008D0F64"/>
    <w:rsid w:val="008D1D1C"/>
    <w:rsid w:val="008D3376"/>
    <w:rsid w:val="008D42C3"/>
    <w:rsid w:val="008D7276"/>
    <w:rsid w:val="008D784C"/>
    <w:rsid w:val="008E3272"/>
    <w:rsid w:val="008E3C5F"/>
    <w:rsid w:val="008E40FC"/>
    <w:rsid w:val="008E4DD5"/>
    <w:rsid w:val="008E4EEA"/>
    <w:rsid w:val="008E6FA6"/>
    <w:rsid w:val="008E73B6"/>
    <w:rsid w:val="008F03AA"/>
    <w:rsid w:val="008F0A18"/>
    <w:rsid w:val="008F0EED"/>
    <w:rsid w:val="008F10A1"/>
    <w:rsid w:val="008F18C5"/>
    <w:rsid w:val="008F376F"/>
    <w:rsid w:val="008F3F90"/>
    <w:rsid w:val="008F437F"/>
    <w:rsid w:val="008F4559"/>
    <w:rsid w:val="008F55B2"/>
    <w:rsid w:val="008F7788"/>
    <w:rsid w:val="00900065"/>
    <w:rsid w:val="009002BF"/>
    <w:rsid w:val="00900C05"/>
    <w:rsid w:val="00902161"/>
    <w:rsid w:val="009021EB"/>
    <w:rsid w:val="009027C5"/>
    <w:rsid w:val="00902921"/>
    <w:rsid w:val="00904762"/>
    <w:rsid w:val="00904C05"/>
    <w:rsid w:val="00907FFA"/>
    <w:rsid w:val="009121FB"/>
    <w:rsid w:val="0091279D"/>
    <w:rsid w:val="009128DC"/>
    <w:rsid w:val="00913EA7"/>
    <w:rsid w:val="009140BE"/>
    <w:rsid w:val="00914523"/>
    <w:rsid w:val="009149BA"/>
    <w:rsid w:val="00914E13"/>
    <w:rsid w:val="009164E7"/>
    <w:rsid w:val="009166EA"/>
    <w:rsid w:val="00916C32"/>
    <w:rsid w:val="00917007"/>
    <w:rsid w:val="009172C0"/>
    <w:rsid w:val="0092005D"/>
    <w:rsid w:val="00920715"/>
    <w:rsid w:val="009215C0"/>
    <w:rsid w:val="009219FD"/>
    <w:rsid w:val="00921DB7"/>
    <w:rsid w:val="00922090"/>
    <w:rsid w:val="009232EF"/>
    <w:rsid w:val="00923581"/>
    <w:rsid w:val="009242E9"/>
    <w:rsid w:val="00924C54"/>
    <w:rsid w:val="00924C64"/>
    <w:rsid w:val="00924F0C"/>
    <w:rsid w:val="00926280"/>
    <w:rsid w:val="00930BD8"/>
    <w:rsid w:val="00931332"/>
    <w:rsid w:val="00931C4D"/>
    <w:rsid w:val="00931C8B"/>
    <w:rsid w:val="00931DF3"/>
    <w:rsid w:val="009351CE"/>
    <w:rsid w:val="0093543F"/>
    <w:rsid w:val="00935E0F"/>
    <w:rsid w:val="00936118"/>
    <w:rsid w:val="00940FE1"/>
    <w:rsid w:val="00941577"/>
    <w:rsid w:val="009422B2"/>
    <w:rsid w:val="00942A33"/>
    <w:rsid w:val="00942A3C"/>
    <w:rsid w:val="00942D34"/>
    <w:rsid w:val="00945DFF"/>
    <w:rsid w:val="0094735B"/>
    <w:rsid w:val="00951111"/>
    <w:rsid w:val="009511BC"/>
    <w:rsid w:val="009523CB"/>
    <w:rsid w:val="0095319F"/>
    <w:rsid w:val="009555D2"/>
    <w:rsid w:val="00956EC9"/>
    <w:rsid w:val="00957CB1"/>
    <w:rsid w:val="0096341B"/>
    <w:rsid w:val="00963738"/>
    <w:rsid w:val="009650F5"/>
    <w:rsid w:val="009655FF"/>
    <w:rsid w:val="00966398"/>
    <w:rsid w:val="00966829"/>
    <w:rsid w:val="00966D50"/>
    <w:rsid w:val="00970A39"/>
    <w:rsid w:val="00971DD6"/>
    <w:rsid w:val="0097327E"/>
    <w:rsid w:val="00973563"/>
    <w:rsid w:val="009745EB"/>
    <w:rsid w:val="00975C12"/>
    <w:rsid w:val="00975F00"/>
    <w:rsid w:val="009824E9"/>
    <w:rsid w:val="00982622"/>
    <w:rsid w:val="00982B0A"/>
    <w:rsid w:val="00983BFC"/>
    <w:rsid w:val="00983E12"/>
    <w:rsid w:val="009871C8"/>
    <w:rsid w:val="00991BCF"/>
    <w:rsid w:val="0099504D"/>
    <w:rsid w:val="009963C8"/>
    <w:rsid w:val="00997303"/>
    <w:rsid w:val="0099786B"/>
    <w:rsid w:val="009A0A9B"/>
    <w:rsid w:val="009A1E7B"/>
    <w:rsid w:val="009A2C03"/>
    <w:rsid w:val="009A2E89"/>
    <w:rsid w:val="009A4225"/>
    <w:rsid w:val="009A4286"/>
    <w:rsid w:val="009A5205"/>
    <w:rsid w:val="009A5CA4"/>
    <w:rsid w:val="009A5D0D"/>
    <w:rsid w:val="009A614A"/>
    <w:rsid w:val="009A7649"/>
    <w:rsid w:val="009B0358"/>
    <w:rsid w:val="009B313C"/>
    <w:rsid w:val="009B466F"/>
    <w:rsid w:val="009B4E80"/>
    <w:rsid w:val="009B5302"/>
    <w:rsid w:val="009B5B27"/>
    <w:rsid w:val="009B6933"/>
    <w:rsid w:val="009B693A"/>
    <w:rsid w:val="009C6435"/>
    <w:rsid w:val="009C6B5F"/>
    <w:rsid w:val="009C7AE0"/>
    <w:rsid w:val="009C7EAC"/>
    <w:rsid w:val="009D3893"/>
    <w:rsid w:val="009D4358"/>
    <w:rsid w:val="009D6820"/>
    <w:rsid w:val="009D68E6"/>
    <w:rsid w:val="009D772E"/>
    <w:rsid w:val="009E0766"/>
    <w:rsid w:val="009E13DD"/>
    <w:rsid w:val="009E14F6"/>
    <w:rsid w:val="009E4385"/>
    <w:rsid w:val="009E50DC"/>
    <w:rsid w:val="009E58C9"/>
    <w:rsid w:val="009E6C86"/>
    <w:rsid w:val="009E7105"/>
    <w:rsid w:val="009E7740"/>
    <w:rsid w:val="009F09AB"/>
    <w:rsid w:val="009F0D05"/>
    <w:rsid w:val="009F1F41"/>
    <w:rsid w:val="009F226D"/>
    <w:rsid w:val="009F2521"/>
    <w:rsid w:val="009F2FA2"/>
    <w:rsid w:val="009F42C6"/>
    <w:rsid w:val="009F53F9"/>
    <w:rsid w:val="009F5564"/>
    <w:rsid w:val="009F6F7E"/>
    <w:rsid w:val="009F7AD8"/>
    <w:rsid w:val="00A008CF"/>
    <w:rsid w:val="00A04A4D"/>
    <w:rsid w:val="00A0512F"/>
    <w:rsid w:val="00A05B68"/>
    <w:rsid w:val="00A06531"/>
    <w:rsid w:val="00A07ECA"/>
    <w:rsid w:val="00A10E27"/>
    <w:rsid w:val="00A11D98"/>
    <w:rsid w:val="00A12433"/>
    <w:rsid w:val="00A124F7"/>
    <w:rsid w:val="00A1594D"/>
    <w:rsid w:val="00A161E2"/>
    <w:rsid w:val="00A177DD"/>
    <w:rsid w:val="00A20ABB"/>
    <w:rsid w:val="00A214D5"/>
    <w:rsid w:val="00A21640"/>
    <w:rsid w:val="00A21823"/>
    <w:rsid w:val="00A21926"/>
    <w:rsid w:val="00A21F2E"/>
    <w:rsid w:val="00A22C23"/>
    <w:rsid w:val="00A253F7"/>
    <w:rsid w:val="00A25AEC"/>
    <w:rsid w:val="00A26132"/>
    <w:rsid w:val="00A263DF"/>
    <w:rsid w:val="00A26521"/>
    <w:rsid w:val="00A27104"/>
    <w:rsid w:val="00A27302"/>
    <w:rsid w:val="00A30E17"/>
    <w:rsid w:val="00A3143F"/>
    <w:rsid w:val="00A31BCA"/>
    <w:rsid w:val="00A32506"/>
    <w:rsid w:val="00A332E1"/>
    <w:rsid w:val="00A35225"/>
    <w:rsid w:val="00A36754"/>
    <w:rsid w:val="00A36901"/>
    <w:rsid w:val="00A369A4"/>
    <w:rsid w:val="00A36AF8"/>
    <w:rsid w:val="00A3739D"/>
    <w:rsid w:val="00A40889"/>
    <w:rsid w:val="00A41466"/>
    <w:rsid w:val="00A42126"/>
    <w:rsid w:val="00A42531"/>
    <w:rsid w:val="00A42B17"/>
    <w:rsid w:val="00A42C5D"/>
    <w:rsid w:val="00A4307A"/>
    <w:rsid w:val="00A43381"/>
    <w:rsid w:val="00A439CB"/>
    <w:rsid w:val="00A47A1E"/>
    <w:rsid w:val="00A523B0"/>
    <w:rsid w:val="00A525F6"/>
    <w:rsid w:val="00A5346B"/>
    <w:rsid w:val="00A53842"/>
    <w:rsid w:val="00A538C3"/>
    <w:rsid w:val="00A541A2"/>
    <w:rsid w:val="00A54F41"/>
    <w:rsid w:val="00A56815"/>
    <w:rsid w:val="00A56875"/>
    <w:rsid w:val="00A56F6F"/>
    <w:rsid w:val="00A57AB6"/>
    <w:rsid w:val="00A60D55"/>
    <w:rsid w:val="00A61090"/>
    <w:rsid w:val="00A6125B"/>
    <w:rsid w:val="00A6688B"/>
    <w:rsid w:val="00A66BFF"/>
    <w:rsid w:val="00A66CE8"/>
    <w:rsid w:val="00A70230"/>
    <w:rsid w:val="00A70284"/>
    <w:rsid w:val="00A73FA6"/>
    <w:rsid w:val="00A74E0B"/>
    <w:rsid w:val="00A7528F"/>
    <w:rsid w:val="00A7599E"/>
    <w:rsid w:val="00A77D76"/>
    <w:rsid w:val="00A833DE"/>
    <w:rsid w:val="00A856EA"/>
    <w:rsid w:val="00A86875"/>
    <w:rsid w:val="00A873DD"/>
    <w:rsid w:val="00A92650"/>
    <w:rsid w:val="00A95477"/>
    <w:rsid w:val="00A9747D"/>
    <w:rsid w:val="00AA008B"/>
    <w:rsid w:val="00AA2C3F"/>
    <w:rsid w:val="00AA3B36"/>
    <w:rsid w:val="00AA43F1"/>
    <w:rsid w:val="00AA4A93"/>
    <w:rsid w:val="00AA68F9"/>
    <w:rsid w:val="00AB0D06"/>
    <w:rsid w:val="00AB1316"/>
    <w:rsid w:val="00AB348C"/>
    <w:rsid w:val="00AB34B1"/>
    <w:rsid w:val="00AB4529"/>
    <w:rsid w:val="00AB5F3C"/>
    <w:rsid w:val="00AB6051"/>
    <w:rsid w:val="00AB6291"/>
    <w:rsid w:val="00AB7ACC"/>
    <w:rsid w:val="00AC09C4"/>
    <w:rsid w:val="00AC161B"/>
    <w:rsid w:val="00AC2223"/>
    <w:rsid w:val="00AC46D1"/>
    <w:rsid w:val="00AC7060"/>
    <w:rsid w:val="00AC7386"/>
    <w:rsid w:val="00AC7FCF"/>
    <w:rsid w:val="00AD1D16"/>
    <w:rsid w:val="00AD229A"/>
    <w:rsid w:val="00AD31F7"/>
    <w:rsid w:val="00AD5BF7"/>
    <w:rsid w:val="00AD5FC6"/>
    <w:rsid w:val="00AD6404"/>
    <w:rsid w:val="00AD712A"/>
    <w:rsid w:val="00AD7737"/>
    <w:rsid w:val="00AD7B99"/>
    <w:rsid w:val="00AE0592"/>
    <w:rsid w:val="00AE188B"/>
    <w:rsid w:val="00AE2D49"/>
    <w:rsid w:val="00AE465B"/>
    <w:rsid w:val="00AE7372"/>
    <w:rsid w:val="00AE73A2"/>
    <w:rsid w:val="00AE7DCC"/>
    <w:rsid w:val="00AF0408"/>
    <w:rsid w:val="00AF0C1A"/>
    <w:rsid w:val="00AF4762"/>
    <w:rsid w:val="00AF4D16"/>
    <w:rsid w:val="00AF5393"/>
    <w:rsid w:val="00B0070D"/>
    <w:rsid w:val="00B01AF7"/>
    <w:rsid w:val="00B020AD"/>
    <w:rsid w:val="00B02695"/>
    <w:rsid w:val="00B03412"/>
    <w:rsid w:val="00B04131"/>
    <w:rsid w:val="00B05CA1"/>
    <w:rsid w:val="00B067B3"/>
    <w:rsid w:val="00B10CE9"/>
    <w:rsid w:val="00B11095"/>
    <w:rsid w:val="00B130CE"/>
    <w:rsid w:val="00B174FC"/>
    <w:rsid w:val="00B1778D"/>
    <w:rsid w:val="00B17E77"/>
    <w:rsid w:val="00B2020F"/>
    <w:rsid w:val="00B21299"/>
    <w:rsid w:val="00B233B0"/>
    <w:rsid w:val="00B24116"/>
    <w:rsid w:val="00B24553"/>
    <w:rsid w:val="00B25058"/>
    <w:rsid w:val="00B252B4"/>
    <w:rsid w:val="00B259AC"/>
    <w:rsid w:val="00B26A70"/>
    <w:rsid w:val="00B26B7B"/>
    <w:rsid w:val="00B26BA3"/>
    <w:rsid w:val="00B26FDC"/>
    <w:rsid w:val="00B275D3"/>
    <w:rsid w:val="00B27C88"/>
    <w:rsid w:val="00B300DA"/>
    <w:rsid w:val="00B300F4"/>
    <w:rsid w:val="00B308BB"/>
    <w:rsid w:val="00B30AA8"/>
    <w:rsid w:val="00B33266"/>
    <w:rsid w:val="00B33729"/>
    <w:rsid w:val="00B3677E"/>
    <w:rsid w:val="00B40DB7"/>
    <w:rsid w:val="00B41632"/>
    <w:rsid w:val="00B41775"/>
    <w:rsid w:val="00B42666"/>
    <w:rsid w:val="00B431C1"/>
    <w:rsid w:val="00B454C7"/>
    <w:rsid w:val="00B50070"/>
    <w:rsid w:val="00B53F22"/>
    <w:rsid w:val="00B54F28"/>
    <w:rsid w:val="00B55924"/>
    <w:rsid w:val="00B573E0"/>
    <w:rsid w:val="00B57708"/>
    <w:rsid w:val="00B57778"/>
    <w:rsid w:val="00B5788C"/>
    <w:rsid w:val="00B60A54"/>
    <w:rsid w:val="00B61F53"/>
    <w:rsid w:val="00B63791"/>
    <w:rsid w:val="00B63C45"/>
    <w:rsid w:val="00B64580"/>
    <w:rsid w:val="00B647CA"/>
    <w:rsid w:val="00B66397"/>
    <w:rsid w:val="00B675F4"/>
    <w:rsid w:val="00B711F2"/>
    <w:rsid w:val="00B712C3"/>
    <w:rsid w:val="00B71A3F"/>
    <w:rsid w:val="00B72989"/>
    <w:rsid w:val="00B72C4C"/>
    <w:rsid w:val="00B759D8"/>
    <w:rsid w:val="00B75D8D"/>
    <w:rsid w:val="00B76295"/>
    <w:rsid w:val="00B76839"/>
    <w:rsid w:val="00B80647"/>
    <w:rsid w:val="00B80DBD"/>
    <w:rsid w:val="00B81084"/>
    <w:rsid w:val="00B812B5"/>
    <w:rsid w:val="00B818F6"/>
    <w:rsid w:val="00B81E86"/>
    <w:rsid w:val="00B81FF1"/>
    <w:rsid w:val="00B82C6A"/>
    <w:rsid w:val="00B83018"/>
    <w:rsid w:val="00B861E2"/>
    <w:rsid w:val="00B86B84"/>
    <w:rsid w:val="00B87D3F"/>
    <w:rsid w:val="00B90D4C"/>
    <w:rsid w:val="00B90F91"/>
    <w:rsid w:val="00B92198"/>
    <w:rsid w:val="00B9233D"/>
    <w:rsid w:val="00B93300"/>
    <w:rsid w:val="00B93C85"/>
    <w:rsid w:val="00B93FC2"/>
    <w:rsid w:val="00B94AAC"/>
    <w:rsid w:val="00B95488"/>
    <w:rsid w:val="00B956F7"/>
    <w:rsid w:val="00B960BC"/>
    <w:rsid w:val="00BA2E8E"/>
    <w:rsid w:val="00BA3FB2"/>
    <w:rsid w:val="00BA7AD7"/>
    <w:rsid w:val="00BB0485"/>
    <w:rsid w:val="00BB3E07"/>
    <w:rsid w:val="00BB58B4"/>
    <w:rsid w:val="00BC0106"/>
    <w:rsid w:val="00BC05AE"/>
    <w:rsid w:val="00BC121F"/>
    <w:rsid w:val="00BC12BA"/>
    <w:rsid w:val="00BC237D"/>
    <w:rsid w:val="00BC35E6"/>
    <w:rsid w:val="00BC36EC"/>
    <w:rsid w:val="00BC5488"/>
    <w:rsid w:val="00BC59F9"/>
    <w:rsid w:val="00BC692C"/>
    <w:rsid w:val="00BC6B60"/>
    <w:rsid w:val="00BC7914"/>
    <w:rsid w:val="00BC7BF1"/>
    <w:rsid w:val="00BC7D0E"/>
    <w:rsid w:val="00BD058B"/>
    <w:rsid w:val="00BD31FA"/>
    <w:rsid w:val="00BD3C87"/>
    <w:rsid w:val="00BD5269"/>
    <w:rsid w:val="00BD613C"/>
    <w:rsid w:val="00BD6FCC"/>
    <w:rsid w:val="00BD7BA6"/>
    <w:rsid w:val="00BE0E7C"/>
    <w:rsid w:val="00BE21B0"/>
    <w:rsid w:val="00BE2207"/>
    <w:rsid w:val="00BE302B"/>
    <w:rsid w:val="00BE474E"/>
    <w:rsid w:val="00BE47B0"/>
    <w:rsid w:val="00BE5917"/>
    <w:rsid w:val="00BE7003"/>
    <w:rsid w:val="00BE77D7"/>
    <w:rsid w:val="00BF1303"/>
    <w:rsid w:val="00BF133F"/>
    <w:rsid w:val="00BF1ED4"/>
    <w:rsid w:val="00BF2627"/>
    <w:rsid w:val="00BF32BF"/>
    <w:rsid w:val="00BF369A"/>
    <w:rsid w:val="00BF41CF"/>
    <w:rsid w:val="00BF53F7"/>
    <w:rsid w:val="00C00F38"/>
    <w:rsid w:val="00C0146A"/>
    <w:rsid w:val="00C02896"/>
    <w:rsid w:val="00C03FC0"/>
    <w:rsid w:val="00C040ED"/>
    <w:rsid w:val="00C04749"/>
    <w:rsid w:val="00C04C13"/>
    <w:rsid w:val="00C0584A"/>
    <w:rsid w:val="00C059CA"/>
    <w:rsid w:val="00C103DF"/>
    <w:rsid w:val="00C10CB9"/>
    <w:rsid w:val="00C114FB"/>
    <w:rsid w:val="00C12BDD"/>
    <w:rsid w:val="00C12CE7"/>
    <w:rsid w:val="00C13083"/>
    <w:rsid w:val="00C146B0"/>
    <w:rsid w:val="00C153B3"/>
    <w:rsid w:val="00C17EE1"/>
    <w:rsid w:val="00C20DDE"/>
    <w:rsid w:val="00C21770"/>
    <w:rsid w:val="00C22214"/>
    <w:rsid w:val="00C22650"/>
    <w:rsid w:val="00C22882"/>
    <w:rsid w:val="00C22D77"/>
    <w:rsid w:val="00C22F4E"/>
    <w:rsid w:val="00C24F83"/>
    <w:rsid w:val="00C25CE7"/>
    <w:rsid w:val="00C25DCA"/>
    <w:rsid w:val="00C25E36"/>
    <w:rsid w:val="00C2781D"/>
    <w:rsid w:val="00C302C8"/>
    <w:rsid w:val="00C30359"/>
    <w:rsid w:val="00C30689"/>
    <w:rsid w:val="00C3091F"/>
    <w:rsid w:val="00C30BA4"/>
    <w:rsid w:val="00C325D6"/>
    <w:rsid w:val="00C32EB7"/>
    <w:rsid w:val="00C3480F"/>
    <w:rsid w:val="00C37E7E"/>
    <w:rsid w:val="00C44B81"/>
    <w:rsid w:val="00C4594A"/>
    <w:rsid w:val="00C476FF"/>
    <w:rsid w:val="00C51128"/>
    <w:rsid w:val="00C52A8B"/>
    <w:rsid w:val="00C53C32"/>
    <w:rsid w:val="00C53C97"/>
    <w:rsid w:val="00C5709C"/>
    <w:rsid w:val="00C57223"/>
    <w:rsid w:val="00C5723F"/>
    <w:rsid w:val="00C578AF"/>
    <w:rsid w:val="00C61483"/>
    <w:rsid w:val="00C61627"/>
    <w:rsid w:val="00C61B8A"/>
    <w:rsid w:val="00C62A3B"/>
    <w:rsid w:val="00C64F96"/>
    <w:rsid w:val="00C65923"/>
    <w:rsid w:val="00C67C6B"/>
    <w:rsid w:val="00C706E3"/>
    <w:rsid w:val="00C723F2"/>
    <w:rsid w:val="00C733A5"/>
    <w:rsid w:val="00C73941"/>
    <w:rsid w:val="00C73956"/>
    <w:rsid w:val="00C7487C"/>
    <w:rsid w:val="00C761B6"/>
    <w:rsid w:val="00C805AC"/>
    <w:rsid w:val="00C80603"/>
    <w:rsid w:val="00C81F96"/>
    <w:rsid w:val="00C8278B"/>
    <w:rsid w:val="00C82DC3"/>
    <w:rsid w:val="00C838DE"/>
    <w:rsid w:val="00C83E5C"/>
    <w:rsid w:val="00C8416E"/>
    <w:rsid w:val="00C84FF8"/>
    <w:rsid w:val="00C8582E"/>
    <w:rsid w:val="00C862E1"/>
    <w:rsid w:val="00C86834"/>
    <w:rsid w:val="00C86A1D"/>
    <w:rsid w:val="00C8706E"/>
    <w:rsid w:val="00C871BB"/>
    <w:rsid w:val="00C903DA"/>
    <w:rsid w:val="00C919A0"/>
    <w:rsid w:val="00C92222"/>
    <w:rsid w:val="00C923C7"/>
    <w:rsid w:val="00C92961"/>
    <w:rsid w:val="00C939EA"/>
    <w:rsid w:val="00C95D3C"/>
    <w:rsid w:val="00C965CB"/>
    <w:rsid w:val="00CA008B"/>
    <w:rsid w:val="00CA02B2"/>
    <w:rsid w:val="00CA2440"/>
    <w:rsid w:val="00CA27C6"/>
    <w:rsid w:val="00CA3752"/>
    <w:rsid w:val="00CA4408"/>
    <w:rsid w:val="00CA7705"/>
    <w:rsid w:val="00CB0598"/>
    <w:rsid w:val="00CB071D"/>
    <w:rsid w:val="00CB0933"/>
    <w:rsid w:val="00CB0AFA"/>
    <w:rsid w:val="00CB5BC6"/>
    <w:rsid w:val="00CB69A5"/>
    <w:rsid w:val="00CB73CC"/>
    <w:rsid w:val="00CB783C"/>
    <w:rsid w:val="00CB7990"/>
    <w:rsid w:val="00CB7AB1"/>
    <w:rsid w:val="00CC385E"/>
    <w:rsid w:val="00CC73DB"/>
    <w:rsid w:val="00CD0617"/>
    <w:rsid w:val="00CD0628"/>
    <w:rsid w:val="00CD3048"/>
    <w:rsid w:val="00CD3657"/>
    <w:rsid w:val="00CD4F18"/>
    <w:rsid w:val="00CD6D7E"/>
    <w:rsid w:val="00CE0B7A"/>
    <w:rsid w:val="00CE290A"/>
    <w:rsid w:val="00CE342E"/>
    <w:rsid w:val="00CE3A14"/>
    <w:rsid w:val="00CE3DEA"/>
    <w:rsid w:val="00CE4014"/>
    <w:rsid w:val="00CE7A3A"/>
    <w:rsid w:val="00CF08A7"/>
    <w:rsid w:val="00CF2014"/>
    <w:rsid w:val="00CF27ED"/>
    <w:rsid w:val="00CF2D5B"/>
    <w:rsid w:val="00CF3520"/>
    <w:rsid w:val="00CF60DE"/>
    <w:rsid w:val="00CF62A3"/>
    <w:rsid w:val="00CF65C8"/>
    <w:rsid w:val="00CF7136"/>
    <w:rsid w:val="00CF7DE5"/>
    <w:rsid w:val="00D004D0"/>
    <w:rsid w:val="00D01906"/>
    <w:rsid w:val="00D01C95"/>
    <w:rsid w:val="00D0276F"/>
    <w:rsid w:val="00D02F88"/>
    <w:rsid w:val="00D03534"/>
    <w:rsid w:val="00D04D4A"/>
    <w:rsid w:val="00D05BBB"/>
    <w:rsid w:val="00D06236"/>
    <w:rsid w:val="00D062D0"/>
    <w:rsid w:val="00D073A4"/>
    <w:rsid w:val="00D07541"/>
    <w:rsid w:val="00D129D7"/>
    <w:rsid w:val="00D1330D"/>
    <w:rsid w:val="00D13F14"/>
    <w:rsid w:val="00D14043"/>
    <w:rsid w:val="00D142FB"/>
    <w:rsid w:val="00D21C95"/>
    <w:rsid w:val="00D236C7"/>
    <w:rsid w:val="00D26E20"/>
    <w:rsid w:val="00D32250"/>
    <w:rsid w:val="00D32329"/>
    <w:rsid w:val="00D323C3"/>
    <w:rsid w:val="00D34F1F"/>
    <w:rsid w:val="00D36994"/>
    <w:rsid w:val="00D41CB1"/>
    <w:rsid w:val="00D42E37"/>
    <w:rsid w:val="00D43F71"/>
    <w:rsid w:val="00D44A5B"/>
    <w:rsid w:val="00D47B7C"/>
    <w:rsid w:val="00D53344"/>
    <w:rsid w:val="00D53486"/>
    <w:rsid w:val="00D53DCE"/>
    <w:rsid w:val="00D61219"/>
    <w:rsid w:val="00D62674"/>
    <w:rsid w:val="00D64663"/>
    <w:rsid w:val="00D647C0"/>
    <w:rsid w:val="00D65180"/>
    <w:rsid w:val="00D67469"/>
    <w:rsid w:val="00D67D14"/>
    <w:rsid w:val="00D71B26"/>
    <w:rsid w:val="00D73E91"/>
    <w:rsid w:val="00D743DD"/>
    <w:rsid w:val="00D75D80"/>
    <w:rsid w:val="00D76511"/>
    <w:rsid w:val="00D76541"/>
    <w:rsid w:val="00D76774"/>
    <w:rsid w:val="00D80E58"/>
    <w:rsid w:val="00D81502"/>
    <w:rsid w:val="00D81962"/>
    <w:rsid w:val="00D81BA7"/>
    <w:rsid w:val="00D822E3"/>
    <w:rsid w:val="00D83CAC"/>
    <w:rsid w:val="00D85CC9"/>
    <w:rsid w:val="00D86CF8"/>
    <w:rsid w:val="00D87421"/>
    <w:rsid w:val="00D8760A"/>
    <w:rsid w:val="00D9056C"/>
    <w:rsid w:val="00D908AA"/>
    <w:rsid w:val="00D91AAC"/>
    <w:rsid w:val="00D91AF9"/>
    <w:rsid w:val="00D91F92"/>
    <w:rsid w:val="00D92A34"/>
    <w:rsid w:val="00D935FE"/>
    <w:rsid w:val="00D9382E"/>
    <w:rsid w:val="00D95173"/>
    <w:rsid w:val="00D95563"/>
    <w:rsid w:val="00D973C8"/>
    <w:rsid w:val="00D97793"/>
    <w:rsid w:val="00DA0161"/>
    <w:rsid w:val="00DA0CCA"/>
    <w:rsid w:val="00DA165F"/>
    <w:rsid w:val="00DA26A6"/>
    <w:rsid w:val="00DA2E38"/>
    <w:rsid w:val="00DA425E"/>
    <w:rsid w:val="00DA492C"/>
    <w:rsid w:val="00DA64D5"/>
    <w:rsid w:val="00DB0EF8"/>
    <w:rsid w:val="00DB1EC0"/>
    <w:rsid w:val="00DB3B65"/>
    <w:rsid w:val="00DB3EE4"/>
    <w:rsid w:val="00DB6F69"/>
    <w:rsid w:val="00DB730E"/>
    <w:rsid w:val="00DC010B"/>
    <w:rsid w:val="00DC10BF"/>
    <w:rsid w:val="00DC1197"/>
    <w:rsid w:val="00DC5DF0"/>
    <w:rsid w:val="00DD0D3D"/>
    <w:rsid w:val="00DD348D"/>
    <w:rsid w:val="00DD3A70"/>
    <w:rsid w:val="00DD4B26"/>
    <w:rsid w:val="00DD4DCC"/>
    <w:rsid w:val="00DD55CF"/>
    <w:rsid w:val="00DD682E"/>
    <w:rsid w:val="00DD77B4"/>
    <w:rsid w:val="00DE0069"/>
    <w:rsid w:val="00DE1226"/>
    <w:rsid w:val="00DE13CF"/>
    <w:rsid w:val="00DE1E2E"/>
    <w:rsid w:val="00DE3058"/>
    <w:rsid w:val="00DE464B"/>
    <w:rsid w:val="00DE7AD0"/>
    <w:rsid w:val="00DF0307"/>
    <w:rsid w:val="00DF29CB"/>
    <w:rsid w:val="00DF30FB"/>
    <w:rsid w:val="00DF33BC"/>
    <w:rsid w:val="00DF3E88"/>
    <w:rsid w:val="00DF4059"/>
    <w:rsid w:val="00DF4CB1"/>
    <w:rsid w:val="00DF55B1"/>
    <w:rsid w:val="00E0021B"/>
    <w:rsid w:val="00E00BBE"/>
    <w:rsid w:val="00E01A44"/>
    <w:rsid w:val="00E040F6"/>
    <w:rsid w:val="00E05889"/>
    <w:rsid w:val="00E07649"/>
    <w:rsid w:val="00E14480"/>
    <w:rsid w:val="00E15168"/>
    <w:rsid w:val="00E16F83"/>
    <w:rsid w:val="00E20336"/>
    <w:rsid w:val="00E20B20"/>
    <w:rsid w:val="00E21AF2"/>
    <w:rsid w:val="00E230BE"/>
    <w:rsid w:val="00E239A4"/>
    <w:rsid w:val="00E24C9F"/>
    <w:rsid w:val="00E25951"/>
    <w:rsid w:val="00E259A6"/>
    <w:rsid w:val="00E27AC8"/>
    <w:rsid w:val="00E27FF7"/>
    <w:rsid w:val="00E3010F"/>
    <w:rsid w:val="00E31EBD"/>
    <w:rsid w:val="00E324B8"/>
    <w:rsid w:val="00E32627"/>
    <w:rsid w:val="00E33FA9"/>
    <w:rsid w:val="00E34D5F"/>
    <w:rsid w:val="00E3563D"/>
    <w:rsid w:val="00E366CB"/>
    <w:rsid w:val="00E42DD2"/>
    <w:rsid w:val="00E4333B"/>
    <w:rsid w:val="00E43741"/>
    <w:rsid w:val="00E44479"/>
    <w:rsid w:val="00E45ED3"/>
    <w:rsid w:val="00E46D30"/>
    <w:rsid w:val="00E473C9"/>
    <w:rsid w:val="00E47587"/>
    <w:rsid w:val="00E53554"/>
    <w:rsid w:val="00E53678"/>
    <w:rsid w:val="00E53E97"/>
    <w:rsid w:val="00E54C44"/>
    <w:rsid w:val="00E552A9"/>
    <w:rsid w:val="00E57C4E"/>
    <w:rsid w:val="00E61481"/>
    <w:rsid w:val="00E6228B"/>
    <w:rsid w:val="00E6313C"/>
    <w:rsid w:val="00E63177"/>
    <w:rsid w:val="00E65162"/>
    <w:rsid w:val="00E656A6"/>
    <w:rsid w:val="00E67AAB"/>
    <w:rsid w:val="00E67B68"/>
    <w:rsid w:val="00E67E76"/>
    <w:rsid w:val="00E70033"/>
    <w:rsid w:val="00E71ED5"/>
    <w:rsid w:val="00E72EEA"/>
    <w:rsid w:val="00E75B50"/>
    <w:rsid w:val="00E76D1B"/>
    <w:rsid w:val="00E8084B"/>
    <w:rsid w:val="00E80E38"/>
    <w:rsid w:val="00E80EAC"/>
    <w:rsid w:val="00E81A69"/>
    <w:rsid w:val="00E81D46"/>
    <w:rsid w:val="00E81FDA"/>
    <w:rsid w:val="00E83163"/>
    <w:rsid w:val="00E834E6"/>
    <w:rsid w:val="00E844C5"/>
    <w:rsid w:val="00E8535E"/>
    <w:rsid w:val="00E8561F"/>
    <w:rsid w:val="00E87901"/>
    <w:rsid w:val="00E90B2C"/>
    <w:rsid w:val="00E91266"/>
    <w:rsid w:val="00E92A55"/>
    <w:rsid w:val="00E93CA9"/>
    <w:rsid w:val="00E94363"/>
    <w:rsid w:val="00E96B0F"/>
    <w:rsid w:val="00E97A43"/>
    <w:rsid w:val="00E97FA2"/>
    <w:rsid w:val="00EA0CCB"/>
    <w:rsid w:val="00EA1B1D"/>
    <w:rsid w:val="00EA2E20"/>
    <w:rsid w:val="00EA52A6"/>
    <w:rsid w:val="00EA5889"/>
    <w:rsid w:val="00EA5A82"/>
    <w:rsid w:val="00EA774D"/>
    <w:rsid w:val="00EA78E1"/>
    <w:rsid w:val="00EA7B8C"/>
    <w:rsid w:val="00EB01B9"/>
    <w:rsid w:val="00EB3AFE"/>
    <w:rsid w:val="00EB3EBC"/>
    <w:rsid w:val="00EB45E3"/>
    <w:rsid w:val="00EB5AB6"/>
    <w:rsid w:val="00EB676A"/>
    <w:rsid w:val="00EB72F9"/>
    <w:rsid w:val="00EB7568"/>
    <w:rsid w:val="00EB7E31"/>
    <w:rsid w:val="00EC0090"/>
    <w:rsid w:val="00EC035D"/>
    <w:rsid w:val="00EC036A"/>
    <w:rsid w:val="00EC079F"/>
    <w:rsid w:val="00EC101A"/>
    <w:rsid w:val="00EC17A7"/>
    <w:rsid w:val="00EC5E33"/>
    <w:rsid w:val="00EC70E3"/>
    <w:rsid w:val="00ED215F"/>
    <w:rsid w:val="00ED266D"/>
    <w:rsid w:val="00ED3009"/>
    <w:rsid w:val="00ED4441"/>
    <w:rsid w:val="00ED7133"/>
    <w:rsid w:val="00ED7F2B"/>
    <w:rsid w:val="00EE20AD"/>
    <w:rsid w:val="00EE3B58"/>
    <w:rsid w:val="00EE6A29"/>
    <w:rsid w:val="00EF0CED"/>
    <w:rsid w:val="00EF1891"/>
    <w:rsid w:val="00EF23D1"/>
    <w:rsid w:val="00EF26ED"/>
    <w:rsid w:val="00EF2928"/>
    <w:rsid w:val="00EF3CAD"/>
    <w:rsid w:val="00EF6E66"/>
    <w:rsid w:val="00F004B7"/>
    <w:rsid w:val="00F012EE"/>
    <w:rsid w:val="00F0627F"/>
    <w:rsid w:val="00F07C1B"/>
    <w:rsid w:val="00F104E2"/>
    <w:rsid w:val="00F10E35"/>
    <w:rsid w:val="00F1226C"/>
    <w:rsid w:val="00F126C1"/>
    <w:rsid w:val="00F17CF1"/>
    <w:rsid w:val="00F20A0D"/>
    <w:rsid w:val="00F213B5"/>
    <w:rsid w:val="00F23E75"/>
    <w:rsid w:val="00F24536"/>
    <w:rsid w:val="00F24A72"/>
    <w:rsid w:val="00F30198"/>
    <w:rsid w:val="00F3022C"/>
    <w:rsid w:val="00F3055C"/>
    <w:rsid w:val="00F32B71"/>
    <w:rsid w:val="00F32C87"/>
    <w:rsid w:val="00F33875"/>
    <w:rsid w:val="00F34068"/>
    <w:rsid w:val="00F34303"/>
    <w:rsid w:val="00F35016"/>
    <w:rsid w:val="00F35883"/>
    <w:rsid w:val="00F40BD7"/>
    <w:rsid w:val="00F412D5"/>
    <w:rsid w:val="00F4165E"/>
    <w:rsid w:val="00F416A2"/>
    <w:rsid w:val="00F41CA1"/>
    <w:rsid w:val="00F42836"/>
    <w:rsid w:val="00F42874"/>
    <w:rsid w:val="00F43674"/>
    <w:rsid w:val="00F438A2"/>
    <w:rsid w:val="00F44E75"/>
    <w:rsid w:val="00F4541D"/>
    <w:rsid w:val="00F53A6E"/>
    <w:rsid w:val="00F543D4"/>
    <w:rsid w:val="00F6065E"/>
    <w:rsid w:val="00F61DE4"/>
    <w:rsid w:val="00F653B0"/>
    <w:rsid w:val="00F65B23"/>
    <w:rsid w:val="00F6677E"/>
    <w:rsid w:val="00F671EE"/>
    <w:rsid w:val="00F6783D"/>
    <w:rsid w:val="00F710A9"/>
    <w:rsid w:val="00F7246C"/>
    <w:rsid w:val="00F7282C"/>
    <w:rsid w:val="00F733E9"/>
    <w:rsid w:val="00F73C23"/>
    <w:rsid w:val="00F73EF4"/>
    <w:rsid w:val="00F743DE"/>
    <w:rsid w:val="00F754A9"/>
    <w:rsid w:val="00F755DF"/>
    <w:rsid w:val="00F75944"/>
    <w:rsid w:val="00F77D3A"/>
    <w:rsid w:val="00F803F8"/>
    <w:rsid w:val="00F810CA"/>
    <w:rsid w:val="00F82023"/>
    <w:rsid w:val="00F82238"/>
    <w:rsid w:val="00F82254"/>
    <w:rsid w:val="00F85527"/>
    <w:rsid w:val="00F904C1"/>
    <w:rsid w:val="00F90906"/>
    <w:rsid w:val="00F90A30"/>
    <w:rsid w:val="00F90C4C"/>
    <w:rsid w:val="00FA0269"/>
    <w:rsid w:val="00FA0566"/>
    <w:rsid w:val="00FA2662"/>
    <w:rsid w:val="00FA28B2"/>
    <w:rsid w:val="00FA34FA"/>
    <w:rsid w:val="00FA3B61"/>
    <w:rsid w:val="00FA4333"/>
    <w:rsid w:val="00FA46AA"/>
    <w:rsid w:val="00FA4F61"/>
    <w:rsid w:val="00FA5624"/>
    <w:rsid w:val="00FA5D7D"/>
    <w:rsid w:val="00FA6972"/>
    <w:rsid w:val="00FA6AFB"/>
    <w:rsid w:val="00FA7610"/>
    <w:rsid w:val="00FA7DA6"/>
    <w:rsid w:val="00FB052E"/>
    <w:rsid w:val="00FB234A"/>
    <w:rsid w:val="00FB3275"/>
    <w:rsid w:val="00FB38ED"/>
    <w:rsid w:val="00FB54A0"/>
    <w:rsid w:val="00FB7C60"/>
    <w:rsid w:val="00FB7CA4"/>
    <w:rsid w:val="00FB7DC4"/>
    <w:rsid w:val="00FC1781"/>
    <w:rsid w:val="00FC3208"/>
    <w:rsid w:val="00FC34D9"/>
    <w:rsid w:val="00FC4770"/>
    <w:rsid w:val="00FC63EE"/>
    <w:rsid w:val="00FC713E"/>
    <w:rsid w:val="00FC71C6"/>
    <w:rsid w:val="00FC740A"/>
    <w:rsid w:val="00FD041A"/>
    <w:rsid w:val="00FD05C2"/>
    <w:rsid w:val="00FD131F"/>
    <w:rsid w:val="00FD27E5"/>
    <w:rsid w:val="00FD2892"/>
    <w:rsid w:val="00FD2A4A"/>
    <w:rsid w:val="00FD2D96"/>
    <w:rsid w:val="00FD4136"/>
    <w:rsid w:val="00FD4A02"/>
    <w:rsid w:val="00FD5565"/>
    <w:rsid w:val="00FD5A75"/>
    <w:rsid w:val="00FD6675"/>
    <w:rsid w:val="00FD677D"/>
    <w:rsid w:val="00FD78D0"/>
    <w:rsid w:val="00FE05BF"/>
    <w:rsid w:val="00FE12B8"/>
    <w:rsid w:val="00FE1797"/>
    <w:rsid w:val="00FE3439"/>
    <w:rsid w:val="00FE4889"/>
    <w:rsid w:val="00FE4A44"/>
    <w:rsid w:val="00FE4AAF"/>
    <w:rsid w:val="00FE75F8"/>
    <w:rsid w:val="00FE7B8A"/>
    <w:rsid w:val="00FF276B"/>
    <w:rsid w:val="00FF340A"/>
    <w:rsid w:val="00FF66B6"/>
    <w:rsid w:val="00FF73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5E0F8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39" w:unhideWhenUsed="0"/>
    <w:lsdException w:name="toc 2" w:semiHidden="0" w:uiPriority="39" w:unhideWhenUsed="0"/>
    <w:lsdException w:name="toc 3" w:semiHidden="0" w:unhideWhenUsed="0"/>
    <w:lsdException w:name="toc 4" w:semiHidden="0" w:uiPriority="39" w:unhideWhenUsed="0"/>
    <w:lsdException w:name="toc 5" w:semiHidden="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uiPriority="0"/>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uiPriority="0"/>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Default Paragraph Font" w:semiHidden="0" w:uiPriority="1"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nhideWhenUsed="0" w:qFormat="1"/>
  </w:latentStyles>
  <w:style w:type="paragraph" w:default="1" w:styleId="Normal">
    <w:name w:val="Normal"/>
    <w:qFormat/>
    <w:rsid w:val="003B5161"/>
    <w:pPr>
      <w:spacing w:line="240" w:lineRule="atLeast"/>
      <w:jc w:val="both"/>
    </w:pPr>
    <w:rPr>
      <w:szCs w:val="20"/>
    </w:rPr>
  </w:style>
  <w:style w:type="paragraph" w:styleId="Heading1">
    <w:name w:val="heading 1"/>
    <w:aliases w:val="H1-Sec.Head"/>
    <w:basedOn w:val="Normal"/>
    <w:next w:val="P1-StandPara"/>
    <w:link w:val="Heading1Char"/>
    <w:uiPriority w:val="99"/>
    <w:qFormat/>
    <w:rsid w:val="00EF1891"/>
    <w:pPr>
      <w:keepNext/>
      <w:tabs>
        <w:tab w:val="left" w:pos="1152"/>
      </w:tabs>
      <w:spacing w:before="360" w:after="120"/>
      <w:ind w:left="1152" w:hanging="1152"/>
      <w:outlineLvl w:val="0"/>
    </w:pPr>
    <w:rPr>
      <w:rFonts w:ascii="Garamond" w:hAnsi="Garamond"/>
      <w:b/>
      <w:sz w:val="24"/>
    </w:rPr>
  </w:style>
  <w:style w:type="paragraph" w:styleId="Heading2">
    <w:name w:val="heading 2"/>
    <w:aliases w:val="H2-Sec. Head"/>
    <w:basedOn w:val="Normal"/>
    <w:next w:val="P1-StandPara"/>
    <w:link w:val="Heading2Char"/>
    <w:uiPriority w:val="99"/>
    <w:qFormat/>
    <w:rsid w:val="003B5161"/>
    <w:pPr>
      <w:keepNext/>
      <w:tabs>
        <w:tab w:val="left" w:pos="1152"/>
      </w:tabs>
      <w:spacing w:after="360" w:line="360" w:lineRule="atLeast"/>
      <w:ind w:left="1152" w:hanging="1152"/>
      <w:outlineLvl w:val="1"/>
    </w:pPr>
    <w:rPr>
      <w:b/>
    </w:rPr>
  </w:style>
  <w:style w:type="paragraph" w:styleId="Heading3">
    <w:name w:val="heading 3"/>
    <w:aliases w:val="H3-Sec. Head"/>
    <w:basedOn w:val="Normal"/>
    <w:next w:val="P1-StandPara"/>
    <w:link w:val="Heading3Char"/>
    <w:uiPriority w:val="99"/>
    <w:qFormat/>
    <w:rsid w:val="003B5161"/>
    <w:pPr>
      <w:keepNext/>
      <w:tabs>
        <w:tab w:val="left" w:pos="1152"/>
      </w:tabs>
      <w:spacing w:after="360" w:line="360" w:lineRule="atLeast"/>
      <w:ind w:left="1152" w:hanging="1152"/>
      <w:outlineLvl w:val="2"/>
    </w:pPr>
    <w:rPr>
      <w:b/>
    </w:rPr>
  </w:style>
  <w:style w:type="paragraph" w:styleId="Heading4">
    <w:name w:val="heading 4"/>
    <w:aliases w:val="H4 Sec.Heading"/>
    <w:basedOn w:val="Normal"/>
    <w:next w:val="P1-StandPara"/>
    <w:link w:val="Heading4Char"/>
    <w:uiPriority w:val="99"/>
    <w:qFormat/>
    <w:rsid w:val="003B5161"/>
    <w:pPr>
      <w:keepNext/>
      <w:tabs>
        <w:tab w:val="left" w:pos="1152"/>
      </w:tabs>
      <w:spacing w:after="360" w:line="360" w:lineRule="atLeast"/>
      <w:ind w:left="1152" w:hanging="1152"/>
      <w:outlineLvl w:val="3"/>
    </w:pPr>
    <w:rPr>
      <w:b/>
    </w:rPr>
  </w:style>
  <w:style w:type="paragraph" w:styleId="Heading5">
    <w:name w:val="heading 5"/>
    <w:basedOn w:val="Normal"/>
    <w:next w:val="Normal"/>
    <w:link w:val="Heading5Char"/>
    <w:uiPriority w:val="99"/>
    <w:qFormat/>
    <w:rsid w:val="003B5161"/>
    <w:pPr>
      <w:keepLines/>
      <w:spacing w:before="360" w:line="360" w:lineRule="atLeast"/>
      <w:jc w:val="center"/>
      <w:outlineLvl w:val="4"/>
    </w:pPr>
  </w:style>
  <w:style w:type="paragraph" w:styleId="Heading6">
    <w:name w:val="heading 6"/>
    <w:basedOn w:val="Normal"/>
    <w:next w:val="Normal"/>
    <w:link w:val="Heading6Char"/>
    <w:uiPriority w:val="99"/>
    <w:qFormat/>
    <w:rsid w:val="003B5161"/>
    <w:pPr>
      <w:keepNext/>
      <w:spacing w:before="240"/>
      <w:jc w:val="center"/>
      <w:outlineLvl w:val="5"/>
    </w:pPr>
    <w:rPr>
      <w:b/>
      <w:caps/>
    </w:rPr>
  </w:style>
  <w:style w:type="paragraph" w:styleId="Heading7">
    <w:name w:val="heading 7"/>
    <w:basedOn w:val="Normal"/>
    <w:next w:val="Normal"/>
    <w:link w:val="Heading7Char"/>
    <w:uiPriority w:val="99"/>
    <w:qFormat/>
    <w:rsid w:val="003B5161"/>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uiPriority w:val="99"/>
    <w:locked/>
    <w:rsid w:val="009E58C9"/>
    <w:rPr>
      <w:rFonts w:ascii="Cambria" w:hAnsi="Cambria" w:cs="Times New Roman"/>
      <w:b/>
      <w:bCs/>
      <w:kern w:val="32"/>
      <w:sz w:val="32"/>
      <w:szCs w:val="32"/>
    </w:rPr>
  </w:style>
  <w:style w:type="character" w:customStyle="1" w:styleId="Heading2Char">
    <w:name w:val="Heading 2 Char"/>
    <w:aliases w:val="H2-Sec. Head Char"/>
    <w:basedOn w:val="DefaultParagraphFont"/>
    <w:link w:val="Heading2"/>
    <w:uiPriority w:val="99"/>
    <w:semiHidden/>
    <w:locked/>
    <w:rsid w:val="009E58C9"/>
    <w:rPr>
      <w:rFonts w:ascii="Cambria" w:hAnsi="Cambria" w:cs="Times New Roman"/>
      <w:b/>
      <w:bCs/>
      <w:i/>
      <w:iCs/>
      <w:sz w:val="28"/>
      <w:szCs w:val="28"/>
    </w:rPr>
  </w:style>
  <w:style w:type="character" w:customStyle="1" w:styleId="Heading3Char">
    <w:name w:val="Heading 3 Char"/>
    <w:aliases w:val="H3-Sec. Head Char"/>
    <w:basedOn w:val="DefaultParagraphFont"/>
    <w:link w:val="Heading3"/>
    <w:uiPriority w:val="99"/>
    <w:semiHidden/>
    <w:locked/>
    <w:rsid w:val="009E58C9"/>
    <w:rPr>
      <w:rFonts w:ascii="Cambria" w:hAnsi="Cambria" w:cs="Times New Roman"/>
      <w:b/>
      <w:bCs/>
      <w:sz w:val="26"/>
      <w:szCs w:val="26"/>
    </w:rPr>
  </w:style>
  <w:style w:type="character" w:customStyle="1" w:styleId="Heading4Char">
    <w:name w:val="Heading 4 Char"/>
    <w:aliases w:val="H4 Sec.Heading Char"/>
    <w:basedOn w:val="DefaultParagraphFont"/>
    <w:link w:val="Heading4"/>
    <w:uiPriority w:val="99"/>
    <w:semiHidden/>
    <w:locked/>
    <w:rsid w:val="009E58C9"/>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9E58C9"/>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9E58C9"/>
    <w:rPr>
      <w:rFonts w:ascii="Calibri" w:hAnsi="Calibri" w:cs="Times New Roman"/>
      <w:b/>
      <w:bCs/>
    </w:rPr>
  </w:style>
  <w:style w:type="character" w:customStyle="1" w:styleId="Heading7Char">
    <w:name w:val="Heading 7 Char"/>
    <w:basedOn w:val="DefaultParagraphFont"/>
    <w:link w:val="Heading7"/>
    <w:uiPriority w:val="99"/>
    <w:semiHidden/>
    <w:locked/>
    <w:rsid w:val="009E58C9"/>
    <w:rPr>
      <w:rFonts w:ascii="Calibri" w:hAnsi="Calibri" w:cs="Times New Roman"/>
      <w:sz w:val="24"/>
      <w:szCs w:val="24"/>
    </w:rPr>
  </w:style>
  <w:style w:type="paragraph" w:customStyle="1" w:styleId="C1-CtrBoldHd">
    <w:name w:val="C1-Ctr BoldHd"/>
    <w:uiPriority w:val="99"/>
    <w:rsid w:val="00406EBD"/>
    <w:pPr>
      <w:keepNext/>
      <w:spacing w:after="720" w:line="240" w:lineRule="atLeast"/>
      <w:jc w:val="center"/>
    </w:pPr>
    <w:rPr>
      <w:rFonts w:ascii="Garamond" w:hAnsi="Garamond"/>
      <w:b/>
      <w:caps/>
      <w:sz w:val="24"/>
      <w:szCs w:val="20"/>
    </w:rPr>
  </w:style>
  <w:style w:type="paragraph" w:customStyle="1" w:styleId="C2-CtrSglSp">
    <w:name w:val="C2-Ctr Sgl Sp"/>
    <w:uiPriority w:val="99"/>
    <w:rsid w:val="003B5161"/>
    <w:pPr>
      <w:keepLines/>
      <w:spacing w:line="240" w:lineRule="atLeast"/>
      <w:jc w:val="center"/>
    </w:pPr>
    <w:rPr>
      <w:szCs w:val="20"/>
    </w:rPr>
  </w:style>
  <w:style w:type="paragraph" w:customStyle="1" w:styleId="C3-CtrSp12">
    <w:name w:val="C3-Ctr Sp&amp;1/2"/>
    <w:uiPriority w:val="99"/>
    <w:rsid w:val="003B5161"/>
    <w:pPr>
      <w:keepLines/>
      <w:spacing w:line="360" w:lineRule="atLeast"/>
      <w:jc w:val="center"/>
    </w:pPr>
    <w:rPr>
      <w:szCs w:val="20"/>
    </w:rPr>
  </w:style>
  <w:style w:type="paragraph" w:customStyle="1" w:styleId="E1-Equation">
    <w:name w:val="E1-Equation"/>
    <w:uiPriority w:val="99"/>
    <w:rsid w:val="003B5161"/>
    <w:pPr>
      <w:tabs>
        <w:tab w:val="center" w:pos="4680"/>
        <w:tab w:val="right" w:pos="9360"/>
      </w:tabs>
      <w:spacing w:line="240" w:lineRule="atLeast"/>
      <w:jc w:val="both"/>
    </w:pPr>
    <w:rPr>
      <w:szCs w:val="20"/>
    </w:rPr>
  </w:style>
  <w:style w:type="paragraph" w:customStyle="1" w:styleId="E2-Equation">
    <w:name w:val="E2-Equation"/>
    <w:basedOn w:val="E1-Equation"/>
    <w:uiPriority w:val="99"/>
    <w:rsid w:val="003B5161"/>
    <w:pPr>
      <w:tabs>
        <w:tab w:val="clear" w:pos="4680"/>
        <w:tab w:val="clear" w:pos="9360"/>
        <w:tab w:val="right" w:pos="1152"/>
        <w:tab w:val="center" w:pos="1440"/>
        <w:tab w:val="left" w:pos="1728"/>
      </w:tabs>
      <w:ind w:left="1728" w:hanging="1728"/>
    </w:pPr>
  </w:style>
  <w:style w:type="paragraph" w:styleId="FootnoteText">
    <w:name w:val="footnote text"/>
    <w:aliases w:val="F1"/>
    <w:basedOn w:val="Normal"/>
    <w:link w:val="FootnoteTextChar"/>
    <w:semiHidden/>
    <w:rsid w:val="003B5161"/>
    <w:pPr>
      <w:tabs>
        <w:tab w:val="left" w:pos="120"/>
      </w:tabs>
      <w:spacing w:before="120" w:line="200" w:lineRule="atLeast"/>
      <w:ind w:left="115" w:hanging="115"/>
    </w:pPr>
    <w:rPr>
      <w:sz w:val="16"/>
    </w:rPr>
  </w:style>
  <w:style w:type="character" w:customStyle="1" w:styleId="FootnoteTextChar">
    <w:name w:val="Footnote Text Char"/>
    <w:aliases w:val="F1 Char"/>
    <w:basedOn w:val="DefaultParagraphFont"/>
    <w:link w:val="FootnoteText"/>
    <w:semiHidden/>
    <w:locked/>
    <w:rsid w:val="001A7B52"/>
    <w:rPr>
      <w:rFonts w:cs="Times New Roman"/>
      <w:sz w:val="16"/>
      <w:lang w:val="en-US" w:eastAsia="en-US" w:bidi="ar-SA"/>
    </w:rPr>
  </w:style>
  <w:style w:type="paragraph" w:customStyle="1" w:styleId="L1-FlLSp12">
    <w:name w:val="L1-FlL Sp&amp;1/2"/>
    <w:link w:val="L1-FlLSp12Char"/>
    <w:uiPriority w:val="99"/>
    <w:rsid w:val="003B5161"/>
    <w:pPr>
      <w:tabs>
        <w:tab w:val="left" w:pos="1152"/>
      </w:tabs>
      <w:spacing w:line="360" w:lineRule="atLeast"/>
      <w:jc w:val="both"/>
    </w:pPr>
    <w:rPr>
      <w:szCs w:val="20"/>
    </w:rPr>
  </w:style>
  <w:style w:type="paragraph" w:customStyle="1" w:styleId="N0-FlLftBullet">
    <w:name w:val="N0-Fl Lft Bullet"/>
    <w:basedOn w:val="Normal"/>
    <w:uiPriority w:val="99"/>
    <w:rsid w:val="003B5161"/>
    <w:pPr>
      <w:tabs>
        <w:tab w:val="left" w:pos="576"/>
      </w:tabs>
      <w:spacing w:after="240"/>
      <w:ind w:left="576" w:hanging="576"/>
    </w:pPr>
  </w:style>
  <w:style w:type="paragraph" w:customStyle="1" w:styleId="N1-1stBullet">
    <w:name w:val="N1-1st Bullet"/>
    <w:basedOn w:val="Normal"/>
    <w:uiPriority w:val="99"/>
    <w:rsid w:val="003B5161"/>
    <w:pPr>
      <w:tabs>
        <w:tab w:val="left" w:pos="1152"/>
      </w:tabs>
      <w:spacing w:after="240"/>
      <w:ind w:left="1152" w:hanging="576"/>
    </w:pPr>
  </w:style>
  <w:style w:type="paragraph" w:customStyle="1" w:styleId="N2-2ndBullet">
    <w:name w:val="N2-2nd Bullet"/>
    <w:basedOn w:val="Normal"/>
    <w:uiPriority w:val="99"/>
    <w:rsid w:val="003B5161"/>
    <w:pPr>
      <w:numPr>
        <w:numId w:val="3"/>
      </w:numPr>
      <w:spacing w:after="240"/>
    </w:pPr>
  </w:style>
  <w:style w:type="paragraph" w:customStyle="1" w:styleId="N3-3rdBullet">
    <w:name w:val="N3-3rd Bullet"/>
    <w:basedOn w:val="Normal"/>
    <w:uiPriority w:val="99"/>
    <w:rsid w:val="003B5161"/>
    <w:pPr>
      <w:tabs>
        <w:tab w:val="left" w:pos="2304"/>
      </w:tabs>
      <w:spacing w:after="240"/>
      <w:ind w:left="2304" w:hanging="576"/>
    </w:pPr>
  </w:style>
  <w:style w:type="paragraph" w:customStyle="1" w:styleId="N4-4thBullet">
    <w:name w:val="N4-4th Bullet"/>
    <w:basedOn w:val="Normal"/>
    <w:uiPriority w:val="99"/>
    <w:rsid w:val="003B5161"/>
    <w:pPr>
      <w:tabs>
        <w:tab w:val="left" w:pos="2880"/>
      </w:tabs>
      <w:spacing w:after="240"/>
      <w:ind w:left="2880" w:hanging="576"/>
    </w:pPr>
  </w:style>
  <w:style w:type="paragraph" w:customStyle="1" w:styleId="N5-5thBullet">
    <w:name w:val="N5-5th Bullet"/>
    <w:basedOn w:val="Normal"/>
    <w:uiPriority w:val="99"/>
    <w:rsid w:val="003B5161"/>
    <w:pPr>
      <w:tabs>
        <w:tab w:val="left" w:pos="3456"/>
      </w:tabs>
      <w:spacing w:after="240"/>
      <w:ind w:left="3456" w:hanging="576"/>
    </w:pPr>
  </w:style>
  <w:style w:type="paragraph" w:customStyle="1" w:styleId="N6-DateInd">
    <w:name w:val="N6-Date Ind."/>
    <w:basedOn w:val="Normal"/>
    <w:uiPriority w:val="99"/>
    <w:rsid w:val="003B5161"/>
    <w:pPr>
      <w:tabs>
        <w:tab w:val="left" w:pos="5400"/>
      </w:tabs>
      <w:ind w:left="5400"/>
    </w:pPr>
  </w:style>
  <w:style w:type="paragraph" w:customStyle="1" w:styleId="N7-3Block">
    <w:name w:val="N7-3&quot; Block"/>
    <w:basedOn w:val="Normal"/>
    <w:uiPriority w:val="99"/>
    <w:rsid w:val="003B5161"/>
    <w:pPr>
      <w:tabs>
        <w:tab w:val="left" w:pos="1152"/>
      </w:tabs>
      <w:ind w:left="1152" w:right="1152"/>
    </w:pPr>
  </w:style>
  <w:style w:type="paragraph" w:customStyle="1" w:styleId="N8-QxQBlock">
    <w:name w:val="N8-QxQ Block"/>
    <w:uiPriority w:val="99"/>
    <w:rsid w:val="003B5161"/>
    <w:pPr>
      <w:tabs>
        <w:tab w:val="left" w:pos="1152"/>
      </w:tabs>
      <w:spacing w:after="360" w:line="360" w:lineRule="atLeast"/>
      <w:ind w:left="1152" w:hanging="1152"/>
      <w:jc w:val="both"/>
    </w:pPr>
    <w:rPr>
      <w:szCs w:val="20"/>
    </w:rPr>
  </w:style>
  <w:style w:type="paragraph" w:customStyle="1" w:styleId="P1-StandPara">
    <w:name w:val="P1-Stand Para"/>
    <w:uiPriority w:val="99"/>
    <w:rsid w:val="003B5161"/>
    <w:pPr>
      <w:spacing w:line="360" w:lineRule="atLeast"/>
      <w:ind w:firstLine="1152"/>
      <w:jc w:val="both"/>
    </w:pPr>
    <w:rPr>
      <w:szCs w:val="20"/>
    </w:rPr>
  </w:style>
  <w:style w:type="paragraph" w:customStyle="1" w:styleId="Q1-BestFinQ">
    <w:name w:val="Q1-Best/Fin Q"/>
    <w:uiPriority w:val="99"/>
    <w:rsid w:val="003B5161"/>
    <w:pPr>
      <w:tabs>
        <w:tab w:val="left" w:pos="1152"/>
      </w:tabs>
      <w:spacing w:after="360" w:line="240" w:lineRule="atLeast"/>
      <w:ind w:left="1152" w:hanging="1152"/>
      <w:jc w:val="both"/>
    </w:pPr>
    <w:rPr>
      <w:b/>
      <w:szCs w:val="20"/>
    </w:rPr>
  </w:style>
  <w:style w:type="paragraph" w:customStyle="1" w:styleId="SH-SglSpHead">
    <w:name w:val="SH-Sgl Sp Head"/>
    <w:uiPriority w:val="99"/>
    <w:rsid w:val="003B5161"/>
    <w:pPr>
      <w:keepNext/>
      <w:tabs>
        <w:tab w:val="left" w:pos="576"/>
      </w:tabs>
      <w:spacing w:line="240" w:lineRule="atLeast"/>
      <w:ind w:left="576" w:hanging="576"/>
    </w:pPr>
    <w:rPr>
      <w:b/>
      <w:szCs w:val="20"/>
    </w:rPr>
  </w:style>
  <w:style w:type="paragraph" w:customStyle="1" w:styleId="SL-FlLftSgl">
    <w:name w:val="SL-Fl Lft Sgl"/>
    <w:uiPriority w:val="99"/>
    <w:rsid w:val="003B5161"/>
    <w:pPr>
      <w:spacing w:line="240" w:lineRule="atLeast"/>
      <w:jc w:val="both"/>
    </w:pPr>
    <w:rPr>
      <w:szCs w:val="20"/>
    </w:rPr>
  </w:style>
  <w:style w:type="paragraph" w:customStyle="1" w:styleId="SP-SglSpPara">
    <w:name w:val="SP-Sgl Sp Para"/>
    <w:uiPriority w:val="99"/>
    <w:rsid w:val="003B5161"/>
    <w:pPr>
      <w:tabs>
        <w:tab w:val="left" w:pos="576"/>
      </w:tabs>
      <w:spacing w:line="240" w:lineRule="atLeast"/>
      <w:ind w:firstLine="576"/>
      <w:jc w:val="both"/>
    </w:pPr>
    <w:rPr>
      <w:szCs w:val="20"/>
    </w:rPr>
  </w:style>
  <w:style w:type="paragraph" w:customStyle="1" w:styleId="T0-ChapPgHd">
    <w:name w:val="T0-Chap/Pg Hd"/>
    <w:uiPriority w:val="99"/>
    <w:rsid w:val="003B5161"/>
    <w:pPr>
      <w:tabs>
        <w:tab w:val="left" w:pos="8640"/>
      </w:tabs>
      <w:spacing w:line="240" w:lineRule="atLeast"/>
      <w:jc w:val="both"/>
    </w:pPr>
    <w:rPr>
      <w:szCs w:val="20"/>
      <w:u w:val="words"/>
    </w:rPr>
  </w:style>
  <w:style w:type="paragraph" w:styleId="TOC1">
    <w:name w:val="toc 1"/>
    <w:basedOn w:val="Normal"/>
    <w:autoRedefine/>
    <w:uiPriority w:val="39"/>
    <w:rsid w:val="0099504D"/>
    <w:pPr>
      <w:tabs>
        <w:tab w:val="left" w:pos="720"/>
        <w:tab w:val="right" w:leader="dot" w:pos="8640"/>
      </w:tabs>
      <w:ind w:left="720" w:right="720" w:hanging="360"/>
      <w:jc w:val="left"/>
    </w:pPr>
    <w:rPr>
      <w:rFonts w:ascii="Garamond" w:hAnsi="Garamond"/>
      <w:b/>
      <w:sz w:val="24"/>
    </w:rPr>
  </w:style>
  <w:style w:type="paragraph" w:styleId="TOC2">
    <w:name w:val="toc 2"/>
    <w:basedOn w:val="Normal"/>
    <w:autoRedefine/>
    <w:uiPriority w:val="39"/>
    <w:rsid w:val="00C12BDD"/>
    <w:pPr>
      <w:tabs>
        <w:tab w:val="left" w:pos="900"/>
        <w:tab w:val="right" w:leader="dot" w:pos="9360"/>
      </w:tabs>
      <w:ind w:left="720" w:right="720" w:hanging="360"/>
      <w:jc w:val="left"/>
    </w:pPr>
    <w:rPr>
      <w:rFonts w:ascii="Garamond" w:hAnsi="Garamond"/>
      <w:noProof/>
      <w:sz w:val="24"/>
      <w:szCs w:val="24"/>
    </w:rPr>
  </w:style>
  <w:style w:type="paragraph" w:styleId="TOC3">
    <w:name w:val="toc 3"/>
    <w:basedOn w:val="Normal"/>
    <w:autoRedefine/>
    <w:uiPriority w:val="99"/>
    <w:semiHidden/>
    <w:rsid w:val="003B5161"/>
    <w:pPr>
      <w:tabs>
        <w:tab w:val="left" w:pos="3024"/>
        <w:tab w:val="right" w:leader="dot" w:pos="8208"/>
        <w:tab w:val="left" w:pos="8640"/>
      </w:tabs>
      <w:ind w:left="3024" w:hanging="864"/>
      <w:jc w:val="left"/>
    </w:pPr>
  </w:style>
  <w:style w:type="paragraph" w:styleId="TOC4">
    <w:name w:val="toc 4"/>
    <w:basedOn w:val="Normal"/>
    <w:autoRedefine/>
    <w:uiPriority w:val="39"/>
    <w:rsid w:val="003B5161"/>
    <w:pPr>
      <w:tabs>
        <w:tab w:val="left" w:pos="3888"/>
        <w:tab w:val="right" w:leader="dot" w:pos="8208"/>
        <w:tab w:val="left" w:pos="8640"/>
      </w:tabs>
      <w:ind w:left="3888" w:hanging="864"/>
      <w:jc w:val="left"/>
    </w:pPr>
  </w:style>
  <w:style w:type="paragraph" w:styleId="TOC5">
    <w:name w:val="toc 5"/>
    <w:basedOn w:val="TOC1"/>
    <w:autoRedefine/>
    <w:uiPriority w:val="99"/>
    <w:semiHidden/>
    <w:rsid w:val="003B5161"/>
  </w:style>
  <w:style w:type="paragraph" w:customStyle="1" w:styleId="TT-TableTitle">
    <w:name w:val="TT-Table Title"/>
    <w:uiPriority w:val="99"/>
    <w:rsid w:val="00244B12"/>
    <w:pPr>
      <w:tabs>
        <w:tab w:val="left" w:pos="1152"/>
      </w:tabs>
      <w:spacing w:before="240" w:line="240" w:lineRule="atLeast"/>
      <w:ind w:left="1152" w:hanging="1152"/>
    </w:pPr>
    <w:rPr>
      <w:rFonts w:ascii="Garamond" w:hAnsi="Garamond"/>
      <w:b/>
      <w:sz w:val="24"/>
      <w:szCs w:val="20"/>
    </w:rPr>
  </w:style>
  <w:style w:type="paragraph" w:styleId="Header">
    <w:name w:val="header"/>
    <w:basedOn w:val="Normal"/>
    <w:link w:val="HeaderChar"/>
    <w:uiPriority w:val="99"/>
    <w:semiHidden/>
    <w:rsid w:val="003B5161"/>
    <w:pPr>
      <w:tabs>
        <w:tab w:val="center" w:pos="4320"/>
        <w:tab w:val="right" w:pos="8640"/>
      </w:tabs>
    </w:pPr>
    <w:rPr>
      <w:sz w:val="16"/>
    </w:rPr>
  </w:style>
  <w:style w:type="character" w:customStyle="1" w:styleId="HeaderChar">
    <w:name w:val="Header Char"/>
    <w:basedOn w:val="DefaultParagraphFont"/>
    <w:link w:val="Header"/>
    <w:uiPriority w:val="99"/>
    <w:semiHidden/>
    <w:locked/>
    <w:rsid w:val="009E58C9"/>
    <w:rPr>
      <w:rFonts w:cs="Times New Roman"/>
      <w:sz w:val="20"/>
      <w:szCs w:val="20"/>
    </w:rPr>
  </w:style>
  <w:style w:type="paragraph" w:styleId="Footer">
    <w:name w:val="footer"/>
    <w:basedOn w:val="Normal"/>
    <w:link w:val="FooterChar"/>
    <w:uiPriority w:val="99"/>
    <w:rsid w:val="003B5161"/>
    <w:pPr>
      <w:tabs>
        <w:tab w:val="center" w:pos="4320"/>
        <w:tab w:val="right" w:pos="8640"/>
      </w:tabs>
    </w:pPr>
  </w:style>
  <w:style w:type="character" w:customStyle="1" w:styleId="FooterChar">
    <w:name w:val="Footer Char"/>
    <w:basedOn w:val="DefaultParagraphFont"/>
    <w:link w:val="Footer"/>
    <w:uiPriority w:val="99"/>
    <w:locked/>
    <w:rsid w:val="009E58C9"/>
    <w:rPr>
      <w:rFonts w:cs="Times New Roman"/>
      <w:sz w:val="20"/>
      <w:szCs w:val="20"/>
    </w:rPr>
  </w:style>
  <w:style w:type="character" w:styleId="PageNumber">
    <w:name w:val="page number"/>
    <w:basedOn w:val="DefaultParagraphFont"/>
    <w:uiPriority w:val="99"/>
    <w:semiHidden/>
    <w:rsid w:val="003B5161"/>
    <w:rPr>
      <w:rFonts w:cs="Times New Roman"/>
    </w:rPr>
  </w:style>
  <w:style w:type="character" w:styleId="Hyperlink">
    <w:name w:val="Hyperlink"/>
    <w:basedOn w:val="DefaultParagraphFont"/>
    <w:uiPriority w:val="99"/>
    <w:rsid w:val="003B5161"/>
    <w:rPr>
      <w:rFonts w:cs="Times New Roman"/>
      <w:color w:val="0000FF"/>
      <w:u w:val="single"/>
    </w:rPr>
  </w:style>
  <w:style w:type="paragraph" w:styleId="EndnoteText">
    <w:name w:val="endnote text"/>
    <w:basedOn w:val="Normal"/>
    <w:link w:val="EndnoteTextChar"/>
    <w:uiPriority w:val="99"/>
    <w:semiHidden/>
    <w:rsid w:val="003B5161"/>
    <w:rPr>
      <w:sz w:val="20"/>
    </w:rPr>
  </w:style>
  <w:style w:type="character" w:customStyle="1" w:styleId="EndnoteTextChar">
    <w:name w:val="Endnote Text Char"/>
    <w:basedOn w:val="DefaultParagraphFont"/>
    <w:link w:val="EndnoteText"/>
    <w:uiPriority w:val="99"/>
    <w:semiHidden/>
    <w:locked/>
    <w:rsid w:val="009E58C9"/>
    <w:rPr>
      <w:rFonts w:cs="Times New Roman"/>
      <w:sz w:val="20"/>
      <w:szCs w:val="20"/>
    </w:rPr>
  </w:style>
  <w:style w:type="character" w:styleId="EndnoteReference">
    <w:name w:val="endnote reference"/>
    <w:basedOn w:val="DefaultParagraphFont"/>
    <w:uiPriority w:val="99"/>
    <w:semiHidden/>
    <w:rsid w:val="003B5161"/>
    <w:rPr>
      <w:rFonts w:cs="Times New Roman"/>
      <w:vertAlign w:val="superscript"/>
    </w:rPr>
  </w:style>
  <w:style w:type="paragraph" w:styleId="ListBullet">
    <w:name w:val="List Bullet"/>
    <w:basedOn w:val="Normal"/>
    <w:autoRedefine/>
    <w:uiPriority w:val="99"/>
    <w:semiHidden/>
    <w:rsid w:val="003B5161"/>
    <w:pPr>
      <w:tabs>
        <w:tab w:val="num" w:pos="2160"/>
      </w:tabs>
      <w:spacing w:line="240" w:lineRule="auto"/>
      <w:ind w:left="2160" w:hanging="360"/>
    </w:pPr>
    <w:rPr>
      <w:lang w:val="en-GB"/>
    </w:rPr>
  </w:style>
  <w:style w:type="paragraph" w:styleId="BodyText">
    <w:name w:val="Body Text"/>
    <w:aliases w:val="DTP Body Text"/>
    <w:basedOn w:val="Normal"/>
    <w:link w:val="BodyTextChar"/>
    <w:uiPriority w:val="99"/>
    <w:semiHidden/>
    <w:rsid w:val="003B5161"/>
    <w:pPr>
      <w:tabs>
        <w:tab w:val="left" w:pos="850"/>
        <w:tab w:val="left" w:pos="1191"/>
        <w:tab w:val="left" w:pos="1531"/>
      </w:tabs>
      <w:spacing w:after="240" w:line="240" w:lineRule="auto"/>
      <w:ind w:firstLine="442"/>
    </w:pPr>
    <w:rPr>
      <w:szCs w:val="22"/>
      <w:lang w:val="en-GB" w:eastAsia="zh-CN"/>
    </w:rPr>
  </w:style>
  <w:style w:type="character" w:customStyle="1" w:styleId="BodyTextChar">
    <w:name w:val="Body Text Char"/>
    <w:aliases w:val="DTP Body Text Char"/>
    <w:basedOn w:val="DefaultParagraphFont"/>
    <w:link w:val="BodyText"/>
    <w:uiPriority w:val="99"/>
    <w:semiHidden/>
    <w:locked/>
    <w:rsid w:val="009E58C9"/>
    <w:rPr>
      <w:rFonts w:cs="Times New Roman"/>
      <w:sz w:val="20"/>
      <w:szCs w:val="20"/>
    </w:rPr>
  </w:style>
  <w:style w:type="paragraph" w:customStyle="1" w:styleId="Num-DocPara">
    <w:name w:val="Num-Doc Para"/>
    <w:basedOn w:val="Normal"/>
    <w:uiPriority w:val="99"/>
    <w:rsid w:val="003B5161"/>
    <w:pPr>
      <w:tabs>
        <w:tab w:val="num" w:pos="1080"/>
      </w:tabs>
      <w:spacing w:after="240" w:line="240" w:lineRule="auto"/>
      <w:ind w:left="1080" w:hanging="360"/>
    </w:pPr>
    <w:rPr>
      <w:lang w:val="en-AU"/>
    </w:rPr>
  </w:style>
  <w:style w:type="paragraph" w:customStyle="1" w:styleId="Exhibit">
    <w:name w:val="Exhibit"/>
    <w:basedOn w:val="Normal"/>
    <w:uiPriority w:val="99"/>
    <w:rsid w:val="003B5161"/>
    <w:pPr>
      <w:keepNext/>
      <w:widowControl w:val="0"/>
      <w:tabs>
        <w:tab w:val="left" w:pos="-1440"/>
        <w:tab w:val="left" w:pos="-720"/>
        <w:tab w:val="left" w:pos="0"/>
        <w:tab w:val="left" w:pos="432"/>
      </w:tabs>
      <w:spacing w:after="120" w:line="240" w:lineRule="auto"/>
      <w:ind w:left="1152" w:hanging="1152"/>
      <w:jc w:val="left"/>
    </w:pPr>
    <w:rPr>
      <w:b/>
      <w:sz w:val="24"/>
    </w:rPr>
  </w:style>
  <w:style w:type="paragraph" w:styleId="List2">
    <w:name w:val="List 2"/>
    <w:basedOn w:val="Normal"/>
    <w:uiPriority w:val="99"/>
    <w:semiHidden/>
    <w:rsid w:val="003B5161"/>
    <w:pPr>
      <w:spacing w:line="240" w:lineRule="auto"/>
      <w:ind w:left="720" w:hanging="360"/>
      <w:jc w:val="left"/>
    </w:pPr>
    <w:rPr>
      <w:sz w:val="24"/>
    </w:rPr>
  </w:style>
  <w:style w:type="paragraph" w:styleId="BalloonText">
    <w:name w:val="Balloon Text"/>
    <w:basedOn w:val="Normal"/>
    <w:link w:val="BalloonTextChar"/>
    <w:uiPriority w:val="99"/>
    <w:semiHidden/>
    <w:rsid w:val="003B516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E58C9"/>
    <w:rPr>
      <w:rFonts w:cs="Times New Roman"/>
      <w:sz w:val="2"/>
    </w:rPr>
  </w:style>
  <w:style w:type="character" w:styleId="FootnoteReference">
    <w:name w:val="footnote reference"/>
    <w:basedOn w:val="DefaultParagraphFont"/>
    <w:semiHidden/>
    <w:rsid w:val="003B5161"/>
    <w:rPr>
      <w:rFonts w:cs="Times New Roman"/>
      <w:vertAlign w:val="superscript"/>
    </w:rPr>
  </w:style>
  <w:style w:type="character" w:styleId="CommentReference">
    <w:name w:val="annotation reference"/>
    <w:basedOn w:val="DefaultParagraphFont"/>
    <w:uiPriority w:val="99"/>
    <w:semiHidden/>
    <w:rsid w:val="003B5161"/>
    <w:rPr>
      <w:rFonts w:cs="Times New Roman"/>
      <w:sz w:val="16"/>
      <w:szCs w:val="16"/>
    </w:rPr>
  </w:style>
  <w:style w:type="paragraph" w:styleId="CommentText">
    <w:name w:val="annotation text"/>
    <w:basedOn w:val="Normal"/>
    <w:link w:val="CommentTextChar"/>
    <w:uiPriority w:val="99"/>
    <w:semiHidden/>
    <w:rsid w:val="003B5161"/>
    <w:rPr>
      <w:sz w:val="20"/>
    </w:rPr>
  </w:style>
  <w:style w:type="character" w:customStyle="1" w:styleId="CommentTextChar">
    <w:name w:val="Comment Text Char"/>
    <w:basedOn w:val="DefaultParagraphFont"/>
    <w:link w:val="CommentText"/>
    <w:uiPriority w:val="99"/>
    <w:semiHidden/>
    <w:locked/>
    <w:rsid w:val="00A66CE8"/>
    <w:rPr>
      <w:rFonts w:cs="Times New Roman"/>
    </w:rPr>
  </w:style>
  <w:style w:type="paragraph" w:styleId="CommentSubject">
    <w:name w:val="annotation subject"/>
    <w:basedOn w:val="CommentText"/>
    <w:next w:val="CommentText"/>
    <w:link w:val="CommentSubjectChar"/>
    <w:uiPriority w:val="99"/>
    <w:semiHidden/>
    <w:rsid w:val="003B5161"/>
    <w:rPr>
      <w:b/>
      <w:bCs/>
    </w:rPr>
  </w:style>
  <w:style w:type="character" w:customStyle="1" w:styleId="CommentSubjectChar">
    <w:name w:val="Comment Subject Char"/>
    <w:basedOn w:val="CommentTextChar"/>
    <w:link w:val="CommentSubject"/>
    <w:uiPriority w:val="99"/>
    <w:semiHidden/>
    <w:locked/>
    <w:rsid w:val="009E58C9"/>
    <w:rPr>
      <w:rFonts w:cs="Times New Roman"/>
      <w:b/>
      <w:bCs/>
      <w:sz w:val="20"/>
      <w:szCs w:val="20"/>
    </w:rPr>
  </w:style>
  <w:style w:type="character" w:customStyle="1" w:styleId="P1-StandParaChar">
    <w:name w:val="P1-Stand Para Char"/>
    <w:basedOn w:val="DefaultParagraphFont"/>
    <w:uiPriority w:val="99"/>
    <w:rsid w:val="003B5161"/>
    <w:rPr>
      <w:rFonts w:cs="Times New Roman"/>
      <w:sz w:val="22"/>
      <w:lang w:val="en-US" w:eastAsia="en-US" w:bidi="ar-SA"/>
    </w:rPr>
  </w:style>
  <w:style w:type="paragraph" w:styleId="NormalWeb">
    <w:name w:val="Normal (Web)"/>
    <w:basedOn w:val="Normal"/>
    <w:uiPriority w:val="99"/>
    <w:semiHidden/>
    <w:rsid w:val="003B5161"/>
    <w:pPr>
      <w:spacing w:before="100" w:beforeAutospacing="1" w:after="100" w:afterAutospacing="1" w:line="240" w:lineRule="auto"/>
      <w:jc w:val="left"/>
    </w:pPr>
    <w:rPr>
      <w:rFonts w:ascii="Arial Unicode MS" w:eastAsia="Arial Unicode MS" w:hAnsi="Arial Unicode MS" w:cs="Arial Unicode MS"/>
      <w:noProof/>
      <w:sz w:val="24"/>
      <w:szCs w:val="24"/>
    </w:rPr>
  </w:style>
  <w:style w:type="paragraph" w:customStyle="1" w:styleId="BodyText1">
    <w:name w:val="Body Text1"/>
    <w:basedOn w:val="Normal"/>
    <w:uiPriority w:val="99"/>
    <w:rsid w:val="003F681D"/>
    <w:pPr>
      <w:spacing w:before="120" w:after="120" w:line="300" w:lineRule="atLeast"/>
      <w:jc w:val="left"/>
    </w:pPr>
    <w:rPr>
      <w:rFonts w:ascii="Garamond" w:hAnsi="Garamond"/>
      <w:sz w:val="24"/>
      <w:szCs w:val="24"/>
    </w:rPr>
  </w:style>
  <w:style w:type="paragraph" w:customStyle="1" w:styleId="Bodybullet">
    <w:name w:val="Body bullet"/>
    <w:basedOn w:val="Normal"/>
    <w:uiPriority w:val="99"/>
    <w:rsid w:val="00387E87"/>
    <w:pPr>
      <w:spacing w:before="120" w:after="120"/>
      <w:jc w:val="left"/>
    </w:pPr>
    <w:rPr>
      <w:rFonts w:ascii="Garamond" w:hAnsi="Garamond"/>
      <w:sz w:val="24"/>
      <w:szCs w:val="24"/>
    </w:rPr>
  </w:style>
  <w:style w:type="paragraph" w:customStyle="1" w:styleId="Bodyindent">
    <w:name w:val="Body indent"/>
    <w:basedOn w:val="P1-StandPara"/>
    <w:uiPriority w:val="99"/>
    <w:rsid w:val="00BD7BA6"/>
    <w:pPr>
      <w:spacing w:line="240" w:lineRule="auto"/>
      <w:ind w:left="720" w:firstLine="0"/>
    </w:pPr>
    <w:rPr>
      <w:rFonts w:ascii="Garamond" w:hAnsi="Garamond"/>
      <w:sz w:val="24"/>
      <w:szCs w:val="22"/>
    </w:rPr>
  </w:style>
  <w:style w:type="table" w:styleId="TableGrid">
    <w:name w:val="Table Grid"/>
    <w:basedOn w:val="TableNormal"/>
    <w:uiPriority w:val="99"/>
    <w:rsid w:val="00DC5DF0"/>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6B07E6"/>
    <w:pPr>
      <w:ind w:left="720"/>
      <w:contextualSpacing/>
    </w:pPr>
  </w:style>
  <w:style w:type="paragraph" w:customStyle="1" w:styleId="tablefootnote">
    <w:name w:val="table footnote"/>
    <w:basedOn w:val="Normal"/>
    <w:uiPriority w:val="99"/>
    <w:rsid w:val="00157FD2"/>
    <w:pPr>
      <w:keepNext/>
      <w:spacing w:line="240" w:lineRule="auto"/>
      <w:ind w:left="720"/>
    </w:pPr>
    <w:rPr>
      <w:rFonts w:ascii="Garamond" w:hAnsi="Garamond"/>
      <w:sz w:val="18"/>
      <w:szCs w:val="18"/>
    </w:rPr>
  </w:style>
  <w:style w:type="paragraph" w:styleId="TOCHeading">
    <w:name w:val="TOC Heading"/>
    <w:basedOn w:val="Heading1"/>
    <w:next w:val="Normal"/>
    <w:uiPriority w:val="99"/>
    <w:qFormat/>
    <w:rsid w:val="004909C1"/>
    <w:pPr>
      <w:keepLines/>
      <w:tabs>
        <w:tab w:val="clear" w:pos="1152"/>
      </w:tabs>
      <w:spacing w:before="480" w:after="0" w:line="276" w:lineRule="auto"/>
      <w:ind w:left="0" w:firstLine="0"/>
      <w:jc w:val="left"/>
      <w:outlineLvl w:val="9"/>
    </w:pPr>
    <w:rPr>
      <w:rFonts w:ascii="Corbel" w:hAnsi="Corbel"/>
      <w:bCs/>
      <w:color w:val="B38000"/>
      <w:sz w:val="28"/>
      <w:szCs w:val="28"/>
    </w:rPr>
  </w:style>
  <w:style w:type="paragraph" w:customStyle="1" w:styleId="Heading0">
    <w:name w:val="Heading 0"/>
    <w:basedOn w:val="C1-CtrBoldHd"/>
    <w:uiPriority w:val="99"/>
    <w:rsid w:val="00244B12"/>
  </w:style>
  <w:style w:type="paragraph" w:styleId="TableofFigures">
    <w:name w:val="table of figures"/>
    <w:basedOn w:val="Normal"/>
    <w:next w:val="Normal"/>
    <w:uiPriority w:val="99"/>
    <w:rsid w:val="00517EEA"/>
  </w:style>
  <w:style w:type="paragraph" w:styleId="Title">
    <w:name w:val="Title"/>
    <w:basedOn w:val="Normal"/>
    <w:next w:val="Normal"/>
    <w:link w:val="TitleChar"/>
    <w:uiPriority w:val="99"/>
    <w:qFormat/>
    <w:rsid w:val="0099504D"/>
    <w:pPr>
      <w:pBdr>
        <w:bottom w:val="single" w:sz="8" w:space="4" w:color="F0AD00"/>
      </w:pBdr>
      <w:spacing w:after="300" w:line="240" w:lineRule="auto"/>
      <w:contextualSpacing/>
    </w:pPr>
    <w:rPr>
      <w:rFonts w:ascii="Corbel" w:hAnsi="Corbel"/>
      <w:color w:val="434959"/>
      <w:spacing w:val="5"/>
      <w:kern w:val="28"/>
      <w:sz w:val="36"/>
      <w:szCs w:val="52"/>
    </w:rPr>
  </w:style>
  <w:style w:type="character" w:customStyle="1" w:styleId="TitleChar">
    <w:name w:val="Title Char"/>
    <w:basedOn w:val="DefaultParagraphFont"/>
    <w:link w:val="Title"/>
    <w:uiPriority w:val="99"/>
    <w:locked/>
    <w:rsid w:val="0099504D"/>
    <w:rPr>
      <w:rFonts w:ascii="Corbel" w:hAnsi="Corbel" w:cs="Times New Roman"/>
      <w:color w:val="434959"/>
      <w:spacing w:val="5"/>
      <w:kern w:val="28"/>
      <w:sz w:val="52"/>
      <w:szCs w:val="52"/>
    </w:rPr>
  </w:style>
  <w:style w:type="character" w:customStyle="1" w:styleId="bodytextChar0">
    <w:name w:val="body text Char"/>
    <w:basedOn w:val="DefaultParagraphFont"/>
    <w:link w:val="BodyText2"/>
    <w:uiPriority w:val="99"/>
    <w:locked/>
    <w:rsid w:val="00393E36"/>
    <w:rPr>
      <w:rFonts w:cs="Times New Roman"/>
      <w:sz w:val="24"/>
      <w:lang w:bidi="ar-SA"/>
    </w:rPr>
  </w:style>
  <w:style w:type="paragraph" w:customStyle="1" w:styleId="BodyText2">
    <w:name w:val="Body Text2"/>
    <w:basedOn w:val="Normal"/>
    <w:link w:val="bodytextChar0"/>
    <w:uiPriority w:val="99"/>
    <w:rsid w:val="00393E36"/>
    <w:pPr>
      <w:spacing w:before="240" w:after="240" w:line="360" w:lineRule="auto"/>
      <w:ind w:firstLine="720"/>
      <w:jc w:val="left"/>
    </w:pPr>
    <w:rPr>
      <w:noProof/>
      <w:sz w:val="24"/>
    </w:rPr>
  </w:style>
  <w:style w:type="paragraph" w:customStyle="1" w:styleId="pirlsnamecover">
    <w:name w:val="pirlsnamecover"/>
    <w:basedOn w:val="Normal"/>
    <w:uiPriority w:val="99"/>
    <w:rsid w:val="005B6F23"/>
    <w:pPr>
      <w:spacing w:line="240" w:lineRule="auto"/>
      <w:jc w:val="left"/>
    </w:pPr>
    <w:rPr>
      <w:sz w:val="24"/>
      <w:szCs w:val="24"/>
    </w:rPr>
  </w:style>
  <w:style w:type="paragraph" w:customStyle="1" w:styleId="TH-TableHeading">
    <w:name w:val="TH-Table Heading"/>
    <w:basedOn w:val="Heading1"/>
    <w:uiPriority w:val="99"/>
    <w:rsid w:val="003777DC"/>
    <w:pPr>
      <w:tabs>
        <w:tab w:val="clear" w:pos="1152"/>
      </w:tabs>
      <w:spacing w:before="0" w:after="0"/>
      <w:ind w:left="0" w:firstLine="0"/>
      <w:jc w:val="center"/>
    </w:pPr>
    <w:rPr>
      <w:rFonts w:ascii="Arial" w:hAnsi="Arial" w:cs="Arial"/>
      <w:sz w:val="18"/>
      <w:szCs w:val="18"/>
    </w:rPr>
  </w:style>
  <w:style w:type="table" w:customStyle="1" w:styleId="TableWestatStandardFormat">
    <w:name w:val="Table Westat Standard Format"/>
    <w:uiPriority w:val="99"/>
    <w:rsid w:val="003777DC"/>
    <w:rPr>
      <w:sz w:val="20"/>
      <w:szCs w:val="20"/>
    </w:rPr>
    <w:tblPr>
      <w:tblInd w:w="0" w:type="dxa"/>
      <w:tblBorders>
        <w:top w:val="single" w:sz="4" w:space="0" w:color="auto"/>
        <w:bottom w:val="single" w:sz="4" w:space="0" w:color="auto"/>
      </w:tblBorders>
      <w:tblCellMar>
        <w:top w:w="0" w:type="dxa"/>
        <w:left w:w="108" w:type="dxa"/>
        <w:bottom w:w="0" w:type="dxa"/>
        <w:right w:w="108" w:type="dxa"/>
      </w:tblCellMar>
    </w:tblPr>
  </w:style>
  <w:style w:type="paragraph" w:customStyle="1" w:styleId="TX-TableText">
    <w:name w:val="TX-Table Text"/>
    <w:basedOn w:val="Normal"/>
    <w:uiPriority w:val="99"/>
    <w:rsid w:val="003777DC"/>
    <w:pPr>
      <w:spacing w:line="240" w:lineRule="auto"/>
      <w:jc w:val="left"/>
    </w:pPr>
    <w:rPr>
      <w:rFonts w:ascii="Arial" w:hAnsi="Arial"/>
      <w:sz w:val="18"/>
      <w:szCs w:val="18"/>
    </w:rPr>
  </w:style>
  <w:style w:type="character" w:customStyle="1" w:styleId="L1-FlLSp12Char">
    <w:name w:val="L1-FlL Sp&amp;1/2 Char"/>
    <w:basedOn w:val="DefaultParagraphFont"/>
    <w:link w:val="L1-FlLSp12"/>
    <w:uiPriority w:val="99"/>
    <w:locked/>
    <w:rsid w:val="00D95173"/>
    <w:rPr>
      <w:szCs w:val="20"/>
    </w:rPr>
  </w:style>
  <w:style w:type="paragraph" w:styleId="Revision">
    <w:name w:val="Revision"/>
    <w:hidden/>
    <w:uiPriority w:val="99"/>
    <w:semiHidden/>
    <w:rsid w:val="002B491E"/>
    <w:rPr>
      <w:szCs w:val="20"/>
    </w:rPr>
  </w:style>
  <w:style w:type="paragraph" w:styleId="PlainText">
    <w:name w:val="Plain Text"/>
    <w:basedOn w:val="Normal"/>
    <w:link w:val="PlainTextChar"/>
    <w:uiPriority w:val="99"/>
    <w:unhideWhenUsed/>
    <w:locked/>
    <w:rsid w:val="00836E2D"/>
    <w:pPr>
      <w:spacing w:line="240" w:lineRule="auto"/>
      <w:jc w:val="left"/>
    </w:pPr>
    <w:rPr>
      <w:rFonts w:ascii="Calibri" w:eastAsiaTheme="minorHAnsi" w:hAnsi="Calibri" w:cs="Calibri"/>
      <w:szCs w:val="22"/>
    </w:rPr>
  </w:style>
  <w:style w:type="character" w:customStyle="1" w:styleId="PlainTextChar">
    <w:name w:val="Plain Text Char"/>
    <w:basedOn w:val="DefaultParagraphFont"/>
    <w:link w:val="PlainText"/>
    <w:uiPriority w:val="99"/>
    <w:rsid w:val="00836E2D"/>
    <w:rPr>
      <w:rFonts w:ascii="Calibri" w:eastAsiaTheme="minorHAnsi" w:hAnsi="Calibri" w:cs="Calibri"/>
    </w:rPr>
  </w:style>
  <w:style w:type="paragraph" w:styleId="NoSpacing">
    <w:name w:val="No Spacing"/>
    <w:uiPriority w:val="1"/>
    <w:qFormat/>
    <w:rsid w:val="003B3098"/>
    <w:rPr>
      <w:rFonts w:asciiTheme="minorHAnsi" w:eastAsiaTheme="minorHAnsi" w:hAnsiTheme="minorHAnsi" w:cstheme="minorBidi"/>
    </w:rPr>
  </w:style>
  <w:style w:type="paragraph" w:customStyle="1" w:styleId="Default">
    <w:name w:val="Default"/>
    <w:rsid w:val="002A706B"/>
    <w:pPr>
      <w:autoSpaceDE w:val="0"/>
      <w:autoSpaceDN w:val="0"/>
      <w:adjustRightInd w:val="0"/>
    </w:pPr>
    <w:rPr>
      <w:color w:val="000000"/>
      <w:sz w:val="24"/>
      <w:szCs w:val="24"/>
    </w:rPr>
  </w:style>
  <w:style w:type="character" w:customStyle="1" w:styleId="apple-converted-space">
    <w:name w:val="apple-converted-space"/>
    <w:basedOn w:val="DefaultParagraphFont"/>
    <w:rsid w:val="008A4BB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39" w:unhideWhenUsed="0"/>
    <w:lsdException w:name="toc 2" w:semiHidden="0" w:uiPriority="39" w:unhideWhenUsed="0"/>
    <w:lsdException w:name="toc 3" w:semiHidden="0" w:unhideWhenUsed="0"/>
    <w:lsdException w:name="toc 4" w:semiHidden="0" w:uiPriority="39" w:unhideWhenUsed="0"/>
    <w:lsdException w:name="toc 5" w:semiHidden="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uiPriority="0"/>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uiPriority="0"/>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Default Paragraph Font" w:semiHidden="0" w:uiPriority="1"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nhideWhenUsed="0" w:qFormat="1"/>
  </w:latentStyles>
  <w:style w:type="paragraph" w:default="1" w:styleId="Normal">
    <w:name w:val="Normal"/>
    <w:qFormat/>
    <w:rsid w:val="003B5161"/>
    <w:pPr>
      <w:spacing w:line="240" w:lineRule="atLeast"/>
      <w:jc w:val="both"/>
    </w:pPr>
    <w:rPr>
      <w:szCs w:val="20"/>
    </w:rPr>
  </w:style>
  <w:style w:type="paragraph" w:styleId="Heading1">
    <w:name w:val="heading 1"/>
    <w:aliases w:val="H1-Sec.Head"/>
    <w:basedOn w:val="Normal"/>
    <w:next w:val="P1-StandPara"/>
    <w:link w:val="Heading1Char"/>
    <w:uiPriority w:val="99"/>
    <w:qFormat/>
    <w:rsid w:val="00EF1891"/>
    <w:pPr>
      <w:keepNext/>
      <w:tabs>
        <w:tab w:val="left" w:pos="1152"/>
      </w:tabs>
      <w:spacing w:before="360" w:after="120"/>
      <w:ind w:left="1152" w:hanging="1152"/>
      <w:outlineLvl w:val="0"/>
    </w:pPr>
    <w:rPr>
      <w:rFonts w:ascii="Garamond" w:hAnsi="Garamond"/>
      <w:b/>
      <w:sz w:val="24"/>
    </w:rPr>
  </w:style>
  <w:style w:type="paragraph" w:styleId="Heading2">
    <w:name w:val="heading 2"/>
    <w:aliases w:val="H2-Sec. Head"/>
    <w:basedOn w:val="Normal"/>
    <w:next w:val="P1-StandPara"/>
    <w:link w:val="Heading2Char"/>
    <w:uiPriority w:val="99"/>
    <w:qFormat/>
    <w:rsid w:val="003B5161"/>
    <w:pPr>
      <w:keepNext/>
      <w:tabs>
        <w:tab w:val="left" w:pos="1152"/>
      </w:tabs>
      <w:spacing w:after="360" w:line="360" w:lineRule="atLeast"/>
      <w:ind w:left="1152" w:hanging="1152"/>
      <w:outlineLvl w:val="1"/>
    </w:pPr>
    <w:rPr>
      <w:b/>
    </w:rPr>
  </w:style>
  <w:style w:type="paragraph" w:styleId="Heading3">
    <w:name w:val="heading 3"/>
    <w:aliases w:val="H3-Sec. Head"/>
    <w:basedOn w:val="Normal"/>
    <w:next w:val="P1-StandPara"/>
    <w:link w:val="Heading3Char"/>
    <w:uiPriority w:val="99"/>
    <w:qFormat/>
    <w:rsid w:val="003B5161"/>
    <w:pPr>
      <w:keepNext/>
      <w:tabs>
        <w:tab w:val="left" w:pos="1152"/>
      </w:tabs>
      <w:spacing w:after="360" w:line="360" w:lineRule="atLeast"/>
      <w:ind w:left="1152" w:hanging="1152"/>
      <w:outlineLvl w:val="2"/>
    </w:pPr>
    <w:rPr>
      <w:b/>
    </w:rPr>
  </w:style>
  <w:style w:type="paragraph" w:styleId="Heading4">
    <w:name w:val="heading 4"/>
    <w:aliases w:val="H4 Sec.Heading"/>
    <w:basedOn w:val="Normal"/>
    <w:next w:val="P1-StandPara"/>
    <w:link w:val="Heading4Char"/>
    <w:uiPriority w:val="99"/>
    <w:qFormat/>
    <w:rsid w:val="003B5161"/>
    <w:pPr>
      <w:keepNext/>
      <w:tabs>
        <w:tab w:val="left" w:pos="1152"/>
      </w:tabs>
      <w:spacing w:after="360" w:line="360" w:lineRule="atLeast"/>
      <w:ind w:left="1152" w:hanging="1152"/>
      <w:outlineLvl w:val="3"/>
    </w:pPr>
    <w:rPr>
      <w:b/>
    </w:rPr>
  </w:style>
  <w:style w:type="paragraph" w:styleId="Heading5">
    <w:name w:val="heading 5"/>
    <w:basedOn w:val="Normal"/>
    <w:next w:val="Normal"/>
    <w:link w:val="Heading5Char"/>
    <w:uiPriority w:val="99"/>
    <w:qFormat/>
    <w:rsid w:val="003B5161"/>
    <w:pPr>
      <w:keepLines/>
      <w:spacing w:before="360" w:line="360" w:lineRule="atLeast"/>
      <w:jc w:val="center"/>
      <w:outlineLvl w:val="4"/>
    </w:pPr>
  </w:style>
  <w:style w:type="paragraph" w:styleId="Heading6">
    <w:name w:val="heading 6"/>
    <w:basedOn w:val="Normal"/>
    <w:next w:val="Normal"/>
    <w:link w:val="Heading6Char"/>
    <w:uiPriority w:val="99"/>
    <w:qFormat/>
    <w:rsid w:val="003B5161"/>
    <w:pPr>
      <w:keepNext/>
      <w:spacing w:before="240"/>
      <w:jc w:val="center"/>
      <w:outlineLvl w:val="5"/>
    </w:pPr>
    <w:rPr>
      <w:b/>
      <w:caps/>
    </w:rPr>
  </w:style>
  <w:style w:type="paragraph" w:styleId="Heading7">
    <w:name w:val="heading 7"/>
    <w:basedOn w:val="Normal"/>
    <w:next w:val="Normal"/>
    <w:link w:val="Heading7Char"/>
    <w:uiPriority w:val="99"/>
    <w:qFormat/>
    <w:rsid w:val="003B5161"/>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uiPriority w:val="99"/>
    <w:locked/>
    <w:rsid w:val="009E58C9"/>
    <w:rPr>
      <w:rFonts w:ascii="Cambria" w:hAnsi="Cambria" w:cs="Times New Roman"/>
      <w:b/>
      <w:bCs/>
      <w:kern w:val="32"/>
      <w:sz w:val="32"/>
      <w:szCs w:val="32"/>
    </w:rPr>
  </w:style>
  <w:style w:type="character" w:customStyle="1" w:styleId="Heading2Char">
    <w:name w:val="Heading 2 Char"/>
    <w:aliases w:val="H2-Sec. Head Char"/>
    <w:basedOn w:val="DefaultParagraphFont"/>
    <w:link w:val="Heading2"/>
    <w:uiPriority w:val="99"/>
    <w:semiHidden/>
    <w:locked/>
    <w:rsid w:val="009E58C9"/>
    <w:rPr>
      <w:rFonts w:ascii="Cambria" w:hAnsi="Cambria" w:cs="Times New Roman"/>
      <w:b/>
      <w:bCs/>
      <w:i/>
      <w:iCs/>
      <w:sz w:val="28"/>
      <w:szCs w:val="28"/>
    </w:rPr>
  </w:style>
  <w:style w:type="character" w:customStyle="1" w:styleId="Heading3Char">
    <w:name w:val="Heading 3 Char"/>
    <w:aliases w:val="H3-Sec. Head Char"/>
    <w:basedOn w:val="DefaultParagraphFont"/>
    <w:link w:val="Heading3"/>
    <w:uiPriority w:val="99"/>
    <w:semiHidden/>
    <w:locked/>
    <w:rsid w:val="009E58C9"/>
    <w:rPr>
      <w:rFonts w:ascii="Cambria" w:hAnsi="Cambria" w:cs="Times New Roman"/>
      <w:b/>
      <w:bCs/>
      <w:sz w:val="26"/>
      <w:szCs w:val="26"/>
    </w:rPr>
  </w:style>
  <w:style w:type="character" w:customStyle="1" w:styleId="Heading4Char">
    <w:name w:val="Heading 4 Char"/>
    <w:aliases w:val="H4 Sec.Heading Char"/>
    <w:basedOn w:val="DefaultParagraphFont"/>
    <w:link w:val="Heading4"/>
    <w:uiPriority w:val="99"/>
    <w:semiHidden/>
    <w:locked/>
    <w:rsid w:val="009E58C9"/>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9E58C9"/>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9E58C9"/>
    <w:rPr>
      <w:rFonts w:ascii="Calibri" w:hAnsi="Calibri" w:cs="Times New Roman"/>
      <w:b/>
      <w:bCs/>
    </w:rPr>
  </w:style>
  <w:style w:type="character" w:customStyle="1" w:styleId="Heading7Char">
    <w:name w:val="Heading 7 Char"/>
    <w:basedOn w:val="DefaultParagraphFont"/>
    <w:link w:val="Heading7"/>
    <w:uiPriority w:val="99"/>
    <w:semiHidden/>
    <w:locked/>
    <w:rsid w:val="009E58C9"/>
    <w:rPr>
      <w:rFonts w:ascii="Calibri" w:hAnsi="Calibri" w:cs="Times New Roman"/>
      <w:sz w:val="24"/>
      <w:szCs w:val="24"/>
    </w:rPr>
  </w:style>
  <w:style w:type="paragraph" w:customStyle="1" w:styleId="C1-CtrBoldHd">
    <w:name w:val="C1-Ctr BoldHd"/>
    <w:uiPriority w:val="99"/>
    <w:rsid w:val="00406EBD"/>
    <w:pPr>
      <w:keepNext/>
      <w:spacing w:after="720" w:line="240" w:lineRule="atLeast"/>
      <w:jc w:val="center"/>
    </w:pPr>
    <w:rPr>
      <w:rFonts w:ascii="Garamond" w:hAnsi="Garamond"/>
      <w:b/>
      <w:caps/>
      <w:sz w:val="24"/>
      <w:szCs w:val="20"/>
    </w:rPr>
  </w:style>
  <w:style w:type="paragraph" w:customStyle="1" w:styleId="C2-CtrSglSp">
    <w:name w:val="C2-Ctr Sgl Sp"/>
    <w:uiPriority w:val="99"/>
    <w:rsid w:val="003B5161"/>
    <w:pPr>
      <w:keepLines/>
      <w:spacing w:line="240" w:lineRule="atLeast"/>
      <w:jc w:val="center"/>
    </w:pPr>
    <w:rPr>
      <w:szCs w:val="20"/>
    </w:rPr>
  </w:style>
  <w:style w:type="paragraph" w:customStyle="1" w:styleId="C3-CtrSp12">
    <w:name w:val="C3-Ctr Sp&amp;1/2"/>
    <w:uiPriority w:val="99"/>
    <w:rsid w:val="003B5161"/>
    <w:pPr>
      <w:keepLines/>
      <w:spacing w:line="360" w:lineRule="atLeast"/>
      <w:jc w:val="center"/>
    </w:pPr>
    <w:rPr>
      <w:szCs w:val="20"/>
    </w:rPr>
  </w:style>
  <w:style w:type="paragraph" w:customStyle="1" w:styleId="E1-Equation">
    <w:name w:val="E1-Equation"/>
    <w:uiPriority w:val="99"/>
    <w:rsid w:val="003B5161"/>
    <w:pPr>
      <w:tabs>
        <w:tab w:val="center" w:pos="4680"/>
        <w:tab w:val="right" w:pos="9360"/>
      </w:tabs>
      <w:spacing w:line="240" w:lineRule="atLeast"/>
      <w:jc w:val="both"/>
    </w:pPr>
    <w:rPr>
      <w:szCs w:val="20"/>
    </w:rPr>
  </w:style>
  <w:style w:type="paragraph" w:customStyle="1" w:styleId="E2-Equation">
    <w:name w:val="E2-Equation"/>
    <w:basedOn w:val="E1-Equation"/>
    <w:uiPriority w:val="99"/>
    <w:rsid w:val="003B5161"/>
    <w:pPr>
      <w:tabs>
        <w:tab w:val="clear" w:pos="4680"/>
        <w:tab w:val="clear" w:pos="9360"/>
        <w:tab w:val="right" w:pos="1152"/>
        <w:tab w:val="center" w:pos="1440"/>
        <w:tab w:val="left" w:pos="1728"/>
      </w:tabs>
      <w:ind w:left="1728" w:hanging="1728"/>
    </w:pPr>
  </w:style>
  <w:style w:type="paragraph" w:styleId="FootnoteText">
    <w:name w:val="footnote text"/>
    <w:aliases w:val="F1"/>
    <w:basedOn w:val="Normal"/>
    <w:link w:val="FootnoteTextChar"/>
    <w:semiHidden/>
    <w:rsid w:val="003B5161"/>
    <w:pPr>
      <w:tabs>
        <w:tab w:val="left" w:pos="120"/>
      </w:tabs>
      <w:spacing w:before="120" w:line="200" w:lineRule="atLeast"/>
      <w:ind w:left="115" w:hanging="115"/>
    </w:pPr>
    <w:rPr>
      <w:sz w:val="16"/>
    </w:rPr>
  </w:style>
  <w:style w:type="character" w:customStyle="1" w:styleId="FootnoteTextChar">
    <w:name w:val="Footnote Text Char"/>
    <w:aliases w:val="F1 Char"/>
    <w:basedOn w:val="DefaultParagraphFont"/>
    <w:link w:val="FootnoteText"/>
    <w:semiHidden/>
    <w:locked/>
    <w:rsid w:val="001A7B52"/>
    <w:rPr>
      <w:rFonts w:cs="Times New Roman"/>
      <w:sz w:val="16"/>
      <w:lang w:val="en-US" w:eastAsia="en-US" w:bidi="ar-SA"/>
    </w:rPr>
  </w:style>
  <w:style w:type="paragraph" w:customStyle="1" w:styleId="L1-FlLSp12">
    <w:name w:val="L1-FlL Sp&amp;1/2"/>
    <w:link w:val="L1-FlLSp12Char"/>
    <w:uiPriority w:val="99"/>
    <w:rsid w:val="003B5161"/>
    <w:pPr>
      <w:tabs>
        <w:tab w:val="left" w:pos="1152"/>
      </w:tabs>
      <w:spacing w:line="360" w:lineRule="atLeast"/>
      <w:jc w:val="both"/>
    </w:pPr>
    <w:rPr>
      <w:szCs w:val="20"/>
    </w:rPr>
  </w:style>
  <w:style w:type="paragraph" w:customStyle="1" w:styleId="N0-FlLftBullet">
    <w:name w:val="N0-Fl Lft Bullet"/>
    <w:basedOn w:val="Normal"/>
    <w:uiPriority w:val="99"/>
    <w:rsid w:val="003B5161"/>
    <w:pPr>
      <w:tabs>
        <w:tab w:val="left" w:pos="576"/>
      </w:tabs>
      <w:spacing w:after="240"/>
      <w:ind w:left="576" w:hanging="576"/>
    </w:pPr>
  </w:style>
  <w:style w:type="paragraph" w:customStyle="1" w:styleId="N1-1stBullet">
    <w:name w:val="N1-1st Bullet"/>
    <w:basedOn w:val="Normal"/>
    <w:uiPriority w:val="99"/>
    <w:rsid w:val="003B5161"/>
    <w:pPr>
      <w:tabs>
        <w:tab w:val="left" w:pos="1152"/>
      </w:tabs>
      <w:spacing w:after="240"/>
      <w:ind w:left="1152" w:hanging="576"/>
    </w:pPr>
  </w:style>
  <w:style w:type="paragraph" w:customStyle="1" w:styleId="N2-2ndBullet">
    <w:name w:val="N2-2nd Bullet"/>
    <w:basedOn w:val="Normal"/>
    <w:uiPriority w:val="99"/>
    <w:rsid w:val="003B5161"/>
    <w:pPr>
      <w:numPr>
        <w:numId w:val="3"/>
      </w:numPr>
      <w:spacing w:after="240"/>
    </w:pPr>
  </w:style>
  <w:style w:type="paragraph" w:customStyle="1" w:styleId="N3-3rdBullet">
    <w:name w:val="N3-3rd Bullet"/>
    <w:basedOn w:val="Normal"/>
    <w:uiPriority w:val="99"/>
    <w:rsid w:val="003B5161"/>
    <w:pPr>
      <w:tabs>
        <w:tab w:val="left" w:pos="2304"/>
      </w:tabs>
      <w:spacing w:after="240"/>
      <w:ind w:left="2304" w:hanging="576"/>
    </w:pPr>
  </w:style>
  <w:style w:type="paragraph" w:customStyle="1" w:styleId="N4-4thBullet">
    <w:name w:val="N4-4th Bullet"/>
    <w:basedOn w:val="Normal"/>
    <w:uiPriority w:val="99"/>
    <w:rsid w:val="003B5161"/>
    <w:pPr>
      <w:tabs>
        <w:tab w:val="left" w:pos="2880"/>
      </w:tabs>
      <w:spacing w:after="240"/>
      <w:ind w:left="2880" w:hanging="576"/>
    </w:pPr>
  </w:style>
  <w:style w:type="paragraph" w:customStyle="1" w:styleId="N5-5thBullet">
    <w:name w:val="N5-5th Bullet"/>
    <w:basedOn w:val="Normal"/>
    <w:uiPriority w:val="99"/>
    <w:rsid w:val="003B5161"/>
    <w:pPr>
      <w:tabs>
        <w:tab w:val="left" w:pos="3456"/>
      </w:tabs>
      <w:spacing w:after="240"/>
      <w:ind w:left="3456" w:hanging="576"/>
    </w:pPr>
  </w:style>
  <w:style w:type="paragraph" w:customStyle="1" w:styleId="N6-DateInd">
    <w:name w:val="N6-Date Ind."/>
    <w:basedOn w:val="Normal"/>
    <w:uiPriority w:val="99"/>
    <w:rsid w:val="003B5161"/>
    <w:pPr>
      <w:tabs>
        <w:tab w:val="left" w:pos="5400"/>
      </w:tabs>
      <w:ind w:left="5400"/>
    </w:pPr>
  </w:style>
  <w:style w:type="paragraph" w:customStyle="1" w:styleId="N7-3Block">
    <w:name w:val="N7-3&quot; Block"/>
    <w:basedOn w:val="Normal"/>
    <w:uiPriority w:val="99"/>
    <w:rsid w:val="003B5161"/>
    <w:pPr>
      <w:tabs>
        <w:tab w:val="left" w:pos="1152"/>
      </w:tabs>
      <w:ind w:left="1152" w:right="1152"/>
    </w:pPr>
  </w:style>
  <w:style w:type="paragraph" w:customStyle="1" w:styleId="N8-QxQBlock">
    <w:name w:val="N8-QxQ Block"/>
    <w:uiPriority w:val="99"/>
    <w:rsid w:val="003B5161"/>
    <w:pPr>
      <w:tabs>
        <w:tab w:val="left" w:pos="1152"/>
      </w:tabs>
      <w:spacing w:after="360" w:line="360" w:lineRule="atLeast"/>
      <w:ind w:left="1152" w:hanging="1152"/>
      <w:jc w:val="both"/>
    </w:pPr>
    <w:rPr>
      <w:szCs w:val="20"/>
    </w:rPr>
  </w:style>
  <w:style w:type="paragraph" w:customStyle="1" w:styleId="P1-StandPara">
    <w:name w:val="P1-Stand Para"/>
    <w:uiPriority w:val="99"/>
    <w:rsid w:val="003B5161"/>
    <w:pPr>
      <w:spacing w:line="360" w:lineRule="atLeast"/>
      <w:ind w:firstLine="1152"/>
      <w:jc w:val="both"/>
    </w:pPr>
    <w:rPr>
      <w:szCs w:val="20"/>
    </w:rPr>
  </w:style>
  <w:style w:type="paragraph" w:customStyle="1" w:styleId="Q1-BestFinQ">
    <w:name w:val="Q1-Best/Fin Q"/>
    <w:uiPriority w:val="99"/>
    <w:rsid w:val="003B5161"/>
    <w:pPr>
      <w:tabs>
        <w:tab w:val="left" w:pos="1152"/>
      </w:tabs>
      <w:spacing w:after="360" w:line="240" w:lineRule="atLeast"/>
      <w:ind w:left="1152" w:hanging="1152"/>
      <w:jc w:val="both"/>
    </w:pPr>
    <w:rPr>
      <w:b/>
      <w:szCs w:val="20"/>
    </w:rPr>
  </w:style>
  <w:style w:type="paragraph" w:customStyle="1" w:styleId="SH-SglSpHead">
    <w:name w:val="SH-Sgl Sp Head"/>
    <w:uiPriority w:val="99"/>
    <w:rsid w:val="003B5161"/>
    <w:pPr>
      <w:keepNext/>
      <w:tabs>
        <w:tab w:val="left" w:pos="576"/>
      </w:tabs>
      <w:spacing w:line="240" w:lineRule="atLeast"/>
      <w:ind w:left="576" w:hanging="576"/>
    </w:pPr>
    <w:rPr>
      <w:b/>
      <w:szCs w:val="20"/>
    </w:rPr>
  </w:style>
  <w:style w:type="paragraph" w:customStyle="1" w:styleId="SL-FlLftSgl">
    <w:name w:val="SL-Fl Lft Sgl"/>
    <w:uiPriority w:val="99"/>
    <w:rsid w:val="003B5161"/>
    <w:pPr>
      <w:spacing w:line="240" w:lineRule="atLeast"/>
      <w:jc w:val="both"/>
    </w:pPr>
    <w:rPr>
      <w:szCs w:val="20"/>
    </w:rPr>
  </w:style>
  <w:style w:type="paragraph" w:customStyle="1" w:styleId="SP-SglSpPara">
    <w:name w:val="SP-Sgl Sp Para"/>
    <w:uiPriority w:val="99"/>
    <w:rsid w:val="003B5161"/>
    <w:pPr>
      <w:tabs>
        <w:tab w:val="left" w:pos="576"/>
      </w:tabs>
      <w:spacing w:line="240" w:lineRule="atLeast"/>
      <w:ind w:firstLine="576"/>
      <w:jc w:val="both"/>
    </w:pPr>
    <w:rPr>
      <w:szCs w:val="20"/>
    </w:rPr>
  </w:style>
  <w:style w:type="paragraph" w:customStyle="1" w:styleId="T0-ChapPgHd">
    <w:name w:val="T0-Chap/Pg Hd"/>
    <w:uiPriority w:val="99"/>
    <w:rsid w:val="003B5161"/>
    <w:pPr>
      <w:tabs>
        <w:tab w:val="left" w:pos="8640"/>
      </w:tabs>
      <w:spacing w:line="240" w:lineRule="atLeast"/>
      <w:jc w:val="both"/>
    </w:pPr>
    <w:rPr>
      <w:szCs w:val="20"/>
      <w:u w:val="words"/>
    </w:rPr>
  </w:style>
  <w:style w:type="paragraph" w:styleId="TOC1">
    <w:name w:val="toc 1"/>
    <w:basedOn w:val="Normal"/>
    <w:autoRedefine/>
    <w:uiPriority w:val="39"/>
    <w:rsid w:val="0099504D"/>
    <w:pPr>
      <w:tabs>
        <w:tab w:val="left" w:pos="720"/>
        <w:tab w:val="right" w:leader="dot" w:pos="8640"/>
      </w:tabs>
      <w:ind w:left="720" w:right="720" w:hanging="360"/>
      <w:jc w:val="left"/>
    </w:pPr>
    <w:rPr>
      <w:rFonts w:ascii="Garamond" w:hAnsi="Garamond"/>
      <w:b/>
      <w:sz w:val="24"/>
    </w:rPr>
  </w:style>
  <w:style w:type="paragraph" w:styleId="TOC2">
    <w:name w:val="toc 2"/>
    <w:basedOn w:val="Normal"/>
    <w:autoRedefine/>
    <w:uiPriority w:val="39"/>
    <w:rsid w:val="00C12BDD"/>
    <w:pPr>
      <w:tabs>
        <w:tab w:val="left" w:pos="900"/>
        <w:tab w:val="right" w:leader="dot" w:pos="9360"/>
      </w:tabs>
      <w:ind w:left="720" w:right="720" w:hanging="360"/>
      <w:jc w:val="left"/>
    </w:pPr>
    <w:rPr>
      <w:rFonts w:ascii="Garamond" w:hAnsi="Garamond"/>
      <w:noProof/>
      <w:sz w:val="24"/>
      <w:szCs w:val="24"/>
    </w:rPr>
  </w:style>
  <w:style w:type="paragraph" w:styleId="TOC3">
    <w:name w:val="toc 3"/>
    <w:basedOn w:val="Normal"/>
    <w:autoRedefine/>
    <w:uiPriority w:val="99"/>
    <w:semiHidden/>
    <w:rsid w:val="003B5161"/>
    <w:pPr>
      <w:tabs>
        <w:tab w:val="left" w:pos="3024"/>
        <w:tab w:val="right" w:leader="dot" w:pos="8208"/>
        <w:tab w:val="left" w:pos="8640"/>
      </w:tabs>
      <w:ind w:left="3024" w:hanging="864"/>
      <w:jc w:val="left"/>
    </w:pPr>
  </w:style>
  <w:style w:type="paragraph" w:styleId="TOC4">
    <w:name w:val="toc 4"/>
    <w:basedOn w:val="Normal"/>
    <w:autoRedefine/>
    <w:uiPriority w:val="39"/>
    <w:rsid w:val="003B5161"/>
    <w:pPr>
      <w:tabs>
        <w:tab w:val="left" w:pos="3888"/>
        <w:tab w:val="right" w:leader="dot" w:pos="8208"/>
        <w:tab w:val="left" w:pos="8640"/>
      </w:tabs>
      <w:ind w:left="3888" w:hanging="864"/>
      <w:jc w:val="left"/>
    </w:pPr>
  </w:style>
  <w:style w:type="paragraph" w:styleId="TOC5">
    <w:name w:val="toc 5"/>
    <w:basedOn w:val="TOC1"/>
    <w:autoRedefine/>
    <w:uiPriority w:val="99"/>
    <w:semiHidden/>
    <w:rsid w:val="003B5161"/>
  </w:style>
  <w:style w:type="paragraph" w:customStyle="1" w:styleId="TT-TableTitle">
    <w:name w:val="TT-Table Title"/>
    <w:uiPriority w:val="99"/>
    <w:rsid w:val="00244B12"/>
    <w:pPr>
      <w:tabs>
        <w:tab w:val="left" w:pos="1152"/>
      </w:tabs>
      <w:spacing w:before="240" w:line="240" w:lineRule="atLeast"/>
      <w:ind w:left="1152" w:hanging="1152"/>
    </w:pPr>
    <w:rPr>
      <w:rFonts w:ascii="Garamond" w:hAnsi="Garamond"/>
      <w:b/>
      <w:sz w:val="24"/>
      <w:szCs w:val="20"/>
    </w:rPr>
  </w:style>
  <w:style w:type="paragraph" w:styleId="Header">
    <w:name w:val="header"/>
    <w:basedOn w:val="Normal"/>
    <w:link w:val="HeaderChar"/>
    <w:uiPriority w:val="99"/>
    <w:semiHidden/>
    <w:rsid w:val="003B5161"/>
    <w:pPr>
      <w:tabs>
        <w:tab w:val="center" w:pos="4320"/>
        <w:tab w:val="right" w:pos="8640"/>
      </w:tabs>
    </w:pPr>
    <w:rPr>
      <w:sz w:val="16"/>
    </w:rPr>
  </w:style>
  <w:style w:type="character" w:customStyle="1" w:styleId="HeaderChar">
    <w:name w:val="Header Char"/>
    <w:basedOn w:val="DefaultParagraphFont"/>
    <w:link w:val="Header"/>
    <w:uiPriority w:val="99"/>
    <w:semiHidden/>
    <w:locked/>
    <w:rsid w:val="009E58C9"/>
    <w:rPr>
      <w:rFonts w:cs="Times New Roman"/>
      <w:sz w:val="20"/>
      <w:szCs w:val="20"/>
    </w:rPr>
  </w:style>
  <w:style w:type="paragraph" w:styleId="Footer">
    <w:name w:val="footer"/>
    <w:basedOn w:val="Normal"/>
    <w:link w:val="FooterChar"/>
    <w:uiPriority w:val="99"/>
    <w:rsid w:val="003B5161"/>
    <w:pPr>
      <w:tabs>
        <w:tab w:val="center" w:pos="4320"/>
        <w:tab w:val="right" w:pos="8640"/>
      </w:tabs>
    </w:pPr>
  </w:style>
  <w:style w:type="character" w:customStyle="1" w:styleId="FooterChar">
    <w:name w:val="Footer Char"/>
    <w:basedOn w:val="DefaultParagraphFont"/>
    <w:link w:val="Footer"/>
    <w:uiPriority w:val="99"/>
    <w:locked/>
    <w:rsid w:val="009E58C9"/>
    <w:rPr>
      <w:rFonts w:cs="Times New Roman"/>
      <w:sz w:val="20"/>
      <w:szCs w:val="20"/>
    </w:rPr>
  </w:style>
  <w:style w:type="character" w:styleId="PageNumber">
    <w:name w:val="page number"/>
    <w:basedOn w:val="DefaultParagraphFont"/>
    <w:uiPriority w:val="99"/>
    <w:semiHidden/>
    <w:rsid w:val="003B5161"/>
    <w:rPr>
      <w:rFonts w:cs="Times New Roman"/>
    </w:rPr>
  </w:style>
  <w:style w:type="character" w:styleId="Hyperlink">
    <w:name w:val="Hyperlink"/>
    <w:basedOn w:val="DefaultParagraphFont"/>
    <w:uiPriority w:val="99"/>
    <w:rsid w:val="003B5161"/>
    <w:rPr>
      <w:rFonts w:cs="Times New Roman"/>
      <w:color w:val="0000FF"/>
      <w:u w:val="single"/>
    </w:rPr>
  </w:style>
  <w:style w:type="paragraph" w:styleId="EndnoteText">
    <w:name w:val="endnote text"/>
    <w:basedOn w:val="Normal"/>
    <w:link w:val="EndnoteTextChar"/>
    <w:uiPriority w:val="99"/>
    <w:semiHidden/>
    <w:rsid w:val="003B5161"/>
    <w:rPr>
      <w:sz w:val="20"/>
    </w:rPr>
  </w:style>
  <w:style w:type="character" w:customStyle="1" w:styleId="EndnoteTextChar">
    <w:name w:val="Endnote Text Char"/>
    <w:basedOn w:val="DefaultParagraphFont"/>
    <w:link w:val="EndnoteText"/>
    <w:uiPriority w:val="99"/>
    <w:semiHidden/>
    <w:locked/>
    <w:rsid w:val="009E58C9"/>
    <w:rPr>
      <w:rFonts w:cs="Times New Roman"/>
      <w:sz w:val="20"/>
      <w:szCs w:val="20"/>
    </w:rPr>
  </w:style>
  <w:style w:type="character" w:styleId="EndnoteReference">
    <w:name w:val="endnote reference"/>
    <w:basedOn w:val="DefaultParagraphFont"/>
    <w:uiPriority w:val="99"/>
    <w:semiHidden/>
    <w:rsid w:val="003B5161"/>
    <w:rPr>
      <w:rFonts w:cs="Times New Roman"/>
      <w:vertAlign w:val="superscript"/>
    </w:rPr>
  </w:style>
  <w:style w:type="paragraph" w:styleId="ListBullet">
    <w:name w:val="List Bullet"/>
    <w:basedOn w:val="Normal"/>
    <w:autoRedefine/>
    <w:uiPriority w:val="99"/>
    <w:semiHidden/>
    <w:rsid w:val="003B5161"/>
    <w:pPr>
      <w:tabs>
        <w:tab w:val="num" w:pos="2160"/>
      </w:tabs>
      <w:spacing w:line="240" w:lineRule="auto"/>
      <w:ind w:left="2160" w:hanging="360"/>
    </w:pPr>
    <w:rPr>
      <w:lang w:val="en-GB"/>
    </w:rPr>
  </w:style>
  <w:style w:type="paragraph" w:styleId="BodyText">
    <w:name w:val="Body Text"/>
    <w:aliases w:val="DTP Body Text"/>
    <w:basedOn w:val="Normal"/>
    <w:link w:val="BodyTextChar"/>
    <w:uiPriority w:val="99"/>
    <w:semiHidden/>
    <w:rsid w:val="003B5161"/>
    <w:pPr>
      <w:tabs>
        <w:tab w:val="left" w:pos="850"/>
        <w:tab w:val="left" w:pos="1191"/>
        <w:tab w:val="left" w:pos="1531"/>
      </w:tabs>
      <w:spacing w:after="240" w:line="240" w:lineRule="auto"/>
      <w:ind w:firstLine="442"/>
    </w:pPr>
    <w:rPr>
      <w:szCs w:val="22"/>
      <w:lang w:val="en-GB" w:eastAsia="zh-CN"/>
    </w:rPr>
  </w:style>
  <w:style w:type="character" w:customStyle="1" w:styleId="BodyTextChar">
    <w:name w:val="Body Text Char"/>
    <w:aliases w:val="DTP Body Text Char"/>
    <w:basedOn w:val="DefaultParagraphFont"/>
    <w:link w:val="BodyText"/>
    <w:uiPriority w:val="99"/>
    <w:semiHidden/>
    <w:locked/>
    <w:rsid w:val="009E58C9"/>
    <w:rPr>
      <w:rFonts w:cs="Times New Roman"/>
      <w:sz w:val="20"/>
      <w:szCs w:val="20"/>
    </w:rPr>
  </w:style>
  <w:style w:type="paragraph" w:customStyle="1" w:styleId="Num-DocPara">
    <w:name w:val="Num-Doc Para"/>
    <w:basedOn w:val="Normal"/>
    <w:uiPriority w:val="99"/>
    <w:rsid w:val="003B5161"/>
    <w:pPr>
      <w:tabs>
        <w:tab w:val="num" w:pos="1080"/>
      </w:tabs>
      <w:spacing w:after="240" w:line="240" w:lineRule="auto"/>
      <w:ind w:left="1080" w:hanging="360"/>
    </w:pPr>
    <w:rPr>
      <w:lang w:val="en-AU"/>
    </w:rPr>
  </w:style>
  <w:style w:type="paragraph" w:customStyle="1" w:styleId="Exhibit">
    <w:name w:val="Exhibit"/>
    <w:basedOn w:val="Normal"/>
    <w:uiPriority w:val="99"/>
    <w:rsid w:val="003B5161"/>
    <w:pPr>
      <w:keepNext/>
      <w:widowControl w:val="0"/>
      <w:tabs>
        <w:tab w:val="left" w:pos="-1440"/>
        <w:tab w:val="left" w:pos="-720"/>
        <w:tab w:val="left" w:pos="0"/>
        <w:tab w:val="left" w:pos="432"/>
      </w:tabs>
      <w:spacing w:after="120" w:line="240" w:lineRule="auto"/>
      <w:ind w:left="1152" w:hanging="1152"/>
      <w:jc w:val="left"/>
    </w:pPr>
    <w:rPr>
      <w:b/>
      <w:sz w:val="24"/>
    </w:rPr>
  </w:style>
  <w:style w:type="paragraph" w:styleId="List2">
    <w:name w:val="List 2"/>
    <w:basedOn w:val="Normal"/>
    <w:uiPriority w:val="99"/>
    <w:semiHidden/>
    <w:rsid w:val="003B5161"/>
    <w:pPr>
      <w:spacing w:line="240" w:lineRule="auto"/>
      <w:ind w:left="720" w:hanging="360"/>
      <w:jc w:val="left"/>
    </w:pPr>
    <w:rPr>
      <w:sz w:val="24"/>
    </w:rPr>
  </w:style>
  <w:style w:type="paragraph" w:styleId="BalloonText">
    <w:name w:val="Balloon Text"/>
    <w:basedOn w:val="Normal"/>
    <w:link w:val="BalloonTextChar"/>
    <w:uiPriority w:val="99"/>
    <w:semiHidden/>
    <w:rsid w:val="003B516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E58C9"/>
    <w:rPr>
      <w:rFonts w:cs="Times New Roman"/>
      <w:sz w:val="2"/>
    </w:rPr>
  </w:style>
  <w:style w:type="character" w:styleId="FootnoteReference">
    <w:name w:val="footnote reference"/>
    <w:basedOn w:val="DefaultParagraphFont"/>
    <w:semiHidden/>
    <w:rsid w:val="003B5161"/>
    <w:rPr>
      <w:rFonts w:cs="Times New Roman"/>
      <w:vertAlign w:val="superscript"/>
    </w:rPr>
  </w:style>
  <w:style w:type="character" w:styleId="CommentReference">
    <w:name w:val="annotation reference"/>
    <w:basedOn w:val="DefaultParagraphFont"/>
    <w:uiPriority w:val="99"/>
    <w:semiHidden/>
    <w:rsid w:val="003B5161"/>
    <w:rPr>
      <w:rFonts w:cs="Times New Roman"/>
      <w:sz w:val="16"/>
      <w:szCs w:val="16"/>
    </w:rPr>
  </w:style>
  <w:style w:type="paragraph" w:styleId="CommentText">
    <w:name w:val="annotation text"/>
    <w:basedOn w:val="Normal"/>
    <w:link w:val="CommentTextChar"/>
    <w:uiPriority w:val="99"/>
    <w:semiHidden/>
    <w:rsid w:val="003B5161"/>
    <w:rPr>
      <w:sz w:val="20"/>
    </w:rPr>
  </w:style>
  <w:style w:type="character" w:customStyle="1" w:styleId="CommentTextChar">
    <w:name w:val="Comment Text Char"/>
    <w:basedOn w:val="DefaultParagraphFont"/>
    <w:link w:val="CommentText"/>
    <w:uiPriority w:val="99"/>
    <w:semiHidden/>
    <w:locked/>
    <w:rsid w:val="00A66CE8"/>
    <w:rPr>
      <w:rFonts w:cs="Times New Roman"/>
    </w:rPr>
  </w:style>
  <w:style w:type="paragraph" w:styleId="CommentSubject">
    <w:name w:val="annotation subject"/>
    <w:basedOn w:val="CommentText"/>
    <w:next w:val="CommentText"/>
    <w:link w:val="CommentSubjectChar"/>
    <w:uiPriority w:val="99"/>
    <w:semiHidden/>
    <w:rsid w:val="003B5161"/>
    <w:rPr>
      <w:b/>
      <w:bCs/>
    </w:rPr>
  </w:style>
  <w:style w:type="character" w:customStyle="1" w:styleId="CommentSubjectChar">
    <w:name w:val="Comment Subject Char"/>
    <w:basedOn w:val="CommentTextChar"/>
    <w:link w:val="CommentSubject"/>
    <w:uiPriority w:val="99"/>
    <w:semiHidden/>
    <w:locked/>
    <w:rsid w:val="009E58C9"/>
    <w:rPr>
      <w:rFonts w:cs="Times New Roman"/>
      <w:b/>
      <w:bCs/>
      <w:sz w:val="20"/>
      <w:szCs w:val="20"/>
    </w:rPr>
  </w:style>
  <w:style w:type="character" w:customStyle="1" w:styleId="P1-StandParaChar">
    <w:name w:val="P1-Stand Para Char"/>
    <w:basedOn w:val="DefaultParagraphFont"/>
    <w:uiPriority w:val="99"/>
    <w:rsid w:val="003B5161"/>
    <w:rPr>
      <w:rFonts w:cs="Times New Roman"/>
      <w:sz w:val="22"/>
      <w:lang w:val="en-US" w:eastAsia="en-US" w:bidi="ar-SA"/>
    </w:rPr>
  </w:style>
  <w:style w:type="paragraph" w:styleId="NormalWeb">
    <w:name w:val="Normal (Web)"/>
    <w:basedOn w:val="Normal"/>
    <w:uiPriority w:val="99"/>
    <w:semiHidden/>
    <w:rsid w:val="003B5161"/>
    <w:pPr>
      <w:spacing w:before="100" w:beforeAutospacing="1" w:after="100" w:afterAutospacing="1" w:line="240" w:lineRule="auto"/>
      <w:jc w:val="left"/>
    </w:pPr>
    <w:rPr>
      <w:rFonts w:ascii="Arial Unicode MS" w:eastAsia="Arial Unicode MS" w:hAnsi="Arial Unicode MS" w:cs="Arial Unicode MS"/>
      <w:noProof/>
      <w:sz w:val="24"/>
      <w:szCs w:val="24"/>
    </w:rPr>
  </w:style>
  <w:style w:type="paragraph" w:customStyle="1" w:styleId="BodyText1">
    <w:name w:val="Body Text1"/>
    <w:basedOn w:val="Normal"/>
    <w:uiPriority w:val="99"/>
    <w:rsid w:val="003F681D"/>
    <w:pPr>
      <w:spacing w:before="120" w:after="120" w:line="300" w:lineRule="atLeast"/>
      <w:jc w:val="left"/>
    </w:pPr>
    <w:rPr>
      <w:rFonts w:ascii="Garamond" w:hAnsi="Garamond"/>
      <w:sz w:val="24"/>
      <w:szCs w:val="24"/>
    </w:rPr>
  </w:style>
  <w:style w:type="paragraph" w:customStyle="1" w:styleId="Bodybullet">
    <w:name w:val="Body bullet"/>
    <w:basedOn w:val="Normal"/>
    <w:uiPriority w:val="99"/>
    <w:rsid w:val="00387E87"/>
    <w:pPr>
      <w:spacing w:before="120" w:after="120"/>
      <w:jc w:val="left"/>
    </w:pPr>
    <w:rPr>
      <w:rFonts w:ascii="Garamond" w:hAnsi="Garamond"/>
      <w:sz w:val="24"/>
      <w:szCs w:val="24"/>
    </w:rPr>
  </w:style>
  <w:style w:type="paragraph" w:customStyle="1" w:styleId="Bodyindent">
    <w:name w:val="Body indent"/>
    <w:basedOn w:val="P1-StandPara"/>
    <w:uiPriority w:val="99"/>
    <w:rsid w:val="00BD7BA6"/>
    <w:pPr>
      <w:spacing w:line="240" w:lineRule="auto"/>
      <w:ind w:left="720" w:firstLine="0"/>
    </w:pPr>
    <w:rPr>
      <w:rFonts w:ascii="Garamond" w:hAnsi="Garamond"/>
      <w:sz w:val="24"/>
      <w:szCs w:val="22"/>
    </w:rPr>
  </w:style>
  <w:style w:type="table" w:styleId="TableGrid">
    <w:name w:val="Table Grid"/>
    <w:basedOn w:val="TableNormal"/>
    <w:uiPriority w:val="99"/>
    <w:rsid w:val="00DC5DF0"/>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6B07E6"/>
    <w:pPr>
      <w:ind w:left="720"/>
      <w:contextualSpacing/>
    </w:pPr>
  </w:style>
  <w:style w:type="paragraph" w:customStyle="1" w:styleId="tablefootnote">
    <w:name w:val="table footnote"/>
    <w:basedOn w:val="Normal"/>
    <w:uiPriority w:val="99"/>
    <w:rsid w:val="00157FD2"/>
    <w:pPr>
      <w:keepNext/>
      <w:spacing w:line="240" w:lineRule="auto"/>
      <w:ind w:left="720"/>
    </w:pPr>
    <w:rPr>
      <w:rFonts w:ascii="Garamond" w:hAnsi="Garamond"/>
      <w:sz w:val="18"/>
      <w:szCs w:val="18"/>
    </w:rPr>
  </w:style>
  <w:style w:type="paragraph" w:styleId="TOCHeading">
    <w:name w:val="TOC Heading"/>
    <w:basedOn w:val="Heading1"/>
    <w:next w:val="Normal"/>
    <w:uiPriority w:val="99"/>
    <w:qFormat/>
    <w:rsid w:val="004909C1"/>
    <w:pPr>
      <w:keepLines/>
      <w:tabs>
        <w:tab w:val="clear" w:pos="1152"/>
      </w:tabs>
      <w:spacing w:before="480" w:after="0" w:line="276" w:lineRule="auto"/>
      <w:ind w:left="0" w:firstLine="0"/>
      <w:jc w:val="left"/>
      <w:outlineLvl w:val="9"/>
    </w:pPr>
    <w:rPr>
      <w:rFonts w:ascii="Corbel" w:hAnsi="Corbel"/>
      <w:bCs/>
      <w:color w:val="B38000"/>
      <w:sz w:val="28"/>
      <w:szCs w:val="28"/>
    </w:rPr>
  </w:style>
  <w:style w:type="paragraph" w:customStyle="1" w:styleId="Heading0">
    <w:name w:val="Heading 0"/>
    <w:basedOn w:val="C1-CtrBoldHd"/>
    <w:uiPriority w:val="99"/>
    <w:rsid w:val="00244B12"/>
  </w:style>
  <w:style w:type="paragraph" w:styleId="TableofFigures">
    <w:name w:val="table of figures"/>
    <w:basedOn w:val="Normal"/>
    <w:next w:val="Normal"/>
    <w:uiPriority w:val="99"/>
    <w:rsid w:val="00517EEA"/>
  </w:style>
  <w:style w:type="paragraph" w:styleId="Title">
    <w:name w:val="Title"/>
    <w:basedOn w:val="Normal"/>
    <w:next w:val="Normal"/>
    <w:link w:val="TitleChar"/>
    <w:uiPriority w:val="99"/>
    <w:qFormat/>
    <w:rsid w:val="0099504D"/>
    <w:pPr>
      <w:pBdr>
        <w:bottom w:val="single" w:sz="8" w:space="4" w:color="F0AD00"/>
      </w:pBdr>
      <w:spacing w:after="300" w:line="240" w:lineRule="auto"/>
      <w:contextualSpacing/>
    </w:pPr>
    <w:rPr>
      <w:rFonts w:ascii="Corbel" w:hAnsi="Corbel"/>
      <w:color w:val="434959"/>
      <w:spacing w:val="5"/>
      <w:kern w:val="28"/>
      <w:sz w:val="36"/>
      <w:szCs w:val="52"/>
    </w:rPr>
  </w:style>
  <w:style w:type="character" w:customStyle="1" w:styleId="TitleChar">
    <w:name w:val="Title Char"/>
    <w:basedOn w:val="DefaultParagraphFont"/>
    <w:link w:val="Title"/>
    <w:uiPriority w:val="99"/>
    <w:locked/>
    <w:rsid w:val="0099504D"/>
    <w:rPr>
      <w:rFonts w:ascii="Corbel" w:hAnsi="Corbel" w:cs="Times New Roman"/>
      <w:color w:val="434959"/>
      <w:spacing w:val="5"/>
      <w:kern w:val="28"/>
      <w:sz w:val="52"/>
      <w:szCs w:val="52"/>
    </w:rPr>
  </w:style>
  <w:style w:type="character" w:customStyle="1" w:styleId="bodytextChar0">
    <w:name w:val="body text Char"/>
    <w:basedOn w:val="DefaultParagraphFont"/>
    <w:link w:val="BodyText2"/>
    <w:uiPriority w:val="99"/>
    <w:locked/>
    <w:rsid w:val="00393E36"/>
    <w:rPr>
      <w:rFonts w:cs="Times New Roman"/>
      <w:sz w:val="24"/>
      <w:lang w:bidi="ar-SA"/>
    </w:rPr>
  </w:style>
  <w:style w:type="paragraph" w:customStyle="1" w:styleId="BodyText2">
    <w:name w:val="Body Text2"/>
    <w:basedOn w:val="Normal"/>
    <w:link w:val="bodytextChar0"/>
    <w:uiPriority w:val="99"/>
    <w:rsid w:val="00393E36"/>
    <w:pPr>
      <w:spacing w:before="240" w:after="240" w:line="360" w:lineRule="auto"/>
      <w:ind w:firstLine="720"/>
      <w:jc w:val="left"/>
    </w:pPr>
    <w:rPr>
      <w:noProof/>
      <w:sz w:val="24"/>
    </w:rPr>
  </w:style>
  <w:style w:type="paragraph" w:customStyle="1" w:styleId="pirlsnamecover">
    <w:name w:val="pirlsnamecover"/>
    <w:basedOn w:val="Normal"/>
    <w:uiPriority w:val="99"/>
    <w:rsid w:val="005B6F23"/>
    <w:pPr>
      <w:spacing w:line="240" w:lineRule="auto"/>
      <w:jc w:val="left"/>
    </w:pPr>
    <w:rPr>
      <w:sz w:val="24"/>
      <w:szCs w:val="24"/>
    </w:rPr>
  </w:style>
  <w:style w:type="paragraph" w:customStyle="1" w:styleId="TH-TableHeading">
    <w:name w:val="TH-Table Heading"/>
    <w:basedOn w:val="Heading1"/>
    <w:uiPriority w:val="99"/>
    <w:rsid w:val="003777DC"/>
    <w:pPr>
      <w:tabs>
        <w:tab w:val="clear" w:pos="1152"/>
      </w:tabs>
      <w:spacing w:before="0" w:after="0"/>
      <w:ind w:left="0" w:firstLine="0"/>
      <w:jc w:val="center"/>
    </w:pPr>
    <w:rPr>
      <w:rFonts w:ascii="Arial" w:hAnsi="Arial" w:cs="Arial"/>
      <w:sz w:val="18"/>
      <w:szCs w:val="18"/>
    </w:rPr>
  </w:style>
  <w:style w:type="table" w:customStyle="1" w:styleId="TableWestatStandardFormat">
    <w:name w:val="Table Westat Standard Format"/>
    <w:uiPriority w:val="99"/>
    <w:rsid w:val="003777DC"/>
    <w:rPr>
      <w:sz w:val="20"/>
      <w:szCs w:val="20"/>
    </w:rPr>
    <w:tblPr>
      <w:tblInd w:w="0" w:type="dxa"/>
      <w:tblBorders>
        <w:top w:val="single" w:sz="4" w:space="0" w:color="auto"/>
        <w:bottom w:val="single" w:sz="4" w:space="0" w:color="auto"/>
      </w:tblBorders>
      <w:tblCellMar>
        <w:top w:w="0" w:type="dxa"/>
        <w:left w:w="108" w:type="dxa"/>
        <w:bottom w:w="0" w:type="dxa"/>
        <w:right w:w="108" w:type="dxa"/>
      </w:tblCellMar>
    </w:tblPr>
  </w:style>
  <w:style w:type="paragraph" w:customStyle="1" w:styleId="TX-TableText">
    <w:name w:val="TX-Table Text"/>
    <w:basedOn w:val="Normal"/>
    <w:uiPriority w:val="99"/>
    <w:rsid w:val="003777DC"/>
    <w:pPr>
      <w:spacing w:line="240" w:lineRule="auto"/>
      <w:jc w:val="left"/>
    </w:pPr>
    <w:rPr>
      <w:rFonts w:ascii="Arial" w:hAnsi="Arial"/>
      <w:sz w:val="18"/>
      <w:szCs w:val="18"/>
    </w:rPr>
  </w:style>
  <w:style w:type="character" w:customStyle="1" w:styleId="L1-FlLSp12Char">
    <w:name w:val="L1-FlL Sp&amp;1/2 Char"/>
    <w:basedOn w:val="DefaultParagraphFont"/>
    <w:link w:val="L1-FlLSp12"/>
    <w:uiPriority w:val="99"/>
    <w:locked/>
    <w:rsid w:val="00D95173"/>
    <w:rPr>
      <w:szCs w:val="20"/>
    </w:rPr>
  </w:style>
  <w:style w:type="paragraph" w:styleId="Revision">
    <w:name w:val="Revision"/>
    <w:hidden/>
    <w:uiPriority w:val="99"/>
    <w:semiHidden/>
    <w:rsid w:val="002B491E"/>
    <w:rPr>
      <w:szCs w:val="20"/>
    </w:rPr>
  </w:style>
  <w:style w:type="paragraph" w:styleId="PlainText">
    <w:name w:val="Plain Text"/>
    <w:basedOn w:val="Normal"/>
    <w:link w:val="PlainTextChar"/>
    <w:uiPriority w:val="99"/>
    <w:unhideWhenUsed/>
    <w:locked/>
    <w:rsid w:val="00836E2D"/>
    <w:pPr>
      <w:spacing w:line="240" w:lineRule="auto"/>
      <w:jc w:val="left"/>
    </w:pPr>
    <w:rPr>
      <w:rFonts w:ascii="Calibri" w:eastAsiaTheme="minorHAnsi" w:hAnsi="Calibri" w:cs="Calibri"/>
      <w:szCs w:val="22"/>
    </w:rPr>
  </w:style>
  <w:style w:type="character" w:customStyle="1" w:styleId="PlainTextChar">
    <w:name w:val="Plain Text Char"/>
    <w:basedOn w:val="DefaultParagraphFont"/>
    <w:link w:val="PlainText"/>
    <w:uiPriority w:val="99"/>
    <w:rsid w:val="00836E2D"/>
    <w:rPr>
      <w:rFonts w:ascii="Calibri" w:eastAsiaTheme="minorHAnsi" w:hAnsi="Calibri" w:cs="Calibri"/>
    </w:rPr>
  </w:style>
  <w:style w:type="paragraph" w:styleId="NoSpacing">
    <w:name w:val="No Spacing"/>
    <w:uiPriority w:val="1"/>
    <w:qFormat/>
    <w:rsid w:val="003B3098"/>
    <w:rPr>
      <w:rFonts w:asciiTheme="minorHAnsi" w:eastAsiaTheme="minorHAnsi" w:hAnsiTheme="minorHAnsi" w:cstheme="minorBidi"/>
    </w:rPr>
  </w:style>
  <w:style w:type="paragraph" w:customStyle="1" w:styleId="Default">
    <w:name w:val="Default"/>
    <w:rsid w:val="002A706B"/>
    <w:pPr>
      <w:autoSpaceDE w:val="0"/>
      <w:autoSpaceDN w:val="0"/>
      <w:adjustRightInd w:val="0"/>
    </w:pPr>
    <w:rPr>
      <w:color w:val="000000"/>
      <w:sz w:val="24"/>
      <w:szCs w:val="24"/>
    </w:rPr>
  </w:style>
  <w:style w:type="character" w:customStyle="1" w:styleId="apple-converted-space">
    <w:name w:val="apple-converted-space"/>
    <w:basedOn w:val="DefaultParagraphFont"/>
    <w:rsid w:val="008A4B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994607">
      <w:bodyDiv w:val="1"/>
      <w:marLeft w:val="0"/>
      <w:marRight w:val="0"/>
      <w:marTop w:val="0"/>
      <w:marBottom w:val="0"/>
      <w:divBdr>
        <w:top w:val="none" w:sz="0" w:space="0" w:color="auto"/>
        <w:left w:val="none" w:sz="0" w:space="0" w:color="auto"/>
        <w:bottom w:val="none" w:sz="0" w:space="0" w:color="auto"/>
        <w:right w:val="none" w:sz="0" w:space="0" w:color="auto"/>
      </w:divBdr>
    </w:div>
    <w:div w:id="124588054">
      <w:bodyDiv w:val="1"/>
      <w:marLeft w:val="0"/>
      <w:marRight w:val="0"/>
      <w:marTop w:val="0"/>
      <w:marBottom w:val="0"/>
      <w:divBdr>
        <w:top w:val="none" w:sz="0" w:space="0" w:color="auto"/>
        <w:left w:val="none" w:sz="0" w:space="0" w:color="auto"/>
        <w:bottom w:val="none" w:sz="0" w:space="0" w:color="auto"/>
        <w:right w:val="none" w:sz="0" w:space="0" w:color="auto"/>
      </w:divBdr>
    </w:div>
    <w:div w:id="183325965">
      <w:bodyDiv w:val="1"/>
      <w:marLeft w:val="0"/>
      <w:marRight w:val="0"/>
      <w:marTop w:val="0"/>
      <w:marBottom w:val="0"/>
      <w:divBdr>
        <w:top w:val="none" w:sz="0" w:space="0" w:color="auto"/>
        <w:left w:val="none" w:sz="0" w:space="0" w:color="auto"/>
        <w:bottom w:val="none" w:sz="0" w:space="0" w:color="auto"/>
        <w:right w:val="none" w:sz="0" w:space="0" w:color="auto"/>
      </w:divBdr>
    </w:div>
    <w:div w:id="187984873">
      <w:bodyDiv w:val="1"/>
      <w:marLeft w:val="0"/>
      <w:marRight w:val="0"/>
      <w:marTop w:val="0"/>
      <w:marBottom w:val="0"/>
      <w:divBdr>
        <w:top w:val="none" w:sz="0" w:space="0" w:color="auto"/>
        <w:left w:val="none" w:sz="0" w:space="0" w:color="auto"/>
        <w:bottom w:val="none" w:sz="0" w:space="0" w:color="auto"/>
        <w:right w:val="none" w:sz="0" w:space="0" w:color="auto"/>
      </w:divBdr>
    </w:div>
    <w:div w:id="430903749">
      <w:marLeft w:val="0"/>
      <w:marRight w:val="0"/>
      <w:marTop w:val="0"/>
      <w:marBottom w:val="0"/>
      <w:divBdr>
        <w:top w:val="none" w:sz="0" w:space="0" w:color="auto"/>
        <w:left w:val="none" w:sz="0" w:space="0" w:color="auto"/>
        <w:bottom w:val="none" w:sz="0" w:space="0" w:color="auto"/>
        <w:right w:val="none" w:sz="0" w:space="0" w:color="auto"/>
      </w:divBdr>
    </w:div>
    <w:div w:id="430903750">
      <w:marLeft w:val="0"/>
      <w:marRight w:val="0"/>
      <w:marTop w:val="0"/>
      <w:marBottom w:val="0"/>
      <w:divBdr>
        <w:top w:val="none" w:sz="0" w:space="0" w:color="auto"/>
        <w:left w:val="none" w:sz="0" w:space="0" w:color="auto"/>
        <w:bottom w:val="none" w:sz="0" w:space="0" w:color="auto"/>
        <w:right w:val="none" w:sz="0" w:space="0" w:color="auto"/>
      </w:divBdr>
    </w:div>
    <w:div w:id="430903751">
      <w:marLeft w:val="0"/>
      <w:marRight w:val="0"/>
      <w:marTop w:val="0"/>
      <w:marBottom w:val="0"/>
      <w:divBdr>
        <w:top w:val="none" w:sz="0" w:space="0" w:color="auto"/>
        <w:left w:val="none" w:sz="0" w:space="0" w:color="auto"/>
        <w:bottom w:val="none" w:sz="0" w:space="0" w:color="auto"/>
        <w:right w:val="none" w:sz="0" w:space="0" w:color="auto"/>
      </w:divBdr>
    </w:div>
    <w:div w:id="430903752">
      <w:marLeft w:val="0"/>
      <w:marRight w:val="0"/>
      <w:marTop w:val="0"/>
      <w:marBottom w:val="0"/>
      <w:divBdr>
        <w:top w:val="none" w:sz="0" w:space="0" w:color="auto"/>
        <w:left w:val="none" w:sz="0" w:space="0" w:color="auto"/>
        <w:bottom w:val="none" w:sz="0" w:space="0" w:color="auto"/>
        <w:right w:val="none" w:sz="0" w:space="0" w:color="auto"/>
      </w:divBdr>
    </w:div>
    <w:div w:id="430903753">
      <w:marLeft w:val="0"/>
      <w:marRight w:val="0"/>
      <w:marTop w:val="0"/>
      <w:marBottom w:val="0"/>
      <w:divBdr>
        <w:top w:val="none" w:sz="0" w:space="0" w:color="auto"/>
        <w:left w:val="none" w:sz="0" w:space="0" w:color="auto"/>
        <w:bottom w:val="none" w:sz="0" w:space="0" w:color="auto"/>
        <w:right w:val="none" w:sz="0" w:space="0" w:color="auto"/>
      </w:divBdr>
    </w:div>
    <w:div w:id="430903754">
      <w:marLeft w:val="0"/>
      <w:marRight w:val="0"/>
      <w:marTop w:val="0"/>
      <w:marBottom w:val="0"/>
      <w:divBdr>
        <w:top w:val="none" w:sz="0" w:space="0" w:color="auto"/>
        <w:left w:val="none" w:sz="0" w:space="0" w:color="auto"/>
        <w:bottom w:val="none" w:sz="0" w:space="0" w:color="auto"/>
        <w:right w:val="none" w:sz="0" w:space="0" w:color="auto"/>
      </w:divBdr>
    </w:div>
    <w:div w:id="430903755">
      <w:marLeft w:val="0"/>
      <w:marRight w:val="0"/>
      <w:marTop w:val="0"/>
      <w:marBottom w:val="0"/>
      <w:divBdr>
        <w:top w:val="none" w:sz="0" w:space="0" w:color="auto"/>
        <w:left w:val="none" w:sz="0" w:space="0" w:color="auto"/>
        <w:bottom w:val="none" w:sz="0" w:space="0" w:color="auto"/>
        <w:right w:val="none" w:sz="0" w:space="0" w:color="auto"/>
      </w:divBdr>
    </w:div>
    <w:div w:id="430903756">
      <w:marLeft w:val="0"/>
      <w:marRight w:val="0"/>
      <w:marTop w:val="0"/>
      <w:marBottom w:val="0"/>
      <w:divBdr>
        <w:top w:val="none" w:sz="0" w:space="0" w:color="auto"/>
        <w:left w:val="none" w:sz="0" w:space="0" w:color="auto"/>
        <w:bottom w:val="none" w:sz="0" w:space="0" w:color="auto"/>
        <w:right w:val="none" w:sz="0" w:space="0" w:color="auto"/>
      </w:divBdr>
    </w:div>
    <w:div w:id="430903757">
      <w:marLeft w:val="0"/>
      <w:marRight w:val="0"/>
      <w:marTop w:val="0"/>
      <w:marBottom w:val="0"/>
      <w:divBdr>
        <w:top w:val="none" w:sz="0" w:space="0" w:color="auto"/>
        <w:left w:val="none" w:sz="0" w:space="0" w:color="auto"/>
        <w:bottom w:val="none" w:sz="0" w:space="0" w:color="auto"/>
        <w:right w:val="none" w:sz="0" w:space="0" w:color="auto"/>
      </w:divBdr>
    </w:div>
    <w:div w:id="430903758">
      <w:marLeft w:val="0"/>
      <w:marRight w:val="0"/>
      <w:marTop w:val="0"/>
      <w:marBottom w:val="0"/>
      <w:divBdr>
        <w:top w:val="none" w:sz="0" w:space="0" w:color="auto"/>
        <w:left w:val="none" w:sz="0" w:space="0" w:color="auto"/>
        <w:bottom w:val="none" w:sz="0" w:space="0" w:color="auto"/>
        <w:right w:val="none" w:sz="0" w:space="0" w:color="auto"/>
      </w:divBdr>
    </w:div>
    <w:div w:id="430903759">
      <w:marLeft w:val="0"/>
      <w:marRight w:val="0"/>
      <w:marTop w:val="0"/>
      <w:marBottom w:val="0"/>
      <w:divBdr>
        <w:top w:val="none" w:sz="0" w:space="0" w:color="auto"/>
        <w:left w:val="none" w:sz="0" w:space="0" w:color="auto"/>
        <w:bottom w:val="none" w:sz="0" w:space="0" w:color="auto"/>
        <w:right w:val="none" w:sz="0" w:space="0" w:color="auto"/>
      </w:divBdr>
    </w:div>
    <w:div w:id="430903760">
      <w:marLeft w:val="0"/>
      <w:marRight w:val="0"/>
      <w:marTop w:val="0"/>
      <w:marBottom w:val="0"/>
      <w:divBdr>
        <w:top w:val="none" w:sz="0" w:space="0" w:color="auto"/>
        <w:left w:val="none" w:sz="0" w:space="0" w:color="auto"/>
        <w:bottom w:val="none" w:sz="0" w:space="0" w:color="auto"/>
        <w:right w:val="none" w:sz="0" w:space="0" w:color="auto"/>
      </w:divBdr>
    </w:div>
    <w:div w:id="430903761">
      <w:marLeft w:val="0"/>
      <w:marRight w:val="0"/>
      <w:marTop w:val="0"/>
      <w:marBottom w:val="0"/>
      <w:divBdr>
        <w:top w:val="none" w:sz="0" w:space="0" w:color="auto"/>
        <w:left w:val="none" w:sz="0" w:space="0" w:color="auto"/>
        <w:bottom w:val="none" w:sz="0" w:space="0" w:color="auto"/>
        <w:right w:val="none" w:sz="0" w:space="0" w:color="auto"/>
      </w:divBdr>
    </w:div>
    <w:div w:id="430903762">
      <w:marLeft w:val="0"/>
      <w:marRight w:val="0"/>
      <w:marTop w:val="0"/>
      <w:marBottom w:val="0"/>
      <w:divBdr>
        <w:top w:val="none" w:sz="0" w:space="0" w:color="auto"/>
        <w:left w:val="none" w:sz="0" w:space="0" w:color="auto"/>
        <w:bottom w:val="none" w:sz="0" w:space="0" w:color="auto"/>
        <w:right w:val="none" w:sz="0" w:space="0" w:color="auto"/>
      </w:divBdr>
    </w:div>
    <w:div w:id="430903763">
      <w:marLeft w:val="0"/>
      <w:marRight w:val="0"/>
      <w:marTop w:val="0"/>
      <w:marBottom w:val="0"/>
      <w:divBdr>
        <w:top w:val="none" w:sz="0" w:space="0" w:color="auto"/>
        <w:left w:val="none" w:sz="0" w:space="0" w:color="auto"/>
        <w:bottom w:val="none" w:sz="0" w:space="0" w:color="auto"/>
        <w:right w:val="none" w:sz="0" w:space="0" w:color="auto"/>
      </w:divBdr>
    </w:div>
    <w:div w:id="430903764">
      <w:marLeft w:val="0"/>
      <w:marRight w:val="0"/>
      <w:marTop w:val="0"/>
      <w:marBottom w:val="0"/>
      <w:divBdr>
        <w:top w:val="none" w:sz="0" w:space="0" w:color="auto"/>
        <w:left w:val="none" w:sz="0" w:space="0" w:color="auto"/>
        <w:bottom w:val="none" w:sz="0" w:space="0" w:color="auto"/>
        <w:right w:val="none" w:sz="0" w:space="0" w:color="auto"/>
      </w:divBdr>
    </w:div>
    <w:div w:id="430903765">
      <w:marLeft w:val="0"/>
      <w:marRight w:val="0"/>
      <w:marTop w:val="0"/>
      <w:marBottom w:val="0"/>
      <w:divBdr>
        <w:top w:val="none" w:sz="0" w:space="0" w:color="auto"/>
        <w:left w:val="none" w:sz="0" w:space="0" w:color="auto"/>
        <w:bottom w:val="none" w:sz="0" w:space="0" w:color="auto"/>
        <w:right w:val="none" w:sz="0" w:space="0" w:color="auto"/>
      </w:divBdr>
    </w:div>
    <w:div w:id="430903766">
      <w:marLeft w:val="0"/>
      <w:marRight w:val="0"/>
      <w:marTop w:val="0"/>
      <w:marBottom w:val="0"/>
      <w:divBdr>
        <w:top w:val="none" w:sz="0" w:space="0" w:color="auto"/>
        <w:left w:val="none" w:sz="0" w:space="0" w:color="auto"/>
        <w:bottom w:val="none" w:sz="0" w:space="0" w:color="auto"/>
        <w:right w:val="none" w:sz="0" w:space="0" w:color="auto"/>
      </w:divBdr>
    </w:div>
    <w:div w:id="430903768">
      <w:marLeft w:val="0"/>
      <w:marRight w:val="0"/>
      <w:marTop w:val="0"/>
      <w:marBottom w:val="0"/>
      <w:divBdr>
        <w:top w:val="none" w:sz="0" w:space="0" w:color="auto"/>
        <w:left w:val="none" w:sz="0" w:space="0" w:color="auto"/>
        <w:bottom w:val="none" w:sz="0" w:space="0" w:color="auto"/>
        <w:right w:val="none" w:sz="0" w:space="0" w:color="auto"/>
      </w:divBdr>
    </w:div>
    <w:div w:id="430903769">
      <w:marLeft w:val="0"/>
      <w:marRight w:val="0"/>
      <w:marTop w:val="0"/>
      <w:marBottom w:val="0"/>
      <w:divBdr>
        <w:top w:val="none" w:sz="0" w:space="0" w:color="auto"/>
        <w:left w:val="none" w:sz="0" w:space="0" w:color="auto"/>
        <w:bottom w:val="none" w:sz="0" w:space="0" w:color="auto"/>
        <w:right w:val="none" w:sz="0" w:space="0" w:color="auto"/>
      </w:divBdr>
      <w:divsChild>
        <w:div w:id="430903767">
          <w:marLeft w:val="0"/>
          <w:marRight w:val="0"/>
          <w:marTop w:val="0"/>
          <w:marBottom w:val="0"/>
          <w:divBdr>
            <w:top w:val="none" w:sz="0" w:space="0" w:color="auto"/>
            <w:left w:val="none" w:sz="0" w:space="0" w:color="auto"/>
            <w:bottom w:val="none" w:sz="0" w:space="0" w:color="auto"/>
            <w:right w:val="none" w:sz="0" w:space="0" w:color="auto"/>
          </w:divBdr>
        </w:div>
      </w:divsChild>
    </w:div>
    <w:div w:id="430903770">
      <w:marLeft w:val="0"/>
      <w:marRight w:val="0"/>
      <w:marTop w:val="0"/>
      <w:marBottom w:val="0"/>
      <w:divBdr>
        <w:top w:val="none" w:sz="0" w:space="0" w:color="auto"/>
        <w:left w:val="none" w:sz="0" w:space="0" w:color="auto"/>
        <w:bottom w:val="none" w:sz="0" w:space="0" w:color="auto"/>
        <w:right w:val="none" w:sz="0" w:space="0" w:color="auto"/>
      </w:divBdr>
    </w:div>
    <w:div w:id="433280877">
      <w:bodyDiv w:val="1"/>
      <w:marLeft w:val="0"/>
      <w:marRight w:val="0"/>
      <w:marTop w:val="0"/>
      <w:marBottom w:val="0"/>
      <w:divBdr>
        <w:top w:val="none" w:sz="0" w:space="0" w:color="auto"/>
        <w:left w:val="none" w:sz="0" w:space="0" w:color="auto"/>
        <w:bottom w:val="none" w:sz="0" w:space="0" w:color="auto"/>
        <w:right w:val="none" w:sz="0" w:space="0" w:color="auto"/>
      </w:divBdr>
    </w:div>
    <w:div w:id="529298152">
      <w:bodyDiv w:val="1"/>
      <w:marLeft w:val="0"/>
      <w:marRight w:val="0"/>
      <w:marTop w:val="0"/>
      <w:marBottom w:val="0"/>
      <w:divBdr>
        <w:top w:val="none" w:sz="0" w:space="0" w:color="auto"/>
        <w:left w:val="none" w:sz="0" w:space="0" w:color="auto"/>
        <w:bottom w:val="none" w:sz="0" w:space="0" w:color="auto"/>
        <w:right w:val="none" w:sz="0" w:space="0" w:color="auto"/>
      </w:divBdr>
    </w:div>
    <w:div w:id="552817551">
      <w:bodyDiv w:val="1"/>
      <w:marLeft w:val="0"/>
      <w:marRight w:val="0"/>
      <w:marTop w:val="0"/>
      <w:marBottom w:val="0"/>
      <w:divBdr>
        <w:top w:val="none" w:sz="0" w:space="0" w:color="auto"/>
        <w:left w:val="none" w:sz="0" w:space="0" w:color="auto"/>
        <w:bottom w:val="none" w:sz="0" w:space="0" w:color="auto"/>
        <w:right w:val="none" w:sz="0" w:space="0" w:color="auto"/>
      </w:divBdr>
    </w:div>
    <w:div w:id="770395044">
      <w:bodyDiv w:val="1"/>
      <w:marLeft w:val="0"/>
      <w:marRight w:val="0"/>
      <w:marTop w:val="0"/>
      <w:marBottom w:val="0"/>
      <w:divBdr>
        <w:top w:val="none" w:sz="0" w:space="0" w:color="auto"/>
        <w:left w:val="none" w:sz="0" w:space="0" w:color="auto"/>
        <w:bottom w:val="none" w:sz="0" w:space="0" w:color="auto"/>
        <w:right w:val="none" w:sz="0" w:space="0" w:color="auto"/>
      </w:divBdr>
    </w:div>
    <w:div w:id="846214569">
      <w:bodyDiv w:val="1"/>
      <w:marLeft w:val="0"/>
      <w:marRight w:val="0"/>
      <w:marTop w:val="0"/>
      <w:marBottom w:val="0"/>
      <w:divBdr>
        <w:top w:val="none" w:sz="0" w:space="0" w:color="auto"/>
        <w:left w:val="none" w:sz="0" w:space="0" w:color="auto"/>
        <w:bottom w:val="none" w:sz="0" w:space="0" w:color="auto"/>
        <w:right w:val="none" w:sz="0" w:space="0" w:color="auto"/>
      </w:divBdr>
    </w:div>
    <w:div w:id="888103707">
      <w:bodyDiv w:val="1"/>
      <w:marLeft w:val="0"/>
      <w:marRight w:val="0"/>
      <w:marTop w:val="0"/>
      <w:marBottom w:val="0"/>
      <w:divBdr>
        <w:top w:val="none" w:sz="0" w:space="0" w:color="auto"/>
        <w:left w:val="none" w:sz="0" w:space="0" w:color="auto"/>
        <w:bottom w:val="none" w:sz="0" w:space="0" w:color="auto"/>
        <w:right w:val="none" w:sz="0" w:space="0" w:color="auto"/>
      </w:divBdr>
    </w:div>
    <w:div w:id="956445579">
      <w:bodyDiv w:val="1"/>
      <w:marLeft w:val="0"/>
      <w:marRight w:val="0"/>
      <w:marTop w:val="0"/>
      <w:marBottom w:val="0"/>
      <w:divBdr>
        <w:top w:val="none" w:sz="0" w:space="0" w:color="auto"/>
        <w:left w:val="none" w:sz="0" w:space="0" w:color="auto"/>
        <w:bottom w:val="none" w:sz="0" w:space="0" w:color="auto"/>
        <w:right w:val="none" w:sz="0" w:space="0" w:color="auto"/>
      </w:divBdr>
    </w:div>
    <w:div w:id="984620983">
      <w:bodyDiv w:val="1"/>
      <w:marLeft w:val="0"/>
      <w:marRight w:val="0"/>
      <w:marTop w:val="0"/>
      <w:marBottom w:val="0"/>
      <w:divBdr>
        <w:top w:val="none" w:sz="0" w:space="0" w:color="auto"/>
        <w:left w:val="none" w:sz="0" w:space="0" w:color="auto"/>
        <w:bottom w:val="none" w:sz="0" w:space="0" w:color="auto"/>
        <w:right w:val="none" w:sz="0" w:space="0" w:color="auto"/>
      </w:divBdr>
    </w:div>
    <w:div w:id="1084305357">
      <w:bodyDiv w:val="1"/>
      <w:marLeft w:val="0"/>
      <w:marRight w:val="0"/>
      <w:marTop w:val="0"/>
      <w:marBottom w:val="0"/>
      <w:divBdr>
        <w:top w:val="none" w:sz="0" w:space="0" w:color="auto"/>
        <w:left w:val="none" w:sz="0" w:space="0" w:color="auto"/>
        <w:bottom w:val="none" w:sz="0" w:space="0" w:color="auto"/>
        <w:right w:val="none" w:sz="0" w:space="0" w:color="auto"/>
      </w:divBdr>
    </w:div>
    <w:div w:id="1671444305">
      <w:bodyDiv w:val="1"/>
      <w:marLeft w:val="0"/>
      <w:marRight w:val="0"/>
      <w:marTop w:val="0"/>
      <w:marBottom w:val="0"/>
      <w:divBdr>
        <w:top w:val="none" w:sz="0" w:space="0" w:color="auto"/>
        <w:left w:val="none" w:sz="0" w:space="0" w:color="auto"/>
        <w:bottom w:val="none" w:sz="0" w:space="0" w:color="auto"/>
        <w:right w:val="none" w:sz="0" w:space="0" w:color="auto"/>
      </w:divBdr>
    </w:div>
    <w:div w:id="1717461857">
      <w:bodyDiv w:val="1"/>
      <w:marLeft w:val="0"/>
      <w:marRight w:val="0"/>
      <w:marTop w:val="0"/>
      <w:marBottom w:val="0"/>
      <w:divBdr>
        <w:top w:val="none" w:sz="0" w:space="0" w:color="auto"/>
        <w:left w:val="none" w:sz="0" w:space="0" w:color="auto"/>
        <w:bottom w:val="none" w:sz="0" w:space="0" w:color="auto"/>
        <w:right w:val="none" w:sz="0" w:space="0" w:color="auto"/>
      </w:divBdr>
    </w:div>
    <w:div w:id="1834179169">
      <w:bodyDiv w:val="1"/>
      <w:marLeft w:val="0"/>
      <w:marRight w:val="0"/>
      <w:marTop w:val="0"/>
      <w:marBottom w:val="0"/>
      <w:divBdr>
        <w:top w:val="none" w:sz="0" w:space="0" w:color="auto"/>
        <w:left w:val="none" w:sz="0" w:space="0" w:color="auto"/>
        <w:bottom w:val="none" w:sz="0" w:space="0" w:color="auto"/>
        <w:right w:val="none" w:sz="0" w:space="0" w:color="auto"/>
      </w:divBdr>
    </w:div>
    <w:div w:id="1873837845">
      <w:bodyDiv w:val="1"/>
      <w:marLeft w:val="0"/>
      <w:marRight w:val="0"/>
      <w:marTop w:val="0"/>
      <w:marBottom w:val="0"/>
      <w:divBdr>
        <w:top w:val="none" w:sz="0" w:space="0" w:color="auto"/>
        <w:left w:val="none" w:sz="0" w:space="0" w:color="auto"/>
        <w:bottom w:val="none" w:sz="0" w:space="0" w:color="auto"/>
        <w:right w:val="none" w:sz="0" w:space="0" w:color="auto"/>
      </w:divBdr>
    </w:div>
    <w:div w:id="1978488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nces.ed.gov/statprog/2012/" TargetMode="Externa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1792B1-831A-4CA8-A400-0233DFA114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6686</Words>
  <Characters>38114</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44711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2017-07-27T11:36:00Z</dcterms:created>
  <dcterms:modified xsi:type="dcterms:W3CDTF">2017-07-27T11:36:00Z</dcterms:modified>
</cp:coreProperties>
</file>